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158F" w14:textId="77777777" w:rsidR="006A1DC1" w:rsidRPr="006A1DC1" w:rsidRDefault="006A1DC1" w:rsidP="006A1DC1">
      <w:pPr>
        <w:spacing w:line="360" w:lineRule="auto"/>
        <w:jc w:val="right"/>
        <w:rPr>
          <w:rFonts w:eastAsia="Calibri"/>
          <w:bCs/>
          <w:sz w:val="20"/>
          <w:szCs w:val="20"/>
          <w:lang w:val="es-PE" w:eastAsia="en-US"/>
        </w:rPr>
      </w:pPr>
      <w:r w:rsidRPr="006A1DC1">
        <w:rPr>
          <w:rFonts w:eastAsia="Calibri"/>
          <w:bCs/>
          <w:sz w:val="20"/>
          <w:szCs w:val="20"/>
          <w:lang w:val="es-PE" w:eastAsia="en-US"/>
        </w:rPr>
        <w:t xml:space="preserve">Artículo de revisión </w:t>
      </w:r>
    </w:p>
    <w:p w14:paraId="0872D72F" w14:textId="77777777" w:rsidR="006A1DC1" w:rsidRPr="006A1DC1" w:rsidRDefault="006A1DC1" w:rsidP="006A1DC1">
      <w:pPr>
        <w:spacing w:line="360" w:lineRule="auto"/>
        <w:jc w:val="both"/>
        <w:rPr>
          <w:rFonts w:eastAsia="Calibri"/>
          <w:b/>
          <w:bCs/>
          <w:lang w:val="es-PE" w:eastAsia="en-US"/>
        </w:rPr>
      </w:pPr>
    </w:p>
    <w:p w14:paraId="38B5DD72" w14:textId="77777777" w:rsidR="006A1DC1" w:rsidRPr="006A1DC1" w:rsidRDefault="006A1DC1" w:rsidP="006A1DC1">
      <w:pPr>
        <w:spacing w:line="360" w:lineRule="auto"/>
        <w:jc w:val="center"/>
        <w:rPr>
          <w:rFonts w:eastAsia="Calibri"/>
          <w:b/>
          <w:bCs/>
          <w:sz w:val="28"/>
          <w:szCs w:val="28"/>
          <w:lang w:val="es-PE" w:eastAsia="en-US"/>
        </w:rPr>
      </w:pPr>
      <w:r w:rsidRPr="006A1DC1">
        <w:rPr>
          <w:rFonts w:eastAsia="Calibri"/>
          <w:b/>
          <w:bCs/>
          <w:sz w:val="28"/>
          <w:szCs w:val="28"/>
          <w:lang w:val="es-PE" w:eastAsia="en-US"/>
        </w:rPr>
        <w:t>Pruebas moleculares para la detección de SARS-CoV-2</w:t>
      </w:r>
    </w:p>
    <w:p w14:paraId="33FD412C" w14:textId="77777777" w:rsidR="006A1DC1" w:rsidRPr="006A1DC1" w:rsidRDefault="006A1DC1" w:rsidP="006A1DC1">
      <w:pPr>
        <w:spacing w:line="360" w:lineRule="auto"/>
        <w:jc w:val="center"/>
        <w:rPr>
          <w:rFonts w:eastAsia="Calibri"/>
          <w:sz w:val="28"/>
          <w:szCs w:val="28"/>
          <w:lang w:val="en-US" w:eastAsia="en-US"/>
        </w:rPr>
      </w:pPr>
      <w:r w:rsidRPr="006A1DC1">
        <w:rPr>
          <w:rFonts w:eastAsia="Calibri"/>
          <w:sz w:val="28"/>
          <w:szCs w:val="28"/>
          <w:lang w:val="en-US" w:eastAsia="en-US"/>
        </w:rPr>
        <w:t xml:space="preserve">Molecular tests for the detection of </w:t>
      </w:r>
      <w:r w:rsidRPr="006A1DC1">
        <w:rPr>
          <w:rFonts w:eastAsia="Calibri"/>
          <w:iCs/>
          <w:sz w:val="28"/>
          <w:szCs w:val="28"/>
          <w:lang w:val="en-US" w:eastAsia="en-US"/>
        </w:rPr>
        <w:t>SARS-CoV-2</w:t>
      </w:r>
    </w:p>
    <w:p w14:paraId="15B9F7E6" w14:textId="77777777" w:rsidR="006A1DC1" w:rsidRPr="006A1DC1" w:rsidRDefault="006A1DC1" w:rsidP="006A1DC1">
      <w:pPr>
        <w:spacing w:line="360" w:lineRule="auto"/>
        <w:jc w:val="both"/>
        <w:rPr>
          <w:rFonts w:eastAsia="Calibri"/>
          <w:lang w:val="en-US" w:eastAsia="en-US"/>
        </w:rPr>
      </w:pPr>
    </w:p>
    <w:p w14:paraId="1A67EDE7" w14:textId="77777777" w:rsidR="006A1DC1" w:rsidRPr="006A1DC1" w:rsidRDefault="006A1DC1" w:rsidP="006A1DC1">
      <w:pPr>
        <w:spacing w:line="360" w:lineRule="auto"/>
        <w:jc w:val="both"/>
        <w:rPr>
          <w:rFonts w:eastAsia="Calibri"/>
          <w:shd w:val="clear" w:color="auto" w:fill="FFFFFF"/>
          <w:vertAlign w:val="superscript"/>
          <w:lang w:val="es-PE" w:eastAsia="en-US"/>
        </w:rPr>
      </w:pPr>
      <w:r w:rsidRPr="006A1DC1">
        <w:rPr>
          <w:rFonts w:eastAsia="Calibri"/>
          <w:lang w:val="es-PE" w:eastAsia="en-US"/>
        </w:rPr>
        <w:t>José Enrique Oliva Menacho</w:t>
      </w:r>
      <w:r w:rsidRPr="006A1DC1">
        <w:rPr>
          <w:rFonts w:eastAsia="Calibri"/>
          <w:vertAlign w:val="superscript"/>
          <w:lang w:val="es-PE" w:eastAsia="en-US"/>
        </w:rPr>
        <w:t>1</w:t>
      </w:r>
      <w:r w:rsidRPr="006A1DC1">
        <w:rPr>
          <w:rFonts w:eastAsia="Calibri"/>
          <w:lang w:val="es-PE" w:eastAsia="en-US"/>
        </w:rPr>
        <w:t xml:space="preserve">* </w:t>
      </w:r>
      <w:hyperlink r:id="rId7" w:history="1">
        <w:r w:rsidRPr="006A1DC1">
          <w:rPr>
            <w:rFonts w:eastAsia="Calibri"/>
            <w:color w:val="0563C1"/>
            <w:u w:val="single"/>
            <w:lang w:val="es-PE" w:eastAsia="en-US"/>
          </w:rPr>
          <w:t>https://orcid.org/0000-0003-4361-585X</w:t>
        </w:r>
      </w:hyperlink>
      <w:r w:rsidRPr="006A1DC1">
        <w:rPr>
          <w:rFonts w:eastAsia="Calibri"/>
          <w:lang w:val="es-PE" w:eastAsia="en-US"/>
        </w:rPr>
        <w:t xml:space="preserve"> </w:t>
      </w:r>
    </w:p>
    <w:p w14:paraId="201E6500" w14:textId="77777777" w:rsidR="006A1DC1" w:rsidRPr="006A1DC1" w:rsidRDefault="006A1DC1" w:rsidP="006A1DC1">
      <w:pPr>
        <w:spacing w:line="360" w:lineRule="auto"/>
        <w:jc w:val="both"/>
        <w:rPr>
          <w:rFonts w:eastAsia="Calibri"/>
          <w:shd w:val="clear" w:color="auto" w:fill="FFFFFF"/>
          <w:lang w:val="es-PE" w:eastAsia="en-US"/>
        </w:rPr>
      </w:pPr>
    </w:p>
    <w:p w14:paraId="49157FAD" w14:textId="77777777" w:rsidR="006A1DC1" w:rsidRPr="006A1DC1" w:rsidRDefault="006A1DC1" w:rsidP="006A1DC1">
      <w:pPr>
        <w:spacing w:line="360" w:lineRule="auto"/>
        <w:jc w:val="both"/>
        <w:rPr>
          <w:rFonts w:eastAsia="Calibri"/>
          <w:shd w:val="clear" w:color="auto" w:fill="FFFFFF"/>
          <w:lang w:val="es-PE" w:eastAsia="en-US"/>
        </w:rPr>
      </w:pPr>
      <w:r w:rsidRPr="006A1DC1">
        <w:rPr>
          <w:rFonts w:eastAsia="Calibri"/>
          <w:shd w:val="clear" w:color="auto" w:fill="FFFFFF"/>
          <w:vertAlign w:val="superscript"/>
          <w:lang w:val="es-PE" w:eastAsia="en-US"/>
        </w:rPr>
        <w:t>1</w:t>
      </w:r>
      <w:r w:rsidRPr="006A1DC1">
        <w:rPr>
          <w:rFonts w:eastAsia="Calibri"/>
          <w:shd w:val="clear" w:color="auto" w:fill="FFFFFF"/>
          <w:lang w:val="es-PE" w:eastAsia="en-US"/>
        </w:rPr>
        <w:t>Hospital Nacional Arzobispo Loayza. Lima, Perú.</w:t>
      </w:r>
    </w:p>
    <w:p w14:paraId="58CFDF0C" w14:textId="77777777" w:rsidR="006A1DC1" w:rsidRPr="006A1DC1" w:rsidRDefault="006A1DC1" w:rsidP="006A1DC1">
      <w:pPr>
        <w:spacing w:line="360" w:lineRule="auto"/>
        <w:jc w:val="both"/>
        <w:rPr>
          <w:rFonts w:eastAsia="Calibri"/>
          <w:shd w:val="clear" w:color="auto" w:fill="FFFFFF"/>
          <w:lang w:val="es-PE" w:eastAsia="en-US"/>
        </w:rPr>
      </w:pPr>
    </w:p>
    <w:p w14:paraId="39ACA8F9" w14:textId="7548DE33" w:rsidR="006A1DC1" w:rsidRPr="006A1DC1" w:rsidRDefault="006A1DC1" w:rsidP="006A1DC1">
      <w:pPr>
        <w:spacing w:line="360" w:lineRule="auto"/>
        <w:jc w:val="both"/>
        <w:rPr>
          <w:rFonts w:eastAsia="Calibri"/>
          <w:shd w:val="clear" w:color="auto" w:fill="FFFFFF"/>
          <w:lang w:val="es-CU" w:eastAsia="en-US"/>
        </w:rPr>
      </w:pPr>
      <w:r w:rsidRPr="006A1DC1">
        <w:rPr>
          <w:rFonts w:eastAsia="Calibri"/>
          <w:shd w:val="clear" w:color="auto" w:fill="FFFFFF"/>
          <w:lang w:val="es-CU" w:eastAsia="en-US"/>
        </w:rPr>
        <w:t xml:space="preserve">*Correo </w:t>
      </w:r>
      <w:r w:rsidRPr="00852743">
        <w:rPr>
          <w:rFonts w:eastAsia="Calibri"/>
          <w:shd w:val="clear" w:color="auto" w:fill="FFFFFF"/>
          <w:lang w:val="es-CU" w:eastAsia="en-US"/>
        </w:rPr>
        <w:t xml:space="preserve">electrónico: </w:t>
      </w:r>
      <w:hyperlink r:id="rId8" w:history="1">
        <w:r w:rsidR="00852743" w:rsidRPr="00852743">
          <w:rPr>
            <w:color w:val="65781F"/>
            <w:u w:val="single"/>
            <w:shd w:val="clear" w:color="auto" w:fill="FFFFFF"/>
          </w:rPr>
          <w:t>jose.e.oliva.menacho@hotmail.com</w:t>
        </w:r>
      </w:hyperlink>
      <w:r w:rsidRPr="006A1DC1">
        <w:rPr>
          <w:rFonts w:eastAsia="Calibri"/>
          <w:shd w:val="clear" w:color="auto" w:fill="FFFFFF"/>
          <w:lang w:val="es-CU" w:eastAsia="en-US"/>
        </w:rPr>
        <w:t xml:space="preserve"> </w:t>
      </w:r>
    </w:p>
    <w:p w14:paraId="2FDB3B97" w14:textId="77777777" w:rsidR="006A1DC1" w:rsidRPr="006A1DC1" w:rsidRDefault="006A1DC1" w:rsidP="006A1DC1">
      <w:pPr>
        <w:spacing w:line="360" w:lineRule="auto"/>
        <w:jc w:val="both"/>
        <w:rPr>
          <w:rFonts w:eastAsia="Calibri"/>
          <w:lang w:val="es-CU" w:eastAsia="en-US"/>
        </w:rPr>
      </w:pPr>
    </w:p>
    <w:p w14:paraId="0889CF40" w14:textId="77777777" w:rsidR="006A1DC1" w:rsidRPr="006A1DC1" w:rsidRDefault="006A1DC1" w:rsidP="006A1DC1">
      <w:pPr>
        <w:spacing w:line="360" w:lineRule="auto"/>
        <w:jc w:val="both"/>
        <w:rPr>
          <w:rFonts w:eastAsia="Calibri"/>
          <w:b/>
          <w:bCs/>
          <w:lang w:val="es-PE" w:eastAsia="en-US"/>
        </w:rPr>
      </w:pPr>
      <w:r w:rsidRPr="006A1DC1">
        <w:rPr>
          <w:rFonts w:eastAsia="Calibri"/>
          <w:b/>
          <w:bCs/>
          <w:lang w:val="es-PE" w:eastAsia="en-US"/>
        </w:rPr>
        <w:t>RESUMEN</w:t>
      </w:r>
    </w:p>
    <w:p w14:paraId="225B703B" w14:textId="5045CE71" w:rsidR="006A1DC1" w:rsidRPr="006A1DC1" w:rsidRDefault="006A1DC1" w:rsidP="006A1DC1">
      <w:pPr>
        <w:spacing w:line="360" w:lineRule="auto"/>
        <w:jc w:val="both"/>
        <w:rPr>
          <w:rFonts w:eastAsia="Calibri"/>
          <w:lang w:val="es-PE" w:eastAsia="en-US"/>
        </w:rPr>
      </w:pPr>
      <w:r w:rsidRPr="006A1DC1">
        <w:rPr>
          <w:rFonts w:eastAsia="Calibri"/>
          <w:b/>
          <w:bCs/>
          <w:lang w:val="es-PE" w:eastAsia="en-US"/>
        </w:rPr>
        <w:t xml:space="preserve">Introducción: </w:t>
      </w:r>
      <w:r w:rsidRPr="006A1DC1">
        <w:rPr>
          <w:rFonts w:eastAsia="Calibri"/>
          <w:lang w:val="es-PE" w:eastAsia="en-US"/>
        </w:rPr>
        <w:t xml:space="preserve">Los coronavirus generan enfermedades respiratorias, hepáticas o neurológicas, con gravedad variable en su huésped. La reacción en cadena de la polimerasa con transcriptasa inversa en tiempo real es la metodología de referencia para confirmar la detección del virus SARS-CoV-2. </w:t>
      </w:r>
      <w:bookmarkStart w:id="0" w:name="_Hlk99279796"/>
      <w:r w:rsidRPr="006A1DC1">
        <w:rPr>
          <w:rFonts w:eastAsia="Calibri"/>
          <w:lang w:val="es-PE" w:eastAsia="en-US"/>
        </w:rPr>
        <w:t>Se realizó una revisión bibliográfica en el periodo de julio a noviembre de 2021,</w:t>
      </w:r>
      <w:r w:rsidR="0090160B">
        <w:rPr>
          <w:rFonts w:eastAsia="Calibri"/>
          <w:lang w:val="es-PE" w:eastAsia="en-US"/>
        </w:rPr>
        <w:t xml:space="preserve"> </w:t>
      </w:r>
      <w:r w:rsidRPr="006A1DC1">
        <w:rPr>
          <w:rFonts w:eastAsia="Calibri"/>
          <w:lang w:val="es-PE" w:eastAsia="en-US"/>
        </w:rPr>
        <w:t xml:space="preserve">en los recursos disponibles en MEDLINE, SciELO, </w:t>
      </w:r>
      <w:proofErr w:type="spellStart"/>
      <w:r w:rsidRPr="006A1DC1">
        <w:rPr>
          <w:rFonts w:eastAsia="Calibri"/>
          <w:lang w:val="es-PE" w:eastAsia="en-US"/>
        </w:rPr>
        <w:t>Pubmed</w:t>
      </w:r>
      <w:proofErr w:type="spellEnd"/>
      <w:r w:rsidRPr="006A1DC1">
        <w:rPr>
          <w:rFonts w:eastAsia="Calibri"/>
          <w:lang w:val="es-PE" w:eastAsia="en-US"/>
        </w:rPr>
        <w:t xml:space="preserve"> y Elsevier. Del total de consultas se citaron 35 referencias. </w:t>
      </w:r>
      <w:bookmarkEnd w:id="0"/>
    </w:p>
    <w:p w14:paraId="28ED4480" w14:textId="77777777" w:rsidR="006A1DC1" w:rsidRPr="006A1DC1" w:rsidRDefault="006A1DC1" w:rsidP="006A1DC1">
      <w:pPr>
        <w:spacing w:line="360" w:lineRule="auto"/>
        <w:jc w:val="both"/>
        <w:rPr>
          <w:rFonts w:eastAsia="Calibri"/>
          <w:lang w:val="es-MX" w:eastAsia="en-US"/>
        </w:rPr>
      </w:pPr>
      <w:r w:rsidRPr="006A1DC1">
        <w:rPr>
          <w:rFonts w:eastAsia="Calibri"/>
          <w:b/>
          <w:bCs/>
          <w:lang w:val="es-MX" w:eastAsia="en-US"/>
        </w:rPr>
        <w:t xml:space="preserve">Objetivo: </w:t>
      </w:r>
      <w:bookmarkStart w:id="1" w:name="_Hlk101790846"/>
      <w:r w:rsidRPr="006A1DC1">
        <w:rPr>
          <w:rFonts w:eastAsia="Calibri"/>
          <w:lang w:val="es-MX" w:eastAsia="en-US"/>
        </w:rPr>
        <w:t>Describir las pruebas moleculares para la detección de SARS-CoV-2.</w:t>
      </w:r>
      <w:bookmarkEnd w:id="1"/>
    </w:p>
    <w:p w14:paraId="3169BDC4" w14:textId="77777777" w:rsidR="006A1DC1" w:rsidRPr="006A1DC1" w:rsidRDefault="006A1DC1" w:rsidP="006A1DC1">
      <w:pPr>
        <w:spacing w:line="360" w:lineRule="auto"/>
        <w:jc w:val="both"/>
        <w:rPr>
          <w:rFonts w:eastAsia="Calibri"/>
          <w:b/>
          <w:bCs/>
          <w:lang w:val="es-PE" w:eastAsia="en-US"/>
        </w:rPr>
      </w:pPr>
      <w:r w:rsidRPr="006A1DC1">
        <w:rPr>
          <w:rFonts w:eastAsia="Calibri"/>
          <w:b/>
          <w:bCs/>
          <w:lang w:val="es-MX" w:eastAsia="en-US"/>
        </w:rPr>
        <w:t xml:space="preserve">Desarrollo: </w:t>
      </w:r>
      <w:r w:rsidRPr="006A1DC1">
        <w:rPr>
          <w:rFonts w:eastAsia="Calibri"/>
          <w:lang w:val="es-MX" w:eastAsia="en-US"/>
        </w:rPr>
        <w:t xml:space="preserve">Se han diseñado tres tipos de ensayos de </w:t>
      </w:r>
      <w:proofErr w:type="spellStart"/>
      <w:r w:rsidRPr="006A1DC1">
        <w:rPr>
          <w:rFonts w:eastAsia="Calibri"/>
          <w:lang w:val="es-MX" w:eastAsia="en-US"/>
        </w:rPr>
        <w:t>rRT</w:t>
      </w:r>
      <w:proofErr w:type="spellEnd"/>
      <w:r w:rsidRPr="006A1DC1">
        <w:rPr>
          <w:rFonts w:eastAsia="Calibri"/>
          <w:lang w:val="es-MX" w:eastAsia="en-US"/>
        </w:rPr>
        <w:t>-PCR, para la detección de SARS-CoV-2. Las pruebas descritas son específicas para genes A</w:t>
      </w:r>
      <w:r w:rsidRPr="006A1DC1">
        <w:rPr>
          <w:rFonts w:eastAsia="Calibri"/>
          <w:color w:val="0D0D0D"/>
          <w:lang w:val="es-MX" w:eastAsia="en-US"/>
        </w:rPr>
        <w:t>RN (</w:t>
      </w:r>
      <w:proofErr w:type="spellStart"/>
      <w:r w:rsidRPr="006A1DC1">
        <w:rPr>
          <w:rFonts w:eastAsia="Calibri"/>
          <w:i/>
          <w:iCs/>
          <w:color w:val="0D0D0D"/>
          <w:lang w:val="es-MX" w:eastAsia="en-US"/>
        </w:rPr>
        <w:t>polymerase</w:t>
      </w:r>
      <w:proofErr w:type="spellEnd"/>
      <w:r w:rsidRPr="006A1DC1">
        <w:rPr>
          <w:rFonts w:eastAsia="Calibri"/>
          <w:i/>
          <w:iCs/>
          <w:color w:val="0D0D0D"/>
          <w:lang w:val="es-MX" w:eastAsia="en-US"/>
        </w:rPr>
        <w:t xml:space="preserve"> </w:t>
      </w:r>
      <w:proofErr w:type="spellStart"/>
      <w:r w:rsidRPr="006A1DC1">
        <w:rPr>
          <w:rFonts w:eastAsia="Calibri"/>
          <w:i/>
          <w:iCs/>
          <w:color w:val="0D0D0D"/>
          <w:lang w:val="es-MX" w:eastAsia="en-US"/>
        </w:rPr>
        <w:t>dependent</w:t>
      </w:r>
      <w:proofErr w:type="spellEnd"/>
      <w:r w:rsidRPr="006A1DC1">
        <w:rPr>
          <w:rFonts w:eastAsia="Calibri"/>
          <w:i/>
          <w:iCs/>
          <w:color w:val="0D0D0D"/>
          <w:lang w:val="es-MX" w:eastAsia="en-US"/>
        </w:rPr>
        <w:t xml:space="preserve"> </w:t>
      </w:r>
      <w:r w:rsidRPr="006A1DC1">
        <w:rPr>
          <w:rFonts w:eastAsia="Calibri"/>
          <w:color w:val="0D0D0D"/>
          <w:lang w:val="es-MX" w:eastAsia="en-US"/>
        </w:rPr>
        <w:t xml:space="preserve">RNA - </w:t>
      </w:r>
      <w:proofErr w:type="spellStart"/>
      <w:r w:rsidRPr="006A1DC1">
        <w:rPr>
          <w:rFonts w:eastAsia="Calibri"/>
          <w:lang w:val="es-MX" w:eastAsia="en-US"/>
        </w:rPr>
        <w:t>RdRp</w:t>
      </w:r>
      <w:proofErr w:type="spellEnd"/>
      <w:r w:rsidRPr="006A1DC1">
        <w:rPr>
          <w:rFonts w:eastAsia="Calibri"/>
          <w:lang w:val="es-MX" w:eastAsia="en-US"/>
        </w:rPr>
        <w:t>), genes E (</w:t>
      </w:r>
      <w:proofErr w:type="spellStart"/>
      <w:r w:rsidRPr="006A1DC1">
        <w:rPr>
          <w:rFonts w:eastAsia="Calibri"/>
          <w:lang w:val="es-MX" w:eastAsia="en-US"/>
        </w:rPr>
        <w:t>upE</w:t>
      </w:r>
      <w:proofErr w:type="spellEnd"/>
      <w:r w:rsidRPr="006A1DC1">
        <w:rPr>
          <w:rFonts w:eastAsia="Calibri"/>
          <w:lang w:val="es-MX" w:eastAsia="en-US"/>
        </w:rPr>
        <w:t xml:space="preserve">) y genes </w:t>
      </w:r>
      <w:proofErr w:type="spellStart"/>
      <w:r w:rsidRPr="006A1DC1">
        <w:rPr>
          <w:rFonts w:eastAsia="Calibri"/>
          <w:lang w:val="es-MX" w:eastAsia="en-US"/>
        </w:rPr>
        <w:t>Nnes</w:t>
      </w:r>
      <w:proofErr w:type="spellEnd"/>
      <w:r w:rsidRPr="006A1DC1">
        <w:rPr>
          <w:rFonts w:eastAsia="Calibri"/>
          <w:lang w:val="es-MX" w:eastAsia="en-US"/>
        </w:rPr>
        <w:t xml:space="preserve"> (N). Los Centros para la Prevención y Control de Enfermedades (CDC) de los EE.UU., han desarrollado la </w:t>
      </w:r>
      <w:proofErr w:type="spellStart"/>
      <w:r w:rsidRPr="006A1DC1">
        <w:rPr>
          <w:rFonts w:eastAsia="Calibri"/>
          <w:lang w:val="es-MX" w:eastAsia="en-US"/>
        </w:rPr>
        <w:t>rRT</w:t>
      </w:r>
      <w:proofErr w:type="spellEnd"/>
      <w:r w:rsidRPr="006A1DC1">
        <w:rPr>
          <w:rFonts w:eastAsia="Calibri"/>
          <w:lang w:val="es-MX" w:eastAsia="en-US"/>
        </w:rPr>
        <w:t xml:space="preserve">-PCR dirigidos a la proteína N de la nucleocápside del material genético </w:t>
      </w:r>
      <w:r w:rsidRPr="006A1DC1">
        <w:rPr>
          <w:rFonts w:eastAsia="Calibri"/>
          <w:iCs/>
          <w:lang w:val="es-MX" w:eastAsia="en-US"/>
        </w:rPr>
        <w:t>SARS-CoV-2</w:t>
      </w:r>
      <w:r w:rsidRPr="006A1DC1">
        <w:rPr>
          <w:rFonts w:eastAsia="Calibri"/>
          <w:lang w:val="es-MX" w:eastAsia="en-US"/>
        </w:rPr>
        <w:t>, los ensayos genes E (</w:t>
      </w:r>
      <w:proofErr w:type="spellStart"/>
      <w:r w:rsidRPr="006A1DC1">
        <w:rPr>
          <w:rFonts w:eastAsia="Calibri"/>
          <w:lang w:val="es-MX" w:eastAsia="en-US"/>
        </w:rPr>
        <w:t>upE</w:t>
      </w:r>
      <w:proofErr w:type="spellEnd"/>
      <w:r w:rsidRPr="006A1DC1">
        <w:rPr>
          <w:rFonts w:eastAsia="Calibri"/>
          <w:lang w:val="es-MX" w:eastAsia="en-US"/>
        </w:rPr>
        <w:t>) y gen de la proteína 1b (ORF 1b) se pueden complementar para la detección y confirmación.</w:t>
      </w:r>
    </w:p>
    <w:p w14:paraId="40A1C4D2" w14:textId="77777777" w:rsidR="006A1DC1" w:rsidRPr="006A1DC1" w:rsidRDefault="006A1DC1" w:rsidP="006A1DC1">
      <w:pPr>
        <w:spacing w:line="360" w:lineRule="auto"/>
        <w:jc w:val="both"/>
        <w:rPr>
          <w:rFonts w:eastAsia="Calibri"/>
          <w:b/>
          <w:bCs/>
          <w:lang w:val="es-MX" w:eastAsia="en-US"/>
        </w:rPr>
      </w:pPr>
      <w:r w:rsidRPr="006A1DC1">
        <w:rPr>
          <w:rFonts w:eastAsia="Calibri"/>
          <w:b/>
          <w:bCs/>
          <w:lang w:val="es-MX" w:eastAsia="en-US"/>
        </w:rPr>
        <w:t xml:space="preserve">Conclusiones: </w:t>
      </w:r>
      <w:r w:rsidRPr="006A1DC1">
        <w:rPr>
          <w:rFonts w:eastAsia="Calibri"/>
          <w:lang w:val="es-MX" w:eastAsia="en-US"/>
        </w:rPr>
        <w:t>Las dianas que se emplean para la detección específica del genoma del SARS-CoV-2 por RT-PCR</w:t>
      </w:r>
      <w:r w:rsidRPr="006A1DC1">
        <w:rPr>
          <w:rFonts w:eastAsia="Calibri"/>
          <w:i/>
          <w:iCs/>
          <w:lang w:val="es-MX" w:eastAsia="en-US"/>
        </w:rPr>
        <w:t xml:space="preserve"> </w:t>
      </w:r>
      <w:r w:rsidRPr="006A1DC1">
        <w:rPr>
          <w:rFonts w:eastAsia="Calibri"/>
          <w:iCs/>
          <w:lang w:val="es-MX" w:eastAsia="en-US"/>
        </w:rPr>
        <w:t>en tiempo real,</w:t>
      </w:r>
      <w:r w:rsidRPr="006A1DC1">
        <w:rPr>
          <w:rFonts w:eastAsia="Calibri"/>
          <w:lang w:val="es-MX" w:eastAsia="en-US"/>
        </w:rPr>
        <w:t xml:space="preserve"> se encuentran en las regiones ORF1a y 1b, </w:t>
      </w:r>
      <w:proofErr w:type="spellStart"/>
      <w:r w:rsidRPr="006A1DC1">
        <w:rPr>
          <w:rFonts w:eastAsia="Calibri"/>
          <w:lang w:val="es-MX" w:eastAsia="en-US"/>
        </w:rPr>
        <w:t>RdRp</w:t>
      </w:r>
      <w:proofErr w:type="spellEnd"/>
      <w:r w:rsidRPr="006A1DC1">
        <w:rPr>
          <w:rFonts w:eastAsia="Calibri"/>
          <w:lang w:val="es-MX" w:eastAsia="en-US"/>
        </w:rPr>
        <w:t>, N, S y E del ARN viral.</w:t>
      </w:r>
    </w:p>
    <w:p w14:paraId="1908841C" w14:textId="77777777" w:rsidR="006A1DC1" w:rsidRPr="006A1DC1" w:rsidRDefault="006A1DC1" w:rsidP="006A1DC1">
      <w:pPr>
        <w:spacing w:line="360" w:lineRule="auto"/>
        <w:jc w:val="both"/>
        <w:rPr>
          <w:rFonts w:eastAsia="Calibri"/>
          <w:lang w:val="es-PE" w:eastAsia="en-US"/>
        </w:rPr>
      </w:pPr>
      <w:r w:rsidRPr="006A1DC1">
        <w:rPr>
          <w:rFonts w:eastAsia="Calibri"/>
          <w:b/>
          <w:bCs/>
          <w:lang w:val="es-PE" w:eastAsia="en-US"/>
        </w:rPr>
        <w:t>Palabras clave:</w:t>
      </w:r>
      <w:r w:rsidRPr="006A1DC1">
        <w:rPr>
          <w:rFonts w:eastAsia="Calibri"/>
          <w:lang w:val="es-PE" w:eastAsia="en-US"/>
        </w:rPr>
        <w:t xml:space="preserve"> COVID-19; pruebas moleculares; RT PCR; secuenciación.</w:t>
      </w:r>
    </w:p>
    <w:p w14:paraId="76C0D526" w14:textId="77777777" w:rsidR="006A1DC1" w:rsidRPr="006A1DC1" w:rsidRDefault="006A1DC1" w:rsidP="006A1DC1">
      <w:pPr>
        <w:spacing w:line="360" w:lineRule="auto"/>
        <w:jc w:val="both"/>
        <w:rPr>
          <w:rFonts w:eastAsia="Calibri"/>
          <w:lang w:val="es-PE" w:eastAsia="en-US"/>
        </w:rPr>
      </w:pPr>
    </w:p>
    <w:p w14:paraId="5EBE0EBC" w14:textId="77777777" w:rsidR="006A1DC1" w:rsidRPr="006A1DC1" w:rsidRDefault="006A1DC1" w:rsidP="006A1DC1">
      <w:pPr>
        <w:spacing w:line="360" w:lineRule="auto"/>
        <w:jc w:val="both"/>
        <w:rPr>
          <w:rFonts w:eastAsia="Calibri"/>
          <w:b/>
          <w:bCs/>
          <w:lang w:val="en-US" w:eastAsia="en-US"/>
        </w:rPr>
      </w:pPr>
      <w:r w:rsidRPr="006A1DC1">
        <w:rPr>
          <w:rFonts w:eastAsia="Calibri"/>
          <w:b/>
          <w:bCs/>
          <w:lang w:val="en-US" w:eastAsia="en-US"/>
        </w:rPr>
        <w:lastRenderedPageBreak/>
        <w:t xml:space="preserve">ABSTRACT </w:t>
      </w:r>
    </w:p>
    <w:p w14:paraId="3C482CEC" w14:textId="77777777" w:rsidR="006A1DC1" w:rsidRPr="006A1DC1" w:rsidRDefault="006A1DC1" w:rsidP="006A1DC1">
      <w:pPr>
        <w:spacing w:line="360" w:lineRule="auto"/>
        <w:jc w:val="both"/>
        <w:rPr>
          <w:rFonts w:eastAsia="Calibri"/>
          <w:b/>
          <w:bCs/>
          <w:lang w:val="en-US" w:eastAsia="en-US"/>
        </w:rPr>
      </w:pPr>
      <w:r w:rsidRPr="006A1DC1">
        <w:rPr>
          <w:rFonts w:eastAsia="Calibri"/>
          <w:b/>
          <w:bCs/>
          <w:lang w:val="en-US" w:eastAsia="en-US"/>
        </w:rPr>
        <w:t xml:space="preserve">Introduction: </w:t>
      </w:r>
      <w:r w:rsidRPr="006A1DC1">
        <w:rPr>
          <w:rFonts w:eastAsia="Calibri"/>
          <w:lang w:val="en-US" w:eastAsia="en-US"/>
        </w:rPr>
        <w:t xml:space="preserve">Coronaviruses cause respiratory, hepatic or neurological diseases, with variable severity in their host. Real-time reverse transcriptase polymerase chain reaction is the reference methodology to confirm the detection of the SARS-CoV-2 virus. A bibliographic review was carried out in the period from July to November 2021, in the resources available in MEDLINE, </w:t>
      </w:r>
      <w:proofErr w:type="spellStart"/>
      <w:r w:rsidRPr="006A1DC1">
        <w:rPr>
          <w:rFonts w:eastAsia="Calibri"/>
          <w:lang w:val="en-US" w:eastAsia="en-US"/>
        </w:rPr>
        <w:t>SciELO</w:t>
      </w:r>
      <w:proofErr w:type="spellEnd"/>
      <w:r w:rsidRPr="006A1DC1">
        <w:rPr>
          <w:rFonts w:eastAsia="Calibri"/>
          <w:lang w:val="en-US" w:eastAsia="en-US"/>
        </w:rPr>
        <w:t xml:space="preserve">, </w:t>
      </w:r>
      <w:proofErr w:type="spellStart"/>
      <w:r w:rsidRPr="006A1DC1">
        <w:rPr>
          <w:rFonts w:eastAsia="Calibri"/>
          <w:lang w:val="en-US" w:eastAsia="en-US"/>
        </w:rPr>
        <w:t>Pubmed</w:t>
      </w:r>
      <w:proofErr w:type="spellEnd"/>
      <w:r w:rsidRPr="006A1DC1">
        <w:rPr>
          <w:rFonts w:eastAsia="Calibri"/>
          <w:lang w:val="en-US" w:eastAsia="en-US"/>
        </w:rPr>
        <w:t xml:space="preserve"> and Elsevier. Of the total queries, 35 references were cited.</w:t>
      </w:r>
    </w:p>
    <w:p w14:paraId="37F01F6B" w14:textId="77777777" w:rsidR="006A1DC1" w:rsidRPr="006A1DC1" w:rsidRDefault="006A1DC1" w:rsidP="006A1DC1">
      <w:pPr>
        <w:spacing w:line="360" w:lineRule="auto"/>
        <w:jc w:val="both"/>
        <w:rPr>
          <w:rFonts w:eastAsia="Calibri"/>
          <w:lang w:val="en-US" w:eastAsia="en-US"/>
        </w:rPr>
      </w:pPr>
      <w:r w:rsidRPr="006A1DC1">
        <w:rPr>
          <w:rFonts w:eastAsia="Calibri"/>
          <w:b/>
          <w:bCs/>
          <w:lang w:val="en-US" w:eastAsia="en-US"/>
        </w:rPr>
        <w:t>Objective:</w:t>
      </w:r>
      <w:r w:rsidRPr="006A1DC1">
        <w:rPr>
          <w:rFonts w:eastAsia="Calibri"/>
          <w:lang w:val="en-US" w:eastAsia="en-US"/>
        </w:rPr>
        <w:t xml:space="preserve"> Describe molecular tests for the detection of SARS-CoV-2.</w:t>
      </w:r>
    </w:p>
    <w:p w14:paraId="11F222DE" w14:textId="77777777" w:rsidR="006A1DC1" w:rsidRPr="006A1DC1" w:rsidRDefault="006A1DC1" w:rsidP="006A1DC1">
      <w:pPr>
        <w:spacing w:line="360" w:lineRule="auto"/>
        <w:jc w:val="both"/>
        <w:rPr>
          <w:rFonts w:eastAsia="Calibri"/>
          <w:lang w:val="en-US" w:eastAsia="en-US"/>
        </w:rPr>
      </w:pPr>
      <w:r w:rsidRPr="006A1DC1">
        <w:rPr>
          <w:rFonts w:eastAsia="Calibri"/>
          <w:b/>
          <w:bCs/>
          <w:lang w:val="en-US" w:eastAsia="en-US"/>
        </w:rPr>
        <w:t xml:space="preserve">Development: </w:t>
      </w:r>
      <w:r w:rsidRPr="006A1DC1">
        <w:rPr>
          <w:rFonts w:eastAsia="Calibri"/>
          <w:lang w:val="en-US" w:eastAsia="en-US"/>
        </w:rPr>
        <w:t xml:space="preserve">Three types of </w:t>
      </w:r>
      <w:proofErr w:type="spellStart"/>
      <w:r w:rsidRPr="006A1DC1">
        <w:rPr>
          <w:rFonts w:eastAsia="Calibri"/>
          <w:lang w:val="en-US" w:eastAsia="en-US"/>
        </w:rPr>
        <w:t>rRT</w:t>
      </w:r>
      <w:proofErr w:type="spellEnd"/>
      <w:r w:rsidRPr="006A1DC1">
        <w:rPr>
          <w:rFonts w:eastAsia="Calibri"/>
          <w:lang w:val="en-US" w:eastAsia="en-US"/>
        </w:rPr>
        <w:t>-PCR assays have been designed for the detection of SARS-CoV-2. The tests described are specific for RNA polymerase dependent RNA (</w:t>
      </w:r>
      <w:proofErr w:type="spellStart"/>
      <w:r w:rsidRPr="006A1DC1">
        <w:rPr>
          <w:rFonts w:eastAsia="Calibri"/>
          <w:lang w:val="en-US" w:eastAsia="en-US"/>
        </w:rPr>
        <w:t>RdRp</w:t>
      </w:r>
      <w:proofErr w:type="spellEnd"/>
      <w:r w:rsidRPr="006A1DC1">
        <w:rPr>
          <w:rFonts w:eastAsia="Calibri"/>
          <w:lang w:val="en-US" w:eastAsia="en-US"/>
        </w:rPr>
        <w:t>) genes, E (</w:t>
      </w:r>
      <w:proofErr w:type="spellStart"/>
      <w:r w:rsidRPr="006A1DC1">
        <w:rPr>
          <w:rFonts w:eastAsia="Calibri"/>
          <w:lang w:val="en-US" w:eastAsia="en-US"/>
        </w:rPr>
        <w:t>upE</w:t>
      </w:r>
      <w:proofErr w:type="spellEnd"/>
      <w:r w:rsidRPr="006A1DC1">
        <w:rPr>
          <w:rFonts w:eastAsia="Calibri"/>
          <w:lang w:val="en-US" w:eastAsia="en-US"/>
        </w:rPr>
        <w:t xml:space="preserve">) genes, and </w:t>
      </w:r>
      <w:proofErr w:type="spellStart"/>
      <w:r w:rsidRPr="006A1DC1">
        <w:rPr>
          <w:rFonts w:eastAsia="Calibri"/>
          <w:lang w:val="en-US" w:eastAsia="en-US"/>
        </w:rPr>
        <w:t>Nnes</w:t>
      </w:r>
      <w:proofErr w:type="spellEnd"/>
      <w:r w:rsidRPr="006A1DC1">
        <w:rPr>
          <w:rFonts w:eastAsia="Calibri"/>
          <w:lang w:val="en-US" w:eastAsia="en-US"/>
        </w:rPr>
        <w:t xml:space="preserve"> (N) genes. The United States Centers for Disease Control and Prevention (CDC) have developed </w:t>
      </w:r>
      <w:proofErr w:type="spellStart"/>
      <w:r w:rsidRPr="006A1DC1">
        <w:rPr>
          <w:rFonts w:eastAsia="Calibri"/>
          <w:lang w:val="en-US" w:eastAsia="en-US"/>
        </w:rPr>
        <w:t>rRT</w:t>
      </w:r>
      <w:proofErr w:type="spellEnd"/>
      <w:r w:rsidRPr="006A1DC1">
        <w:rPr>
          <w:rFonts w:eastAsia="Calibri"/>
          <w:lang w:val="en-US" w:eastAsia="en-US"/>
        </w:rPr>
        <w:t>-PCR directed at the N protein of the nucleocapsid of the SARS-CoV-2 genetic material, the gene E assays (</w:t>
      </w:r>
      <w:proofErr w:type="spellStart"/>
      <w:r w:rsidRPr="006A1DC1">
        <w:rPr>
          <w:rFonts w:eastAsia="Calibri"/>
          <w:lang w:val="en-US" w:eastAsia="en-US"/>
        </w:rPr>
        <w:t>upE</w:t>
      </w:r>
      <w:proofErr w:type="spellEnd"/>
      <w:r w:rsidRPr="006A1DC1">
        <w:rPr>
          <w:rFonts w:eastAsia="Calibri"/>
          <w:lang w:val="en-US" w:eastAsia="en-US"/>
        </w:rPr>
        <w:t>) and protein gene 1b (ORF 1b) can be complemented for detection and confirmation.</w:t>
      </w:r>
    </w:p>
    <w:p w14:paraId="11304DB5" w14:textId="77777777" w:rsidR="006A1DC1" w:rsidRPr="006A1DC1" w:rsidRDefault="006A1DC1" w:rsidP="006A1DC1">
      <w:pPr>
        <w:spacing w:line="360" w:lineRule="auto"/>
        <w:jc w:val="both"/>
        <w:rPr>
          <w:rFonts w:eastAsia="Calibri"/>
          <w:lang w:val="en-US" w:eastAsia="en-US"/>
        </w:rPr>
      </w:pPr>
      <w:r w:rsidRPr="006A1DC1">
        <w:rPr>
          <w:rFonts w:eastAsia="Calibri"/>
          <w:b/>
          <w:bCs/>
          <w:lang w:val="en-US" w:eastAsia="en-US"/>
        </w:rPr>
        <w:t>Conclusions:</w:t>
      </w:r>
      <w:r w:rsidRPr="006A1DC1">
        <w:rPr>
          <w:rFonts w:eastAsia="Calibri"/>
          <w:lang w:val="en-US" w:eastAsia="en-US"/>
        </w:rPr>
        <w:t xml:space="preserve"> The targets used for the specific detection of the SARS-CoV-2 genome by real-time RT-PCR are found in the ORF1a and 1b, </w:t>
      </w:r>
      <w:proofErr w:type="spellStart"/>
      <w:r w:rsidRPr="006A1DC1">
        <w:rPr>
          <w:rFonts w:eastAsia="Calibri"/>
          <w:lang w:val="en-US" w:eastAsia="en-US"/>
        </w:rPr>
        <w:t>RdRp</w:t>
      </w:r>
      <w:proofErr w:type="spellEnd"/>
      <w:r w:rsidRPr="006A1DC1">
        <w:rPr>
          <w:rFonts w:eastAsia="Calibri"/>
          <w:lang w:val="en-US" w:eastAsia="en-US"/>
        </w:rPr>
        <w:t>, N, S and E regions of the viral RNA.</w:t>
      </w:r>
    </w:p>
    <w:p w14:paraId="0521CEEE" w14:textId="77777777" w:rsidR="006A1DC1" w:rsidRPr="006A1DC1" w:rsidRDefault="006A1DC1" w:rsidP="006A1DC1">
      <w:pPr>
        <w:spacing w:line="360" w:lineRule="auto"/>
        <w:jc w:val="both"/>
        <w:rPr>
          <w:rFonts w:eastAsia="Calibri"/>
          <w:lang w:val="en-US" w:eastAsia="en-US"/>
        </w:rPr>
      </w:pPr>
      <w:r w:rsidRPr="006A1DC1">
        <w:rPr>
          <w:rFonts w:eastAsia="Calibri"/>
          <w:b/>
          <w:bCs/>
          <w:lang w:val="en-US" w:eastAsia="en-US"/>
        </w:rPr>
        <w:t>Keywords:</w:t>
      </w:r>
      <w:r w:rsidRPr="006A1DC1">
        <w:rPr>
          <w:rFonts w:eastAsia="Calibri"/>
          <w:lang w:val="en-US" w:eastAsia="en-US"/>
        </w:rPr>
        <w:t xml:space="preserve"> COVID-19; molecular tests; RT-PCR; sequencing. </w:t>
      </w:r>
    </w:p>
    <w:p w14:paraId="7D0C4072" w14:textId="77777777" w:rsidR="006A1DC1" w:rsidRPr="006A1DC1" w:rsidRDefault="006A1DC1" w:rsidP="006A1DC1">
      <w:pPr>
        <w:spacing w:line="360" w:lineRule="auto"/>
        <w:jc w:val="both"/>
        <w:rPr>
          <w:rFonts w:eastAsia="Calibri"/>
          <w:lang w:val="en-US" w:eastAsia="en-US"/>
        </w:rPr>
      </w:pPr>
    </w:p>
    <w:p w14:paraId="5A115A43" w14:textId="77777777" w:rsidR="006A1DC1" w:rsidRPr="006A1DC1" w:rsidRDefault="006A1DC1" w:rsidP="006A1DC1">
      <w:pPr>
        <w:spacing w:line="360" w:lineRule="auto"/>
        <w:jc w:val="both"/>
        <w:rPr>
          <w:rFonts w:eastAsia="Calibri"/>
          <w:lang w:val="en-US" w:eastAsia="en-US"/>
        </w:rPr>
      </w:pPr>
    </w:p>
    <w:p w14:paraId="66C09820" w14:textId="77777777" w:rsidR="006A1DC1" w:rsidRPr="006A1DC1" w:rsidRDefault="006A1DC1" w:rsidP="006A1DC1">
      <w:pPr>
        <w:spacing w:line="360" w:lineRule="auto"/>
        <w:jc w:val="both"/>
        <w:rPr>
          <w:rFonts w:eastAsia="Calibri"/>
          <w:lang w:val="es-CU" w:eastAsia="en-US"/>
        </w:rPr>
      </w:pPr>
      <w:r w:rsidRPr="006A1DC1">
        <w:rPr>
          <w:rFonts w:eastAsia="Calibri"/>
          <w:lang w:val="es-CU" w:eastAsia="en-US"/>
        </w:rPr>
        <w:t>Recibido: 16/12/2021</w:t>
      </w:r>
    </w:p>
    <w:p w14:paraId="0598F106" w14:textId="77777777" w:rsidR="006A1DC1" w:rsidRPr="006A1DC1" w:rsidRDefault="006A1DC1" w:rsidP="006A1DC1">
      <w:pPr>
        <w:spacing w:line="360" w:lineRule="auto"/>
        <w:jc w:val="both"/>
        <w:rPr>
          <w:rFonts w:eastAsia="Calibri"/>
          <w:lang w:val="es-CU" w:eastAsia="en-US"/>
        </w:rPr>
      </w:pPr>
      <w:r w:rsidRPr="006A1DC1">
        <w:rPr>
          <w:rFonts w:eastAsia="Calibri"/>
          <w:lang w:val="es-CU" w:eastAsia="en-US"/>
        </w:rPr>
        <w:t>Aprobado: 30/05/2022</w:t>
      </w:r>
    </w:p>
    <w:p w14:paraId="57632E26" w14:textId="77777777" w:rsidR="006A1DC1" w:rsidRPr="006A1DC1" w:rsidRDefault="006A1DC1" w:rsidP="006A1DC1">
      <w:pPr>
        <w:spacing w:line="360" w:lineRule="auto"/>
        <w:jc w:val="both"/>
        <w:rPr>
          <w:rFonts w:eastAsia="Calibri"/>
          <w:lang w:val="es-CU" w:eastAsia="en-US"/>
        </w:rPr>
      </w:pPr>
    </w:p>
    <w:p w14:paraId="12EE3FC6" w14:textId="77777777" w:rsidR="006A1DC1" w:rsidRPr="006A1DC1" w:rsidRDefault="006A1DC1" w:rsidP="006A1DC1">
      <w:pPr>
        <w:spacing w:line="360" w:lineRule="auto"/>
        <w:jc w:val="both"/>
        <w:rPr>
          <w:rFonts w:eastAsia="Calibri"/>
          <w:b/>
          <w:bCs/>
          <w:lang w:val="es-CU" w:eastAsia="en-US"/>
        </w:rPr>
      </w:pPr>
    </w:p>
    <w:p w14:paraId="59114BD8" w14:textId="77777777" w:rsidR="006A1DC1" w:rsidRPr="006A1DC1" w:rsidRDefault="006A1DC1" w:rsidP="006A1DC1">
      <w:pPr>
        <w:spacing w:line="360" w:lineRule="auto"/>
        <w:jc w:val="center"/>
        <w:rPr>
          <w:rFonts w:eastAsia="Calibri"/>
          <w:b/>
          <w:bCs/>
          <w:sz w:val="32"/>
          <w:szCs w:val="32"/>
          <w:lang w:val="es-PE" w:eastAsia="en-US"/>
        </w:rPr>
      </w:pPr>
      <w:r w:rsidRPr="006A1DC1">
        <w:rPr>
          <w:rFonts w:eastAsia="Calibri"/>
          <w:b/>
          <w:bCs/>
          <w:sz w:val="32"/>
          <w:szCs w:val="32"/>
          <w:lang w:val="es-PE" w:eastAsia="en-US"/>
        </w:rPr>
        <w:t>INTRODUCCIÓN</w:t>
      </w:r>
    </w:p>
    <w:p w14:paraId="07979129"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Los coronavirus (</w:t>
      </w:r>
      <w:proofErr w:type="spellStart"/>
      <w:r w:rsidRPr="006A1DC1">
        <w:rPr>
          <w:rFonts w:eastAsia="Calibri"/>
          <w:lang w:val="es-PE" w:eastAsia="en-US"/>
        </w:rPr>
        <w:t>CoV</w:t>
      </w:r>
      <w:proofErr w:type="spellEnd"/>
      <w:r w:rsidRPr="006A1DC1">
        <w:rPr>
          <w:rFonts w:eastAsia="Calibri"/>
          <w:lang w:val="es-PE" w:eastAsia="en-US"/>
        </w:rPr>
        <w:t xml:space="preserve">) infectan y causan enfermedades en una amplia variedad de especies, incluidos murciélagos, pájaros, gatos, perros, cerdos, ratones, caballos, ballenas y </w:t>
      </w:r>
      <w:proofErr w:type="gramStart"/>
      <w:r w:rsidRPr="006A1DC1">
        <w:rPr>
          <w:rFonts w:eastAsia="Calibri"/>
          <w:lang w:val="es-PE" w:eastAsia="en-US"/>
        </w:rPr>
        <w:t>humanos.</w:t>
      </w:r>
      <w:r w:rsidRPr="006A1DC1">
        <w:rPr>
          <w:rFonts w:eastAsia="Calibri"/>
          <w:vertAlign w:val="superscript"/>
          <w:lang w:val="es-PE" w:eastAsia="en-US"/>
        </w:rPr>
        <w:t>(</w:t>
      </w:r>
      <w:proofErr w:type="gramEnd"/>
      <w:r w:rsidRPr="006A1DC1">
        <w:rPr>
          <w:rFonts w:eastAsia="Calibri"/>
          <w:vertAlign w:val="superscript"/>
          <w:lang w:val="es-PE" w:eastAsia="en-US"/>
        </w:rPr>
        <w:t>1)</w:t>
      </w:r>
    </w:p>
    <w:p w14:paraId="5CA896C1"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Estudios recientes sugieren que los murciélagos actúan como un reservorio natural para los </w:t>
      </w:r>
      <w:proofErr w:type="gramStart"/>
      <w:r w:rsidRPr="006A1DC1">
        <w:rPr>
          <w:rFonts w:eastAsia="Calibri"/>
          <w:lang w:val="es-PE" w:eastAsia="en-US"/>
        </w:rPr>
        <w:t>coronavirus.</w:t>
      </w:r>
      <w:r w:rsidRPr="006A1DC1">
        <w:rPr>
          <w:rFonts w:eastAsia="Calibri"/>
          <w:vertAlign w:val="superscript"/>
          <w:lang w:val="es-PE" w:eastAsia="en-US"/>
        </w:rPr>
        <w:t>(</w:t>
      </w:r>
      <w:proofErr w:type="gramEnd"/>
      <w:r w:rsidRPr="006A1DC1">
        <w:rPr>
          <w:rFonts w:eastAsia="Calibri"/>
          <w:vertAlign w:val="superscript"/>
          <w:lang w:val="es-PE" w:eastAsia="en-US"/>
        </w:rPr>
        <w:t xml:space="preserve">2)  </w:t>
      </w:r>
      <w:r w:rsidRPr="006A1DC1">
        <w:rPr>
          <w:rFonts w:eastAsia="Calibri"/>
          <w:lang w:val="es-PE" w:eastAsia="en-US"/>
        </w:rPr>
        <w:t>Los coronavirus humanos (</w:t>
      </w:r>
      <w:proofErr w:type="spellStart"/>
      <w:r w:rsidRPr="006A1DC1">
        <w:rPr>
          <w:rFonts w:eastAsia="Calibri"/>
          <w:lang w:val="es-PE" w:eastAsia="en-US"/>
        </w:rPr>
        <w:t>hCoV</w:t>
      </w:r>
      <w:proofErr w:type="spellEnd"/>
      <w:r w:rsidRPr="006A1DC1">
        <w:rPr>
          <w:rFonts w:eastAsia="Calibri"/>
          <w:lang w:val="es-PE" w:eastAsia="en-US"/>
        </w:rPr>
        <w:t>) HCoV-229E y HCoV-OC43</w:t>
      </w:r>
      <w:r w:rsidRPr="006A1DC1">
        <w:rPr>
          <w:rFonts w:eastAsia="Calibri"/>
          <w:i/>
          <w:iCs/>
          <w:lang w:val="es-PE" w:eastAsia="en-US"/>
        </w:rPr>
        <w:t xml:space="preserve"> </w:t>
      </w:r>
      <w:r w:rsidRPr="006A1DC1">
        <w:rPr>
          <w:rFonts w:eastAsia="Calibri"/>
          <w:lang w:val="es-PE" w:eastAsia="en-US"/>
        </w:rPr>
        <w:t>se identificaron en 1960 como agentes causantes de enfermedades respiratorias leves.</w:t>
      </w:r>
      <w:r w:rsidRPr="006A1DC1">
        <w:rPr>
          <w:rFonts w:eastAsia="Calibri"/>
          <w:vertAlign w:val="superscript"/>
          <w:lang w:val="es-PE" w:eastAsia="en-US"/>
        </w:rPr>
        <w:t xml:space="preserve">(3) </w:t>
      </w:r>
      <w:r w:rsidRPr="006A1DC1">
        <w:rPr>
          <w:rFonts w:eastAsia="Calibri"/>
          <w:lang w:val="es-PE" w:eastAsia="en-US"/>
        </w:rPr>
        <w:t xml:space="preserve">Durante la epidemia de 2003 de síndrome respiratorio agudo grave (SARS), los CDC y el Consejo de Epidemiólogos Estatales y Territoriales </w:t>
      </w:r>
      <w:r w:rsidRPr="006A1DC1">
        <w:rPr>
          <w:rFonts w:eastAsia="Calibri"/>
          <w:lang w:val="es-PE" w:eastAsia="en-US"/>
        </w:rPr>
        <w:lastRenderedPageBreak/>
        <w:t>(CSTE) desarrollaron criterios de vigilancia para identificar a las personas con SARS. La definición de caso de vigilancia cambió a lo largo de la epidemia a medida que aumentaba la comprensión de las características clínicas, de laboratorio y de transmisión del coronavirus asociado al SARS (SARS-</w:t>
      </w:r>
      <w:proofErr w:type="spellStart"/>
      <w:r w:rsidRPr="006A1DC1">
        <w:rPr>
          <w:rFonts w:eastAsia="Calibri"/>
          <w:lang w:val="es-PE" w:eastAsia="en-US"/>
        </w:rPr>
        <w:t>CoV</w:t>
      </w:r>
      <w:proofErr w:type="spellEnd"/>
      <w:r w:rsidRPr="006A1DC1">
        <w:rPr>
          <w:rFonts w:eastAsia="Calibri"/>
          <w:lang w:val="es-PE" w:eastAsia="en-US"/>
        </w:rPr>
        <w:t xml:space="preserve">). En 2002-2003, un coronavirus desconocido: el coronavirus del síndrome respiratorio agudo grave (SARS) causó un brote generalizado de enfermedades respiratorias en humanos, lo que resultó en 800 muertes y afectó a alrededor de 30 </w:t>
      </w:r>
      <w:proofErr w:type="gramStart"/>
      <w:r w:rsidRPr="006A1DC1">
        <w:rPr>
          <w:rFonts w:eastAsia="Calibri"/>
          <w:lang w:val="es-PE" w:eastAsia="en-US"/>
        </w:rPr>
        <w:t>países.</w:t>
      </w:r>
      <w:r w:rsidRPr="006A1DC1">
        <w:rPr>
          <w:rFonts w:eastAsia="Calibri"/>
          <w:vertAlign w:val="superscript"/>
          <w:lang w:val="es-PE" w:eastAsia="en-US"/>
        </w:rPr>
        <w:t>(</w:t>
      </w:r>
      <w:proofErr w:type="gramEnd"/>
      <w:r w:rsidRPr="006A1DC1">
        <w:rPr>
          <w:rFonts w:eastAsia="Calibri"/>
          <w:vertAlign w:val="superscript"/>
          <w:lang w:val="es-PE" w:eastAsia="en-US"/>
        </w:rPr>
        <w:t>4)</w:t>
      </w:r>
    </w:p>
    <w:p w14:paraId="4AAC412E"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Como consecuencia del renovado interés en los coronavirus después del brote de SARS, se conocieron 2 nuevos coronavirus entre 2003 y 2005: HCoV-NL63</w:t>
      </w:r>
      <w:r w:rsidRPr="006A1DC1">
        <w:rPr>
          <w:rFonts w:eastAsia="Calibri"/>
          <w:i/>
          <w:iCs/>
          <w:lang w:val="es-PE" w:eastAsia="en-US"/>
        </w:rPr>
        <w:t xml:space="preserve"> </w:t>
      </w:r>
      <w:r w:rsidRPr="006A1DC1">
        <w:rPr>
          <w:rFonts w:eastAsia="Calibri"/>
          <w:lang w:val="es-PE" w:eastAsia="en-US"/>
        </w:rPr>
        <w:t>en 2004</w:t>
      </w:r>
      <w:r w:rsidRPr="006A1DC1">
        <w:rPr>
          <w:rFonts w:eastAsia="Calibri"/>
          <w:vertAlign w:val="superscript"/>
          <w:lang w:val="es-PE" w:eastAsia="en-US"/>
        </w:rPr>
        <w:t>(5)</w:t>
      </w:r>
      <w:r w:rsidRPr="006A1DC1">
        <w:rPr>
          <w:rFonts w:eastAsia="Calibri"/>
          <w:lang w:val="es-PE" w:eastAsia="en-US"/>
        </w:rPr>
        <w:t xml:space="preserve"> y HCoV-HKU1 en </w:t>
      </w:r>
      <w:proofErr w:type="gramStart"/>
      <w:r w:rsidRPr="006A1DC1">
        <w:rPr>
          <w:rFonts w:eastAsia="Calibri"/>
          <w:lang w:val="es-PE" w:eastAsia="en-US"/>
        </w:rPr>
        <w:t>2005</w:t>
      </w:r>
      <w:r w:rsidRPr="006A1DC1">
        <w:rPr>
          <w:rFonts w:eastAsia="Calibri"/>
          <w:i/>
          <w:iCs/>
          <w:lang w:val="es-PE" w:eastAsia="en-US"/>
        </w:rPr>
        <w:t>.</w:t>
      </w:r>
      <w:r w:rsidRPr="006A1DC1">
        <w:rPr>
          <w:rFonts w:eastAsia="Calibri"/>
          <w:vertAlign w:val="superscript"/>
          <w:lang w:val="es-PE" w:eastAsia="en-US"/>
        </w:rPr>
        <w:t>(</w:t>
      </w:r>
      <w:proofErr w:type="gramEnd"/>
      <w:r w:rsidRPr="006A1DC1">
        <w:rPr>
          <w:rFonts w:eastAsia="Calibri"/>
          <w:vertAlign w:val="superscript"/>
          <w:lang w:val="es-PE" w:eastAsia="en-US"/>
        </w:rPr>
        <w:t xml:space="preserve">6) </w:t>
      </w:r>
      <w:r w:rsidRPr="006A1DC1">
        <w:rPr>
          <w:rFonts w:eastAsia="Calibri"/>
          <w:lang w:val="es-PE" w:eastAsia="en-US"/>
        </w:rPr>
        <w:t xml:space="preserve">Un análisis reciente de una gran colección de muestras nasofaríngeas humanas usando un conjunto de cebadores </w:t>
      </w:r>
      <w:proofErr w:type="spellStart"/>
      <w:r w:rsidRPr="006A1DC1">
        <w:rPr>
          <w:rFonts w:eastAsia="Calibri"/>
          <w:lang w:val="es-PE" w:eastAsia="en-US"/>
        </w:rPr>
        <w:t>coronaviridae</w:t>
      </w:r>
      <w:proofErr w:type="spellEnd"/>
      <w:r w:rsidRPr="006A1DC1">
        <w:rPr>
          <w:rFonts w:eastAsia="Calibri"/>
          <w:lang w:val="es-PE" w:eastAsia="en-US"/>
        </w:rPr>
        <w:t xml:space="preserve"> sugirió que HCoV-229E, OC43, NL63 y HKU1 son los únicos coronavirus que circulan en la población humana.</w:t>
      </w:r>
      <w:r w:rsidRPr="006A1DC1">
        <w:rPr>
          <w:rFonts w:eastAsia="Calibri"/>
          <w:vertAlign w:val="superscript"/>
          <w:lang w:val="es-PE" w:eastAsia="en-US"/>
        </w:rPr>
        <w:t>(7)</w:t>
      </w:r>
    </w:p>
    <w:p w14:paraId="4D4D5E19" w14:textId="77777777" w:rsidR="006A1DC1" w:rsidRPr="006A1DC1" w:rsidRDefault="006A1DC1" w:rsidP="006A1DC1">
      <w:pPr>
        <w:spacing w:line="360" w:lineRule="auto"/>
        <w:jc w:val="both"/>
        <w:rPr>
          <w:rFonts w:eastAsia="Calibri"/>
          <w:lang w:val="es-PE" w:eastAsia="en-US"/>
        </w:rPr>
      </w:pPr>
      <w:bookmarkStart w:id="2" w:name="_Hlk101791786"/>
      <w:r w:rsidRPr="006A1DC1">
        <w:rPr>
          <w:rFonts w:eastAsia="Calibri"/>
          <w:lang w:val="es-PE" w:eastAsia="en-US"/>
        </w:rPr>
        <w:t xml:space="preserve">Para esta revisión narrativa se hizo búsquedas de literatura publicadas en julio y noviembre de 2021. La evaluación incluyó artículos en las bibliotecas del </w:t>
      </w:r>
      <w:proofErr w:type="spellStart"/>
      <w:r w:rsidRPr="006A1DC1">
        <w:rPr>
          <w:rFonts w:eastAsia="Calibri"/>
          <w:i/>
          <w:iCs/>
          <w:lang w:val="es-PE" w:eastAsia="en-US"/>
        </w:rPr>
        <w:t>Academic</w:t>
      </w:r>
      <w:proofErr w:type="spellEnd"/>
      <w:r w:rsidRPr="006A1DC1">
        <w:rPr>
          <w:rFonts w:eastAsia="Calibri"/>
          <w:i/>
          <w:iCs/>
          <w:lang w:val="es-PE" w:eastAsia="en-US"/>
        </w:rPr>
        <w:t xml:space="preserve"> </w:t>
      </w:r>
      <w:proofErr w:type="spellStart"/>
      <w:r w:rsidRPr="006A1DC1">
        <w:rPr>
          <w:rFonts w:eastAsia="Calibri"/>
          <w:i/>
          <w:iCs/>
          <w:lang w:val="es-PE" w:eastAsia="en-US"/>
        </w:rPr>
        <w:t>Search</w:t>
      </w:r>
      <w:proofErr w:type="spellEnd"/>
      <w:r w:rsidRPr="006A1DC1">
        <w:rPr>
          <w:rFonts w:eastAsia="Calibri"/>
          <w:i/>
          <w:iCs/>
          <w:lang w:val="es-PE" w:eastAsia="en-US"/>
        </w:rPr>
        <w:t xml:space="preserve"> Complete</w:t>
      </w:r>
      <w:r w:rsidRPr="006A1DC1">
        <w:rPr>
          <w:rFonts w:eastAsia="Calibri"/>
          <w:lang w:val="es-PE" w:eastAsia="en-US"/>
        </w:rPr>
        <w:t xml:space="preserve"> del gestor de búsquedas Medline, </w:t>
      </w:r>
      <w:proofErr w:type="spellStart"/>
      <w:r w:rsidRPr="006A1DC1">
        <w:rPr>
          <w:rFonts w:eastAsia="Calibri"/>
          <w:lang w:val="es-PE" w:eastAsia="en-US"/>
        </w:rPr>
        <w:t>Science</w:t>
      </w:r>
      <w:proofErr w:type="spellEnd"/>
      <w:r w:rsidRPr="006A1DC1">
        <w:rPr>
          <w:rFonts w:eastAsia="Calibri"/>
          <w:lang w:val="es-PE" w:eastAsia="en-US"/>
        </w:rPr>
        <w:t xml:space="preserve"> Direct, </w:t>
      </w:r>
      <w:proofErr w:type="spellStart"/>
      <w:r w:rsidRPr="006A1DC1">
        <w:rPr>
          <w:rFonts w:eastAsia="Calibri"/>
          <w:lang w:val="es-PE" w:eastAsia="en-US"/>
        </w:rPr>
        <w:t>Scopus</w:t>
      </w:r>
      <w:proofErr w:type="spellEnd"/>
      <w:r w:rsidRPr="006A1DC1">
        <w:rPr>
          <w:rFonts w:eastAsia="Calibri"/>
          <w:lang w:val="es-PE" w:eastAsia="en-US"/>
        </w:rPr>
        <w:t xml:space="preserve">, Redalyc. Se recurrió, además, a las bases de datos bibliográficos de la Organización Mundial de la Salud (OMS), la Organización Panamericana de la Salud y SciELO. Para la búsqueda se utilizaron los siguientes descriptores: “COVID-19”, “pruebas moleculares”, “reacción en cadena de la polimerasa con transcriptasa inversa en tiempo real” y “secuenciación” para idioma español. Para el idioma inglés, se emplearon "COVID-19", "molecular </w:t>
      </w:r>
      <w:proofErr w:type="spellStart"/>
      <w:r w:rsidRPr="006A1DC1">
        <w:rPr>
          <w:rFonts w:eastAsia="Calibri"/>
          <w:lang w:val="es-PE" w:eastAsia="en-US"/>
        </w:rPr>
        <w:t>testing</w:t>
      </w:r>
      <w:proofErr w:type="spellEnd"/>
      <w:r w:rsidRPr="006A1DC1">
        <w:rPr>
          <w:rFonts w:eastAsia="Calibri"/>
          <w:lang w:val="es-PE" w:eastAsia="en-US"/>
        </w:rPr>
        <w:t xml:space="preserve">", "real-time reverse </w:t>
      </w:r>
      <w:proofErr w:type="spellStart"/>
      <w:r w:rsidRPr="006A1DC1">
        <w:rPr>
          <w:rFonts w:eastAsia="Calibri"/>
          <w:lang w:val="es-PE" w:eastAsia="en-US"/>
        </w:rPr>
        <w:t>transcriptase</w:t>
      </w:r>
      <w:proofErr w:type="spellEnd"/>
      <w:r w:rsidRPr="006A1DC1">
        <w:rPr>
          <w:rFonts w:eastAsia="Calibri"/>
          <w:lang w:val="es-PE" w:eastAsia="en-US"/>
        </w:rPr>
        <w:t xml:space="preserve"> </w:t>
      </w:r>
      <w:proofErr w:type="spellStart"/>
      <w:r w:rsidRPr="006A1DC1">
        <w:rPr>
          <w:rFonts w:eastAsia="Calibri"/>
          <w:lang w:val="es-PE" w:eastAsia="en-US"/>
        </w:rPr>
        <w:t>polymerase</w:t>
      </w:r>
      <w:proofErr w:type="spellEnd"/>
      <w:r w:rsidRPr="006A1DC1">
        <w:rPr>
          <w:rFonts w:eastAsia="Calibri"/>
          <w:lang w:val="es-PE" w:eastAsia="en-US"/>
        </w:rPr>
        <w:t xml:space="preserve"> </w:t>
      </w:r>
      <w:proofErr w:type="spellStart"/>
      <w:r w:rsidRPr="006A1DC1">
        <w:rPr>
          <w:rFonts w:eastAsia="Calibri"/>
          <w:lang w:val="es-PE" w:eastAsia="en-US"/>
        </w:rPr>
        <w:t>chain</w:t>
      </w:r>
      <w:proofErr w:type="spellEnd"/>
      <w:r w:rsidRPr="006A1DC1">
        <w:rPr>
          <w:rFonts w:eastAsia="Calibri"/>
          <w:lang w:val="es-PE" w:eastAsia="en-US"/>
        </w:rPr>
        <w:t xml:space="preserve"> </w:t>
      </w:r>
      <w:proofErr w:type="spellStart"/>
      <w:r w:rsidRPr="006A1DC1">
        <w:rPr>
          <w:rFonts w:eastAsia="Calibri"/>
          <w:lang w:val="es-PE" w:eastAsia="en-US"/>
        </w:rPr>
        <w:t>reaction</w:t>
      </w:r>
      <w:proofErr w:type="spellEnd"/>
      <w:r w:rsidRPr="006A1DC1">
        <w:rPr>
          <w:rFonts w:eastAsia="Calibri"/>
          <w:lang w:val="es-PE" w:eastAsia="en-US"/>
        </w:rPr>
        <w:t>" and "</w:t>
      </w:r>
      <w:proofErr w:type="spellStart"/>
      <w:r w:rsidRPr="006A1DC1">
        <w:rPr>
          <w:rFonts w:eastAsia="Calibri"/>
          <w:lang w:val="es-PE" w:eastAsia="en-US"/>
        </w:rPr>
        <w:t>sequencing</w:t>
      </w:r>
      <w:proofErr w:type="spellEnd"/>
      <w:r w:rsidRPr="006A1DC1">
        <w:rPr>
          <w:rFonts w:eastAsia="Calibri"/>
          <w:lang w:val="es-PE" w:eastAsia="en-US"/>
        </w:rPr>
        <w:t>". Las publicaciones encontradas se sometieron a un proceso de evaluación; se revisaron los resúmenes, resultados y conclusiones de los estudios. Para la selección se clasificaron en pertinentes o no pertinentes, de acuerdo con su ajuste al tema, cumpliendo con la característica de que describieran las pruebas moleculares para la detección de SARS-CoV-2; haber sido publicados entre 2011-2021; ser artículos de revisión, originales, presentaciones de casos y tesis. Se encontró un total de 78 trabajos, se seleccionaron 35; 33 artículos originales y 2 comunicados de prensa.</w:t>
      </w:r>
    </w:p>
    <w:bookmarkEnd w:id="2"/>
    <w:p w14:paraId="2C1FBD80"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El objetivo de la presente revisión es describir las pruebas moleculares para la detección de SARS-CoV-2.</w:t>
      </w:r>
    </w:p>
    <w:p w14:paraId="58B597DD" w14:textId="77777777" w:rsidR="006A1DC1" w:rsidRPr="006A1DC1" w:rsidRDefault="006A1DC1" w:rsidP="006A1DC1">
      <w:pPr>
        <w:spacing w:line="360" w:lineRule="auto"/>
        <w:jc w:val="both"/>
        <w:rPr>
          <w:rFonts w:eastAsia="Calibri"/>
          <w:lang w:val="es-PE" w:eastAsia="en-US"/>
        </w:rPr>
      </w:pPr>
    </w:p>
    <w:p w14:paraId="498FD43F" w14:textId="77777777" w:rsidR="006A1DC1" w:rsidRPr="006A1DC1" w:rsidRDefault="006A1DC1" w:rsidP="006A1DC1">
      <w:pPr>
        <w:spacing w:line="360" w:lineRule="auto"/>
        <w:jc w:val="center"/>
        <w:rPr>
          <w:rFonts w:eastAsia="Calibri"/>
          <w:b/>
          <w:bCs/>
          <w:sz w:val="32"/>
          <w:szCs w:val="32"/>
          <w:lang w:val="es-PE" w:eastAsia="en-US"/>
        </w:rPr>
      </w:pPr>
    </w:p>
    <w:p w14:paraId="2DCE625C" w14:textId="77777777" w:rsidR="006A1DC1" w:rsidRPr="006A1DC1" w:rsidRDefault="006A1DC1" w:rsidP="006A1DC1">
      <w:pPr>
        <w:spacing w:line="360" w:lineRule="auto"/>
        <w:jc w:val="center"/>
        <w:rPr>
          <w:rFonts w:eastAsia="Calibri"/>
          <w:b/>
          <w:bCs/>
          <w:sz w:val="32"/>
          <w:szCs w:val="32"/>
          <w:lang w:val="es-PE" w:eastAsia="en-US"/>
        </w:rPr>
      </w:pPr>
      <w:r w:rsidRPr="006A1DC1">
        <w:rPr>
          <w:rFonts w:eastAsia="Calibri"/>
          <w:b/>
          <w:bCs/>
          <w:sz w:val="32"/>
          <w:szCs w:val="32"/>
          <w:lang w:val="es-PE" w:eastAsia="en-US"/>
        </w:rPr>
        <w:lastRenderedPageBreak/>
        <w:t>DESARROLLO</w:t>
      </w:r>
    </w:p>
    <w:p w14:paraId="61A0255B"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Mediante la técnica de reacción en cadena de la polimerasa de transcripción inversa (RT-PCR) se ha observado que los infectados presentan en su mayoría una alta carga viral (entre 10</w:t>
      </w:r>
      <w:r w:rsidRPr="006A1DC1">
        <w:rPr>
          <w:rFonts w:eastAsia="Calibri"/>
          <w:vertAlign w:val="superscript"/>
          <w:lang w:val="es-PE" w:eastAsia="en-US"/>
        </w:rPr>
        <w:t>4</w:t>
      </w:r>
      <w:r w:rsidRPr="006A1DC1">
        <w:rPr>
          <w:rFonts w:eastAsia="Calibri"/>
          <w:lang w:val="es-PE" w:eastAsia="en-US"/>
        </w:rPr>
        <w:t xml:space="preserve"> y 10</w:t>
      </w:r>
      <w:r w:rsidRPr="006A1DC1">
        <w:rPr>
          <w:rFonts w:eastAsia="Calibri"/>
          <w:vertAlign w:val="superscript"/>
          <w:lang w:val="es-PE" w:eastAsia="en-US"/>
        </w:rPr>
        <w:t>8</w:t>
      </w:r>
      <w:r w:rsidRPr="006A1DC1">
        <w:rPr>
          <w:rFonts w:eastAsia="Calibri"/>
          <w:lang w:val="es-PE" w:eastAsia="en-US"/>
        </w:rPr>
        <w:t xml:space="preserve"> copias de genoma/ mL, por muestra nasofaríngea o de saliva). En pacientes que tienen un curso leve de infección, el pico de la carga viral en muestras nasales y orofaríngeas ocurre durante los primeros 5-6 días tras el inicio de síntomas y desaparece al día 10. Si bien en algunos pacientes se detecta el virus más allá del día 10, la carga viral es del orden de 100-1 000 veces menor, lo cual sugeriría una baja capacidad de transmisión en esos </w:t>
      </w:r>
      <w:proofErr w:type="gramStart"/>
      <w:r w:rsidRPr="006A1DC1">
        <w:rPr>
          <w:rFonts w:eastAsia="Calibri"/>
          <w:lang w:val="es-PE" w:eastAsia="en-US"/>
        </w:rPr>
        <w:t>días.</w:t>
      </w:r>
      <w:r w:rsidRPr="006A1DC1">
        <w:rPr>
          <w:rFonts w:eastAsia="Calibri"/>
          <w:vertAlign w:val="superscript"/>
          <w:lang w:val="es-PE" w:eastAsia="en-US"/>
        </w:rPr>
        <w:t>(</w:t>
      </w:r>
      <w:proofErr w:type="gramEnd"/>
      <w:r w:rsidRPr="006A1DC1">
        <w:rPr>
          <w:rFonts w:eastAsia="Calibri"/>
          <w:vertAlign w:val="superscript"/>
          <w:lang w:val="es-PE" w:eastAsia="en-US"/>
        </w:rPr>
        <w:t>8,9,10)</w:t>
      </w:r>
    </w:p>
    <w:p w14:paraId="57C60E44"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La confirmación habitual de los casos de infección por </w:t>
      </w:r>
      <w:bookmarkStart w:id="3" w:name="_Hlk72860308"/>
      <w:r w:rsidRPr="006A1DC1">
        <w:rPr>
          <w:rFonts w:eastAsia="Calibri"/>
          <w:lang w:val="es-PE" w:eastAsia="en-US"/>
        </w:rPr>
        <w:t>SARS-CoV-2</w:t>
      </w:r>
      <w:bookmarkEnd w:id="3"/>
      <w:r w:rsidRPr="006A1DC1">
        <w:rPr>
          <w:rFonts w:eastAsia="Calibri"/>
          <w:iCs/>
          <w:lang w:val="es-PE" w:eastAsia="en-US"/>
        </w:rPr>
        <w:t>,</w:t>
      </w:r>
      <w:r w:rsidRPr="006A1DC1">
        <w:rPr>
          <w:rFonts w:eastAsia="Calibri"/>
          <w:i/>
          <w:iCs/>
          <w:lang w:val="es-PE" w:eastAsia="en-US"/>
        </w:rPr>
        <w:t xml:space="preserve"> </w:t>
      </w:r>
      <w:r w:rsidRPr="006A1DC1">
        <w:rPr>
          <w:rFonts w:eastAsia="Calibri"/>
          <w:lang w:val="es-PE" w:eastAsia="en-US"/>
        </w:rPr>
        <w:t>se basa en la detección de secuencias de ARN virales únicas mediante la RT-PCR en tiempo real</w:t>
      </w:r>
      <w:r w:rsidRPr="006A1DC1">
        <w:rPr>
          <w:rFonts w:eastAsia="Calibri"/>
          <w:i/>
          <w:iCs/>
          <w:lang w:val="es-PE" w:eastAsia="en-US"/>
        </w:rPr>
        <w:t xml:space="preserve"> </w:t>
      </w:r>
      <w:r w:rsidRPr="006A1DC1">
        <w:rPr>
          <w:rFonts w:eastAsia="Calibri"/>
          <w:lang w:val="es-PE" w:eastAsia="en-US"/>
        </w:rPr>
        <w:t>(</w:t>
      </w:r>
      <w:proofErr w:type="spellStart"/>
      <w:r w:rsidRPr="006A1DC1">
        <w:rPr>
          <w:rFonts w:eastAsia="Calibri"/>
          <w:lang w:val="es-PE" w:eastAsia="en-US"/>
        </w:rPr>
        <w:t>rRT</w:t>
      </w:r>
      <w:proofErr w:type="spellEnd"/>
      <w:r w:rsidRPr="006A1DC1">
        <w:rPr>
          <w:rFonts w:eastAsia="Calibri"/>
          <w:i/>
          <w:iCs/>
          <w:lang w:val="es-PE" w:eastAsia="en-US"/>
        </w:rPr>
        <w:t>-</w:t>
      </w:r>
      <w:r w:rsidRPr="006A1DC1">
        <w:rPr>
          <w:rFonts w:eastAsia="Calibri"/>
          <w:lang w:val="es-PE" w:eastAsia="en-US"/>
        </w:rPr>
        <w:t>PCR), con confirmación por secuenciación de ácido nucleico, cuando sea necesario (Fig. 1).</w:t>
      </w:r>
    </w:p>
    <w:p w14:paraId="641E2A5B" w14:textId="77777777" w:rsidR="006A1DC1" w:rsidRPr="006A1DC1" w:rsidRDefault="006A1DC1" w:rsidP="006A1DC1">
      <w:pPr>
        <w:spacing w:line="360" w:lineRule="auto"/>
        <w:jc w:val="both"/>
        <w:rPr>
          <w:rFonts w:eastAsia="Calibri"/>
          <w:lang w:val="es-PE" w:eastAsia="en-US"/>
        </w:rPr>
      </w:pPr>
    </w:p>
    <w:p w14:paraId="744BD539" w14:textId="21AE14C0" w:rsidR="006A1DC1" w:rsidRPr="006A1DC1" w:rsidRDefault="006A1DC1" w:rsidP="006A1DC1">
      <w:pPr>
        <w:spacing w:line="360" w:lineRule="auto"/>
        <w:jc w:val="center"/>
        <w:rPr>
          <w:rFonts w:eastAsia="Calibri"/>
          <w:vertAlign w:val="subscript"/>
          <w:lang w:val="es-PE" w:eastAsia="en-US"/>
        </w:rPr>
      </w:pPr>
      <w:r w:rsidRPr="006A1DC1">
        <w:rPr>
          <w:rFonts w:eastAsia="Calibri"/>
          <w:noProof/>
          <w:vertAlign w:val="subscript"/>
          <w:lang w:val="es-PE" w:eastAsia="en-US"/>
        </w:rPr>
        <w:drawing>
          <wp:inline distT="0" distB="0" distL="0" distR="0" wp14:anchorId="43444B74" wp14:editId="347BE400">
            <wp:extent cx="2750175" cy="3355676"/>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7228" cy="3364281"/>
                    </a:xfrm>
                    <a:prstGeom prst="rect">
                      <a:avLst/>
                    </a:prstGeom>
                    <a:noFill/>
                    <a:ln>
                      <a:noFill/>
                    </a:ln>
                  </pic:spPr>
                </pic:pic>
              </a:graphicData>
            </a:graphic>
          </wp:inline>
        </w:drawing>
      </w:r>
    </w:p>
    <w:p w14:paraId="1C3FE8B1" w14:textId="77777777" w:rsidR="006A1DC1" w:rsidRPr="006A1DC1" w:rsidRDefault="006A1DC1" w:rsidP="006A1DC1">
      <w:pPr>
        <w:spacing w:line="360" w:lineRule="auto"/>
        <w:jc w:val="center"/>
        <w:rPr>
          <w:rFonts w:eastAsia="Calibri"/>
          <w:sz w:val="20"/>
          <w:szCs w:val="20"/>
          <w:lang w:val="es-PE" w:eastAsia="en-US"/>
        </w:rPr>
      </w:pPr>
      <w:r w:rsidRPr="006A1DC1">
        <w:rPr>
          <w:rFonts w:eastAsia="Calibri"/>
          <w:sz w:val="20"/>
          <w:szCs w:val="20"/>
          <w:lang w:val="es-PE" w:eastAsia="en-US"/>
        </w:rPr>
        <w:t xml:space="preserve">Fuente: elaboración propia inspirado en </w:t>
      </w:r>
      <w:r w:rsidRPr="006A1DC1">
        <w:rPr>
          <w:rFonts w:eastAsia="Calibri"/>
          <w:i/>
          <w:iCs/>
          <w:sz w:val="20"/>
          <w:szCs w:val="20"/>
          <w:lang w:val="es-PE" w:eastAsia="en-US"/>
        </w:rPr>
        <w:t xml:space="preserve">Cuadra </w:t>
      </w:r>
      <w:r w:rsidRPr="006A1DC1">
        <w:rPr>
          <w:rFonts w:eastAsia="Calibri"/>
          <w:sz w:val="20"/>
          <w:szCs w:val="20"/>
          <w:lang w:val="es-PE" w:eastAsia="en-US"/>
        </w:rPr>
        <w:t xml:space="preserve">y </w:t>
      </w:r>
      <w:proofErr w:type="gramStart"/>
      <w:r w:rsidRPr="006A1DC1">
        <w:rPr>
          <w:rFonts w:eastAsia="Calibri"/>
          <w:sz w:val="20"/>
          <w:szCs w:val="20"/>
          <w:lang w:val="es-PE" w:eastAsia="en-US"/>
        </w:rPr>
        <w:t>otros.</w:t>
      </w:r>
      <w:r w:rsidRPr="006A1DC1">
        <w:rPr>
          <w:rFonts w:eastAsia="Calibri"/>
          <w:sz w:val="20"/>
          <w:szCs w:val="20"/>
          <w:vertAlign w:val="superscript"/>
          <w:lang w:val="es-PE" w:eastAsia="en-US"/>
        </w:rPr>
        <w:t>(</w:t>
      </w:r>
      <w:proofErr w:type="gramEnd"/>
      <w:r w:rsidRPr="006A1DC1">
        <w:rPr>
          <w:rFonts w:eastAsia="Calibri"/>
          <w:sz w:val="20"/>
          <w:szCs w:val="20"/>
          <w:vertAlign w:val="superscript"/>
          <w:lang w:val="es-PE" w:eastAsia="en-US"/>
        </w:rPr>
        <w:t>11)</w:t>
      </w:r>
    </w:p>
    <w:p w14:paraId="5ACE80E0" w14:textId="77777777" w:rsidR="006A1DC1" w:rsidRPr="006A1DC1" w:rsidRDefault="006A1DC1" w:rsidP="006A1DC1">
      <w:pPr>
        <w:spacing w:line="360" w:lineRule="auto"/>
        <w:jc w:val="center"/>
        <w:rPr>
          <w:rFonts w:eastAsia="Calibri"/>
          <w:sz w:val="22"/>
          <w:szCs w:val="22"/>
          <w:lang w:val="es-PE" w:eastAsia="en-US"/>
        </w:rPr>
      </w:pPr>
      <w:r w:rsidRPr="006A1DC1">
        <w:rPr>
          <w:rFonts w:eastAsia="Calibri"/>
          <w:b/>
          <w:bCs/>
          <w:sz w:val="22"/>
          <w:szCs w:val="22"/>
          <w:lang w:val="es-PE" w:eastAsia="en-US"/>
        </w:rPr>
        <w:t xml:space="preserve">Fig. 1 – </w:t>
      </w:r>
      <w:r w:rsidRPr="006A1DC1">
        <w:rPr>
          <w:rFonts w:eastAsia="Calibri"/>
          <w:bCs/>
          <w:sz w:val="22"/>
          <w:szCs w:val="22"/>
          <w:lang w:val="es-PE" w:eastAsia="en-US"/>
        </w:rPr>
        <w:t xml:space="preserve">Algoritmo de pruebas para casos en curso de investigación para SARS-CoV-2 por la </w:t>
      </w:r>
      <w:proofErr w:type="spellStart"/>
      <w:r w:rsidRPr="006A1DC1">
        <w:rPr>
          <w:rFonts w:eastAsia="Calibri"/>
          <w:bCs/>
          <w:sz w:val="22"/>
          <w:szCs w:val="22"/>
          <w:lang w:val="es-PE" w:eastAsia="en-US"/>
        </w:rPr>
        <w:t>rRT</w:t>
      </w:r>
      <w:proofErr w:type="spellEnd"/>
      <w:r w:rsidRPr="006A1DC1">
        <w:rPr>
          <w:rFonts w:eastAsia="Calibri"/>
          <w:bCs/>
          <w:sz w:val="22"/>
          <w:szCs w:val="22"/>
          <w:lang w:val="es-PE" w:eastAsia="en-US"/>
        </w:rPr>
        <w:t>-PCR.</w:t>
      </w:r>
    </w:p>
    <w:p w14:paraId="3F330284" w14:textId="77777777" w:rsidR="006A1DC1" w:rsidRPr="006A1DC1" w:rsidRDefault="006A1DC1" w:rsidP="006A1DC1">
      <w:pPr>
        <w:spacing w:line="360" w:lineRule="auto"/>
        <w:jc w:val="both"/>
        <w:rPr>
          <w:rFonts w:eastAsia="Calibri"/>
          <w:lang w:val="es-PE" w:eastAsia="en-US"/>
        </w:rPr>
      </w:pPr>
    </w:p>
    <w:p w14:paraId="22F4666F"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lastRenderedPageBreak/>
        <w:t xml:space="preserve">La </w:t>
      </w:r>
      <w:bookmarkStart w:id="4" w:name="_Hlk99297045"/>
      <w:r w:rsidRPr="006A1DC1">
        <w:rPr>
          <w:rFonts w:eastAsia="Calibri"/>
          <w:lang w:val="es-PE" w:eastAsia="en-US"/>
        </w:rPr>
        <w:t>OMS</w:t>
      </w:r>
      <w:r w:rsidRPr="006A1DC1">
        <w:rPr>
          <w:rFonts w:eastAsia="Calibri"/>
          <w:i/>
          <w:iCs/>
          <w:lang w:val="es-PE" w:eastAsia="en-US"/>
        </w:rPr>
        <w:t xml:space="preserve"> </w:t>
      </w:r>
      <w:bookmarkEnd w:id="4"/>
      <w:r w:rsidRPr="006A1DC1">
        <w:rPr>
          <w:rFonts w:eastAsia="Calibri"/>
          <w:lang w:val="es-PE" w:eastAsia="en-US"/>
        </w:rPr>
        <w:t xml:space="preserve">puede ayudar a sus estados miembros a determinar qué laboratorios son adecuados para proporcionar este servicio, en este caso, deben realizar estas pruebas. Se han diseñado 3 tipos de ensayos </w:t>
      </w:r>
      <w:bookmarkStart w:id="5" w:name="_Hlk101429288"/>
      <w:r w:rsidRPr="006A1DC1">
        <w:rPr>
          <w:rFonts w:eastAsia="Calibri"/>
          <w:lang w:val="es-PE" w:eastAsia="en-US"/>
        </w:rPr>
        <w:t xml:space="preserve">de </w:t>
      </w:r>
      <w:bookmarkEnd w:id="5"/>
      <w:proofErr w:type="spellStart"/>
      <w:r w:rsidRPr="006A1DC1">
        <w:rPr>
          <w:rFonts w:eastAsia="Calibri"/>
          <w:lang w:val="es-PE" w:eastAsia="en-US"/>
        </w:rPr>
        <w:t>rRT</w:t>
      </w:r>
      <w:proofErr w:type="spellEnd"/>
      <w:r w:rsidRPr="006A1DC1">
        <w:rPr>
          <w:rFonts w:eastAsia="Calibri"/>
          <w:lang w:val="es-PE" w:eastAsia="en-US"/>
        </w:rPr>
        <w:t>-PCR para la detección de SARS-CoV-2</w:t>
      </w:r>
      <w:r w:rsidRPr="006A1DC1">
        <w:rPr>
          <w:rFonts w:eastAsia="Calibri"/>
          <w:i/>
          <w:iCs/>
          <w:lang w:val="es-PE" w:eastAsia="en-US"/>
        </w:rPr>
        <w:t xml:space="preserve"> </w:t>
      </w:r>
      <w:r w:rsidRPr="006A1DC1">
        <w:rPr>
          <w:rFonts w:eastAsia="Calibri"/>
          <w:lang w:val="es-PE" w:eastAsia="en-US"/>
        </w:rPr>
        <w:t xml:space="preserve">y se han publicado en detalle. Las pruebas actualmente descritas son específicas para genes </w:t>
      </w:r>
      <w:proofErr w:type="spellStart"/>
      <w:r w:rsidRPr="006A1DC1">
        <w:rPr>
          <w:rFonts w:eastAsia="Calibri"/>
          <w:i/>
          <w:iCs/>
          <w:lang w:val="es-PE" w:eastAsia="en-US"/>
        </w:rPr>
        <w:t>Polymerase</w:t>
      </w:r>
      <w:proofErr w:type="spellEnd"/>
      <w:r w:rsidRPr="006A1DC1">
        <w:rPr>
          <w:rFonts w:eastAsia="Calibri"/>
          <w:i/>
          <w:iCs/>
          <w:lang w:val="es-PE" w:eastAsia="en-US"/>
        </w:rPr>
        <w:t xml:space="preserve"> </w:t>
      </w:r>
      <w:proofErr w:type="spellStart"/>
      <w:r w:rsidRPr="006A1DC1">
        <w:rPr>
          <w:rFonts w:eastAsia="Calibri"/>
          <w:i/>
          <w:iCs/>
          <w:lang w:val="es-PE" w:eastAsia="en-US"/>
        </w:rPr>
        <w:t>Dependent</w:t>
      </w:r>
      <w:proofErr w:type="spellEnd"/>
      <w:r w:rsidRPr="006A1DC1">
        <w:rPr>
          <w:rFonts w:eastAsia="Calibri"/>
          <w:i/>
          <w:iCs/>
          <w:lang w:val="es-PE" w:eastAsia="en-US"/>
        </w:rPr>
        <w:t xml:space="preserve"> RNA </w:t>
      </w:r>
      <w:r w:rsidRPr="006A1DC1">
        <w:rPr>
          <w:rFonts w:eastAsia="Calibri"/>
          <w:lang w:val="es-PE" w:eastAsia="en-US"/>
        </w:rPr>
        <w:t>(</w:t>
      </w:r>
      <w:proofErr w:type="spellStart"/>
      <w:r w:rsidRPr="006A1DC1">
        <w:rPr>
          <w:rFonts w:eastAsia="Calibri"/>
          <w:lang w:val="es-PE" w:eastAsia="en-US"/>
        </w:rPr>
        <w:t>RdRp</w:t>
      </w:r>
      <w:proofErr w:type="spellEnd"/>
      <w:r w:rsidRPr="006A1DC1">
        <w:rPr>
          <w:rFonts w:eastAsia="Calibri"/>
          <w:i/>
          <w:iCs/>
          <w:lang w:val="es-PE" w:eastAsia="en-US"/>
        </w:rPr>
        <w:t>,</w:t>
      </w:r>
      <w:r w:rsidRPr="006A1DC1">
        <w:rPr>
          <w:rFonts w:eastAsia="Calibri"/>
          <w:lang w:val="es-PE" w:eastAsia="en-US"/>
        </w:rPr>
        <w:t xml:space="preserve"> por sus siglas en inglés), genes E (</w:t>
      </w:r>
      <w:proofErr w:type="spellStart"/>
      <w:r w:rsidRPr="006A1DC1">
        <w:rPr>
          <w:rFonts w:eastAsia="Calibri"/>
          <w:lang w:val="es-PE" w:eastAsia="en-US"/>
        </w:rPr>
        <w:t>upE</w:t>
      </w:r>
      <w:proofErr w:type="spellEnd"/>
      <w:r w:rsidRPr="006A1DC1">
        <w:rPr>
          <w:rFonts w:eastAsia="Calibri"/>
          <w:lang w:val="es-PE" w:eastAsia="en-US"/>
        </w:rPr>
        <w:t xml:space="preserve">) y genes </w:t>
      </w:r>
      <w:proofErr w:type="spellStart"/>
      <w:r w:rsidRPr="006A1DC1">
        <w:rPr>
          <w:rFonts w:eastAsia="Calibri"/>
          <w:lang w:val="es-PE" w:eastAsia="en-US"/>
        </w:rPr>
        <w:t>Nnes</w:t>
      </w:r>
      <w:proofErr w:type="spellEnd"/>
      <w:r w:rsidRPr="006A1DC1">
        <w:rPr>
          <w:rFonts w:eastAsia="Calibri"/>
          <w:lang w:val="es-PE" w:eastAsia="en-US"/>
        </w:rPr>
        <w:t xml:space="preserve"> (N). Los CDC, de los EE.UU. han desarrollado ensayos de </w:t>
      </w:r>
      <w:proofErr w:type="spellStart"/>
      <w:r w:rsidRPr="006A1DC1">
        <w:rPr>
          <w:rFonts w:eastAsia="Calibri"/>
          <w:lang w:val="es-PE" w:eastAsia="en-US"/>
        </w:rPr>
        <w:t>rRT</w:t>
      </w:r>
      <w:proofErr w:type="spellEnd"/>
      <w:r w:rsidRPr="006A1DC1">
        <w:rPr>
          <w:rFonts w:eastAsia="Calibri"/>
          <w:lang w:val="es-PE" w:eastAsia="en-US"/>
        </w:rPr>
        <w:t xml:space="preserve">-PCR, dirigidos a la proteína N de la nucleocápside que contiene material genético del SARS-CoV-2, que puede complementar los ensayos </w:t>
      </w:r>
      <w:proofErr w:type="spellStart"/>
      <w:r w:rsidRPr="006A1DC1">
        <w:rPr>
          <w:rFonts w:eastAsia="Calibri"/>
          <w:lang w:val="es-PE" w:eastAsia="en-US"/>
        </w:rPr>
        <w:t>upE</w:t>
      </w:r>
      <w:proofErr w:type="spellEnd"/>
      <w:r w:rsidRPr="006A1DC1">
        <w:rPr>
          <w:rFonts w:eastAsia="Calibri"/>
          <w:lang w:val="es-PE" w:eastAsia="en-US"/>
        </w:rPr>
        <w:t xml:space="preserve"> y gen de la proteína 1b (ORF 1b, por sus siglas en inglés) para detección y </w:t>
      </w:r>
      <w:proofErr w:type="gramStart"/>
      <w:r w:rsidRPr="006A1DC1">
        <w:rPr>
          <w:rFonts w:eastAsia="Calibri"/>
          <w:lang w:val="es-PE" w:eastAsia="en-US"/>
        </w:rPr>
        <w:t>confirmación.</w:t>
      </w:r>
      <w:r w:rsidRPr="006A1DC1">
        <w:rPr>
          <w:rFonts w:eastAsia="Calibri"/>
          <w:vertAlign w:val="superscript"/>
          <w:lang w:val="es-PE" w:eastAsia="en-US"/>
        </w:rPr>
        <w:t>(</w:t>
      </w:r>
      <w:proofErr w:type="gramEnd"/>
      <w:r w:rsidRPr="006A1DC1">
        <w:rPr>
          <w:rFonts w:eastAsia="Calibri"/>
          <w:vertAlign w:val="superscript"/>
          <w:lang w:val="es-PE" w:eastAsia="en-US"/>
        </w:rPr>
        <w:t>12)</w:t>
      </w:r>
    </w:p>
    <w:p w14:paraId="150A7A0E"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Cuatro coronavirus humanos (</w:t>
      </w:r>
      <w:proofErr w:type="spellStart"/>
      <w:r w:rsidRPr="006A1DC1">
        <w:rPr>
          <w:rFonts w:eastAsia="Calibri"/>
          <w:lang w:val="es-PE" w:eastAsia="en-US"/>
        </w:rPr>
        <w:t>hCoV</w:t>
      </w:r>
      <w:proofErr w:type="spellEnd"/>
      <w:r w:rsidRPr="006A1DC1">
        <w:rPr>
          <w:rFonts w:eastAsia="Calibri"/>
          <w:i/>
          <w:iCs/>
          <w:lang w:val="es-PE" w:eastAsia="en-US"/>
        </w:rPr>
        <w:t xml:space="preserve">, </w:t>
      </w:r>
      <w:r w:rsidRPr="006A1DC1">
        <w:rPr>
          <w:rFonts w:eastAsia="Calibri"/>
          <w:lang w:val="es-PE" w:eastAsia="en-US"/>
        </w:rPr>
        <w:t xml:space="preserve">por sus siglas en inglés) son causas conocidas de infecciones del tracto respiratorio, cuya gravedad puede ser de leve a grave. Estos son los </w:t>
      </w:r>
      <w:proofErr w:type="spellStart"/>
      <w:r w:rsidRPr="006A1DC1">
        <w:rPr>
          <w:rFonts w:eastAsia="Calibri"/>
          <w:lang w:val="es-PE" w:eastAsia="en-US"/>
        </w:rPr>
        <w:t>betacoronavirus</w:t>
      </w:r>
      <w:proofErr w:type="spellEnd"/>
      <w:r w:rsidRPr="006A1DC1">
        <w:rPr>
          <w:rFonts w:eastAsia="Calibri"/>
          <w:lang w:val="es-PE" w:eastAsia="en-US"/>
        </w:rPr>
        <w:t xml:space="preserve"> hCoV-OC43 y hCoV-HKU1 y los alfa coronavirus hCoV-229E y hCoV-NL63. Los ensayos comerciales de PCR</w:t>
      </w:r>
      <w:r w:rsidRPr="006A1DC1">
        <w:rPr>
          <w:rFonts w:eastAsia="Calibri"/>
          <w:i/>
          <w:iCs/>
          <w:lang w:val="es-PE" w:eastAsia="en-US"/>
        </w:rPr>
        <w:t xml:space="preserve"> multiplex</w:t>
      </w:r>
      <w:r w:rsidRPr="006A1DC1">
        <w:rPr>
          <w:rFonts w:eastAsia="Calibri"/>
          <w:lang w:val="es-PE" w:eastAsia="en-US"/>
        </w:rPr>
        <w:t xml:space="preserve"> para patógenos respiratorios pueden detectar estos virus. Es importante que los resultados positivos de estos virus no se confundan con MERS-</w:t>
      </w:r>
      <w:proofErr w:type="spellStart"/>
      <w:proofErr w:type="gramStart"/>
      <w:r w:rsidRPr="006A1DC1">
        <w:rPr>
          <w:rFonts w:eastAsia="Calibri"/>
          <w:lang w:val="es-PE" w:eastAsia="en-US"/>
        </w:rPr>
        <w:t>CoV</w:t>
      </w:r>
      <w:proofErr w:type="spellEnd"/>
      <w:r w:rsidRPr="006A1DC1">
        <w:rPr>
          <w:rFonts w:eastAsia="Calibri"/>
          <w:i/>
          <w:iCs/>
          <w:lang w:val="es-PE" w:eastAsia="en-US"/>
        </w:rPr>
        <w:t>.</w:t>
      </w:r>
      <w:r w:rsidRPr="006A1DC1">
        <w:rPr>
          <w:rFonts w:eastAsia="Calibri"/>
          <w:vertAlign w:val="superscript"/>
          <w:lang w:val="es-PE" w:eastAsia="en-US"/>
        </w:rPr>
        <w:t>(</w:t>
      </w:r>
      <w:proofErr w:type="gramEnd"/>
      <w:r w:rsidRPr="006A1DC1">
        <w:rPr>
          <w:rFonts w:eastAsia="Calibri"/>
          <w:vertAlign w:val="superscript"/>
          <w:lang w:val="es-PE" w:eastAsia="en-US"/>
        </w:rPr>
        <w:t xml:space="preserve">13) </w:t>
      </w:r>
      <w:r w:rsidRPr="006A1DC1">
        <w:rPr>
          <w:rFonts w:eastAsia="Calibri"/>
          <w:lang w:val="es-PE" w:eastAsia="en-US"/>
        </w:rPr>
        <w:t>Un caso con un resultado positivo de PCR, para un solo fragmento específico sin más pruebas, pero con un historial de posible exposición y signos clínicos consistentes, se considera un caso probable.</w:t>
      </w:r>
    </w:p>
    <w:p w14:paraId="4DF93ABC"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Las sensibilidades y las especificidades de la prueba RT-PCR y de otras pruebas moleculares que han sido aprobadas por la Administración de Alimentos y Medicamentos (FDA, por sus siglas en inglés) para uso de diagnóstico, son altas. Sin embargo, incluso con RT-PCR, puede haber resultados falsos negativos debido a recolecciones de muestras indebidas o poco cuidadosas o de una mala manipulación de la muestra luego de la recolección y antes de la prueba. También puede haber un resultado negativo en la prueba de una muestra recolectada cuando el paciente ya no tiene un virus detectable de la influenza. Puede haber resultados falsos positivos, aunque se dan rara vez (por ejemplo, debido a la contaminación del laboratorio u otros factores</w:t>
      </w:r>
      <w:proofErr w:type="gramStart"/>
      <w:r w:rsidRPr="006A1DC1">
        <w:rPr>
          <w:rFonts w:eastAsia="Calibri"/>
          <w:lang w:val="es-PE" w:eastAsia="en-US"/>
        </w:rPr>
        <w:t>).</w:t>
      </w:r>
      <w:r w:rsidRPr="006A1DC1">
        <w:rPr>
          <w:rFonts w:eastAsia="Calibri"/>
          <w:vertAlign w:val="superscript"/>
          <w:lang w:val="es-PE" w:eastAsia="en-US"/>
        </w:rPr>
        <w:t>(</w:t>
      </w:r>
      <w:proofErr w:type="gramEnd"/>
      <w:r w:rsidRPr="006A1DC1">
        <w:rPr>
          <w:rFonts w:eastAsia="Calibri"/>
          <w:vertAlign w:val="superscript"/>
          <w:lang w:val="es-PE" w:eastAsia="en-US"/>
        </w:rPr>
        <w:t>14)</w:t>
      </w:r>
    </w:p>
    <w:p w14:paraId="6D4F1B5B"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El ensayo de </w:t>
      </w:r>
      <w:proofErr w:type="spellStart"/>
      <w:r w:rsidRPr="006A1DC1">
        <w:rPr>
          <w:rFonts w:eastAsia="Calibri"/>
          <w:lang w:val="es-PE" w:eastAsia="en-US"/>
        </w:rPr>
        <w:t>rRT</w:t>
      </w:r>
      <w:proofErr w:type="spellEnd"/>
      <w:r w:rsidRPr="006A1DC1">
        <w:rPr>
          <w:rFonts w:eastAsia="Calibri"/>
          <w:lang w:val="es-PE" w:eastAsia="en-US"/>
        </w:rPr>
        <w:t xml:space="preserve">-PCR 1b proporciona la misma sensibilidad que el ensayo </w:t>
      </w:r>
      <w:proofErr w:type="spellStart"/>
      <w:r w:rsidRPr="006A1DC1">
        <w:rPr>
          <w:rFonts w:eastAsia="Calibri"/>
          <w:lang w:val="es-PE" w:eastAsia="en-US"/>
        </w:rPr>
        <w:t>upE</w:t>
      </w:r>
      <w:proofErr w:type="spellEnd"/>
      <w:r w:rsidRPr="006A1DC1">
        <w:rPr>
          <w:rFonts w:eastAsia="Calibri"/>
          <w:lang w:val="es-PE" w:eastAsia="en-US"/>
        </w:rPr>
        <w:t xml:space="preserve"> de primera línea y debe proporcionar resultados consistentes para pacientes positivos. El ensayo ORF1b junto con el ensayo </w:t>
      </w:r>
      <w:proofErr w:type="spellStart"/>
      <w:r w:rsidRPr="006A1DC1">
        <w:rPr>
          <w:rFonts w:eastAsia="Calibri"/>
          <w:lang w:val="es-PE" w:eastAsia="en-US"/>
        </w:rPr>
        <w:t>upE</w:t>
      </w:r>
      <w:proofErr w:type="spellEnd"/>
      <w:r w:rsidRPr="006A1DC1">
        <w:rPr>
          <w:rFonts w:eastAsia="Calibri"/>
          <w:lang w:val="es-PE" w:eastAsia="en-US"/>
        </w:rPr>
        <w:t xml:space="preserve"> también puede servir como una prueba confirmatoria. Sin embargo, los pacientes pueden ser vistos en momentos en que se excretan pequeñas cantidades de virus, muy temprano o muy tarde después del inicio de los síntomas. Además, las muestras pueden diluirse debido a procesos clínicos como el lavado, como </w:t>
      </w:r>
      <w:r w:rsidRPr="006A1DC1">
        <w:rPr>
          <w:rFonts w:eastAsia="Calibri"/>
          <w:lang w:val="es-PE" w:eastAsia="en-US"/>
        </w:rPr>
        <w:lastRenderedPageBreak/>
        <w:t xml:space="preserve">se ejemplifica en el caso investigado aquí. En tales casos, las pruebas confirmatorias deben tener la misma sensibilidad que la prueba de primera </w:t>
      </w:r>
      <w:proofErr w:type="gramStart"/>
      <w:r w:rsidRPr="006A1DC1">
        <w:rPr>
          <w:rFonts w:eastAsia="Calibri"/>
          <w:lang w:val="es-PE" w:eastAsia="en-US"/>
        </w:rPr>
        <w:t>línea.</w:t>
      </w:r>
      <w:r w:rsidRPr="006A1DC1">
        <w:rPr>
          <w:rFonts w:eastAsia="Calibri"/>
          <w:vertAlign w:val="superscript"/>
          <w:lang w:val="es-PE" w:eastAsia="en-US"/>
        </w:rPr>
        <w:t>(</w:t>
      </w:r>
      <w:proofErr w:type="gramEnd"/>
      <w:r w:rsidRPr="006A1DC1">
        <w:rPr>
          <w:rFonts w:eastAsia="Calibri"/>
          <w:vertAlign w:val="superscript"/>
          <w:lang w:val="es-PE" w:eastAsia="en-US"/>
        </w:rPr>
        <w:t>15)</w:t>
      </w:r>
    </w:p>
    <w:p w14:paraId="0ED962D4"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Aunque los productos de </w:t>
      </w:r>
      <w:proofErr w:type="spellStart"/>
      <w:r w:rsidRPr="006A1DC1">
        <w:rPr>
          <w:rFonts w:eastAsia="Calibri"/>
          <w:lang w:val="es-PE" w:eastAsia="en-US"/>
        </w:rPr>
        <w:t>rRT</w:t>
      </w:r>
      <w:proofErr w:type="spellEnd"/>
      <w:r w:rsidRPr="006A1DC1">
        <w:rPr>
          <w:rFonts w:eastAsia="Calibri"/>
          <w:lang w:val="es-PE" w:eastAsia="en-US"/>
        </w:rPr>
        <w:t xml:space="preserve">-PCR pueden secuenciarse, la escasez de sus fragmentos hace que la preparación de ADN sea ineficiente y limita la longitud de la información útil de la secuencia. El ensayo </w:t>
      </w:r>
      <w:proofErr w:type="spellStart"/>
      <w:r w:rsidRPr="006A1DC1">
        <w:rPr>
          <w:rFonts w:eastAsia="Calibri"/>
          <w:lang w:val="es-PE" w:eastAsia="en-US"/>
        </w:rPr>
        <w:t>RdRpSeq</w:t>
      </w:r>
      <w:proofErr w:type="spellEnd"/>
      <w:r w:rsidRPr="006A1DC1">
        <w:rPr>
          <w:rFonts w:eastAsia="Calibri"/>
          <w:i/>
          <w:iCs/>
          <w:lang w:val="es-PE" w:eastAsia="en-US"/>
        </w:rPr>
        <w:t xml:space="preserve"> </w:t>
      </w:r>
      <w:r w:rsidRPr="006A1DC1">
        <w:rPr>
          <w:rFonts w:eastAsia="Calibri"/>
          <w:lang w:val="es-PE" w:eastAsia="en-US"/>
        </w:rPr>
        <w:t xml:space="preserve">proporciona resultados de secuenciación que se pueden comparar con una gran base de datos de secuencias relacionadas, porque se usa comúnmente para escribir coronavirus. El </w:t>
      </w:r>
      <w:proofErr w:type="spellStart"/>
      <w:r w:rsidRPr="006A1DC1">
        <w:rPr>
          <w:rFonts w:eastAsia="Calibri"/>
          <w:lang w:val="es-PE" w:eastAsia="en-US"/>
        </w:rPr>
        <w:t>amplicón</w:t>
      </w:r>
      <w:proofErr w:type="spellEnd"/>
      <w:r w:rsidRPr="006A1DC1">
        <w:rPr>
          <w:rFonts w:eastAsia="Calibri"/>
          <w:lang w:val="es-PE" w:eastAsia="en-US"/>
        </w:rPr>
        <w:t xml:space="preserve"> según </w:t>
      </w:r>
      <w:r w:rsidRPr="006A1DC1">
        <w:rPr>
          <w:rFonts w:eastAsia="Calibri"/>
          <w:i/>
          <w:lang w:val="es-PE" w:eastAsia="en-US"/>
        </w:rPr>
        <w:t xml:space="preserve">Herzog </w:t>
      </w:r>
      <w:r w:rsidRPr="006A1DC1">
        <w:rPr>
          <w:rFonts w:eastAsia="Calibri"/>
          <w:lang w:val="es-PE" w:eastAsia="en-US"/>
        </w:rPr>
        <w:t xml:space="preserve">y </w:t>
      </w:r>
      <w:proofErr w:type="gramStart"/>
      <w:r w:rsidRPr="006A1DC1">
        <w:rPr>
          <w:rFonts w:eastAsia="Calibri"/>
          <w:lang w:val="es-PE" w:eastAsia="en-US"/>
        </w:rPr>
        <w:t>otros,</w:t>
      </w:r>
      <w:r w:rsidRPr="006A1DC1">
        <w:rPr>
          <w:rFonts w:eastAsia="Calibri"/>
          <w:vertAlign w:val="superscript"/>
          <w:lang w:val="es-PE" w:eastAsia="en-US"/>
        </w:rPr>
        <w:t>(</w:t>
      </w:r>
      <w:proofErr w:type="gramEnd"/>
      <w:r w:rsidRPr="006A1DC1">
        <w:rPr>
          <w:rFonts w:eastAsia="Calibri"/>
          <w:vertAlign w:val="superscript"/>
          <w:lang w:val="es-PE" w:eastAsia="en-US"/>
        </w:rPr>
        <w:t>16)</w:t>
      </w:r>
      <w:r w:rsidRPr="006A1DC1">
        <w:rPr>
          <w:rFonts w:eastAsia="Calibri"/>
          <w:lang w:val="es-PE" w:eastAsia="en-US"/>
        </w:rPr>
        <w:t xml:space="preserve"> se superpone para la detección de </w:t>
      </w:r>
      <w:proofErr w:type="spellStart"/>
      <w:r w:rsidRPr="006A1DC1">
        <w:rPr>
          <w:rFonts w:eastAsia="Calibri"/>
          <w:lang w:val="es-PE" w:eastAsia="en-US"/>
        </w:rPr>
        <w:t>pancoronavirus</w:t>
      </w:r>
      <w:proofErr w:type="spellEnd"/>
      <w:r w:rsidRPr="006A1DC1">
        <w:rPr>
          <w:rFonts w:eastAsia="Calibri"/>
          <w:lang w:val="es-PE" w:eastAsia="en-US"/>
        </w:rPr>
        <w:t>, asegura buena comparabilidad entre los resultados de laboratorio de diferentes grupos.</w:t>
      </w:r>
    </w:p>
    <w:p w14:paraId="44B120BA"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Los cebadores de ensayo </w:t>
      </w:r>
      <w:proofErr w:type="spellStart"/>
      <w:r w:rsidRPr="006A1DC1">
        <w:rPr>
          <w:rFonts w:eastAsia="Calibri"/>
          <w:lang w:val="es-PE" w:eastAsia="en-US"/>
        </w:rPr>
        <w:t>RdRpSeq</w:t>
      </w:r>
      <w:proofErr w:type="spellEnd"/>
      <w:r w:rsidRPr="006A1DC1">
        <w:rPr>
          <w:rFonts w:eastAsia="Calibri"/>
          <w:lang w:val="es-PE" w:eastAsia="en-US"/>
        </w:rPr>
        <w:t xml:space="preserve"> están altamente conservados y reaccionan de forma cruzada con otros </w:t>
      </w:r>
      <w:proofErr w:type="spellStart"/>
      <w:r w:rsidRPr="006A1DC1">
        <w:rPr>
          <w:rFonts w:eastAsia="Calibri"/>
          <w:lang w:val="es-PE" w:eastAsia="en-US"/>
        </w:rPr>
        <w:t>betacoronavirus</w:t>
      </w:r>
      <w:proofErr w:type="spellEnd"/>
      <w:r w:rsidRPr="006A1DC1">
        <w:rPr>
          <w:rFonts w:eastAsia="Calibri"/>
          <w:lang w:val="es-PE" w:eastAsia="en-US"/>
        </w:rPr>
        <w:t xml:space="preserve">, incluidos hCoV-OC43 o -HKU1. Críticamente, este </w:t>
      </w:r>
      <w:proofErr w:type="spellStart"/>
      <w:r w:rsidRPr="006A1DC1">
        <w:rPr>
          <w:rFonts w:eastAsia="Calibri"/>
          <w:lang w:val="es-PE" w:eastAsia="en-US"/>
        </w:rPr>
        <w:t>amplicón</w:t>
      </w:r>
      <w:proofErr w:type="spellEnd"/>
      <w:r w:rsidRPr="006A1DC1">
        <w:rPr>
          <w:rFonts w:eastAsia="Calibri"/>
          <w:lang w:val="es-PE" w:eastAsia="en-US"/>
        </w:rPr>
        <w:t xml:space="preserve"> no debe usarse para detección si no está conectado con el análisis de secuencia posterior, son posibles resultados falsos positivos en pacientes infectados con otros coronavirus humanos. En contraste, el ensayo </w:t>
      </w:r>
      <w:proofErr w:type="spellStart"/>
      <w:r w:rsidRPr="006A1DC1">
        <w:rPr>
          <w:rFonts w:eastAsia="Calibri"/>
          <w:lang w:val="es-PE" w:eastAsia="en-US"/>
        </w:rPr>
        <w:t>NSeq</w:t>
      </w:r>
      <w:proofErr w:type="spellEnd"/>
      <w:r w:rsidRPr="006A1DC1">
        <w:rPr>
          <w:rFonts w:eastAsia="Calibri"/>
          <w:i/>
          <w:iCs/>
          <w:lang w:val="es-PE" w:eastAsia="en-US"/>
        </w:rPr>
        <w:t xml:space="preserve"> </w:t>
      </w:r>
      <w:r w:rsidRPr="006A1DC1">
        <w:rPr>
          <w:rFonts w:eastAsia="Calibri"/>
          <w:lang w:val="es-PE" w:eastAsia="en-US"/>
        </w:rPr>
        <w:t xml:space="preserve">proporciona una detección altamente sensible y específica para </w:t>
      </w:r>
      <w:proofErr w:type="spellStart"/>
      <w:r w:rsidRPr="006A1DC1">
        <w:rPr>
          <w:rFonts w:eastAsia="Calibri"/>
          <w:lang w:val="es-PE" w:eastAsia="en-US"/>
        </w:rPr>
        <w:t>hCoV</w:t>
      </w:r>
      <w:proofErr w:type="spellEnd"/>
      <w:r w:rsidRPr="006A1DC1">
        <w:rPr>
          <w:rFonts w:eastAsia="Calibri"/>
          <w:lang w:val="es-PE" w:eastAsia="en-US"/>
        </w:rPr>
        <w:t xml:space="preserve">-EMC, lo que permite la confirmación basada en la secuencia incluso en casos que presentan una concentración de virus muy baja. El ensayo </w:t>
      </w:r>
      <w:proofErr w:type="spellStart"/>
      <w:r w:rsidRPr="006A1DC1">
        <w:rPr>
          <w:rFonts w:eastAsia="Calibri"/>
          <w:lang w:val="es-PE" w:eastAsia="en-US"/>
        </w:rPr>
        <w:t>NSeq</w:t>
      </w:r>
      <w:proofErr w:type="spellEnd"/>
      <w:r w:rsidRPr="006A1DC1">
        <w:rPr>
          <w:rFonts w:eastAsia="Calibri"/>
          <w:lang w:val="es-PE" w:eastAsia="en-US"/>
        </w:rPr>
        <w:t xml:space="preserve"> podría usarse como una herramienta para la clasificación provisional de cepas en el </w:t>
      </w:r>
      <w:proofErr w:type="gramStart"/>
      <w:r w:rsidRPr="006A1DC1">
        <w:rPr>
          <w:rFonts w:eastAsia="Calibri"/>
          <w:lang w:val="es-PE" w:eastAsia="en-US"/>
        </w:rPr>
        <w:t>futuro.</w:t>
      </w:r>
      <w:r w:rsidRPr="006A1DC1">
        <w:rPr>
          <w:rFonts w:eastAsia="Calibri"/>
          <w:vertAlign w:val="superscript"/>
          <w:lang w:val="es-PE" w:eastAsia="en-US"/>
        </w:rPr>
        <w:t>(</w:t>
      </w:r>
      <w:proofErr w:type="gramEnd"/>
      <w:r w:rsidRPr="006A1DC1">
        <w:rPr>
          <w:rFonts w:eastAsia="Calibri"/>
          <w:vertAlign w:val="superscript"/>
          <w:lang w:val="es-PE" w:eastAsia="en-US"/>
        </w:rPr>
        <w:t>17)</w:t>
      </w:r>
    </w:p>
    <w:p w14:paraId="5A4164DF"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Los candidatos a las vacunas en investigación: virus completo inactivado, virus atenuado, vector viral, vacuna de ADN, subunidades y partículas. En general, se basan en la proteína S de la columna vertebral viral, pero también en otras como la del nucleocápside (N), la envoltura (E) e incluso proteínas no estructurales (NSP16</w:t>
      </w:r>
      <w:proofErr w:type="gramStart"/>
      <w:r w:rsidRPr="006A1DC1">
        <w:rPr>
          <w:rFonts w:eastAsia="Calibri"/>
          <w:lang w:val="es-PE" w:eastAsia="en-US"/>
        </w:rPr>
        <w:t>).</w:t>
      </w:r>
      <w:r w:rsidRPr="006A1DC1">
        <w:rPr>
          <w:rFonts w:eastAsia="Calibri"/>
          <w:vertAlign w:val="superscript"/>
          <w:lang w:val="es-PE" w:eastAsia="en-US"/>
        </w:rPr>
        <w:t>(</w:t>
      </w:r>
      <w:proofErr w:type="gramEnd"/>
      <w:r w:rsidRPr="006A1DC1">
        <w:rPr>
          <w:rFonts w:eastAsia="Calibri"/>
          <w:vertAlign w:val="superscript"/>
          <w:lang w:val="es-PE" w:eastAsia="en-US"/>
        </w:rPr>
        <w:t>18)</w:t>
      </w:r>
    </w:p>
    <w:p w14:paraId="19C7AF08"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El examen molecular que se está empleando en todo el mundo para la detección directa de la infección con el SARS-CoV-2, es la prueba de RT-PCR sobre los genes expresados por este virus. </w:t>
      </w:r>
      <w:r w:rsidRPr="006A1DC1">
        <w:rPr>
          <w:rFonts w:eastAsia="Calibri"/>
          <w:i/>
          <w:lang w:val="es-PE" w:eastAsia="en-US"/>
        </w:rPr>
        <w:t>Liu</w:t>
      </w:r>
      <w:r w:rsidRPr="006A1DC1">
        <w:rPr>
          <w:rFonts w:eastAsia="Calibri"/>
          <w:lang w:val="es-PE" w:eastAsia="en-US"/>
        </w:rPr>
        <w:t xml:space="preserve"> y </w:t>
      </w:r>
      <w:proofErr w:type="gramStart"/>
      <w:r w:rsidRPr="006A1DC1">
        <w:rPr>
          <w:rFonts w:eastAsia="Calibri"/>
          <w:lang w:val="es-PE" w:eastAsia="en-US"/>
        </w:rPr>
        <w:t>otros,</w:t>
      </w:r>
      <w:r w:rsidRPr="006A1DC1">
        <w:rPr>
          <w:rFonts w:eastAsia="Calibri"/>
          <w:vertAlign w:val="superscript"/>
          <w:lang w:val="es-PE" w:eastAsia="en-US"/>
        </w:rPr>
        <w:t>(</w:t>
      </w:r>
      <w:proofErr w:type="gramEnd"/>
      <w:r w:rsidRPr="006A1DC1">
        <w:rPr>
          <w:rFonts w:eastAsia="Calibri"/>
          <w:vertAlign w:val="superscript"/>
          <w:lang w:val="es-PE" w:eastAsia="en-US"/>
        </w:rPr>
        <w:t>19)</w:t>
      </w:r>
      <w:r w:rsidRPr="006A1DC1">
        <w:rPr>
          <w:rFonts w:eastAsia="Calibri"/>
          <w:lang w:val="es-PE" w:eastAsia="en-US"/>
        </w:rPr>
        <w:t xml:space="preserve"> analizaron, por medio de RT-PCR, la expresión génica de los fragmentos del SARS-CoV-2</w:t>
      </w:r>
      <w:r w:rsidRPr="006A1DC1">
        <w:rPr>
          <w:rFonts w:eastAsia="Calibri"/>
          <w:i/>
          <w:iCs/>
          <w:lang w:val="es-PE" w:eastAsia="en-US"/>
        </w:rPr>
        <w:t xml:space="preserve"> </w:t>
      </w:r>
      <w:r w:rsidRPr="006A1DC1">
        <w:rPr>
          <w:rFonts w:eastAsia="Calibri"/>
          <w:lang w:val="es-PE" w:eastAsia="en-US"/>
        </w:rPr>
        <w:t xml:space="preserve">a partir de muestras de esputo, lavado </w:t>
      </w:r>
      <w:proofErr w:type="spellStart"/>
      <w:r w:rsidRPr="006A1DC1">
        <w:rPr>
          <w:rFonts w:eastAsia="Calibri"/>
          <w:lang w:val="es-PE" w:eastAsia="en-US"/>
        </w:rPr>
        <w:t>broncoalveolar</w:t>
      </w:r>
      <w:proofErr w:type="spellEnd"/>
      <w:r w:rsidRPr="006A1DC1">
        <w:rPr>
          <w:rFonts w:eastAsia="Calibri"/>
          <w:lang w:val="es-PE" w:eastAsia="en-US"/>
        </w:rPr>
        <w:t xml:space="preserve"> e hisopado del tracto respiratorio provenientes de 4 880 pacientes con síntomas de infección respiratoria o contacto cercano con el virus en el hospital de Wuhan. Se realizó la secuenciación del fragmento génico ORF1ab y de un fragmento de la proteína de la nucleocápside (NP). Para un diagnóstico confirmatorio, los autores consideraron como pacientes SARS-</w:t>
      </w:r>
      <w:proofErr w:type="spellStart"/>
      <w:r w:rsidRPr="006A1DC1">
        <w:rPr>
          <w:rFonts w:eastAsia="Calibri"/>
          <w:lang w:val="es-PE" w:eastAsia="en-US"/>
        </w:rPr>
        <w:t>CoV</w:t>
      </w:r>
      <w:proofErr w:type="spellEnd"/>
      <w:r w:rsidRPr="006A1DC1">
        <w:rPr>
          <w:rFonts w:eastAsia="Calibri"/>
          <w:lang w:val="es-PE" w:eastAsia="en-US"/>
        </w:rPr>
        <w:t xml:space="preserve"> positivos a los que presentaron ambos fragmentos génicos. Para el esputo, el fragmento NP fue </w:t>
      </w:r>
      <w:r w:rsidRPr="006A1DC1">
        <w:rPr>
          <w:rFonts w:eastAsia="Calibri"/>
          <w:lang w:val="es-PE" w:eastAsia="en-US"/>
        </w:rPr>
        <w:lastRenderedPageBreak/>
        <w:t xml:space="preserve">expresado en el 49,12 % de pacientes mientras que el fragmento ORF1ab en el 50,88 %, y el porcentaje de pacientes que expresaron ambos fragmentos fue del 49,12 %. En el lavado </w:t>
      </w:r>
      <w:proofErr w:type="spellStart"/>
      <w:r w:rsidRPr="006A1DC1">
        <w:rPr>
          <w:rFonts w:eastAsia="Calibri"/>
          <w:lang w:val="es-PE" w:eastAsia="en-US"/>
        </w:rPr>
        <w:t>broncoalveolar</w:t>
      </w:r>
      <w:proofErr w:type="spellEnd"/>
      <w:r w:rsidRPr="006A1DC1">
        <w:rPr>
          <w:rFonts w:eastAsia="Calibri"/>
          <w:lang w:val="es-PE" w:eastAsia="en-US"/>
        </w:rPr>
        <w:t xml:space="preserve"> b, el fragmento NP fue expresado en el 80 % de pacientes, mientras que el fragmento ORF1ab en el 100 % y el porcentaje de pacientes que expresaron ambos fragmentos fue del 80 %. </w:t>
      </w:r>
    </w:p>
    <w:p w14:paraId="1C928E97"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En el caso del hisopado del tracto respiratorio, el fragmento</w:t>
      </w:r>
      <w:r w:rsidRPr="006A1DC1">
        <w:rPr>
          <w:rFonts w:eastAsia="Calibri"/>
          <w:i/>
          <w:iCs/>
          <w:lang w:val="es-PE" w:eastAsia="en-US"/>
        </w:rPr>
        <w:t xml:space="preserve"> </w:t>
      </w:r>
      <w:r w:rsidRPr="006A1DC1">
        <w:rPr>
          <w:rFonts w:eastAsia="Calibri"/>
          <w:lang w:val="es-PE" w:eastAsia="en-US"/>
        </w:rPr>
        <w:t>NP fue expresado en el 39,8 % de pacientes, mientras que el fragmento ORF1ab en el 40,98 %, y el 38,42 % de los pacientes expresaron ambos fragmentos. De estos resultados, encontraron que los pacientes más expuestos son los adultos mayores de 70 años con el 61,81 % de incidencia. Por otro lado, un grupo de pacientes tuvieron alguna sintomatología asociada al coronavirus, pero fueron descartados porque su resultado salió negativo, lo que mostró la eficacia de esta técnica en la identificación del SARS-CoV-</w:t>
      </w:r>
      <w:proofErr w:type="gramStart"/>
      <w:r w:rsidRPr="006A1DC1">
        <w:rPr>
          <w:rFonts w:eastAsia="Calibri"/>
          <w:lang w:val="es-PE" w:eastAsia="en-US"/>
        </w:rPr>
        <w:t>2</w:t>
      </w:r>
      <w:r w:rsidRPr="006A1DC1">
        <w:rPr>
          <w:rFonts w:eastAsia="Calibri"/>
          <w:i/>
          <w:iCs/>
          <w:lang w:val="es-PE" w:eastAsia="en-US"/>
        </w:rPr>
        <w:t>.</w:t>
      </w:r>
      <w:r w:rsidRPr="006A1DC1">
        <w:rPr>
          <w:rFonts w:eastAsia="Calibri"/>
          <w:vertAlign w:val="superscript"/>
          <w:lang w:val="es-PE" w:eastAsia="en-US"/>
        </w:rPr>
        <w:t>(</w:t>
      </w:r>
      <w:proofErr w:type="gramEnd"/>
      <w:r w:rsidRPr="006A1DC1">
        <w:rPr>
          <w:rFonts w:eastAsia="Calibri"/>
          <w:vertAlign w:val="superscript"/>
          <w:lang w:val="es-PE" w:eastAsia="en-US"/>
        </w:rPr>
        <w:t>19)</w:t>
      </w:r>
    </w:p>
    <w:p w14:paraId="3D74F1AD" w14:textId="77777777" w:rsidR="006A1DC1" w:rsidRPr="006A1DC1" w:rsidRDefault="006A1DC1" w:rsidP="006A1DC1">
      <w:pPr>
        <w:spacing w:line="360" w:lineRule="auto"/>
        <w:jc w:val="both"/>
        <w:rPr>
          <w:rFonts w:eastAsia="Calibri"/>
          <w:lang w:val="es-PE" w:eastAsia="en-US"/>
        </w:rPr>
      </w:pPr>
      <w:r w:rsidRPr="006A1DC1">
        <w:rPr>
          <w:rFonts w:eastAsia="Calibri"/>
          <w:i/>
          <w:lang w:val="es-PE" w:eastAsia="en-US"/>
        </w:rPr>
        <w:t>Corman</w:t>
      </w:r>
      <w:r w:rsidRPr="006A1DC1">
        <w:rPr>
          <w:rFonts w:eastAsia="Calibri"/>
          <w:lang w:val="es-PE" w:eastAsia="en-US"/>
        </w:rPr>
        <w:t xml:space="preserve"> y </w:t>
      </w:r>
      <w:proofErr w:type="gramStart"/>
      <w:r w:rsidRPr="006A1DC1">
        <w:rPr>
          <w:rFonts w:eastAsia="Calibri"/>
          <w:lang w:val="es-PE" w:eastAsia="en-US"/>
        </w:rPr>
        <w:t>otros</w:t>
      </w:r>
      <w:r w:rsidRPr="006A1DC1">
        <w:rPr>
          <w:rFonts w:eastAsia="Calibri"/>
          <w:vertAlign w:val="superscript"/>
          <w:lang w:val="es-PE" w:eastAsia="en-US"/>
        </w:rPr>
        <w:t>(</w:t>
      </w:r>
      <w:proofErr w:type="gramEnd"/>
      <w:r w:rsidRPr="006A1DC1">
        <w:rPr>
          <w:rFonts w:eastAsia="Calibri"/>
          <w:vertAlign w:val="superscript"/>
          <w:lang w:val="es-PE" w:eastAsia="en-US"/>
        </w:rPr>
        <w:t xml:space="preserve">20) </w:t>
      </w:r>
      <w:r w:rsidRPr="006A1DC1">
        <w:rPr>
          <w:rFonts w:eastAsia="Calibri"/>
          <w:lang w:val="es-PE" w:eastAsia="en-US"/>
        </w:rPr>
        <w:t xml:space="preserve">propusieron una prueba diagnóstica que discrimina 2019-nCoV, mediante la secuenciación de 297 muestras clínicas que contienen todo el espectro de virus respiratorios humanos. Para esto se diseñaron cebadores para la secuenciación génica de los siguientes fragmentos: 1) ORF1ab-gen </w:t>
      </w:r>
      <w:proofErr w:type="spellStart"/>
      <w:r w:rsidRPr="006A1DC1">
        <w:rPr>
          <w:rFonts w:eastAsia="Calibri"/>
          <w:lang w:val="es-PE" w:eastAsia="en-US"/>
        </w:rPr>
        <w:t>RdRp</w:t>
      </w:r>
      <w:proofErr w:type="spellEnd"/>
      <w:r w:rsidRPr="006A1DC1">
        <w:rPr>
          <w:rFonts w:eastAsia="Calibri"/>
          <w:lang w:val="es-PE" w:eastAsia="en-US"/>
        </w:rPr>
        <w:t xml:space="preserve"> en la posición 15361-15460 </w:t>
      </w:r>
      <w:proofErr w:type="spellStart"/>
      <w:r w:rsidRPr="006A1DC1">
        <w:rPr>
          <w:rFonts w:eastAsia="Calibri"/>
          <w:lang w:val="es-PE" w:eastAsia="en-US"/>
        </w:rPr>
        <w:t>nts</w:t>
      </w:r>
      <w:proofErr w:type="spellEnd"/>
      <w:r w:rsidRPr="006A1DC1">
        <w:rPr>
          <w:rFonts w:eastAsia="Calibri"/>
          <w:lang w:val="es-PE" w:eastAsia="en-US"/>
        </w:rPr>
        <w:t xml:space="preserve">; 2) gen de la proteína E, posición 26141-26253 </w:t>
      </w:r>
      <w:proofErr w:type="spellStart"/>
      <w:r w:rsidRPr="006A1DC1">
        <w:rPr>
          <w:rFonts w:eastAsia="Calibri"/>
          <w:lang w:val="es-PE" w:eastAsia="en-US"/>
        </w:rPr>
        <w:t>nts</w:t>
      </w:r>
      <w:proofErr w:type="spellEnd"/>
      <w:r w:rsidRPr="006A1DC1">
        <w:rPr>
          <w:rFonts w:eastAsia="Calibri"/>
          <w:lang w:val="es-PE" w:eastAsia="en-US"/>
        </w:rPr>
        <w:t xml:space="preserve">, y 3) gen de la proteína N posición 28555-28682 </w:t>
      </w:r>
      <w:proofErr w:type="spellStart"/>
      <w:r w:rsidRPr="006A1DC1">
        <w:rPr>
          <w:rFonts w:eastAsia="Calibri"/>
          <w:lang w:val="es-PE" w:eastAsia="en-US"/>
        </w:rPr>
        <w:t>nts</w:t>
      </w:r>
      <w:proofErr w:type="spellEnd"/>
      <w:r w:rsidRPr="006A1DC1">
        <w:rPr>
          <w:rFonts w:eastAsia="Calibri"/>
          <w:lang w:val="es-PE" w:eastAsia="en-US"/>
        </w:rPr>
        <w:t>. Los cebadores fueron diseñados con base en la secuenciación de la primera muestra obtenida en la provincia de Wuhan en diciembre de 2019 (NM908947 Wuhan-Hu-1) y de otras muestras virales (NC-004718 SARS-</w:t>
      </w:r>
      <w:proofErr w:type="spellStart"/>
      <w:r w:rsidRPr="006A1DC1">
        <w:rPr>
          <w:rFonts w:eastAsia="Calibri"/>
          <w:lang w:val="es-PE" w:eastAsia="en-US"/>
        </w:rPr>
        <w:t>CoV</w:t>
      </w:r>
      <w:proofErr w:type="spellEnd"/>
      <w:r w:rsidRPr="006A1DC1">
        <w:rPr>
          <w:rFonts w:eastAsia="Calibri"/>
          <w:lang w:val="es-PE" w:eastAsia="en-US"/>
        </w:rPr>
        <w:t>). Se demostró que estos cebadores diseñados se acoplan a varias especies SARS-</w:t>
      </w:r>
      <w:proofErr w:type="spellStart"/>
      <w:r w:rsidRPr="006A1DC1">
        <w:rPr>
          <w:rFonts w:eastAsia="Calibri"/>
          <w:lang w:val="es-PE" w:eastAsia="en-US"/>
        </w:rPr>
        <w:t>CoV</w:t>
      </w:r>
      <w:proofErr w:type="spellEnd"/>
      <w:r w:rsidRPr="006A1DC1">
        <w:rPr>
          <w:rFonts w:eastAsia="Calibri"/>
          <w:lang w:val="es-PE" w:eastAsia="en-US"/>
        </w:rPr>
        <w:t xml:space="preserve">, lo que indica que todas las muestras SARS son </w:t>
      </w:r>
      <w:proofErr w:type="spellStart"/>
      <w:r w:rsidRPr="006A1DC1">
        <w:rPr>
          <w:rFonts w:eastAsia="Calibri"/>
          <w:lang w:val="es-PE" w:eastAsia="en-US"/>
        </w:rPr>
        <w:t>betacoronavirus</w:t>
      </w:r>
      <w:proofErr w:type="spellEnd"/>
      <w:r w:rsidRPr="006A1DC1">
        <w:rPr>
          <w:rFonts w:eastAsia="Calibri"/>
          <w:lang w:val="es-PE" w:eastAsia="en-US"/>
        </w:rPr>
        <w:t xml:space="preserve">. </w:t>
      </w:r>
    </w:p>
    <w:p w14:paraId="4A6843E0"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Por otro lado, decidieron alinear las secuencias génicas de todas las muestras analizadas: </w:t>
      </w:r>
    </w:p>
    <w:p w14:paraId="1D00D3E6" w14:textId="77777777" w:rsidR="006A1DC1" w:rsidRPr="006A1DC1" w:rsidRDefault="006A1DC1" w:rsidP="006A1DC1">
      <w:pPr>
        <w:spacing w:line="360" w:lineRule="auto"/>
        <w:jc w:val="both"/>
        <w:rPr>
          <w:rFonts w:eastAsia="Calibri"/>
          <w:lang w:val="es-PE" w:eastAsia="en-US"/>
        </w:rPr>
      </w:pPr>
    </w:p>
    <w:p w14:paraId="43CDEB22" w14:textId="77777777" w:rsidR="006A1DC1" w:rsidRPr="006A1DC1" w:rsidRDefault="006A1DC1" w:rsidP="006A1DC1">
      <w:pPr>
        <w:spacing w:line="360" w:lineRule="auto"/>
        <w:ind w:left="708"/>
        <w:jc w:val="both"/>
        <w:rPr>
          <w:rFonts w:eastAsia="Calibri"/>
          <w:lang w:val="es-PE" w:eastAsia="en-US"/>
        </w:rPr>
      </w:pPr>
      <w:r w:rsidRPr="006A1DC1">
        <w:rPr>
          <w:rFonts w:eastAsia="Calibri"/>
          <w:lang w:val="es-PE" w:eastAsia="en-US"/>
        </w:rPr>
        <w:t xml:space="preserve">1) las muestras de la ciudad de Wuhan nombrada como </w:t>
      </w:r>
      <w:proofErr w:type="spellStart"/>
      <w:r w:rsidRPr="006A1DC1">
        <w:rPr>
          <w:rFonts w:eastAsia="Calibri"/>
          <w:lang w:val="es-PE" w:eastAsia="en-US"/>
        </w:rPr>
        <w:t>BetaCoV</w:t>
      </w:r>
      <w:proofErr w:type="spellEnd"/>
      <w:r w:rsidRPr="006A1DC1">
        <w:rPr>
          <w:rFonts w:eastAsia="Calibri"/>
          <w:lang w:val="es-PE" w:eastAsia="en-US"/>
        </w:rPr>
        <w:t xml:space="preserve">/Wuhan/PBCAMS- WH01/2019/EPI_ISL_402123; </w:t>
      </w:r>
    </w:p>
    <w:p w14:paraId="4DC24341" w14:textId="77777777" w:rsidR="006A1DC1" w:rsidRPr="006A1DC1" w:rsidRDefault="006A1DC1" w:rsidP="006A1DC1">
      <w:pPr>
        <w:spacing w:line="360" w:lineRule="auto"/>
        <w:ind w:left="708"/>
        <w:jc w:val="both"/>
        <w:rPr>
          <w:rFonts w:eastAsia="Calibri"/>
          <w:lang w:val="es-PE" w:eastAsia="en-US"/>
        </w:rPr>
      </w:pPr>
      <w:r w:rsidRPr="006A1DC1">
        <w:rPr>
          <w:rFonts w:eastAsia="Calibri"/>
          <w:lang w:val="es-PE" w:eastAsia="en-US"/>
        </w:rPr>
        <w:t xml:space="preserve">2) </w:t>
      </w:r>
      <w:proofErr w:type="spellStart"/>
      <w:r w:rsidRPr="006A1DC1">
        <w:rPr>
          <w:rFonts w:eastAsia="Calibri"/>
          <w:lang w:val="es-PE" w:eastAsia="en-US"/>
        </w:rPr>
        <w:t>Bat</w:t>
      </w:r>
      <w:proofErr w:type="spellEnd"/>
      <w:r w:rsidRPr="006A1DC1">
        <w:rPr>
          <w:rFonts w:eastAsia="Calibri"/>
          <w:lang w:val="es-PE" w:eastAsia="en-US"/>
        </w:rPr>
        <w:t xml:space="preserve"> SARS </w:t>
      </w:r>
      <w:proofErr w:type="spellStart"/>
      <w:r w:rsidRPr="006A1DC1">
        <w:rPr>
          <w:rFonts w:eastAsia="Calibri"/>
          <w:lang w:val="es-PE" w:eastAsia="en-US"/>
        </w:rPr>
        <w:t>CoV</w:t>
      </w:r>
      <w:proofErr w:type="spellEnd"/>
      <w:r w:rsidRPr="006A1DC1">
        <w:rPr>
          <w:rFonts w:eastAsia="Calibri"/>
          <w:lang w:val="es-PE" w:eastAsia="en-US"/>
        </w:rPr>
        <w:t xml:space="preserve"> (murciélago) nombrado para el ensayo como bat-SL-CoVZC45 (número de acceso </w:t>
      </w:r>
      <w:proofErr w:type="spellStart"/>
      <w:r w:rsidRPr="006A1DC1">
        <w:rPr>
          <w:rFonts w:eastAsia="Calibri"/>
          <w:lang w:val="es-PE" w:eastAsia="en-US"/>
        </w:rPr>
        <w:t>GenBank</w:t>
      </w:r>
      <w:proofErr w:type="spellEnd"/>
      <w:r w:rsidRPr="006A1DC1">
        <w:rPr>
          <w:rFonts w:eastAsia="Calibri"/>
          <w:lang w:val="es-PE" w:eastAsia="en-US"/>
        </w:rPr>
        <w:t xml:space="preserve"> MG772933); y </w:t>
      </w:r>
    </w:p>
    <w:p w14:paraId="309AEE87" w14:textId="77777777" w:rsidR="006A1DC1" w:rsidRPr="006A1DC1" w:rsidRDefault="006A1DC1" w:rsidP="006A1DC1">
      <w:pPr>
        <w:spacing w:line="360" w:lineRule="auto"/>
        <w:ind w:left="708"/>
        <w:jc w:val="both"/>
        <w:rPr>
          <w:rFonts w:eastAsia="Calibri"/>
          <w:lang w:val="es-PE" w:eastAsia="en-US"/>
        </w:rPr>
      </w:pPr>
      <w:r w:rsidRPr="006A1DC1">
        <w:rPr>
          <w:rFonts w:eastAsia="Calibri"/>
          <w:lang w:val="es-PE" w:eastAsia="en-US"/>
        </w:rPr>
        <w:t xml:space="preserve">3) el miembro más distante dentro del </w:t>
      </w:r>
      <w:proofErr w:type="spellStart"/>
      <w:r w:rsidRPr="006A1DC1">
        <w:rPr>
          <w:rFonts w:eastAsia="Calibri"/>
          <w:lang w:val="es-PE" w:eastAsia="en-US"/>
        </w:rPr>
        <w:t>CoV</w:t>
      </w:r>
      <w:proofErr w:type="spellEnd"/>
      <w:r w:rsidRPr="006A1DC1">
        <w:rPr>
          <w:rFonts w:eastAsia="Calibri"/>
          <w:lang w:val="es-PE" w:eastAsia="en-US"/>
        </w:rPr>
        <w:t xml:space="preserve"> de murciélago relacionado con el</w:t>
      </w:r>
      <w:r w:rsidRPr="006A1DC1">
        <w:rPr>
          <w:rFonts w:eastAsia="Calibri"/>
          <w:i/>
          <w:iCs/>
          <w:lang w:val="es-PE" w:eastAsia="en-US"/>
        </w:rPr>
        <w:t xml:space="preserve"> </w:t>
      </w:r>
      <w:r w:rsidRPr="006A1DC1">
        <w:rPr>
          <w:rFonts w:eastAsia="Calibri"/>
          <w:lang w:val="es-PE" w:eastAsia="en-US"/>
        </w:rPr>
        <w:t xml:space="preserve">SARS detectado en Bulgaria, el </w:t>
      </w:r>
      <w:proofErr w:type="spellStart"/>
      <w:r w:rsidRPr="006A1DC1">
        <w:rPr>
          <w:rFonts w:eastAsia="Calibri"/>
          <w:lang w:val="es-PE" w:eastAsia="en-US"/>
        </w:rPr>
        <w:t>Bat</w:t>
      </w:r>
      <w:proofErr w:type="spellEnd"/>
      <w:r w:rsidRPr="006A1DC1">
        <w:rPr>
          <w:rFonts w:eastAsia="Calibri"/>
          <w:lang w:val="es-PE" w:eastAsia="en-US"/>
        </w:rPr>
        <w:t xml:space="preserve"> coronavirus BM48-31/ BGR/2008 (número de acceso de </w:t>
      </w:r>
      <w:proofErr w:type="spellStart"/>
      <w:r w:rsidRPr="006A1DC1">
        <w:rPr>
          <w:rFonts w:eastAsia="Calibri"/>
          <w:lang w:val="es-PE" w:eastAsia="en-US"/>
        </w:rPr>
        <w:t>GenBank</w:t>
      </w:r>
      <w:proofErr w:type="spellEnd"/>
      <w:r w:rsidRPr="006A1DC1">
        <w:rPr>
          <w:rFonts w:eastAsia="Calibri"/>
          <w:lang w:val="es-PE" w:eastAsia="en-US"/>
        </w:rPr>
        <w:t xml:space="preserve"> NC_014470). No se encontraron diferencias en la secuencia nucleotídica para la proteína E, pero sí en los genes </w:t>
      </w:r>
      <w:proofErr w:type="spellStart"/>
      <w:r w:rsidRPr="006A1DC1">
        <w:rPr>
          <w:rFonts w:eastAsia="Calibri"/>
          <w:lang w:val="es-PE" w:eastAsia="en-US"/>
        </w:rPr>
        <w:lastRenderedPageBreak/>
        <w:t>RdRp</w:t>
      </w:r>
      <w:proofErr w:type="spellEnd"/>
      <w:r w:rsidRPr="006A1DC1">
        <w:rPr>
          <w:rFonts w:eastAsia="Calibri"/>
          <w:lang w:val="es-PE" w:eastAsia="en-US"/>
        </w:rPr>
        <w:t xml:space="preserve"> y N, lo que muestra que existen diferencias en la secuencia nucleotídica en los virus SARS, lo que sirve como una prueba de diferenciación de una especie viral frente a </w:t>
      </w:r>
      <w:proofErr w:type="gramStart"/>
      <w:r w:rsidRPr="006A1DC1">
        <w:rPr>
          <w:rFonts w:eastAsia="Calibri"/>
          <w:lang w:val="es-PE" w:eastAsia="en-US"/>
        </w:rPr>
        <w:t>otra.</w:t>
      </w:r>
      <w:r w:rsidRPr="006A1DC1">
        <w:rPr>
          <w:rFonts w:eastAsia="Calibri"/>
          <w:vertAlign w:val="superscript"/>
          <w:lang w:val="es-PE" w:eastAsia="en-US"/>
        </w:rPr>
        <w:t>(</w:t>
      </w:r>
      <w:proofErr w:type="gramEnd"/>
      <w:r w:rsidRPr="006A1DC1">
        <w:rPr>
          <w:rFonts w:eastAsia="Calibri"/>
          <w:vertAlign w:val="superscript"/>
          <w:lang w:val="es-PE" w:eastAsia="en-US"/>
        </w:rPr>
        <w:t>20)</w:t>
      </w:r>
    </w:p>
    <w:p w14:paraId="42BD89AF" w14:textId="77777777" w:rsidR="006A1DC1" w:rsidRPr="006A1DC1" w:rsidRDefault="006A1DC1" w:rsidP="006A1DC1">
      <w:pPr>
        <w:spacing w:line="360" w:lineRule="auto"/>
        <w:jc w:val="both"/>
        <w:rPr>
          <w:rFonts w:eastAsia="Calibri"/>
          <w:lang w:val="es-PE" w:eastAsia="en-US"/>
        </w:rPr>
      </w:pPr>
    </w:p>
    <w:p w14:paraId="7C57D3D7"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Se diseñaron cebadores de los fragmentos localizados en ORF1ab (gen de la proteína 1A posición 11197-11280 </w:t>
      </w:r>
      <w:proofErr w:type="spellStart"/>
      <w:r w:rsidRPr="006A1DC1">
        <w:rPr>
          <w:rFonts w:eastAsia="Calibri"/>
          <w:lang w:val="es-PE" w:eastAsia="en-US"/>
        </w:rPr>
        <w:t>nts</w:t>
      </w:r>
      <w:proofErr w:type="spellEnd"/>
      <w:r w:rsidRPr="006A1DC1">
        <w:rPr>
          <w:rFonts w:eastAsia="Calibri"/>
          <w:lang w:val="es-PE" w:eastAsia="en-US"/>
        </w:rPr>
        <w:t xml:space="preserve">, gen </w:t>
      </w:r>
      <w:proofErr w:type="spellStart"/>
      <w:r w:rsidRPr="006A1DC1">
        <w:rPr>
          <w:rFonts w:eastAsia="Calibri"/>
          <w:lang w:val="es-PE" w:eastAsia="en-US"/>
        </w:rPr>
        <w:t>RdRpSeq</w:t>
      </w:r>
      <w:proofErr w:type="spellEnd"/>
      <w:r w:rsidRPr="006A1DC1">
        <w:rPr>
          <w:rFonts w:eastAsia="Calibri"/>
          <w:lang w:val="es-PE" w:eastAsia="en-US"/>
        </w:rPr>
        <w:t xml:space="preserve"> posición 15049-15290 </w:t>
      </w:r>
      <w:proofErr w:type="spellStart"/>
      <w:r w:rsidRPr="006A1DC1">
        <w:rPr>
          <w:rFonts w:eastAsia="Calibri"/>
          <w:lang w:val="es-PE" w:eastAsia="en-US"/>
        </w:rPr>
        <w:t>nts</w:t>
      </w:r>
      <w:proofErr w:type="spellEnd"/>
      <w:r w:rsidRPr="006A1DC1">
        <w:rPr>
          <w:rFonts w:eastAsia="Calibri"/>
          <w:lang w:val="es-PE" w:eastAsia="en-US"/>
        </w:rPr>
        <w:t xml:space="preserve">, ORF1b posición 18266-18347 </w:t>
      </w:r>
      <w:proofErr w:type="spellStart"/>
      <w:r w:rsidRPr="006A1DC1">
        <w:rPr>
          <w:rFonts w:eastAsia="Calibri"/>
          <w:lang w:val="es-PE" w:eastAsia="en-US"/>
        </w:rPr>
        <w:t>nts</w:t>
      </w:r>
      <w:proofErr w:type="spellEnd"/>
      <w:r w:rsidRPr="006A1DC1">
        <w:rPr>
          <w:rFonts w:eastAsia="Calibri"/>
          <w:lang w:val="es-PE" w:eastAsia="en-US"/>
        </w:rPr>
        <w:t>), del gen de la proteína E (</w:t>
      </w:r>
      <w:proofErr w:type="spellStart"/>
      <w:r w:rsidRPr="006A1DC1">
        <w:rPr>
          <w:rFonts w:eastAsia="Calibri"/>
          <w:lang w:val="es-PE" w:eastAsia="en-US"/>
        </w:rPr>
        <w:t>upE</w:t>
      </w:r>
      <w:proofErr w:type="spellEnd"/>
      <w:r w:rsidRPr="006A1DC1">
        <w:rPr>
          <w:rFonts w:eastAsia="Calibri"/>
          <w:lang w:val="es-PE" w:eastAsia="en-US"/>
        </w:rPr>
        <w:t xml:space="preserve"> posición 27458-27550 </w:t>
      </w:r>
      <w:proofErr w:type="spellStart"/>
      <w:r w:rsidRPr="006A1DC1">
        <w:rPr>
          <w:rFonts w:eastAsia="Calibri"/>
          <w:lang w:val="es-PE" w:eastAsia="en-US"/>
        </w:rPr>
        <w:t>nts</w:t>
      </w:r>
      <w:proofErr w:type="spellEnd"/>
      <w:r w:rsidRPr="006A1DC1">
        <w:rPr>
          <w:rFonts w:eastAsia="Calibri"/>
          <w:lang w:val="es-PE" w:eastAsia="en-US"/>
        </w:rPr>
        <w:t xml:space="preserve">) y, finalmente, del fragmento </w:t>
      </w:r>
      <w:proofErr w:type="spellStart"/>
      <w:r w:rsidRPr="006A1DC1">
        <w:rPr>
          <w:rFonts w:eastAsia="Calibri"/>
          <w:lang w:val="es-PE" w:eastAsia="en-US"/>
        </w:rPr>
        <w:t>NSeq</w:t>
      </w:r>
      <w:proofErr w:type="spellEnd"/>
      <w:r w:rsidRPr="006A1DC1">
        <w:rPr>
          <w:rFonts w:eastAsia="Calibri"/>
          <w:lang w:val="es-PE" w:eastAsia="en-US"/>
        </w:rPr>
        <w:t xml:space="preserve"> posición 29549 a 29860 </w:t>
      </w:r>
      <w:proofErr w:type="spellStart"/>
      <w:r w:rsidRPr="006A1DC1">
        <w:rPr>
          <w:rFonts w:eastAsia="Calibri"/>
          <w:lang w:val="es-PE" w:eastAsia="en-US"/>
        </w:rPr>
        <w:t>nts</w:t>
      </w:r>
      <w:proofErr w:type="spellEnd"/>
      <w:r w:rsidRPr="006A1DC1">
        <w:rPr>
          <w:rFonts w:eastAsia="Calibri"/>
          <w:lang w:val="es-PE" w:eastAsia="en-US"/>
        </w:rPr>
        <w:t>; para determinar diferencias entre las distintas cepas de coronavirus humano (</w:t>
      </w:r>
      <w:proofErr w:type="spellStart"/>
      <w:r w:rsidRPr="006A1DC1">
        <w:rPr>
          <w:rFonts w:eastAsia="Calibri"/>
          <w:lang w:val="es-PE" w:eastAsia="en-US"/>
        </w:rPr>
        <w:t>hCoV</w:t>
      </w:r>
      <w:proofErr w:type="spellEnd"/>
      <w:r w:rsidRPr="006A1DC1">
        <w:rPr>
          <w:rFonts w:eastAsia="Calibri"/>
          <w:lang w:val="es-PE" w:eastAsia="en-US"/>
        </w:rPr>
        <w:t>- EMC). La secuenciación mostró homología en todos los genes, excepto en las secuencias</w:t>
      </w:r>
      <w:r w:rsidRPr="006A1DC1">
        <w:rPr>
          <w:rFonts w:eastAsia="Calibri"/>
          <w:i/>
          <w:iCs/>
          <w:lang w:val="es-PE" w:eastAsia="en-US"/>
        </w:rPr>
        <w:t xml:space="preserve"> </w:t>
      </w:r>
      <w:proofErr w:type="spellStart"/>
      <w:r w:rsidRPr="006A1DC1">
        <w:rPr>
          <w:rFonts w:eastAsia="Calibri"/>
          <w:lang w:val="es-PE" w:eastAsia="en-US"/>
        </w:rPr>
        <w:t>RdRpSeq</w:t>
      </w:r>
      <w:proofErr w:type="spellEnd"/>
      <w:r w:rsidRPr="006A1DC1">
        <w:rPr>
          <w:rFonts w:eastAsia="Calibri"/>
          <w:lang w:val="es-PE" w:eastAsia="en-US"/>
        </w:rPr>
        <w:t xml:space="preserve"> y </w:t>
      </w:r>
      <w:proofErr w:type="spellStart"/>
      <w:r w:rsidRPr="006A1DC1">
        <w:rPr>
          <w:rFonts w:eastAsia="Calibri"/>
          <w:lang w:val="es-PE" w:eastAsia="en-US"/>
        </w:rPr>
        <w:t>Nseq</w:t>
      </w:r>
      <w:proofErr w:type="spellEnd"/>
      <w:r w:rsidRPr="006A1DC1">
        <w:rPr>
          <w:rFonts w:eastAsia="Calibri"/>
          <w:lang w:val="es-PE" w:eastAsia="en-US"/>
        </w:rPr>
        <w:t>; se observan diferentes polimorfismos (inserción/ deleción) a lo largo del gen, indica que solo el análisis de estos genes (</w:t>
      </w:r>
      <w:proofErr w:type="spellStart"/>
      <w:r w:rsidRPr="006A1DC1">
        <w:rPr>
          <w:rFonts w:eastAsia="Calibri"/>
          <w:lang w:val="es-PE" w:eastAsia="en-US"/>
        </w:rPr>
        <w:t>RdRpSeq</w:t>
      </w:r>
      <w:proofErr w:type="spellEnd"/>
      <w:r w:rsidRPr="006A1DC1">
        <w:rPr>
          <w:rFonts w:eastAsia="Calibri"/>
          <w:lang w:val="es-PE" w:eastAsia="en-US"/>
        </w:rPr>
        <w:t xml:space="preserve"> y </w:t>
      </w:r>
      <w:proofErr w:type="spellStart"/>
      <w:r w:rsidRPr="006A1DC1">
        <w:rPr>
          <w:rFonts w:eastAsia="Calibri"/>
          <w:lang w:val="es-PE" w:eastAsia="en-US"/>
        </w:rPr>
        <w:t>Nseq</w:t>
      </w:r>
      <w:proofErr w:type="spellEnd"/>
      <w:r w:rsidRPr="006A1DC1">
        <w:rPr>
          <w:rFonts w:eastAsia="Calibri"/>
          <w:lang w:val="es-PE" w:eastAsia="en-US"/>
        </w:rPr>
        <w:t xml:space="preserve">) es suficiente para diferenciar diversas cepas de coronavirus. En consecuencia, es necesario estandarizar protocolos en el diseño de cebadores que detecten diferencias entre las secuencias con el fin de diferenciar un coronavirus de </w:t>
      </w:r>
      <w:proofErr w:type="gramStart"/>
      <w:r w:rsidRPr="006A1DC1">
        <w:rPr>
          <w:rFonts w:eastAsia="Calibri"/>
          <w:lang w:val="es-PE" w:eastAsia="en-US"/>
        </w:rPr>
        <w:t>otro.</w:t>
      </w:r>
      <w:r w:rsidRPr="006A1DC1">
        <w:rPr>
          <w:rFonts w:eastAsia="Calibri"/>
          <w:vertAlign w:val="superscript"/>
          <w:lang w:val="es-PE" w:eastAsia="en-US"/>
        </w:rPr>
        <w:t>(</w:t>
      </w:r>
      <w:proofErr w:type="gramEnd"/>
      <w:r w:rsidRPr="006A1DC1">
        <w:rPr>
          <w:rFonts w:eastAsia="Calibri"/>
          <w:vertAlign w:val="superscript"/>
          <w:lang w:val="es-PE" w:eastAsia="en-US"/>
        </w:rPr>
        <w:t>21)</w:t>
      </w:r>
    </w:p>
    <w:p w14:paraId="5066D411"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Según la </w:t>
      </w:r>
      <w:proofErr w:type="gramStart"/>
      <w:r w:rsidRPr="006A1DC1">
        <w:rPr>
          <w:rFonts w:eastAsia="Calibri"/>
          <w:lang w:val="es-PE" w:eastAsia="en-US"/>
        </w:rPr>
        <w:t>OMS</w:t>
      </w:r>
      <w:r w:rsidRPr="006A1DC1">
        <w:rPr>
          <w:rFonts w:eastAsia="Calibri"/>
          <w:vertAlign w:val="superscript"/>
          <w:lang w:val="es-PE" w:eastAsia="en-US"/>
        </w:rPr>
        <w:t>(</w:t>
      </w:r>
      <w:proofErr w:type="gramEnd"/>
      <w:r w:rsidRPr="006A1DC1">
        <w:rPr>
          <w:rFonts w:eastAsia="Calibri"/>
          <w:vertAlign w:val="superscript"/>
          <w:lang w:val="es-PE" w:eastAsia="en-US"/>
        </w:rPr>
        <w:t>22)</w:t>
      </w:r>
      <w:r w:rsidRPr="006A1DC1">
        <w:rPr>
          <w:rFonts w:eastAsia="Calibri"/>
          <w:lang w:val="es-PE" w:eastAsia="en-US"/>
        </w:rPr>
        <w:t xml:space="preserve"> en el caso del SARS-CoV-2, la detección del gen de la proteína E, se emplea como primera prueba confirmatoria, seguida de la expresión del gen </w:t>
      </w:r>
      <w:proofErr w:type="spellStart"/>
      <w:r w:rsidRPr="006A1DC1">
        <w:rPr>
          <w:rFonts w:eastAsia="Calibri"/>
          <w:lang w:val="es-PE" w:eastAsia="en-US"/>
        </w:rPr>
        <w:t>RdRp</w:t>
      </w:r>
      <w:proofErr w:type="spellEnd"/>
      <w:r w:rsidRPr="006A1DC1">
        <w:rPr>
          <w:rFonts w:eastAsia="Calibri"/>
          <w:lang w:val="es-PE" w:eastAsia="en-US"/>
        </w:rPr>
        <w:t>. La expresión del gen N solo se usa si se requiriese un ensayo confirmatorio adicional. Para los CDC, la primera prueba confirmatoria sería la expresión y secuenciación del gen N diseñado para la detección universal de los coronavirus SARS</w:t>
      </w:r>
      <w:r w:rsidRPr="006A1DC1">
        <w:rPr>
          <w:rFonts w:eastAsia="Calibri"/>
          <w:i/>
          <w:iCs/>
          <w:lang w:val="es-PE" w:eastAsia="en-US"/>
        </w:rPr>
        <w:t xml:space="preserve"> </w:t>
      </w:r>
      <w:r w:rsidRPr="006A1DC1">
        <w:rPr>
          <w:rFonts w:eastAsia="Calibri"/>
          <w:lang w:val="es-PE" w:eastAsia="en-US"/>
        </w:rPr>
        <w:t xml:space="preserve">y del SARS-CoV-2. </w:t>
      </w:r>
    </w:p>
    <w:p w14:paraId="13E27ED9"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Los diagnósticos muchas veces no son certeros y no es a causa del protocolo de ensayo o por el personal técnico, sino porque dependen de la carga viral del paciente que ha recibido o no tratamiento. </w:t>
      </w:r>
      <w:proofErr w:type="spellStart"/>
      <w:r w:rsidRPr="006A1DC1">
        <w:rPr>
          <w:rFonts w:eastAsia="Calibri"/>
          <w:i/>
          <w:lang w:val="es-PE" w:eastAsia="en-US"/>
        </w:rPr>
        <w:t>Ai</w:t>
      </w:r>
      <w:proofErr w:type="spellEnd"/>
      <w:r w:rsidRPr="006A1DC1">
        <w:rPr>
          <w:rFonts w:eastAsia="Calibri"/>
          <w:i/>
          <w:lang w:val="es-PE" w:eastAsia="en-US"/>
        </w:rPr>
        <w:t xml:space="preserve"> </w:t>
      </w:r>
      <w:r w:rsidRPr="006A1DC1">
        <w:rPr>
          <w:rFonts w:eastAsia="Calibri"/>
          <w:lang w:val="es-PE" w:eastAsia="en-US"/>
        </w:rPr>
        <w:t xml:space="preserve">y </w:t>
      </w:r>
      <w:proofErr w:type="gramStart"/>
      <w:r w:rsidRPr="006A1DC1">
        <w:rPr>
          <w:rFonts w:eastAsia="Calibri"/>
          <w:lang w:val="es-PE" w:eastAsia="en-US"/>
        </w:rPr>
        <w:t>otros</w:t>
      </w:r>
      <w:r w:rsidRPr="006A1DC1">
        <w:rPr>
          <w:rFonts w:eastAsia="Calibri"/>
          <w:vertAlign w:val="superscript"/>
          <w:lang w:val="es-PE" w:eastAsia="en-US"/>
        </w:rPr>
        <w:t>(</w:t>
      </w:r>
      <w:proofErr w:type="gramEnd"/>
      <w:r w:rsidRPr="006A1DC1">
        <w:rPr>
          <w:rFonts w:eastAsia="Calibri"/>
          <w:vertAlign w:val="superscript"/>
          <w:lang w:val="es-PE" w:eastAsia="en-US"/>
        </w:rPr>
        <w:t xml:space="preserve">23) </w:t>
      </w:r>
      <w:r w:rsidRPr="006A1DC1">
        <w:rPr>
          <w:rFonts w:eastAsia="Calibri"/>
          <w:lang w:val="es-PE" w:eastAsia="en-US"/>
        </w:rPr>
        <w:t xml:space="preserve">realizaron repetidas pruebas en tomografías computarizadas seguidas de RT-PCR a 1 014 pacientes con la COVID-19 en Wuhan, China. En estas pruebas, se analizó la conversión dinámica de los resultados de RT-PCR (negativo a positivo, positivo a negativo, respectivamente) así como las tomografías computarizadas (TC) del tórax de cada paciente. En un primer momento, el 59 % tuvo resultados positivos de RT-PCR y 88 % tuvo TC de tórax positiva, este último con una sensibilidad del 97 %. De los 415 pacientes negativos de RT-PCR, el 75 % fueron positivos en la TC de tórax y considerados como pacientes que iban a desarrollar la enfermedad. Por otro lado, mediante los ensayos seriales de RT-PCR y TC, se observó que el intervalo de tiempo medio entre los resultados iniciales negativos de RT-PCR fue de 5,1 ± 1,5 días; mientras que el resultado inicial positivo a posterior negativo de RT-PCR fue de </w:t>
      </w:r>
      <w:r w:rsidRPr="006A1DC1">
        <w:rPr>
          <w:rFonts w:eastAsia="Calibri"/>
          <w:lang w:val="es-PE" w:eastAsia="en-US"/>
        </w:rPr>
        <w:lastRenderedPageBreak/>
        <w:t xml:space="preserve">6,9 ± 2,3 días. Además, si los pacientes mostraron mejoría en las TC de tórax, los resultados de RT-PCR se volverían negativos. Lo anterior reafirma que los ensayos de RT-PCR deben ser acompañados de una TC, durante la hospitalización resultados negativos se convirtieron en positivos, y estos en negativos según el tratamiento de los </w:t>
      </w:r>
      <w:proofErr w:type="gramStart"/>
      <w:r w:rsidRPr="006A1DC1">
        <w:rPr>
          <w:rFonts w:eastAsia="Calibri"/>
          <w:lang w:val="es-PE" w:eastAsia="en-US"/>
        </w:rPr>
        <w:t>pacientes.</w:t>
      </w:r>
      <w:r w:rsidRPr="006A1DC1">
        <w:rPr>
          <w:rFonts w:eastAsia="Calibri"/>
          <w:vertAlign w:val="superscript"/>
          <w:lang w:val="es-PE" w:eastAsia="en-US"/>
        </w:rPr>
        <w:t>(</w:t>
      </w:r>
      <w:proofErr w:type="gramEnd"/>
      <w:r w:rsidRPr="006A1DC1">
        <w:rPr>
          <w:rFonts w:eastAsia="Calibri"/>
          <w:vertAlign w:val="superscript"/>
          <w:lang w:val="es-PE" w:eastAsia="en-US"/>
        </w:rPr>
        <w:t xml:space="preserve">23) </w:t>
      </w:r>
      <w:r w:rsidRPr="006A1DC1">
        <w:rPr>
          <w:rFonts w:eastAsia="Calibri"/>
          <w:lang w:val="es-PE" w:eastAsia="en-US"/>
        </w:rPr>
        <w:t>El RT-PCR puede producir resultados falsos negativos en la etapa inicial de la infección, se sugiere que los pacientes negativos a RT-PCR, con evidencias imagenológicas de alteraciones pulmonares, deben ser aislados y repetir el ensayo molecular.</w:t>
      </w:r>
      <w:r w:rsidRPr="006A1DC1">
        <w:rPr>
          <w:rFonts w:eastAsia="Calibri"/>
          <w:vertAlign w:val="superscript"/>
          <w:lang w:val="es-PE" w:eastAsia="en-US"/>
        </w:rPr>
        <w:t>(24)</w:t>
      </w:r>
    </w:p>
    <w:p w14:paraId="7329092B"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La sensibilidad analítica de la RT-PCR se ve influida por la baja carga viral en pacientes asintomáticos o sintomáticos, lo que ocurre, en dos momentos: </w:t>
      </w:r>
    </w:p>
    <w:p w14:paraId="0851BB9F" w14:textId="77777777" w:rsidR="006A1DC1" w:rsidRPr="006A1DC1" w:rsidRDefault="006A1DC1" w:rsidP="006A1DC1">
      <w:pPr>
        <w:spacing w:line="360" w:lineRule="auto"/>
        <w:jc w:val="both"/>
        <w:rPr>
          <w:rFonts w:eastAsia="Calibri"/>
          <w:lang w:val="es-PE" w:eastAsia="en-US"/>
        </w:rPr>
      </w:pPr>
    </w:p>
    <w:p w14:paraId="4297861F" w14:textId="77777777" w:rsidR="006A1DC1" w:rsidRPr="006A1DC1" w:rsidRDefault="006A1DC1" w:rsidP="006A1DC1">
      <w:pPr>
        <w:spacing w:line="360" w:lineRule="auto"/>
        <w:ind w:left="708"/>
        <w:jc w:val="both"/>
        <w:rPr>
          <w:rFonts w:eastAsia="Calibri"/>
          <w:lang w:val="es-PE" w:eastAsia="en-US"/>
        </w:rPr>
      </w:pPr>
      <w:r w:rsidRPr="006A1DC1">
        <w:rPr>
          <w:rFonts w:eastAsia="Calibri"/>
          <w:lang w:val="es-PE" w:eastAsia="en-US"/>
        </w:rPr>
        <w:t xml:space="preserve">1) la fase inicial de la infección, cuando el paciente todavía es asintomático o sintomático, y </w:t>
      </w:r>
    </w:p>
    <w:p w14:paraId="4A01386A" w14:textId="77777777" w:rsidR="006A1DC1" w:rsidRPr="006A1DC1" w:rsidRDefault="006A1DC1" w:rsidP="006A1DC1">
      <w:pPr>
        <w:spacing w:line="360" w:lineRule="auto"/>
        <w:ind w:left="708"/>
        <w:jc w:val="both"/>
        <w:rPr>
          <w:rFonts w:eastAsia="Calibri"/>
          <w:lang w:val="es-PE" w:eastAsia="en-US"/>
        </w:rPr>
      </w:pPr>
      <w:r w:rsidRPr="006A1DC1">
        <w:rPr>
          <w:rFonts w:eastAsia="Calibri"/>
          <w:lang w:val="es-PE" w:eastAsia="en-US"/>
        </w:rPr>
        <w:t>2) cuando la infección por SARS-CoV-2 es controlada por el sistema inmune, y los síntomas se alivian, con la consecuente eliminación de virus aún persistentes.</w:t>
      </w:r>
      <w:bookmarkStart w:id="6" w:name="_Hlk99295941"/>
      <w:r w:rsidRPr="006A1DC1">
        <w:rPr>
          <w:rFonts w:eastAsia="Calibri"/>
          <w:lang w:val="es-PE" w:eastAsia="en-US"/>
        </w:rPr>
        <w:t xml:space="preserve"> </w:t>
      </w:r>
    </w:p>
    <w:p w14:paraId="2BDE1C97" w14:textId="77777777" w:rsidR="006A1DC1" w:rsidRPr="006A1DC1" w:rsidRDefault="006A1DC1" w:rsidP="006A1DC1">
      <w:pPr>
        <w:spacing w:line="360" w:lineRule="auto"/>
        <w:jc w:val="both"/>
        <w:rPr>
          <w:rFonts w:eastAsia="Calibri"/>
          <w:lang w:val="es-PE" w:eastAsia="en-US"/>
        </w:rPr>
      </w:pPr>
    </w:p>
    <w:p w14:paraId="02FB9DC8" w14:textId="77777777" w:rsidR="006A1DC1" w:rsidRPr="006A1DC1" w:rsidRDefault="006A1DC1" w:rsidP="006A1DC1">
      <w:pPr>
        <w:spacing w:line="360" w:lineRule="auto"/>
        <w:jc w:val="both"/>
        <w:rPr>
          <w:rFonts w:eastAsia="Calibri"/>
          <w:lang w:val="es-PE" w:eastAsia="en-US"/>
        </w:rPr>
      </w:pPr>
      <w:r w:rsidRPr="006A1DC1">
        <w:rPr>
          <w:rFonts w:eastAsia="Calibri"/>
          <w:i/>
          <w:lang w:val="es-PE" w:eastAsia="en-US"/>
        </w:rPr>
        <w:t>Shen</w:t>
      </w:r>
      <w:r w:rsidRPr="006A1DC1">
        <w:rPr>
          <w:rFonts w:eastAsia="Calibri"/>
          <w:lang w:val="es-PE" w:eastAsia="en-US"/>
        </w:rPr>
        <w:t xml:space="preserve"> y </w:t>
      </w:r>
      <w:proofErr w:type="gramStart"/>
      <w:r w:rsidRPr="006A1DC1">
        <w:rPr>
          <w:rFonts w:eastAsia="Calibri"/>
          <w:lang w:val="es-PE" w:eastAsia="en-US"/>
        </w:rPr>
        <w:t>otros</w:t>
      </w:r>
      <w:r w:rsidRPr="006A1DC1">
        <w:rPr>
          <w:rFonts w:eastAsia="Calibri"/>
          <w:vertAlign w:val="superscript"/>
          <w:lang w:val="es-PE" w:eastAsia="en-US"/>
        </w:rPr>
        <w:t>(</w:t>
      </w:r>
      <w:proofErr w:type="gramEnd"/>
      <w:r w:rsidRPr="006A1DC1">
        <w:rPr>
          <w:rFonts w:eastAsia="Calibri"/>
          <w:vertAlign w:val="superscript"/>
          <w:lang w:val="es-PE" w:eastAsia="en-US"/>
        </w:rPr>
        <w:t xml:space="preserve">25) </w:t>
      </w:r>
      <w:r w:rsidRPr="006A1DC1">
        <w:rPr>
          <w:rFonts w:eastAsia="Calibri"/>
          <w:lang w:val="es-PE" w:eastAsia="en-US"/>
        </w:rPr>
        <w:t xml:space="preserve">realizaron la secuenciación del transcriptoma del lavado </w:t>
      </w:r>
      <w:proofErr w:type="spellStart"/>
      <w:r w:rsidRPr="006A1DC1">
        <w:rPr>
          <w:rFonts w:eastAsia="Calibri"/>
          <w:lang w:val="es-PE" w:eastAsia="en-US"/>
        </w:rPr>
        <w:t>broncoalveolar</w:t>
      </w:r>
      <w:proofErr w:type="spellEnd"/>
      <w:r w:rsidRPr="006A1DC1">
        <w:rPr>
          <w:rFonts w:eastAsia="Calibri"/>
          <w:lang w:val="es-PE" w:eastAsia="en-US"/>
        </w:rPr>
        <w:t xml:space="preserve"> de pacientes con SARS-CoV-2. </w:t>
      </w:r>
      <w:bookmarkEnd w:id="6"/>
      <w:r w:rsidRPr="006A1DC1">
        <w:rPr>
          <w:rFonts w:eastAsia="Calibri"/>
          <w:lang w:val="es-PE" w:eastAsia="en-US"/>
        </w:rPr>
        <w:t xml:space="preserve">Este análisis mostró variantes intrahospitalarias en los pacientes infectados con SARS-CoV-2. </w:t>
      </w:r>
      <w:bookmarkStart w:id="7" w:name="_Hlk99296798"/>
      <w:r w:rsidRPr="006A1DC1">
        <w:rPr>
          <w:rFonts w:eastAsia="Calibri"/>
          <w:lang w:val="es-PE" w:eastAsia="en-US"/>
        </w:rPr>
        <w:t xml:space="preserve">La distribución de las variantes génicas es similar en las poblaciones infectadas. Sin embargo, se observaron 4 variantes virales intraindividuales en forma de </w:t>
      </w:r>
      <w:proofErr w:type="gramStart"/>
      <w:r w:rsidRPr="006A1DC1">
        <w:rPr>
          <w:rFonts w:eastAsia="Calibri"/>
          <w:lang w:val="es-PE" w:eastAsia="en-US"/>
        </w:rPr>
        <w:t>polimorfismo.</w:t>
      </w:r>
      <w:r w:rsidRPr="006A1DC1">
        <w:rPr>
          <w:rFonts w:eastAsia="Calibri"/>
          <w:vertAlign w:val="superscript"/>
          <w:lang w:val="es-PE" w:eastAsia="en-US"/>
        </w:rPr>
        <w:t>(</w:t>
      </w:r>
      <w:proofErr w:type="gramEnd"/>
      <w:r w:rsidRPr="006A1DC1">
        <w:rPr>
          <w:rFonts w:eastAsia="Calibri"/>
          <w:vertAlign w:val="superscript"/>
          <w:lang w:val="es-PE" w:eastAsia="en-US"/>
        </w:rPr>
        <w:t>25)</w:t>
      </w:r>
    </w:p>
    <w:p w14:paraId="09E0BBBB"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Hasta el momento, no se ha confirmado si la trasmisión de persona a persona induce a la variación en las secuencias genéticas del SARS-CoV-2, pero tampoco hay evidencias que la nieguen. Si ocurriera, la evolución in vivo después de la infección, puede afectar su virulencia, infectividad y transmisibilidad, por lo que es necesario fortalecer la vigilancia </w:t>
      </w:r>
      <w:proofErr w:type="gramStart"/>
      <w:r w:rsidRPr="006A1DC1">
        <w:rPr>
          <w:rFonts w:eastAsia="Calibri"/>
          <w:lang w:val="es-PE" w:eastAsia="en-US"/>
        </w:rPr>
        <w:t>epidemiológica.</w:t>
      </w:r>
      <w:r w:rsidRPr="006A1DC1">
        <w:rPr>
          <w:rFonts w:eastAsia="Calibri"/>
          <w:vertAlign w:val="superscript"/>
          <w:lang w:val="es-PE" w:eastAsia="en-US"/>
        </w:rPr>
        <w:t>(</w:t>
      </w:r>
      <w:proofErr w:type="gramEnd"/>
      <w:r w:rsidRPr="006A1DC1">
        <w:rPr>
          <w:rFonts w:eastAsia="Calibri"/>
          <w:vertAlign w:val="superscript"/>
          <w:lang w:val="es-PE" w:eastAsia="en-US"/>
        </w:rPr>
        <w:t>23)</w:t>
      </w:r>
    </w:p>
    <w:bookmarkEnd w:id="7"/>
    <w:p w14:paraId="0D8E9FA6"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De un conjunto de más de 30 productos en estudio, hasta ahora, 3 candidatos para vacunas contra MERS-</w:t>
      </w:r>
      <w:proofErr w:type="spellStart"/>
      <w:r w:rsidRPr="006A1DC1">
        <w:rPr>
          <w:rFonts w:eastAsia="Calibri"/>
          <w:lang w:val="es-PE" w:eastAsia="en-US"/>
        </w:rPr>
        <w:t>CoV</w:t>
      </w:r>
      <w:proofErr w:type="spellEnd"/>
      <w:r w:rsidRPr="006A1DC1">
        <w:rPr>
          <w:rFonts w:eastAsia="Calibri"/>
          <w:lang w:val="es-PE" w:eastAsia="en-US"/>
        </w:rPr>
        <w:t xml:space="preserve"> han alcanzado las fases 1 y 2; 1 vacuna de ADN y 2 vacunas basadas en vectores virales:</w:t>
      </w:r>
    </w:p>
    <w:p w14:paraId="338F5BF1" w14:textId="77777777" w:rsidR="006A1DC1" w:rsidRPr="006A1DC1" w:rsidRDefault="006A1DC1" w:rsidP="006A1DC1">
      <w:pPr>
        <w:spacing w:line="360" w:lineRule="auto"/>
        <w:jc w:val="both"/>
        <w:rPr>
          <w:rFonts w:eastAsia="Calibri"/>
          <w:lang w:val="es-PE" w:eastAsia="en-US"/>
        </w:rPr>
      </w:pPr>
    </w:p>
    <w:p w14:paraId="1DC7036F" w14:textId="77777777" w:rsidR="006A1DC1" w:rsidRPr="006A1DC1" w:rsidRDefault="006A1DC1" w:rsidP="006A1DC1">
      <w:pPr>
        <w:spacing w:line="360" w:lineRule="auto"/>
        <w:ind w:left="708"/>
        <w:jc w:val="both"/>
        <w:rPr>
          <w:rFonts w:eastAsia="Calibri"/>
          <w:lang w:val="es-PE" w:eastAsia="en-US"/>
        </w:rPr>
      </w:pPr>
      <w:r w:rsidRPr="006A1DC1">
        <w:rPr>
          <w:rFonts w:eastAsia="Calibri"/>
          <w:lang w:val="es-PE" w:eastAsia="en-US"/>
        </w:rPr>
        <w:t xml:space="preserve">GLS -5300: vacuna basada en un plásmido de </w:t>
      </w:r>
      <w:r w:rsidRPr="006A1DC1">
        <w:rPr>
          <w:rFonts w:eastAsia="Calibri"/>
          <w:i/>
          <w:iCs/>
          <w:lang w:val="es-PE" w:eastAsia="en-US"/>
        </w:rPr>
        <w:t>ADN</w:t>
      </w:r>
      <w:r w:rsidRPr="006A1DC1">
        <w:rPr>
          <w:rFonts w:eastAsia="Calibri"/>
          <w:lang w:val="es-PE" w:eastAsia="en-US"/>
        </w:rPr>
        <w:t xml:space="preserve"> que expresa la proteína S del </w:t>
      </w:r>
      <w:r w:rsidRPr="006A1DC1">
        <w:rPr>
          <w:rFonts w:eastAsia="Calibri"/>
          <w:i/>
          <w:iCs/>
          <w:lang w:val="es-PE" w:eastAsia="en-US"/>
        </w:rPr>
        <w:t>SARS-</w:t>
      </w:r>
      <w:proofErr w:type="spellStart"/>
      <w:r w:rsidRPr="006A1DC1">
        <w:rPr>
          <w:rFonts w:eastAsia="Calibri"/>
          <w:i/>
          <w:iCs/>
          <w:lang w:val="es-PE" w:eastAsia="en-US"/>
        </w:rPr>
        <w:t>CoV</w:t>
      </w:r>
      <w:proofErr w:type="spellEnd"/>
      <w:r w:rsidRPr="006A1DC1">
        <w:rPr>
          <w:rFonts w:eastAsia="Calibri"/>
          <w:lang w:val="es-PE" w:eastAsia="en-US"/>
        </w:rPr>
        <w:t xml:space="preserve"> (fase 1), (NTC02670187), completado y con resultados </w:t>
      </w:r>
      <w:proofErr w:type="gramStart"/>
      <w:r w:rsidRPr="006A1DC1">
        <w:rPr>
          <w:rFonts w:eastAsia="Calibri"/>
          <w:lang w:val="es-PE" w:eastAsia="en-US"/>
        </w:rPr>
        <w:t>publicados.</w:t>
      </w:r>
      <w:r w:rsidRPr="006A1DC1">
        <w:rPr>
          <w:rFonts w:eastAsia="Calibri"/>
          <w:vertAlign w:val="superscript"/>
          <w:lang w:val="es-PE" w:eastAsia="en-US"/>
        </w:rPr>
        <w:t>(</w:t>
      </w:r>
      <w:proofErr w:type="gramEnd"/>
      <w:r w:rsidRPr="006A1DC1">
        <w:rPr>
          <w:rFonts w:eastAsia="Calibri"/>
          <w:vertAlign w:val="superscript"/>
          <w:lang w:val="es-PE" w:eastAsia="en-US"/>
        </w:rPr>
        <w:t>19,20)</w:t>
      </w:r>
      <w:r w:rsidRPr="006A1DC1">
        <w:rPr>
          <w:rFonts w:eastAsia="Calibri"/>
          <w:lang w:val="es-PE" w:eastAsia="en-US"/>
        </w:rPr>
        <w:t xml:space="preserve"> GLS-5300. Otro estudio aún en curso (fase 1-2, NTC03721718). ChAdOx1-MERS: vacuna basada en un vector de adenovirus de chimpancé (fase 1, NCT03399578</w:t>
      </w:r>
      <w:proofErr w:type="gramStart"/>
      <w:r w:rsidRPr="006A1DC1">
        <w:rPr>
          <w:rFonts w:eastAsia="Calibri"/>
          <w:lang w:val="es-PE" w:eastAsia="en-US"/>
        </w:rPr>
        <w:t>).</w:t>
      </w:r>
      <w:r w:rsidRPr="006A1DC1">
        <w:rPr>
          <w:rFonts w:eastAsia="Calibri"/>
          <w:vertAlign w:val="superscript"/>
          <w:lang w:val="es-PE" w:eastAsia="en-US"/>
        </w:rPr>
        <w:t>(</w:t>
      </w:r>
      <w:proofErr w:type="gramEnd"/>
      <w:r w:rsidRPr="006A1DC1">
        <w:rPr>
          <w:rFonts w:eastAsia="Calibri"/>
          <w:vertAlign w:val="superscript"/>
          <w:lang w:val="es-PE" w:eastAsia="en-US"/>
        </w:rPr>
        <w:t>26)</w:t>
      </w:r>
      <w:r w:rsidRPr="006A1DC1">
        <w:rPr>
          <w:rFonts w:eastAsia="Calibri"/>
          <w:lang w:val="es-PE" w:eastAsia="en-US"/>
        </w:rPr>
        <w:t xml:space="preserve"> MVA-MERS-S. Vacuna basada en un </w:t>
      </w:r>
      <w:r w:rsidRPr="006A1DC1">
        <w:rPr>
          <w:rFonts w:eastAsia="Calibri"/>
          <w:i/>
          <w:iCs/>
          <w:lang w:val="es-PE" w:eastAsia="en-US"/>
        </w:rPr>
        <w:t>vector MVA</w:t>
      </w:r>
      <w:r w:rsidRPr="006A1DC1">
        <w:rPr>
          <w:rFonts w:eastAsia="Calibri"/>
          <w:lang w:val="es-PE" w:eastAsia="en-US"/>
        </w:rPr>
        <w:t xml:space="preserve"> </w:t>
      </w:r>
      <w:r w:rsidRPr="006A1DC1">
        <w:rPr>
          <w:rFonts w:eastAsia="Calibri"/>
          <w:lang w:val="es-PE" w:eastAsia="en-US"/>
        </w:rPr>
        <w:lastRenderedPageBreak/>
        <w:t xml:space="preserve">(virus </w:t>
      </w:r>
      <w:proofErr w:type="spellStart"/>
      <w:r w:rsidRPr="006A1DC1">
        <w:rPr>
          <w:rFonts w:eastAsia="Calibri"/>
          <w:lang w:val="es-PE" w:eastAsia="en-US"/>
        </w:rPr>
        <w:t>vaccinia</w:t>
      </w:r>
      <w:proofErr w:type="spellEnd"/>
      <w:r w:rsidRPr="006A1DC1">
        <w:rPr>
          <w:rFonts w:eastAsia="Calibri"/>
          <w:lang w:val="es-PE" w:eastAsia="en-US"/>
        </w:rPr>
        <w:t xml:space="preserve"> modificado de Ankara) (fase 1, NCT03615911), completada, aún sin resultados publicados.</w:t>
      </w:r>
    </w:p>
    <w:p w14:paraId="76DB711B" w14:textId="77777777" w:rsidR="006A1DC1" w:rsidRPr="006A1DC1" w:rsidRDefault="006A1DC1" w:rsidP="006A1DC1">
      <w:pPr>
        <w:spacing w:line="360" w:lineRule="auto"/>
        <w:jc w:val="both"/>
        <w:rPr>
          <w:rFonts w:eastAsia="Calibri"/>
          <w:lang w:val="es-PE" w:eastAsia="en-US"/>
        </w:rPr>
      </w:pPr>
    </w:p>
    <w:p w14:paraId="5B8F0EB5"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Las medidas propuestas se basan en las recomendaciones de la OMS y el Comité de Seguridad de la Salud y el Sistema de Alerta Rápida y Respuesta Rápida de la Unión Europea y el Procedimiento para tratar casos de infección con el nuevo coronavirus con respecto al riesgo de transmisión del </w:t>
      </w:r>
      <w:proofErr w:type="gramStart"/>
      <w:r w:rsidRPr="006A1DC1">
        <w:rPr>
          <w:rFonts w:eastAsia="Calibri"/>
          <w:lang w:val="es-PE" w:eastAsia="en-US"/>
        </w:rPr>
        <w:t>virus.</w:t>
      </w:r>
      <w:r w:rsidRPr="006A1DC1">
        <w:rPr>
          <w:rFonts w:eastAsia="Calibri"/>
          <w:vertAlign w:val="superscript"/>
          <w:lang w:val="es-PE" w:eastAsia="en-US"/>
        </w:rPr>
        <w:t>(</w:t>
      </w:r>
      <w:proofErr w:type="gramEnd"/>
      <w:r w:rsidRPr="006A1DC1">
        <w:rPr>
          <w:rFonts w:eastAsia="Calibri"/>
          <w:vertAlign w:val="superscript"/>
          <w:lang w:val="es-PE" w:eastAsia="en-US"/>
        </w:rPr>
        <w:t>27)</w:t>
      </w:r>
    </w:p>
    <w:p w14:paraId="1A341B96" w14:textId="77777777" w:rsidR="006A1DC1" w:rsidRPr="006A1DC1" w:rsidRDefault="006A1DC1" w:rsidP="006A1DC1">
      <w:pPr>
        <w:spacing w:line="360" w:lineRule="auto"/>
        <w:jc w:val="center"/>
        <w:rPr>
          <w:rFonts w:eastAsia="Calibri"/>
          <w:b/>
          <w:bCs/>
          <w:sz w:val="28"/>
          <w:szCs w:val="28"/>
          <w:lang w:val="es-PE" w:eastAsia="en-US"/>
        </w:rPr>
      </w:pPr>
      <w:r w:rsidRPr="006A1DC1">
        <w:rPr>
          <w:rFonts w:eastAsia="Calibri"/>
          <w:b/>
          <w:bCs/>
          <w:sz w:val="28"/>
          <w:szCs w:val="28"/>
          <w:lang w:val="es-PE" w:eastAsia="en-US"/>
        </w:rPr>
        <w:t>Medicamentos existentes con posibles aplicaciones terapéuticas para la COVID-19</w:t>
      </w:r>
    </w:p>
    <w:p w14:paraId="5C12F732" w14:textId="77777777" w:rsidR="006A1DC1" w:rsidRPr="006A1DC1" w:rsidRDefault="006A1DC1" w:rsidP="006A1DC1">
      <w:pPr>
        <w:spacing w:line="360" w:lineRule="auto"/>
        <w:jc w:val="both"/>
        <w:rPr>
          <w:rFonts w:eastAsia="Calibri"/>
          <w:vertAlign w:val="superscript"/>
          <w:lang w:val="es-PE" w:eastAsia="en-US"/>
        </w:rPr>
      </w:pPr>
      <w:r w:rsidRPr="006A1DC1">
        <w:rPr>
          <w:rFonts w:eastAsia="Calibri"/>
          <w:lang w:val="es-PE" w:eastAsia="en-US"/>
        </w:rPr>
        <w:t xml:space="preserve">Se propone el </w:t>
      </w:r>
      <w:proofErr w:type="spellStart"/>
      <w:r w:rsidRPr="006A1DC1">
        <w:rPr>
          <w:rFonts w:eastAsia="Calibri"/>
          <w:lang w:val="es-PE" w:eastAsia="en-US"/>
        </w:rPr>
        <w:t>barcitinib</w:t>
      </w:r>
      <w:proofErr w:type="spellEnd"/>
      <w:r w:rsidRPr="006A1DC1">
        <w:rPr>
          <w:rFonts w:eastAsia="Calibri"/>
          <w:lang w:val="es-PE" w:eastAsia="en-US"/>
        </w:rPr>
        <w:t xml:space="preserve"> por su efecto antiinflamatorio y su posible capacidad para reducir la entrada </w:t>
      </w:r>
      <w:proofErr w:type="gramStart"/>
      <w:r w:rsidRPr="006A1DC1">
        <w:rPr>
          <w:rFonts w:eastAsia="Calibri"/>
          <w:lang w:val="es-PE" w:eastAsia="en-US"/>
        </w:rPr>
        <w:t>viral.</w:t>
      </w:r>
      <w:r w:rsidRPr="006A1DC1">
        <w:rPr>
          <w:rFonts w:eastAsia="Calibri"/>
          <w:vertAlign w:val="superscript"/>
          <w:lang w:val="es-PE" w:eastAsia="en-US"/>
        </w:rPr>
        <w:t>(</w:t>
      </w:r>
      <w:proofErr w:type="gramEnd"/>
      <w:r w:rsidRPr="006A1DC1">
        <w:rPr>
          <w:rFonts w:eastAsia="Calibri"/>
          <w:vertAlign w:val="superscript"/>
          <w:lang w:val="es-PE" w:eastAsia="en-US"/>
        </w:rPr>
        <w:t xml:space="preserve">28) </w:t>
      </w:r>
      <w:r w:rsidRPr="006A1DC1">
        <w:rPr>
          <w:rFonts w:eastAsia="Calibri"/>
          <w:lang w:val="es-PE" w:eastAsia="en-US"/>
        </w:rPr>
        <w:t xml:space="preserve">El </w:t>
      </w:r>
      <w:proofErr w:type="spellStart"/>
      <w:r w:rsidRPr="006A1DC1">
        <w:rPr>
          <w:rFonts w:eastAsia="Calibri"/>
          <w:lang w:val="es-PE" w:eastAsia="en-US"/>
        </w:rPr>
        <w:t>arbidol</w:t>
      </w:r>
      <w:proofErr w:type="spellEnd"/>
      <w:r w:rsidRPr="006A1DC1">
        <w:rPr>
          <w:rFonts w:eastAsia="Calibri"/>
          <w:lang w:val="es-PE" w:eastAsia="en-US"/>
        </w:rPr>
        <w:t xml:space="preserve"> o la ribavirina es un inhibidor que puede interrumpir la unión de la proteína de la envoltura viral a las células huésped y prevenir la entrada viral en la célula objetivo.</w:t>
      </w:r>
      <w:r w:rsidRPr="006A1DC1">
        <w:rPr>
          <w:rFonts w:eastAsia="Calibri"/>
          <w:vertAlign w:val="superscript"/>
          <w:lang w:val="es-PE" w:eastAsia="en-US"/>
        </w:rPr>
        <w:t xml:space="preserve">(29) </w:t>
      </w:r>
      <w:proofErr w:type="spellStart"/>
      <w:r w:rsidRPr="006A1DC1">
        <w:rPr>
          <w:rFonts w:eastAsia="Calibri"/>
          <w:lang w:val="es-PE" w:eastAsia="en-US"/>
        </w:rPr>
        <w:t>Remdesivir</w:t>
      </w:r>
      <w:proofErr w:type="spellEnd"/>
      <w:r w:rsidRPr="006A1DC1">
        <w:rPr>
          <w:rFonts w:eastAsia="Calibri"/>
          <w:lang w:val="es-PE" w:eastAsia="en-US"/>
        </w:rPr>
        <w:t xml:space="preserve">, desarrollado por </w:t>
      </w:r>
      <w:r w:rsidRPr="006A1DC1">
        <w:rPr>
          <w:rFonts w:eastAsia="Calibri"/>
          <w:i/>
          <w:iCs/>
          <w:lang w:val="es-PE" w:eastAsia="en-US"/>
        </w:rPr>
        <w:t xml:space="preserve">Gilead </w:t>
      </w:r>
      <w:proofErr w:type="spellStart"/>
      <w:r w:rsidRPr="006A1DC1">
        <w:rPr>
          <w:rFonts w:eastAsia="Calibri"/>
          <w:i/>
          <w:iCs/>
          <w:lang w:val="es-PE" w:eastAsia="en-US"/>
        </w:rPr>
        <w:t>Sciences</w:t>
      </w:r>
      <w:proofErr w:type="spellEnd"/>
      <w:r w:rsidRPr="006A1DC1">
        <w:rPr>
          <w:rFonts w:eastAsia="Calibri"/>
          <w:i/>
          <w:iCs/>
          <w:lang w:val="es-PE" w:eastAsia="en-US"/>
        </w:rPr>
        <w:t xml:space="preserve"> Inc</w:t>
      </w:r>
      <w:r w:rsidRPr="006A1DC1">
        <w:rPr>
          <w:rFonts w:eastAsia="Calibri"/>
          <w:lang w:val="es-PE" w:eastAsia="en-US"/>
        </w:rPr>
        <w:t xml:space="preserve">., se probó en humanos con la enfermedad por el virus Ébola y ha demostrado ser prometedor en modelos animales para MERS y SARS. Es un análogo de nucleótido que puede bloquear la síntesis y el nucleótido viral para detener la replicación viral, conservan la actividad antiviral contra Delta, </w:t>
      </w:r>
      <w:proofErr w:type="spellStart"/>
      <w:r w:rsidRPr="006A1DC1">
        <w:rPr>
          <w:rFonts w:eastAsia="Calibri"/>
          <w:lang w:val="es-PE" w:eastAsia="en-US"/>
        </w:rPr>
        <w:t>Omicron</w:t>
      </w:r>
      <w:proofErr w:type="spellEnd"/>
      <w:r w:rsidRPr="006A1DC1">
        <w:rPr>
          <w:rFonts w:eastAsia="Calibri"/>
          <w:lang w:val="es-PE" w:eastAsia="en-US"/>
        </w:rPr>
        <w:t xml:space="preserve"> y otras variantes emergentes del SARS-CoV-2, el fármaco se está estudiando en ensayos clínicos de fase III en China y EE. </w:t>
      </w:r>
      <w:proofErr w:type="gramStart"/>
      <w:r w:rsidRPr="006A1DC1">
        <w:rPr>
          <w:rFonts w:eastAsia="Calibri"/>
          <w:lang w:val="es-PE" w:eastAsia="en-US"/>
        </w:rPr>
        <w:t>UU.</w:t>
      </w:r>
      <w:r w:rsidRPr="006A1DC1">
        <w:rPr>
          <w:rFonts w:eastAsia="Calibri"/>
          <w:vertAlign w:val="superscript"/>
          <w:lang w:val="es-PE" w:eastAsia="en-US"/>
        </w:rPr>
        <w:t>(</w:t>
      </w:r>
      <w:proofErr w:type="gramEnd"/>
      <w:r w:rsidRPr="006A1DC1">
        <w:rPr>
          <w:rFonts w:eastAsia="Calibri"/>
          <w:vertAlign w:val="superscript"/>
          <w:lang w:val="es-PE" w:eastAsia="en-US"/>
        </w:rPr>
        <w:t>30)</w:t>
      </w:r>
      <w:r w:rsidRPr="006A1DC1">
        <w:rPr>
          <w:rFonts w:eastAsia="Calibri"/>
          <w:lang w:val="es-PE" w:eastAsia="en-US"/>
        </w:rPr>
        <w:t xml:space="preserve"> La </w:t>
      </w:r>
      <w:proofErr w:type="spellStart"/>
      <w:r w:rsidRPr="006A1DC1">
        <w:rPr>
          <w:rFonts w:eastAsia="Calibri"/>
          <w:lang w:val="es-PE" w:eastAsia="en-US"/>
        </w:rPr>
        <w:t>Paxlovid</w:t>
      </w:r>
      <w:proofErr w:type="spellEnd"/>
      <w:r w:rsidRPr="006A1DC1">
        <w:rPr>
          <w:rFonts w:eastAsia="Calibri"/>
          <w:lang w:val="es-PE" w:eastAsia="en-US"/>
        </w:rPr>
        <w:t xml:space="preserve"> de Pfizer (pastillas de </w:t>
      </w:r>
      <w:proofErr w:type="spellStart"/>
      <w:r w:rsidRPr="006A1DC1">
        <w:rPr>
          <w:rFonts w:eastAsia="Calibri"/>
          <w:lang w:val="es-PE" w:eastAsia="en-US"/>
        </w:rPr>
        <w:t>nirmatrelvir</w:t>
      </w:r>
      <w:proofErr w:type="spellEnd"/>
      <w:r w:rsidRPr="006A1DC1">
        <w:rPr>
          <w:rFonts w:eastAsia="Calibri"/>
          <w:lang w:val="es-PE" w:eastAsia="en-US"/>
        </w:rPr>
        <w:t xml:space="preserve"> y </w:t>
      </w:r>
      <w:proofErr w:type="spellStart"/>
      <w:r w:rsidRPr="006A1DC1">
        <w:rPr>
          <w:rFonts w:eastAsia="Calibri"/>
          <w:lang w:val="es-PE" w:eastAsia="en-US"/>
        </w:rPr>
        <w:t>ritonavires</w:t>
      </w:r>
      <w:proofErr w:type="spellEnd"/>
      <w:r w:rsidRPr="006A1DC1">
        <w:rPr>
          <w:rFonts w:eastAsia="Calibri"/>
          <w:lang w:val="es-PE" w:eastAsia="en-US"/>
        </w:rPr>
        <w:t>) es un antiviral y  actúa inhibiendo la proteasa 3C (3CLPRO), también conocida como MPRO. Esta es la principal enzima que participa en la maduración proteolítica del coronavirus, mediando en la escisión de las poliproteínas PP1a y PP1</w:t>
      </w:r>
      <w:proofErr w:type="gramStart"/>
      <w:r w:rsidRPr="006A1DC1">
        <w:rPr>
          <w:rFonts w:eastAsia="Calibri"/>
          <w:lang w:val="es-PE" w:eastAsia="en-US"/>
        </w:rPr>
        <w:t>ab.</w:t>
      </w:r>
      <w:r w:rsidRPr="006A1DC1">
        <w:rPr>
          <w:rFonts w:eastAsia="Calibri"/>
          <w:vertAlign w:val="superscript"/>
          <w:lang w:val="es-PE" w:eastAsia="en-US"/>
        </w:rPr>
        <w:t>(</w:t>
      </w:r>
      <w:proofErr w:type="gramEnd"/>
      <w:r w:rsidRPr="006A1DC1">
        <w:rPr>
          <w:rFonts w:eastAsia="Calibri"/>
          <w:vertAlign w:val="superscript"/>
          <w:lang w:val="es-PE" w:eastAsia="en-US"/>
        </w:rPr>
        <w:t>31)</w:t>
      </w:r>
    </w:p>
    <w:p w14:paraId="5EA231B9" w14:textId="77777777" w:rsidR="006A1DC1" w:rsidRPr="006A1DC1" w:rsidRDefault="006A1DC1" w:rsidP="006A1DC1">
      <w:pPr>
        <w:spacing w:line="360" w:lineRule="auto"/>
        <w:jc w:val="both"/>
        <w:rPr>
          <w:rFonts w:eastAsia="Calibri"/>
          <w:vertAlign w:val="superscript"/>
          <w:lang w:val="es-PE" w:eastAsia="en-US"/>
        </w:rPr>
      </w:pPr>
      <w:proofErr w:type="spellStart"/>
      <w:r w:rsidRPr="006A1DC1">
        <w:rPr>
          <w:rFonts w:eastAsia="Calibri"/>
          <w:lang w:val="es-PE" w:eastAsia="en-US"/>
        </w:rPr>
        <w:t>BioNTech</w:t>
      </w:r>
      <w:proofErr w:type="spellEnd"/>
      <w:r w:rsidRPr="006A1DC1">
        <w:rPr>
          <w:rFonts w:eastAsia="Calibri"/>
          <w:lang w:val="es-PE" w:eastAsia="en-US"/>
        </w:rPr>
        <w:t xml:space="preserve"> es la última compañía en anunciar planes para desarrollar una vacuna de ARN mensajero (ARNm) para la COVID-19, la enfermedad causada por el nuevo coronavirus SARS-CoV-2. La firma alemana espera que los ensayos clínicos comiencen a fines de abril de 2022. Otras dos compañías, Moderna y </w:t>
      </w:r>
      <w:proofErr w:type="spellStart"/>
      <w:r w:rsidRPr="006A1DC1">
        <w:rPr>
          <w:rFonts w:eastAsia="Calibri"/>
          <w:lang w:val="es-PE" w:eastAsia="en-US"/>
        </w:rPr>
        <w:t>CureVac</w:t>
      </w:r>
      <w:proofErr w:type="spellEnd"/>
      <w:r w:rsidRPr="006A1DC1">
        <w:rPr>
          <w:rFonts w:eastAsia="Calibri"/>
          <w:lang w:val="es-PE" w:eastAsia="en-US"/>
        </w:rPr>
        <w:t xml:space="preserve">, anunciaron trabajos sobre vacunas de ARNm para la COVID-19. Los Institutos Nacionales de Salud de EE.UU., comenzaron un ensayo clínico para evaluar la seguridad de la vacuna Moderna el 16 de marzo. Las vacunas mRNA contiene instrucciones para producir proteínas de coronavirus en células humanas. En teoría, eso debería proporcionar inmunidad al virus real. El programa </w:t>
      </w:r>
      <w:proofErr w:type="spellStart"/>
      <w:r w:rsidRPr="006A1DC1">
        <w:rPr>
          <w:rFonts w:eastAsia="Calibri"/>
          <w:lang w:val="es-PE" w:eastAsia="en-US"/>
        </w:rPr>
        <w:t>BioNTech</w:t>
      </w:r>
      <w:proofErr w:type="spellEnd"/>
      <w:r w:rsidRPr="006A1DC1">
        <w:rPr>
          <w:rFonts w:eastAsia="Calibri"/>
          <w:lang w:val="es-PE" w:eastAsia="en-US"/>
        </w:rPr>
        <w:t xml:space="preserve"> tiene dos partes. </w:t>
      </w:r>
      <w:proofErr w:type="spellStart"/>
      <w:r w:rsidRPr="006A1DC1">
        <w:rPr>
          <w:rFonts w:eastAsia="Calibri"/>
          <w:lang w:val="es-PE" w:eastAsia="en-US"/>
        </w:rPr>
        <w:t>Fosun</w:t>
      </w:r>
      <w:proofErr w:type="spellEnd"/>
      <w:r w:rsidRPr="006A1DC1">
        <w:rPr>
          <w:rFonts w:eastAsia="Calibri"/>
          <w:lang w:val="es-PE" w:eastAsia="en-US"/>
        </w:rPr>
        <w:t xml:space="preserve"> </w:t>
      </w:r>
      <w:proofErr w:type="spellStart"/>
      <w:r w:rsidRPr="006A1DC1">
        <w:rPr>
          <w:rFonts w:eastAsia="Calibri"/>
          <w:lang w:val="es-PE" w:eastAsia="en-US"/>
        </w:rPr>
        <w:t>Pharma</w:t>
      </w:r>
      <w:proofErr w:type="spellEnd"/>
      <w:r w:rsidRPr="006A1DC1">
        <w:rPr>
          <w:rFonts w:eastAsia="Calibri"/>
          <w:lang w:val="es-PE" w:eastAsia="en-US"/>
        </w:rPr>
        <w:t xml:space="preserve">, con sede en </w:t>
      </w:r>
      <w:proofErr w:type="spellStart"/>
      <w:r w:rsidRPr="006A1DC1">
        <w:rPr>
          <w:rFonts w:eastAsia="Calibri"/>
          <w:lang w:val="es-PE" w:eastAsia="en-US"/>
        </w:rPr>
        <w:t>Shanghai</w:t>
      </w:r>
      <w:proofErr w:type="spellEnd"/>
      <w:r w:rsidRPr="006A1DC1">
        <w:rPr>
          <w:rFonts w:eastAsia="Calibri"/>
          <w:lang w:val="es-PE" w:eastAsia="en-US"/>
        </w:rPr>
        <w:t xml:space="preserve">, firmó un acuerdo para probar la vacuna de la firma en China. </w:t>
      </w:r>
      <w:proofErr w:type="spellStart"/>
      <w:r w:rsidRPr="006A1DC1">
        <w:rPr>
          <w:rFonts w:eastAsia="Calibri"/>
          <w:lang w:val="es-PE" w:eastAsia="en-US"/>
        </w:rPr>
        <w:t>Fosun</w:t>
      </w:r>
      <w:proofErr w:type="spellEnd"/>
      <w:r w:rsidRPr="006A1DC1">
        <w:rPr>
          <w:rFonts w:eastAsia="Calibri"/>
          <w:lang w:val="es-PE" w:eastAsia="en-US"/>
        </w:rPr>
        <w:t xml:space="preserve"> también acordó invertir $ 50 millones en </w:t>
      </w:r>
      <w:proofErr w:type="spellStart"/>
      <w:r w:rsidRPr="006A1DC1">
        <w:rPr>
          <w:rFonts w:eastAsia="Calibri"/>
          <w:lang w:val="es-PE" w:eastAsia="en-US"/>
        </w:rPr>
        <w:t>BioNTech</w:t>
      </w:r>
      <w:proofErr w:type="spellEnd"/>
      <w:r w:rsidRPr="006A1DC1">
        <w:rPr>
          <w:rFonts w:eastAsia="Calibri"/>
          <w:lang w:val="es-PE" w:eastAsia="en-US"/>
        </w:rPr>
        <w:t xml:space="preserve">, lo que podría generar </w:t>
      </w:r>
      <w:r w:rsidRPr="006A1DC1">
        <w:rPr>
          <w:rFonts w:eastAsia="Calibri"/>
          <w:lang w:val="es-PE" w:eastAsia="en-US"/>
        </w:rPr>
        <w:lastRenderedPageBreak/>
        <w:t xml:space="preserve">hasta $ 85 millones en pagos adicionales. A cambio, </w:t>
      </w:r>
      <w:proofErr w:type="spellStart"/>
      <w:r w:rsidRPr="006A1DC1">
        <w:rPr>
          <w:rFonts w:eastAsia="Calibri"/>
          <w:lang w:val="es-PE" w:eastAsia="en-US"/>
        </w:rPr>
        <w:t>Fosun</w:t>
      </w:r>
      <w:proofErr w:type="spellEnd"/>
      <w:r w:rsidRPr="006A1DC1">
        <w:rPr>
          <w:rFonts w:eastAsia="Calibri"/>
          <w:lang w:val="es-PE" w:eastAsia="en-US"/>
        </w:rPr>
        <w:t xml:space="preserve"> obtiene los derechos para comercializar la vacuna en </w:t>
      </w:r>
      <w:proofErr w:type="gramStart"/>
      <w:r w:rsidRPr="006A1DC1">
        <w:rPr>
          <w:rFonts w:eastAsia="Calibri"/>
          <w:lang w:val="es-PE" w:eastAsia="en-US"/>
        </w:rPr>
        <w:t>China.</w:t>
      </w:r>
      <w:r w:rsidRPr="006A1DC1">
        <w:rPr>
          <w:rFonts w:eastAsia="Calibri"/>
          <w:vertAlign w:val="superscript"/>
          <w:lang w:val="es-PE" w:eastAsia="en-US"/>
        </w:rPr>
        <w:t>(</w:t>
      </w:r>
      <w:proofErr w:type="gramEnd"/>
      <w:r w:rsidRPr="006A1DC1">
        <w:rPr>
          <w:rFonts w:eastAsia="Calibri"/>
          <w:vertAlign w:val="superscript"/>
          <w:lang w:val="es-PE" w:eastAsia="en-US"/>
        </w:rPr>
        <w:t>32)</w:t>
      </w:r>
    </w:p>
    <w:p w14:paraId="0F5A6A04" w14:textId="77777777" w:rsidR="006A1DC1" w:rsidRPr="006A1DC1" w:rsidRDefault="006A1DC1" w:rsidP="006A1DC1">
      <w:pPr>
        <w:spacing w:line="360" w:lineRule="auto"/>
        <w:jc w:val="center"/>
        <w:rPr>
          <w:rFonts w:eastAsia="Calibri"/>
          <w:b/>
          <w:iCs/>
          <w:sz w:val="28"/>
          <w:szCs w:val="28"/>
          <w:lang w:val="es-PE" w:eastAsia="en-US"/>
        </w:rPr>
      </w:pPr>
      <w:r w:rsidRPr="006A1DC1">
        <w:rPr>
          <w:rFonts w:eastAsia="Calibri"/>
          <w:b/>
          <w:iCs/>
          <w:sz w:val="28"/>
          <w:szCs w:val="28"/>
          <w:lang w:val="es-PE" w:eastAsia="en-US"/>
        </w:rPr>
        <w:t>Tipos de vacunas antivirales</w:t>
      </w:r>
    </w:p>
    <w:p w14:paraId="1AA1CCD5"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Las vacunas antivirales; por lo general se dividen en: virus inactivados o atenuados vivos, partículas similares a virus (VLP), vectores virales, vacunas basadas en proteínas, basadas en ADN y basadas en ARNm. Se informó que las vacunas de la subunidad de la proteína viral V producían títulos de anticuerpos neutralizantes más altos y una protección más completa que el SARS-CoV-2 vivo atenuado, las proteínas S de longitud completa y las vacunas de proteína S basadas en ADN. </w:t>
      </w:r>
    </w:p>
    <w:p w14:paraId="4C3BD5C1" w14:textId="77777777" w:rsidR="006A1DC1" w:rsidRPr="006A1DC1" w:rsidRDefault="006A1DC1" w:rsidP="006A1DC1">
      <w:pPr>
        <w:spacing w:line="360" w:lineRule="auto"/>
        <w:jc w:val="both"/>
        <w:rPr>
          <w:rFonts w:eastAsia="Calibri"/>
          <w:vertAlign w:val="superscript"/>
          <w:lang w:val="es-PE" w:eastAsia="en-US"/>
        </w:rPr>
      </w:pPr>
      <w:r w:rsidRPr="006A1DC1">
        <w:rPr>
          <w:rFonts w:eastAsia="Calibri"/>
          <w:lang w:val="es-PE" w:eastAsia="en-US"/>
        </w:rPr>
        <w:t>Como se esperaba, la mitad de las patentes se centraron en las vacunas proteicas que comprenden la vacuna de la subunidad de la proteína S y las vacunas dirigidas al dominio de unión al receptor de la subunidad S1 del virus de la proteína S (RBD). En conjunto, la proteína S/ gen es el sitio objetivo preferido en el desarrollo de la vacuna SARS/ MERS, y la misma estrategia puede ser útil en el desarrollo de vacunas contra SARS-CoV-2. La solicitud de patente WO2015081155 describe inmunógenos, que comprenden proteínas consenso derivadas de la proteína espiga MERS-</w:t>
      </w:r>
      <w:proofErr w:type="spellStart"/>
      <w:r w:rsidRPr="006A1DC1">
        <w:rPr>
          <w:rFonts w:eastAsia="Calibri"/>
          <w:lang w:val="es-PE" w:eastAsia="en-US"/>
        </w:rPr>
        <w:t>CoV</w:t>
      </w:r>
      <w:proofErr w:type="spellEnd"/>
      <w:r w:rsidRPr="006A1DC1">
        <w:rPr>
          <w:rFonts w:eastAsia="Calibri"/>
          <w:lang w:val="es-PE" w:eastAsia="en-US"/>
        </w:rPr>
        <w:t>, para usar en vacunas basadas en ADN dirigido a MERS-</w:t>
      </w:r>
      <w:proofErr w:type="spellStart"/>
      <w:r w:rsidRPr="006A1DC1">
        <w:rPr>
          <w:rFonts w:eastAsia="Calibri"/>
          <w:lang w:val="es-PE" w:eastAsia="en-US"/>
        </w:rPr>
        <w:t>CoV</w:t>
      </w:r>
      <w:proofErr w:type="spellEnd"/>
      <w:r w:rsidRPr="006A1DC1">
        <w:rPr>
          <w:rFonts w:eastAsia="Calibri"/>
          <w:lang w:val="es-PE" w:eastAsia="en-US"/>
        </w:rPr>
        <w:t xml:space="preserve">. El pico de proteína de consenso indujo respuestas inmunes tanto humorales como celulares, incluyendo títulos aumentados de IgG y anticuerpos neutralizantes. La respuesta inmune celular inducida implicó un aumento en las respuestas de células T CD3 + CD4 + y CD3 + CD8 + que produjeron IFN-γ, TNF-α, IL-2, o ambos IFN-γ y TNF-α. El 3 de marzo de 2020, </w:t>
      </w:r>
      <w:proofErr w:type="spellStart"/>
      <w:r w:rsidRPr="006A1DC1">
        <w:rPr>
          <w:rFonts w:eastAsia="Calibri"/>
          <w:lang w:val="es-PE" w:eastAsia="en-US"/>
        </w:rPr>
        <w:t>Inovio</w:t>
      </w:r>
      <w:proofErr w:type="spellEnd"/>
      <w:r w:rsidRPr="006A1DC1">
        <w:rPr>
          <w:rFonts w:eastAsia="Calibri"/>
          <w:lang w:val="es-PE" w:eastAsia="en-US"/>
        </w:rPr>
        <w:t xml:space="preserve"> </w:t>
      </w:r>
      <w:proofErr w:type="spellStart"/>
      <w:r w:rsidRPr="006A1DC1">
        <w:rPr>
          <w:rFonts w:eastAsia="Calibri"/>
          <w:lang w:val="es-PE" w:eastAsia="en-US"/>
        </w:rPr>
        <w:t>Pharmaceutical</w:t>
      </w:r>
      <w:proofErr w:type="spellEnd"/>
      <w:r w:rsidRPr="006A1DC1">
        <w:rPr>
          <w:rFonts w:eastAsia="Calibri"/>
          <w:lang w:val="es-PE" w:eastAsia="en-US"/>
        </w:rPr>
        <w:t>, Inc</w:t>
      </w:r>
      <w:r w:rsidRPr="006A1DC1">
        <w:rPr>
          <w:rFonts w:eastAsia="Calibri"/>
          <w:i/>
          <w:iCs/>
          <w:lang w:val="es-PE" w:eastAsia="en-US"/>
        </w:rPr>
        <w:t>.</w:t>
      </w:r>
      <w:r w:rsidRPr="006A1DC1">
        <w:rPr>
          <w:rFonts w:eastAsia="Calibri"/>
          <w:lang w:val="es-PE" w:eastAsia="en-US"/>
        </w:rPr>
        <w:t xml:space="preserve"> anunció que había diseñado la vacuna de ADN llamada INO-4800 para ser planificada para ensayos en humanos en los </w:t>
      </w:r>
      <w:proofErr w:type="gramStart"/>
      <w:r w:rsidRPr="006A1DC1">
        <w:rPr>
          <w:rFonts w:eastAsia="Calibri"/>
          <w:lang w:val="es-PE" w:eastAsia="en-US"/>
        </w:rPr>
        <w:t>EE.UU.</w:t>
      </w:r>
      <w:r w:rsidRPr="006A1DC1">
        <w:rPr>
          <w:rFonts w:eastAsia="Calibri"/>
          <w:vertAlign w:val="superscript"/>
          <w:lang w:val="es-PE" w:eastAsia="en-US"/>
        </w:rPr>
        <w:t>(</w:t>
      </w:r>
      <w:proofErr w:type="gramEnd"/>
      <w:r w:rsidRPr="006A1DC1">
        <w:rPr>
          <w:rFonts w:eastAsia="Calibri"/>
          <w:vertAlign w:val="superscript"/>
          <w:lang w:val="es-PE" w:eastAsia="en-US"/>
        </w:rPr>
        <w:t>32,33)</w:t>
      </w:r>
    </w:p>
    <w:p w14:paraId="2E8426CE" w14:textId="77777777" w:rsidR="006A1DC1" w:rsidRPr="006A1DC1" w:rsidRDefault="006A1DC1" w:rsidP="006A1DC1">
      <w:pPr>
        <w:spacing w:line="360" w:lineRule="auto"/>
        <w:jc w:val="center"/>
        <w:rPr>
          <w:rFonts w:eastAsia="Calibri"/>
          <w:b/>
          <w:iCs/>
          <w:sz w:val="28"/>
          <w:szCs w:val="28"/>
          <w:lang w:val="es-PE" w:eastAsia="en-US"/>
        </w:rPr>
      </w:pPr>
      <w:r w:rsidRPr="006A1DC1">
        <w:rPr>
          <w:rFonts w:eastAsia="Calibri"/>
          <w:b/>
          <w:iCs/>
          <w:sz w:val="28"/>
          <w:szCs w:val="28"/>
          <w:lang w:val="es-PE" w:eastAsia="en-US"/>
        </w:rPr>
        <w:t>Vacunas basadas en ARNm</w:t>
      </w:r>
    </w:p>
    <w:p w14:paraId="1ED17093"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Las ventajas potenciales de un enfoque de ARNm para las vacunas profilácticas incluyen la capacidad de imitar la infección natural para estimular una respuesta inmune más potente, así como la capacidad de combinar múltiples ARNm en una sola vacuna. La solicitud de patente Moderna WO2017070626 describe vacunas de ARNm compuestas de ARNm que codifica proteínas antigénicas virales completas S, S1 o S2 de virus SARS-CoV-2 y MERS-</w:t>
      </w:r>
      <w:proofErr w:type="spellStart"/>
      <w:r w:rsidRPr="006A1DC1">
        <w:rPr>
          <w:rFonts w:eastAsia="Calibri"/>
          <w:lang w:val="es-PE" w:eastAsia="en-US"/>
        </w:rPr>
        <w:t>CoV</w:t>
      </w:r>
      <w:proofErr w:type="spellEnd"/>
      <w:r w:rsidRPr="006A1DC1">
        <w:rPr>
          <w:rFonts w:eastAsia="Calibri"/>
          <w:lang w:val="es-PE" w:eastAsia="en-US"/>
        </w:rPr>
        <w:t xml:space="preserve">, formuladas en nanopartículas de lípidos catiónicos. Muestran que los ratones vacunados con el ARNm codificador de la proteína S de coronavirus de longitud completa generaron títulos de anticuerpos neutralizantes mucho más altos en comparación con la </w:t>
      </w:r>
      <w:r w:rsidRPr="006A1DC1">
        <w:rPr>
          <w:rFonts w:eastAsia="Calibri"/>
          <w:lang w:val="es-PE" w:eastAsia="en-US"/>
        </w:rPr>
        <w:lastRenderedPageBreak/>
        <w:t>subunidad S2 que codifica la proteína S. Conejos blancos de Nueva Zelanda inmunizados con la vacuna. El ARNm de SARS-</w:t>
      </w:r>
      <w:proofErr w:type="spellStart"/>
      <w:r w:rsidRPr="006A1DC1">
        <w:rPr>
          <w:rFonts w:eastAsia="Calibri"/>
          <w:lang w:val="es-PE" w:eastAsia="en-US"/>
        </w:rPr>
        <w:t>CoV</w:t>
      </w:r>
      <w:proofErr w:type="spellEnd"/>
      <w:r w:rsidRPr="006A1DC1">
        <w:rPr>
          <w:rFonts w:eastAsia="Calibri"/>
          <w:lang w:val="es-PE" w:eastAsia="en-US"/>
        </w:rPr>
        <w:t xml:space="preserve"> que codifica la proteína S de longitud completa redujo más del 90 de la carga viral en los pulmones de conejo e indujo una cantidad significativa de anticuerpo neutralizante contra SARS-</w:t>
      </w:r>
      <w:proofErr w:type="spellStart"/>
      <w:r w:rsidRPr="006A1DC1">
        <w:rPr>
          <w:rFonts w:eastAsia="Calibri"/>
          <w:lang w:val="es-PE" w:eastAsia="en-US"/>
        </w:rPr>
        <w:t>CoV</w:t>
      </w:r>
      <w:proofErr w:type="spellEnd"/>
      <w:r w:rsidRPr="006A1DC1">
        <w:rPr>
          <w:rFonts w:eastAsia="Calibri"/>
          <w:lang w:val="es-PE" w:eastAsia="en-US"/>
        </w:rPr>
        <w:t xml:space="preserve">. </w:t>
      </w:r>
    </w:p>
    <w:p w14:paraId="63D872AB" w14:textId="77777777" w:rsidR="006A1DC1" w:rsidRPr="006A1DC1" w:rsidRDefault="006A1DC1" w:rsidP="006A1DC1">
      <w:pPr>
        <w:spacing w:line="360" w:lineRule="auto"/>
        <w:jc w:val="both"/>
        <w:rPr>
          <w:rFonts w:eastAsia="Calibri"/>
          <w:vertAlign w:val="superscript"/>
          <w:lang w:val="es-PE" w:eastAsia="en-US"/>
        </w:rPr>
      </w:pPr>
      <w:r w:rsidRPr="006A1DC1">
        <w:rPr>
          <w:rFonts w:eastAsia="Calibri"/>
          <w:lang w:val="es-PE" w:eastAsia="en-US"/>
        </w:rPr>
        <w:t>Moderna</w:t>
      </w:r>
      <w:r w:rsidRPr="006A1DC1">
        <w:rPr>
          <w:rFonts w:eastAsia="Calibri"/>
          <w:i/>
          <w:iCs/>
          <w:lang w:val="es-PE" w:eastAsia="en-US"/>
        </w:rPr>
        <w:t xml:space="preserve"> </w:t>
      </w:r>
      <w:r w:rsidRPr="006A1DC1">
        <w:rPr>
          <w:rFonts w:eastAsia="Calibri"/>
          <w:lang w:val="es-PE" w:eastAsia="en-US"/>
        </w:rPr>
        <w:t>anunció el 24 de febrero de 2020, lanzó el primer lote de ARNm-1273</w:t>
      </w:r>
      <w:r w:rsidRPr="006A1DC1">
        <w:rPr>
          <w:rFonts w:eastAsia="Calibri"/>
          <w:i/>
          <w:iCs/>
          <w:lang w:val="es-PE" w:eastAsia="en-US"/>
        </w:rPr>
        <w:t xml:space="preserve"> </w:t>
      </w:r>
      <w:r w:rsidRPr="006A1DC1">
        <w:rPr>
          <w:rFonts w:eastAsia="Calibri"/>
          <w:lang w:val="es-PE" w:eastAsia="en-US"/>
        </w:rPr>
        <w:t>contra el SARS-CoV-2 para uso en humanos. Moderna informa que el ARNm-1273 es una vacuna de ARNm</w:t>
      </w:r>
      <w:r w:rsidRPr="006A1DC1">
        <w:rPr>
          <w:rFonts w:eastAsia="Calibri"/>
          <w:i/>
          <w:iCs/>
          <w:lang w:val="es-PE" w:eastAsia="en-US"/>
        </w:rPr>
        <w:t xml:space="preserve"> </w:t>
      </w:r>
      <w:r w:rsidRPr="006A1DC1">
        <w:rPr>
          <w:rFonts w:eastAsia="Calibri"/>
          <w:lang w:val="es-PE" w:eastAsia="en-US"/>
        </w:rPr>
        <w:t xml:space="preserve">dirigida a una forma de proteína de </w:t>
      </w:r>
      <w:proofErr w:type="spellStart"/>
      <w:r w:rsidRPr="006A1DC1">
        <w:rPr>
          <w:rFonts w:eastAsia="Calibri"/>
          <w:lang w:val="es-PE" w:eastAsia="en-US"/>
        </w:rPr>
        <w:t>prefusión</w:t>
      </w:r>
      <w:proofErr w:type="spellEnd"/>
      <w:r w:rsidRPr="006A1DC1">
        <w:rPr>
          <w:rFonts w:eastAsia="Calibri"/>
          <w:lang w:val="es-PE" w:eastAsia="en-US"/>
        </w:rPr>
        <w:t xml:space="preserve"> de estabilización S asociada con el SARS-CoV-2, que fue seleccionada por Moderna en colaboración con investigadores del Centro de Investigación de Vacunas del NIAID. La fabricación de este lote fue financiada por la Coalición para la Preparación de Epidemias e Innovaciones. La solicitud de patente WO2018115527 describe vacunas que comprenden </w:t>
      </w:r>
      <w:r w:rsidRPr="006A1DC1">
        <w:rPr>
          <w:rFonts w:eastAsia="Calibri"/>
          <w:i/>
          <w:iCs/>
          <w:lang w:val="es-PE" w:eastAsia="en-US"/>
        </w:rPr>
        <w:t xml:space="preserve">ARNm </w:t>
      </w:r>
      <w:r w:rsidRPr="006A1DC1">
        <w:rPr>
          <w:rFonts w:eastAsia="Calibri"/>
          <w:lang w:val="es-PE" w:eastAsia="en-US"/>
        </w:rPr>
        <w:t xml:space="preserve">que codifica al menos un antígeno de un coronavirus </w:t>
      </w:r>
      <w:r w:rsidRPr="006A1DC1">
        <w:rPr>
          <w:rFonts w:eastAsia="Calibri"/>
          <w:i/>
          <w:iCs/>
          <w:lang w:val="es-PE" w:eastAsia="en-US"/>
        </w:rPr>
        <w:t>MERS</w:t>
      </w:r>
      <w:r w:rsidRPr="006A1DC1">
        <w:rPr>
          <w:rFonts w:eastAsia="Calibri"/>
          <w:lang w:val="es-PE" w:eastAsia="en-US"/>
        </w:rPr>
        <w:t>, una proteína S o un fragmento de proteína S (S1), una proteína de envoltura (E), una proteína de membrana (M) o una proteína de nucleocápside (N), todos los cuales fueron efectivos para inducir una respuesta inmune específica de antígeno. Se demostró que la administración intradérmica en ratones de una mezcla de ARNm encapsulado en nanopartículas lipídicas (LNP) que codifica proteínas SARS-</w:t>
      </w:r>
      <w:proofErr w:type="spellStart"/>
      <w:r w:rsidRPr="006A1DC1">
        <w:rPr>
          <w:rFonts w:eastAsia="Calibri"/>
          <w:lang w:val="es-PE" w:eastAsia="en-US"/>
        </w:rPr>
        <w:t>CoV</w:t>
      </w:r>
      <w:proofErr w:type="spellEnd"/>
      <w:r w:rsidRPr="006A1DC1">
        <w:rPr>
          <w:rFonts w:eastAsia="Calibri"/>
          <w:lang w:val="es-PE" w:eastAsia="en-US"/>
        </w:rPr>
        <w:t xml:space="preserve"> S da como resultado la traducción in vivo e inducción de respuestas inmunes </w:t>
      </w:r>
      <w:proofErr w:type="gramStart"/>
      <w:r w:rsidRPr="006A1DC1">
        <w:rPr>
          <w:rFonts w:eastAsia="Calibri"/>
          <w:lang w:val="es-PE" w:eastAsia="en-US"/>
        </w:rPr>
        <w:t>humorales.</w:t>
      </w:r>
      <w:r w:rsidRPr="006A1DC1">
        <w:rPr>
          <w:rFonts w:eastAsia="Calibri"/>
          <w:vertAlign w:val="superscript"/>
          <w:lang w:val="es-PE" w:eastAsia="en-US"/>
        </w:rPr>
        <w:t>(</w:t>
      </w:r>
      <w:proofErr w:type="gramEnd"/>
      <w:r w:rsidRPr="006A1DC1">
        <w:rPr>
          <w:rFonts w:eastAsia="Calibri"/>
          <w:vertAlign w:val="superscript"/>
          <w:lang w:val="es-PE" w:eastAsia="en-US"/>
        </w:rPr>
        <w:t>34)</w:t>
      </w:r>
    </w:p>
    <w:p w14:paraId="01B3FDF7"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Los nanosistemas de alto rendimiento contribuyen a las vacunas al actuar como adyuvantes o portadores, así como barreras efectivas. Las vacunas apoyadas por nanosistemas protegen los antígenos contra la degradación prematura, pueden atravesar las membranas celulares, permitir la liberación sostenida, mejorar la estabilidad y fomentar la administración dirigida de inmunógenos. La BNT162b, una de las vacunas efectivas contra el COVID-19, </w:t>
      </w:r>
      <w:proofErr w:type="spellStart"/>
      <w:r w:rsidRPr="006A1DC1">
        <w:rPr>
          <w:rFonts w:eastAsia="Calibri"/>
          <w:lang w:val="es-PE" w:eastAsia="en-US"/>
        </w:rPr>
        <w:t>BioNTech</w:t>
      </w:r>
      <w:proofErr w:type="spellEnd"/>
      <w:r w:rsidRPr="006A1DC1">
        <w:rPr>
          <w:rFonts w:eastAsia="Calibri"/>
          <w:lang w:val="es-PE" w:eastAsia="en-US"/>
        </w:rPr>
        <w:t xml:space="preserve"> y Pfizer, contiene </w:t>
      </w:r>
      <w:proofErr w:type="spellStart"/>
      <w:r w:rsidRPr="006A1DC1">
        <w:rPr>
          <w:rFonts w:eastAsia="Calibri"/>
          <w:lang w:val="es-PE" w:eastAsia="en-US"/>
        </w:rPr>
        <w:t>nanoformulación</w:t>
      </w:r>
      <w:proofErr w:type="spellEnd"/>
      <w:r w:rsidRPr="006A1DC1">
        <w:rPr>
          <w:rFonts w:eastAsia="Calibri"/>
          <w:lang w:val="es-PE" w:eastAsia="en-US"/>
        </w:rPr>
        <w:t xml:space="preserve"> basada en lípidos. Como resultado, se mantiene la conformación de </w:t>
      </w:r>
      <w:proofErr w:type="spellStart"/>
      <w:r w:rsidRPr="006A1DC1">
        <w:rPr>
          <w:rFonts w:eastAsia="Calibri"/>
          <w:lang w:val="es-PE" w:eastAsia="en-US"/>
        </w:rPr>
        <w:t>prefusión</w:t>
      </w:r>
      <w:proofErr w:type="spellEnd"/>
      <w:r w:rsidRPr="006A1DC1">
        <w:rPr>
          <w:rFonts w:eastAsia="Calibri"/>
          <w:lang w:val="es-PE" w:eastAsia="en-US"/>
        </w:rPr>
        <w:t xml:space="preserve"> de la proteína S y el dominio de unión al receptor, lo que permite la neutralización efectiva de las células </w:t>
      </w:r>
      <w:proofErr w:type="gramStart"/>
      <w:r w:rsidRPr="006A1DC1">
        <w:rPr>
          <w:rFonts w:eastAsia="Calibri"/>
          <w:lang w:val="es-PE" w:eastAsia="en-US"/>
        </w:rPr>
        <w:t>inmunes.</w:t>
      </w:r>
      <w:r w:rsidRPr="006A1DC1">
        <w:rPr>
          <w:rFonts w:eastAsia="Calibri"/>
          <w:vertAlign w:val="superscript"/>
          <w:lang w:val="es-PE" w:eastAsia="en-US"/>
        </w:rPr>
        <w:t>(</w:t>
      </w:r>
      <w:proofErr w:type="gramEnd"/>
      <w:r w:rsidRPr="006A1DC1">
        <w:rPr>
          <w:rFonts w:eastAsia="Calibri"/>
          <w:vertAlign w:val="superscript"/>
          <w:lang w:val="es-PE" w:eastAsia="en-US"/>
        </w:rPr>
        <w:t>35)</w:t>
      </w:r>
    </w:p>
    <w:p w14:paraId="71229929"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En conclusión, el ensayo de </w:t>
      </w:r>
      <w:proofErr w:type="spellStart"/>
      <w:r w:rsidRPr="006A1DC1">
        <w:rPr>
          <w:rFonts w:eastAsia="Calibri"/>
          <w:lang w:val="es-PE" w:eastAsia="en-US"/>
        </w:rPr>
        <w:t>rRT</w:t>
      </w:r>
      <w:proofErr w:type="spellEnd"/>
      <w:r w:rsidRPr="006A1DC1">
        <w:rPr>
          <w:rFonts w:eastAsia="Calibri"/>
          <w:lang w:val="es-PE" w:eastAsia="en-US"/>
        </w:rPr>
        <w:t xml:space="preserve">-PCR proporciona alta sensibilidad y especificidad. El ensayo ORF 1b junto con el ensayo </w:t>
      </w:r>
      <w:proofErr w:type="spellStart"/>
      <w:r w:rsidRPr="006A1DC1">
        <w:rPr>
          <w:rFonts w:eastAsia="Calibri"/>
          <w:lang w:val="es-PE" w:eastAsia="en-US"/>
        </w:rPr>
        <w:t>upE</w:t>
      </w:r>
      <w:proofErr w:type="spellEnd"/>
      <w:r w:rsidRPr="006A1DC1">
        <w:rPr>
          <w:rFonts w:eastAsia="Calibri"/>
          <w:lang w:val="es-PE" w:eastAsia="en-US"/>
        </w:rPr>
        <w:t xml:space="preserve"> son pruebas confirmatorias. Las dianas que se emplean para la detección específica del genoma del SARS-CoV-2 por </w:t>
      </w:r>
      <w:proofErr w:type="spellStart"/>
      <w:r w:rsidRPr="006A1DC1">
        <w:rPr>
          <w:rFonts w:eastAsia="Calibri"/>
          <w:lang w:val="es-PE" w:eastAsia="en-US"/>
        </w:rPr>
        <w:t>rRT</w:t>
      </w:r>
      <w:proofErr w:type="spellEnd"/>
      <w:r w:rsidRPr="006A1DC1">
        <w:rPr>
          <w:rFonts w:eastAsia="Calibri"/>
          <w:lang w:val="es-PE" w:eastAsia="en-US"/>
        </w:rPr>
        <w:t xml:space="preserve">-PCR se encuentran en las regiones ORF1a y 1b, </w:t>
      </w:r>
      <w:proofErr w:type="spellStart"/>
      <w:r w:rsidRPr="006A1DC1">
        <w:rPr>
          <w:rFonts w:eastAsia="Calibri"/>
          <w:lang w:val="es-PE" w:eastAsia="en-US"/>
        </w:rPr>
        <w:t>RdRp</w:t>
      </w:r>
      <w:proofErr w:type="spellEnd"/>
      <w:r w:rsidRPr="006A1DC1">
        <w:rPr>
          <w:rFonts w:eastAsia="Calibri"/>
          <w:lang w:val="es-PE" w:eastAsia="en-US"/>
        </w:rPr>
        <w:t>, N, S y E del ARN viral.</w:t>
      </w:r>
    </w:p>
    <w:p w14:paraId="575AAF15"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lastRenderedPageBreak/>
        <w:t xml:space="preserve">Los CDC de los EE.UU. han desarrollado RT-PCR dirigidos a la proteína N de la nucleocápside del material genético SARS-CoV-2, que puede complementar los ensayos </w:t>
      </w:r>
      <w:proofErr w:type="spellStart"/>
      <w:r w:rsidRPr="006A1DC1">
        <w:rPr>
          <w:rFonts w:eastAsia="Calibri"/>
          <w:lang w:val="es-PE" w:eastAsia="en-US"/>
        </w:rPr>
        <w:t>upE</w:t>
      </w:r>
      <w:proofErr w:type="spellEnd"/>
      <w:r w:rsidRPr="006A1DC1">
        <w:rPr>
          <w:rFonts w:eastAsia="Calibri"/>
          <w:lang w:val="es-PE" w:eastAsia="en-US"/>
        </w:rPr>
        <w:t xml:space="preserve"> y gen de la proteína 1b (ORF 1b) para detección y confirmación. Los candidatos a las vacunas en investigación se agrupan en seis grandes grupos; virus completo inactivado, virus atenuado, vector viral, vacuna de ADN, subunidades y partículas. En general, se basan en la proteína S de la columna vertebral viral, pero también en otras como la del nucleocápside (N), la envoltura (E) e incluso proteínas no estructurales (NSP16). </w:t>
      </w:r>
    </w:p>
    <w:p w14:paraId="4CFBACD8" w14:textId="77777777" w:rsidR="006A1DC1" w:rsidRPr="006A1DC1" w:rsidRDefault="006A1DC1" w:rsidP="006A1DC1">
      <w:pPr>
        <w:spacing w:line="360" w:lineRule="auto"/>
        <w:jc w:val="both"/>
        <w:rPr>
          <w:rFonts w:eastAsia="Calibri"/>
          <w:lang w:val="es-PE" w:eastAsia="en-US"/>
        </w:rPr>
      </w:pPr>
    </w:p>
    <w:p w14:paraId="6E22A9BE" w14:textId="77777777" w:rsidR="006A1DC1" w:rsidRPr="006A1DC1" w:rsidRDefault="006A1DC1" w:rsidP="006A1DC1">
      <w:pPr>
        <w:spacing w:line="360" w:lineRule="auto"/>
        <w:jc w:val="both"/>
        <w:rPr>
          <w:rFonts w:eastAsia="Calibri"/>
          <w:b/>
          <w:bCs/>
          <w:lang w:val="es-PE" w:eastAsia="en-US"/>
        </w:rPr>
      </w:pPr>
    </w:p>
    <w:p w14:paraId="42D6BE9B" w14:textId="77777777" w:rsidR="006A1DC1" w:rsidRPr="006A1DC1" w:rsidRDefault="006A1DC1" w:rsidP="006A1DC1">
      <w:pPr>
        <w:spacing w:line="360" w:lineRule="auto"/>
        <w:jc w:val="center"/>
        <w:rPr>
          <w:rFonts w:eastAsia="Calibri"/>
          <w:b/>
          <w:bCs/>
          <w:sz w:val="32"/>
          <w:szCs w:val="32"/>
          <w:lang w:val="es-PE" w:eastAsia="en-US"/>
        </w:rPr>
      </w:pPr>
      <w:r w:rsidRPr="006A1DC1">
        <w:rPr>
          <w:rFonts w:eastAsia="Calibri"/>
          <w:b/>
          <w:bCs/>
          <w:sz w:val="32"/>
          <w:szCs w:val="32"/>
          <w:lang w:val="es-PE" w:eastAsia="en-US"/>
        </w:rPr>
        <w:t>REFERENCIAS BIBLIOGRÁFICAS</w:t>
      </w:r>
    </w:p>
    <w:p w14:paraId="435B1F65"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s-PE" w:eastAsia="en-US"/>
        </w:rPr>
        <w:t xml:space="preserve">1. de Groot RJ, Baker SC, </w:t>
      </w:r>
      <w:proofErr w:type="spellStart"/>
      <w:r w:rsidRPr="006A1DC1">
        <w:rPr>
          <w:rFonts w:eastAsia="Calibri"/>
          <w:lang w:val="es-PE" w:eastAsia="en-US"/>
        </w:rPr>
        <w:t>Baric</w:t>
      </w:r>
      <w:proofErr w:type="spellEnd"/>
      <w:r w:rsidRPr="006A1DC1">
        <w:rPr>
          <w:rFonts w:eastAsia="Calibri"/>
          <w:lang w:val="es-PE" w:eastAsia="en-US"/>
        </w:rPr>
        <w:t xml:space="preserve"> RS, </w:t>
      </w:r>
      <w:proofErr w:type="spellStart"/>
      <w:r w:rsidRPr="006A1DC1">
        <w:rPr>
          <w:rFonts w:eastAsia="Calibri"/>
          <w:lang w:val="es-PE" w:eastAsia="en-US"/>
        </w:rPr>
        <w:t>Enjuanes</w:t>
      </w:r>
      <w:proofErr w:type="spellEnd"/>
      <w:r w:rsidRPr="006A1DC1">
        <w:rPr>
          <w:rFonts w:eastAsia="Calibri"/>
          <w:lang w:val="es-PE" w:eastAsia="en-US"/>
        </w:rPr>
        <w:t xml:space="preserve"> L, </w:t>
      </w:r>
      <w:proofErr w:type="spellStart"/>
      <w:r w:rsidRPr="006A1DC1">
        <w:rPr>
          <w:rFonts w:eastAsia="Calibri"/>
          <w:lang w:val="es-PE" w:eastAsia="en-US"/>
        </w:rPr>
        <w:t>Gorbalenya</w:t>
      </w:r>
      <w:proofErr w:type="spellEnd"/>
      <w:r w:rsidRPr="006A1DC1">
        <w:rPr>
          <w:rFonts w:eastAsia="Calibri"/>
          <w:lang w:val="es-PE" w:eastAsia="en-US"/>
        </w:rPr>
        <w:t xml:space="preserve"> AE, Holmes KV, et al. </w:t>
      </w:r>
      <w:r w:rsidRPr="006A1DC1">
        <w:rPr>
          <w:rFonts w:eastAsia="Calibri"/>
          <w:lang w:val="en-US" w:eastAsia="en-US"/>
        </w:rPr>
        <w:t>Middle East respiratory syndrome coronavirus (MERS-</w:t>
      </w:r>
      <w:proofErr w:type="spellStart"/>
      <w:r w:rsidRPr="006A1DC1">
        <w:rPr>
          <w:rFonts w:eastAsia="Calibri"/>
          <w:lang w:val="en-US" w:eastAsia="en-US"/>
        </w:rPr>
        <w:t>CoV</w:t>
      </w:r>
      <w:proofErr w:type="spellEnd"/>
      <w:r w:rsidRPr="006A1DC1">
        <w:rPr>
          <w:rFonts w:eastAsia="Calibri"/>
          <w:lang w:val="en-US" w:eastAsia="en-US"/>
        </w:rPr>
        <w:t xml:space="preserve">): announcement of the Coronavirus Study Group. J </w:t>
      </w:r>
      <w:proofErr w:type="spellStart"/>
      <w:r w:rsidRPr="006A1DC1">
        <w:rPr>
          <w:rFonts w:eastAsia="Calibri"/>
          <w:lang w:val="en-US" w:eastAsia="en-US"/>
        </w:rPr>
        <w:t>Virol</w:t>
      </w:r>
      <w:proofErr w:type="spellEnd"/>
      <w:r w:rsidRPr="006A1DC1">
        <w:rPr>
          <w:rFonts w:eastAsia="Calibri"/>
          <w:lang w:val="en-US" w:eastAsia="en-US"/>
        </w:rPr>
        <w:t>. 2013; 87(14): 7790-2. DOI:10.1128/JVI.01244-13</w:t>
      </w:r>
    </w:p>
    <w:p w14:paraId="19D02C6D"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2. </w:t>
      </w:r>
      <w:proofErr w:type="spellStart"/>
      <w:r w:rsidRPr="006A1DC1">
        <w:rPr>
          <w:rFonts w:eastAsia="Calibri"/>
          <w:lang w:val="en-US" w:eastAsia="en-US"/>
        </w:rPr>
        <w:t>Gloza</w:t>
      </w:r>
      <w:proofErr w:type="spellEnd"/>
      <w:r w:rsidRPr="006A1DC1">
        <w:rPr>
          <w:rFonts w:eastAsia="Calibri"/>
          <w:lang w:val="en-US" w:eastAsia="en-US"/>
        </w:rPr>
        <w:t xml:space="preserve">-Rausch F, Ipsen A, </w:t>
      </w:r>
      <w:proofErr w:type="spellStart"/>
      <w:r w:rsidRPr="006A1DC1">
        <w:rPr>
          <w:rFonts w:eastAsia="Calibri"/>
          <w:lang w:val="en-US" w:eastAsia="en-US"/>
        </w:rPr>
        <w:t>Seebens</w:t>
      </w:r>
      <w:proofErr w:type="spellEnd"/>
      <w:r w:rsidRPr="006A1DC1">
        <w:rPr>
          <w:rFonts w:eastAsia="Calibri"/>
          <w:lang w:val="en-US" w:eastAsia="en-US"/>
        </w:rPr>
        <w:t xml:space="preserve"> A, </w:t>
      </w:r>
      <w:proofErr w:type="spellStart"/>
      <w:r w:rsidRPr="006A1DC1">
        <w:rPr>
          <w:rFonts w:eastAsia="Calibri"/>
          <w:lang w:val="en-US" w:eastAsia="en-US"/>
        </w:rPr>
        <w:t>Göttsche</w:t>
      </w:r>
      <w:proofErr w:type="spellEnd"/>
      <w:r w:rsidRPr="006A1DC1">
        <w:rPr>
          <w:rFonts w:eastAsia="Calibri"/>
          <w:lang w:val="en-US" w:eastAsia="en-US"/>
        </w:rPr>
        <w:t xml:space="preserve"> M, Panning M, Drexler JF, et al. Detection and prevalence patterns of group I coronaviruses in bats, northern Germany. </w:t>
      </w:r>
      <w:proofErr w:type="spellStart"/>
      <w:r w:rsidRPr="006A1DC1">
        <w:rPr>
          <w:rFonts w:eastAsia="Calibri"/>
          <w:lang w:val="en-US" w:eastAsia="en-US"/>
        </w:rPr>
        <w:t>Emerg</w:t>
      </w:r>
      <w:proofErr w:type="spellEnd"/>
      <w:r w:rsidRPr="006A1DC1">
        <w:rPr>
          <w:rFonts w:eastAsia="Calibri"/>
          <w:lang w:val="en-US" w:eastAsia="en-US"/>
        </w:rPr>
        <w:t xml:space="preserve"> Infect Dis. 2008; 14(4): 626-31. DOI: 10.3201/eid1404.071439 </w:t>
      </w:r>
    </w:p>
    <w:p w14:paraId="6245170E"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3. Hamre D, </w:t>
      </w:r>
      <w:proofErr w:type="spellStart"/>
      <w:r w:rsidRPr="006A1DC1">
        <w:rPr>
          <w:rFonts w:eastAsia="Calibri"/>
          <w:lang w:val="en-US" w:eastAsia="en-US"/>
        </w:rPr>
        <w:t>Procknow</w:t>
      </w:r>
      <w:proofErr w:type="spellEnd"/>
      <w:r w:rsidRPr="006A1DC1">
        <w:rPr>
          <w:rFonts w:eastAsia="Calibri"/>
          <w:lang w:val="en-US" w:eastAsia="en-US"/>
        </w:rPr>
        <w:t xml:space="preserve"> JJ. A new virus isolated from the human respiratory tract. Proc Soc Exp Biol Med. 1966; 121(1): 190-3. DOI: 10.3181/00379727-121-30734</w:t>
      </w:r>
    </w:p>
    <w:p w14:paraId="0F925C8A"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4. </w:t>
      </w:r>
      <w:proofErr w:type="spellStart"/>
      <w:r w:rsidRPr="006A1DC1">
        <w:rPr>
          <w:rFonts w:eastAsia="Calibri"/>
          <w:lang w:val="en-US" w:eastAsia="en-US"/>
        </w:rPr>
        <w:t>Drosten</w:t>
      </w:r>
      <w:proofErr w:type="spellEnd"/>
      <w:r w:rsidRPr="006A1DC1">
        <w:rPr>
          <w:rFonts w:eastAsia="Calibri"/>
          <w:lang w:val="en-US" w:eastAsia="en-US"/>
        </w:rPr>
        <w:t xml:space="preserve"> C, Günther S, </w:t>
      </w:r>
      <w:proofErr w:type="spellStart"/>
      <w:r w:rsidRPr="006A1DC1">
        <w:rPr>
          <w:rFonts w:eastAsia="Calibri"/>
          <w:lang w:val="en-US" w:eastAsia="en-US"/>
        </w:rPr>
        <w:t>Preiser</w:t>
      </w:r>
      <w:proofErr w:type="spellEnd"/>
      <w:r w:rsidRPr="006A1DC1">
        <w:rPr>
          <w:rFonts w:eastAsia="Calibri"/>
          <w:lang w:val="en-US" w:eastAsia="en-US"/>
        </w:rPr>
        <w:t xml:space="preserve"> W, van der Werf S, Brodt HR, Becker S. Identification of a novel coronavirus in patients with severe acute respiratory syndrome. N </w:t>
      </w:r>
      <w:proofErr w:type="spellStart"/>
      <w:r w:rsidRPr="006A1DC1">
        <w:rPr>
          <w:rFonts w:eastAsia="Calibri"/>
          <w:lang w:val="en-US" w:eastAsia="en-US"/>
        </w:rPr>
        <w:t>Engl</w:t>
      </w:r>
      <w:proofErr w:type="spellEnd"/>
      <w:r w:rsidRPr="006A1DC1">
        <w:rPr>
          <w:rFonts w:eastAsia="Calibri"/>
          <w:lang w:val="en-US" w:eastAsia="en-US"/>
        </w:rPr>
        <w:t xml:space="preserve"> J Med. 2003; 348(20): 1967-76. DOI: 10.1056/NEJMoa030747</w:t>
      </w:r>
    </w:p>
    <w:p w14:paraId="7CF4D58C"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5. </w:t>
      </w:r>
      <w:proofErr w:type="spellStart"/>
      <w:r w:rsidRPr="006A1DC1">
        <w:rPr>
          <w:rFonts w:eastAsia="Calibri"/>
          <w:lang w:val="en-US" w:eastAsia="en-US"/>
        </w:rPr>
        <w:t>Fouchier</w:t>
      </w:r>
      <w:proofErr w:type="spellEnd"/>
      <w:r w:rsidRPr="006A1DC1">
        <w:rPr>
          <w:rFonts w:eastAsia="Calibri"/>
          <w:lang w:val="en-US" w:eastAsia="en-US"/>
        </w:rPr>
        <w:t xml:space="preserve"> RA, Hartwig NG, </w:t>
      </w:r>
      <w:proofErr w:type="spellStart"/>
      <w:r w:rsidRPr="006A1DC1">
        <w:rPr>
          <w:rFonts w:eastAsia="Calibri"/>
          <w:lang w:val="en-US" w:eastAsia="en-US"/>
        </w:rPr>
        <w:t>Bestebroer</w:t>
      </w:r>
      <w:proofErr w:type="spellEnd"/>
      <w:r w:rsidRPr="006A1DC1">
        <w:rPr>
          <w:rFonts w:eastAsia="Calibri"/>
          <w:lang w:val="en-US" w:eastAsia="en-US"/>
        </w:rPr>
        <w:t xml:space="preserve"> TM, Niemeyer B, de Jong JC, Simon JH, et al. A previously undescribed coronavirus associated with respiratory disease in humans. Proc Natl </w:t>
      </w:r>
      <w:proofErr w:type="spellStart"/>
      <w:r w:rsidRPr="006A1DC1">
        <w:rPr>
          <w:rFonts w:eastAsia="Calibri"/>
          <w:lang w:val="en-US" w:eastAsia="en-US"/>
        </w:rPr>
        <w:t>Acad</w:t>
      </w:r>
      <w:proofErr w:type="spellEnd"/>
      <w:r w:rsidRPr="006A1DC1">
        <w:rPr>
          <w:rFonts w:eastAsia="Calibri"/>
          <w:lang w:val="en-US" w:eastAsia="en-US"/>
        </w:rPr>
        <w:t xml:space="preserve"> Sci USA. 2004; 101(16): 6212- 6. DOI: 10.1073/pnas.0400762101</w:t>
      </w:r>
    </w:p>
    <w:p w14:paraId="57B15DA2"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6. Woo PC, Lau SK, Chu CM, Chan KH, Tsoi HW, Huang Y. Characterization and complete genome sequence of a novel coronavirus, coronavirus HKU1, from patients with pneumonia. J </w:t>
      </w:r>
      <w:proofErr w:type="spellStart"/>
      <w:r w:rsidRPr="006A1DC1">
        <w:rPr>
          <w:rFonts w:eastAsia="Calibri"/>
          <w:lang w:val="en-US" w:eastAsia="en-US"/>
        </w:rPr>
        <w:t>Virol</w:t>
      </w:r>
      <w:proofErr w:type="spellEnd"/>
      <w:r w:rsidRPr="006A1DC1">
        <w:rPr>
          <w:rFonts w:eastAsia="Calibri"/>
          <w:lang w:val="en-US" w:eastAsia="en-US"/>
        </w:rPr>
        <w:t xml:space="preserve">. 2005; 79(2): 884-95. DOI: 10.1128/JVI.79.2.884-895.2005 </w:t>
      </w:r>
    </w:p>
    <w:p w14:paraId="4A6200C5"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lastRenderedPageBreak/>
        <w:t xml:space="preserve">7. </w:t>
      </w:r>
      <w:proofErr w:type="spellStart"/>
      <w:r w:rsidRPr="006A1DC1">
        <w:rPr>
          <w:rFonts w:eastAsia="Calibri"/>
          <w:lang w:val="en-US" w:eastAsia="en-US"/>
        </w:rPr>
        <w:t>Zlateva</w:t>
      </w:r>
      <w:proofErr w:type="spellEnd"/>
      <w:r w:rsidRPr="006A1DC1">
        <w:rPr>
          <w:rFonts w:eastAsia="Calibri"/>
          <w:lang w:val="en-US" w:eastAsia="en-US"/>
        </w:rPr>
        <w:t xml:space="preserve"> KT, </w:t>
      </w:r>
      <w:proofErr w:type="spellStart"/>
      <w:r w:rsidRPr="006A1DC1">
        <w:rPr>
          <w:rFonts w:eastAsia="Calibri"/>
          <w:lang w:val="en-US" w:eastAsia="en-US"/>
        </w:rPr>
        <w:t>Coenjaerts</w:t>
      </w:r>
      <w:proofErr w:type="spellEnd"/>
      <w:r w:rsidRPr="006A1DC1">
        <w:rPr>
          <w:rFonts w:eastAsia="Calibri"/>
          <w:lang w:val="en-US" w:eastAsia="en-US"/>
        </w:rPr>
        <w:t xml:space="preserve"> FE, </w:t>
      </w:r>
      <w:proofErr w:type="spellStart"/>
      <w:r w:rsidRPr="006A1DC1">
        <w:rPr>
          <w:rFonts w:eastAsia="Calibri"/>
          <w:lang w:val="en-US" w:eastAsia="en-US"/>
        </w:rPr>
        <w:t>Crusio</w:t>
      </w:r>
      <w:proofErr w:type="spellEnd"/>
      <w:r w:rsidRPr="006A1DC1">
        <w:rPr>
          <w:rFonts w:eastAsia="Calibri"/>
          <w:lang w:val="en-US" w:eastAsia="en-US"/>
        </w:rPr>
        <w:t xml:space="preserve"> KM, </w:t>
      </w:r>
      <w:proofErr w:type="spellStart"/>
      <w:r w:rsidRPr="006A1DC1">
        <w:rPr>
          <w:rFonts w:eastAsia="Calibri"/>
          <w:lang w:val="en-US" w:eastAsia="en-US"/>
        </w:rPr>
        <w:t>Lammens</w:t>
      </w:r>
      <w:proofErr w:type="spellEnd"/>
      <w:r w:rsidRPr="006A1DC1">
        <w:rPr>
          <w:rFonts w:eastAsia="Calibri"/>
          <w:lang w:val="en-US" w:eastAsia="en-US"/>
        </w:rPr>
        <w:t xml:space="preserve"> C, </w:t>
      </w:r>
      <w:proofErr w:type="spellStart"/>
      <w:r w:rsidRPr="006A1DC1">
        <w:rPr>
          <w:rFonts w:eastAsia="Calibri"/>
          <w:lang w:val="en-US" w:eastAsia="en-US"/>
        </w:rPr>
        <w:t>Leus</w:t>
      </w:r>
      <w:proofErr w:type="spellEnd"/>
      <w:r w:rsidRPr="006A1DC1">
        <w:rPr>
          <w:rFonts w:eastAsia="Calibri"/>
          <w:lang w:val="en-US" w:eastAsia="en-US"/>
        </w:rPr>
        <w:t xml:space="preserve"> F, </w:t>
      </w:r>
      <w:proofErr w:type="spellStart"/>
      <w:r w:rsidRPr="006A1DC1">
        <w:rPr>
          <w:rFonts w:eastAsia="Calibri"/>
          <w:lang w:val="en-US" w:eastAsia="en-US"/>
        </w:rPr>
        <w:t>Viveen</w:t>
      </w:r>
      <w:proofErr w:type="spellEnd"/>
      <w:r w:rsidRPr="006A1DC1">
        <w:rPr>
          <w:rFonts w:eastAsia="Calibri"/>
          <w:lang w:val="en-US" w:eastAsia="en-US"/>
        </w:rPr>
        <w:t xml:space="preserve"> M. No novel coronaviruses identified in a large collection of human nasopharyngeal specimens using family-wide CODEHOP-based primers. Archives of Virology. 2013; 158(1):251-5. DOI: 10.1007/s00705-012-1487-4</w:t>
      </w:r>
    </w:p>
    <w:p w14:paraId="2CC45524"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8. Lan L, Dan X, </w:t>
      </w:r>
      <w:proofErr w:type="spellStart"/>
      <w:r w:rsidRPr="006A1DC1">
        <w:rPr>
          <w:rFonts w:eastAsia="Calibri"/>
          <w:lang w:val="en-US" w:eastAsia="en-US"/>
        </w:rPr>
        <w:t>Guangming</w:t>
      </w:r>
      <w:proofErr w:type="spellEnd"/>
      <w:r w:rsidRPr="006A1DC1">
        <w:rPr>
          <w:rFonts w:eastAsia="Calibri"/>
          <w:lang w:val="en-US" w:eastAsia="en-US"/>
        </w:rPr>
        <w:t xml:space="preserve"> Y. Positive RT-PCR Test Results in Patients Recovered From COVID-19. JAMA. 2020; 323(15): 1502- 03. DOI:10.1001/jama.2020.2783</w:t>
      </w:r>
    </w:p>
    <w:p w14:paraId="03031C2D"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9. Peng W, </w:t>
      </w:r>
      <w:proofErr w:type="spellStart"/>
      <w:r w:rsidRPr="006A1DC1">
        <w:rPr>
          <w:rFonts w:eastAsia="Calibri"/>
          <w:lang w:val="en-US" w:eastAsia="en-US"/>
        </w:rPr>
        <w:t>Xinxin</w:t>
      </w:r>
      <w:proofErr w:type="spellEnd"/>
      <w:r w:rsidRPr="006A1DC1">
        <w:rPr>
          <w:rFonts w:eastAsia="Calibri"/>
          <w:lang w:val="en-US" w:eastAsia="en-US"/>
        </w:rPr>
        <w:t xml:space="preserve"> H, Eric H Y, Jessica Y, Kathy S, Joseph T, et al. Real-time tentative assessment of the epidemiological characteristics of novel coronavirus infections in Wuhan, China. Euro </w:t>
      </w:r>
      <w:proofErr w:type="spellStart"/>
      <w:r w:rsidRPr="006A1DC1">
        <w:rPr>
          <w:rFonts w:eastAsia="Calibri"/>
          <w:lang w:val="en-US" w:eastAsia="en-US"/>
        </w:rPr>
        <w:t>Surveill</w:t>
      </w:r>
      <w:proofErr w:type="spellEnd"/>
      <w:r w:rsidRPr="006A1DC1">
        <w:rPr>
          <w:rFonts w:eastAsia="Calibri"/>
          <w:lang w:val="en-US" w:eastAsia="en-US"/>
        </w:rPr>
        <w:t xml:space="preserve"> Bull. 2020; 25(3): </w:t>
      </w:r>
      <w:proofErr w:type="spellStart"/>
      <w:r w:rsidRPr="006A1DC1">
        <w:rPr>
          <w:rFonts w:eastAsia="Calibri"/>
          <w:lang w:val="en-US" w:eastAsia="en-US"/>
        </w:rPr>
        <w:t>pii</w:t>
      </w:r>
      <w:proofErr w:type="spellEnd"/>
      <w:r w:rsidRPr="006A1DC1">
        <w:rPr>
          <w:rFonts w:eastAsia="Calibri"/>
          <w:lang w:val="en-US" w:eastAsia="en-US"/>
        </w:rPr>
        <w:t>=2000044. DOI: 10.2807/1560-7917.ES.2020.25.3.2000044</w:t>
      </w:r>
    </w:p>
    <w:p w14:paraId="295C9283" w14:textId="77777777" w:rsidR="006A1DC1" w:rsidRPr="006A1DC1" w:rsidRDefault="006A1DC1" w:rsidP="006A1DC1">
      <w:pPr>
        <w:tabs>
          <w:tab w:val="left" w:pos="2115"/>
        </w:tabs>
        <w:spacing w:line="360" w:lineRule="auto"/>
        <w:rPr>
          <w:rFonts w:eastAsia="Calibri"/>
          <w:lang w:val="es-PE" w:eastAsia="en-US"/>
        </w:rPr>
      </w:pPr>
      <w:r w:rsidRPr="006A1DC1">
        <w:rPr>
          <w:rFonts w:eastAsia="Calibri"/>
          <w:lang w:val="en-US" w:eastAsia="en-US"/>
        </w:rPr>
        <w:t xml:space="preserve">10. Paules CI, Marston HD, Fauci AS. Coronavirus Infections-More Than Just the Common Cold. </w:t>
      </w:r>
      <w:r w:rsidRPr="006A1DC1">
        <w:rPr>
          <w:rFonts w:eastAsia="Calibri"/>
          <w:lang w:val="es-PE" w:eastAsia="en-US"/>
        </w:rPr>
        <w:t>JAMA. 2020; 323(8):707- 8. DOI:10.1001/jama.2020.0757</w:t>
      </w:r>
    </w:p>
    <w:p w14:paraId="5F6D6CDA"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s-PE" w:eastAsia="en-US"/>
        </w:rPr>
        <w:t xml:space="preserve">11. Cuadra TE, Guadrón Meléndez AA, Cruz Aguilar R de J, Vásquez </w:t>
      </w:r>
      <w:proofErr w:type="spellStart"/>
      <w:r w:rsidRPr="006A1DC1">
        <w:rPr>
          <w:rFonts w:eastAsia="Calibri"/>
          <w:lang w:val="es-PE" w:eastAsia="en-US"/>
        </w:rPr>
        <w:t>Rodriguez</w:t>
      </w:r>
      <w:proofErr w:type="spellEnd"/>
      <w:r w:rsidRPr="006A1DC1">
        <w:rPr>
          <w:rFonts w:eastAsia="Calibri"/>
          <w:lang w:val="es-PE" w:eastAsia="en-US"/>
        </w:rPr>
        <w:t xml:space="preserve"> EA. Factores relevantes sobre el ensayo RT-PCR para la detección de SARS-CoV-2, virus causante del COVID-19. </w:t>
      </w:r>
      <w:proofErr w:type="spellStart"/>
      <w:r w:rsidRPr="006A1DC1">
        <w:rPr>
          <w:rFonts w:eastAsia="Calibri"/>
          <w:lang w:val="en-US" w:eastAsia="en-US"/>
        </w:rPr>
        <w:t>Alerta</w:t>
      </w:r>
      <w:proofErr w:type="spellEnd"/>
      <w:r w:rsidRPr="006A1DC1">
        <w:rPr>
          <w:rFonts w:eastAsia="Calibri"/>
          <w:lang w:val="en-US" w:eastAsia="en-US"/>
        </w:rPr>
        <w:t>. 2021; 4(1): 31-9. DOI: 10.5377/</w:t>
      </w:r>
      <w:proofErr w:type="gramStart"/>
      <w:r w:rsidRPr="006A1DC1">
        <w:rPr>
          <w:rFonts w:eastAsia="Calibri"/>
          <w:lang w:val="en-US" w:eastAsia="en-US"/>
        </w:rPr>
        <w:t>alerta.v</w:t>
      </w:r>
      <w:proofErr w:type="gramEnd"/>
      <w:r w:rsidRPr="006A1DC1">
        <w:rPr>
          <w:rFonts w:eastAsia="Calibri"/>
          <w:lang w:val="en-US" w:eastAsia="en-US"/>
        </w:rPr>
        <w:t>4i1.10060</w:t>
      </w:r>
    </w:p>
    <w:p w14:paraId="03F5E00F"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12. Palm D, </w:t>
      </w:r>
      <w:proofErr w:type="spellStart"/>
      <w:r w:rsidRPr="006A1DC1">
        <w:rPr>
          <w:rFonts w:eastAsia="Calibri"/>
          <w:lang w:val="en-US" w:eastAsia="en-US"/>
        </w:rPr>
        <w:t>Pereyaslov</w:t>
      </w:r>
      <w:proofErr w:type="spellEnd"/>
      <w:r w:rsidRPr="006A1DC1">
        <w:rPr>
          <w:rFonts w:eastAsia="Calibri"/>
          <w:lang w:val="en-US" w:eastAsia="en-US"/>
        </w:rPr>
        <w:t xml:space="preserve"> D, </w:t>
      </w:r>
      <w:proofErr w:type="spellStart"/>
      <w:r w:rsidRPr="006A1DC1">
        <w:rPr>
          <w:rFonts w:eastAsia="Calibri"/>
          <w:lang w:val="en-US" w:eastAsia="en-US"/>
        </w:rPr>
        <w:t>Vaz</w:t>
      </w:r>
      <w:proofErr w:type="spellEnd"/>
      <w:r w:rsidRPr="006A1DC1">
        <w:rPr>
          <w:rFonts w:eastAsia="Calibri"/>
          <w:lang w:val="en-US" w:eastAsia="en-US"/>
        </w:rPr>
        <w:t xml:space="preserve"> J, </w:t>
      </w:r>
      <w:proofErr w:type="spellStart"/>
      <w:r w:rsidRPr="006A1DC1">
        <w:rPr>
          <w:rFonts w:eastAsia="Calibri"/>
          <w:lang w:val="en-US" w:eastAsia="en-US"/>
        </w:rPr>
        <w:t>Broberg</w:t>
      </w:r>
      <w:proofErr w:type="spellEnd"/>
      <w:r w:rsidRPr="006A1DC1">
        <w:rPr>
          <w:rFonts w:eastAsia="Calibri"/>
          <w:lang w:val="en-US" w:eastAsia="en-US"/>
        </w:rPr>
        <w:t xml:space="preserve"> E, Zeller H, Gross D, et al. Laboratory capability for molecular detection and confirmation of novel coronavirus in Europe, November 2012. Euro </w:t>
      </w:r>
      <w:proofErr w:type="spellStart"/>
      <w:r w:rsidRPr="006A1DC1">
        <w:rPr>
          <w:rFonts w:eastAsia="Calibri"/>
          <w:lang w:val="en-US" w:eastAsia="en-US"/>
        </w:rPr>
        <w:t>Surveill</w:t>
      </w:r>
      <w:proofErr w:type="spellEnd"/>
      <w:r w:rsidRPr="006A1DC1">
        <w:rPr>
          <w:rFonts w:eastAsia="Calibri"/>
          <w:lang w:val="en-US" w:eastAsia="en-US"/>
        </w:rPr>
        <w:t xml:space="preserve">. 2012; 17(49): 20335. </w:t>
      </w:r>
      <w:r w:rsidRPr="006A1DC1">
        <w:rPr>
          <w:rFonts w:eastAsia="Calibri"/>
          <w:bCs/>
          <w:lang w:val="en-US" w:eastAsia="en-US"/>
        </w:rPr>
        <w:t>DOI</w:t>
      </w:r>
      <w:r w:rsidRPr="006A1DC1">
        <w:rPr>
          <w:rFonts w:eastAsia="Calibri"/>
          <w:lang w:val="en-US" w:eastAsia="en-US"/>
        </w:rPr>
        <w:t>: 10.2807/ese.17.49.20335-een</w:t>
      </w:r>
    </w:p>
    <w:p w14:paraId="0AA15267"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13. Van </w:t>
      </w:r>
      <w:proofErr w:type="spellStart"/>
      <w:r w:rsidRPr="006A1DC1">
        <w:rPr>
          <w:rFonts w:eastAsia="Calibri"/>
          <w:lang w:val="en-US" w:eastAsia="en-US"/>
        </w:rPr>
        <w:t>Boheemen</w:t>
      </w:r>
      <w:proofErr w:type="spellEnd"/>
      <w:r w:rsidRPr="006A1DC1">
        <w:rPr>
          <w:rFonts w:eastAsia="Calibri"/>
          <w:lang w:val="en-US" w:eastAsia="en-US"/>
        </w:rPr>
        <w:t xml:space="preserve"> S, de Graaf M, Lauber C, </w:t>
      </w:r>
      <w:proofErr w:type="spellStart"/>
      <w:r w:rsidRPr="006A1DC1">
        <w:rPr>
          <w:rFonts w:eastAsia="Calibri"/>
          <w:lang w:val="en-US" w:eastAsia="en-US"/>
        </w:rPr>
        <w:t>Bestebroer</w:t>
      </w:r>
      <w:proofErr w:type="spellEnd"/>
      <w:r w:rsidRPr="006A1DC1">
        <w:rPr>
          <w:rFonts w:eastAsia="Calibri"/>
          <w:lang w:val="en-US" w:eastAsia="en-US"/>
        </w:rPr>
        <w:t xml:space="preserve"> TM, Raj VS, </w:t>
      </w:r>
      <w:proofErr w:type="spellStart"/>
      <w:r w:rsidRPr="006A1DC1">
        <w:rPr>
          <w:rFonts w:eastAsia="Calibri"/>
          <w:lang w:val="en-US" w:eastAsia="en-US"/>
        </w:rPr>
        <w:t>Zaki</w:t>
      </w:r>
      <w:proofErr w:type="spellEnd"/>
      <w:r w:rsidRPr="006A1DC1">
        <w:rPr>
          <w:rFonts w:eastAsia="Calibri"/>
          <w:lang w:val="en-US" w:eastAsia="en-US"/>
        </w:rPr>
        <w:t xml:space="preserve"> AM, et al. Genomic characterization of a newly discovered coronavirus associated with acute respiratory distress syndrome in humans. mBio. 2012; 3(6): e00473-12. DOI: 10.1128/mBio.00473-12</w:t>
      </w:r>
    </w:p>
    <w:p w14:paraId="69E300AC"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14. Timothy M, Bernstein H, Bradley J, Englund J, File T, </w:t>
      </w:r>
      <w:proofErr w:type="spellStart"/>
      <w:r w:rsidRPr="006A1DC1">
        <w:rPr>
          <w:rFonts w:eastAsia="Calibri"/>
          <w:lang w:val="en-US" w:eastAsia="en-US"/>
        </w:rPr>
        <w:t>Gravenstein</w:t>
      </w:r>
      <w:proofErr w:type="spellEnd"/>
      <w:r w:rsidRPr="006A1DC1">
        <w:rPr>
          <w:rFonts w:eastAsia="Calibri"/>
          <w:lang w:val="en-US" w:eastAsia="en-US"/>
        </w:rPr>
        <w:t xml:space="preserve"> S, et al. Clinical Practice Guidelines by the Infectious Diseases Society of America: 2018 Update on Diagnosis, Treatment, Chemoprophylaxis, and Institutional Outbreak Management of Seasonal Influenza. Clinical Infectious Diseases. 2019; 68 (6): 1-47. DOI: 10.1093/</w:t>
      </w:r>
      <w:proofErr w:type="spellStart"/>
      <w:r w:rsidRPr="006A1DC1">
        <w:rPr>
          <w:rFonts w:eastAsia="Calibri"/>
          <w:lang w:val="en-US" w:eastAsia="en-US"/>
        </w:rPr>
        <w:t>cid</w:t>
      </w:r>
      <w:proofErr w:type="spellEnd"/>
      <w:r w:rsidRPr="006A1DC1">
        <w:rPr>
          <w:rFonts w:eastAsia="Calibri"/>
          <w:lang w:val="en-US" w:eastAsia="en-US"/>
        </w:rPr>
        <w:t>/ciy866</w:t>
      </w:r>
    </w:p>
    <w:p w14:paraId="449DBCB9"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15. Corman VM, </w:t>
      </w:r>
      <w:proofErr w:type="spellStart"/>
      <w:r w:rsidRPr="006A1DC1">
        <w:rPr>
          <w:rFonts w:eastAsia="Calibri"/>
          <w:lang w:val="en-US" w:eastAsia="en-US"/>
        </w:rPr>
        <w:t>Eckerle</w:t>
      </w:r>
      <w:proofErr w:type="spellEnd"/>
      <w:r w:rsidRPr="006A1DC1">
        <w:rPr>
          <w:rFonts w:eastAsia="Calibri"/>
          <w:lang w:val="en-US" w:eastAsia="en-US"/>
        </w:rPr>
        <w:t xml:space="preserve"> I, </w:t>
      </w:r>
      <w:proofErr w:type="spellStart"/>
      <w:r w:rsidRPr="006A1DC1">
        <w:rPr>
          <w:rFonts w:eastAsia="Calibri"/>
          <w:lang w:val="en-US" w:eastAsia="en-US"/>
        </w:rPr>
        <w:t>Bleicker</w:t>
      </w:r>
      <w:proofErr w:type="spellEnd"/>
      <w:r w:rsidRPr="006A1DC1">
        <w:rPr>
          <w:rFonts w:eastAsia="Calibri"/>
          <w:lang w:val="en-US" w:eastAsia="en-US"/>
        </w:rPr>
        <w:t xml:space="preserve"> T, </w:t>
      </w:r>
      <w:proofErr w:type="spellStart"/>
      <w:r w:rsidRPr="006A1DC1">
        <w:rPr>
          <w:rFonts w:eastAsia="Calibri"/>
          <w:lang w:val="en-US" w:eastAsia="en-US"/>
        </w:rPr>
        <w:t>Zaki</w:t>
      </w:r>
      <w:proofErr w:type="spellEnd"/>
      <w:r w:rsidRPr="006A1DC1">
        <w:rPr>
          <w:rFonts w:eastAsia="Calibri"/>
          <w:lang w:val="en-US" w:eastAsia="en-US"/>
        </w:rPr>
        <w:t xml:space="preserve"> A, </w:t>
      </w:r>
      <w:proofErr w:type="spellStart"/>
      <w:r w:rsidRPr="006A1DC1">
        <w:rPr>
          <w:rFonts w:eastAsia="Calibri"/>
          <w:lang w:val="en-US" w:eastAsia="en-US"/>
        </w:rPr>
        <w:t>Landt</w:t>
      </w:r>
      <w:proofErr w:type="spellEnd"/>
      <w:r w:rsidRPr="006A1DC1">
        <w:rPr>
          <w:rFonts w:eastAsia="Calibri"/>
          <w:lang w:val="en-US" w:eastAsia="en-US"/>
        </w:rPr>
        <w:t xml:space="preserve"> O, Eschbach-</w:t>
      </w:r>
      <w:proofErr w:type="spellStart"/>
      <w:r w:rsidRPr="006A1DC1">
        <w:rPr>
          <w:rFonts w:eastAsia="Calibri"/>
          <w:lang w:val="en-US" w:eastAsia="en-US"/>
        </w:rPr>
        <w:t>Bludau</w:t>
      </w:r>
      <w:proofErr w:type="spellEnd"/>
      <w:r w:rsidRPr="006A1DC1">
        <w:rPr>
          <w:rFonts w:eastAsia="Calibri"/>
          <w:lang w:val="en-US" w:eastAsia="en-US"/>
        </w:rPr>
        <w:t xml:space="preserve"> M. Detection of a novel human coronavirus by real-time reverse-transcription polymerase chain reaction. Euro </w:t>
      </w:r>
      <w:proofErr w:type="spellStart"/>
      <w:r w:rsidRPr="006A1DC1">
        <w:rPr>
          <w:rFonts w:eastAsia="Calibri"/>
          <w:lang w:val="en-US" w:eastAsia="en-US"/>
        </w:rPr>
        <w:t>Surveill</w:t>
      </w:r>
      <w:proofErr w:type="spellEnd"/>
      <w:r w:rsidRPr="006A1DC1">
        <w:rPr>
          <w:rFonts w:eastAsia="Calibri"/>
          <w:lang w:val="en-US" w:eastAsia="en-US"/>
        </w:rPr>
        <w:t>. 2012; 17(39): 20285. DOI: https://DOI.org/10.2807/ese.17.39.20285-en</w:t>
      </w:r>
    </w:p>
    <w:p w14:paraId="725DD0CF"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16. Herzog P, </w:t>
      </w:r>
      <w:proofErr w:type="spellStart"/>
      <w:r w:rsidRPr="006A1DC1">
        <w:rPr>
          <w:rFonts w:eastAsia="Calibri"/>
          <w:lang w:val="en-US" w:eastAsia="en-US"/>
        </w:rPr>
        <w:t>Drosten</w:t>
      </w:r>
      <w:proofErr w:type="spellEnd"/>
      <w:r w:rsidRPr="006A1DC1">
        <w:rPr>
          <w:rFonts w:eastAsia="Calibri"/>
          <w:lang w:val="en-US" w:eastAsia="en-US"/>
        </w:rPr>
        <w:t xml:space="preserve"> C, Müller M. Plaque assay for human coronavirus NL63 using human colon carcinoma cells. </w:t>
      </w:r>
      <w:proofErr w:type="spellStart"/>
      <w:r w:rsidRPr="006A1DC1">
        <w:rPr>
          <w:rFonts w:eastAsia="Calibri"/>
          <w:lang w:val="en-US" w:eastAsia="en-US"/>
        </w:rPr>
        <w:t>Virol</w:t>
      </w:r>
      <w:proofErr w:type="spellEnd"/>
      <w:r w:rsidRPr="006A1DC1">
        <w:rPr>
          <w:rFonts w:eastAsia="Calibri"/>
          <w:lang w:val="en-US" w:eastAsia="en-US"/>
        </w:rPr>
        <w:t xml:space="preserve"> J. 2008; 5(1):138-142. DOI: https://DOI.org/10.1186/1743-422X-5-138 </w:t>
      </w:r>
    </w:p>
    <w:p w14:paraId="1420799B"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lastRenderedPageBreak/>
        <w:t xml:space="preserve">17. </w:t>
      </w:r>
      <w:proofErr w:type="spellStart"/>
      <w:r w:rsidRPr="006A1DC1">
        <w:rPr>
          <w:rFonts w:eastAsia="Calibri"/>
          <w:lang w:val="en-US" w:eastAsia="en-US"/>
        </w:rPr>
        <w:t>Rabenau</w:t>
      </w:r>
      <w:proofErr w:type="spellEnd"/>
      <w:r w:rsidRPr="006A1DC1">
        <w:rPr>
          <w:rFonts w:eastAsia="Calibri"/>
          <w:lang w:val="en-US" w:eastAsia="en-US"/>
        </w:rPr>
        <w:t xml:space="preserve"> HF, </w:t>
      </w:r>
      <w:proofErr w:type="spellStart"/>
      <w:r w:rsidRPr="006A1DC1">
        <w:rPr>
          <w:rFonts w:eastAsia="Calibri"/>
          <w:lang w:val="en-US" w:eastAsia="en-US"/>
        </w:rPr>
        <w:t>Cinatl</w:t>
      </w:r>
      <w:proofErr w:type="spellEnd"/>
      <w:r w:rsidRPr="006A1DC1">
        <w:rPr>
          <w:rFonts w:eastAsia="Calibri"/>
          <w:lang w:val="en-US" w:eastAsia="en-US"/>
        </w:rPr>
        <w:t xml:space="preserve"> J, Morgenstern B, Bauer G, </w:t>
      </w:r>
      <w:proofErr w:type="spellStart"/>
      <w:r w:rsidRPr="006A1DC1">
        <w:rPr>
          <w:rFonts w:eastAsia="Calibri"/>
          <w:lang w:val="en-US" w:eastAsia="en-US"/>
        </w:rPr>
        <w:t>Preiser</w:t>
      </w:r>
      <w:proofErr w:type="spellEnd"/>
      <w:r w:rsidRPr="006A1DC1">
        <w:rPr>
          <w:rFonts w:eastAsia="Calibri"/>
          <w:lang w:val="en-US" w:eastAsia="en-US"/>
        </w:rPr>
        <w:t xml:space="preserve"> W, </w:t>
      </w:r>
      <w:proofErr w:type="spellStart"/>
      <w:r w:rsidRPr="006A1DC1">
        <w:rPr>
          <w:rFonts w:eastAsia="Calibri"/>
          <w:lang w:val="en-US" w:eastAsia="en-US"/>
        </w:rPr>
        <w:t>Doerr</w:t>
      </w:r>
      <w:proofErr w:type="spellEnd"/>
      <w:r w:rsidRPr="006A1DC1">
        <w:rPr>
          <w:rFonts w:eastAsia="Calibri"/>
          <w:lang w:val="en-US" w:eastAsia="en-US"/>
        </w:rPr>
        <w:t xml:space="preserve"> HW. Stability and inactivation of SARS coronavirus. Med Microbiol Immunol. 2005; 194(1-2):1-6. DOI: 10.1007/s00430-004-0219-0</w:t>
      </w:r>
    </w:p>
    <w:p w14:paraId="3CE5F212"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18. Yong CY, Ong HK, </w:t>
      </w:r>
      <w:proofErr w:type="spellStart"/>
      <w:r w:rsidRPr="006A1DC1">
        <w:rPr>
          <w:rFonts w:eastAsia="Calibri"/>
          <w:lang w:val="en-US" w:eastAsia="en-US"/>
        </w:rPr>
        <w:t>Yeap</w:t>
      </w:r>
      <w:proofErr w:type="spellEnd"/>
      <w:r w:rsidRPr="006A1DC1">
        <w:rPr>
          <w:rFonts w:eastAsia="Calibri"/>
          <w:lang w:val="en-US" w:eastAsia="en-US"/>
        </w:rPr>
        <w:t xml:space="preserve"> SK, Ho KL, Tan WS. Recent Advances in the Vaccine Development Against Middle East Respiratory Syndrome-Coronavirus. Front. Microbiol. 2019; 10:1781. DOI: 10.3389/fmicb.2019.01781 </w:t>
      </w:r>
    </w:p>
    <w:p w14:paraId="5C84704F"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19. Liu R, Han H, Liu F, </w:t>
      </w:r>
      <w:proofErr w:type="spellStart"/>
      <w:r w:rsidRPr="006A1DC1">
        <w:rPr>
          <w:rFonts w:eastAsia="Calibri"/>
          <w:lang w:val="en-US" w:eastAsia="en-US"/>
        </w:rPr>
        <w:t>Lv</w:t>
      </w:r>
      <w:proofErr w:type="spellEnd"/>
      <w:r w:rsidRPr="006A1DC1">
        <w:rPr>
          <w:rFonts w:eastAsia="Calibri"/>
          <w:lang w:val="en-US" w:eastAsia="en-US"/>
        </w:rPr>
        <w:t xml:space="preserve"> Z, Wu K, Liu Y, et al. Positive rate of RT-PCR detection of SARS-CoV-2 infection in 4880 cases from one hospital in Wuhan, China, from Jan to Feb 2020. Clin </w:t>
      </w:r>
      <w:proofErr w:type="spellStart"/>
      <w:r w:rsidRPr="006A1DC1">
        <w:rPr>
          <w:rFonts w:eastAsia="Calibri"/>
          <w:lang w:val="en-US" w:eastAsia="en-US"/>
        </w:rPr>
        <w:t>Chim</w:t>
      </w:r>
      <w:proofErr w:type="spellEnd"/>
      <w:r w:rsidRPr="006A1DC1">
        <w:rPr>
          <w:rFonts w:eastAsia="Calibri"/>
          <w:lang w:val="en-US" w:eastAsia="en-US"/>
        </w:rPr>
        <w:t xml:space="preserve"> Acta. 2020; 505: 172-5. DOI: 10.1016/j.cca.2020.03.009</w:t>
      </w:r>
    </w:p>
    <w:p w14:paraId="5FD56362"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20. Corman VM, </w:t>
      </w:r>
      <w:proofErr w:type="spellStart"/>
      <w:r w:rsidRPr="006A1DC1">
        <w:rPr>
          <w:rFonts w:eastAsia="Calibri"/>
          <w:lang w:val="en-US" w:eastAsia="en-US"/>
        </w:rPr>
        <w:t>Landt</w:t>
      </w:r>
      <w:proofErr w:type="spellEnd"/>
      <w:r w:rsidRPr="006A1DC1">
        <w:rPr>
          <w:rFonts w:eastAsia="Calibri"/>
          <w:lang w:val="en-US" w:eastAsia="en-US"/>
        </w:rPr>
        <w:t xml:space="preserve"> O, Kaiser M, Molenkamp R, Meijer A, Chu D, et al. Detection of 2019 novel coronavirus (2019-nCoV) by real-time RT-PCR. Euro </w:t>
      </w:r>
      <w:proofErr w:type="spellStart"/>
      <w:r w:rsidRPr="006A1DC1">
        <w:rPr>
          <w:rFonts w:eastAsia="Calibri"/>
          <w:lang w:val="en-US" w:eastAsia="en-US"/>
        </w:rPr>
        <w:t>Surveill</w:t>
      </w:r>
      <w:proofErr w:type="spellEnd"/>
      <w:r w:rsidRPr="006A1DC1">
        <w:rPr>
          <w:rFonts w:eastAsia="Calibri"/>
          <w:lang w:val="en-US" w:eastAsia="en-US"/>
        </w:rPr>
        <w:t>. 2020; 25(3): 2000045. DOI: 10.2807/1560-7917.ES.2020.25.3.2000045</w:t>
      </w:r>
    </w:p>
    <w:p w14:paraId="18529AE5"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21. Corman VM, Müller MA, </w:t>
      </w:r>
      <w:proofErr w:type="spellStart"/>
      <w:r w:rsidRPr="006A1DC1">
        <w:rPr>
          <w:rFonts w:eastAsia="Calibri"/>
          <w:lang w:val="en-US" w:eastAsia="en-US"/>
        </w:rPr>
        <w:t>Costabel</w:t>
      </w:r>
      <w:proofErr w:type="spellEnd"/>
      <w:r w:rsidRPr="006A1DC1">
        <w:rPr>
          <w:rFonts w:eastAsia="Calibri"/>
          <w:lang w:val="en-US" w:eastAsia="en-US"/>
        </w:rPr>
        <w:t xml:space="preserve"> U, Timm J, Binger T, Meyer B, et al. Assays for laboratory confirmation of Novel human Coronavirus (</w:t>
      </w:r>
      <w:proofErr w:type="spellStart"/>
      <w:r w:rsidRPr="006A1DC1">
        <w:rPr>
          <w:rFonts w:eastAsia="Calibri"/>
          <w:lang w:val="en-US" w:eastAsia="en-US"/>
        </w:rPr>
        <w:t>hCoV</w:t>
      </w:r>
      <w:proofErr w:type="spellEnd"/>
      <w:r w:rsidRPr="006A1DC1">
        <w:rPr>
          <w:rFonts w:eastAsia="Calibri"/>
          <w:lang w:val="en-US" w:eastAsia="en-US"/>
        </w:rPr>
        <w:t xml:space="preserve">-EMC) Infections. Euro </w:t>
      </w:r>
      <w:proofErr w:type="spellStart"/>
      <w:r w:rsidRPr="006A1DC1">
        <w:rPr>
          <w:rFonts w:eastAsia="Calibri"/>
          <w:lang w:val="en-US" w:eastAsia="en-US"/>
        </w:rPr>
        <w:t>Surveill</w:t>
      </w:r>
      <w:proofErr w:type="spellEnd"/>
      <w:r w:rsidRPr="006A1DC1">
        <w:rPr>
          <w:rFonts w:eastAsia="Calibri"/>
          <w:lang w:val="en-US" w:eastAsia="en-US"/>
        </w:rPr>
        <w:t>. 2012; 17(49): 20334. DOI: 10.2807/ese.17.49.20334-en</w:t>
      </w:r>
    </w:p>
    <w:p w14:paraId="340CF312"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22. Lippi G, </w:t>
      </w:r>
      <w:proofErr w:type="spellStart"/>
      <w:r w:rsidRPr="006A1DC1">
        <w:rPr>
          <w:rFonts w:eastAsia="Calibri"/>
          <w:lang w:val="en-US" w:eastAsia="en-US"/>
        </w:rPr>
        <w:t>Simundic</w:t>
      </w:r>
      <w:proofErr w:type="spellEnd"/>
      <w:r w:rsidRPr="006A1DC1">
        <w:rPr>
          <w:rFonts w:eastAsia="Calibri"/>
          <w:lang w:val="en-US" w:eastAsia="en-US"/>
        </w:rPr>
        <w:t xml:space="preserve"> AM, </w:t>
      </w:r>
      <w:proofErr w:type="spellStart"/>
      <w:r w:rsidRPr="006A1DC1">
        <w:rPr>
          <w:rFonts w:eastAsia="Calibri"/>
          <w:lang w:val="en-US" w:eastAsia="en-US"/>
        </w:rPr>
        <w:t>Plebani</w:t>
      </w:r>
      <w:proofErr w:type="spellEnd"/>
      <w:r w:rsidRPr="006A1DC1">
        <w:rPr>
          <w:rFonts w:eastAsia="Calibri"/>
          <w:lang w:val="en-US" w:eastAsia="en-US"/>
        </w:rPr>
        <w:t xml:space="preserve"> M. Potential preanalytical and analytical vulnerabilities in the laboratory diagnosis of coronavirus disease 2019 (COVID-19). Clin Chem Lab Med. 2020; 58(7):1070-1076. DOI: 10.1515/cclm-2020-0285</w:t>
      </w:r>
    </w:p>
    <w:p w14:paraId="6FD5D5FF"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23. Ai T, Yang Z, Hou H, Zhan C, Chen C, </w:t>
      </w:r>
      <w:proofErr w:type="spellStart"/>
      <w:r w:rsidRPr="006A1DC1">
        <w:rPr>
          <w:rFonts w:eastAsia="Calibri"/>
          <w:lang w:val="en-US" w:eastAsia="en-US"/>
        </w:rPr>
        <w:t>Lv</w:t>
      </w:r>
      <w:proofErr w:type="spellEnd"/>
      <w:r w:rsidRPr="006A1DC1">
        <w:rPr>
          <w:rFonts w:eastAsia="Calibri"/>
          <w:lang w:val="en-US" w:eastAsia="en-US"/>
        </w:rPr>
        <w:t xml:space="preserve"> W, et al. Correlation of chest CT and RT-PCR testing in coronavirus disease 2019 (COVID19) in China: a report of 1014 cases. Radiology. 2020; 96(2): 32-40. DOI: 10.1148/radiol.2020200642</w:t>
      </w:r>
    </w:p>
    <w:p w14:paraId="797F9D61"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24. Long C, Xu H, Shen Q, Zhang X, Fan B, Wang C, et al. Diagnosis of the coronavirus disease (COVID-19): </w:t>
      </w:r>
      <w:proofErr w:type="spellStart"/>
      <w:r w:rsidRPr="006A1DC1">
        <w:rPr>
          <w:rFonts w:eastAsia="Calibri"/>
          <w:lang w:val="en-US" w:eastAsia="en-US"/>
        </w:rPr>
        <w:t>rRT</w:t>
      </w:r>
      <w:proofErr w:type="spellEnd"/>
      <w:r w:rsidRPr="006A1DC1">
        <w:rPr>
          <w:rFonts w:eastAsia="Calibri"/>
          <w:lang w:val="en-US" w:eastAsia="en-US"/>
        </w:rPr>
        <w:t xml:space="preserve">-PCR or CT? Eur J </w:t>
      </w:r>
      <w:proofErr w:type="spellStart"/>
      <w:r w:rsidRPr="006A1DC1">
        <w:rPr>
          <w:rFonts w:eastAsia="Calibri"/>
          <w:lang w:val="en-US" w:eastAsia="en-US"/>
        </w:rPr>
        <w:t>Radiol</w:t>
      </w:r>
      <w:proofErr w:type="spellEnd"/>
      <w:r w:rsidRPr="006A1DC1">
        <w:rPr>
          <w:rFonts w:eastAsia="Calibri"/>
          <w:lang w:val="en-US" w:eastAsia="en-US"/>
        </w:rPr>
        <w:t>. 2020; 126: 108961. DOI: 10.1016/j.ejrad.2020.108961</w:t>
      </w:r>
    </w:p>
    <w:p w14:paraId="2FC59B49"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25. Shen Z, Xiao Y, Kang L, Ma W, Shi L, Zhang L, et al. Genomic diversity of SARS-CoV-2 in coronavirus disease 2019 patients. Clin Infect Dis. 2020; 71(15): 713-720. DOI: 10.1093/</w:t>
      </w:r>
      <w:proofErr w:type="spellStart"/>
      <w:r w:rsidRPr="006A1DC1">
        <w:rPr>
          <w:rFonts w:eastAsia="Calibri"/>
          <w:lang w:val="en-US" w:eastAsia="en-US"/>
        </w:rPr>
        <w:t>cid</w:t>
      </w:r>
      <w:proofErr w:type="spellEnd"/>
      <w:r w:rsidRPr="006A1DC1">
        <w:rPr>
          <w:rFonts w:eastAsia="Calibri"/>
          <w:lang w:val="en-US" w:eastAsia="en-US"/>
        </w:rPr>
        <w:t xml:space="preserve">/ciaa203 </w:t>
      </w:r>
    </w:p>
    <w:p w14:paraId="4AE2FB89"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26. </w:t>
      </w:r>
      <w:proofErr w:type="spellStart"/>
      <w:r w:rsidRPr="006A1DC1">
        <w:rPr>
          <w:rFonts w:eastAsia="Calibri"/>
          <w:lang w:val="en-US" w:eastAsia="en-US"/>
        </w:rPr>
        <w:t>Folegatti</w:t>
      </w:r>
      <w:proofErr w:type="spellEnd"/>
      <w:r w:rsidRPr="006A1DC1">
        <w:rPr>
          <w:rFonts w:eastAsia="Calibri"/>
          <w:lang w:val="en-US" w:eastAsia="en-US"/>
        </w:rPr>
        <w:t xml:space="preserve"> PM, </w:t>
      </w:r>
      <w:proofErr w:type="spellStart"/>
      <w:r w:rsidRPr="006A1DC1">
        <w:rPr>
          <w:rFonts w:eastAsia="Calibri"/>
          <w:lang w:val="en-US" w:eastAsia="en-US"/>
        </w:rPr>
        <w:t>Bittaye</w:t>
      </w:r>
      <w:proofErr w:type="spellEnd"/>
      <w:r w:rsidRPr="006A1DC1">
        <w:rPr>
          <w:rFonts w:eastAsia="Calibri"/>
          <w:lang w:val="en-US" w:eastAsia="en-US"/>
        </w:rPr>
        <w:t xml:space="preserve"> M, Flaxman A, Lopez FR, Bellamy D, </w:t>
      </w:r>
      <w:proofErr w:type="spellStart"/>
      <w:r w:rsidRPr="006A1DC1">
        <w:rPr>
          <w:rFonts w:eastAsia="Calibri"/>
          <w:lang w:val="en-US" w:eastAsia="en-US"/>
        </w:rPr>
        <w:t>Kupke</w:t>
      </w:r>
      <w:proofErr w:type="spellEnd"/>
      <w:r w:rsidRPr="006A1DC1">
        <w:rPr>
          <w:rFonts w:eastAsia="Calibri"/>
          <w:lang w:val="en-US" w:eastAsia="en-US"/>
        </w:rPr>
        <w:t xml:space="preserve"> A, et al. Safety and immunogenicity of a candidate Middle East respiratory syndrome coronavirus viral-vectored vaccine: a dose-escalation, open-label, non-</w:t>
      </w:r>
      <w:proofErr w:type="spellStart"/>
      <w:r w:rsidRPr="006A1DC1">
        <w:rPr>
          <w:rFonts w:eastAsia="Calibri"/>
          <w:lang w:val="en-US" w:eastAsia="en-US"/>
        </w:rPr>
        <w:t>randomised</w:t>
      </w:r>
      <w:proofErr w:type="spellEnd"/>
      <w:r w:rsidRPr="006A1DC1">
        <w:rPr>
          <w:rFonts w:eastAsia="Calibri"/>
          <w:lang w:val="en-US" w:eastAsia="en-US"/>
        </w:rPr>
        <w:t>, uncontrolled, phase 1 trial. Lancet Infect Dis. 2020; 20(7): 816-26. DOI: 10.1016/S1473-3099(20)30160-2</w:t>
      </w:r>
    </w:p>
    <w:p w14:paraId="00D8A392"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lastRenderedPageBreak/>
        <w:t xml:space="preserve">27. Pan American Health Organization / World Health Organization. Epidemiological Update: Novel Coronavirus (2019 </w:t>
      </w:r>
      <w:proofErr w:type="spellStart"/>
      <w:r w:rsidRPr="006A1DC1">
        <w:rPr>
          <w:rFonts w:eastAsia="Calibri"/>
          <w:lang w:val="en-US" w:eastAsia="en-US"/>
        </w:rPr>
        <w:t>nCoV</w:t>
      </w:r>
      <w:proofErr w:type="spellEnd"/>
      <w:r w:rsidRPr="006A1DC1">
        <w:rPr>
          <w:rFonts w:eastAsia="Calibri"/>
          <w:lang w:val="en-US" w:eastAsia="en-US"/>
        </w:rPr>
        <w:t>) 20 January 2020. Washington, D.C.: PAHO/WHO; 2020. [</w:t>
      </w:r>
      <w:proofErr w:type="spellStart"/>
      <w:r w:rsidRPr="006A1DC1">
        <w:rPr>
          <w:rFonts w:eastAsia="Calibri"/>
          <w:lang w:val="en-US" w:eastAsia="en-US"/>
        </w:rPr>
        <w:t>acceso</w:t>
      </w:r>
      <w:proofErr w:type="spellEnd"/>
      <w:r w:rsidRPr="006A1DC1">
        <w:rPr>
          <w:rFonts w:eastAsia="Calibri"/>
          <w:lang w:val="en-US" w:eastAsia="en-US"/>
        </w:rPr>
        <w:t xml:space="preserve">: 03/03/2020]. Disponible </w:t>
      </w:r>
      <w:proofErr w:type="spellStart"/>
      <w:r w:rsidRPr="006A1DC1">
        <w:rPr>
          <w:rFonts w:eastAsia="Calibri"/>
          <w:lang w:val="en-US" w:eastAsia="en-US"/>
        </w:rPr>
        <w:t>en</w:t>
      </w:r>
      <w:proofErr w:type="spellEnd"/>
      <w:r w:rsidRPr="006A1DC1">
        <w:rPr>
          <w:rFonts w:eastAsia="Calibri"/>
          <w:lang w:val="en-US" w:eastAsia="en-US"/>
        </w:rPr>
        <w:t>: https://iris.paho.org/handle/10665.2/51851</w:t>
      </w:r>
    </w:p>
    <w:p w14:paraId="1207C1A1" w14:textId="77777777" w:rsidR="006A1DC1" w:rsidRPr="006A1DC1" w:rsidRDefault="006A1DC1" w:rsidP="006A1DC1">
      <w:pPr>
        <w:tabs>
          <w:tab w:val="left" w:pos="2115"/>
        </w:tabs>
        <w:spacing w:line="360" w:lineRule="auto"/>
        <w:rPr>
          <w:rFonts w:eastAsia="Calibri"/>
          <w:lang w:val="es-ES" w:eastAsia="en-US"/>
        </w:rPr>
      </w:pPr>
      <w:r w:rsidRPr="006A1DC1">
        <w:rPr>
          <w:rFonts w:eastAsia="Calibri"/>
          <w:lang w:val="en-US" w:eastAsia="en-US"/>
        </w:rPr>
        <w:t xml:space="preserve">28. Richardson P, Griffin I, Tucker C, Smith D, </w:t>
      </w:r>
      <w:proofErr w:type="spellStart"/>
      <w:r w:rsidRPr="006A1DC1">
        <w:rPr>
          <w:rFonts w:eastAsia="Calibri"/>
          <w:lang w:val="en-US" w:eastAsia="en-US"/>
        </w:rPr>
        <w:t>Oechsle</w:t>
      </w:r>
      <w:proofErr w:type="spellEnd"/>
      <w:r w:rsidRPr="006A1DC1">
        <w:rPr>
          <w:rFonts w:eastAsia="Calibri"/>
          <w:lang w:val="en-US" w:eastAsia="en-US"/>
        </w:rPr>
        <w:t xml:space="preserve"> O, Phelan A, et al. </w:t>
      </w:r>
      <w:proofErr w:type="spellStart"/>
      <w:r w:rsidRPr="006A1DC1">
        <w:rPr>
          <w:rFonts w:eastAsia="Calibri"/>
          <w:lang w:val="en-US" w:eastAsia="en-US"/>
        </w:rPr>
        <w:t>Baricitinib</w:t>
      </w:r>
      <w:proofErr w:type="spellEnd"/>
      <w:r w:rsidRPr="006A1DC1">
        <w:rPr>
          <w:rFonts w:eastAsia="Calibri"/>
          <w:lang w:val="en-US" w:eastAsia="en-US"/>
        </w:rPr>
        <w:t xml:space="preserve"> as potential treatment for 2019-nCoV acute respiratory disease. Lancet. </w:t>
      </w:r>
      <w:r w:rsidRPr="006A1DC1">
        <w:rPr>
          <w:rFonts w:eastAsia="Calibri"/>
          <w:lang w:val="es-ES" w:eastAsia="en-US"/>
        </w:rPr>
        <w:t>2020; 395(10223): e30-e31. DOI: 10.1016/S0140-6736(20)30304-4</w:t>
      </w:r>
    </w:p>
    <w:p w14:paraId="4E9BE9B2" w14:textId="77777777" w:rsidR="006A1DC1" w:rsidRPr="006A1DC1" w:rsidRDefault="006A1DC1" w:rsidP="006A1DC1">
      <w:pPr>
        <w:tabs>
          <w:tab w:val="left" w:pos="2115"/>
        </w:tabs>
        <w:spacing w:line="360" w:lineRule="auto"/>
        <w:rPr>
          <w:rFonts w:eastAsia="Calibri"/>
          <w:lang w:val="es-PE" w:eastAsia="en-US"/>
        </w:rPr>
      </w:pPr>
      <w:r w:rsidRPr="006A1DC1">
        <w:rPr>
          <w:rFonts w:eastAsia="Calibri"/>
          <w:lang w:val="es-PE" w:eastAsia="en-US"/>
        </w:rPr>
        <w:t xml:space="preserve">29. Li Y, </w:t>
      </w:r>
      <w:proofErr w:type="spellStart"/>
      <w:r w:rsidRPr="006A1DC1">
        <w:rPr>
          <w:rFonts w:eastAsia="Calibri"/>
          <w:lang w:val="es-PE" w:eastAsia="en-US"/>
        </w:rPr>
        <w:t>Xie</w:t>
      </w:r>
      <w:proofErr w:type="spellEnd"/>
      <w:r w:rsidRPr="006A1DC1">
        <w:rPr>
          <w:rFonts w:eastAsia="Calibri"/>
          <w:lang w:val="es-PE" w:eastAsia="en-US"/>
        </w:rPr>
        <w:t xml:space="preserve"> Z, Lin W, </w:t>
      </w:r>
      <w:proofErr w:type="spellStart"/>
      <w:r w:rsidRPr="006A1DC1">
        <w:rPr>
          <w:rFonts w:eastAsia="Calibri"/>
          <w:lang w:val="es-PE" w:eastAsia="en-US"/>
        </w:rPr>
        <w:t>Cai</w:t>
      </w:r>
      <w:proofErr w:type="spellEnd"/>
      <w:r w:rsidRPr="006A1DC1">
        <w:rPr>
          <w:rFonts w:eastAsia="Calibri"/>
          <w:lang w:val="es-PE" w:eastAsia="en-US"/>
        </w:rPr>
        <w:t xml:space="preserve"> W, </w:t>
      </w:r>
      <w:proofErr w:type="spellStart"/>
      <w:r w:rsidRPr="006A1DC1">
        <w:rPr>
          <w:rFonts w:eastAsia="Calibri"/>
          <w:lang w:val="es-PE" w:eastAsia="en-US"/>
        </w:rPr>
        <w:t>Wen</w:t>
      </w:r>
      <w:proofErr w:type="spellEnd"/>
      <w:r w:rsidRPr="006A1DC1">
        <w:rPr>
          <w:rFonts w:eastAsia="Calibri"/>
          <w:lang w:val="es-PE" w:eastAsia="en-US"/>
        </w:rPr>
        <w:t xml:space="preserve"> C, Guan Y, et al. </w:t>
      </w:r>
      <w:r w:rsidRPr="006A1DC1">
        <w:rPr>
          <w:rFonts w:eastAsia="Calibri"/>
          <w:lang w:val="en-US" w:eastAsia="en-US"/>
        </w:rPr>
        <w:t xml:space="preserve">Efficacy and Safety of Lopinavir/ Ritonavir or </w:t>
      </w:r>
      <w:proofErr w:type="spellStart"/>
      <w:r w:rsidRPr="006A1DC1">
        <w:rPr>
          <w:rFonts w:eastAsia="Calibri"/>
          <w:lang w:val="en-US" w:eastAsia="en-US"/>
        </w:rPr>
        <w:t>Arbidol</w:t>
      </w:r>
      <w:proofErr w:type="spellEnd"/>
      <w:r w:rsidRPr="006A1DC1">
        <w:rPr>
          <w:rFonts w:eastAsia="Calibri"/>
          <w:lang w:val="en-US" w:eastAsia="en-US"/>
        </w:rPr>
        <w:t xml:space="preserve"> in Adult Patients with Mild/Moderate COVID-19: An Exploratory Randomized Controlled Trial. </w:t>
      </w:r>
      <w:proofErr w:type="spellStart"/>
      <w:r w:rsidRPr="006A1DC1">
        <w:rPr>
          <w:rFonts w:eastAsia="Calibri"/>
          <w:lang w:val="es-PE" w:eastAsia="en-US"/>
        </w:rPr>
        <w:t>Med</w:t>
      </w:r>
      <w:proofErr w:type="spellEnd"/>
      <w:r w:rsidRPr="006A1DC1">
        <w:rPr>
          <w:rFonts w:eastAsia="Calibri"/>
          <w:lang w:val="es-PE" w:eastAsia="en-US"/>
        </w:rPr>
        <w:t xml:space="preserve"> (NY). 2020; 1(1): 105-113.e4. DOI: 10.1016/j.medj.2020.04.001</w:t>
      </w:r>
    </w:p>
    <w:p w14:paraId="4E613D73"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s-PE" w:eastAsia="en-US"/>
        </w:rPr>
        <w:t xml:space="preserve">30. Pitts J, Li J, Perry J, Du Pont V, </w:t>
      </w:r>
      <w:proofErr w:type="spellStart"/>
      <w:r w:rsidRPr="006A1DC1">
        <w:rPr>
          <w:rFonts w:eastAsia="Calibri"/>
          <w:lang w:val="es-PE" w:eastAsia="en-US"/>
        </w:rPr>
        <w:t>Riola</w:t>
      </w:r>
      <w:proofErr w:type="spellEnd"/>
      <w:r w:rsidRPr="006A1DC1">
        <w:rPr>
          <w:rFonts w:eastAsia="Calibri"/>
          <w:lang w:val="es-PE" w:eastAsia="en-US"/>
        </w:rPr>
        <w:t xml:space="preserve"> N, </w:t>
      </w:r>
      <w:proofErr w:type="spellStart"/>
      <w:r w:rsidRPr="006A1DC1">
        <w:rPr>
          <w:rFonts w:eastAsia="Calibri"/>
          <w:lang w:val="es-PE" w:eastAsia="en-US"/>
        </w:rPr>
        <w:t>Rodriguez</w:t>
      </w:r>
      <w:proofErr w:type="spellEnd"/>
      <w:r w:rsidRPr="006A1DC1">
        <w:rPr>
          <w:rFonts w:eastAsia="Calibri"/>
          <w:lang w:val="es-PE" w:eastAsia="en-US"/>
        </w:rPr>
        <w:t xml:space="preserve"> L, et al. </w:t>
      </w:r>
      <w:proofErr w:type="spellStart"/>
      <w:r w:rsidRPr="006A1DC1">
        <w:rPr>
          <w:rFonts w:eastAsia="Calibri"/>
          <w:lang w:val="en-US" w:eastAsia="en-US"/>
        </w:rPr>
        <w:t>Remdesivir</w:t>
      </w:r>
      <w:proofErr w:type="spellEnd"/>
      <w:r w:rsidRPr="006A1DC1">
        <w:rPr>
          <w:rFonts w:eastAsia="Calibri"/>
          <w:lang w:val="en-US" w:eastAsia="en-US"/>
        </w:rPr>
        <w:t xml:space="preserve"> and GS-441524 retain antiviral activity against Delta, Omicron, and other emergent SARS-CoV-2 variants. </w:t>
      </w:r>
      <w:proofErr w:type="spellStart"/>
      <w:r w:rsidRPr="006A1DC1">
        <w:rPr>
          <w:rFonts w:eastAsia="Calibri"/>
          <w:lang w:val="en-US" w:eastAsia="en-US"/>
        </w:rPr>
        <w:t>BioRxiv</w:t>
      </w:r>
      <w:proofErr w:type="spellEnd"/>
      <w:r w:rsidRPr="006A1DC1">
        <w:rPr>
          <w:rFonts w:eastAsia="Calibri"/>
          <w:lang w:val="en-US" w:eastAsia="en-US"/>
        </w:rPr>
        <w:t>. 2022;1(1): 1-46. DOI: 10.1101/2022.02.09.479840</w:t>
      </w:r>
    </w:p>
    <w:p w14:paraId="037F369A"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31. Ionescu MI. An Overview of the Crystallized Structures of the SARS-CoV-2. Protein J. 2020; 39(6): 600-18. DOI: 10.1007/s10930-020-09933-w</w:t>
      </w:r>
    </w:p>
    <w:p w14:paraId="425E72E9" w14:textId="77777777" w:rsidR="006A1DC1" w:rsidRPr="006A1DC1" w:rsidRDefault="006A1DC1" w:rsidP="006A1DC1">
      <w:pPr>
        <w:tabs>
          <w:tab w:val="left" w:pos="2115"/>
        </w:tabs>
        <w:spacing w:line="360" w:lineRule="auto"/>
        <w:rPr>
          <w:rFonts w:eastAsia="Calibri"/>
          <w:lang w:val="es-PE" w:eastAsia="en-US"/>
        </w:rPr>
      </w:pPr>
      <w:r w:rsidRPr="006A1DC1">
        <w:rPr>
          <w:rFonts w:eastAsia="Calibri"/>
          <w:lang w:val="en-US" w:eastAsia="en-US"/>
        </w:rPr>
        <w:t xml:space="preserve">32. Lisa M. IL-6 blockers tested against COVID-19. </w:t>
      </w:r>
      <w:r w:rsidRPr="006A1DC1">
        <w:rPr>
          <w:rFonts w:eastAsia="Calibri"/>
          <w:lang w:val="es-PE" w:eastAsia="en-US"/>
        </w:rPr>
        <w:t>C&amp;EN. 2020; 98(11):13–20. DOI: 10.1021/cen-09811-buscon3</w:t>
      </w:r>
    </w:p>
    <w:p w14:paraId="3C6B1AA1" w14:textId="77777777" w:rsidR="006A1DC1" w:rsidRPr="006A1DC1" w:rsidRDefault="006A1DC1" w:rsidP="006A1DC1">
      <w:pPr>
        <w:tabs>
          <w:tab w:val="left" w:pos="2115"/>
        </w:tabs>
        <w:spacing w:line="360" w:lineRule="auto"/>
        <w:rPr>
          <w:rFonts w:eastAsia="Calibri"/>
          <w:lang w:val="es-CU" w:eastAsia="en-US"/>
        </w:rPr>
      </w:pPr>
      <w:r w:rsidRPr="006A1DC1">
        <w:rPr>
          <w:rFonts w:eastAsia="Calibri"/>
          <w:lang w:val="es-PE" w:eastAsia="en-US"/>
        </w:rPr>
        <w:t xml:space="preserve">33. </w:t>
      </w:r>
      <w:proofErr w:type="spellStart"/>
      <w:r w:rsidRPr="006A1DC1">
        <w:rPr>
          <w:rFonts w:eastAsia="Calibri"/>
          <w:lang w:val="es-CU" w:eastAsia="en-US"/>
        </w:rPr>
        <w:t>Cision</w:t>
      </w:r>
      <w:proofErr w:type="spellEnd"/>
      <w:r w:rsidRPr="006A1DC1">
        <w:rPr>
          <w:rFonts w:eastAsia="Calibri"/>
          <w:lang w:val="es-CU" w:eastAsia="en-US"/>
        </w:rPr>
        <w:t xml:space="preserve"> PR </w:t>
      </w:r>
      <w:proofErr w:type="spellStart"/>
      <w:r w:rsidRPr="006A1DC1">
        <w:rPr>
          <w:rFonts w:eastAsia="Calibri"/>
          <w:lang w:val="es-CU" w:eastAsia="en-US"/>
        </w:rPr>
        <w:t>Newswire</w:t>
      </w:r>
      <w:proofErr w:type="spellEnd"/>
      <w:r w:rsidRPr="006A1DC1">
        <w:rPr>
          <w:rFonts w:eastAsia="Calibri"/>
          <w:lang w:val="es-CU" w:eastAsia="en-US"/>
        </w:rPr>
        <w:t xml:space="preserve">. </w:t>
      </w:r>
      <w:proofErr w:type="spellStart"/>
      <w:r w:rsidRPr="006A1DC1">
        <w:rPr>
          <w:rFonts w:eastAsia="Calibri"/>
          <w:lang w:val="es-PE" w:eastAsia="en-US"/>
        </w:rPr>
        <w:t>Inovio</w:t>
      </w:r>
      <w:proofErr w:type="spellEnd"/>
      <w:r w:rsidRPr="006A1DC1">
        <w:rPr>
          <w:rFonts w:eastAsia="Calibri"/>
          <w:lang w:val="es-PE" w:eastAsia="en-US"/>
        </w:rPr>
        <w:t xml:space="preserve"> </w:t>
      </w:r>
      <w:proofErr w:type="spellStart"/>
      <w:r w:rsidRPr="006A1DC1">
        <w:rPr>
          <w:rFonts w:eastAsia="Calibri"/>
          <w:lang w:val="es-PE" w:eastAsia="en-US"/>
        </w:rPr>
        <w:t>Accelerates</w:t>
      </w:r>
      <w:proofErr w:type="spellEnd"/>
      <w:r w:rsidRPr="006A1DC1">
        <w:rPr>
          <w:rFonts w:eastAsia="Calibri"/>
          <w:lang w:val="es-PE" w:eastAsia="en-US"/>
        </w:rPr>
        <w:t xml:space="preserve"> Timeline </w:t>
      </w:r>
      <w:proofErr w:type="spellStart"/>
      <w:r w:rsidRPr="006A1DC1">
        <w:rPr>
          <w:rFonts w:eastAsia="Calibri"/>
          <w:lang w:val="es-PE" w:eastAsia="en-US"/>
        </w:rPr>
        <w:t>for</w:t>
      </w:r>
      <w:proofErr w:type="spellEnd"/>
      <w:r w:rsidRPr="006A1DC1">
        <w:rPr>
          <w:rFonts w:eastAsia="Calibri"/>
          <w:lang w:val="es-PE" w:eastAsia="en-US"/>
        </w:rPr>
        <w:t xml:space="preserve"> COVID-19 DNA </w:t>
      </w:r>
      <w:proofErr w:type="spellStart"/>
      <w:r w:rsidRPr="006A1DC1">
        <w:rPr>
          <w:rFonts w:eastAsia="Calibri"/>
          <w:lang w:val="es-PE" w:eastAsia="en-US"/>
        </w:rPr>
        <w:t>Vaccine</w:t>
      </w:r>
      <w:proofErr w:type="spellEnd"/>
      <w:r w:rsidRPr="006A1DC1">
        <w:rPr>
          <w:rFonts w:eastAsia="Calibri"/>
          <w:lang w:val="es-PE" w:eastAsia="en-US"/>
        </w:rPr>
        <w:t xml:space="preserve"> INO-4800. Pensilvania: </w:t>
      </w:r>
      <w:proofErr w:type="spellStart"/>
      <w:r w:rsidRPr="006A1DC1">
        <w:rPr>
          <w:rFonts w:eastAsia="Calibri"/>
          <w:lang w:val="es-PE" w:eastAsia="en-US"/>
        </w:rPr>
        <w:t>Inovio</w:t>
      </w:r>
      <w:proofErr w:type="spellEnd"/>
      <w:r w:rsidRPr="006A1DC1">
        <w:rPr>
          <w:rFonts w:eastAsia="Calibri"/>
          <w:lang w:val="es-PE" w:eastAsia="en-US"/>
        </w:rPr>
        <w:t xml:space="preserve"> </w:t>
      </w:r>
      <w:proofErr w:type="spellStart"/>
      <w:r w:rsidRPr="006A1DC1">
        <w:rPr>
          <w:rFonts w:eastAsia="Calibri"/>
          <w:lang w:val="es-PE" w:eastAsia="en-US"/>
        </w:rPr>
        <w:t>Pharmaceuticals</w:t>
      </w:r>
      <w:proofErr w:type="spellEnd"/>
      <w:r w:rsidRPr="006A1DC1">
        <w:rPr>
          <w:rFonts w:eastAsia="Calibri"/>
          <w:lang w:val="es-PE" w:eastAsia="en-US"/>
        </w:rPr>
        <w:t xml:space="preserve">; 2020. [acceso: 03/03/2020]. </w:t>
      </w:r>
      <w:r w:rsidRPr="006A1DC1">
        <w:rPr>
          <w:rFonts w:eastAsia="Calibri"/>
          <w:lang w:val="es-CU" w:eastAsia="en-US"/>
        </w:rPr>
        <w:t xml:space="preserve">Disponible en: </w:t>
      </w:r>
      <w:hyperlink r:id="rId10" w:history="1">
        <w:r w:rsidRPr="006A1DC1">
          <w:rPr>
            <w:rFonts w:eastAsia="Calibri"/>
            <w:color w:val="0563C1"/>
            <w:u w:val="single"/>
            <w:lang w:val="es-CU" w:eastAsia="en-US"/>
          </w:rPr>
          <w:t>https://www.prnewswire.com/news-releases/inovio-accelerates-timeline-for-covid-19-dna-vaccine-ino-4800-301015031.html</w:t>
        </w:r>
      </w:hyperlink>
      <w:r w:rsidRPr="006A1DC1">
        <w:rPr>
          <w:rFonts w:eastAsia="Calibri"/>
          <w:lang w:val="es-CU" w:eastAsia="en-US"/>
        </w:rPr>
        <w:t xml:space="preserve"> </w:t>
      </w:r>
    </w:p>
    <w:p w14:paraId="73E95EFD" w14:textId="77777777" w:rsidR="006A1DC1" w:rsidRPr="006A1DC1" w:rsidRDefault="006A1DC1" w:rsidP="006A1DC1">
      <w:pPr>
        <w:tabs>
          <w:tab w:val="left" w:pos="2115"/>
        </w:tabs>
        <w:spacing w:line="360" w:lineRule="auto"/>
        <w:rPr>
          <w:rFonts w:eastAsia="Calibri"/>
          <w:lang w:val="en-US" w:eastAsia="en-US"/>
        </w:rPr>
      </w:pPr>
      <w:r w:rsidRPr="006A1DC1">
        <w:rPr>
          <w:rFonts w:eastAsia="Calibri"/>
          <w:lang w:val="en-US" w:eastAsia="en-US"/>
        </w:rPr>
        <w:t xml:space="preserve">34. Hussey C. </w:t>
      </w:r>
      <w:proofErr w:type="spellStart"/>
      <w:r w:rsidRPr="006A1DC1">
        <w:rPr>
          <w:rFonts w:eastAsia="Calibri"/>
          <w:lang w:val="en-US" w:eastAsia="en-US"/>
        </w:rPr>
        <w:t>Moderna</w:t>
      </w:r>
      <w:proofErr w:type="spellEnd"/>
      <w:r w:rsidRPr="006A1DC1">
        <w:rPr>
          <w:rFonts w:eastAsia="Calibri"/>
          <w:lang w:val="en-US" w:eastAsia="en-US"/>
        </w:rPr>
        <w:t xml:space="preserve"> ships mRNA vaccine against novel coronavirus (mRNA-1273) for phase 1 study. Cambridge, Mass: Business Wire; 2020. [</w:t>
      </w:r>
      <w:proofErr w:type="spellStart"/>
      <w:r w:rsidRPr="006A1DC1">
        <w:rPr>
          <w:rFonts w:eastAsia="Calibri"/>
          <w:lang w:val="en-US" w:eastAsia="en-US"/>
        </w:rPr>
        <w:t>acceso</w:t>
      </w:r>
      <w:proofErr w:type="spellEnd"/>
      <w:r w:rsidRPr="006A1DC1">
        <w:rPr>
          <w:rFonts w:eastAsia="Calibri"/>
          <w:lang w:val="en-US" w:eastAsia="en-US"/>
        </w:rPr>
        <w:t xml:space="preserve">: 24/02/2020]. Disponible </w:t>
      </w:r>
      <w:proofErr w:type="spellStart"/>
      <w:r w:rsidRPr="006A1DC1">
        <w:rPr>
          <w:rFonts w:eastAsia="Calibri"/>
          <w:lang w:val="en-US" w:eastAsia="en-US"/>
        </w:rPr>
        <w:t>en</w:t>
      </w:r>
      <w:proofErr w:type="spellEnd"/>
      <w:r w:rsidRPr="006A1DC1">
        <w:rPr>
          <w:rFonts w:eastAsia="Calibri"/>
          <w:lang w:val="en-US" w:eastAsia="en-US"/>
        </w:rPr>
        <w:t xml:space="preserve">: </w:t>
      </w:r>
      <w:r w:rsidR="00532AE8">
        <w:fldChar w:fldCharType="begin"/>
      </w:r>
      <w:r w:rsidR="00532AE8" w:rsidRPr="00852743">
        <w:rPr>
          <w:lang w:val="en-US"/>
        </w:rPr>
        <w:instrText xml:space="preserve"> HYPERLINK "https:/</w:instrText>
      </w:r>
      <w:r w:rsidR="00532AE8" w:rsidRPr="00852743">
        <w:rPr>
          <w:lang w:val="en-US"/>
        </w:rPr>
        <w:instrText xml:space="preserve">/www.bloomberg.com/press-releases/2020-02-24/moderna-ships-mrna-vaccine-against-novel-coronavirus-mrna-1273-for-phase-1-study" </w:instrText>
      </w:r>
      <w:r w:rsidR="00532AE8">
        <w:fldChar w:fldCharType="separate"/>
      </w:r>
      <w:r w:rsidRPr="006A1DC1">
        <w:rPr>
          <w:rFonts w:eastAsia="Calibri"/>
          <w:color w:val="0563C1"/>
          <w:u w:val="single"/>
          <w:lang w:val="en-US" w:eastAsia="en-US"/>
        </w:rPr>
        <w:t>https://www.bloomberg.com/press-releases/2020-02-24/moderna-ships-mrna-vaccine-against-novel-coronavirus-mrna-1273-for-phase-1-study</w:t>
      </w:r>
      <w:r w:rsidR="00532AE8">
        <w:rPr>
          <w:rFonts w:eastAsia="Calibri"/>
          <w:color w:val="0563C1"/>
          <w:u w:val="single"/>
          <w:lang w:val="en-US" w:eastAsia="en-US"/>
        </w:rPr>
        <w:fldChar w:fldCharType="end"/>
      </w:r>
      <w:r w:rsidRPr="006A1DC1">
        <w:rPr>
          <w:rFonts w:eastAsia="Calibri"/>
          <w:lang w:val="en-US" w:eastAsia="en-US"/>
        </w:rPr>
        <w:t xml:space="preserve">  </w:t>
      </w:r>
    </w:p>
    <w:p w14:paraId="5AEDFB35" w14:textId="77777777" w:rsidR="006A1DC1" w:rsidRPr="006A1DC1" w:rsidRDefault="006A1DC1" w:rsidP="006A1DC1">
      <w:pPr>
        <w:tabs>
          <w:tab w:val="left" w:pos="2115"/>
        </w:tabs>
        <w:spacing w:line="360" w:lineRule="auto"/>
        <w:jc w:val="both"/>
        <w:rPr>
          <w:rFonts w:eastAsia="Calibri"/>
          <w:lang w:val="en-US" w:eastAsia="en-US"/>
        </w:rPr>
      </w:pPr>
      <w:r w:rsidRPr="006A1DC1">
        <w:rPr>
          <w:rFonts w:eastAsia="Calibri"/>
          <w:lang w:val="es-PE" w:eastAsia="en-US"/>
        </w:rPr>
        <w:t xml:space="preserve">35. </w:t>
      </w:r>
      <w:proofErr w:type="gramStart"/>
      <w:r w:rsidRPr="006A1DC1">
        <w:rPr>
          <w:rFonts w:eastAsia="Calibri"/>
          <w:lang w:val="es-PE" w:eastAsia="en-US"/>
        </w:rPr>
        <w:t xml:space="preserve">Campos E, Pereira A, Oliveira J, Carvalho L, </w:t>
      </w:r>
      <w:proofErr w:type="spellStart"/>
      <w:r w:rsidRPr="006A1DC1">
        <w:rPr>
          <w:rFonts w:eastAsia="Calibri"/>
          <w:lang w:val="es-PE" w:eastAsia="en-US"/>
        </w:rPr>
        <w:t>Guilger</w:t>
      </w:r>
      <w:proofErr w:type="spellEnd"/>
      <w:r w:rsidRPr="006A1DC1">
        <w:rPr>
          <w:rFonts w:eastAsia="Calibri"/>
          <w:lang w:val="es-PE" w:eastAsia="en-US"/>
        </w:rPr>
        <w:t xml:space="preserve">-Casagrande M, De Lima R, et al. </w:t>
      </w:r>
      <w:r w:rsidRPr="006A1DC1">
        <w:rPr>
          <w:rFonts w:eastAsia="Calibri"/>
          <w:lang w:val="en-US" w:eastAsia="en-US"/>
        </w:rPr>
        <w:t>How can nanotechnology help to combat COVID-19?</w:t>
      </w:r>
      <w:proofErr w:type="gramEnd"/>
      <w:r w:rsidRPr="006A1DC1">
        <w:rPr>
          <w:rFonts w:eastAsia="Calibri"/>
          <w:lang w:val="en-US" w:eastAsia="en-US"/>
        </w:rPr>
        <w:t xml:space="preserve"> Opportunities and urgent need.</w:t>
      </w:r>
    </w:p>
    <w:p w14:paraId="76CAFE49" w14:textId="77777777" w:rsidR="006A1DC1" w:rsidRPr="006A1DC1" w:rsidRDefault="006A1DC1" w:rsidP="006A1DC1">
      <w:pPr>
        <w:tabs>
          <w:tab w:val="left" w:pos="2115"/>
        </w:tabs>
        <w:spacing w:line="360" w:lineRule="auto"/>
        <w:jc w:val="both"/>
        <w:rPr>
          <w:rFonts w:eastAsia="Calibri"/>
          <w:lang w:val="es-PE" w:eastAsia="en-US"/>
        </w:rPr>
      </w:pPr>
      <w:r w:rsidRPr="006A1DC1">
        <w:rPr>
          <w:rFonts w:eastAsia="Calibri"/>
          <w:lang w:val="es-PE" w:eastAsia="en-US"/>
        </w:rPr>
        <w:t xml:space="preserve">J </w:t>
      </w:r>
      <w:proofErr w:type="spellStart"/>
      <w:r w:rsidRPr="006A1DC1">
        <w:rPr>
          <w:rFonts w:eastAsia="Calibri"/>
          <w:lang w:val="es-PE" w:eastAsia="en-US"/>
        </w:rPr>
        <w:t>Nanobiotechnol</w:t>
      </w:r>
      <w:proofErr w:type="spellEnd"/>
      <w:r w:rsidRPr="006A1DC1">
        <w:rPr>
          <w:rFonts w:eastAsia="Calibri"/>
          <w:lang w:val="es-PE" w:eastAsia="en-US"/>
        </w:rPr>
        <w:t xml:space="preserve">. 2020; 18(1).1-23. DOI: 10.1186/s12951-020-00685-4 </w:t>
      </w:r>
    </w:p>
    <w:p w14:paraId="648A3525" w14:textId="77777777" w:rsidR="006A1DC1" w:rsidRPr="006A1DC1" w:rsidRDefault="006A1DC1" w:rsidP="006A1DC1">
      <w:pPr>
        <w:tabs>
          <w:tab w:val="left" w:pos="2115"/>
        </w:tabs>
        <w:spacing w:line="360" w:lineRule="auto"/>
        <w:jc w:val="both"/>
        <w:rPr>
          <w:rFonts w:eastAsia="Calibri"/>
          <w:lang w:val="es-PE" w:eastAsia="en-US"/>
        </w:rPr>
      </w:pPr>
    </w:p>
    <w:p w14:paraId="2525CBBF" w14:textId="77777777" w:rsidR="006A1DC1" w:rsidRPr="006A1DC1" w:rsidRDefault="006A1DC1" w:rsidP="006A1DC1">
      <w:pPr>
        <w:spacing w:line="360" w:lineRule="auto"/>
        <w:jc w:val="center"/>
        <w:rPr>
          <w:rFonts w:eastAsia="Calibri"/>
          <w:b/>
          <w:bCs/>
          <w:lang w:val="es-PE" w:eastAsia="en-US"/>
        </w:rPr>
      </w:pPr>
    </w:p>
    <w:p w14:paraId="3606292B" w14:textId="77777777" w:rsidR="006A1DC1" w:rsidRPr="006A1DC1" w:rsidRDefault="006A1DC1" w:rsidP="006A1DC1">
      <w:pPr>
        <w:spacing w:line="360" w:lineRule="auto"/>
        <w:jc w:val="center"/>
        <w:rPr>
          <w:rFonts w:eastAsia="Calibri"/>
          <w:b/>
          <w:bCs/>
          <w:lang w:val="es-PE" w:eastAsia="en-US"/>
        </w:rPr>
      </w:pPr>
      <w:r w:rsidRPr="006A1DC1">
        <w:rPr>
          <w:rFonts w:eastAsia="Calibri"/>
          <w:b/>
          <w:bCs/>
          <w:lang w:val="es-PE" w:eastAsia="en-US"/>
        </w:rPr>
        <w:t>Conflictos de interés</w:t>
      </w:r>
    </w:p>
    <w:p w14:paraId="256614BD" w14:textId="77777777" w:rsidR="006A1DC1" w:rsidRPr="006A1DC1" w:rsidRDefault="006A1DC1" w:rsidP="006A1DC1">
      <w:pPr>
        <w:spacing w:line="360" w:lineRule="auto"/>
        <w:jc w:val="both"/>
        <w:rPr>
          <w:rFonts w:eastAsia="Calibri"/>
          <w:lang w:val="es-PE" w:eastAsia="en-US"/>
        </w:rPr>
      </w:pPr>
      <w:r w:rsidRPr="006A1DC1">
        <w:rPr>
          <w:rFonts w:eastAsia="Calibri"/>
          <w:lang w:val="es-PE" w:eastAsia="en-US"/>
        </w:rPr>
        <w:t xml:space="preserve">El autor declara que no existen conflictos de interés. El estudio fue financiado por el autor. </w:t>
      </w:r>
    </w:p>
    <w:p w14:paraId="41172DDF" w14:textId="77777777" w:rsidR="00675476" w:rsidRPr="006A1DC1" w:rsidRDefault="00675476" w:rsidP="00EA1FEF">
      <w:pPr>
        <w:pStyle w:val="PDFRevista"/>
        <w:rPr>
          <w:lang w:val="es-PE"/>
        </w:rPr>
      </w:pPr>
    </w:p>
    <w:sectPr w:rsidR="00675476" w:rsidRPr="006A1DC1" w:rsidSect="00FD3DF8">
      <w:headerReference w:type="default" r:id="rId11"/>
      <w:footerReference w:type="even" r:id="rId12"/>
      <w:footerReference w:type="default" r:id="rId1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5A4C" w14:textId="77777777" w:rsidR="00532AE8" w:rsidRDefault="00532AE8">
      <w:r>
        <w:separator/>
      </w:r>
    </w:p>
  </w:endnote>
  <w:endnote w:type="continuationSeparator" w:id="0">
    <w:p w14:paraId="30A68205" w14:textId="77777777" w:rsidR="00532AE8" w:rsidRDefault="0053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FC8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FE40A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9737" w14:textId="0976FDA7" w:rsidR="000F3690" w:rsidRPr="00AE044C" w:rsidRDefault="006A1DC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11FBDA8" wp14:editId="7E727ECA">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339D7A"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45A3E063" w14:textId="77777777" w:rsidR="00675476" w:rsidRPr="00AE044C" w:rsidRDefault="00532AE8" w:rsidP="00391509">
    <w:pPr>
      <w:pStyle w:val="Piedepgina"/>
      <w:ind w:right="360"/>
      <w:rPr>
        <w:sz w:val="22"/>
        <w:szCs w:val="22"/>
      </w:rPr>
    </w:pPr>
    <w:hyperlink r:id="rId1" w:history="1">
      <w:r w:rsidR="00391509" w:rsidRPr="00AE044C">
        <w:rPr>
          <w:rStyle w:val="Hipervnculo"/>
          <w:sz w:val="22"/>
          <w:szCs w:val="22"/>
        </w:rPr>
        <w:t>http://scielo.sld.cu</w:t>
      </w:r>
    </w:hyperlink>
  </w:p>
  <w:p w14:paraId="3AE413C7" w14:textId="77777777" w:rsidR="00391509" w:rsidRPr="00AE044C" w:rsidRDefault="00532AE8"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AD77CA7" w14:textId="4CC64AEF"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6A1DC1" w:rsidRPr="006A1DC1">
      <w:rPr>
        <w:rFonts w:ascii="Verdana" w:hAnsi="Verdana"/>
        <w:noProof/>
        <w:sz w:val="18"/>
        <w:szCs w:val="18"/>
        <w:lang w:val="en-US" w:eastAsia="en-US"/>
      </w:rPr>
      <w:drawing>
        <wp:inline distT="0" distB="0" distL="0" distR="0" wp14:anchorId="79BB9BF0" wp14:editId="4A1CC534">
          <wp:extent cx="638175" cy="146685"/>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8B39" w14:textId="77777777" w:rsidR="00532AE8" w:rsidRDefault="00532AE8">
      <w:r>
        <w:separator/>
      </w:r>
    </w:p>
  </w:footnote>
  <w:footnote w:type="continuationSeparator" w:id="0">
    <w:p w14:paraId="5DBE2578" w14:textId="77777777" w:rsidR="00532AE8" w:rsidRDefault="00532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F58A" w14:textId="02138EB2" w:rsidR="00CC376A" w:rsidRPr="00AE044C" w:rsidRDefault="006A1DC1"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proofErr w:type="gramStart"/>
    <w:r w:rsidR="007D2D0C" w:rsidRPr="00AE044C">
      <w:rPr>
        <w:sz w:val="22"/>
        <w:szCs w:val="22"/>
      </w:rPr>
      <w:t>):</w:t>
    </w:r>
    <w:r>
      <w:rPr>
        <w:sz w:val="22"/>
        <w:szCs w:val="22"/>
      </w:rPr>
      <w:t>e</w:t>
    </w:r>
    <w:proofErr w:type="gramEnd"/>
    <w:r>
      <w:rPr>
        <w:sz w:val="22"/>
        <w:szCs w:val="22"/>
      </w:rPr>
      <w:t>02201756</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0A81843" wp14:editId="1CBC624B">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67D35" w14:textId="6F5C11A4" w:rsidR="00A477DE" w:rsidRDefault="006A1DC1">
    <w:r>
      <w:rPr>
        <w:noProof/>
      </w:rPr>
      <mc:AlternateContent>
        <mc:Choice Requires="wps">
          <w:drawing>
            <wp:anchor distT="0" distB="0" distL="114300" distR="114300" simplePos="0" relativeHeight="251654144" behindDoc="0" locked="0" layoutInCell="1" allowOverlap="1" wp14:anchorId="2BB7B176" wp14:editId="405DF3BB">
              <wp:simplePos x="0" y="0"/>
              <wp:positionH relativeFrom="column">
                <wp:posOffset>635</wp:posOffset>
              </wp:positionH>
              <wp:positionV relativeFrom="paragraph">
                <wp:posOffset>42545</wp:posOffset>
              </wp:positionV>
              <wp:extent cx="6307455" cy="28575"/>
              <wp:effectExtent l="19050" t="19050" r="17145"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FE62ED"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C28NJo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C1"/>
    <w:rsid w:val="00057F45"/>
    <w:rsid w:val="000D3958"/>
    <w:rsid w:val="000F3690"/>
    <w:rsid w:val="001221D1"/>
    <w:rsid w:val="00165CB5"/>
    <w:rsid w:val="00180CE9"/>
    <w:rsid w:val="00230DD5"/>
    <w:rsid w:val="00250AE9"/>
    <w:rsid w:val="00340C0E"/>
    <w:rsid w:val="00341F49"/>
    <w:rsid w:val="00380D64"/>
    <w:rsid w:val="00391509"/>
    <w:rsid w:val="003E03D5"/>
    <w:rsid w:val="00486BFA"/>
    <w:rsid w:val="00493701"/>
    <w:rsid w:val="004E2065"/>
    <w:rsid w:val="00532AE8"/>
    <w:rsid w:val="005508A2"/>
    <w:rsid w:val="0055115D"/>
    <w:rsid w:val="00566F71"/>
    <w:rsid w:val="005918BD"/>
    <w:rsid w:val="006173A6"/>
    <w:rsid w:val="00675476"/>
    <w:rsid w:val="006A1DC1"/>
    <w:rsid w:val="007C430F"/>
    <w:rsid w:val="007D2D0C"/>
    <w:rsid w:val="007D614D"/>
    <w:rsid w:val="00852743"/>
    <w:rsid w:val="0090160B"/>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03F0B"/>
  <w15:docId w15:val="{459B72EE-FB27-4DEA-A7EC-19A3B08B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e.e.oliva.menacho@hot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3-4361-585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rnewswire.com/news-releases/inovio-accelerates-timeline-for-covid-19-dna-vaccine-ino-4800-301015031.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TotalTime>
  <Pages>17</Pages>
  <Words>5534</Words>
  <Characters>30439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35902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2022-06-17T00:30:00Z</cp:lastPrinted>
  <dcterms:created xsi:type="dcterms:W3CDTF">2022-06-17T00:28:00Z</dcterms:created>
  <dcterms:modified xsi:type="dcterms:W3CDTF">2022-06-18T15:46:00Z</dcterms:modified>
</cp:coreProperties>
</file>