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E72C" w14:textId="77777777" w:rsidR="00B25B13" w:rsidRPr="00B25B13" w:rsidRDefault="00B25B13" w:rsidP="00B25B13">
      <w:pPr>
        <w:keepNext/>
        <w:spacing w:line="360" w:lineRule="auto"/>
        <w:jc w:val="right"/>
        <w:outlineLvl w:val="1"/>
        <w:rPr>
          <w:rFonts w:eastAsiaTheme="minorHAnsi"/>
          <w:sz w:val="20"/>
          <w:szCs w:val="20"/>
          <w:lang w:val="es-ES" w:eastAsia="en-US"/>
        </w:rPr>
      </w:pPr>
      <w:r w:rsidRPr="00B25B13">
        <w:rPr>
          <w:rFonts w:eastAsiaTheme="minorHAnsi"/>
          <w:sz w:val="20"/>
          <w:szCs w:val="20"/>
          <w:lang w:val="es-ES" w:eastAsia="en-US"/>
        </w:rPr>
        <w:t>Artículo de investigación</w:t>
      </w:r>
    </w:p>
    <w:p w14:paraId="566854E1" w14:textId="77777777" w:rsidR="00B25B13" w:rsidRPr="00B25B13" w:rsidRDefault="00B25B13" w:rsidP="00B25B13">
      <w:pPr>
        <w:spacing w:line="360" w:lineRule="auto"/>
        <w:rPr>
          <w:rFonts w:eastAsiaTheme="minorHAnsi"/>
          <w:lang w:val="es-ES" w:eastAsia="en-US"/>
        </w:rPr>
      </w:pPr>
    </w:p>
    <w:p w14:paraId="7B8D2A08" w14:textId="77777777" w:rsidR="00B25B13" w:rsidRPr="00B25B13" w:rsidRDefault="00B25B13" w:rsidP="00B25B13">
      <w:pPr>
        <w:spacing w:line="360" w:lineRule="auto"/>
        <w:jc w:val="center"/>
        <w:rPr>
          <w:rFonts w:eastAsiaTheme="minorHAnsi"/>
          <w:b/>
          <w:sz w:val="28"/>
          <w:szCs w:val="28"/>
          <w:lang w:val="es-MX" w:eastAsia="en-US"/>
        </w:rPr>
      </w:pPr>
      <w:r w:rsidRPr="00B25B13">
        <w:rPr>
          <w:rFonts w:eastAsiaTheme="minorHAnsi"/>
          <w:b/>
          <w:sz w:val="28"/>
          <w:szCs w:val="28"/>
          <w:lang w:val="es-MX" w:eastAsia="en-US"/>
        </w:rPr>
        <w:t xml:space="preserve">Diseño de una escala predictiva de mortalidad en pacientes con enfermedad renal crónica </w:t>
      </w:r>
    </w:p>
    <w:p w14:paraId="71925D21" w14:textId="77777777" w:rsidR="00B25B13" w:rsidRPr="00B25B13" w:rsidRDefault="00B25B13" w:rsidP="00B25B13">
      <w:pPr>
        <w:spacing w:line="360" w:lineRule="auto"/>
        <w:jc w:val="center"/>
        <w:rPr>
          <w:rFonts w:eastAsiaTheme="minorHAnsi"/>
          <w:bCs/>
          <w:sz w:val="28"/>
          <w:szCs w:val="28"/>
          <w:lang w:val="en-US" w:eastAsia="en-US"/>
        </w:rPr>
      </w:pPr>
      <w:r w:rsidRPr="00B25B13">
        <w:rPr>
          <w:rFonts w:eastAsiaTheme="minorHAnsi"/>
          <w:bCs/>
          <w:sz w:val="28"/>
          <w:szCs w:val="28"/>
          <w:lang w:val="en-US" w:eastAsia="en-US"/>
        </w:rPr>
        <w:t>Design of a mortality predictive scale in patients with chronic kidney disease</w:t>
      </w:r>
    </w:p>
    <w:p w14:paraId="170BAE4E" w14:textId="77777777" w:rsidR="00B25B13" w:rsidRPr="00B25B13" w:rsidRDefault="00B25B13" w:rsidP="00B25B13">
      <w:pPr>
        <w:spacing w:line="360" w:lineRule="auto"/>
        <w:rPr>
          <w:rFonts w:eastAsiaTheme="minorHAnsi"/>
          <w:lang w:val="pt-BR" w:eastAsia="en-US"/>
        </w:rPr>
      </w:pPr>
    </w:p>
    <w:p w14:paraId="362AAECB" w14:textId="77777777" w:rsidR="00B25B13" w:rsidRPr="00B25B13" w:rsidRDefault="00B25B13" w:rsidP="00B25B13">
      <w:pPr>
        <w:spacing w:line="360" w:lineRule="auto"/>
        <w:rPr>
          <w:rFonts w:eastAsiaTheme="minorHAnsi"/>
          <w:lang w:val="es-MX" w:eastAsia="en-US"/>
        </w:rPr>
      </w:pPr>
      <w:r w:rsidRPr="00B25B13">
        <w:rPr>
          <w:rFonts w:eastAsiaTheme="minorHAnsi"/>
          <w:lang w:val="pt-BR" w:eastAsia="en-US"/>
        </w:rPr>
        <w:t>Sergio Orlando Escalona González</w:t>
      </w:r>
      <w:r w:rsidRPr="00B25B13">
        <w:rPr>
          <w:rFonts w:eastAsiaTheme="minorHAnsi"/>
          <w:vertAlign w:val="superscript"/>
          <w:lang w:val="pt-BR" w:eastAsia="en-US"/>
        </w:rPr>
        <w:t>1</w:t>
      </w:r>
      <w:r w:rsidRPr="00B25B13">
        <w:rPr>
          <w:rFonts w:eastAsiaTheme="minorHAnsi"/>
          <w:lang w:val="pt-BR" w:eastAsia="en-US"/>
        </w:rPr>
        <w:t xml:space="preserve">* </w:t>
      </w:r>
      <w:hyperlink r:id="rId7" w:history="1">
        <w:r w:rsidRPr="00B25B13">
          <w:rPr>
            <w:rFonts w:eastAsiaTheme="minorHAnsi"/>
            <w:color w:val="0000FF"/>
            <w:lang w:val="es-ES" w:eastAsia="en-US"/>
          </w:rPr>
          <w:t>https://orcid.org/0000-0003-4261-6842</w:t>
        </w:r>
      </w:hyperlink>
    </w:p>
    <w:p w14:paraId="1E806E07" w14:textId="77777777" w:rsidR="00B25B13" w:rsidRPr="00B25B13" w:rsidRDefault="00B25B13" w:rsidP="00B25B13">
      <w:pPr>
        <w:spacing w:line="360" w:lineRule="auto"/>
        <w:jc w:val="both"/>
        <w:rPr>
          <w:rFonts w:eastAsiaTheme="minorHAnsi"/>
          <w:lang w:val="es-MX" w:eastAsia="en-US"/>
        </w:rPr>
      </w:pPr>
      <w:proofErr w:type="spellStart"/>
      <w:r w:rsidRPr="00B25B13">
        <w:rPr>
          <w:rFonts w:eastAsiaTheme="minorHAnsi"/>
          <w:lang w:val="es-MX" w:eastAsia="en-US"/>
        </w:rPr>
        <w:t>Yailé</w:t>
      </w:r>
      <w:proofErr w:type="spellEnd"/>
      <w:r w:rsidRPr="00B25B13">
        <w:rPr>
          <w:rFonts w:eastAsiaTheme="minorHAnsi"/>
          <w:lang w:val="es-MX" w:eastAsia="en-US"/>
        </w:rPr>
        <w:t xml:space="preserve"> Caballero Mota</w:t>
      </w:r>
      <w:r w:rsidRPr="00B25B13">
        <w:rPr>
          <w:rFonts w:eastAsiaTheme="minorHAnsi"/>
          <w:vertAlign w:val="superscript"/>
          <w:lang w:val="es-MX" w:eastAsia="en-US"/>
        </w:rPr>
        <w:t xml:space="preserve">2 </w:t>
      </w:r>
      <w:hyperlink r:id="rId8" w:history="1">
        <w:r w:rsidRPr="00B25B13">
          <w:rPr>
            <w:rFonts w:eastAsiaTheme="minorHAnsi"/>
            <w:color w:val="0000FF"/>
            <w:lang w:val="es-MX" w:eastAsia="en-US"/>
          </w:rPr>
          <w:t>https://orcid.org/0000-0002-6725-5812</w:t>
        </w:r>
      </w:hyperlink>
    </w:p>
    <w:p w14:paraId="4009B293" w14:textId="77777777" w:rsidR="00B25B13" w:rsidRPr="00B25B13" w:rsidRDefault="00B25B13" w:rsidP="00B25B13">
      <w:pPr>
        <w:spacing w:line="360" w:lineRule="auto"/>
        <w:jc w:val="both"/>
        <w:rPr>
          <w:rFonts w:eastAsiaTheme="minorHAnsi"/>
          <w:lang w:val="es-MX" w:eastAsia="en-US"/>
        </w:rPr>
      </w:pPr>
      <w:proofErr w:type="spellStart"/>
      <w:r w:rsidRPr="00B25B13">
        <w:rPr>
          <w:rFonts w:eastAsiaTheme="minorHAnsi"/>
          <w:lang w:val="es-MX" w:eastAsia="en-US"/>
        </w:rPr>
        <w:t>Yanela</w:t>
      </w:r>
      <w:proofErr w:type="spellEnd"/>
      <w:r w:rsidRPr="00B25B13">
        <w:rPr>
          <w:rFonts w:eastAsiaTheme="minorHAnsi"/>
          <w:lang w:val="es-MX" w:eastAsia="en-US"/>
        </w:rPr>
        <w:t xml:space="preserve"> Rodríguez Alvarez</w:t>
      </w:r>
      <w:r w:rsidRPr="00B25B13">
        <w:rPr>
          <w:rFonts w:eastAsiaTheme="minorHAnsi"/>
          <w:vertAlign w:val="superscript"/>
          <w:lang w:val="es-MX" w:eastAsia="en-US"/>
        </w:rPr>
        <w:t xml:space="preserve">2 </w:t>
      </w:r>
      <w:hyperlink r:id="rId9" w:history="1">
        <w:r w:rsidRPr="00B25B13">
          <w:rPr>
            <w:rFonts w:eastAsiaTheme="minorHAnsi"/>
            <w:color w:val="0000FF"/>
            <w:lang w:val="es-MX" w:eastAsia="en-US"/>
          </w:rPr>
          <w:t>https://orcid.org/</w:t>
        </w:r>
        <w:r w:rsidRPr="00B25B13">
          <w:rPr>
            <w:rFonts w:ascii="Arial" w:eastAsiaTheme="minorHAnsi" w:hAnsi="Arial" w:cs="Arial"/>
            <w:lang w:val="es-MX" w:eastAsia="en-US"/>
          </w:rPr>
          <w:t xml:space="preserve"> </w:t>
        </w:r>
        <w:r w:rsidRPr="00B25B13">
          <w:rPr>
            <w:rFonts w:eastAsiaTheme="minorHAnsi"/>
            <w:color w:val="0000FF"/>
            <w:lang w:val="es-MX" w:eastAsia="en-US"/>
          </w:rPr>
          <w:t>0000-0003-2232-2265</w:t>
        </w:r>
      </w:hyperlink>
    </w:p>
    <w:p w14:paraId="4F147570"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Mirna León Acebo</w:t>
      </w:r>
      <w:r w:rsidRPr="00B25B13">
        <w:rPr>
          <w:rFonts w:eastAsiaTheme="minorHAnsi"/>
          <w:vertAlign w:val="superscript"/>
          <w:lang w:val="es-MX" w:eastAsia="en-US"/>
        </w:rPr>
        <w:t xml:space="preserve">1 </w:t>
      </w:r>
      <w:hyperlink r:id="rId10" w:history="1">
        <w:r w:rsidRPr="00B25B13">
          <w:rPr>
            <w:rFonts w:eastAsiaTheme="minorHAnsi"/>
            <w:color w:val="0000FF"/>
            <w:lang w:val="es-MX" w:eastAsia="en-US"/>
          </w:rPr>
          <w:t>https://orcid.org/0000-0001-5652-8080</w:t>
        </w:r>
      </w:hyperlink>
    </w:p>
    <w:p w14:paraId="5EEA20D4" w14:textId="77777777" w:rsidR="00B25B13" w:rsidRPr="00B25B13" w:rsidRDefault="00B25B13" w:rsidP="00B25B13">
      <w:pPr>
        <w:spacing w:line="360" w:lineRule="auto"/>
        <w:rPr>
          <w:rFonts w:eastAsiaTheme="minorHAnsi"/>
          <w:lang w:val="es-MX" w:eastAsia="en-US"/>
        </w:rPr>
      </w:pPr>
      <w:proofErr w:type="spellStart"/>
      <w:r w:rsidRPr="00B25B13">
        <w:rPr>
          <w:rFonts w:eastAsiaTheme="minorHAnsi"/>
          <w:lang w:val="pt-BR" w:eastAsia="en-US"/>
        </w:rPr>
        <w:t>Zoraida</w:t>
      </w:r>
      <w:proofErr w:type="spellEnd"/>
      <w:r w:rsidRPr="00B25B13">
        <w:rPr>
          <w:rFonts w:eastAsiaTheme="minorHAnsi"/>
          <w:lang w:val="pt-BR" w:eastAsia="en-US"/>
        </w:rPr>
        <w:t xml:space="preserve"> Caridad González Milán</w:t>
      </w:r>
      <w:r w:rsidRPr="00B25B13">
        <w:rPr>
          <w:rFonts w:eastAsiaTheme="minorHAnsi"/>
          <w:vertAlign w:val="superscript"/>
          <w:lang w:val="pt-BR" w:eastAsia="en-US"/>
        </w:rPr>
        <w:t xml:space="preserve">1,3 </w:t>
      </w:r>
      <w:hyperlink r:id="rId11" w:history="1">
        <w:r w:rsidRPr="00B25B13">
          <w:rPr>
            <w:rFonts w:eastAsiaTheme="minorHAnsi"/>
            <w:color w:val="0000FF"/>
            <w:lang w:val="es-ES" w:eastAsia="en-US"/>
          </w:rPr>
          <w:t>https://orcid.org/0000-0002-4092-9389</w:t>
        </w:r>
      </w:hyperlink>
    </w:p>
    <w:p w14:paraId="56FA485F" w14:textId="77777777" w:rsidR="00B25B13" w:rsidRPr="00B25B13" w:rsidRDefault="00B25B13" w:rsidP="00B25B13">
      <w:pPr>
        <w:spacing w:line="360" w:lineRule="auto"/>
        <w:rPr>
          <w:rFonts w:eastAsiaTheme="minorHAnsi"/>
          <w:lang w:val="es-MX" w:eastAsia="en-US"/>
        </w:rPr>
      </w:pPr>
      <w:r w:rsidRPr="00B25B13">
        <w:rPr>
          <w:rFonts w:eastAsiaTheme="minorHAnsi"/>
          <w:lang w:val="es-MX" w:eastAsia="en-US"/>
        </w:rPr>
        <w:t xml:space="preserve">Beatriz Ricardo </w:t>
      </w:r>
      <w:proofErr w:type="spellStart"/>
      <w:r w:rsidRPr="00B25B13">
        <w:rPr>
          <w:rFonts w:eastAsiaTheme="minorHAnsi"/>
          <w:lang w:val="es-MX" w:eastAsia="en-US"/>
        </w:rPr>
        <w:t>Paez</w:t>
      </w:r>
      <w:proofErr w:type="spellEnd"/>
      <w:r w:rsidRPr="00B25B13">
        <w:rPr>
          <w:rFonts w:eastAsiaTheme="minorHAnsi"/>
          <w:vertAlign w:val="superscript"/>
          <w:lang w:val="pt-BR" w:eastAsia="en-US"/>
        </w:rPr>
        <w:t xml:space="preserve">1,3 </w:t>
      </w:r>
      <w:hyperlink r:id="rId12" w:history="1">
        <w:r w:rsidRPr="00B25B13">
          <w:rPr>
            <w:rFonts w:eastAsiaTheme="minorHAnsi"/>
            <w:color w:val="0000FF"/>
            <w:lang w:val="es-MX" w:eastAsia="en-US"/>
          </w:rPr>
          <w:t>https://orcid.org/0000-0003-0204-1845</w:t>
        </w:r>
      </w:hyperlink>
    </w:p>
    <w:p w14:paraId="5AB738CE" w14:textId="77777777" w:rsidR="00B25B13" w:rsidRPr="00B25B13" w:rsidRDefault="00B25B13" w:rsidP="00B25B13">
      <w:pPr>
        <w:spacing w:line="360" w:lineRule="auto"/>
        <w:rPr>
          <w:rFonts w:eastAsiaTheme="minorHAnsi"/>
          <w:lang w:val="es-ES" w:eastAsia="en-US"/>
        </w:rPr>
      </w:pPr>
      <w:proofErr w:type="spellStart"/>
      <w:r w:rsidRPr="00B25B13">
        <w:rPr>
          <w:rFonts w:eastAsiaTheme="minorHAnsi"/>
          <w:lang w:val="pt-BR" w:eastAsia="en-US"/>
        </w:rPr>
        <w:t>Katiuska</w:t>
      </w:r>
      <w:proofErr w:type="spellEnd"/>
      <w:r w:rsidRPr="00B25B13">
        <w:rPr>
          <w:rFonts w:eastAsiaTheme="minorHAnsi"/>
          <w:lang w:val="pt-BR" w:eastAsia="en-US"/>
        </w:rPr>
        <w:t xml:space="preserve"> </w:t>
      </w:r>
      <w:proofErr w:type="spellStart"/>
      <w:r w:rsidRPr="00B25B13">
        <w:rPr>
          <w:rFonts w:eastAsiaTheme="minorHAnsi"/>
          <w:lang w:val="pt-BR" w:eastAsia="en-US"/>
        </w:rPr>
        <w:t>Danay</w:t>
      </w:r>
      <w:proofErr w:type="spellEnd"/>
      <w:r w:rsidRPr="00B25B13">
        <w:rPr>
          <w:rFonts w:eastAsiaTheme="minorHAnsi"/>
          <w:lang w:val="pt-BR" w:eastAsia="en-US"/>
        </w:rPr>
        <w:t xml:space="preserve"> Rodríguez Espinosa</w:t>
      </w:r>
      <w:r w:rsidRPr="00B25B13">
        <w:rPr>
          <w:rFonts w:eastAsiaTheme="minorHAnsi"/>
          <w:vertAlign w:val="superscript"/>
          <w:lang w:val="pt-BR" w:eastAsia="en-US"/>
        </w:rPr>
        <w:t xml:space="preserve">1,3 </w:t>
      </w:r>
      <w:hyperlink r:id="rId13" w:history="1">
        <w:r w:rsidRPr="00B25B13">
          <w:rPr>
            <w:rFonts w:eastAsiaTheme="minorHAnsi"/>
            <w:color w:val="0000FF"/>
            <w:shd w:val="clear" w:color="auto" w:fill="FFFFFF"/>
            <w:lang w:val="es-ES" w:eastAsia="en-US"/>
          </w:rPr>
          <w:t>https://orcid.org/0000-0001-5172-4701</w:t>
        </w:r>
      </w:hyperlink>
    </w:p>
    <w:p w14:paraId="420B1DF0" w14:textId="77777777" w:rsidR="00B25B13" w:rsidRPr="00B25B13" w:rsidRDefault="00B25B13" w:rsidP="00B25B13">
      <w:pPr>
        <w:spacing w:line="360" w:lineRule="auto"/>
        <w:rPr>
          <w:rFonts w:eastAsiaTheme="minorHAnsi"/>
          <w:vertAlign w:val="superscript"/>
          <w:lang w:val="es-ES" w:eastAsia="en-US"/>
        </w:rPr>
      </w:pPr>
    </w:p>
    <w:p w14:paraId="3F8857A1" w14:textId="77777777" w:rsidR="00B25B13" w:rsidRPr="00B25B13" w:rsidRDefault="00B25B13" w:rsidP="00B25B13">
      <w:pPr>
        <w:spacing w:line="360" w:lineRule="auto"/>
        <w:jc w:val="both"/>
        <w:rPr>
          <w:rFonts w:eastAsiaTheme="minorHAnsi"/>
          <w:lang w:val="es-ES" w:eastAsia="en-US"/>
        </w:rPr>
      </w:pPr>
      <w:r w:rsidRPr="00B25B13">
        <w:rPr>
          <w:rFonts w:eastAsiaTheme="minorHAnsi"/>
          <w:vertAlign w:val="superscript"/>
          <w:lang w:val="es-ES" w:eastAsia="en-US"/>
        </w:rPr>
        <w:t>1</w:t>
      </w:r>
      <w:r w:rsidRPr="00B25B13">
        <w:rPr>
          <w:rFonts w:eastAsiaTheme="minorHAnsi"/>
          <w:lang w:val="es-ES" w:eastAsia="en-US"/>
        </w:rPr>
        <w:t xml:space="preserve">Universidad de Ciencias Médicas de Las Tunas. Facultad de Ciencias Médicas "Dr. Zoilo Enrique </w:t>
      </w:r>
      <w:proofErr w:type="spellStart"/>
      <w:r w:rsidRPr="00B25B13">
        <w:rPr>
          <w:rFonts w:eastAsiaTheme="minorHAnsi"/>
          <w:lang w:val="es-ES" w:eastAsia="en-US"/>
        </w:rPr>
        <w:t>Marinello</w:t>
      </w:r>
      <w:proofErr w:type="spellEnd"/>
      <w:r w:rsidRPr="00B25B13">
        <w:rPr>
          <w:rFonts w:eastAsiaTheme="minorHAnsi"/>
          <w:lang w:val="es-ES" w:eastAsia="en-US"/>
        </w:rPr>
        <w:t xml:space="preserve"> Vidaurreta”. Las Tunas, Cuba.</w:t>
      </w:r>
    </w:p>
    <w:p w14:paraId="6C96945A" w14:textId="77777777" w:rsidR="00B25B13" w:rsidRPr="00B25B13" w:rsidRDefault="00B25B13" w:rsidP="00B25B13">
      <w:pPr>
        <w:spacing w:line="360" w:lineRule="auto"/>
        <w:jc w:val="both"/>
        <w:rPr>
          <w:rFonts w:eastAsiaTheme="minorHAnsi"/>
          <w:lang w:val="es-MX" w:eastAsia="en-US"/>
        </w:rPr>
      </w:pPr>
      <w:r w:rsidRPr="00B25B13">
        <w:rPr>
          <w:rFonts w:eastAsiaTheme="minorHAnsi"/>
          <w:vertAlign w:val="superscript"/>
          <w:lang w:val="es-MX" w:eastAsia="en-US"/>
        </w:rPr>
        <w:t>2</w:t>
      </w:r>
      <w:r w:rsidRPr="00B25B13">
        <w:rPr>
          <w:rFonts w:eastAsiaTheme="minorHAnsi"/>
          <w:lang w:val="es-MX" w:eastAsia="en-US"/>
        </w:rPr>
        <w:t>Universidad de Camagüey. Camagüey, Cuba.</w:t>
      </w:r>
    </w:p>
    <w:p w14:paraId="67C62ADE" w14:textId="77777777" w:rsidR="00B25B13" w:rsidRPr="00B25B13" w:rsidRDefault="00B25B13" w:rsidP="00B25B13">
      <w:pPr>
        <w:spacing w:line="360" w:lineRule="auto"/>
        <w:rPr>
          <w:rFonts w:eastAsiaTheme="minorHAnsi"/>
          <w:lang w:val="es-ES" w:eastAsia="en-US"/>
        </w:rPr>
      </w:pPr>
      <w:r w:rsidRPr="00B25B13">
        <w:rPr>
          <w:rFonts w:eastAsiaTheme="minorHAnsi"/>
          <w:vertAlign w:val="superscript"/>
          <w:lang w:val="es-ES" w:eastAsia="en-US"/>
        </w:rPr>
        <w:t>3</w:t>
      </w:r>
      <w:r w:rsidRPr="00B25B13">
        <w:rPr>
          <w:rFonts w:eastAsiaTheme="minorHAnsi"/>
          <w:lang w:val="es-ES" w:eastAsia="en-US"/>
        </w:rPr>
        <w:t>Hospital General Docente “Dr. Ernesto Guevara de la Serna”. Las Tunas, Cuba.</w:t>
      </w:r>
    </w:p>
    <w:p w14:paraId="38676F53" w14:textId="77777777" w:rsidR="00B25B13" w:rsidRPr="00B25B13" w:rsidRDefault="00B25B13" w:rsidP="00B25B13">
      <w:pPr>
        <w:spacing w:line="360" w:lineRule="auto"/>
        <w:rPr>
          <w:rFonts w:eastAsiaTheme="minorHAnsi"/>
          <w:lang w:val="es-ES" w:eastAsia="en-US"/>
        </w:rPr>
      </w:pPr>
    </w:p>
    <w:p w14:paraId="73269379" w14:textId="77777777" w:rsidR="00B25B13" w:rsidRPr="00B25B13" w:rsidRDefault="00B25B13" w:rsidP="00B25B13">
      <w:pPr>
        <w:spacing w:line="360" w:lineRule="auto"/>
        <w:rPr>
          <w:rFonts w:eastAsiaTheme="minorHAnsi"/>
          <w:lang w:val="es-ES" w:eastAsia="en-US"/>
        </w:rPr>
      </w:pPr>
      <w:r w:rsidRPr="00B25B13">
        <w:rPr>
          <w:rFonts w:eastAsiaTheme="minorHAnsi"/>
          <w:lang w:val="es-ES" w:eastAsia="en-US"/>
        </w:rPr>
        <w:t xml:space="preserve">*Autor para la correspondencia. Correo electrónico: </w:t>
      </w:r>
      <w:hyperlink r:id="rId14" w:history="1">
        <w:r w:rsidRPr="00B25B13">
          <w:rPr>
            <w:rFonts w:eastAsiaTheme="minorHAnsi"/>
            <w:color w:val="0000FF"/>
            <w:lang w:val="es-ES" w:eastAsia="en-US"/>
          </w:rPr>
          <w:t>sernephron96@gmail.com</w:t>
        </w:r>
      </w:hyperlink>
    </w:p>
    <w:p w14:paraId="29F47E5F" w14:textId="77777777" w:rsidR="00B25B13" w:rsidRPr="00B25B13" w:rsidRDefault="00B25B13" w:rsidP="00B25B13">
      <w:pPr>
        <w:spacing w:line="360" w:lineRule="auto"/>
        <w:jc w:val="both"/>
        <w:rPr>
          <w:rFonts w:eastAsiaTheme="minorHAnsi"/>
          <w:b/>
          <w:lang w:val="pt-BR" w:eastAsia="en-US"/>
        </w:rPr>
      </w:pPr>
    </w:p>
    <w:p w14:paraId="23A0CE44" w14:textId="77777777" w:rsidR="00B25B13" w:rsidRPr="00B25B13" w:rsidRDefault="00B25B13" w:rsidP="00B25B13">
      <w:pPr>
        <w:spacing w:line="360" w:lineRule="auto"/>
        <w:jc w:val="both"/>
        <w:rPr>
          <w:rFonts w:eastAsiaTheme="minorHAnsi"/>
          <w:b/>
          <w:lang w:val="pt-BR" w:eastAsia="en-US"/>
        </w:rPr>
      </w:pPr>
      <w:r w:rsidRPr="00B25B13">
        <w:rPr>
          <w:rFonts w:eastAsiaTheme="minorHAnsi"/>
          <w:b/>
          <w:lang w:val="pt-BR" w:eastAsia="en-US"/>
        </w:rPr>
        <w:t>RESUMEN</w:t>
      </w:r>
    </w:p>
    <w:p w14:paraId="6B15D2AE" w14:textId="77777777" w:rsidR="00B25B13" w:rsidRPr="00B25B13" w:rsidRDefault="00B25B13" w:rsidP="00B25B13">
      <w:pPr>
        <w:spacing w:line="360" w:lineRule="auto"/>
        <w:jc w:val="both"/>
        <w:rPr>
          <w:rFonts w:eastAsiaTheme="minorHAnsi"/>
          <w:lang w:val="es-ES" w:eastAsia="en-US"/>
        </w:rPr>
      </w:pPr>
      <w:r w:rsidRPr="00B25B13">
        <w:rPr>
          <w:rFonts w:eastAsiaTheme="minorHAnsi"/>
          <w:b/>
          <w:lang w:val="es-ES" w:eastAsia="en-US"/>
        </w:rPr>
        <w:t>Introducción:</w:t>
      </w:r>
      <w:r w:rsidRPr="00B25B13">
        <w:rPr>
          <w:rFonts w:eastAsiaTheme="minorHAnsi"/>
          <w:lang w:val="es-ES" w:eastAsia="en-US"/>
        </w:rPr>
        <w:t xml:space="preserve"> La predicción de mortalidad en pacientes con enfermedad renal crónica, mediante escalas o índices pronósticos presenta limitaciones reales.</w:t>
      </w:r>
    </w:p>
    <w:p w14:paraId="3F403E18" w14:textId="77777777" w:rsidR="00B25B13" w:rsidRPr="00B25B13" w:rsidRDefault="00B25B13" w:rsidP="00B25B13">
      <w:pPr>
        <w:spacing w:line="360" w:lineRule="auto"/>
        <w:jc w:val="both"/>
        <w:rPr>
          <w:rFonts w:eastAsiaTheme="minorHAnsi"/>
          <w:lang w:val="es-ES" w:eastAsia="en-US"/>
        </w:rPr>
      </w:pPr>
      <w:r w:rsidRPr="00B25B13">
        <w:rPr>
          <w:rFonts w:eastAsiaTheme="minorHAnsi"/>
          <w:b/>
          <w:lang w:val="es-ES" w:eastAsia="en-US"/>
        </w:rPr>
        <w:t>Objetivo:</w:t>
      </w:r>
      <w:r w:rsidRPr="00B25B13">
        <w:rPr>
          <w:rFonts w:eastAsiaTheme="minorHAnsi"/>
          <w:lang w:val="es-ES" w:eastAsia="en-US"/>
        </w:rPr>
        <w:t xml:space="preserve"> Diseñar una escala predictiva de mortalidad en pacientes con enfermedad renal crónica. </w:t>
      </w:r>
    </w:p>
    <w:p w14:paraId="1E9AF351" w14:textId="77777777" w:rsidR="00B25B13" w:rsidRPr="00B25B13" w:rsidRDefault="00B25B13" w:rsidP="00B25B13">
      <w:pPr>
        <w:spacing w:line="360" w:lineRule="auto"/>
        <w:jc w:val="both"/>
        <w:rPr>
          <w:rFonts w:eastAsiaTheme="minorHAnsi"/>
          <w:lang w:val="es-MX" w:eastAsia="en-US"/>
        </w:rPr>
      </w:pPr>
      <w:r w:rsidRPr="00B25B13">
        <w:rPr>
          <w:rFonts w:eastAsiaTheme="minorHAnsi"/>
          <w:b/>
          <w:lang w:val="es-ES" w:eastAsia="en-US"/>
        </w:rPr>
        <w:t xml:space="preserve">Métodos: </w:t>
      </w:r>
      <w:r w:rsidRPr="00B25B13">
        <w:rPr>
          <w:rFonts w:eastAsiaTheme="minorHAnsi"/>
          <w:lang w:val="es-MX" w:eastAsia="en-US"/>
        </w:rPr>
        <w:t xml:space="preserve">Se realizó un estudio observacional, analítico, longitudinal prospectivo en 169 pacientes con enfermedad renal crónica desde el 1 de enero de 2022 al 31 de diciembre de 2022. La investigación se desarrolló en 2 etapas: durante los primeros 6 meses del año se analizaron las variables de estudio para </w:t>
      </w:r>
      <w:r w:rsidRPr="00B25B13">
        <w:rPr>
          <w:rFonts w:eastAsiaTheme="minorHAnsi"/>
          <w:lang w:val="es-MX" w:eastAsia="en-US"/>
        </w:rPr>
        <w:lastRenderedPageBreak/>
        <w:t xml:space="preserve">el diseño de la escala predictiva. En los próximos 6 meses, los pacientes fueron seguidos para identificar la ocurrencia o no de la variable dependiente mortalidad. Se determinó la capacidad discriminatoria de la escala predictiva y se evaluaron curvas de supervivencia. </w:t>
      </w:r>
    </w:p>
    <w:p w14:paraId="397520AD" w14:textId="77777777" w:rsidR="00B25B13" w:rsidRPr="00B25B13" w:rsidRDefault="00B25B13" w:rsidP="00B25B13">
      <w:pPr>
        <w:spacing w:line="360" w:lineRule="auto"/>
        <w:jc w:val="both"/>
        <w:rPr>
          <w:rFonts w:eastAsiaTheme="minorHAnsi"/>
          <w:lang w:val="es-MX" w:eastAsia="en-US"/>
        </w:rPr>
      </w:pPr>
      <w:r w:rsidRPr="00B25B13">
        <w:rPr>
          <w:rFonts w:eastAsiaTheme="minorHAnsi"/>
          <w:b/>
          <w:lang w:val="es-ES" w:eastAsia="en-US"/>
        </w:rPr>
        <w:t>Resultados:</w:t>
      </w:r>
      <w:r w:rsidRPr="00B25B13">
        <w:rPr>
          <w:rFonts w:eastAsiaTheme="minorHAnsi"/>
          <w:lang w:val="es-ES" w:eastAsia="en-US"/>
        </w:rPr>
        <w:t xml:space="preserve"> Las variables que conformaron la escala predictiva fueron </w:t>
      </w:r>
      <w:r w:rsidRPr="00B25B13">
        <w:rPr>
          <w:rFonts w:eastAsiaTheme="minorHAnsi"/>
          <w:lang w:val="es-MX" w:eastAsia="en-US"/>
        </w:rPr>
        <w:t xml:space="preserve">edad &gt; 65 años, enfermedad cardiovascular, albúmina &lt; 35 g/L, dislipidemia, hemoglobina &lt; 10 g/L   y ácido úrico &gt; 390 mmol/L. El poder discriminatorio para predecir mortalidad fue bueno, índice C: 0,856 (IC 95 %: 0,783-0,929; p&lt; 0,001). Los pacientes con valores menores a 4 puntos presentaron media de supervivencia de 149,438 ± 7,296 días. En cambio, los que tenían valores superiores presentaron media de supervivencia de 93,128 ± 8,545 días. </w:t>
      </w:r>
    </w:p>
    <w:p w14:paraId="5D7353CE" w14:textId="77777777" w:rsidR="00B25B13" w:rsidRPr="00B25B13" w:rsidRDefault="00B25B13" w:rsidP="00B25B13">
      <w:pPr>
        <w:spacing w:line="360" w:lineRule="auto"/>
        <w:jc w:val="both"/>
        <w:rPr>
          <w:lang w:val="es-MX" w:eastAsia="es-ES"/>
        </w:rPr>
      </w:pPr>
      <w:r w:rsidRPr="00B25B13">
        <w:rPr>
          <w:b/>
          <w:lang w:val="es-ES" w:eastAsia="es-ES"/>
        </w:rPr>
        <w:t xml:space="preserve">Conclusiones: </w:t>
      </w:r>
      <w:r w:rsidRPr="00B25B13">
        <w:rPr>
          <w:lang w:val="es-MX" w:eastAsia="es-ES"/>
        </w:rPr>
        <w:t xml:space="preserve">La escala predictiva contribuyó a la estratificación del riesgo de mortalidad de los pacientes. Las variables incluidas son de fácil determinación e interpretación por lo que es un modelo </w:t>
      </w:r>
      <w:r w:rsidRPr="00B25B13">
        <w:rPr>
          <w:lang w:val="es-ES" w:eastAsia="es-ES"/>
        </w:rPr>
        <w:t>útil en la toma de decisiones médicas en el ámbito clínico</w:t>
      </w:r>
      <w:r w:rsidRPr="00B25B13">
        <w:rPr>
          <w:lang w:val="es-MX" w:eastAsia="es-ES"/>
        </w:rPr>
        <w:t xml:space="preserve"> actual.</w:t>
      </w:r>
    </w:p>
    <w:p w14:paraId="2C62E033" w14:textId="77777777" w:rsidR="00B25B13" w:rsidRPr="00B25B13" w:rsidRDefault="00B25B13" w:rsidP="00B25B13">
      <w:pPr>
        <w:spacing w:line="360" w:lineRule="auto"/>
        <w:jc w:val="both"/>
        <w:rPr>
          <w:rFonts w:eastAsiaTheme="minorHAnsi"/>
          <w:lang w:val="es-ES" w:eastAsia="en-US"/>
        </w:rPr>
      </w:pPr>
      <w:r w:rsidRPr="00B25B13">
        <w:rPr>
          <w:rFonts w:eastAsiaTheme="minorHAnsi"/>
          <w:b/>
          <w:lang w:val="es-ES" w:eastAsia="en-US"/>
        </w:rPr>
        <w:t>Palabras clave:</w:t>
      </w:r>
      <w:r w:rsidRPr="00B25B13">
        <w:rPr>
          <w:rFonts w:eastAsiaTheme="minorHAnsi"/>
          <w:lang w:val="es-ES" w:eastAsia="en-US"/>
        </w:rPr>
        <w:t xml:space="preserve"> enfermedad renal crónica; pronóstico; mortalidad.</w:t>
      </w:r>
    </w:p>
    <w:p w14:paraId="683FE09D" w14:textId="77777777" w:rsidR="00B25B13" w:rsidRPr="00B25B13" w:rsidRDefault="00B25B13" w:rsidP="00B25B13">
      <w:pPr>
        <w:spacing w:line="360" w:lineRule="auto"/>
        <w:jc w:val="both"/>
        <w:rPr>
          <w:rFonts w:eastAsiaTheme="minorHAnsi"/>
          <w:b/>
          <w:lang w:val="pt-BR" w:eastAsia="en-US"/>
        </w:rPr>
      </w:pPr>
    </w:p>
    <w:p w14:paraId="7598C9F0" w14:textId="77777777" w:rsidR="00B25B13" w:rsidRPr="00B25B13" w:rsidRDefault="00B25B13" w:rsidP="00B25B13">
      <w:pPr>
        <w:spacing w:line="360" w:lineRule="auto"/>
        <w:jc w:val="both"/>
        <w:rPr>
          <w:rFonts w:eastAsiaTheme="minorHAnsi"/>
          <w:b/>
          <w:lang w:val="pt-BR" w:eastAsia="en-US"/>
        </w:rPr>
      </w:pPr>
      <w:r w:rsidRPr="00B25B13">
        <w:rPr>
          <w:rFonts w:eastAsiaTheme="minorHAnsi"/>
          <w:b/>
          <w:lang w:val="pt-BR" w:eastAsia="en-US"/>
        </w:rPr>
        <w:t>ABSTRACT</w:t>
      </w:r>
    </w:p>
    <w:p w14:paraId="0187F367" w14:textId="77777777" w:rsidR="00B25B13" w:rsidRPr="00B25B13" w:rsidRDefault="00B25B13" w:rsidP="00B25B13">
      <w:pPr>
        <w:spacing w:line="360" w:lineRule="auto"/>
        <w:jc w:val="both"/>
        <w:rPr>
          <w:rFonts w:eastAsiaTheme="minorHAnsi"/>
          <w:lang w:val="en-US" w:eastAsia="en-US"/>
        </w:rPr>
      </w:pPr>
      <w:r w:rsidRPr="00B25B13">
        <w:rPr>
          <w:rFonts w:eastAsiaTheme="minorHAnsi"/>
          <w:b/>
          <w:lang w:val="en-US" w:eastAsia="en-US"/>
        </w:rPr>
        <w:t>Introduction:</w:t>
      </w:r>
      <w:r w:rsidRPr="00B25B13">
        <w:rPr>
          <w:rFonts w:eastAsiaTheme="minorHAnsi"/>
          <w:lang w:val="en-US" w:eastAsia="en-US"/>
        </w:rPr>
        <w:t xml:space="preserve"> The prediction of mortality in patients with chronic kidney disease using scales or prognostic indices has real limitations.</w:t>
      </w:r>
    </w:p>
    <w:p w14:paraId="57916998" w14:textId="77777777" w:rsidR="00B25B13" w:rsidRPr="00B25B13" w:rsidRDefault="00B25B13" w:rsidP="00B25B13">
      <w:pPr>
        <w:spacing w:line="360" w:lineRule="auto"/>
        <w:jc w:val="both"/>
        <w:rPr>
          <w:rFonts w:eastAsiaTheme="minorHAnsi"/>
          <w:lang w:val="en-US" w:eastAsia="en-US"/>
        </w:rPr>
      </w:pPr>
      <w:r w:rsidRPr="00B25B13">
        <w:rPr>
          <w:rFonts w:eastAsiaTheme="minorHAnsi"/>
          <w:b/>
          <w:lang w:val="en-US" w:eastAsia="en-US"/>
        </w:rPr>
        <w:t>Objective:</w:t>
      </w:r>
      <w:r w:rsidRPr="00B25B13">
        <w:rPr>
          <w:rFonts w:eastAsiaTheme="minorHAnsi"/>
          <w:lang w:val="en-US" w:eastAsia="en-US"/>
        </w:rPr>
        <w:t xml:space="preserve"> Design a mortality predictive scale in patients with chronic kidney disease.</w:t>
      </w:r>
    </w:p>
    <w:p w14:paraId="008CC863" w14:textId="77777777" w:rsidR="00B25B13" w:rsidRPr="00B25B13" w:rsidRDefault="00B25B13" w:rsidP="00B25B13">
      <w:pPr>
        <w:spacing w:line="360" w:lineRule="auto"/>
        <w:jc w:val="both"/>
        <w:rPr>
          <w:rFonts w:eastAsiaTheme="minorHAnsi"/>
          <w:lang w:val="en-US" w:eastAsia="en-US"/>
        </w:rPr>
      </w:pPr>
      <w:r w:rsidRPr="00B25B13">
        <w:rPr>
          <w:rFonts w:eastAsiaTheme="minorHAnsi"/>
          <w:b/>
          <w:lang w:val="en-US" w:eastAsia="en-US"/>
        </w:rPr>
        <w:t>Methods:</w:t>
      </w:r>
      <w:r w:rsidRPr="00B25B13">
        <w:rPr>
          <w:rFonts w:eastAsiaTheme="minorHAnsi"/>
          <w:lang w:val="en-US" w:eastAsia="en-US"/>
        </w:rPr>
        <w:t xml:space="preserve"> A prospective observational, analytical, longitudinal study was carried out in 169 patients with chronic kidney disease from January 1, 2022 to December 31, 2022. The research was developed in 2 stages: during the first 6 months of the year, the variables were analyzed for the design of the predictive scale. In the next 6 months, patients were followed to identify the occurrence or not of the dependent variable mortality. The discriminatory capacity of the predictive scale was determined and survival curves were evaluated.</w:t>
      </w:r>
    </w:p>
    <w:p w14:paraId="33F02694" w14:textId="77777777" w:rsidR="00B25B13" w:rsidRPr="00B25B13" w:rsidRDefault="00B25B13" w:rsidP="00B25B13">
      <w:pPr>
        <w:spacing w:line="360" w:lineRule="auto"/>
        <w:jc w:val="both"/>
        <w:rPr>
          <w:rFonts w:eastAsiaTheme="minorHAnsi"/>
          <w:lang w:val="en-US" w:eastAsia="en-US"/>
        </w:rPr>
      </w:pPr>
      <w:r w:rsidRPr="00B25B13">
        <w:rPr>
          <w:rFonts w:eastAsiaTheme="minorHAnsi"/>
          <w:b/>
          <w:lang w:val="en-US" w:eastAsia="en-US"/>
        </w:rPr>
        <w:t>Results:</w:t>
      </w:r>
      <w:r w:rsidRPr="00B25B13">
        <w:rPr>
          <w:rFonts w:eastAsiaTheme="minorHAnsi"/>
          <w:lang w:val="en-US" w:eastAsia="en-US"/>
        </w:rPr>
        <w:t xml:space="preserve"> The variables that made up the predictive tool were age &gt; 65 years, cardiovascular disease, albumin &lt; 35 g/L, dyslipidemia, hemoglobin &lt; 10 g/L, and uric acid &gt; 390 mmol/L. The discriminatory power to predict mortality was good, C index: 0.856 (95% CI: 0.783-0.929; p&lt; 0.001). Patients with </w:t>
      </w:r>
      <w:r w:rsidRPr="00B25B13">
        <w:rPr>
          <w:rFonts w:eastAsiaTheme="minorHAnsi"/>
          <w:lang w:val="en-US" w:eastAsia="en-US"/>
        </w:rPr>
        <w:lastRenderedPageBreak/>
        <w:t>values less than 4 points had a mean survival of 149.438 ± 7.296 days. In contrast, those with higher values presented a mean survival of 93.128 ± 8.545 days.</w:t>
      </w:r>
    </w:p>
    <w:p w14:paraId="1F04C07A" w14:textId="77777777" w:rsidR="00B25B13" w:rsidRPr="00B25B13" w:rsidRDefault="00B25B13" w:rsidP="00B25B13">
      <w:pPr>
        <w:spacing w:line="360" w:lineRule="auto"/>
        <w:jc w:val="both"/>
        <w:rPr>
          <w:rFonts w:eastAsiaTheme="minorHAnsi"/>
          <w:lang w:val="en-US" w:eastAsia="en-US"/>
        </w:rPr>
      </w:pPr>
      <w:r w:rsidRPr="00B25B13">
        <w:rPr>
          <w:rFonts w:eastAsiaTheme="minorHAnsi"/>
          <w:b/>
          <w:lang w:val="en-US" w:eastAsia="en-US"/>
        </w:rPr>
        <w:t>Conclusions:</w:t>
      </w:r>
      <w:r w:rsidRPr="00B25B13">
        <w:rPr>
          <w:rFonts w:eastAsiaTheme="minorHAnsi"/>
          <w:lang w:val="en-US" w:eastAsia="en-US"/>
        </w:rPr>
        <w:t xml:space="preserve"> The scale contributed to the stratification of the mortality risk of the patients. The variables included are easy to determine and interpret, making it a useful model for medical decision making in the current clinical setting.</w:t>
      </w:r>
    </w:p>
    <w:p w14:paraId="1458DCF4" w14:textId="77777777" w:rsidR="00B25B13" w:rsidRPr="00B25B13" w:rsidRDefault="00B25B13" w:rsidP="00B25B13">
      <w:pPr>
        <w:spacing w:line="360" w:lineRule="auto"/>
        <w:jc w:val="both"/>
        <w:rPr>
          <w:rFonts w:eastAsiaTheme="minorHAnsi"/>
          <w:lang w:val="en-US" w:eastAsia="en-US"/>
        </w:rPr>
      </w:pPr>
      <w:r w:rsidRPr="00B25B13">
        <w:rPr>
          <w:rFonts w:eastAsiaTheme="minorHAnsi"/>
          <w:b/>
          <w:lang w:val="en-US" w:eastAsia="en-US"/>
        </w:rPr>
        <w:t>Keywords:</w:t>
      </w:r>
      <w:r w:rsidRPr="00B25B13">
        <w:rPr>
          <w:rFonts w:eastAsiaTheme="minorHAnsi"/>
          <w:lang w:val="en-US" w:eastAsia="en-US"/>
        </w:rPr>
        <w:t xml:space="preserve"> chronic kidney disease; forecast; mortality.</w:t>
      </w:r>
    </w:p>
    <w:p w14:paraId="3021498E" w14:textId="77777777" w:rsidR="00B25B13" w:rsidRPr="00B25B13" w:rsidRDefault="00B25B13" w:rsidP="00B25B13">
      <w:pPr>
        <w:spacing w:line="360" w:lineRule="auto"/>
        <w:jc w:val="both"/>
        <w:rPr>
          <w:rFonts w:eastAsiaTheme="minorHAnsi"/>
          <w:lang w:val="en-US" w:eastAsia="en-US"/>
        </w:rPr>
      </w:pPr>
    </w:p>
    <w:p w14:paraId="080FA4AB" w14:textId="77777777" w:rsidR="00B25B13" w:rsidRPr="00B25B13" w:rsidRDefault="00B25B13" w:rsidP="00B25B13">
      <w:pPr>
        <w:spacing w:line="360" w:lineRule="auto"/>
        <w:jc w:val="both"/>
        <w:rPr>
          <w:rFonts w:eastAsiaTheme="minorHAnsi"/>
          <w:lang w:val="en-US" w:eastAsia="en-US"/>
        </w:rPr>
      </w:pPr>
    </w:p>
    <w:p w14:paraId="5B2CE84F" w14:textId="77777777" w:rsidR="00B25B13" w:rsidRPr="00B25B13" w:rsidRDefault="00B25B13" w:rsidP="00B25B13">
      <w:pPr>
        <w:spacing w:line="360" w:lineRule="auto"/>
        <w:jc w:val="both"/>
        <w:rPr>
          <w:rFonts w:eastAsiaTheme="minorHAnsi"/>
          <w:lang w:val="es-ES" w:eastAsia="en-US"/>
        </w:rPr>
      </w:pPr>
      <w:r w:rsidRPr="00B25B13">
        <w:rPr>
          <w:rFonts w:eastAsiaTheme="minorHAnsi"/>
          <w:lang w:val="es-ES" w:eastAsia="en-US"/>
        </w:rPr>
        <w:t>Recibido: 22/08/2023</w:t>
      </w:r>
    </w:p>
    <w:p w14:paraId="64D8F906" w14:textId="77777777" w:rsidR="00B25B13" w:rsidRPr="00B25B13" w:rsidRDefault="00B25B13" w:rsidP="00B25B13">
      <w:pPr>
        <w:spacing w:line="360" w:lineRule="auto"/>
        <w:jc w:val="both"/>
        <w:rPr>
          <w:rFonts w:eastAsiaTheme="minorHAnsi"/>
          <w:lang w:val="es-ES" w:eastAsia="en-US"/>
        </w:rPr>
      </w:pPr>
      <w:r w:rsidRPr="00B25B13">
        <w:rPr>
          <w:rFonts w:eastAsiaTheme="minorHAnsi"/>
          <w:lang w:val="es-ES" w:eastAsia="en-US"/>
        </w:rPr>
        <w:t>Aprobado: 15/01/2024</w:t>
      </w:r>
    </w:p>
    <w:p w14:paraId="72D646EC" w14:textId="77777777" w:rsidR="00B25B13" w:rsidRPr="00B25B13" w:rsidRDefault="00B25B13" w:rsidP="00B25B13">
      <w:pPr>
        <w:spacing w:line="360" w:lineRule="auto"/>
        <w:jc w:val="center"/>
        <w:rPr>
          <w:rFonts w:eastAsiaTheme="minorHAnsi"/>
          <w:b/>
          <w:lang w:val="es-ES" w:eastAsia="en-US"/>
        </w:rPr>
      </w:pPr>
    </w:p>
    <w:p w14:paraId="216BD395" w14:textId="77777777" w:rsidR="00B25B13" w:rsidRPr="00B25B13" w:rsidRDefault="00B25B13" w:rsidP="00B25B13">
      <w:pPr>
        <w:spacing w:line="360" w:lineRule="auto"/>
        <w:jc w:val="center"/>
        <w:rPr>
          <w:rFonts w:eastAsiaTheme="minorHAnsi"/>
          <w:b/>
          <w:lang w:val="es-ES" w:eastAsia="en-US"/>
        </w:rPr>
      </w:pPr>
    </w:p>
    <w:p w14:paraId="40A0BABE" w14:textId="77777777" w:rsidR="00B25B13" w:rsidRPr="00B25B13" w:rsidRDefault="00B25B13" w:rsidP="00B25B13">
      <w:pPr>
        <w:spacing w:line="360" w:lineRule="auto"/>
        <w:jc w:val="center"/>
        <w:rPr>
          <w:rFonts w:eastAsiaTheme="minorHAnsi"/>
          <w:b/>
          <w:sz w:val="32"/>
          <w:szCs w:val="32"/>
          <w:lang w:val="es-ES" w:eastAsia="en-US"/>
        </w:rPr>
      </w:pPr>
      <w:r w:rsidRPr="00B25B13">
        <w:rPr>
          <w:rFonts w:eastAsiaTheme="minorHAnsi"/>
          <w:b/>
          <w:sz w:val="32"/>
          <w:szCs w:val="32"/>
          <w:lang w:val="es-ES" w:eastAsia="en-US"/>
        </w:rPr>
        <w:t>INTRODUCCIÓN</w:t>
      </w:r>
    </w:p>
    <w:p w14:paraId="7128ED07" w14:textId="77777777" w:rsidR="00B25B13" w:rsidRPr="00B25B13" w:rsidRDefault="00B25B13" w:rsidP="00B25B13">
      <w:pPr>
        <w:spacing w:line="360" w:lineRule="auto"/>
        <w:jc w:val="both"/>
        <w:rPr>
          <w:rFonts w:eastAsiaTheme="minorHAnsi"/>
          <w:vertAlign w:val="superscript"/>
          <w:lang w:val="es-MX" w:eastAsia="en-US"/>
        </w:rPr>
      </w:pPr>
      <w:r w:rsidRPr="00B25B13">
        <w:rPr>
          <w:rFonts w:eastAsiaTheme="minorHAnsi"/>
          <w:lang w:val="es-MX" w:eastAsia="en-US"/>
        </w:rPr>
        <w:t>La enfermedad renal crónica (ERC) se ha convertido en la tercera causa de muerte de más rápido crecimiento y se estima que para el 2040 sea la quinta causa de años de vida potencialmente perdidos. A nivel mundial, alrededor de 850 millones de personas conviven con la enfermedad renal, de estos, 4 millones reciben terapias de reemplazo renal para una tasa bruta de 298,4 pacientes por millón de habitantes.</w:t>
      </w:r>
      <w:r w:rsidRPr="00B25B13">
        <w:rPr>
          <w:rFonts w:eastAsiaTheme="minorHAnsi"/>
          <w:vertAlign w:val="superscript"/>
          <w:lang w:val="es-MX" w:eastAsia="en-US"/>
        </w:rPr>
        <w:t>(1)</w:t>
      </w:r>
    </w:p>
    <w:p w14:paraId="4A1A15DC" w14:textId="77777777" w:rsidR="00B25B13" w:rsidRPr="00B25B13" w:rsidRDefault="00B25B13" w:rsidP="00B25B13">
      <w:pPr>
        <w:spacing w:line="360" w:lineRule="auto"/>
        <w:jc w:val="both"/>
        <w:rPr>
          <w:lang w:val="es-ES" w:eastAsia="es-ES"/>
        </w:rPr>
      </w:pPr>
      <w:r w:rsidRPr="00B25B13">
        <w:rPr>
          <w:lang w:val="es-ES" w:eastAsia="es-ES"/>
        </w:rPr>
        <w:t>En Cuba, durante el año 2021 la ERC fue la causa número 14 de mayor mortalidad. Se reportaron 1576 muertes, 398 más que el año 2020, para una tasa bruta de 14,1 y ajustada de 7,0.</w:t>
      </w:r>
      <w:r w:rsidRPr="00B25B13">
        <w:rPr>
          <w:vertAlign w:val="superscript"/>
          <w:lang w:val="es-MX" w:eastAsia="es-ES"/>
        </w:rPr>
        <w:t>(2)</w:t>
      </w:r>
    </w:p>
    <w:p w14:paraId="65C57D8C" w14:textId="77777777" w:rsidR="00B25B13" w:rsidRPr="00B25B13" w:rsidRDefault="00B25B13" w:rsidP="00B25B13">
      <w:pPr>
        <w:spacing w:line="360" w:lineRule="auto"/>
        <w:jc w:val="both"/>
        <w:rPr>
          <w:lang w:val="es-ES" w:eastAsia="es-ES"/>
        </w:rPr>
      </w:pPr>
      <w:r w:rsidRPr="00B25B13">
        <w:rPr>
          <w:lang w:val="es-ES" w:eastAsia="es-ES"/>
        </w:rPr>
        <w:t>Los países desarrollados presentan adecuados sistemas de datos de los pacientes con enfermedad renal. Es conveniente extrapolar estos resultados a los países en vías de desarrollo y generar un cambio de paradigma que disminuya las inequidades.</w:t>
      </w:r>
      <w:r w:rsidRPr="00B25B13">
        <w:rPr>
          <w:vertAlign w:val="superscript"/>
          <w:lang w:val="es-MX" w:eastAsia="es-ES"/>
        </w:rPr>
        <w:t>(3)</w:t>
      </w:r>
    </w:p>
    <w:p w14:paraId="646E61E3" w14:textId="77777777" w:rsidR="00B25B13" w:rsidRPr="00B25B13" w:rsidRDefault="00B25B13" w:rsidP="00B25B13">
      <w:pPr>
        <w:spacing w:line="360" w:lineRule="auto"/>
        <w:jc w:val="both"/>
        <w:rPr>
          <w:lang w:val="es-ES" w:eastAsia="es-ES"/>
        </w:rPr>
      </w:pPr>
      <w:r w:rsidRPr="00B25B13">
        <w:rPr>
          <w:lang w:val="es-ES" w:eastAsia="es-ES"/>
        </w:rPr>
        <w:t>La mortalidad por ERC en Cuba ha aumentado de forma considerable con respecto a años anteriores por lo que constituye una necesidad científica la realización de investigaciones que contribuyan a identificar de manera precoz factores pronósticos. El envejecimiento poblacional y el aumento de enfermedades como la hipertensión arterial y la diabetes mellitus son desafíos importantes, en aras de obtener mejores resultados en la salud renal de los individuos.</w:t>
      </w:r>
      <w:r w:rsidRPr="00B25B13">
        <w:rPr>
          <w:vertAlign w:val="superscript"/>
          <w:lang w:val="es-MX" w:eastAsia="es-ES"/>
        </w:rPr>
        <w:t>(4)</w:t>
      </w:r>
    </w:p>
    <w:p w14:paraId="79AE2F3B" w14:textId="77777777" w:rsidR="00B25B13" w:rsidRPr="00B25B13" w:rsidRDefault="00B25B13" w:rsidP="00B25B13">
      <w:pPr>
        <w:spacing w:line="360" w:lineRule="auto"/>
        <w:jc w:val="both"/>
        <w:rPr>
          <w:lang w:val="es-ES" w:eastAsia="es-ES"/>
        </w:rPr>
      </w:pPr>
      <w:r w:rsidRPr="00B25B13">
        <w:rPr>
          <w:lang w:val="es-ES" w:eastAsia="es-ES"/>
        </w:rPr>
        <w:lastRenderedPageBreak/>
        <w:t xml:space="preserve">En la actualidad, se requieren nuevos modelos con diseño metodológico y relaciones de causalidad diferentes que investiguen la relación de variables y factores para mejorar el pronóstico de la disfunción renal. La implementación de técnicas de </w:t>
      </w:r>
      <w:proofErr w:type="spellStart"/>
      <w:r w:rsidRPr="00B25B13">
        <w:rPr>
          <w:i/>
          <w:lang w:val="es-ES" w:eastAsia="es-ES"/>
        </w:rPr>
        <w:t>big</w:t>
      </w:r>
      <w:proofErr w:type="spellEnd"/>
      <w:r w:rsidRPr="00B25B13">
        <w:rPr>
          <w:i/>
          <w:lang w:val="es-ES" w:eastAsia="es-ES"/>
        </w:rPr>
        <w:t xml:space="preserve"> data, </w:t>
      </w:r>
      <w:r w:rsidRPr="00B25B13">
        <w:rPr>
          <w:lang w:val="es-ES" w:eastAsia="es-ES"/>
        </w:rPr>
        <w:t>ciencia de datos y otras herramientas de la inteligencia artificial podrían generar mejoras sobre las crecientes cifras de mortalidad.</w:t>
      </w:r>
      <w:r w:rsidRPr="00B25B13">
        <w:rPr>
          <w:vertAlign w:val="superscript"/>
          <w:lang w:val="es-MX" w:eastAsia="es-ES"/>
        </w:rPr>
        <w:t>(5)</w:t>
      </w:r>
    </w:p>
    <w:p w14:paraId="2A56EE9C" w14:textId="77777777" w:rsidR="00B25B13" w:rsidRPr="00B25B13" w:rsidRDefault="00B25B13" w:rsidP="00B25B13">
      <w:pPr>
        <w:spacing w:line="360" w:lineRule="auto"/>
        <w:jc w:val="both"/>
        <w:rPr>
          <w:lang w:val="es-ES" w:eastAsia="es-ES"/>
        </w:rPr>
      </w:pPr>
      <w:r w:rsidRPr="00B25B13">
        <w:rPr>
          <w:lang w:val="es-ES" w:eastAsia="es-ES"/>
        </w:rPr>
        <w:t>Realizar pronósticos certeros y de forma precoz es clave en la evolución de la historia natural de la ERC y en la estratificación del riesgo de los pacientes. En la actualidad el pronóstico de esta enfermedad cobra mayor importancia si se aplican nuevos avances metodológicos que aporten consistencia sobre el desarrollo de modelos predictivos de mortalidad más reproducibles y con enfoque uniforme.</w:t>
      </w:r>
      <w:r w:rsidRPr="00B25B13">
        <w:rPr>
          <w:vertAlign w:val="superscript"/>
          <w:lang w:val="es-MX" w:eastAsia="es-ES"/>
        </w:rPr>
        <w:t>(6)</w:t>
      </w:r>
    </w:p>
    <w:p w14:paraId="640C9A08" w14:textId="77777777" w:rsidR="00B25B13" w:rsidRPr="00B25B13" w:rsidRDefault="00B25B13" w:rsidP="00B25B13">
      <w:pPr>
        <w:spacing w:line="360" w:lineRule="auto"/>
        <w:jc w:val="both"/>
        <w:rPr>
          <w:lang w:val="es-ES" w:eastAsia="es-ES"/>
        </w:rPr>
      </w:pPr>
      <w:r w:rsidRPr="00B25B13">
        <w:rPr>
          <w:lang w:val="es-ES" w:eastAsia="es-ES"/>
        </w:rPr>
        <w:t xml:space="preserve">Existen numerosas escalas para la predicción de mortalidad en la ERC, pero a pesar de poseer gran sensibilidad y especificidad, en Cuba presentan limitaciones reales ya que algunas de las variables que reúnen no se pueden medir. Es por ello que es de gran importancia el desarrollo de nuevas herramientas pronósticas más homogéneas que se puedan utilizar para la toma de decisiones clínicas importantes. </w:t>
      </w:r>
    </w:p>
    <w:p w14:paraId="527E0A0F" w14:textId="77777777" w:rsidR="00B25B13" w:rsidRPr="00B25B13" w:rsidRDefault="00B25B13" w:rsidP="00B25B13">
      <w:pPr>
        <w:spacing w:line="360" w:lineRule="auto"/>
        <w:jc w:val="both"/>
        <w:rPr>
          <w:rFonts w:eastAsiaTheme="minorHAnsi"/>
          <w:lang w:val="es-ES" w:eastAsia="en-US"/>
        </w:rPr>
      </w:pPr>
      <w:r w:rsidRPr="00B25B13">
        <w:rPr>
          <w:rFonts w:eastAsiaTheme="minorHAnsi"/>
          <w:lang w:val="es-MX" w:eastAsia="en-US"/>
        </w:rPr>
        <w:t>La presente investigación se realizó con el objetivo de diseñar una escala predictiva de mortalidad en pacientes con enfermedad renal crónica.</w:t>
      </w:r>
    </w:p>
    <w:p w14:paraId="4854C388" w14:textId="77777777" w:rsidR="00B25B13" w:rsidRPr="00B25B13" w:rsidRDefault="00B25B13" w:rsidP="00B25B13">
      <w:pPr>
        <w:spacing w:line="360" w:lineRule="auto"/>
        <w:jc w:val="center"/>
        <w:rPr>
          <w:rFonts w:eastAsiaTheme="minorHAnsi"/>
          <w:b/>
          <w:lang w:val="es-ES" w:eastAsia="en-US"/>
        </w:rPr>
      </w:pPr>
    </w:p>
    <w:p w14:paraId="76DE0953" w14:textId="77777777" w:rsidR="00B25B13" w:rsidRPr="00B25B13" w:rsidRDefault="00B25B13" w:rsidP="00B25B13">
      <w:pPr>
        <w:spacing w:line="360" w:lineRule="auto"/>
        <w:jc w:val="center"/>
        <w:rPr>
          <w:rFonts w:eastAsiaTheme="minorHAnsi"/>
          <w:b/>
          <w:lang w:val="es-ES" w:eastAsia="en-US"/>
        </w:rPr>
      </w:pPr>
    </w:p>
    <w:p w14:paraId="3F18BBF3" w14:textId="77777777" w:rsidR="00B25B13" w:rsidRPr="00B25B13" w:rsidRDefault="00B25B13" w:rsidP="00B25B13">
      <w:pPr>
        <w:spacing w:line="360" w:lineRule="auto"/>
        <w:jc w:val="center"/>
        <w:rPr>
          <w:rFonts w:eastAsiaTheme="minorHAnsi"/>
          <w:b/>
          <w:sz w:val="32"/>
          <w:szCs w:val="32"/>
          <w:lang w:val="es-ES" w:eastAsia="en-US"/>
        </w:rPr>
      </w:pPr>
      <w:r w:rsidRPr="00B25B13">
        <w:rPr>
          <w:rFonts w:eastAsiaTheme="minorHAnsi"/>
          <w:b/>
          <w:sz w:val="32"/>
          <w:szCs w:val="32"/>
          <w:lang w:val="es-ES" w:eastAsia="en-US"/>
        </w:rPr>
        <w:t>MÉTODOS</w:t>
      </w:r>
    </w:p>
    <w:p w14:paraId="32EF2A6D" w14:textId="77777777" w:rsidR="00B25B13" w:rsidRPr="00B25B13" w:rsidRDefault="00B25B13" w:rsidP="00B25B13">
      <w:pPr>
        <w:spacing w:line="360" w:lineRule="auto"/>
        <w:jc w:val="center"/>
        <w:rPr>
          <w:b/>
          <w:bCs/>
          <w:lang w:val="es-ES" w:eastAsia="es-ES"/>
        </w:rPr>
      </w:pPr>
      <w:r w:rsidRPr="00B25B13">
        <w:rPr>
          <w:b/>
          <w:bCs/>
          <w:lang w:val="es-ES" w:eastAsia="es-ES"/>
        </w:rPr>
        <w:t>Contexto y clasificación de la investigación</w:t>
      </w:r>
    </w:p>
    <w:p w14:paraId="1C3B6693" w14:textId="77777777" w:rsidR="00B25B13" w:rsidRPr="00B25B13" w:rsidRDefault="00B25B13" w:rsidP="00B25B13">
      <w:pPr>
        <w:spacing w:line="360" w:lineRule="auto"/>
        <w:jc w:val="both"/>
        <w:rPr>
          <w:lang w:val="es-MX" w:eastAsia="es-ES"/>
        </w:rPr>
      </w:pPr>
      <w:r w:rsidRPr="00B25B13">
        <w:rPr>
          <w:lang w:val="es-MX" w:eastAsia="es-ES"/>
        </w:rPr>
        <w:t xml:space="preserve">Se realizó un estudio </w:t>
      </w:r>
      <w:r w:rsidRPr="00B25B13">
        <w:rPr>
          <w:lang w:val="es-ES" w:eastAsia="es-ES"/>
        </w:rPr>
        <w:t>observacional, analítico, longitudinal prospectivo</w:t>
      </w:r>
      <w:r w:rsidRPr="00B25B13">
        <w:rPr>
          <w:lang w:val="es-MX" w:eastAsia="es-ES"/>
        </w:rPr>
        <w:t xml:space="preserve"> en los pacientes con enfermedad renal crónica estadio 4 atendidos en la consulta de enfermedad renal crónica avanzada (ERCA) de la provincia Las Tunas durante el período del 1 de enero de 2022 al 31 de diciembre de 2022. Durante los primeros 6 meses del año se analizaron las variables de estudio para el diseño de la escala predictiva. En los próximos 6 meses, los pacientes fueron seguidos para identificar la ocurrencia o no de la variable dependiente mortalidad.</w:t>
      </w:r>
    </w:p>
    <w:p w14:paraId="2DDADA1D" w14:textId="77777777" w:rsidR="00B25B13" w:rsidRPr="00B25B13" w:rsidRDefault="00B25B13" w:rsidP="00B25B13">
      <w:pPr>
        <w:spacing w:line="360" w:lineRule="auto"/>
        <w:jc w:val="center"/>
        <w:rPr>
          <w:b/>
          <w:bCs/>
          <w:sz w:val="28"/>
          <w:szCs w:val="28"/>
          <w:lang w:val="es-MX" w:eastAsia="es-ES"/>
        </w:rPr>
      </w:pPr>
      <w:r w:rsidRPr="00B25B13">
        <w:rPr>
          <w:b/>
          <w:bCs/>
          <w:sz w:val="28"/>
          <w:szCs w:val="28"/>
          <w:lang w:val="es-MX" w:eastAsia="es-ES"/>
        </w:rPr>
        <w:t>Población y muestra</w:t>
      </w:r>
    </w:p>
    <w:p w14:paraId="3FEE53AA" w14:textId="16726EBC" w:rsidR="00B25B13" w:rsidRPr="00B25B13" w:rsidRDefault="00B25B13" w:rsidP="00B25B13">
      <w:pPr>
        <w:spacing w:line="360" w:lineRule="auto"/>
        <w:jc w:val="both"/>
        <w:rPr>
          <w:vertAlign w:val="superscript"/>
          <w:lang w:val="es-MX" w:eastAsia="es-ES"/>
        </w:rPr>
      </w:pPr>
      <w:r w:rsidRPr="00B25B13">
        <w:rPr>
          <w:lang w:val="es-ES" w:eastAsia="es-ES"/>
        </w:rPr>
        <w:t xml:space="preserve">La población estuvo constituida por 302 pacientes con enfermedad renal crónica estadio 4, atendidos durante el período declarado anteriormente. </w:t>
      </w:r>
      <w:r w:rsidRPr="00B25B13">
        <w:rPr>
          <w:lang w:val="es-MX" w:eastAsia="es-ES"/>
        </w:rPr>
        <w:t>Para calcular el tamaño de la muestra se utilizó la fórmula para muestras finitas o conocidas.</w:t>
      </w:r>
      <w:r w:rsidRPr="00B25B13">
        <w:rPr>
          <w:vertAlign w:val="superscript"/>
          <w:lang w:val="es-MX" w:eastAsia="es-ES"/>
        </w:rPr>
        <w:t>(7)</w:t>
      </w:r>
    </w:p>
    <w:p w14:paraId="350C8563" w14:textId="77777777" w:rsidR="00B25B13" w:rsidRPr="00B25B13" w:rsidRDefault="00B25B13" w:rsidP="00B25B13">
      <w:pPr>
        <w:spacing w:line="360" w:lineRule="auto"/>
        <w:jc w:val="both"/>
        <w:rPr>
          <w:vertAlign w:val="superscript"/>
          <w:lang w:val="es-MX" w:eastAsia="es-ES"/>
        </w:rPr>
      </w:pPr>
    </w:p>
    <w:p w14:paraId="3C65FEA2" w14:textId="77777777" w:rsidR="00B25B13" w:rsidRPr="00B25B13" w:rsidRDefault="00B25B13" w:rsidP="00B25B13">
      <w:pPr>
        <w:spacing w:line="360" w:lineRule="auto"/>
        <w:jc w:val="center"/>
        <w:rPr>
          <w:lang w:val="es-MX" w:eastAsia="es-ES"/>
        </w:rPr>
      </w:pPr>
      <m:oMathPara>
        <m:oMath>
          <m:r>
            <w:rPr>
              <w:rFonts w:ascii="Cambria Math" w:hAnsi="Cambria Math"/>
              <w:lang w:val="es-MX" w:eastAsia="es-ES"/>
            </w:rPr>
            <m:t>n</m:t>
          </m:r>
          <m:r>
            <m:rPr>
              <m:sty m:val="p"/>
            </m:rPr>
            <w:rPr>
              <w:rFonts w:ascii="Cambria Math" w:hAnsi="Cambria Math"/>
              <w:lang w:val="es-MX" w:eastAsia="es-ES"/>
            </w:rPr>
            <m:t>=</m:t>
          </m:r>
          <m:f>
            <m:fPr>
              <m:ctrlPr>
                <w:rPr>
                  <w:rFonts w:ascii="Cambria Math" w:hAnsi="Cambria Math"/>
                  <w:lang w:val="es-MX" w:eastAsia="es-ES"/>
                </w:rPr>
              </m:ctrlPr>
            </m:fPr>
            <m:num>
              <m:r>
                <m:rPr>
                  <m:sty m:val="p"/>
                </m:rPr>
                <w:rPr>
                  <w:rFonts w:ascii="Cambria Math" w:hAnsi="Cambria Math"/>
                  <w:lang w:val="es-MX" w:eastAsia="es-ES"/>
                </w:rPr>
                <m:t>N*Z2*p*q</m:t>
              </m:r>
            </m:num>
            <m:den>
              <m:r>
                <m:rPr>
                  <m:sty m:val="p"/>
                </m:rPr>
                <w:rPr>
                  <w:rFonts w:ascii="Cambria Math" w:hAnsi="Cambria Math"/>
                  <w:lang w:val="es-MX" w:eastAsia="es-ES"/>
                </w:rPr>
                <m:t xml:space="preserve">e2 </m:t>
              </m:r>
              <m:d>
                <m:dPr>
                  <m:ctrlPr>
                    <w:rPr>
                      <w:rFonts w:ascii="Cambria Math" w:hAnsi="Cambria Math"/>
                      <w:lang w:val="es-MX" w:eastAsia="es-ES"/>
                    </w:rPr>
                  </m:ctrlPr>
                </m:dPr>
                <m:e>
                  <m:r>
                    <m:rPr>
                      <m:sty m:val="p"/>
                    </m:rPr>
                    <w:rPr>
                      <w:rFonts w:ascii="Cambria Math" w:hAnsi="Cambria Math"/>
                      <w:lang w:val="es-MX" w:eastAsia="es-ES"/>
                    </w:rPr>
                    <m:t>N-1</m:t>
                  </m:r>
                </m:e>
              </m:d>
              <m:r>
                <m:rPr>
                  <m:sty m:val="p"/>
                </m:rPr>
                <w:rPr>
                  <w:rFonts w:ascii="Cambria Math" w:hAnsi="Cambria Math"/>
                  <w:lang w:val="es-MX" w:eastAsia="es-ES"/>
                </w:rPr>
                <m:t>+Z2*p*q</m:t>
              </m:r>
            </m:den>
          </m:f>
        </m:oMath>
      </m:oMathPara>
    </w:p>
    <w:p w14:paraId="2FE65442" w14:textId="77777777" w:rsidR="00B25B13" w:rsidRPr="00B25B13" w:rsidRDefault="00B25B13" w:rsidP="00B25B13">
      <w:pPr>
        <w:spacing w:line="360" w:lineRule="auto"/>
        <w:jc w:val="both"/>
        <w:rPr>
          <w:lang w:val="es-MX" w:eastAsia="es-ES"/>
        </w:rPr>
      </w:pPr>
    </w:p>
    <w:p w14:paraId="323B45CA" w14:textId="77777777" w:rsidR="00B25B13" w:rsidRPr="00B25B13" w:rsidRDefault="00B25B13" w:rsidP="00B25B13">
      <w:pPr>
        <w:spacing w:line="360" w:lineRule="auto"/>
        <w:jc w:val="both"/>
        <w:rPr>
          <w:lang w:val="es-ES" w:eastAsia="es-ES"/>
        </w:rPr>
      </w:pPr>
      <w:r w:rsidRPr="00B25B13">
        <w:rPr>
          <w:rFonts w:eastAsia="Arial"/>
          <w:lang w:val="es-ES" w:eastAsia="es-ES"/>
        </w:rPr>
        <w:t>Donde "n" representó el total de pacientes con enfermedad renal crónica que se necesitaron incluir en la muestra, Z</w:t>
      </w:r>
      <w:r w:rsidRPr="00B25B13">
        <w:rPr>
          <w:lang w:val="es-ES" w:eastAsia="es-ES"/>
        </w:rPr>
        <w:t>= 1,96 para un nivel de confianza de 95 %, con un máximo error permisible del 5 % (e= 0,05), el valor de p y q se planteó en 0,05 teniendo en cuenta que no existen trabajos actuales publicados acerca de la tasa de mortalidad de la enfermedad renal crónica en Cuba.</w:t>
      </w:r>
      <w:r w:rsidRPr="00B25B13">
        <w:rPr>
          <w:vertAlign w:val="superscript"/>
          <w:lang w:val="es-ES" w:eastAsia="es-ES"/>
        </w:rPr>
        <w:t xml:space="preserve">(8) </w:t>
      </w:r>
      <w:r w:rsidRPr="00B25B13">
        <w:rPr>
          <w:lang w:val="es-ES" w:eastAsia="es-ES"/>
        </w:rPr>
        <w:t>Se necesitaron incluir 169 pacientes en la muestra. Se estudiaron 62 pacientes fallecidos y 117 pacientes vivos, con una relación 1:2 mediante un muestreo aleatorio simple.</w:t>
      </w:r>
    </w:p>
    <w:p w14:paraId="26F119BF" w14:textId="77777777" w:rsidR="00B25B13" w:rsidRPr="00B25B13" w:rsidRDefault="00B25B13" w:rsidP="00B25B13">
      <w:pPr>
        <w:spacing w:line="360" w:lineRule="auto"/>
        <w:jc w:val="center"/>
        <w:rPr>
          <w:b/>
          <w:bCs/>
          <w:sz w:val="28"/>
          <w:szCs w:val="28"/>
          <w:lang w:val="es-MX" w:eastAsia="es-ES"/>
        </w:rPr>
      </w:pPr>
      <w:r w:rsidRPr="00B25B13">
        <w:rPr>
          <w:b/>
          <w:bCs/>
          <w:sz w:val="28"/>
          <w:szCs w:val="28"/>
          <w:lang w:val="es-MX" w:eastAsia="es-ES"/>
        </w:rPr>
        <w:t>Criterios de inclusión</w:t>
      </w:r>
    </w:p>
    <w:p w14:paraId="0A75732E"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Constituyeron criterios de inclusión los pacientes mayores de 18 años de edad con ERC estadio 4 atendidos en la consulta de ERCA. </w:t>
      </w:r>
    </w:p>
    <w:p w14:paraId="56D0676D" w14:textId="77777777" w:rsidR="00B25B13" w:rsidRPr="00B25B13" w:rsidRDefault="00B25B13" w:rsidP="00B25B13">
      <w:pPr>
        <w:spacing w:line="360" w:lineRule="auto"/>
        <w:jc w:val="center"/>
        <w:rPr>
          <w:b/>
          <w:bCs/>
          <w:sz w:val="28"/>
          <w:szCs w:val="28"/>
          <w:lang w:val="es-MX" w:eastAsia="es-ES"/>
        </w:rPr>
      </w:pPr>
      <w:r w:rsidRPr="00B25B13">
        <w:rPr>
          <w:b/>
          <w:bCs/>
          <w:sz w:val="28"/>
          <w:szCs w:val="28"/>
          <w:lang w:val="es-MX" w:eastAsia="es-ES"/>
        </w:rPr>
        <w:t>Variables en la investigación</w:t>
      </w:r>
    </w:p>
    <w:p w14:paraId="141CB7E3" w14:textId="77777777" w:rsidR="00B25B13" w:rsidRPr="00B25B13" w:rsidRDefault="00B25B13" w:rsidP="00B25B13">
      <w:pPr>
        <w:spacing w:line="360" w:lineRule="auto"/>
        <w:jc w:val="both"/>
        <w:rPr>
          <w:lang w:val="es-MX" w:eastAsia="es-ES"/>
        </w:rPr>
      </w:pPr>
      <w:r w:rsidRPr="00B25B13">
        <w:rPr>
          <w:lang w:val="es-MX" w:eastAsia="es-ES"/>
        </w:rPr>
        <w:t>Para la descripción de la muestra se analizaron un total de 20 variables divididas en variables epidemiológicas, clínicas y exámenes complementarios.</w:t>
      </w:r>
    </w:p>
    <w:p w14:paraId="2CC73989" w14:textId="77777777" w:rsidR="00B25B13" w:rsidRPr="00B25B13" w:rsidRDefault="00B25B13" w:rsidP="00B25B13">
      <w:pPr>
        <w:spacing w:line="360" w:lineRule="auto"/>
        <w:jc w:val="both"/>
        <w:rPr>
          <w:lang w:val="es-MX" w:eastAsia="es-ES"/>
        </w:rPr>
      </w:pPr>
      <w:r w:rsidRPr="00B25B13">
        <w:rPr>
          <w:lang w:val="es-MX" w:eastAsia="es-ES"/>
        </w:rPr>
        <w:t>Variable dependiente: mortalidad.</w:t>
      </w:r>
    </w:p>
    <w:p w14:paraId="71F70DD7" w14:textId="77777777" w:rsidR="00B25B13" w:rsidRPr="00B25B13" w:rsidRDefault="00B25B13" w:rsidP="00B25B13">
      <w:pPr>
        <w:spacing w:line="360" w:lineRule="auto"/>
        <w:jc w:val="both"/>
        <w:rPr>
          <w:lang w:val="es-MX" w:eastAsia="es-ES"/>
        </w:rPr>
      </w:pPr>
      <w:r w:rsidRPr="00B25B13">
        <w:rPr>
          <w:lang w:val="es-MX" w:eastAsia="es-ES"/>
        </w:rPr>
        <w:t>Variables independientes:</w:t>
      </w:r>
    </w:p>
    <w:p w14:paraId="2DDADF7A" w14:textId="77777777" w:rsidR="00B25B13" w:rsidRPr="00B25B13" w:rsidRDefault="00B25B13" w:rsidP="00591321">
      <w:pPr>
        <w:spacing w:line="360" w:lineRule="auto"/>
        <w:jc w:val="both"/>
        <w:rPr>
          <w:lang w:val="es-MX" w:eastAsia="es-ES"/>
        </w:rPr>
      </w:pPr>
    </w:p>
    <w:p w14:paraId="40BC143A"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t>Sexo: (0) femenino, (1) masculino.</w:t>
      </w:r>
    </w:p>
    <w:p w14:paraId="0A60C4CC"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t>Edad: según los años cumplidos al inicio de la investigación. Para el análisis de regresión se consideraron 2 categorías, (0) igual o menor a 65 años, (1) mayor a 65 años.</w:t>
      </w:r>
      <w:r w:rsidRPr="00B25B13">
        <w:rPr>
          <w:vertAlign w:val="superscript"/>
          <w:lang w:val="es-MX" w:eastAsia="es-ES"/>
        </w:rPr>
        <w:t xml:space="preserve">(9)  </w:t>
      </w:r>
    </w:p>
    <w:p w14:paraId="3D6A83C7"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t>Enfermedad cardiovascular: si el paciente presentó enfermedad coronaria, insuficiencia cardíaca o arritmia. Para el análisis de regresión se consideraron 2 categorías, (0) ausencia, (1) presencia.</w:t>
      </w:r>
      <w:r w:rsidRPr="00B25B13">
        <w:rPr>
          <w:vertAlign w:val="superscript"/>
          <w:lang w:val="es-MX" w:eastAsia="es-ES"/>
        </w:rPr>
        <w:t xml:space="preserve">(10)  </w:t>
      </w:r>
    </w:p>
    <w:p w14:paraId="3A4E2F94"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t>Diabetes mellitus: si el paciente presentaba el antecedente de la enfermedad; (0) ausencia, (1) presencia.</w:t>
      </w:r>
    </w:p>
    <w:p w14:paraId="648402C7"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lastRenderedPageBreak/>
        <w:t xml:space="preserve">Hipertensión arterial: si el paciente presentaba el antecedente de la enfermedad y los que sin tener el antecedente, presentaron cifras tensionales superiores a 140/90 </w:t>
      </w:r>
      <w:proofErr w:type="spellStart"/>
      <w:r w:rsidRPr="00B25B13">
        <w:rPr>
          <w:lang w:val="es-MX" w:eastAsia="es-ES"/>
        </w:rPr>
        <w:t>mmHg</w:t>
      </w:r>
      <w:proofErr w:type="spellEnd"/>
      <w:r w:rsidRPr="00B25B13">
        <w:rPr>
          <w:lang w:val="es-MX" w:eastAsia="es-ES"/>
        </w:rPr>
        <w:t xml:space="preserve"> en al menos 2 ocasiones; (0) ausencia, (1) presencia.</w:t>
      </w:r>
    </w:p>
    <w:p w14:paraId="376B671B"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t>Tabaquismo: si el paciente en el momento del estudio fumaba; (0) no fumador, (1) fumador.</w:t>
      </w:r>
      <w:r w:rsidRPr="00B25B13">
        <w:rPr>
          <w:vertAlign w:val="superscript"/>
          <w:lang w:val="es-MX" w:eastAsia="es-ES"/>
        </w:rPr>
        <w:t xml:space="preserve">(11)  </w:t>
      </w:r>
    </w:p>
    <w:p w14:paraId="2E5F5658"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t>Dislipidemia: si el paciente tenía el antecedente o si presentó cifras de colesterol superior a 5,7 mmol/L o triglicéridos superior a 1,7 mmol/L. Para el análisis de regresión se consideraron 2 categorías; (0) ausencia, (1) presencia.</w:t>
      </w:r>
      <w:r w:rsidRPr="00B25B13">
        <w:rPr>
          <w:vertAlign w:val="superscript"/>
          <w:lang w:val="es-MX" w:eastAsia="es-ES"/>
        </w:rPr>
        <w:t>(12)</w:t>
      </w:r>
    </w:p>
    <w:p w14:paraId="1A803826"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t>Obesidad: si el índice de masa corporal era superior a 30 kg/m</w:t>
      </w:r>
      <w:r w:rsidRPr="00B25B13">
        <w:rPr>
          <w:vertAlign w:val="superscript"/>
          <w:lang w:val="es-MX" w:eastAsia="es-ES"/>
        </w:rPr>
        <w:t>2</w:t>
      </w:r>
      <w:r w:rsidRPr="00B25B13">
        <w:rPr>
          <w:lang w:val="es-MX" w:eastAsia="es-ES"/>
        </w:rPr>
        <w:t xml:space="preserve">. El cálculo se realizó según la fórmula de </w:t>
      </w:r>
      <w:r w:rsidRPr="00B25B13">
        <w:rPr>
          <w:iCs/>
          <w:lang w:val="es-MX" w:eastAsia="es-ES"/>
        </w:rPr>
        <w:t>Quetelet;</w:t>
      </w:r>
      <w:r w:rsidRPr="00B25B13">
        <w:rPr>
          <w:vertAlign w:val="superscript"/>
          <w:lang w:val="es-MX" w:eastAsia="es-ES"/>
        </w:rPr>
        <w:t>(13)</w:t>
      </w:r>
      <w:r w:rsidRPr="00B25B13">
        <w:rPr>
          <w:iCs/>
          <w:lang w:val="es-MX" w:eastAsia="es-ES"/>
        </w:rPr>
        <w:t xml:space="preserve"> </w:t>
      </w:r>
      <w:r w:rsidRPr="00B25B13">
        <w:rPr>
          <w:lang w:val="es-MX" w:eastAsia="es-ES"/>
        </w:rPr>
        <w:t>(0) ausencia, (1) presencia.</w:t>
      </w:r>
    </w:p>
    <w:p w14:paraId="43F6DCE6" w14:textId="77777777" w:rsidR="00B25B13" w:rsidRPr="00B25B13" w:rsidRDefault="00B25B13" w:rsidP="00591321">
      <w:pPr>
        <w:numPr>
          <w:ilvl w:val="0"/>
          <w:numId w:val="9"/>
        </w:numPr>
        <w:spacing w:line="360" w:lineRule="auto"/>
        <w:ind w:left="426" w:hanging="426"/>
        <w:jc w:val="both"/>
        <w:rPr>
          <w:lang w:val="es-MX" w:eastAsia="es-ES"/>
        </w:rPr>
      </w:pPr>
      <w:r w:rsidRPr="00B25B13">
        <w:rPr>
          <w:lang w:val="es-MX" w:eastAsia="es-ES"/>
        </w:rPr>
        <w:t>Desnutrición: si el índice de masa corporal era inferior a 18,5 kg/m</w:t>
      </w:r>
      <w:r w:rsidRPr="00B25B13">
        <w:rPr>
          <w:vertAlign w:val="superscript"/>
          <w:lang w:val="es-MX" w:eastAsia="es-ES"/>
        </w:rPr>
        <w:t>2</w:t>
      </w:r>
      <w:r w:rsidRPr="00B25B13">
        <w:rPr>
          <w:lang w:val="es-MX" w:eastAsia="es-ES"/>
        </w:rPr>
        <w:t xml:space="preserve">. El cálculo se realizó según la fórmula de </w:t>
      </w:r>
      <w:r w:rsidRPr="00B25B13">
        <w:rPr>
          <w:iCs/>
          <w:lang w:val="es-MX" w:eastAsia="es-ES"/>
        </w:rPr>
        <w:t>Quetelet</w:t>
      </w:r>
      <w:r w:rsidRPr="00B25B13">
        <w:rPr>
          <w:lang w:val="es-MX" w:eastAsia="es-ES"/>
        </w:rPr>
        <w:t>;</w:t>
      </w:r>
      <w:r w:rsidRPr="00B25B13">
        <w:rPr>
          <w:vertAlign w:val="superscript"/>
          <w:lang w:val="es-MX" w:eastAsia="es-ES"/>
        </w:rPr>
        <w:t>(13)</w:t>
      </w:r>
      <w:r w:rsidRPr="00B25B13">
        <w:rPr>
          <w:lang w:val="es-MX" w:eastAsia="es-ES"/>
        </w:rPr>
        <w:t xml:space="preserve"> (0) ausencia, (1) presencia.</w:t>
      </w:r>
      <w:r w:rsidRPr="00B25B13">
        <w:rPr>
          <w:vertAlign w:val="superscript"/>
          <w:lang w:val="es-MX" w:eastAsia="es-ES"/>
        </w:rPr>
        <w:t xml:space="preserve">(13)  </w:t>
      </w:r>
    </w:p>
    <w:p w14:paraId="70854E40" w14:textId="77777777" w:rsidR="00B25B13" w:rsidRPr="00B25B13" w:rsidRDefault="00B25B13" w:rsidP="00591321">
      <w:pPr>
        <w:spacing w:line="360" w:lineRule="auto"/>
        <w:jc w:val="both"/>
        <w:rPr>
          <w:lang w:val="es-MX" w:eastAsia="es-ES"/>
        </w:rPr>
      </w:pPr>
    </w:p>
    <w:p w14:paraId="4517E044" w14:textId="77777777" w:rsidR="00B25B13" w:rsidRPr="00B25B13" w:rsidRDefault="00B25B13" w:rsidP="00B25B13">
      <w:pPr>
        <w:spacing w:line="360" w:lineRule="auto"/>
        <w:jc w:val="both"/>
        <w:rPr>
          <w:lang w:val="es-MX" w:eastAsia="es-ES"/>
        </w:rPr>
      </w:pPr>
      <w:r w:rsidRPr="00B25B13">
        <w:rPr>
          <w:lang w:val="es-MX" w:eastAsia="es-ES"/>
        </w:rPr>
        <w:t>En el caso de las variables de los exámenes complementarios, el valor que se tomó para la investigación fue la primera determinación realizada en la primera consulta. En cuanto a las variables cuantitativas, se incluyeron en el análisis de regresión, albúmina &lt; 35 g/L, hemoglobina &lt; 10 g/L y ácido úrico &gt; 390 mmol/L. Estos puntos de corte se consideraron según la revisión de la literatura.</w:t>
      </w:r>
      <w:r w:rsidRPr="00B25B13">
        <w:rPr>
          <w:vertAlign w:val="superscript"/>
          <w:lang w:val="es-MX" w:eastAsia="es-ES"/>
        </w:rPr>
        <w:t xml:space="preserve">(14) </w:t>
      </w:r>
    </w:p>
    <w:p w14:paraId="400363A6" w14:textId="77777777" w:rsidR="00B25B13" w:rsidRPr="00B25B13" w:rsidRDefault="00B25B13" w:rsidP="00B25B13">
      <w:pPr>
        <w:spacing w:line="360" w:lineRule="auto"/>
        <w:jc w:val="center"/>
        <w:rPr>
          <w:b/>
          <w:bCs/>
          <w:sz w:val="28"/>
          <w:szCs w:val="28"/>
          <w:lang w:val="es-MX" w:eastAsia="es-ES"/>
        </w:rPr>
      </w:pPr>
      <w:r w:rsidRPr="00B25B13">
        <w:rPr>
          <w:b/>
          <w:bCs/>
          <w:sz w:val="28"/>
          <w:szCs w:val="28"/>
          <w:lang w:val="es-MX" w:eastAsia="es-ES"/>
        </w:rPr>
        <w:t>Procesamiento estadístico</w:t>
      </w:r>
    </w:p>
    <w:p w14:paraId="5D12B411"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Los datos obtenidos fueron almacenados y procesados en el </w:t>
      </w:r>
      <w:r w:rsidRPr="00B25B13">
        <w:rPr>
          <w:rFonts w:eastAsiaTheme="minorHAnsi"/>
          <w:iCs/>
          <w:lang w:val="es-MX" w:eastAsia="en-US"/>
        </w:rPr>
        <w:t>software</w:t>
      </w:r>
      <w:r w:rsidRPr="00B25B13">
        <w:rPr>
          <w:rFonts w:eastAsiaTheme="minorHAnsi"/>
          <w:i/>
          <w:lang w:val="es-MX" w:eastAsia="en-US"/>
        </w:rPr>
        <w:t xml:space="preserve">, </w:t>
      </w:r>
      <w:r w:rsidRPr="00B25B13">
        <w:rPr>
          <w:rFonts w:eastAsiaTheme="minorHAnsi"/>
          <w:iCs/>
          <w:lang w:val="es-MX" w:eastAsia="en-US"/>
        </w:rPr>
        <w:t>SPSS</w:t>
      </w:r>
      <w:r w:rsidRPr="00B25B13">
        <w:rPr>
          <w:rFonts w:eastAsiaTheme="minorHAnsi"/>
          <w:lang w:val="es-MX" w:eastAsia="en-US"/>
        </w:rPr>
        <w:t xml:space="preserve"> versión 20 para </w:t>
      </w:r>
      <w:r w:rsidRPr="00B25B13">
        <w:rPr>
          <w:rFonts w:eastAsiaTheme="minorHAnsi"/>
          <w:iCs/>
          <w:lang w:val="es-MX" w:eastAsia="en-US"/>
        </w:rPr>
        <w:t>Windows</w:t>
      </w:r>
      <w:r w:rsidRPr="00B25B13">
        <w:rPr>
          <w:rFonts w:eastAsiaTheme="minorHAnsi"/>
          <w:lang w:val="es-MX" w:eastAsia="en-US"/>
        </w:rPr>
        <w:t xml:space="preserve">. Para determinar la distribución normal o no de las variables cuantitativas se aplicó el test </w:t>
      </w:r>
      <w:proofErr w:type="spellStart"/>
      <w:r w:rsidRPr="00B25B13">
        <w:rPr>
          <w:rFonts w:eastAsiaTheme="minorHAnsi"/>
          <w:lang w:val="es-MX" w:eastAsia="en-US"/>
        </w:rPr>
        <w:t>Kolmogorov</w:t>
      </w:r>
      <w:proofErr w:type="spellEnd"/>
      <w:r w:rsidRPr="00B25B13">
        <w:rPr>
          <w:rFonts w:eastAsiaTheme="minorHAnsi"/>
          <w:lang w:val="es-MX" w:eastAsia="en-US"/>
        </w:rPr>
        <w:t xml:space="preserve"> </w:t>
      </w:r>
      <w:proofErr w:type="spellStart"/>
      <w:r w:rsidRPr="00B25B13">
        <w:rPr>
          <w:rFonts w:eastAsiaTheme="minorHAnsi"/>
          <w:lang w:val="es-MX" w:eastAsia="en-US"/>
        </w:rPr>
        <w:t>Smirnov</w:t>
      </w:r>
      <w:proofErr w:type="spellEnd"/>
      <w:r w:rsidRPr="00B25B13">
        <w:rPr>
          <w:rFonts w:eastAsiaTheme="minorHAnsi"/>
          <w:lang w:val="es-MX" w:eastAsia="en-US"/>
        </w:rPr>
        <w:t>.</w:t>
      </w:r>
      <w:r w:rsidRPr="00B25B13">
        <w:rPr>
          <w:rFonts w:eastAsiaTheme="minorHAnsi"/>
          <w:iCs/>
          <w:lang w:val="es-MX" w:eastAsia="en-US"/>
        </w:rPr>
        <w:t xml:space="preserve"> </w:t>
      </w:r>
      <w:r w:rsidRPr="00B25B13">
        <w:rPr>
          <w:rFonts w:eastAsiaTheme="minorHAnsi"/>
          <w:lang w:val="es-MX" w:eastAsia="en-US"/>
        </w:rPr>
        <w:t xml:space="preserve">Aquellas variables cuantitativas con distribución normal se expresaron en media y desviación estándar y sus medias fueron comparadas a través del test estadístico t de </w:t>
      </w:r>
      <w:proofErr w:type="spellStart"/>
      <w:r w:rsidRPr="00B25B13">
        <w:rPr>
          <w:rFonts w:eastAsiaTheme="minorHAnsi"/>
          <w:lang w:val="es-MX" w:eastAsia="en-US"/>
        </w:rPr>
        <w:t>Student</w:t>
      </w:r>
      <w:proofErr w:type="spellEnd"/>
      <w:r w:rsidRPr="00B25B13">
        <w:rPr>
          <w:rFonts w:eastAsiaTheme="minorHAnsi"/>
          <w:lang w:val="es-MX" w:eastAsia="en-US"/>
        </w:rPr>
        <w:t xml:space="preserve">. Las variables que no presentaron distribución normal se expresaron en mediana y rango </w:t>
      </w:r>
      <w:proofErr w:type="spellStart"/>
      <w:r w:rsidRPr="00B25B13">
        <w:rPr>
          <w:rFonts w:eastAsiaTheme="minorHAnsi"/>
          <w:lang w:val="es-MX" w:eastAsia="en-US"/>
        </w:rPr>
        <w:t>intercuartil</w:t>
      </w:r>
      <w:proofErr w:type="spellEnd"/>
      <w:r w:rsidRPr="00B25B13">
        <w:rPr>
          <w:rFonts w:eastAsiaTheme="minorHAnsi"/>
          <w:lang w:val="es-MX" w:eastAsia="en-US"/>
        </w:rPr>
        <w:t xml:space="preserve"> y se realizó la comparación con el test U de Mann Whitney</w:t>
      </w:r>
      <w:r w:rsidRPr="00B25B13">
        <w:rPr>
          <w:rFonts w:eastAsiaTheme="minorHAnsi"/>
          <w:iCs/>
          <w:lang w:val="es-MX" w:eastAsia="en-US"/>
        </w:rPr>
        <w:t>.</w:t>
      </w:r>
    </w:p>
    <w:p w14:paraId="3192C512"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Para determinar las diferencias entre los grupos establecidos según variables cualitativas se utilizó el test estadístico </w:t>
      </w:r>
      <w:r w:rsidRPr="00B25B13">
        <w:rPr>
          <w:rFonts w:eastAsiaTheme="minorHAnsi"/>
          <w:i/>
          <w:iCs/>
          <w:lang w:val="es-MX" w:eastAsia="en-US"/>
        </w:rPr>
        <w:t xml:space="preserve">ji </w:t>
      </w:r>
      <w:r w:rsidRPr="00B25B13">
        <w:rPr>
          <w:rFonts w:eastAsiaTheme="minorHAnsi"/>
          <w:lang w:val="es-MX" w:eastAsia="en-US"/>
        </w:rPr>
        <w:t xml:space="preserve">cuadrado basado en su hipótesis de homogeneidad. </w:t>
      </w:r>
    </w:p>
    <w:p w14:paraId="669F15A9" w14:textId="77777777" w:rsidR="00B25B13" w:rsidRPr="00B25B13" w:rsidRDefault="00B25B13" w:rsidP="00B25B13">
      <w:pPr>
        <w:spacing w:line="360" w:lineRule="auto"/>
        <w:jc w:val="both"/>
        <w:rPr>
          <w:rFonts w:eastAsiaTheme="minorHAnsi"/>
          <w:vertAlign w:val="superscript"/>
          <w:lang w:val="es-MX" w:eastAsia="en-US"/>
        </w:rPr>
      </w:pPr>
      <w:r w:rsidRPr="00B25B13">
        <w:rPr>
          <w:rFonts w:eastAsiaTheme="minorHAnsi"/>
          <w:lang w:val="es-MX" w:eastAsia="en-US"/>
        </w:rPr>
        <w:t xml:space="preserve">Luego, se implementó un análisis multivariado de regresión logística binaria para determinar las variables que constituyeron factores pronósticos de mortalidad. El proceso de selección de las variables para la inclusión en la regresión logística se realizó teniendo en cuenta la significación estadística de los </w:t>
      </w:r>
      <w:r w:rsidRPr="00B25B13">
        <w:rPr>
          <w:rFonts w:eastAsiaTheme="minorHAnsi"/>
          <w:lang w:val="es-MX" w:eastAsia="en-US"/>
        </w:rPr>
        <w:lastRenderedPageBreak/>
        <w:t xml:space="preserve">atributos en el análisis </w:t>
      </w:r>
      <w:proofErr w:type="spellStart"/>
      <w:r w:rsidRPr="00B25B13">
        <w:rPr>
          <w:rFonts w:eastAsiaTheme="minorHAnsi"/>
          <w:lang w:val="es-MX" w:eastAsia="en-US"/>
        </w:rPr>
        <w:t>univariado</w:t>
      </w:r>
      <w:proofErr w:type="spellEnd"/>
      <w:r w:rsidRPr="00B25B13">
        <w:rPr>
          <w:rFonts w:eastAsiaTheme="minorHAnsi"/>
          <w:lang w:val="es-MX" w:eastAsia="en-US"/>
        </w:rPr>
        <w:t xml:space="preserve"> y aquellas variables que la literatura plantea como factores pronósticos de mortalidad; así se evitó el sesgo de confusión. Luego, aquellas variables que presentaron problemas de colinealidad no se incluyeron en el modelo. Por cada variable independiente que se añadió al modelo se tuvo en cuenta 10 frecuencias de la variable dependiente mortalidad.</w:t>
      </w:r>
      <w:r w:rsidRPr="00B25B13">
        <w:rPr>
          <w:rFonts w:eastAsiaTheme="minorHAnsi"/>
          <w:vertAlign w:val="superscript"/>
          <w:lang w:val="es-MX" w:eastAsia="en-US"/>
        </w:rPr>
        <w:t>(15)</w:t>
      </w:r>
    </w:p>
    <w:p w14:paraId="000ED13C"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Se trabajó con una confiabilidad del 95 %.</w:t>
      </w:r>
    </w:p>
    <w:p w14:paraId="537DA04B" w14:textId="77777777" w:rsidR="00B25B13" w:rsidRPr="00B25B13" w:rsidRDefault="00B25B13" w:rsidP="00B25B13">
      <w:pPr>
        <w:spacing w:line="360" w:lineRule="auto"/>
        <w:jc w:val="center"/>
        <w:rPr>
          <w:rFonts w:eastAsiaTheme="minorHAnsi"/>
          <w:b/>
          <w:bCs/>
          <w:iCs/>
          <w:lang w:val="es-MX" w:eastAsia="en-US"/>
        </w:rPr>
      </w:pPr>
      <w:r w:rsidRPr="00B25B13">
        <w:rPr>
          <w:rFonts w:eastAsiaTheme="minorHAnsi"/>
          <w:b/>
          <w:bCs/>
          <w:iCs/>
          <w:sz w:val="28"/>
          <w:szCs w:val="28"/>
          <w:lang w:val="es-MX" w:eastAsia="en-US"/>
        </w:rPr>
        <w:t>Diseño de la escala predictiva</w:t>
      </w:r>
      <w:r w:rsidRPr="00B25B13">
        <w:rPr>
          <w:rFonts w:eastAsiaTheme="minorHAnsi"/>
          <w:iCs/>
          <w:vertAlign w:val="superscript"/>
          <w:lang w:val="es-MX" w:eastAsia="en-US"/>
        </w:rPr>
        <w:t>(16)</w:t>
      </w:r>
    </w:p>
    <w:p w14:paraId="157B519D"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A partir de los resultados de la regresión logística, se tomaron como pesos o ponderaciones para cada variable, los </w:t>
      </w:r>
      <w:proofErr w:type="spellStart"/>
      <w:r w:rsidRPr="00B25B13">
        <w:rPr>
          <w:rFonts w:eastAsiaTheme="minorHAnsi"/>
          <w:i/>
          <w:lang w:val="es-MX" w:eastAsia="en-US"/>
        </w:rPr>
        <w:t>odds</w:t>
      </w:r>
      <w:proofErr w:type="spellEnd"/>
      <w:r w:rsidRPr="00B25B13">
        <w:rPr>
          <w:rFonts w:eastAsiaTheme="minorHAnsi"/>
          <w:i/>
          <w:lang w:val="es-MX" w:eastAsia="en-US"/>
        </w:rPr>
        <w:t xml:space="preserve"> ratios </w:t>
      </w:r>
      <w:r w:rsidRPr="00B25B13">
        <w:rPr>
          <w:rFonts w:eastAsiaTheme="minorHAnsi"/>
          <w:iCs/>
          <w:lang w:val="es-MX" w:eastAsia="en-US"/>
        </w:rPr>
        <w:t>(OR)</w:t>
      </w:r>
      <w:r w:rsidRPr="00B25B13">
        <w:rPr>
          <w:rFonts w:eastAsiaTheme="minorHAnsi"/>
          <w:lang w:val="es-MX" w:eastAsia="en-US"/>
        </w:rPr>
        <w:t xml:space="preserve"> redondeados a una sola cifra, OR= </w:t>
      </w:r>
      <w:proofErr w:type="spellStart"/>
      <w:r w:rsidRPr="00B25B13">
        <w:rPr>
          <w:rFonts w:eastAsiaTheme="minorHAnsi"/>
          <w:lang w:val="es-MX" w:eastAsia="en-US"/>
        </w:rPr>
        <w:t>Exp</w:t>
      </w:r>
      <w:proofErr w:type="spellEnd"/>
      <w:r w:rsidRPr="00B25B13">
        <w:rPr>
          <w:rFonts w:eastAsiaTheme="minorHAnsi"/>
          <w:lang w:val="es-MX" w:eastAsia="en-US"/>
        </w:rPr>
        <w:t xml:space="preserve"> (B); de esta forma, la escala predictiva resultante quedó compuesta por un índice global en forma de una combinación lineal: I= x1w1+ x2w2+…+</w:t>
      </w:r>
      <w:proofErr w:type="spellStart"/>
      <w:r w:rsidRPr="00B25B13">
        <w:rPr>
          <w:rFonts w:eastAsiaTheme="minorHAnsi"/>
          <w:lang w:val="es-MX" w:eastAsia="en-US"/>
        </w:rPr>
        <w:t>xkwk</w:t>
      </w:r>
      <w:proofErr w:type="spellEnd"/>
      <w:r w:rsidRPr="00B25B13">
        <w:rPr>
          <w:rFonts w:eastAsiaTheme="minorHAnsi"/>
          <w:lang w:val="es-MX" w:eastAsia="en-US"/>
        </w:rPr>
        <w:t xml:space="preserve">, donde I constituye la escala propuesta; k, el número de variables, </w:t>
      </w:r>
      <w:proofErr w:type="spellStart"/>
      <w:r w:rsidRPr="00B25B13">
        <w:rPr>
          <w:rFonts w:eastAsiaTheme="minorHAnsi"/>
          <w:lang w:val="es-MX" w:eastAsia="en-US"/>
        </w:rPr>
        <w:t>xk</w:t>
      </w:r>
      <w:proofErr w:type="spellEnd"/>
      <w:r w:rsidRPr="00B25B13">
        <w:rPr>
          <w:rFonts w:eastAsiaTheme="minorHAnsi"/>
          <w:lang w:val="es-MX" w:eastAsia="en-US"/>
        </w:rPr>
        <w:t xml:space="preserve"> es la variable predictiva; y </w:t>
      </w:r>
      <w:proofErr w:type="spellStart"/>
      <w:r w:rsidRPr="00B25B13">
        <w:rPr>
          <w:rFonts w:eastAsiaTheme="minorHAnsi"/>
          <w:lang w:val="es-MX" w:eastAsia="en-US"/>
        </w:rPr>
        <w:t>wk</w:t>
      </w:r>
      <w:proofErr w:type="spellEnd"/>
      <w:r w:rsidRPr="00B25B13">
        <w:rPr>
          <w:rFonts w:eastAsiaTheme="minorHAnsi"/>
          <w:lang w:val="es-MX" w:eastAsia="en-US"/>
        </w:rPr>
        <w:t xml:space="preserve">, el peso escogido para dicha variable en la escala.  </w:t>
      </w:r>
    </w:p>
    <w:p w14:paraId="36F6B885"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Se calculó el valor de la escala predictiva para cada paciente, y con el propósito de buscar estratos de riesgos diferentes, se procedió a determinar los percentiles 25 y 50 de la distribución empírica de los valores de la escala.</w:t>
      </w:r>
      <w:r w:rsidRPr="00B25B13">
        <w:rPr>
          <w:rFonts w:eastAsiaTheme="minorHAnsi"/>
          <w:vertAlign w:val="superscript"/>
          <w:lang w:val="es-MX" w:eastAsia="en-US"/>
        </w:rPr>
        <w:t xml:space="preserve">(16) </w:t>
      </w:r>
      <w:r w:rsidRPr="00B25B13">
        <w:rPr>
          <w:rFonts w:eastAsiaTheme="minorHAnsi"/>
          <w:lang w:val="es-MX" w:eastAsia="en-US"/>
        </w:rPr>
        <w:t>Quedaron conformadas 3 categorías: riesgo bajo, riesgo mediano y riesgo alto.</w:t>
      </w:r>
    </w:p>
    <w:p w14:paraId="3211A0E8"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Luego se evaluó la capacidad discriminatoria de la herramienta confeccionada mediante la estimación del área bajo la curva del estadístico C. Además, se evaluaron las curvas de supervivencia a los 6 meses según la puntuación de la escala obtenida por cada paciente, las medias de supervivencia se compararon mediante el </w:t>
      </w:r>
      <w:r w:rsidRPr="00B25B13">
        <w:rPr>
          <w:rFonts w:eastAsiaTheme="minorHAnsi"/>
          <w:iCs/>
          <w:lang w:val="es-MX" w:eastAsia="en-US"/>
        </w:rPr>
        <w:t xml:space="preserve">test Log-Rank. </w:t>
      </w:r>
    </w:p>
    <w:p w14:paraId="6956AEE8" w14:textId="77777777" w:rsidR="00B25B13" w:rsidRPr="00B25B13" w:rsidRDefault="00B25B13" w:rsidP="00B25B13">
      <w:pPr>
        <w:spacing w:line="360" w:lineRule="auto"/>
        <w:jc w:val="center"/>
        <w:rPr>
          <w:b/>
          <w:bCs/>
          <w:sz w:val="28"/>
          <w:szCs w:val="28"/>
          <w:lang w:val="es-MX" w:eastAsia="es-ES"/>
        </w:rPr>
      </w:pPr>
      <w:r w:rsidRPr="00B25B13">
        <w:rPr>
          <w:b/>
          <w:bCs/>
          <w:sz w:val="28"/>
          <w:szCs w:val="28"/>
          <w:lang w:val="es-MX" w:eastAsia="es-ES"/>
        </w:rPr>
        <w:t>Aspectos éticos</w:t>
      </w:r>
    </w:p>
    <w:p w14:paraId="3D80F730" w14:textId="77777777" w:rsidR="00B25B13" w:rsidRPr="00B25B13" w:rsidRDefault="00B25B13" w:rsidP="00B25B13">
      <w:pPr>
        <w:spacing w:line="360" w:lineRule="auto"/>
        <w:jc w:val="both"/>
        <w:rPr>
          <w:lang w:val="es-MX" w:eastAsia="es-ES"/>
        </w:rPr>
      </w:pPr>
      <w:r w:rsidRPr="00B25B13">
        <w:rPr>
          <w:lang w:val="es-MX" w:eastAsia="es-ES"/>
        </w:rPr>
        <w:t xml:space="preserve">Se cumplió con las normas éticas de la Declaración de </w:t>
      </w:r>
      <w:r w:rsidRPr="00B25B13">
        <w:rPr>
          <w:i/>
          <w:lang w:val="es-MX" w:eastAsia="es-ES"/>
        </w:rPr>
        <w:t>Helsinki</w:t>
      </w:r>
      <w:r w:rsidRPr="00B25B13">
        <w:rPr>
          <w:lang w:val="es-MX" w:eastAsia="es-ES"/>
        </w:rPr>
        <w:t>.</w:t>
      </w:r>
      <w:r w:rsidRPr="00B25B13">
        <w:rPr>
          <w:vertAlign w:val="superscript"/>
          <w:lang w:val="es-MX" w:eastAsia="es-ES"/>
        </w:rPr>
        <w:t>(17)</w:t>
      </w:r>
      <w:r w:rsidRPr="00B25B13">
        <w:rPr>
          <w:lang w:val="es-MX" w:eastAsia="es-ES"/>
        </w:rPr>
        <w:t xml:space="preserve"> Se utilizaron las historias clínicas, y otros documentos que pudieran ofrecer datos de relevancia para la realización de la investigación. Además, la investigación fue aprobada por el comité de ética de la provincia Las Tunas.</w:t>
      </w:r>
    </w:p>
    <w:p w14:paraId="1797BE69" w14:textId="77777777" w:rsidR="00B25B13" w:rsidRPr="00B25B13" w:rsidRDefault="00B25B13" w:rsidP="00B25B13">
      <w:pPr>
        <w:spacing w:line="360" w:lineRule="auto"/>
        <w:jc w:val="both"/>
        <w:rPr>
          <w:lang w:val="es-MX" w:eastAsia="es-ES"/>
        </w:rPr>
      </w:pPr>
    </w:p>
    <w:p w14:paraId="3370910C" w14:textId="77777777" w:rsidR="00B25B13" w:rsidRPr="00B25B13" w:rsidRDefault="00B25B13" w:rsidP="00B25B13">
      <w:pPr>
        <w:spacing w:line="360" w:lineRule="auto"/>
        <w:jc w:val="center"/>
        <w:rPr>
          <w:rFonts w:eastAsiaTheme="minorHAnsi"/>
          <w:b/>
          <w:lang w:val="es-ES" w:eastAsia="en-US"/>
        </w:rPr>
      </w:pPr>
    </w:p>
    <w:p w14:paraId="0079371B" w14:textId="77777777" w:rsidR="00B25B13" w:rsidRPr="00B25B13" w:rsidRDefault="00B25B13" w:rsidP="00B25B13">
      <w:pPr>
        <w:spacing w:line="360" w:lineRule="auto"/>
        <w:jc w:val="center"/>
        <w:rPr>
          <w:rFonts w:eastAsiaTheme="minorHAnsi"/>
          <w:b/>
          <w:sz w:val="32"/>
          <w:szCs w:val="32"/>
          <w:lang w:val="es-ES" w:eastAsia="en-US"/>
        </w:rPr>
      </w:pPr>
      <w:r w:rsidRPr="00B25B13">
        <w:rPr>
          <w:rFonts w:eastAsiaTheme="minorHAnsi"/>
          <w:b/>
          <w:sz w:val="32"/>
          <w:szCs w:val="32"/>
          <w:lang w:val="es-ES" w:eastAsia="en-US"/>
        </w:rPr>
        <w:t>RESULTADOS</w:t>
      </w:r>
    </w:p>
    <w:p w14:paraId="4543ADB2"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Como se muestra en la tabla 1 se analizaron 169 pacientes, la mediana de edad global fue de 60 años (RIQ: 19), la mediana de edad fue mayor en el grupo de los pacientes fallecidos (p= 0,000); predominó </w:t>
      </w:r>
      <w:r w:rsidRPr="00B25B13">
        <w:rPr>
          <w:rFonts w:eastAsiaTheme="minorHAnsi"/>
          <w:lang w:val="es-MX" w:eastAsia="en-US"/>
        </w:rPr>
        <w:lastRenderedPageBreak/>
        <w:t xml:space="preserve">el sexo masculino (68,00 %). En cuanto a los antecedentes, el 50 % de los pacientes tenían hipertensión arterial y el 28,40 % diabetes mellitus. La presencia de enfermedad cardiovascular (p= 0,000) y la dislipidemia (p= 0,000) tuvieron diferencias con significación estadística. </w:t>
      </w:r>
    </w:p>
    <w:p w14:paraId="506B69EB" w14:textId="62F7074D" w:rsidR="00B25B13" w:rsidRDefault="00B25B13" w:rsidP="00B25B13">
      <w:pPr>
        <w:spacing w:line="360" w:lineRule="auto"/>
        <w:jc w:val="both"/>
        <w:rPr>
          <w:rFonts w:eastAsiaTheme="minorHAnsi"/>
          <w:lang w:val="es-MX" w:eastAsia="en-US"/>
        </w:rPr>
      </w:pPr>
      <w:r w:rsidRPr="00B25B13">
        <w:rPr>
          <w:rFonts w:eastAsiaTheme="minorHAnsi"/>
          <w:lang w:val="es-MX" w:eastAsia="en-US"/>
        </w:rPr>
        <w:t>En relación con las variables clínicas y exámenes complementarios según ambos grupos, no existieron diferencias significativas entre la tensión arterial sistólica, tensión arterial diastólica, la frecuencia cardíaca y el ácido úrico. Sin embargo, las cifras de hemoglobina (p= 0,000), albúmina (p= 0,000), urea (p= 0,009), creatinina (p= 0,002) y filtrado glomerular (p= 0,000), sí tuvieron diferencias estadísticas significativas. Por otra parte, las medianas de glucemia y colesterol presentaron significación estadística (p= 0,001) y (p= 0,000) respectivamente.</w:t>
      </w:r>
    </w:p>
    <w:p w14:paraId="5FD667DA" w14:textId="77777777" w:rsidR="00A95325" w:rsidRPr="00B25B13" w:rsidRDefault="00A95325" w:rsidP="00A95325">
      <w:pPr>
        <w:spacing w:line="360" w:lineRule="auto"/>
        <w:jc w:val="both"/>
        <w:rPr>
          <w:rFonts w:eastAsiaTheme="minorHAnsi"/>
          <w:lang w:val="es-MX" w:eastAsia="en-US"/>
        </w:rPr>
      </w:pPr>
      <w:r w:rsidRPr="00B25B13">
        <w:rPr>
          <w:rFonts w:eastAsiaTheme="minorHAnsi"/>
          <w:lang w:val="es-MX" w:eastAsia="en-US"/>
        </w:rPr>
        <w:t xml:space="preserve">En la tabla 2 se muestran las variables pronósticas de mortalidad en la regresión logística binaria: edad &gt; 65 años [B= 1,831; p= 0,000; </w:t>
      </w:r>
      <w:proofErr w:type="spellStart"/>
      <w:r w:rsidRPr="00B25B13">
        <w:rPr>
          <w:rFonts w:eastAsiaTheme="minorHAnsi"/>
          <w:lang w:val="es-MX" w:eastAsia="en-US"/>
        </w:rPr>
        <w:t>Exp</w:t>
      </w:r>
      <w:proofErr w:type="spellEnd"/>
      <w:r w:rsidRPr="00B25B13">
        <w:rPr>
          <w:rFonts w:eastAsiaTheme="minorHAnsi"/>
          <w:lang w:val="es-MX" w:eastAsia="en-US"/>
        </w:rPr>
        <w:t xml:space="preserve"> (B)= 2,118], enfermedad cardiovascular [B= 2,831; p= 0,000; </w:t>
      </w:r>
      <w:proofErr w:type="spellStart"/>
      <w:r w:rsidRPr="00B25B13">
        <w:rPr>
          <w:rFonts w:eastAsiaTheme="minorHAnsi"/>
          <w:lang w:val="es-MX" w:eastAsia="en-US"/>
        </w:rPr>
        <w:t>Exp</w:t>
      </w:r>
      <w:proofErr w:type="spellEnd"/>
      <w:r w:rsidRPr="00B25B13">
        <w:rPr>
          <w:rFonts w:eastAsiaTheme="minorHAnsi"/>
          <w:lang w:val="es-MX" w:eastAsia="en-US"/>
        </w:rPr>
        <w:t xml:space="preserve"> (B)= 2,930], albúmina &lt; 35 g/L [B= 1,839; p= 0,000; </w:t>
      </w:r>
      <w:proofErr w:type="spellStart"/>
      <w:r w:rsidRPr="00B25B13">
        <w:rPr>
          <w:rFonts w:eastAsiaTheme="minorHAnsi"/>
          <w:lang w:val="es-MX" w:eastAsia="en-US"/>
        </w:rPr>
        <w:t>Exp</w:t>
      </w:r>
      <w:proofErr w:type="spellEnd"/>
      <w:r w:rsidRPr="00B25B13">
        <w:rPr>
          <w:rFonts w:eastAsiaTheme="minorHAnsi"/>
          <w:lang w:val="es-MX" w:eastAsia="en-US"/>
        </w:rPr>
        <w:t xml:space="preserve"> (B)= 2,166], dislipidemia [B= 1,326; p= 0,027; </w:t>
      </w:r>
      <w:proofErr w:type="spellStart"/>
      <w:r w:rsidRPr="00B25B13">
        <w:rPr>
          <w:rFonts w:eastAsiaTheme="minorHAnsi"/>
          <w:lang w:val="es-MX" w:eastAsia="en-US"/>
        </w:rPr>
        <w:t>Exp</w:t>
      </w:r>
      <w:proofErr w:type="spellEnd"/>
      <w:r w:rsidRPr="00B25B13">
        <w:rPr>
          <w:rFonts w:eastAsiaTheme="minorHAnsi"/>
          <w:lang w:val="es-MX" w:eastAsia="en-US"/>
        </w:rPr>
        <w:t xml:space="preserve"> (B)= 1,458], hemoglobina &lt; 10 g/L [B= 1,600; p= 0,015; </w:t>
      </w:r>
      <w:proofErr w:type="spellStart"/>
      <w:r w:rsidRPr="00B25B13">
        <w:rPr>
          <w:rFonts w:eastAsiaTheme="minorHAnsi"/>
          <w:lang w:val="es-MX" w:eastAsia="en-US"/>
        </w:rPr>
        <w:t>Exp</w:t>
      </w:r>
      <w:proofErr w:type="spellEnd"/>
      <w:r w:rsidRPr="00B25B13">
        <w:rPr>
          <w:rFonts w:eastAsiaTheme="minorHAnsi"/>
          <w:lang w:val="es-MX" w:eastAsia="en-US"/>
        </w:rPr>
        <w:t xml:space="preserve"> (B)= 1,324] y ácido úrico &gt; 390 mmol/L [B= 1,243; p= 0,001; </w:t>
      </w:r>
      <w:proofErr w:type="spellStart"/>
      <w:r w:rsidRPr="00B25B13">
        <w:rPr>
          <w:rFonts w:eastAsiaTheme="minorHAnsi"/>
          <w:lang w:val="es-MX" w:eastAsia="en-US"/>
        </w:rPr>
        <w:t>Exp</w:t>
      </w:r>
      <w:proofErr w:type="spellEnd"/>
      <w:r w:rsidRPr="00B25B13">
        <w:rPr>
          <w:rFonts w:eastAsiaTheme="minorHAnsi"/>
          <w:lang w:val="es-MX" w:eastAsia="en-US"/>
        </w:rPr>
        <w:t xml:space="preserve"> (B)= 1,420]. Entre las pruebas utilizadas para evaluar el rendimiento del modelo de predicción, se muestra buena calibración. El valor del R cuadrado de </w:t>
      </w:r>
      <w:proofErr w:type="spellStart"/>
      <w:r w:rsidRPr="00B25B13">
        <w:rPr>
          <w:rFonts w:eastAsiaTheme="minorHAnsi"/>
          <w:lang w:val="es-MX" w:eastAsia="en-US"/>
        </w:rPr>
        <w:t>Nagelkerke</w:t>
      </w:r>
      <w:proofErr w:type="spellEnd"/>
      <w:r w:rsidRPr="00B25B13">
        <w:rPr>
          <w:rFonts w:eastAsiaTheme="minorHAnsi"/>
          <w:lang w:val="es-MX" w:eastAsia="en-US"/>
        </w:rPr>
        <w:t xml:space="preserve"> igual a 0,803 traduce que el 80,30 % de la varianza de la variable dependiente es explicada por el modelo.</w:t>
      </w:r>
    </w:p>
    <w:p w14:paraId="39DFF568" w14:textId="77777777" w:rsidR="00A95325" w:rsidRPr="00B25B13" w:rsidRDefault="00A95325" w:rsidP="00B25B13">
      <w:pPr>
        <w:spacing w:line="360" w:lineRule="auto"/>
        <w:jc w:val="both"/>
        <w:rPr>
          <w:rFonts w:eastAsiaTheme="minorHAnsi"/>
          <w:lang w:val="es-MX" w:eastAsia="en-US"/>
        </w:rPr>
      </w:pPr>
    </w:p>
    <w:p w14:paraId="43CB4306" w14:textId="033F652F" w:rsidR="00B25B13" w:rsidRDefault="00B25B13" w:rsidP="00B25B13">
      <w:pPr>
        <w:spacing w:line="360" w:lineRule="auto"/>
        <w:jc w:val="both"/>
        <w:rPr>
          <w:rFonts w:eastAsiaTheme="minorHAnsi"/>
          <w:lang w:val="es-MX" w:eastAsia="en-US"/>
        </w:rPr>
      </w:pPr>
    </w:p>
    <w:p w14:paraId="3219625D" w14:textId="77777777" w:rsidR="00A95325" w:rsidRPr="00B25B13" w:rsidRDefault="00A95325" w:rsidP="00B25B13">
      <w:pPr>
        <w:spacing w:line="360" w:lineRule="auto"/>
        <w:jc w:val="both"/>
        <w:rPr>
          <w:rFonts w:eastAsiaTheme="minorHAnsi"/>
          <w:lang w:val="es-MX" w:eastAsia="en-US"/>
        </w:rPr>
      </w:pPr>
    </w:p>
    <w:p w14:paraId="1DF285D4" w14:textId="77777777" w:rsidR="00A95325" w:rsidRDefault="00A95325">
      <w:pPr>
        <w:rPr>
          <w:rFonts w:eastAsiaTheme="minorHAnsi"/>
          <w:b/>
          <w:sz w:val="22"/>
          <w:szCs w:val="22"/>
          <w:lang w:val="es-MX" w:eastAsia="en-US"/>
        </w:rPr>
      </w:pPr>
      <w:r>
        <w:rPr>
          <w:rFonts w:eastAsiaTheme="minorHAnsi"/>
          <w:b/>
          <w:sz w:val="22"/>
          <w:szCs w:val="22"/>
          <w:lang w:val="es-MX" w:eastAsia="en-US"/>
        </w:rPr>
        <w:br w:type="page"/>
      </w:r>
    </w:p>
    <w:p w14:paraId="67D7112C" w14:textId="12DF5CA9" w:rsidR="00B25B13" w:rsidRPr="00B25B13" w:rsidRDefault="00B25B13" w:rsidP="00B25B13">
      <w:pPr>
        <w:spacing w:line="360" w:lineRule="auto"/>
        <w:jc w:val="center"/>
        <w:rPr>
          <w:rFonts w:eastAsiaTheme="minorHAnsi"/>
          <w:lang w:val="es-MX" w:eastAsia="en-US"/>
        </w:rPr>
      </w:pPr>
      <w:r w:rsidRPr="00B25B13">
        <w:rPr>
          <w:rFonts w:eastAsiaTheme="minorHAnsi"/>
          <w:b/>
          <w:sz w:val="22"/>
          <w:szCs w:val="22"/>
          <w:lang w:val="es-MX" w:eastAsia="en-US"/>
        </w:rPr>
        <w:lastRenderedPageBreak/>
        <w:t xml:space="preserve">Tabla 1 - </w:t>
      </w:r>
      <w:r w:rsidRPr="00B25B13">
        <w:rPr>
          <w:rFonts w:eastAsiaTheme="minorHAnsi"/>
          <w:sz w:val="22"/>
          <w:szCs w:val="22"/>
          <w:lang w:val="es-MX" w:eastAsia="en-US"/>
        </w:rPr>
        <w:t>Distribución de los pacientes según características epidemiológicas, clínicas y exámenes complementarios</w:t>
      </w:r>
    </w:p>
    <w:tbl>
      <w:tblPr>
        <w:tblW w:w="7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559"/>
        <w:gridCol w:w="1560"/>
        <w:gridCol w:w="1559"/>
        <w:gridCol w:w="900"/>
      </w:tblGrid>
      <w:tr w:rsidR="00B25B13" w:rsidRPr="00B25B13" w14:paraId="03CECBB1" w14:textId="77777777" w:rsidTr="005039FC">
        <w:trPr>
          <w:trHeight w:val="203"/>
          <w:jc w:val="center"/>
        </w:trPr>
        <w:tc>
          <w:tcPr>
            <w:tcW w:w="2405" w:type="dxa"/>
            <w:vAlign w:val="center"/>
          </w:tcPr>
          <w:p w14:paraId="40BAB693"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b/>
                <w:sz w:val="18"/>
                <w:szCs w:val="18"/>
                <w:lang w:val="es-MX" w:eastAsia="en-US"/>
              </w:rPr>
              <w:t>Variables</w:t>
            </w:r>
          </w:p>
        </w:tc>
        <w:tc>
          <w:tcPr>
            <w:tcW w:w="1559" w:type="dxa"/>
            <w:vAlign w:val="center"/>
          </w:tcPr>
          <w:p w14:paraId="55FB0D54"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b/>
                <w:sz w:val="18"/>
                <w:szCs w:val="18"/>
                <w:lang w:val="es-MX" w:eastAsia="en-US"/>
              </w:rPr>
              <w:t>Total n= 169</w:t>
            </w:r>
          </w:p>
        </w:tc>
        <w:tc>
          <w:tcPr>
            <w:tcW w:w="1560" w:type="dxa"/>
            <w:vAlign w:val="center"/>
          </w:tcPr>
          <w:p w14:paraId="1B3B26E2"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b/>
                <w:sz w:val="18"/>
                <w:szCs w:val="18"/>
                <w:lang w:val="es-MX" w:eastAsia="en-US"/>
              </w:rPr>
              <w:t>Fallecidos n</w:t>
            </w:r>
            <w:r w:rsidRPr="00B25B13">
              <w:rPr>
                <w:rFonts w:eastAsiaTheme="minorHAnsi"/>
                <w:b/>
                <w:sz w:val="18"/>
                <w:szCs w:val="18"/>
                <w:vertAlign w:val="subscript"/>
                <w:lang w:val="es-MX" w:eastAsia="en-US"/>
              </w:rPr>
              <w:t>1</w:t>
            </w:r>
            <w:r w:rsidRPr="00B25B13">
              <w:rPr>
                <w:rFonts w:eastAsiaTheme="minorHAnsi"/>
                <w:b/>
                <w:sz w:val="18"/>
                <w:szCs w:val="18"/>
                <w:lang w:val="es-MX" w:eastAsia="en-US"/>
              </w:rPr>
              <w:t>= 62</w:t>
            </w:r>
          </w:p>
        </w:tc>
        <w:tc>
          <w:tcPr>
            <w:tcW w:w="1559" w:type="dxa"/>
            <w:vAlign w:val="center"/>
          </w:tcPr>
          <w:p w14:paraId="474F7E00"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b/>
                <w:sz w:val="18"/>
                <w:szCs w:val="18"/>
                <w:lang w:val="es-MX" w:eastAsia="en-US"/>
              </w:rPr>
              <w:t>Vivos n</w:t>
            </w:r>
            <w:r w:rsidRPr="00B25B13">
              <w:rPr>
                <w:rFonts w:eastAsiaTheme="minorHAnsi"/>
                <w:b/>
                <w:sz w:val="18"/>
                <w:szCs w:val="18"/>
                <w:vertAlign w:val="subscript"/>
                <w:lang w:val="es-MX" w:eastAsia="en-US"/>
              </w:rPr>
              <w:t>2</w:t>
            </w:r>
            <w:r w:rsidRPr="00B25B13">
              <w:rPr>
                <w:rFonts w:eastAsiaTheme="minorHAnsi"/>
                <w:b/>
                <w:sz w:val="18"/>
                <w:szCs w:val="18"/>
                <w:lang w:val="es-MX" w:eastAsia="en-US"/>
              </w:rPr>
              <w:t>= 107</w:t>
            </w:r>
          </w:p>
        </w:tc>
        <w:tc>
          <w:tcPr>
            <w:tcW w:w="900" w:type="dxa"/>
            <w:vAlign w:val="center"/>
          </w:tcPr>
          <w:p w14:paraId="4FA18DEE"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b/>
                <w:sz w:val="18"/>
                <w:szCs w:val="18"/>
                <w:lang w:val="es-MX" w:eastAsia="en-US"/>
              </w:rPr>
              <w:t>p</w:t>
            </w:r>
          </w:p>
        </w:tc>
      </w:tr>
      <w:tr w:rsidR="00B25B13" w:rsidRPr="00B25B13" w14:paraId="09633293" w14:textId="77777777" w:rsidTr="005039FC">
        <w:trPr>
          <w:trHeight w:val="165"/>
          <w:jc w:val="center"/>
        </w:trPr>
        <w:tc>
          <w:tcPr>
            <w:tcW w:w="2405" w:type="dxa"/>
            <w:vAlign w:val="center"/>
          </w:tcPr>
          <w:p w14:paraId="2F68EBD1"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Sexo masculino</w:t>
            </w:r>
          </w:p>
        </w:tc>
        <w:tc>
          <w:tcPr>
            <w:tcW w:w="1559" w:type="dxa"/>
            <w:vAlign w:val="center"/>
          </w:tcPr>
          <w:p w14:paraId="672B7256"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115 (68,00 %)</w:t>
            </w:r>
          </w:p>
        </w:tc>
        <w:tc>
          <w:tcPr>
            <w:tcW w:w="1560" w:type="dxa"/>
            <w:vAlign w:val="center"/>
          </w:tcPr>
          <w:p w14:paraId="08CE3D0A"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40 (64,50 %)</w:t>
            </w:r>
          </w:p>
        </w:tc>
        <w:tc>
          <w:tcPr>
            <w:tcW w:w="1559" w:type="dxa"/>
            <w:vAlign w:val="center"/>
          </w:tcPr>
          <w:p w14:paraId="6B085C68"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75 (70,10 %)</w:t>
            </w:r>
          </w:p>
        </w:tc>
        <w:tc>
          <w:tcPr>
            <w:tcW w:w="900" w:type="dxa"/>
            <w:vAlign w:val="center"/>
          </w:tcPr>
          <w:p w14:paraId="3ACDEF54"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0,454</w:t>
            </w:r>
          </w:p>
        </w:tc>
      </w:tr>
      <w:tr w:rsidR="00B25B13" w:rsidRPr="00B25B13" w14:paraId="0D604968" w14:textId="77777777" w:rsidTr="005039FC">
        <w:trPr>
          <w:jc w:val="center"/>
        </w:trPr>
        <w:tc>
          <w:tcPr>
            <w:tcW w:w="2405" w:type="dxa"/>
            <w:vAlign w:val="center"/>
          </w:tcPr>
          <w:p w14:paraId="3D97E8B3"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 xml:space="preserve">Edad </w:t>
            </w:r>
            <w:r w:rsidRPr="00B25B13">
              <w:rPr>
                <w:rFonts w:eastAsiaTheme="minorHAnsi"/>
                <w:sz w:val="18"/>
                <w:szCs w:val="18"/>
                <w:vertAlign w:val="superscript"/>
                <w:lang w:val="es-MX" w:eastAsia="en-US"/>
              </w:rPr>
              <w:t>a</w:t>
            </w:r>
          </w:p>
        </w:tc>
        <w:tc>
          <w:tcPr>
            <w:tcW w:w="1559" w:type="dxa"/>
            <w:vAlign w:val="center"/>
          </w:tcPr>
          <w:p w14:paraId="07C6F6D1"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60 (19)</w:t>
            </w:r>
          </w:p>
        </w:tc>
        <w:tc>
          <w:tcPr>
            <w:tcW w:w="1560" w:type="dxa"/>
            <w:vAlign w:val="center"/>
          </w:tcPr>
          <w:p w14:paraId="76F776F4"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65 (13)</w:t>
            </w:r>
          </w:p>
        </w:tc>
        <w:tc>
          <w:tcPr>
            <w:tcW w:w="1559" w:type="dxa"/>
            <w:vAlign w:val="center"/>
          </w:tcPr>
          <w:p w14:paraId="0E9B7657"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54 (21)</w:t>
            </w:r>
          </w:p>
        </w:tc>
        <w:tc>
          <w:tcPr>
            <w:tcW w:w="900" w:type="dxa"/>
            <w:vAlign w:val="center"/>
          </w:tcPr>
          <w:p w14:paraId="7D179948" w14:textId="77777777" w:rsidR="00B25B13" w:rsidRPr="00B25B13" w:rsidRDefault="00B25B13" w:rsidP="00B25B13">
            <w:pPr>
              <w:suppressAutoHyphens/>
              <w:spacing w:line="360" w:lineRule="auto"/>
              <w:contextualSpacing/>
              <w:jc w:val="center"/>
              <w:rPr>
                <w:rFonts w:eastAsiaTheme="minorHAnsi"/>
                <w:sz w:val="18"/>
                <w:szCs w:val="18"/>
                <w:vertAlign w:val="superscript"/>
                <w:lang w:val="es-MX" w:eastAsia="en-US"/>
              </w:rPr>
            </w:pPr>
            <w:r w:rsidRPr="00B25B13">
              <w:rPr>
                <w:rFonts w:eastAsiaTheme="minorHAnsi"/>
                <w:sz w:val="18"/>
                <w:szCs w:val="18"/>
                <w:lang w:val="es-MX" w:eastAsia="en-US"/>
              </w:rPr>
              <w:t>0,000</w:t>
            </w:r>
            <w:r w:rsidRPr="00B25B13">
              <w:rPr>
                <w:rFonts w:eastAsiaTheme="minorHAnsi"/>
                <w:sz w:val="18"/>
                <w:szCs w:val="18"/>
                <w:vertAlign w:val="superscript"/>
                <w:lang w:val="es-MX" w:eastAsia="en-US"/>
              </w:rPr>
              <w:t>b</w:t>
            </w:r>
          </w:p>
        </w:tc>
      </w:tr>
      <w:tr w:rsidR="00B25B13" w:rsidRPr="00B25B13" w14:paraId="548FB0DC" w14:textId="77777777" w:rsidTr="005039FC">
        <w:trPr>
          <w:jc w:val="center"/>
        </w:trPr>
        <w:tc>
          <w:tcPr>
            <w:tcW w:w="2405" w:type="dxa"/>
            <w:vAlign w:val="center"/>
          </w:tcPr>
          <w:p w14:paraId="41ECE423"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Enfermedad cardiovascular</w:t>
            </w:r>
          </w:p>
        </w:tc>
        <w:tc>
          <w:tcPr>
            <w:tcW w:w="1559" w:type="dxa"/>
            <w:vAlign w:val="center"/>
          </w:tcPr>
          <w:p w14:paraId="37F8E5E3"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41 (24,30 %)</w:t>
            </w:r>
          </w:p>
        </w:tc>
        <w:tc>
          <w:tcPr>
            <w:tcW w:w="1560" w:type="dxa"/>
            <w:vAlign w:val="center"/>
          </w:tcPr>
          <w:p w14:paraId="629800C4"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36 (58,10 %)</w:t>
            </w:r>
          </w:p>
        </w:tc>
        <w:tc>
          <w:tcPr>
            <w:tcW w:w="1559" w:type="dxa"/>
            <w:vAlign w:val="center"/>
          </w:tcPr>
          <w:p w14:paraId="7C624E18"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5 (4,7 %)</w:t>
            </w:r>
          </w:p>
        </w:tc>
        <w:tc>
          <w:tcPr>
            <w:tcW w:w="900" w:type="dxa"/>
            <w:vAlign w:val="center"/>
          </w:tcPr>
          <w:p w14:paraId="625AE853"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0,000</w:t>
            </w:r>
            <w:r w:rsidRPr="00B25B13">
              <w:rPr>
                <w:rFonts w:eastAsiaTheme="minorHAnsi"/>
                <w:sz w:val="18"/>
                <w:szCs w:val="18"/>
                <w:vertAlign w:val="superscript"/>
                <w:lang w:val="es-MX" w:eastAsia="en-US"/>
              </w:rPr>
              <w:t>b</w:t>
            </w:r>
          </w:p>
        </w:tc>
      </w:tr>
      <w:tr w:rsidR="00B25B13" w:rsidRPr="00B25B13" w14:paraId="6AD1E9AF" w14:textId="77777777" w:rsidTr="005039FC">
        <w:trPr>
          <w:jc w:val="center"/>
        </w:trPr>
        <w:tc>
          <w:tcPr>
            <w:tcW w:w="2405" w:type="dxa"/>
            <w:vAlign w:val="center"/>
          </w:tcPr>
          <w:p w14:paraId="2780D9AA"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Diabetes mellitus</w:t>
            </w:r>
          </w:p>
        </w:tc>
        <w:tc>
          <w:tcPr>
            <w:tcW w:w="1559" w:type="dxa"/>
            <w:vAlign w:val="center"/>
          </w:tcPr>
          <w:p w14:paraId="152B1E42"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48 (28,40 %)</w:t>
            </w:r>
          </w:p>
        </w:tc>
        <w:tc>
          <w:tcPr>
            <w:tcW w:w="1560" w:type="dxa"/>
            <w:vAlign w:val="center"/>
          </w:tcPr>
          <w:p w14:paraId="3234991A"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22 (35,50 %)</w:t>
            </w:r>
          </w:p>
        </w:tc>
        <w:tc>
          <w:tcPr>
            <w:tcW w:w="1559" w:type="dxa"/>
            <w:vAlign w:val="center"/>
          </w:tcPr>
          <w:p w14:paraId="26E24D18"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26 (24,30 %)</w:t>
            </w:r>
          </w:p>
        </w:tc>
        <w:tc>
          <w:tcPr>
            <w:tcW w:w="900" w:type="dxa"/>
            <w:vAlign w:val="center"/>
          </w:tcPr>
          <w:p w14:paraId="52B4529B"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0,120</w:t>
            </w:r>
          </w:p>
        </w:tc>
      </w:tr>
      <w:tr w:rsidR="00B25B13" w:rsidRPr="00B25B13" w14:paraId="37970586" w14:textId="77777777" w:rsidTr="005039FC">
        <w:trPr>
          <w:jc w:val="center"/>
        </w:trPr>
        <w:tc>
          <w:tcPr>
            <w:tcW w:w="2405" w:type="dxa"/>
            <w:vAlign w:val="center"/>
          </w:tcPr>
          <w:p w14:paraId="11FED590"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Hipertensión arterial</w:t>
            </w:r>
          </w:p>
        </w:tc>
        <w:tc>
          <w:tcPr>
            <w:tcW w:w="1559" w:type="dxa"/>
            <w:vAlign w:val="center"/>
          </w:tcPr>
          <w:p w14:paraId="7853B9DE"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85 (50,30 %)</w:t>
            </w:r>
          </w:p>
        </w:tc>
        <w:tc>
          <w:tcPr>
            <w:tcW w:w="1560" w:type="dxa"/>
            <w:vAlign w:val="center"/>
          </w:tcPr>
          <w:p w14:paraId="3F0E8192"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34 (54,80 %)</w:t>
            </w:r>
          </w:p>
        </w:tc>
        <w:tc>
          <w:tcPr>
            <w:tcW w:w="1559" w:type="dxa"/>
            <w:vAlign w:val="center"/>
          </w:tcPr>
          <w:p w14:paraId="2A8D84B3"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51 (47,70 %)</w:t>
            </w:r>
          </w:p>
        </w:tc>
        <w:tc>
          <w:tcPr>
            <w:tcW w:w="900" w:type="dxa"/>
            <w:vAlign w:val="center"/>
          </w:tcPr>
          <w:p w14:paraId="12288585"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0,369</w:t>
            </w:r>
          </w:p>
        </w:tc>
      </w:tr>
      <w:tr w:rsidR="00B25B13" w:rsidRPr="00B25B13" w14:paraId="589054AF" w14:textId="77777777" w:rsidTr="005039FC">
        <w:trPr>
          <w:jc w:val="center"/>
        </w:trPr>
        <w:tc>
          <w:tcPr>
            <w:tcW w:w="2405" w:type="dxa"/>
            <w:vAlign w:val="center"/>
          </w:tcPr>
          <w:p w14:paraId="37BBC716"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Tabaquismo</w:t>
            </w:r>
          </w:p>
        </w:tc>
        <w:tc>
          <w:tcPr>
            <w:tcW w:w="1559" w:type="dxa"/>
            <w:vAlign w:val="center"/>
          </w:tcPr>
          <w:p w14:paraId="39D175ED"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34 (20,10 %)</w:t>
            </w:r>
          </w:p>
        </w:tc>
        <w:tc>
          <w:tcPr>
            <w:tcW w:w="1560" w:type="dxa"/>
            <w:vAlign w:val="center"/>
          </w:tcPr>
          <w:p w14:paraId="33A5E442"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11 (17,70 %)</w:t>
            </w:r>
          </w:p>
        </w:tc>
        <w:tc>
          <w:tcPr>
            <w:tcW w:w="1559" w:type="dxa"/>
            <w:vAlign w:val="center"/>
          </w:tcPr>
          <w:p w14:paraId="7E3285AC"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23 (21,50 %)</w:t>
            </w:r>
          </w:p>
        </w:tc>
        <w:tc>
          <w:tcPr>
            <w:tcW w:w="900" w:type="dxa"/>
            <w:vAlign w:val="center"/>
          </w:tcPr>
          <w:p w14:paraId="733F258C"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0,557</w:t>
            </w:r>
          </w:p>
        </w:tc>
      </w:tr>
      <w:tr w:rsidR="00B25B13" w:rsidRPr="00B25B13" w14:paraId="5526A886" w14:textId="77777777" w:rsidTr="005039FC">
        <w:trPr>
          <w:jc w:val="center"/>
        </w:trPr>
        <w:tc>
          <w:tcPr>
            <w:tcW w:w="2405" w:type="dxa"/>
            <w:vAlign w:val="center"/>
          </w:tcPr>
          <w:p w14:paraId="340D9BE9"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Dislipidemia</w:t>
            </w:r>
          </w:p>
        </w:tc>
        <w:tc>
          <w:tcPr>
            <w:tcW w:w="1559" w:type="dxa"/>
            <w:vAlign w:val="center"/>
          </w:tcPr>
          <w:p w14:paraId="0923076C"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34 (20,10 %)</w:t>
            </w:r>
          </w:p>
        </w:tc>
        <w:tc>
          <w:tcPr>
            <w:tcW w:w="1560" w:type="dxa"/>
            <w:vAlign w:val="center"/>
          </w:tcPr>
          <w:p w14:paraId="1FE0828B"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25 (40,30 %)</w:t>
            </w:r>
          </w:p>
        </w:tc>
        <w:tc>
          <w:tcPr>
            <w:tcW w:w="1559" w:type="dxa"/>
            <w:vAlign w:val="center"/>
          </w:tcPr>
          <w:p w14:paraId="02FCCCD7"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9 (8,4 %)</w:t>
            </w:r>
          </w:p>
        </w:tc>
        <w:tc>
          <w:tcPr>
            <w:tcW w:w="900" w:type="dxa"/>
            <w:vAlign w:val="center"/>
          </w:tcPr>
          <w:p w14:paraId="374B0C61"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0,000</w:t>
            </w:r>
            <w:r w:rsidRPr="00B25B13">
              <w:rPr>
                <w:rFonts w:eastAsiaTheme="minorHAnsi"/>
                <w:sz w:val="18"/>
                <w:szCs w:val="18"/>
                <w:vertAlign w:val="superscript"/>
                <w:lang w:val="es-MX" w:eastAsia="en-US"/>
              </w:rPr>
              <w:t>b</w:t>
            </w:r>
          </w:p>
        </w:tc>
      </w:tr>
      <w:tr w:rsidR="00B25B13" w:rsidRPr="00B25B13" w14:paraId="487C3EFC" w14:textId="77777777" w:rsidTr="005039FC">
        <w:trPr>
          <w:jc w:val="center"/>
        </w:trPr>
        <w:tc>
          <w:tcPr>
            <w:tcW w:w="2405" w:type="dxa"/>
            <w:vAlign w:val="center"/>
          </w:tcPr>
          <w:p w14:paraId="471C11DE"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Obesidad</w:t>
            </w:r>
          </w:p>
        </w:tc>
        <w:tc>
          <w:tcPr>
            <w:tcW w:w="1559" w:type="dxa"/>
            <w:vAlign w:val="center"/>
          </w:tcPr>
          <w:p w14:paraId="1AE64EC9"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17 (10,10 %)</w:t>
            </w:r>
          </w:p>
        </w:tc>
        <w:tc>
          <w:tcPr>
            <w:tcW w:w="1560" w:type="dxa"/>
            <w:vAlign w:val="center"/>
          </w:tcPr>
          <w:p w14:paraId="10694665"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7 (11,30 %)</w:t>
            </w:r>
          </w:p>
        </w:tc>
        <w:tc>
          <w:tcPr>
            <w:tcW w:w="1559" w:type="dxa"/>
            <w:vAlign w:val="center"/>
          </w:tcPr>
          <w:p w14:paraId="31BE4E35"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10 (9,3 %)</w:t>
            </w:r>
          </w:p>
        </w:tc>
        <w:tc>
          <w:tcPr>
            <w:tcW w:w="900" w:type="dxa"/>
            <w:vAlign w:val="center"/>
          </w:tcPr>
          <w:p w14:paraId="6CCB25F6"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0,685</w:t>
            </w:r>
          </w:p>
        </w:tc>
      </w:tr>
      <w:tr w:rsidR="00B25B13" w:rsidRPr="00B25B13" w14:paraId="31317749" w14:textId="77777777" w:rsidTr="005039FC">
        <w:trPr>
          <w:jc w:val="center"/>
        </w:trPr>
        <w:tc>
          <w:tcPr>
            <w:tcW w:w="2405" w:type="dxa"/>
            <w:vAlign w:val="center"/>
          </w:tcPr>
          <w:p w14:paraId="618923AF"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Desnutrición</w:t>
            </w:r>
          </w:p>
        </w:tc>
        <w:tc>
          <w:tcPr>
            <w:tcW w:w="1559" w:type="dxa"/>
            <w:vAlign w:val="center"/>
          </w:tcPr>
          <w:p w14:paraId="652ADE1E"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45 (26,60 %)</w:t>
            </w:r>
          </w:p>
        </w:tc>
        <w:tc>
          <w:tcPr>
            <w:tcW w:w="1560" w:type="dxa"/>
            <w:vAlign w:val="center"/>
          </w:tcPr>
          <w:p w14:paraId="3898142B"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19 (30,60 %)</w:t>
            </w:r>
          </w:p>
        </w:tc>
        <w:tc>
          <w:tcPr>
            <w:tcW w:w="1559" w:type="dxa"/>
            <w:vAlign w:val="center"/>
          </w:tcPr>
          <w:p w14:paraId="3D4A8558"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26 (24,30 %)</w:t>
            </w:r>
          </w:p>
        </w:tc>
        <w:tc>
          <w:tcPr>
            <w:tcW w:w="900" w:type="dxa"/>
            <w:vAlign w:val="center"/>
          </w:tcPr>
          <w:p w14:paraId="6EEA64FF"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0,368</w:t>
            </w:r>
          </w:p>
        </w:tc>
      </w:tr>
      <w:tr w:rsidR="00B25B13" w:rsidRPr="00B25B13" w14:paraId="44CFE4D1" w14:textId="77777777" w:rsidTr="005039FC">
        <w:trPr>
          <w:jc w:val="center"/>
        </w:trPr>
        <w:tc>
          <w:tcPr>
            <w:tcW w:w="2405" w:type="dxa"/>
            <w:vAlign w:val="center"/>
          </w:tcPr>
          <w:p w14:paraId="51B9EDAE" w14:textId="77777777" w:rsidR="00B25B13" w:rsidRPr="00B25B13" w:rsidRDefault="00B25B13" w:rsidP="00B25B13">
            <w:pPr>
              <w:suppressAutoHyphens/>
              <w:spacing w:line="360" w:lineRule="auto"/>
              <w:contextualSpacing/>
              <w:rPr>
                <w:rFonts w:eastAsiaTheme="minorHAnsi"/>
                <w:sz w:val="18"/>
                <w:szCs w:val="18"/>
                <w:vertAlign w:val="superscript"/>
                <w:lang w:val="es-MX" w:eastAsia="en-US"/>
              </w:rPr>
            </w:pPr>
            <w:r w:rsidRPr="00B25B13">
              <w:rPr>
                <w:rFonts w:eastAsiaTheme="minorHAnsi"/>
                <w:sz w:val="18"/>
                <w:szCs w:val="18"/>
                <w:lang w:val="es-MX" w:eastAsia="en-US"/>
              </w:rPr>
              <w:t xml:space="preserve">Tensión arterial sistólica </w:t>
            </w:r>
            <w:r w:rsidRPr="00B25B13">
              <w:rPr>
                <w:rFonts w:eastAsiaTheme="minorHAnsi"/>
                <w:sz w:val="18"/>
                <w:szCs w:val="18"/>
                <w:vertAlign w:val="superscript"/>
                <w:lang w:val="es-MX" w:eastAsia="en-US"/>
              </w:rPr>
              <w:t>c</w:t>
            </w:r>
          </w:p>
        </w:tc>
        <w:tc>
          <w:tcPr>
            <w:tcW w:w="1559" w:type="dxa"/>
            <w:vAlign w:val="center"/>
          </w:tcPr>
          <w:p w14:paraId="64E014F5"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123,46±14,121</w:t>
            </w:r>
          </w:p>
        </w:tc>
        <w:tc>
          <w:tcPr>
            <w:tcW w:w="1560" w:type="dxa"/>
            <w:vAlign w:val="center"/>
          </w:tcPr>
          <w:p w14:paraId="0390F8AA"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122,42±10,664</w:t>
            </w:r>
          </w:p>
        </w:tc>
        <w:tc>
          <w:tcPr>
            <w:tcW w:w="1559" w:type="dxa"/>
            <w:vAlign w:val="center"/>
          </w:tcPr>
          <w:p w14:paraId="6BA03652"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124,07±15,798</w:t>
            </w:r>
          </w:p>
        </w:tc>
        <w:tc>
          <w:tcPr>
            <w:tcW w:w="900" w:type="dxa"/>
            <w:vAlign w:val="center"/>
          </w:tcPr>
          <w:p w14:paraId="7C50DA34"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0,421</w:t>
            </w:r>
          </w:p>
        </w:tc>
      </w:tr>
      <w:tr w:rsidR="00B25B13" w:rsidRPr="00B25B13" w14:paraId="07F9F0DC" w14:textId="77777777" w:rsidTr="005039FC">
        <w:trPr>
          <w:jc w:val="center"/>
        </w:trPr>
        <w:tc>
          <w:tcPr>
            <w:tcW w:w="2405" w:type="dxa"/>
            <w:vAlign w:val="center"/>
          </w:tcPr>
          <w:p w14:paraId="7689FD5D"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 xml:space="preserve">Tensión arterial diastólica </w:t>
            </w:r>
            <w:r w:rsidRPr="00B25B13">
              <w:rPr>
                <w:rFonts w:eastAsiaTheme="minorHAnsi"/>
                <w:sz w:val="18"/>
                <w:szCs w:val="18"/>
                <w:vertAlign w:val="superscript"/>
                <w:lang w:val="es-MX" w:eastAsia="en-US"/>
              </w:rPr>
              <w:t>c</w:t>
            </w:r>
          </w:p>
        </w:tc>
        <w:tc>
          <w:tcPr>
            <w:tcW w:w="1559" w:type="dxa"/>
            <w:vAlign w:val="center"/>
          </w:tcPr>
          <w:p w14:paraId="26C9D804"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74,11±12,587</w:t>
            </w:r>
          </w:p>
        </w:tc>
        <w:tc>
          <w:tcPr>
            <w:tcW w:w="1560" w:type="dxa"/>
            <w:vAlign w:val="center"/>
          </w:tcPr>
          <w:p w14:paraId="2870D56A"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71,77±11,842</w:t>
            </w:r>
          </w:p>
        </w:tc>
        <w:tc>
          <w:tcPr>
            <w:tcW w:w="1559" w:type="dxa"/>
            <w:vAlign w:val="center"/>
          </w:tcPr>
          <w:p w14:paraId="0BB813AF"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75,47±12,859</w:t>
            </w:r>
          </w:p>
        </w:tc>
        <w:tc>
          <w:tcPr>
            <w:tcW w:w="900" w:type="dxa"/>
            <w:vAlign w:val="center"/>
          </w:tcPr>
          <w:p w14:paraId="2FD7E1B0"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0,066</w:t>
            </w:r>
          </w:p>
        </w:tc>
      </w:tr>
      <w:tr w:rsidR="00B25B13" w:rsidRPr="00B25B13" w14:paraId="59B9857A" w14:textId="77777777" w:rsidTr="005039FC">
        <w:trPr>
          <w:jc w:val="center"/>
        </w:trPr>
        <w:tc>
          <w:tcPr>
            <w:tcW w:w="2405" w:type="dxa"/>
            <w:vAlign w:val="center"/>
          </w:tcPr>
          <w:p w14:paraId="1A99EC2F"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 xml:space="preserve">Frecuencia cardiaca </w:t>
            </w:r>
            <w:r w:rsidRPr="00B25B13">
              <w:rPr>
                <w:rFonts w:eastAsiaTheme="minorHAnsi"/>
                <w:sz w:val="18"/>
                <w:szCs w:val="18"/>
                <w:vertAlign w:val="superscript"/>
                <w:lang w:val="es-MX" w:eastAsia="en-US"/>
              </w:rPr>
              <w:t>c</w:t>
            </w:r>
          </w:p>
        </w:tc>
        <w:tc>
          <w:tcPr>
            <w:tcW w:w="1559" w:type="dxa"/>
            <w:vAlign w:val="center"/>
          </w:tcPr>
          <w:p w14:paraId="1E068CC3"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70,99±10,484</w:t>
            </w:r>
          </w:p>
        </w:tc>
        <w:tc>
          <w:tcPr>
            <w:tcW w:w="1560" w:type="dxa"/>
            <w:vAlign w:val="center"/>
          </w:tcPr>
          <w:p w14:paraId="7C52C577"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69,58±10,462</w:t>
            </w:r>
          </w:p>
        </w:tc>
        <w:tc>
          <w:tcPr>
            <w:tcW w:w="1559" w:type="dxa"/>
            <w:vAlign w:val="center"/>
          </w:tcPr>
          <w:p w14:paraId="0E6E6204"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71,81±10,458</w:t>
            </w:r>
          </w:p>
        </w:tc>
        <w:tc>
          <w:tcPr>
            <w:tcW w:w="900" w:type="dxa"/>
            <w:vAlign w:val="center"/>
          </w:tcPr>
          <w:p w14:paraId="3BB2E9A0"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0,183</w:t>
            </w:r>
          </w:p>
        </w:tc>
      </w:tr>
      <w:tr w:rsidR="00B25B13" w:rsidRPr="00B25B13" w14:paraId="181AA1E8" w14:textId="77777777" w:rsidTr="005039FC">
        <w:trPr>
          <w:jc w:val="center"/>
        </w:trPr>
        <w:tc>
          <w:tcPr>
            <w:tcW w:w="2405" w:type="dxa"/>
            <w:vAlign w:val="center"/>
          </w:tcPr>
          <w:p w14:paraId="3D4277CE" w14:textId="77777777" w:rsidR="00B25B13" w:rsidRPr="00B25B13" w:rsidRDefault="00B25B13" w:rsidP="00B25B13">
            <w:pPr>
              <w:suppressAutoHyphens/>
              <w:spacing w:line="360" w:lineRule="auto"/>
              <w:contextualSpacing/>
              <w:rPr>
                <w:rFonts w:eastAsiaTheme="minorHAnsi"/>
                <w:sz w:val="18"/>
                <w:szCs w:val="18"/>
                <w:vertAlign w:val="superscript"/>
                <w:lang w:val="es-MX" w:eastAsia="en-US"/>
              </w:rPr>
            </w:pPr>
            <w:r w:rsidRPr="00B25B13">
              <w:rPr>
                <w:rFonts w:eastAsiaTheme="minorHAnsi"/>
                <w:sz w:val="18"/>
                <w:szCs w:val="18"/>
                <w:lang w:val="es-MX" w:eastAsia="en-US"/>
              </w:rPr>
              <w:t xml:space="preserve">Hemoglobina </w:t>
            </w:r>
            <w:r w:rsidRPr="00B25B13">
              <w:rPr>
                <w:rFonts w:eastAsiaTheme="minorHAnsi"/>
                <w:sz w:val="18"/>
                <w:szCs w:val="18"/>
                <w:vertAlign w:val="superscript"/>
                <w:lang w:val="es-MX" w:eastAsia="en-US"/>
              </w:rPr>
              <w:t>a</w:t>
            </w:r>
          </w:p>
        </w:tc>
        <w:tc>
          <w:tcPr>
            <w:tcW w:w="1559" w:type="dxa"/>
            <w:vAlign w:val="center"/>
          </w:tcPr>
          <w:p w14:paraId="39FAF58D"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10 (3,0)</w:t>
            </w:r>
          </w:p>
        </w:tc>
        <w:tc>
          <w:tcPr>
            <w:tcW w:w="1560" w:type="dxa"/>
            <w:vAlign w:val="center"/>
          </w:tcPr>
          <w:p w14:paraId="6BAAE249"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10 (2,0)</w:t>
            </w:r>
          </w:p>
        </w:tc>
        <w:tc>
          <w:tcPr>
            <w:tcW w:w="1559" w:type="dxa"/>
            <w:vAlign w:val="center"/>
          </w:tcPr>
          <w:p w14:paraId="15B7EFFA"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11 (2,0)</w:t>
            </w:r>
          </w:p>
        </w:tc>
        <w:tc>
          <w:tcPr>
            <w:tcW w:w="900" w:type="dxa"/>
            <w:vAlign w:val="center"/>
          </w:tcPr>
          <w:p w14:paraId="4C7DFB33"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0,000</w:t>
            </w:r>
            <w:r w:rsidRPr="00B25B13">
              <w:rPr>
                <w:rFonts w:eastAsiaTheme="minorHAnsi"/>
                <w:sz w:val="18"/>
                <w:szCs w:val="18"/>
                <w:vertAlign w:val="superscript"/>
                <w:lang w:val="es-MX" w:eastAsia="en-US"/>
              </w:rPr>
              <w:t>b</w:t>
            </w:r>
          </w:p>
        </w:tc>
      </w:tr>
      <w:tr w:rsidR="00B25B13" w:rsidRPr="00B25B13" w14:paraId="1DBF3E89" w14:textId="77777777" w:rsidTr="005039FC">
        <w:trPr>
          <w:jc w:val="center"/>
        </w:trPr>
        <w:tc>
          <w:tcPr>
            <w:tcW w:w="2405" w:type="dxa"/>
            <w:vAlign w:val="center"/>
          </w:tcPr>
          <w:p w14:paraId="50C1F49B" w14:textId="77777777" w:rsidR="00B25B13" w:rsidRPr="00B25B13" w:rsidRDefault="00B25B13" w:rsidP="00B25B13">
            <w:pPr>
              <w:suppressAutoHyphens/>
              <w:spacing w:line="360" w:lineRule="auto"/>
              <w:contextualSpacing/>
              <w:rPr>
                <w:rFonts w:eastAsiaTheme="minorHAnsi"/>
                <w:sz w:val="18"/>
                <w:szCs w:val="18"/>
                <w:vertAlign w:val="superscript"/>
                <w:lang w:val="es-MX" w:eastAsia="en-US"/>
              </w:rPr>
            </w:pPr>
            <w:r w:rsidRPr="00B25B13">
              <w:rPr>
                <w:rFonts w:eastAsiaTheme="minorHAnsi"/>
                <w:sz w:val="18"/>
                <w:szCs w:val="18"/>
                <w:lang w:val="es-MX" w:eastAsia="en-US"/>
              </w:rPr>
              <w:t xml:space="preserve">Albúmina </w:t>
            </w:r>
            <w:r w:rsidRPr="00B25B13">
              <w:rPr>
                <w:rFonts w:eastAsiaTheme="minorHAnsi"/>
                <w:sz w:val="18"/>
                <w:szCs w:val="18"/>
                <w:vertAlign w:val="superscript"/>
                <w:lang w:val="es-MX" w:eastAsia="en-US"/>
              </w:rPr>
              <w:t>a</w:t>
            </w:r>
          </w:p>
        </w:tc>
        <w:tc>
          <w:tcPr>
            <w:tcW w:w="1559" w:type="dxa"/>
            <w:vAlign w:val="center"/>
          </w:tcPr>
          <w:p w14:paraId="3BD1C868"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37 (12)</w:t>
            </w:r>
          </w:p>
        </w:tc>
        <w:tc>
          <w:tcPr>
            <w:tcW w:w="1560" w:type="dxa"/>
            <w:vAlign w:val="center"/>
          </w:tcPr>
          <w:p w14:paraId="7A021F69"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29 (12)</w:t>
            </w:r>
          </w:p>
        </w:tc>
        <w:tc>
          <w:tcPr>
            <w:tcW w:w="1559" w:type="dxa"/>
            <w:vAlign w:val="center"/>
          </w:tcPr>
          <w:p w14:paraId="3E7BF2FC"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40 (7)</w:t>
            </w:r>
          </w:p>
        </w:tc>
        <w:tc>
          <w:tcPr>
            <w:tcW w:w="900" w:type="dxa"/>
            <w:vAlign w:val="center"/>
          </w:tcPr>
          <w:p w14:paraId="3425807E"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0,000</w:t>
            </w:r>
            <w:r w:rsidRPr="00B25B13">
              <w:rPr>
                <w:rFonts w:eastAsiaTheme="minorHAnsi"/>
                <w:sz w:val="18"/>
                <w:szCs w:val="18"/>
                <w:vertAlign w:val="superscript"/>
                <w:lang w:val="es-MX" w:eastAsia="en-US"/>
              </w:rPr>
              <w:t>b</w:t>
            </w:r>
          </w:p>
        </w:tc>
      </w:tr>
      <w:tr w:rsidR="00B25B13" w:rsidRPr="00B25B13" w14:paraId="48A9B09A" w14:textId="77777777" w:rsidTr="005039FC">
        <w:trPr>
          <w:jc w:val="center"/>
        </w:trPr>
        <w:tc>
          <w:tcPr>
            <w:tcW w:w="2405" w:type="dxa"/>
            <w:vAlign w:val="center"/>
          </w:tcPr>
          <w:p w14:paraId="4CCEE2AA" w14:textId="77777777" w:rsidR="00B25B13" w:rsidRPr="00B25B13" w:rsidRDefault="00B25B13" w:rsidP="00B25B13">
            <w:pPr>
              <w:suppressAutoHyphens/>
              <w:spacing w:line="360" w:lineRule="auto"/>
              <w:contextualSpacing/>
              <w:rPr>
                <w:rFonts w:eastAsiaTheme="minorHAnsi"/>
                <w:sz w:val="18"/>
                <w:szCs w:val="18"/>
                <w:vertAlign w:val="superscript"/>
                <w:lang w:val="es-MX" w:eastAsia="en-US"/>
              </w:rPr>
            </w:pPr>
            <w:r w:rsidRPr="00B25B13">
              <w:rPr>
                <w:rFonts w:eastAsiaTheme="minorHAnsi"/>
                <w:sz w:val="18"/>
                <w:szCs w:val="18"/>
                <w:lang w:val="es-MX" w:eastAsia="en-US"/>
              </w:rPr>
              <w:t xml:space="preserve">Urea </w:t>
            </w:r>
            <w:r w:rsidRPr="00B25B13">
              <w:rPr>
                <w:rFonts w:eastAsiaTheme="minorHAnsi"/>
                <w:sz w:val="18"/>
                <w:szCs w:val="18"/>
                <w:vertAlign w:val="superscript"/>
                <w:lang w:val="es-MX" w:eastAsia="en-US"/>
              </w:rPr>
              <w:t>a</w:t>
            </w:r>
          </w:p>
        </w:tc>
        <w:tc>
          <w:tcPr>
            <w:tcW w:w="1559" w:type="dxa"/>
            <w:vAlign w:val="center"/>
          </w:tcPr>
          <w:p w14:paraId="37DA65E1"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16 (5,0)</w:t>
            </w:r>
          </w:p>
        </w:tc>
        <w:tc>
          <w:tcPr>
            <w:tcW w:w="1560" w:type="dxa"/>
            <w:vAlign w:val="center"/>
          </w:tcPr>
          <w:p w14:paraId="50834593"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17 (4,0)</w:t>
            </w:r>
          </w:p>
        </w:tc>
        <w:tc>
          <w:tcPr>
            <w:tcW w:w="1559" w:type="dxa"/>
            <w:vAlign w:val="center"/>
          </w:tcPr>
          <w:p w14:paraId="5710F443"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13 (4,0)</w:t>
            </w:r>
          </w:p>
        </w:tc>
        <w:tc>
          <w:tcPr>
            <w:tcW w:w="900" w:type="dxa"/>
            <w:vAlign w:val="center"/>
          </w:tcPr>
          <w:p w14:paraId="4077A2B4"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0,009</w:t>
            </w:r>
            <w:r w:rsidRPr="00B25B13">
              <w:rPr>
                <w:rFonts w:eastAsiaTheme="minorHAnsi"/>
                <w:sz w:val="18"/>
                <w:szCs w:val="18"/>
                <w:vertAlign w:val="superscript"/>
                <w:lang w:val="es-MX" w:eastAsia="en-US"/>
              </w:rPr>
              <w:t>b</w:t>
            </w:r>
          </w:p>
        </w:tc>
      </w:tr>
      <w:tr w:rsidR="00B25B13" w:rsidRPr="00B25B13" w14:paraId="35BAF3B8" w14:textId="77777777" w:rsidTr="005039FC">
        <w:trPr>
          <w:jc w:val="center"/>
        </w:trPr>
        <w:tc>
          <w:tcPr>
            <w:tcW w:w="2405" w:type="dxa"/>
            <w:vAlign w:val="center"/>
          </w:tcPr>
          <w:p w14:paraId="30E8DC49" w14:textId="77777777" w:rsidR="00B25B13" w:rsidRPr="00B25B13" w:rsidRDefault="00B25B13" w:rsidP="00B25B13">
            <w:pPr>
              <w:suppressAutoHyphens/>
              <w:spacing w:line="360" w:lineRule="auto"/>
              <w:contextualSpacing/>
              <w:rPr>
                <w:rFonts w:eastAsiaTheme="minorHAnsi"/>
                <w:sz w:val="18"/>
                <w:szCs w:val="18"/>
                <w:vertAlign w:val="superscript"/>
                <w:lang w:val="es-MX" w:eastAsia="en-US"/>
              </w:rPr>
            </w:pPr>
            <w:r w:rsidRPr="00B25B13">
              <w:rPr>
                <w:rFonts w:eastAsiaTheme="minorHAnsi"/>
                <w:sz w:val="18"/>
                <w:szCs w:val="18"/>
                <w:lang w:val="es-MX" w:eastAsia="en-US"/>
              </w:rPr>
              <w:t xml:space="preserve">Creatinina </w:t>
            </w:r>
            <w:r w:rsidRPr="00B25B13">
              <w:rPr>
                <w:rFonts w:eastAsiaTheme="minorHAnsi"/>
                <w:sz w:val="18"/>
                <w:szCs w:val="18"/>
                <w:vertAlign w:val="superscript"/>
                <w:lang w:val="es-MX" w:eastAsia="en-US"/>
              </w:rPr>
              <w:t>a</w:t>
            </w:r>
          </w:p>
        </w:tc>
        <w:tc>
          <w:tcPr>
            <w:tcW w:w="1559" w:type="dxa"/>
            <w:vAlign w:val="center"/>
          </w:tcPr>
          <w:p w14:paraId="7057BC46"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258 (23)</w:t>
            </w:r>
          </w:p>
        </w:tc>
        <w:tc>
          <w:tcPr>
            <w:tcW w:w="1560" w:type="dxa"/>
            <w:vAlign w:val="center"/>
          </w:tcPr>
          <w:p w14:paraId="70DECEE0"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296 (34)</w:t>
            </w:r>
          </w:p>
        </w:tc>
        <w:tc>
          <w:tcPr>
            <w:tcW w:w="1559" w:type="dxa"/>
            <w:vAlign w:val="center"/>
          </w:tcPr>
          <w:p w14:paraId="2EB3548C"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224 (19)</w:t>
            </w:r>
          </w:p>
        </w:tc>
        <w:tc>
          <w:tcPr>
            <w:tcW w:w="900" w:type="dxa"/>
            <w:vAlign w:val="center"/>
          </w:tcPr>
          <w:p w14:paraId="30BF4B5D"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0,002</w:t>
            </w:r>
            <w:r w:rsidRPr="00B25B13">
              <w:rPr>
                <w:rFonts w:eastAsiaTheme="minorHAnsi"/>
                <w:sz w:val="18"/>
                <w:szCs w:val="18"/>
                <w:vertAlign w:val="superscript"/>
                <w:lang w:val="es-MX" w:eastAsia="en-US"/>
              </w:rPr>
              <w:t>b</w:t>
            </w:r>
          </w:p>
        </w:tc>
      </w:tr>
      <w:tr w:rsidR="00B25B13" w:rsidRPr="00B25B13" w14:paraId="27E1DEAB" w14:textId="77777777" w:rsidTr="005039FC">
        <w:trPr>
          <w:jc w:val="center"/>
        </w:trPr>
        <w:tc>
          <w:tcPr>
            <w:tcW w:w="2405" w:type="dxa"/>
            <w:vAlign w:val="center"/>
          </w:tcPr>
          <w:p w14:paraId="6024B7E1"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 xml:space="preserve">Filtrado glomerular </w:t>
            </w:r>
            <w:r w:rsidRPr="00B25B13">
              <w:rPr>
                <w:rFonts w:eastAsiaTheme="minorHAnsi"/>
                <w:sz w:val="18"/>
                <w:szCs w:val="18"/>
                <w:vertAlign w:val="superscript"/>
                <w:lang w:val="es-MX" w:eastAsia="en-US"/>
              </w:rPr>
              <w:t>c</w:t>
            </w:r>
          </w:p>
        </w:tc>
        <w:tc>
          <w:tcPr>
            <w:tcW w:w="1559" w:type="dxa"/>
            <w:vAlign w:val="center"/>
          </w:tcPr>
          <w:p w14:paraId="7BAF0B00"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22,905±1,9798</w:t>
            </w:r>
          </w:p>
        </w:tc>
        <w:tc>
          <w:tcPr>
            <w:tcW w:w="1560" w:type="dxa"/>
            <w:vAlign w:val="center"/>
          </w:tcPr>
          <w:p w14:paraId="0545FE28"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17,274±1,3810</w:t>
            </w:r>
          </w:p>
        </w:tc>
        <w:tc>
          <w:tcPr>
            <w:tcW w:w="1559" w:type="dxa"/>
            <w:vAlign w:val="center"/>
          </w:tcPr>
          <w:p w14:paraId="69340172"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26,274±2,1787</w:t>
            </w:r>
          </w:p>
        </w:tc>
        <w:tc>
          <w:tcPr>
            <w:tcW w:w="900" w:type="dxa"/>
            <w:vAlign w:val="center"/>
          </w:tcPr>
          <w:p w14:paraId="0B28661B" w14:textId="77777777" w:rsidR="00B25B13" w:rsidRPr="00B25B13" w:rsidRDefault="00B25B13" w:rsidP="00B25B13">
            <w:pPr>
              <w:suppressAutoHyphens/>
              <w:spacing w:line="360" w:lineRule="auto"/>
              <w:contextualSpacing/>
              <w:jc w:val="center"/>
              <w:rPr>
                <w:rFonts w:eastAsiaTheme="minorHAnsi"/>
                <w:sz w:val="18"/>
                <w:szCs w:val="18"/>
                <w:vertAlign w:val="superscript"/>
                <w:lang w:val="es-MX" w:eastAsia="en-US"/>
              </w:rPr>
            </w:pPr>
            <w:r w:rsidRPr="00B25B13">
              <w:rPr>
                <w:rFonts w:eastAsiaTheme="minorHAnsi"/>
                <w:sz w:val="18"/>
                <w:szCs w:val="18"/>
                <w:lang w:val="es-MX" w:eastAsia="en-US"/>
              </w:rPr>
              <w:t>0,000</w:t>
            </w:r>
            <w:r w:rsidRPr="00B25B13">
              <w:rPr>
                <w:rFonts w:eastAsiaTheme="minorHAnsi"/>
                <w:sz w:val="18"/>
                <w:szCs w:val="18"/>
                <w:vertAlign w:val="superscript"/>
                <w:lang w:val="es-MX" w:eastAsia="en-US"/>
              </w:rPr>
              <w:t>b</w:t>
            </w:r>
          </w:p>
        </w:tc>
      </w:tr>
      <w:tr w:rsidR="00B25B13" w:rsidRPr="00B25B13" w14:paraId="65668835" w14:textId="77777777" w:rsidTr="005039FC">
        <w:trPr>
          <w:jc w:val="center"/>
        </w:trPr>
        <w:tc>
          <w:tcPr>
            <w:tcW w:w="2405" w:type="dxa"/>
            <w:vAlign w:val="center"/>
          </w:tcPr>
          <w:p w14:paraId="1F281D31"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 xml:space="preserve">Ácido úrico </w:t>
            </w:r>
            <w:r w:rsidRPr="00B25B13">
              <w:rPr>
                <w:rFonts w:eastAsiaTheme="minorHAnsi"/>
                <w:sz w:val="18"/>
                <w:szCs w:val="18"/>
                <w:vertAlign w:val="superscript"/>
                <w:lang w:val="es-MX" w:eastAsia="en-US"/>
              </w:rPr>
              <w:t>c</w:t>
            </w:r>
          </w:p>
        </w:tc>
        <w:tc>
          <w:tcPr>
            <w:tcW w:w="1559" w:type="dxa"/>
            <w:vAlign w:val="center"/>
          </w:tcPr>
          <w:p w14:paraId="60F496D3"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351,86±96,432</w:t>
            </w:r>
          </w:p>
        </w:tc>
        <w:tc>
          <w:tcPr>
            <w:tcW w:w="1560" w:type="dxa"/>
            <w:vAlign w:val="center"/>
          </w:tcPr>
          <w:p w14:paraId="224AF512"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347,73±80,949</w:t>
            </w:r>
          </w:p>
        </w:tc>
        <w:tc>
          <w:tcPr>
            <w:tcW w:w="1559" w:type="dxa"/>
            <w:vAlign w:val="center"/>
          </w:tcPr>
          <w:p w14:paraId="30A873E7"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354,01±103,859</w:t>
            </w:r>
          </w:p>
        </w:tc>
        <w:tc>
          <w:tcPr>
            <w:tcW w:w="900" w:type="dxa"/>
            <w:vAlign w:val="center"/>
          </w:tcPr>
          <w:p w14:paraId="49733FE1" w14:textId="77777777" w:rsidR="00B25B13" w:rsidRPr="00B25B13" w:rsidRDefault="00B25B13" w:rsidP="00B25B13">
            <w:pPr>
              <w:suppressAutoHyphens/>
              <w:spacing w:line="360" w:lineRule="auto"/>
              <w:contextualSpacing/>
              <w:jc w:val="center"/>
              <w:rPr>
                <w:rFonts w:eastAsiaTheme="minorHAnsi"/>
                <w:sz w:val="18"/>
                <w:szCs w:val="18"/>
                <w:lang w:val="es-MX" w:eastAsia="en-US"/>
              </w:rPr>
            </w:pPr>
            <w:r w:rsidRPr="00B25B13">
              <w:rPr>
                <w:rFonts w:eastAsiaTheme="minorHAnsi"/>
                <w:sz w:val="18"/>
                <w:szCs w:val="18"/>
                <w:lang w:val="es-MX" w:eastAsia="en-US"/>
              </w:rPr>
              <w:t>0,696</w:t>
            </w:r>
          </w:p>
        </w:tc>
      </w:tr>
      <w:tr w:rsidR="00B25B13" w:rsidRPr="00B25B13" w14:paraId="49AD532B" w14:textId="77777777" w:rsidTr="005039FC">
        <w:trPr>
          <w:jc w:val="center"/>
        </w:trPr>
        <w:tc>
          <w:tcPr>
            <w:tcW w:w="2405" w:type="dxa"/>
            <w:vAlign w:val="center"/>
          </w:tcPr>
          <w:p w14:paraId="2984418E" w14:textId="77777777" w:rsidR="00B25B13" w:rsidRPr="00B25B13" w:rsidRDefault="00B25B13" w:rsidP="00B25B13">
            <w:pPr>
              <w:suppressAutoHyphens/>
              <w:spacing w:line="360" w:lineRule="auto"/>
              <w:contextualSpacing/>
              <w:rPr>
                <w:rFonts w:eastAsiaTheme="minorHAnsi"/>
                <w:sz w:val="18"/>
                <w:szCs w:val="18"/>
                <w:vertAlign w:val="superscript"/>
                <w:lang w:val="es-MX" w:eastAsia="en-US"/>
              </w:rPr>
            </w:pPr>
            <w:r w:rsidRPr="00B25B13">
              <w:rPr>
                <w:rFonts w:eastAsiaTheme="minorHAnsi"/>
                <w:sz w:val="18"/>
                <w:szCs w:val="18"/>
                <w:lang w:val="es-MX" w:eastAsia="en-US"/>
              </w:rPr>
              <w:t xml:space="preserve">Glucemia </w:t>
            </w:r>
            <w:r w:rsidRPr="00B25B13">
              <w:rPr>
                <w:rFonts w:eastAsiaTheme="minorHAnsi"/>
                <w:sz w:val="18"/>
                <w:szCs w:val="18"/>
                <w:vertAlign w:val="superscript"/>
                <w:lang w:val="es-MX" w:eastAsia="en-US"/>
              </w:rPr>
              <w:t>a</w:t>
            </w:r>
          </w:p>
        </w:tc>
        <w:tc>
          <w:tcPr>
            <w:tcW w:w="1559" w:type="dxa"/>
            <w:vAlign w:val="center"/>
          </w:tcPr>
          <w:p w14:paraId="51D3B86E"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4 (1,0)</w:t>
            </w:r>
          </w:p>
        </w:tc>
        <w:tc>
          <w:tcPr>
            <w:tcW w:w="1560" w:type="dxa"/>
            <w:vAlign w:val="center"/>
          </w:tcPr>
          <w:p w14:paraId="4257379E"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4 (1,8)</w:t>
            </w:r>
          </w:p>
        </w:tc>
        <w:tc>
          <w:tcPr>
            <w:tcW w:w="1559" w:type="dxa"/>
            <w:vAlign w:val="center"/>
          </w:tcPr>
          <w:p w14:paraId="26FD7234"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5 (2,0)</w:t>
            </w:r>
          </w:p>
        </w:tc>
        <w:tc>
          <w:tcPr>
            <w:tcW w:w="900" w:type="dxa"/>
            <w:vAlign w:val="center"/>
          </w:tcPr>
          <w:p w14:paraId="64130B81"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0,001</w:t>
            </w:r>
            <w:r w:rsidRPr="00B25B13">
              <w:rPr>
                <w:rFonts w:eastAsiaTheme="minorHAnsi"/>
                <w:sz w:val="18"/>
                <w:szCs w:val="18"/>
                <w:vertAlign w:val="superscript"/>
                <w:lang w:val="es-MX" w:eastAsia="en-US"/>
              </w:rPr>
              <w:t>b</w:t>
            </w:r>
          </w:p>
        </w:tc>
      </w:tr>
      <w:tr w:rsidR="00B25B13" w:rsidRPr="00B25B13" w14:paraId="25EA0C0E" w14:textId="77777777" w:rsidTr="005039FC">
        <w:trPr>
          <w:jc w:val="center"/>
        </w:trPr>
        <w:tc>
          <w:tcPr>
            <w:tcW w:w="2405" w:type="dxa"/>
            <w:vAlign w:val="center"/>
          </w:tcPr>
          <w:p w14:paraId="195C6367" w14:textId="77777777" w:rsidR="00B25B13" w:rsidRPr="00B25B13" w:rsidRDefault="00B25B13" w:rsidP="00B25B13">
            <w:pPr>
              <w:suppressAutoHyphens/>
              <w:spacing w:line="360" w:lineRule="auto"/>
              <w:contextualSpacing/>
              <w:rPr>
                <w:rFonts w:eastAsiaTheme="minorHAnsi"/>
                <w:sz w:val="18"/>
                <w:szCs w:val="18"/>
                <w:lang w:val="es-MX" w:eastAsia="en-US"/>
              </w:rPr>
            </w:pPr>
            <w:r w:rsidRPr="00B25B13">
              <w:rPr>
                <w:rFonts w:eastAsiaTheme="minorHAnsi"/>
                <w:sz w:val="18"/>
                <w:szCs w:val="18"/>
                <w:lang w:val="es-MX" w:eastAsia="en-US"/>
              </w:rPr>
              <w:t>Colesterol</w:t>
            </w:r>
            <w:r w:rsidRPr="00B25B13">
              <w:rPr>
                <w:rFonts w:eastAsiaTheme="minorHAnsi"/>
                <w:sz w:val="18"/>
                <w:szCs w:val="18"/>
                <w:vertAlign w:val="superscript"/>
                <w:lang w:val="es-MX" w:eastAsia="en-US"/>
              </w:rPr>
              <w:t xml:space="preserve"> a</w:t>
            </w:r>
          </w:p>
        </w:tc>
        <w:tc>
          <w:tcPr>
            <w:tcW w:w="1559" w:type="dxa"/>
            <w:vAlign w:val="center"/>
          </w:tcPr>
          <w:p w14:paraId="085E248A"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4 (2,0)</w:t>
            </w:r>
          </w:p>
        </w:tc>
        <w:tc>
          <w:tcPr>
            <w:tcW w:w="1560" w:type="dxa"/>
            <w:vAlign w:val="center"/>
          </w:tcPr>
          <w:p w14:paraId="1EAC6580"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4 (1,0)</w:t>
            </w:r>
          </w:p>
        </w:tc>
        <w:tc>
          <w:tcPr>
            <w:tcW w:w="1559" w:type="dxa"/>
            <w:vAlign w:val="center"/>
          </w:tcPr>
          <w:p w14:paraId="56BEAF26"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4 (1,0)</w:t>
            </w:r>
          </w:p>
        </w:tc>
        <w:tc>
          <w:tcPr>
            <w:tcW w:w="900" w:type="dxa"/>
            <w:vAlign w:val="center"/>
          </w:tcPr>
          <w:p w14:paraId="6C5221DD" w14:textId="77777777" w:rsidR="00B25B13" w:rsidRPr="00B25B13" w:rsidRDefault="00B25B13" w:rsidP="00B25B13">
            <w:pPr>
              <w:suppressAutoHyphens/>
              <w:spacing w:line="360" w:lineRule="auto"/>
              <w:contextualSpacing/>
              <w:jc w:val="center"/>
              <w:rPr>
                <w:rFonts w:eastAsiaTheme="minorHAnsi"/>
                <w:b/>
                <w:sz w:val="18"/>
                <w:szCs w:val="18"/>
                <w:lang w:val="es-MX" w:eastAsia="en-US"/>
              </w:rPr>
            </w:pPr>
            <w:r w:rsidRPr="00B25B13">
              <w:rPr>
                <w:rFonts w:eastAsiaTheme="minorHAnsi"/>
                <w:sz w:val="18"/>
                <w:szCs w:val="18"/>
                <w:lang w:val="es-MX" w:eastAsia="en-US"/>
              </w:rPr>
              <w:t>0,000</w:t>
            </w:r>
            <w:r w:rsidRPr="00B25B13">
              <w:rPr>
                <w:rFonts w:eastAsiaTheme="minorHAnsi"/>
                <w:sz w:val="18"/>
                <w:szCs w:val="18"/>
                <w:vertAlign w:val="superscript"/>
                <w:lang w:val="es-MX" w:eastAsia="en-US"/>
              </w:rPr>
              <w:t>b</w:t>
            </w:r>
          </w:p>
        </w:tc>
      </w:tr>
    </w:tbl>
    <w:p w14:paraId="1EDD36CD" w14:textId="77777777" w:rsidR="00B25B13" w:rsidRPr="00B25B13" w:rsidRDefault="00B25B13" w:rsidP="00B25B13">
      <w:pPr>
        <w:spacing w:line="360" w:lineRule="auto"/>
        <w:jc w:val="center"/>
        <w:rPr>
          <w:rFonts w:eastAsiaTheme="minorHAnsi"/>
          <w:sz w:val="16"/>
          <w:szCs w:val="16"/>
          <w:lang w:val="es-MX" w:eastAsia="en-US"/>
        </w:rPr>
      </w:pPr>
      <w:proofErr w:type="spellStart"/>
      <w:r w:rsidRPr="00B25B13">
        <w:rPr>
          <w:rFonts w:eastAsiaTheme="minorHAnsi"/>
          <w:sz w:val="16"/>
          <w:szCs w:val="16"/>
          <w:vertAlign w:val="superscript"/>
          <w:lang w:val="es-MX" w:eastAsia="en-US"/>
        </w:rPr>
        <w:t>a</w:t>
      </w:r>
      <w:proofErr w:type="spellEnd"/>
      <w:r w:rsidRPr="00B25B13">
        <w:rPr>
          <w:rFonts w:eastAsiaTheme="minorHAnsi"/>
          <w:sz w:val="16"/>
          <w:szCs w:val="16"/>
          <w:lang w:val="es-MX" w:eastAsia="en-US"/>
        </w:rPr>
        <w:t xml:space="preserve"> Resultado expresado en mediana y rango </w:t>
      </w:r>
      <w:proofErr w:type="spellStart"/>
      <w:r w:rsidRPr="00B25B13">
        <w:rPr>
          <w:rFonts w:eastAsiaTheme="minorHAnsi"/>
          <w:sz w:val="16"/>
          <w:szCs w:val="16"/>
          <w:lang w:val="es-MX" w:eastAsia="en-US"/>
        </w:rPr>
        <w:t>intercuartil</w:t>
      </w:r>
      <w:proofErr w:type="spellEnd"/>
      <w:r w:rsidRPr="00B25B13">
        <w:rPr>
          <w:rFonts w:eastAsiaTheme="minorHAnsi"/>
          <w:sz w:val="16"/>
          <w:szCs w:val="16"/>
          <w:lang w:val="es-MX" w:eastAsia="en-US"/>
        </w:rPr>
        <w:t xml:space="preserve">. </w:t>
      </w:r>
      <w:r w:rsidRPr="00B25B13">
        <w:rPr>
          <w:rFonts w:eastAsiaTheme="minorHAnsi"/>
          <w:sz w:val="16"/>
          <w:szCs w:val="16"/>
          <w:vertAlign w:val="superscript"/>
          <w:lang w:val="es-MX" w:eastAsia="en-US"/>
        </w:rPr>
        <w:t xml:space="preserve">b </w:t>
      </w:r>
      <w:r w:rsidRPr="00B25B13">
        <w:rPr>
          <w:rFonts w:eastAsiaTheme="minorHAnsi"/>
          <w:sz w:val="16"/>
          <w:szCs w:val="16"/>
          <w:lang w:val="es-MX" w:eastAsia="en-US"/>
        </w:rPr>
        <w:t xml:space="preserve">Estadístico significativo. </w:t>
      </w:r>
      <w:r w:rsidRPr="00B25B13">
        <w:rPr>
          <w:rFonts w:eastAsiaTheme="minorHAnsi"/>
          <w:sz w:val="16"/>
          <w:szCs w:val="16"/>
          <w:vertAlign w:val="superscript"/>
          <w:lang w:val="es-MX" w:eastAsia="en-US"/>
        </w:rPr>
        <w:t xml:space="preserve">c </w:t>
      </w:r>
      <w:r w:rsidRPr="00B25B13">
        <w:rPr>
          <w:rFonts w:eastAsiaTheme="minorHAnsi"/>
          <w:sz w:val="16"/>
          <w:szCs w:val="16"/>
          <w:lang w:val="es-MX" w:eastAsia="en-US"/>
        </w:rPr>
        <w:t>Resultado expresado como media ± DE.</w:t>
      </w:r>
    </w:p>
    <w:p w14:paraId="278C156A" w14:textId="77777777" w:rsidR="00B25B13" w:rsidRPr="00B25B13" w:rsidRDefault="00B25B13" w:rsidP="00B25B13">
      <w:pPr>
        <w:spacing w:line="360" w:lineRule="auto"/>
        <w:jc w:val="both"/>
        <w:rPr>
          <w:rFonts w:eastAsiaTheme="minorHAnsi"/>
          <w:lang w:val="es-MX" w:eastAsia="en-US"/>
        </w:rPr>
      </w:pPr>
    </w:p>
    <w:p w14:paraId="59830CF0" w14:textId="77777777" w:rsidR="00B25B13" w:rsidRPr="00B25B13" w:rsidRDefault="00B25B13" w:rsidP="00B25B13">
      <w:pPr>
        <w:spacing w:line="360" w:lineRule="auto"/>
        <w:jc w:val="both"/>
        <w:rPr>
          <w:rFonts w:eastAsiaTheme="minorHAnsi"/>
          <w:lang w:val="es-MX" w:eastAsia="en-US"/>
        </w:rPr>
      </w:pPr>
    </w:p>
    <w:p w14:paraId="21CAF782" w14:textId="77777777" w:rsidR="00A95325" w:rsidRDefault="00A95325">
      <w:pPr>
        <w:rPr>
          <w:rFonts w:eastAsiaTheme="minorHAnsi"/>
          <w:b/>
          <w:sz w:val="22"/>
          <w:szCs w:val="22"/>
          <w:lang w:val="es-MX" w:eastAsia="en-US"/>
        </w:rPr>
      </w:pPr>
      <w:r>
        <w:rPr>
          <w:rFonts w:eastAsiaTheme="minorHAnsi"/>
          <w:b/>
          <w:sz w:val="22"/>
          <w:szCs w:val="22"/>
          <w:lang w:val="es-MX" w:eastAsia="en-US"/>
        </w:rPr>
        <w:br w:type="page"/>
      </w:r>
    </w:p>
    <w:p w14:paraId="1394345F" w14:textId="3F5B0491" w:rsidR="00B25B13" w:rsidRPr="00B25B13" w:rsidRDefault="00B25B13" w:rsidP="00B25B13">
      <w:pPr>
        <w:spacing w:line="360" w:lineRule="auto"/>
        <w:jc w:val="center"/>
        <w:rPr>
          <w:rFonts w:eastAsiaTheme="minorHAnsi"/>
          <w:lang w:val="es-MX" w:eastAsia="en-US"/>
        </w:rPr>
      </w:pPr>
      <w:r w:rsidRPr="00B25B13">
        <w:rPr>
          <w:rFonts w:eastAsiaTheme="minorHAnsi"/>
          <w:b/>
          <w:sz w:val="22"/>
          <w:szCs w:val="22"/>
          <w:lang w:val="es-MX" w:eastAsia="en-US"/>
        </w:rPr>
        <w:lastRenderedPageBreak/>
        <w:t xml:space="preserve">Tabla 2 - </w:t>
      </w:r>
      <w:r w:rsidRPr="00B25B13">
        <w:rPr>
          <w:rFonts w:eastAsiaTheme="minorHAnsi"/>
          <w:sz w:val="22"/>
          <w:szCs w:val="22"/>
          <w:lang w:val="es-MX" w:eastAsia="en-US"/>
        </w:rPr>
        <w:t>Regresión logística para la predicción de variables pronósticas de mortalidad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851"/>
        <w:gridCol w:w="990"/>
        <w:gridCol w:w="1136"/>
        <w:gridCol w:w="1276"/>
      </w:tblGrid>
      <w:tr w:rsidR="00B25B13" w:rsidRPr="00B25B13" w14:paraId="1075AD12" w14:textId="77777777" w:rsidTr="005039FC">
        <w:trPr>
          <w:jc w:val="center"/>
        </w:trPr>
        <w:tc>
          <w:tcPr>
            <w:tcW w:w="2405" w:type="dxa"/>
            <w:vAlign w:val="center"/>
          </w:tcPr>
          <w:p w14:paraId="37A9EA8B" w14:textId="77777777" w:rsidR="00B25B13" w:rsidRPr="00B25B13" w:rsidRDefault="00B25B13" w:rsidP="00B25B13">
            <w:pPr>
              <w:spacing w:line="360" w:lineRule="auto"/>
              <w:contextualSpacing/>
              <w:jc w:val="center"/>
              <w:rPr>
                <w:b/>
                <w:sz w:val="18"/>
                <w:szCs w:val="18"/>
                <w:lang w:val="es-MX" w:eastAsia="es-ES"/>
              </w:rPr>
            </w:pPr>
            <w:r w:rsidRPr="00B25B13">
              <w:rPr>
                <w:b/>
                <w:sz w:val="18"/>
                <w:szCs w:val="18"/>
                <w:lang w:val="es-MX" w:eastAsia="es-ES"/>
              </w:rPr>
              <w:t>Variables</w:t>
            </w:r>
          </w:p>
        </w:tc>
        <w:tc>
          <w:tcPr>
            <w:tcW w:w="851" w:type="dxa"/>
            <w:vAlign w:val="center"/>
          </w:tcPr>
          <w:p w14:paraId="0C979BA9" w14:textId="77777777" w:rsidR="00B25B13" w:rsidRPr="00B25B13" w:rsidRDefault="00B25B13" w:rsidP="00B25B13">
            <w:pPr>
              <w:spacing w:line="360" w:lineRule="auto"/>
              <w:contextualSpacing/>
              <w:jc w:val="center"/>
              <w:rPr>
                <w:b/>
                <w:sz w:val="18"/>
                <w:szCs w:val="18"/>
                <w:lang w:val="es-MX" w:eastAsia="es-ES"/>
              </w:rPr>
            </w:pPr>
            <w:r w:rsidRPr="00B25B13">
              <w:rPr>
                <w:b/>
                <w:sz w:val="18"/>
                <w:szCs w:val="18"/>
                <w:lang w:val="es-MX" w:eastAsia="es-ES"/>
              </w:rPr>
              <w:t>B</w:t>
            </w:r>
          </w:p>
        </w:tc>
        <w:tc>
          <w:tcPr>
            <w:tcW w:w="990" w:type="dxa"/>
            <w:vAlign w:val="center"/>
          </w:tcPr>
          <w:p w14:paraId="2F3B489C" w14:textId="77777777" w:rsidR="00B25B13" w:rsidRPr="00B25B13" w:rsidRDefault="00B25B13" w:rsidP="00B25B13">
            <w:pPr>
              <w:spacing w:line="360" w:lineRule="auto"/>
              <w:contextualSpacing/>
              <w:jc w:val="center"/>
              <w:rPr>
                <w:b/>
                <w:sz w:val="18"/>
                <w:szCs w:val="18"/>
                <w:lang w:val="es-MX" w:eastAsia="es-ES"/>
              </w:rPr>
            </w:pPr>
            <w:r w:rsidRPr="00B25B13">
              <w:rPr>
                <w:b/>
                <w:sz w:val="18"/>
                <w:szCs w:val="18"/>
                <w:lang w:val="es-MX" w:eastAsia="es-ES"/>
              </w:rPr>
              <w:t>Sig.</w:t>
            </w:r>
          </w:p>
        </w:tc>
        <w:tc>
          <w:tcPr>
            <w:tcW w:w="1136" w:type="dxa"/>
            <w:vAlign w:val="center"/>
          </w:tcPr>
          <w:p w14:paraId="105D5494" w14:textId="77777777" w:rsidR="00B25B13" w:rsidRPr="00B25B13" w:rsidRDefault="00B25B13" w:rsidP="00B25B13">
            <w:pPr>
              <w:spacing w:line="360" w:lineRule="auto"/>
              <w:contextualSpacing/>
              <w:jc w:val="center"/>
              <w:rPr>
                <w:b/>
                <w:sz w:val="18"/>
                <w:szCs w:val="18"/>
                <w:lang w:val="es-MX" w:eastAsia="es-ES"/>
              </w:rPr>
            </w:pPr>
            <w:proofErr w:type="spellStart"/>
            <w:r w:rsidRPr="00B25B13">
              <w:rPr>
                <w:b/>
                <w:sz w:val="18"/>
                <w:szCs w:val="18"/>
                <w:lang w:val="es-MX" w:eastAsia="es-ES"/>
              </w:rPr>
              <w:t>Exp</w:t>
            </w:r>
            <w:proofErr w:type="spellEnd"/>
            <w:r w:rsidRPr="00B25B13">
              <w:rPr>
                <w:b/>
                <w:sz w:val="18"/>
                <w:szCs w:val="18"/>
                <w:lang w:val="es-MX" w:eastAsia="es-ES"/>
              </w:rPr>
              <w:t xml:space="preserve"> (B)</w:t>
            </w:r>
          </w:p>
        </w:tc>
        <w:tc>
          <w:tcPr>
            <w:tcW w:w="1276" w:type="dxa"/>
            <w:vAlign w:val="center"/>
          </w:tcPr>
          <w:p w14:paraId="67826550" w14:textId="77777777" w:rsidR="00B25B13" w:rsidRPr="00B25B13" w:rsidRDefault="00B25B13" w:rsidP="00B25B13">
            <w:pPr>
              <w:spacing w:line="360" w:lineRule="auto"/>
              <w:contextualSpacing/>
              <w:jc w:val="center"/>
              <w:rPr>
                <w:b/>
                <w:sz w:val="18"/>
                <w:szCs w:val="18"/>
                <w:lang w:val="es-MX" w:eastAsia="es-ES"/>
              </w:rPr>
            </w:pPr>
            <w:r w:rsidRPr="00B25B13">
              <w:rPr>
                <w:b/>
                <w:sz w:val="18"/>
                <w:szCs w:val="18"/>
                <w:lang w:val="es-MX" w:eastAsia="es-ES"/>
              </w:rPr>
              <w:t>IC 95 %</w:t>
            </w:r>
          </w:p>
        </w:tc>
      </w:tr>
      <w:tr w:rsidR="00B25B13" w:rsidRPr="00B25B13" w14:paraId="6CF04A6A" w14:textId="77777777" w:rsidTr="005039FC">
        <w:trPr>
          <w:jc w:val="center"/>
        </w:trPr>
        <w:tc>
          <w:tcPr>
            <w:tcW w:w="2405" w:type="dxa"/>
            <w:vAlign w:val="center"/>
          </w:tcPr>
          <w:p w14:paraId="0D7D3A73" w14:textId="77777777" w:rsidR="00B25B13" w:rsidRPr="00B25B13" w:rsidRDefault="00B25B13" w:rsidP="00B25B13">
            <w:pPr>
              <w:spacing w:line="360" w:lineRule="auto"/>
              <w:contextualSpacing/>
              <w:rPr>
                <w:sz w:val="18"/>
                <w:szCs w:val="18"/>
                <w:lang w:val="es-MX" w:eastAsia="es-ES"/>
              </w:rPr>
            </w:pPr>
            <w:r w:rsidRPr="00B25B13">
              <w:rPr>
                <w:sz w:val="18"/>
                <w:szCs w:val="18"/>
                <w:lang w:val="es-MX" w:eastAsia="es-ES"/>
              </w:rPr>
              <w:t>Edad &gt; 65 años</w:t>
            </w:r>
          </w:p>
        </w:tc>
        <w:tc>
          <w:tcPr>
            <w:tcW w:w="851" w:type="dxa"/>
            <w:vAlign w:val="center"/>
          </w:tcPr>
          <w:p w14:paraId="1837F604"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1,831</w:t>
            </w:r>
          </w:p>
        </w:tc>
        <w:tc>
          <w:tcPr>
            <w:tcW w:w="990" w:type="dxa"/>
            <w:vAlign w:val="center"/>
          </w:tcPr>
          <w:p w14:paraId="35E5BFAF"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0,000</w:t>
            </w:r>
          </w:p>
        </w:tc>
        <w:tc>
          <w:tcPr>
            <w:tcW w:w="1136" w:type="dxa"/>
            <w:vAlign w:val="center"/>
          </w:tcPr>
          <w:p w14:paraId="49F77A4F"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2,118</w:t>
            </w:r>
          </w:p>
        </w:tc>
        <w:tc>
          <w:tcPr>
            <w:tcW w:w="1276" w:type="dxa"/>
            <w:vAlign w:val="center"/>
          </w:tcPr>
          <w:p w14:paraId="361C0B75"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1,755-4,326</w:t>
            </w:r>
          </w:p>
        </w:tc>
      </w:tr>
      <w:tr w:rsidR="00B25B13" w:rsidRPr="00B25B13" w14:paraId="324E5A94" w14:textId="77777777" w:rsidTr="005039FC">
        <w:trPr>
          <w:jc w:val="center"/>
        </w:trPr>
        <w:tc>
          <w:tcPr>
            <w:tcW w:w="2405" w:type="dxa"/>
            <w:vAlign w:val="center"/>
          </w:tcPr>
          <w:p w14:paraId="5963A637" w14:textId="77777777" w:rsidR="00B25B13" w:rsidRPr="00B25B13" w:rsidRDefault="00B25B13" w:rsidP="00B25B13">
            <w:pPr>
              <w:spacing w:line="360" w:lineRule="auto"/>
              <w:contextualSpacing/>
              <w:rPr>
                <w:sz w:val="18"/>
                <w:szCs w:val="18"/>
                <w:lang w:val="es-MX" w:eastAsia="es-ES"/>
              </w:rPr>
            </w:pPr>
            <w:r w:rsidRPr="00B25B13">
              <w:rPr>
                <w:sz w:val="18"/>
                <w:szCs w:val="18"/>
                <w:lang w:val="es-MX" w:eastAsia="es-ES"/>
              </w:rPr>
              <w:t>Enfermedad cardiovascular</w:t>
            </w:r>
          </w:p>
        </w:tc>
        <w:tc>
          <w:tcPr>
            <w:tcW w:w="851" w:type="dxa"/>
            <w:vAlign w:val="center"/>
          </w:tcPr>
          <w:p w14:paraId="5EEC606C"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2,831</w:t>
            </w:r>
          </w:p>
        </w:tc>
        <w:tc>
          <w:tcPr>
            <w:tcW w:w="990" w:type="dxa"/>
            <w:vAlign w:val="center"/>
          </w:tcPr>
          <w:p w14:paraId="2D3C0446"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0,000</w:t>
            </w:r>
          </w:p>
        </w:tc>
        <w:tc>
          <w:tcPr>
            <w:tcW w:w="1136" w:type="dxa"/>
            <w:vAlign w:val="center"/>
          </w:tcPr>
          <w:p w14:paraId="727CC0A0"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2,930</w:t>
            </w:r>
          </w:p>
        </w:tc>
        <w:tc>
          <w:tcPr>
            <w:tcW w:w="1276" w:type="dxa"/>
            <w:vAlign w:val="center"/>
          </w:tcPr>
          <w:p w14:paraId="36F6BA1A"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1,906-5,720</w:t>
            </w:r>
          </w:p>
        </w:tc>
      </w:tr>
      <w:tr w:rsidR="00B25B13" w:rsidRPr="00B25B13" w14:paraId="7AEF57F5" w14:textId="77777777" w:rsidTr="005039FC">
        <w:trPr>
          <w:jc w:val="center"/>
        </w:trPr>
        <w:tc>
          <w:tcPr>
            <w:tcW w:w="2405" w:type="dxa"/>
            <w:vAlign w:val="center"/>
          </w:tcPr>
          <w:p w14:paraId="02F59F29" w14:textId="77777777" w:rsidR="00B25B13" w:rsidRPr="00B25B13" w:rsidRDefault="00B25B13" w:rsidP="00B25B13">
            <w:pPr>
              <w:spacing w:line="360" w:lineRule="auto"/>
              <w:contextualSpacing/>
              <w:rPr>
                <w:sz w:val="18"/>
                <w:szCs w:val="18"/>
                <w:lang w:val="es-MX" w:eastAsia="es-ES"/>
              </w:rPr>
            </w:pPr>
            <w:r w:rsidRPr="00B25B13">
              <w:rPr>
                <w:sz w:val="18"/>
                <w:szCs w:val="18"/>
                <w:lang w:val="es-MX" w:eastAsia="es-ES"/>
              </w:rPr>
              <w:t>Albúmina &lt; 35 g/L</w:t>
            </w:r>
          </w:p>
        </w:tc>
        <w:tc>
          <w:tcPr>
            <w:tcW w:w="851" w:type="dxa"/>
            <w:vAlign w:val="center"/>
          </w:tcPr>
          <w:p w14:paraId="23E78EA2"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1,839</w:t>
            </w:r>
          </w:p>
        </w:tc>
        <w:tc>
          <w:tcPr>
            <w:tcW w:w="990" w:type="dxa"/>
            <w:vAlign w:val="center"/>
          </w:tcPr>
          <w:p w14:paraId="0557B32D"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0,000</w:t>
            </w:r>
          </w:p>
        </w:tc>
        <w:tc>
          <w:tcPr>
            <w:tcW w:w="1136" w:type="dxa"/>
            <w:vAlign w:val="center"/>
          </w:tcPr>
          <w:p w14:paraId="1081730F"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2,166</w:t>
            </w:r>
          </w:p>
        </w:tc>
        <w:tc>
          <w:tcPr>
            <w:tcW w:w="1276" w:type="dxa"/>
            <w:vAlign w:val="center"/>
          </w:tcPr>
          <w:p w14:paraId="5127B248"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1,810-4,995</w:t>
            </w:r>
          </w:p>
        </w:tc>
      </w:tr>
      <w:tr w:rsidR="00B25B13" w:rsidRPr="00B25B13" w14:paraId="2B0155D8" w14:textId="77777777" w:rsidTr="005039FC">
        <w:trPr>
          <w:jc w:val="center"/>
        </w:trPr>
        <w:tc>
          <w:tcPr>
            <w:tcW w:w="2405" w:type="dxa"/>
            <w:vAlign w:val="center"/>
          </w:tcPr>
          <w:p w14:paraId="4B0E501C" w14:textId="77777777" w:rsidR="00B25B13" w:rsidRPr="00B25B13" w:rsidRDefault="00B25B13" w:rsidP="00B25B13">
            <w:pPr>
              <w:spacing w:line="360" w:lineRule="auto"/>
              <w:contextualSpacing/>
              <w:rPr>
                <w:sz w:val="18"/>
                <w:szCs w:val="18"/>
                <w:lang w:val="es-MX" w:eastAsia="es-ES"/>
              </w:rPr>
            </w:pPr>
            <w:r w:rsidRPr="00B25B13">
              <w:rPr>
                <w:sz w:val="18"/>
                <w:szCs w:val="18"/>
                <w:lang w:val="es-MX" w:eastAsia="es-ES"/>
              </w:rPr>
              <w:t>Dislipidemia</w:t>
            </w:r>
          </w:p>
        </w:tc>
        <w:tc>
          <w:tcPr>
            <w:tcW w:w="851" w:type="dxa"/>
            <w:vAlign w:val="center"/>
          </w:tcPr>
          <w:p w14:paraId="7F24109E"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1,326</w:t>
            </w:r>
          </w:p>
        </w:tc>
        <w:tc>
          <w:tcPr>
            <w:tcW w:w="990" w:type="dxa"/>
            <w:vAlign w:val="center"/>
          </w:tcPr>
          <w:p w14:paraId="259E846C"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0,027</w:t>
            </w:r>
          </w:p>
        </w:tc>
        <w:tc>
          <w:tcPr>
            <w:tcW w:w="1136" w:type="dxa"/>
            <w:vAlign w:val="center"/>
          </w:tcPr>
          <w:p w14:paraId="4D4AE2FF"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1,458</w:t>
            </w:r>
          </w:p>
        </w:tc>
        <w:tc>
          <w:tcPr>
            <w:tcW w:w="1276" w:type="dxa"/>
            <w:vAlign w:val="center"/>
          </w:tcPr>
          <w:p w14:paraId="4CF34094"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1,147-3,652</w:t>
            </w:r>
          </w:p>
        </w:tc>
      </w:tr>
      <w:tr w:rsidR="00B25B13" w:rsidRPr="00B25B13" w14:paraId="7D5AE401" w14:textId="77777777" w:rsidTr="005039FC">
        <w:trPr>
          <w:jc w:val="center"/>
        </w:trPr>
        <w:tc>
          <w:tcPr>
            <w:tcW w:w="2405" w:type="dxa"/>
            <w:vAlign w:val="center"/>
          </w:tcPr>
          <w:p w14:paraId="6D46FE68" w14:textId="77777777" w:rsidR="00B25B13" w:rsidRPr="00B25B13" w:rsidRDefault="00B25B13" w:rsidP="00B25B13">
            <w:pPr>
              <w:spacing w:line="360" w:lineRule="auto"/>
              <w:contextualSpacing/>
              <w:rPr>
                <w:sz w:val="18"/>
                <w:szCs w:val="18"/>
                <w:lang w:val="es-MX" w:eastAsia="es-ES"/>
              </w:rPr>
            </w:pPr>
            <w:r w:rsidRPr="00B25B13">
              <w:rPr>
                <w:sz w:val="18"/>
                <w:szCs w:val="18"/>
                <w:lang w:val="es-MX" w:eastAsia="es-ES"/>
              </w:rPr>
              <w:t>Hemoglobina &lt; 10 g/L</w:t>
            </w:r>
          </w:p>
        </w:tc>
        <w:tc>
          <w:tcPr>
            <w:tcW w:w="851" w:type="dxa"/>
            <w:vAlign w:val="center"/>
          </w:tcPr>
          <w:p w14:paraId="579ACBCC"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1,400</w:t>
            </w:r>
          </w:p>
        </w:tc>
        <w:tc>
          <w:tcPr>
            <w:tcW w:w="990" w:type="dxa"/>
            <w:vAlign w:val="center"/>
          </w:tcPr>
          <w:p w14:paraId="6889403A"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0,015</w:t>
            </w:r>
          </w:p>
        </w:tc>
        <w:tc>
          <w:tcPr>
            <w:tcW w:w="1136" w:type="dxa"/>
            <w:vAlign w:val="center"/>
          </w:tcPr>
          <w:p w14:paraId="7471D938"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1,324</w:t>
            </w:r>
          </w:p>
        </w:tc>
        <w:tc>
          <w:tcPr>
            <w:tcW w:w="1276" w:type="dxa"/>
            <w:vAlign w:val="center"/>
          </w:tcPr>
          <w:p w14:paraId="4EA7259D"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1,087-3,008</w:t>
            </w:r>
          </w:p>
        </w:tc>
      </w:tr>
      <w:tr w:rsidR="00B25B13" w:rsidRPr="00B25B13" w14:paraId="17352C81" w14:textId="77777777" w:rsidTr="005039FC">
        <w:trPr>
          <w:jc w:val="center"/>
        </w:trPr>
        <w:tc>
          <w:tcPr>
            <w:tcW w:w="2405" w:type="dxa"/>
            <w:vAlign w:val="center"/>
          </w:tcPr>
          <w:p w14:paraId="22E9F0C1" w14:textId="77777777" w:rsidR="00B25B13" w:rsidRPr="00B25B13" w:rsidRDefault="00B25B13" w:rsidP="00B25B13">
            <w:pPr>
              <w:spacing w:line="360" w:lineRule="auto"/>
              <w:contextualSpacing/>
              <w:rPr>
                <w:sz w:val="18"/>
                <w:szCs w:val="18"/>
                <w:lang w:val="es-MX" w:eastAsia="es-ES"/>
              </w:rPr>
            </w:pPr>
            <w:r w:rsidRPr="00B25B13">
              <w:rPr>
                <w:sz w:val="18"/>
                <w:szCs w:val="18"/>
                <w:lang w:val="es-MX" w:eastAsia="es-ES"/>
              </w:rPr>
              <w:t>Ácido úrico &gt; 390 mmol/L</w:t>
            </w:r>
          </w:p>
        </w:tc>
        <w:tc>
          <w:tcPr>
            <w:tcW w:w="851" w:type="dxa"/>
            <w:vAlign w:val="center"/>
          </w:tcPr>
          <w:p w14:paraId="03C5CF4B"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1,243</w:t>
            </w:r>
          </w:p>
        </w:tc>
        <w:tc>
          <w:tcPr>
            <w:tcW w:w="990" w:type="dxa"/>
            <w:vAlign w:val="center"/>
          </w:tcPr>
          <w:p w14:paraId="56AE260B"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0,001</w:t>
            </w:r>
          </w:p>
        </w:tc>
        <w:tc>
          <w:tcPr>
            <w:tcW w:w="1136" w:type="dxa"/>
            <w:vAlign w:val="center"/>
          </w:tcPr>
          <w:p w14:paraId="71F65DDE"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1,420</w:t>
            </w:r>
          </w:p>
        </w:tc>
        <w:tc>
          <w:tcPr>
            <w:tcW w:w="1276" w:type="dxa"/>
            <w:vAlign w:val="center"/>
          </w:tcPr>
          <w:p w14:paraId="137C00BE"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1,130-3,745</w:t>
            </w:r>
          </w:p>
        </w:tc>
      </w:tr>
      <w:tr w:rsidR="00B25B13" w:rsidRPr="00B25B13" w14:paraId="45F8C7F4" w14:textId="77777777" w:rsidTr="005039FC">
        <w:trPr>
          <w:jc w:val="center"/>
        </w:trPr>
        <w:tc>
          <w:tcPr>
            <w:tcW w:w="2405" w:type="dxa"/>
            <w:vAlign w:val="center"/>
          </w:tcPr>
          <w:p w14:paraId="6DF8FC2B" w14:textId="77777777" w:rsidR="00B25B13" w:rsidRPr="00B25B13" w:rsidRDefault="00B25B13" w:rsidP="00B25B13">
            <w:pPr>
              <w:spacing w:line="360" w:lineRule="auto"/>
              <w:contextualSpacing/>
              <w:rPr>
                <w:sz w:val="18"/>
                <w:szCs w:val="18"/>
                <w:lang w:val="es-MX" w:eastAsia="es-ES"/>
              </w:rPr>
            </w:pPr>
            <w:r w:rsidRPr="00B25B13">
              <w:rPr>
                <w:sz w:val="18"/>
                <w:szCs w:val="18"/>
                <w:lang w:val="es-MX" w:eastAsia="es-ES"/>
              </w:rPr>
              <w:t>Constante</w:t>
            </w:r>
          </w:p>
        </w:tc>
        <w:tc>
          <w:tcPr>
            <w:tcW w:w="851" w:type="dxa"/>
            <w:vAlign w:val="center"/>
          </w:tcPr>
          <w:p w14:paraId="03EEFD61"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4,209</w:t>
            </w:r>
          </w:p>
        </w:tc>
        <w:tc>
          <w:tcPr>
            <w:tcW w:w="990" w:type="dxa"/>
            <w:vAlign w:val="center"/>
          </w:tcPr>
          <w:p w14:paraId="027B1A2E"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0,000</w:t>
            </w:r>
          </w:p>
        </w:tc>
        <w:tc>
          <w:tcPr>
            <w:tcW w:w="1136" w:type="dxa"/>
            <w:vAlign w:val="center"/>
          </w:tcPr>
          <w:p w14:paraId="47A80311"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0,000</w:t>
            </w:r>
          </w:p>
        </w:tc>
        <w:tc>
          <w:tcPr>
            <w:tcW w:w="1276" w:type="dxa"/>
            <w:vAlign w:val="center"/>
          </w:tcPr>
          <w:p w14:paraId="138A9167" w14:textId="77777777" w:rsidR="00B25B13" w:rsidRPr="00B25B13" w:rsidRDefault="00B25B13" w:rsidP="00B25B13">
            <w:pPr>
              <w:spacing w:line="360" w:lineRule="auto"/>
              <w:contextualSpacing/>
              <w:jc w:val="center"/>
              <w:rPr>
                <w:sz w:val="18"/>
                <w:szCs w:val="18"/>
                <w:lang w:val="es-MX" w:eastAsia="es-ES"/>
              </w:rPr>
            </w:pPr>
            <w:r w:rsidRPr="00B25B13">
              <w:rPr>
                <w:sz w:val="18"/>
                <w:szCs w:val="18"/>
                <w:lang w:val="es-MX" w:eastAsia="es-ES"/>
              </w:rPr>
              <w:t>-</w:t>
            </w:r>
          </w:p>
        </w:tc>
      </w:tr>
    </w:tbl>
    <w:p w14:paraId="741BA392" w14:textId="77777777" w:rsidR="00B25B13" w:rsidRPr="00B25B13" w:rsidRDefault="00B25B13" w:rsidP="00B25B13">
      <w:pPr>
        <w:spacing w:line="360" w:lineRule="auto"/>
        <w:jc w:val="both"/>
        <w:rPr>
          <w:rFonts w:eastAsiaTheme="minorHAnsi"/>
          <w:lang w:val="es-MX" w:eastAsia="en-US"/>
        </w:rPr>
      </w:pPr>
    </w:p>
    <w:p w14:paraId="635F0043"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Se calculó el valor de la escala predictiva para cada paciente y con el propósito de buscar estratos de riesgos diferentes, se procedió a determinar los percentiles 25 y 50 de la distribución empírica de los valores de la escala, los cuales fueron 4 y 7.</w:t>
      </w:r>
      <w:r w:rsidRPr="00B25B13">
        <w:rPr>
          <w:rFonts w:eastAsiaTheme="minorHAnsi"/>
          <w:vertAlign w:val="superscript"/>
          <w:lang w:val="es-MX" w:eastAsia="en-US"/>
        </w:rPr>
        <w:t xml:space="preserve">(16) </w:t>
      </w:r>
      <w:r w:rsidRPr="00B25B13">
        <w:rPr>
          <w:rFonts w:eastAsiaTheme="minorHAnsi"/>
          <w:lang w:val="es-MX" w:eastAsia="en-US"/>
        </w:rPr>
        <w:t>Luego quedaron conformadas 3 categorías: riesgo bajo, pacientes con valores menores a 4; riesgo mediano, pacientes con valores entre 4 y 7 y riesgo alto, pacientes con valores superiores a 7 (tabla 3).</w:t>
      </w:r>
    </w:p>
    <w:p w14:paraId="4E99FDA7" w14:textId="77777777" w:rsidR="00B25B13" w:rsidRPr="00B25B13" w:rsidRDefault="00B25B13" w:rsidP="00B25B13">
      <w:pPr>
        <w:spacing w:line="360" w:lineRule="auto"/>
        <w:jc w:val="both"/>
        <w:rPr>
          <w:rFonts w:eastAsiaTheme="minorHAnsi"/>
          <w:lang w:val="es-MX" w:eastAsia="en-US"/>
        </w:rPr>
      </w:pPr>
    </w:p>
    <w:p w14:paraId="04A4DE6A" w14:textId="77777777" w:rsidR="00B25B13" w:rsidRPr="00B25B13" w:rsidRDefault="00B25B13" w:rsidP="00B25B13">
      <w:pPr>
        <w:spacing w:line="360" w:lineRule="auto"/>
        <w:jc w:val="center"/>
        <w:rPr>
          <w:rFonts w:eastAsiaTheme="minorHAnsi"/>
          <w:sz w:val="22"/>
          <w:szCs w:val="22"/>
          <w:lang w:val="es-MX" w:eastAsia="en-US"/>
        </w:rPr>
      </w:pPr>
      <w:r w:rsidRPr="00B25B13">
        <w:rPr>
          <w:rFonts w:eastAsiaTheme="minorHAnsi"/>
          <w:b/>
          <w:sz w:val="22"/>
          <w:szCs w:val="22"/>
          <w:lang w:val="es-MX" w:eastAsia="en-US"/>
        </w:rPr>
        <w:t>Tabla 3 -</w:t>
      </w:r>
      <w:r w:rsidRPr="00B25B13">
        <w:rPr>
          <w:rFonts w:eastAsiaTheme="minorHAnsi"/>
          <w:sz w:val="22"/>
          <w:szCs w:val="22"/>
          <w:lang w:val="es-MX" w:eastAsia="en-US"/>
        </w:rPr>
        <w:t xml:space="preserve"> Ponderaciones de las variables que conformaron la herramienta predictiva</w:t>
      </w:r>
    </w:p>
    <w:tbl>
      <w:tblPr>
        <w:tblStyle w:val="Tablaconcuadrcula1"/>
        <w:tblW w:w="0" w:type="auto"/>
        <w:jc w:val="center"/>
        <w:tblLook w:val="04A0" w:firstRow="1" w:lastRow="0" w:firstColumn="1" w:lastColumn="0" w:noHBand="0" w:noVBand="1"/>
      </w:tblPr>
      <w:tblGrid>
        <w:gridCol w:w="2972"/>
        <w:gridCol w:w="1418"/>
      </w:tblGrid>
      <w:tr w:rsidR="00B25B13" w:rsidRPr="00B25B13" w14:paraId="712423B5" w14:textId="77777777" w:rsidTr="005039FC">
        <w:trPr>
          <w:jc w:val="center"/>
        </w:trPr>
        <w:tc>
          <w:tcPr>
            <w:tcW w:w="2972" w:type="dxa"/>
            <w:vAlign w:val="center"/>
          </w:tcPr>
          <w:p w14:paraId="43F54DD1" w14:textId="77777777" w:rsidR="00B25B13" w:rsidRPr="00B25B13" w:rsidRDefault="00B25B13" w:rsidP="00B25B13">
            <w:pPr>
              <w:spacing w:line="360" w:lineRule="auto"/>
              <w:jc w:val="center"/>
              <w:rPr>
                <w:rFonts w:ascii="Times New Roman" w:eastAsiaTheme="minorHAnsi" w:hAnsi="Times New Roman" w:cs="Times New Roman"/>
                <w:b/>
                <w:sz w:val="18"/>
                <w:szCs w:val="18"/>
                <w:lang w:val="es-MX" w:eastAsia="en-US"/>
              </w:rPr>
            </w:pPr>
            <w:r w:rsidRPr="00B25B13">
              <w:rPr>
                <w:rFonts w:ascii="Times New Roman" w:eastAsiaTheme="minorHAnsi" w:hAnsi="Times New Roman" w:cs="Times New Roman"/>
                <w:b/>
                <w:sz w:val="18"/>
                <w:szCs w:val="18"/>
                <w:lang w:val="es-MX" w:eastAsia="en-US"/>
              </w:rPr>
              <w:t>Variables</w:t>
            </w:r>
          </w:p>
        </w:tc>
        <w:tc>
          <w:tcPr>
            <w:tcW w:w="1418" w:type="dxa"/>
            <w:vAlign w:val="center"/>
          </w:tcPr>
          <w:p w14:paraId="34B72571" w14:textId="77777777" w:rsidR="00B25B13" w:rsidRPr="00B25B13" w:rsidRDefault="00B25B13" w:rsidP="00B25B13">
            <w:pPr>
              <w:spacing w:line="360" w:lineRule="auto"/>
              <w:jc w:val="center"/>
              <w:rPr>
                <w:rFonts w:ascii="Times New Roman" w:eastAsiaTheme="minorHAnsi" w:hAnsi="Times New Roman" w:cs="Times New Roman"/>
                <w:b/>
                <w:sz w:val="18"/>
                <w:szCs w:val="18"/>
                <w:lang w:val="es-MX" w:eastAsia="en-US"/>
              </w:rPr>
            </w:pPr>
            <w:r w:rsidRPr="00B25B13">
              <w:rPr>
                <w:rFonts w:ascii="Times New Roman" w:eastAsiaTheme="minorHAnsi" w:hAnsi="Times New Roman" w:cs="Times New Roman"/>
                <w:b/>
                <w:sz w:val="18"/>
                <w:szCs w:val="18"/>
                <w:lang w:val="es-MX" w:eastAsia="en-US"/>
              </w:rPr>
              <w:t>Ponderaciones</w:t>
            </w:r>
          </w:p>
        </w:tc>
      </w:tr>
      <w:tr w:rsidR="00B25B13" w:rsidRPr="00B25B13" w14:paraId="6FD180C6" w14:textId="77777777" w:rsidTr="005039FC">
        <w:trPr>
          <w:jc w:val="center"/>
        </w:trPr>
        <w:tc>
          <w:tcPr>
            <w:tcW w:w="2972" w:type="dxa"/>
            <w:vAlign w:val="center"/>
          </w:tcPr>
          <w:p w14:paraId="127AD7C9" w14:textId="77777777" w:rsidR="00B25B13" w:rsidRPr="00B25B13" w:rsidRDefault="00B25B13" w:rsidP="00B25B13">
            <w:pPr>
              <w:spacing w:line="360" w:lineRule="auto"/>
              <w:jc w:val="both"/>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Edad &gt; 65 años</w:t>
            </w:r>
          </w:p>
        </w:tc>
        <w:tc>
          <w:tcPr>
            <w:tcW w:w="1418" w:type="dxa"/>
            <w:vAlign w:val="center"/>
          </w:tcPr>
          <w:p w14:paraId="0DB4E568" w14:textId="77777777" w:rsidR="00B25B13" w:rsidRPr="00B25B13" w:rsidRDefault="00B25B13" w:rsidP="00B25B13">
            <w:pPr>
              <w:spacing w:line="360" w:lineRule="auto"/>
              <w:jc w:val="center"/>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2</w:t>
            </w:r>
          </w:p>
        </w:tc>
      </w:tr>
      <w:tr w:rsidR="00B25B13" w:rsidRPr="00B25B13" w14:paraId="28205067" w14:textId="77777777" w:rsidTr="005039FC">
        <w:trPr>
          <w:jc w:val="center"/>
        </w:trPr>
        <w:tc>
          <w:tcPr>
            <w:tcW w:w="2972" w:type="dxa"/>
            <w:vAlign w:val="center"/>
          </w:tcPr>
          <w:p w14:paraId="53461C65" w14:textId="77777777" w:rsidR="00B25B13" w:rsidRPr="00B25B13" w:rsidRDefault="00B25B13" w:rsidP="00B25B13">
            <w:pPr>
              <w:spacing w:line="360" w:lineRule="auto"/>
              <w:jc w:val="both"/>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Enfermedad cardiovascular</w:t>
            </w:r>
          </w:p>
        </w:tc>
        <w:tc>
          <w:tcPr>
            <w:tcW w:w="1418" w:type="dxa"/>
            <w:vAlign w:val="center"/>
          </w:tcPr>
          <w:p w14:paraId="43BC4142" w14:textId="77777777" w:rsidR="00B25B13" w:rsidRPr="00B25B13" w:rsidRDefault="00B25B13" w:rsidP="00B25B13">
            <w:pPr>
              <w:spacing w:line="360" w:lineRule="auto"/>
              <w:jc w:val="center"/>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3</w:t>
            </w:r>
          </w:p>
        </w:tc>
      </w:tr>
      <w:tr w:rsidR="00B25B13" w:rsidRPr="00B25B13" w14:paraId="4195BDA6" w14:textId="77777777" w:rsidTr="005039FC">
        <w:trPr>
          <w:jc w:val="center"/>
        </w:trPr>
        <w:tc>
          <w:tcPr>
            <w:tcW w:w="2972" w:type="dxa"/>
            <w:vAlign w:val="center"/>
          </w:tcPr>
          <w:p w14:paraId="7AB94792" w14:textId="77777777" w:rsidR="00B25B13" w:rsidRPr="00B25B13" w:rsidRDefault="00B25B13" w:rsidP="00B25B13">
            <w:pPr>
              <w:spacing w:line="360" w:lineRule="auto"/>
              <w:jc w:val="both"/>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Albúmina &lt; 35 g/L</w:t>
            </w:r>
          </w:p>
        </w:tc>
        <w:tc>
          <w:tcPr>
            <w:tcW w:w="1418" w:type="dxa"/>
            <w:vAlign w:val="center"/>
          </w:tcPr>
          <w:p w14:paraId="30FBA92C" w14:textId="77777777" w:rsidR="00B25B13" w:rsidRPr="00B25B13" w:rsidRDefault="00B25B13" w:rsidP="00B25B13">
            <w:pPr>
              <w:spacing w:line="360" w:lineRule="auto"/>
              <w:jc w:val="center"/>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2</w:t>
            </w:r>
          </w:p>
        </w:tc>
      </w:tr>
      <w:tr w:rsidR="00B25B13" w:rsidRPr="00B25B13" w14:paraId="4DAF0197" w14:textId="77777777" w:rsidTr="005039FC">
        <w:trPr>
          <w:jc w:val="center"/>
        </w:trPr>
        <w:tc>
          <w:tcPr>
            <w:tcW w:w="2972" w:type="dxa"/>
            <w:vAlign w:val="center"/>
          </w:tcPr>
          <w:p w14:paraId="289959C8" w14:textId="77777777" w:rsidR="00B25B13" w:rsidRPr="00B25B13" w:rsidRDefault="00B25B13" w:rsidP="00B25B13">
            <w:pPr>
              <w:spacing w:line="360" w:lineRule="auto"/>
              <w:jc w:val="both"/>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Dislipidemia</w:t>
            </w:r>
          </w:p>
        </w:tc>
        <w:tc>
          <w:tcPr>
            <w:tcW w:w="1418" w:type="dxa"/>
            <w:vAlign w:val="center"/>
          </w:tcPr>
          <w:p w14:paraId="1E160448" w14:textId="77777777" w:rsidR="00B25B13" w:rsidRPr="00B25B13" w:rsidRDefault="00B25B13" w:rsidP="00B25B13">
            <w:pPr>
              <w:spacing w:line="360" w:lineRule="auto"/>
              <w:jc w:val="center"/>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1</w:t>
            </w:r>
          </w:p>
        </w:tc>
      </w:tr>
      <w:tr w:rsidR="00B25B13" w:rsidRPr="00B25B13" w14:paraId="06633EF5" w14:textId="77777777" w:rsidTr="005039FC">
        <w:trPr>
          <w:jc w:val="center"/>
        </w:trPr>
        <w:tc>
          <w:tcPr>
            <w:tcW w:w="2972" w:type="dxa"/>
            <w:vAlign w:val="center"/>
          </w:tcPr>
          <w:p w14:paraId="4DDCE9FA" w14:textId="77777777" w:rsidR="00B25B13" w:rsidRPr="00B25B13" w:rsidRDefault="00B25B13" w:rsidP="00B25B13">
            <w:pPr>
              <w:spacing w:line="360" w:lineRule="auto"/>
              <w:jc w:val="both"/>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Hemoglobina &lt; 10 g/L</w:t>
            </w:r>
          </w:p>
        </w:tc>
        <w:tc>
          <w:tcPr>
            <w:tcW w:w="1418" w:type="dxa"/>
            <w:vAlign w:val="center"/>
          </w:tcPr>
          <w:p w14:paraId="2F08F9C8" w14:textId="77777777" w:rsidR="00B25B13" w:rsidRPr="00B25B13" w:rsidRDefault="00B25B13" w:rsidP="00B25B13">
            <w:pPr>
              <w:spacing w:line="360" w:lineRule="auto"/>
              <w:jc w:val="center"/>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1</w:t>
            </w:r>
          </w:p>
        </w:tc>
      </w:tr>
      <w:tr w:rsidR="00B25B13" w:rsidRPr="00B25B13" w14:paraId="6FAA21F6" w14:textId="77777777" w:rsidTr="005039FC">
        <w:trPr>
          <w:jc w:val="center"/>
        </w:trPr>
        <w:tc>
          <w:tcPr>
            <w:tcW w:w="2972" w:type="dxa"/>
            <w:vAlign w:val="center"/>
          </w:tcPr>
          <w:p w14:paraId="2872F38E" w14:textId="77777777" w:rsidR="00B25B13" w:rsidRPr="00B25B13" w:rsidRDefault="00B25B13" w:rsidP="00B25B13">
            <w:pPr>
              <w:spacing w:line="360" w:lineRule="auto"/>
              <w:jc w:val="both"/>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Ácido úrico &gt; 390 mmol/L</w:t>
            </w:r>
          </w:p>
        </w:tc>
        <w:tc>
          <w:tcPr>
            <w:tcW w:w="1418" w:type="dxa"/>
            <w:vAlign w:val="center"/>
          </w:tcPr>
          <w:p w14:paraId="5CF64B0D" w14:textId="77777777" w:rsidR="00B25B13" w:rsidRPr="00B25B13" w:rsidRDefault="00B25B13" w:rsidP="00B25B13">
            <w:pPr>
              <w:spacing w:line="360" w:lineRule="auto"/>
              <w:jc w:val="center"/>
              <w:rPr>
                <w:rFonts w:ascii="Times New Roman" w:eastAsiaTheme="minorHAnsi" w:hAnsi="Times New Roman" w:cs="Times New Roman"/>
                <w:sz w:val="18"/>
                <w:szCs w:val="18"/>
                <w:lang w:val="es-MX" w:eastAsia="en-US"/>
              </w:rPr>
            </w:pPr>
            <w:r w:rsidRPr="00B25B13">
              <w:rPr>
                <w:rFonts w:ascii="Times New Roman" w:eastAsiaTheme="minorHAnsi" w:hAnsi="Times New Roman" w:cs="Times New Roman"/>
                <w:sz w:val="18"/>
                <w:szCs w:val="18"/>
                <w:lang w:val="es-MX" w:eastAsia="en-US"/>
              </w:rPr>
              <w:t>1</w:t>
            </w:r>
          </w:p>
        </w:tc>
      </w:tr>
    </w:tbl>
    <w:p w14:paraId="6CE5DE50" w14:textId="77777777" w:rsidR="00B25B13" w:rsidRPr="00B25B13" w:rsidRDefault="00B25B13" w:rsidP="00B25B13">
      <w:pPr>
        <w:spacing w:line="360" w:lineRule="auto"/>
        <w:jc w:val="center"/>
        <w:rPr>
          <w:rFonts w:eastAsiaTheme="minorHAnsi"/>
          <w:sz w:val="16"/>
          <w:szCs w:val="16"/>
          <w:lang w:val="es-MX" w:eastAsia="en-US"/>
        </w:rPr>
      </w:pPr>
      <w:r w:rsidRPr="00B25B13">
        <w:rPr>
          <w:rFonts w:eastAsiaTheme="minorHAnsi"/>
          <w:sz w:val="16"/>
          <w:szCs w:val="16"/>
          <w:lang w:val="es-MX" w:eastAsia="en-US"/>
        </w:rPr>
        <w:t>&lt; 4 puntos: riesgo bajo</w:t>
      </w:r>
    </w:p>
    <w:p w14:paraId="498E9E52" w14:textId="77777777" w:rsidR="00B25B13" w:rsidRPr="00B25B13" w:rsidRDefault="00B25B13" w:rsidP="00B25B13">
      <w:pPr>
        <w:spacing w:line="360" w:lineRule="auto"/>
        <w:jc w:val="center"/>
        <w:rPr>
          <w:rFonts w:eastAsiaTheme="minorHAnsi"/>
          <w:sz w:val="16"/>
          <w:szCs w:val="16"/>
          <w:lang w:val="es-MX" w:eastAsia="en-US"/>
        </w:rPr>
      </w:pPr>
      <w:r w:rsidRPr="00B25B13">
        <w:rPr>
          <w:rFonts w:eastAsiaTheme="minorHAnsi"/>
          <w:sz w:val="16"/>
          <w:szCs w:val="16"/>
          <w:lang w:val="es-MX" w:eastAsia="en-US"/>
        </w:rPr>
        <w:t>5-7 puntos: riesgo mediano</w:t>
      </w:r>
    </w:p>
    <w:p w14:paraId="7F5C81FB" w14:textId="77777777" w:rsidR="00B25B13" w:rsidRPr="00B25B13" w:rsidRDefault="00B25B13" w:rsidP="00B25B13">
      <w:pPr>
        <w:spacing w:line="360" w:lineRule="auto"/>
        <w:jc w:val="center"/>
        <w:rPr>
          <w:rFonts w:eastAsiaTheme="minorHAnsi"/>
          <w:sz w:val="16"/>
          <w:szCs w:val="16"/>
          <w:lang w:val="es-MX" w:eastAsia="en-US"/>
        </w:rPr>
      </w:pPr>
      <w:r w:rsidRPr="00B25B13">
        <w:rPr>
          <w:rFonts w:eastAsiaTheme="minorHAnsi"/>
          <w:sz w:val="16"/>
          <w:szCs w:val="16"/>
          <w:lang w:val="es-MX" w:eastAsia="en-US"/>
        </w:rPr>
        <w:t>&gt; 7 puntos: riesgo alto</w:t>
      </w:r>
    </w:p>
    <w:p w14:paraId="1AF3845B" w14:textId="77777777" w:rsidR="00B25B13" w:rsidRPr="00B25B13" w:rsidRDefault="00B25B13" w:rsidP="00B25B13">
      <w:pPr>
        <w:spacing w:line="360" w:lineRule="auto"/>
        <w:jc w:val="both"/>
        <w:rPr>
          <w:rFonts w:eastAsiaTheme="minorHAnsi"/>
          <w:lang w:val="es-MX" w:eastAsia="en-US"/>
        </w:rPr>
      </w:pPr>
    </w:p>
    <w:p w14:paraId="0B294871"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El valor correspondiente al área bajo la curva del estadístico C obtenida fue superior a 0,70, por tanto, se puede considerar que la herramienta predictiva tiene valor predictivo significativo. El poder discriminatorio de la escala, en aquellos pacientes con puntuaciones superiores a 4 puntos para predecir mortalidad fue bueno, área bajo la curva COR 0,856 (IC 95 %: 0,783-0,929) (Fig. 1).</w:t>
      </w:r>
    </w:p>
    <w:p w14:paraId="49CCBF10" w14:textId="77777777" w:rsidR="00B25B13" w:rsidRPr="00B25B13" w:rsidRDefault="00B25B13" w:rsidP="00B25B13">
      <w:pPr>
        <w:spacing w:line="360" w:lineRule="auto"/>
        <w:jc w:val="both"/>
        <w:rPr>
          <w:rFonts w:eastAsiaTheme="minorHAnsi"/>
          <w:lang w:val="es-MX" w:eastAsia="en-US"/>
        </w:rPr>
      </w:pPr>
    </w:p>
    <w:p w14:paraId="4ECAA280" w14:textId="77777777" w:rsidR="00B25B13" w:rsidRPr="00B25B13" w:rsidRDefault="00B25B13" w:rsidP="00B25B13">
      <w:pPr>
        <w:spacing w:line="360" w:lineRule="auto"/>
        <w:jc w:val="center"/>
        <w:rPr>
          <w:rFonts w:eastAsiaTheme="minorHAnsi"/>
          <w:lang w:val="es-MX" w:eastAsia="en-US"/>
        </w:rPr>
      </w:pPr>
      <w:r w:rsidRPr="00B25B13">
        <w:rPr>
          <w:rFonts w:eastAsiaTheme="minorHAnsi"/>
          <w:noProof/>
          <w:lang w:val="es-MX" w:eastAsia="en-US"/>
        </w:rPr>
        <w:lastRenderedPageBreak/>
        <w:drawing>
          <wp:inline distT="0" distB="0" distL="0" distR="0" wp14:anchorId="1857D7C8" wp14:editId="7A0B3124">
            <wp:extent cx="2887188" cy="3011636"/>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a:extLst>
                        <a:ext uri="{28A0092B-C50C-407E-A947-70E740481C1C}">
                          <a14:useLocalDpi xmlns:a14="http://schemas.microsoft.com/office/drawing/2010/main" val="0"/>
                        </a:ext>
                      </a:extLst>
                    </a:blip>
                    <a:stretch>
                      <a:fillRect/>
                    </a:stretch>
                  </pic:blipFill>
                  <pic:spPr>
                    <a:xfrm>
                      <a:off x="0" y="0"/>
                      <a:ext cx="2891225" cy="3015847"/>
                    </a:xfrm>
                    <a:prstGeom prst="rect">
                      <a:avLst/>
                    </a:prstGeom>
                  </pic:spPr>
                </pic:pic>
              </a:graphicData>
            </a:graphic>
          </wp:inline>
        </w:drawing>
      </w:r>
    </w:p>
    <w:p w14:paraId="4EC8F299" w14:textId="77777777" w:rsidR="00B25B13" w:rsidRPr="00B25B13" w:rsidRDefault="00B25B13" w:rsidP="00B25B13">
      <w:pPr>
        <w:spacing w:line="360" w:lineRule="auto"/>
        <w:jc w:val="center"/>
        <w:rPr>
          <w:rFonts w:eastAsiaTheme="minorHAnsi"/>
          <w:sz w:val="22"/>
          <w:szCs w:val="22"/>
          <w:lang w:val="es-MX" w:eastAsia="en-US"/>
        </w:rPr>
      </w:pPr>
      <w:r w:rsidRPr="00B25B13">
        <w:rPr>
          <w:rFonts w:eastAsiaTheme="minorHAnsi"/>
          <w:b/>
          <w:sz w:val="22"/>
          <w:szCs w:val="22"/>
          <w:lang w:val="es-MX" w:eastAsia="en-US"/>
        </w:rPr>
        <w:t>Fig. 1 -</w:t>
      </w:r>
      <w:r w:rsidRPr="00B25B13">
        <w:rPr>
          <w:rFonts w:eastAsiaTheme="minorHAnsi"/>
          <w:sz w:val="22"/>
          <w:szCs w:val="22"/>
          <w:lang w:val="es-MX" w:eastAsia="en-US"/>
        </w:rPr>
        <w:t xml:space="preserve"> Capacidad discriminatoria de la escala predictiva como factor predictor de mortalidad.</w:t>
      </w:r>
    </w:p>
    <w:p w14:paraId="0E0FB938" w14:textId="77777777" w:rsidR="00B25B13" w:rsidRPr="00B25B13" w:rsidRDefault="00B25B13" w:rsidP="00B25B13">
      <w:pPr>
        <w:spacing w:line="360" w:lineRule="auto"/>
        <w:jc w:val="both"/>
        <w:rPr>
          <w:rFonts w:eastAsiaTheme="minorHAnsi"/>
          <w:lang w:val="es-MX" w:eastAsia="en-US"/>
        </w:rPr>
      </w:pPr>
    </w:p>
    <w:p w14:paraId="0C414076"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En la figura 2 se muestran las funciones de supervivencia de los pacientes a los 6 meses según los valores obtenidos de la escala predictiva. Existieron diferencias significativas al comparar a los pacientes según el valor de la escala estuviese por encima o no del punto de corte. La tasa de mortalidad fue mayor en aquellos pacientes que presentaron valores iguales o mayores a 4 puntos con respecto a aquellos con cifras menores (65,75 % vs. 14,58 %, p&lt; 0,001).</w:t>
      </w:r>
    </w:p>
    <w:p w14:paraId="3E529B4D"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Los pacientes con valores menores a 4 puntos presentaron media de supervivencia de 149,438 ± 7,296 días. En cambio, los que tenían valores iguales o superiores a 4 puntos presentaron media de supervivencia de 93,128 ± 8,545 días. </w:t>
      </w:r>
    </w:p>
    <w:p w14:paraId="021CA7CD" w14:textId="77777777" w:rsidR="00B25B13" w:rsidRPr="00B25B13" w:rsidRDefault="00B25B13" w:rsidP="00B25B13">
      <w:pPr>
        <w:spacing w:line="360" w:lineRule="auto"/>
        <w:jc w:val="both"/>
        <w:rPr>
          <w:rFonts w:eastAsiaTheme="minorHAnsi"/>
          <w:lang w:val="es-MX" w:eastAsia="en-US"/>
        </w:rPr>
      </w:pPr>
    </w:p>
    <w:p w14:paraId="205E1A3F" w14:textId="77777777" w:rsidR="00B25B13" w:rsidRPr="00B25B13" w:rsidRDefault="00B25B13" w:rsidP="00B25B13">
      <w:pPr>
        <w:spacing w:line="360" w:lineRule="auto"/>
        <w:jc w:val="center"/>
        <w:rPr>
          <w:rFonts w:eastAsiaTheme="minorHAnsi"/>
          <w:lang w:val="es-MX" w:eastAsia="en-US"/>
        </w:rPr>
      </w:pPr>
      <w:r w:rsidRPr="00B25B13">
        <w:rPr>
          <w:rFonts w:eastAsiaTheme="minorHAnsi"/>
          <w:noProof/>
          <w:lang w:val="es-MX" w:eastAsia="en-US"/>
        </w:rPr>
        <w:lastRenderedPageBreak/>
        <w:drawing>
          <wp:inline distT="0" distB="0" distL="0" distR="0" wp14:anchorId="2E99775A" wp14:editId="329A025B">
            <wp:extent cx="3686175" cy="2931992"/>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6">
                      <a:extLst>
                        <a:ext uri="{28A0092B-C50C-407E-A947-70E740481C1C}">
                          <a14:useLocalDpi xmlns:a14="http://schemas.microsoft.com/office/drawing/2010/main" val="0"/>
                        </a:ext>
                      </a:extLst>
                    </a:blip>
                    <a:stretch>
                      <a:fillRect/>
                    </a:stretch>
                  </pic:blipFill>
                  <pic:spPr>
                    <a:xfrm>
                      <a:off x="0" y="0"/>
                      <a:ext cx="3690161" cy="2935162"/>
                    </a:xfrm>
                    <a:prstGeom prst="rect">
                      <a:avLst/>
                    </a:prstGeom>
                  </pic:spPr>
                </pic:pic>
              </a:graphicData>
            </a:graphic>
          </wp:inline>
        </w:drawing>
      </w:r>
    </w:p>
    <w:p w14:paraId="5521B443" w14:textId="77777777" w:rsidR="00B25B13" w:rsidRPr="00B25B13" w:rsidRDefault="00B25B13" w:rsidP="00B25B13">
      <w:pPr>
        <w:spacing w:line="360" w:lineRule="auto"/>
        <w:jc w:val="center"/>
        <w:rPr>
          <w:rFonts w:eastAsiaTheme="minorHAnsi"/>
          <w:sz w:val="22"/>
          <w:szCs w:val="22"/>
          <w:lang w:val="es-MX" w:eastAsia="en-US"/>
        </w:rPr>
      </w:pPr>
      <w:r w:rsidRPr="00B25B13">
        <w:rPr>
          <w:rFonts w:eastAsiaTheme="minorHAnsi"/>
          <w:b/>
          <w:sz w:val="22"/>
          <w:szCs w:val="22"/>
          <w:lang w:val="es-MX" w:eastAsia="en-US"/>
        </w:rPr>
        <w:t>Fig. 2 -</w:t>
      </w:r>
      <w:r w:rsidRPr="00B25B13">
        <w:rPr>
          <w:rFonts w:eastAsiaTheme="minorHAnsi"/>
          <w:sz w:val="22"/>
          <w:szCs w:val="22"/>
          <w:lang w:val="es-MX" w:eastAsia="en-US"/>
        </w:rPr>
        <w:t xml:space="preserve"> Funciones de supervivencia global a los 6 meses según el valor obtenido en la escala predictiva.</w:t>
      </w:r>
    </w:p>
    <w:p w14:paraId="090D42DD" w14:textId="77777777" w:rsidR="00B25B13" w:rsidRPr="00B25B13" w:rsidRDefault="00B25B13" w:rsidP="00B25B13">
      <w:pPr>
        <w:spacing w:line="360" w:lineRule="auto"/>
        <w:jc w:val="both"/>
        <w:rPr>
          <w:rFonts w:eastAsiaTheme="minorHAnsi"/>
          <w:lang w:val="es-MX" w:eastAsia="en-US"/>
        </w:rPr>
      </w:pPr>
    </w:p>
    <w:p w14:paraId="5CCAC790" w14:textId="77777777" w:rsidR="00B25B13" w:rsidRPr="00B25B13" w:rsidRDefault="00B25B13" w:rsidP="00B25B13">
      <w:pPr>
        <w:spacing w:line="360" w:lineRule="auto"/>
        <w:jc w:val="center"/>
        <w:rPr>
          <w:rFonts w:eastAsiaTheme="minorHAnsi"/>
          <w:b/>
          <w:lang w:val="es-ES" w:eastAsia="en-US"/>
        </w:rPr>
      </w:pPr>
    </w:p>
    <w:p w14:paraId="6A56D0C0" w14:textId="77777777" w:rsidR="00B25B13" w:rsidRPr="00B25B13" w:rsidRDefault="00B25B13" w:rsidP="00B25B13">
      <w:pPr>
        <w:spacing w:line="360" w:lineRule="auto"/>
        <w:jc w:val="center"/>
        <w:rPr>
          <w:rFonts w:eastAsiaTheme="minorHAnsi"/>
          <w:b/>
          <w:sz w:val="32"/>
          <w:szCs w:val="32"/>
          <w:lang w:val="es-ES" w:eastAsia="en-US"/>
        </w:rPr>
      </w:pPr>
      <w:r w:rsidRPr="00B25B13">
        <w:rPr>
          <w:rFonts w:eastAsiaTheme="minorHAnsi"/>
          <w:b/>
          <w:sz w:val="32"/>
          <w:szCs w:val="32"/>
          <w:lang w:val="es-ES" w:eastAsia="en-US"/>
        </w:rPr>
        <w:t>DISCUSIÓN</w:t>
      </w:r>
    </w:p>
    <w:p w14:paraId="1F93561B" w14:textId="77777777" w:rsidR="00B25B13" w:rsidRPr="00B25B13" w:rsidRDefault="00B25B13" w:rsidP="00B25B13">
      <w:pPr>
        <w:spacing w:line="360" w:lineRule="auto"/>
        <w:jc w:val="both"/>
        <w:rPr>
          <w:rFonts w:eastAsia="Arial"/>
          <w:lang w:val="es-MX" w:eastAsia="en-US"/>
        </w:rPr>
      </w:pPr>
      <w:r w:rsidRPr="00B25B13">
        <w:rPr>
          <w:rFonts w:eastAsia="Arial"/>
          <w:lang w:val="es-MX" w:eastAsia="en-US"/>
        </w:rPr>
        <w:t xml:space="preserve">Los resultados de la presente investigación muestran que la escala predictiva propuesta es capaz de discriminar aquellos pacientes con ERC avanzada con mayor riesgo de mortalidad. </w:t>
      </w:r>
    </w:p>
    <w:p w14:paraId="725B030D" w14:textId="77777777" w:rsidR="00B25B13" w:rsidRPr="00B25B13" w:rsidRDefault="00B25B13" w:rsidP="00B25B13">
      <w:pPr>
        <w:spacing w:line="360" w:lineRule="auto"/>
        <w:jc w:val="both"/>
        <w:rPr>
          <w:rFonts w:eastAsiaTheme="minorHAnsi"/>
          <w:lang w:val="es-MX" w:eastAsia="en-US"/>
        </w:rPr>
      </w:pPr>
      <w:r w:rsidRPr="00B25B13">
        <w:rPr>
          <w:rFonts w:eastAsiaTheme="minorHAnsi"/>
          <w:i/>
          <w:lang w:val="es-MX" w:eastAsia="en-US"/>
        </w:rPr>
        <w:t xml:space="preserve">Schmidt </w:t>
      </w:r>
      <w:r w:rsidRPr="00B25B13">
        <w:rPr>
          <w:rFonts w:eastAsiaTheme="minorHAnsi"/>
          <w:iCs/>
          <w:lang w:val="es-MX" w:eastAsia="en-US"/>
        </w:rPr>
        <w:t>y otros</w:t>
      </w:r>
      <w:r w:rsidRPr="00B25B13">
        <w:rPr>
          <w:rFonts w:eastAsiaTheme="minorHAnsi"/>
          <w:vertAlign w:val="superscript"/>
          <w:lang w:val="es-MX" w:eastAsia="en-US"/>
        </w:rPr>
        <w:t xml:space="preserve">(18) </w:t>
      </w:r>
      <w:r w:rsidRPr="00B25B13">
        <w:rPr>
          <w:rFonts w:eastAsiaTheme="minorHAnsi"/>
          <w:lang w:val="es-MX" w:eastAsia="en-US"/>
        </w:rPr>
        <w:t xml:space="preserve">en un estudio de cohorte prospectivo que analizó 18 282 pacientes con ERC avanzada con el objetivo de desarrollar un modelo de predicción de mortalidad a los 12 meses y en el que se realizó regresión logística binaria demostraron que la edad y la albúmina tenían una relación lineal con la mortalidad. </w:t>
      </w:r>
    </w:p>
    <w:p w14:paraId="2891013C"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Como se evidencia en el estudio anterior, el modelo de regresión logística binaria es seguro y efectivo en la predicción de mortalidad de pacientes con ERC. Los valores de los indicadores de eficacia estadística varían teniendo en cuenta el tipo y la calidad de las variables analizadas, por lo que un modelo de regresión logística basado en variables seleccionadas de contextos propios puede identificar nuevos factores pronósticos y optimizar los ya conocidos. </w:t>
      </w:r>
    </w:p>
    <w:p w14:paraId="5DE929D8"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lastRenderedPageBreak/>
        <w:t xml:space="preserve">La edad avanzada tiene un rol esencial tanto en la progresión como en la mortalidad de los pacientes con ERC. En este estudio los pacientes fallecidos presentaron mediana de edad superiores a los vivos (65 años </w:t>
      </w:r>
      <w:r w:rsidRPr="00B25B13">
        <w:rPr>
          <w:rFonts w:eastAsiaTheme="minorHAnsi"/>
          <w:iCs/>
          <w:lang w:val="es-MX" w:eastAsia="en-US"/>
        </w:rPr>
        <w:t>vs.</w:t>
      </w:r>
      <w:r w:rsidRPr="00B25B13">
        <w:rPr>
          <w:rFonts w:eastAsiaTheme="minorHAnsi"/>
          <w:lang w:val="es-MX" w:eastAsia="en-US"/>
        </w:rPr>
        <w:t xml:space="preserve"> 54 años). </w:t>
      </w:r>
    </w:p>
    <w:p w14:paraId="54F73582"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Un estudio de cohortes transversales y prospectivas que incluyó pacientes de China y EE. UU. en el cual se incluyeron personas mayores de 65 años demostró que los pacientes con edad avanzada tenían peores niveles de biomarcadores relacionados con la enfermedad renal y la mortalidad fue mayor.</w:t>
      </w:r>
      <w:r w:rsidRPr="00B25B13">
        <w:rPr>
          <w:rFonts w:eastAsiaTheme="minorHAnsi"/>
          <w:vertAlign w:val="superscript"/>
          <w:lang w:val="es-MX" w:eastAsia="en-US"/>
        </w:rPr>
        <w:t xml:space="preserve">(19) </w:t>
      </w:r>
    </w:p>
    <w:p w14:paraId="2ACCA79A"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La enfermedad cardiovascular es la primera causa en la mortalidad de los pacientes con ERC. Los pacientes con disfunción renal crónica presentan calcificación vascular, ateroesclerosis avanzada y rigidez valvular. Estos fenómenos son capaces de favorecer el desarrollo de hipertrofia ventricular izquierda, insuficiencia cardíaca, arritmias y paro cardíaco.</w:t>
      </w:r>
      <w:r w:rsidRPr="00B25B13">
        <w:rPr>
          <w:rFonts w:eastAsiaTheme="minorHAnsi"/>
          <w:vertAlign w:val="superscript"/>
          <w:lang w:val="es-MX" w:eastAsia="en-US"/>
        </w:rPr>
        <w:t xml:space="preserve">(20) </w:t>
      </w:r>
    </w:p>
    <w:p w14:paraId="08467D97"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La tendencia a la disminución de la albúmina sérica se asocia a los resultados adversos y a la mortalidad. </w:t>
      </w:r>
      <w:r w:rsidRPr="00B25B13">
        <w:rPr>
          <w:rFonts w:eastAsiaTheme="minorHAnsi"/>
          <w:i/>
          <w:lang w:val="es-MX" w:eastAsia="en-US"/>
        </w:rPr>
        <w:t xml:space="preserve">Zeng </w:t>
      </w:r>
      <w:r w:rsidRPr="00B25B13">
        <w:rPr>
          <w:rFonts w:eastAsiaTheme="minorHAnsi"/>
          <w:iCs/>
          <w:lang w:val="es-MX" w:eastAsia="en-US"/>
        </w:rPr>
        <w:t>y otros</w:t>
      </w:r>
      <w:r w:rsidRPr="00B25B13">
        <w:rPr>
          <w:rFonts w:eastAsiaTheme="minorHAnsi"/>
          <w:vertAlign w:val="superscript"/>
          <w:lang w:val="es-MX" w:eastAsia="en-US"/>
        </w:rPr>
        <w:t xml:space="preserve">(21) </w:t>
      </w:r>
      <w:r w:rsidRPr="00B25B13">
        <w:rPr>
          <w:rFonts w:eastAsiaTheme="minorHAnsi"/>
          <w:lang w:val="es-MX" w:eastAsia="en-US"/>
        </w:rPr>
        <w:t>investigaron la asociación entre las concentraciones de albúmina sérica y el riesgo de paro cardíaco en pacientes con ERC. En los 4990 pacientes estudiados, por cada 1 g/</w:t>
      </w:r>
      <w:proofErr w:type="spellStart"/>
      <w:r w:rsidRPr="00B25B13">
        <w:rPr>
          <w:rFonts w:eastAsiaTheme="minorHAnsi"/>
          <w:lang w:val="es-MX" w:eastAsia="en-US"/>
        </w:rPr>
        <w:t>dL</w:t>
      </w:r>
      <w:proofErr w:type="spellEnd"/>
      <w:r w:rsidRPr="00B25B13">
        <w:rPr>
          <w:rFonts w:eastAsiaTheme="minorHAnsi"/>
          <w:lang w:val="es-MX" w:eastAsia="en-US"/>
        </w:rPr>
        <w:t xml:space="preserve"> de aumento de la albúmina se relacionó con una disminución del 68 % del riesgo de mortalidad cardiovascular. </w:t>
      </w:r>
    </w:p>
    <w:p w14:paraId="134CB7A4"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En esta investigación se identificó como variable pronóstico, la hemoglobina menor a 10 g/</w:t>
      </w:r>
      <w:proofErr w:type="spellStart"/>
      <w:r w:rsidRPr="00B25B13">
        <w:rPr>
          <w:rFonts w:eastAsiaTheme="minorHAnsi"/>
          <w:lang w:val="es-MX" w:eastAsia="en-US"/>
        </w:rPr>
        <w:t>dL</w:t>
      </w:r>
      <w:proofErr w:type="spellEnd"/>
      <w:r w:rsidRPr="00B25B13">
        <w:rPr>
          <w:rFonts w:eastAsiaTheme="minorHAnsi"/>
          <w:lang w:val="es-MX" w:eastAsia="en-US"/>
        </w:rPr>
        <w:t>. En el grupo fallecidos y de forma general las cifras de hemoglobina estuvieron disminuidas. La anemia en el paciente con ERC es de causa multifactorial pero el uso de agentes estimulantes de la eritropoyetina y suplementos de hierro inciden considerablemente en los resultados de la supervivencia.</w:t>
      </w:r>
    </w:p>
    <w:p w14:paraId="012DC162" w14:textId="77777777" w:rsidR="00B25B13" w:rsidRPr="00B25B13" w:rsidRDefault="00B25B13" w:rsidP="00B25B13">
      <w:pPr>
        <w:spacing w:line="360" w:lineRule="auto"/>
        <w:jc w:val="both"/>
        <w:rPr>
          <w:rFonts w:eastAsiaTheme="minorHAnsi"/>
          <w:lang w:val="es-MX" w:eastAsia="en-US"/>
        </w:rPr>
      </w:pPr>
      <w:proofErr w:type="spellStart"/>
      <w:r w:rsidRPr="00B25B13">
        <w:rPr>
          <w:rFonts w:eastAsiaTheme="minorHAnsi"/>
          <w:i/>
          <w:iCs/>
          <w:lang w:val="es-MX" w:eastAsia="en-US"/>
        </w:rPr>
        <w:t>Wittbrodt</w:t>
      </w:r>
      <w:proofErr w:type="spellEnd"/>
      <w:r w:rsidRPr="00B25B13">
        <w:rPr>
          <w:rFonts w:eastAsiaTheme="minorHAnsi"/>
          <w:lang w:val="es-MX" w:eastAsia="en-US"/>
        </w:rPr>
        <w:t xml:space="preserve"> y otros</w:t>
      </w:r>
      <w:r w:rsidRPr="00B25B13">
        <w:rPr>
          <w:rFonts w:eastAsiaTheme="minorHAnsi"/>
          <w:vertAlign w:val="superscript"/>
          <w:lang w:val="es-MX" w:eastAsia="en-US"/>
        </w:rPr>
        <w:t xml:space="preserve">(22) </w:t>
      </w:r>
      <w:r w:rsidRPr="00B25B13">
        <w:rPr>
          <w:rFonts w:eastAsiaTheme="minorHAnsi"/>
          <w:lang w:val="es-MX" w:eastAsia="en-US"/>
        </w:rPr>
        <w:t>caracterizaron 22 720 pacientes con ERC en un estudio longitudinal retrospectivo realizado en EE. UU. El 23,3 % de los pacientes presentó anemia, la prevalencia de esta fue mayor en los pacientes en estadio 4 y aquellos en terapias en reemplazo renal y se asoció a mayor tasa de hospitalizaciones, progresión de la enfermedad renal y mortalidad.</w:t>
      </w:r>
    </w:p>
    <w:p w14:paraId="536085EC"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La dislipidemia y el ácido úrico &gt; 390 mmol/L fueron otras variables que se asociaron de forma significativa a la mortalidad. En cuanto al ácido úrico, es bien reconocida la importancia de su análisis de forma longitudinal, ya que su elevación se asocia a mayor riesgo de diálisis y mortalidad. Además, presenta una forma de "U" en la supervivencia teniendo en cuenta que aquellos pacientes con valores elevados presentan riesgo incrementado de mortalidad. Las sales de urato ocasionan disfunción endotelial, activación del sistema renina angiotensina aldosterona y atrofia tubular renal.</w:t>
      </w:r>
    </w:p>
    <w:p w14:paraId="38FE86DA"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lastRenderedPageBreak/>
        <w:t xml:space="preserve">La presente investigación presentó como limitación que se utilizó un tamaño de muestra relativamente pequeño relacionado con la cantidad real de pacientes con ERC avanzada en el contexto estudiado, aun así, los resultados obtenidos pueden ser considerados en el seguimiento de los pacientes con enfermedad renal crónica. En la actualidad, se implementa el modelo desarrollado para su aplicación práctica en las consultas de enfermedad renal crónica avanzada. </w:t>
      </w:r>
    </w:p>
    <w:p w14:paraId="17882F84"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La escala predictiva compuesta por 6 variables contribuye a la estratificación del riesgo de mortalidad de los pacientes con ERC. La escala muestra buena capacidad discriminatoria y calibración. Las variables incluidas son de fácil determinación e interpretación por lo que se considera como un modelo de útil implementación en la toma de decisiones médicas en el ámbito clínico actual.</w:t>
      </w:r>
    </w:p>
    <w:p w14:paraId="5E939805" w14:textId="77777777" w:rsidR="00B25B13" w:rsidRPr="00B25B13" w:rsidRDefault="00B25B13" w:rsidP="00B25B13">
      <w:pPr>
        <w:spacing w:line="360" w:lineRule="auto"/>
        <w:jc w:val="both"/>
        <w:rPr>
          <w:lang w:val="es-MX" w:eastAsia="es-ES"/>
        </w:rPr>
      </w:pPr>
      <w:r w:rsidRPr="00B25B13">
        <w:rPr>
          <w:lang w:val="es-MX" w:eastAsia="es-ES"/>
        </w:rPr>
        <w:t>Se recomienda realizar investigaciones de validación interna y externa de la escala predictiva en cohortes con mayores muestras de estimación.</w:t>
      </w:r>
    </w:p>
    <w:p w14:paraId="5F3BD314" w14:textId="77777777" w:rsidR="00B25B13" w:rsidRPr="00B25B13" w:rsidRDefault="00B25B13" w:rsidP="00B25B13">
      <w:pPr>
        <w:spacing w:line="360" w:lineRule="auto"/>
        <w:jc w:val="both"/>
        <w:rPr>
          <w:rFonts w:eastAsiaTheme="minorHAnsi"/>
          <w:lang w:val="es-MX" w:eastAsia="en-US"/>
        </w:rPr>
      </w:pPr>
    </w:p>
    <w:p w14:paraId="151D8940" w14:textId="77777777" w:rsidR="00B25B13" w:rsidRPr="00B25B13" w:rsidRDefault="00B25B13" w:rsidP="00B25B13">
      <w:pPr>
        <w:spacing w:line="360" w:lineRule="auto"/>
        <w:jc w:val="center"/>
        <w:rPr>
          <w:rFonts w:eastAsiaTheme="minorHAnsi"/>
          <w:b/>
          <w:lang w:val="es-ES" w:eastAsia="en-US"/>
        </w:rPr>
      </w:pPr>
    </w:p>
    <w:p w14:paraId="29270DB4" w14:textId="77777777" w:rsidR="00B25B13" w:rsidRPr="00B25B13" w:rsidRDefault="00B25B13" w:rsidP="00B25B13">
      <w:pPr>
        <w:spacing w:line="360" w:lineRule="auto"/>
        <w:jc w:val="center"/>
        <w:rPr>
          <w:rFonts w:eastAsiaTheme="minorHAnsi"/>
          <w:b/>
          <w:sz w:val="32"/>
          <w:szCs w:val="32"/>
          <w:lang w:val="es-ES" w:eastAsia="en-US"/>
        </w:rPr>
      </w:pPr>
      <w:r w:rsidRPr="00B25B13">
        <w:rPr>
          <w:rFonts w:eastAsiaTheme="minorHAnsi"/>
          <w:b/>
          <w:sz w:val="32"/>
          <w:szCs w:val="32"/>
          <w:lang w:val="es-ES" w:eastAsia="en-US"/>
        </w:rPr>
        <w:t>REFERENCIAS BIBLIOGRÁFICAS</w:t>
      </w:r>
    </w:p>
    <w:p w14:paraId="5A4587BC" w14:textId="77777777" w:rsidR="00B25B13" w:rsidRPr="00B25B13" w:rsidRDefault="00B25B13" w:rsidP="00B25B13">
      <w:pPr>
        <w:spacing w:line="360" w:lineRule="auto"/>
        <w:rPr>
          <w:lang w:val="es-MX" w:eastAsia="es-ES"/>
        </w:rPr>
      </w:pPr>
      <w:r w:rsidRPr="00B25B13">
        <w:rPr>
          <w:lang w:val="es-MX" w:eastAsia="es-ES"/>
        </w:rPr>
        <w:t xml:space="preserve">1. Bello A, </w:t>
      </w:r>
      <w:proofErr w:type="spellStart"/>
      <w:r w:rsidRPr="00B25B13">
        <w:rPr>
          <w:lang w:val="es-MX" w:eastAsia="es-ES"/>
        </w:rPr>
        <w:t>Okpechi</w:t>
      </w:r>
      <w:proofErr w:type="spellEnd"/>
      <w:r w:rsidRPr="00B25B13">
        <w:rPr>
          <w:lang w:val="es-MX" w:eastAsia="es-ES"/>
        </w:rPr>
        <w:t xml:space="preserve"> I, Osman M, Cho Y, </w:t>
      </w:r>
      <w:proofErr w:type="spellStart"/>
      <w:r w:rsidRPr="00B25B13">
        <w:rPr>
          <w:lang w:val="es-MX" w:eastAsia="es-ES"/>
        </w:rPr>
        <w:t>Htay</w:t>
      </w:r>
      <w:proofErr w:type="spellEnd"/>
      <w:r w:rsidRPr="00B25B13">
        <w:rPr>
          <w:lang w:val="es-MX" w:eastAsia="es-ES"/>
        </w:rPr>
        <w:t xml:space="preserve"> H, </w:t>
      </w:r>
      <w:proofErr w:type="spellStart"/>
      <w:r w:rsidRPr="00B25B13">
        <w:rPr>
          <w:lang w:val="es-MX" w:eastAsia="es-ES"/>
        </w:rPr>
        <w:t>Jha</w:t>
      </w:r>
      <w:proofErr w:type="spellEnd"/>
      <w:r w:rsidRPr="00B25B13">
        <w:rPr>
          <w:lang w:val="es-MX" w:eastAsia="es-ES"/>
        </w:rPr>
        <w:t xml:space="preserve"> V, et al. </w:t>
      </w:r>
      <w:r w:rsidRPr="00B25B13">
        <w:rPr>
          <w:lang w:val="en-US" w:eastAsia="es-ES"/>
        </w:rPr>
        <w:t xml:space="preserve">Epidemiology of hemodialysis outcomes. Nature Reviews Nephrology. </w:t>
      </w:r>
      <w:r w:rsidRPr="00B25B13">
        <w:rPr>
          <w:lang w:val="es-MX" w:eastAsia="es-ES"/>
        </w:rPr>
        <w:t xml:space="preserve">2022 </w:t>
      </w:r>
      <w:r w:rsidRPr="00B25B13">
        <w:rPr>
          <w:bCs/>
          <w:lang w:val="es-MX" w:eastAsia="es-ES"/>
        </w:rPr>
        <w:t>[acceso: 15/05/2023]</w:t>
      </w:r>
      <w:r w:rsidRPr="00B25B13">
        <w:rPr>
          <w:lang w:val="es-MX" w:eastAsia="es-ES"/>
        </w:rPr>
        <w:t xml:space="preserve">;18(6):378-95. DOI: </w:t>
      </w:r>
      <w:r w:rsidRPr="00B25B13">
        <w:rPr>
          <w:lang w:val="es-MX" w:eastAsia="es-ES"/>
        </w:rPr>
        <w:fldChar w:fldCharType="begin"/>
      </w:r>
      <w:r w:rsidRPr="00B25B13">
        <w:rPr>
          <w:lang w:val="es-MX" w:eastAsia="es-ES"/>
        </w:rPr>
        <w:instrText xml:space="preserve"> HYPERLINK "https://doi.org/10.1038/s41581-022-00542-7 </w:instrText>
      </w:r>
    </w:p>
    <w:p w14:paraId="38750CDE" w14:textId="77777777" w:rsidR="00B25B13" w:rsidRPr="00B25B13" w:rsidRDefault="00B25B13" w:rsidP="00B25B13">
      <w:pPr>
        <w:spacing w:line="360" w:lineRule="auto"/>
        <w:rPr>
          <w:lang w:val="es-MX" w:eastAsia="es-ES"/>
        </w:rPr>
      </w:pPr>
      <w:r w:rsidRPr="00B25B13">
        <w:rPr>
          <w:lang w:val="es-MX" w:eastAsia="es-ES"/>
        </w:rPr>
        <w:instrText xml:space="preserve">2" </w:instrText>
      </w:r>
      <w:r w:rsidRPr="00B25B13">
        <w:rPr>
          <w:lang w:val="es-MX" w:eastAsia="es-ES"/>
        </w:rPr>
        <w:fldChar w:fldCharType="separate"/>
      </w:r>
      <w:r w:rsidRPr="00B25B13">
        <w:rPr>
          <w:color w:val="0000FF"/>
          <w:lang w:val="es-MX" w:eastAsia="es-ES"/>
        </w:rPr>
        <w:t xml:space="preserve">10.1038/s41581-022-00542-7 </w:t>
      </w:r>
      <w:r w:rsidRPr="00B25B13">
        <w:rPr>
          <w:lang w:val="es-MX" w:eastAsia="es-ES"/>
        </w:rPr>
        <w:fldChar w:fldCharType="end"/>
      </w:r>
    </w:p>
    <w:p w14:paraId="7D7B64C1" w14:textId="77777777" w:rsidR="00B25B13" w:rsidRPr="00B25B13" w:rsidRDefault="00B25B13" w:rsidP="00B25B13">
      <w:pPr>
        <w:spacing w:line="360" w:lineRule="auto"/>
        <w:rPr>
          <w:color w:val="0000FF"/>
          <w:lang w:val="es-MX" w:eastAsia="es-ES"/>
        </w:rPr>
      </w:pPr>
      <w:r w:rsidRPr="00B25B13">
        <w:rPr>
          <w:lang w:val="es-MX" w:eastAsia="es-ES"/>
        </w:rPr>
        <w:t xml:space="preserve">2. Anuario Estadístico de Salud, 2021. Ministerio de Salud Pública. Dirección de Registros médicos y Estadísticas de salud. La Habana, 2022. </w:t>
      </w:r>
      <w:r w:rsidRPr="00B25B13">
        <w:rPr>
          <w:bCs/>
          <w:lang w:val="es-ES" w:eastAsia="es-ES"/>
        </w:rPr>
        <w:t xml:space="preserve">[acceso: 15/05/2023]. </w:t>
      </w:r>
      <w:r w:rsidRPr="00B25B13">
        <w:rPr>
          <w:lang w:val="es-MX" w:eastAsia="es-ES"/>
        </w:rPr>
        <w:t xml:space="preserve">Disponible en: </w:t>
      </w:r>
      <w:hyperlink r:id="rId17" w:history="1">
        <w:r w:rsidRPr="00B25B13">
          <w:rPr>
            <w:color w:val="0000FF"/>
            <w:lang w:val="es-MX" w:eastAsia="es-ES"/>
          </w:rPr>
          <w:t>http://bvscuba.sld.cu/anuario-estadistico-de-cuba/</w:t>
        </w:r>
      </w:hyperlink>
    </w:p>
    <w:p w14:paraId="01D54497" w14:textId="77777777" w:rsidR="00B25B13" w:rsidRPr="00B25B13" w:rsidRDefault="00B25B13" w:rsidP="00B25B13">
      <w:pPr>
        <w:spacing w:line="360" w:lineRule="auto"/>
        <w:rPr>
          <w:lang w:val="es-MX" w:eastAsia="es-ES"/>
        </w:rPr>
      </w:pPr>
      <w:r w:rsidRPr="00B25B13">
        <w:rPr>
          <w:lang w:val="en-US" w:eastAsia="es-ES"/>
        </w:rPr>
        <w:t xml:space="preserve">3. Khoo C, Gao F, Choong H. Death and cardiovascular outcomes in end-stage renal failure patients on different modalities of dialysis. </w:t>
      </w:r>
      <w:r w:rsidRPr="00B25B13">
        <w:rPr>
          <w:lang w:val="es-MX" w:eastAsia="es-ES"/>
        </w:rPr>
        <w:t xml:space="preserve">Ann Acad </w:t>
      </w:r>
      <w:proofErr w:type="spellStart"/>
      <w:r w:rsidRPr="00B25B13">
        <w:rPr>
          <w:lang w:val="es-MX" w:eastAsia="es-ES"/>
        </w:rPr>
        <w:t>Med</w:t>
      </w:r>
      <w:proofErr w:type="spellEnd"/>
      <w:r w:rsidRPr="00B25B13">
        <w:rPr>
          <w:lang w:val="es-MX" w:eastAsia="es-ES"/>
        </w:rPr>
        <w:t xml:space="preserve"> </w:t>
      </w:r>
      <w:proofErr w:type="spellStart"/>
      <w:r w:rsidRPr="00B25B13">
        <w:rPr>
          <w:lang w:val="es-MX" w:eastAsia="es-ES"/>
        </w:rPr>
        <w:t>Singap</w:t>
      </w:r>
      <w:proofErr w:type="spellEnd"/>
      <w:r w:rsidRPr="00B25B13">
        <w:rPr>
          <w:lang w:val="es-MX" w:eastAsia="es-ES"/>
        </w:rPr>
        <w:t xml:space="preserve">. 2022 </w:t>
      </w:r>
      <w:r w:rsidRPr="00B25B13">
        <w:rPr>
          <w:bCs/>
          <w:lang w:val="es-ES" w:eastAsia="es-ES"/>
        </w:rPr>
        <w:t>[acceso: 15/05/2023]</w:t>
      </w:r>
      <w:r w:rsidRPr="00B25B13">
        <w:rPr>
          <w:lang w:val="es-MX" w:eastAsia="es-ES"/>
        </w:rPr>
        <w:t xml:space="preserve">;51(3):136-42. DOI:  </w:t>
      </w:r>
      <w:r w:rsidRPr="00B25B13">
        <w:rPr>
          <w:lang w:val="en-US" w:eastAsia="es-ES"/>
        </w:rPr>
        <w:fldChar w:fldCharType="begin"/>
      </w:r>
      <w:r w:rsidRPr="00B25B13">
        <w:rPr>
          <w:lang w:val="es-MX" w:eastAsia="es-ES"/>
        </w:rPr>
        <w:instrText xml:space="preserve"> HYPERLINK "https://doi.org/10.47102/annals-acadmedsg.20219 </w:instrText>
      </w:r>
    </w:p>
    <w:p w14:paraId="6DB50DB9" w14:textId="77777777" w:rsidR="00B25B13" w:rsidRPr="00B25B13" w:rsidRDefault="00B25B13" w:rsidP="00B25B13">
      <w:pPr>
        <w:spacing w:line="360" w:lineRule="auto"/>
        <w:rPr>
          <w:color w:val="0000FF"/>
          <w:lang w:val="es-MX" w:eastAsia="es-ES"/>
        </w:rPr>
      </w:pPr>
      <w:r w:rsidRPr="00B25B13">
        <w:rPr>
          <w:lang w:val="es-MX" w:eastAsia="es-ES"/>
        </w:rPr>
        <w:instrText xml:space="preserve">4" </w:instrText>
      </w:r>
      <w:r w:rsidRPr="00B25B13">
        <w:rPr>
          <w:lang w:val="en-US" w:eastAsia="es-ES"/>
        </w:rPr>
        <w:fldChar w:fldCharType="separate"/>
      </w:r>
      <w:r w:rsidRPr="00B25B13">
        <w:rPr>
          <w:color w:val="0000FF"/>
          <w:lang w:val="es-MX" w:eastAsia="es-ES"/>
        </w:rPr>
        <w:t xml:space="preserve">10.47102/annals-acadmedsg.20219 </w:t>
      </w:r>
    </w:p>
    <w:p w14:paraId="55DC6D3E" w14:textId="77777777" w:rsidR="00B25B13" w:rsidRPr="00B25B13" w:rsidRDefault="00B25B13" w:rsidP="00B25B13">
      <w:pPr>
        <w:spacing w:line="360" w:lineRule="auto"/>
        <w:rPr>
          <w:lang w:val="es-ES" w:eastAsia="es-ES"/>
        </w:rPr>
      </w:pPr>
      <w:r w:rsidRPr="00B25B13">
        <w:rPr>
          <w:lang w:val="es-MX" w:eastAsia="es-ES"/>
        </w:rPr>
        <w:t>4</w:t>
      </w:r>
      <w:r w:rsidRPr="00B25B13">
        <w:rPr>
          <w:lang w:val="en-US" w:eastAsia="es-ES"/>
        </w:rPr>
        <w:fldChar w:fldCharType="end"/>
      </w:r>
      <w:r w:rsidRPr="00B25B13">
        <w:rPr>
          <w:lang w:val="es-MX" w:eastAsia="es-ES"/>
        </w:rPr>
        <w:t xml:space="preserve">. </w:t>
      </w:r>
      <w:r w:rsidRPr="00B25B13">
        <w:rPr>
          <w:lang w:val="es-ES" w:eastAsia="es-ES"/>
        </w:rPr>
        <w:t xml:space="preserve">González-Milán ZC, Escalona-González SO, Ramírez-Fernández A. Factores pronósticos de mortalidad en pacientes con insuficiencia renal crónica terminal en terapia </w:t>
      </w:r>
      <w:proofErr w:type="spellStart"/>
      <w:r w:rsidRPr="00B25B13">
        <w:rPr>
          <w:lang w:val="es-ES" w:eastAsia="es-ES"/>
        </w:rPr>
        <w:t>hemodialítica</w:t>
      </w:r>
      <w:proofErr w:type="spellEnd"/>
      <w:r w:rsidRPr="00B25B13">
        <w:rPr>
          <w:lang w:val="es-ES" w:eastAsia="es-ES"/>
        </w:rPr>
        <w:t xml:space="preserve">. Revista Electrónica Dr. Zoilo E. </w:t>
      </w:r>
      <w:proofErr w:type="spellStart"/>
      <w:r w:rsidRPr="00B25B13">
        <w:rPr>
          <w:lang w:val="es-ES" w:eastAsia="es-ES"/>
        </w:rPr>
        <w:t>Marinello</w:t>
      </w:r>
      <w:proofErr w:type="spellEnd"/>
      <w:r w:rsidRPr="00B25B13">
        <w:rPr>
          <w:lang w:val="es-ES" w:eastAsia="es-ES"/>
        </w:rPr>
        <w:t xml:space="preserve"> Vidaurreta. 2019 </w:t>
      </w:r>
      <w:r w:rsidRPr="00B25B13">
        <w:rPr>
          <w:bCs/>
          <w:lang w:val="es-ES" w:eastAsia="es-ES"/>
        </w:rPr>
        <w:t>[acceso: 15/05/2023]</w:t>
      </w:r>
      <w:r w:rsidRPr="00B25B13">
        <w:rPr>
          <w:lang w:val="es-ES" w:eastAsia="es-ES"/>
        </w:rPr>
        <w:t xml:space="preserve">; 44(6):1-14. Disponible en: </w:t>
      </w:r>
      <w:hyperlink r:id="rId18" w:history="1">
        <w:r w:rsidRPr="00B25B13">
          <w:rPr>
            <w:color w:val="0000FF"/>
            <w:lang w:val="es-ES" w:eastAsia="es-ES"/>
          </w:rPr>
          <w:t>http://revzoilomarinello.sld.cu/index.php/zmv/article/view/2041</w:t>
        </w:r>
      </w:hyperlink>
      <w:r w:rsidRPr="00B25B13">
        <w:rPr>
          <w:lang w:val="es-ES" w:eastAsia="es-ES"/>
        </w:rPr>
        <w:t xml:space="preserve"> </w:t>
      </w:r>
    </w:p>
    <w:p w14:paraId="0457B7D2" w14:textId="77777777" w:rsidR="00B25B13" w:rsidRPr="00B25B13" w:rsidRDefault="00B25B13" w:rsidP="00B25B13">
      <w:pPr>
        <w:spacing w:line="360" w:lineRule="auto"/>
        <w:rPr>
          <w:lang w:val="es-ES" w:eastAsia="es-ES"/>
        </w:rPr>
      </w:pPr>
      <w:r w:rsidRPr="00B25B13">
        <w:rPr>
          <w:lang w:val="es-ES" w:eastAsia="es-ES"/>
        </w:rPr>
        <w:lastRenderedPageBreak/>
        <w:t xml:space="preserve">5. Escalona González SO, González Milán ZC. Inteligencia artificial en la predicción de mortalidad por enfermedad renal crónica. </w:t>
      </w:r>
      <w:proofErr w:type="spellStart"/>
      <w:r w:rsidRPr="00B25B13">
        <w:rPr>
          <w:lang w:val="es-ES" w:eastAsia="es-ES"/>
        </w:rPr>
        <w:t>An</w:t>
      </w:r>
      <w:proofErr w:type="spellEnd"/>
      <w:r w:rsidRPr="00B25B13">
        <w:rPr>
          <w:lang w:val="es-ES" w:eastAsia="es-ES"/>
        </w:rPr>
        <w:t xml:space="preserve"> Acad </w:t>
      </w:r>
      <w:proofErr w:type="spellStart"/>
      <w:r w:rsidRPr="00B25B13">
        <w:rPr>
          <w:lang w:val="es-ES" w:eastAsia="es-ES"/>
        </w:rPr>
        <w:t>Cienc</w:t>
      </w:r>
      <w:proofErr w:type="spellEnd"/>
      <w:r w:rsidRPr="00B25B13">
        <w:rPr>
          <w:lang w:val="es-ES" w:eastAsia="es-ES"/>
        </w:rPr>
        <w:t xml:space="preserve"> Cuba. 2022 </w:t>
      </w:r>
      <w:r w:rsidRPr="00B25B13">
        <w:rPr>
          <w:bCs/>
          <w:lang w:val="es-ES" w:eastAsia="es-ES"/>
        </w:rPr>
        <w:t>[acceso: 15/05/2023]</w:t>
      </w:r>
      <w:r w:rsidRPr="00B25B13">
        <w:rPr>
          <w:lang w:val="es-ES" w:eastAsia="es-ES"/>
        </w:rPr>
        <w:t xml:space="preserve">;12(3):e1292. Disponible en: </w:t>
      </w:r>
      <w:hyperlink r:id="rId19" w:history="1">
        <w:r w:rsidRPr="00B25B13">
          <w:rPr>
            <w:color w:val="0000FF"/>
            <w:lang w:val="es-ES" w:eastAsia="es-ES"/>
          </w:rPr>
          <w:t>http://www.revistaccuba.cu/index.php/revacc/article/view/1292</w:t>
        </w:r>
      </w:hyperlink>
    </w:p>
    <w:p w14:paraId="3433B407" w14:textId="77777777" w:rsidR="00B25B13" w:rsidRPr="00B25B13" w:rsidRDefault="00B25B13" w:rsidP="00B25B13">
      <w:pPr>
        <w:spacing w:line="360" w:lineRule="auto"/>
        <w:rPr>
          <w:lang w:val="es-ES" w:eastAsia="es-ES"/>
        </w:rPr>
      </w:pPr>
      <w:r w:rsidRPr="00B25B13">
        <w:rPr>
          <w:lang w:val="en-US" w:eastAsia="es-ES"/>
        </w:rPr>
        <w:t xml:space="preserve">6. </w:t>
      </w:r>
      <w:proofErr w:type="spellStart"/>
      <w:r w:rsidRPr="00B25B13">
        <w:rPr>
          <w:lang w:val="en-US" w:eastAsia="es-ES"/>
        </w:rPr>
        <w:t>Belur</w:t>
      </w:r>
      <w:proofErr w:type="spellEnd"/>
      <w:r w:rsidRPr="00B25B13">
        <w:rPr>
          <w:lang w:val="en-US" w:eastAsia="es-ES"/>
        </w:rPr>
        <w:t xml:space="preserve"> Nagaraj S, Pena MJ, Ju W, The </w:t>
      </w:r>
      <w:proofErr w:type="spellStart"/>
      <w:r w:rsidRPr="00B25B13">
        <w:rPr>
          <w:lang w:val="en-US" w:eastAsia="es-ES"/>
        </w:rPr>
        <w:t>BEAt</w:t>
      </w:r>
      <w:proofErr w:type="spellEnd"/>
      <w:r w:rsidRPr="00B25B13">
        <w:rPr>
          <w:lang w:val="en-US" w:eastAsia="es-ES"/>
        </w:rPr>
        <w:t xml:space="preserve">-DKD Consortium. Machine-learning– based early prediction of end-stage renal disease in patients with diabetic kidney disease using clinical trials data. </w:t>
      </w:r>
      <w:r w:rsidRPr="00B25B13">
        <w:rPr>
          <w:lang w:val="es-MX" w:eastAsia="es-ES"/>
        </w:rPr>
        <w:t xml:space="preserve">Diabetes </w:t>
      </w:r>
      <w:proofErr w:type="spellStart"/>
      <w:r w:rsidRPr="00B25B13">
        <w:rPr>
          <w:lang w:val="es-MX" w:eastAsia="es-ES"/>
        </w:rPr>
        <w:t>Obes</w:t>
      </w:r>
      <w:proofErr w:type="spellEnd"/>
      <w:r w:rsidRPr="00B25B13">
        <w:rPr>
          <w:lang w:val="es-MX" w:eastAsia="es-ES"/>
        </w:rPr>
        <w:t xml:space="preserve"> </w:t>
      </w:r>
      <w:proofErr w:type="spellStart"/>
      <w:r w:rsidRPr="00B25B13">
        <w:rPr>
          <w:lang w:val="es-MX" w:eastAsia="es-ES"/>
        </w:rPr>
        <w:t>Metab</w:t>
      </w:r>
      <w:proofErr w:type="spellEnd"/>
      <w:r w:rsidRPr="00B25B13">
        <w:rPr>
          <w:lang w:val="es-MX" w:eastAsia="es-ES"/>
        </w:rPr>
        <w:t xml:space="preserve">. 2020 </w:t>
      </w:r>
      <w:r w:rsidRPr="00B25B13">
        <w:rPr>
          <w:bCs/>
          <w:lang w:val="es-ES" w:eastAsia="es-ES"/>
        </w:rPr>
        <w:t>[acceso:15/05/2023]</w:t>
      </w:r>
      <w:r w:rsidRPr="00B25B13">
        <w:rPr>
          <w:lang w:val="es-MX" w:eastAsia="es-ES"/>
        </w:rPr>
        <w:t xml:space="preserve">;22(12):2479–86. DOI: </w:t>
      </w:r>
      <w:hyperlink r:id="rId20" w:history="1">
        <w:r w:rsidRPr="00B25B13">
          <w:rPr>
            <w:color w:val="0000FF"/>
            <w:lang w:val="es-MX" w:eastAsia="es-ES"/>
          </w:rPr>
          <w:t>10.1111/dom.14178</w:t>
        </w:r>
      </w:hyperlink>
    </w:p>
    <w:p w14:paraId="3E8E47FC" w14:textId="77777777" w:rsidR="00B25B13" w:rsidRPr="00B25B13" w:rsidRDefault="00B25B13" w:rsidP="00B25B13">
      <w:pPr>
        <w:spacing w:line="360" w:lineRule="auto"/>
        <w:rPr>
          <w:lang w:val="es-ES" w:eastAsia="es-ES"/>
        </w:rPr>
      </w:pPr>
      <w:r w:rsidRPr="00B25B13">
        <w:rPr>
          <w:lang w:val="es-MX" w:eastAsia="es-ES"/>
        </w:rPr>
        <w:t xml:space="preserve">7. </w:t>
      </w:r>
      <w:r w:rsidRPr="00B25B13">
        <w:rPr>
          <w:lang w:val="es-ES" w:eastAsia="es-ES"/>
        </w:rPr>
        <w:t xml:space="preserve">Gamboa Graus ME. Estadística aplicada a la investigación educativa. Revista Dilemas Contemporáneos: Educación, política y valores. 2018 </w:t>
      </w:r>
      <w:r w:rsidRPr="00B25B13">
        <w:rPr>
          <w:bCs/>
          <w:lang w:val="es-ES" w:eastAsia="es-ES"/>
        </w:rPr>
        <w:t>[acceso:15/05/2023]</w:t>
      </w:r>
      <w:r w:rsidRPr="00B25B13">
        <w:rPr>
          <w:lang w:val="es-ES" w:eastAsia="es-ES"/>
        </w:rPr>
        <w:t xml:space="preserve">;5(2):1-32. Disponible en: </w:t>
      </w:r>
      <w:hyperlink r:id="rId21" w:history="1">
        <w:r w:rsidRPr="00B25B13">
          <w:rPr>
            <w:color w:val="0000FF"/>
            <w:lang w:val="es-ES" w:eastAsia="es-ES"/>
          </w:rPr>
          <w:t>http://www.dilemascontemporaneoseducacionpoliticayvalores.com/index.php/dilemas/article/view/427/443</w:t>
        </w:r>
      </w:hyperlink>
    </w:p>
    <w:p w14:paraId="736C6769" w14:textId="77777777" w:rsidR="00B25B13" w:rsidRPr="00B25B13" w:rsidRDefault="00B25B13" w:rsidP="00B25B13">
      <w:pPr>
        <w:spacing w:line="360" w:lineRule="auto"/>
        <w:rPr>
          <w:lang w:val="es-ES" w:eastAsia="es-ES"/>
        </w:rPr>
      </w:pPr>
      <w:r w:rsidRPr="00B25B13">
        <w:rPr>
          <w:lang w:val="es-ES" w:eastAsia="es-ES"/>
        </w:rPr>
        <w:t xml:space="preserve">8. Marín Prada </w:t>
      </w:r>
      <w:proofErr w:type="spellStart"/>
      <w:r w:rsidRPr="00B25B13">
        <w:rPr>
          <w:lang w:val="es-ES" w:eastAsia="es-ES"/>
        </w:rPr>
        <w:t>MdC</w:t>
      </w:r>
      <w:proofErr w:type="spellEnd"/>
      <w:r w:rsidRPr="00B25B13">
        <w:rPr>
          <w:lang w:val="es-ES" w:eastAsia="es-ES"/>
        </w:rPr>
        <w:t xml:space="preserve">, Gutiérrez García F, Martínez Morales MA. Características y causas de muerte de pacientes fallecidos con enfermedad renal crónica. Cuba 2011-2016. Revista Habanera de Ciencias Médicas. 2021 </w:t>
      </w:r>
      <w:r w:rsidRPr="00B25B13">
        <w:rPr>
          <w:bCs/>
          <w:lang w:val="es-ES" w:eastAsia="es-ES"/>
        </w:rPr>
        <w:t>[acceso: 15/05/2023]</w:t>
      </w:r>
      <w:r w:rsidRPr="00B25B13">
        <w:rPr>
          <w:lang w:val="es-ES" w:eastAsia="es-ES"/>
        </w:rPr>
        <w:t xml:space="preserve">;20(5):e3579. Disponible en:  </w:t>
      </w:r>
      <w:hyperlink r:id="rId22" w:history="1">
        <w:r w:rsidRPr="00B25B13">
          <w:rPr>
            <w:color w:val="0000FF"/>
            <w:lang w:val="es-ES" w:eastAsia="es-ES"/>
          </w:rPr>
          <w:t>https://revhabanera.sld.cu/index.php/rhab/article/view/3579</w:t>
        </w:r>
      </w:hyperlink>
    </w:p>
    <w:p w14:paraId="20C81152" w14:textId="77777777" w:rsidR="00B25B13" w:rsidRPr="00B25B13" w:rsidRDefault="00B25B13" w:rsidP="00B25B13">
      <w:pPr>
        <w:spacing w:line="360" w:lineRule="auto"/>
        <w:rPr>
          <w:lang w:val="en-US" w:eastAsia="es-ES"/>
        </w:rPr>
      </w:pPr>
      <w:r w:rsidRPr="00B25B13">
        <w:rPr>
          <w:lang w:val="en-US" w:eastAsia="es-ES"/>
        </w:rPr>
        <w:t xml:space="preserve">9. </w:t>
      </w:r>
      <w:proofErr w:type="spellStart"/>
      <w:r w:rsidRPr="00B25B13">
        <w:rPr>
          <w:lang w:val="en-US" w:eastAsia="es-ES"/>
        </w:rPr>
        <w:t>Ruperto</w:t>
      </w:r>
      <w:proofErr w:type="spellEnd"/>
      <w:r w:rsidRPr="00B25B13">
        <w:rPr>
          <w:lang w:val="en-US" w:eastAsia="es-ES"/>
        </w:rPr>
        <w:t xml:space="preserve"> M, </w:t>
      </w:r>
      <w:proofErr w:type="spellStart"/>
      <w:r w:rsidRPr="00B25B13">
        <w:rPr>
          <w:lang w:val="en-US" w:eastAsia="es-ES"/>
        </w:rPr>
        <w:t>Barril</w:t>
      </w:r>
      <w:proofErr w:type="spellEnd"/>
      <w:r w:rsidRPr="00B25B13">
        <w:rPr>
          <w:lang w:val="en-US" w:eastAsia="es-ES"/>
        </w:rPr>
        <w:t xml:space="preserve"> G. Nutritional status, body composition, and inflammation profile in older patients with advanced chronic kidney disease stage 4-5: A case control study. Nutrients. 2022 </w:t>
      </w:r>
      <w:r w:rsidRPr="00B25B13">
        <w:rPr>
          <w:bCs/>
          <w:lang w:val="en-US" w:eastAsia="es-ES"/>
        </w:rPr>
        <w:t>[acceso:15/05/2023]</w:t>
      </w:r>
      <w:r w:rsidRPr="00B25B13">
        <w:rPr>
          <w:lang w:val="en-US" w:eastAsia="es-ES"/>
        </w:rPr>
        <w:t xml:space="preserve">;14(17):3650. DOI:  </w:t>
      </w:r>
      <w:hyperlink r:id="rId23" w:history="1">
        <w:r w:rsidRPr="00B25B13">
          <w:rPr>
            <w:color w:val="0000FF"/>
            <w:lang w:val="en-US" w:eastAsia="es-ES"/>
          </w:rPr>
          <w:t>10.3390/nu14173650</w:t>
        </w:r>
      </w:hyperlink>
    </w:p>
    <w:p w14:paraId="364D391A" w14:textId="77777777" w:rsidR="00B25B13" w:rsidRPr="00B25B13" w:rsidRDefault="00B25B13" w:rsidP="00B25B13">
      <w:pPr>
        <w:spacing w:line="360" w:lineRule="auto"/>
        <w:rPr>
          <w:lang w:val="en-US" w:eastAsia="es-ES"/>
        </w:rPr>
      </w:pPr>
      <w:r w:rsidRPr="00B25B13">
        <w:rPr>
          <w:lang w:val="en-US" w:eastAsia="es-ES"/>
        </w:rPr>
        <w:t xml:space="preserve">10. Matsushita K, Ballew S, Wang A. Epidemiology and risk of cardiovascular disease in populations with chronic kidney disease. Nature Reviews Nephrology. 2022 </w:t>
      </w:r>
      <w:r w:rsidRPr="00B25B13">
        <w:rPr>
          <w:bCs/>
          <w:lang w:val="en-US" w:eastAsia="es-ES"/>
        </w:rPr>
        <w:t>[</w:t>
      </w:r>
      <w:proofErr w:type="spellStart"/>
      <w:r w:rsidRPr="00B25B13">
        <w:rPr>
          <w:bCs/>
          <w:lang w:val="en-US" w:eastAsia="es-ES"/>
        </w:rPr>
        <w:t>acceso</w:t>
      </w:r>
      <w:proofErr w:type="spellEnd"/>
      <w:r w:rsidRPr="00B25B13">
        <w:rPr>
          <w:bCs/>
          <w:lang w:val="en-US" w:eastAsia="es-ES"/>
        </w:rPr>
        <w:t>: 15/05/2023]</w:t>
      </w:r>
      <w:r w:rsidRPr="00B25B13">
        <w:rPr>
          <w:lang w:val="en-US" w:eastAsia="es-ES"/>
        </w:rPr>
        <w:t xml:space="preserve">;18(11):696-707. DOI: </w:t>
      </w:r>
      <w:hyperlink r:id="rId24" w:history="1">
        <w:r w:rsidRPr="00B25B13">
          <w:rPr>
            <w:color w:val="0000FF"/>
            <w:lang w:val="en-US" w:eastAsia="es-ES"/>
          </w:rPr>
          <w:t>10.1038/s41581-022-00616-6</w:t>
        </w:r>
      </w:hyperlink>
    </w:p>
    <w:p w14:paraId="4B946AC5" w14:textId="77777777" w:rsidR="00B25B13" w:rsidRPr="00B25B13" w:rsidRDefault="00B25B13" w:rsidP="00B25B13">
      <w:pPr>
        <w:spacing w:line="360" w:lineRule="auto"/>
        <w:rPr>
          <w:lang w:val="en-US" w:eastAsia="es-ES"/>
        </w:rPr>
      </w:pPr>
      <w:r w:rsidRPr="00B25B13">
        <w:rPr>
          <w:lang w:val="en-US" w:eastAsia="es-ES"/>
        </w:rPr>
        <w:t xml:space="preserve">11. Lee S, Kang S, </w:t>
      </w:r>
      <w:proofErr w:type="spellStart"/>
      <w:r w:rsidRPr="00B25B13">
        <w:rPr>
          <w:lang w:val="en-US" w:eastAsia="es-ES"/>
        </w:rPr>
        <w:t>Joo</w:t>
      </w:r>
      <w:proofErr w:type="spellEnd"/>
      <w:r w:rsidRPr="00B25B13">
        <w:rPr>
          <w:lang w:val="en-US" w:eastAsia="es-ES"/>
        </w:rPr>
        <w:t xml:space="preserve"> Y. Smoking, smoking cessation, and progression of chronic kidney disease: results form KNOW-CKD study. Nicotine &amp; Tobacco Research. 2021 </w:t>
      </w:r>
      <w:r w:rsidRPr="00B25B13">
        <w:rPr>
          <w:bCs/>
          <w:lang w:val="en-US" w:eastAsia="es-ES"/>
        </w:rPr>
        <w:t>[</w:t>
      </w:r>
      <w:proofErr w:type="spellStart"/>
      <w:r w:rsidRPr="00B25B13">
        <w:rPr>
          <w:bCs/>
          <w:lang w:val="en-US" w:eastAsia="es-ES"/>
        </w:rPr>
        <w:t>acceso</w:t>
      </w:r>
      <w:proofErr w:type="spellEnd"/>
      <w:r w:rsidRPr="00B25B13">
        <w:rPr>
          <w:bCs/>
          <w:lang w:val="en-US" w:eastAsia="es-ES"/>
        </w:rPr>
        <w:t>: 15/05/2023]</w:t>
      </w:r>
      <w:r w:rsidRPr="00B25B13">
        <w:rPr>
          <w:lang w:val="en-US" w:eastAsia="es-ES"/>
        </w:rPr>
        <w:t xml:space="preserve">;23(1):92-98. DOI: </w:t>
      </w:r>
      <w:hyperlink r:id="rId25" w:history="1">
        <w:r w:rsidRPr="00B25B13">
          <w:rPr>
            <w:color w:val="0000FF"/>
            <w:lang w:val="en-US" w:eastAsia="es-ES"/>
          </w:rPr>
          <w:t>10. 1093/</w:t>
        </w:r>
        <w:proofErr w:type="spellStart"/>
        <w:r w:rsidRPr="00B25B13">
          <w:rPr>
            <w:color w:val="0000FF"/>
            <w:lang w:val="en-US" w:eastAsia="es-ES"/>
          </w:rPr>
          <w:t>ntr</w:t>
        </w:r>
        <w:proofErr w:type="spellEnd"/>
        <w:r w:rsidRPr="00B25B13">
          <w:rPr>
            <w:color w:val="0000FF"/>
            <w:lang w:val="en-US" w:eastAsia="es-ES"/>
          </w:rPr>
          <w:t>/ntaa071</w:t>
        </w:r>
      </w:hyperlink>
    </w:p>
    <w:p w14:paraId="17D0D69E" w14:textId="77777777" w:rsidR="00B25B13" w:rsidRPr="00B25B13" w:rsidRDefault="00B25B13" w:rsidP="00B25B13">
      <w:pPr>
        <w:spacing w:line="360" w:lineRule="auto"/>
        <w:rPr>
          <w:lang w:val="en-US" w:eastAsia="es-ES"/>
        </w:rPr>
      </w:pPr>
      <w:r w:rsidRPr="00B25B13">
        <w:rPr>
          <w:lang w:val="en-US" w:eastAsia="es-ES"/>
        </w:rPr>
        <w:t xml:space="preserve">12. Liang X, Ye M, Tao M. The association between dyslipidemia and the incidence of chronic kidney disease in the general Zhejiang population: a retrospective study. BMC Nephrol. 2020 </w:t>
      </w:r>
      <w:r w:rsidRPr="00B25B13">
        <w:rPr>
          <w:bCs/>
          <w:lang w:val="en-US" w:eastAsia="es-ES"/>
        </w:rPr>
        <w:t>[acceso:15/05/2023]</w:t>
      </w:r>
      <w:r w:rsidRPr="00B25B13">
        <w:rPr>
          <w:lang w:val="en-US" w:eastAsia="es-ES"/>
        </w:rPr>
        <w:t xml:space="preserve">; 21(252):1-9. DOI: </w:t>
      </w:r>
      <w:hyperlink r:id="rId26" w:history="1">
        <w:r w:rsidRPr="00B25B13">
          <w:rPr>
            <w:color w:val="0000FF"/>
            <w:lang w:val="en-US" w:eastAsia="es-ES"/>
          </w:rPr>
          <w:t>10. 1186/s12882-020-01907-5</w:t>
        </w:r>
      </w:hyperlink>
    </w:p>
    <w:p w14:paraId="41C63714" w14:textId="77777777" w:rsidR="00B25B13" w:rsidRPr="00B25B13" w:rsidRDefault="00B25B13" w:rsidP="00B25B13">
      <w:pPr>
        <w:spacing w:line="360" w:lineRule="auto"/>
        <w:rPr>
          <w:lang w:val="en-US" w:eastAsia="es-ES"/>
        </w:rPr>
      </w:pPr>
      <w:r w:rsidRPr="00B25B13">
        <w:rPr>
          <w:lang w:val="en-US" w:eastAsia="es-ES"/>
        </w:rPr>
        <w:lastRenderedPageBreak/>
        <w:t>13. Feng-Ching S, Yi-Wen Ch, Mei-</w:t>
      </w:r>
      <w:proofErr w:type="spellStart"/>
      <w:r w:rsidRPr="00B25B13">
        <w:rPr>
          <w:lang w:val="en-US" w:eastAsia="es-ES"/>
        </w:rPr>
        <w:t>Chuan</w:t>
      </w:r>
      <w:proofErr w:type="spellEnd"/>
      <w:r w:rsidRPr="00B25B13">
        <w:rPr>
          <w:lang w:val="en-US" w:eastAsia="es-ES"/>
        </w:rPr>
        <w:t xml:space="preserve"> K. U-shaped association between waist-to-hip ratio and all-cause mortality in stage 3-5 chronic kidney disease patients with body mass index paradox. J Pers Med. 2021 </w:t>
      </w:r>
      <w:r w:rsidRPr="00B25B13">
        <w:rPr>
          <w:bCs/>
          <w:lang w:val="en-US" w:eastAsia="es-ES"/>
        </w:rPr>
        <w:t>[</w:t>
      </w:r>
      <w:proofErr w:type="spellStart"/>
      <w:r w:rsidRPr="00B25B13">
        <w:rPr>
          <w:bCs/>
          <w:lang w:val="en-US" w:eastAsia="es-ES"/>
        </w:rPr>
        <w:t>acceso</w:t>
      </w:r>
      <w:proofErr w:type="spellEnd"/>
      <w:r w:rsidRPr="00B25B13">
        <w:rPr>
          <w:bCs/>
          <w:lang w:val="en-US" w:eastAsia="es-ES"/>
        </w:rPr>
        <w:t>: 15/05/2023]</w:t>
      </w:r>
      <w:r w:rsidRPr="00B25B13">
        <w:rPr>
          <w:lang w:val="en-US" w:eastAsia="es-ES"/>
        </w:rPr>
        <w:t xml:space="preserve">;11(12):1355. DOI: </w:t>
      </w:r>
      <w:hyperlink r:id="rId27" w:history="1">
        <w:r w:rsidRPr="00B25B13">
          <w:rPr>
            <w:color w:val="0000FF"/>
            <w:lang w:val="en-US" w:eastAsia="es-ES"/>
          </w:rPr>
          <w:t>10.3390/jpm11121355</w:t>
        </w:r>
      </w:hyperlink>
    </w:p>
    <w:p w14:paraId="6C3BBF46" w14:textId="77777777" w:rsidR="00B25B13" w:rsidRPr="00B25B13" w:rsidRDefault="00B25B13" w:rsidP="00B25B13">
      <w:pPr>
        <w:spacing w:line="360" w:lineRule="auto"/>
        <w:rPr>
          <w:lang w:val="en-US" w:eastAsia="es-ES"/>
        </w:rPr>
      </w:pPr>
      <w:r w:rsidRPr="00B25B13">
        <w:rPr>
          <w:lang w:val="en-US" w:eastAsia="es-ES"/>
        </w:rPr>
        <w:t xml:space="preserve">14. Miao H, Liu L, Wang Y. Chronic kidney disease biomarkers and mortality among older adults: A comparison study of survey samples in China and the United States. </w:t>
      </w:r>
      <w:proofErr w:type="spellStart"/>
      <w:r w:rsidRPr="00B25B13">
        <w:rPr>
          <w:lang w:val="en-US" w:eastAsia="es-ES"/>
        </w:rPr>
        <w:t>Plos</w:t>
      </w:r>
      <w:proofErr w:type="spellEnd"/>
      <w:r w:rsidRPr="00B25B13">
        <w:rPr>
          <w:lang w:val="en-US" w:eastAsia="es-ES"/>
        </w:rPr>
        <w:t xml:space="preserve"> One. 2022 </w:t>
      </w:r>
      <w:r w:rsidRPr="00B25B13">
        <w:rPr>
          <w:bCs/>
          <w:lang w:val="en-US" w:eastAsia="es-ES"/>
        </w:rPr>
        <w:t>[acceso:15/05/2023]</w:t>
      </w:r>
      <w:r w:rsidRPr="00B25B13">
        <w:rPr>
          <w:lang w:val="en-US" w:eastAsia="es-ES"/>
        </w:rPr>
        <w:t xml:space="preserve">;17(1):e0260074. DOI: </w:t>
      </w:r>
      <w:hyperlink r:id="rId28" w:history="1">
        <w:r w:rsidRPr="00B25B13">
          <w:rPr>
            <w:color w:val="0000FF"/>
            <w:lang w:val="en-US" w:eastAsia="es-ES"/>
          </w:rPr>
          <w:t>10.1371/journal.pone.0260074</w:t>
        </w:r>
      </w:hyperlink>
    </w:p>
    <w:p w14:paraId="4B25C56F" w14:textId="77777777" w:rsidR="00B25B13" w:rsidRPr="00B25B13" w:rsidRDefault="00B25B13" w:rsidP="00B25B13">
      <w:pPr>
        <w:spacing w:line="360" w:lineRule="auto"/>
        <w:rPr>
          <w:lang w:val="en-US" w:eastAsia="es-ES"/>
        </w:rPr>
      </w:pPr>
      <w:r w:rsidRPr="00B25B13">
        <w:rPr>
          <w:lang w:val="en-US" w:eastAsia="es-ES"/>
        </w:rPr>
        <w:t xml:space="preserve">15. Cornish R, Bartlett J, Macleod J. Complete case logistic regression with a dichotomized continuous outcome led to biased estimates. Journal of Clinical Epidemiology. 2023 </w:t>
      </w:r>
      <w:r w:rsidRPr="00B25B13">
        <w:rPr>
          <w:bCs/>
          <w:lang w:val="en-US" w:eastAsia="es-ES"/>
        </w:rPr>
        <w:t>[</w:t>
      </w:r>
      <w:proofErr w:type="spellStart"/>
      <w:r w:rsidRPr="00B25B13">
        <w:rPr>
          <w:bCs/>
          <w:lang w:val="en-US" w:eastAsia="es-ES"/>
        </w:rPr>
        <w:t>acceso</w:t>
      </w:r>
      <w:proofErr w:type="spellEnd"/>
      <w:r w:rsidRPr="00B25B13">
        <w:rPr>
          <w:bCs/>
          <w:lang w:val="en-US" w:eastAsia="es-ES"/>
        </w:rPr>
        <w:t>: 15/05/2023]</w:t>
      </w:r>
      <w:r w:rsidRPr="00B25B13">
        <w:rPr>
          <w:lang w:val="en-US" w:eastAsia="es-ES"/>
        </w:rPr>
        <w:t xml:space="preserve">;154(2023):33-41. DOI:  </w:t>
      </w:r>
      <w:hyperlink r:id="rId29" w:history="1">
        <w:r w:rsidRPr="00B25B13">
          <w:rPr>
            <w:color w:val="0000FF"/>
            <w:lang w:val="en-US" w:eastAsia="es-ES"/>
          </w:rPr>
          <w:t>10.1016/j.jclinepi.2022.11.022</w:t>
        </w:r>
      </w:hyperlink>
    </w:p>
    <w:p w14:paraId="03140779" w14:textId="77777777" w:rsidR="00B25B13" w:rsidRPr="00B25B13" w:rsidRDefault="00B25B13" w:rsidP="00B25B13">
      <w:pPr>
        <w:spacing w:line="360" w:lineRule="auto"/>
        <w:rPr>
          <w:lang w:val="en-US" w:eastAsia="es-ES"/>
        </w:rPr>
      </w:pPr>
      <w:r w:rsidRPr="00B25B13">
        <w:rPr>
          <w:lang w:val="en-US" w:eastAsia="es-ES"/>
        </w:rPr>
        <w:t xml:space="preserve">16. </w:t>
      </w:r>
      <w:proofErr w:type="spellStart"/>
      <w:r w:rsidRPr="00B25B13">
        <w:rPr>
          <w:lang w:val="en-US" w:eastAsia="es-ES"/>
        </w:rPr>
        <w:t>Montalescot</w:t>
      </w:r>
      <w:proofErr w:type="spellEnd"/>
      <w:r w:rsidRPr="00B25B13">
        <w:rPr>
          <w:lang w:val="en-US" w:eastAsia="es-ES"/>
        </w:rPr>
        <w:t xml:space="preserve"> L, </w:t>
      </w:r>
      <w:proofErr w:type="spellStart"/>
      <w:r w:rsidRPr="00B25B13">
        <w:rPr>
          <w:lang w:val="en-US" w:eastAsia="es-ES"/>
        </w:rPr>
        <w:t>Dorard</w:t>
      </w:r>
      <w:proofErr w:type="spellEnd"/>
      <w:r w:rsidRPr="00B25B13">
        <w:rPr>
          <w:lang w:val="en-US" w:eastAsia="es-ES"/>
        </w:rPr>
        <w:t xml:space="preserve"> G, Speyer G. Patient perspectives on chronic kidney disease and decision-making about treatment. Discourse of participants in the French CKD-REIN cohort study. J. Nephrol. 2022 </w:t>
      </w:r>
      <w:r w:rsidRPr="00B25B13">
        <w:rPr>
          <w:bCs/>
          <w:lang w:val="en-US" w:eastAsia="es-ES"/>
        </w:rPr>
        <w:t>[</w:t>
      </w:r>
      <w:proofErr w:type="spellStart"/>
      <w:r w:rsidRPr="00B25B13">
        <w:rPr>
          <w:bCs/>
          <w:lang w:val="en-US" w:eastAsia="es-ES"/>
        </w:rPr>
        <w:t>acceso</w:t>
      </w:r>
      <w:proofErr w:type="spellEnd"/>
      <w:r w:rsidRPr="00B25B13">
        <w:rPr>
          <w:bCs/>
          <w:lang w:val="en-US" w:eastAsia="es-ES"/>
        </w:rPr>
        <w:t>: 15/05/2023]</w:t>
      </w:r>
      <w:r w:rsidRPr="00B25B13">
        <w:rPr>
          <w:lang w:val="en-US" w:eastAsia="es-ES"/>
        </w:rPr>
        <w:t xml:space="preserve">;35(5):1387-1397. DOI:  </w:t>
      </w:r>
      <w:hyperlink r:id="rId30" w:history="1">
        <w:r w:rsidRPr="00B25B13">
          <w:rPr>
            <w:color w:val="0000FF"/>
            <w:lang w:val="en-US" w:eastAsia="es-ES"/>
          </w:rPr>
          <w:t>10.1007/s40620-022-01345-6</w:t>
        </w:r>
      </w:hyperlink>
    </w:p>
    <w:p w14:paraId="326F5FC2" w14:textId="77777777" w:rsidR="00B25B13" w:rsidRPr="00B25B13" w:rsidRDefault="00B25B13" w:rsidP="00B25B13">
      <w:pPr>
        <w:spacing w:line="360" w:lineRule="auto"/>
        <w:rPr>
          <w:lang w:val="en-US" w:eastAsia="es-ES"/>
        </w:rPr>
      </w:pPr>
      <w:r w:rsidRPr="00B25B13">
        <w:rPr>
          <w:lang w:val="en-US" w:eastAsia="es-ES"/>
        </w:rPr>
        <w:t xml:space="preserve">17. World Medical Association Declaration of Helsinki: ethical principles for medical research involving human subjects. Reviewing the latest version. Int. J. Surg. Sci. 2014 </w:t>
      </w:r>
      <w:r w:rsidRPr="00B25B13">
        <w:rPr>
          <w:bCs/>
          <w:lang w:val="en-US" w:eastAsia="es-ES"/>
        </w:rPr>
        <w:t>[</w:t>
      </w:r>
      <w:proofErr w:type="spellStart"/>
      <w:r w:rsidRPr="00B25B13">
        <w:rPr>
          <w:bCs/>
          <w:lang w:val="en-US" w:eastAsia="es-ES"/>
        </w:rPr>
        <w:t>acceso</w:t>
      </w:r>
      <w:proofErr w:type="spellEnd"/>
      <w:r w:rsidRPr="00B25B13">
        <w:rPr>
          <w:bCs/>
          <w:lang w:val="en-US" w:eastAsia="es-ES"/>
        </w:rPr>
        <w:t>: 15/05/2023]</w:t>
      </w:r>
      <w:r w:rsidRPr="00B25B13">
        <w:rPr>
          <w:lang w:val="en-US" w:eastAsia="es-ES"/>
        </w:rPr>
        <w:t xml:space="preserve">;1(4):339-46. DOI: 10.32457/IJMSS.2014.042 </w:t>
      </w:r>
    </w:p>
    <w:p w14:paraId="75B97529" w14:textId="77777777" w:rsidR="00B25B13" w:rsidRPr="00B25B13" w:rsidRDefault="00B25B13" w:rsidP="00B25B13">
      <w:pPr>
        <w:spacing w:line="360" w:lineRule="auto"/>
        <w:rPr>
          <w:lang w:val="en-US" w:eastAsia="es-ES"/>
        </w:rPr>
      </w:pPr>
      <w:r w:rsidRPr="00B25B13">
        <w:rPr>
          <w:lang w:val="en-US" w:eastAsia="es-ES"/>
        </w:rPr>
        <w:t>18. Schmidt RJ, Landry DL, Cohen L. Derivation and validation of a prognostic model to predict mortality in patients with advanced chronic kidney disease. Nephrol Dial Transplant. 2019;34(9):1517–25. DOI: 10.1093/</w:t>
      </w:r>
      <w:proofErr w:type="spellStart"/>
      <w:r w:rsidRPr="00B25B13">
        <w:rPr>
          <w:lang w:val="en-US" w:eastAsia="es-ES"/>
        </w:rPr>
        <w:t>ndt</w:t>
      </w:r>
      <w:proofErr w:type="spellEnd"/>
      <w:r w:rsidRPr="00B25B13">
        <w:rPr>
          <w:lang w:val="en-US" w:eastAsia="es-ES"/>
        </w:rPr>
        <w:t>/gfy305</w:t>
      </w:r>
    </w:p>
    <w:p w14:paraId="66D09503" w14:textId="77777777" w:rsidR="00B25B13" w:rsidRPr="00B25B13" w:rsidRDefault="00B25B13" w:rsidP="00B25B13">
      <w:pPr>
        <w:spacing w:line="360" w:lineRule="auto"/>
        <w:rPr>
          <w:color w:val="0000FF"/>
          <w:lang w:val="en-US" w:eastAsia="es-ES"/>
        </w:rPr>
      </w:pPr>
      <w:r w:rsidRPr="00B25B13">
        <w:rPr>
          <w:lang w:val="en-US" w:eastAsia="es-ES"/>
        </w:rPr>
        <w:t xml:space="preserve">19. Miao H, Liu L, Wang Y. Chronic kidney disease biomarkers and mortality among older adults: A comparison study of survey samples in China and the United States. </w:t>
      </w:r>
      <w:proofErr w:type="spellStart"/>
      <w:r w:rsidRPr="00B25B13">
        <w:rPr>
          <w:lang w:val="en-US" w:eastAsia="es-ES"/>
        </w:rPr>
        <w:t>PLoS</w:t>
      </w:r>
      <w:proofErr w:type="spellEnd"/>
      <w:r w:rsidRPr="00B25B13">
        <w:rPr>
          <w:lang w:val="en-US" w:eastAsia="es-ES"/>
        </w:rPr>
        <w:t xml:space="preserve"> ONE. 2022;17(1):e0260074. DOI: </w:t>
      </w:r>
      <w:hyperlink r:id="rId31" w:history="1">
        <w:r w:rsidRPr="00B25B13">
          <w:rPr>
            <w:color w:val="0000FF"/>
            <w:lang w:val="en-US" w:eastAsia="es-ES"/>
          </w:rPr>
          <w:t>10.1371/journal.pone.0260074</w:t>
        </w:r>
      </w:hyperlink>
    </w:p>
    <w:p w14:paraId="6AF17C50" w14:textId="77777777" w:rsidR="00B25B13" w:rsidRPr="00B25B13" w:rsidRDefault="00B25B13" w:rsidP="00B25B13">
      <w:pPr>
        <w:spacing w:line="360" w:lineRule="auto"/>
        <w:rPr>
          <w:color w:val="0000FF"/>
          <w:lang w:val="es-ES" w:eastAsia="en-US"/>
        </w:rPr>
      </w:pPr>
      <w:r w:rsidRPr="00B25B13">
        <w:rPr>
          <w:lang w:val="en-US" w:eastAsia="en-US"/>
        </w:rPr>
        <w:t xml:space="preserve">20. Liu H, Wang R. Associations between the serum magnesium and all-cause or cardiovascular mortality in chronic kidney disease and end-stage renal disease patients. </w:t>
      </w:r>
      <w:r w:rsidRPr="00B25B13">
        <w:rPr>
          <w:lang w:val="es-ES" w:eastAsia="en-US"/>
        </w:rPr>
        <w:t>A meta-</w:t>
      </w:r>
      <w:proofErr w:type="spellStart"/>
      <w:r w:rsidRPr="00B25B13">
        <w:rPr>
          <w:lang w:val="es-ES" w:eastAsia="en-US"/>
        </w:rPr>
        <w:t>analysis</w:t>
      </w:r>
      <w:proofErr w:type="spellEnd"/>
      <w:r w:rsidRPr="00B25B13">
        <w:rPr>
          <w:lang w:val="es-ES" w:eastAsia="en-US"/>
        </w:rPr>
        <w:t xml:space="preserve">. Medicine. 2021;100(45):e27486. DOI:  </w:t>
      </w:r>
      <w:hyperlink r:id="rId32" w:history="1">
        <w:r w:rsidRPr="00B25B13">
          <w:rPr>
            <w:color w:val="0000FF"/>
            <w:lang w:val="es-ES" w:eastAsia="en-US"/>
          </w:rPr>
          <w:t>10.1097/MD.0000000000027486</w:t>
        </w:r>
      </w:hyperlink>
    </w:p>
    <w:p w14:paraId="4D3AFC4D" w14:textId="77777777" w:rsidR="00B25B13" w:rsidRPr="00B25B13" w:rsidRDefault="00B25B13" w:rsidP="00B25B13">
      <w:pPr>
        <w:spacing w:line="360" w:lineRule="auto"/>
        <w:rPr>
          <w:rFonts w:eastAsiaTheme="minorHAnsi"/>
          <w:lang w:val="en-US" w:eastAsia="en-US"/>
        </w:rPr>
      </w:pPr>
      <w:r w:rsidRPr="00B25B13">
        <w:rPr>
          <w:rFonts w:eastAsiaTheme="minorHAnsi"/>
          <w:lang w:val="es-ES" w:eastAsia="en-US"/>
        </w:rPr>
        <w:t xml:space="preserve">21. Zeng YQ, Qin ZA, </w:t>
      </w:r>
      <w:proofErr w:type="spellStart"/>
      <w:r w:rsidRPr="00B25B13">
        <w:rPr>
          <w:rFonts w:eastAsiaTheme="minorHAnsi"/>
          <w:lang w:val="es-ES" w:eastAsia="en-US"/>
        </w:rPr>
        <w:t>Guo</w:t>
      </w:r>
      <w:proofErr w:type="spellEnd"/>
      <w:r w:rsidRPr="00B25B13">
        <w:rPr>
          <w:rFonts w:eastAsiaTheme="minorHAnsi"/>
          <w:lang w:val="es-ES" w:eastAsia="en-US"/>
        </w:rPr>
        <w:t xml:space="preserve"> ZW. </w:t>
      </w:r>
      <w:r w:rsidRPr="00B25B13">
        <w:rPr>
          <w:rFonts w:eastAsiaTheme="minorHAnsi"/>
          <w:lang w:val="en-US" w:eastAsia="en-US"/>
        </w:rPr>
        <w:t xml:space="preserve">Non- linear relationship between basal serum albumin concentration and cardiac arrest in critically ill patients with end-stage renal disease: a cross-sectional study. BMJ Open. 2022;12(2):e051721. DOI: 10.1136/bmjopen-2021-051721 </w:t>
      </w:r>
    </w:p>
    <w:p w14:paraId="6AEDFDE5" w14:textId="77777777" w:rsidR="00B25B13" w:rsidRPr="00B25B13" w:rsidRDefault="00B25B13" w:rsidP="00B25B13">
      <w:pPr>
        <w:spacing w:line="360" w:lineRule="auto"/>
        <w:rPr>
          <w:rFonts w:eastAsiaTheme="minorHAnsi"/>
          <w:lang w:val="es-MX" w:eastAsia="en-US"/>
        </w:rPr>
      </w:pPr>
      <w:r w:rsidRPr="00B25B13">
        <w:rPr>
          <w:rFonts w:eastAsiaTheme="minorHAnsi"/>
          <w:lang w:val="en-US" w:eastAsia="en-US"/>
        </w:rPr>
        <w:lastRenderedPageBreak/>
        <w:t xml:space="preserve">22.  </w:t>
      </w:r>
      <w:proofErr w:type="spellStart"/>
      <w:r w:rsidRPr="00B25B13">
        <w:rPr>
          <w:rFonts w:eastAsiaTheme="minorHAnsi"/>
          <w:lang w:val="en-US" w:eastAsia="en-US"/>
        </w:rPr>
        <w:t>Wittbrodt</w:t>
      </w:r>
      <w:proofErr w:type="spellEnd"/>
      <w:r w:rsidRPr="00B25B13">
        <w:rPr>
          <w:rFonts w:eastAsiaTheme="minorHAnsi"/>
          <w:lang w:val="en-US" w:eastAsia="en-US"/>
        </w:rPr>
        <w:t xml:space="preserve"> E, James G, Kumar S. Contemporary outcomes of anemia in US patients with chronic kidney disease. </w:t>
      </w:r>
      <w:proofErr w:type="spellStart"/>
      <w:r w:rsidRPr="00B25B13">
        <w:rPr>
          <w:rFonts w:eastAsiaTheme="minorHAnsi"/>
          <w:lang w:val="es-MX" w:eastAsia="en-US"/>
        </w:rPr>
        <w:t>Clinical</w:t>
      </w:r>
      <w:proofErr w:type="spellEnd"/>
      <w:r w:rsidRPr="00B25B13">
        <w:rPr>
          <w:rFonts w:eastAsiaTheme="minorHAnsi"/>
          <w:lang w:val="es-MX" w:eastAsia="en-US"/>
        </w:rPr>
        <w:t xml:space="preserve"> </w:t>
      </w:r>
      <w:proofErr w:type="spellStart"/>
      <w:r w:rsidRPr="00B25B13">
        <w:rPr>
          <w:rFonts w:eastAsiaTheme="minorHAnsi"/>
          <w:lang w:val="es-MX" w:eastAsia="en-US"/>
        </w:rPr>
        <w:t>Kidney</w:t>
      </w:r>
      <w:proofErr w:type="spellEnd"/>
      <w:r w:rsidRPr="00B25B13">
        <w:rPr>
          <w:rFonts w:eastAsiaTheme="minorHAnsi"/>
          <w:lang w:val="es-MX" w:eastAsia="en-US"/>
        </w:rPr>
        <w:t xml:space="preserve"> </w:t>
      </w:r>
      <w:proofErr w:type="spellStart"/>
      <w:r w:rsidRPr="00B25B13">
        <w:rPr>
          <w:rFonts w:eastAsiaTheme="minorHAnsi"/>
          <w:lang w:val="es-MX" w:eastAsia="en-US"/>
        </w:rPr>
        <w:t>Journal</w:t>
      </w:r>
      <w:proofErr w:type="spellEnd"/>
      <w:r w:rsidRPr="00B25B13">
        <w:rPr>
          <w:rFonts w:eastAsiaTheme="minorHAnsi"/>
          <w:lang w:val="es-MX" w:eastAsia="en-US"/>
        </w:rPr>
        <w:t>. 2022;15(2):244–52. DOI:  10.1093/</w:t>
      </w:r>
      <w:proofErr w:type="spellStart"/>
      <w:r w:rsidRPr="00B25B13">
        <w:rPr>
          <w:rFonts w:eastAsiaTheme="minorHAnsi"/>
          <w:lang w:val="es-MX" w:eastAsia="en-US"/>
        </w:rPr>
        <w:t>ckj</w:t>
      </w:r>
      <w:proofErr w:type="spellEnd"/>
      <w:r w:rsidRPr="00B25B13">
        <w:rPr>
          <w:rFonts w:eastAsiaTheme="minorHAnsi"/>
          <w:lang w:val="es-MX" w:eastAsia="en-US"/>
        </w:rPr>
        <w:t xml:space="preserve">/sfab195 </w:t>
      </w:r>
    </w:p>
    <w:p w14:paraId="473237EC" w14:textId="77777777" w:rsidR="00B25B13" w:rsidRPr="00B25B13" w:rsidRDefault="00B25B13" w:rsidP="00B25B13">
      <w:pPr>
        <w:spacing w:line="360" w:lineRule="auto"/>
        <w:jc w:val="both"/>
        <w:rPr>
          <w:rFonts w:eastAsiaTheme="minorHAnsi"/>
          <w:lang w:val="es-MX" w:eastAsia="en-US"/>
        </w:rPr>
      </w:pPr>
    </w:p>
    <w:p w14:paraId="6C982AC7" w14:textId="77777777" w:rsidR="00B25B13" w:rsidRPr="00B25B13" w:rsidRDefault="00B25B13" w:rsidP="00B25B13">
      <w:pPr>
        <w:spacing w:line="360" w:lineRule="auto"/>
        <w:jc w:val="center"/>
        <w:rPr>
          <w:rFonts w:eastAsiaTheme="minorHAnsi"/>
          <w:b/>
          <w:lang w:val="es-MX" w:eastAsia="en-US"/>
        </w:rPr>
      </w:pPr>
    </w:p>
    <w:p w14:paraId="24AE1087" w14:textId="77777777" w:rsidR="00B25B13" w:rsidRPr="00B25B13" w:rsidRDefault="00B25B13" w:rsidP="00B25B13">
      <w:pPr>
        <w:spacing w:line="360" w:lineRule="auto"/>
        <w:jc w:val="center"/>
        <w:rPr>
          <w:rFonts w:eastAsiaTheme="minorHAnsi"/>
          <w:b/>
          <w:lang w:val="es-MX" w:eastAsia="en-US"/>
        </w:rPr>
      </w:pPr>
      <w:r w:rsidRPr="00B25B13">
        <w:rPr>
          <w:rFonts w:eastAsiaTheme="minorHAnsi"/>
          <w:b/>
          <w:lang w:val="es-MX" w:eastAsia="en-US"/>
        </w:rPr>
        <w:t>Conflictos de interés</w:t>
      </w:r>
    </w:p>
    <w:p w14:paraId="44BCC4D0"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Los autores declaran que no existen conflictos de interés.</w:t>
      </w:r>
    </w:p>
    <w:p w14:paraId="18D73B21" w14:textId="77777777" w:rsidR="00B25B13" w:rsidRPr="00B25B13" w:rsidRDefault="00B25B13" w:rsidP="00B25B13">
      <w:pPr>
        <w:spacing w:line="360" w:lineRule="auto"/>
        <w:jc w:val="both"/>
        <w:rPr>
          <w:rFonts w:eastAsiaTheme="minorHAnsi"/>
          <w:lang w:val="es-MX" w:eastAsia="en-US"/>
        </w:rPr>
      </w:pPr>
    </w:p>
    <w:p w14:paraId="1404131E" w14:textId="77777777" w:rsidR="00B25B13" w:rsidRPr="00B25B13" w:rsidRDefault="00B25B13" w:rsidP="00B25B13">
      <w:pPr>
        <w:spacing w:line="360" w:lineRule="auto"/>
        <w:jc w:val="center"/>
        <w:rPr>
          <w:rFonts w:eastAsiaTheme="minorHAnsi"/>
          <w:b/>
          <w:lang w:val="es-MX" w:eastAsia="en-US"/>
        </w:rPr>
      </w:pPr>
      <w:r w:rsidRPr="00B25B13">
        <w:rPr>
          <w:rFonts w:eastAsiaTheme="minorHAnsi"/>
          <w:b/>
          <w:lang w:val="es-MX" w:eastAsia="en-US"/>
        </w:rPr>
        <w:t>Contribuciones de los autores</w:t>
      </w:r>
    </w:p>
    <w:p w14:paraId="7B5E2D3A"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Conceptualización: </w:t>
      </w:r>
      <w:r w:rsidRPr="00B25B13">
        <w:rPr>
          <w:rFonts w:eastAsiaTheme="minorHAnsi"/>
          <w:i/>
          <w:iCs/>
          <w:lang w:val="es-MX" w:eastAsia="en-US"/>
        </w:rPr>
        <w:t xml:space="preserve">Sergio Orlando Escalona González, </w:t>
      </w:r>
      <w:proofErr w:type="spellStart"/>
      <w:r w:rsidRPr="00B25B13">
        <w:rPr>
          <w:rFonts w:eastAsiaTheme="minorHAnsi"/>
          <w:i/>
          <w:iCs/>
          <w:lang w:val="es-MX" w:eastAsia="en-US"/>
        </w:rPr>
        <w:t>Yailé</w:t>
      </w:r>
      <w:proofErr w:type="spellEnd"/>
      <w:r w:rsidRPr="00B25B13">
        <w:rPr>
          <w:rFonts w:eastAsiaTheme="minorHAnsi"/>
          <w:i/>
          <w:iCs/>
          <w:lang w:val="es-MX" w:eastAsia="en-US"/>
        </w:rPr>
        <w:t xml:space="preserve"> Caballero Mota, </w:t>
      </w:r>
      <w:proofErr w:type="spellStart"/>
      <w:r w:rsidRPr="00B25B13">
        <w:rPr>
          <w:rFonts w:eastAsiaTheme="minorHAnsi"/>
          <w:i/>
          <w:iCs/>
          <w:lang w:val="es-MX" w:eastAsia="en-US"/>
        </w:rPr>
        <w:t>Yanela</w:t>
      </w:r>
      <w:proofErr w:type="spellEnd"/>
      <w:r w:rsidRPr="00B25B13">
        <w:rPr>
          <w:rFonts w:eastAsiaTheme="minorHAnsi"/>
          <w:i/>
          <w:iCs/>
          <w:lang w:val="es-MX" w:eastAsia="en-US"/>
        </w:rPr>
        <w:t xml:space="preserve"> Rodríguez </w:t>
      </w:r>
      <w:proofErr w:type="spellStart"/>
      <w:r w:rsidRPr="00B25B13">
        <w:rPr>
          <w:rFonts w:eastAsiaTheme="minorHAnsi"/>
          <w:i/>
          <w:iCs/>
          <w:lang w:val="es-MX" w:eastAsia="en-US"/>
        </w:rPr>
        <w:t>Alvarez</w:t>
      </w:r>
      <w:proofErr w:type="spellEnd"/>
      <w:r w:rsidRPr="00B25B13">
        <w:rPr>
          <w:rFonts w:eastAsiaTheme="minorHAnsi"/>
          <w:i/>
          <w:iCs/>
          <w:lang w:val="es-MX" w:eastAsia="en-US"/>
        </w:rPr>
        <w:t>, Zoraida Caridad González Milán.</w:t>
      </w:r>
    </w:p>
    <w:p w14:paraId="66FA0746" w14:textId="77777777" w:rsidR="00B25B13" w:rsidRPr="00B25B13" w:rsidRDefault="00B25B13" w:rsidP="00B25B13">
      <w:pPr>
        <w:spacing w:line="360" w:lineRule="auto"/>
        <w:jc w:val="both"/>
        <w:rPr>
          <w:rFonts w:eastAsiaTheme="minorHAnsi"/>
          <w:i/>
          <w:iCs/>
          <w:lang w:val="es-MX" w:eastAsia="en-US"/>
        </w:rPr>
      </w:pPr>
      <w:r w:rsidRPr="00B25B13">
        <w:rPr>
          <w:rFonts w:eastAsiaTheme="minorHAnsi"/>
          <w:lang w:val="es-MX" w:eastAsia="en-US"/>
        </w:rPr>
        <w:t xml:space="preserve">Curación de datos: </w:t>
      </w:r>
      <w:r w:rsidRPr="00B25B13">
        <w:rPr>
          <w:rFonts w:eastAsiaTheme="minorHAnsi"/>
          <w:i/>
          <w:iCs/>
          <w:lang w:val="es-MX" w:eastAsia="en-US"/>
        </w:rPr>
        <w:t>Sergio Orlando Escalona González, Zoraida Caridad González Milán.</w:t>
      </w:r>
    </w:p>
    <w:p w14:paraId="20F5F65A" w14:textId="77777777" w:rsidR="00B25B13" w:rsidRPr="00B25B13" w:rsidRDefault="00B25B13" w:rsidP="00B25B13">
      <w:pPr>
        <w:spacing w:line="360" w:lineRule="auto"/>
        <w:jc w:val="both"/>
        <w:rPr>
          <w:rFonts w:eastAsiaTheme="minorHAnsi"/>
          <w:i/>
          <w:iCs/>
          <w:lang w:val="es-MX" w:eastAsia="en-US"/>
        </w:rPr>
      </w:pPr>
      <w:r w:rsidRPr="00B25B13">
        <w:rPr>
          <w:rFonts w:eastAsiaTheme="minorHAnsi"/>
          <w:lang w:val="es-MX" w:eastAsia="en-US"/>
        </w:rPr>
        <w:t xml:space="preserve">Análisis formal: </w:t>
      </w:r>
      <w:r w:rsidRPr="00B25B13">
        <w:rPr>
          <w:rFonts w:eastAsiaTheme="minorHAnsi"/>
          <w:i/>
          <w:iCs/>
          <w:lang w:val="es-MX" w:eastAsia="en-US"/>
        </w:rPr>
        <w:t>Sergio Orlando Escalona González.</w:t>
      </w:r>
    </w:p>
    <w:p w14:paraId="16F8A015" w14:textId="77777777" w:rsidR="00B25B13" w:rsidRPr="00B25B13" w:rsidRDefault="00B25B13" w:rsidP="00B25B13">
      <w:pPr>
        <w:spacing w:line="360" w:lineRule="auto"/>
        <w:jc w:val="both"/>
        <w:rPr>
          <w:rFonts w:eastAsiaTheme="minorHAnsi"/>
          <w:i/>
          <w:iCs/>
          <w:lang w:val="es-MX" w:eastAsia="en-US"/>
        </w:rPr>
      </w:pPr>
      <w:r w:rsidRPr="00B25B13">
        <w:rPr>
          <w:rFonts w:eastAsiaTheme="minorHAnsi"/>
          <w:lang w:val="es-MX" w:eastAsia="en-US"/>
        </w:rPr>
        <w:t xml:space="preserve">Investigación: </w:t>
      </w:r>
      <w:r w:rsidRPr="00B25B13">
        <w:rPr>
          <w:rFonts w:eastAsiaTheme="minorHAnsi"/>
          <w:i/>
          <w:iCs/>
          <w:lang w:val="es-MX" w:eastAsia="en-US"/>
        </w:rPr>
        <w:t>Sergio Orlando Escalona González.</w:t>
      </w:r>
    </w:p>
    <w:p w14:paraId="5B2200BF" w14:textId="77777777" w:rsidR="00B25B13" w:rsidRPr="00B25B13" w:rsidRDefault="00B25B13" w:rsidP="00B25B13">
      <w:pPr>
        <w:spacing w:line="360" w:lineRule="auto"/>
        <w:jc w:val="both"/>
        <w:rPr>
          <w:rFonts w:eastAsiaTheme="minorHAnsi"/>
          <w:i/>
          <w:iCs/>
          <w:lang w:val="es-MX" w:eastAsia="en-US"/>
        </w:rPr>
      </w:pPr>
      <w:r w:rsidRPr="00B25B13">
        <w:rPr>
          <w:rFonts w:eastAsiaTheme="minorHAnsi"/>
          <w:lang w:val="es-MX" w:eastAsia="en-US"/>
        </w:rPr>
        <w:t xml:space="preserve">Metodología: </w:t>
      </w:r>
      <w:r w:rsidRPr="00B25B13">
        <w:rPr>
          <w:rFonts w:eastAsiaTheme="minorHAnsi"/>
          <w:i/>
          <w:iCs/>
          <w:lang w:val="es-MX" w:eastAsia="en-US"/>
        </w:rPr>
        <w:t>Sergio Orlando Escalona González.</w:t>
      </w:r>
    </w:p>
    <w:p w14:paraId="4283854A" w14:textId="77777777" w:rsidR="00B25B13" w:rsidRPr="00B25B13" w:rsidRDefault="00B25B13" w:rsidP="00B25B13">
      <w:pPr>
        <w:spacing w:line="360" w:lineRule="auto"/>
        <w:jc w:val="both"/>
        <w:rPr>
          <w:rFonts w:eastAsiaTheme="minorHAnsi"/>
          <w:i/>
          <w:iCs/>
          <w:lang w:val="es-MX" w:eastAsia="en-US"/>
        </w:rPr>
      </w:pPr>
      <w:r w:rsidRPr="00B25B13">
        <w:rPr>
          <w:rFonts w:eastAsiaTheme="minorHAnsi"/>
          <w:lang w:val="es-MX" w:eastAsia="en-US"/>
        </w:rPr>
        <w:t xml:space="preserve">Administración del proyecto: </w:t>
      </w:r>
      <w:r w:rsidRPr="00B25B13">
        <w:rPr>
          <w:rFonts w:eastAsiaTheme="minorHAnsi"/>
          <w:i/>
          <w:iCs/>
          <w:lang w:val="es-MX" w:eastAsia="en-US"/>
        </w:rPr>
        <w:t>Sergio Orlando Escalona González, Zoraida Caridad González Milán.</w:t>
      </w:r>
    </w:p>
    <w:p w14:paraId="4A9D42EC"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Recursos: </w:t>
      </w:r>
      <w:r w:rsidRPr="00B25B13">
        <w:rPr>
          <w:rFonts w:eastAsiaTheme="minorHAnsi"/>
          <w:i/>
          <w:iCs/>
          <w:lang w:val="es-MX" w:eastAsia="en-US"/>
        </w:rPr>
        <w:t xml:space="preserve">Sergio Orlando Escalona González, </w:t>
      </w:r>
      <w:proofErr w:type="spellStart"/>
      <w:r w:rsidRPr="00B25B13">
        <w:rPr>
          <w:rFonts w:eastAsiaTheme="minorHAnsi"/>
          <w:i/>
          <w:iCs/>
          <w:lang w:val="es-MX" w:eastAsia="en-US"/>
        </w:rPr>
        <w:t>Yailé</w:t>
      </w:r>
      <w:proofErr w:type="spellEnd"/>
      <w:r w:rsidRPr="00B25B13">
        <w:rPr>
          <w:rFonts w:eastAsiaTheme="minorHAnsi"/>
          <w:i/>
          <w:iCs/>
          <w:lang w:val="es-MX" w:eastAsia="en-US"/>
        </w:rPr>
        <w:t xml:space="preserve"> Caballero Mota, </w:t>
      </w:r>
      <w:proofErr w:type="spellStart"/>
      <w:r w:rsidRPr="00B25B13">
        <w:rPr>
          <w:rFonts w:eastAsiaTheme="minorHAnsi"/>
          <w:i/>
          <w:iCs/>
          <w:lang w:val="es-MX" w:eastAsia="en-US"/>
        </w:rPr>
        <w:t>Yanela</w:t>
      </w:r>
      <w:proofErr w:type="spellEnd"/>
      <w:r w:rsidRPr="00B25B13">
        <w:rPr>
          <w:rFonts w:eastAsiaTheme="minorHAnsi"/>
          <w:i/>
          <w:iCs/>
          <w:lang w:val="es-MX" w:eastAsia="en-US"/>
        </w:rPr>
        <w:t xml:space="preserve"> Rodríguez </w:t>
      </w:r>
      <w:proofErr w:type="spellStart"/>
      <w:r w:rsidRPr="00B25B13">
        <w:rPr>
          <w:rFonts w:eastAsiaTheme="minorHAnsi"/>
          <w:i/>
          <w:iCs/>
          <w:lang w:val="es-MX" w:eastAsia="en-US"/>
        </w:rPr>
        <w:t>Alvarez</w:t>
      </w:r>
      <w:proofErr w:type="spellEnd"/>
      <w:r w:rsidRPr="00B25B13">
        <w:rPr>
          <w:rFonts w:eastAsiaTheme="minorHAnsi"/>
          <w:i/>
          <w:iCs/>
          <w:lang w:val="es-MX" w:eastAsia="en-US"/>
        </w:rPr>
        <w:t>, Zoraida Caridad González Milán.</w:t>
      </w:r>
    </w:p>
    <w:p w14:paraId="0E1D25D0"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Supervisión: </w:t>
      </w:r>
      <w:r w:rsidRPr="00B25B13">
        <w:rPr>
          <w:rFonts w:eastAsiaTheme="minorHAnsi"/>
          <w:i/>
          <w:iCs/>
          <w:lang w:val="es-MX" w:eastAsia="en-US"/>
        </w:rPr>
        <w:t xml:space="preserve">Sergio Orlando Escalona González, </w:t>
      </w:r>
      <w:proofErr w:type="spellStart"/>
      <w:r w:rsidRPr="00B25B13">
        <w:rPr>
          <w:rFonts w:eastAsiaTheme="minorHAnsi"/>
          <w:i/>
          <w:iCs/>
          <w:lang w:val="es-MX" w:eastAsia="en-US"/>
        </w:rPr>
        <w:t>Yailé</w:t>
      </w:r>
      <w:proofErr w:type="spellEnd"/>
      <w:r w:rsidRPr="00B25B13">
        <w:rPr>
          <w:rFonts w:eastAsiaTheme="minorHAnsi"/>
          <w:i/>
          <w:iCs/>
          <w:lang w:val="es-MX" w:eastAsia="en-US"/>
        </w:rPr>
        <w:t xml:space="preserve"> Caballero Mota, </w:t>
      </w:r>
      <w:proofErr w:type="spellStart"/>
      <w:r w:rsidRPr="00B25B13">
        <w:rPr>
          <w:rFonts w:eastAsiaTheme="minorHAnsi"/>
          <w:i/>
          <w:iCs/>
          <w:lang w:val="es-MX" w:eastAsia="en-US"/>
        </w:rPr>
        <w:t>Yanela</w:t>
      </w:r>
      <w:proofErr w:type="spellEnd"/>
      <w:r w:rsidRPr="00B25B13">
        <w:rPr>
          <w:rFonts w:eastAsiaTheme="minorHAnsi"/>
          <w:i/>
          <w:iCs/>
          <w:lang w:val="es-MX" w:eastAsia="en-US"/>
        </w:rPr>
        <w:t xml:space="preserve"> Rodríguez </w:t>
      </w:r>
      <w:proofErr w:type="spellStart"/>
      <w:r w:rsidRPr="00B25B13">
        <w:rPr>
          <w:rFonts w:eastAsiaTheme="minorHAnsi"/>
          <w:i/>
          <w:iCs/>
          <w:lang w:val="es-MX" w:eastAsia="en-US"/>
        </w:rPr>
        <w:t>Alvarez</w:t>
      </w:r>
      <w:proofErr w:type="spellEnd"/>
      <w:r w:rsidRPr="00B25B13">
        <w:rPr>
          <w:rFonts w:eastAsiaTheme="minorHAnsi"/>
          <w:i/>
          <w:iCs/>
          <w:lang w:val="es-MX" w:eastAsia="en-US"/>
        </w:rPr>
        <w:t>, Zoraida Caridad González Milán.</w:t>
      </w:r>
    </w:p>
    <w:p w14:paraId="0F405A62" w14:textId="77777777" w:rsidR="00B25B13" w:rsidRPr="00B25B13" w:rsidRDefault="00B25B13" w:rsidP="00B25B13">
      <w:pPr>
        <w:spacing w:line="360" w:lineRule="auto"/>
        <w:jc w:val="both"/>
        <w:rPr>
          <w:rFonts w:eastAsiaTheme="minorHAnsi"/>
          <w:i/>
          <w:iCs/>
          <w:lang w:val="es-MX" w:eastAsia="en-US"/>
        </w:rPr>
      </w:pPr>
      <w:r w:rsidRPr="00B25B13">
        <w:rPr>
          <w:rFonts w:eastAsiaTheme="minorHAnsi"/>
          <w:lang w:val="es-MX" w:eastAsia="en-US"/>
        </w:rPr>
        <w:t xml:space="preserve">Validación: </w:t>
      </w:r>
      <w:r w:rsidRPr="00B25B13">
        <w:rPr>
          <w:rFonts w:eastAsiaTheme="minorHAnsi"/>
          <w:i/>
          <w:iCs/>
          <w:lang w:val="es-MX" w:eastAsia="en-US"/>
        </w:rPr>
        <w:t xml:space="preserve">Sergio Orlando Escalona González, </w:t>
      </w:r>
      <w:proofErr w:type="spellStart"/>
      <w:r w:rsidRPr="00B25B13">
        <w:rPr>
          <w:rFonts w:eastAsiaTheme="minorHAnsi"/>
          <w:i/>
          <w:iCs/>
          <w:lang w:val="es-MX" w:eastAsia="en-US"/>
        </w:rPr>
        <w:t>Yailé</w:t>
      </w:r>
      <w:proofErr w:type="spellEnd"/>
      <w:r w:rsidRPr="00B25B13">
        <w:rPr>
          <w:rFonts w:eastAsiaTheme="minorHAnsi"/>
          <w:i/>
          <w:iCs/>
          <w:lang w:val="es-MX" w:eastAsia="en-US"/>
        </w:rPr>
        <w:t xml:space="preserve"> Caballero Mota, </w:t>
      </w:r>
      <w:proofErr w:type="spellStart"/>
      <w:r w:rsidRPr="00B25B13">
        <w:rPr>
          <w:rFonts w:eastAsiaTheme="minorHAnsi"/>
          <w:i/>
          <w:iCs/>
          <w:lang w:val="es-MX" w:eastAsia="en-US"/>
        </w:rPr>
        <w:t>Yanela</w:t>
      </w:r>
      <w:proofErr w:type="spellEnd"/>
      <w:r w:rsidRPr="00B25B13">
        <w:rPr>
          <w:rFonts w:eastAsiaTheme="minorHAnsi"/>
          <w:i/>
          <w:iCs/>
          <w:lang w:val="es-MX" w:eastAsia="en-US"/>
        </w:rPr>
        <w:t xml:space="preserve"> Rodríguez </w:t>
      </w:r>
      <w:proofErr w:type="spellStart"/>
      <w:r w:rsidRPr="00B25B13">
        <w:rPr>
          <w:rFonts w:eastAsiaTheme="minorHAnsi"/>
          <w:i/>
          <w:iCs/>
          <w:lang w:val="es-MX" w:eastAsia="en-US"/>
        </w:rPr>
        <w:t>Alvarez</w:t>
      </w:r>
      <w:proofErr w:type="spellEnd"/>
      <w:r w:rsidRPr="00B25B13">
        <w:rPr>
          <w:rFonts w:eastAsiaTheme="minorHAnsi"/>
          <w:i/>
          <w:iCs/>
          <w:lang w:val="es-MX" w:eastAsia="en-US"/>
        </w:rPr>
        <w:t>, Zoraida Caridad González Milán.</w:t>
      </w:r>
    </w:p>
    <w:p w14:paraId="32D80F75"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Visualización: </w:t>
      </w:r>
      <w:r w:rsidRPr="00B25B13">
        <w:rPr>
          <w:rFonts w:eastAsiaTheme="minorHAnsi"/>
          <w:i/>
          <w:iCs/>
          <w:lang w:val="es-MX" w:eastAsia="en-US"/>
        </w:rPr>
        <w:t xml:space="preserve">Sergio Orlando Escalona González, </w:t>
      </w:r>
      <w:proofErr w:type="spellStart"/>
      <w:r w:rsidRPr="00B25B13">
        <w:rPr>
          <w:rFonts w:eastAsiaTheme="minorHAnsi"/>
          <w:i/>
          <w:iCs/>
          <w:lang w:val="es-MX" w:eastAsia="en-US"/>
        </w:rPr>
        <w:t>Yailé</w:t>
      </w:r>
      <w:proofErr w:type="spellEnd"/>
      <w:r w:rsidRPr="00B25B13">
        <w:rPr>
          <w:rFonts w:eastAsiaTheme="minorHAnsi"/>
          <w:i/>
          <w:iCs/>
          <w:lang w:val="es-MX" w:eastAsia="en-US"/>
        </w:rPr>
        <w:t xml:space="preserve"> Caballero Mota, </w:t>
      </w:r>
      <w:proofErr w:type="spellStart"/>
      <w:r w:rsidRPr="00B25B13">
        <w:rPr>
          <w:rFonts w:eastAsiaTheme="minorHAnsi"/>
          <w:i/>
          <w:iCs/>
          <w:lang w:val="es-MX" w:eastAsia="en-US"/>
        </w:rPr>
        <w:t>Yanela</w:t>
      </w:r>
      <w:proofErr w:type="spellEnd"/>
      <w:r w:rsidRPr="00B25B13">
        <w:rPr>
          <w:rFonts w:eastAsiaTheme="minorHAnsi"/>
          <w:i/>
          <w:iCs/>
          <w:lang w:val="es-MX" w:eastAsia="en-US"/>
        </w:rPr>
        <w:t xml:space="preserve"> Rodríguez </w:t>
      </w:r>
      <w:proofErr w:type="spellStart"/>
      <w:r w:rsidRPr="00B25B13">
        <w:rPr>
          <w:rFonts w:eastAsiaTheme="minorHAnsi"/>
          <w:i/>
          <w:iCs/>
          <w:lang w:val="es-MX" w:eastAsia="en-US"/>
        </w:rPr>
        <w:t>Alvarez</w:t>
      </w:r>
      <w:proofErr w:type="spellEnd"/>
      <w:r w:rsidRPr="00B25B13">
        <w:rPr>
          <w:rFonts w:eastAsiaTheme="minorHAnsi"/>
          <w:i/>
          <w:iCs/>
          <w:lang w:val="es-MX" w:eastAsia="en-US"/>
        </w:rPr>
        <w:t xml:space="preserve">, Zoraida Caridad González Milán, Beatriz Ricardo </w:t>
      </w:r>
      <w:proofErr w:type="spellStart"/>
      <w:r w:rsidRPr="00B25B13">
        <w:rPr>
          <w:rFonts w:eastAsiaTheme="minorHAnsi"/>
          <w:i/>
          <w:iCs/>
          <w:lang w:val="es-MX" w:eastAsia="en-US"/>
        </w:rPr>
        <w:t>Paez</w:t>
      </w:r>
      <w:proofErr w:type="spellEnd"/>
      <w:r w:rsidRPr="00B25B13">
        <w:rPr>
          <w:rFonts w:eastAsiaTheme="minorHAnsi"/>
          <w:i/>
          <w:iCs/>
          <w:lang w:val="es-MX" w:eastAsia="en-US"/>
        </w:rPr>
        <w:t xml:space="preserve">, Katiuska </w:t>
      </w:r>
      <w:proofErr w:type="spellStart"/>
      <w:r w:rsidRPr="00B25B13">
        <w:rPr>
          <w:rFonts w:eastAsiaTheme="minorHAnsi"/>
          <w:i/>
          <w:iCs/>
          <w:lang w:val="es-MX" w:eastAsia="en-US"/>
        </w:rPr>
        <w:t>Danay</w:t>
      </w:r>
      <w:proofErr w:type="spellEnd"/>
      <w:r w:rsidRPr="00B25B13">
        <w:rPr>
          <w:rFonts w:eastAsiaTheme="minorHAnsi"/>
          <w:i/>
          <w:iCs/>
          <w:lang w:val="es-MX" w:eastAsia="en-US"/>
        </w:rPr>
        <w:t xml:space="preserve"> Rodríguez Espinosa.</w:t>
      </w:r>
    </w:p>
    <w:p w14:paraId="25D5DBA4" w14:textId="77777777" w:rsidR="00B25B13" w:rsidRPr="00B25B13" w:rsidRDefault="00B25B13" w:rsidP="00B25B13">
      <w:pPr>
        <w:spacing w:line="360" w:lineRule="auto"/>
        <w:jc w:val="both"/>
        <w:rPr>
          <w:rFonts w:eastAsiaTheme="minorHAnsi"/>
          <w:lang w:val="es-MX" w:eastAsia="en-US"/>
        </w:rPr>
      </w:pPr>
      <w:r w:rsidRPr="00B25B13">
        <w:rPr>
          <w:rFonts w:eastAsiaTheme="minorHAnsi"/>
          <w:lang w:val="es-MX" w:eastAsia="en-US"/>
        </w:rPr>
        <w:t xml:space="preserve">Redacción – revisión y edición: </w:t>
      </w:r>
      <w:r w:rsidRPr="00B25B13">
        <w:rPr>
          <w:rFonts w:eastAsiaTheme="minorHAnsi"/>
          <w:i/>
          <w:iCs/>
          <w:lang w:val="es-MX" w:eastAsia="en-US"/>
        </w:rPr>
        <w:t xml:space="preserve">Sergio Orlando Escalona González, </w:t>
      </w:r>
      <w:proofErr w:type="spellStart"/>
      <w:r w:rsidRPr="00B25B13">
        <w:rPr>
          <w:rFonts w:eastAsiaTheme="minorHAnsi"/>
          <w:i/>
          <w:iCs/>
          <w:lang w:val="es-MX" w:eastAsia="en-US"/>
        </w:rPr>
        <w:t>Yailé</w:t>
      </w:r>
      <w:proofErr w:type="spellEnd"/>
      <w:r w:rsidRPr="00B25B13">
        <w:rPr>
          <w:rFonts w:eastAsiaTheme="minorHAnsi"/>
          <w:i/>
          <w:iCs/>
          <w:lang w:val="es-MX" w:eastAsia="en-US"/>
        </w:rPr>
        <w:t xml:space="preserve"> Caballero Mota, </w:t>
      </w:r>
      <w:proofErr w:type="spellStart"/>
      <w:r w:rsidRPr="00B25B13">
        <w:rPr>
          <w:rFonts w:eastAsiaTheme="minorHAnsi"/>
          <w:i/>
          <w:iCs/>
          <w:lang w:val="es-MX" w:eastAsia="en-US"/>
        </w:rPr>
        <w:t>Yanela</w:t>
      </w:r>
      <w:proofErr w:type="spellEnd"/>
      <w:r w:rsidRPr="00B25B13">
        <w:rPr>
          <w:rFonts w:eastAsiaTheme="minorHAnsi"/>
          <w:i/>
          <w:iCs/>
          <w:lang w:val="es-MX" w:eastAsia="en-US"/>
        </w:rPr>
        <w:t xml:space="preserve"> Rodríguez </w:t>
      </w:r>
      <w:proofErr w:type="spellStart"/>
      <w:r w:rsidRPr="00B25B13">
        <w:rPr>
          <w:rFonts w:eastAsiaTheme="minorHAnsi"/>
          <w:i/>
          <w:iCs/>
          <w:lang w:val="es-MX" w:eastAsia="en-US"/>
        </w:rPr>
        <w:t>Alvarez</w:t>
      </w:r>
      <w:proofErr w:type="spellEnd"/>
      <w:r w:rsidRPr="00B25B13">
        <w:rPr>
          <w:rFonts w:eastAsiaTheme="minorHAnsi"/>
          <w:i/>
          <w:iCs/>
          <w:lang w:val="es-MX" w:eastAsia="en-US"/>
        </w:rPr>
        <w:t xml:space="preserve">, Mirna León Acebo, Zoraida Caridad González Milán, Beatriz Ricardo </w:t>
      </w:r>
      <w:proofErr w:type="spellStart"/>
      <w:r w:rsidRPr="00B25B13">
        <w:rPr>
          <w:rFonts w:eastAsiaTheme="minorHAnsi"/>
          <w:i/>
          <w:iCs/>
          <w:lang w:val="es-MX" w:eastAsia="en-US"/>
        </w:rPr>
        <w:t>Paez</w:t>
      </w:r>
      <w:proofErr w:type="spellEnd"/>
      <w:r w:rsidRPr="00B25B13">
        <w:rPr>
          <w:rFonts w:eastAsiaTheme="minorHAnsi"/>
          <w:i/>
          <w:iCs/>
          <w:lang w:val="es-MX" w:eastAsia="en-US"/>
        </w:rPr>
        <w:t xml:space="preserve">, Katiuska </w:t>
      </w:r>
      <w:proofErr w:type="spellStart"/>
      <w:r w:rsidRPr="00B25B13">
        <w:rPr>
          <w:rFonts w:eastAsiaTheme="minorHAnsi"/>
          <w:i/>
          <w:iCs/>
          <w:lang w:val="es-MX" w:eastAsia="en-US"/>
        </w:rPr>
        <w:t>Danay</w:t>
      </w:r>
      <w:proofErr w:type="spellEnd"/>
      <w:r w:rsidRPr="00B25B13">
        <w:rPr>
          <w:rFonts w:eastAsiaTheme="minorHAnsi"/>
          <w:i/>
          <w:iCs/>
          <w:lang w:val="es-MX" w:eastAsia="en-US"/>
        </w:rPr>
        <w:t xml:space="preserve"> Rodríguez Espinosa.</w:t>
      </w:r>
    </w:p>
    <w:p w14:paraId="30794BBE" w14:textId="77777777" w:rsidR="00675476" w:rsidRPr="00B25B13" w:rsidRDefault="00675476" w:rsidP="00EA1FEF">
      <w:pPr>
        <w:pStyle w:val="PDFRevista"/>
        <w:rPr>
          <w:lang w:val="es-MX"/>
        </w:rPr>
      </w:pPr>
    </w:p>
    <w:sectPr w:rsidR="00675476" w:rsidRPr="00B25B13" w:rsidSect="00FD3DF8">
      <w:headerReference w:type="default" r:id="rId33"/>
      <w:footerReference w:type="even" r:id="rId34"/>
      <w:footerReference w:type="default" r:id="rId3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1C76" w14:textId="77777777" w:rsidR="0007486B" w:rsidRDefault="0007486B">
      <w:r>
        <w:separator/>
      </w:r>
    </w:p>
  </w:endnote>
  <w:endnote w:type="continuationSeparator" w:id="0">
    <w:p w14:paraId="62477053" w14:textId="77777777" w:rsidR="0007486B" w:rsidRDefault="0007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OT1ef757c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10B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99CB5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F53F"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853FD39" wp14:editId="79266405">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27B6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16B64D4" w14:textId="77777777" w:rsidR="00675476" w:rsidRPr="00AE044C" w:rsidRDefault="0007486B" w:rsidP="00391509">
    <w:pPr>
      <w:pStyle w:val="Piedepgina"/>
      <w:ind w:right="360"/>
      <w:rPr>
        <w:sz w:val="22"/>
        <w:szCs w:val="22"/>
      </w:rPr>
    </w:pPr>
    <w:hyperlink r:id="rId1" w:history="1">
      <w:r w:rsidR="00391509" w:rsidRPr="00AE044C">
        <w:rPr>
          <w:rStyle w:val="Hipervnculo"/>
          <w:sz w:val="22"/>
          <w:szCs w:val="22"/>
        </w:rPr>
        <w:t>http://scielo.sld.cu</w:t>
      </w:r>
    </w:hyperlink>
  </w:p>
  <w:p w14:paraId="5007E511" w14:textId="77777777" w:rsidR="00391509" w:rsidRPr="00AE044C" w:rsidRDefault="0007486B"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9EBA50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50D81EBC" wp14:editId="0E1FE326">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DE65" w14:textId="77777777" w:rsidR="0007486B" w:rsidRDefault="0007486B">
      <w:r>
        <w:separator/>
      </w:r>
    </w:p>
  </w:footnote>
  <w:footnote w:type="continuationSeparator" w:id="0">
    <w:p w14:paraId="5779C17F" w14:textId="77777777" w:rsidR="0007486B" w:rsidRDefault="0007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6C8E" w14:textId="040A7803" w:rsidR="00CC376A" w:rsidRPr="00AE044C" w:rsidRDefault="00B25B13"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36CCE499" wp14:editId="6D6A86F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e024017622</w:t>
    </w:r>
  </w:p>
  <w:p w14:paraId="558E3710"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AC89337" wp14:editId="6BC46498">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BCB3C"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214C"/>
    <w:multiLevelType w:val="hybridMultilevel"/>
    <w:tmpl w:val="F6F81CB0"/>
    <w:lvl w:ilvl="0" w:tplc="09A41F20">
      <w:start w:val="1"/>
      <w:numFmt w:val="decimal"/>
      <w:lvlText w:val="%1."/>
      <w:lvlJc w:val="left"/>
      <w:pPr>
        <w:ind w:left="360" w:hanging="360"/>
      </w:pPr>
      <w:rPr>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5E46535"/>
    <w:multiLevelType w:val="hybridMultilevel"/>
    <w:tmpl w:val="D288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176BDD"/>
    <w:multiLevelType w:val="hybridMultilevel"/>
    <w:tmpl w:val="747C5C4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701F29CF"/>
    <w:multiLevelType w:val="hybridMultilevel"/>
    <w:tmpl w:val="CFD2583C"/>
    <w:lvl w:ilvl="0" w:tplc="739470A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9C57B6"/>
    <w:multiLevelType w:val="hybridMultilevel"/>
    <w:tmpl w:val="6938EA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7B0003F6"/>
    <w:multiLevelType w:val="hybridMultilevel"/>
    <w:tmpl w:val="5B6E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95530"/>
    <w:multiLevelType w:val="hybridMultilevel"/>
    <w:tmpl w:val="A726F9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7F332382"/>
    <w:multiLevelType w:val="hybridMultilevel"/>
    <w:tmpl w:val="27FA148C"/>
    <w:lvl w:ilvl="0" w:tplc="FCDC457C">
      <w:start w:val="1"/>
      <w:numFmt w:val="decimal"/>
      <w:lvlText w:val="%1."/>
      <w:lvlJc w:val="left"/>
      <w:pPr>
        <w:ind w:left="720" w:hanging="36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4"/>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13"/>
    <w:rsid w:val="00057F45"/>
    <w:rsid w:val="0007486B"/>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321"/>
    <w:rsid w:val="005918BD"/>
    <w:rsid w:val="006173A6"/>
    <w:rsid w:val="00675476"/>
    <w:rsid w:val="007121A5"/>
    <w:rsid w:val="007C430F"/>
    <w:rsid w:val="007D2D0C"/>
    <w:rsid w:val="007D614D"/>
    <w:rsid w:val="00915D3C"/>
    <w:rsid w:val="00960D6A"/>
    <w:rsid w:val="009A0560"/>
    <w:rsid w:val="009B0917"/>
    <w:rsid w:val="009F0F96"/>
    <w:rsid w:val="00A23C0C"/>
    <w:rsid w:val="00A477DE"/>
    <w:rsid w:val="00A66186"/>
    <w:rsid w:val="00A71E65"/>
    <w:rsid w:val="00A95325"/>
    <w:rsid w:val="00AE044C"/>
    <w:rsid w:val="00B25B13"/>
    <w:rsid w:val="00B31971"/>
    <w:rsid w:val="00B4380A"/>
    <w:rsid w:val="00B66ECB"/>
    <w:rsid w:val="00C7523A"/>
    <w:rsid w:val="00CC1B6E"/>
    <w:rsid w:val="00CC376A"/>
    <w:rsid w:val="00CC48A1"/>
    <w:rsid w:val="00CF50E0"/>
    <w:rsid w:val="00D85951"/>
    <w:rsid w:val="00E62606"/>
    <w:rsid w:val="00EA1FEF"/>
    <w:rsid w:val="00EC5A6B"/>
    <w:rsid w:val="00EE301D"/>
    <w:rsid w:val="00F56024"/>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6287A"/>
  <w15:docId w15:val="{67DA937A-0A3A-4176-ACCF-6420C978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B25B13"/>
    <w:pPr>
      <w:keepNext/>
      <w:spacing w:line="360" w:lineRule="auto"/>
      <w:jc w:val="center"/>
      <w:outlineLvl w:val="0"/>
    </w:pPr>
    <w:rPr>
      <w:rFonts w:eastAsiaTheme="minorHAnsi"/>
      <w:b/>
      <w:lang w:val="es-ES" w:eastAsia="en-US"/>
    </w:rPr>
  </w:style>
  <w:style w:type="paragraph" w:styleId="Ttulo2">
    <w:name w:val="heading 2"/>
    <w:basedOn w:val="Normal"/>
    <w:next w:val="Normal"/>
    <w:link w:val="Ttulo2Car"/>
    <w:uiPriority w:val="9"/>
    <w:unhideWhenUsed/>
    <w:qFormat/>
    <w:rsid w:val="00B25B13"/>
    <w:pPr>
      <w:keepNext/>
      <w:spacing w:line="360" w:lineRule="auto"/>
      <w:jc w:val="right"/>
      <w:outlineLvl w:val="1"/>
    </w:pPr>
    <w:rPr>
      <w:rFonts w:eastAsiaTheme="minorHAnsi"/>
      <w:b/>
      <w:bCs/>
      <w:sz w:val="20"/>
      <w:szCs w:val="2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B25B13"/>
    <w:rPr>
      <w:rFonts w:eastAsiaTheme="minorHAnsi"/>
      <w:b/>
      <w:sz w:val="24"/>
      <w:szCs w:val="24"/>
      <w:lang w:eastAsia="en-US"/>
    </w:rPr>
  </w:style>
  <w:style w:type="character" w:customStyle="1" w:styleId="Ttulo2Car">
    <w:name w:val="Título 2 Car"/>
    <w:basedOn w:val="Fuentedeprrafopredeter"/>
    <w:link w:val="Ttulo2"/>
    <w:uiPriority w:val="9"/>
    <w:rsid w:val="00B25B13"/>
    <w:rPr>
      <w:rFonts w:eastAsiaTheme="minorHAnsi"/>
      <w:b/>
      <w:bCs/>
      <w:lang w:eastAsia="en-US"/>
    </w:rPr>
  </w:style>
  <w:style w:type="numbering" w:customStyle="1" w:styleId="Sinlista1">
    <w:name w:val="Sin lista1"/>
    <w:next w:val="Sinlista"/>
    <w:uiPriority w:val="99"/>
    <w:semiHidden/>
    <w:unhideWhenUsed/>
    <w:rsid w:val="00B25B13"/>
  </w:style>
  <w:style w:type="paragraph" w:styleId="Prrafodelista">
    <w:name w:val="List Paragraph"/>
    <w:basedOn w:val="Normal"/>
    <w:uiPriority w:val="34"/>
    <w:qFormat/>
    <w:rsid w:val="00B25B13"/>
    <w:pPr>
      <w:spacing w:after="160" w:line="259" w:lineRule="auto"/>
      <w:ind w:left="720"/>
      <w:contextualSpacing/>
    </w:pPr>
    <w:rPr>
      <w:rFonts w:ascii="Arial" w:eastAsiaTheme="minorHAnsi" w:hAnsi="Arial" w:cs="Arial"/>
      <w:lang w:val="es-MX" w:eastAsia="en-US"/>
    </w:rPr>
  </w:style>
  <w:style w:type="character" w:styleId="Refdecomentario">
    <w:name w:val="annotation reference"/>
    <w:basedOn w:val="Fuentedeprrafopredeter"/>
    <w:uiPriority w:val="99"/>
    <w:semiHidden/>
    <w:unhideWhenUsed/>
    <w:rsid w:val="00B25B13"/>
    <w:rPr>
      <w:sz w:val="16"/>
      <w:szCs w:val="16"/>
    </w:rPr>
  </w:style>
  <w:style w:type="paragraph" w:styleId="Textocomentario">
    <w:name w:val="annotation text"/>
    <w:basedOn w:val="Normal"/>
    <w:link w:val="TextocomentarioCar"/>
    <w:uiPriority w:val="99"/>
    <w:unhideWhenUsed/>
    <w:rsid w:val="00B25B13"/>
    <w:pPr>
      <w:spacing w:after="160"/>
    </w:pPr>
    <w:rPr>
      <w:rFonts w:ascii="Arial" w:eastAsiaTheme="minorHAnsi" w:hAnsi="Arial" w:cs="Arial"/>
      <w:sz w:val="20"/>
      <w:szCs w:val="20"/>
      <w:lang w:val="es-MX" w:eastAsia="en-US"/>
    </w:rPr>
  </w:style>
  <w:style w:type="character" w:customStyle="1" w:styleId="TextocomentarioCar">
    <w:name w:val="Texto comentario Car"/>
    <w:basedOn w:val="Fuentedeprrafopredeter"/>
    <w:link w:val="Textocomentario"/>
    <w:uiPriority w:val="99"/>
    <w:rsid w:val="00B25B13"/>
    <w:rPr>
      <w:rFonts w:ascii="Arial" w:eastAsiaTheme="minorHAnsi" w:hAnsi="Arial" w:cs="Arial"/>
      <w:lang w:val="es-MX" w:eastAsia="en-US"/>
    </w:rPr>
  </w:style>
  <w:style w:type="paragraph" w:styleId="Asuntodelcomentario">
    <w:name w:val="annotation subject"/>
    <w:basedOn w:val="Textocomentario"/>
    <w:next w:val="Textocomentario"/>
    <w:link w:val="AsuntodelcomentarioCar"/>
    <w:uiPriority w:val="99"/>
    <w:semiHidden/>
    <w:unhideWhenUsed/>
    <w:rsid w:val="00B25B13"/>
    <w:rPr>
      <w:b/>
      <w:bCs/>
    </w:rPr>
  </w:style>
  <w:style w:type="character" w:customStyle="1" w:styleId="AsuntodelcomentarioCar">
    <w:name w:val="Asunto del comentario Car"/>
    <w:basedOn w:val="TextocomentarioCar"/>
    <w:link w:val="Asuntodelcomentario"/>
    <w:uiPriority w:val="99"/>
    <w:semiHidden/>
    <w:rsid w:val="00B25B13"/>
    <w:rPr>
      <w:rFonts w:ascii="Arial" w:eastAsiaTheme="minorHAnsi" w:hAnsi="Arial" w:cs="Arial"/>
      <w:b/>
      <w:bCs/>
      <w:lang w:val="es-MX" w:eastAsia="en-US"/>
    </w:rPr>
  </w:style>
  <w:style w:type="paragraph" w:styleId="Textoindependiente">
    <w:name w:val="Body Text"/>
    <w:basedOn w:val="Normal"/>
    <w:link w:val="TextoindependienteCar"/>
    <w:uiPriority w:val="99"/>
    <w:unhideWhenUsed/>
    <w:rsid w:val="00B25B13"/>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B25B13"/>
    <w:rPr>
      <w:rFonts w:ascii="Arial" w:hAnsi="Arial" w:cs="Arial"/>
      <w:sz w:val="12"/>
      <w:szCs w:val="12"/>
    </w:rPr>
  </w:style>
  <w:style w:type="paragraph" w:styleId="Lista">
    <w:name w:val="List"/>
    <w:basedOn w:val="Normal"/>
    <w:uiPriority w:val="99"/>
    <w:unhideWhenUsed/>
    <w:rsid w:val="00B25B13"/>
    <w:pPr>
      <w:ind w:left="283" w:hanging="283"/>
      <w:contextualSpacing/>
    </w:pPr>
    <w:rPr>
      <w:rFonts w:ascii="Arial" w:hAnsi="Arial" w:cs="Arial"/>
      <w:sz w:val="12"/>
      <w:szCs w:val="12"/>
      <w:lang w:val="es-ES" w:eastAsia="es-ES"/>
    </w:rPr>
  </w:style>
  <w:style w:type="character" w:customStyle="1" w:styleId="volumen">
    <w:name w:val="volumen"/>
    <w:basedOn w:val="Fuentedeprrafopredeter"/>
    <w:rsid w:val="00B25B13"/>
  </w:style>
  <w:style w:type="character" w:customStyle="1" w:styleId="Mencinsinresolver1">
    <w:name w:val="Mención sin resolver1"/>
    <w:basedOn w:val="Fuentedeprrafopredeter"/>
    <w:uiPriority w:val="99"/>
    <w:semiHidden/>
    <w:unhideWhenUsed/>
    <w:rsid w:val="00B25B13"/>
    <w:rPr>
      <w:color w:val="605E5C"/>
      <w:shd w:val="clear" w:color="auto" w:fill="E1DFDD"/>
    </w:rPr>
  </w:style>
  <w:style w:type="character" w:customStyle="1" w:styleId="Mencinsinresolver2">
    <w:name w:val="Mención sin resolver2"/>
    <w:basedOn w:val="Fuentedeprrafopredeter"/>
    <w:uiPriority w:val="99"/>
    <w:semiHidden/>
    <w:unhideWhenUsed/>
    <w:rsid w:val="00B25B13"/>
    <w:rPr>
      <w:color w:val="605E5C"/>
      <w:shd w:val="clear" w:color="auto" w:fill="E1DFDD"/>
    </w:rPr>
  </w:style>
  <w:style w:type="paragraph" w:customStyle="1" w:styleId="Normal1">
    <w:name w:val="Normal1"/>
    <w:rsid w:val="00B25B13"/>
    <w:pPr>
      <w:spacing w:after="200" w:line="276" w:lineRule="auto"/>
    </w:pPr>
    <w:rPr>
      <w:rFonts w:ascii="Calibri" w:eastAsia="Calibri" w:hAnsi="Calibri" w:cs="Calibri"/>
      <w:sz w:val="22"/>
      <w:szCs w:val="22"/>
      <w:lang w:val="es-MX" w:eastAsia="en-US"/>
    </w:rPr>
  </w:style>
  <w:style w:type="table" w:customStyle="1" w:styleId="Tablaconcuadrcula1">
    <w:name w:val="Tabla con cuadrícula1"/>
    <w:basedOn w:val="Tablanormal"/>
    <w:next w:val="Tablaconcuadrcula"/>
    <w:uiPriority w:val="59"/>
    <w:rsid w:val="00B25B13"/>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semiHidden/>
    <w:unhideWhenUsed/>
    <w:rsid w:val="00B25B13"/>
    <w:rPr>
      <w:color w:val="800080" w:themeColor="followedHyperlink"/>
      <w:u w:val="single"/>
    </w:rPr>
  </w:style>
  <w:style w:type="character" w:styleId="Textoennegrita">
    <w:name w:val="Strong"/>
    <w:uiPriority w:val="22"/>
    <w:qFormat/>
    <w:rsid w:val="00B25B13"/>
    <w:rPr>
      <w:b/>
      <w:bCs/>
    </w:rPr>
  </w:style>
  <w:style w:type="character" w:styleId="nfasis">
    <w:name w:val="Emphasis"/>
    <w:uiPriority w:val="20"/>
    <w:qFormat/>
    <w:rsid w:val="00B25B13"/>
    <w:rPr>
      <w:i/>
      <w:iCs/>
    </w:rPr>
  </w:style>
  <w:style w:type="character" w:customStyle="1" w:styleId="fontstyle01">
    <w:name w:val="fontstyle01"/>
    <w:basedOn w:val="Fuentedeprrafopredeter"/>
    <w:rsid w:val="00B25B13"/>
    <w:rPr>
      <w:rFonts w:ascii="AdvOT1ef757c0" w:hAnsi="AdvOT1ef757c0" w:hint="default"/>
      <w:b w:val="0"/>
      <w:bCs w:val="0"/>
      <w:i w:val="0"/>
      <w:iCs w:val="0"/>
      <w:color w:val="004479"/>
      <w:sz w:val="24"/>
      <w:szCs w:val="24"/>
    </w:rPr>
  </w:style>
  <w:style w:type="paragraph" w:styleId="TDC4">
    <w:name w:val="toc 4"/>
    <w:basedOn w:val="Normal"/>
    <w:next w:val="Normal"/>
    <w:autoRedefine/>
    <w:semiHidden/>
    <w:rsid w:val="00B25B13"/>
    <w:pPr>
      <w:spacing w:after="240" w:line="360" w:lineRule="auto"/>
      <w:jc w:val="both"/>
    </w:pPr>
    <w:rPr>
      <w:lang w:val="es-MX" w:eastAsia="en-US"/>
    </w:rPr>
  </w:style>
  <w:style w:type="character" w:customStyle="1" w:styleId="Mencinsinresolver3">
    <w:name w:val="Mención sin resolver3"/>
    <w:basedOn w:val="Fuentedeprrafopredeter"/>
    <w:uiPriority w:val="99"/>
    <w:semiHidden/>
    <w:unhideWhenUsed/>
    <w:rsid w:val="00B25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172-4701" TargetMode="External"/><Relationship Id="rId18" Type="http://schemas.openxmlformats.org/officeDocument/2006/relationships/hyperlink" Target="http://revzoilomarinello.sld.cu/index.php/zmv/article/view/2041" TargetMode="External"/><Relationship Id="rId26" Type="http://schemas.openxmlformats.org/officeDocument/2006/relationships/hyperlink" Target="https://doi.org/10.%201186/s12882-020-01907-5" TargetMode="External"/><Relationship Id="rId21" Type="http://schemas.openxmlformats.org/officeDocument/2006/relationships/hyperlink" Target="http://www.dilemascontemporaneoseducacionpoliticayvalores.com/index.php/dilemas/article/view/427/443" TargetMode="External"/><Relationship Id="rId34" Type="http://schemas.openxmlformats.org/officeDocument/2006/relationships/footer" Target="footer1.xml"/><Relationship Id="rId7" Type="http://schemas.openxmlformats.org/officeDocument/2006/relationships/hyperlink" Target="https://orcid.org/0000-0003-4261-6842" TargetMode="External"/><Relationship Id="rId12" Type="http://schemas.openxmlformats.org/officeDocument/2006/relationships/hyperlink" Target="https://orcid.org/0000-0003-0204-1845" TargetMode="External"/><Relationship Id="rId17" Type="http://schemas.openxmlformats.org/officeDocument/2006/relationships/hyperlink" Target="http://bvscuba.sld.cu/anuario-estadistico-de-cuba/" TargetMode="External"/><Relationship Id="rId25" Type="http://schemas.openxmlformats.org/officeDocument/2006/relationships/hyperlink" Target="https://doi.org/10.%201093/ntr/ntaa071"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yperlink" Target="https://doi.org/10.1111/dom.14178" TargetMode="External"/><Relationship Id="rId29" Type="http://schemas.openxmlformats.org/officeDocument/2006/relationships/hyperlink" Target="https://doi.org/10.1016/j.jclinepi.2022.11.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092-9389" TargetMode="External"/><Relationship Id="rId24" Type="http://schemas.openxmlformats.org/officeDocument/2006/relationships/hyperlink" Target="https://doi.org/10.1038/s41581-022-00616-6" TargetMode="External"/><Relationship Id="rId32" Type="http://schemas.openxmlformats.org/officeDocument/2006/relationships/hyperlink" Target="http://dx.doi.org/10.1097/MD.000000000002748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doi.org/10.3390/nu14173650" TargetMode="External"/><Relationship Id="rId28" Type="http://schemas.openxmlformats.org/officeDocument/2006/relationships/hyperlink" Target="https://doi.org/10.1371/journal.pone.0260074" TargetMode="External"/><Relationship Id="rId36" Type="http://schemas.openxmlformats.org/officeDocument/2006/relationships/fontTable" Target="fontTable.xml"/><Relationship Id="rId10" Type="http://schemas.openxmlformats.org/officeDocument/2006/relationships/hyperlink" Target="https://orcid.org/0000-0001-5652-8080" TargetMode="External"/><Relationship Id="rId19" Type="http://schemas.openxmlformats.org/officeDocument/2006/relationships/hyperlink" Target="http://www.revistaccuba.cu/index.php/revacc/article/view/1292" TargetMode="External"/><Relationship Id="rId31" Type="http://schemas.openxmlformats.org/officeDocument/2006/relationships/hyperlink" Target="https://doi.org/10.1371/journal.pone.0260074" TargetMode="External"/><Relationship Id="rId4" Type="http://schemas.openxmlformats.org/officeDocument/2006/relationships/webSettings" Target="webSettings.xml"/><Relationship Id="rId9" Type="http://schemas.openxmlformats.org/officeDocument/2006/relationships/hyperlink" Target="https://orcid.org/0000-0003-2232-2260" TargetMode="External"/><Relationship Id="rId14" Type="http://schemas.openxmlformats.org/officeDocument/2006/relationships/hyperlink" Target="mailto:sernephron96@gmail.com" TargetMode="External"/><Relationship Id="rId22" Type="http://schemas.openxmlformats.org/officeDocument/2006/relationships/hyperlink" Target="https://revhabanera.sld.cu/index.php/rhab/article/view/3579" TargetMode="External"/><Relationship Id="rId27" Type="http://schemas.openxmlformats.org/officeDocument/2006/relationships/hyperlink" Target="https://doi.org/10.3390/jpm11121355" TargetMode="External"/><Relationship Id="rId30" Type="http://schemas.openxmlformats.org/officeDocument/2006/relationships/hyperlink" Target="https://doi.org/10.1007/s40620-022-01345-6" TargetMode="External"/><Relationship Id="rId35" Type="http://schemas.openxmlformats.org/officeDocument/2006/relationships/footer" Target="footer2.xml"/><Relationship Id="rId8" Type="http://schemas.openxmlformats.org/officeDocument/2006/relationships/hyperlink" Target="https://orcid.org/0000-0002-6725-5812"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17</Pages>
  <Words>4989</Words>
  <Characters>27442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32367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5</cp:revision>
  <cp:lastPrinted>2010-09-13T21:29:00Z</cp:lastPrinted>
  <dcterms:created xsi:type="dcterms:W3CDTF">2024-01-30T22:45:00Z</dcterms:created>
  <dcterms:modified xsi:type="dcterms:W3CDTF">2024-01-30T22:50:00Z</dcterms:modified>
</cp:coreProperties>
</file>