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09784" w14:textId="77777777" w:rsidR="00D02A8C" w:rsidRPr="00D02A8C" w:rsidRDefault="00D02A8C" w:rsidP="00D02A8C">
      <w:pPr>
        <w:keepNext/>
        <w:spacing w:line="360" w:lineRule="auto"/>
        <w:jc w:val="right"/>
        <w:outlineLvl w:val="0"/>
        <w:rPr>
          <w:kern w:val="32"/>
          <w:sz w:val="20"/>
          <w:szCs w:val="20"/>
          <w:lang w:val="es-ES" w:eastAsia="en-US"/>
        </w:rPr>
      </w:pPr>
      <w:r w:rsidRPr="00D02A8C">
        <w:rPr>
          <w:kern w:val="32"/>
          <w:sz w:val="20"/>
          <w:szCs w:val="20"/>
          <w:lang w:val="es-ES" w:eastAsia="en-US"/>
        </w:rPr>
        <w:t>Comunicación breve</w:t>
      </w:r>
    </w:p>
    <w:p w14:paraId="6F019883" w14:textId="77777777" w:rsidR="00D02A8C" w:rsidRPr="00D02A8C" w:rsidRDefault="00D02A8C" w:rsidP="00D02A8C">
      <w:pPr>
        <w:spacing w:line="360" w:lineRule="auto"/>
        <w:jc w:val="both"/>
        <w:rPr>
          <w:lang w:val="es-ES" w:eastAsia="es-ES"/>
        </w:rPr>
      </w:pPr>
    </w:p>
    <w:p w14:paraId="2B44D992" w14:textId="77777777" w:rsidR="00D02A8C" w:rsidRPr="00D02A8C" w:rsidRDefault="00D02A8C" w:rsidP="00D02A8C">
      <w:pPr>
        <w:spacing w:line="360" w:lineRule="auto"/>
        <w:jc w:val="center"/>
        <w:rPr>
          <w:b/>
          <w:bCs/>
          <w:sz w:val="28"/>
          <w:szCs w:val="28"/>
          <w:lang w:val="es-ES" w:eastAsia="es-ES"/>
        </w:rPr>
      </w:pPr>
      <w:r w:rsidRPr="00D02A8C">
        <w:rPr>
          <w:b/>
          <w:bCs/>
          <w:sz w:val="28"/>
          <w:szCs w:val="28"/>
          <w:lang w:val="es-ES" w:eastAsia="es-ES"/>
        </w:rPr>
        <w:t>Caracterización de pacientes con pancreatitis aguda en una unidad de cuidados intensivos polivalente</w:t>
      </w:r>
    </w:p>
    <w:p w14:paraId="0B5B72CF" w14:textId="77777777" w:rsidR="00D02A8C" w:rsidRPr="00D02A8C" w:rsidRDefault="00D02A8C" w:rsidP="00D02A8C">
      <w:pPr>
        <w:spacing w:line="360" w:lineRule="auto"/>
        <w:jc w:val="center"/>
        <w:rPr>
          <w:sz w:val="28"/>
          <w:szCs w:val="28"/>
          <w:lang w:val="en-US" w:eastAsia="es-ES"/>
        </w:rPr>
      </w:pPr>
      <w:r w:rsidRPr="00D02A8C">
        <w:rPr>
          <w:sz w:val="28"/>
          <w:szCs w:val="28"/>
          <w:lang w:val="en-US" w:eastAsia="es-ES"/>
        </w:rPr>
        <w:t>Characterization of patients with Acute Pancreatitis in the multipurpose intensive care unit</w:t>
      </w:r>
    </w:p>
    <w:p w14:paraId="4E502E97" w14:textId="77777777" w:rsidR="00D02A8C" w:rsidRPr="00D02A8C" w:rsidRDefault="00D02A8C" w:rsidP="00D02A8C">
      <w:pPr>
        <w:spacing w:line="360" w:lineRule="auto"/>
        <w:jc w:val="both"/>
        <w:rPr>
          <w:lang w:val="en-US" w:eastAsia="es-ES"/>
        </w:rPr>
      </w:pPr>
    </w:p>
    <w:p w14:paraId="751823F4" w14:textId="77777777" w:rsidR="00D02A8C" w:rsidRPr="00D02A8C" w:rsidRDefault="00D02A8C" w:rsidP="00D02A8C">
      <w:pPr>
        <w:spacing w:line="360" w:lineRule="auto"/>
        <w:jc w:val="both"/>
        <w:rPr>
          <w:lang w:val="es-ES" w:eastAsia="es-ES"/>
        </w:rPr>
      </w:pPr>
      <w:r w:rsidRPr="00D02A8C">
        <w:rPr>
          <w:lang w:val="es-ES" w:eastAsia="es-ES"/>
        </w:rPr>
        <w:t xml:space="preserve">Maricela </w:t>
      </w:r>
      <w:proofErr w:type="spellStart"/>
      <w:r w:rsidRPr="00D02A8C">
        <w:rPr>
          <w:lang w:val="es-ES" w:eastAsia="es-ES"/>
        </w:rPr>
        <w:t>Viciedo</w:t>
      </w:r>
      <w:proofErr w:type="spellEnd"/>
      <w:r w:rsidRPr="00D02A8C">
        <w:rPr>
          <w:lang w:val="es-ES" w:eastAsia="es-ES"/>
        </w:rPr>
        <w:t xml:space="preserve"> Guillermo</w:t>
      </w:r>
      <w:r w:rsidRPr="00D02A8C">
        <w:rPr>
          <w:vertAlign w:val="superscript"/>
          <w:lang w:val="es-ES" w:eastAsia="es-ES"/>
        </w:rPr>
        <w:t>1</w:t>
      </w:r>
      <w:r w:rsidRPr="00D02A8C">
        <w:rPr>
          <w:lang w:val="es-ES" w:eastAsia="es-ES"/>
        </w:rPr>
        <w:t xml:space="preserve"> </w:t>
      </w:r>
      <w:hyperlink r:id="rId7" w:history="1">
        <w:r w:rsidRPr="00D02A8C">
          <w:rPr>
            <w:color w:val="0000FF"/>
            <w:u w:val="single"/>
            <w:lang w:val="es-ES" w:eastAsia="es-ES"/>
          </w:rPr>
          <w:t>https://orcid.org/0000-0001-5911-4019</w:t>
        </w:r>
      </w:hyperlink>
      <w:r w:rsidRPr="00D02A8C">
        <w:rPr>
          <w:lang w:val="es-ES" w:eastAsia="es-ES"/>
        </w:rPr>
        <w:t xml:space="preserve">  </w:t>
      </w:r>
    </w:p>
    <w:p w14:paraId="3A284452" w14:textId="77777777" w:rsidR="00D02A8C" w:rsidRPr="00D02A8C" w:rsidRDefault="00D02A8C" w:rsidP="00D02A8C">
      <w:pPr>
        <w:spacing w:line="360" w:lineRule="auto"/>
        <w:jc w:val="both"/>
        <w:rPr>
          <w:lang w:val="es-ES" w:eastAsia="es-ES"/>
        </w:rPr>
      </w:pPr>
      <w:r w:rsidRPr="00D02A8C">
        <w:rPr>
          <w:lang w:val="es-ES" w:eastAsia="es-ES"/>
        </w:rPr>
        <w:t>Jorge Félix Núñez Martínez</w:t>
      </w:r>
      <w:r w:rsidRPr="00D02A8C">
        <w:rPr>
          <w:vertAlign w:val="superscript"/>
          <w:lang w:val="es-ES" w:eastAsia="es-ES"/>
        </w:rPr>
        <w:t>1</w:t>
      </w:r>
      <w:r w:rsidRPr="00D02A8C">
        <w:rPr>
          <w:lang w:val="es-ES" w:eastAsia="es-ES"/>
        </w:rPr>
        <w:t xml:space="preserve">* </w:t>
      </w:r>
      <w:hyperlink r:id="rId8" w:history="1">
        <w:r w:rsidRPr="00D02A8C">
          <w:rPr>
            <w:color w:val="0000FF"/>
            <w:u w:val="single"/>
            <w:lang w:val="es-ES" w:eastAsia="es-ES"/>
          </w:rPr>
          <w:t>https://orcid.org/0000-0001-7262-3977</w:t>
        </w:r>
      </w:hyperlink>
      <w:r w:rsidRPr="00D02A8C">
        <w:rPr>
          <w:lang w:val="es-ES" w:eastAsia="es-ES"/>
        </w:rPr>
        <w:t xml:space="preserve">  </w:t>
      </w:r>
    </w:p>
    <w:p w14:paraId="35D1E138" w14:textId="77777777" w:rsidR="00D02A8C" w:rsidRPr="00D02A8C" w:rsidRDefault="00D02A8C" w:rsidP="00D02A8C">
      <w:pPr>
        <w:spacing w:line="360" w:lineRule="auto"/>
        <w:jc w:val="both"/>
        <w:rPr>
          <w:lang w:val="es-ES" w:eastAsia="es-ES"/>
        </w:rPr>
      </w:pPr>
      <w:r w:rsidRPr="00D02A8C">
        <w:rPr>
          <w:lang w:val="es-ES" w:eastAsia="es-ES"/>
        </w:rPr>
        <w:t>Catherine Madruga Vásquez</w:t>
      </w:r>
      <w:r w:rsidRPr="00D02A8C">
        <w:rPr>
          <w:vertAlign w:val="superscript"/>
          <w:lang w:val="es-ES" w:eastAsia="es-ES"/>
        </w:rPr>
        <w:t>1</w:t>
      </w:r>
      <w:r w:rsidRPr="00D02A8C">
        <w:rPr>
          <w:lang w:val="es-ES" w:eastAsia="es-ES"/>
        </w:rPr>
        <w:t xml:space="preserve"> </w:t>
      </w:r>
      <w:hyperlink r:id="rId9" w:history="1">
        <w:r w:rsidRPr="00D02A8C">
          <w:rPr>
            <w:color w:val="0000FF"/>
            <w:u w:val="single"/>
            <w:lang w:val="es-ES" w:eastAsia="es-ES"/>
          </w:rPr>
          <w:t>https://orcid.org/0000-0001-9185-5618</w:t>
        </w:r>
      </w:hyperlink>
      <w:r w:rsidRPr="00D02A8C">
        <w:rPr>
          <w:lang w:val="es-ES" w:eastAsia="es-ES"/>
        </w:rPr>
        <w:t xml:space="preserve">  </w:t>
      </w:r>
    </w:p>
    <w:p w14:paraId="4FB9FC9B" w14:textId="77777777" w:rsidR="00D02A8C" w:rsidRPr="00D02A8C" w:rsidRDefault="00D02A8C" w:rsidP="00D02A8C">
      <w:pPr>
        <w:spacing w:line="360" w:lineRule="auto"/>
        <w:jc w:val="both"/>
        <w:rPr>
          <w:lang w:val="es-ES" w:eastAsia="es-ES"/>
        </w:rPr>
      </w:pPr>
      <w:r w:rsidRPr="00D02A8C">
        <w:rPr>
          <w:lang w:val="es-ES" w:eastAsia="es-ES"/>
        </w:rPr>
        <w:t>Iliana Bouza Denis</w:t>
      </w:r>
      <w:r w:rsidRPr="00D02A8C">
        <w:rPr>
          <w:vertAlign w:val="superscript"/>
          <w:lang w:val="es-ES" w:eastAsia="es-ES"/>
        </w:rPr>
        <w:t>2</w:t>
      </w:r>
      <w:r w:rsidRPr="00D02A8C">
        <w:rPr>
          <w:lang w:val="es-ES" w:eastAsia="es-ES"/>
        </w:rPr>
        <w:t xml:space="preserve"> </w:t>
      </w:r>
      <w:hyperlink r:id="rId10" w:history="1">
        <w:r w:rsidRPr="00D02A8C">
          <w:rPr>
            <w:color w:val="0000FF"/>
            <w:u w:val="single"/>
            <w:lang w:val="es-ES" w:eastAsia="es-ES"/>
          </w:rPr>
          <w:t>https://orcid.org/0000-0003-3642-342X</w:t>
        </w:r>
      </w:hyperlink>
      <w:r w:rsidRPr="00D02A8C">
        <w:rPr>
          <w:lang w:val="es-ES" w:eastAsia="es-ES"/>
        </w:rPr>
        <w:t xml:space="preserve">  </w:t>
      </w:r>
    </w:p>
    <w:p w14:paraId="2D1CA94A" w14:textId="77777777" w:rsidR="00D02A8C" w:rsidRPr="00D02A8C" w:rsidRDefault="00D02A8C" w:rsidP="00D02A8C">
      <w:pPr>
        <w:spacing w:line="360" w:lineRule="auto"/>
        <w:jc w:val="both"/>
        <w:rPr>
          <w:lang w:val="es-ES" w:eastAsia="es-ES"/>
        </w:rPr>
      </w:pPr>
    </w:p>
    <w:p w14:paraId="3F9753B3" w14:textId="77777777" w:rsidR="00D02A8C" w:rsidRPr="00D02A8C" w:rsidRDefault="00D02A8C" w:rsidP="00D02A8C">
      <w:pPr>
        <w:spacing w:line="360" w:lineRule="auto"/>
        <w:jc w:val="both"/>
        <w:rPr>
          <w:lang w:val="es-ES" w:eastAsia="es-ES"/>
        </w:rPr>
      </w:pPr>
      <w:r w:rsidRPr="00D02A8C">
        <w:rPr>
          <w:vertAlign w:val="superscript"/>
          <w:lang w:val="es-ES" w:eastAsia="es-ES"/>
        </w:rPr>
        <w:t>1</w:t>
      </w:r>
      <w:r w:rsidRPr="00D02A8C">
        <w:rPr>
          <w:lang w:val="es-ES" w:eastAsia="es-ES"/>
        </w:rPr>
        <w:t>Hospital Militar “Dr. Mario Muñoz Monroy”. Matanzas, Cuba.</w:t>
      </w:r>
    </w:p>
    <w:p w14:paraId="2B72CF5F" w14:textId="77777777" w:rsidR="00D02A8C" w:rsidRPr="00D02A8C" w:rsidRDefault="00D02A8C" w:rsidP="00D02A8C">
      <w:pPr>
        <w:spacing w:line="360" w:lineRule="auto"/>
        <w:jc w:val="both"/>
        <w:rPr>
          <w:lang w:val="es-ES" w:eastAsia="es-ES"/>
        </w:rPr>
      </w:pPr>
      <w:r w:rsidRPr="00D02A8C">
        <w:rPr>
          <w:vertAlign w:val="superscript"/>
          <w:lang w:val="es-ES" w:eastAsia="es-ES"/>
        </w:rPr>
        <w:t>2</w:t>
      </w:r>
      <w:r w:rsidRPr="00D02A8C">
        <w:rPr>
          <w:lang w:val="es-ES" w:eastAsia="es-ES"/>
        </w:rPr>
        <w:t>Hospital Pediátrico Docente “Eliseo Noel Camaño”. Matanzas, Cuba.</w:t>
      </w:r>
    </w:p>
    <w:p w14:paraId="6E8A4514" w14:textId="77777777" w:rsidR="00D02A8C" w:rsidRPr="00D02A8C" w:rsidRDefault="00D02A8C" w:rsidP="00D02A8C">
      <w:pPr>
        <w:spacing w:line="360" w:lineRule="auto"/>
        <w:jc w:val="both"/>
        <w:rPr>
          <w:lang w:val="es-ES" w:eastAsia="es-ES"/>
        </w:rPr>
      </w:pPr>
    </w:p>
    <w:p w14:paraId="4988FABD" w14:textId="77777777" w:rsidR="00D02A8C" w:rsidRPr="00D02A8C" w:rsidRDefault="00D02A8C" w:rsidP="00D02A8C">
      <w:pPr>
        <w:spacing w:line="360" w:lineRule="auto"/>
        <w:jc w:val="both"/>
        <w:rPr>
          <w:lang w:val="es-ES" w:eastAsia="es-ES"/>
        </w:rPr>
      </w:pPr>
      <w:r w:rsidRPr="00D02A8C">
        <w:rPr>
          <w:lang w:val="es-ES" w:eastAsia="es-ES"/>
        </w:rPr>
        <w:t xml:space="preserve">*Autor para la correspondencia. Correo electrónico: </w:t>
      </w:r>
      <w:hyperlink r:id="rId11" w:history="1">
        <w:r w:rsidRPr="00D02A8C">
          <w:rPr>
            <w:color w:val="0000FF"/>
            <w:u w:val="single"/>
            <w:lang w:val="es-ES" w:eastAsia="es-ES"/>
          </w:rPr>
          <w:t>jorgefelixnunezmartinez@gmail.com</w:t>
        </w:r>
      </w:hyperlink>
      <w:r w:rsidRPr="00D02A8C">
        <w:rPr>
          <w:lang w:val="es-ES" w:eastAsia="es-ES"/>
        </w:rPr>
        <w:t xml:space="preserve">   </w:t>
      </w:r>
    </w:p>
    <w:p w14:paraId="270802D9" w14:textId="77777777" w:rsidR="00D02A8C" w:rsidRPr="00D02A8C" w:rsidRDefault="00D02A8C" w:rsidP="00D02A8C">
      <w:pPr>
        <w:spacing w:line="360" w:lineRule="auto"/>
        <w:jc w:val="both"/>
        <w:rPr>
          <w:lang w:val="es-ES" w:eastAsia="es-ES"/>
        </w:rPr>
      </w:pPr>
    </w:p>
    <w:p w14:paraId="7961FEAB" w14:textId="77777777" w:rsidR="00D02A8C" w:rsidRPr="00D02A8C" w:rsidRDefault="00D02A8C" w:rsidP="00D02A8C">
      <w:pPr>
        <w:spacing w:line="360" w:lineRule="auto"/>
        <w:jc w:val="both"/>
        <w:rPr>
          <w:b/>
          <w:bCs/>
          <w:lang w:val="es-ES" w:eastAsia="es-ES"/>
        </w:rPr>
      </w:pPr>
      <w:r w:rsidRPr="00D02A8C">
        <w:rPr>
          <w:b/>
          <w:bCs/>
          <w:lang w:val="es-ES" w:eastAsia="es-ES"/>
        </w:rPr>
        <w:t>RESUMEN</w:t>
      </w:r>
    </w:p>
    <w:p w14:paraId="3F73DD08" w14:textId="77777777" w:rsidR="00D02A8C" w:rsidRPr="00D02A8C" w:rsidRDefault="00D02A8C" w:rsidP="00D02A8C">
      <w:pPr>
        <w:spacing w:line="360" w:lineRule="auto"/>
        <w:jc w:val="both"/>
        <w:rPr>
          <w:lang w:val="es-ES" w:eastAsia="es-ES"/>
        </w:rPr>
      </w:pPr>
      <w:r w:rsidRPr="00D02A8C">
        <w:rPr>
          <w:b/>
          <w:bCs/>
          <w:lang w:val="es-ES" w:eastAsia="es-ES"/>
        </w:rPr>
        <w:t>Introducción:</w:t>
      </w:r>
      <w:r w:rsidRPr="00D02A8C">
        <w:rPr>
          <w:lang w:val="es-ES" w:eastAsia="es-ES"/>
        </w:rPr>
        <w:t xml:space="preserve"> La pancreatitis es la inflamación del páncreas exocrino, resultado del daño a las células acinares. Sus características clínicas principales son el dolor abdominal y la elevación de los niveles séricos de amilasa y lipasa. La evolución es muy variable, desde una recuperación completa de un primer episodio, hasta una enfermedad crónica debilitante, o la muerte.</w:t>
      </w:r>
    </w:p>
    <w:p w14:paraId="5AF35FEF" w14:textId="77777777" w:rsidR="00D02A8C" w:rsidRPr="00D02A8C" w:rsidRDefault="00D02A8C" w:rsidP="00D02A8C">
      <w:pPr>
        <w:spacing w:line="360" w:lineRule="auto"/>
        <w:jc w:val="both"/>
        <w:rPr>
          <w:lang w:val="es-ES" w:eastAsia="es-ES"/>
        </w:rPr>
      </w:pPr>
      <w:r w:rsidRPr="00D02A8C">
        <w:rPr>
          <w:b/>
          <w:bCs/>
          <w:lang w:val="es-ES" w:eastAsia="es-ES"/>
        </w:rPr>
        <w:t>Objetivos:</w:t>
      </w:r>
      <w:r w:rsidRPr="00D02A8C">
        <w:rPr>
          <w:lang w:val="es-ES" w:eastAsia="es-ES"/>
        </w:rPr>
        <w:t xml:space="preserve"> Caracterizar a los pacientes ingresados en la unidad de cuidados intensivos, con el diagnóstico de pancreatitis aguda y evaluarlos según los criterios de gravedad.  </w:t>
      </w:r>
    </w:p>
    <w:p w14:paraId="45B44078" w14:textId="77777777" w:rsidR="00D02A8C" w:rsidRPr="00D02A8C" w:rsidRDefault="00D02A8C" w:rsidP="00D02A8C">
      <w:pPr>
        <w:spacing w:line="360" w:lineRule="auto"/>
        <w:jc w:val="both"/>
        <w:rPr>
          <w:lang w:val="es-ES" w:eastAsia="es-ES"/>
        </w:rPr>
      </w:pPr>
      <w:r w:rsidRPr="00D02A8C">
        <w:rPr>
          <w:b/>
          <w:bCs/>
          <w:lang w:val="es-ES" w:eastAsia="es-ES"/>
        </w:rPr>
        <w:t>Métodos:</w:t>
      </w:r>
      <w:r w:rsidRPr="00D02A8C">
        <w:rPr>
          <w:lang w:val="es-ES" w:eastAsia="es-ES"/>
        </w:rPr>
        <w:t xml:space="preserve"> Se realizó un estudio descriptivo en el que se revisaron 46 historias clínicas de pacientes ingresados con diagnóstico de pancreatitis aguda en la unidad de terapia intensiva polivalente, desde enero del 2014 a diciembre del 2019. Se confeccionó una base de datos con las variables edad, etiología, </w:t>
      </w:r>
      <w:r w:rsidRPr="00D02A8C">
        <w:rPr>
          <w:lang w:val="es-ES" w:eastAsia="es-ES"/>
        </w:rPr>
        <w:lastRenderedPageBreak/>
        <w:t xml:space="preserve">complicaciones, letalidad y la aplicación de escalas de Ranson, APACHE II y Balthazar-Hill, para evaluar evolutivamente la gravedad y pronóstico. Se hizo un análisis de frecuencias de dichas variables. </w:t>
      </w:r>
    </w:p>
    <w:p w14:paraId="2F1A23F8" w14:textId="77777777" w:rsidR="00D02A8C" w:rsidRPr="00D02A8C" w:rsidRDefault="00D02A8C" w:rsidP="00D02A8C">
      <w:pPr>
        <w:spacing w:line="360" w:lineRule="auto"/>
        <w:jc w:val="both"/>
        <w:rPr>
          <w:lang w:val="es-ES" w:eastAsia="es-ES"/>
        </w:rPr>
      </w:pPr>
      <w:r w:rsidRPr="00D02A8C">
        <w:rPr>
          <w:b/>
          <w:bCs/>
          <w:lang w:val="es-ES" w:eastAsia="es-ES"/>
        </w:rPr>
        <w:t>Resultados:</w:t>
      </w:r>
      <w:r w:rsidRPr="00D02A8C">
        <w:rPr>
          <w:lang w:val="es-ES" w:eastAsia="es-ES"/>
        </w:rPr>
        <w:t xml:space="preserve"> La edad de mayor incidencia correspondió a los grupos menores de 61 años, con predominio del sexo masculino. La causa más frecuente fue la litiasis vesicular y el alcoholismo, para un 43,4 % y 34,7 % respectivamente. El 47,8 % presentó la forma leve de la enfermedad. La letalidad fue del 21,7 %.</w:t>
      </w:r>
    </w:p>
    <w:p w14:paraId="18E2BBE9" w14:textId="77777777" w:rsidR="00D02A8C" w:rsidRPr="00D02A8C" w:rsidRDefault="00D02A8C" w:rsidP="00D02A8C">
      <w:pPr>
        <w:spacing w:line="360" w:lineRule="auto"/>
        <w:jc w:val="both"/>
        <w:rPr>
          <w:lang w:val="es-ES" w:eastAsia="es-ES"/>
        </w:rPr>
      </w:pPr>
      <w:r w:rsidRPr="00D02A8C">
        <w:rPr>
          <w:b/>
          <w:bCs/>
          <w:lang w:val="es-ES" w:eastAsia="es-ES"/>
        </w:rPr>
        <w:t>Conclusiones:</w:t>
      </w:r>
      <w:r w:rsidRPr="00D02A8C">
        <w:rPr>
          <w:lang w:val="es-ES" w:eastAsia="es-ES"/>
        </w:rPr>
        <w:t xml:space="preserve"> Son más frecuentes las formas graves de la enfermedad; la insuficiencia renal aguda y la insuficiencia respiratoria aguda son las complicaciones más representativas. </w:t>
      </w:r>
    </w:p>
    <w:p w14:paraId="4D4F92D0" w14:textId="77777777" w:rsidR="00D02A8C" w:rsidRPr="00D02A8C" w:rsidRDefault="00D02A8C" w:rsidP="00D02A8C">
      <w:pPr>
        <w:spacing w:line="360" w:lineRule="auto"/>
        <w:jc w:val="both"/>
        <w:rPr>
          <w:lang w:val="es-ES" w:eastAsia="es-ES"/>
        </w:rPr>
      </w:pPr>
      <w:r w:rsidRPr="00D02A8C">
        <w:rPr>
          <w:b/>
          <w:bCs/>
          <w:lang w:val="es-ES" w:eastAsia="es-ES"/>
        </w:rPr>
        <w:t>Palabras clave:</w:t>
      </w:r>
      <w:r w:rsidRPr="00D02A8C">
        <w:rPr>
          <w:lang w:val="es-ES" w:eastAsia="es-ES"/>
        </w:rPr>
        <w:t xml:space="preserve"> pancreatitis; APACHE II; pancreatitis aguda necrotizante; mortalidad.</w:t>
      </w:r>
    </w:p>
    <w:p w14:paraId="00C0261C" w14:textId="77777777" w:rsidR="00D02A8C" w:rsidRPr="00D02A8C" w:rsidRDefault="00D02A8C" w:rsidP="00D02A8C">
      <w:pPr>
        <w:spacing w:line="360" w:lineRule="auto"/>
        <w:jc w:val="both"/>
        <w:rPr>
          <w:lang w:val="es-ES" w:eastAsia="es-ES"/>
        </w:rPr>
      </w:pPr>
    </w:p>
    <w:p w14:paraId="6682ACE7" w14:textId="77777777" w:rsidR="00D02A8C" w:rsidRPr="00D02A8C" w:rsidRDefault="00D02A8C" w:rsidP="00D02A8C">
      <w:pPr>
        <w:spacing w:line="360" w:lineRule="auto"/>
        <w:jc w:val="both"/>
        <w:rPr>
          <w:b/>
          <w:bCs/>
          <w:lang w:val="en-US" w:eastAsia="es-ES"/>
        </w:rPr>
      </w:pPr>
      <w:r w:rsidRPr="00D02A8C">
        <w:rPr>
          <w:b/>
          <w:bCs/>
          <w:lang w:val="en-US" w:eastAsia="es-ES"/>
        </w:rPr>
        <w:t>ABSTRACT</w:t>
      </w:r>
    </w:p>
    <w:p w14:paraId="3E30049E" w14:textId="77777777" w:rsidR="00D02A8C" w:rsidRPr="00D02A8C" w:rsidRDefault="00D02A8C" w:rsidP="00D02A8C">
      <w:pPr>
        <w:spacing w:line="360" w:lineRule="auto"/>
        <w:jc w:val="both"/>
        <w:rPr>
          <w:lang w:val="en-US" w:eastAsia="es-ES"/>
        </w:rPr>
      </w:pPr>
      <w:r w:rsidRPr="00D02A8C">
        <w:rPr>
          <w:b/>
          <w:bCs/>
          <w:lang w:val="en-US" w:eastAsia="es-ES"/>
        </w:rPr>
        <w:t xml:space="preserve">Introduction: </w:t>
      </w:r>
      <w:r w:rsidRPr="00D02A8C">
        <w:rPr>
          <w:lang w:val="en-US" w:eastAsia="es-ES"/>
        </w:rPr>
        <w:t>Pancreatitis is the inflammation of the exocrine pancreas, as a result of damage to the acinar cells. Its main clinical features are abdominal pain and elevated serum levels of amylase and lipase. The evolution is very variable, from a complete recovery from a first episode, to a debilitating chronic disease, or death.</w:t>
      </w:r>
    </w:p>
    <w:p w14:paraId="532DF983" w14:textId="77777777" w:rsidR="00D02A8C" w:rsidRPr="00D02A8C" w:rsidRDefault="00D02A8C" w:rsidP="00D02A8C">
      <w:pPr>
        <w:spacing w:line="360" w:lineRule="auto"/>
        <w:jc w:val="both"/>
        <w:rPr>
          <w:lang w:val="en-US" w:eastAsia="es-ES"/>
        </w:rPr>
      </w:pPr>
      <w:r w:rsidRPr="00D02A8C">
        <w:rPr>
          <w:b/>
          <w:bCs/>
          <w:lang w:val="en-US" w:eastAsia="es-ES"/>
        </w:rPr>
        <w:t>Objectives:</w:t>
      </w:r>
      <w:r w:rsidRPr="00D02A8C">
        <w:rPr>
          <w:lang w:val="en-US" w:eastAsia="es-ES"/>
        </w:rPr>
        <w:t xml:space="preserve"> To characterize patients admitted to the intensive care unit with a diagnosis of acute pancreatitis and to evaluate them according to severity criteria.</w:t>
      </w:r>
    </w:p>
    <w:p w14:paraId="25CA07CF" w14:textId="77777777" w:rsidR="00D02A8C" w:rsidRPr="00D02A8C" w:rsidRDefault="00D02A8C" w:rsidP="00D02A8C">
      <w:pPr>
        <w:spacing w:line="360" w:lineRule="auto"/>
        <w:jc w:val="both"/>
        <w:rPr>
          <w:lang w:val="en-US" w:eastAsia="es-ES"/>
        </w:rPr>
      </w:pPr>
      <w:r w:rsidRPr="00D02A8C">
        <w:rPr>
          <w:b/>
          <w:bCs/>
          <w:lang w:val="en-US" w:eastAsia="es-ES"/>
        </w:rPr>
        <w:t xml:space="preserve">Methods: </w:t>
      </w:r>
      <w:r w:rsidRPr="00D02A8C">
        <w:rPr>
          <w:lang w:val="en-US" w:eastAsia="es-ES"/>
        </w:rPr>
        <w:t xml:space="preserve">A descriptive study was carried out in which 46 medical records of patients admitted with a diagnosis of acute pancreatitis in the multipurpose intensive care unit were reviewed, from January 2014 to December 2019. A database was created with the variables age, etiology, complications, lethality and the application of the </w:t>
      </w:r>
      <w:proofErr w:type="spellStart"/>
      <w:r w:rsidRPr="00D02A8C">
        <w:rPr>
          <w:lang w:val="en-US" w:eastAsia="es-ES"/>
        </w:rPr>
        <w:t>Ranson</w:t>
      </w:r>
      <w:proofErr w:type="spellEnd"/>
      <w:r w:rsidRPr="00D02A8C">
        <w:rPr>
          <w:lang w:val="en-US" w:eastAsia="es-ES"/>
        </w:rPr>
        <w:t>, APACHE II and Balthazar-Hill scales, to evaluate severity and prognosis. An analysis of the frequencies of these variables was carried out.</w:t>
      </w:r>
    </w:p>
    <w:p w14:paraId="529A5548" w14:textId="77777777" w:rsidR="00D02A8C" w:rsidRPr="00D02A8C" w:rsidRDefault="00D02A8C" w:rsidP="00D02A8C">
      <w:pPr>
        <w:spacing w:line="360" w:lineRule="auto"/>
        <w:jc w:val="both"/>
        <w:rPr>
          <w:lang w:val="en-US" w:eastAsia="es-ES"/>
        </w:rPr>
      </w:pPr>
      <w:r w:rsidRPr="00D02A8C">
        <w:rPr>
          <w:b/>
          <w:bCs/>
          <w:lang w:val="en-US" w:eastAsia="es-ES"/>
        </w:rPr>
        <w:t>Results:</w:t>
      </w:r>
      <w:r w:rsidRPr="00D02A8C">
        <w:rPr>
          <w:lang w:val="en-US" w:eastAsia="es-ES"/>
        </w:rPr>
        <w:t xml:space="preserve"> The age with the highest incidence corresponded to groups under 61 years of age, with a predominance of males. The most frequent cause was gallstones and alcoholism, for 43.4 % and 34.7 % respectively. 47.8 % presented the mild form of the disease. The lethality was 21.7 %.</w:t>
      </w:r>
    </w:p>
    <w:p w14:paraId="05C69722" w14:textId="77777777" w:rsidR="00D02A8C" w:rsidRPr="00D02A8C" w:rsidRDefault="00D02A8C" w:rsidP="00D02A8C">
      <w:pPr>
        <w:spacing w:line="360" w:lineRule="auto"/>
        <w:jc w:val="both"/>
        <w:rPr>
          <w:lang w:val="en-US" w:eastAsia="es-ES"/>
        </w:rPr>
      </w:pPr>
      <w:r w:rsidRPr="00D02A8C">
        <w:rPr>
          <w:b/>
          <w:bCs/>
          <w:lang w:val="en-US" w:eastAsia="es-ES"/>
        </w:rPr>
        <w:t>Conclusions:</w:t>
      </w:r>
      <w:r w:rsidRPr="00D02A8C">
        <w:rPr>
          <w:lang w:val="en-US" w:eastAsia="es-ES"/>
        </w:rPr>
        <w:t xml:space="preserve"> Severe forms of the disease are more frequent; acute renal failure and acute respiratory failure are the most representative complications.</w:t>
      </w:r>
    </w:p>
    <w:p w14:paraId="2EA09D03" w14:textId="77777777" w:rsidR="00D02A8C" w:rsidRPr="00D02A8C" w:rsidRDefault="00D02A8C" w:rsidP="00D02A8C">
      <w:pPr>
        <w:spacing w:line="360" w:lineRule="auto"/>
        <w:jc w:val="both"/>
        <w:rPr>
          <w:lang w:val="en-US" w:eastAsia="es-ES"/>
        </w:rPr>
      </w:pPr>
      <w:r w:rsidRPr="00D02A8C">
        <w:rPr>
          <w:b/>
          <w:bCs/>
          <w:lang w:val="en-US" w:eastAsia="es-ES"/>
        </w:rPr>
        <w:t xml:space="preserve">Keywords: </w:t>
      </w:r>
      <w:r w:rsidRPr="00D02A8C">
        <w:rPr>
          <w:lang w:val="en-US" w:eastAsia="es-ES"/>
        </w:rPr>
        <w:t>pancreatitis; APACHE II; pancreatitis, acute necrotizing; mortality.</w:t>
      </w:r>
    </w:p>
    <w:p w14:paraId="62B455A1" w14:textId="77777777" w:rsidR="00D02A8C" w:rsidRPr="00D02A8C" w:rsidRDefault="00D02A8C" w:rsidP="00D02A8C">
      <w:pPr>
        <w:spacing w:line="360" w:lineRule="auto"/>
        <w:jc w:val="both"/>
        <w:rPr>
          <w:lang w:val="en-US" w:eastAsia="es-ES"/>
        </w:rPr>
      </w:pPr>
    </w:p>
    <w:p w14:paraId="3B45DDA7" w14:textId="77777777" w:rsidR="00D02A8C" w:rsidRPr="00D02A8C" w:rsidRDefault="00D02A8C" w:rsidP="00D02A8C">
      <w:pPr>
        <w:spacing w:line="360" w:lineRule="auto"/>
        <w:jc w:val="both"/>
        <w:rPr>
          <w:lang w:val="en-US" w:eastAsia="es-ES"/>
        </w:rPr>
      </w:pPr>
    </w:p>
    <w:p w14:paraId="0255132F" w14:textId="77777777" w:rsidR="00D02A8C" w:rsidRPr="00D02A8C" w:rsidRDefault="00D02A8C" w:rsidP="00D02A8C">
      <w:pPr>
        <w:spacing w:line="360" w:lineRule="auto"/>
        <w:jc w:val="both"/>
        <w:rPr>
          <w:lang w:val="es-ES" w:eastAsia="es-ES"/>
        </w:rPr>
      </w:pPr>
      <w:r w:rsidRPr="00D02A8C">
        <w:rPr>
          <w:lang w:val="es-ES" w:eastAsia="es-ES"/>
        </w:rPr>
        <w:t>Recibido: 16/12/2021</w:t>
      </w:r>
    </w:p>
    <w:p w14:paraId="14CD9871" w14:textId="77777777" w:rsidR="00D02A8C" w:rsidRPr="00D02A8C" w:rsidRDefault="00D02A8C" w:rsidP="00D02A8C">
      <w:pPr>
        <w:spacing w:line="360" w:lineRule="auto"/>
        <w:jc w:val="both"/>
        <w:rPr>
          <w:lang w:val="es-ES" w:eastAsia="es-ES"/>
        </w:rPr>
      </w:pPr>
      <w:r w:rsidRPr="00D02A8C">
        <w:rPr>
          <w:lang w:val="es-ES" w:eastAsia="es-ES"/>
        </w:rPr>
        <w:t>Aprobado: 19/04/2022</w:t>
      </w:r>
    </w:p>
    <w:p w14:paraId="2E5DDA88" w14:textId="77777777" w:rsidR="00D02A8C" w:rsidRPr="00D02A8C" w:rsidRDefault="00D02A8C" w:rsidP="00D02A8C">
      <w:pPr>
        <w:spacing w:line="360" w:lineRule="auto"/>
        <w:jc w:val="both"/>
        <w:rPr>
          <w:lang w:val="es-ES" w:eastAsia="es-ES"/>
        </w:rPr>
      </w:pPr>
    </w:p>
    <w:p w14:paraId="619555B7" w14:textId="77777777" w:rsidR="00D02A8C" w:rsidRPr="00D02A8C" w:rsidRDefault="00D02A8C" w:rsidP="00D02A8C">
      <w:pPr>
        <w:spacing w:line="360" w:lineRule="auto"/>
        <w:jc w:val="both"/>
        <w:rPr>
          <w:lang w:val="es-ES" w:eastAsia="es-ES"/>
        </w:rPr>
      </w:pPr>
    </w:p>
    <w:p w14:paraId="3906442B" w14:textId="77777777" w:rsidR="00D02A8C" w:rsidRPr="00D02A8C" w:rsidRDefault="00D02A8C" w:rsidP="00D02A8C">
      <w:pPr>
        <w:spacing w:line="360" w:lineRule="auto"/>
        <w:jc w:val="center"/>
        <w:rPr>
          <w:b/>
          <w:bCs/>
          <w:sz w:val="32"/>
          <w:szCs w:val="32"/>
          <w:lang w:val="es-ES" w:eastAsia="es-ES"/>
        </w:rPr>
      </w:pPr>
      <w:r w:rsidRPr="00D02A8C">
        <w:rPr>
          <w:b/>
          <w:bCs/>
          <w:sz w:val="32"/>
          <w:szCs w:val="32"/>
          <w:lang w:val="es-ES" w:eastAsia="es-ES"/>
        </w:rPr>
        <w:t>INTRODUCCIÓN</w:t>
      </w:r>
    </w:p>
    <w:p w14:paraId="4071F4AC" w14:textId="77777777" w:rsidR="00D02A8C" w:rsidRPr="00D02A8C" w:rsidRDefault="00D02A8C" w:rsidP="00D02A8C">
      <w:pPr>
        <w:spacing w:line="360" w:lineRule="auto"/>
        <w:jc w:val="both"/>
        <w:rPr>
          <w:lang w:val="es-ES" w:eastAsia="es-ES"/>
        </w:rPr>
      </w:pPr>
      <w:r w:rsidRPr="00D02A8C">
        <w:rPr>
          <w:lang w:val="es-ES" w:eastAsia="es-ES"/>
        </w:rPr>
        <w:t xml:space="preserve">A comienzos del siglo XX </w:t>
      </w:r>
      <w:proofErr w:type="spellStart"/>
      <w:r w:rsidRPr="00D02A8C">
        <w:rPr>
          <w:lang w:val="es-ES" w:eastAsia="es-ES"/>
        </w:rPr>
        <w:t>Moinynham</w:t>
      </w:r>
      <w:proofErr w:type="spellEnd"/>
      <w:r w:rsidRPr="00D02A8C">
        <w:rPr>
          <w:lang w:val="es-ES" w:eastAsia="es-ES"/>
        </w:rPr>
        <w:t xml:space="preserve"> describió la pancreatitis como “la más terrible de todas las calamidades intrabdominales...”; estableció la práctica de una intervención quirúrgica inmediata, para remover los productos tóxicos que se acumulan en la cavidad peritoneal. Esta modalidad terapéutica fue adoptada por la mayoría de los centros hospitalarios y así permaneció como el tratamiento estándar durante casi 20 </w:t>
      </w:r>
      <w:proofErr w:type="gramStart"/>
      <w:r w:rsidRPr="00D02A8C">
        <w:rPr>
          <w:lang w:val="es-ES" w:eastAsia="es-ES"/>
        </w:rPr>
        <w:t>años.</w:t>
      </w:r>
      <w:r w:rsidRPr="00D02A8C">
        <w:rPr>
          <w:vertAlign w:val="superscript"/>
          <w:lang w:val="es-ES" w:eastAsia="es-ES"/>
        </w:rPr>
        <w:t>(</w:t>
      </w:r>
      <w:proofErr w:type="gramEnd"/>
      <w:r w:rsidRPr="00D02A8C">
        <w:rPr>
          <w:vertAlign w:val="superscript"/>
          <w:lang w:val="es-ES" w:eastAsia="es-ES"/>
        </w:rPr>
        <w:t>1,2)</w:t>
      </w:r>
      <w:r w:rsidRPr="00D02A8C">
        <w:rPr>
          <w:lang w:val="es-ES" w:eastAsia="es-ES"/>
        </w:rPr>
        <w:t xml:space="preserve"> El advenimiento de las unidades de cuidados intensivos (UCI), el tratamiento más conservador e integral, así como detección y tratamiento precoz de las complicaciones ha permitido un descenso en la letalidad de esta enfermedad.</w:t>
      </w:r>
      <w:r w:rsidRPr="00D02A8C">
        <w:rPr>
          <w:vertAlign w:val="superscript"/>
          <w:lang w:val="es-ES" w:eastAsia="es-ES"/>
        </w:rPr>
        <w:t>(3)</w:t>
      </w:r>
    </w:p>
    <w:p w14:paraId="6EC43629" w14:textId="77777777" w:rsidR="00D02A8C" w:rsidRPr="00D02A8C" w:rsidRDefault="00D02A8C" w:rsidP="00D02A8C">
      <w:pPr>
        <w:spacing w:line="360" w:lineRule="auto"/>
        <w:jc w:val="both"/>
        <w:rPr>
          <w:lang w:val="es-ES" w:eastAsia="es-ES"/>
        </w:rPr>
      </w:pPr>
      <w:r w:rsidRPr="00D02A8C">
        <w:rPr>
          <w:lang w:val="es-ES" w:eastAsia="es-ES"/>
        </w:rPr>
        <w:t xml:space="preserve">La pancreatitis aguda (PA) es la inflamación del páncreas exocrino como resultado del daño a las células acinares. Se caracteriza por dolor abdominal y elevación de los niveles séricos de amilasa y </w:t>
      </w:r>
      <w:proofErr w:type="gramStart"/>
      <w:r w:rsidRPr="00D02A8C">
        <w:rPr>
          <w:lang w:val="es-ES" w:eastAsia="es-ES"/>
        </w:rPr>
        <w:t>lipasa.</w:t>
      </w:r>
      <w:r w:rsidRPr="00D02A8C">
        <w:rPr>
          <w:vertAlign w:val="superscript"/>
          <w:lang w:val="es-ES" w:eastAsia="es-ES"/>
        </w:rPr>
        <w:t>(</w:t>
      </w:r>
      <w:proofErr w:type="gramEnd"/>
      <w:r w:rsidRPr="00D02A8C">
        <w:rPr>
          <w:vertAlign w:val="superscript"/>
          <w:lang w:val="es-ES" w:eastAsia="es-ES"/>
        </w:rPr>
        <w:t>4)</w:t>
      </w:r>
      <w:r w:rsidRPr="00D02A8C">
        <w:rPr>
          <w:lang w:val="es-ES" w:eastAsia="es-ES"/>
        </w:rPr>
        <w:t xml:space="preserve"> Su historia natural oscila desde una recuperación completa a un primer episodio, hasta una enfermedad crónica debilitante. </w:t>
      </w:r>
    </w:p>
    <w:p w14:paraId="785EAE43" w14:textId="77777777" w:rsidR="00D02A8C" w:rsidRPr="00D02A8C" w:rsidRDefault="00D02A8C" w:rsidP="00D02A8C">
      <w:pPr>
        <w:spacing w:line="360" w:lineRule="auto"/>
        <w:jc w:val="both"/>
        <w:rPr>
          <w:lang w:val="es-ES" w:eastAsia="es-ES"/>
        </w:rPr>
      </w:pPr>
      <w:r w:rsidRPr="00D02A8C">
        <w:rPr>
          <w:lang w:val="es-ES" w:eastAsia="es-ES"/>
        </w:rPr>
        <w:t xml:space="preserve">En 2008, el </w:t>
      </w:r>
      <w:proofErr w:type="spellStart"/>
      <w:r w:rsidRPr="00D02A8C">
        <w:rPr>
          <w:i/>
          <w:iCs/>
          <w:lang w:val="es-ES" w:eastAsia="es-ES"/>
        </w:rPr>
        <w:t>Acute</w:t>
      </w:r>
      <w:proofErr w:type="spellEnd"/>
      <w:r w:rsidRPr="00D02A8C">
        <w:rPr>
          <w:i/>
          <w:iCs/>
          <w:lang w:val="es-ES" w:eastAsia="es-ES"/>
        </w:rPr>
        <w:t xml:space="preserve"> Pancreatitis </w:t>
      </w:r>
      <w:proofErr w:type="spellStart"/>
      <w:r w:rsidRPr="00D02A8C">
        <w:rPr>
          <w:i/>
          <w:iCs/>
          <w:lang w:val="es-ES" w:eastAsia="es-ES"/>
        </w:rPr>
        <w:t>Classification</w:t>
      </w:r>
      <w:proofErr w:type="spellEnd"/>
      <w:r w:rsidRPr="00D02A8C">
        <w:rPr>
          <w:i/>
          <w:iCs/>
          <w:lang w:val="es-ES" w:eastAsia="es-ES"/>
        </w:rPr>
        <w:t xml:space="preserve"> </w:t>
      </w:r>
      <w:proofErr w:type="spellStart"/>
      <w:r w:rsidRPr="00D02A8C">
        <w:rPr>
          <w:i/>
          <w:iCs/>
          <w:lang w:val="es-ES" w:eastAsia="es-ES"/>
        </w:rPr>
        <w:t>Working</w:t>
      </w:r>
      <w:proofErr w:type="spellEnd"/>
      <w:r w:rsidRPr="00D02A8C">
        <w:rPr>
          <w:i/>
          <w:iCs/>
          <w:lang w:val="es-ES" w:eastAsia="es-ES"/>
        </w:rPr>
        <w:t xml:space="preserve"> </w:t>
      </w:r>
      <w:proofErr w:type="spellStart"/>
      <w:r w:rsidRPr="00D02A8C">
        <w:rPr>
          <w:i/>
          <w:iCs/>
          <w:lang w:val="es-ES" w:eastAsia="es-ES"/>
        </w:rPr>
        <w:t>Group</w:t>
      </w:r>
      <w:proofErr w:type="spellEnd"/>
      <w:r w:rsidRPr="00D02A8C">
        <w:rPr>
          <w:lang w:val="es-ES" w:eastAsia="es-ES"/>
        </w:rPr>
        <w:t xml:space="preserve">, propuso una revisión de la clasificación de Atlanta, que culminó en la clasificación actual de PA, publicada en 2012. Esta clasificación incorpora una mejor comprensión de la fisiopatología de la falla orgánica y la pancreatitis necrotizante; clasifica la gravedad de la PA en 3 categorías (leve, moderada y grave) y define la morfología de las colecciones pancreáticas y peripancreáticas, en los estudios de </w:t>
      </w:r>
      <w:proofErr w:type="gramStart"/>
      <w:r w:rsidRPr="00D02A8C">
        <w:rPr>
          <w:lang w:val="es-ES" w:eastAsia="es-ES"/>
        </w:rPr>
        <w:t>imagen.</w:t>
      </w:r>
      <w:r w:rsidRPr="00D02A8C">
        <w:rPr>
          <w:vertAlign w:val="superscript"/>
          <w:lang w:val="es-ES" w:eastAsia="es-ES"/>
        </w:rPr>
        <w:t>(</w:t>
      </w:r>
      <w:proofErr w:type="gramEnd"/>
      <w:r w:rsidRPr="00D02A8C">
        <w:rPr>
          <w:vertAlign w:val="superscript"/>
          <w:lang w:val="es-ES" w:eastAsia="es-ES"/>
        </w:rPr>
        <w:t>4,5,6)</w:t>
      </w:r>
    </w:p>
    <w:p w14:paraId="63504BC8" w14:textId="77777777" w:rsidR="00D02A8C" w:rsidRPr="00D02A8C" w:rsidRDefault="00D02A8C" w:rsidP="00D02A8C">
      <w:pPr>
        <w:spacing w:line="360" w:lineRule="auto"/>
        <w:jc w:val="both"/>
        <w:rPr>
          <w:lang w:val="es-ES" w:eastAsia="es-ES"/>
        </w:rPr>
      </w:pPr>
      <w:r w:rsidRPr="00D02A8C">
        <w:rPr>
          <w:lang w:val="es-ES" w:eastAsia="es-ES"/>
        </w:rPr>
        <w:t xml:space="preserve">El diagnóstico de pancreatitis aguda requiere 2 de los siguientes 3 criterios: </w:t>
      </w:r>
    </w:p>
    <w:p w14:paraId="1A7812D9" w14:textId="77777777" w:rsidR="00D02A8C" w:rsidRPr="00D02A8C" w:rsidRDefault="00D02A8C" w:rsidP="00D02A8C">
      <w:pPr>
        <w:spacing w:line="360" w:lineRule="auto"/>
        <w:jc w:val="both"/>
        <w:rPr>
          <w:lang w:val="es-ES" w:eastAsia="es-ES"/>
        </w:rPr>
      </w:pPr>
    </w:p>
    <w:p w14:paraId="0B77C47C" w14:textId="77777777" w:rsidR="00D02A8C" w:rsidRPr="00D02A8C" w:rsidRDefault="00D02A8C" w:rsidP="00D02A8C">
      <w:pPr>
        <w:spacing w:line="360" w:lineRule="auto"/>
        <w:ind w:left="708"/>
        <w:jc w:val="both"/>
        <w:rPr>
          <w:lang w:val="es-ES" w:eastAsia="es-ES"/>
        </w:rPr>
      </w:pPr>
      <w:r w:rsidRPr="00D02A8C">
        <w:rPr>
          <w:lang w:val="es-ES" w:eastAsia="es-ES"/>
        </w:rPr>
        <w:t xml:space="preserve">1) dolor abdominal sugestivo de PA (inicio agudo, intenso, de localización en epigastrio, habitualmente irradiado hacia la espalda o en </w:t>
      </w:r>
      <w:proofErr w:type="spellStart"/>
      <w:r w:rsidRPr="00D02A8C">
        <w:rPr>
          <w:lang w:val="es-ES" w:eastAsia="es-ES"/>
        </w:rPr>
        <w:t>hemicinturón</w:t>
      </w:r>
      <w:proofErr w:type="spellEnd"/>
      <w:r w:rsidRPr="00D02A8C">
        <w:rPr>
          <w:lang w:val="es-ES" w:eastAsia="es-ES"/>
        </w:rPr>
        <w:t>, persistente);</w:t>
      </w:r>
    </w:p>
    <w:p w14:paraId="0CB97EA0" w14:textId="77777777" w:rsidR="00D02A8C" w:rsidRPr="00D02A8C" w:rsidRDefault="00D02A8C" w:rsidP="00D02A8C">
      <w:pPr>
        <w:spacing w:line="360" w:lineRule="auto"/>
        <w:ind w:left="708"/>
        <w:jc w:val="both"/>
        <w:rPr>
          <w:lang w:val="es-ES" w:eastAsia="es-ES"/>
        </w:rPr>
      </w:pPr>
      <w:r w:rsidRPr="00D02A8C">
        <w:rPr>
          <w:lang w:val="es-ES" w:eastAsia="es-ES"/>
        </w:rPr>
        <w:t>2) elevación de la amilasa o lipasa, al menos 3 veces por encima de los valores normales y;</w:t>
      </w:r>
    </w:p>
    <w:p w14:paraId="433B6EBB" w14:textId="77777777" w:rsidR="00D02A8C" w:rsidRPr="00D02A8C" w:rsidRDefault="00D02A8C" w:rsidP="00D02A8C">
      <w:pPr>
        <w:spacing w:line="360" w:lineRule="auto"/>
        <w:ind w:left="708"/>
        <w:jc w:val="both"/>
        <w:rPr>
          <w:lang w:val="es-ES" w:eastAsia="es-ES"/>
        </w:rPr>
      </w:pPr>
      <w:r w:rsidRPr="00D02A8C">
        <w:rPr>
          <w:lang w:val="es-ES" w:eastAsia="es-ES"/>
        </w:rPr>
        <w:lastRenderedPageBreak/>
        <w:t xml:space="preserve">3) los hallazgos característicos de PA por tomografía computarizada (TAC) contrastada, por resonancia magnética (RM) o </w:t>
      </w:r>
      <w:proofErr w:type="gramStart"/>
      <w:r w:rsidRPr="00D02A8C">
        <w:rPr>
          <w:lang w:val="es-ES" w:eastAsia="es-ES"/>
        </w:rPr>
        <w:t>ultrasonido.</w:t>
      </w:r>
      <w:r w:rsidRPr="00D02A8C">
        <w:rPr>
          <w:vertAlign w:val="superscript"/>
          <w:lang w:val="es-ES" w:eastAsia="es-ES"/>
        </w:rPr>
        <w:t>(</w:t>
      </w:r>
      <w:proofErr w:type="gramEnd"/>
      <w:r w:rsidRPr="00D02A8C">
        <w:rPr>
          <w:vertAlign w:val="superscript"/>
          <w:lang w:val="es-ES" w:eastAsia="es-ES"/>
        </w:rPr>
        <w:t>7,8,9)</w:t>
      </w:r>
      <w:r w:rsidRPr="00D02A8C">
        <w:rPr>
          <w:lang w:val="es-ES" w:eastAsia="es-ES"/>
        </w:rPr>
        <w:t xml:space="preserve"> </w:t>
      </w:r>
    </w:p>
    <w:p w14:paraId="5A13D506" w14:textId="77777777" w:rsidR="00D02A8C" w:rsidRPr="00D02A8C" w:rsidRDefault="00D02A8C" w:rsidP="00D02A8C">
      <w:pPr>
        <w:spacing w:line="360" w:lineRule="auto"/>
        <w:jc w:val="both"/>
        <w:rPr>
          <w:lang w:val="es-ES" w:eastAsia="es-ES"/>
        </w:rPr>
      </w:pPr>
    </w:p>
    <w:p w14:paraId="45E01FE5" w14:textId="77777777" w:rsidR="00D02A8C" w:rsidRPr="00D02A8C" w:rsidRDefault="00D02A8C" w:rsidP="00D02A8C">
      <w:pPr>
        <w:spacing w:line="360" w:lineRule="auto"/>
        <w:jc w:val="both"/>
        <w:rPr>
          <w:lang w:val="es-ES" w:eastAsia="es-ES"/>
        </w:rPr>
      </w:pPr>
      <w:r w:rsidRPr="00D02A8C">
        <w:rPr>
          <w:lang w:val="es-ES" w:eastAsia="es-ES"/>
        </w:rPr>
        <w:t>La PA es contradictoria y variable en el tiempo; una identificación oportuna de los signos de gravedad durante los 3 primeros días desde el ingreso, mejora el pronóstico y reduce la mortalidad. Por esta razón, es necesario el reconocimiento de los hallazgos clínicos en exámenes de laboratorio o de imagen, que pueden predecir el desarrollo de una PA grave.</w:t>
      </w:r>
    </w:p>
    <w:p w14:paraId="4234706E" w14:textId="77777777" w:rsidR="00D02A8C" w:rsidRPr="00D02A8C" w:rsidRDefault="00D02A8C" w:rsidP="00D02A8C">
      <w:pPr>
        <w:spacing w:line="360" w:lineRule="auto"/>
        <w:jc w:val="both"/>
        <w:rPr>
          <w:lang w:val="es-ES" w:eastAsia="es-ES"/>
        </w:rPr>
      </w:pPr>
      <w:r w:rsidRPr="00D02A8C">
        <w:rPr>
          <w:lang w:val="es-ES" w:eastAsia="es-ES"/>
        </w:rPr>
        <w:t xml:space="preserve">Es necesario conocer las características de los pacientes con PA, debido a su elevada letalidad en las formas graves, los múltiples criterios pronósticos. </w:t>
      </w:r>
    </w:p>
    <w:p w14:paraId="70C9F670" w14:textId="77777777" w:rsidR="00D02A8C" w:rsidRPr="00D02A8C" w:rsidRDefault="00D02A8C" w:rsidP="00D02A8C">
      <w:pPr>
        <w:spacing w:line="360" w:lineRule="auto"/>
        <w:jc w:val="both"/>
        <w:rPr>
          <w:lang w:val="es-ES" w:eastAsia="es-ES"/>
        </w:rPr>
      </w:pPr>
      <w:r w:rsidRPr="00D02A8C">
        <w:rPr>
          <w:lang w:val="es-ES" w:eastAsia="es-ES"/>
        </w:rPr>
        <w:t>El objetivo de este trabajo es caracterizar a los pacientes ingresados en cuidados intensivos polivalentes, con diagnóstico de PA y evaluarlos según los recientes criterios de gravedad.</w:t>
      </w:r>
    </w:p>
    <w:p w14:paraId="0F0015A9" w14:textId="77777777" w:rsidR="00D02A8C" w:rsidRPr="00D02A8C" w:rsidRDefault="00D02A8C" w:rsidP="00D02A8C">
      <w:pPr>
        <w:spacing w:line="360" w:lineRule="auto"/>
        <w:jc w:val="both"/>
        <w:rPr>
          <w:lang w:val="es-ES" w:eastAsia="es-ES"/>
        </w:rPr>
      </w:pPr>
    </w:p>
    <w:p w14:paraId="114BA853" w14:textId="77777777" w:rsidR="00D02A8C" w:rsidRPr="00D02A8C" w:rsidRDefault="00D02A8C" w:rsidP="00D02A8C">
      <w:pPr>
        <w:spacing w:line="360" w:lineRule="auto"/>
        <w:jc w:val="both"/>
        <w:rPr>
          <w:lang w:val="es-ES" w:eastAsia="es-ES"/>
        </w:rPr>
      </w:pPr>
    </w:p>
    <w:p w14:paraId="1E8526E9" w14:textId="77777777" w:rsidR="00D02A8C" w:rsidRPr="00D02A8C" w:rsidRDefault="00D02A8C" w:rsidP="00D02A8C">
      <w:pPr>
        <w:spacing w:line="360" w:lineRule="auto"/>
        <w:jc w:val="center"/>
        <w:rPr>
          <w:b/>
          <w:bCs/>
          <w:sz w:val="32"/>
          <w:szCs w:val="32"/>
          <w:lang w:val="es-ES" w:eastAsia="es-ES"/>
        </w:rPr>
      </w:pPr>
      <w:r w:rsidRPr="00D02A8C">
        <w:rPr>
          <w:b/>
          <w:bCs/>
          <w:sz w:val="32"/>
          <w:szCs w:val="32"/>
          <w:lang w:val="es-ES" w:eastAsia="es-ES"/>
        </w:rPr>
        <w:t>MÉTODOS</w:t>
      </w:r>
    </w:p>
    <w:p w14:paraId="7532794E" w14:textId="77777777" w:rsidR="00D02A8C" w:rsidRPr="00D02A8C" w:rsidRDefault="00D02A8C" w:rsidP="00D02A8C">
      <w:pPr>
        <w:spacing w:line="360" w:lineRule="auto"/>
        <w:jc w:val="both"/>
        <w:rPr>
          <w:lang w:val="es-ES" w:eastAsia="es-ES"/>
        </w:rPr>
      </w:pPr>
      <w:r w:rsidRPr="00D02A8C">
        <w:rPr>
          <w:lang w:val="es-ES" w:eastAsia="es-ES"/>
        </w:rPr>
        <w:t xml:space="preserve">Se realizó un estudio descriptivo, de corte transversal, en la terapia polivalente del Hospital Militar "Dr. Mario Muñoz Monroy" de Matanzas, desde enero del 2014 a diciembre del 2019. </w:t>
      </w:r>
    </w:p>
    <w:p w14:paraId="2C649C2C" w14:textId="77777777" w:rsidR="00D02A8C" w:rsidRPr="00D02A8C" w:rsidRDefault="00D02A8C" w:rsidP="00D02A8C">
      <w:pPr>
        <w:spacing w:line="360" w:lineRule="auto"/>
        <w:jc w:val="both"/>
        <w:rPr>
          <w:lang w:val="es-ES" w:eastAsia="es-ES"/>
        </w:rPr>
      </w:pPr>
      <w:r w:rsidRPr="00D02A8C">
        <w:rPr>
          <w:lang w:val="es-ES" w:eastAsia="es-ES"/>
        </w:rPr>
        <w:t>Se revisaron las 46 historias clínicas de pacientes ingresados con el diagnóstico de PA. Se confeccionó una base de datos con las siguientes variables clínicas: edad (agrupada en hasta 50 años, de 51 a 60 años, de 61 a 70 años y mayor de 70 años); sexo; etiología; complicaciones; mortalidad; letalidad; evolución clínica y necesidad de intervención quirúrgica. Las variables de laboratorio fueron: hematocrito (%), leucocitos (x 10</w:t>
      </w:r>
      <w:r w:rsidRPr="00D02A8C">
        <w:rPr>
          <w:vertAlign w:val="superscript"/>
          <w:lang w:val="es-ES" w:eastAsia="es-ES"/>
        </w:rPr>
        <w:t>9</w:t>
      </w:r>
      <w:r w:rsidRPr="00D02A8C">
        <w:rPr>
          <w:lang w:val="es-ES" w:eastAsia="es-ES"/>
        </w:rPr>
        <w:t>/L), transaminasa glutámico-</w:t>
      </w:r>
      <w:proofErr w:type="spellStart"/>
      <w:r w:rsidRPr="00D02A8C">
        <w:rPr>
          <w:lang w:val="es-ES" w:eastAsia="es-ES"/>
        </w:rPr>
        <w:t>oxalacético</w:t>
      </w:r>
      <w:proofErr w:type="spellEnd"/>
      <w:r w:rsidRPr="00D02A8C">
        <w:rPr>
          <w:lang w:val="es-ES" w:eastAsia="es-ES"/>
        </w:rPr>
        <w:t xml:space="preserve"> (TGO; UI/L), glicemia (mmol/L), deshidrogenasa láctica (LDH; UI/L), calcio sérico (Ca; mmol/L), nitrógeno ureico sanguíneo (BUN; mmol/L), presión parcial de oxígeno (PO</w:t>
      </w:r>
      <w:r w:rsidRPr="00D02A8C">
        <w:rPr>
          <w:vertAlign w:val="subscript"/>
          <w:lang w:val="es-ES" w:eastAsia="es-ES"/>
        </w:rPr>
        <w:t>2</w:t>
      </w:r>
      <w:r w:rsidRPr="00D02A8C">
        <w:rPr>
          <w:lang w:val="es-ES" w:eastAsia="es-ES"/>
        </w:rPr>
        <w:t>), bases en exceso (BE; mmol/L), ecografía pancreática y TAC de páncreas. Otras variables fueron: criterios de Ranson;</w:t>
      </w:r>
      <w:r w:rsidRPr="00D02A8C">
        <w:rPr>
          <w:vertAlign w:val="superscript"/>
          <w:lang w:val="es-ES" w:eastAsia="es-ES"/>
        </w:rPr>
        <w:t>(2)</w:t>
      </w:r>
      <w:r w:rsidRPr="00D02A8C">
        <w:rPr>
          <w:lang w:val="es-ES" w:eastAsia="es-ES"/>
        </w:rPr>
        <w:t xml:space="preserve"> escala APACHE </w:t>
      </w:r>
      <w:proofErr w:type="gramStart"/>
      <w:r w:rsidRPr="00D02A8C">
        <w:rPr>
          <w:lang w:val="es-ES" w:eastAsia="es-ES"/>
        </w:rPr>
        <w:t>II</w:t>
      </w:r>
      <w:r w:rsidRPr="00D02A8C">
        <w:rPr>
          <w:vertAlign w:val="superscript"/>
          <w:lang w:val="es-ES" w:eastAsia="es-ES"/>
        </w:rPr>
        <w:t>(</w:t>
      </w:r>
      <w:proofErr w:type="gramEnd"/>
      <w:r w:rsidRPr="00D02A8C">
        <w:rPr>
          <w:vertAlign w:val="superscript"/>
          <w:lang w:val="es-ES" w:eastAsia="es-ES"/>
        </w:rPr>
        <w:t>6)</w:t>
      </w:r>
      <w:r w:rsidRPr="00D02A8C">
        <w:rPr>
          <w:lang w:val="es-ES" w:eastAsia="es-ES"/>
        </w:rPr>
        <w:t xml:space="preserve"> al ingreso y a las 48 horas de evolución, para clasificar la pancreatitis aguda en leve (puntuación menor de 3 para la escala de Ranson y menor de 8 en la de APACHE II) y grave (puntuación mayor de 3 en la escala de Ranson y mayor de 8 en la de APACHE II). Se realizó TAC contrastada de páncreas, para determinar los criterios de Balthazar-</w:t>
      </w:r>
      <w:proofErr w:type="gramStart"/>
      <w:r w:rsidRPr="00D02A8C">
        <w:rPr>
          <w:lang w:val="es-ES" w:eastAsia="es-ES"/>
        </w:rPr>
        <w:t>Hill.</w:t>
      </w:r>
      <w:r w:rsidRPr="00D02A8C">
        <w:rPr>
          <w:vertAlign w:val="superscript"/>
          <w:lang w:val="es-ES" w:eastAsia="es-ES"/>
        </w:rPr>
        <w:t>(</w:t>
      </w:r>
      <w:proofErr w:type="gramEnd"/>
      <w:r w:rsidRPr="00D02A8C">
        <w:rPr>
          <w:vertAlign w:val="superscript"/>
          <w:lang w:val="es-ES" w:eastAsia="es-ES"/>
        </w:rPr>
        <w:t>7)</w:t>
      </w:r>
    </w:p>
    <w:p w14:paraId="2AC8211F" w14:textId="77777777" w:rsidR="00D02A8C" w:rsidRPr="00D02A8C" w:rsidRDefault="00D02A8C" w:rsidP="00D02A8C">
      <w:pPr>
        <w:spacing w:line="360" w:lineRule="auto"/>
        <w:jc w:val="both"/>
        <w:rPr>
          <w:lang w:val="es-ES" w:eastAsia="es-ES"/>
        </w:rPr>
      </w:pPr>
      <w:r w:rsidRPr="00D02A8C">
        <w:rPr>
          <w:lang w:val="es-ES" w:eastAsia="es-ES"/>
        </w:rPr>
        <w:lastRenderedPageBreak/>
        <w:t>Para el procesamiento de las variables se utilizó un análisis de frecuencias y los resultados se exponen en tablas.</w:t>
      </w:r>
    </w:p>
    <w:p w14:paraId="5AAB73A2" w14:textId="77777777" w:rsidR="00D02A8C" w:rsidRPr="00D02A8C" w:rsidRDefault="00D02A8C" w:rsidP="00D02A8C">
      <w:pPr>
        <w:spacing w:line="360" w:lineRule="auto"/>
        <w:jc w:val="both"/>
        <w:rPr>
          <w:lang w:val="es-ES" w:eastAsia="es-ES"/>
        </w:rPr>
      </w:pPr>
      <w:r w:rsidRPr="00D02A8C">
        <w:rPr>
          <w:lang w:val="es-ES" w:eastAsia="es-ES"/>
        </w:rPr>
        <w:t>La investigación fue aprobada por el consejo científico del Hospital Militar "Dr. Mario Muñoz Monroy". Se respeta todas las normas éticas sobre la confidencialidad de los datos individuales para las investigaciones biomédicas.</w:t>
      </w:r>
    </w:p>
    <w:p w14:paraId="7E7FF1BA" w14:textId="77777777" w:rsidR="00D02A8C" w:rsidRPr="00D02A8C" w:rsidRDefault="00D02A8C" w:rsidP="00D02A8C">
      <w:pPr>
        <w:spacing w:line="360" w:lineRule="auto"/>
        <w:jc w:val="both"/>
        <w:rPr>
          <w:lang w:val="es-ES" w:eastAsia="es-ES"/>
        </w:rPr>
      </w:pPr>
    </w:p>
    <w:p w14:paraId="0D6971A5" w14:textId="77777777" w:rsidR="00D02A8C" w:rsidRPr="00D02A8C" w:rsidRDefault="00D02A8C" w:rsidP="00D02A8C">
      <w:pPr>
        <w:spacing w:line="360" w:lineRule="auto"/>
        <w:jc w:val="both"/>
        <w:rPr>
          <w:lang w:val="es-ES" w:eastAsia="es-ES"/>
        </w:rPr>
      </w:pPr>
    </w:p>
    <w:p w14:paraId="21399133" w14:textId="77777777" w:rsidR="00D02A8C" w:rsidRPr="00D02A8C" w:rsidRDefault="00D02A8C" w:rsidP="00D02A8C">
      <w:pPr>
        <w:spacing w:line="360" w:lineRule="auto"/>
        <w:jc w:val="center"/>
        <w:rPr>
          <w:b/>
          <w:bCs/>
          <w:sz w:val="32"/>
          <w:szCs w:val="32"/>
          <w:lang w:val="es-ES" w:eastAsia="es-ES"/>
        </w:rPr>
      </w:pPr>
      <w:r w:rsidRPr="00D02A8C">
        <w:rPr>
          <w:b/>
          <w:bCs/>
          <w:sz w:val="32"/>
          <w:szCs w:val="32"/>
          <w:lang w:val="es-ES" w:eastAsia="es-ES"/>
        </w:rPr>
        <w:t>RESULTADOS</w:t>
      </w:r>
    </w:p>
    <w:p w14:paraId="3884053B" w14:textId="77777777" w:rsidR="00D02A8C" w:rsidRPr="00D02A8C" w:rsidRDefault="00D02A8C" w:rsidP="00D02A8C">
      <w:pPr>
        <w:spacing w:line="360" w:lineRule="auto"/>
        <w:jc w:val="both"/>
        <w:rPr>
          <w:lang w:val="es-ES" w:eastAsia="es-ES"/>
        </w:rPr>
      </w:pPr>
      <w:r w:rsidRPr="00D02A8C">
        <w:rPr>
          <w:lang w:val="es-ES" w:eastAsia="es-ES"/>
        </w:rPr>
        <w:t>En la tabla 1 se aprecia que los grupos de edades más afectados fueron los de 50 años o menos y el grupo entre 51-60 años, ambos con 34,7 %. Hubo predominio de pacientes del sexo masculino (56,5 %).</w:t>
      </w:r>
    </w:p>
    <w:p w14:paraId="3BC968A6" w14:textId="77777777" w:rsidR="00D02A8C" w:rsidRPr="00D02A8C" w:rsidRDefault="00D02A8C" w:rsidP="00D02A8C">
      <w:pPr>
        <w:spacing w:line="360" w:lineRule="auto"/>
        <w:jc w:val="center"/>
        <w:rPr>
          <w:b/>
          <w:bCs/>
          <w:sz w:val="22"/>
          <w:szCs w:val="22"/>
          <w:lang w:val="es-ES" w:eastAsia="es-ES"/>
        </w:rPr>
      </w:pPr>
    </w:p>
    <w:p w14:paraId="38C07555" w14:textId="77777777" w:rsidR="00D02A8C" w:rsidRPr="00D02A8C" w:rsidRDefault="00D02A8C" w:rsidP="00D02A8C">
      <w:pPr>
        <w:spacing w:line="360" w:lineRule="auto"/>
        <w:jc w:val="center"/>
        <w:rPr>
          <w:sz w:val="22"/>
          <w:szCs w:val="22"/>
          <w:lang w:val="es-ES" w:eastAsia="es-ES"/>
        </w:rPr>
      </w:pPr>
      <w:r w:rsidRPr="00D02A8C">
        <w:rPr>
          <w:b/>
          <w:bCs/>
          <w:sz w:val="22"/>
          <w:szCs w:val="22"/>
          <w:lang w:val="es-ES" w:eastAsia="es-ES"/>
        </w:rPr>
        <w:t>Tabla 1 -</w:t>
      </w:r>
      <w:r w:rsidRPr="00D02A8C">
        <w:rPr>
          <w:sz w:val="22"/>
          <w:szCs w:val="22"/>
          <w:lang w:val="es-ES" w:eastAsia="es-ES"/>
        </w:rPr>
        <w:t xml:space="preserve"> Incidencia de PA según grupos de edades y sexo</w:t>
      </w:r>
    </w:p>
    <w:p w14:paraId="4A620D3A" w14:textId="290C1F31" w:rsidR="00D02A8C" w:rsidRPr="00D02A8C" w:rsidRDefault="00D02A8C" w:rsidP="00D02A8C">
      <w:pPr>
        <w:spacing w:line="360" w:lineRule="auto"/>
        <w:jc w:val="center"/>
        <w:rPr>
          <w:lang w:val="es-ES" w:eastAsia="es-ES"/>
        </w:rPr>
      </w:pPr>
      <w:r w:rsidRPr="00D02A8C">
        <w:rPr>
          <w:noProof/>
          <w:lang w:val="es-ES" w:eastAsia="es-ES"/>
        </w:rPr>
        <w:drawing>
          <wp:inline distT="0" distB="0" distL="0" distR="0" wp14:anchorId="6F018DFF" wp14:editId="5F75A7BE">
            <wp:extent cx="2637707" cy="1421391"/>
            <wp:effectExtent l="0" t="0" r="0" b="7620"/>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2524" cy="1434764"/>
                    </a:xfrm>
                    <a:prstGeom prst="rect">
                      <a:avLst/>
                    </a:prstGeom>
                    <a:noFill/>
                    <a:ln>
                      <a:noFill/>
                    </a:ln>
                  </pic:spPr>
                </pic:pic>
              </a:graphicData>
            </a:graphic>
          </wp:inline>
        </w:drawing>
      </w:r>
    </w:p>
    <w:p w14:paraId="2EA2519F" w14:textId="77777777" w:rsidR="00D02A8C" w:rsidRPr="00D02A8C" w:rsidRDefault="00D02A8C" w:rsidP="00D02A8C">
      <w:pPr>
        <w:spacing w:line="360" w:lineRule="auto"/>
        <w:jc w:val="both"/>
        <w:rPr>
          <w:lang w:val="es-ES" w:eastAsia="es-ES"/>
        </w:rPr>
      </w:pPr>
    </w:p>
    <w:p w14:paraId="24221BA7" w14:textId="77777777" w:rsidR="00D02A8C" w:rsidRPr="00D02A8C" w:rsidRDefault="00D02A8C" w:rsidP="00D02A8C">
      <w:pPr>
        <w:spacing w:line="360" w:lineRule="auto"/>
        <w:jc w:val="both"/>
        <w:rPr>
          <w:lang w:val="es-ES" w:eastAsia="es-ES"/>
        </w:rPr>
      </w:pPr>
      <w:r w:rsidRPr="00D02A8C">
        <w:rPr>
          <w:lang w:val="es-ES" w:eastAsia="es-ES"/>
        </w:rPr>
        <w:t>Sobre la etiología de la PA (tabla 2), las colecistopatías y el alcoholismo fueron las más frecuentes, con 43,4 % y 34,7 % respectivamente.</w:t>
      </w:r>
    </w:p>
    <w:p w14:paraId="4B8B95CE" w14:textId="77777777" w:rsidR="00D02A8C" w:rsidRPr="00D02A8C" w:rsidRDefault="00D02A8C" w:rsidP="00D02A8C">
      <w:pPr>
        <w:spacing w:line="360" w:lineRule="auto"/>
        <w:jc w:val="both"/>
        <w:rPr>
          <w:lang w:val="es-ES" w:eastAsia="es-ES"/>
        </w:rPr>
      </w:pPr>
    </w:p>
    <w:p w14:paraId="06CDD904" w14:textId="77777777" w:rsidR="00FF3CF5" w:rsidRDefault="00FF3CF5">
      <w:pPr>
        <w:rPr>
          <w:b/>
          <w:bCs/>
          <w:sz w:val="22"/>
          <w:szCs w:val="22"/>
          <w:lang w:val="es-ES" w:eastAsia="es-ES"/>
        </w:rPr>
      </w:pPr>
      <w:r>
        <w:rPr>
          <w:b/>
          <w:bCs/>
          <w:sz w:val="22"/>
          <w:szCs w:val="22"/>
          <w:lang w:val="es-ES" w:eastAsia="es-ES"/>
        </w:rPr>
        <w:br w:type="page"/>
      </w:r>
    </w:p>
    <w:p w14:paraId="44FEEC42" w14:textId="3FB1105F" w:rsidR="00D02A8C" w:rsidRPr="00D02A8C" w:rsidRDefault="00D02A8C" w:rsidP="00D02A8C">
      <w:pPr>
        <w:spacing w:line="360" w:lineRule="auto"/>
        <w:jc w:val="center"/>
        <w:rPr>
          <w:sz w:val="22"/>
          <w:szCs w:val="22"/>
          <w:lang w:val="es-ES" w:eastAsia="es-ES"/>
        </w:rPr>
      </w:pPr>
      <w:r w:rsidRPr="00D02A8C">
        <w:rPr>
          <w:b/>
          <w:bCs/>
          <w:sz w:val="22"/>
          <w:szCs w:val="22"/>
          <w:lang w:val="es-ES" w:eastAsia="es-ES"/>
        </w:rPr>
        <w:lastRenderedPageBreak/>
        <w:t>Tabla 2 -</w:t>
      </w:r>
      <w:r w:rsidRPr="00D02A8C">
        <w:rPr>
          <w:sz w:val="22"/>
          <w:szCs w:val="22"/>
          <w:lang w:val="es-ES" w:eastAsia="es-ES"/>
        </w:rPr>
        <w:t xml:space="preserve"> Etiología de la PA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1"/>
        <w:gridCol w:w="912"/>
        <w:gridCol w:w="1079"/>
      </w:tblGrid>
      <w:tr w:rsidR="00D02A8C" w:rsidRPr="00D02A8C" w14:paraId="2DE95A74" w14:textId="77777777" w:rsidTr="00D76684">
        <w:trPr>
          <w:jc w:val="center"/>
        </w:trPr>
        <w:tc>
          <w:tcPr>
            <w:tcW w:w="2301" w:type="dxa"/>
            <w:shd w:val="clear" w:color="auto" w:fill="auto"/>
            <w:vAlign w:val="center"/>
          </w:tcPr>
          <w:p w14:paraId="02BA7373" w14:textId="77777777" w:rsidR="00D02A8C" w:rsidRPr="00D02A8C" w:rsidRDefault="00D02A8C" w:rsidP="00D02A8C">
            <w:pPr>
              <w:spacing w:line="360" w:lineRule="auto"/>
              <w:jc w:val="center"/>
              <w:rPr>
                <w:b/>
                <w:bCs/>
                <w:sz w:val="18"/>
                <w:szCs w:val="18"/>
                <w:lang w:val="es-ES" w:eastAsia="es-ES"/>
              </w:rPr>
            </w:pPr>
            <w:r w:rsidRPr="00D02A8C">
              <w:rPr>
                <w:b/>
                <w:bCs/>
                <w:sz w:val="18"/>
                <w:szCs w:val="18"/>
                <w:lang w:val="es-ES" w:eastAsia="es-ES"/>
              </w:rPr>
              <w:t>Etología</w:t>
            </w:r>
          </w:p>
        </w:tc>
        <w:tc>
          <w:tcPr>
            <w:tcW w:w="912" w:type="dxa"/>
            <w:shd w:val="clear" w:color="auto" w:fill="auto"/>
            <w:vAlign w:val="center"/>
          </w:tcPr>
          <w:p w14:paraId="45EBC397" w14:textId="77777777" w:rsidR="00D02A8C" w:rsidRPr="00D02A8C" w:rsidRDefault="00D02A8C" w:rsidP="00D02A8C">
            <w:pPr>
              <w:spacing w:line="360" w:lineRule="auto"/>
              <w:jc w:val="center"/>
              <w:rPr>
                <w:b/>
                <w:bCs/>
                <w:sz w:val="18"/>
                <w:szCs w:val="18"/>
                <w:lang w:val="es-ES" w:eastAsia="es-ES"/>
              </w:rPr>
            </w:pPr>
            <w:r w:rsidRPr="00D02A8C">
              <w:rPr>
                <w:b/>
                <w:bCs/>
                <w:sz w:val="18"/>
                <w:szCs w:val="18"/>
                <w:lang w:val="es-ES" w:eastAsia="es-ES"/>
              </w:rPr>
              <w:t>n</w:t>
            </w:r>
          </w:p>
        </w:tc>
        <w:tc>
          <w:tcPr>
            <w:tcW w:w="1079" w:type="dxa"/>
            <w:shd w:val="clear" w:color="auto" w:fill="auto"/>
            <w:vAlign w:val="center"/>
          </w:tcPr>
          <w:p w14:paraId="00BB5646" w14:textId="77777777" w:rsidR="00D02A8C" w:rsidRPr="00D02A8C" w:rsidRDefault="00D02A8C" w:rsidP="00D02A8C">
            <w:pPr>
              <w:spacing w:line="360" w:lineRule="auto"/>
              <w:jc w:val="center"/>
              <w:rPr>
                <w:b/>
                <w:bCs/>
                <w:sz w:val="18"/>
                <w:szCs w:val="18"/>
                <w:lang w:val="es-ES" w:eastAsia="es-ES"/>
              </w:rPr>
            </w:pPr>
            <w:r w:rsidRPr="00D02A8C">
              <w:rPr>
                <w:b/>
                <w:bCs/>
                <w:sz w:val="18"/>
                <w:szCs w:val="18"/>
                <w:lang w:val="es-ES" w:eastAsia="es-ES"/>
              </w:rPr>
              <w:t>%</w:t>
            </w:r>
          </w:p>
        </w:tc>
      </w:tr>
      <w:tr w:rsidR="00D02A8C" w:rsidRPr="00D02A8C" w14:paraId="263B7486" w14:textId="77777777" w:rsidTr="00D76684">
        <w:trPr>
          <w:jc w:val="center"/>
        </w:trPr>
        <w:tc>
          <w:tcPr>
            <w:tcW w:w="2301" w:type="dxa"/>
            <w:shd w:val="clear" w:color="auto" w:fill="auto"/>
            <w:vAlign w:val="center"/>
          </w:tcPr>
          <w:p w14:paraId="6C3FCF42" w14:textId="77777777" w:rsidR="00D02A8C" w:rsidRPr="00D02A8C" w:rsidRDefault="00D02A8C" w:rsidP="00D02A8C">
            <w:pPr>
              <w:spacing w:line="360" w:lineRule="auto"/>
              <w:jc w:val="both"/>
              <w:rPr>
                <w:sz w:val="18"/>
                <w:szCs w:val="18"/>
                <w:lang w:val="es-ES" w:eastAsia="es-ES"/>
              </w:rPr>
            </w:pPr>
            <w:r w:rsidRPr="00D02A8C">
              <w:rPr>
                <w:sz w:val="18"/>
                <w:szCs w:val="18"/>
                <w:lang w:val="es-ES" w:eastAsia="es-ES"/>
              </w:rPr>
              <w:t>Enfermedad biliar</w:t>
            </w:r>
          </w:p>
        </w:tc>
        <w:tc>
          <w:tcPr>
            <w:tcW w:w="912" w:type="dxa"/>
            <w:shd w:val="clear" w:color="auto" w:fill="auto"/>
            <w:vAlign w:val="center"/>
          </w:tcPr>
          <w:p w14:paraId="66FF0861" w14:textId="77777777" w:rsidR="00D02A8C" w:rsidRPr="00D02A8C" w:rsidRDefault="00D02A8C" w:rsidP="00D02A8C">
            <w:pPr>
              <w:spacing w:line="360" w:lineRule="auto"/>
              <w:jc w:val="center"/>
              <w:rPr>
                <w:sz w:val="18"/>
                <w:szCs w:val="18"/>
                <w:lang w:val="es-ES" w:eastAsia="es-ES"/>
              </w:rPr>
            </w:pPr>
            <w:r w:rsidRPr="00D02A8C">
              <w:rPr>
                <w:sz w:val="18"/>
                <w:szCs w:val="18"/>
                <w:lang w:val="es-ES" w:eastAsia="es-ES"/>
              </w:rPr>
              <w:t>20</w:t>
            </w:r>
          </w:p>
        </w:tc>
        <w:tc>
          <w:tcPr>
            <w:tcW w:w="1079" w:type="dxa"/>
            <w:shd w:val="clear" w:color="auto" w:fill="auto"/>
            <w:vAlign w:val="center"/>
          </w:tcPr>
          <w:p w14:paraId="60F15AF6" w14:textId="77777777" w:rsidR="00D02A8C" w:rsidRPr="00D02A8C" w:rsidRDefault="00D02A8C" w:rsidP="00D02A8C">
            <w:pPr>
              <w:spacing w:line="360" w:lineRule="auto"/>
              <w:jc w:val="center"/>
              <w:rPr>
                <w:sz w:val="18"/>
                <w:szCs w:val="18"/>
                <w:lang w:val="es-ES" w:eastAsia="es-ES"/>
              </w:rPr>
            </w:pPr>
            <w:r w:rsidRPr="00D02A8C">
              <w:rPr>
                <w:sz w:val="18"/>
                <w:szCs w:val="18"/>
                <w:lang w:val="es-ES" w:eastAsia="es-ES"/>
              </w:rPr>
              <w:t>43,4</w:t>
            </w:r>
          </w:p>
        </w:tc>
      </w:tr>
      <w:tr w:rsidR="00D02A8C" w:rsidRPr="00D02A8C" w14:paraId="60288EAF" w14:textId="77777777" w:rsidTr="00D76684">
        <w:trPr>
          <w:jc w:val="center"/>
        </w:trPr>
        <w:tc>
          <w:tcPr>
            <w:tcW w:w="2301" w:type="dxa"/>
            <w:shd w:val="clear" w:color="auto" w:fill="auto"/>
            <w:vAlign w:val="center"/>
          </w:tcPr>
          <w:p w14:paraId="51F1F466" w14:textId="77777777" w:rsidR="00D02A8C" w:rsidRPr="00D02A8C" w:rsidRDefault="00D02A8C" w:rsidP="00D02A8C">
            <w:pPr>
              <w:spacing w:line="360" w:lineRule="auto"/>
              <w:jc w:val="both"/>
              <w:rPr>
                <w:sz w:val="18"/>
                <w:szCs w:val="18"/>
                <w:lang w:val="es-ES" w:eastAsia="es-ES"/>
              </w:rPr>
            </w:pPr>
            <w:r w:rsidRPr="00D02A8C">
              <w:rPr>
                <w:sz w:val="18"/>
                <w:szCs w:val="18"/>
                <w:lang w:val="es-ES" w:eastAsia="es-ES"/>
              </w:rPr>
              <w:t>Alcoholismo</w:t>
            </w:r>
          </w:p>
        </w:tc>
        <w:tc>
          <w:tcPr>
            <w:tcW w:w="912" w:type="dxa"/>
            <w:shd w:val="clear" w:color="auto" w:fill="auto"/>
            <w:vAlign w:val="center"/>
          </w:tcPr>
          <w:p w14:paraId="4A39BDFA" w14:textId="77777777" w:rsidR="00D02A8C" w:rsidRPr="00D02A8C" w:rsidRDefault="00D02A8C" w:rsidP="00D02A8C">
            <w:pPr>
              <w:spacing w:line="360" w:lineRule="auto"/>
              <w:jc w:val="center"/>
              <w:rPr>
                <w:sz w:val="18"/>
                <w:szCs w:val="18"/>
                <w:lang w:val="es-ES" w:eastAsia="es-ES"/>
              </w:rPr>
            </w:pPr>
            <w:r w:rsidRPr="00D02A8C">
              <w:rPr>
                <w:sz w:val="18"/>
                <w:szCs w:val="18"/>
                <w:lang w:val="es-ES" w:eastAsia="es-ES"/>
              </w:rPr>
              <w:t>16</w:t>
            </w:r>
          </w:p>
        </w:tc>
        <w:tc>
          <w:tcPr>
            <w:tcW w:w="1079" w:type="dxa"/>
            <w:shd w:val="clear" w:color="auto" w:fill="auto"/>
            <w:vAlign w:val="center"/>
          </w:tcPr>
          <w:p w14:paraId="243A0041" w14:textId="77777777" w:rsidR="00D02A8C" w:rsidRPr="00D02A8C" w:rsidRDefault="00D02A8C" w:rsidP="00D02A8C">
            <w:pPr>
              <w:spacing w:line="360" w:lineRule="auto"/>
              <w:jc w:val="center"/>
              <w:rPr>
                <w:sz w:val="18"/>
                <w:szCs w:val="18"/>
                <w:lang w:val="es-ES" w:eastAsia="es-ES"/>
              </w:rPr>
            </w:pPr>
            <w:r w:rsidRPr="00D02A8C">
              <w:rPr>
                <w:sz w:val="18"/>
                <w:szCs w:val="18"/>
                <w:lang w:val="es-ES" w:eastAsia="es-ES"/>
              </w:rPr>
              <w:t>34,7</w:t>
            </w:r>
          </w:p>
        </w:tc>
      </w:tr>
      <w:tr w:rsidR="00D02A8C" w:rsidRPr="00D02A8C" w14:paraId="7765323A" w14:textId="77777777" w:rsidTr="00D76684">
        <w:trPr>
          <w:jc w:val="center"/>
        </w:trPr>
        <w:tc>
          <w:tcPr>
            <w:tcW w:w="2301" w:type="dxa"/>
            <w:shd w:val="clear" w:color="auto" w:fill="auto"/>
            <w:vAlign w:val="center"/>
          </w:tcPr>
          <w:p w14:paraId="0EF6BDF2" w14:textId="77777777" w:rsidR="00D02A8C" w:rsidRPr="00D02A8C" w:rsidRDefault="00D02A8C" w:rsidP="00D02A8C">
            <w:pPr>
              <w:spacing w:line="360" w:lineRule="auto"/>
              <w:jc w:val="both"/>
              <w:rPr>
                <w:sz w:val="18"/>
                <w:szCs w:val="18"/>
                <w:lang w:val="es-ES" w:eastAsia="es-ES"/>
              </w:rPr>
            </w:pPr>
            <w:proofErr w:type="spellStart"/>
            <w:r w:rsidRPr="00D02A8C">
              <w:rPr>
                <w:sz w:val="18"/>
                <w:szCs w:val="18"/>
                <w:lang w:val="es-ES" w:eastAsia="es-ES"/>
              </w:rPr>
              <w:t>Hipertrigliceridemia</w:t>
            </w:r>
            <w:proofErr w:type="spellEnd"/>
          </w:p>
        </w:tc>
        <w:tc>
          <w:tcPr>
            <w:tcW w:w="912" w:type="dxa"/>
            <w:shd w:val="clear" w:color="auto" w:fill="auto"/>
            <w:vAlign w:val="center"/>
          </w:tcPr>
          <w:p w14:paraId="2AE1B5BF" w14:textId="77777777" w:rsidR="00D02A8C" w:rsidRPr="00D02A8C" w:rsidRDefault="00D02A8C" w:rsidP="00D02A8C">
            <w:pPr>
              <w:spacing w:line="360" w:lineRule="auto"/>
              <w:jc w:val="center"/>
              <w:rPr>
                <w:sz w:val="18"/>
                <w:szCs w:val="18"/>
                <w:lang w:val="es-ES" w:eastAsia="es-ES"/>
              </w:rPr>
            </w:pPr>
            <w:r w:rsidRPr="00D02A8C">
              <w:rPr>
                <w:sz w:val="18"/>
                <w:szCs w:val="18"/>
                <w:lang w:val="es-ES" w:eastAsia="es-ES"/>
              </w:rPr>
              <w:t>6</w:t>
            </w:r>
          </w:p>
        </w:tc>
        <w:tc>
          <w:tcPr>
            <w:tcW w:w="1079" w:type="dxa"/>
            <w:shd w:val="clear" w:color="auto" w:fill="auto"/>
            <w:vAlign w:val="center"/>
          </w:tcPr>
          <w:p w14:paraId="30062925" w14:textId="77777777" w:rsidR="00D02A8C" w:rsidRPr="00D02A8C" w:rsidRDefault="00D02A8C" w:rsidP="00D02A8C">
            <w:pPr>
              <w:spacing w:line="360" w:lineRule="auto"/>
              <w:jc w:val="center"/>
              <w:rPr>
                <w:sz w:val="18"/>
                <w:szCs w:val="18"/>
                <w:lang w:val="es-ES" w:eastAsia="es-ES"/>
              </w:rPr>
            </w:pPr>
            <w:r w:rsidRPr="00D02A8C">
              <w:rPr>
                <w:sz w:val="18"/>
                <w:szCs w:val="18"/>
                <w:lang w:val="es-ES" w:eastAsia="es-ES"/>
              </w:rPr>
              <w:t>13</w:t>
            </w:r>
          </w:p>
        </w:tc>
      </w:tr>
      <w:tr w:rsidR="00D02A8C" w:rsidRPr="00D02A8C" w14:paraId="2681564F" w14:textId="77777777" w:rsidTr="00D76684">
        <w:trPr>
          <w:jc w:val="center"/>
        </w:trPr>
        <w:tc>
          <w:tcPr>
            <w:tcW w:w="2301" w:type="dxa"/>
            <w:shd w:val="clear" w:color="auto" w:fill="auto"/>
            <w:vAlign w:val="center"/>
          </w:tcPr>
          <w:p w14:paraId="0044C759" w14:textId="77777777" w:rsidR="00D02A8C" w:rsidRPr="00D02A8C" w:rsidRDefault="00D02A8C" w:rsidP="00D02A8C">
            <w:pPr>
              <w:spacing w:line="360" w:lineRule="auto"/>
              <w:jc w:val="both"/>
              <w:rPr>
                <w:sz w:val="18"/>
                <w:szCs w:val="18"/>
                <w:lang w:val="es-ES" w:eastAsia="es-ES"/>
              </w:rPr>
            </w:pPr>
            <w:r w:rsidRPr="00D02A8C">
              <w:rPr>
                <w:sz w:val="18"/>
                <w:szCs w:val="18"/>
                <w:lang w:val="es-ES" w:eastAsia="es-ES"/>
              </w:rPr>
              <w:t>Secundaria a CPRE</w:t>
            </w:r>
          </w:p>
        </w:tc>
        <w:tc>
          <w:tcPr>
            <w:tcW w:w="912" w:type="dxa"/>
            <w:shd w:val="clear" w:color="auto" w:fill="auto"/>
            <w:vAlign w:val="center"/>
          </w:tcPr>
          <w:p w14:paraId="69A04093" w14:textId="77777777" w:rsidR="00D02A8C" w:rsidRPr="00D02A8C" w:rsidRDefault="00D02A8C" w:rsidP="00D02A8C">
            <w:pPr>
              <w:spacing w:line="360" w:lineRule="auto"/>
              <w:jc w:val="center"/>
              <w:rPr>
                <w:sz w:val="18"/>
                <w:szCs w:val="18"/>
                <w:lang w:val="es-ES" w:eastAsia="es-ES"/>
              </w:rPr>
            </w:pPr>
            <w:r w:rsidRPr="00D02A8C">
              <w:rPr>
                <w:sz w:val="18"/>
                <w:szCs w:val="18"/>
                <w:lang w:val="es-ES" w:eastAsia="es-ES"/>
              </w:rPr>
              <w:t>2</w:t>
            </w:r>
          </w:p>
        </w:tc>
        <w:tc>
          <w:tcPr>
            <w:tcW w:w="1079" w:type="dxa"/>
            <w:shd w:val="clear" w:color="auto" w:fill="auto"/>
            <w:vAlign w:val="center"/>
          </w:tcPr>
          <w:p w14:paraId="43DA3DCA" w14:textId="77777777" w:rsidR="00D02A8C" w:rsidRPr="00D02A8C" w:rsidRDefault="00D02A8C" w:rsidP="00D02A8C">
            <w:pPr>
              <w:spacing w:line="360" w:lineRule="auto"/>
              <w:jc w:val="center"/>
              <w:rPr>
                <w:sz w:val="18"/>
                <w:szCs w:val="18"/>
                <w:lang w:val="es-ES" w:eastAsia="es-ES"/>
              </w:rPr>
            </w:pPr>
            <w:r w:rsidRPr="00D02A8C">
              <w:rPr>
                <w:sz w:val="18"/>
                <w:szCs w:val="18"/>
                <w:lang w:val="es-ES" w:eastAsia="es-ES"/>
              </w:rPr>
              <w:t>4,3</w:t>
            </w:r>
          </w:p>
        </w:tc>
      </w:tr>
      <w:tr w:rsidR="00D02A8C" w:rsidRPr="00D02A8C" w14:paraId="6DAD5D9A" w14:textId="77777777" w:rsidTr="00D76684">
        <w:trPr>
          <w:trHeight w:val="315"/>
          <w:jc w:val="center"/>
        </w:trPr>
        <w:tc>
          <w:tcPr>
            <w:tcW w:w="2301" w:type="dxa"/>
            <w:shd w:val="clear" w:color="auto" w:fill="auto"/>
            <w:vAlign w:val="center"/>
          </w:tcPr>
          <w:p w14:paraId="4AD8EC11" w14:textId="77777777" w:rsidR="00D02A8C" w:rsidRPr="00D02A8C" w:rsidRDefault="00D02A8C" w:rsidP="00D02A8C">
            <w:pPr>
              <w:spacing w:line="360" w:lineRule="auto"/>
              <w:jc w:val="both"/>
              <w:rPr>
                <w:sz w:val="18"/>
                <w:szCs w:val="18"/>
                <w:lang w:val="es-ES" w:eastAsia="es-ES"/>
              </w:rPr>
            </w:pPr>
            <w:r w:rsidRPr="00D02A8C">
              <w:rPr>
                <w:sz w:val="18"/>
                <w:szCs w:val="18"/>
                <w:lang w:val="es-ES" w:eastAsia="es-ES"/>
              </w:rPr>
              <w:t>Neoplasias</w:t>
            </w:r>
          </w:p>
        </w:tc>
        <w:tc>
          <w:tcPr>
            <w:tcW w:w="912" w:type="dxa"/>
            <w:shd w:val="clear" w:color="auto" w:fill="auto"/>
            <w:vAlign w:val="center"/>
          </w:tcPr>
          <w:p w14:paraId="7EE51A12" w14:textId="77777777" w:rsidR="00D02A8C" w:rsidRPr="00D02A8C" w:rsidRDefault="00D02A8C" w:rsidP="00D02A8C">
            <w:pPr>
              <w:spacing w:line="360" w:lineRule="auto"/>
              <w:jc w:val="center"/>
              <w:rPr>
                <w:sz w:val="18"/>
                <w:szCs w:val="18"/>
                <w:lang w:val="es-ES" w:eastAsia="es-ES"/>
              </w:rPr>
            </w:pPr>
            <w:r w:rsidRPr="00D02A8C">
              <w:rPr>
                <w:sz w:val="18"/>
                <w:szCs w:val="18"/>
                <w:lang w:val="es-ES" w:eastAsia="es-ES"/>
              </w:rPr>
              <w:t>2</w:t>
            </w:r>
          </w:p>
        </w:tc>
        <w:tc>
          <w:tcPr>
            <w:tcW w:w="1079" w:type="dxa"/>
            <w:shd w:val="clear" w:color="auto" w:fill="auto"/>
            <w:vAlign w:val="center"/>
          </w:tcPr>
          <w:p w14:paraId="362612D6" w14:textId="77777777" w:rsidR="00D02A8C" w:rsidRPr="00D02A8C" w:rsidRDefault="00D02A8C" w:rsidP="00D02A8C">
            <w:pPr>
              <w:spacing w:line="360" w:lineRule="auto"/>
              <w:jc w:val="center"/>
              <w:rPr>
                <w:sz w:val="18"/>
                <w:szCs w:val="18"/>
                <w:lang w:val="es-ES" w:eastAsia="es-ES"/>
              </w:rPr>
            </w:pPr>
            <w:r w:rsidRPr="00D02A8C">
              <w:rPr>
                <w:sz w:val="18"/>
                <w:szCs w:val="18"/>
                <w:lang w:val="es-ES" w:eastAsia="es-ES"/>
              </w:rPr>
              <w:t>4,3</w:t>
            </w:r>
          </w:p>
        </w:tc>
      </w:tr>
      <w:tr w:rsidR="00D02A8C" w:rsidRPr="00D02A8C" w14:paraId="7DDFDE0B" w14:textId="77777777" w:rsidTr="00D76684">
        <w:trPr>
          <w:trHeight w:val="277"/>
          <w:jc w:val="center"/>
        </w:trPr>
        <w:tc>
          <w:tcPr>
            <w:tcW w:w="2301" w:type="dxa"/>
            <w:shd w:val="clear" w:color="auto" w:fill="auto"/>
            <w:vAlign w:val="center"/>
          </w:tcPr>
          <w:p w14:paraId="2EECD030" w14:textId="77777777" w:rsidR="00D02A8C" w:rsidRPr="00D02A8C" w:rsidRDefault="00D02A8C" w:rsidP="00D02A8C">
            <w:pPr>
              <w:spacing w:line="360" w:lineRule="auto"/>
              <w:jc w:val="both"/>
              <w:rPr>
                <w:sz w:val="18"/>
                <w:szCs w:val="18"/>
                <w:lang w:val="es-ES" w:eastAsia="es-ES"/>
              </w:rPr>
            </w:pPr>
            <w:r w:rsidRPr="00D02A8C">
              <w:rPr>
                <w:sz w:val="18"/>
                <w:szCs w:val="18"/>
                <w:lang w:val="es-ES" w:eastAsia="es-ES"/>
              </w:rPr>
              <w:t>Total</w:t>
            </w:r>
          </w:p>
        </w:tc>
        <w:tc>
          <w:tcPr>
            <w:tcW w:w="912" w:type="dxa"/>
            <w:shd w:val="clear" w:color="auto" w:fill="auto"/>
            <w:vAlign w:val="center"/>
          </w:tcPr>
          <w:p w14:paraId="4DFB8300" w14:textId="77777777" w:rsidR="00D02A8C" w:rsidRPr="00D02A8C" w:rsidRDefault="00D02A8C" w:rsidP="00D02A8C">
            <w:pPr>
              <w:spacing w:line="360" w:lineRule="auto"/>
              <w:jc w:val="center"/>
              <w:rPr>
                <w:sz w:val="18"/>
                <w:szCs w:val="18"/>
                <w:lang w:val="es-ES" w:eastAsia="es-ES"/>
              </w:rPr>
            </w:pPr>
            <w:r w:rsidRPr="00D02A8C">
              <w:rPr>
                <w:sz w:val="18"/>
                <w:szCs w:val="18"/>
                <w:lang w:val="es-ES" w:eastAsia="es-ES"/>
              </w:rPr>
              <w:t>46</w:t>
            </w:r>
          </w:p>
        </w:tc>
        <w:tc>
          <w:tcPr>
            <w:tcW w:w="1079" w:type="dxa"/>
            <w:shd w:val="clear" w:color="auto" w:fill="auto"/>
            <w:vAlign w:val="center"/>
          </w:tcPr>
          <w:p w14:paraId="44DD6E5E" w14:textId="77777777" w:rsidR="00D02A8C" w:rsidRPr="00D02A8C" w:rsidRDefault="00D02A8C" w:rsidP="00D02A8C">
            <w:pPr>
              <w:spacing w:line="360" w:lineRule="auto"/>
              <w:jc w:val="center"/>
              <w:rPr>
                <w:sz w:val="18"/>
                <w:szCs w:val="18"/>
                <w:lang w:val="es-ES" w:eastAsia="es-ES"/>
              </w:rPr>
            </w:pPr>
            <w:r w:rsidRPr="00D02A8C">
              <w:rPr>
                <w:sz w:val="18"/>
                <w:szCs w:val="18"/>
                <w:lang w:val="es-ES" w:eastAsia="es-ES"/>
              </w:rPr>
              <w:t>100</w:t>
            </w:r>
          </w:p>
        </w:tc>
      </w:tr>
    </w:tbl>
    <w:p w14:paraId="10563A4B" w14:textId="77777777" w:rsidR="00D02A8C" w:rsidRPr="00D02A8C" w:rsidRDefault="00D02A8C" w:rsidP="00D02A8C">
      <w:pPr>
        <w:spacing w:line="360" w:lineRule="auto"/>
        <w:jc w:val="both"/>
        <w:rPr>
          <w:lang w:val="es-ES" w:eastAsia="es-ES"/>
        </w:rPr>
      </w:pPr>
    </w:p>
    <w:p w14:paraId="5707111B" w14:textId="77777777" w:rsidR="00D02A8C" w:rsidRPr="00D02A8C" w:rsidRDefault="00D02A8C" w:rsidP="00D02A8C">
      <w:pPr>
        <w:spacing w:line="360" w:lineRule="auto"/>
        <w:jc w:val="both"/>
        <w:rPr>
          <w:b/>
          <w:bCs/>
          <w:lang w:val="es-ES" w:eastAsia="es-ES"/>
        </w:rPr>
      </w:pPr>
      <w:r w:rsidRPr="00D02A8C">
        <w:rPr>
          <w:lang w:val="es-ES" w:eastAsia="es-ES"/>
        </w:rPr>
        <w:t>La tabla 3 muestra la gravedad, según los indicadores clínicos de Ranson y APACHE II. Hubo 22 pacientes con formas leves y 24 con formas graves. En las formas grave, 10 pacientes evolucionaron desfavorablemente con complicaciones y fallecieron, para una letalidad de 21,7 %. La mortalidad en las formas graves fue del 41,6 %.</w:t>
      </w:r>
    </w:p>
    <w:p w14:paraId="45282C0C" w14:textId="77777777" w:rsidR="00D02A8C" w:rsidRPr="00D02A8C" w:rsidRDefault="00D02A8C" w:rsidP="00D02A8C">
      <w:pPr>
        <w:spacing w:line="360" w:lineRule="auto"/>
        <w:jc w:val="both"/>
        <w:rPr>
          <w:b/>
          <w:bCs/>
          <w:lang w:val="es-ES" w:eastAsia="es-ES"/>
        </w:rPr>
      </w:pPr>
    </w:p>
    <w:p w14:paraId="312EB023" w14:textId="77777777" w:rsidR="00D02A8C" w:rsidRPr="00D02A8C" w:rsidRDefault="00D02A8C" w:rsidP="00D02A8C">
      <w:pPr>
        <w:spacing w:line="360" w:lineRule="auto"/>
        <w:jc w:val="center"/>
        <w:rPr>
          <w:sz w:val="22"/>
          <w:szCs w:val="22"/>
          <w:lang w:val="es-ES" w:eastAsia="es-ES"/>
        </w:rPr>
      </w:pPr>
      <w:r w:rsidRPr="00D02A8C">
        <w:rPr>
          <w:b/>
          <w:bCs/>
          <w:sz w:val="22"/>
          <w:szCs w:val="22"/>
          <w:lang w:val="es-ES" w:eastAsia="es-ES"/>
        </w:rPr>
        <w:t>Tabla 3 -</w:t>
      </w:r>
      <w:r w:rsidRPr="00D02A8C">
        <w:rPr>
          <w:sz w:val="22"/>
          <w:szCs w:val="22"/>
          <w:lang w:val="es-ES" w:eastAsia="es-ES"/>
        </w:rPr>
        <w:t xml:space="preserve"> Gravedad de la PA según escala de Ranson y APACHE II</w:t>
      </w:r>
    </w:p>
    <w:p w14:paraId="6727F824" w14:textId="2D811ECE" w:rsidR="00D02A8C" w:rsidRPr="00D02A8C" w:rsidRDefault="00D02A8C" w:rsidP="00D02A8C">
      <w:pPr>
        <w:spacing w:line="360" w:lineRule="auto"/>
        <w:jc w:val="center"/>
        <w:rPr>
          <w:lang w:val="es-ES" w:eastAsia="es-ES"/>
        </w:rPr>
      </w:pPr>
      <w:r w:rsidRPr="00D02A8C">
        <w:rPr>
          <w:noProof/>
          <w:lang w:val="es-ES" w:eastAsia="es-ES"/>
        </w:rPr>
        <w:drawing>
          <wp:inline distT="0" distB="0" distL="0" distR="0" wp14:anchorId="29B152FE" wp14:editId="478DFF1F">
            <wp:extent cx="3295650" cy="838200"/>
            <wp:effectExtent l="0" t="0" r="0" b="0"/>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95650" cy="838200"/>
                    </a:xfrm>
                    <a:prstGeom prst="rect">
                      <a:avLst/>
                    </a:prstGeom>
                    <a:noFill/>
                    <a:ln>
                      <a:noFill/>
                    </a:ln>
                  </pic:spPr>
                </pic:pic>
              </a:graphicData>
            </a:graphic>
          </wp:inline>
        </w:drawing>
      </w:r>
    </w:p>
    <w:p w14:paraId="03677D96" w14:textId="77777777" w:rsidR="00D02A8C" w:rsidRPr="00D02A8C" w:rsidRDefault="00D02A8C" w:rsidP="00D02A8C">
      <w:pPr>
        <w:spacing w:line="360" w:lineRule="auto"/>
        <w:jc w:val="both"/>
        <w:rPr>
          <w:lang w:val="es-ES" w:eastAsia="es-ES"/>
        </w:rPr>
      </w:pPr>
    </w:p>
    <w:p w14:paraId="34498450" w14:textId="77777777" w:rsidR="00D02A8C" w:rsidRPr="00D02A8C" w:rsidRDefault="00D02A8C" w:rsidP="00D02A8C">
      <w:pPr>
        <w:spacing w:line="360" w:lineRule="auto"/>
        <w:jc w:val="both"/>
        <w:rPr>
          <w:lang w:val="es-ES" w:eastAsia="es-ES"/>
        </w:rPr>
      </w:pPr>
      <w:r w:rsidRPr="00D02A8C">
        <w:rPr>
          <w:lang w:val="es-ES" w:eastAsia="es-ES"/>
        </w:rPr>
        <w:t xml:space="preserve">El tipo C de Balthazar-Hill, con 17 pacientes y el B con 13 pacientes, fueron las formas tomográficas más frecuentemente encontradas (tabla 4). La necrosis se asoció en las formas D predominantemente; se presentó en 8 pacientes, de ellos 5 tenían más de 30 % de necrosis y 3 con menos de 30 %. Todos necesitaron intervención quirúrgica para la </w:t>
      </w:r>
      <w:proofErr w:type="spellStart"/>
      <w:r w:rsidRPr="00D02A8C">
        <w:rPr>
          <w:lang w:val="es-ES" w:eastAsia="es-ES"/>
        </w:rPr>
        <w:t>necreptomía</w:t>
      </w:r>
      <w:proofErr w:type="spellEnd"/>
      <w:r w:rsidRPr="00D02A8C">
        <w:rPr>
          <w:lang w:val="es-ES" w:eastAsia="es-ES"/>
        </w:rPr>
        <w:t xml:space="preserve">. </w:t>
      </w:r>
    </w:p>
    <w:p w14:paraId="0365B9F9" w14:textId="77777777" w:rsidR="00D02A8C" w:rsidRPr="00D02A8C" w:rsidRDefault="00D02A8C" w:rsidP="00D02A8C">
      <w:pPr>
        <w:spacing w:line="360" w:lineRule="auto"/>
        <w:jc w:val="both"/>
        <w:rPr>
          <w:lang w:val="es-ES" w:eastAsia="es-ES"/>
        </w:rPr>
      </w:pPr>
    </w:p>
    <w:p w14:paraId="29E00A36" w14:textId="77777777" w:rsidR="00A641B4" w:rsidRDefault="00A641B4">
      <w:pPr>
        <w:rPr>
          <w:b/>
          <w:bCs/>
          <w:sz w:val="22"/>
          <w:szCs w:val="22"/>
          <w:lang w:val="es-ES" w:eastAsia="es-ES"/>
        </w:rPr>
      </w:pPr>
      <w:r>
        <w:rPr>
          <w:b/>
          <w:bCs/>
          <w:sz w:val="22"/>
          <w:szCs w:val="22"/>
          <w:lang w:val="es-ES" w:eastAsia="es-ES"/>
        </w:rPr>
        <w:br w:type="page"/>
      </w:r>
    </w:p>
    <w:p w14:paraId="709C2ED1" w14:textId="63A0C630" w:rsidR="00D02A8C" w:rsidRPr="00D02A8C" w:rsidRDefault="00D02A8C" w:rsidP="00D02A8C">
      <w:pPr>
        <w:spacing w:line="360" w:lineRule="auto"/>
        <w:jc w:val="center"/>
        <w:rPr>
          <w:sz w:val="22"/>
          <w:szCs w:val="22"/>
          <w:lang w:val="es-ES" w:eastAsia="es-ES"/>
        </w:rPr>
      </w:pPr>
      <w:r w:rsidRPr="00D02A8C">
        <w:rPr>
          <w:b/>
          <w:bCs/>
          <w:sz w:val="22"/>
          <w:szCs w:val="22"/>
          <w:lang w:val="es-ES" w:eastAsia="es-ES"/>
        </w:rPr>
        <w:lastRenderedPageBreak/>
        <w:t xml:space="preserve">Tabla 4 - </w:t>
      </w:r>
      <w:r w:rsidRPr="00D02A8C">
        <w:rPr>
          <w:sz w:val="22"/>
          <w:szCs w:val="22"/>
          <w:lang w:val="es-ES" w:eastAsia="es-ES"/>
        </w:rPr>
        <w:t>Clasificación tomográfica de Balthazar-Hill</w:t>
      </w:r>
    </w:p>
    <w:p w14:paraId="32BCEBF5" w14:textId="1667D8E0" w:rsidR="00D02A8C" w:rsidRPr="00D02A8C" w:rsidRDefault="00D02A8C" w:rsidP="00D02A8C">
      <w:pPr>
        <w:spacing w:line="360" w:lineRule="auto"/>
        <w:jc w:val="center"/>
        <w:rPr>
          <w:lang w:val="es-ES" w:eastAsia="es-ES"/>
        </w:rPr>
      </w:pPr>
      <w:r w:rsidRPr="00D02A8C">
        <w:rPr>
          <w:noProof/>
          <w:lang w:val="es-ES" w:eastAsia="es-ES"/>
        </w:rPr>
        <w:drawing>
          <wp:inline distT="0" distB="0" distL="0" distR="0" wp14:anchorId="12C9AEB9" wp14:editId="5FB3F917">
            <wp:extent cx="3038475" cy="1447800"/>
            <wp:effectExtent l="0" t="0" r="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38475" cy="1447800"/>
                    </a:xfrm>
                    <a:prstGeom prst="rect">
                      <a:avLst/>
                    </a:prstGeom>
                    <a:noFill/>
                    <a:ln>
                      <a:noFill/>
                    </a:ln>
                  </pic:spPr>
                </pic:pic>
              </a:graphicData>
            </a:graphic>
          </wp:inline>
        </w:drawing>
      </w:r>
    </w:p>
    <w:p w14:paraId="14B4DC5D" w14:textId="77777777" w:rsidR="00D02A8C" w:rsidRPr="00D02A8C" w:rsidRDefault="00D02A8C" w:rsidP="00D02A8C">
      <w:pPr>
        <w:spacing w:line="360" w:lineRule="auto"/>
        <w:jc w:val="both"/>
        <w:rPr>
          <w:lang w:val="es-ES" w:eastAsia="es-ES"/>
        </w:rPr>
      </w:pPr>
    </w:p>
    <w:p w14:paraId="7976A4C3" w14:textId="77777777" w:rsidR="00D02A8C" w:rsidRPr="00D02A8C" w:rsidRDefault="00D02A8C" w:rsidP="00D02A8C">
      <w:pPr>
        <w:spacing w:line="360" w:lineRule="auto"/>
        <w:jc w:val="both"/>
        <w:rPr>
          <w:lang w:val="es-ES" w:eastAsia="es-ES"/>
        </w:rPr>
      </w:pPr>
      <w:r w:rsidRPr="00D02A8C">
        <w:rPr>
          <w:lang w:val="es-ES" w:eastAsia="es-ES"/>
        </w:rPr>
        <w:t xml:space="preserve">Sobre las complicaciones en la evolución (tabla 5), se constató que la insuficiencia renal aguda (32,6 %), la peritonitis bacteriana secundaria (21,7 %) y la insuficiencia respiratoria aguda (19,5 %) fueron las más frecuentes. </w:t>
      </w:r>
    </w:p>
    <w:p w14:paraId="579BC9E5" w14:textId="77777777" w:rsidR="00D02A8C" w:rsidRPr="00D02A8C" w:rsidRDefault="00D02A8C" w:rsidP="00D02A8C">
      <w:pPr>
        <w:spacing w:line="360" w:lineRule="auto"/>
        <w:jc w:val="both"/>
        <w:rPr>
          <w:lang w:val="es-ES" w:eastAsia="es-ES"/>
        </w:rPr>
      </w:pPr>
    </w:p>
    <w:p w14:paraId="0E9D362E" w14:textId="12F48D3E" w:rsidR="00D02A8C" w:rsidRPr="00D02A8C" w:rsidRDefault="00D02A8C" w:rsidP="00D02A8C">
      <w:pPr>
        <w:spacing w:line="360" w:lineRule="auto"/>
        <w:jc w:val="center"/>
        <w:rPr>
          <w:sz w:val="22"/>
          <w:szCs w:val="22"/>
          <w:lang w:val="es-ES" w:eastAsia="es-ES"/>
        </w:rPr>
      </w:pPr>
      <w:r w:rsidRPr="00D02A8C">
        <w:rPr>
          <w:b/>
          <w:bCs/>
          <w:sz w:val="22"/>
          <w:szCs w:val="22"/>
          <w:lang w:val="es-ES" w:eastAsia="es-ES"/>
        </w:rPr>
        <w:t>Tabla 5 -</w:t>
      </w:r>
      <w:r w:rsidRPr="00D02A8C">
        <w:rPr>
          <w:sz w:val="22"/>
          <w:szCs w:val="22"/>
          <w:lang w:val="es-ES" w:eastAsia="es-ES"/>
        </w:rPr>
        <w:t xml:space="preserve"> Complicaciones en la evolución de la PA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3"/>
        <w:gridCol w:w="694"/>
        <w:gridCol w:w="716"/>
      </w:tblGrid>
      <w:tr w:rsidR="00D02A8C" w:rsidRPr="00D02A8C" w14:paraId="3180B97D" w14:textId="77777777" w:rsidTr="00D76684">
        <w:trPr>
          <w:jc w:val="center"/>
        </w:trPr>
        <w:tc>
          <w:tcPr>
            <w:tcW w:w="3693" w:type="dxa"/>
            <w:shd w:val="clear" w:color="auto" w:fill="auto"/>
            <w:vAlign w:val="center"/>
          </w:tcPr>
          <w:p w14:paraId="403429F9" w14:textId="77777777" w:rsidR="00D02A8C" w:rsidRPr="00D02A8C" w:rsidRDefault="00D02A8C" w:rsidP="00D02A8C">
            <w:pPr>
              <w:spacing w:line="360" w:lineRule="auto"/>
              <w:jc w:val="center"/>
              <w:rPr>
                <w:b/>
                <w:bCs/>
                <w:sz w:val="18"/>
                <w:szCs w:val="18"/>
                <w:lang w:val="es-ES" w:eastAsia="es-ES"/>
              </w:rPr>
            </w:pPr>
            <w:r w:rsidRPr="00D02A8C">
              <w:rPr>
                <w:b/>
                <w:bCs/>
                <w:sz w:val="18"/>
                <w:szCs w:val="18"/>
                <w:lang w:val="es-ES" w:eastAsia="es-ES"/>
              </w:rPr>
              <w:t>Complicaciones</w:t>
            </w:r>
          </w:p>
        </w:tc>
        <w:tc>
          <w:tcPr>
            <w:tcW w:w="694" w:type="dxa"/>
            <w:shd w:val="clear" w:color="auto" w:fill="auto"/>
            <w:vAlign w:val="center"/>
          </w:tcPr>
          <w:p w14:paraId="2C3B1631" w14:textId="77777777" w:rsidR="00D02A8C" w:rsidRPr="00D02A8C" w:rsidRDefault="00D02A8C" w:rsidP="00D02A8C">
            <w:pPr>
              <w:spacing w:line="360" w:lineRule="auto"/>
              <w:jc w:val="center"/>
              <w:rPr>
                <w:b/>
                <w:bCs/>
                <w:sz w:val="18"/>
                <w:szCs w:val="18"/>
                <w:lang w:val="es-ES" w:eastAsia="es-ES"/>
              </w:rPr>
            </w:pPr>
            <w:r w:rsidRPr="00D02A8C">
              <w:rPr>
                <w:b/>
                <w:bCs/>
                <w:sz w:val="18"/>
                <w:szCs w:val="18"/>
                <w:lang w:val="es-ES" w:eastAsia="es-ES"/>
              </w:rPr>
              <w:t>n</w:t>
            </w:r>
          </w:p>
        </w:tc>
        <w:tc>
          <w:tcPr>
            <w:tcW w:w="716" w:type="dxa"/>
            <w:shd w:val="clear" w:color="auto" w:fill="auto"/>
            <w:vAlign w:val="center"/>
          </w:tcPr>
          <w:p w14:paraId="71CF1C61" w14:textId="77777777" w:rsidR="00D02A8C" w:rsidRPr="00D02A8C" w:rsidRDefault="00D02A8C" w:rsidP="00D02A8C">
            <w:pPr>
              <w:spacing w:line="360" w:lineRule="auto"/>
              <w:jc w:val="center"/>
              <w:rPr>
                <w:b/>
                <w:bCs/>
                <w:sz w:val="18"/>
                <w:szCs w:val="18"/>
                <w:lang w:val="es-ES" w:eastAsia="es-ES"/>
              </w:rPr>
            </w:pPr>
            <w:r w:rsidRPr="00D02A8C">
              <w:rPr>
                <w:b/>
                <w:bCs/>
                <w:sz w:val="18"/>
                <w:szCs w:val="18"/>
                <w:lang w:val="es-ES" w:eastAsia="es-ES"/>
              </w:rPr>
              <w:t>%</w:t>
            </w:r>
          </w:p>
        </w:tc>
      </w:tr>
      <w:tr w:rsidR="00D02A8C" w:rsidRPr="00D02A8C" w14:paraId="3B42A515" w14:textId="77777777" w:rsidTr="00D76684">
        <w:trPr>
          <w:jc w:val="center"/>
        </w:trPr>
        <w:tc>
          <w:tcPr>
            <w:tcW w:w="3693" w:type="dxa"/>
            <w:shd w:val="clear" w:color="auto" w:fill="auto"/>
            <w:vAlign w:val="center"/>
          </w:tcPr>
          <w:p w14:paraId="3258BAD1" w14:textId="77777777" w:rsidR="00D02A8C" w:rsidRPr="00D02A8C" w:rsidRDefault="00D02A8C" w:rsidP="00D02A8C">
            <w:pPr>
              <w:spacing w:line="360" w:lineRule="auto"/>
              <w:jc w:val="both"/>
              <w:rPr>
                <w:sz w:val="18"/>
                <w:szCs w:val="18"/>
                <w:lang w:val="es-ES" w:eastAsia="es-ES"/>
              </w:rPr>
            </w:pPr>
            <w:r w:rsidRPr="00D02A8C">
              <w:rPr>
                <w:sz w:val="18"/>
                <w:szCs w:val="18"/>
                <w:lang w:val="es-ES" w:eastAsia="es-ES"/>
              </w:rPr>
              <w:t>Insuficiencia renal aguda</w:t>
            </w:r>
          </w:p>
        </w:tc>
        <w:tc>
          <w:tcPr>
            <w:tcW w:w="694" w:type="dxa"/>
            <w:shd w:val="clear" w:color="auto" w:fill="auto"/>
            <w:vAlign w:val="center"/>
          </w:tcPr>
          <w:p w14:paraId="1103A591" w14:textId="77777777" w:rsidR="00D02A8C" w:rsidRPr="00D02A8C" w:rsidRDefault="00D02A8C" w:rsidP="00D02A8C">
            <w:pPr>
              <w:spacing w:line="360" w:lineRule="auto"/>
              <w:jc w:val="center"/>
              <w:rPr>
                <w:sz w:val="18"/>
                <w:szCs w:val="18"/>
                <w:lang w:val="es-ES" w:eastAsia="es-ES"/>
              </w:rPr>
            </w:pPr>
            <w:r w:rsidRPr="00D02A8C">
              <w:rPr>
                <w:sz w:val="18"/>
                <w:szCs w:val="18"/>
                <w:lang w:val="es-ES" w:eastAsia="es-ES"/>
              </w:rPr>
              <w:t>15</w:t>
            </w:r>
          </w:p>
        </w:tc>
        <w:tc>
          <w:tcPr>
            <w:tcW w:w="716" w:type="dxa"/>
            <w:shd w:val="clear" w:color="auto" w:fill="auto"/>
            <w:vAlign w:val="center"/>
          </w:tcPr>
          <w:p w14:paraId="53F363A5" w14:textId="77777777" w:rsidR="00D02A8C" w:rsidRPr="00D02A8C" w:rsidRDefault="00D02A8C" w:rsidP="00D02A8C">
            <w:pPr>
              <w:spacing w:line="360" w:lineRule="auto"/>
              <w:jc w:val="center"/>
              <w:rPr>
                <w:sz w:val="18"/>
                <w:szCs w:val="18"/>
                <w:lang w:val="es-ES" w:eastAsia="es-ES"/>
              </w:rPr>
            </w:pPr>
            <w:r w:rsidRPr="00D02A8C">
              <w:rPr>
                <w:sz w:val="18"/>
                <w:szCs w:val="18"/>
                <w:lang w:val="es-ES" w:eastAsia="es-ES"/>
              </w:rPr>
              <w:t>32,6</w:t>
            </w:r>
          </w:p>
        </w:tc>
      </w:tr>
      <w:tr w:rsidR="00D02A8C" w:rsidRPr="00D02A8C" w14:paraId="5B055E7F" w14:textId="77777777" w:rsidTr="00D76684">
        <w:trPr>
          <w:trHeight w:val="387"/>
          <w:jc w:val="center"/>
        </w:trPr>
        <w:tc>
          <w:tcPr>
            <w:tcW w:w="3693" w:type="dxa"/>
            <w:shd w:val="clear" w:color="auto" w:fill="auto"/>
            <w:vAlign w:val="center"/>
          </w:tcPr>
          <w:p w14:paraId="06C3DEF0" w14:textId="77777777" w:rsidR="00D02A8C" w:rsidRPr="00D02A8C" w:rsidRDefault="00D02A8C" w:rsidP="00D02A8C">
            <w:pPr>
              <w:spacing w:line="360" w:lineRule="auto"/>
              <w:jc w:val="both"/>
              <w:rPr>
                <w:sz w:val="18"/>
                <w:szCs w:val="18"/>
                <w:lang w:val="es-ES" w:eastAsia="es-ES"/>
              </w:rPr>
            </w:pPr>
            <w:r w:rsidRPr="00D02A8C">
              <w:rPr>
                <w:sz w:val="18"/>
                <w:szCs w:val="18"/>
                <w:lang w:val="es-ES" w:eastAsia="es-ES"/>
              </w:rPr>
              <w:t>Peritonitis bacteriana secundaria</w:t>
            </w:r>
          </w:p>
        </w:tc>
        <w:tc>
          <w:tcPr>
            <w:tcW w:w="694" w:type="dxa"/>
            <w:shd w:val="clear" w:color="auto" w:fill="auto"/>
            <w:vAlign w:val="center"/>
          </w:tcPr>
          <w:p w14:paraId="234C5B88" w14:textId="77777777" w:rsidR="00D02A8C" w:rsidRPr="00D02A8C" w:rsidRDefault="00D02A8C" w:rsidP="00D02A8C">
            <w:pPr>
              <w:spacing w:line="360" w:lineRule="auto"/>
              <w:jc w:val="center"/>
              <w:rPr>
                <w:sz w:val="18"/>
                <w:szCs w:val="18"/>
                <w:lang w:val="es-ES" w:eastAsia="es-ES"/>
              </w:rPr>
            </w:pPr>
            <w:r w:rsidRPr="00D02A8C">
              <w:rPr>
                <w:sz w:val="18"/>
                <w:szCs w:val="18"/>
                <w:lang w:val="es-ES" w:eastAsia="es-ES"/>
              </w:rPr>
              <w:t>10</w:t>
            </w:r>
          </w:p>
        </w:tc>
        <w:tc>
          <w:tcPr>
            <w:tcW w:w="716" w:type="dxa"/>
            <w:shd w:val="clear" w:color="auto" w:fill="auto"/>
            <w:vAlign w:val="center"/>
          </w:tcPr>
          <w:p w14:paraId="436028AD" w14:textId="77777777" w:rsidR="00D02A8C" w:rsidRPr="00D02A8C" w:rsidRDefault="00D02A8C" w:rsidP="00D02A8C">
            <w:pPr>
              <w:spacing w:line="360" w:lineRule="auto"/>
              <w:jc w:val="center"/>
              <w:rPr>
                <w:sz w:val="18"/>
                <w:szCs w:val="18"/>
                <w:lang w:val="es-ES" w:eastAsia="es-ES"/>
              </w:rPr>
            </w:pPr>
            <w:r w:rsidRPr="00D02A8C">
              <w:rPr>
                <w:sz w:val="18"/>
                <w:szCs w:val="18"/>
                <w:lang w:val="es-ES" w:eastAsia="es-ES"/>
              </w:rPr>
              <w:t>21,7</w:t>
            </w:r>
          </w:p>
        </w:tc>
      </w:tr>
      <w:tr w:rsidR="00D02A8C" w:rsidRPr="00D02A8C" w14:paraId="36E3DF3F" w14:textId="77777777" w:rsidTr="00D76684">
        <w:trPr>
          <w:jc w:val="center"/>
        </w:trPr>
        <w:tc>
          <w:tcPr>
            <w:tcW w:w="3693" w:type="dxa"/>
            <w:shd w:val="clear" w:color="auto" w:fill="auto"/>
            <w:vAlign w:val="center"/>
          </w:tcPr>
          <w:p w14:paraId="78070C52" w14:textId="77777777" w:rsidR="00D02A8C" w:rsidRPr="00D02A8C" w:rsidRDefault="00D02A8C" w:rsidP="00D02A8C">
            <w:pPr>
              <w:spacing w:line="360" w:lineRule="auto"/>
              <w:jc w:val="both"/>
              <w:rPr>
                <w:sz w:val="18"/>
                <w:szCs w:val="18"/>
                <w:lang w:val="es-ES" w:eastAsia="es-ES"/>
              </w:rPr>
            </w:pPr>
            <w:r w:rsidRPr="00D02A8C">
              <w:rPr>
                <w:sz w:val="18"/>
                <w:szCs w:val="18"/>
                <w:lang w:val="es-ES" w:eastAsia="es-ES"/>
              </w:rPr>
              <w:t>Insuficiencia Respiratoria</w:t>
            </w:r>
          </w:p>
        </w:tc>
        <w:tc>
          <w:tcPr>
            <w:tcW w:w="694" w:type="dxa"/>
            <w:shd w:val="clear" w:color="auto" w:fill="auto"/>
            <w:vAlign w:val="center"/>
          </w:tcPr>
          <w:p w14:paraId="41708BFE" w14:textId="77777777" w:rsidR="00D02A8C" w:rsidRPr="00D02A8C" w:rsidRDefault="00D02A8C" w:rsidP="00D02A8C">
            <w:pPr>
              <w:spacing w:line="360" w:lineRule="auto"/>
              <w:jc w:val="center"/>
              <w:rPr>
                <w:sz w:val="18"/>
                <w:szCs w:val="18"/>
                <w:lang w:val="es-ES" w:eastAsia="es-ES"/>
              </w:rPr>
            </w:pPr>
            <w:r w:rsidRPr="00D02A8C">
              <w:rPr>
                <w:sz w:val="18"/>
                <w:szCs w:val="18"/>
                <w:lang w:val="es-ES" w:eastAsia="es-ES"/>
              </w:rPr>
              <w:t>9</w:t>
            </w:r>
          </w:p>
        </w:tc>
        <w:tc>
          <w:tcPr>
            <w:tcW w:w="716" w:type="dxa"/>
            <w:shd w:val="clear" w:color="auto" w:fill="auto"/>
            <w:vAlign w:val="center"/>
          </w:tcPr>
          <w:p w14:paraId="15B75FD3" w14:textId="77777777" w:rsidR="00D02A8C" w:rsidRPr="00D02A8C" w:rsidRDefault="00D02A8C" w:rsidP="00D02A8C">
            <w:pPr>
              <w:spacing w:line="360" w:lineRule="auto"/>
              <w:jc w:val="center"/>
              <w:rPr>
                <w:sz w:val="18"/>
                <w:szCs w:val="18"/>
                <w:lang w:val="es-ES" w:eastAsia="es-ES"/>
              </w:rPr>
            </w:pPr>
            <w:r w:rsidRPr="00D02A8C">
              <w:rPr>
                <w:sz w:val="18"/>
                <w:szCs w:val="18"/>
                <w:lang w:val="es-ES" w:eastAsia="es-ES"/>
              </w:rPr>
              <w:t>19,5</w:t>
            </w:r>
          </w:p>
        </w:tc>
      </w:tr>
      <w:tr w:rsidR="00D02A8C" w:rsidRPr="00D02A8C" w14:paraId="66872887" w14:textId="77777777" w:rsidTr="00D76684">
        <w:trPr>
          <w:jc w:val="center"/>
        </w:trPr>
        <w:tc>
          <w:tcPr>
            <w:tcW w:w="3693" w:type="dxa"/>
            <w:shd w:val="clear" w:color="auto" w:fill="auto"/>
            <w:vAlign w:val="center"/>
          </w:tcPr>
          <w:p w14:paraId="5EF83333" w14:textId="77777777" w:rsidR="00D02A8C" w:rsidRPr="00D02A8C" w:rsidRDefault="00D02A8C" w:rsidP="00D02A8C">
            <w:pPr>
              <w:spacing w:line="360" w:lineRule="auto"/>
              <w:jc w:val="both"/>
              <w:rPr>
                <w:sz w:val="18"/>
                <w:szCs w:val="18"/>
                <w:lang w:val="es-ES" w:eastAsia="es-ES"/>
              </w:rPr>
            </w:pPr>
            <w:r w:rsidRPr="00D02A8C">
              <w:rPr>
                <w:sz w:val="18"/>
                <w:szCs w:val="18"/>
                <w:lang w:val="es-ES" w:eastAsia="es-ES"/>
              </w:rPr>
              <w:t>Shock séptico</w:t>
            </w:r>
          </w:p>
        </w:tc>
        <w:tc>
          <w:tcPr>
            <w:tcW w:w="694" w:type="dxa"/>
            <w:shd w:val="clear" w:color="auto" w:fill="auto"/>
            <w:vAlign w:val="center"/>
          </w:tcPr>
          <w:p w14:paraId="72D11805" w14:textId="77777777" w:rsidR="00D02A8C" w:rsidRPr="00D02A8C" w:rsidRDefault="00D02A8C" w:rsidP="00D02A8C">
            <w:pPr>
              <w:spacing w:line="360" w:lineRule="auto"/>
              <w:jc w:val="center"/>
              <w:rPr>
                <w:sz w:val="18"/>
                <w:szCs w:val="18"/>
                <w:lang w:val="es-ES" w:eastAsia="es-ES"/>
              </w:rPr>
            </w:pPr>
            <w:r w:rsidRPr="00D02A8C">
              <w:rPr>
                <w:sz w:val="18"/>
                <w:szCs w:val="18"/>
                <w:lang w:val="es-ES" w:eastAsia="es-ES"/>
              </w:rPr>
              <w:t>6</w:t>
            </w:r>
          </w:p>
        </w:tc>
        <w:tc>
          <w:tcPr>
            <w:tcW w:w="716" w:type="dxa"/>
            <w:shd w:val="clear" w:color="auto" w:fill="auto"/>
            <w:vAlign w:val="center"/>
          </w:tcPr>
          <w:p w14:paraId="5A93789E" w14:textId="77777777" w:rsidR="00D02A8C" w:rsidRPr="00D02A8C" w:rsidRDefault="00D02A8C" w:rsidP="00D02A8C">
            <w:pPr>
              <w:spacing w:line="360" w:lineRule="auto"/>
              <w:jc w:val="center"/>
              <w:rPr>
                <w:sz w:val="18"/>
                <w:szCs w:val="18"/>
                <w:lang w:val="es-ES" w:eastAsia="es-ES"/>
              </w:rPr>
            </w:pPr>
            <w:r w:rsidRPr="00D02A8C">
              <w:rPr>
                <w:sz w:val="18"/>
                <w:szCs w:val="18"/>
                <w:lang w:val="es-ES" w:eastAsia="es-ES"/>
              </w:rPr>
              <w:t>13</w:t>
            </w:r>
          </w:p>
        </w:tc>
      </w:tr>
      <w:tr w:rsidR="00D02A8C" w:rsidRPr="00D02A8C" w14:paraId="263EAC42" w14:textId="77777777" w:rsidTr="00D76684">
        <w:trPr>
          <w:trHeight w:val="203"/>
          <w:jc w:val="center"/>
        </w:trPr>
        <w:tc>
          <w:tcPr>
            <w:tcW w:w="3693" w:type="dxa"/>
            <w:shd w:val="clear" w:color="auto" w:fill="auto"/>
            <w:vAlign w:val="center"/>
          </w:tcPr>
          <w:p w14:paraId="6A2AA8CB" w14:textId="77777777" w:rsidR="00D02A8C" w:rsidRPr="00D02A8C" w:rsidRDefault="00D02A8C" w:rsidP="00D02A8C">
            <w:pPr>
              <w:spacing w:line="360" w:lineRule="auto"/>
              <w:jc w:val="both"/>
              <w:rPr>
                <w:sz w:val="18"/>
                <w:szCs w:val="18"/>
                <w:lang w:val="es-ES" w:eastAsia="es-ES"/>
              </w:rPr>
            </w:pPr>
            <w:r w:rsidRPr="00D02A8C">
              <w:rPr>
                <w:sz w:val="18"/>
                <w:szCs w:val="18"/>
                <w:lang w:val="es-ES" w:eastAsia="es-ES"/>
              </w:rPr>
              <w:t>Disfunción multiorgánica</w:t>
            </w:r>
          </w:p>
        </w:tc>
        <w:tc>
          <w:tcPr>
            <w:tcW w:w="694" w:type="dxa"/>
            <w:shd w:val="clear" w:color="auto" w:fill="auto"/>
            <w:vAlign w:val="center"/>
          </w:tcPr>
          <w:p w14:paraId="019A6737" w14:textId="77777777" w:rsidR="00D02A8C" w:rsidRPr="00D02A8C" w:rsidRDefault="00D02A8C" w:rsidP="00D02A8C">
            <w:pPr>
              <w:spacing w:line="360" w:lineRule="auto"/>
              <w:jc w:val="center"/>
              <w:rPr>
                <w:sz w:val="18"/>
                <w:szCs w:val="18"/>
                <w:lang w:val="es-ES" w:eastAsia="es-ES"/>
              </w:rPr>
            </w:pPr>
            <w:r w:rsidRPr="00D02A8C">
              <w:rPr>
                <w:sz w:val="18"/>
                <w:szCs w:val="18"/>
                <w:lang w:val="es-ES" w:eastAsia="es-ES"/>
              </w:rPr>
              <w:t>6</w:t>
            </w:r>
          </w:p>
        </w:tc>
        <w:tc>
          <w:tcPr>
            <w:tcW w:w="716" w:type="dxa"/>
            <w:shd w:val="clear" w:color="auto" w:fill="auto"/>
            <w:vAlign w:val="center"/>
          </w:tcPr>
          <w:p w14:paraId="1B7658F0" w14:textId="77777777" w:rsidR="00D02A8C" w:rsidRPr="00D02A8C" w:rsidRDefault="00D02A8C" w:rsidP="00D02A8C">
            <w:pPr>
              <w:spacing w:line="360" w:lineRule="auto"/>
              <w:jc w:val="center"/>
              <w:rPr>
                <w:sz w:val="18"/>
                <w:szCs w:val="18"/>
                <w:lang w:val="es-ES" w:eastAsia="es-ES"/>
              </w:rPr>
            </w:pPr>
            <w:r w:rsidRPr="00D02A8C">
              <w:rPr>
                <w:sz w:val="18"/>
                <w:szCs w:val="18"/>
                <w:lang w:val="es-ES" w:eastAsia="es-ES"/>
              </w:rPr>
              <w:t>13</w:t>
            </w:r>
          </w:p>
        </w:tc>
      </w:tr>
      <w:tr w:rsidR="00D02A8C" w:rsidRPr="00D02A8C" w14:paraId="31D8B7EE" w14:textId="77777777" w:rsidTr="00D76684">
        <w:trPr>
          <w:jc w:val="center"/>
        </w:trPr>
        <w:tc>
          <w:tcPr>
            <w:tcW w:w="3693" w:type="dxa"/>
            <w:shd w:val="clear" w:color="auto" w:fill="auto"/>
            <w:vAlign w:val="center"/>
          </w:tcPr>
          <w:p w14:paraId="4D632060" w14:textId="77777777" w:rsidR="00D02A8C" w:rsidRPr="00D02A8C" w:rsidRDefault="00D02A8C" w:rsidP="00D02A8C">
            <w:pPr>
              <w:spacing w:line="360" w:lineRule="auto"/>
              <w:jc w:val="both"/>
              <w:rPr>
                <w:sz w:val="18"/>
                <w:szCs w:val="18"/>
                <w:lang w:val="es-ES" w:eastAsia="es-ES"/>
              </w:rPr>
            </w:pPr>
            <w:r w:rsidRPr="00D02A8C">
              <w:rPr>
                <w:sz w:val="18"/>
                <w:szCs w:val="18"/>
                <w:lang w:val="es-ES" w:eastAsia="es-ES"/>
              </w:rPr>
              <w:t>Colecciones peripancreáticas</w:t>
            </w:r>
          </w:p>
        </w:tc>
        <w:tc>
          <w:tcPr>
            <w:tcW w:w="694" w:type="dxa"/>
            <w:shd w:val="clear" w:color="auto" w:fill="auto"/>
            <w:vAlign w:val="center"/>
          </w:tcPr>
          <w:p w14:paraId="6EDDF480" w14:textId="77777777" w:rsidR="00D02A8C" w:rsidRPr="00D02A8C" w:rsidRDefault="00D02A8C" w:rsidP="00D02A8C">
            <w:pPr>
              <w:spacing w:line="360" w:lineRule="auto"/>
              <w:jc w:val="center"/>
              <w:rPr>
                <w:sz w:val="18"/>
                <w:szCs w:val="18"/>
                <w:lang w:val="es-ES" w:eastAsia="es-ES"/>
              </w:rPr>
            </w:pPr>
            <w:r w:rsidRPr="00D02A8C">
              <w:rPr>
                <w:sz w:val="18"/>
                <w:szCs w:val="18"/>
                <w:lang w:val="es-ES" w:eastAsia="es-ES"/>
              </w:rPr>
              <w:t>4</w:t>
            </w:r>
          </w:p>
        </w:tc>
        <w:tc>
          <w:tcPr>
            <w:tcW w:w="716" w:type="dxa"/>
            <w:shd w:val="clear" w:color="auto" w:fill="auto"/>
            <w:vAlign w:val="center"/>
          </w:tcPr>
          <w:p w14:paraId="53F9D121" w14:textId="77777777" w:rsidR="00D02A8C" w:rsidRPr="00D02A8C" w:rsidRDefault="00D02A8C" w:rsidP="00D02A8C">
            <w:pPr>
              <w:spacing w:line="360" w:lineRule="auto"/>
              <w:jc w:val="center"/>
              <w:rPr>
                <w:sz w:val="18"/>
                <w:szCs w:val="18"/>
                <w:lang w:val="es-ES" w:eastAsia="es-ES"/>
              </w:rPr>
            </w:pPr>
            <w:r w:rsidRPr="00D02A8C">
              <w:rPr>
                <w:sz w:val="18"/>
                <w:szCs w:val="18"/>
                <w:lang w:val="es-ES" w:eastAsia="es-ES"/>
              </w:rPr>
              <w:t>8,7</w:t>
            </w:r>
          </w:p>
        </w:tc>
      </w:tr>
    </w:tbl>
    <w:p w14:paraId="6214F03D" w14:textId="77777777" w:rsidR="00D02A8C" w:rsidRPr="00D02A8C" w:rsidRDefault="00D02A8C" w:rsidP="00D02A8C">
      <w:pPr>
        <w:spacing w:line="360" w:lineRule="auto"/>
        <w:jc w:val="both"/>
        <w:rPr>
          <w:lang w:val="es-ES" w:eastAsia="es-ES"/>
        </w:rPr>
      </w:pPr>
      <w:r w:rsidRPr="00D02A8C">
        <w:rPr>
          <w:lang w:val="es-ES" w:eastAsia="es-ES"/>
        </w:rPr>
        <w:t xml:space="preserve"> </w:t>
      </w:r>
    </w:p>
    <w:p w14:paraId="585138A3" w14:textId="77777777" w:rsidR="00D02A8C" w:rsidRPr="00D02A8C" w:rsidRDefault="00D02A8C" w:rsidP="00D02A8C">
      <w:pPr>
        <w:spacing w:line="360" w:lineRule="auto"/>
        <w:jc w:val="both"/>
        <w:rPr>
          <w:lang w:val="es-ES" w:eastAsia="es-ES"/>
        </w:rPr>
      </w:pPr>
    </w:p>
    <w:p w14:paraId="3EF6B54F" w14:textId="77777777" w:rsidR="00D02A8C" w:rsidRPr="00D02A8C" w:rsidRDefault="00D02A8C" w:rsidP="00D02A8C">
      <w:pPr>
        <w:spacing w:line="360" w:lineRule="auto"/>
        <w:jc w:val="center"/>
        <w:rPr>
          <w:b/>
          <w:bCs/>
          <w:sz w:val="32"/>
          <w:szCs w:val="32"/>
          <w:lang w:val="es-ES" w:eastAsia="es-ES"/>
        </w:rPr>
      </w:pPr>
      <w:r w:rsidRPr="00D02A8C">
        <w:rPr>
          <w:b/>
          <w:bCs/>
          <w:sz w:val="32"/>
          <w:szCs w:val="32"/>
          <w:lang w:val="es-ES" w:eastAsia="es-ES"/>
        </w:rPr>
        <w:t>DISCUSIÓN</w:t>
      </w:r>
    </w:p>
    <w:p w14:paraId="1996675A" w14:textId="77777777" w:rsidR="00D02A8C" w:rsidRPr="00D02A8C" w:rsidRDefault="00D02A8C" w:rsidP="00D02A8C">
      <w:pPr>
        <w:spacing w:line="360" w:lineRule="auto"/>
        <w:jc w:val="both"/>
        <w:rPr>
          <w:lang w:val="es-ES" w:eastAsia="es-ES"/>
        </w:rPr>
      </w:pPr>
      <w:r w:rsidRPr="00D02A8C">
        <w:rPr>
          <w:lang w:val="es-ES" w:eastAsia="es-ES"/>
        </w:rPr>
        <w:t xml:space="preserve">El rango de edad que cada vez se señala con mayor frecuencia en la PA es entre los adultos jóvenes de la cuarta década de la vida. En los últimos años existe una mayor incidencia en las mujeres, por causa litiásica biliar y en particular la litiasis </w:t>
      </w:r>
      <w:proofErr w:type="spellStart"/>
      <w:r w:rsidRPr="00D02A8C">
        <w:rPr>
          <w:lang w:val="es-ES" w:eastAsia="es-ES"/>
        </w:rPr>
        <w:t>coledociana</w:t>
      </w:r>
      <w:proofErr w:type="spellEnd"/>
      <w:r w:rsidRPr="00D02A8C">
        <w:rPr>
          <w:lang w:val="es-ES" w:eastAsia="es-ES"/>
        </w:rPr>
        <w:t xml:space="preserve">, por aumento de la presión dentro del sistema de conductos. En el sexo masculino, la ingestión de bebidas alcohólicas, al parecer por efecto directo del tóxico sobre las células acinares del páncreas, es factor desencadenante, según se </w:t>
      </w:r>
      <w:proofErr w:type="gramStart"/>
      <w:r w:rsidRPr="00D02A8C">
        <w:rPr>
          <w:lang w:val="es-ES" w:eastAsia="es-ES"/>
        </w:rPr>
        <w:t>plantea,</w:t>
      </w:r>
      <w:r w:rsidRPr="00D02A8C">
        <w:rPr>
          <w:vertAlign w:val="superscript"/>
          <w:lang w:val="es-ES" w:eastAsia="es-ES"/>
        </w:rPr>
        <w:t>(</w:t>
      </w:r>
      <w:proofErr w:type="gramEnd"/>
      <w:r w:rsidRPr="00D02A8C">
        <w:rPr>
          <w:vertAlign w:val="superscript"/>
          <w:lang w:val="es-ES" w:eastAsia="es-ES"/>
        </w:rPr>
        <w:t>10,11,12)</w:t>
      </w:r>
      <w:r w:rsidRPr="00D02A8C">
        <w:rPr>
          <w:lang w:val="es-ES" w:eastAsia="es-ES"/>
        </w:rPr>
        <w:t xml:space="preserve"> lo cual coincide con este trabajo.</w:t>
      </w:r>
    </w:p>
    <w:p w14:paraId="3A079E65" w14:textId="77777777" w:rsidR="00D02A8C" w:rsidRPr="00D02A8C" w:rsidRDefault="00D02A8C" w:rsidP="00D02A8C">
      <w:pPr>
        <w:spacing w:line="360" w:lineRule="auto"/>
        <w:jc w:val="both"/>
        <w:rPr>
          <w:lang w:val="es-ES" w:eastAsia="es-ES"/>
        </w:rPr>
      </w:pPr>
      <w:r w:rsidRPr="00D02A8C">
        <w:rPr>
          <w:lang w:val="es-ES" w:eastAsia="es-ES"/>
        </w:rPr>
        <w:lastRenderedPageBreak/>
        <w:t>Afortunadamente en la mayoría de los casos (85 %), el curso clínico es benigno (forma leve o moderada), otras veces presentan ataques graves que pueden conducir a graves complicaciones locales (abscesos) y generales (</w:t>
      </w:r>
      <w:r w:rsidRPr="00D02A8C">
        <w:rPr>
          <w:i/>
          <w:iCs/>
          <w:lang w:val="es-ES" w:eastAsia="es-ES"/>
        </w:rPr>
        <w:t>shock</w:t>
      </w:r>
      <w:r w:rsidRPr="00D02A8C">
        <w:rPr>
          <w:lang w:val="es-ES" w:eastAsia="es-ES"/>
        </w:rPr>
        <w:t xml:space="preserve">, alteración de la función renal y pulmonar, disfunción multiorgánica), con resultados muchas veces </w:t>
      </w:r>
      <w:proofErr w:type="gramStart"/>
      <w:r w:rsidRPr="00D02A8C">
        <w:rPr>
          <w:lang w:val="es-ES" w:eastAsia="es-ES"/>
        </w:rPr>
        <w:t>fatales.</w:t>
      </w:r>
      <w:r w:rsidRPr="00D02A8C">
        <w:rPr>
          <w:vertAlign w:val="superscript"/>
          <w:lang w:val="es-ES" w:eastAsia="es-ES"/>
        </w:rPr>
        <w:t>(</w:t>
      </w:r>
      <w:proofErr w:type="gramEnd"/>
      <w:r w:rsidRPr="00D02A8C">
        <w:rPr>
          <w:vertAlign w:val="superscript"/>
          <w:lang w:val="es-ES" w:eastAsia="es-ES"/>
        </w:rPr>
        <w:t>13,14)</w:t>
      </w:r>
    </w:p>
    <w:p w14:paraId="51545318" w14:textId="77777777" w:rsidR="00D02A8C" w:rsidRPr="00D02A8C" w:rsidRDefault="00D02A8C" w:rsidP="00D02A8C">
      <w:pPr>
        <w:spacing w:line="360" w:lineRule="auto"/>
        <w:jc w:val="both"/>
        <w:rPr>
          <w:lang w:val="es-ES" w:eastAsia="es-ES"/>
        </w:rPr>
      </w:pPr>
      <w:r w:rsidRPr="00D02A8C">
        <w:rPr>
          <w:lang w:val="es-ES" w:eastAsia="es-ES"/>
        </w:rPr>
        <w:t xml:space="preserve">La identificación de pacientes con elevado riesgo para desarrollar una pancreatitis aguda grave es crucial, ya que de esto se derivará una estrecha vigilancia y una posible intervención. No hay un método de predicción de gravedad que sea perfecto; ninguno de ellos es capaz de detectar la totalidad de pacientes que van a desarrollar una complicación y hasta la </w:t>
      </w:r>
      <w:proofErr w:type="gramStart"/>
      <w:r w:rsidRPr="00D02A8C">
        <w:rPr>
          <w:lang w:val="es-ES" w:eastAsia="es-ES"/>
        </w:rPr>
        <w:t>muerte.</w:t>
      </w:r>
      <w:r w:rsidRPr="00D02A8C">
        <w:rPr>
          <w:vertAlign w:val="superscript"/>
          <w:lang w:val="es-ES" w:eastAsia="es-ES"/>
        </w:rPr>
        <w:t>(</w:t>
      </w:r>
      <w:proofErr w:type="gramEnd"/>
      <w:r w:rsidRPr="00D02A8C">
        <w:rPr>
          <w:vertAlign w:val="superscript"/>
          <w:lang w:val="es-ES" w:eastAsia="es-ES"/>
        </w:rPr>
        <w:t>11,13)</w:t>
      </w:r>
    </w:p>
    <w:p w14:paraId="2B04A7B9" w14:textId="77777777" w:rsidR="00D02A8C" w:rsidRPr="00D02A8C" w:rsidRDefault="00D02A8C" w:rsidP="00D02A8C">
      <w:pPr>
        <w:spacing w:line="360" w:lineRule="auto"/>
        <w:jc w:val="both"/>
        <w:rPr>
          <w:lang w:val="es-ES" w:eastAsia="es-ES"/>
        </w:rPr>
      </w:pPr>
      <w:r w:rsidRPr="00D02A8C">
        <w:rPr>
          <w:lang w:val="es-ES" w:eastAsia="es-ES"/>
        </w:rPr>
        <w:t>Cuando se usan solamente los parámetros clínicos como predictores de gravedad en el momento de su ingreso, solamente es posible diagnosticar un tercio de estos casos severos.</w:t>
      </w:r>
      <w:r w:rsidRPr="00D02A8C">
        <w:rPr>
          <w:vertAlign w:val="superscript"/>
          <w:lang w:val="es-ES" w:eastAsia="es-ES"/>
        </w:rPr>
        <w:t>(14,15)</w:t>
      </w:r>
      <w:r w:rsidRPr="00D02A8C">
        <w:rPr>
          <w:lang w:val="es-ES" w:eastAsia="es-ES"/>
        </w:rPr>
        <w:t xml:space="preserve"> Por esta razón el autor considera la importancia de tal evaluación y lo aplica en su centro hospitalario que ante la incertidumbre de la gravedad real de los pacientes, sería más prudente su ingreso inicial en las UCI, para un adecuado seguimiento y monitorización que permita detectar a tiempo los más mínimos cambios que denoten gravedad, coincidiendo con lo referido por varios autores que es este el lugar donde el tratamiento intensivo  y una vigilancia estrecha harán que una gran parte de ellos se recuperen rápidamente.</w:t>
      </w:r>
      <w:r w:rsidRPr="00D02A8C">
        <w:rPr>
          <w:vertAlign w:val="superscript"/>
          <w:lang w:val="es-ES" w:eastAsia="es-ES"/>
        </w:rPr>
        <w:t>(11)</w:t>
      </w:r>
    </w:p>
    <w:p w14:paraId="6CA31C2D" w14:textId="77777777" w:rsidR="00D02A8C" w:rsidRPr="00D02A8C" w:rsidRDefault="00D02A8C" w:rsidP="00D02A8C">
      <w:pPr>
        <w:spacing w:line="360" w:lineRule="auto"/>
        <w:jc w:val="both"/>
        <w:rPr>
          <w:lang w:val="es-ES" w:eastAsia="es-ES"/>
        </w:rPr>
      </w:pPr>
      <w:r w:rsidRPr="00D02A8C">
        <w:rPr>
          <w:lang w:val="es-ES" w:eastAsia="es-ES"/>
        </w:rPr>
        <w:t xml:space="preserve">Existen diversos sistemas para determinar la presencia o no de gravedad en la pancreatitis aguda, y no están todos universalmente aceptados. Sin embargo, este autor considera que aunque son herramientas útiles que permiten hacer una aproximación diagnostica, ninguno de estos indicadores propuestos debe sustituir al buen juicio clínico para establecer las decisiones terapéuticas adecuadas en cada </w:t>
      </w:r>
      <w:proofErr w:type="gramStart"/>
      <w:r w:rsidRPr="00D02A8C">
        <w:rPr>
          <w:lang w:val="es-ES" w:eastAsia="es-ES"/>
        </w:rPr>
        <w:t>paciente.</w:t>
      </w:r>
      <w:r w:rsidRPr="00D02A8C">
        <w:rPr>
          <w:vertAlign w:val="superscript"/>
          <w:lang w:val="es-ES" w:eastAsia="es-ES"/>
        </w:rPr>
        <w:t>(</w:t>
      </w:r>
      <w:proofErr w:type="gramEnd"/>
      <w:r w:rsidRPr="00D02A8C">
        <w:rPr>
          <w:vertAlign w:val="superscript"/>
          <w:lang w:val="es-ES" w:eastAsia="es-ES"/>
        </w:rPr>
        <w:t>15)</w:t>
      </w:r>
    </w:p>
    <w:p w14:paraId="487CDE7D" w14:textId="77777777" w:rsidR="00D02A8C" w:rsidRPr="00D02A8C" w:rsidRDefault="00D02A8C" w:rsidP="00D02A8C">
      <w:pPr>
        <w:spacing w:line="360" w:lineRule="auto"/>
        <w:jc w:val="both"/>
        <w:rPr>
          <w:lang w:val="es-ES" w:eastAsia="es-ES"/>
        </w:rPr>
      </w:pPr>
      <w:r w:rsidRPr="00D02A8C">
        <w:rPr>
          <w:lang w:val="es-ES" w:eastAsia="es-ES"/>
        </w:rPr>
        <w:t xml:space="preserve">La gravedad de la enfermedad se identificó por las puntuaciones obtenidas de los diferentes índices clínicos (Ranson-APACHE II). Se determinó que más de la mitad de los pacientes (52,1 %) se comportaron como formas graves de la pancreatitis aguda coincidiendo de igual forma con ambos índices. Se conoce ampliamente que la gravedad de la pancreatitis aguda guarda una relación directamente proporcional a su letalidad y en este estudio existió una relación directa del aumento de la puntuación en los casos que se encontraron graves y su evolución fatal, no teniendo fallecidos en las formas leves, todo lo cual coincide con lo que se reporta en múltiples estudios </w:t>
      </w:r>
      <w:proofErr w:type="gramStart"/>
      <w:r w:rsidRPr="00D02A8C">
        <w:rPr>
          <w:lang w:val="es-ES" w:eastAsia="es-ES"/>
        </w:rPr>
        <w:t>internacionales.</w:t>
      </w:r>
      <w:r w:rsidRPr="00D02A8C">
        <w:rPr>
          <w:vertAlign w:val="superscript"/>
          <w:lang w:val="es-ES" w:eastAsia="es-ES"/>
        </w:rPr>
        <w:t>(</w:t>
      </w:r>
      <w:proofErr w:type="gramEnd"/>
      <w:r w:rsidRPr="00D02A8C">
        <w:rPr>
          <w:vertAlign w:val="superscript"/>
          <w:lang w:val="es-ES" w:eastAsia="es-ES"/>
        </w:rPr>
        <w:t>16,17,18,19)</w:t>
      </w:r>
    </w:p>
    <w:p w14:paraId="797029DD" w14:textId="77777777" w:rsidR="00D02A8C" w:rsidRPr="00D02A8C" w:rsidRDefault="00D02A8C" w:rsidP="00D02A8C">
      <w:pPr>
        <w:spacing w:line="360" w:lineRule="auto"/>
        <w:jc w:val="both"/>
        <w:rPr>
          <w:lang w:val="es-ES" w:eastAsia="es-ES"/>
        </w:rPr>
      </w:pPr>
      <w:r w:rsidRPr="00D02A8C">
        <w:rPr>
          <w:lang w:val="es-ES" w:eastAsia="es-ES"/>
        </w:rPr>
        <w:t xml:space="preserve">La ecografía es una técnica de diagnóstico muy recomendable para la evaluación inicial de la pancreatitis aguda, a causa de su bajo costo y la facilidad de realización y repetición a la cabecera del  paciente, sin </w:t>
      </w:r>
      <w:r w:rsidRPr="00D02A8C">
        <w:rPr>
          <w:lang w:val="es-ES" w:eastAsia="es-ES"/>
        </w:rPr>
        <w:lastRenderedPageBreak/>
        <w:t xml:space="preserve">embargo, la ecografía en la pancreatitis aguda requiere de un equipo de alta resolución y de un operador competente es por ello que las ventajas de la TAC con contraste para estadificar la pancreatitis aguda se basan en su capacidad de evaluar en forma directa la morfología de la glándula y el compromiso del tejido retroperitoneal </w:t>
      </w:r>
      <w:proofErr w:type="spellStart"/>
      <w:r w:rsidRPr="00D02A8C">
        <w:rPr>
          <w:lang w:val="es-ES" w:eastAsia="es-ES"/>
        </w:rPr>
        <w:t>peripancreático</w:t>
      </w:r>
      <w:proofErr w:type="spellEnd"/>
      <w:r w:rsidRPr="00D02A8C">
        <w:rPr>
          <w:lang w:val="es-ES" w:eastAsia="es-ES"/>
        </w:rPr>
        <w:t>.</w:t>
      </w:r>
      <w:r w:rsidRPr="00D02A8C">
        <w:rPr>
          <w:vertAlign w:val="superscript"/>
          <w:lang w:val="es-ES" w:eastAsia="es-ES"/>
        </w:rPr>
        <w:t>(20)</w:t>
      </w:r>
      <w:r w:rsidRPr="00D02A8C">
        <w:rPr>
          <w:lang w:val="es-ES" w:eastAsia="es-ES"/>
        </w:rPr>
        <w:t xml:space="preserve"> Balthazar y otros</w:t>
      </w:r>
      <w:r w:rsidRPr="00D02A8C">
        <w:rPr>
          <w:vertAlign w:val="superscript"/>
          <w:lang w:val="es-ES" w:eastAsia="es-ES"/>
        </w:rPr>
        <w:t>(19,20)</w:t>
      </w:r>
      <w:r w:rsidRPr="00D02A8C">
        <w:rPr>
          <w:lang w:val="es-ES" w:eastAsia="es-ES"/>
        </w:rPr>
        <w:t xml:space="preserve"> han sugerido una serie de guías para el empleo eficaz de la TAC en pacientes con sospecha de pancreatitis aguda donde puede ser utilizada como un indicador pronóstico de la severidad de un ataque de pancreatitis aguda. Esto se consigue estimando la presencia y el grado de la inflamación </w:t>
      </w:r>
      <w:proofErr w:type="spellStart"/>
      <w:r w:rsidRPr="00D02A8C">
        <w:rPr>
          <w:lang w:val="es-ES" w:eastAsia="es-ES"/>
        </w:rPr>
        <w:t>peripancreática</w:t>
      </w:r>
      <w:proofErr w:type="spellEnd"/>
      <w:r w:rsidRPr="00D02A8C">
        <w:rPr>
          <w:lang w:val="es-ES" w:eastAsia="es-ES"/>
        </w:rPr>
        <w:t xml:space="preserve"> y o de las colecciones fluidas; y por la detección de la presencia y extensión de la necrosis </w:t>
      </w:r>
      <w:proofErr w:type="gramStart"/>
      <w:r w:rsidRPr="00D02A8C">
        <w:rPr>
          <w:lang w:val="es-ES" w:eastAsia="es-ES"/>
        </w:rPr>
        <w:t>pancreática.</w:t>
      </w:r>
      <w:r w:rsidRPr="00D02A8C">
        <w:rPr>
          <w:vertAlign w:val="superscript"/>
          <w:lang w:val="es-ES" w:eastAsia="es-ES"/>
        </w:rPr>
        <w:t>(</w:t>
      </w:r>
      <w:proofErr w:type="gramEnd"/>
      <w:r w:rsidRPr="00D02A8C">
        <w:rPr>
          <w:vertAlign w:val="superscript"/>
          <w:lang w:val="es-ES" w:eastAsia="es-ES"/>
        </w:rPr>
        <w:t>20,21)</w:t>
      </w:r>
    </w:p>
    <w:p w14:paraId="5F02F5ED" w14:textId="77777777" w:rsidR="00D02A8C" w:rsidRPr="00D02A8C" w:rsidRDefault="00D02A8C" w:rsidP="00D02A8C">
      <w:pPr>
        <w:spacing w:line="360" w:lineRule="auto"/>
        <w:jc w:val="both"/>
        <w:rPr>
          <w:lang w:val="es-ES" w:eastAsia="es-ES"/>
        </w:rPr>
      </w:pPr>
      <w:r w:rsidRPr="00D02A8C">
        <w:rPr>
          <w:lang w:val="es-ES" w:eastAsia="es-ES"/>
        </w:rPr>
        <w:t xml:space="preserve">Durante la última década se ha establecido que la mayoría de las complicaciones que ponen en riesgo la vida se desarrollan casi exclusivamente en pacientes con necrosis pancreática. Es útil recordar que las complicaciones graves, potencialmente letales, pueden coexistir y pueden ocurrir en cualquier momento de la historia natural de la pancreatitis aguda. Las complicaciones que ocurren durante y después de un episodio de pancreatitis aguda son responsables del 2 al 10 % de mortalidad asociada con esta enfermedad. La detección precoz de estas complicaciones por el cuadro clínico, los exámenes de laboratorio o los estudios de imágenes es esencial para el adecuado manejo de </w:t>
      </w:r>
      <w:proofErr w:type="gramStart"/>
      <w:r w:rsidRPr="00D02A8C">
        <w:rPr>
          <w:lang w:val="es-ES" w:eastAsia="es-ES"/>
        </w:rPr>
        <w:t>ellas.</w:t>
      </w:r>
      <w:r w:rsidRPr="00D02A8C">
        <w:rPr>
          <w:vertAlign w:val="superscript"/>
          <w:lang w:val="es-ES" w:eastAsia="es-ES"/>
        </w:rPr>
        <w:t>(</w:t>
      </w:r>
      <w:proofErr w:type="gramEnd"/>
      <w:r w:rsidRPr="00D02A8C">
        <w:rPr>
          <w:vertAlign w:val="superscript"/>
          <w:lang w:val="es-ES" w:eastAsia="es-ES"/>
        </w:rPr>
        <w:t>22,23)</w:t>
      </w:r>
    </w:p>
    <w:p w14:paraId="0FA15BA5" w14:textId="77777777" w:rsidR="00D02A8C" w:rsidRPr="00D02A8C" w:rsidRDefault="00D02A8C" w:rsidP="00D02A8C">
      <w:pPr>
        <w:spacing w:line="360" w:lineRule="auto"/>
        <w:jc w:val="both"/>
        <w:rPr>
          <w:lang w:val="es-ES" w:eastAsia="es-ES"/>
        </w:rPr>
      </w:pPr>
      <w:r w:rsidRPr="00D02A8C">
        <w:rPr>
          <w:lang w:val="es-ES" w:eastAsia="es-ES"/>
        </w:rPr>
        <w:t xml:space="preserve">Se concluye que, en el estudio, existe predominio del sexo masculino y con edades inferior a los de 61 años. La etiología biliar y alcohólicas son las de mayor frecuencia. Se determina la gravedad de la enfermedad y se determina que las formas graves de la pancreatitis aguda son las más frecuentes, con una considerable incidencia de complicaciones y muerte. Se utiliza como medio diagnóstico y evolutivo de la enfermedad la TAC. La insuficiencia renal aguda y la insuficiencia respiratoria aguda fueron las complicaciones más representativas en el estudio. </w:t>
      </w:r>
    </w:p>
    <w:p w14:paraId="3C45748D" w14:textId="77777777" w:rsidR="00D02A8C" w:rsidRPr="00D02A8C" w:rsidRDefault="00D02A8C" w:rsidP="00D02A8C">
      <w:pPr>
        <w:spacing w:line="360" w:lineRule="auto"/>
        <w:jc w:val="both"/>
        <w:rPr>
          <w:lang w:val="es-ES" w:eastAsia="es-ES"/>
        </w:rPr>
      </w:pPr>
    </w:p>
    <w:p w14:paraId="4F95141F" w14:textId="77777777" w:rsidR="00D02A8C" w:rsidRPr="00D02A8C" w:rsidRDefault="00D02A8C" w:rsidP="00D02A8C">
      <w:pPr>
        <w:spacing w:line="360" w:lineRule="auto"/>
        <w:jc w:val="both"/>
        <w:rPr>
          <w:lang w:val="es-ES" w:eastAsia="es-ES"/>
        </w:rPr>
      </w:pPr>
    </w:p>
    <w:p w14:paraId="2531CD5E" w14:textId="77777777" w:rsidR="00D02A8C" w:rsidRPr="00D02A8C" w:rsidRDefault="00D02A8C" w:rsidP="00D02A8C">
      <w:pPr>
        <w:spacing w:line="360" w:lineRule="auto"/>
        <w:jc w:val="center"/>
        <w:rPr>
          <w:b/>
          <w:bCs/>
          <w:sz w:val="32"/>
          <w:szCs w:val="32"/>
          <w:lang w:val="es-ES" w:eastAsia="es-ES"/>
        </w:rPr>
      </w:pPr>
      <w:r w:rsidRPr="00D02A8C">
        <w:rPr>
          <w:b/>
          <w:bCs/>
          <w:sz w:val="32"/>
          <w:szCs w:val="32"/>
          <w:lang w:val="es-ES" w:eastAsia="es-ES"/>
        </w:rPr>
        <w:t>REFERENCIAS BIBLIOGRÁFICAS</w:t>
      </w:r>
    </w:p>
    <w:p w14:paraId="02A05C67" w14:textId="77777777" w:rsidR="00D02A8C" w:rsidRPr="00D02A8C" w:rsidRDefault="00D02A8C" w:rsidP="00D02A8C">
      <w:pPr>
        <w:spacing w:line="360" w:lineRule="auto"/>
        <w:rPr>
          <w:lang w:val="es-ES" w:eastAsia="es-ES"/>
        </w:rPr>
      </w:pPr>
      <w:r w:rsidRPr="00D02A8C">
        <w:rPr>
          <w:lang w:val="es-ES" w:eastAsia="es-ES"/>
        </w:rPr>
        <w:t xml:space="preserve">1. Nieto JA, Rodríguez SJ. Manejo de la pancreatitis aguda: guía de práctica clínica   basada en la mejor información disponible. Revista Colombiana de Cirugía. 2019 [acceso: 01/01/2022]; 25(2):76-96. Disponible en: </w:t>
      </w:r>
      <w:hyperlink r:id="rId15" w:history="1">
        <w:r w:rsidRPr="00D02A8C">
          <w:rPr>
            <w:color w:val="0000FF"/>
            <w:u w:val="single"/>
            <w:lang w:val="es-ES" w:eastAsia="es-ES"/>
          </w:rPr>
          <w:t>https://www.revistacirugia.org/index.php/cirugia/article/view/457</w:t>
        </w:r>
      </w:hyperlink>
      <w:r w:rsidRPr="00D02A8C">
        <w:rPr>
          <w:lang w:val="es-ES" w:eastAsia="es-ES"/>
        </w:rPr>
        <w:t xml:space="preserve">  </w:t>
      </w:r>
    </w:p>
    <w:p w14:paraId="5D05994F" w14:textId="77777777" w:rsidR="00D02A8C" w:rsidRPr="00D02A8C" w:rsidRDefault="00D02A8C" w:rsidP="00D02A8C">
      <w:pPr>
        <w:spacing w:line="360" w:lineRule="auto"/>
        <w:rPr>
          <w:lang w:val="es-ES" w:eastAsia="es-ES"/>
        </w:rPr>
      </w:pPr>
      <w:r w:rsidRPr="00D02A8C">
        <w:rPr>
          <w:lang w:val="es-ES" w:eastAsia="es-ES"/>
        </w:rPr>
        <w:lastRenderedPageBreak/>
        <w:t xml:space="preserve">2. Díaz C, Garzón S, Morales CH, Montoya M. Pancreatitis aguda grave: curso clínico, manejo y factores asociados con mortalidad. </w:t>
      </w:r>
      <w:proofErr w:type="spellStart"/>
      <w:r w:rsidRPr="00D02A8C">
        <w:rPr>
          <w:lang w:val="es-ES" w:eastAsia="es-ES"/>
        </w:rPr>
        <w:t>Rev</w:t>
      </w:r>
      <w:proofErr w:type="spellEnd"/>
      <w:r w:rsidRPr="00D02A8C">
        <w:rPr>
          <w:lang w:val="es-ES" w:eastAsia="es-ES"/>
        </w:rPr>
        <w:t xml:space="preserve"> </w:t>
      </w:r>
      <w:proofErr w:type="spellStart"/>
      <w:r w:rsidRPr="00D02A8C">
        <w:rPr>
          <w:lang w:val="es-ES" w:eastAsia="es-ES"/>
        </w:rPr>
        <w:t>Colomb</w:t>
      </w:r>
      <w:proofErr w:type="spellEnd"/>
      <w:r w:rsidRPr="00D02A8C">
        <w:rPr>
          <w:lang w:val="es-ES" w:eastAsia="es-ES"/>
        </w:rPr>
        <w:t xml:space="preserve"> Cir. 2012 [acceso: 01/01/2022]; 27(4): 281-9. Disponible en: </w:t>
      </w:r>
      <w:hyperlink r:id="rId16" w:history="1">
        <w:r w:rsidRPr="00D02A8C">
          <w:rPr>
            <w:color w:val="0000FF"/>
            <w:u w:val="single"/>
            <w:lang w:val="es-ES" w:eastAsia="es-ES"/>
          </w:rPr>
          <w:t>https://www.revistacirugia.org/index.php/cirugia/article/view/241</w:t>
        </w:r>
      </w:hyperlink>
      <w:r w:rsidRPr="00D02A8C">
        <w:rPr>
          <w:lang w:val="es-ES" w:eastAsia="es-ES"/>
        </w:rPr>
        <w:t xml:space="preserve">  </w:t>
      </w:r>
    </w:p>
    <w:p w14:paraId="3AD746E4" w14:textId="77777777" w:rsidR="00D02A8C" w:rsidRPr="00D02A8C" w:rsidRDefault="00D02A8C" w:rsidP="00D02A8C">
      <w:pPr>
        <w:spacing w:line="360" w:lineRule="auto"/>
        <w:rPr>
          <w:lang w:val="es-ES" w:eastAsia="es-ES"/>
        </w:rPr>
      </w:pPr>
      <w:r w:rsidRPr="00D02A8C">
        <w:rPr>
          <w:lang w:val="es-ES" w:eastAsia="es-ES"/>
        </w:rPr>
        <w:t xml:space="preserve">3. Torres López AM, Hoyos Duque SI. </w:t>
      </w:r>
      <w:r w:rsidRPr="00D02A8C">
        <w:rPr>
          <w:lang w:val="en-US" w:eastAsia="es-ES"/>
        </w:rPr>
        <w:t xml:space="preserve">Acute pancreatitis: Reflections through the history of the Atlanta Consensus. </w:t>
      </w:r>
      <w:proofErr w:type="spellStart"/>
      <w:r w:rsidRPr="00D02A8C">
        <w:rPr>
          <w:lang w:val="es-ES" w:eastAsia="es-ES"/>
        </w:rPr>
        <w:t>Iatreia</w:t>
      </w:r>
      <w:proofErr w:type="spellEnd"/>
      <w:r w:rsidRPr="00D02A8C">
        <w:rPr>
          <w:lang w:val="es-ES" w:eastAsia="es-ES"/>
        </w:rPr>
        <w:t xml:space="preserve">. 2014 [acceso: 01/01/2022]; 27(4):449-59. Disponible en: </w:t>
      </w:r>
      <w:hyperlink r:id="rId17" w:history="1">
        <w:r w:rsidRPr="00D02A8C">
          <w:rPr>
            <w:color w:val="0000FF"/>
            <w:u w:val="single"/>
            <w:lang w:val="es-ES" w:eastAsia="es-ES"/>
          </w:rPr>
          <w:t>http://www.scielo.org.co/scielo.php?script=sci_arttext&amp;pid=S0121-07932014000400008&amp;nrm=iso</w:t>
        </w:r>
      </w:hyperlink>
      <w:r w:rsidRPr="00D02A8C">
        <w:rPr>
          <w:lang w:val="es-ES" w:eastAsia="es-ES"/>
        </w:rPr>
        <w:t xml:space="preserve"> </w:t>
      </w:r>
    </w:p>
    <w:p w14:paraId="6FC7657A" w14:textId="77777777" w:rsidR="00D02A8C" w:rsidRPr="00D02A8C" w:rsidRDefault="00D02A8C" w:rsidP="00D02A8C">
      <w:pPr>
        <w:spacing w:line="360" w:lineRule="auto"/>
        <w:rPr>
          <w:lang w:val="es-ES" w:eastAsia="es-ES"/>
        </w:rPr>
      </w:pPr>
      <w:r w:rsidRPr="00D02A8C">
        <w:rPr>
          <w:lang w:val="en-US" w:eastAsia="es-ES"/>
        </w:rPr>
        <w:t xml:space="preserve">4. Banks PA, </w:t>
      </w:r>
      <w:proofErr w:type="spellStart"/>
      <w:r w:rsidRPr="00D02A8C">
        <w:rPr>
          <w:lang w:val="en-US" w:eastAsia="es-ES"/>
        </w:rPr>
        <w:t>Bollen</w:t>
      </w:r>
      <w:proofErr w:type="spellEnd"/>
      <w:r w:rsidRPr="00D02A8C">
        <w:rPr>
          <w:lang w:val="en-US" w:eastAsia="es-ES"/>
        </w:rPr>
        <w:t xml:space="preserve"> TL, </w:t>
      </w:r>
      <w:proofErr w:type="spellStart"/>
      <w:r w:rsidRPr="00D02A8C">
        <w:rPr>
          <w:lang w:val="en-US" w:eastAsia="es-ES"/>
        </w:rPr>
        <w:t>Dervenis</w:t>
      </w:r>
      <w:proofErr w:type="spellEnd"/>
      <w:r w:rsidRPr="00D02A8C">
        <w:rPr>
          <w:lang w:val="en-US" w:eastAsia="es-ES"/>
        </w:rPr>
        <w:t xml:space="preserve"> C, </w:t>
      </w:r>
      <w:proofErr w:type="spellStart"/>
      <w:r w:rsidRPr="00D02A8C">
        <w:rPr>
          <w:lang w:val="en-US" w:eastAsia="es-ES"/>
        </w:rPr>
        <w:t>Gooszen</w:t>
      </w:r>
      <w:proofErr w:type="spellEnd"/>
      <w:r w:rsidRPr="00D02A8C">
        <w:rPr>
          <w:lang w:val="en-US" w:eastAsia="es-ES"/>
        </w:rPr>
        <w:t xml:space="preserve"> HG, Johnson CD, </w:t>
      </w:r>
      <w:proofErr w:type="spellStart"/>
      <w:r w:rsidRPr="00D02A8C">
        <w:rPr>
          <w:lang w:val="en-US" w:eastAsia="es-ES"/>
        </w:rPr>
        <w:t>Sarr</w:t>
      </w:r>
      <w:proofErr w:type="spellEnd"/>
      <w:r w:rsidRPr="00D02A8C">
        <w:rPr>
          <w:lang w:val="en-US" w:eastAsia="es-ES"/>
        </w:rPr>
        <w:t xml:space="preserve"> MG, et al. Classification of acute pancreatitis—2012: revision of the Atlanta classification and definitions by international consensus. </w:t>
      </w:r>
      <w:proofErr w:type="spellStart"/>
      <w:r w:rsidRPr="00D02A8C">
        <w:rPr>
          <w:lang w:val="es-ES" w:eastAsia="es-ES"/>
        </w:rPr>
        <w:t>Gut</w:t>
      </w:r>
      <w:proofErr w:type="spellEnd"/>
      <w:r w:rsidRPr="00D02A8C">
        <w:rPr>
          <w:lang w:val="es-ES" w:eastAsia="es-ES"/>
        </w:rPr>
        <w:t xml:space="preserve">. 2013 [acceso: 01/01/2022]; 62(1):102-11. Disponible en: </w:t>
      </w:r>
      <w:hyperlink r:id="rId18" w:history="1">
        <w:r w:rsidRPr="00D02A8C">
          <w:rPr>
            <w:color w:val="0000FF"/>
            <w:u w:val="single"/>
            <w:lang w:val="es-ES" w:eastAsia="es-ES"/>
          </w:rPr>
          <w:t>https://gut.bmj.com/content/gutjnl/62/1/102.full.pdf</w:t>
        </w:r>
      </w:hyperlink>
      <w:r w:rsidRPr="00D02A8C">
        <w:rPr>
          <w:lang w:val="es-ES" w:eastAsia="es-ES"/>
        </w:rPr>
        <w:t xml:space="preserve">   </w:t>
      </w:r>
    </w:p>
    <w:p w14:paraId="4F8CF28E" w14:textId="77777777" w:rsidR="00D02A8C" w:rsidRPr="00D02A8C" w:rsidRDefault="00D02A8C" w:rsidP="00D02A8C">
      <w:pPr>
        <w:spacing w:line="360" w:lineRule="auto"/>
        <w:rPr>
          <w:lang w:val="es-ES" w:eastAsia="es-ES"/>
        </w:rPr>
      </w:pPr>
      <w:r w:rsidRPr="00D02A8C">
        <w:rPr>
          <w:lang w:val="en-US" w:eastAsia="es-ES"/>
        </w:rPr>
        <w:t xml:space="preserve">5. </w:t>
      </w:r>
      <w:proofErr w:type="spellStart"/>
      <w:r w:rsidRPr="00D02A8C">
        <w:rPr>
          <w:lang w:val="en-US" w:eastAsia="es-ES"/>
        </w:rPr>
        <w:t>Mofidi</w:t>
      </w:r>
      <w:proofErr w:type="spellEnd"/>
      <w:r w:rsidRPr="00D02A8C">
        <w:rPr>
          <w:lang w:val="en-US" w:eastAsia="es-ES"/>
        </w:rPr>
        <w:t xml:space="preserve"> R, Duff MD, </w:t>
      </w:r>
      <w:proofErr w:type="spellStart"/>
      <w:r w:rsidRPr="00D02A8C">
        <w:rPr>
          <w:lang w:val="en-US" w:eastAsia="es-ES"/>
        </w:rPr>
        <w:t>Wigmore</w:t>
      </w:r>
      <w:proofErr w:type="spellEnd"/>
      <w:r w:rsidRPr="00D02A8C">
        <w:rPr>
          <w:lang w:val="en-US" w:eastAsia="es-ES"/>
        </w:rPr>
        <w:t xml:space="preserve"> SJ, </w:t>
      </w:r>
      <w:proofErr w:type="spellStart"/>
      <w:r w:rsidRPr="00D02A8C">
        <w:rPr>
          <w:lang w:val="en-US" w:eastAsia="es-ES"/>
        </w:rPr>
        <w:t>Madhavan</w:t>
      </w:r>
      <w:proofErr w:type="spellEnd"/>
      <w:r w:rsidRPr="00D02A8C">
        <w:rPr>
          <w:lang w:val="en-US" w:eastAsia="es-ES"/>
        </w:rPr>
        <w:t xml:space="preserve"> KK, Garden OJ, Parks RW. Association between early systemic inflammatory response, severity of multiorgan dysfunction and death in acute pancreatitis. </w:t>
      </w:r>
      <w:r w:rsidRPr="00D02A8C">
        <w:rPr>
          <w:lang w:val="es-ES" w:eastAsia="es-ES"/>
        </w:rPr>
        <w:t xml:space="preserve">Br J </w:t>
      </w:r>
      <w:proofErr w:type="spellStart"/>
      <w:r w:rsidRPr="00D02A8C">
        <w:rPr>
          <w:lang w:val="es-ES" w:eastAsia="es-ES"/>
        </w:rPr>
        <w:t>Surg</w:t>
      </w:r>
      <w:proofErr w:type="spellEnd"/>
      <w:r w:rsidRPr="00D02A8C">
        <w:rPr>
          <w:lang w:val="es-ES" w:eastAsia="es-ES"/>
        </w:rPr>
        <w:t xml:space="preserve">. 2006 [acceso: 01/01/2022]; 93(6):738-44p. Disponible en: </w:t>
      </w:r>
      <w:hyperlink r:id="rId19" w:history="1">
        <w:r w:rsidRPr="00D02A8C">
          <w:rPr>
            <w:color w:val="0000FF"/>
            <w:u w:val="single"/>
            <w:lang w:val="es-ES" w:eastAsia="es-ES"/>
          </w:rPr>
          <w:t>https://academic.oup.com/bjs/article/93/6/738/6142313</w:t>
        </w:r>
      </w:hyperlink>
      <w:r w:rsidRPr="00D02A8C">
        <w:rPr>
          <w:lang w:val="es-ES" w:eastAsia="es-ES"/>
        </w:rPr>
        <w:t xml:space="preserve"> </w:t>
      </w:r>
    </w:p>
    <w:p w14:paraId="6D420787" w14:textId="77777777" w:rsidR="00D02A8C" w:rsidRPr="00D02A8C" w:rsidRDefault="00D02A8C" w:rsidP="00D02A8C">
      <w:pPr>
        <w:spacing w:line="360" w:lineRule="auto"/>
        <w:rPr>
          <w:lang w:val="en-US" w:eastAsia="es-ES"/>
        </w:rPr>
      </w:pPr>
      <w:r w:rsidRPr="00D02A8C">
        <w:rPr>
          <w:lang w:val="en-US" w:eastAsia="es-ES"/>
        </w:rPr>
        <w:t>6. Johnson CD, Abu-</w:t>
      </w:r>
      <w:proofErr w:type="spellStart"/>
      <w:r w:rsidRPr="00D02A8C">
        <w:rPr>
          <w:lang w:val="en-US" w:eastAsia="es-ES"/>
        </w:rPr>
        <w:t>Hilal</w:t>
      </w:r>
      <w:proofErr w:type="spellEnd"/>
      <w:r w:rsidRPr="00D02A8C">
        <w:rPr>
          <w:lang w:val="en-US" w:eastAsia="es-ES"/>
        </w:rPr>
        <w:t xml:space="preserve"> M. Persistent organ failure during the first week as a marker of fatal outcome in acute pancreatitis. Gut. 2004 [</w:t>
      </w:r>
      <w:proofErr w:type="spellStart"/>
      <w:r w:rsidRPr="00D02A8C">
        <w:rPr>
          <w:lang w:val="en-US" w:eastAsia="es-ES"/>
        </w:rPr>
        <w:t>acceso</w:t>
      </w:r>
      <w:proofErr w:type="spellEnd"/>
      <w:r w:rsidRPr="00D02A8C">
        <w:rPr>
          <w:lang w:val="en-US" w:eastAsia="es-ES"/>
        </w:rPr>
        <w:t xml:space="preserve">: 01/01/2022]; 53(9):1340-4. Disponible </w:t>
      </w:r>
      <w:proofErr w:type="spellStart"/>
      <w:r w:rsidRPr="00D02A8C">
        <w:rPr>
          <w:lang w:val="en-US" w:eastAsia="es-ES"/>
        </w:rPr>
        <w:t>en</w:t>
      </w:r>
      <w:proofErr w:type="spellEnd"/>
      <w:r w:rsidRPr="00D02A8C">
        <w:rPr>
          <w:lang w:val="en-US" w:eastAsia="es-ES"/>
        </w:rPr>
        <w:t xml:space="preserve">: </w:t>
      </w:r>
      <w:hyperlink r:id="rId20" w:history="1">
        <w:r w:rsidRPr="00D02A8C">
          <w:rPr>
            <w:color w:val="0000FF"/>
            <w:u w:val="single"/>
            <w:lang w:val="en-US" w:eastAsia="es-ES"/>
          </w:rPr>
          <w:t>https://gut.bmj.com/content/53/9/1340.long</w:t>
        </w:r>
      </w:hyperlink>
      <w:r w:rsidRPr="00D02A8C">
        <w:rPr>
          <w:lang w:val="en-US" w:eastAsia="es-ES"/>
        </w:rPr>
        <w:t xml:space="preserve"> </w:t>
      </w:r>
    </w:p>
    <w:p w14:paraId="1927ACFF" w14:textId="77777777" w:rsidR="00D02A8C" w:rsidRPr="00D02A8C" w:rsidRDefault="00D02A8C" w:rsidP="00D02A8C">
      <w:pPr>
        <w:spacing w:line="360" w:lineRule="auto"/>
        <w:rPr>
          <w:lang w:val="es-ES" w:eastAsia="es-ES"/>
        </w:rPr>
      </w:pPr>
      <w:r w:rsidRPr="00D02A8C">
        <w:rPr>
          <w:lang w:val="en-US" w:eastAsia="es-ES"/>
        </w:rPr>
        <w:t xml:space="preserve">7. Singh VK, </w:t>
      </w:r>
      <w:proofErr w:type="spellStart"/>
      <w:r w:rsidRPr="00D02A8C">
        <w:rPr>
          <w:lang w:val="en-US" w:eastAsia="es-ES"/>
        </w:rPr>
        <w:t>Bollen</w:t>
      </w:r>
      <w:proofErr w:type="spellEnd"/>
      <w:r w:rsidRPr="00D02A8C">
        <w:rPr>
          <w:lang w:val="en-US" w:eastAsia="es-ES"/>
        </w:rPr>
        <w:t xml:space="preserve"> TL, Wu BU, </w:t>
      </w:r>
      <w:proofErr w:type="spellStart"/>
      <w:r w:rsidRPr="00D02A8C">
        <w:rPr>
          <w:lang w:val="en-US" w:eastAsia="es-ES"/>
        </w:rPr>
        <w:t>Repas</w:t>
      </w:r>
      <w:proofErr w:type="spellEnd"/>
      <w:r w:rsidRPr="00D02A8C">
        <w:rPr>
          <w:lang w:val="en-US" w:eastAsia="es-ES"/>
        </w:rPr>
        <w:t xml:space="preserve"> K, Maurer R, Yu S, et al. An Assessment of the Severity of Interstitial Pancreatitis. </w:t>
      </w:r>
      <w:proofErr w:type="spellStart"/>
      <w:r w:rsidRPr="00D02A8C">
        <w:rPr>
          <w:lang w:val="es-ES" w:eastAsia="es-ES"/>
        </w:rPr>
        <w:t>Clinical</w:t>
      </w:r>
      <w:proofErr w:type="spellEnd"/>
      <w:r w:rsidRPr="00D02A8C">
        <w:rPr>
          <w:lang w:val="es-ES" w:eastAsia="es-ES"/>
        </w:rPr>
        <w:t xml:space="preserve"> </w:t>
      </w:r>
      <w:proofErr w:type="spellStart"/>
      <w:r w:rsidRPr="00D02A8C">
        <w:rPr>
          <w:lang w:val="es-ES" w:eastAsia="es-ES"/>
        </w:rPr>
        <w:t>Gastroenterology</w:t>
      </w:r>
      <w:proofErr w:type="spellEnd"/>
      <w:r w:rsidRPr="00D02A8C">
        <w:rPr>
          <w:lang w:val="es-ES" w:eastAsia="es-ES"/>
        </w:rPr>
        <w:t xml:space="preserve"> and </w:t>
      </w:r>
      <w:proofErr w:type="spellStart"/>
      <w:r w:rsidRPr="00D02A8C">
        <w:rPr>
          <w:lang w:val="es-ES" w:eastAsia="es-ES"/>
        </w:rPr>
        <w:t>Hepatology</w:t>
      </w:r>
      <w:proofErr w:type="spellEnd"/>
      <w:r w:rsidRPr="00D02A8C">
        <w:rPr>
          <w:lang w:val="es-ES" w:eastAsia="es-ES"/>
        </w:rPr>
        <w:t xml:space="preserve">. 2011 [acceso: 01/01/2022]; 9(12):1098-103. Disponible en: </w:t>
      </w:r>
      <w:hyperlink r:id="rId21" w:history="1">
        <w:r w:rsidRPr="00D02A8C">
          <w:rPr>
            <w:color w:val="0000FF"/>
            <w:u w:val="single"/>
            <w:lang w:val="es-ES" w:eastAsia="es-ES"/>
          </w:rPr>
          <w:t>https://www.sciencedirect.com/science/article/pii/S1542356511009141</w:t>
        </w:r>
      </w:hyperlink>
      <w:r w:rsidRPr="00D02A8C">
        <w:rPr>
          <w:lang w:val="es-ES" w:eastAsia="es-ES"/>
        </w:rPr>
        <w:t xml:space="preserve">  </w:t>
      </w:r>
    </w:p>
    <w:p w14:paraId="22247C4B" w14:textId="77777777" w:rsidR="00D02A8C" w:rsidRPr="00D02A8C" w:rsidRDefault="00D02A8C" w:rsidP="00D02A8C">
      <w:pPr>
        <w:spacing w:line="360" w:lineRule="auto"/>
        <w:rPr>
          <w:lang w:val="es-ES" w:eastAsia="es-ES"/>
        </w:rPr>
      </w:pPr>
      <w:r w:rsidRPr="00D02A8C">
        <w:rPr>
          <w:lang w:val="en-US" w:eastAsia="es-ES"/>
        </w:rPr>
        <w:t xml:space="preserve">8. Fonseca </w:t>
      </w:r>
      <w:proofErr w:type="spellStart"/>
      <w:r w:rsidRPr="00D02A8C">
        <w:rPr>
          <w:lang w:val="en-US" w:eastAsia="es-ES"/>
        </w:rPr>
        <w:t>Sepúlveda</w:t>
      </w:r>
      <w:proofErr w:type="spellEnd"/>
      <w:r w:rsidRPr="00D02A8C">
        <w:rPr>
          <w:lang w:val="en-US" w:eastAsia="es-ES"/>
        </w:rPr>
        <w:t xml:space="preserve"> EV, Guerrero-Lozano R. Acute pancreatitis and recurrent acute pancreatitis: an exploration of clinical and etiologic factors and outcomes. </w:t>
      </w:r>
      <w:proofErr w:type="spellStart"/>
      <w:r w:rsidRPr="00D02A8C">
        <w:rPr>
          <w:lang w:val="es-ES" w:eastAsia="es-ES"/>
        </w:rPr>
        <w:t>Journal</w:t>
      </w:r>
      <w:proofErr w:type="spellEnd"/>
      <w:r w:rsidRPr="00D02A8C">
        <w:rPr>
          <w:lang w:val="es-ES" w:eastAsia="es-ES"/>
        </w:rPr>
        <w:t xml:space="preserve"> de </w:t>
      </w:r>
      <w:proofErr w:type="spellStart"/>
      <w:r w:rsidRPr="00D02A8C">
        <w:rPr>
          <w:lang w:val="es-ES" w:eastAsia="es-ES"/>
        </w:rPr>
        <w:t>Pediatria</w:t>
      </w:r>
      <w:proofErr w:type="spellEnd"/>
      <w:r w:rsidRPr="00D02A8C">
        <w:rPr>
          <w:lang w:val="es-ES" w:eastAsia="es-ES"/>
        </w:rPr>
        <w:t xml:space="preserve">. 2019 [acceso: 01/01/2022]; 95(6):713-9. Disponible en: </w:t>
      </w:r>
      <w:hyperlink r:id="rId22" w:history="1">
        <w:r w:rsidRPr="00D02A8C">
          <w:rPr>
            <w:color w:val="0000FF"/>
            <w:u w:val="single"/>
            <w:lang w:val="es-ES" w:eastAsia="es-ES"/>
          </w:rPr>
          <w:t>https://www.sciencedirect.com/science/article/pii/S0021755718303024</w:t>
        </w:r>
      </w:hyperlink>
      <w:r w:rsidRPr="00D02A8C">
        <w:rPr>
          <w:lang w:val="es-ES" w:eastAsia="es-ES"/>
        </w:rPr>
        <w:t xml:space="preserve">  </w:t>
      </w:r>
    </w:p>
    <w:p w14:paraId="6CC111ED" w14:textId="77777777" w:rsidR="00D02A8C" w:rsidRPr="00D02A8C" w:rsidRDefault="00D02A8C" w:rsidP="00D02A8C">
      <w:pPr>
        <w:spacing w:line="360" w:lineRule="auto"/>
        <w:rPr>
          <w:lang w:val="es-CU" w:eastAsia="es-ES"/>
        </w:rPr>
      </w:pPr>
      <w:r w:rsidRPr="00D02A8C">
        <w:rPr>
          <w:lang w:val="en-US" w:eastAsia="es-ES"/>
        </w:rPr>
        <w:t xml:space="preserve">9. </w:t>
      </w:r>
      <w:proofErr w:type="spellStart"/>
      <w:r w:rsidRPr="00D02A8C">
        <w:rPr>
          <w:lang w:val="en-US" w:eastAsia="es-ES"/>
        </w:rPr>
        <w:t>Bharwani</w:t>
      </w:r>
      <w:proofErr w:type="spellEnd"/>
      <w:r w:rsidRPr="00D02A8C">
        <w:rPr>
          <w:lang w:val="en-US" w:eastAsia="es-ES"/>
        </w:rPr>
        <w:t xml:space="preserve"> N, Patel S, </w:t>
      </w:r>
      <w:proofErr w:type="spellStart"/>
      <w:r w:rsidRPr="00D02A8C">
        <w:rPr>
          <w:lang w:val="en-US" w:eastAsia="es-ES"/>
        </w:rPr>
        <w:t>Prabhudesai</w:t>
      </w:r>
      <w:proofErr w:type="spellEnd"/>
      <w:r w:rsidRPr="00D02A8C">
        <w:rPr>
          <w:lang w:val="en-US" w:eastAsia="es-ES"/>
        </w:rPr>
        <w:t xml:space="preserve"> S, Fotheringham T, Power N. Acute pancreatitis: The role of imaging in diagnosis and management. </w:t>
      </w:r>
      <w:proofErr w:type="spellStart"/>
      <w:r w:rsidRPr="00D02A8C">
        <w:rPr>
          <w:lang w:val="es-ES" w:eastAsia="es-ES"/>
        </w:rPr>
        <w:t>Clinical</w:t>
      </w:r>
      <w:proofErr w:type="spellEnd"/>
      <w:r w:rsidRPr="00D02A8C">
        <w:rPr>
          <w:lang w:val="es-ES" w:eastAsia="es-ES"/>
        </w:rPr>
        <w:t xml:space="preserve"> </w:t>
      </w:r>
      <w:proofErr w:type="spellStart"/>
      <w:r w:rsidRPr="00D02A8C">
        <w:rPr>
          <w:lang w:val="es-ES" w:eastAsia="es-ES"/>
        </w:rPr>
        <w:t>Radiology</w:t>
      </w:r>
      <w:proofErr w:type="spellEnd"/>
      <w:r w:rsidRPr="00D02A8C">
        <w:rPr>
          <w:lang w:val="es-ES" w:eastAsia="es-ES"/>
        </w:rPr>
        <w:t xml:space="preserve">. 2011 [acceso: 01/01/2022]; 66(2):164-75. </w:t>
      </w:r>
      <w:r w:rsidRPr="00D02A8C">
        <w:rPr>
          <w:lang w:val="es-CU" w:eastAsia="es-ES"/>
        </w:rPr>
        <w:t xml:space="preserve">Disponible en: </w:t>
      </w:r>
      <w:hyperlink r:id="rId23" w:history="1">
        <w:r w:rsidRPr="00D02A8C">
          <w:rPr>
            <w:color w:val="0000FF"/>
            <w:u w:val="single"/>
            <w:lang w:val="es-CU" w:eastAsia="es-ES"/>
          </w:rPr>
          <w:t>https://www.sciencedirect.com/science/article/pii/S0009926010003326</w:t>
        </w:r>
      </w:hyperlink>
      <w:r w:rsidRPr="00D02A8C">
        <w:rPr>
          <w:lang w:val="es-CU" w:eastAsia="es-ES"/>
        </w:rPr>
        <w:t xml:space="preserve">  </w:t>
      </w:r>
    </w:p>
    <w:p w14:paraId="45D99248" w14:textId="77777777" w:rsidR="00D02A8C" w:rsidRPr="00D02A8C" w:rsidRDefault="00D02A8C" w:rsidP="00D02A8C">
      <w:pPr>
        <w:spacing w:line="360" w:lineRule="auto"/>
        <w:rPr>
          <w:lang w:val="es-CU" w:eastAsia="es-ES"/>
        </w:rPr>
      </w:pPr>
      <w:r w:rsidRPr="00D02A8C">
        <w:rPr>
          <w:lang w:val="en-US" w:eastAsia="es-ES"/>
        </w:rPr>
        <w:lastRenderedPageBreak/>
        <w:t xml:space="preserve">10. </w:t>
      </w:r>
      <w:proofErr w:type="spellStart"/>
      <w:r w:rsidRPr="00D02A8C">
        <w:rPr>
          <w:lang w:val="en-US" w:eastAsia="es-ES"/>
        </w:rPr>
        <w:t>Kayar</w:t>
      </w:r>
      <w:proofErr w:type="spellEnd"/>
      <w:r w:rsidRPr="00D02A8C">
        <w:rPr>
          <w:lang w:val="en-US" w:eastAsia="es-ES"/>
        </w:rPr>
        <w:t xml:space="preserve"> Y, </w:t>
      </w:r>
      <w:proofErr w:type="spellStart"/>
      <w:r w:rsidRPr="00D02A8C">
        <w:rPr>
          <w:lang w:val="en-US" w:eastAsia="es-ES"/>
        </w:rPr>
        <w:t>Dertli</w:t>
      </w:r>
      <w:proofErr w:type="spellEnd"/>
      <w:r w:rsidRPr="00D02A8C">
        <w:rPr>
          <w:lang w:val="en-US" w:eastAsia="es-ES"/>
        </w:rPr>
        <w:t xml:space="preserve"> R, </w:t>
      </w:r>
      <w:proofErr w:type="spellStart"/>
      <w:r w:rsidRPr="00D02A8C">
        <w:rPr>
          <w:lang w:val="en-US" w:eastAsia="es-ES"/>
        </w:rPr>
        <w:t>Konur</w:t>
      </w:r>
      <w:proofErr w:type="spellEnd"/>
      <w:r w:rsidRPr="00D02A8C">
        <w:rPr>
          <w:lang w:val="en-US" w:eastAsia="es-ES"/>
        </w:rPr>
        <w:t xml:space="preserve"> S. Clinical outcomes of acute pancreatitis in elderly patients: An experience of single tertiary center. </w:t>
      </w:r>
      <w:proofErr w:type="spellStart"/>
      <w:r w:rsidRPr="00D02A8C">
        <w:rPr>
          <w:lang w:val="es-ES" w:eastAsia="es-ES"/>
        </w:rPr>
        <w:t>Pancreatology</w:t>
      </w:r>
      <w:proofErr w:type="spellEnd"/>
      <w:r w:rsidRPr="00D02A8C">
        <w:rPr>
          <w:lang w:val="es-ES" w:eastAsia="es-ES"/>
        </w:rPr>
        <w:t xml:space="preserve">. 2020 [acceso: 01/01/2022]; 20(7):1296-301. </w:t>
      </w:r>
      <w:r w:rsidRPr="00D02A8C">
        <w:rPr>
          <w:lang w:val="es-CU" w:eastAsia="es-ES"/>
        </w:rPr>
        <w:t xml:space="preserve">Disponible en: </w:t>
      </w:r>
      <w:hyperlink r:id="rId24" w:history="1">
        <w:r w:rsidRPr="00D02A8C">
          <w:rPr>
            <w:color w:val="0000FF"/>
            <w:u w:val="single"/>
            <w:lang w:val="es-CU" w:eastAsia="es-ES"/>
          </w:rPr>
          <w:t>https://www.sciencedirect.com/science/article/pii/S142439032030199X</w:t>
        </w:r>
      </w:hyperlink>
      <w:r w:rsidRPr="00D02A8C">
        <w:rPr>
          <w:lang w:val="es-CU" w:eastAsia="es-ES"/>
        </w:rPr>
        <w:t xml:space="preserve">  </w:t>
      </w:r>
    </w:p>
    <w:p w14:paraId="46CD9E43" w14:textId="77777777" w:rsidR="00D02A8C" w:rsidRPr="00D02A8C" w:rsidRDefault="00D02A8C" w:rsidP="00D02A8C">
      <w:pPr>
        <w:spacing w:line="360" w:lineRule="auto"/>
        <w:rPr>
          <w:lang w:val="en-US" w:eastAsia="es-ES"/>
        </w:rPr>
      </w:pPr>
      <w:r w:rsidRPr="00D02A8C">
        <w:rPr>
          <w:lang w:val="en-US" w:eastAsia="es-ES"/>
        </w:rPr>
        <w:t xml:space="preserve">11. </w:t>
      </w:r>
      <w:proofErr w:type="spellStart"/>
      <w:r w:rsidRPr="00D02A8C">
        <w:rPr>
          <w:lang w:val="en-US" w:eastAsia="es-ES"/>
        </w:rPr>
        <w:t>Stigliano</w:t>
      </w:r>
      <w:proofErr w:type="spellEnd"/>
      <w:r w:rsidRPr="00D02A8C">
        <w:rPr>
          <w:lang w:val="en-US" w:eastAsia="es-ES"/>
        </w:rPr>
        <w:t xml:space="preserve"> S, Belisario F, </w:t>
      </w:r>
      <w:proofErr w:type="spellStart"/>
      <w:r w:rsidRPr="00D02A8C">
        <w:rPr>
          <w:lang w:val="en-US" w:eastAsia="es-ES"/>
        </w:rPr>
        <w:t>Piciucchi</w:t>
      </w:r>
      <w:proofErr w:type="spellEnd"/>
      <w:r w:rsidRPr="00D02A8C">
        <w:rPr>
          <w:lang w:val="en-US" w:eastAsia="es-ES"/>
        </w:rPr>
        <w:t xml:space="preserve"> M, Signoretti M, </w:t>
      </w:r>
      <w:proofErr w:type="spellStart"/>
      <w:r w:rsidRPr="00D02A8C">
        <w:rPr>
          <w:lang w:val="en-US" w:eastAsia="es-ES"/>
        </w:rPr>
        <w:t>Delle</w:t>
      </w:r>
      <w:proofErr w:type="spellEnd"/>
      <w:r w:rsidRPr="00D02A8C">
        <w:rPr>
          <w:lang w:val="en-US" w:eastAsia="es-ES"/>
        </w:rPr>
        <w:t xml:space="preserve"> </w:t>
      </w:r>
      <w:proofErr w:type="spellStart"/>
      <w:r w:rsidRPr="00D02A8C">
        <w:rPr>
          <w:lang w:val="en-US" w:eastAsia="es-ES"/>
        </w:rPr>
        <w:t>Fave</w:t>
      </w:r>
      <w:proofErr w:type="spellEnd"/>
      <w:r w:rsidRPr="00D02A8C">
        <w:rPr>
          <w:lang w:val="en-US" w:eastAsia="es-ES"/>
        </w:rPr>
        <w:t xml:space="preserve"> G, </w:t>
      </w:r>
      <w:proofErr w:type="spellStart"/>
      <w:r w:rsidRPr="00D02A8C">
        <w:rPr>
          <w:lang w:val="en-US" w:eastAsia="es-ES"/>
        </w:rPr>
        <w:t>Capurso</w:t>
      </w:r>
      <w:proofErr w:type="spellEnd"/>
      <w:r w:rsidRPr="00D02A8C">
        <w:rPr>
          <w:lang w:val="en-US" w:eastAsia="es-ES"/>
        </w:rPr>
        <w:t xml:space="preserve"> G. Recurrent biliary acute pancreatitis is frequent in a real-world setting. Digestive and Liver Disease. 2018 [</w:t>
      </w:r>
      <w:proofErr w:type="spellStart"/>
      <w:r w:rsidRPr="00D02A8C">
        <w:rPr>
          <w:lang w:val="en-US" w:eastAsia="es-ES"/>
        </w:rPr>
        <w:t>acceso</w:t>
      </w:r>
      <w:proofErr w:type="spellEnd"/>
      <w:r w:rsidRPr="00D02A8C">
        <w:rPr>
          <w:lang w:val="en-US" w:eastAsia="es-ES"/>
        </w:rPr>
        <w:t xml:space="preserve">: 01/01/2022]; 50(3):277-82. Disponible </w:t>
      </w:r>
      <w:proofErr w:type="spellStart"/>
      <w:r w:rsidRPr="00D02A8C">
        <w:rPr>
          <w:lang w:val="en-US" w:eastAsia="es-ES"/>
        </w:rPr>
        <w:t>en</w:t>
      </w:r>
      <w:proofErr w:type="spellEnd"/>
      <w:r w:rsidRPr="00D02A8C">
        <w:rPr>
          <w:lang w:val="en-US" w:eastAsia="es-ES"/>
        </w:rPr>
        <w:t xml:space="preserve">: </w:t>
      </w:r>
      <w:hyperlink r:id="rId25" w:history="1">
        <w:r w:rsidRPr="00D02A8C">
          <w:rPr>
            <w:color w:val="0000FF"/>
            <w:u w:val="single"/>
            <w:lang w:val="en-US" w:eastAsia="es-ES"/>
          </w:rPr>
          <w:t>https://www.sciencedirect.com/science/article/pii/S1590865817313282</w:t>
        </w:r>
      </w:hyperlink>
      <w:r w:rsidRPr="00D02A8C">
        <w:rPr>
          <w:lang w:val="en-US" w:eastAsia="es-ES"/>
        </w:rPr>
        <w:t xml:space="preserve">  </w:t>
      </w:r>
    </w:p>
    <w:p w14:paraId="593D3C77" w14:textId="77777777" w:rsidR="00D02A8C" w:rsidRPr="00D02A8C" w:rsidRDefault="00D02A8C" w:rsidP="00D02A8C">
      <w:pPr>
        <w:spacing w:line="360" w:lineRule="auto"/>
        <w:rPr>
          <w:lang w:val="en-US" w:eastAsia="es-ES"/>
        </w:rPr>
      </w:pPr>
      <w:r w:rsidRPr="00D02A8C">
        <w:rPr>
          <w:lang w:val="en-US" w:eastAsia="es-ES"/>
        </w:rPr>
        <w:t xml:space="preserve">12. </w:t>
      </w:r>
      <w:proofErr w:type="spellStart"/>
      <w:r w:rsidRPr="00D02A8C">
        <w:rPr>
          <w:lang w:val="en-US" w:eastAsia="es-ES"/>
        </w:rPr>
        <w:t>Leppäniemi</w:t>
      </w:r>
      <w:proofErr w:type="spellEnd"/>
      <w:r w:rsidRPr="00D02A8C">
        <w:rPr>
          <w:lang w:val="en-US" w:eastAsia="es-ES"/>
        </w:rPr>
        <w:t xml:space="preserve"> A, </w:t>
      </w:r>
      <w:proofErr w:type="spellStart"/>
      <w:r w:rsidRPr="00D02A8C">
        <w:rPr>
          <w:lang w:val="en-US" w:eastAsia="es-ES"/>
        </w:rPr>
        <w:t>Tolonen</w:t>
      </w:r>
      <w:proofErr w:type="spellEnd"/>
      <w:r w:rsidRPr="00D02A8C">
        <w:rPr>
          <w:lang w:val="en-US" w:eastAsia="es-ES"/>
        </w:rPr>
        <w:t xml:space="preserve"> M, </w:t>
      </w:r>
      <w:proofErr w:type="spellStart"/>
      <w:r w:rsidRPr="00D02A8C">
        <w:rPr>
          <w:lang w:val="en-US" w:eastAsia="es-ES"/>
        </w:rPr>
        <w:t>Tarasconi</w:t>
      </w:r>
      <w:proofErr w:type="spellEnd"/>
      <w:r w:rsidRPr="00D02A8C">
        <w:rPr>
          <w:lang w:val="en-US" w:eastAsia="es-ES"/>
        </w:rPr>
        <w:t xml:space="preserve"> A, Segovia-Lohse H, </w:t>
      </w:r>
      <w:proofErr w:type="spellStart"/>
      <w:r w:rsidRPr="00D02A8C">
        <w:rPr>
          <w:lang w:val="en-US" w:eastAsia="es-ES"/>
        </w:rPr>
        <w:t>Gamberini</w:t>
      </w:r>
      <w:proofErr w:type="spellEnd"/>
      <w:r w:rsidRPr="00D02A8C">
        <w:rPr>
          <w:lang w:val="en-US" w:eastAsia="es-ES"/>
        </w:rPr>
        <w:t xml:space="preserve"> E, Kirkpatrick AW, et al. 2019 WSES guidelines for the management of severe acute pancreatitis. World Journal of Emergency Surgery. 2019 [</w:t>
      </w:r>
      <w:proofErr w:type="spellStart"/>
      <w:r w:rsidRPr="00D02A8C">
        <w:rPr>
          <w:lang w:val="en-US" w:eastAsia="es-ES"/>
        </w:rPr>
        <w:t>acceso</w:t>
      </w:r>
      <w:proofErr w:type="spellEnd"/>
      <w:r w:rsidRPr="00D02A8C">
        <w:rPr>
          <w:lang w:val="en-US" w:eastAsia="es-ES"/>
        </w:rPr>
        <w:t xml:space="preserve">: 01/01/2022]; 14(1):27. Disponible </w:t>
      </w:r>
      <w:proofErr w:type="spellStart"/>
      <w:r w:rsidRPr="00D02A8C">
        <w:rPr>
          <w:lang w:val="en-US" w:eastAsia="es-ES"/>
        </w:rPr>
        <w:t>en</w:t>
      </w:r>
      <w:proofErr w:type="spellEnd"/>
      <w:r w:rsidRPr="00D02A8C">
        <w:rPr>
          <w:lang w:val="en-US" w:eastAsia="es-ES"/>
        </w:rPr>
        <w:t xml:space="preserve">: </w:t>
      </w:r>
      <w:hyperlink r:id="rId26" w:history="1">
        <w:r w:rsidRPr="00D02A8C">
          <w:rPr>
            <w:color w:val="0000FF"/>
            <w:u w:val="single"/>
            <w:lang w:val="en-US" w:eastAsia="es-ES"/>
          </w:rPr>
          <w:t>https://doi.org/10.1186/s13017-019-0247-0</w:t>
        </w:r>
      </w:hyperlink>
      <w:r w:rsidRPr="00D02A8C">
        <w:rPr>
          <w:lang w:val="en-US" w:eastAsia="es-ES"/>
        </w:rPr>
        <w:t xml:space="preserve">  </w:t>
      </w:r>
    </w:p>
    <w:p w14:paraId="1D45900D" w14:textId="77777777" w:rsidR="00D02A8C" w:rsidRPr="00D02A8C" w:rsidRDefault="00D02A8C" w:rsidP="00D02A8C">
      <w:pPr>
        <w:spacing w:line="360" w:lineRule="auto"/>
        <w:rPr>
          <w:lang w:val="es-ES" w:eastAsia="es-ES"/>
        </w:rPr>
      </w:pPr>
      <w:r w:rsidRPr="00D02A8C">
        <w:rPr>
          <w:lang w:val="en-US" w:eastAsia="es-ES"/>
        </w:rPr>
        <w:t xml:space="preserve">13. Zhou H, Mei X, He X, Lan T, Guo S. Severity stratification and prognostic prediction of patients with acute pancreatitis at early phase: A retrospective study. </w:t>
      </w:r>
      <w:r w:rsidRPr="00D02A8C">
        <w:rPr>
          <w:lang w:val="es-ES" w:eastAsia="es-ES"/>
        </w:rPr>
        <w:t xml:space="preserve">Medicine (Baltimore). 2019 [acceso: 01/01/2022]; 98(16): e15275. Disponible en: </w:t>
      </w:r>
      <w:hyperlink r:id="rId27" w:history="1">
        <w:r w:rsidRPr="00D02A8C">
          <w:rPr>
            <w:color w:val="0000FF"/>
            <w:u w:val="single"/>
            <w:lang w:val="es-ES" w:eastAsia="es-ES"/>
          </w:rPr>
          <w:t>https://pubmed.ncbi.nlm.nih.gov/31008971</w:t>
        </w:r>
      </w:hyperlink>
      <w:r w:rsidRPr="00D02A8C">
        <w:rPr>
          <w:lang w:val="es-ES" w:eastAsia="es-ES"/>
        </w:rPr>
        <w:t xml:space="preserve">  </w:t>
      </w:r>
    </w:p>
    <w:p w14:paraId="10B40F01" w14:textId="77777777" w:rsidR="00D02A8C" w:rsidRPr="00D02A8C" w:rsidRDefault="00D02A8C" w:rsidP="00D02A8C">
      <w:pPr>
        <w:spacing w:line="360" w:lineRule="auto"/>
        <w:rPr>
          <w:lang w:val="es-ES" w:eastAsia="es-ES"/>
        </w:rPr>
      </w:pPr>
      <w:r w:rsidRPr="00D02A8C">
        <w:rPr>
          <w:lang w:val="en-US" w:eastAsia="es-ES"/>
        </w:rPr>
        <w:t xml:space="preserve">14. </w:t>
      </w:r>
      <w:proofErr w:type="spellStart"/>
      <w:r w:rsidRPr="00D02A8C">
        <w:rPr>
          <w:lang w:val="en-US" w:eastAsia="es-ES"/>
        </w:rPr>
        <w:t>Mosko</w:t>
      </w:r>
      <w:proofErr w:type="spellEnd"/>
      <w:r w:rsidRPr="00D02A8C">
        <w:rPr>
          <w:lang w:val="en-US" w:eastAsia="es-ES"/>
        </w:rPr>
        <w:t xml:space="preserve"> JD, </w:t>
      </w:r>
      <w:proofErr w:type="spellStart"/>
      <w:r w:rsidRPr="00D02A8C">
        <w:rPr>
          <w:lang w:val="en-US" w:eastAsia="es-ES"/>
        </w:rPr>
        <w:t>Leiman</w:t>
      </w:r>
      <w:proofErr w:type="spellEnd"/>
      <w:r w:rsidRPr="00D02A8C">
        <w:rPr>
          <w:lang w:val="en-US" w:eastAsia="es-ES"/>
        </w:rPr>
        <w:t xml:space="preserve"> DA, </w:t>
      </w:r>
      <w:proofErr w:type="spellStart"/>
      <w:r w:rsidRPr="00D02A8C">
        <w:rPr>
          <w:lang w:val="en-US" w:eastAsia="es-ES"/>
        </w:rPr>
        <w:t>Ketwaroo</w:t>
      </w:r>
      <w:proofErr w:type="spellEnd"/>
      <w:r w:rsidRPr="00D02A8C">
        <w:rPr>
          <w:lang w:val="en-US" w:eastAsia="es-ES"/>
        </w:rPr>
        <w:t xml:space="preserve"> GA, Gupta N. Development of Quality Measures for Acute Pancreatitis: A Model for Hospital-Based Measures in Gastroenterology. </w:t>
      </w:r>
      <w:proofErr w:type="spellStart"/>
      <w:r w:rsidRPr="00D02A8C">
        <w:rPr>
          <w:lang w:val="es-ES" w:eastAsia="es-ES"/>
        </w:rPr>
        <w:t>Clinical</w:t>
      </w:r>
      <w:proofErr w:type="spellEnd"/>
      <w:r w:rsidRPr="00D02A8C">
        <w:rPr>
          <w:lang w:val="es-ES" w:eastAsia="es-ES"/>
        </w:rPr>
        <w:t xml:space="preserve"> </w:t>
      </w:r>
      <w:proofErr w:type="spellStart"/>
      <w:r w:rsidRPr="00D02A8C">
        <w:rPr>
          <w:lang w:val="es-ES" w:eastAsia="es-ES"/>
        </w:rPr>
        <w:t>Gastroenterology</w:t>
      </w:r>
      <w:proofErr w:type="spellEnd"/>
      <w:r w:rsidRPr="00D02A8C">
        <w:rPr>
          <w:lang w:val="es-ES" w:eastAsia="es-ES"/>
        </w:rPr>
        <w:t xml:space="preserve"> and </w:t>
      </w:r>
      <w:proofErr w:type="spellStart"/>
      <w:r w:rsidRPr="00D02A8C">
        <w:rPr>
          <w:lang w:val="es-ES" w:eastAsia="es-ES"/>
        </w:rPr>
        <w:t>Hepatology</w:t>
      </w:r>
      <w:proofErr w:type="spellEnd"/>
      <w:r w:rsidRPr="00D02A8C">
        <w:rPr>
          <w:lang w:val="es-ES" w:eastAsia="es-ES"/>
        </w:rPr>
        <w:t xml:space="preserve">. 2020 [acceso: 01/01/2022]; 18(2):272-5. Disponible en: </w:t>
      </w:r>
      <w:hyperlink r:id="rId28" w:history="1">
        <w:r w:rsidRPr="00D02A8C">
          <w:rPr>
            <w:color w:val="0000FF"/>
            <w:u w:val="single"/>
            <w:lang w:val="es-ES" w:eastAsia="es-ES"/>
          </w:rPr>
          <w:t>https://www.sciencedirect.com/science/article/pii/S1542356519313217</w:t>
        </w:r>
      </w:hyperlink>
      <w:r w:rsidRPr="00D02A8C">
        <w:rPr>
          <w:lang w:val="es-ES" w:eastAsia="es-ES"/>
        </w:rPr>
        <w:t xml:space="preserve">  </w:t>
      </w:r>
    </w:p>
    <w:p w14:paraId="66B04964" w14:textId="77777777" w:rsidR="00D02A8C" w:rsidRPr="00D02A8C" w:rsidRDefault="00D02A8C" w:rsidP="00D02A8C">
      <w:pPr>
        <w:spacing w:line="360" w:lineRule="auto"/>
        <w:rPr>
          <w:lang w:val="es-ES" w:eastAsia="es-ES"/>
        </w:rPr>
      </w:pPr>
      <w:r w:rsidRPr="00D02A8C">
        <w:rPr>
          <w:lang w:val="es-ES" w:eastAsia="es-ES"/>
        </w:rPr>
        <w:t xml:space="preserve">15. Alfonso </w:t>
      </w:r>
      <w:proofErr w:type="spellStart"/>
      <w:r w:rsidRPr="00D02A8C">
        <w:rPr>
          <w:lang w:val="es-ES" w:eastAsia="es-ES"/>
        </w:rPr>
        <w:t>Salabert</w:t>
      </w:r>
      <w:proofErr w:type="spellEnd"/>
      <w:r w:rsidRPr="00D02A8C">
        <w:rPr>
          <w:lang w:val="es-ES" w:eastAsia="es-ES"/>
        </w:rPr>
        <w:t xml:space="preserve"> I, </w:t>
      </w:r>
      <w:proofErr w:type="spellStart"/>
      <w:r w:rsidRPr="00D02A8C">
        <w:rPr>
          <w:lang w:val="es-ES" w:eastAsia="es-ES"/>
        </w:rPr>
        <w:t>Salabert</w:t>
      </w:r>
      <w:proofErr w:type="spellEnd"/>
      <w:r w:rsidRPr="00D02A8C">
        <w:rPr>
          <w:lang w:val="es-ES" w:eastAsia="es-ES"/>
        </w:rPr>
        <w:t xml:space="preserve"> Tortolo I, Alfonso Prince JC, Álvarez Escobar </w:t>
      </w:r>
      <w:proofErr w:type="spellStart"/>
      <w:r w:rsidRPr="00D02A8C">
        <w:rPr>
          <w:lang w:val="es-ES" w:eastAsia="es-ES"/>
        </w:rPr>
        <w:t>MdC</w:t>
      </w:r>
      <w:proofErr w:type="spellEnd"/>
      <w:r w:rsidRPr="00D02A8C">
        <w:rPr>
          <w:lang w:val="es-ES" w:eastAsia="es-ES"/>
        </w:rPr>
        <w:t xml:space="preserve">, Torres Álvarez A, Semper González AI. Factores de riesgo para pancreatitis aguda en el Hospital Comandante Faustino Pérez de Matanzas. Rev. </w:t>
      </w:r>
      <w:proofErr w:type="spellStart"/>
      <w:r w:rsidRPr="00D02A8C">
        <w:rPr>
          <w:lang w:val="es-ES" w:eastAsia="es-ES"/>
        </w:rPr>
        <w:t>Méd</w:t>
      </w:r>
      <w:proofErr w:type="spellEnd"/>
      <w:r w:rsidRPr="00D02A8C">
        <w:rPr>
          <w:lang w:val="es-ES" w:eastAsia="es-ES"/>
        </w:rPr>
        <w:t xml:space="preserve">. </w:t>
      </w:r>
      <w:proofErr w:type="spellStart"/>
      <w:r w:rsidRPr="00D02A8C">
        <w:rPr>
          <w:lang w:val="es-ES" w:eastAsia="es-ES"/>
        </w:rPr>
        <w:t>Electr</w:t>
      </w:r>
      <w:proofErr w:type="spellEnd"/>
      <w:r w:rsidRPr="00D02A8C">
        <w:rPr>
          <w:lang w:val="es-ES" w:eastAsia="es-ES"/>
        </w:rPr>
        <w:t xml:space="preserve">. 2017 [acceso: 01/01/2022]; 39:1259-68p. Disponible en: </w:t>
      </w:r>
      <w:hyperlink r:id="rId29" w:history="1">
        <w:r w:rsidRPr="00D02A8C">
          <w:rPr>
            <w:color w:val="0000FF"/>
            <w:u w:val="single"/>
            <w:lang w:val="es-ES" w:eastAsia="es-ES"/>
          </w:rPr>
          <w:t>http://scielo.sld.cu/scielo.php?script=sci_arttext&amp;pid=S1684-18242017000600007&amp;nrm=iso</w:t>
        </w:r>
      </w:hyperlink>
      <w:r w:rsidRPr="00D02A8C">
        <w:rPr>
          <w:lang w:val="es-ES" w:eastAsia="es-ES"/>
        </w:rPr>
        <w:t xml:space="preserve">  </w:t>
      </w:r>
    </w:p>
    <w:p w14:paraId="13FC6BBB" w14:textId="77777777" w:rsidR="00D02A8C" w:rsidRPr="00D02A8C" w:rsidRDefault="00D02A8C" w:rsidP="00D02A8C">
      <w:pPr>
        <w:spacing w:line="360" w:lineRule="auto"/>
        <w:rPr>
          <w:lang w:val="es-ES" w:eastAsia="es-ES"/>
        </w:rPr>
      </w:pPr>
      <w:r w:rsidRPr="00D02A8C">
        <w:rPr>
          <w:lang w:val="es-ES" w:eastAsia="es-ES"/>
        </w:rPr>
        <w:t xml:space="preserve">16. Marín Ríos DF, Águila Meleros OM, Torres Ajá L, Puerto Lorenzo JA. </w:t>
      </w:r>
      <w:r w:rsidRPr="00D02A8C">
        <w:rPr>
          <w:lang w:val="en-US" w:eastAsia="es-ES"/>
        </w:rPr>
        <w:t xml:space="preserve">Morbidity and mortality in patients with acute pancreatitis. Cienfuegos, 2014-2015. </w:t>
      </w:r>
      <w:proofErr w:type="spellStart"/>
      <w:r w:rsidRPr="00D02A8C">
        <w:rPr>
          <w:lang w:val="en-US" w:eastAsia="es-ES"/>
        </w:rPr>
        <w:t>Medisur</w:t>
      </w:r>
      <w:proofErr w:type="spellEnd"/>
      <w:r w:rsidRPr="00D02A8C">
        <w:rPr>
          <w:lang w:val="en-US" w:eastAsia="es-ES"/>
        </w:rPr>
        <w:t xml:space="preserve">. </w:t>
      </w:r>
      <w:r w:rsidRPr="00D02A8C">
        <w:rPr>
          <w:lang w:val="es-CU" w:eastAsia="es-ES"/>
        </w:rPr>
        <w:t xml:space="preserve">2019 [acceso: 01/01/2022]; 17(2): 210-20.  </w:t>
      </w:r>
      <w:r w:rsidRPr="00D02A8C">
        <w:rPr>
          <w:lang w:val="es-ES" w:eastAsia="es-ES"/>
        </w:rPr>
        <w:t xml:space="preserve">Disponible en: </w:t>
      </w:r>
      <w:hyperlink r:id="rId30" w:history="1">
        <w:r w:rsidRPr="00D02A8C">
          <w:rPr>
            <w:color w:val="0000FF"/>
            <w:u w:val="single"/>
            <w:lang w:val="es-ES" w:eastAsia="es-ES"/>
          </w:rPr>
          <w:t>http://www.medisur.sld.cu/index.php/medisur/article/view/3830</w:t>
        </w:r>
      </w:hyperlink>
      <w:r w:rsidRPr="00D02A8C">
        <w:rPr>
          <w:lang w:val="es-ES" w:eastAsia="es-ES"/>
        </w:rPr>
        <w:t xml:space="preserve">  </w:t>
      </w:r>
    </w:p>
    <w:p w14:paraId="55BD95B6" w14:textId="77777777" w:rsidR="00D02A8C" w:rsidRPr="00D02A8C" w:rsidRDefault="00D02A8C" w:rsidP="00D02A8C">
      <w:pPr>
        <w:spacing w:line="360" w:lineRule="auto"/>
        <w:rPr>
          <w:lang w:val="es-ES" w:eastAsia="es-ES"/>
        </w:rPr>
      </w:pPr>
      <w:r w:rsidRPr="00D02A8C">
        <w:rPr>
          <w:lang w:val="en-US" w:eastAsia="es-ES"/>
        </w:rPr>
        <w:t xml:space="preserve">17. </w:t>
      </w:r>
      <w:proofErr w:type="spellStart"/>
      <w:r w:rsidRPr="00D02A8C">
        <w:rPr>
          <w:lang w:val="en-US" w:eastAsia="es-ES"/>
        </w:rPr>
        <w:t>Biberci</w:t>
      </w:r>
      <w:proofErr w:type="spellEnd"/>
      <w:r w:rsidRPr="00D02A8C">
        <w:rPr>
          <w:lang w:val="en-US" w:eastAsia="es-ES"/>
        </w:rPr>
        <w:t xml:space="preserve"> </w:t>
      </w:r>
      <w:proofErr w:type="spellStart"/>
      <w:r w:rsidRPr="00D02A8C">
        <w:rPr>
          <w:lang w:val="en-US" w:eastAsia="es-ES"/>
        </w:rPr>
        <w:t>Keskin</w:t>
      </w:r>
      <w:proofErr w:type="spellEnd"/>
      <w:r w:rsidRPr="00D02A8C">
        <w:rPr>
          <w:lang w:val="en-US" w:eastAsia="es-ES"/>
        </w:rPr>
        <w:t xml:space="preserve"> E, </w:t>
      </w:r>
      <w:proofErr w:type="spellStart"/>
      <w:r w:rsidRPr="00D02A8C">
        <w:rPr>
          <w:lang w:val="en-US" w:eastAsia="es-ES"/>
        </w:rPr>
        <w:t>Taşlıdere</w:t>
      </w:r>
      <w:proofErr w:type="spellEnd"/>
      <w:r w:rsidRPr="00D02A8C">
        <w:rPr>
          <w:lang w:val="en-US" w:eastAsia="es-ES"/>
        </w:rPr>
        <w:t xml:space="preserve"> B, </w:t>
      </w:r>
      <w:proofErr w:type="spellStart"/>
      <w:r w:rsidRPr="00D02A8C">
        <w:rPr>
          <w:lang w:val="en-US" w:eastAsia="es-ES"/>
        </w:rPr>
        <w:t>Koçhan</w:t>
      </w:r>
      <w:proofErr w:type="spellEnd"/>
      <w:r w:rsidRPr="00D02A8C">
        <w:rPr>
          <w:lang w:val="en-US" w:eastAsia="es-ES"/>
        </w:rPr>
        <w:t xml:space="preserve"> K, </w:t>
      </w:r>
      <w:proofErr w:type="spellStart"/>
      <w:r w:rsidRPr="00D02A8C">
        <w:rPr>
          <w:lang w:val="en-US" w:eastAsia="es-ES"/>
        </w:rPr>
        <w:t>Gülen</w:t>
      </w:r>
      <w:proofErr w:type="spellEnd"/>
      <w:r w:rsidRPr="00D02A8C">
        <w:rPr>
          <w:lang w:val="en-US" w:eastAsia="es-ES"/>
        </w:rPr>
        <w:t xml:space="preserve"> B, İnce AT, </w:t>
      </w:r>
      <w:proofErr w:type="spellStart"/>
      <w:r w:rsidRPr="00D02A8C">
        <w:rPr>
          <w:lang w:val="en-US" w:eastAsia="es-ES"/>
        </w:rPr>
        <w:t>Şentürk</w:t>
      </w:r>
      <w:proofErr w:type="spellEnd"/>
      <w:r w:rsidRPr="00D02A8C">
        <w:rPr>
          <w:lang w:val="en-US" w:eastAsia="es-ES"/>
        </w:rPr>
        <w:t xml:space="preserve"> H. Comparison of scoring systems used in acute pancreatitis for predicting major adverse events. </w:t>
      </w:r>
      <w:proofErr w:type="spellStart"/>
      <w:r w:rsidRPr="00D02A8C">
        <w:rPr>
          <w:lang w:val="es-ES" w:eastAsia="es-ES"/>
        </w:rPr>
        <w:t>Gastroenterologia</w:t>
      </w:r>
      <w:proofErr w:type="spellEnd"/>
      <w:r w:rsidRPr="00D02A8C">
        <w:rPr>
          <w:lang w:val="es-ES" w:eastAsia="es-ES"/>
        </w:rPr>
        <w:t xml:space="preserve"> y </w:t>
      </w:r>
      <w:proofErr w:type="spellStart"/>
      <w:r w:rsidRPr="00D02A8C">
        <w:rPr>
          <w:lang w:val="es-ES" w:eastAsia="es-ES"/>
        </w:rPr>
        <w:lastRenderedPageBreak/>
        <w:t>Hepatologia</w:t>
      </w:r>
      <w:proofErr w:type="spellEnd"/>
      <w:r w:rsidRPr="00D02A8C">
        <w:rPr>
          <w:lang w:val="es-ES" w:eastAsia="es-ES"/>
        </w:rPr>
        <w:t xml:space="preserve">. 2020 [acceso:01/01/2022]; 43(4):193-9. Disponible en: </w:t>
      </w:r>
      <w:hyperlink r:id="rId31" w:history="1">
        <w:r w:rsidRPr="00D02A8C">
          <w:rPr>
            <w:color w:val="0000FF"/>
            <w:u w:val="single"/>
            <w:lang w:val="es-ES" w:eastAsia="es-ES"/>
          </w:rPr>
          <w:t>https://www.sciencedirect.com/science/article/pii/S021057051930264X</w:t>
        </w:r>
      </w:hyperlink>
      <w:r w:rsidRPr="00D02A8C">
        <w:rPr>
          <w:lang w:val="es-ES" w:eastAsia="es-ES"/>
        </w:rPr>
        <w:t xml:space="preserve">  </w:t>
      </w:r>
    </w:p>
    <w:p w14:paraId="65254A78" w14:textId="77777777" w:rsidR="00D02A8C" w:rsidRPr="00D02A8C" w:rsidRDefault="00D02A8C" w:rsidP="00D02A8C">
      <w:pPr>
        <w:spacing w:line="360" w:lineRule="auto"/>
        <w:rPr>
          <w:lang w:val="es-ES" w:eastAsia="es-ES"/>
        </w:rPr>
      </w:pPr>
      <w:r w:rsidRPr="00D02A8C">
        <w:rPr>
          <w:lang w:val="es-ES" w:eastAsia="es-ES"/>
        </w:rPr>
        <w:t>18. Martínez-</w:t>
      </w:r>
      <w:proofErr w:type="spellStart"/>
      <w:r w:rsidRPr="00D02A8C">
        <w:rPr>
          <w:lang w:val="es-ES" w:eastAsia="es-ES"/>
        </w:rPr>
        <w:t>Hoed</w:t>
      </w:r>
      <w:proofErr w:type="spellEnd"/>
      <w:r w:rsidRPr="00D02A8C">
        <w:rPr>
          <w:lang w:val="es-ES" w:eastAsia="es-ES"/>
        </w:rPr>
        <w:t xml:space="preserve"> J, López-Jara V. Morbimortalidad de </w:t>
      </w:r>
      <w:proofErr w:type="spellStart"/>
      <w:r w:rsidRPr="00D02A8C">
        <w:rPr>
          <w:lang w:val="es-ES" w:eastAsia="es-ES"/>
        </w:rPr>
        <w:t>necrosectomía</w:t>
      </w:r>
      <w:proofErr w:type="spellEnd"/>
      <w:r w:rsidRPr="00D02A8C">
        <w:rPr>
          <w:lang w:val="es-ES" w:eastAsia="es-ES"/>
        </w:rPr>
        <w:t xml:space="preserve"> pancreática abierta. Acta </w:t>
      </w:r>
      <w:proofErr w:type="spellStart"/>
      <w:r w:rsidRPr="00D02A8C">
        <w:rPr>
          <w:lang w:val="es-ES" w:eastAsia="es-ES"/>
        </w:rPr>
        <w:t>Méd</w:t>
      </w:r>
      <w:proofErr w:type="spellEnd"/>
      <w:r w:rsidRPr="00D02A8C">
        <w:rPr>
          <w:lang w:val="es-ES" w:eastAsia="es-ES"/>
        </w:rPr>
        <w:t xml:space="preserve">. </w:t>
      </w:r>
      <w:proofErr w:type="spellStart"/>
      <w:r w:rsidRPr="00D02A8C">
        <w:rPr>
          <w:lang w:val="es-ES" w:eastAsia="es-ES"/>
        </w:rPr>
        <w:t>Costarric</w:t>
      </w:r>
      <w:proofErr w:type="spellEnd"/>
      <w:r w:rsidRPr="00D02A8C">
        <w:rPr>
          <w:lang w:val="es-ES" w:eastAsia="es-ES"/>
        </w:rPr>
        <w:t xml:space="preserve">. 2017 [acceso:01/01/2022]; 59(4): 138-45. Disponible en: </w:t>
      </w:r>
      <w:hyperlink r:id="rId32" w:history="1">
        <w:r w:rsidRPr="00D02A8C">
          <w:rPr>
            <w:color w:val="0000FF"/>
            <w:u w:val="single"/>
            <w:lang w:val="es-ES" w:eastAsia="es-ES"/>
          </w:rPr>
          <w:t>http://www.scielo.sa.cr/scielo.php?script=sci_arttext&amp;pid=S0001-60022017000400138&amp;lng=en</w:t>
        </w:r>
      </w:hyperlink>
      <w:r w:rsidRPr="00D02A8C">
        <w:rPr>
          <w:lang w:val="es-ES" w:eastAsia="es-ES"/>
        </w:rPr>
        <w:t xml:space="preserve">   </w:t>
      </w:r>
    </w:p>
    <w:p w14:paraId="62A6D840" w14:textId="77777777" w:rsidR="00D02A8C" w:rsidRPr="00D02A8C" w:rsidRDefault="00D02A8C" w:rsidP="00D02A8C">
      <w:pPr>
        <w:spacing w:line="360" w:lineRule="auto"/>
        <w:rPr>
          <w:lang w:val="es-ES" w:eastAsia="es-ES"/>
        </w:rPr>
      </w:pPr>
      <w:r w:rsidRPr="00D02A8C">
        <w:rPr>
          <w:lang w:val="en-US" w:eastAsia="es-ES"/>
        </w:rPr>
        <w:t xml:space="preserve">19. Garg PK, Singh VP. Organ Failure Due to Systemic Injury in Acute Pancreatitis. </w:t>
      </w:r>
      <w:proofErr w:type="spellStart"/>
      <w:r w:rsidRPr="00D02A8C">
        <w:rPr>
          <w:lang w:val="es-ES" w:eastAsia="es-ES"/>
        </w:rPr>
        <w:t>Gastroenterology</w:t>
      </w:r>
      <w:proofErr w:type="spellEnd"/>
      <w:r w:rsidRPr="00D02A8C">
        <w:rPr>
          <w:lang w:val="es-ES" w:eastAsia="es-ES"/>
        </w:rPr>
        <w:t>. 2019 [acceso:01/01/2022]; 156(7):2008-</w:t>
      </w:r>
      <w:proofErr w:type="gramStart"/>
      <w:r w:rsidRPr="00D02A8C">
        <w:rPr>
          <w:lang w:val="es-ES" w:eastAsia="es-ES"/>
        </w:rPr>
        <w:t>23.Disponible</w:t>
      </w:r>
      <w:proofErr w:type="gramEnd"/>
      <w:r w:rsidRPr="00D02A8C">
        <w:rPr>
          <w:lang w:val="es-ES" w:eastAsia="es-ES"/>
        </w:rPr>
        <w:t xml:space="preserve"> en: </w:t>
      </w:r>
      <w:hyperlink r:id="rId33" w:history="1">
        <w:r w:rsidRPr="00D02A8C">
          <w:rPr>
            <w:color w:val="0000FF"/>
            <w:u w:val="single"/>
            <w:lang w:val="es-ES" w:eastAsia="es-ES"/>
          </w:rPr>
          <w:t>https://pubmed.ncbi.nlm.nih.gov/30768987</w:t>
        </w:r>
      </w:hyperlink>
      <w:r w:rsidRPr="00D02A8C">
        <w:rPr>
          <w:lang w:val="es-ES" w:eastAsia="es-ES"/>
        </w:rPr>
        <w:t xml:space="preserve">  </w:t>
      </w:r>
    </w:p>
    <w:p w14:paraId="35C2F65A" w14:textId="77777777" w:rsidR="00D02A8C" w:rsidRPr="00D02A8C" w:rsidRDefault="00D02A8C" w:rsidP="00D02A8C">
      <w:pPr>
        <w:spacing w:line="360" w:lineRule="auto"/>
        <w:rPr>
          <w:lang w:val="es-ES" w:eastAsia="es-ES"/>
        </w:rPr>
      </w:pPr>
      <w:r w:rsidRPr="00D02A8C">
        <w:rPr>
          <w:lang w:val="es-ES" w:eastAsia="es-ES"/>
        </w:rPr>
        <w:t>20. González-Aguilera J, Díaz-Masó R, Cabrera-</w:t>
      </w:r>
      <w:proofErr w:type="spellStart"/>
      <w:r w:rsidRPr="00D02A8C">
        <w:rPr>
          <w:lang w:val="es-ES" w:eastAsia="es-ES"/>
        </w:rPr>
        <w:t>Lavernia</w:t>
      </w:r>
      <w:proofErr w:type="spellEnd"/>
      <w:r w:rsidRPr="00D02A8C">
        <w:rPr>
          <w:lang w:val="es-ES" w:eastAsia="es-ES"/>
        </w:rPr>
        <w:t xml:space="preserve"> J, Martí--Garcés G. Índices pronósticos en la predicción de la gravedad de la pancreatitis aguda. Revista Cubana de Medicina Intensiva y Emergencias. 2020 [acceso:01/01/2022]; 19(2): [aprox. 17 p.]. Disponible en: </w:t>
      </w:r>
      <w:hyperlink r:id="rId34" w:history="1">
        <w:r w:rsidRPr="00D02A8C">
          <w:rPr>
            <w:color w:val="0000FF"/>
            <w:u w:val="single"/>
            <w:lang w:val="es-ES" w:eastAsia="es-ES"/>
          </w:rPr>
          <w:t>http://www.revmie.sld.cu/index.php/mie/article/view/687</w:t>
        </w:r>
      </w:hyperlink>
      <w:r w:rsidRPr="00D02A8C">
        <w:rPr>
          <w:lang w:val="es-ES" w:eastAsia="es-ES"/>
        </w:rPr>
        <w:t xml:space="preserve">  </w:t>
      </w:r>
    </w:p>
    <w:p w14:paraId="1371B224" w14:textId="77777777" w:rsidR="00D02A8C" w:rsidRPr="00D02A8C" w:rsidRDefault="00D02A8C" w:rsidP="00D02A8C">
      <w:pPr>
        <w:spacing w:line="360" w:lineRule="auto"/>
        <w:rPr>
          <w:lang w:val="en-US" w:eastAsia="es-ES"/>
        </w:rPr>
      </w:pPr>
      <w:r w:rsidRPr="00D02A8C">
        <w:rPr>
          <w:lang w:val="en-US" w:eastAsia="es-ES"/>
        </w:rPr>
        <w:t xml:space="preserve">21. </w:t>
      </w:r>
      <w:proofErr w:type="spellStart"/>
      <w:r w:rsidRPr="00D02A8C">
        <w:rPr>
          <w:lang w:val="en-US" w:eastAsia="es-ES"/>
        </w:rPr>
        <w:t>Burrowes</w:t>
      </w:r>
      <w:proofErr w:type="spellEnd"/>
      <w:r w:rsidRPr="00D02A8C">
        <w:rPr>
          <w:lang w:val="en-US" w:eastAsia="es-ES"/>
        </w:rPr>
        <w:t xml:space="preserve"> DP, Choi HH, Rodgers SK, Fetzer DT, Kamaya A. Utility of ultrasound in acute pancreatitis. Abdominal radiology (New York). 2020 [</w:t>
      </w:r>
      <w:proofErr w:type="spellStart"/>
      <w:r w:rsidRPr="00D02A8C">
        <w:rPr>
          <w:lang w:val="en-US" w:eastAsia="es-ES"/>
        </w:rPr>
        <w:t>acceso</w:t>
      </w:r>
      <w:proofErr w:type="spellEnd"/>
      <w:r w:rsidRPr="00D02A8C">
        <w:rPr>
          <w:lang w:val="en-US" w:eastAsia="es-ES"/>
        </w:rPr>
        <w:t xml:space="preserve">: 01/01/2022]; 45(5):1253-64. Disponible </w:t>
      </w:r>
      <w:proofErr w:type="spellStart"/>
      <w:r w:rsidRPr="00D02A8C">
        <w:rPr>
          <w:lang w:val="en-US" w:eastAsia="es-ES"/>
        </w:rPr>
        <w:t>en</w:t>
      </w:r>
      <w:proofErr w:type="spellEnd"/>
      <w:r w:rsidRPr="00D02A8C">
        <w:rPr>
          <w:lang w:val="en-US" w:eastAsia="es-ES"/>
        </w:rPr>
        <w:t xml:space="preserve">: </w:t>
      </w:r>
      <w:hyperlink r:id="rId35" w:history="1">
        <w:r w:rsidRPr="00D02A8C">
          <w:rPr>
            <w:color w:val="0000FF"/>
            <w:u w:val="single"/>
            <w:lang w:val="en-US" w:eastAsia="es-ES"/>
          </w:rPr>
          <w:t>https://doi.org/10.1007/s00261-019-02364-x</w:t>
        </w:r>
      </w:hyperlink>
      <w:r w:rsidRPr="00D02A8C">
        <w:rPr>
          <w:lang w:val="en-US" w:eastAsia="es-ES"/>
        </w:rPr>
        <w:t xml:space="preserve">   </w:t>
      </w:r>
    </w:p>
    <w:p w14:paraId="0BCBC195" w14:textId="77777777" w:rsidR="00D02A8C" w:rsidRPr="00D02A8C" w:rsidRDefault="00D02A8C" w:rsidP="00D02A8C">
      <w:pPr>
        <w:spacing w:line="360" w:lineRule="auto"/>
        <w:rPr>
          <w:lang w:val="es-ES" w:eastAsia="es-ES"/>
        </w:rPr>
      </w:pPr>
      <w:r w:rsidRPr="00D02A8C">
        <w:rPr>
          <w:lang w:val="en-US" w:eastAsia="es-ES"/>
        </w:rPr>
        <w:t xml:space="preserve">22. </w:t>
      </w:r>
      <w:proofErr w:type="spellStart"/>
      <w:r w:rsidRPr="00D02A8C">
        <w:rPr>
          <w:lang w:val="en-US" w:eastAsia="es-ES"/>
        </w:rPr>
        <w:t>Stojanovic</w:t>
      </w:r>
      <w:proofErr w:type="spellEnd"/>
      <w:r w:rsidRPr="00D02A8C">
        <w:rPr>
          <w:lang w:val="en-US" w:eastAsia="es-ES"/>
        </w:rPr>
        <w:t xml:space="preserve"> M, </w:t>
      </w:r>
      <w:proofErr w:type="spellStart"/>
      <w:r w:rsidRPr="00D02A8C">
        <w:rPr>
          <w:lang w:val="en-US" w:eastAsia="es-ES"/>
        </w:rPr>
        <w:t>Svorcan</w:t>
      </w:r>
      <w:proofErr w:type="spellEnd"/>
      <w:r w:rsidRPr="00D02A8C">
        <w:rPr>
          <w:lang w:val="en-US" w:eastAsia="es-ES"/>
        </w:rPr>
        <w:t xml:space="preserve"> P, </w:t>
      </w:r>
      <w:proofErr w:type="spellStart"/>
      <w:r w:rsidRPr="00D02A8C">
        <w:rPr>
          <w:lang w:val="en-US" w:eastAsia="es-ES"/>
        </w:rPr>
        <w:t>Karamarkovic</w:t>
      </w:r>
      <w:proofErr w:type="spellEnd"/>
      <w:r w:rsidRPr="00D02A8C">
        <w:rPr>
          <w:lang w:val="en-US" w:eastAsia="es-ES"/>
        </w:rPr>
        <w:t xml:space="preserve"> A, </w:t>
      </w:r>
      <w:proofErr w:type="spellStart"/>
      <w:r w:rsidRPr="00D02A8C">
        <w:rPr>
          <w:lang w:val="en-US" w:eastAsia="es-ES"/>
        </w:rPr>
        <w:t>Ladjevic</w:t>
      </w:r>
      <w:proofErr w:type="spellEnd"/>
      <w:r w:rsidRPr="00D02A8C">
        <w:rPr>
          <w:lang w:val="en-US" w:eastAsia="es-ES"/>
        </w:rPr>
        <w:t xml:space="preserve"> N, Jankovic R, </w:t>
      </w:r>
      <w:proofErr w:type="spellStart"/>
      <w:r w:rsidRPr="00D02A8C">
        <w:rPr>
          <w:lang w:val="en-US" w:eastAsia="es-ES"/>
        </w:rPr>
        <w:t>Stevanovic</w:t>
      </w:r>
      <w:proofErr w:type="spellEnd"/>
      <w:r w:rsidRPr="00D02A8C">
        <w:rPr>
          <w:lang w:val="en-US" w:eastAsia="es-ES"/>
        </w:rPr>
        <w:t xml:space="preserve"> P. Mortality predictors of patients suffering of acute pancreatitis and development of intraabdominal hypertension. </w:t>
      </w:r>
      <w:proofErr w:type="spellStart"/>
      <w:r w:rsidRPr="00D02A8C">
        <w:rPr>
          <w:lang w:val="es-ES" w:eastAsia="es-ES"/>
        </w:rPr>
        <w:t>Turk</w:t>
      </w:r>
      <w:proofErr w:type="spellEnd"/>
      <w:r w:rsidRPr="00D02A8C">
        <w:rPr>
          <w:lang w:val="es-ES" w:eastAsia="es-ES"/>
        </w:rPr>
        <w:t xml:space="preserve"> J </w:t>
      </w:r>
      <w:proofErr w:type="spellStart"/>
      <w:r w:rsidRPr="00D02A8C">
        <w:rPr>
          <w:lang w:val="es-ES" w:eastAsia="es-ES"/>
        </w:rPr>
        <w:t>Med</w:t>
      </w:r>
      <w:proofErr w:type="spellEnd"/>
      <w:r w:rsidRPr="00D02A8C">
        <w:rPr>
          <w:lang w:val="es-ES" w:eastAsia="es-ES"/>
        </w:rPr>
        <w:t xml:space="preserve"> </w:t>
      </w:r>
      <w:proofErr w:type="spellStart"/>
      <w:r w:rsidRPr="00D02A8C">
        <w:rPr>
          <w:lang w:val="es-ES" w:eastAsia="es-ES"/>
        </w:rPr>
        <w:t>Sci</w:t>
      </w:r>
      <w:proofErr w:type="spellEnd"/>
      <w:r w:rsidRPr="00D02A8C">
        <w:rPr>
          <w:lang w:val="es-ES" w:eastAsia="es-ES"/>
        </w:rPr>
        <w:t xml:space="preserve">. 2019 [acceso: 01/01/2022]; 49(2):506-13. Disponible en: </w:t>
      </w:r>
      <w:hyperlink r:id="rId36" w:history="1">
        <w:r w:rsidRPr="00D02A8C">
          <w:rPr>
            <w:color w:val="0000FF"/>
            <w:u w:val="single"/>
            <w:lang w:val="es-ES" w:eastAsia="es-ES"/>
          </w:rPr>
          <w:t>https://pubmed.ncbi.nlm.nih.gov/30997789</w:t>
        </w:r>
      </w:hyperlink>
      <w:r w:rsidRPr="00D02A8C">
        <w:rPr>
          <w:lang w:val="es-ES" w:eastAsia="es-ES"/>
        </w:rPr>
        <w:t xml:space="preserve">  </w:t>
      </w:r>
    </w:p>
    <w:p w14:paraId="22CE34F1" w14:textId="77777777" w:rsidR="00D02A8C" w:rsidRPr="00D02A8C" w:rsidRDefault="00D02A8C" w:rsidP="00D02A8C">
      <w:pPr>
        <w:spacing w:line="360" w:lineRule="auto"/>
        <w:rPr>
          <w:lang w:val="es-ES" w:eastAsia="es-ES"/>
        </w:rPr>
      </w:pPr>
      <w:r w:rsidRPr="00D02A8C">
        <w:rPr>
          <w:lang w:val="en-US" w:eastAsia="es-ES"/>
        </w:rPr>
        <w:t xml:space="preserve">23. Dhaka N, </w:t>
      </w:r>
      <w:proofErr w:type="spellStart"/>
      <w:r w:rsidRPr="00D02A8C">
        <w:rPr>
          <w:lang w:val="en-US" w:eastAsia="es-ES"/>
        </w:rPr>
        <w:t>Samanta</w:t>
      </w:r>
      <w:proofErr w:type="spellEnd"/>
      <w:r w:rsidRPr="00D02A8C">
        <w:rPr>
          <w:lang w:val="en-US" w:eastAsia="es-ES"/>
        </w:rPr>
        <w:t xml:space="preserve"> J, Kochhar S, Kalra N, </w:t>
      </w:r>
      <w:proofErr w:type="spellStart"/>
      <w:r w:rsidRPr="00D02A8C">
        <w:rPr>
          <w:lang w:val="en-US" w:eastAsia="es-ES"/>
        </w:rPr>
        <w:t>Appasani</w:t>
      </w:r>
      <w:proofErr w:type="spellEnd"/>
      <w:r w:rsidRPr="00D02A8C">
        <w:rPr>
          <w:lang w:val="en-US" w:eastAsia="es-ES"/>
        </w:rPr>
        <w:t xml:space="preserve"> S, </w:t>
      </w:r>
      <w:proofErr w:type="spellStart"/>
      <w:r w:rsidRPr="00D02A8C">
        <w:rPr>
          <w:lang w:val="en-US" w:eastAsia="es-ES"/>
        </w:rPr>
        <w:t>Manrai</w:t>
      </w:r>
      <w:proofErr w:type="spellEnd"/>
      <w:r w:rsidRPr="00D02A8C">
        <w:rPr>
          <w:lang w:val="en-US" w:eastAsia="es-ES"/>
        </w:rPr>
        <w:t xml:space="preserve"> M, et al. Pancreatic fluid collections: What is the ideal imaging technique? </w:t>
      </w:r>
      <w:proofErr w:type="spellStart"/>
      <w:r w:rsidRPr="00D02A8C">
        <w:rPr>
          <w:lang w:val="es-ES" w:eastAsia="es-ES"/>
        </w:rPr>
        <w:t>World</w:t>
      </w:r>
      <w:proofErr w:type="spellEnd"/>
      <w:r w:rsidRPr="00D02A8C">
        <w:rPr>
          <w:lang w:val="es-ES" w:eastAsia="es-ES"/>
        </w:rPr>
        <w:t xml:space="preserve"> J </w:t>
      </w:r>
      <w:proofErr w:type="spellStart"/>
      <w:r w:rsidRPr="00D02A8C">
        <w:rPr>
          <w:lang w:val="es-ES" w:eastAsia="es-ES"/>
        </w:rPr>
        <w:t>Gastroenterol</w:t>
      </w:r>
      <w:proofErr w:type="spellEnd"/>
      <w:r w:rsidRPr="00D02A8C">
        <w:rPr>
          <w:lang w:val="es-ES" w:eastAsia="es-ES"/>
        </w:rPr>
        <w:t xml:space="preserve">. 2015 [acceso: 01/01/2022]; 21(48):13403-10. Disponible en: </w:t>
      </w:r>
      <w:hyperlink r:id="rId37" w:history="1">
        <w:r w:rsidRPr="00D02A8C">
          <w:rPr>
            <w:color w:val="0000FF"/>
            <w:u w:val="single"/>
            <w:lang w:val="es-ES" w:eastAsia="es-ES"/>
          </w:rPr>
          <w:t>https://pubmed.ncbi.nlm.nih.gov/26730150</w:t>
        </w:r>
      </w:hyperlink>
      <w:r w:rsidRPr="00D02A8C">
        <w:rPr>
          <w:lang w:val="es-ES" w:eastAsia="es-ES"/>
        </w:rPr>
        <w:t xml:space="preserve">   </w:t>
      </w:r>
    </w:p>
    <w:p w14:paraId="5BD1C3C9" w14:textId="77777777" w:rsidR="00D02A8C" w:rsidRPr="00D02A8C" w:rsidRDefault="00D02A8C" w:rsidP="00D02A8C">
      <w:pPr>
        <w:spacing w:line="360" w:lineRule="auto"/>
        <w:jc w:val="both"/>
        <w:rPr>
          <w:b/>
          <w:lang w:val="es-ES" w:eastAsia="es-ES"/>
        </w:rPr>
      </w:pPr>
    </w:p>
    <w:p w14:paraId="1950E5BE" w14:textId="77777777" w:rsidR="00D02A8C" w:rsidRPr="00D02A8C" w:rsidRDefault="00D02A8C" w:rsidP="00D02A8C">
      <w:pPr>
        <w:spacing w:line="360" w:lineRule="auto"/>
        <w:jc w:val="both"/>
        <w:rPr>
          <w:b/>
          <w:lang w:val="es-ES" w:eastAsia="es-ES"/>
        </w:rPr>
      </w:pPr>
    </w:p>
    <w:p w14:paraId="4F8A56D4" w14:textId="77777777" w:rsidR="00D02A8C" w:rsidRPr="00D02A8C" w:rsidRDefault="00D02A8C" w:rsidP="00D02A8C">
      <w:pPr>
        <w:spacing w:line="360" w:lineRule="auto"/>
        <w:jc w:val="center"/>
        <w:rPr>
          <w:b/>
          <w:lang w:val="es-ES" w:eastAsia="es-ES"/>
        </w:rPr>
      </w:pPr>
      <w:r w:rsidRPr="00D02A8C">
        <w:rPr>
          <w:b/>
          <w:lang w:val="es-ES" w:eastAsia="es-ES"/>
        </w:rPr>
        <w:t>Conflictos de interés</w:t>
      </w:r>
    </w:p>
    <w:p w14:paraId="0931F4AF" w14:textId="77777777" w:rsidR="00D02A8C" w:rsidRPr="00D02A8C" w:rsidRDefault="00D02A8C" w:rsidP="00D02A8C">
      <w:pPr>
        <w:spacing w:line="360" w:lineRule="auto"/>
        <w:jc w:val="both"/>
        <w:rPr>
          <w:bCs/>
          <w:lang w:val="es-ES" w:eastAsia="es-ES"/>
        </w:rPr>
      </w:pPr>
      <w:r w:rsidRPr="00D02A8C">
        <w:rPr>
          <w:bCs/>
          <w:lang w:val="es-ES" w:eastAsia="es-ES"/>
        </w:rPr>
        <w:t>Los autores declaran que no existió conflicto de intereses con este estudio.</w:t>
      </w:r>
    </w:p>
    <w:p w14:paraId="5C84A61A" w14:textId="77777777" w:rsidR="00D02A8C" w:rsidRPr="00D02A8C" w:rsidRDefault="00D02A8C" w:rsidP="00D02A8C">
      <w:pPr>
        <w:spacing w:line="360" w:lineRule="auto"/>
        <w:jc w:val="both"/>
        <w:rPr>
          <w:bCs/>
          <w:lang w:val="es-ES" w:eastAsia="es-ES"/>
        </w:rPr>
      </w:pPr>
    </w:p>
    <w:p w14:paraId="67E52D0D" w14:textId="77777777" w:rsidR="00D02A8C" w:rsidRPr="00D02A8C" w:rsidRDefault="00D02A8C" w:rsidP="00D02A8C">
      <w:pPr>
        <w:spacing w:line="360" w:lineRule="auto"/>
        <w:jc w:val="center"/>
        <w:rPr>
          <w:b/>
          <w:lang w:val="es-ES" w:eastAsia="es-ES"/>
        </w:rPr>
      </w:pPr>
      <w:r w:rsidRPr="00D02A8C">
        <w:rPr>
          <w:b/>
          <w:lang w:val="es-ES" w:eastAsia="es-ES"/>
        </w:rPr>
        <w:t>Contribuciones de los autores</w:t>
      </w:r>
    </w:p>
    <w:p w14:paraId="5DFE445B" w14:textId="77777777" w:rsidR="00D02A8C" w:rsidRPr="00D02A8C" w:rsidRDefault="00D02A8C" w:rsidP="00D02A8C">
      <w:pPr>
        <w:spacing w:line="360" w:lineRule="auto"/>
        <w:jc w:val="both"/>
        <w:rPr>
          <w:bCs/>
          <w:i/>
          <w:lang w:val="es-ES" w:eastAsia="es-ES"/>
        </w:rPr>
      </w:pPr>
      <w:r w:rsidRPr="00D02A8C">
        <w:rPr>
          <w:bCs/>
          <w:lang w:val="es-ES" w:eastAsia="es-ES"/>
        </w:rPr>
        <w:t xml:space="preserve">Conceptualización: </w:t>
      </w:r>
      <w:r w:rsidRPr="00D02A8C">
        <w:rPr>
          <w:bCs/>
          <w:i/>
          <w:lang w:val="es-ES" w:eastAsia="es-ES"/>
        </w:rPr>
        <w:t xml:space="preserve">Jorge Félix </w:t>
      </w:r>
      <w:proofErr w:type="spellStart"/>
      <w:r w:rsidRPr="00D02A8C">
        <w:rPr>
          <w:bCs/>
          <w:i/>
          <w:lang w:val="es-ES" w:eastAsia="es-ES"/>
        </w:rPr>
        <w:t>Nuñez</w:t>
      </w:r>
      <w:proofErr w:type="spellEnd"/>
      <w:r w:rsidRPr="00D02A8C">
        <w:rPr>
          <w:bCs/>
          <w:i/>
          <w:lang w:val="es-ES" w:eastAsia="es-ES"/>
        </w:rPr>
        <w:t xml:space="preserve"> Martínez.</w:t>
      </w:r>
    </w:p>
    <w:p w14:paraId="7E9141D4" w14:textId="77777777" w:rsidR="00D02A8C" w:rsidRPr="00D02A8C" w:rsidRDefault="00D02A8C" w:rsidP="00D02A8C">
      <w:pPr>
        <w:spacing w:line="360" w:lineRule="auto"/>
        <w:jc w:val="both"/>
        <w:rPr>
          <w:bCs/>
          <w:lang w:val="es-ES" w:eastAsia="es-ES"/>
        </w:rPr>
      </w:pPr>
      <w:r w:rsidRPr="00D02A8C">
        <w:rPr>
          <w:bCs/>
          <w:lang w:val="es-ES" w:eastAsia="es-ES"/>
        </w:rPr>
        <w:lastRenderedPageBreak/>
        <w:t xml:space="preserve">Curación de datos: </w:t>
      </w:r>
      <w:r w:rsidRPr="00D02A8C">
        <w:rPr>
          <w:bCs/>
          <w:i/>
          <w:lang w:val="es-ES" w:eastAsia="es-ES"/>
        </w:rPr>
        <w:t xml:space="preserve">Maricela </w:t>
      </w:r>
      <w:proofErr w:type="spellStart"/>
      <w:r w:rsidRPr="00D02A8C">
        <w:rPr>
          <w:bCs/>
          <w:i/>
          <w:lang w:val="es-ES" w:eastAsia="es-ES"/>
        </w:rPr>
        <w:t>Viciedo</w:t>
      </w:r>
      <w:proofErr w:type="spellEnd"/>
      <w:r w:rsidRPr="00D02A8C">
        <w:rPr>
          <w:bCs/>
          <w:i/>
          <w:lang w:val="es-ES" w:eastAsia="es-ES"/>
        </w:rPr>
        <w:t xml:space="preserve"> Guillermo.</w:t>
      </w:r>
    </w:p>
    <w:p w14:paraId="25975C00" w14:textId="77777777" w:rsidR="00D02A8C" w:rsidRPr="00D02A8C" w:rsidRDefault="00D02A8C" w:rsidP="00D02A8C">
      <w:pPr>
        <w:spacing w:line="360" w:lineRule="auto"/>
        <w:jc w:val="both"/>
        <w:rPr>
          <w:bCs/>
          <w:iCs/>
          <w:lang w:val="es-ES" w:eastAsia="es-ES"/>
        </w:rPr>
      </w:pPr>
      <w:r w:rsidRPr="00D02A8C">
        <w:rPr>
          <w:bCs/>
          <w:lang w:val="es-ES" w:eastAsia="es-ES"/>
        </w:rPr>
        <w:t xml:space="preserve">Análisis formal: </w:t>
      </w:r>
      <w:r w:rsidRPr="00D02A8C">
        <w:rPr>
          <w:bCs/>
          <w:i/>
          <w:lang w:val="es-ES" w:eastAsia="es-ES"/>
        </w:rPr>
        <w:t>Iliana Bouza Denis.</w:t>
      </w:r>
    </w:p>
    <w:p w14:paraId="3AB13AC0" w14:textId="77777777" w:rsidR="00D02A8C" w:rsidRPr="00D02A8C" w:rsidRDefault="00D02A8C" w:rsidP="00D02A8C">
      <w:pPr>
        <w:spacing w:line="360" w:lineRule="auto"/>
        <w:jc w:val="both"/>
        <w:rPr>
          <w:bCs/>
          <w:iCs/>
          <w:lang w:val="es-ES" w:eastAsia="es-ES"/>
        </w:rPr>
      </w:pPr>
      <w:r w:rsidRPr="00D02A8C">
        <w:rPr>
          <w:bCs/>
          <w:lang w:val="es-ES" w:eastAsia="es-ES"/>
        </w:rPr>
        <w:t xml:space="preserve">Investigación: </w:t>
      </w:r>
      <w:r w:rsidRPr="00D02A8C">
        <w:rPr>
          <w:bCs/>
          <w:i/>
          <w:lang w:val="es-ES" w:eastAsia="es-ES"/>
        </w:rPr>
        <w:t>Catherine Madruga Vásquez.</w:t>
      </w:r>
    </w:p>
    <w:p w14:paraId="3C27ADEB" w14:textId="77777777" w:rsidR="00D02A8C" w:rsidRPr="00D02A8C" w:rsidRDefault="00D02A8C" w:rsidP="00D02A8C">
      <w:pPr>
        <w:spacing w:line="360" w:lineRule="auto"/>
        <w:jc w:val="both"/>
        <w:rPr>
          <w:bCs/>
          <w:iCs/>
          <w:lang w:val="es-ES" w:eastAsia="es-ES"/>
        </w:rPr>
      </w:pPr>
      <w:r w:rsidRPr="00D02A8C">
        <w:rPr>
          <w:bCs/>
          <w:lang w:val="es-ES" w:eastAsia="es-ES"/>
        </w:rPr>
        <w:t xml:space="preserve">Metodología: </w:t>
      </w:r>
      <w:r w:rsidRPr="00D02A8C">
        <w:rPr>
          <w:bCs/>
          <w:i/>
          <w:lang w:val="es-ES" w:eastAsia="es-ES"/>
        </w:rPr>
        <w:t xml:space="preserve">Maricela </w:t>
      </w:r>
      <w:proofErr w:type="spellStart"/>
      <w:r w:rsidRPr="00D02A8C">
        <w:rPr>
          <w:bCs/>
          <w:i/>
          <w:lang w:val="es-ES" w:eastAsia="es-ES"/>
        </w:rPr>
        <w:t>Viciedo</w:t>
      </w:r>
      <w:proofErr w:type="spellEnd"/>
      <w:r w:rsidRPr="00D02A8C">
        <w:rPr>
          <w:bCs/>
          <w:i/>
          <w:lang w:val="es-ES" w:eastAsia="es-ES"/>
        </w:rPr>
        <w:t xml:space="preserve"> Guillermo.</w:t>
      </w:r>
    </w:p>
    <w:p w14:paraId="5947E5DD" w14:textId="77777777" w:rsidR="00D02A8C" w:rsidRPr="00D02A8C" w:rsidRDefault="00D02A8C" w:rsidP="00D02A8C">
      <w:pPr>
        <w:spacing w:line="360" w:lineRule="auto"/>
        <w:jc w:val="both"/>
        <w:rPr>
          <w:bCs/>
          <w:iCs/>
          <w:lang w:val="es-ES" w:eastAsia="es-ES"/>
        </w:rPr>
      </w:pPr>
      <w:r w:rsidRPr="00D02A8C">
        <w:rPr>
          <w:bCs/>
          <w:lang w:val="es-ES" w:eastAsia="es-ES"/>
        </w:rPr>
        <w:t xml:space="preserve">Administración del proyecto: </w:t>
      </w:r>
      <w:r w:rsidRPr="00D02A8C">
        <w:rPr>
          <w:bCs/>
          <w:i/>
          <w:lang w:val="es-ES" w:eastAsia="es-ES"/>
        </w:rPr>
        <w:t xml:space="preserve">Jorge Félix </w:t>
      </w:r>
      <w:proofErr w:type="spellStart"/>
      <w:r w:rsidRPr="00D02A8C">
        <w:rPr>
          <w:bCs/>
          <w:i/>
          <w:lang w:val="es-ES" w:eastAsia="es-ES"/>
        </w:rPr>
        <w:t>Nuñez</w:t>
      </w:r>
      <w:proofErr w:type="spellEnd"/>
      <w:r w:rsidRPr="00D02A8C">
        <w:rPr>
          <w:bCs/>
          <w:i/>
          <w:lang w:val="es-ES" w:eastAsia="es-ES"/>
        </w:rPr>
        <w:t xml:space="preserve"> Martínez.</w:t>
      </w:r>
    </w:p>
    <w:p w14:paraId="364A32CA" w14:textId="77777777" w:rsidR="00D02A8C" w:rsidRPr="00D02A8C" w:rsidRDefault="00D02A8C" w:rsidP="00D02A8C">
      <w:pPr>
        <w:spacing w:line="360" w:lineRule="auto"/>
        <w:jc w:val="both"/>
        <w:rPr>
          <w:bCs/>
          <w:iCs/>
          <w:lang w:val="es-ES" w:eastAsia="es-ES"/>
        </w:rPr>
      </w:pPr>
      <w:r w:rsidRPr="00D02A8C">
        <w:rPr>
          <w:bCs/>
          <w:lang w:val="es-ES" w:eastAsia="es-ES"/>
        </w:rPr>
        <w:t xml:space="preserve">Recursos materiales: </w:t>
      </w:r>
      <w:r w:rsidRPr="00D02A8C">
        <w:rPr>
          <w:bCs/>
          <w:i/>
          <w:lang w:val="es-ES" w:eastAsia="es-ES"/>
        </w:rPr>
        <w:t>Catherine Madruga Vásquez.</w:t>
      </w:r>
    </w:p>
    <w:p w14:paraId="578B519D" w14:textId="77777777" w:rsidR="00D02A8C" w:rsidRPr="00D02A8C" w:rsidRDefault="00D02A8C" w:rsidP="00D02A8C">
      <w:pPr>
        <w:spacing w:line="360" w:lineRule="auto"/>
        <w:jc w:val="both"/>
        <w:rPr>
          <w:bCs/>
          <w:iCs/>
          <w:lang w:val="es-ES" w:eastAsia="es-ES"/>
        </w:rPr>
      </w:pPr>
      <w:r w:rsidRPr="00D02A8C">
        <w:rPr>
          <w:bCs/>
          <w:lang w:val="es-ES" w:eastAsia="es-ES"/>
        </w:rPr>
        <w:t xml:space="preserve">Supervisión: </w:t>
      </w:r>
      <w:r w:rsidRPr="00D02A8C">
        <w:rPr>
          <w:bCs/>
          <w:i/>
          <w:lang w:val="es-ES" w:eastAsia="es-ES"/>
        </w:rPr>
        <w:t xml:space="preserve">Jorge Félix </w:t>
      </w:r>
      <w:proofErr w:type="spellStart"/>
      <w:r w:rsidRPr="00D02A8C">
        <w:rPr>
          <w:bCs/>
          <w:i/>
          <w:lang w:val="es-ES" w:eastAsia="es-ES"/>
        </w:rPr>
        <w:t>Nuñez</w:t>
      </w:r>
      <w:proofErr w:type="spellEnd"/>
      <w:r w:rsidRPr="00D02A8C">
        <w:rPr>
          <w:bCs/>
          <w:i/>
          <w:lang w:val="es-ES" w:eastAsia="es-ES"/>
        </w:rPr>
        <w:t xml:space="preserve"> Martínez.</w:t>
      </w:r>
    </w:p>
    <w:p w14:paraId="16C6D2E6" w14:textId="77777777" w:rsidR="00D02A8C" w:rsidRPr="00D02A8C" w:rsidRDefault="00D02A8C" w:rsidP="00D02A8C">
      <w:pPr>
        <w:spacing w:line="360" w:lineRule="auto"/>
        <w:jc w:val="both"/>
        <w:rPr>
          <w:bCs/>
          <w:iCs/>
          <w:lang w:val="es-ES" w:eastAsia="es-ES"/>
        </w:rPr>
      </w:pPr>
      <w:r w:rsidRPr="00D02A8C">
        <w:rPr>
          <w:bCs/>
          <w:lang w:val="es-ES" w:eastAsia="es-ES"/>
        </w:rPr>
        <w:t xml:space="preserve">Visualización: </w:t>
      </w:r>
      <w:r w:rsidRPr="00D02A8C">
        <w:rPr>
          <w:bCs/>
          <w:i/>
          <w:lang w:val="es-ES" w:eastAsia="es-ES"/>
        </w:rPr>
        <w:t>Iliana Bouza Denis.</w:t>
      </w:r>
    </w:p>
    <w:p w14:paraId="64957361" w14:textId="77777777" w:rsidR="00D02A8C" w:rsidRPr="00D02A8C" w:rsidRDefault="00D02A8C" w:rsidP="00D02A8C">
      <w:pPr>
        <w:spacing w:line="360" w:lineRule="auto"/>
        <w:jc w:val="both"/>
        <w:rPr>
          <w:bCs/>
          <w:iCs/>
          <w:lang w:val="es-ES" w:eastAsia="es-ES"/>
        </w:rPr>
      </w:pPr>
      <w:r w:rsidRPr="00D02A8C">
        <w:rPr>
          <w:bCs/>
          <w:lang w:val="es-ES" w:eastAsia="es-ES"/>
        </w:rPr>
        <w:t xml:space="preserve">Redacción-borrador original: </w:t>
      </w:r>
      <w:r w:rsidRPr="00D02A8C">
        <w:rPr>
          <w:bCs/>
          <w:i/>
          <w:lang w:val="es-ES" w:eastAsia="es-ES"/>
        </w:rPr>
        <w:t xml:space="preserve">Maricela </w:t>
      </w:r>
      <w:proofErr w:type="spellStart"/>
      <w:r w:rsidRPr="00D02A8C">
        <w:rPr>
          <w:bCs/>
          <w:i/>
          <w:lang w:val="es-ES" w:eastAsia="es-ES"/>
        </w:rPr>
        <w:t>Viciedo</w:t>
      </w:r>
      <w:proofErr w:type="spellEnd"/>
      <w:r w:rsidRPr="00D02A8C">
        <w:rPr>
          <w:bCs/>
          <w:i/>
          <w:lang w:val="es-ES" w:eastAsia="es-ES"/>
        </w:rPr>
        <w:t xml:space="preserve"> Guillermo.</w:t>
      </w:r>
    </w:p>
    <w:p w14:paraId="5478486C" w14:textId="77777777" w:rsidR="00D02A8C" w:rsidRPr="00D02A8C" w:rsidRDefault="00D02A8C" w:rsidP="00D02A8C">
      <w:pPr>
        <w:spacing w:line="360" w:lineRule="auto"/>
        <w:jc w:val="both"/>
        <w:rPr>
          <w:bCs/>
          <w:lang w:val="es-ES" w:eastAsia="es-ES"/>
        </w:rPr>
      </w:pPr>
      <w:r w:rsidRPr="00D02A8C">
        <w:rPr>
          <w:bCs/>
          <w:lang w:val="es-ES" w:eastAsia="es-ES"/>
        </w:rPr>
        <w:t xml:space="preserve">Redacción-revisión y edición: </w:t>
      </w:r>
      <w:r w:rsidRPr="00D02A8C">
        <w:rPr>
          <w:bCs/>
          <w:i/>
          <w:lang w:val="es-ES" w:eastAsia="es-ES"/>
        </w:rPr>
        <w:t xml:space="preserve">Jorge Félix </w:t>
      </w:r>
      <w:proofErr w:type="spellStart"/>
      <w:r w:rsidRPr="00D02A8C">
        <w:rPr>
          <w:bCs/>
          <w:i/>
          <w:lang w:val="es-ES" w:eastAsia="es-ES"/>
        </w:rPr>
        <w:t>Nuñez</w:t>
      </w:r>
      <w:proofErr w:type="spellEnd"/>
      <w:r w:rsidRPr="00D02A8C">
        <w:rPr>
          <w:bCs/>
          <w:i/>
          <w:lang w:val="es-ES" w:eastAsia="es-ES"/>
        </w:rPr>
        <w:t xml:space="preserve"> Martínez.</w:t>
      </w:r>
    </w:p>
    <w:p w14:paraId="62715C23" w14:textId="77777777" w:rsidR="00675476" w:rsidRPr="00D02A8C" w:rsidRDefault="00675476" w:rsidP="00EA1FEF">
      <w:pPr>
        <w:pStyle w:val="PDFRevista"/>
        <w:rPr>
          <w:lang w:val="es-ES"/>
        </w:rPr>
      </w:pPr>
    </w:p>
    <w:sectPr w:rsidR="00675476" w:rsidRPr="00D02A8C" w:rsidSect="00FD3DF8">
      <w:headerReference w:type="default" r:id="rId38"/>
      <w:footerReference w:type="even" r:id="rId39"/>
      <w:footerReference w:type="default" r:id="rId40"/>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60746" w14:textId="77777777" w:rsidR="00C36187" w:rsidRDefault="00C36187">
      <w:r>
        <w:separator/>
      </w:r>
    </w:p>
  </w:endnote>
  <w:endnote w:type="continuationSeparator" w:id="0">
    <w:p w14:paraId="5A59FE65" w14:textId="77777777" w:rsidR="00C36187" w:rsidRDefault="00C36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8B944"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1E8331C"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46629" w14:textId="758C4C15" w:rsidR="000F3690" w:rsidRPr="00AE044C" w:rsidRDefault="00D02A8C"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749BA334" wp14:editId="752A5F05">
              <wp:simplePos x="0" y="0"/>
              <wp:positionH relativeFrom="column">
                <wp:posOffset>3810</wp:posOffset>
              </wp:positionH>
              <wp:positionV relativeFrom="paragraph">
                <wp:posOffset>50165</wp:posOffset>
              </wp:positionV>
              <wp:extent cx="6286500" cy="19050"/>
              <wp:effectExtent l="19050" t="1905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B57D5C2"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aND19McBAABuAwAADgAAAAAAAAAAAAAA&#10;AAAuAgAAZHJzL2Uyb0RvYy54bWxQSwECLQAUAAYACAAAACEAhoC+k9oAAAAFAQAADwAAAAAAAAAA&#10;AAAAAAAhBAAAZHJzL2Rvd25yZXYueG1sUEsFBgAAAAAEAAQA8wAAACgFAAAAAA==&#10;" strokecolor="blue" strokeweight="2.25pt"/>
          </w:pict>
        </mc:Fallback>
      </mc:AlternateContent>
    </w:r>
  </w:p>
  <w:p w14:paraId="117026A9" w14:textId="77777777" w:rsidR="00675476" w:rsidRPr="00AE044C" w:rsidRDefault="00C36187" w:rsidP="00391509">
    <w:pPr>
      <w:pStyle w:val="Piedepgina"/>
      <w:ind w:right="360"/>
      <w:rPr>
        <w:sz w:val="22"/>
        <w:szCs w:val="22"/>
      </w:rPr>
    </w:pPr>
    <w:hyperlink r:id="rId1" w:history="1">
      <w:r w:rsidR="00391509" w:rsidRPr="00AE044C">
        <w:rPr>
          <w:rStyle w:val="Hipervnculo"/>
          <w:sz w:val="22"/>
          <w:szCs w:val="22"/>
        </w:rPr>
        <w:t>http://scielo.sld.cu</w:t>
      </w:r>
    </w:hyperlink>
  </w:p>
  <w:p w14:paraId="1687ED3A" w14:textId="77777777" w:rsidR="00391509" w:rsidRPr="00AE044C" w:rsidRDefault="00C36187"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77A476A6" w14:textId="2FC93D8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00D02A8C" w:rsidRPr="00D02A8C">
      <w:rPr>
        <w:rFonts w:ascii="Verdana" w:hAnsi="Verdana"/>
        <w:noProof/>
        <w:sz w:val="18"/>
        <w:szCs w:val="18"/>
        <w:lang w:val="en-US" w:eastAsia="en-US"/>
      </w:rPr>
      <w:drawing>
        <wp:inline distT="0" distB="0" distL="0" distR="0" wp14:anchorId="11D0E95F" wp14:editId="0D5FD05D">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FDC08" w14:textId="77777777" w:rsidR="00C36187" w:rsidRDefault="00C36187">
      <w:r>
        <w:separator/>
      </w:r>
    </w:p>
  </w:footnote>
  <w:footnote w:type="continuationSeparator" w:id="0">
    <w:p w14:paraId="43F1CF95" w14:textId="77777777" w:rsidR="00C36187" w:rsidRDefault="00C36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9C97" w14:textId="34627E6E" w:rsidR="00CC376A" w:rsidRPr="00AE044C" w:rsidRDefault="00D02A8C"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 xml:space="preserve"> 51</w:t>
    </w:r>
    <w:r w:rsidR="007D2D0C" w:rsidRPr="00AE044C">
      <w:rPr>
        <w:sz w:val="22"/>
        <w:szCs w:val="22"/>
      </w:rPr>
      <w:t>(</w:t>
    </w:r>
    <w:r>
      <w:rPr>
        <w:sz w:val="22"/>
        <w:szCs w:val="22"/>
      </w:rPr>
      <w:t>2</w:t>
    </w:r>
    <w:r w:rsidR="007D2D0C" w:rsidRPr="00AE044C">
      <w:rPr>
        <w:sz w:val="22"/>
        <w:szCs w:val="22"/>
      </w:rPr>
      <w:t>):</w:t>
    </w:r>
    <w:r>
      <w:rPr>
        <w:noProof/>
      </w:rPr>
      <w:drawing>
        <wp:anchor distT="0" distB="0" distL="114300" distR="114300" simplePos="0" relativeHeight="251663360" behindDoc="1" locked="0" layoutInCell="1" allowOverlap="1" wp14:anchorId="4044365A" wp14:editId="5B505890">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 xml:space="preserve"> e02201782</w:t>
    </w:r>
  </w:p>
  <w:p w14:paraId="5BE6172F" w14:textId="3F759C84" w:rsidR="00A477DE" w:rsidRDefault="00D02A8C">
    <w:r>
      <w:rPr>
        <w:noProof/>
      </w:rPr>
      <mc:AlternateContent>
        <mc:Choice Requires="wps">
          <w:drawing>
            <wp:anchor distT="0" distB="0" distL="114300" distR="114300" simplePos="0" relativeHeight="251654144" behindDoc="0" locked="0" layoutInCell="1" allowOverlap="1" wp14:anchorId="13E5DEA9" wp14:editId="723A3E51">
              <wp:simplePos x="0" y="0"/>
              <wp:positionH relativeFrom="column">
                <wp:posOffset>635</wp:posOffset>
              </wp:positionH>
              <wp:positionV relativeFrom="paragraph">
                <wp:posOffset>42545</wp:posOffset>
              </wp:positionV>
              <wp:extent cx="6307455" cy="28575"/>
              <wp:effectExtent l="19050" t="19050" r="17145" b="952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95F2FD"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A8C"/>
    <w:rsid w:val="00057F45"/>
    <w:rsid w:val="000D3958"/>
    <w:rsid w:val="000F3690"/>
    <w:rsid w:val="001221D1"/>
    <w:rsid w:val="00165CB5"/>
    <w:rsid w:val="00180CE9"/>
    <w:rsid w:val="00230DD5"/>
    <w:rsid w:val="00250AE9"/>
    <w:rsid w:val="00380D64"/>
    <w:rsid w:val="00391509"/>
    <w:rsid w:val="003E03D5"/>
    <w:rsid w:val="00486BFA"/>
    <w:rsid w:val="00493701"/>
    <w:rsid w:val="004E2065"/>
    <w:rsid w:val="005508A2"/>
    <w:rsid w:val="0055115D"/>
    <w:rsid w:val="00566F71"/>
    <w:rsid w:val="005918BD"/>
    <w:rsid w:val="006173A6"/>
    <w:rsid w:val="00675476"/>
    <w:rsid w:val="006A2012"/>
    <w:rsid w:val="007C430F"/>
    <w:rsid w:val="007D2D0C"/>
    <w:rsid w:val="007D614D"/>
    <w:rsid w:val="00960D6A"/>
    <w:rsid w:val="009A0560"/>
    <w:rsid w:val="009B0917"/>
    <w:rsid w:val="009F0F96"/>
    <w:rsid w:val="00A23C0C"/>
    <w:rsid w:val="00A477DE"/>
    <w:rsid w:val="00A641B4"/>
    <w:rsid w:val="00A71E65"/>
    <w:rsid w:val="00AE044C"/>
    <w:rsid w:val="00B31971"/>
    <w:rsid w:val="00B4380A"/>
    <w:rsid w:val="00B66ECB"/>
    <w:rsid w:val="00C36187"/>
    <w:rsid w:val="00C7523A"/>
    <w:rsid w:val="00CC1B6E"/>
    <w:rsid w:val="00CC376A"/>
    <w:rsid w:val="00CC48A1"/>
    <w:rsid w:val="00CF50E0"/>
    <w:rsid w:val="00D02A8C"/>
    <w:rsid w:val="00D85951"/>
    <w:rsid w:val="00E62606"/>
    <w:rsid w:val="00EA1FEF"/>
    <w:rsid w:val="00EC5A6B"/>
    <w:rsid w:val="00EE301D"/>
    <w:rsid w:val="00FA7CC1"/>
    <w:rsid w:val="00FD3DF8"/>
    <w:rsid w:val="00FE40CB"/>
    <w:rsid w:val="00FF3C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A149AC"/>
  <w15:docId w15:val="{9CC91676-5367-4A9A-8F8C-7EB90C4B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7262-3977" TargetMode="External"/><Relationship Id="rId13" Type="http://schemas.openxmlformats.org/officeDocument/2006/relationships/image" Target="media/image2.gif"/><Relationship Id="rId18" Type="http://schemas.openxmlformats.org/officeDocument/2006/relationships/hyperlink" Target="https://gut.bmj.com/content/gutjnl/62/1/102.full.pdf" TargetMode="External"/><Relationship Id="rId26" Type="http://schemas.openxmlformats.org/officeDocument/2006/relationships/hyperlink" Target="https://doi.org/10.1186/s13017-019-0247-0"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sciencedirect.com/science/article/pii/S1542356511009141" TargetMode="External"/><Relationship Id="rId34" Type="http://schemas.openxmlformats.org/officeDocument/2006/relationships/hyperlink" Target="http://www.revmie.sld.cu/index.php/mie/article/view/687" TargetMode="External"/><Relationship Id="rId42" Type="http://schemas.openxmlformats.org/officeDocument/2006/relationships/theme" Target="theme/theme1.xml"/><Relationship Id="rId7" Type="http://schemas.openxmlformats.org/officeDocument/2006/relationships/hyperlink" Target="https://orcid.org/0000-0001-5911-4019" TargetMode="External"/><Relationship Id="rId12" Type="http://schemas.openxmlformats.org/officeDocument/2006/relationships/image" Target="media/image1.gif"/><Relationship Id="rId17" Type="http://schemas.openxmlformats.org/officeDocument/2006/relationships/hyperlink" Target="http://www.scielo.org.co/scielo.php?script=sci_arttext&amp;pid=S0121-07932014000400008&amp;nrm=iso" TargetMode="External"/><Relationship Id="rId25" Type="http://schemas.openxmlformats.org/officeDocument/2006/relationships/hyperlink" Target="https://www.sciencedirect.com/science/article/pii/S1590865817313282" TargetMode="External"/><Relationship Id="rId33" Type="http://schemas.openxmlformats.org/officeDocument/2006/relationships/hyperlink" Target="https://pubmed.ncbi.nlm.nih.gov/30768987"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revistacirugia.org/index.php/cirugia/article/view/241" TargetMode="External"/><Relationship Id="rId20" Type="http://schemas.openxmlformats.org/officeDocument/2006/relationships/hyperlink" Target="https://gut.bmj.com/content/53/9/1340.long" TargetMode="External"/><Relationship Id="rId29" Type="http://schemas.openxmlformats.org/officeDocument/2006/relationships/hyperlink" Target="http://scielo.sld.cu/scielo.php?script=sci_arttext&amp;pid=S1684-18242017000600007&amp;nrm=iso"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rgefelixnunezmartinez@gmail.com" TargetMode="External"/><Relationship Id="rId24" Type="http://schemas.openxmlformats.org/officeDocument/2006/relationships/hyperlink" Target="https://www.sciencedirect.com/science/article/pii/S142439032030199X" TargetMode="External"/><Relationship Id="rId32" Type="http://schemas.openxmlformats.org/officeDocument/2006/relationships/hyperlink" Target="http://www.scielo.sa.cr/scielo.php?script=sci_arttext&amp;pid=S0001-60022017000400138&amp;lng=en" TargetMode="External"/><Relationship Id="rId37" Type="http://schemas.openxmlformats.org/officeDocument/2006/relationships/hyperlink" Target="https://pubmed.ncbi.nlm.nih.gov/26730150"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revistacirugia.org/index.php/cirugia/article/view/457" TargetMode="External"/><Relationship Id="rId23" Type="http://schemas.openxmlformats.org/officeDocument/2006/relationships/hyperlink" Target="https://www.sciencedirect.com/science/article/pii/S0009926010003326" TargetMode="External"/><Relationship Id="rId28" Type="http://schemas.openxmlformats.org/officeDocument/2006/relationships/hyperlink" Target="https://www.sciencedirect.com/science/article/pii/S1542356519313217" TargetMode="External"/><Relationship Id="rId36" Type="http://schemas.openxmlformats.org/officeDocument/2006/relationships/hyperlink" Target="https://pubmed.ncbi.nlm.nih.gov/30997789" TargetMode="External"/><Relationship Id="rId10" Type="http://schemas.openxmlformats.org/officeDocument/2006/relationships/hyperlink" Target="https://orcid.org/0000-0003-3642-342X" TargetMode="External"/><Relationship Id="rId19" Type="http://schemas.openxmlformats.org/officeDocument/2006/relationships/hyperlink" Target="https://academic.oup.com/bjs/article/93/6/738/6142313" TargetMode="External"/><Relationship Id="rId31" Type="http://schemas.openxmlformats.org/officeDocument/2006/relationships/hyperlink" Target="https://www.sciencedirect.com/science/article/pii/S021057051930264X" TargetMode="External"/><Relationship Id="rId4" Type="http://schemas.openxmlformats.org/officeDocument/2006/relationships/webSettings" Target="webSettings.xml"/><Relationship Id="rId9" Type="http://schemas.openxmlformats.org/officeDocument/2006/relationships/hyperlink" Target="https://orcid.org/0000-0001-9185-5618" TargetMode="External"/><Relationship Id="rId14" Type="http://schemas.openxmlformats.org/officeDocument/2006/relationships/image" Target="media/image3.gif"/><Relationship Id="rId22" Type="http://schemas.openxmlformats.org/officeDocument/2006/relationships/hyperlink" Target="https://www.sciencedirect.com/science/article/pii/S0021755718303024" TargetMode="External"/><Relationship Id="rId27" Type="http://schemas.openxmlformats.org/officeDocument/2006/relationships/hyperlink" Target="https://pubmed.ncbi.nlm.nih.gov/31008971" TargetMode="External"/><Relationship Id="rId30" Type="http://schemas.openxmlformats.org/officeDocument/2006/relationships/hyperlink" Target="http://www.medisur.sld.cu/index.php/medisur/article/view/3830" TargetMode="External"/><Relationship Id="rId35" Type="http://schemas.openxmlformats.org/officeDocument/2006/relationships/hyperlink" Target="https://doi.org/10.1007/s00261-019-02364-x"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TotalTime>
  <Pages>13</Pages>
  <Words>3827</Words>
  <Characters>21050</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24828</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4</cp:revision>
  <cp:lastPrinted>2010-09-13T21:29:00Z</cp:lastPrinted>
  <dcterms:created xsi:type="dcterms:W3CDTF">2022-04-29T03:09:00Z</dcterms:created>
  <dcterms:modified xsi:type="dcterms:W3CDTF">2022-04-29T03:11:00Z</dcterms:modified>
</cp:coreProperties>
</file>