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B1EB8" w14:textId="77777777" w:rsidR="00A1510F" w:rsidRPr="00A1510F" w:rsidRDefault="00A1510F" w:rsidP="00A1510F">
      <w:pPr>
        <w:spacing w:line="360" w:lineRule="auto"/>
        <w:jc w:val="right"/>
        <w:rPr>
          <w:rFonts w:eastAsia="Calibri"/>
          <w:sz w:val="20"/>
          <w:szCs w:val="20"/>
          <w:lang w:val="es-MX" w:eastAsia="en-US"/>
        </w:rPr>
      </w:pPr>
      <w:bookmarkStart w:id="0" w:name="_Hlk111471651"/>
      <w:bookmarkStart w:id="1" w:name="_Hlk107149120"/>
      <w:r w:rsidRPr="00A1510F">
        <w:rPr>
          <w:rFonts w:eastAsia="Calibri"/>
          <w:sz w:val="20"/>
          <w:szCs w:val="20"/>
          <w:lang w:val="es-MX" w:eastAsia="en-US"/>
        </w:rPr>
        <w:t>Artículo de investigación</w:t>
      </w:r>
    </w:p>
    <w:p w14:paraId="68066603" w14:textId="77777777" w:rsidR="00A1510F" w:rsidRPr="00A1510F" w:rsidRDefault="00A1510F" w:rsidP="00A1510F">
      <w:pPr>
        <w:spacing w:line="360" w:lineRule="auto"/>
        <w:jc w:val="right"/>
        <w:rPr>
          <w:rFonts w:eastAsia="Calibri"/>
          <w:lang w:val="es-MX" w:eastAsia="en-US"/>
        </w:rPr>
      </w:pPr>
    </w:p>
    <w:p w14:paraId="588473E1" w14:textId="77777777" w:rsidR="00A1510F" w:rsidRPr="00A1510F" w:rsidRDefault="00A1510F" w:rsidP="00A1510F">
      <w:pPr>
        <w:spacing w:line="360" w:lineRule="auto"/>
        <w:jc w:val="center"/>
        <w:rPr>
          <w:rFonts w:eastAsia="Calibri"/>
          <w:b/>
          <w:sz w:val="28"/>
          <w:szCs w:val="28"/>
          <w:lang w:val="es-MX" w:eastAsia="en-US"/>
        </w:rPr>
      </w:pPr>
      <w:r w:rsidRPr="00A1510F">
        <w:rPr>
          <w:rFonts w:eastAsia="Calibri"/>
          <w:b/>
          <w:sz w:val="28"/>
          <w:szCs w:val="28"/>
          <w:lang w:val="es-MX" w:eastAsia="en-US"/>
        </w:rPr>
        <w:t xml:space="preserve">Respuesta al tratamiento inmunosupresor de pacientes con hepatitis autoinmune </w:t>
      </w:r>
    </w:p>
    <w:p w14:paraId="6C5E6311" w14:textId="77777777" w:rsidR="00A1510F" w:rsidRPr="00A1510F" w:rsidRDefault="00A1510F" w:rsidP="00A1510F">
      <w:pPr>
        <w:spacing w:line="360" w:lineRule="auto"/>
        <w:jc w:val="center"/>
        <w:rPr>
          <w:rFonts w:eastAsia="Calibri"/>
          <w:sz w:val="28"/>
          <w:szCs w:val="28"/>
          <w:lang w:val="en-US" w:eastAsia="en-US"/>
        </w:rPr>
      </w:pPr>
      <w:r w:rsidRPr="00A1510F">
        <w:rPr>
          <w:rFonts w:eastAsia="Calibri"/>
          <w:sz w:val="28"/>
          <w:szCs w:val="28"/>
          <w:lang w:val="en" w:eastAsia="en-US"/>
        </w:rPr>
        <w:t>Response to immunosuppressive treatment of patients with autoimmune hepatitis</w:t>
      </w:r>
    </w:p>
    <w:p w14:paraId="7C0B6554" w14:textId="77777777" w:rsidR="00A1510F" w:rsidRPr="00A1510F" w:rsidRDefault="00A1510F" w:rsidP="00A1510F">
      <w:pPr>
        <w:spacing w:line="360" w:lineRule="auto"/>
        <w:jc w:val="both"/>
        <w:rPr>
          <w:rFonts w:eastAsia="Calibri"/>
          <w:lang w:val="en-US" w:eastAsia="en-US"/>
        </w:rPr>
      </w:pPr>
    </w:p>
    <w:p w14:paraId="5C3B45EB" w14:textId="77777777" w:rsidR="00A1510F" w:rsidRPr="00A1510F" w:rsidRDefault="00A1510F" w:rsidP="00A1510F">
      <w:pPr>
        <w:spacing w:line="360" w:lineRule="auto"/>
        <w:jc w:val="both"/>
        <w:rPr>
          <w:rFonts w:eastAsia="Calibri"/>
          <w:lang w:val="es-MX" w:eastAsia="en-US"/>
        </w:rPr>
      </w:pPr>
      <w:proofErr w:type="spellStart"/>
      <w:r w:rsidRPr="00A1510F">
        <w:rPr>
          <w:rFonts w:eastAsia="Calibri"/>
          <w:lang w:val="es-MX" w:eastAsia="en-US"/>
        </w:rPr>
        <w:t>Harlim</w:t>
      </w:r>
      <w:proofErr w:type="spellEnd"/>
      <w:r w:rsidRPr="00A1510F">
        <w:rPr>
          <w:rFonts w:eastAsia="Calibri"/>
          <w:lang w:val="es-MX" w:eastAsia="en-US"/>
        </w:rPr>
        <w:t xml:space="preserve"> Rodríguez Rodríguez</w:t>
      </w:r>
      <w:r w:rsidRPr="00A1510F">
        <w:rPr>
          <w:rFonts w:eastAsia="Calibri"/>
          <w:vertAlign w:val="superscript"/>
          <w:lang w:val="es-MX" w:eastAsia="en-US"/>
        </w:rPr>
        <w:t>1</w:t>
      </w:r>
      <w:r w:rsidRPr="00A1510F">
        <w:rPr>
          <w:rFonts w:eastAsia="Calibri"/>
          <w:lang w:val="es-MX" w:eastAsia="en-US"/>
        </w:rPr>
        <w:t xml:space="preserve">* </w:t>
      </w:r>
      <w:hyperlink r:id="rId7" w:history="1">
        <w:r w:rsidRPr="00A1510F">
          <w:rPr>
            <w:rFonts w:eastAsia="Calibri"/>
            <w:color w:val="0563C1"/>
            <w:lang w:val="es-MX" w:eastAsia="en-US"/>
          </w:rPr>
          <w:t>https://orcid.org/0000-0003-3005-7107</w:t>
        </w:r>
      </w:hyperlink>
      <w:r w:rsidRPr="00A1510F">
        <w:rPr>
          <w:rFonts w:eastAsia="Calibri"/>
          <w:lang w:val="es-MX" w:eastAsia="en-US"/>
        </w:rPr>
        <w:t xml:space="preserve"> </w:t>
      </w:r>
    </w:p>
    <w:p w14:paraId="68F632B1"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 xml:space="preserve">Marcia </w:t>
      </w:r>
      <w:proofErr w:type="spellStart"/>
      <w:r w:rsidRPr="00A1510F">
        <w:rPr>
          <w:rFonts w:eastAsia="Calibri"/>
          <w:lang w:val="es-MX" w:eastAsia="en-US"/>
        </w:rPr>
        <w:t>Samada</w:t>
      </w:r>
      <w:proofErr w:type="spellEnd"/>
      <w:r w:rsidRPr="00A1510F">
        <w:rPr>
          <w:rFonts w:eastAsia="Calibri"/>
          <w:lang w:val="es-MX" w:eastAsia="en-US"/>
        </w:rPr>
        <w:t xml:space="preserve"> Suárez</w:t>
      </w:r>
      <w:r w:rsidRPr="00A1510F">
        <w:rPr>
          <w:rFonts w:eastAsia="Calibri"/>
          <w:vertAlign w:val="superscript"/>
          <w:lang w:val="es-MX" w:eastAsia="en-US"/>
        </w:rPr>
        <w:t>2</w:t>
      </w:r>
      <w:r w:rsidRPr="00A1510F">
        <w:rPr>
          <w:rFonts w:eastAsia="Calibri"/>
          <w:lang w:val="es-MX" w:eastAsia="en-US"/>
        </w:rPr>
        <w:t xml:space="preserve"> </w:t>
      </w:r>
      <w:hyperlink r:id="rId8" w:history="1">
        <w:r w:rsidRPr="00A1510F">
          <w:rPr>
            <w:rFonts w:eastAsia="Calibri"/>
            <w:color w:val="0563C1"/>
            <w:lang w:val="es-MX" w:eastAsia="en-US"/>
          </w:rPr>
          <w:t>https://orcid.org/0000-0002-3795-3801</w:t>
        </w:r>
      </w:hyperlink>
      <w:r w:rsidRPr="00A1510F">
        <w:rPr>
          <w:rFonts w:eastAsia="Calibri"/>
          <w:lang w:val="es-MX" w:eastAsia="en-US"/>
        </w:rPr>
        <w:t xml:space="preserve"> </w:t>
      </w:r>
    </w:p>
    <w:p w14:paraId="4803A6D6"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Teresita Pérez González</w:t>
      </w:r>
      <w:r w:rsidRPr="00A1510F">
        <w:rPr>
          <w:rFonts w:eastAsia="Calibri"/>
          <w:vertAlign w:val="superscript"/>
          <w:lang w:val="es-MX" w:eastAsia="en-US"/>
        </w:rPr>
        <w:t>1</w:t>
      </w:r>
      <w:r w:rsidRPr="00A1510F">
        <w:rPr>
          <w:rFonts w:eastAsia="Calibri"/>
          <w:lang w:val="es-MX" w:eastAsia="en-US"/>
        </w:rPr>
        <w:t xml:space="preserve"> </w:t>
      </w:r>
      <w:hyperlink r:id="rId9" w:history="1">
        <w:r w:rsidRPr="00A1510F">
          <w:rPr>
            <w:rFonts w:eastAsia="Calibri"/>
            <w:color w:val="0563C1"/>
            <w:lang w:val="es-MX" w:eastAsia="en-US"/>
          </w:rPr>
          <w:t>https://orcid.org/0000-0003-0318-2914</w:t>
        </w:r>
      </w:hyperlink>
      <w:r w:rsidRPr="00A1510F">
        <w:rPr>
          <w:rFonts w:eastAsia="Calibri"/>
          <w:lang w:val="es-MX" w:eastAsia="en-US"/>
        </w:rPr>
        <w:t xml:space="preserve"> </w:t>
      </w:r>
    </w:p>
    <w:p w14:paraId="4F244738"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Lisset Barroso Márquez</w:t>
      </w:r>
      <w:r w:rsidRPr="00A1510F">
        <w:rPr>
          <w:rFonts w:eastAsia="Calibri"/>
          <w:vertAlign w:val="superscript"/>
          <w:lang w:val="es-MX" w:eastAsia="en-US"/>
        </w:rPr>
        <w:t>2</w:t>
      </w:r>
      <w:r w:rsidRPr="00A1510F">
        <w:rPr>
          <w:rFonts w:eastAsia="Calibri"/>
          <w:lang w:val="es-MX" w:eastAsia="en-US"/>
        </w:rPr>
        <w:t xml:space="preserve"> </w:t>
      </w:r>
      <w:hyperlink r:id="rId10" w:history="1">
        <w:r w:rsidRPr="00A1510F">
          <w:rPr>
            <w:rFonts w:eastAsia="Calibri"/>
            <w:color w:val="0563C1"/>
            <w:lang w:val="es-MX" w:eastAsia="en-US"/>
          </w:rPr>
          <w:t>https://orcid.org/0000-0002-3043-1763</w:t>
        </w:r>
      </w:hyperlink>
      <w:r w:rsidRPr="00A1510F">
        <w:rPr>
          <w:rFonts w:eastAsia="Calibri"/>
          <w:lang w:val="es-MX" w:eastAsia="en-US"/>
        </w:rPr>
        <w:t xml:space="preserve"> </w:t>
      </w:r>
    </w:p>
    <w:p w14:paraId="3DCD0344" w14:textId="77777777" w:rsidR="00A1510F" w:rsidRPr="00A1510F" w:rsidRDefault="00A1510F" w:rsidP="00A1510F">
      <w:pPr>
        <w:spacing w:line="360" w:lineRule="auto"/>
        <w:jc w:val="both"/>
        <w:rPr>
          <w:rFonts w:eastAsia="Calibri"/>
          <w:lang w:val="es-MX" w:eastAsia="en-US"/>
        </w:rPr>
      </w:pPr>
      <w:proofErr w:type="spellStart"/>
      <w:r w:rsidRPr="00A1510F">
        <w:rPr>
          <w:rFonts w:eastAsia="Calibri"/>
          <w:lang w:val="es-MX" w:eastAsia="en-US"/>
        </w:rPr>
        <w:t>Zucel</w:t>
      </w:r>
      <w:proofErr w:type="spellEnd"/>
      <w:r w:rsidRPr="00A1510F">
        <w:rPr>
          <w:rFonts w:eastAsia="Calibri"/>
          <w:lang w:val="es-MX" w:eastAsia="en-US"/>
        </w:rPr>
        <w:t xml:space="preserve"> </w:t>
      </w:r>
      <w:proofErr w:type="spellStart"/>
      <w:r w:rsidRPr="00A1510F">
        <w:rPr>
          <w:rFonts w:eastAsia="Calibri"/>
          <w:lang w:val="es-MX" w:eastAsia="en-US"/>
        </w:rPr>
        <w:t>Danay</w:t>
      </w:r>
      <w:proofErr w:type="spellEnd"/>
      <w:r w:rsidRPr="00A1510F">
        <w:rPr>
          <w:rFonts w:eastAsia="Calibri"/>
          <w:lang w:val="es-MX" w:eastAsia="en-US"/>
        </w:rPr>
        <w:t xml:space="preserve"> Cruz Hernández</w:t>
      </w:r>
      <w:r w:rsidRPr="00A1510F">
        <w:rPr>
          <w:rFonts w:eastAsia="Calibri"/>
          <w:vertAlign w:val="superscript"/>
          <w:lang w:val="es-MX" w:eastAsia="en-US"/>
        </w:rPr>
        <w:t>3</w:t>
      </w:r>
      <w:r w:rsidRPr="00A1510F">
        <w:rPr>
          <w:rFonts w:eastAsia="Calibri"/>
          <w:lang w:val="es-MX" w:eastAsia="en-US"/>
        </w:rPr>
        <w:t xml:space="preserve"> </w:t>
      </w:r>
      <w:hyperlink r:id="rId11" w:history="1">
        <w:r w:rsidRPr="00A1510F">
          <w:rPr>
            <w:rFonts w:eastAsia="Calibri"/>
            <w:color w:val="0563C1"/>
            <w:lang w:val="es-MX" w:eastAsia="en-US"/>
          </w:rPr>
          <w:t>https://orcid.org/0000-0001-6551-502X</w:t>
        </w:r>
      </w:hyperlink>
      <w:r w:rsidRPr="00A1510F">
        <w:rPr>
          <w:rFonts w:eastAsia="Calibri"/>
          <w:lang w:val="es-MX" w:eastAsia="en-US"/>
        </w:rPr>
        <w:t xml:space="preserve">   </w:t>
      </w:r>
    </w:p>
    <w:p w14:paraId="7D030BF6" w14:textId="77777777" w:rsidR="00A1510F" w:rsidRPr="00A1510F" w:rsidRDefault="00A1510F" w:rsidP="00A1510F">
      <w:pPr>
        <w:spacing w:line="360" w:lineRule="auto"/>
        <w:jc w:val="both"/>
        <w:rPr>
          <w:rFonts w:eastAsia="Calibri"/>
          <w:lang w:val="es-MX" w:eastAsia="en-US"/>
        </w:rPr>
      </w:pPr>
      <w:proofErr w:type="spellStart"/>
      <w:r w:rsidRPr="00A1510F">
        <w:rPr>
          <w:rFonts w:eastAsia="Calibri"/>
          <w:lang w:val="es-MX" w:eastAsia="en-US"/>
        </w:rPr>
        <w:t>Yunia</w:t>
      </w:r>
      <w:proofErr w:type="spellEnd"/>
      <w:r w:rsidRPr="00A1510F">
        <w:rPr>
          <w:rFonts w:eastAsia="Calibri"/>
          <w:lang w:val="es-MX" w:eastAsia="en-US"/>
        </w:rPr>
        <w:t xml:space="preserve"> Tusen Toledo</w:t>
      </w:r>
      <w:r w:rsidRPr="00A1510F">
        <w:rPr>
          <w:rFonts w:eastAsia="Calibri"/>
          <w:vertAlign w:val="superscript"/>
          <w:lang w:val="es-MX" w:eastAsia="en-US"/>
        </w:rPr>
        <w:t>2</w:t>
      </w:r>
      <w:r w:rsidRPr="00A1510F">
        <w:rPr>
          <w:rFonts w:eastAsia="Calibri"/>
          <w:lang w:val="es-MX" w:eastAsia="en-US"/>
        </w:rPr>
        <w:t xml:space="preserve"> </w:t>
      </w:r>
      <w:hyperlink r:id="rId12" w:history="1">
        <w:r w:rsidRPr="00A1510F">
          <w:rPr>
            <w:rFonts w:eastAsia="Calibri"/>
            <w:color w:val="0563C1"/>
            <w:lang w:val="es-MX" w:eastAsia="en-US"/>
          </w:rPr>
          <w:t>https://orcid.org/0000-0001-7996-239</w:t>
        </w:r>
      </w:hyperlink>
      <w:r w:rsidRPr="00A1510F">
        <w:rPr>
          <w:rFonts w:eastAsia="Calibri"/>
          <w:lang w:val="es-MX" w:eastAsia="en-US"/>
        </w:rPr>
        <w:t xml:space="preserve">  </w:t>
      </w:r>
    </w:p>
    <w:p w14:paraId="78EEC869"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Ludmila Martínez Leyva</w:t>
      </w:r>
      <w:r w:rsidRPr="00A1510F">
        <w:rPr>
          <w:rFonts w:eastAsia="Calibri"/>
          <w:vertAlign w:val="superscript"/>
          <w:lang w:val="es-MX" w:eastAsia="en-US"/>
        </w:rPr>
        <w:t>4</w:t>
      </w:r>
      <w:r w:rsidRPr="00A1510F">
        <w:rPr>
          <w:rFonts w:eastAsia="Calibri"/>
          <w:lang w:val="es-MX" w:eastAsia="en-US"/>
        </w:rPr>
        <w:t xml:space="preserve"> </w:t>
      </w:r>
      <w:hyperlink r:id="rId13" w:history="1">
        <w:r w:rsidRPr="00A1510F">
          <w:rPr>
            <w:rFonts w:eastAsia="Calibri"/>
            <w:color w:val="0563C1"/>
            <w:lang w:val="es-MX" w:eastAsia="en-US"/>
          </w:rPr>
          <w:t>https://orcid.org/0000-0002-4333-4030</w:t>
        </w:r>
      </w:hyperlink>
      <w:r w:rsidRPr="00A1510F">
        <w:rPr>
          <w:rFonts w:eastAsia="Calibri"/>
          <w:lang w:val="es-MX" w:eastAsia="en-US"/>
        </w:rPr>
        <w:t xml:space="preserve"> </w:t>
      </w:r>
    </w:p>
    <w:p w14:paraId="7B8B61A5" w14:textId="77777777" w:rsidR="00A1510F" w:rsidRPr="00A1510F" w:rsidRDefault="00A1510F" w:rsidP="00A1510F">
      <w:pPr>
        <w:spacing w:line="360" w:lineRule="auto"/>
        <w:jc w:val="both"/>
        <w:rPr>
          <w:rFonts w:eastAsia="Calibri"/>
          <w:lang w:val="es-MX" w:eastAsia="en-US"/>
        </w:rPr>
      </w:pPr>
    </w:p>
    <w:p w14:paraId="2D2E00BC" w14:textId="77777777" w:rsidR="00A1510F" w:rsidRPr="00A1510F" w:rsidRDefault="00A1510F" w:rsidP="00A1510F">
      <w:pPr>
        <w:spacing w:line="360" w:lineRule="auto"/>
        <w:jc w:val="both"/>
        <w:rPr>
          <w:rFonts w:eastAsia="Calibri"/>
          <w:lang w:val="es-MX" w:eastAsia="en-US"/>
        </w:rPr>
      </w:pPr>
      <w:r w:rsidRPr="00A1510F">
        <w:rPr>
          <w:rFonts w:eastAsia="Calibri"/>
          <w:vertAlign w:val="superscript"/>
          <w:lang w:val="es-MX" w:eastAsia="en-US"/>
        </w:rPr>
        <w:t>1</w:t>
      </w:r>
      <w:r w:rsidRPr="00A1510F">
        <w:rPr>
          <w:rFonts w:eastAsia="Calibri"/>
          <w:lang w:val="es-MX" w:eastAsia="en-US"/>
        </w:rPr>
        <w:t>Hospital General “Iván Portuondo”. Artemisa, Cuba.</w:t>
      </w:r>
    </w:p>
    <w:p w14:paraId="58DF07A2" w14:textId="77777777" w:rsidR="00A1510F" w:rsidRPr="00A1510F" w:rsidRDefault="00A1510F" w:rsidP="00A1510F">
      <w:pPr>
        <w:spacing w:line="360" w:lineRule="auto"/>
        <w:jc w:val="both"/>
        <w:rPr>
          <w:rFonts w:eastAsia="Calibri"/>
          <w:lang w:val="es-MX" w:eastAsia="en-US"/>
        </w:rPr>
      </w:pPr>
      <w:r w:rsidRPr="00A1510F">
        <w:rPr>
          <w:rFonts w:eastAsia="Calibri"/>
          <w:vertAlign w:val="superscript"/>
          <w:lang w:val="es-MX" w:eastAsia="en-US"/>
        </w:rPr>
        <w:t>2</w:t>
      </w:r>
      <w:r w:rsidRPr="00A1510F">
        <w:rPr>
          <w:rFonts w:eastAsia="Calibri"/>
          <w:lang w:val="es-MX" w:eastAsia="en-US"/>
        </w:rPr>
        <w:t>Centro de Investigaciones Médico Quirúrgicas. La Habana, Cuba.</w:t>
      </w:r>
    </w:p>
    <w:p w14:paraId="7F34BBCC" w14:textId="77777777" w:rsidR="00A1510F" w:rsidRPr="00A1510F" w:rsidRDefault="00A1510F" w:rsidP="00A1510F">
      <w:pPr>
        <w:spacing w:line="360" w:lineRule="auto"/>
        <w:jc w:val="both"/>
        <w:rPr>
          <w:rFonts w:eastAsia="Calibri"/>
          <w:lang w:val="es-MX" w:eastAsia="en-US"/>
        </w:rPr>
      </w:pPr>
      <w:r w:rsidRPr="00A1510F">
        <w:rPr>
          <w:rFonts w:eastAsia="Calibri"/>
          <w:vertAlign w:val="superscript"/>
          <w:lang w:val="es-MX" w:eastAsia="en-US"/>
        </w:rPr>
        <w:t>3</w:t>
      </w:r>
      <w:r w:rsidRPr="00A1510F">
        <w:rPr>
          <w:rFonts w:eastAsia="Calibri"/>
          <w:lang w:val="es-MX" w:eastAsia="en-US"/>
        </w:rPr>
        <w:t>Hospital General “Leopoldito Martínez”. Mayabeque, Cuba.</w:t>
      </w:r>
    </w:p>
    <w:p w14:paraId="25157B2B" w14:textId="77777777" w:rsidR="00A1510F" w:rsidRPr="00A1510F" w:rsidRDefault="00A1510F" w:rsidP="00A1510F">
      <w:pPr>
        <w:spacing w:line="360" w:lineRule="auto"/>
        <w:jc w:val="both"/>
        <w:rPr>
          <w:rFonts w:eastAsia="Calibri"/>
          <w:lang w:val="es-MX" w:eastAsia="en-US"/>
        </w:rPr>
      </w:pPr>
      <w:r w:rsidRPr="00A1510F">
        <w:rPr>
          <w:rFonts w:eastAsia="Calibri"/>
          <w:vertAlign w:val="superscript"/>
          <w:lang w:val="es-MX" w:eastAsia="en-US"/>
        </w:rPr>
        <w:t>4</w:t>
      </w:r>
      <w:r w:rsidRPr="00A1510F">
        <w:rPr>
          <w:rFonts w:eastAsia="Calibri"/>
          <w:lang w:val="es-MX" w:eastAsia="en-US"/>
        </w:rPr>
        <w:t xml:space="preserve">Hospital Militar Central “Dr. Carlos J. </w:t>
      </w:r>
      <w:proofErr w:type="spellStart"/>
      <w:r w:rsidRPr="00A1510F">
        <w:rPr>
          <w:rFonts w:eastAsia="Calibri"/>
          <w:lang w:val="es-MX" w:eastAsia="en-US"/>
        </w:rPr>
        <w:t>Finlay</w:t>
      </w:r>
      <w:proofErr w:type="spellEnd"/>
      <w:r w:rsidRPr="00A1510F">
        <w:rPr>
          <w:rFonts w:eastAsia="Calibri"/>
          <w:lang w:val="es-MX" w:eastAsia="en-US"/>
        </w:rPr>
        <w:t>”. La Habana, Cuba.</w:t>
      </w:r>
    </w:p>
    <w:p w14:paraId="4422F66A" w14:textId="77777777" w:rsidR="00A1510F" w:rsidRPr="00A1510F" w:rsidRDefault="00A1510F" w:rsidP="00A1510F">
      <w:pPr>
        <w:spacing w:line="360" w:lineRule="auto"/>
        <w:jc w:val="both"/>
        <w:rPr>
          <w:rFonts w:eastAsia="Calibri"/>
          <w:lang w:val="es-MX" w:eastAsia="en-US"/>
        </w:rPr>
      </w:pPr>
    </w:p>
    <w:p w14:paraId="0C541987"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 xml:space="preserve">*Autor para la correspondencia. Correo electrónico: </w:t>
      </w:r>
      <w:hyperlink r:id="rId14" w:history="1">
        <w:r w:rsidRPr="00A1510F">
          <w:rPr>
            <w:rFonts w:eastAsia="Calibri"/>
            <w:color w:val="0563C1"/>
            <w:lang w:val="es-MX" w:eastAsia="en-US"/>
          </w:rPr>
          <w:t>rodriguezharlim@gmail.com</w:t>
        </w:r>
      </w:hyperlink>
      <w:r w:rsidRPr="00A1510F">
        <w:rPr>
          <w:rFonts w:eastAsia="Calibri"/>
          <w:lang w:val="es-MX" w:eastAsia="en-US"/>
        </w:rPr>
        <w:t xml:space="preserve"> </w:t>
      </w:r>
    </w:p>
    <w:p w14:paraId="1163FB6E" w14:textId="77777777" w:rsidR="00A1510F" w:rsidRPr="00A1510F" w:rsidRDefault="00A1510F" w:rsidP="00A1510F">
      <w:pPr>
        <w:spacing w:line="360" w:lineRule="auto"/>
        <w:jc w:val="both"/>
        <w:rPr>
          <w:rFonts w:eastAsia="Calibri"/>
          <w:lang w:val="es-MX" w:eastAsia="en-US"/>
        </w:rPr>
      </w:pPr>
    </w:p>
    <w:p w14:paraId="43B164F5" w14:textId="77777777" w:rsidR="00A1510F" w:rsidRPr="00A1510F" w:rsidRDefault="00A1510F" w:rsidP="00A1510F">
      <w:pPr>
        <w:spacing w:line="360" w:lineRule="auto"/>
        <w:jc w:val="both"/>
        <w:rPr>
          <w:rFonts w:eastAsia="Calibri"/>
          <w:b/>
          <w:lang w:val="es-MX" w:eastAsia="en-US"/>
        </w:rPr>
      </w:pPr>
      <w:r w:rsidRPr="00A1510F">
        <w:rPr>
          <w:rFonts w:eastAsia="Calibri"/>
          <w:b/>
          <w:lang w:val="es-MX" w:eastAsia="en-US"/>
        </w:rPr>
        <w:t>RESUMEN</w:t>
      </w:r>
    </w:p>
    <w:p w14:paraId="077AD51D" w14:textId="77777777" w:rsidR="00A1510F" w:rsidRPr="00A1510F" w:rsidRDefault="00A1510F" w:rsidP="00A1510F">
      <w:pPr>
        <w:spacing w:line="360" w:lineRule="auto"/>
        <w:ind w:right="-545"/>
        <w:jc w:val="both"/>
        <w:rPr>
          <w:rFonts w:eastAsia="Calibri"/>
          <w:lang w:val="es-MX" w:eastAsia="en-US"/>
        </w:rPr>
      </w:pPr>
      <w:r w:rsidRPr="00A1510F">
        <w:rPr>
          <w:rFonts w:eastAsia="Calibri"/>
          <w:b/>
          <w:lang w:val="es-MX" w:eastAsia="en-US"/>
        </w:rPr>
        <w:t>Introducción</w:t>
      </w:r>
      <w:r w:rsidRPr="00A1510F">
        <w:rPr>
          <w:rFonts w:eastAsia="Calibri"/>
          <w:b/>
          <w:bCs/>
          <w:lang w:val="es-MX" w:eastAsia="en-US"/>
        </w:rPr>
        <w:t>:</w:t>
      </w:r>
      <w:r w:rsidRPr="00A1510F">
        <w:rPr>
          <w:rFonts w:eastAsia="Calibri"/>
          <w:lang w:val="es-MX" w:eastAsia="en-US"/>
        </w:rPr>
        <w:t xml:space="preserve"> La respuesta al tratamiento inmunosupresor en la hepatitis autoinmune influye en el curso clínico de la enfermedad y se asocia a mayor sobrevida. </w:t>
      </w:r>
    </w:p>
    <w:p w14:paraId="0E4E5F4D" w14:textId="77777777" w:rsidR="00A1510F" w:rsidRPr="00A1510F" w:rsidRDefault="00A1510F" w:rsidP="00A1510F">
      <w:pPr>
        <w:spacing w:line="360" w:lineRule="auto"/>
        <w:ind w:right="-545"/>
        <w:jc w:val="both"/>
        <w:rPr>
          <w:rFonts w:eastAsia="Calibri"/>
          <w:lang w:val="es-MX" w:eastAsia="en-US"/>
        </w:rPr>
      </w:pPr>
      <w:r w:rsidRPr="00A1510F">
        <w:rPr>
          <w:rFonts w:eastAsia="Calibri"/>
          <w:b/>
          <w:lang w:val="es-MX" w:eastAsia="en-US"/>
        </w:rPr>
        <w:t>Objetivo</w:t>
      </w:r>
      <w:r w:rsidRPr="00A1510F">
        <w:rPr>
          <w:rFonts w:eastAsia="Calibri"/>
          <w:b/>
          <w:bCs/>
          <w:lang w:val="es-MX" w:eastAsia="en-US"/>
        </w:rPr>
        <w:t>:</w:t>
      </w:r>
      <w:r w:rsidRPr="00A1510F">
        <w:rPr>
          <w:rFonts w:eastAsia="Calibri"/>
          <w:lang w:val="es-MX" w:eastAsia="en-US"/>
        </w:rPr>
        <w:t xml:space="preserve"> Describir la respuesta al tratamiento inmunosupresor en pacientes con hepatitis autoinmune. </w:t>
      </w:r>
    </w:p>
    <w:p w14:paraId="6FAAD56D" w14:textId="77777777" w:rsidR="00A1510F" w:rsidRPr="00A1510F" w:rsidRDefault="00A1510F" w:rsidP="00A1510F">
      <w:pPr>
        <w:spacing w:line="360" w:lineRule="auto"/>
        <w:ind w:right="-545"/>
        <w:jc w:val="both"/>
        <w:rPr>
          <w:rFonts w:eastAsia="Calibri"/>
          <w:lang w:val="es-MX" w:eastAsia="en-US"/>
        </w:rPr>
      </w:pPr>
      <w:r w:rsidRPr="00A1510F">
        <w:rPr>
          <w:rFonts w:eastAsia="Calibri"/>
          <w:b/>
          <w:lang w:val="es-MX" w:eastAsia="en-US"/>
        </w:rPr>
        <w:t>Método</w:t>
      </w:r>
      <w:r w:rsidRPr="00A1510F">
        <w:rPr>
          <w:rFonts w:eastAsia="Calibri"/>
          <w:b/>
          <w:bCs/>
          <w:lang w:val="es-MX" w:eastAsia="en-US"/>
        </w:rPr>
        <w:t>:</w:t>
      </w:r>
      <w:r w:rsidRPr="00A1510F">
        <w:rPr>
          <w:rFonts w:eastAsia="Calibri"/>
          <w:lang w:val="es-MX" w:eastAsia="en-US"/>
        </w:rPr>
        <w:t xml:space="preserve"> Se realizó un estudio descriptivo, longitudinal, </w:t>
      </w:r>
      <w:proofErr w:type="spellStart"/>
      <w:r w:rsidRPr="00A1510F">
        <w:rPr>
          <w:rFonts w:eastAsia="Calibri"/>
          <w:lang w:val="es-MX" w:eastAsia="en-US"/>
        </w:rPr>
        <w:t>ambispectivo</w:t>
      </w:r>
      <w:proofErr w:type="spellEnd"/>
      <w:r w:rsidRPr="00A1510F">
        <w:rPr>
          <w:rFonts w:eastAsia="Calibri"/>
          <w:lang w:val="es-MX" w:eastAsia="en-US"/>
        </w:rPr>
        <w:t xml:space="preserve">, en 32 enfermos con hepatitis autoinmune, los cuales recibieron tratamiento inmunosupresor con evaluación de la respuesta a los 6 meses. </w:t>
      </w:r>
      <w:r w:rsidRPr="00A1510F">
        <w:rPr>
          <w:rFonts w:eastAsia="Calibri"/>
          <w:lang w:val="es-PE" w:eastAsia="en-US"/>
        </w:rPr>
        <w:t xml:space="preserve">Las variables incluidas fueron: tipo de hepatitis autoinmune, forma de presentación, forma de debut y respuesta al tratamiento. </w:t>
      </w:r>
      <w:r w:rsidRPr="00A1510F">
        <w:rPr>
          <w:rFonts w:eastAsia="Batang"/>
          <w:lang w:val="es-MX" w:eastAsia="en-US"/>
        </w:rPr>
        <w:t xml:space="preserve">Se utilizaron medidas descriptivas de resumen: media y desviación estándar para variables </w:t>
      </w:r>
      <w:r w:rsidRPr="00A1510F">
        <w:rPr>
          <w:rFonts w:eastAsia="Batang"/>
          <w:lang w:val="es-MX" w:eastAsia="en-US"/>
        </w:rPr>
        <w:lastRenderedPageBreak/>
        <w:t>cuantitativas y porcentaje para las variables cualitativas. Para estimar la función de supervivencia se utilizó la curva de Kaplan-Meier y Log-</w:t>
      </w:r>
      <w:proofErr w:type="spellStart"/>
      <w:r w:rsidRPr="00A1510F">
        <w:rPr>
          <w:rFonts w:eastAsia="Batang"/>
          <w:lang w:val="es-MX" w:eastAsia="en-US"/>
        </w:rPr>
        <w:t>rank</w:t>
      </w:r>
      <w:proofErr w:type="spellEnd"/>
      <w:r w:rsidRPr="00A1510F">
        <w:rPr>
          <w:rFonts w:eastAsia="Batang"/>
          <w:lang w:val="es-MX" w:eastAsia="en-US"/>
        </w:rPr>
        <w:t xml:space="preserve"> para la comparación de medias.</w:t>
      </w:r>
    </w:p>
    <w:p w14:paraId="07CAA93E" w14:textId="77777777" w:rsidR="00A1510F" w:rsidRPr="00A1510F" w:rsidRDefault="00A1510F" w:rsidP="00A1510F">
      <w:pPr>
        <w:spacing w:line="360" w:lineRule="auto"/>
        <w:ind w:right="-545"/>
        <w:jc w:val="both"/>
        <w:rPr>
          <w:rFonts w:eastAsia="Calibri"/>
          <w:lang w:val="es-US" w:eastAsia="en-US"/>
        </w:rPr>
      </w:pPr>
      <w:r w:rsidRPr="00A1510F">
        <w:rPr>
          <w:rFonts w:eastAsia="Calibri"/>
          <w:b/>
          <w:lang w:val="es-MX" w:eastAsia="en-US"/>
        </w:rPr>
        <w:t>Resultados:</w:t>
      </w:r>
      <w:r w:rsidRPr="00A1510F">
        <w:rPr>
          <w:rFonts w:eastAsia="Calibri"/>
          <w:lang w:val="es-MX" w:eastAsia="en-US"/>
        </w:rPr>
        <w:t xml:space="preserve"> </w:t>
      </w:r>
      <w:r w:rsidRPr="00A1510F">
        <w:rPr>
          <w:rFonts w:eastAsia="Calibri"/>
          <w:lang w:val="es-ES" w:eastAsia="en-US"/>
        </w:rPr>
        <w:t>El 71,9 % de los enfermos estaban con cirrosis en el momento del diagnóstico. Los 13 pacientes con remisión bioquímica permanecieron sin progresión en la evaluación actual. La supervivencia en los pacientes respondedores fue del 100 % y en los no respondedores de 47,5 % a los 10 años de seguimiento.</w:t>
      </w:r>
    </w:p>
    <w:p w14:paraId="04CB5FB5" w14:textId="77777777" w:rsidR="00A1510F" w:rsidRPr="00A1510F" w:rsidRDefault="00A1510F" w:rsidP="00A1510F">
      <w:pPr>
        <w:spacing w:line="360" w:lineRule="auto"/>
        <w:ind w:right="-545"/>
        <w:jc w:val="both"/>
        <w:rPr>
          <w:rFonts w:eastAsia="Calibri"/>
          <w:lang w:val="es-MX" w:eastAsia="en-US"/>
        </w:rPr>
      </w:pPr>
      <w:r w:rsidRPr="00A1510F">
        <w:rPr>
          <w:rFonts w:eastAsia="Calibri"/>
          <w:b/>
          <w:lang w:val="es-MX" w:eastAsia="en-US"/>
        </w:rPr>
        <w:t>Conclusiones</w:t>
      </w:r>
      <w:r w:rsidRPr="00A1510F">
        <w:rPr>
          <w:rFonts w:eastAsia="Calibri"/>
          <w:b/>
          <w:bCs/>
          <w:lang w:val="es-MX" w:eastAsia="en-US"/>
        </w:rPr>
        <w:t>:</w:t>
      </w:r>
      <w:r w:rsidRPr="00A1510F">
        <w:rPr>
          <w:rFonts w:eastAsia="Calibri"/>
          <w:lang w:val="es-MX" w:eastAsia="en-US"/>
        </w:rPr>
        <w:t xml:space="preserve"> La respuesta al tratamiento inmunosupresor tiene un impacto positivo en la no progresión de la hepatitis autoinmune y se asoció a mayor supervivencia.</w:t>
      </w:r>
    </w:p>
    <w:bookmarkEnd w:id="0"/>
    <w:p w14:paraId="09234E5E" w14:textId="77777777" w:rsidR="00A1510F" w:rsidRPr="00A1510F" w:rsidRDefault="00A1510F" w:rsidP="00A1510F">
      <w:pPr>
        <w:spacing w:line="360" w:lineRule="auto"/>
        <w:jc w:val="both"/>
        <w:rPr>
          <w:rFonts w:eastAsia="Calibri"/>
          <w:lang w:val="es-MX" w:eastAsia="en-US"/>
        </w:rPr>
      </w:pPr>
      <w:r w:rsidRPr="00A1510F">
        <w:rPr>
          <w:rFonts w:eastAsia="Calibri"/>
          <w:b/>
          <w:lang w:val="es-MX" w:eastAsia="en-US"/>
        </w:rPr>
        <w:t>Palabras clave</w:t>
      </w:r>
      <w:r w:rsidRPr="00A1510F">
        <w:rPr>
          <w:rFonts w:eastAsia="Calibri"/>
          <w:b/>
          <w:bCs/>
          <w:lang w:val="es-MX" w:eastAsia="en-US"/>
        </w:rPr>
        <w:t>:</w:t>
      </w:r>
      <w:r w:rsidRPr="00A1510F">
        <w:rPr>
          <w:rFonts w:eastAsia="Calibri"/>
          <w:lang w:val="es-MX" w:eastAsia="en-US"/>
        </w:rPr>
        <w:t xml:space="preserve"> hepatitis autoinmune; inmunosupresores; supervivencia.</w:t>
      </w:r>
    </w:p>
    <w:p w14:paraId="2A8214B0" w14:textId="77777777" w:rsidR="00A1510F" w:rsidRPr="00A1510F" w:rsidRDefault="00A1510F" w:rsidP="00A1510F">
      <w:pPr>
        <w:spacing w:line="360" w:lineRule="auto"/>
        <w:jc w:val="both"/>
        <w:rPr>
          <w:rFonts w:eastAsia="Calibri"/>
          <w:lang w:val="es-MX" w:eastAsia="en-US"/>
        </w:rPr>
      </w:pPr>
    </w:p>
    <w:p w14:paraId="5B6061AD" w14:textId="77777777" w:rsidR="00A1510F" w:rsidRPr="00A1510F" w:rsidRDefault="00A1510F" w:rsidP="00A1510F">
      <w:pPr>
        <w:spacing w:line="360" w:lineRule="auto"/>
        <w:jc w:val="both"/>
        <w:rPr>
          <w:rFonts w:eastAsia="Calibri"/>
          <w:b/>
          <w:lang w:val="en-US" w:eastAsia="en-US"/>
        </w:rPr>
      </w:pPr>
      <w:r w:rsidRPr="00A1510F">
        <w:rPr>
          <w:rFonts w:eastAsia="Calibri"/>
          <w:b/>
          <w:lang w:val="en-US" w:eastAsia="en-US"/>
        </w:rPr>
        <w:t>ABSTRACT</w:t>
      </w:r>
    </w:p>
    <w:p w14:paraId="1B901D77" w14:textId="77777777" w:rsidR="00A1510F" w:rsidRPr="00A1510F" w:rsidRDefault="00A1510F" w:rsidP="00A1510F">
      <w:pPr>
        <w:spacing w:line="360" w:lineRule="auto"/>
        <w:jc w:val="both"/>
        <w:rPr>
          <w:rFonts w:eastAsia="Calibri"/>
          <w:lang w:val="en-US" w:eastAsia="en-US"/>
        </w:rPr>
      </w:pPr>
      <w:r w:rsidRPr="00A1510F">
        <w:rPr>
          <w:rFonts w:eastAsia="Calibri"/>
          <w:b/>
          <w:lang w:val="en" w:eastAsia="en-US"/>
        </w:rPr>
        <w:t>Introduction</w:t>
      </w:r>
      <w:r w:rsidRPr="00A1510F">
        <w:rPr>
          <w:rFonts w:eastAsia="Calibri"/>
          <w:b/>
          <w:bCs/>
          <w:lang w:val="en" w:eastAsia="en-US"/>
        </w:rPr>
        <w:t>:</w:t>
      </w:r>
      <w:r w:rsidRPr="00A1510F">
        <w:rPr>
          <w:rFonts w:eastAsia="Calibri"/>
          <w:lang w:val="en" w:eastAsia="en-US"/>
        </w:rPr>
        <w:t xml:space="preserve"> The response to immunosuppressive treatment in autoimmune hepatitis influences the clinical course of the disease and is associated with a longer survival.</w:t>
      </w:r>
    </w:p>
    <w:p w14:paraId="02C71C20" w14:textId="77777777" w:rsidR="00A1510F" w:rsidRPr="00A1510F" w:rsidRDefault="00A1510F" w:rsidP="00A1510F">
      <w:pPr>
        <w:spacing w:line="360" w:lineRule="auto"/>
        <w:jc w:val="both"/>
        <w:rPr>
          <w:rFonts w:eastAsia="Calibri"/>
          <w:lang w:val="en-US" w:eastAsia="en-US"/>
        </w:rPr>
      </w:pPr>
      <w:r w:rsidRPr="00A1510F">
        <w:rPr>
          <w:rFonts w:eastAsia="Calibri"/>
          <w:b/>
          <w:lang w:val="en" w:eastAsia="en-US"/>
        </w:rPr>
        <w:t>Objective</w:t>
      </w:r>
      <w:r w:rsidRPr="00A1510F">
        <w:rPr>
          <w:rFonts w:eastAsia="Calibri"/>
          <w:b/>
          <w:bCs/>
          <w:lang w:val="en" w:eastAsia="en-US"/>
        </w:rPr>
        <w:t>:</w:t>
      </w:r>
      <w:r w:rsidRPr="00A1510F">
        <w:rPr>
          <w:rFonts w:eastAsia="Calibri"/>
          <w:lang w:val="en" w:eastAsia="en-US"/>
        </w:rPr>
        <w:t xml:space="preserve"> Describe the response to immunosuppressive treatment in patients with autoimmune hepatitis.</w:t>
      </w:r>
    </w:p>
    <w:p w14:paraId="2B8EAC73" w14:textId="77777777" w:rsidR="00A1510F" w:rsidRPr="00A1510F" w:rsidRDefault="00A1510F" w:rsidP="00A1510F">
      <w:pPr>
        <w:spacing w:line="360" w:lineRule="auto"/>
        <w:jc w:val="both"/>
        <w:rPr>
          <w:rFonts w:eastAsia="Calibri"/>
          <w:lang w:val="en-US" w:eastAsia="en-US"/>
        </w:rPr>
      </w:pPr>
      <w:r w:rsidRPr="00A1510F">
        <w:rPr>
          <w:rFonts w:eastAsia="Calibri"/>
          <w:b/>
          <w:lang w:val="en" w:eastAsia="en-US"/>
        </w:rPr>
        <w:t>Method</w:t>
      </w:r>
      <w:r w:rsidRPr="00A1510F">
        <w:rPr>
          <w:rFonts w:eastAsia="Calibri"/>
          <w:b/>
          <w:bCs/>
          <w:lang w:val="en" w:eastAsia="en-US"/>
        </w:rPr>
        <w:t xml:space="preserve">: </w:t>
      </w:r>
      <w:r w:rsidRPr="00A1510F">
        <w:rPr>
          <w:rFonts w:eastAsia="Calibri"/>
          <w:lang w:val="en" w:eastAsia="en-US"/>
        </w:rPr>
        <w:t xml:space="preserve">A descriptive, longitudinal, </w:t>
      </w:r>
      <w:proofErr w:type="spellStart"/>
      <w:r w:rsidRPr="00A1510F">
        <w:rPr>
          <w:rFonts w:eastAsia="Calibri"/>
          <w:lang w:val="en" w:eastAsia="en-US"/>
        </w:rPr>
        <w:t>ambispective</w:t>
      </w:r>
      <w:proofErr w:type="spellEnd"/>
      <w:r w:rsidRPr="00A1510F">
        <w:rPr>
          <w:rFonts w:eastAsia="Calibri"/>
          <w:lang w:val="en" w:eastAsia="en-US"/>
        </w:rPr>
        <w:t xml:space="preserve"> study was carried out in 32 patients with autoimmune hepatitis, who received immunosuppressive treatment with response evaluation at 6 months. The variables included were: type of autoimmune hepatitis, form of presentation, form of onset, and response to treatment. Descriptive summary measures were used: mean and standard deviation for quantitative variables and percentage for qualitative variables. To estimate the survival function, the Kaplan-Meier curve and Log-rank were used to compare means.</w:t>
      </w:r>
    </w:p>
    <w:p w14:paraId="1B7A93CB" w14:textId="77777777" w:rsidR="00A1510F" w:rsidRPr="00A1510F" w:rsidRDefault="00A1510F" w:rsidP="00A1510F">
      <w:pPr>
        <w:spacing w:line="360" w:lineRule="auto"/>
        <w:jc w:val="both"/>
        <w:rPr>
          <w:rFonts w:eastAsia="Calibri"/>
          <w:lang w:val="en-US" w:eastAsia="en-US"/>
        </w:rPr>
      </w:pPr>
      <w:r w:rsidRPr="00A1510F">
        <w:rPr>
          <w:rFonts w:eastAsia="Calibri"/>
          <w:b/>
          <w:lang w:val="en" w:eastAsia="en-US"/>
        </w:rPr>
        <w:t>Results</w:t>
      </w:r>
      <w:r w:rsidRPr="00A1510F">
        <w:rPr>
          <w:rFonts w:eastAsia="Calibri"/>
          <w:b/>
          <w:bCs/>
          <w:lang w:val="en" w:eastAsia="en-US"/>
        </w:rPr>
        <w:t>:</w:t>
      </w:r>
      <w:r w:rsidRPr="00A1510F">
        <w:rPr>
          <w:rFonts w:eastAsia="Calibri"/>
          <w:lang w:val="en" w:eastAsia="en-US"/>
        </w:rPr>
        <w:t xml:space="preserve"> 71.9 % of the patients were already cirrhotic at the time of diagnosis. The 13 patients with biochemical remission, remained without progression in the current evaluation. Survival in responding patients was 100 %, while in non-responders it was 47.5% at 10-year follow-up.</w:t>
      </w:r>
    </w:p>
    <w:p w14:paraId="48849F53" w14:textId="77777777" w:rsidR="00A1510F" w:rsidRPr="00A1510F" w:rsidRDefault="00A1510F" w:rsidP="00A1510F">
      <w:pPr>
        <w:spacing w:line="360" w:lineRule="auto"/>
        <w:jc w:val="both"/>
        <w:rPr>
          <w:rFonts w:eastAsia="Calibri"/>
          <w:lang w:val="en" w:eastAsia="en-US"/>
        </w:rPr>
      </w:pPr>
      <w:r w:rsidRPr="00A1510F">
        <w:rPr>
          <w:rFonts w:eastAsia="Calibri"/>
          <w:b/>
          <w:lang w:val="en" w:eastAsia="en-US"/>
        </w:rPr>
        <w:t>Conclusions</w:t>
      </w:r>
      <w:r w:rsidRPr="00A1510F">
        <w:rPr>
          <w:rFonts w:eastAsia="Calibri"/>
          <w:b/>
          <w:bCs/>
          <w:lang w:val="en" w:eastAsia="en-US"/>
        </w:rPr>
        <w:t>:</w:t>
      </w:r>
      <w:r w:rsidRPr="00A1510F">
        <w:rPr>
          <w:rFonts w:eastAsia="Calibri"/>
          <w:lang w:val="en" w:eastAsia="en-US"/>
        </w:rPr>
        <w:t xml:space="preserve"> The response to immunosuppressive treatment has a positive impact on the non-progression of autoimmune hepatitis and was associated with greater survival.</w:t>
      </w:r>
    </w:p>
    <w:p w14:paraId="22E0FF0F" w14:textId="77777777" w:rsidR="00A1510F" w:rsidRPr="00A1510F" w:rsidRDefault="00A1510F" w:rsidP="00A1510F">
      <w:pPr>
        <w:spacing w:line="360" w:lineRule="auto"/>
        <w:jc w:val="both"/>
        <w:rPr>
          <w:rFonts w:eastAsia="Calibri"/>
          <w:lang w:val="en" w:eastAsia="en-US"/>
        </w:rPr>
      </w:pPr>
      <w:r w:rsidRPr="00A1510F">
        <w:rPr>
          <w:rFonts w:eastAsia="Calibri"/>
          <w:b/>
          <w:lang w:val="en" w:eastAsia="en-US"/>
        </w:rPr>
        <w:t>Keywords</w:t>
      </w:r>
      <w:r w:rsidRPr="00A1510F">
        <w:rPr>
          <w:rFonts w:eastAsia="Calibri"/>
          <w:b/>
          <w:bCs/>
          <w:lang w:val="en" w:eastAsia="en-US"/>
        </w:rPr>
        <w:t>:</w:t>
      </w:r>
      <w:r w:rsidRPr="00A1510F">
        <w:rPr>
          <w:rFonts w:eastAsia="Calibri"/>
          <w:lang w:val="en" w:eastAsia="en-US"/>
        </w:rPr>
        <w:t xml:space="preserve"> autoimmune hepatitis; immunosuppressants; survival.</w:t>
      </w:r>
    </w:p>
    <w:p w14:paraId="2CA59600" w14:textId="77777777" w:rsidR="00A1510F" w:rsidRPr="00A1510F" w:rsidRDefault="00A1510F" w:rsidP="00A1510F">
      <w:pPr>
        <w:spacing w:line="360" w:lineRule="auto"/>
        <w:jc w:val="both"/>
        <w:rPr>
          <w:rFonts w:eastAsia="Calibri"/>
          <w:lang w:val="en" w:eastAsia="en-US"/>
        </w:rPr>
      </w:pPr>
    </w:p>
    <w:p w14:paraId="677856A3" w14:textId="77777777" w:rsidR="00A1510F" w:rsidRPr="00A1510F" w:rsidRDefault="00A1510F" w:rsidP="00A1510F">
      <w:pPr>
        <w:spacing w:line="360" w:lineRule="auto"/>
        <w:jc w:val="both"/>
        <w:rPr>
          <w:rFonts w:eastAsia="Calibri"/>
          <w:lang w:val="en" w:eastAsia="en-US"/>
        </w:rPr>
      </w:pPr>
    </w:p>
    <w:p w14:paraId="0EA0A6DA" w14:textId="77777777" w:rsidR="00A1510F" w:rsidRPr="00A1510F" w:rsidRDefault="00A1510F" w:rsidP="00A1510F">
      <w:pPr>
        <w:spacing w:line="360" w:lineRule="auto"/>
        <w:jc w:val="both"/>
        <w:rPr>
          <w:rFonts w:eastAsia="Calibri"/>
          <w:lang w:val="es-US" w:eastAsia="en-US"/>
        </w:rPr>
      </w:pPr>
      <w:r w:rsidRPr="00A1510F">
        <w:rPr>
          <w:rFonts w:eastAsia="Calibri"/>
          <w:lang w:val="es-US" w:eastAsia="en-US"/>
        </w:rPr>
        <w:lastRenderedPageBreak/>
        <w:t>Recibido: 12/09/2023</w:t>
      </w:r>
    </w:p>
    <w:p w14:paraId="442DA16F" w14:textId="77777777" w:rsidR="00A1510F" w:rsidRPr="00A1510F" w:rsidRDefault="00A1510F" w:rsidP="00A1510F">
      <w:pPr>
        <w:spacing w:line="360" w:lineRule="auto"/>
        <w:jc w:val="both"/>
        <w:rPr>
          <w:rFonts w:eastAsia="Calibri"/>
          <w:lang w:val="es-US" w:eastAsia="en-US"/>
        </w:rPr>
      </w:pPr>
      <w:r w:rsidRPr="00A1510F">
        <w:rPr>
          <w:rFonts w:eastAsia="Calibri"/>
          <w:lang w:val="es-US" w:eastAsia="en-US"/>
        </w:rPr>
        <w:t>Aprobado: 15/01/2024</w:t>
      </w:r>
    </w:p>
    <w:p w14:paraId="2596E78F" w14:textId="77777777" w:rsidR="00A1510F" w:rsidRPr="00A1510F" w:rsidRDefault="00A1510F" w:rsidP="00A1510F">
      <w:pPr>
        <w:spacing w:line="360" w:lineRule="auto"/>
        <w:jc w:val="both"/>
        <w:rPr>
          <w:rFonts w:eastAsia="Calibri"/>
          <w:lang w:val="es-US" w:eastAsia="en-US"/>
        </w:rPr>
      </w:pPr>
    </w:p>
    <w:bookmarkEnd w:id="1"/>
    <w:p w14:paraId="293E1053" w14:textId="77777777" w:rsidR="00A1510F" w:rsidRPr="00A1510F" w:rsidRDefault="00A1510F" w:rsidP="00A1510F">
      <w:pPr>
        <w:spacing w:line="360" w:lineRule="auto"/>
        <w:jc w:val="center"/>
        <w:rPr>
          <w:rFonts w:eastAsia="Calibri"/>
          <w:b/>
          <w:lang w:val="es-MX" w:eastAsia="en-US"/>
        </w:rPr>
      </w:pPr>
    </w:p>
    <w:p w14:paraId="4D04FC8B" w14:textId="77777777" w:rsidR="00A1510F" w:rsidRPr="00A1510F" w:rsidRDefault="00A1510F" w:rsidP="00A1510F">
      <w:pPr>
        <w:spacing w:line="360" w:lineRule="auto"/>
        <w:jc w:val="center"/>
        <w:rPr>
          <w:rFonts w:eastAsia="Calibri"/>
          <w:b/>
          <w:sz w:val="32"/>
          <w:szCs w:val="32"/>
          <w:lang w:val="es-MX" w:eastAsia="en-US"/>
        </w:rPr>
      </w:pPr>
      <w:r w:rsidRPr="00A1510F">
        <w:rPr>
          <w:rFonts w:eastAsia="Calibri"/>
          <w:b/>
          <w:sz w:val="32"/>
          <w:szCs w:val="32"/>
          <w:lang w:val="es-MX" w:eastAsia="en-US"/>
        </w:rPr>
        <w:t>INTRODUCCIÓN</w:t>
      </w:r>
    </w:p>
    <w:p w14:paraId="535949C5" w14:textId="77777777" w:rsidR="00A1510F" w:rsidRPr="00A1510F" w:rsidRDefault="00A1510F" w:rsidP="00A1510F">
      <w:pPr>
        <w:spacing w:line="360" w:lineRule="auto"/>
        <w:jc w:val="both"/>
        <w:rPr>
          <w:rFonts w:eastAsia="Calibri"/>
          <w:color w:val="FF0000"/>
          <w:vertAlign w:val="superscript"/>
          <w:lang w:val="es-ES" w:eastAsia="en-US"/>
        </w:rPr>
      </w:pPr>
      <w:r w:rsidRPr="00A1510F">
        <w:rPr>
          <w:rFonts w:eastAsia="Calibri"/>
          <w:lang w:val="es-MX" w:eastAsia="en-US"/>
        </w:rPr>
        <w:t xml:space="preserve">La hepatitis autoinmune (HAI) es una enfermedad inflamatoria cónica del hígado. Se caracteriza por la pérdida de la tolerancia a los autoanticuerpos, en individuos con predisposición genética y puede ser desencadenada por un factor </w:t>
      </w:r>
      <w:proofErr w:type="gramStart"/>
      <w:r w:rsidRPr="00A1510F">
        <w:rPr>
          <w:rFonts w:eastAsia="Calibri"/>
          <w:lang w:val="es-MX" w:eastAsia="en-US"/>
        </w:rPr>
        <w:t>ambiental.</w:t>
      </w:r>
      <w:r w:rsidRPr="00A1510F">
        <w:rPr>
          <w:rFonts w:eastAsia="Calibri"/>
          <w:vertAlign w:val="superscript"/>
          <w:lang w:val="es-MX" w:eastAsia="en-US"/>
        </w:rPr>
        <w:t>(</w:t>
      </w:r>
      <w:proofErr w:type="gramEnd"/>
      <w:r w:rsidRPr="00A1510F">
        <w:rPr>
          <w:rFonts w:eastAsia="Calibri"/>
          <w:vertAlign w:val="superscript"/>
          <w:lang w:val="es-MX" w:eastAsia="en-US"/>
        </w:rPr>
        <w:t xml:space="preserve">1,2) </w:t>
      </w:r>
      <w:r w:rsidRPr="00A1510F">
        <w:rPr>
          <w:rFonts w:eastAsia="Calibri"/>
          <w:lang w:val="es-MX" w:eastAsia="en-US"/>
        </w:rPr>
        <w:t xml:space="preserve">La etiopatogenia exacta no está bien esclarecida. Se conoce que </w:t>
      </w:r>
      <w:r w:rsidRPr="00A1510F">
        <w:rPr>
          <w:rFonts w:eastAsia="Calibri"/>
          <w:lang w:val="es-ES" w:eastAsia="en-US"/>
        </w:rPr>
        <w:t xml:space="preserve">es una lesión hepática inmunomediada, impulsada por los linfocitos T, aunque los linfocitos B también están involucrados en la </w:t>
      </w:r>
      <w:proofErr w:type="spellStart"/>
      <w:proofErr w:type="gramStart"/>
      <w:r w:rsidRPr="00A1510F">
        <w:rPr>
          <w:rFonts w:eastAsia="Calibri"/>
          <w:lang w:val="es-ES" w:eastAsia="en-US"/>
        </w:rPr>
        <w:t>inmunopatología</w:t>
      </w:r>
      <w:bookmarkStart w:id="2" w:name="_Hlk106044405"/>
      <w:proofErr w:type="spellEnd"/>
      <w:r w:rsidRPr="00A1510F">
        <w:rPr>
          <w:rFonts w:eastAsia="Calibri"/>
          <w:lang w:val="es-ES" w:eastAsia="en-US"/>
        </w:rPr>
        <w:t>.</w:t>
      </w:r>
      <w:r w:rsidRPr="00A1510F">
        <w:rPr>
          <w:rFonts w:eastAsia="Calibri"/>
          <w:vertAlign w:val="superscript"/>
          <w:lang w:val="es-ES" w:eastAsia="en-US"/>
        </w:rPr>
        <w:t>(</w:t>
      </w:r>
      <w:proofErr w:type="gramEnd"/>
      <w:r w:rsidRPr="00A1510F">
        <w:rPr>
          <w:rFonts w:eastAsia="Calibri"/>
          <w:vertAlign w:val="superscript"/>
          <w:lang w:val="es-ES" w:eastAsia="en-US"/>
        </w:rPr>
        <w:t>1,3,4)</w:t>
      </w:r>
    </w:p>
    <w:bookmarkEnd w:id="2"/>
    <w:p w14:paraId="236FEC46" w14:textId="77777777" w:rsidR="00A1510F" w:rsidRPr="00A1510F" w:rsidRDefault="00A1510F" w:rsidP="00A1510F">
      <w:pPr>
        <w:spacing w:line="360" w:lineRule="auto"/>
        <w:jc w:val="both"/>
        <w:rPr>
          <w:rFonts w:eastAsia="Calibri"/>
          <w:vertAlign w:val="superscript"/>
          <w:lang w:val="es-ES" w:eastAsia="en-US"/>
        </w:rPr>
      </w:pPr>
      <w:r w:rsidRPr="00A1510F">
        <w:rPr>
          <w:rFonts w:eastAsia="Calibri"/>
          <w:lang w:val="es-ES" w:eastAsia="en-US"/>
        </w:rPr>
        <w:t xml:space="preserve">La terapia de primera línea con prednisona o azatioprina es eficaz en el 80-90 % de los pacientes. Los que no controlan la enfermedad por mala respuesta, intolerancia a los medicamentos o fracaso terapéutico, tienen indicación de terapia de segunda línea con 6-mercaptopurina (6-MP), micofenolato </w:t>
      </w:r>
      <w:proofErr w:type="spellStart"/>
      <w:r w:rsidRPr="00A1510F">
        <w:rPr>
          <w:rFonts w:eastAsia="Calibri"/>
          <w:lang w:val="es-ES" w:eastAsia="en-US"/>
        </w:rPr>
        <w:t>mofetilo</w:t>
      </w:r>
      <w:proofErr w:type="spellEnd"/>
      <w:r w:rsidRPr="00A1510F">
        <w:rPr>
          <w:rFonts w:eastAsia="Calibri"/>
          <w:lang w:val="es-ES" w:eastAsia="en-US"/>
        </w:rPr>
        <w:t xml:space="preserve">, ciclosporina o </w:t>
      </w:r>
      <w:proofErr w:type="spellStart"/>
      <w:r w:rsidRPr="00A1510F">
        <w:rPr>
          <w:rFonts w:eastAsia="Calibri"/>
          <w:lang w:val="es-ES" w:eastAsia="en-US"/>
        </w:rPr>
        <w:t>tacrolimus</w:t>
      </w:r>
      <w:proofErr w:type="spellEnd"/>
      <w:r w:rsidRPr="00A1510F">
        <w:rPr>
          <w:rFonts w:eastAsia="Calibri"/>
          <w:lang w:val="es-ES" w:eastAsia="en-US"/>
        </w:rPr>
        <w:t xml:space="preserve">, aunque con resultados menos </w:t>
      </w:r>
      <w:proofErr w:type="gramStart"/>
      <w:r w:rsidRPr="00A1510F">
        <w:rPr>
          <w:rFonts w:eastAsia="Calibri"/>
          <w:lang w:val="es-ES" w:eastAsia="en-US"/>
        </w:rPr>
        <w:t>favorables.</w:t>
      </w:r>
      <w:r w:rsidRPr="00A1510F">
        <w:rPr>
          <w:rFonts w:eastAsia="Calibri"/>
          <w:vertAlign w:val="superscript"/>
          <w:lang w:val="es-ES" w:eastAsia="en-US"/>
        </w:rPr>
        <w:t>(</w:t>
      </w:r>
      <w:proofErr w:type="gramEnd"/>
      <w:r w:rsidRPr="00A1510F">
        <w:rPr>
          <w:rFonts w:eastAsia="Calibri"/>
          <w:vertAlign w:val="superscript"/>
          <w:lang w:val="es-ES" w:eastAsia="en-US"/>
        </w:rPr>
        <w:t>2,5)</w:t>
      </w:r>
    </w:p>
    <w:p w14:paraId="17C80DE0" w14:textId="77777777" w:rsidR="00A1510F" w:rsidRPr="00A1510F" w:rsidRDefault="00A1510F" w:rsidP="00A1510F">
      <w:pPr>
        <w:spacing w:line="360" w:lineRule="auto"/>
        <w:jc w:val="both"/>
        <w:rPr>
          <w:rFonts w:eastAsia="Calibri"/>
          <w:color w:val="FF0000"/>
          <w:lang w:val="es-ES" w:eastAsia="en-US"/>
        </w:rPr>
      </w:pPr>
      <w:r w:rsidRPr="00A1510F">
        <w:rPr>
          <w:rFonts w:eastAsia="Calibri"/>
          <w:lang w:val="es-ES" w:eastAsia="en-US"/>
        </w:rPr>
        <w:t xml:space="preserve">Existe un reducido número de casos de difícil manejo: los verdaderos no respondedores a pesar de cumplir el tratamiento y los que desarrollan un síndrome de superposición por una posible vía de </w:t>
      </w:r>
      <w:proofErr w:type="spellStart"/>
      <w:r w:rsidRPr="00A1510F">
        <w:rPr>
          <w:rFonts w:eastAsia="Calibri"/>
          <w:lang w:val="es-ES" w:eastAsia="en-US"/>
        </w:rPr>
        <w:t>inmunopatogénesis</w:t>
      </w:r>
      <w:proofErr w:type="spellEnd"/>
      <w:r w:rsidRPr="00A1510F">
        <w:rPr>
          <w:rFonts w:eastAsia="Calibri"/>
          <w:lang w:val="es-ES" w:eastAsia="en-US"/>
        </w:rPr>
        <w:t xml:space="preserve"> impulsada por células B dominantes, que no es un objetivo eficaz de la terapia estándar. Estos pacientes pueden necesitar un tratamiento alternativo basado en terapias biológicas como el </w:t>
      </w:r>
      <w:proofErr w:type="spellStart"/>
      <w:r w:rsidRPr="00A1510F">
        <w:rPr>
          <w:rFonts w:eastAsia="Calibri"/>
          <w:lang w:val="es-ES" w:eastAsia="en-US"/>
        </w:rPr>
        <w:t>rituximab</w:t>
      </w:r>
      <w:proofErr w:type="spellEnd"/>
      <w:r w:rsidRPr="00A1510F">
        <w:rPr>
          <w:rFonts w:eastAsia="Calibri"/>
          <w:lang w:val="es-ES" w:eastAsia="en-US"/>
        </w:rPr>
        <w:t xml:space="preserve"> y el </w:t>
      </w:r>
      <w:proofErr w:type="spellStart"/>
      <w:r w:rsidRPr="00A1510F">
        <w:rPr>
          <w:rFonts w:eastAsia="Calibri"/>
          <w:lang w:val="es-ES" w:eastAsia="en-US"/>
        </w:rPr>
        <w:t>infliximab</w:t>
      </w:r>
      <w:proofErr w:type="spellEnd"/>
      <w:r w:rsidRPr="00A1510F">
        <w:rPr>
          <w:rFonts w:eastAsia="Calibri"/>
          <w:lang w:val="es-ES" w:eastAsia="en-US"/>
        </w:rPr>
        <w:t xml:space="preserve">, pero con datos de eficacia y seguridad aún no concluyentes, por lo que su uso es </w:t>
      </w:r>
      <w:proofErr w:type="gramStart"/>
      <w:r w:rsidRPr="00A1510F">
        <w:rPr>
          <w:rFonts w:eastAsia="Calibri"/>
          <w:lang w:val="es-ES" w:eastAsia="en-US"/>
        </w:rPr>
        <w:t>limitado.</w:t>
      </w:r>
      <w:r w:rsidRPr="00A1510F">
        <w:rPr>
          <w:rFonts w:eastAsia="Calibri"/>
          <w:vertAlign w:val="superscript"/>
          <w:lang w:val="es-ES" w:eastAsia="en-US"/>
        </w:rPr>
        <w:t>(</w:t>
      </w:r>
      <w:proofErr w:type="gramEnd"/>
      <w:r w:rsidRPr="00A1510F">
        <w:rPr>
          <w:rFonts w:eastAsia="Calibri"/>
          <w:vertAlign w:val="superscript"/>
          <w:lang w:val="es-ES" w:eastAsia="en-US"/>
        </w:rPr>
        <w:t>2,3,4)</w:t>
      </w:r>
    </w:p>
    <w:p w14:paraId="70C9190C" w14:textId="77777777" w:rsidR="00A1510F" w:rsidRPr="00A1510F" w:rsidRDefault="00A1510F" w:rsidP="00A1510F">
      <w:pPr>
        <w:spacing w:line="360" w:lineRule="auto"/>
        <w:jc w:val="both"/>
        <w:rPr>
          <w:rFonts w:eastAsia="Calibri"/>
          <w:lang w:val="es-ES" w:eastAsia="en-US"/>
        </w:rPr>
      </w:pPr>
      <w:r w:rsidRPr="00A1510F">
        <w:rPr>
          <w:rFonts w:eastAsia="Calibri"/>
          <w:lang w:val="es-ES" w:eastAsia="en-US"/>
        </w:rPr>
        <w:t xml:space="preserve">Se conoce que la HAI se debe a un fallo en la tolerancia autoinmune periférica, lo que ha condicionado una hipótesis, la cual plantea que, en los casos de evolución tórpida, lo que se requiere es la restauración de la tolerancia inmunológica hepática y no la </w:t>
      </w:r>
      <w:proofErr w:type="spellStart"/>
      <w:r w:rsidRPr="00A1510F">
        <w:rPr>
          <w:rFonts w:eastAsia="Calibri"/>
          <w:lang w:val="es-ES" w:eastAsia="en-US"/>
        </w:rPr>
        <w:t>inmusupresión</w:t>
      </w:r>
      <w:proofErr w:type="spellEnd"/>
      <w:r w:rsidRPr="00A1510F">
        <w:rPr>
          <w:rFonts w:eastAsia="Calibri"/>
          <w:lang w:val="es-ES" w:eastAsia="en-US"/>
        </w:rPr>
        <w:t>. La terapia celular como la infusión de células T reguladoras autólogas, específicas de antígeno y que se alojan en el hígado para r</w:t>
      </w:r>
      <w:bookmarkStart w:id="3" w:name="_Hlk106044910"/>
      <w:r w:rsidRPr="00A1510F">
        <w:rPr>
          <w:rFonts w:eastAsia="Calibri"/>
          <w:lang w:val="es-ES" w:eastAsia="en-US"/>
        </w:rPr>
        <w:t>estaurar la tolerancia inmunológica hepática</w:t>
      </w:r>
      <w:bookmarkEnd w:id="3"/>
      <w:r w:rsidRPr="00A1510F">
        <w:rPr>
          <w:rFonts w:eastAsia="Calibri"/>
          <w:lang w:val="es-ES" w:eastAsia="en-US"/>
        </w:rPr>
        <w:t xml:space="preserve">, se perfila como un posible tratamiento futuro para controlar la etiología en la </w:t>
      </w:r>
      <w:proofErr w:type="gramStart"/>
      <w:r w:rsidRPr="00A1510F">
        <w:rPr>
          <w:rFonts w:eastAsia="Calibri"/>
          <w:lang w:val="es-ES" w:eastAsia="en-US"/>
        </w:rPr>
        <w:t>HAI.</w:t>
      </w:r>
      <w:r w:rsidRPr="00A1510F">
        <w:rPr>
          <w:rFonts w:eastAsia="Calibri"/>
          <w:vertAlign w:val="superscript"/>
          <w:lang w:val="es-ES" w:eastAsia="en-US"/>
        </w:rPr>
        <w:t>(</w:t>
      </w:r>
      <w:proofErr w:type="gramEnd"/>
      <w:r w:rsidRPr="00A1510F">
        <w:rPr>
          <w:rFonts w:eastAsia="Calibri"/>
          <w:vertAlign w:val="superscript"/>
          <w:lang w:val="es-ES" w:eastAsia="en-US"/>
        </w:rPr>
        <w:t>3,4,6)</w:t>
      </w:r>
    </w:p>
    <w:p w14:paraId="6DD2D6EB" w14:textId="77777777" w:rsidR="00A1510F" w:rsidRPr="00A1510F" w:rsidRDefault="00A1510F" w:rsidP="00A1510F">
      <w:pPr>
        <w:spacing w:line="360" w:lineRule="auto"/>
        <w:jc w:val="both"/>
        <w:rPr>
          <w:rFonts w:eastAsia="Calibri"/>
          <w:vertAlign w:val="superscript"/>
          <w:lang w:val="es-MX" w:eastAsia="en-US"/>
        </w:rPr>
      </w:pPr>
      <w:r w:rsidRPr="00A1510F">
        <w:rPr>
          <w:rFonts w:eastAsia="Calibri"/>
          <w:lang w:val="es-MX" w:eastAsia="en-US"/>
        </w:rPr>
        <w:t xml:space="preserve">La velocidad de progresión de la enfermedad no es similar en todos los pacientes a pesar de tener un tratamiento específico. </w:t>
      </w:r>
      <w:r w:rsidRPr="00A1510F">
        <w:rPr>
          <w:rFonts w:eastAsia="Calibri"/>
          <w:lang w:val="es-ES" w:eastAsia="en-US"/>
        </w:rPr>
        <w:t xml:space="preserve">La rapidez de la respuesta al tratamiento, expresada por la mejoría de los niveles </w:t>
      </w:r>
      <w:r w:rsidRPr="00A1510F">
        <w:rPr>
          <w:rFonts w:eastAsia="Calibri"/>
          <w:lang w:val="es-ES" w:eastAsia="en-US"/>
        </w:rPr>
        <w:lastRenderedPageBreak/>
        <w:t xml:space="preserve">séricos de aminotransferasa en 2 semanas, es el predictor más importante del resultado, aunque la remisión bioquímica a los 6 meses es más utilizada en la práctica </w:t>
      </w:r>
      <w:proofErr w:type="gramStart"/>
      <w:r w:rsidRPr="00A1510F">
        <w:rPr>
          <w:rFonts w:eastAsia="Calibri"/>
          <w:lang w:val="es-ES" w:eastAsia="en-US"/>
        </w:rPr>
        <w:t>clínica.</w:t>
      </w:r>
      <w:r w:rsidRPr="00A1510F">
        <w:rPr>
          <w:rFonts w:eastAsia="Calibri"/>
          <w:vertAlign w:val="superscript"/>
          <w:lang w:val="es-ES" w:eastAsia="en-US"/>
        </w:rPr>
        <w:t>(</w:t>
      </w:r>
      <w:proofErr w:type="gramEnd"/>
      <w:r w:rsidRPr="00A1510F">
        <w:rPr>
          <w:rFonts w:eastAsia="Calibri"/>
          <w:vertAlign w:val="superscript"/>
          <w:lang w:val="es-ES" w:eastAsia="en-US"/>
        </w:rPr>
        <w:t xml:space="preserve">2,7,8,9) </w:t>
      </w:r>
      <w:r w:rsidRPr="00A1510F">
        <w:rPr>
          <w:rFonts w:eastAsia="Calibri"/>
          <w:lang w:val="es-MX" w:eastAsia="en-US"/>
        </w:rPr>
        <w:t>Se ha demostrado que determinar la etiología de las enfermedades hepáticas es determinante en su tratamiento y evolución clínica.</w:t>
      </w:r>
      <w:r w:rsidRPr="00A1510F">
        <w:rPr>
          <w:rFonts w:eastAsia="Calibri"/>
          <w:vertAlign w:val="superscript"/>
          <w:lang w:val="es-MX" w:eastAsia="en-US"/>
        </w:rPr>
        <w:t xml:space="preserve">(10,11) </w:t>
      </w:r>
    </w:p>
    <w:p w14:paraId="4C8BF56C"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 xml:space="preserve">Esta investigación se realiza con el objetivo de describir la respuesta al tratamiento inmunosupresor de pacientes con hepatitis autoinmune.  </w:t>
      </w:r>
    </w:p>
    <w:p w14:paraId="30531A69" w14:textId="77777777" w:rsidR="00A1510F" w:rsidRPr="00A1510F" w:rsidRDefault="00A1510F" w:rsidP="00A1510F">
      <w:pPr>
        <w:spacing w:line="360" w:lineRule="auto"/>
        <w:jc w:val="center"/>
        <w:rPr>
          <w:rFonts w:eastAsia="Calibri"/>
          <w:b/>
          <w:lang w:val="es-MX" w:eastAsia="en-US"/>
        </w:rPr>
      </w:pPr>
    </w:p>
    <w:p w14:paraId="7F28F061" w14:textId="77777777" w:rsidR="00A1510F" w:rsidRPr="00A1510F" w:rsidRDefault="00A1510F" w:rsidP="00A1510F">
      <w:pPr>
        <w:spacing w:line="360" w:lineRule="auto"/>
        <w:jc w:val="center"/>
        <w:rPr>
          <w:rFonts w:eastAsia="Calibri"/>
          <w:b/>
          <w:lang w:val="es-MX" w:eastAsia="en-US"/>
        </w:rPr>
      </w:pPr>
    </w:p>
    <w:p w14:paraId="609AA8F4" w14:textId="77777777" w:rsidR="00A1510F" w:rsidRPr="00A1510F" w:rsidRDefault="00A1510F" w:rsidP="00A1510F">
      <w:pPr>
        <w:spacing w:line="360" w:lineRule="auto"/>
        <w:jc w:val="center"/>
        <w:rPr>
          <w:rFonts w:eastAsia="Calibri"/>
          <w:b/>
          <w:sz w:val="32"/>
          <w:szCs w:val="32"/>
          <w:lang w:val="es-MX" w:eastAsia="en-US"/>
        </w:rPr>
      </w:pPr>
      <w:r w:rsidRPr="00A1510F">
        <w:rPr>
          <w:rFonts w:eastAsia="Calibri"/>
          <w:b/>
          <w:sz w:val="32"/>
          <w:szCs w:val="32"/>
          <w:lang w:val="es-MX" w:eastAsia="en-US"/>
        </w:rPr>
        <w:t>MÉTODOS</w:t>
      </w:r>
    </w:p>
    <w:p w14:paraId="28509240" w14:textId="77777777" w:rsidR="00A1510F" w:rsidRPr="00A1510F" w:rsidRDefault="00A1510F" w:rsidP="00A1510F">
      <w:pPr>
        <w:spacing w:line="360" w:lineRule="auto"/>
        <w:jc w:val="center"/>
        <w:rPr>
          <w:rFonts w:eastAsia="Calibri"/>
          <w:b/>
          <w:color w:val="000000"/>
          <w:sz w:val="28"/>
          <w:szCs w:val="28"/>
          <w:lang w:val="es-MX" w:eastAsia="en-US"/>
        </w:rPr>
      </w:pPr>
      <w:r w:rsidRPr="00A1510F">
        <w:rPr>
          <w:rFonts w:eastAsia="Calibri"/>
          <w:b/>
          <w:color w:val="000000"/>
          <w:sz w:val="28"/>
          <w:szCs w:val="28"/>
          <w:lang w:val="es-MX" w:eastAsia="en-US"/>
        </w:rPr>
        <w:t>Diseño</w:t>
      </w:r>
    </w:p>
    <w:p w14:paraId="36077386" w14:textId="77777777" w:rsidR="00A1510F" w:rsidRPr="00A1510F" w:rsidRDefault="00A1510F" w:rsidP="00A1510F">
      <w:pPr>
        <w:spacing w:line="360" w:lineRule="auto"/>
        <w:jc w:val="both"/>
        <w:rPr>
          <w:rFonts w:eastAsia="Calibri"/>
          <w:color w:val="000000"/>
          <w:lang w:val="es-MX" w:eastAsia="en-US"/>
        </w:rPr>
      </w:pPr>
      <w:r w:rsidRPr="00A1510F">
        <w:rPr>
          <w:rFonts w:eastAsia="Calibri"/>
          <w:color w:val="000000"/>
          <w:lang w:val="es-MX" w:eastAsia="en-US"/>
        </w:rPr>
        <w:t xml:space="preserve">Se realizó un estudio descriptivo, longitudinal y </w:t>
      </w:r>
      <w:proofErr w:type="spellStart"/>
      <w:r w:rsidRPr="00A1510F">
        <w:rPr>
          <w:rFonts w:eastAsia="Calibri"/>
          <w:color w:val="000000"/>
          <w:lang w:val="es-MX" w:eastAsia="en-US"/>
        </w:rPr>
        <w:t>ambispectivo</w:t>
      </w:r>
      <w:proofErr w:type="spellEnd"/>
      <w:r w:rsidRPr="00A1510F">
        <w:rPr>
          <w:rFonts w:eastAsia="Calibri"/>
          <w:color w:val="000000"/>
          <w:lang w:val="es-MX" w:eastAsia="en-US"/>
        </w:rPr>
        <w:t>. Se revisaron las historias clínicas de todos los pacientes con diagnóstico de hepatitis autoinmune que se habían valorado en la consulta de Hepatología del Centro de Investigaciones Médico Quirúrgicas desde el año 2000 y los que se incorporaron a partir de ese momento.</w:t>
      </w:r>
    </w:p>
    <w:p w14:paraId="56E7A017" w14:textId="77777777" w:rsidR="00A1510F" w:rsidRPr="00A1510F" w:rsidRDefault="00A1510F" w:rsidP="00A1510F">
      <w:pPr>
        <w:spacing w:line="360" w:lineRule="auto"/>
        <w:jc w:val="both"/>
        <w:rPr>
          <w:rFonts w:eastAsia="Calibri"/>
          <w:color w:val="000000"/>
          <w:lang w:val="es-MX" w:eastAsia="en-US"/>
        </w:rPr>
      </w:pPr>
      <w:r w:rsidRPr="00A1510F">
        <w:rPr>
          <w:rFonts w:eastAsia="Calibri"/>
          <w:color w:val="000000"/>
          <w:lang w:val="es-MX" w:eastAsia="en-US"/>
        </w:rPr>
        <w:t xml:space="preserve">El periodo de estudio abarcó desde el año 2000 hasta el 2021 (con evaluaciones trimestrales). La media de seguimiento fue de </w:t>
      </w:r>
      <w:bookmarkStart w:id="4" w:name="_Hlk105821809"/>
      <w:r w:rsidRPr="00A1510F">
        <w:rPr>
          <w:rFonts w:eastAsia="Calibri"/>
          <w:color w:val="000000"/>
          <w:lang w:val="es-MX" w:eastAsia="en-US"/>
        </w:rPr>
        <w:t xml:space="preserve">11,25 años, mínimo de 5 y máximo de 18 años. </w:t>
      </w:r>
    </w:p>
    <w:p w14:paraId="0EF565FB" w14:textId="77777777" w:rsidR="00A1510F" w:rsidRPr="00A1510F" w:rsidRDefault="00A1510F" w:rsidP="00A1510F">
      <w:pPr>
        <w:spacing w:line="360" w:lineRule="auto"/>
        <w:jc w:val="center"/>
        <w:rPr>
          <w:rFonts w:eastAsia="Calibri"/>
          <w:b/>
          <w:color w:val="000000"/>
          <w:sz w:val="28"/>
          <w:szCs w:val="28"/>
          <w:lang w:val="es-MX" w:eastAsia="en-US"/>
        </w:rPr>
      </w:pPr>
      <w:r w:rsidRPr="00A1510F">
        <w:rPr>
          <w:rFonts w:eastAsia="Calibri"/>
          <w:b/>
          <w:color w:val="000000"/>
          <w:sz w:val="28"/>
          <w:szCs w:val="28"/>
          <w:lang w:val="es-MX" w:eastAsia="en-US"/>
        </w:rPr>
        <w:t>Sujetos</w:t>
      </w:r>
    </w:p>
    <w:p w14:paraId="7755F691" w14:textId="77777777" w:rsidR="00A1510F" w:rsidRPr="00A1510F" w:rsidRDefault="00A1510F" w:rsidP="00A1510F">
      <w:pPr>
        <w:spacing w:line="360" w:lineRule="auto"/>
        <w:jc w:val="both"/>
        <w:rPr>
          <w:rFonts w:eastAsia="Calibri"/>
          <w:lang w:val="es-MX" w:eastAsia="en-US"/>
        </w:rPr>
      </w:pPr>
      <w:r w:rsidRPr="00A1510F">
        <w:rPr>
          <w:rFonts w:eastAsia="Calibri"/>
          <w:color w:val="000000"/>
          <w:lang w:val="es-MX" w:eastAsia="en-US"/>
        </w:rPr>
        <w:t xml:space="preserve">Fueron examinados </w:t>
      </w:r>
      <w:r w:rsidRPr="00A1510F">
        <w:rPr>
          <w:rFonts w:eastAsia="Calibri"/>
          <w:lang w:val="es-MX" w:eastAsia="en-US"/>
        </w:rPr>
        <w:t xml:space="preserve">44 enfermos y se incluyeron 32 </w:t>
      </w:r>
      <w:bookmarkEnd w:id="4"/>
      <w:r w:rsidRPr="00A1510F">
        <w:rPr>
          <w:rFonts w:eastAsia="Calibri"/>
          <w:lang w:val="es-MX" w:eastAsia="en-US"/>
        </w:rPr>
        <w:t xml:space="preserve">individuos que cumplieron con los siguientes criterios: </w:t>
      </w:r>
    </w:p>
    <w:p w14:paraId="37E11535" w14:textId="77777777" w:rsidR="00A1510F" w:rsidRPr="00A1510F" w:rsidRDefault="00A1510F" w:rsidP="00A1510F">
      <w:pPr>
        <w:spacing w:line="360" w:lineRule="auto"/>
        <w:jc w:val="both"/>
        <w:rPr>
          <w:rFonts w:eastAsia="Calibri"/>
          <w:lang w:val="es-MX" w:eastAsia="en-US"/>
        </w:rPr>
      </w:pPr>
    </w:p>
    <w:p w14:paraId="50F767E5" w14:textId="77777777" w:rsidR="00A1510F" w:rsidRPr="00A1510F" w:rsidRDefault="00A1510F" w:rsidP="00E30288">
      <w:pPr>
        <w:numPr>
          <w:ilvl w:val="0"/>
          <w:numId w:val="39"/>
        </w:numPr>
        <w:spacing w:line="360" w:lineRule="auto"/>
        <w:contextualSpacing/>
        <w:jc w:val="both"/>
        <w:rPr>
          <w:rFonts w:eastAsia="Calibri"/>
          <w:lang w:val="es-MX" w:eastAsia="en-US"/>
        </w:rPr>
      </w:pPr>
      <w:r w:rsidRPr="00A1510F">
        <w:rPr>
          <w:rFonts w:eastAsia="Calibri"/>
          <w:lang w:val="es-MX" w:eastAsia="en-US"/>
        </w:rPr>
        <w:t>Mayores de 18 años.</w:t>
      </w:r>
    </w:p>
    <w:p w14:paraId="3E59ADA2" w14:textId="77777777" w:rsidR="00A1510F" w:rsidRPr="00A1510F" w:rsidRDefault="00A1510F" w:rsidP="00E30288">
      <w:pPr>
        <w:numPr>
          <w:ilvl w:val="0"/>
          <w:numId w:val="39"/>
        </w:numPr>
        <w:spacing w:line="360" w:lineRule="auto"/>
        <w:contextualSpacing/>
        <w:jc w:val="both"/>
        <w:rPr>
          <w:rFonts w:eastAsia="Calibri"/>
          <w:lang w:val="es-MX" w:eastAsia="en-US"/>
        </w:rPr>
      </w:pPr>
      <w:r w:rsidRPr="00A1510F">
        <w:rPr>
          <w:rFonts w:eastAsia="Calibri"/>
          <w:lang w:val="es-MX" w:eastAsia="en-US"/>
        </w:rPr>
        <w:t xml:space="preserve">Diagnóstico de HAI según los criterios simplificados de </w:t>
      </w:r>
      <w:proofErr w:type="spellStart"/>
      <w:r w:rsidRPr="00A1510F">
        <w:rPr>
          <w:rFonts w:eastAsia="Calibri"/>
          <w:lang w:val="es-MX" w:eastAsia="en-US"/>
        </w:rPr>
        <w:t>Hennes</w:t>
      </w:r>
      <w:proofErr w:type="spellEnd"/>
      <w:r w:rsidRPr="00A1510F">
        <w:rPr>
          <w:rFonts w:eastAsia="Calibri"/>
          <w:lang w:val="es-MX" w:eastAsia="en-US"/>
        </w:rPr>
        <w:t xml:space="preserve"> (tabla 1</w:t>
      </w:r>
      <w:proofErr w:type="gramStart"/>
      <w:r w:rsidRPr="00A1510F">
        <w:rPr>
          <w:rFonts w:eastAsia="Calibri"/>
          <w:lang w:val="es-MX" w:eastAsia="en-US"/>
        </w:rPr>
        <w:t>).</w:t>
      </w:r>
      <w:r w:rsidRPr="00A1510F">
        <w:rPr>
          <w:rFonts w:eastAsia="Calibri"/>
          <w:vertAlign w:val="superscript"/>
          <w:lang w:val="es-MX" w:eastAsia="en-US"/>
        </w:rPr>
        <w:t>(</w:t>
      </w:r>
      <w:proofErr w:type="gramEnd"/>
      <w:r w:rsidRPr="00A1510F">
        <w:rPr>
          <w:rFonts w:eastAsia="Calibri"/>
          <w:vertAlign w:val="superscript"/>
          <w:lang w:val="es-MX" w:eastAsia="en-US"/>
        </w:rPr>
        <w:t>12)</w:t>
      </w:r>
      <w:r w:rsidRPr="00A1510F">
        <w:rPr>
          <w:rFonts w:eastAsia="Calibri"/>
          <w:lang w:val="es-MX" w:eastAsia="en-US"/>
        </w:rPr>
        <w:t xml:space="preserve"> </w:t>
      </w:r>
    </w:p>
    <w:p w14:paraId="1166F9D8" w14:textId="77777777" w:rsidR="00A1510F" w:rsidRPr="00A1510F" w:rsidRDefault="00A1510F" w:rsidP="00E30288">
      <w:pPr>
        <w:numPr>
          <w:ilvl w:val="0"/>
          <w:numId w:val="39"/>
        </w:numPr>
        <w:spacing w:line="360" w:lineRule="auto"/>
        <w:contextualSpacing/>
        <w:jc w:val="both"/>
        <w:rPr>
          <w:rFonts w:eastAsia="Calibri"/>
          <w:lang w:val="es-MX" w:eastAsia="en-US"/>
        </w:rPr>
      </w:pPr>
      <w:r w:rsidRPr="00A1510F">
        <w:rPr>
          <w:rFonts w:eastAsia="Calibri"/>
          <w:lang w:val="es-MX" w:eastAsia="en-US"/>
        </w:rPr>
        <w:t xml:space="preserve">Haber recibido tratamiento inmunosupresor para la enfermedad, con evaluación de la respuesta a los 6 meses de iniciado. </w:t>
      </w:r>
    </w:p>
    <w:p w14:paraId="368B8CB7" w14:textId="77777777" w:rsidR="00A1510F" w:rsidRPr="00A1510F" w:rsidRDefault="00A1510F" w:rsidP="00E30288">
      <w:pPr>
        <w:numPr>
          <w:ilvl w:val="0"/>
          <w:numId w:val="39"/>
        </w:numPr>
        <w:spacing w:line="360" w:lineRule="auto"/>
        <w:contextualSpacing/>
        <w:jc w:val="both"/>
        <w:rPr>
          <w:rFonts w:eastAsia="Calibri"/>
          <w:lang w:val="es-MX" w:eastAsia="en-US"/>
        </w:rPr>
      </w:pPr>
      <w:r w:rsidRPr="00A1510F">
        <w:rPr>
          <w:rFonts w:eastAsia="Calibri"/>
          <w:lang w:val="es-MX" w:eastAsia="en-US"/>
        </w:rPr>
        <w:t>Datos suficientes en las historias clínicas.</w:t>
      </w:r>
    </w:p>
    <w:p w14:paraId="22A219A1" w14:textId="77777777" w:rsidR="00A1510F" w:rsidRPr="00A1510F" w:rsidRDefault="00A1510F" w:rsidP="00E30288">
      <w:pPr>
        <w:spacing w:line="360" w:lineRule="auto"/>
        <w:jc w:val="center"/>
        <w:rPr>
          <w:rFonts w:eastAsia="Calibri"/>
          <w:lang w:val="es-MX" w:eastAsia="en-US"/>
        </w:rPr>
      </w:pPr>
    </w:p>
    <w:p w14:paraId="5694E52F" w14:textId="77777777" w:rsidR="00E30288" w:rsidRDefault="00E30288">
      <w:pPr>
        <w:rPr>
          <w:rFonts w:eastAsia="Calibri"/>
          <w:b/>
          <w:bCs/>
          <w:sz w:val="22"/>
          <w:szCs w:val="22"/>
          <w:lang w:val="es-MX" w:eastAsia="en-US"/>
        </w:rPr>
      </w:pPr>
      <w:r>
        <w:rPr>
          <w:rFonts w:eastAsia="Calibri"/>
          <w:b/>
          <w:bCs/>
          <w:sz w:val="22"/>
          <w:szCs w:val="22"/>
          <w:lang w:val="es-MX" w:eastAsia="en-US"/>
        </w:rPr>
        <w:br w:type="page"/>
      </w:r>
    </w:p>
    <w:p w14:paraId="3FBE0477" w14:textId="6859C2D9" w:rsidR="00A1510F" w:rsidRPr="00A1510F" w:rsidRDefault="00A1510F" w:rsidP="00A1510F">
      <w:pPr>
        <w:spacing w:line="360" w:lineRule="auto"/>
        <w:jc w:val="center"/>
        <w:rPr>
          <w:rFonts w:eastAsia="Calibri"/>
          <w:bCs/>
          <w:sz w:val="22"/>
          <w:szCs w:val="22"/>
          <w:lang w:val="es-MX" w:eastAsia="en-US"/>
        </w:rPr>
      </w:pPr>
      <w:r w:rsidRPr="00A1510F">
        <w:rPr>
          <w:rFonts w:eastAsia="Calibri"/>
          <w:b/>
          <w:bCs/>
          <w:sz w:val="22"/>
          <w:szCs w:val="22"/>
          <w:lang w:val="es-MX" w:eastAsia="en-US"/>
        </w:rPr>
        <w:lastRenderedPageBreak/>
        <w:t>Tabla 1 -</w:t>
      </w:r>
      <w:r w:rsidRPr="00A1510F">
        <w:rPr>
          <w:rFonts w:eastAsia="Calibri"/>
          <w:sz w:val="22"/>
          <w:szCs w:val="22"/>
          <w:lang w:val="es-MX" w:eastAsia="en-US"/>
        </w:rPr>
        <w:t xml:space="preserve"> </w:t>
      </w:r>
      <w:r w:rsidRPr="00A1510F">
        <w:rPr>
          <w:rFonts w:eastAsia="Calibri"/>
          <w:bCs/>
          <w:sz w:val="22"/>
          <w:szCs w:val="22"/>
          <w:lang w:val="es-MX" w:eastAsia="en-US"/>
        </w:rPr>
        <w:t xml:space="preserve">Criterios simplificados de </w:t>
      </w:r>
      <w:proofErr w:type="spellStart"/>
      <w:r w:rsidRPr="00A1510F">
        <w:rPr>
          <w:rFonts w:eastAsia="Calibri"/>
          <w:bCs/>
          <w:sz w:val="22"/>
          <w:szCs w:val="22"/>
          <w:lang w:val="es-MX" w:eastAsia="en-US"/>
        </w:rPr>
        <w:t>Hennes</w:t>
      </w:r>
      <w:proofErr w:type="spellEnd"/>
    </w:p>
    <w:p w14:paraId="740AD479" w14:textId="5AB5FE0F" w:rsidR="004D2823" w:rsidRDefault="004D2823" w:rsidP="00A1510F">
      <w:pPr>
        <w:spacing w:line="360" w:lineRule="auto"/>
        <w:jc w:val="center"/>
        <w:rPr>
          <w:rFonts w:eastAsia="Calibri"/>
          <w:bCs/>
          <w:sz w:val="16"/>
          <w:szCs w:val="16"/>
          <w:lang w:val="es-ES" w:eastAsia="en-US"/>
        </w:rPr>
      </w:pPr>
      <w:r w:rsidRPr="007475B5">
        <w:rPr>
          <w:b/>
          <w:noProof/>
          <w:lang w:val="es-ES" w:eastAsia="es-ES"/>
        </w:rPr>
        <w:drawing>
          <wp:inline distT="0" distB="0" distL="0" distR="0" wp14:anchorId="12E0753F" wp14:editId="47FEA5A9">
            <wp:extent cx="3133725" cy="2705100"/>
            <wp:effectExtent l="0" t="0" r="9525" b="0"/>
            <wp:docPr id="10" name="Imagen 10" descr="G:\17849\t01_1784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7849\t01_17849.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33725" cy="2705100"/>
                    </a:xfrm>
                    <a:prstGeom prst="rect">
                      <a:avLst/>
                    </a:prstGeom>
                    <a:noFill/>
                    <a:ln>
                      <a:noFill/>
                    </a:ln>
                  </pic:spPr>
                </pic:pic>
              </a:graphicData>
            </a:graphic>
          </wp:inline>
        </w:drawing>
      </w:r>
    </w:p>
    <w:p w14:paraId="3102B608" w14:textId="6FDFB40A" w:rsidR="00A1510F" w:rsidRPr="00A1510F" w:rsidRDefault="00A1510F" w:rsidP="00A1510F">
      <w:pPr>
        <w:spacing w:line="360" w:lineRule="auto"/>
        <w:jc w:val="center"/>
        <w:rPr>
          <w:rFonts w:eastAsia="Calibri"/>
          <w:bCs/>
          <w:sz w:val="16"/>
          <w:szCs w:val="16"/>
          <w:lang w:val="es-ES" w:eastAsia="en-US"/>
        </w:rPr>
      </w:pPr>
      <w:r w:rsidRPr="00A1510F">
        <w:rPr>
          <w:rFonts w:eastAsia="Calibri"/>
          <w:bCs/>
          <w:sz w:val="16"/>
          <w:szCs w:val="16"/>
          <w:lang w:val="es-ES" w:eastAsia="en-US"/>
        </w:rPr>
        <w:t xml:space="preserve">Leyenda: ANA: anticuerpos antinucleares; ASMA: anticuerpo </w:t>
      </w:r>
      <w:proofErr w:type="spellStart"/>
      <w:r w:rsidRPr="00A1510F">
        <w:rPr>
          <w:rFonts w:eastAsia="Calibri"/>
          <w:bCs/>
          <w:sz w:val="16"/>
          <w:szCs w:val="16"/>
          <w:lang w:val="es-ES" w:eastAsia="en-US"/>
        </w:rPr>
        <w:t>antimúsculo</w:t>
      </w:r>
      <w:proofErr w:type="spellEnd"/>
      <w:r w:rsidRPr="00A1510F">
        <w:rPr>
          <w:rFonts w:eastAsia="Calibri"/>
          <w:bCs/>
          <w:sz w:val="16"/>
          <w:szCs w:val="16"/>
          <w:lang w:val="es-ES" w:eastAsia="en-US"/>
        </w:rPr>
        <w:t xml:space="preserve"> liso; LKM: anticuerpo </w:t>
      </w:r>
      <w:proofErr w:type="spellStart"/>
      <w:r w:rsidRPr="00A1510F">
        <w:rPr>
          <w:rFonts w:eastAsia="Calibri"/>
          <w:bCs/>
          <w:sz w:val="16"/>
          <w:szCs w:val="16"/>
          <w:lang w:val="es-ES" w:eastAsia="en-US"/>
        </w:rPr>
        <w:t>microsomal</w:t>
      </w:r>
      <w:proofErr w:type="spellEnd"/>
      <w:r w:rsidRPr="00A1510F">
        <w:rPr>
          <w:rFonts w:eastAsia="Calibri"/>
          <w:bCs/>
          <w:sz w:val="16"/>
          <w:szCs w:val="16"/>
          <w:lang w:val="es-ES" w:eastAsia="en-US"/>
        </w:rPr>
        <w:t xml:space="preserve"> </w:t>
      </w:r>
      <w:proofErr w:type="spellStart"/>
      <w:r w:rsidRPr="00A1510F">
        <w:rPr>
          <w:rFonts w:eastAsia="Calibri"/>
          <w:bCs/>
          <w:sz w:val="16"/>
          <w:szCs w:val="16"/>
          <w:lang w:val="es-ES" w:eastAsia="en-US"/>
        </w:rPr>
        <w:t>anti-hígado</w:t>
      </w:r>
      <w:proofErr w:type="spellEnd"/>
      <w:r w:rsidRPr="00A1510F">
        <w:rPr>
          <w:rFonts w:eastAsia="Calibri"/>
          <w:bCs/>
          <w:sz w:val="16"/>
          <w:szCs w:val="16"/>
          <w:lang w:val="es-ES" w:eastAsia="en-US"/>
        </w:rPr>
        <w:t xml:space="preserve">/riñón; SLA: anticuerpos hepáticos </w:t>
      </w:r>
      <w:proofErr w:type="spellStart"/>
      <w:r w:rsidRPr="00A1510F">
        <w:rPr>
          <w:rFonts w:eastAsia="Calibri"/>
          <w:bCs/>
          <w:sz w:val="16"/>
          <w:szCs w:val="16"/>
          <w:lang w:val="es-ES" w:eastAsia="en-US"/>
        </w:rPr>
        <w:t>antisolubles</w:t>
      </w:r>
      <w:proofErr w:type="spellEnd"/>
      <w:r w:rsidRPr="00A1510F">
        <w:rPr>
          <w:rFonts w:eastAsia="Calibri"/>
          <w:bCs/>
          <w:sz w:val="16"/>
          <w:szCs w:val="16"/>
          <w:lang w:val="es-ES" w:eastAsia="en-US"/>
        </w:rPr>
        <w:t>; IgG: inmunoglobulina G; HAI: hepatitis autoinmune.</w:t>
      </w:r>
    </w:p>
    <w:p w14:paraId="500E1ED5" w14:textId="4188E3FE" w:rsidR="00A1510F" w:rsidRPr="00A1510F" w:rsidRDefault="00A1510F" w:rsidP="00A1510F">
      <w:pPr>
        <w:spacing w:line="360" w:lineRule="auto"/>
        <w:jc w:val="center"/>
        <w:rPr>
          <w:rFonts w:eastAsia="Calibri"/>
          <w:b/>
          <w:lang w:val="es-MX" w:eastAsia="en-US"/>
        </w:rPr>
      </w:pPr>
    </w:p>
    <w:p w14:paraId="1AE07918"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Criterios de exclusión:</w:t>
      </w:r>
    </w:p>
    <w:p w14:paraId="309249F6" w14:textId="77777777" w:rsidR="00A1510F" w:rsidRPr="00A1510F" w:rsidRDefault="00A1510F" w:rsidP="00E30288">
      <w:pPr>
        <w:spacing w:line="360" w:lineRule="auto"/>
        <w:jc w:val="both"/>
        <w:rPr>
          <w:rFonts w:eastAsia="Calibri"/>
          <w:lang w:val="es-MX" w:eastAsia="en-US"/>
        </w:rPr>
      </w:pPr>
    </w:p>
    <w:p w14:paraId="772C3DB4" w14:textId="77777777" w:rsidR="00A1510F" w:rsidRPr="00A1510F" w:rsidRDefault="00A1510F" w:rsidP="00E30288">
      <w:pPr>
        <w:numPr>
          <w:ilvl w:val="0"/>
          <w:numId w:val="38"/>
        </w:numPr>
        <w:spacing w:line="360" w:lineRule="auto"/>
        <w:contextualSpacing/>
        <w:jc w:val="both"/>
        <w:rPr>
          <w:rFonts w:eastAsia="Calibri"/>
          <w:lang w:val="es-ES" w:eastAsia="en-US"/>
        </w:rPr>
      </w:pPr>
      <w:r w:rsidRPr="00A1510F">
        <w:rPr>
          <w:rFonts w:eastAsia="Calibri"/>
          <w:lang w:val="es-MX" w:eastAsia="en-US"/>
        </w:rPr>
        <w:t xml:space="preserve">Ausencia </w:t>
      </w:r>
      <w:r w:rsidRPr="00A1510F">
        <w:rPr>
          <w:rFonts w:eastAsia="Calibri"/>
          <w:lang w:val="es-ES" w:eastAsia="en-US"/>
        </w:rPr>
        <w:t>a las consultas de seguimiento.</w:t>
      </w:r>
    </w:p>
    <w:p w14:paraId="77480C56" w14:textId="77777777" w:rsidR="00A1510F" w:rsidRPr="00A1510F" w:rsidRDefault="00A1510F" w:rsidP="00E30288">
      <w:pPr>
        <w:numPr>
          <w:ilvl w:val="0"/>
          <w:numId w:val="38"/>
        </w:numPr>
        <w:spacing w:line="360" w:lineRule="auto"/>
        <w:contextualSpacing/>
        <w:jc w:val="both"/>
        <w:rPr>
          <w:rFonts w:eastAsia="Calibri"/>
          <w:lang w:val="es-MX" w:eastAsia="en-US"/>
        </w:rPr>
      </w:pPr>
      <w:r w:rsidRPr="00A1510F">
        <w:rPr>
          <w:rFonts w:eastAsia="Calibri"/>
          <w:lang w:val="es-ES" w:eastAsia="en-US"/>
        </w:rPr>
        <w:t>Presencia de otra causa de enfermedad hepática sobreañadida</w:t>
      </w:r>
      <w:r w:rsidRPr="00A1510F">
        <w:rPr>
          <w:rFonts w:eastAsia="Calibri"/>
          <w:lang w:val="es-MX" w:eastAsia="en-US"/>
        </w:rPr>
        <w:t>.</w:t>
      </w:r>
    </w:p>
    <w:p w14:paraId="220E3974" w14:textId="77777777" w:rsidR="00A1510F" w:rsidRPr="00A1510F" w:rsidRDefault="00A1510F" w:rsidP="00E30288">
      <w:pPr>
        <w:spacing w:line="360" w:lineRule="auto"/>
        <w:jc w:val="both"/>
        <w:rPr>
          <w:rFonts w:eastAsia="Calibri"/>
          <w:b/>
          <w:lang w:val="es-ES" w:eastAsia="en-US"/>
        </w:rPr>
      </w:pPr>
    </w:p>
    <w:p w14:paraId="16BED482" w14:textId="77777777" w:rsidR="00A1510F" w:rsidRPr="00A1510F" w:rsidRDefault="00A1510F" w:rsidP="00A1510F">
      <w:pPr>
        <w:spacing w:line="360" w:lineRule="auto"/>
        <w:jc w:val="center"/>
        <w:rPr>
          <w:rFonts w:eastAsia="Calibri"/>
          <w:b/>
          <w:sz w:val="28"/>
          <w:szCs w:val="28"/>
          <w:lang w:val="es-ES" w:eastAsia="en-US"/>
        </w:rPr>
      </w:pPr>
      <w:r w:rsidRPr="00A1510F">
        <w:rPr>
          <w:rFonts w:eastAsia="Calibri"/>
          <w:b/>
          <w:sz w:val="28"/>
          <w:szCs w:val="28"/>
          <w:lang w:val="es-ES" w:eastAsia="en-US"/>
        </w:rPr>
        <w:t>Variables</w:t>
      </w:r>
    </w:p>
    <w:p w14:paraId="31EB5000" w14:textId="77777777" w:rsidR="00A1510F" w:rsidRPr="00A1510F" w:rsidRDefault="00A1510F" w:rsidP="00A1510F">
      <w:pPr>
        <w:spacing w:line="360" w:lineRule="auto"/>
        <w:jc w:val="both"/>
        <w:rPr>
          <w:rFonts w:eastAsia="Calibri"/>
          <w:lang w:val="es-PE" w:eastAsia="en-US"/>
        </w:rPr>
      </w:pPr>
      <w:r w:rsidRPr="00A1510F">
        <w:rPr>
          <w:rFonts w:eastAsia="Calibri"/>
          <w:lang w:val="es-PE" w:eastAsia="en-US"/>
        </w:rPr>
        <w:t xml:space="preserve">Las variables incluidas fueron: tipo de hepatitis autoinmune, forma de presentación, respuesta al tratamiento y </w:t>
      </w:r>
      <w:r w:rsidRPr="00A1510F">
        <w:rPr>
          <w:rFonts w:eastAsia="Calibri"/>
          <w:lang w:val="es-MX" w:eastAsia="en-US"/>
        </w:rPr>
        <w:t>estado actual de los pacientes con hepatitis autoinmune según la respuesta al tratamiento inmunosupresor.</w:t>
      </w:r>
    </w:p>
    <w:p w14:paraId="2B68E27F" w14:textId="77777777" w:rsidR="00A1510F" w:rsidRPr="00A1510F" w:rsidRDefault="00A1510F" w:rsidP="00A1510F">
      <w:pPr>
        <w:spacing w:line="360" w:lineRule="auto"/>
        <w:jc w:val="both"/>
        <w:rPr>
          <w:rFonts w:eastAsia="Calibri"/>
          <w:vertAlign w:val="superscript"/>
          <w:lang w:val="es-PE" w:eastAsia="en-US"/>
        </w:rPr>
      </w:pPr>
      <w:r w:rsidRPr="00A1510F">
        <w:rPr>
          <w:rFonts w:eastAsia="Calibri"/>
          <w:lang w:val="es-PE" w:eastAsia="en-US"/>
        </w:rPr>
        <w:t>Los tipos de HAI considerados son:</w:t>
      </w:r>
      <w:r w:rsidRPr="00A1510F">
        <w:rPr>
          <w:rFonts w:eastAsia="Calibri"/>
          <w:vertAlign w:val="superscript"/>
          <w:lang w:val="es-PE" w:eastAsia="en-US"/>
        </w:rPr>
        <w:t>(13)</w:t>
      </w:r>
    </w:p>
    <w:p w14:paraId="71C5FB73" w14:textId="77777777" w:rsidR="00A1510F" w:rsidRPr="00A1510F" w:rsidRDefault="00A1510F" w:rsidP="00A1510F">
      <w:pPr>
        <w:spacing w:line="360" w:lineRule="auto"/>
        <w:jc w:val="both"/>
        <w:rPr>
          <w:rFonts w:eastAsia="Calibri"/>
          <w:vertAlign w:val="superscript"/>
          <w:lang w:val="es-PE" w:eastAsia="en-US"/>
        </w:rPr>
      </w:pPr>
    </w:p>
    <w:p w14:paraId="534C5866" w14:textId="77777777" w:rsidR="00A1510F" w:rsidRPr="00A1510F" w:rsidRDefault="00A1510F" w:rsidP="00E30288">
      <w:pPr>
        <w:numPr>
          <w:ilvl w:val="0"/>
          <w:numId w:val="47"/>
        </w:numPr>
        <w:spacing w:line="360" w:lineRule="auto"/>
        <w:contextualSpacing/>
        <w:jc w:val="both"/>
        <w:rPr>
          <w:rFonts w:eastAsia="Calibri"/>
          <w:lang w:val="es-MX" w:eastAsia="en-US"/>
        </w:rPr>
      </w:pPr>
      <w:r w:rsidRPr="00A1510F">
        <w:rPr>
          <w:rFonts w:eastAsia="Calibri"/>
          <w:lang w:val="es-MX" w:eastAsia="en-US"/>
        </w:rPr>
        <w:t>HAI I: se caracteriza por presentar ANA o ASMA positivos, aunque hasta el 20 % de los casos de HAI son negativos para los autoanticuerpos ANA, ASMA y a</w:t>
      </w:r>
      <w:r w:rsidRPr="00A1510F">
        <w:rPr>
          <w:rFonts w:eastAsia="Calibri"/>
          <w:iCs/>
          <w:lang w:val="es-MX" w:eastAsia="en-US"/>
        </w:rPr>
        <w:t xml:space="preserve">nticuerpos </w:t>
      </w:r>
      <w:proofErr w:type="spellStart"/>
      <w:r w:rsidRPr="00A1510F">
        <w:rPr>
          <w:rFonts w:eastAsia="Calibri"/>
          <w:iCs/>
          <w:lang w:val="es-MX" w:eastAsia="en-US"/>
        </w:rPr>
        <w:t>anti-microsomales</w:t>
      </w:r>
      <w:proofErr w:type="spellEnd"/>
      <w:r w:rsidRPr="00A1510F">
        <w:rPr>
          <w:rFonts w:eastAsia="Calibri"/>
          <w:iCs/>
          <w:lang w:val="es-MX" w:eastAsia="en-US"/>
        </w:rPr>
        <w:t xml:space="preserve"> tipo 1 (</w:t>
      </w:r>
      <w:r w:rsidRPr="00A1510F">
        <w:rPr>
          <w:rFonts w:eastAsia="Calibri"/>
          <w:lang w:val="es-MX" w:eastAsia="en-US"/>
        </w:rPr>
        <w:t>LKM1). Es la forma más frecuente y afecta tanto a niños como a adultos.</w:t>
      </w:r>
    </w:p>
    <w:p w14:paraId="32E81101" w14:textId="77777777" w:rsidR="00A1510F" w:rsidRPr="00A1510F" w:rsidRDefault="00A1510F" w:rsidP="00E30288">
      <w:pPr>
        <w:numPr>
          <w:ilvl w:val="0"/>
          <w:numId w:val="47"/>
        </w:numPr>
        <w:spacing w:line="360" w:lineRule="auto"/>
        <w:contextualSpacing/>
        <w:jc w:val="both"/>
        <w:rPr>
          <w:rFonts w:eastAsia="Calibri"/>
          <w:lang w:val="es-MX" w:eastAsia="en-US"/>
        </w:rPr>
      </w:pPr>
      <w:r w:rsidRPr="00A1510F">
        <w:rPr>
          <w:rFonts w:eastAsia="Calibri"/>
          <w:lang w:val="es-MX" w:eastAsia="en-US"/>
        </w:rPr>
        <w:lastRenderedPageBreak/>
        <w:t xml:space="preserve">HAI II: se caracteriza por tener LKM1 o </w:t>
      </w:r>
      <w:proofErr w:type="spellStart"/>
      <w:r w:rsidRPr="00A1510F">
        <w:rPr>
          <w:rFonts w:eastAsia="Calibri"/>
          <w:lang w:val="es-MX" w:eastAsia="en-US"/>
        </w:rPr>
        <w:t>antihígado</w:t>
      </w:r>
      <w:proofErr w:type="spellEnd"/>
      <w:r w:rsidRPr="00A1510F">
        <w:rPr>
          <w:rFonts w:eastAsia="Calibri"/>
          <w:lang w:val="es-MX" w:eastAsia="en-US"/>
        </w:rPr>
        <w:t>-riñón positivos y a</w:t>
      </w:r>
      <w:r w:rsidRPr="00A1510F">
        <w:rPr>
          <w:rFonts w:eastAsia="Calibri"/>
          <w:iCs/>
          <w:lang w:val="es-MX" w:eastAsia="en-US"/>
        </w:rPr>
        <w:t xml:space="preserve">nticuerpo </w:t>
      </w:r>
      <w:proofErr w:type="spellStart"/>
      <w:r w:rsidRPr="00A1510F">
        <w:rPr>
          <w:rFonts w:eastAsia="Calibri"/>
          <w:iCs/>
          <w:lang w:val="es-MX" w:eastAsia="en-US"/>
        </w:rPr>
        <w:t>anticitosol</w:t>
      </w:r>
      <w:proofErr w:type="spellEnd"/>
      <w:r w:rsidRPr="00A1510F">
        <w:rPr>
          <w:rFonts w:eastAsia="Calibri"/>
          <w:iCs/>
          <w:lang w:val="es-MX" w:eastAsia="en-US"/>
        </w:rPr>
        <w:t xml:space="preserve"> hepático tipo 1</w:t>
      </w:r>
      <w:r w:rsidRPr="00A1510F">
        <w:rPr>
          <w:rFonts w:eastAsia="Calibri"/>
          <w:i/>
          <w:iCs/>
          <w:lang w:val="es-MX" w:eastAsia="en-US"/>
        </w:rPr>
        <w:t xml:space="preserve"> </w:t>
      </w:r>
      <w:r w:rsidRPr="00A1510F">
        <w:rPr>
          <w:rFonts w:eastAsia="Calibri"/>
          <w:iCs/>
          <w:lang w:val="es-MX" w:eastAsia="en-US"/>
        </w:rPr>
        <w:t>(</w:t>
      </w:r>
      <w:r w:rsidRPr="00A1510F">
        <w:rPr>
          <w:rFonts w:eastAsia="Calibri"/>
          <w:lang w:val="es-MX" w:eastAsia="en-US"/>
        </w:rPr>
        <w:t>LC1). Es más común en edades pediátricas.</w:t>
      </w:r>
    </w:p>
    <w:p w14:paraId="0BE125F0" w14:textId="77777777" w:rsidR="00A1510F" w:rsidRPr="00A1510F" w:rsidRDefault="00A1510F" w:rsidP="00E30288">
      <w:pPr>
        <w:spacing w:line="360" w:lineRule="auto"/>
        <w:jc w:val="both"/>
        <w:rPr>
          <w:rFonts w:eastAsia="Calibri"/>
          <w:lang w:val="es-PE" w:eastAsia="en-US"/>
        </w:rPr>
      </w:pPr>
    </w:p>
    <w:p w14:paraId="5779221B" w14:textId="77777777" w:rsidR="00A1510F" w:rsidRPr="00A1510F" w:rsidRDefault="00A1510F" w:rsidP="00A1510F">
      <w:pPr>
        <w:spacing w:line="360" w:lineRule="auto"/>
        <w:jc w:val="both"/>
        <w:rPr>
          <w:rFonts w:eastAsia="Calibri"/>
          <w:vertAlign w:val="superscript"/>
          <w:lang w:val="es-ES" w:eastAsia="en-US"/>
        </w:rPr>
      </w:pPr>
      <w:r w:rsidRPr="00A1510F">
        <w:rPr>
          <w:rFonts w:eastAsia="Calibri"/>
          <w:lang w:val="es-PE" w:eastAsia="en-US"/>
        </w:rPr>
        <w:t xml:space="preserve">La forma </w:t>
      </w:r>
      <w:r w:rsidRPr="00A1510F">
        <w:rPr>
          <w:rFonts w:eastAsia="Calibri"/>
          <w:lang w:val="es-ES" w:eastAsia="en-US"/>
        </w:rPr>
        <w:t>de presentación clínica fue definida como:</w:t>
      </w:r>
      <w:r w:rsidRPr="00A1510F">
        <w:rPr>
          <w:rFonts w:eastAsia="Calibri"/>
          <w:vertAlign w:val="superscript"/>
          <w:lang w:val="es-ES" w:eastAsia="en-US"/>
        </w:rPr>
        <w:t>(2)</w:t>
      </w:r>
    </w:p>
    <w:p w14:paraId="5D1E4F4E" w14:textId="77777777" w:rsidR="00A1510F" w:rsidRPr="00A1510F" w:rsidRDefault="00A1510F" w:rsidP="00E30288">
      <w:pPr>
        <w:spacing w:line="360" w:lineRule="auto"/>
        <w:jc w:val="both"/>
        <w:rPr>
          <w:rFonts w:eastAsia="Calibri"/>
          <w:vertAlign w:val="superscript"/>
          <w:lang w:val="es-ES" w:eastAsia="en-US"/>
        </w:rPr>
      </w:pPr>
    </w:p>
    <w:p w14:paraId="6ED559F2" w14:textId="77777777" w:rsidR="00A1510F" w:rsidRPr="00A1510F" w:rsidRDefault="00A1510F" w:rsidP="00E30288">
      <w:pPr>
        <w:numPr>
          <w:ilvl w:val="0"/>
          <w:numId w:val="43"/>
        </w:numPr>
        <w:spacing w:line="360" w:lineRule="auto"/>
        <w:contextualSpacing/>
        <w:jc w:val="both"/>
        <w:rPr>
          <w:rFonts w:eastAsia="Calibri"/>
          <w:lang w:val="es-ES" w:eastAsia="en-US"/>
        </w:rPr>
      </w:pPr>
      <w:r w:rsidRPr="00A1510F">
        <w:rPr>
          <w:rFonts w:eastAsia="Calibri"/>
          <w:lang w:val="es-ES" w:eastAsia="en-US"/>
        </w:rPr>
        <w:t>Asintomáticos: ausencia de síntomas con aumento ocasional de las enzimas hepáticas.</w:t>
      </w:r>
    </w:p>
    <w:p w14:paraId="09E8875D" w14:textId="77777777" w:rsidR="00A1510F" w:rsidRPr="00A1510F" w:rsidRDefault="00A1510F" w:rsidP="00E30288">
      <w:pPr>
        <w:numPr>
          <w:ilvl w:val="0"/>
          <w:numId w:val="43"/>
        </w:numPr>
        <w:spacing w:line="360" w:lineRule="auto"/>
        <w:contextualSpacing/>
        <w:jc w:val="both"/>
        <w:rPr>
          <w:rFonts w:eastAsia="Calibri"/>
          <w:lang w:val="es-ES" w:eastAsia="en-US"/>
        </w:rPr>
      </w:pPr>
      <w:r w:rsidRPr="00A1510F">
        <w:rPr>
          <w:rFonts w:eastAsia="Calibri"/>
          <w:lang w:val="es-ES" w:eastAsia="en-US"/>
        </w:rPr>
        <w:t>Sintomáticos: síntomas crónicos inespecíficos, manifestaciones clínicas de enfermedad hepática avanzada o síntomas de otras enfermedades autoinmunes concurrentes.</w:t>
      </w:r>
    </w:p>
    <w:p w14:paraId="389DA45F" w14:textId="77777777" w:rsidR="00A1510F" w:rsidRPr="00A1510F" w:rsidRDefault="00A1510F" w:rsidP="00E30288">
      <w:pPr>
        <w:numPr>
          <w:ilvl w:val="0"/>
          <w:numId w:val="43"/>
        </w:numPr>
        <w:spacing w:line="360" w:lineRule="auto"/>
        <w:contextualSpacing/>
        <w:jc w:val="both"/>
        <w:rPr>
          <w:rFonts w:eastAsia="Calibri"/>
          <w:lang w:val="es-ES" w:eastAsia="en-US"/>
        </w:rPr>
      </w:pPr>
      <w:r w:rsidRPr="00A1510F">
        <w:rPr>
          <w:rFonts w:eastAsia="Calibri"/>
          <w:lang w:val="es-ES" w:eastAsia="en-US"/>
        </w:rPr>
        <w:t>Enfermedad aguda: menos de 30 días de evolución de los síntomas e incluye los que debutan con hepatitis aguda grave, fallo hepático agudo y exacerbaciones de una hepatopatía crónica subyacente.</w:t>
      </w:r>
    </w:p>
    <w:p w14:paraId="12B7A316" w14:textId="77777777" w:rsidR="00A1510F" w:rsidRPr="00A1510F" w:rsidRDefault="00A1510F" w:rsidP="00E30288">
      <w:pPr>
        <w:spacing w:line="360" w:lineRule="auto"/>
        <w:jc w:val="both"/>
        <w:rPr>
          <w:rFonts w:eastAsia="Calibri"/>
          <w:lang w:val="es-ES" w:eastAsia="en-US"/>
        </w:rPr>
      </w:pPr>
    </w:p>
    <w:p w14:paraId="29F83CEA" w14:textId="77777777" w:rsidR="00A1510F" w:rsidRPr="00A1510F" w:rsidRDefault="00A1510F" w:rsidP="00A1510F">
      <w:pPr>
        <w:spacing w:line="360" w:lineRule="auto"/>
        <w:jc w:val="both"/>
        <w:rPr>
          <w:rFonts w:eastAsia="Calibri"/>
          <w:lang w:val="es-ES" w:eastAsia="en-US"/>
        </w:rPr>
      </w:pPr>
      <w:r w:rsidRPr="00A1510F">
        <w:rPr>
          <w:rFonts w:eastAsia="Calibri"/>
          <w:lang w:val="es-ES" w:eastAsia="en-US"/>
        </w:rPr>
        <w:t>El estadio de enfermedad hepática al momento del diagnóstico se determinó según las características clínicas, ecográficas o histológicas. Se agruparon a los pacientes en no cirróticos y cirróticos:</w:t>
      </w:r>
    </w:p>
    <w:p w14:paraId="3345A025" w14:textId="77777777" w:rsidR="00A1510F" w:rsidRPr="00A1510F" w:rsidRDefault="00A1510F" w:rsidP="00E30288">
      <w:pPr>
        <w:spacing w:line="360" w:lineRule="auto"/>
        <w:jc w:val="both"/>
        <w:rPr>
          <w:rFonts w:eastAsia="Calibri"/>
          <w:lang w:val="es-ES" w:eastAsia="en-US"/>
        </w:rPr>
      </w:pPr>
    </w:p>
    <w:p w14:paraId="111D7BB1" w14:textId="77777777" w:rsidR="00A1510F" w:rsidRPr="00A1510F" w:rsidRDefault="00A1510F" w:rsidP="00E30288">
      <w:pPr>
        <w:numPr>
          <w:ilvl w:val="0"/>
          <w:numId w:val="41"/>
        </w:numPr>
        <w:spacing w:line="360" w:lineRule="auto"/>
        <w:contextualSpacing/>
        <w:jc w:val="both"/>
        <w:rPr>
          <w:rFonts w:eastAsia="Calibri"/>
          <w:lang w:val="es-ES" w:eastAsia="en-US"/>
        </w:rPr>
      </w:pPr>
      <w:r w:rsidRPr="00A1510F">
        <w:rPr>
          <w:rFonts w:eastAsia="Calibri"/>
          <w:lang w:val="es-ES" w:eastAsia="en-US"/>
        </w:rPr>
        <w:t xml:space="preserve">No cirróticos: pacientes con hallazgos histológicos compatibles con hepatitis de interfase, con infiltrado </w:t>
      </w:r>
      <w:proofErr w:type="spellStart"/>
      <w:r w:rsidRPr="00A1510F">
        <w:rPr>
          <w:rFonts w:eastAsia="Calibri"/>
          <w:lang w:val="es-ES" w:eastAsia="en-US"/>
        </w:rPr>
        <w:t>necroinflamatorio</w:t>
      </w:r>
      <w:proofErr w:type="spellEnd"/>
      <w:r w:rsidRPr="00A1510F">
        <w:rPr>
          <w:rFonts w:eastAsia="Calibri"/>
          <w:lang w:val="es-ES" w:eastAsia="en-US"/>
        </w:rPr>
        <w:t xml:space="preserve"> a predominio </w:t>
      </w:r>
      <w:proofErr w:type="spellStart"/>
      <w:r w:rsidRPr="00A1510F">
        <w:rPr>
          <w:rFonts w:eastAsia="Calibri"/>
          <w:lang w:val="es-ES" w:eastAsia="en-US"/>
        </w:rPr>
        <w:t>linfoplasmocitario</w:t>
      </w:r>
      <w:proofErr w:type="spellEnd"/>
      <w:r w:rsidRPr="00A1510F">
        <w:rPr>
          <w:rFonts w:eastAsia="Calibri"/>
          <w:lang w:val="es-ES" w:eastAsia="en-US"/>
        </w:rPr>
        <w:t xml:space="preserve"> y presencia o no de tractos fibrosos. Se clasificaron según score de </w:t>
      </w:r>
      <w:proofErr w:type="spellStart"/>
      <w:proofErr w:type="gramStart"/>
      <w:r w:rsidRPr="00A1510F">
        <w:rPr>
          <w:rFonts w:eastAsia="Calibri"/>
          <w:lang w:val="es-ES" w:eastAsia="en-US"/>
        </w:rPr>
        <w:t>Metavir</w:t>
      </w:r>
      <w:proofErr w:type="spellEnd"/>
      <w:r w:rsidRPr="00A1510F">
        <w:rPr>
          <w:rFonts w:eastAsia="Calibri"/>
          <w:vertAlign w:val="superscript"/>
          <w:lang w:val="es-ES" w:eastAsia="en-US"/>
        </w:rPr>
        <w:t>(</w:t>
      </w:r>
      <w:proofErr w:type="gramEnd"/>
      <w:r w:rsidRPr="00A1510F">
        <w:rPr>
          <w:rFonts w:eastAsia="Calibri"/>
          <w:vertAlign w:val="superscript"/>
          <w:lang w:val="es-ES" w:eastAsia="en-US"/>
        </w:rPr>
        <w:t>14)</w:t>
      </w:r>
      <w:r w:rsidRPr="00A1510F">
        <w:rPr>
          <w:rFonts w:eastAsia="Calibri"/>
          <w:lang w:val="es-ES" w:eastAsia="en-US"/>
        </w:rPr>
        <w:t xml:space="preserve"> en pacientes con actividad histológica  importante (A2-A3/FO) y hepatitis crónica (F1-F3).</w:t>
      </w:r>
    </w:p>
    <w:p w14:paraId="331EFD62" w14:textId="77777777" w:rsidR="00A1510F" w:rsidRPr="00A1510F" w:rsidRDefault="00A1510F" w:rsidP="00E30288">
      <w:pPr>
        <w:numPr>
          <w:ilvl w:val="0"/>
          <w:numId w:val="41"/>
        </w:numPr>
        <w:spacing w:line="360" w:lineRule="auto"/>
        <w:contextualSpacing/>
        <w:jc w:val="both"/>
        <w:rPr>
          <w:rFonts w:eastAsia="Calibri"/>
          <w:lang w:val="es-ES" w:eastAsia="en-US"/>
        </w:rPr>
      </w:pPr>
      <w:r w:rsidRPr="00A1510F">
        <w:rPr>
          <w:rFonts w:eastAsia="Calibri"/>
          <w:lang w:val="es-ES" w:eastAsia="en-US"/>
        </w:rPr>
        <w:t xml:space="preserve">Cirróticos: pacientes con hallazgos ecográficos característicos como distorsión de la arquitectura hepática, esplenomegalia o várices, o histología compatible que incluye estadio F4 de </w:t>
      </w:r>
      <w:proofErr w:type="spellStart"/>
      <w:proofErr w:type="gramStart"/>
      <w:r w:rsidRPr="00A1510F">
        <w:rPr>
          <w:rFonts w:eastAsia="Calibri"/>
          <w:lang w:val="es-ES" w:eastAsia="en-US"/>
        </w:rPr>
        <w:t>Metavir</w:t>
      </w:r>
      <w:proofErr w:type="spellEnd"/>
      <w:r w:rsidRPr="00A1510F">
        <w:rPr>
          <w:rFonts w:eastAsia="Calibri"/>
          <w:lang w:val="es-ES" w:eastAsia="en-US"/>
        </w:rPr>
        <w:t>.</w:t>
      </w:r>
      <w:r w:rsidRPr="00A1510F">
        <w:rPr>
          <w:rFonts w:eastAsia="Calibri"/>
          <w:vertAlign w:val="superscript"/>
          <w:lang w:val="es-ES" w:eastAsia="en-US"/>
        </w:rPr>
        <w:t>(</w:t>
      </w:r>
      <w:proofErr w:type="gramEnd"/>
      <w:r w:rsidRPr="00A1510F">
        <w:rPr>
          <w:rFonts w:eastAsia="Calibri"/>
          <w:vertAlign w:val="superscript"/>
          <w:lang w:val="es-ES" w:eastAsia="en-US"/>
        </w:rPr>
        <w:t>14)</w:t>
      </w:r>
    </w:p>
    <w:p w14:paraId="46EB6866" w14:textId="77777777" w:rsidR="00A1510F" w:rsidRPr="00A1510F" w:rsidRDefault="00A1510F" w:rsidP="00E30288">
      <w:pPr>
        <w:spacing w:line="360" w:lineRule="auto"/>
        <w:jc w:val="both"/>
        <w:rPr>
          <w:rFonts w:eastAsia="Calibri"/>
          <w:lang w:val="es-MX" w:eastAsia="en-US"/>
        </w:rPr>
      </w:pPr>
    </w:p>
    <w:p w14:paraId="5010FC0D"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 xml:space="preserve">La respuesta al tratamiento fue evaluada a los 6 meses. Se tuvo en cuenta la respuesta clínica y bioquímica. Se categorizó en: </w:t>
      </w:r>
    </w:p>
    <w:p w14:paraId="36A26740" w14:textId="77777777" w:rsidR="00A1510F" w:rsidRPr="00A1510F" w:rsidRDefault="00A1510F" w:rsidP="00E30288">
      <w:pPr>
        <w:spacing w:line="360" w:lineRule="auto"/>
        <w:jc w:val="both"/>
        <w:rPr>
          <w:rFonts w:eastAsia="Calibri"/>
          <w:lang w:val="es-MX" w:eastAsia="en-US"/>
        </w:rPr>
      </w:pPr>
    </w:p>
    <w:p w14:paraId="0F5FC4A4" w14:textId="77777777" w:rsidR="00A1510F" w:rsidRPr="00A1510F" w:rsidRDefault="00A1510F" w:rsidP="00E30288">
      <w:pPr>
        <w:numPr>
          <w:ilvl w:val="0"/>
          <w:numId w:val="45"/>
        </w:numPr>
        <w:spacing w:line="360" w:lineRule="auto"/>
        <w:contextualSpacing/>
        <w:jc w:val="both"/>
        <w:rPr>
          <w:rFonts w:eastAsia="Calibri"/>
          <w:vertAlign w:val="superscript"/>
          <w:lang w:val="es-MX" w:eastAsia="en-US"/>
        </w:rPr>
      </w:pPr>
      <w:r w:rsidRPr="00A1510F">
        <w:rPr>
          <w:rFonts w:eastAsia="Calibri"/>
          <w:lang w:val="es-MX" w:eastAsia="en-US"/>
        </w:rPr>
        <w:t xml:space="preserve">Respuesta: cuando los pacientes estaban asintomáticos con remisión bioquímica expresada por normalización </w:t>
      </w:r>
      <w:proofErr w:type="gramStart"/>
      <w:r w:rsidRPr="00A1510F">
        <w:rPr>
          <w:rFonts w:eastAsia="Calibri"/>
          <w:lang w:val="es-MX" w:eastAsia="en-US"/>
        </w:rPr>
        <w:t>de la aspartato</w:t>
      </w:r>
      <w:proofErr w:type="gramEnd"/>
      <w:r w:rsidRPr="00A1510F">
        <w:rPr>
          <w:rFonts w:eastAsia="Calibri"/>
          <w:lang w:val="es-MX" w:eastAsia="en-US"/>
        </w:rPr>
        <w:t xml:space="preserve"> aminotransferasa (ASAT), la alanina aminotransferasa (ALAT) y la inmunoglobulina G. </w:t>
      </w:r>
    </w:p>
    <w:p w14:paraId="68077881" w14:textId="77777777" w:rsidR="00A1510F" w:rsidRPr="00A1510F" w:rsidRDefault="00A1510F" w:rsidP="00E30288">
      <w:pPr>
        <w:numPr>
          <w:ilvl w:val="0"/>
          <w:numId w:val="45"/>
        </w:numPr>
        <w:spacing w:line="360" w:lineRule="auto"/>
        <w:contextualSpacing/>
        <w:jc w:val="both"/>
        <w:rPr>
          <w:rFonts w:eastAsia="Calibri"/>
          <w:vertAlign w:val="superscript"/>
          <w:lang w:val="es-MX" w:eastAsia="en-US"/>
        </w:rPr>
      </w:pPr>
      <w:r w:rsidRPr="00A1510F">
        <w:rPr>
          <w:rFonts w:eastAsia="Calibri"/>
          <w:lang w:val="es-MX" w:eastAsia="en-US"/>
        </w:rPr>
        <w:lastRenderedPageBreak/>
        <w:t xml:space="preserve">No respuesta: los enfermos que presentaron disminución de las transaminasas, pero sin cumplir criterios de remisión bioquímica y el fracaso o intolerancia al </w:t>
      </w:r>
      <w:proofErr w:type="gramStart"/>
      <w:r w:rsidRPr="00A1510F">
        <w:rPr>
          <w:rFonts w:eastAsia="Calibri"/>
          <w:lang w:val="es-MX" w:eastAsia="en-US"/>
        </w:rPr>
        <w:t>tratamiento.</w:t>
      </w:r>
      <w:r w:rsidRPr="00A1510F">
        <w:rPr>
          <w:rFonts w:eastAsia="Calibri"/>
          <w:vertAlign w:val="superscript"/>
          <w:lang w:val="es-MX" w:eastAsia="en-US"/>
        </w:rPr>
        <w:t>(</w:t>
      </w:r>
      <w:proofErr w:type="gramEnd"/>
      <w:r w:rsidRPr="00A1510F">
        <w:rPr>
          <w:rFonts w:eastAsia="Calibri"/>
          <w:vertAlign w:val="superscript"/>
          <w:lang w:val="es-MX" w:eastAsia="en-US"/>
        </w:rPr>
        <w:t>2,7)</w:t>
      </w:r>
    </w:p>
    <w:p w14:paraId="01A6DE29" w14:textId="77777777" w:rsidR="00A1510F" w:rsidRPr="00A1510F" w:rsidRDefault="00A1510F" w:rsidP="00E30288">
      <w:pPr>
        <w:spacing w:line="360" w:lineRule="auto"/>
        <w:jc w:val="both"/>
        <w:rPr>
          <w:rFonts w:eastAsia="Calibri"/>
          <w:lang w:val="es-MX" w:eastAsia="en-US"/>
        </w:rPr>
      </w:pPr>
    </w:p>
    <w:p w14:paraId="79A57095"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Se consideró fracaso al tratamiento cuando hubo empeoramiento clínico, bioquímico o histológico a pesar del tratamiento inmunosupresor.</w:t>
      </w:r>
    </w:p>
    <w:p w14:paraId="5ADCEBFB" w14:textId="77777777" w:rsidR="00A1510F" w:rsidRPr="00A1510F" w:rsidRDefault="00A1510F" w:rsidP="00A1510F">
      <w:pPr>
        <w:spacing w:line="360" w:lineRule="auto"/>
        <w:jc w:val="both"/>
        <w:rPr>
          <w:rFonts w:eastAsia="Calibri"/>
          <w:lang w:val="es-ES" w:eastAsia="en-US"/>
        </w:rPr>
      </w:pPr>
      <w:r w:rsidRPr="00A1510F">
        <w:rPr>
          <w:rFonts w:eastAsia="Calibri"/>
          <w:lang w:val="es-ES" w:eastAsia="en-US"/>
        </w:rPr>
        <w:t xml:space="preserve">Se definió la evolución clínica (variable de interés para el estudio de la supervivencia) según las manifestaciones clínicas, hallazgos imagenológicos o histológicos en la evaluación actual y se clasificó en: </w:t>
      </w:r>
    </w:p>
    <w:p w14:paraId="6855D81E" w14:textId="77777777" w:rsidR="00A1510F" w:rsidRPr="00A1510F" w:rsidRDefault="00A1510F" w:rsidP="00E30288">
      <w:pPr>
        <w:spacing w:line="360" w:lineRule="auto"/>
        <w:jc w:val="both"/>
        <w:rPr>
          <w:rFonts w:eastAsia="Calibri"/>
          <w:lang w:val="es-ES" w:eastAsia="en-US"/>
        </w:rPr>
      </w:pPr>
    </w:p>
    <w:p w14:paraId="4050F23B" w14:textId="77777777" w:rsidR="00A1510F" w:rsidRPr="00A1510F" w:rsidRDefault="00A1510F" w:rsidP="00E30288">
      <w:pPr>
        <w:numPr>
          <w:ilvl w:val="0"/>
          <w:numId w:val="46"/>
        </w:numPr>
        <w:spacing w:line="360" w:lineRule="auto"/>
        <w:contextualSpacing/>
        <w:jc w:val="both"/>
        <w:rPr>
          <w:rFonts w:eastAsia="Calibri"/>
          <w:lang w:val="es-ES" w:eastAsia="en-US"/>
        </w:rPr>
      </w:pPr>
      <w:r w:rsidRPr="00A1510F">
        <w:rPr>
          <w:rFonts w:eastAsia="Calibri"/>
          <w:lang w:val="es-ES" w:eastAsia="en-US"/>
        </w:rPr>
        <w:t>P</w:t>
      </w:r>
      <w:proofErr w:type="spellStart"/>
      <w:r w:rsidRPr="00A1510F">
        <w:rPr>
          <w:rFonts w:eastAsia="Calibri"/>
          <w:lang w:val="es-MX" w:eastAsia="en-US"/>
        </w:rPr>
        <w:t>rogresión</w:t>
      </w:r>
      <w:proofErr w:type="spellEnd"/>
      <w:r w:rsidRPr="00A1510F">
        <w:rPr>
          <w:rFonts w:eastAsia="Calibri"/>
          <w:lang w:val="es-MX" w:eastAsia="en-US"/>
        </w:rPr>
        <w:t xml:space="preserve">: aquellos </w:t>
      </w:r>
      <w:r w:rsidRPr="00A1510F">
        <w:rPr>
          <w:rFonts w:eastAsia="Calibri"/>
          <w:lang w:val="es-ES" w:eastAsia="en-US"/>
        </w:rPr>
        <w:t xml:space="preserve">pacientes que evolucionaron a estadios más avanzados de la enfermedad (enfermos con hepatitis crónica que progresaron a cirrosis hepática o cirróticos que presentaron complicaciones mayores de la cirrosis, trasplante o muerte). </w:t>
      </w:r>
    </w:p>
    <w:p w14:paraId="7C699A85" w14:textId="77777777" w:rsidR="00A1510F" w:rsidRPr="00A1510F" w:rsidRDefault="00A1510F" w:rsidP="00E30288">
      <w:pPr>
        <w:numPr>
          <w:ilvl w:val="0"/>
          <w:numId w:val="46"/>
        </w:numPr>
        <w:spacing w:line="360" w:lineRule="auto"/>
        <w:contextualSpacing/>
        <w:jc w:val="both"/>
        <w:rPr>
          <w:rFonts w:eastAsia="Calibri"/>
          <w:lang w:val="es-ES" w:eastAsia="en-US"/>
        </w:rPr>
      </w:pPr>
      <w:r w:rsidRPr="00A1510F">
        <w:rPr>
          <w:rFonts w:eastAsia="Calibri"/>
          <w:lang w:val="es-ES" w:eastAsia="en-US"/>
        </w:rPr>
        <w:t>N</w:t>
      </w:r>
      <w:r w:rsidRPr="00A1510F">
        <w:rPr>
          <w:rFonts w:eastAsia="Calibri"/>
          <w:lang w:val="es-MX" w:eastAsia="en-US"/>
        </w:rPr>
        <w:t xml:space="preserve">o </w:t>
      </w:r>
      <w:bookmarkStart w:id="5" w:name="_Hlk93114272"/>
      <w:r w:rsidRPr="00A1510F">
        <w:rPr>
          <w:rFonts w:eastAsia="Calibri"/>
          <w:lang w:val="es-MX" w:eastAsia="en-US"/>
        </w:rPr>
        <w:t>progresión</w:t>
      </w:r>
      <w:bookmarkEnd w:id="5"/>
      <w:r w:rsidRPr="00A1510F">
        <w:rPr>
          <w:rFonts w:eastAsia="Calibri"/>
          <w:lang w:val="es-MX" w:eastAsia="en-US"/>
        </w:rPr>
        <w:t xml:space="preserve">: se incluyeron los </w:t>
      </w:r>
      <w:r w:rsidRPr="00A1510F">
        <w:rPr>
          <w:rFonts w:eastAsia="Calibri"/>
          <w:lang w:val="es-ES" w:eastAsia="en-US"/>
        </w:rPr>
        <w:t>pacientes que se mantuvieron en el mismo estadio de la enfermedad.</w:t>
      </w:r>
    </w:p>
    <w:p w14:paraId="7A59DF64" w14:textId="77777777" w:rsidR="00A1510F" w:rsidRPr="00A1510F" w:rsidRDefault="00A1510F" w:rsidP="00E30288">
      <w:pPr>
        <w:spacing w:line="360" w:lineRule="auto"/>
        <w:jc w:val="both"/>
        <w:rPr>
          <w:rFonts w:eastAsia="Calibri"/>
          <w:lang w:val="es-PE" w:eastAsia="en-US"/>
        </w:rPr>
      </w:pPr>
    </w:p>
    <w:p w14:paraId="64DC01ED" w14:textId="77777777" w:rsidR="00A1510F" w:rsidRPr="00A1510F" w:rsidRDefault="00A1510F" w:rsidP="00A1510F">
      <w:pPr>
        <w:spacing w:line="360" w:lineRule="auto"/>
        <w:jc w:val="both"/>
        <w:rPr>
          <w:rFonts w:eastAsia="Calibri"/>
          <w:lang w:val="es-PE" w:eastAsia="en-US"/>
        </w:rPr>
      </w:pPr>
      <w:r w:rsidRPr="00A1510F">
        <w:rPr>
          <w:rFonts w:eastAsia="Calibri"/>
          <w:lang w:val="es-PE" w:eastAsia="en-US"/>
        </w:rPr>
        <w:t>El e</w:t>
      </w:r>
      <w:proofErr w:type="spellStart"/>
      <w:r w:rsidRPr="00A1510F">
        <w:rPr>
          <w:rFonts w:eastAsia="Calibri"/>
          <w:lang w:val="es-MX" w:eastAsia="en-US"/>
        </w:rPr>
        <w:t>stado</w:t>
      </w:r>
      <w:proofErr w:type="spellEnd"/>
      <w:r w:rsidRPr="00A1510F">
        <w:rPr>
          <w:rFonts w:eastAsia="Calibri"/>
          <w:lang w:val="es-MX" w:eastAsia="en-US"/>
        </w:rPr>
        <w:t xml:space="preserve"> actual de los pacientes con hepatitis autoinmune según la respuesta al tratamiento inmunosupresor se expresó como: vivo, fallecido y trasplante hepático.</w:t>
      </w:r>
    </w:p>
    <w:p w14:paraId="6742D203" w14:textId="77777777" w:rsidR="00A1510F" w:rsidRPr="00A1510F" w:rsidRDefault="00A1510F" w:rsidP="00A1510F">
      <w:pPr>
        <w:spacing w:line="360" w:lineRule="auto"/>
        <w:jc w:val="both"/>
        <w:rPr>
          <w:lang w:val="es-ES" w:eastAsia="es-ES"/>
        </w:rPr>
      </w:pPr>
      <w:r w:rsidRPr="00A1510F">
        <w:rPr>
          <w:lang w:val="es-ES" w:eastAsia="es-ES"/>
        </w:rPr>
        <w:t xml:space="preserve">En este estudio el trasplante hepático se consideró una muerte relacionada con el hígado y se consideró un fallo en el tratamiento. </w:t>
      </w:r>
    </w:p>
    <w:p w14:paraId="097FB308" w14:textId="77777777" w:rsidR="00A1510F" w:rsidRPr="00A1510F" w:rsidRDefault="00A1510F" w:rsidP="00A1510F">
      <w:pPr>
        <w:spacing w:line="360" w:lineRule="auto"/>
        <w:jc w:val="center"/>
        <w:rPr>
          <w:rFonts w:eastAsia="Calibri"/>
          <w:b/>
          <w:sz w:val="28"/>
          <w:szCs w:val="28"/>
          <w:lang w:val="es-ES" w:eastAsia="en-US"/>
        </w:rPr>
      </w:pPr>
      <w:r w:rsidRPr="00A1510F">
        <w:rPr>
          <w:rFonts w:eastAsia="Calibri"/>
          <w:b/>
          <w:sz w:val="28"/>
          <w:szCs w:val="28"/>
          <w:lang w:val="es-ES" w:eastAsia="en-US"/>
        </w:rPr>
        <w:t>Procedimientos</w:t>
      </w:r>
    </w:p>
    <w:p w14:paraId="0303E9A4" w14:textId="77777777" w:rsidR="00A1510F" w:rsidRPr="00A1510F" w:rsidRDefault="00A1510F" w:rsidP="00A1510F">
      <w:pPr>
        <w:spacing w:line="360" w:lineRule="auto"/>
        <w:jc w:val="both"/>
        <w:rPr>
          <w:rFonts w:eastAsia="Calibri"/>
          <w:lang w:val="es-MX" w:eastAsia="en-US"/>
        </w:rPr>
      </w:pPr>
      <w:r w:rsidRPr="00A1510F">
        <w:rPr>
          <w:rFonts w:eastAsia="Calibri"/>
          <w:lang w:val="es-ES" w:eastAsia="en-US"/>
        </w:rPr>
        <w:t>Se recogieron los datos generales (sexo y edad). Se determinó tipo de HAI, forma de presentación clínica y el estadio de la enfermedad. En la evaluación actual se definió la evolución clínica según la progresión o no de la enfermedad y su relación con la respuesta al tratamiento a los 6 meses.</w:t>
      </w:r>
    </w:p>
    <w:p w14:paraId="4826E0BD" w14:textId="77777777" w:rsidR="00A1510F" w:rsidRPr="00A1510F" w:rsidRDefault="00A1510F" w:rsidP="00A1510F">
      <w:pPr>
        <w:spacing w:line="360" w:lineRule="auto"/>
        <w:jc w:val="both"/>
        <w:rPr>
          <w:rFonts w:eastAsia="Calibri"/>
          <w:iCs/>
          <w:lang w:val="es-MX" w:eastAsia="en-US"/>
        </w:rPr>
      </w:pPr>
      <w:r w:rsidRPr="00A1510F">
        <w:rPr>
          <w:rFonts w:eastAsia="Calibri"/>
          <w:lang w:val="es-MX" w:eastAsia="en-US"/>
        </w:rPr>
        <w:t>Para la recopilación de la información se confeccionó una base de datos con las variables establecidas y se procesaron en el programa SPSS versión 19.0.</w:t>
      </w:r>
      <w:r w:rsidRPr="00A1510F">
        <w:rPr>
          <w:rFonts w:eastAsia="Calibri"/>
          <w:iCs/>
          <w:lang w:val="es-MX" w:eastAsia="en-US"/>
        </w:rPr>
        <w:t xml:space="preserve"> </w:t>
      </w:r>
    </w:p>
    <w:p w14:paraId="16889A4B" w14:textId="77777777" w:rsidR="00A1510F" w:rsidRPr="00A1510F" w:rsidRDefault="00A1510F" w:rsidP="00A1510F">
      <w:pPr>
        <w:spacing w:line="360" w:lineRule="auto"/>
        <w:jc w:val="center"/>
        <w:rPr>
          <w:rFonts w:eastAsia="Calibri"/>
          <w:b/>
          <w:iCs/>
          <w:sz w:val="28"/>
          <w:szCs w:val="28"/>
          <w:lang w:val="es-MX" w:eastAsia="en-US"/>
        </w:rPr>
      </w:pPr>
      <w:r w:rsidRPr="00A1510F">
        <w:rPr>
          <w:rFonts w:eastAsia="Calibri"/>
          <w:b/>
          <w:iCs/>
          <w:sz w:val="28"/>
          <w:szCs w:val="28"/>
          <w:lang w:val="es-MX" w:eastAsia="en-US"/>
        </w:rPr>
        <w:t>Procesamiento</w:t>
      </w:r>
    </w:p>
    <w:p w14:paraId="1193DB62" w14:textId="77777777" w:rsidR="00A1510F" w:rsidRPr="00A1510F" w:rsidRDefault="00A1510F" w:rsidP="00A1510F">
      <w:pPr>
        <w:spacing w:line="360" w:lineRule="auto"/>
        <w:jc w:val="both"/>
        <w:rPr>
          <w:rFonts w:eastAsia="Calibri"/>
          <w:iCs/>
          <w:lang w:val="es-MX" w:eastAsia="en-US"/>
        </w:rPr>
      </w:pPr>
      <w:r w:rsidRPr="00A1510F">
        <w:rPr>
          <w:rFonts w:eastAsia="Calibri"/>
          <w:iCs/>
          <w:lang w:val="es-MX" w:eastAsia="en-US"/>
        </w:rPr>
        <w:t xml:space="preserve">Se utilizaron medidas descriptivas de resumen: media y </w:t>
      </w:r>
      <w:proofErr w:type="spellStart"/>
      <w:r w:rsidRPr="00A1510F">
        <w:rPr>
          <w:rFonts w:eastAsia="Calibri"/>
          <w:iCs/>
          <w:lang w:val="es-MX" w:eastAsia="en-US"/>
        </w:rPr>
        <w:t>desviaci</w:t>
      </w:r>
      <w:r w:rsidRPr="00A1510F">
        <w:rPr>
          <w:rFonts w:eastAsia="Calibri"/>
          <w:iCs/>
          <w:lang w:val="es-US" w:eastAsia="en-US"/>
        </w:rPr>
        <w:t>ón</w:t>
      </w:r>
      <w:proofErr w:type="spellEnd"/>
      <w:r w:rsidRPr="00A1510F">
        <w:rPr>
          <w:rFonts w:eastAsia="Calibri"/>
          <w:iCs/>
          <w:lang w:val="es-US" w:eastAsia="en-US"/>
        </w:rPr>
        <w:t xml:space="preserve"> estándar (DS)</w:t>
      </w:r>
      <w:r w:rsidRPr="00A1510F">
        <w:rPr>
          <w:rFonts w:eastAsia="Calibri"/>
          <w:iCs/>
          <w:lang w:val="es-MX" w:eastAsia="en-US"/>
        </w:rPr>
        <w:t>, para variables cuantitativas y porcentaje para las variables cualitativas.</w:t>
      </w:r>
      <w:r w:rsidRPr="00A1510F">
        <w:rPr>
          <w:rFonts w:eastAsia="Calibri"/>
          <w:iCs/>
          <w:lang w:val="es-ES" w:eastAsia="en-US"/>
        </w:rPr>
        <w:t xml:space="preserve"> P</w:t>
      </w:r>
      <w:r w:rsidRPr="00A1510F">
        <w:rPr>
          <w:rFonts w:eastAsia="Calibri"/>
          <w:lang w:val="es-MX" w:eastAsia="en-US"/>
        </w:rPr>
        <w:t xml:space="preserve">ara estimar la función de supervivencia se </w:t>
      </w:r>
      <w:r w:rsidRPr="00A1510F">
        <w:rPr>
          <w:rFonts w:eastAsia="Calibri"/>
          <w:lang w:val="es-MX" w:eastAsia="en-US"/>
        </w:rPr>
        <w:lastRenderedPageBreak/>
        <w:t xml:space="preserve">utilizó la curva de Kaplan-Meier (programa SPSS versión 19.0) y </w:t>
      </w:r>
      <w:r w:rsidRPr="00A1510F">
        <w:rPr>
          <w:rFonts w:eastAsia="Calibri"/>
          <w:iCs/>
          <w:lang w:val="es-MX" w:eastAsia="en-US"/>
        </w:rPr>
        <w:t>Log-</w:t>
      </w:r>
      <w:proofErr w:type="spellStart"/>
      <w:r w:rsidRPr="00A1510F">
        <w:rPr>
          <w:rFonts w:eastAsia="Calibri"/>
          <w:iCs/>
          <w:lang w:val="es-MX" w:eastAsia="en-US"/>
        </w:rPr>
        <w:t>rank</w:t>
      </w:r>
      <w:proofErr w:type="spellEnd"/>
      <w:r w:rsidRPr="00A1510F">
        <w:rPr>
          <w:rFonts w:eastAsia="Calibri"/>
          <w:iCs/>
          <w:lang w:val="es-MX" w:eastAsia="en-US"/>
        </w:rPr>
        <w:t xml:space="preserve"> para la comparación de medias. Para el análisis de la supervivencia no se incluyeron los pacientes que fallecieron por causas no relacionadas con la enfermedad hepática.</w:t>
      </w:r>
    </w:p>
    <w:p w14:paraId="7053F18D" w14:textId="77777777" w:rsidR="00A1510F" w:rsidRPr="00A1510F" w:rsidRDefault="00A1510F" w:rsidP="00A1510F">
      <w:pPr>
        <w:spacing w:line="360" w:lineRule="auto"/>
        <w:jc w:val="center"/>
        <w:rPr>
          <w:rFonts w:eastAsia="Calibri"/>
          <w:b/>
          <w:color w:val="FF0000"/>
          <w:sz w:val="28"/>
          <w:szCs w:val="28"/>
          <w:lang w:val="es-MX" w:eastAsia="en-US"/>
        </w:rPr>
      </w:pPr>
      <w:r w:rsidRPr="00A1510F">
        <w:rPr>
          <w:rFonts w:eastAsia="Calibri"/>
          <w:b/>
          <w:iCs/>
          <w:sz w:val="28"/>
          <w:szCs w:val="28"/>
          <w:lang w:val="es-MX" w:eastAsia="en-US"/>
        </w:rPr>
        <w:t>Aspectos bioéticos</w:t>
      </w:r>
    </w:p>
    <w:p w14:paraId="5F669BD7"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 xml:space="preserve">La investigación se realizó según los preceptos establecidos en el Código Internacional de Ética Médica y los que competen a las investigaciones biomédicas en humanos contemplados en la Declaración de </w:t>
      </w:r>
      <w:proofErr w:type="gramStart"/>
      <w:r w:rsidRPr="00A1510F">
        <w:rPr>
          <w:rFonts w:eastAsia="Calibri"/>
          <w:lang w:val="es-MX" w:eastAsia="en-US"/>
        </w:rPr>
        <w:t>Helsinki.</w:t>
      </w:r>
      <w:r w:rsidRPr="00A1510F">
        <w:rPr>
          <w:rFonts w:eastAsia="Calibri"/>
          <w:vertAlign w:val="superscript"/>
          <w:lang w:val="es-MX" w:eastAsia="en-US"/>
        </w:rPr>
        <w:t>(</w:t>
      </w:r>
      <w:proofErr w:type="gramEnd"/>
      <w:r w:rsidRPr="00A1510F">
        <w:rPr>
          <w:rFonts w:eastAsia="Calibri"/>
          <w:vertAlign w:val="superscript"/>
          <w:lang w:val="es-MX" w:eastAsia="en-US"/>
        </w:rPr>
        <w:t>15)</w:t>
      </w:r>
      <w:r w:rsidRPr="00A1510F">
        <w:rPr>
          <w:rFonts w:eastAsia="Calibri"/>
          <w:lang w:val="es-MX" w:eastAsia="en-US"/>
        </w:rPr>
        <w:t xml:space="preserve"> Fue aprobada por el Comité de Ética del </w:t>
      </w:r>
      <w:r w:rsidRPr="00A1510F">
        <w:rPr>
          <w:rFonts w:eastAsia="Calibri"/>
          <w:color w:val="000000"/>
          <w:lang w:val="es-MX" w:eastAsia="en-US"/>
        </w:rPr>
        <w:t>Centro de Investigaciones Médico Quirúrgicas</w:t>
      </w:r>
      <w:r w:rsidRPr="00A1510F">
        <w:rPr>
          <w:rFonts w:eastAsia="Calibri"/>
          <w:lang w:val="es-MX" w:eastAsia="en-US"/>
        </w:rPr>
        <w:t>.</w:t>
      </w:r>
    </w:p>
    <w:p w14:paraId="7E757D6A" w14:textId="77777777" w:rsidR="00A1510F" w:rsidRPr="00A1510F" w:rsidRDefault="00A1510F" w:rsidP="00A1510F">
      <w:pPr>
        <w:spacing w:line="360" w:lineRule="auto"/>
        <w:jc w:val="both"/>
        <w:rPr>
          <w:rFonts w:eastAsia="Calibri"/>
          <w:lang w:val="es-MX" w:eastAsia="en-US"/>
        </w:rPr>
      </w:pPr>
    </w:p>
    <w:p w14:paraId="7C594470" w14:textId="77777777" w:rsidR="00A1510F" w:rsidRPr="00A1510F" w:rsidRDefault="00A1510F" w:rsidP="00A1510F">
      <w:pPr>
        <w:spacing w:line="360" w:lineRule="auto"/>
        <w:jc w:val="center"/>
        <w:rPr>
          <w:rFonts w:eastAsia="Calibri"/>
          <w:b/>
          <w:lang w:val="es-ES" w:eastAsia="en-US"/>
        </w:rPr>
      </w:pPr>
    </w:p>
    <w:p w14:paraId="07A3837D" w14:textId="77777777" w:rsidR="00A1510F" w:rsidRPr="00A1510F" w:rsidRDefault="00A1510F" w:rsidP="00A1510F">
      <w:pPr>
        <w:spacing w:line="360" w:lineRule="auto"/>
        <w:jc w:val="center"/>
        <w:rPr>
          <w:rFonts w:eastAsia="Calibri"/>
          <w:b/>
          <w:sz w:val="32"/>
          <w:szCs w:val="32"/>
          <w:lang w:val="es-ES" w:eastAsia="en-US"/>
        </w:rPr>
      </w:pPr>
      <w:r w:rsidRPr="00A1510F">
        <w:rPr>
          <w:rFonts w:eastAsia="Calibri"/>
          <w:b/>
          <w:sz w:val="32"/>
          <w:szCs w:val="32"/>
          <w:lang w:val="es-ES" w:eastAsia="en-US"/>
        </w:rPr>
        <w:t>RESULTADOS</w:t>
      </w:r>
      <w:bookmarkStart w:id="6" w:name="_Hlk104860399"/>
    </w:p>
    <w:p w14:paraId="26F7FD32" w14:textId="77777777" w:rsidR="00A1510F" w:rsidRPr="00A1510F" w:rsidRDefault="00A1510F" w:rsidP="00A1510F">
      <w:pPr>
        <w:tabs>
          <w:tab w:val="center" w:pos="1641"/>
        </w:tabs>
        <w:autoSpaceDE w:val="0"/>
        <w:autoSpaceDN w:val="0"/>
        <w:adjustRightInd w:val="0"/>
        <w:spacing w:line="360" w:lineRule="auto"/>
        <w:jc w:val="both"/>
        <w:rPr>
          <w:rFonts w:eastAsia="Calibri"/>
          <w:b/>
          <w:bCs/>
          <w:color w:val="000000"/>
          <w:lang w:val="es-MX" w:eastAsia="en-US"/>
        </w:rPr>
      </w:pPr>
      <w:r w:rsidRPr="00A1510F">
        <w:rPr>
          <w:rFonts w:eastAsia="Calibri"/>
          <w:lang w:val="es-MX" w:eastAsia="en-US"/>
        </w:rPr>
        <w:t>Predominó el sexo femenino 31 (96,9</w:t>
      </w:r>
      <w:bookmarkStart w:id="7" w:name="_Hlk105823050"/>
      <w:r w:rsidRPr="00A1510F">
        <w:rPr>
          <w:rFonts w:eastAsia="Calibri"/>
          <w:lang w:val="es-MX" w:eastAsia="en-US"/>
        </w:rPr>
        <w:t xml:space="preserve"> %</w:t>
      </w:r>
      <w:bookmarkEnd w:id="7"/>
      <w:r w:rsidRPr="00A1510F">
        <w:rPr>
          <w:rFonts w:eastAsia="Calibri"/>
          <w:lang w:val="es-MX" w:eastAsia="en-US"/>
        </w:rPr>
        <w:t>) pacientes. La edad media fue de 34 años (edad mínima de 18 y máxima de 74 años) y el 87, 5 % de los enfermos tenían HAI tipo I.</w:t>
      </w:r>
      <w:r w:rsidRPr="00A1510F">
        <w:rPr>
          <w:rFonts w:eastAsia="Calibri"/>
          <w:b/>
          <w:bCs/>
          <w:color w:val="000000"/>
          <w:lang w:val="es-MX" w:eastAsia="en-US"/>
        </w:rPr>
        <w:t xml:space="preserve"> </w:t>
      </w:r>
    </w:p>
    <w:p w14:paraId="12B93624"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La forma de presentación clínica predominante fue la sintomática con 27 (84,4</w:t>
      </w:r>
      <w:bookmarkStart w:id="8" w:name="_Hlk105823869"/>
      <w:r w:rsidRPr="00A1510F">
        <w:rPr>
          <w:rFonts w:eastAsia="Calibri"/>
          <w:lang w:val="es-MX" w:eastAsia="en-US"/>
        </w:rPr>
        <w:t xml:space="preserve"> %</w:t>
      </w:r>
      <w:bookmarkEnd w:id="8"/>
      <w:r w:rsidRPr="00A1510F">
        <w:rPr>
          <w:rFonts w:eastAsia="Calibri"/>
          <w:lang w:val="es-MX" w:eastAsia="en-US"/>
        </w:rPr>
        <w:t>) enfermos, seguida de 3 pacientes que comenzaron de forma aguda (hepatitis aguda grave) y 2 asintomáticos al inicio de la enfermedad. El 71,9 % de los individuos estudiados estaban cirróticos en el momento del diagnóstico. Presentaron respuesta a los 6 meses de tratamiento 13 (40,6 %) pacientes (tabla 2).</w:t>
      </w:r>
    </w:p>
    <w:p w14:paraId="665EC7C9" w14:textId="77777777" w:rsidR="00A1510F" w:rsidRPr="00A1510F" w:rsidRDefault="00A1510F" w:rsidP="00A1510F">
      <w:pPr>
        <w:spacing w:line="360" w:lineRule="auto"/>
        <w:jc w:val="both"/>
        <w:rPr>
          <w:rFonts w:eastAsia="Calibri"/>
          <w:lang w:val="es-MX" w:eastAsia="en-US"/>
        </w:rPr>
      </w:pPr>
    </w:p>
    <w:p w14:paraId="0023C75C" w14:textId="77777777" w:rsidR="005B5491" w:rsidRDefault="005B5491">
      <w:pPr>
        <w:rPr>
          <w:rFonts w:eastAsia="Calibri"/>
          <w:b/>
          <w:sz w:val="22"/>
          <w:szCs w:val="22"/>
          <w:lang w:val="es-MX" w:eastAsia="en-US"/>
        </w:rPr>
      </w:pPr>
      <w:r>
        <w:rPr>
          <w:rFonts w:eastAsia="Calibri"/>
          <w:b/>
          <w:sz w:val="22"/>
          <w:szCs w:val="22"/>
          <w:lang w:val="es-MX" w:eastAsia="en-US"/>
        </w:rPr>
        <w:br w:type="page"/>
      </w:r>
    </w:p>
    <w:p w14:paraId="5D235983" w14:textId="185B42F1" w:rsidR="00A1510F" w:rsidRPr="00A1510F" w:rsidRDefault="00A1510F" w:rsidP="00A1510F">
      <w:pPr>
        <w:spacing w:line="360" w:lineRule="auto"/>
        <w:jc w:val="center"/>
        <w:rPr>
          <w:rFonts w:eastAsia="Calibri"/>
          <w:sz w:val="22"/>
          <w:szCs w:val="22"/>
          <w:lang w:val="es-ES" w:eastAsia="en-US"/>
        </w:rPr>
      </w:pPr>
      <w:r w:rsidRPr="00A1510F">
        <w:rPr>
          <w:rFonts w:eastAsia="Calibri"/>
          <w:b/>
          <w:sz w:val="22"/>
          <w:szCs w:val="22"/>
          <w:lang w:val="es-MX" w:eastAsia="en-US"/>
        </w:rPr>
        <w:lastRenderedPageBreak/>
        <w:t>Tabla 2 -</w:t>
      </w:r>
      <w:r w:rsidRPr="00A1510F">
        <w:rPr>
          <w:rFonts w:eastAsia="Calibri"/>
          <w:sz w:val="22"/>
          <w:szCs w:val="22"/>
          <w:lang w:val="es-MX" w:eastAsia="en-US"/>
        </w:rPr>
        <w:t xml:space="preserve"> Características generales de los pacientes con hepatitis autoinmune al inicio de la enfermedad</w:t>
      </w:r>
      <w:bookmarkEnd w:id="6"/>
    </w:p>
    <w:p w14:paraId="0DBDB71E" w14:textId="4226A834" w:rsidR="004D2823" w:rsidRDefault="004D2823" w:rsidP="00A1510F">
      <w:pPr>
        <w:spacing w:line="360" w:lineRule="auto"/>
        <w:jc w:val="center"/>
        <w:rPr>
          <w:rFonts w:eastAsia="Calibri"/>
          <w:sz w:val="16"/>
          <w:szCs w:val="16"/>
          <w:lang w:val="es-MX" w:eastAsia="en-US"/>
        </w:rPr>
      </w:pPr>
      <w:r w:rsidRPr="007475B5">
        <w:rPr>
          <w:noProof/>
          <w:lang w:val="es-ES" w:eastAsia="es-ES"/>
        </w:rPr>
        <w:drawing>
          <wp:inline distT="0" distB="0" distL="0" distR="0" wp14:anchorId="600FB678" wp14:editId="55D802CB">
            <wp:extent cx="3057525" cy="3724275"/>
            <wp:effectExtent l="0" t="0" r="9525" b="9525"/>
            <wp:docPr id="3" name="Imagen 3" descr="G:\17849\t02_1784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7849\t02_17849.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57525" cy="3724275"/>
                    </a:xfrm>
                    <a:prstGeom prst="rect">
                      <a:avLst/>
                    </a:prstGeom>
                    <a:noFill/>
                    <a:ln>
                      <a:noFill/>
                    </a:ln>
                  </pic:spPr>
                </pic:pic>
              </a:graphicData>
            </a:graphic>
          </wp:inline>
        </w:drawing>
      </w:r>
    </w:p>
    <w:p w14:paraId="52B1CF2C" w14:textId="1D5CD756" w:rsidR="00A1510F" w:rsidRPr="00A1510F" w:rsidRDefault="00A1510F" w:rsidP="00A1510F">
      <w:pPr>
        <w:spacing w:line="360" w:lineRule="auto"/>
        <w:jc w:val="center"/>
        <w:rPr>
          <w:rFonts w:eastAsia="Calibri"/>
          <w:sz w:val="16"/>
          <w:szCs w:val="16"/>
          <w:lang w:val="es-MX" w:eastAsia="en-US"/>
        </w:rPr>
      </w:pPr>
      <w:r w:rsidRPr="00A1510F">
        <w:rPr>
          <w:rFonts w:eastAsia="Calibri"/>
          <w:sz w:val="16"/>
          <w:szCs w:val="16"/>
          <w:lang w:val="es-MX" w:eastAsia="en-US"/>
        </w:rPr>
        <w:t>n</w:t>
      </w:r>
      <w:r w:rsidRPr="00A1510F">
        <w:rPr>
          <w:rFonts w:eastAsia="Calibri"/>
          <w:sz w:val="16"/>
          <w:szCs w:val="16"/>
          <w:lang w:val="es-US" w:eastAsia="en-US"/>
        </w:rPr>
        <w:t xml:space="preserve">= 32; </w:t>
      </w:r>
      <w:r w:rsidRPr="00A1510F">
        <w:rPr>
          <w:rFonts w:eastAsia="Calibri"/>
          <w:sz w:val="16"/>
          <w:szCs w:val="16"/>
          <w:lang w:val="es-MX" w:eastAsia="en-US"/>
        </w:rPr>
        <w:t>Leyenda: DS (desviación estándar); HAI (hepatitis autoinmune).</w:t>
      </w:r>
    </w:p>
    <w:p w14:paraId="0A65BE9A" w14:textId="3F4D92A9" w:rsidR="00A1510F" w:rsidRPr="00A1510F" w:rsidRDefault="00A1510F" w:rsidP="00A1510F">
      <w:pPr>
        <w:spacing w:line="360" w:lineRule="auto"/>
        <w:jc w:val="center"/>
        <w:rPr>
          <w:rFonts w:eastAsia="Calibri"/>
          <w:lang w:val="es-MX" w:eastAsia="en-US"/>
        </w:rPr>
      </w:pPr>
    </w:p>
    <w:p w14:paraId="7C4DD7D5"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De los 16 pacientes que se encontraban vivos, 11 (34,4 %) tuvieron respuesta al tratamiento; de 12 que fallecieron, 10 (31,3 %) no tuvieron respuesta y en los 2 con respuesta al tratamiento la muerte no estuvo relacionada con la enfermedad hepática. Los 4 que requirieron trasplante hepático no respondieron al tratamiento (tabla 3).</w:t>
      </w:r>
    </w:p>
    <w:p w14:paraId="515E07EE" w14:textId="77777777" w:rsidR="00A1510F" w:rsidRPr="00A1510F" w:rsidRDefault="00A1510F" w:rsidP="00A1510F">
      <w:pPr>
        <w:spacing w:line="360" w:lineRule="auto"/>
        <w:jc w:val="both"/>
        <w:rPr>
          <w:rFonts w:eastAsia="Calibri"/>
          <w:lang w:val="es-MX" w:eastAsia="en-US"/>
        </w:rPr>
      </w:pPr>
    </w:p>
    <w:p w14:paraId="0828D7EC" w14:textId="77777777" w:rsidR="005B5491" w:rsidRDefault="005B5491">
      <w:pPr>
        <w:rPr>
          <w:rFonts w:eastAsia="Calibri"/>
          <w:b/>
          <w:sz w:val="22"/>
          <w:szCs w:val="22"/>
          <w:lang w:val="es-MX" w:eastAsia="en-US"/>
        </w:rPr>
      </w:pPr>
      <w:r>
        <w:rPr>
          <w:rFonts w:eastAsia="Calibri"/>
          <w:b/>
          <w:sz w:val="22"/>
          <w:szCs w:val="22"/>
          <w:lang w:val="es-MX" w:eastAsia="en-US"/>
        </w:rPr>
        <w:br w:type="page"/>
      </w:r>
    </w:p>
    <w:p w14:paraId="1F63118D" w14:textId="1E002F72" w:rsidR="00A1510F" w:rsidRPr="00A1510F" w:rsidRDefault="00A1510F" w:rsidP="00A1510F">
      <w:pPr>
        <w:spacing w:line="360" w:lineRule="auto"/>
        <w:jc w:val="center"/>
        <w:rPr>
          <w:rFonts w:eastAsia="Calibri"/>
          <w:sz w:val="22"/>
          <w:szCs w:val="22"/>
          <w:lang w:val="es-MX" w:eastAsia="en-US"/>
        </w:rPr>
      </w:pPr>
      <w:r w:rsidRPr="00A1510F">
        <w:rPr>
          <w:rFonts w:eastAsia="Calibri"/>
          <w:b/>
          <w:sz w:val="22"/>
          <w:szCs w:val="22"/>
          <w:lang w:val="es-MX" w:eastAsia="en-US"/>
        </w:rPr>
        <w:lastRenderedPageBreak/>
        <w:t xml:space="preserve">Tabla 3 </w:t>
      </w:r>
      <w:r w:rsidRPr="00A1510F">
        <w:rPr>
          <w:rFonts w:eastAsia="Calibri"/>
          <w:sz w:val="22"/>
          <w:szCs w:val="22"/>
          <w:lang w:val="es-MX" w:eastAsia="en-US"/>
        </w:rPr>
        <w:t>- Estado actual de los pacientes con hepatitis autoinmune según la respuesta al tratamiento inmunosupresor</w:t>
      </w:r>
    </w:p>
    <w:p w14:paraId="5DF64EC4" w14:textId="4ACF3F1C" w:rsidR="00A1510F" w:rsidRDefault="004D2823" w:rsidP="004D2823">
      <w:pPr>
        <w:spacing w:line="360" w:lineRule="auto"/>
        <w:ind w:left="502"/>
        <w:jc w:val="center"/>
        <w:rPr>
          <w:rFonts w:eastAsia="Calibri"/>
          <w:lang w:val="es-MX" w:eastAsia="en-US"/>
        </w:rPr>
      </w:pPr>
      <w:bookmarkStart w:id="9" w:name="_Hlk106041785"/>
      <w:r w:rsidRPr="007475B5">
        <w:rPr>
          <w:noProof/>
          <w:lang w:val="es-ES" w:eastAsia="es-ES"/>
        </w:rPr>
        <w:drawing>
          <wp:inline distT="0" distB="0" distL="0" distR="0" wp14:anchorId="0BB4F981" wp14:editId="38D485A8">
            <wp:extent cx="3238500" cy="1676400"/>
            <wp:effectExtent l="0" t="0" r="0" b="0"/>
            <wp:docPr id="4" name="Imagen 4" descr="G:\17849\t03_1784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7849\t03_17849.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0" cy="1676400"/>
                    </a:xfrm>
                    <a:prstGeom prst="rect">
                      <a:avLst/>
                    </a:prstGeom>
                    <a:noFill/>
                    <a:ln>
                      <a:noFill/>
                    </a:ln>
                  </pic:spPr>
                </pic:pic>
              </a:graphicData>
            </a:graphic>
          </wp:inline>
        </w:drawing>
      </w:r>
    </w:p>
    <w:p w14:paraId="77BDE38B" w14:textId="77777777" w:rsidR="004D2823" w:rsidRPr="00A1510F" w:rsidRDefault="004D2823" w:rsidP="00A1510F">
      <w:pPr>
        <w:spacing w:line="360" w:lineRule="auto"/>
        <w:ind w:left="502"/>
        <w:rPr>
          <w:rFonts w:eastAsia="Calibri"/>
          <w:lang w:val="es-MX" w:eastAsia="en-US"/>
        </w:rPr>
      </w:pPr>
    </w:p>
    <w:p w14:paraId="0DF6E91F" w14:textId="77777777" w:rsidR="00A1510F" w:rsidRPr="00A1510F" w:rsidRDefault="00A1510F" w:rsidP="00A1510F">
      <w:pPr>
        <w:spacing w:line="360" w:lineRule="auto"/>
        <w:jc w:val="both"/>
        <w:rPr>
          <w:lang w:val="es-ES" w:eastAsia="es-ES"/>
        </w:rPr>
      </w:pPr>
      <w:r w:rsidRPr="00A1510F">
        <w:rPr>
          <w:lang w:val="es-ES" w:eastAsia="es-ES"/>
        </w:rPr>
        <w:t>Para el análisis de la supervivencia se excluyeron los 2 pacientes que habían tenido respuesta al tratamiento y fallecieron por causa no relacionada con la enfermedad hepática: una por fractura de cadera y otra por un melanoma de la piel.</w:t>
      </w:r>
    </w:p>
    <w:p w14:paraId="5459F233" w14:textId="77777777" w:rsidR="00A1510F" w:rsidRPr="00A1510F" w:rsidRDefault="00A1510F" w:rsidP="00A1510F">
      <w:pPr>
        <w:spacing w:line="360" w:lineRule="auto"/>
        <w:jc w:val="both"/>
        <w:rPr>
          <w:lang w:val="es-ES" w:eastAsia="es-ES"/>
        </w:rPr>
      </w:pPr>
      <w:r w:rsidRPr="00A1510F">
        <w:rPr>
          <w:lang w:val="es-ES" w:eastAsia="es-ES"/>
        </w:rPr>
        <w:t xml:space="preserve">Los resultados a diferentes niveles de respuesta al tratamiento inmunosupresor fueron estadísticamente significativos (p&lt; 0,005) como se muestra en la tabla 4. </w:t>
      </w:r>
    </w:p>
    <w:p w14:paraId="19AD6140" w14:textId="77777777" w:rsidR="00A1510F" w:rsidRPr="00A1510F" w:rsidRDefault="00A1510F" w:rsidP="00A1510F">
      <w:pPr>
        <w:spacing w:line="360" w:lineRule="auto"/>
        <w:jc w:val="both"/>
        <w:rPr>
          <w:lang w:val="es-ES" w:eastAsia="es-ES"/>
        </w:rPr>
      </w:pPr>
    </w:p>
    <w:p w14:paraId="2B789C1C" w14:textId="77777777" w:rsidR="00A1510F" w:rsidRPr="00A1510F" w:rsidRDefault="00A1510F" w:rsidP="00A1510F">
      <w:pPr>
        <w:spacing w:line="360" w:lineRule="auto"/>
        <w:ind w:left="502"/>
        <w:jc w:val="center"/>
        <w:rPr>
          <w:rFonts w:eastAsia="Calibri"/>
          <w:b/>
          <w:sz w:val="22"/>
          <w:szCs w:val="22"/>
          <w:lang w:val="es-US" w:eastAsia="en-US"/>
        </w:rPr>
      </w:pPr>
      <w:r w:rsidRPr="00A1510F">
        <w:rPr>
          <w:rFonts w:eastAsia="Calibri"/>
          <w:b/>
          <w:sz w:val="22"/>
          <w:szCs w:val="22"/>
          <w:lang w:val="es-US" w:eastAsia="en-US"/>
        </w:rPr>
        <w:t xml:space="preserve">Tabla 4 - </w:t>
      </w:r>
      <w:r w:rsidRPr="00A1510F">
        <w:rPr>
          <w:rFonts w:eastAsia="Calibri"/>
          <w:sz w:val="22"/>
          <w:szCs w:val="22"/>
          <w:lang w:val="es-US" w:eastAsia="en-US"/>
        </w:rPr>
        <w:t>Prueba de igualdad de distribuciones de supervivencia para diferentes niveles de respuesta al tratamiento inmunosupresor</w:t>
      </w:r>
    </w:p>
    <w:p w14:paraId="09FD7DFD" w14:textId="34628432" w:rsidR="00A1510F" w:rsidRDefault="004D2823" w:rsidP="00A1510F">
      <w:pPr>
        <w:spacing w:line="360" w:lineRule="auto"/>
        <w:jc w:val="center"/>
        <w:rPr>
          <w:rFonts w:eastAsia="Calibri"/>
          <w:lang w:val="es-US" w:eastAsia="en-US"/>
        </w:rPr>
      </w:pPr>
      <w:r w:rsidRPr="007475B5">
        <w:rPr>
          <w:noProof/>
          <w:lang w:val="es-ES" w:eastAsia="es-ES"/>
        </w:rPr>
        <w:drawing>
          <wp:inline distT="0" distB="0" distL="0" distR="0" wp14:anchorId="42764689" wp14:editId="4E7CBD7A">
            <wp:extent cx="4867275" cy="457200"/>
            <wp:effectExtent l="0" t="0" r="9525" b="0"/>
            <wp:docPr id="5" name="Imagen 5" descr="G:\17849\t04_1784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7849\t04_17849.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7275" cy="457200"/>
                    </a:xfrm>
                    <a:prstGeom prst="rect">
                      <a:avLst/>
                    </a:prstGeom>
                    <a:noFill/>
                    <a:ln>
                      <a:noFill/>
                    </a:ln>
                  </pic:spPr>
                </pic:pic>
              </a:graphicData>
            </a:graphic>
          </wp:inline>
        </w:drawing>
      </w:r>
    </w:p>
    <w:p w14:paraId="5D0059B9" w14:textId="77777777" w:rsidR="004D2823" w:rsidRPr="00A1510F" w:rsidRDefault="004D2823" w:rsidP="00A1510F">
      <w:pPr>
        <w:spacing w:line="360" w:lineRule="auto"/>
        <w:jc w:val="center"/>
        <w:rPr>
          <w:rFonts w:eastAsia="Calibri"/>
          <w:lang w:val="es-US" w:eastAsia="en-US"/>
        </w:rPr>
      </w:pPr>
    </w:p>
    <w:p w14:paraId="3EE213CC" w14:textId="77777777" w:rsidR="00A1510F" w:rsidRPr="00A1510F" w:rsidRDefault="00A1510F" w:rsidP="00A1510F">
      <w:pPr>
        <w:spacing w:line="360" w:lineRule="auto"/>
        <w:jc w:val="both"/>
        <w:rPr>
          <w:lang w:val="es-ES" w:eastAsia="es-ES"/>
        </w:rPr>
      </w:pPr>
      <w:r w:rsidRPr="00A1510F">
        <w:rPr>
          <w:lang w:val="es-ES" w:eastAsia="es-ES"/>
        </w:rPr>
        <w:t>Los enfermos con respuesta al tratamiento presentaron una supervivencia del 100 % a los 5 y 10 años de la primera evaluación, con una media de seguimiento de 11,25 años, representada por la pendiente más plana con una tasa de eventos (mortalidad) baja y mejor pronóstico de supervivencia. En el caso de los pacientes no respondedores solo el 89,5 %, estaban vivos a los 5 años y el 47,5 % a los 10 años, representados por la pendiente más pronunciada, una tasa de mortalidad alta y peor pronóstico de supervivencia (</w:t>
      </w:r>
      <w:r w:rsidRPr="00A1510F">
        <w:rPr>
          <w:lang w:val="es-US" w:eastAsia="es-ES"/>
        </w:rPr>
        <w:t>Fig. 1)</w:t>
      </w:r>
      <w:r w:rsidRPr="00A1510F">
        <w:rPr>
          <w:lang w:val="es-ES" w:eastAsia="es-ES"/>
        </w:rPr>
        <w:t xml:space="preserve">.  </w:t>
      </w:r>
    </w:p>
    <w:p w14:paraId="021E5C9E" w14:textId="77777777" w:rsidR="00A1510F" w:rsidRPr="00A1510F" w:rsidRDefault="00A1510F" w:rsidP="00A1510F">
      <w:pPr>
        <w:spacing w:line="360" w:lineRule="auto"/>
        <w:jc w:val="both"/>
        <w:rPr>
          <w:lang w:val="es-ES" w:eastAsia="es-ES"/>
        </w:rPr>
      </w:pPr>
    </w:p>
    <w:bookmarkEnd w:id="9"/>
    <w:p w14:paraId="61D3D544" w14:textId="77777777" w:rsidR="00A1510F" w:rsidRPr="00A1510F" w:rsidRDefault="00A1510F" w:rsidP="00A1510F">
      <w:pPr>
        <w:spacing w:line="360" w:lineRule="auto"/>
        <w:jc w:val="center"/>
        <w:rPr>
          <w:lang w:val="es-ES" w:eastAsia="es-ES"/>
        </w:rPr>
      </w:pPr>
      <w:r w:rsidRPr="00A1510F">
        <w:rPr>
          <w:noProof/>
          <w:lang w:val="es-ES" w:eastAsia="es-ES"/>
        </w:rPr>
        <w:lastRenderedPageBreak/>
        <w:drawing>
          <wp:inline distT="0" distB="0" distL="0" distR="0" wp14:anchorId="69F71346" wp14:editId="21FB30AE">
            <wp:extent cx="3672328" cy="3108592"/>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9">
                      <a:extLst>
                        <a:ext uri="{28A0092B-C50C-407E-A947-70E740481C1C}">
                          <a14:useLocalDpi xmlns:a14="http://schemas.microsoft.com/office/drawing/2010/main" val="0"/>
                        </a:ext>
                      </a:extLst>
                    </a:blip>
                    <a:stretch>
                      <a:fillRect/>
                    </a:stretch>
                  </pic:blipFill>
                  <pic:spPr>
                    <a:xfrm>
                      <a:off x="0" y="0"/>
                      <a:ext cx="3681514" cy="3116368"/>
                    </a:xfrm>
                    <a:prstGeom prst="rect">
                      <a:avLst/>
                    </a:prstGeom>
                  </pic:spPr>
                </pic:pic>
              </a:graphicData>
            </a:graphic>
          </wp:inline>
        </w:drawing>
      </w:r>
    </w:p>
    <w:p w14:paraId="16A97091" w14:textId="77777777" w:rsidR="00A1510F" w:rsidRPr="00A1510F" w:rsidRDefault="00A1510F" w:rsidP="00A1510F">
      <w:pPr>
        <w:spacing w:line="360" w:lineRule="auto"/>
        <w:jc w:val="center"/>
        <w:rPr>
          <w:rFonts w:eastAsia="Calibri"/>
          <w:sz w:val="22"/>
          <w:szCs w:val="22"/>
          <w:lang w:val="es-MX" w:eastAsia="en-US"/>
        </w:rPr>
      </w:pPr>
      <w:r w:rsidRPr="00A1510F">
        <w:rPr>
          <w:rFonts w:eastAsia="Calibri"/>
          <w:b/>
          <w:sz w:val="22"/>
          <w:szCs w:val="22"/>
          <w:lang w:val="es-MX" w:eastAsia="en-US"/>
        </w:rPr>
        <w:t>Fig. 1 -</w:t>
      </w:r>
      <w:r w:rsidRPr="00A1510F">
        <w:rPr>
          <w:rFonts w:eastAsia="Calibri"/>
          <w:sz w:val="22"/>
          <w:szCs w:val="22"/>
          <w:lang w:val="es-MX" w:eastAsia="en-US"/>
        </w:rPr>
        <w:t xml:space="preserve"> Análisis de supervivencia según las curvas de Kaplan-Meier.</w:t>
      </w:r>
    </w:p>
    <w:p w14:paraId="7D503381" w14:textId="77777777" w:rsidR="00A1510F" w:rsidRPr="00A1510F" w:rsidRDefault="00A1510F" w:rsidP="00A1510F">
      <w:pPr>
        <w:spacing w:line="360" w:lineRule="auto"/>
        <w:rPr>
          <w:rFonts w:eastAsia="Calibri"/>
          <w:b/>
          <w:lang w:val="es-MX" w:eastAsia="en-US"/>
        </w:rPr>
      </w:pPr>
    </w:p>
    <w:p w14:paraId="08D4CAFC" w14:textId="77777777" w:rsidR="00A1510F" w:rsidRPr="00A1510F" w:rsidRDefault="00A1510F" w:rsidP="00A1510F">
      <w:pPr>
        <w:spacing w:line="360" w:lineRule="auto"/>
        <w:jc w:val="center"/>
        <w:rPr>
          <w:rFonts w:eastAsia="Calibri"/>
          <w:b/>
          <w:lang w:val="es-MX" w:eastAsia="en-US"/>
        </w:rPr>
      </w:pPr>
    </w:p>
    <w:p w14:paraId="667BE768" w14:textId="77777777" w:rsidR="00A1510F" w:rsidRPr="00A1510F" w:rsidRDefault="00A1510F" w:rsidP="00A1510F">
      <w:pPr>
        <w:spacing w:line="360" w:lineRule="auto"/>
        <w:jc w:val="center"/>
        <w:rPr>
          <w:rFonts w:eastAsia="Calibri"/>
          <w:b/>
          <w:sz w:val="32"/>
          <w:szCs w:val="32"/>
          <w:lang w:val="es-MX" w:eastAsia="en-US"/>
        </w:rPr>
      </w:pPr>
      <w:r w:rsidRPr="00A1510F">
        <w:rPr>
          <w:rFonts w:eastAsia="Calibri"/>
          <w:b/>
          <w:sz w:val="32"/>
          <w:szCs w:val="32"/>
          <w:lang w:val="es-MX" w:eastAsia="en-US"/>
        </w:rPr>
        <w:t>DISCUSIÓN</w:t>
      </w:r>
    </w:p>
    <w:p w14:paraId="3A697406" w14:textId="77777777" w:rsidR="00A1510F" w:rsidRPr="00A1510F" w:rsidRDefault="00A1510F" w:rsidP="00A1510F">
      <w:pPr>
        <w:spacing w:line="360" w:lineRule="auto"/>
        <w:jc w:val="both"/>
        <w:rPr>
          <w:rFonts w:eastAsia="Calibri"/>
          <w:vertAlign w:val="superscript"/>
          <w:lang w:val="es-ES" w:eastAsia="en-US"/>
        </w:rPr>
      </w:pPr>
      <w:r w:rsidRPr="00A1510F">
        <w:rPr>
          <w:rFonts w:eastAsia="Calibri"/>
          <w:lang w:val="es-MX" w:eastAsia="en-US"/>
        </w:rPr>
        <w:t xml:space="preserve">Las características generales de los pacientes (predominio del sexo femenino y de la tercera década de la vida) no difieren de lo reportado en la </w:t>
      </w:r>
      <w:proofErr w:type="gramStart"/>
      <w:r w:rsidRPr="00A1510F">
        <w:rPr>
          <w:rFonts w:eastAsia="Calibri"/>
          <w:lang w:val="es-MX" w:eastAsia="en-US"/>
        </w:rPr>
        <w:t>literatura.</w:t>
      </w:r>
      <w:r w:rsidRPr="00A1510F">
        <w:rPr>
          <w:rFonts w:eastAsia="Calibri"/>
          <w:vertAlign w:val="superscript"/>
          <w:lang w:val="es-ES" w:eastAsia="en-US"/>
        </w:rPr>
        <w:t>(</w:t>
      </w:r>
      <w:proofErr w:type="gramEnd"/>
      <w:r w:rsidRPr="00A1510F">
        <w:rPr>
          <w:rFonts w:eastAsia="Calibri"/>
          <w:vertAlign w:val="superscript"/>
          <w:lang w:val="es-ES" w:eastAsia="en-US"/>
        </w:rPr>
        <w:t>1,2,11,16)</w:t>
      </w:r>
      <w:r w:rsidRPr="00A1510F">
        <w:rPr>
          <w:rFonts w:eastAsia="Calibri"/>
          <w:lang w:val="es-MX" w:eastAsia="en-US"/>
        </w:rPr>
        <w:t xml:space="preserve"> </w:t>
      </w:r>
      <w:r w:rsidRPr="00A1510F">
        <w:rPr>
          <w:rFonts w:eastAsia="Calibri"/>
          <w:lang w:val="es-ES" w:eastAsia="en-US"/>
        </w:rPr>
        <w:t>El sexo femenino es un factor de riesgo para la HAI en todas las poblaciones (3 cuartas partes de los pacientes con HAI son mujeres jóvenes).</w:t>
      </w:r>
    </w:p>
    <w:p w14:paraId="7A94CB97"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 xml:space="preserve">La presencia de cirrosis al comienzo de la enfermedad, en la mayoría de los pacientes estudiados, sugiere que el diagnóstico etiológico fue tardío. Es criterio de los autores que, esto se debe a que la enfermedad probablemente pasó desapercibida en los estadios iniciales o quizás por un comportamiento más agresivo en esta región, no bien documentado aún por la no disponibilidad de estudios. </w:t>
      </w:r>
    </w:p>
    <w:p w14:paraId="39534FA6" w14:textId="77777777" w:rsidR="00A1510F" w:rsidRPr="00A1510F" w:rsidRDefault="00A1510F" w:rsidP="00A1510F">
      <w:pPr>
        <w:spacing w:line="360" w:lineRule="auto"/>
        <w:jc w:val="both"/>
        <w:rPr>
          <w:rFonts w:eastAsia="Calibri"/>
          <w:color w:val="FF0000"/>
          <w:lang w:val="es-MX" w:eastAsia="en-US"/>
        </w:rPr>
      </w:pPr>
      <w:r w:rsidRPr="00A1510F">
        <w:rPr>
          <w:rFonts w:eastAsia="Calibri"/>
          <w:lang w:val="es-MX" w:eastAsia="en-US"/>
        </w:rPr>
        <w:t xml:space="preserve">Las revisiones del tema muestran resultados contradictorios, </w:t>
      </w:r>
      <w:r w:rsidRPr="00A1510F">
        <w:rPr>
          <w:i/>
          <w:lang w:val="es-ES" w:eastAsia="es-ES"/>
        </w:rPr>
        <w:t>Sharma</w:t>
      </w:r>
      <w:r w:rsidRPr="00A1510F">
        <w:rPr>
          <w:lang w:val="es-ES" w:eastAsia="es-ES"/>
        </w:rPr>
        <w:t xml:space="preserve"> y </w:t>
      </w:r>
      <w:proofErr w:type="gramStart"/>
      <w:r w:rsidRPr="00A1510F">
        <w:rPr>
          <w:lang w:val="es-ES" w:eastAsia="es-ES"/>
        </w:rPr>
        <w:t>otros</w:t>
      </w:r>
      <w:r w:rsidRPr="00A1510F">
        <w:rPr>
          <w:vertAlign w:val="superscript"/>
          <w:lang w:val="es-ES" w:eastAsia="es-ES"/>
        </w:rPr>
        <w:t>(</w:t>
      </w:r>
      <w:proofErr w:type="gramEnd"/>
      <w:r w:rsidRPr="00A1510F">
        <w:rPr>
          <w:vertAlign w:val="superscript"/>
          <w:lang w:val="es-ES" w:eastAsia="es-ES"/>
        </w:rPr>
        <w:t>17)</w:t>
      </w:r>
      <w:r w:rsidRPr="00A1510F">
        <w:rPr>
          <w:lang w:val="es-ES" w:eastAsia="es-ES"/>
        </w:rPr>
        <w:t xml:space="preserve"> reportan </w:t>
      </w:r>
      <w:r w:rsidRPr="00A1510F">
        <w:rPr>
          <w:rFonts w:eastAsia="Calibri"/>
          <w:lang w:val="es-ES" w:eastAsia="en-US"/>
        </w:rPr>
        <w:t>que</w:t>
      </w:r>
      <w:r w:rsidRPr="00A1510F">
        <w:rPr>
          <w:lang w:val="es-ES" w:eastAsia="es-ES"/>
        </w:rPr>
        <w:t xml:space="preserve"> </w:t>
      </w:r>
      <w:r w:rsidRPr="00A1510F">
        <w:rPr>
          <w:lang w:val="es-MX" w:eastAsia="es-ES"/>
        </w:rPr>
        <w:t xml:space="preserve">el 70 % de los pacientes de toda la cohorte tenían cirrosis al momento de la presentación y el 45 % de estos enfermos tenían evidencia clínica de descompensación. </w:t>
      </w:r>
      <w:r w:rsidRPr="00A1510F">
        <w:rPr>
          <w:i/>
          <w:lang w:val="es-ES" w:eastAsia="es-ES"/>
        </w:rPr>
        <w:t xml:space="preserve">Castellanos </w:t>
      </w:r>
      <w:r w:rsidRPr="00A1510F">
        <w:rPr>
          <w:lang w:val="es-ES" w:eastAsia="es-ES"/>
        </w:rPr>
        <w:t xml:space="preserve">y </w:t>
      </w:r>
      <w:proofErr w:type="gramStart"/>
      <w:r w:rsidRPr="00A1510F">
        <w:rPr>
          <w:lang w:val="es-ES" w:eastAsia="es-ES"/>
        </w:rPr>
        <w:t>otros</w:t>
      </w:r>
      <w:r w:rsidRPr="00A1510F">
        <w:rPr>
          <w:vertAlign w:val="superscript"/>
          <w:lang w:val="es-ES" w:eastAsia="es-ES"/>
        </w:rPr>
        <w:t>(</w:t>
      </w:r>
      <w:proofErr w:type="gramEnd"/>
      <w:r w:rsidRPr="00A1510F">
        <w:rPr>
          <w:vertAlign w:val="superscript"/>
          <w:lang w:val="es-ES" w:eastAsia="es-ES"/>
        </w:rPr>
        <w:t>18)</w:t>
      </w:r>
      <w:r w:rsidRPr="00A1510F">
        <w:rPr>
          <w:lang w:val="es-ES" w:eastAsia="es-ES"/>
        </w:rPr>
        <w:t xml:space="preserve"> mostraron similares resultados en un estudio retrospectivo cubano, pues la mayoría de los pacientes tenían enfermedad hepática avanzada en el momento del diagnóstico o la desarrollaron durante su seguimiento. </w:t>
      </w:r>
      <w:r w:rsidRPr="00A1510F">
        <w:rPr>
          <w:lang w:val="es-MX" w:eastAsia="es-ES"/>
        </w:rPr>
        <w:t xml:space="preserve">Sin embargo, según estudios </w:t>
      </w:r>
      <w:r w:rsidRPr="00A1510F">
        <w:rPr>
          <w:lang w:val="es-MX" w:eastAsia="es-ES"/>
        </w:rPr>
        <w:lastRenderedPageBreak/>
        <w:t xml:space="preserve">evaluados por la guía </w:t>
      </w:r>
      <w:proofErr w:type="gramStart"/>
      <w:r w:rsidRPr="00A1510F">
        <w:rPr>
          <w:lang w:val="es-MX" w:eastAsia="es-ES"/>
        </w:rPr>
        <w:t>americana,</w:t>
      </w:r>
      <w:r w:rsidRPr="00A1510F">
        <w:rPr>
          <w:vertAlign w:val="superscript"/>
          <w:lang w:val="es-MX" w:eastAsia="es-ES"/>
        </w:rPr>
        <w:t>(</w:t>
      </w:r>
      <w:proofErr w:type="gramEnd"/>
      <w:r w:rsidRPr="00A1510F">
        <w:rPr>
          <w:vertAlign w:val="superscript"/>
          <w:lang w:val="es-MX" w:eastAsia="es-ES"/>
        </w:rPr>
        <w:t>2)</w:t>
      </w:r>
      <w:r w:rsidRPr="00A1510F">
        <w:rPr>
          <w:lang w:val="es-MX" w:eastAsia="es-ES"/>
        </w:rPr>
        <w:t xml:space="preserve"> solo entre el 28 y 33 % de los adultos tenían cirrosis hepática al inicio de la enfermedad.</w:t>
      </w:r>
    </w:p>
    <w:p w14:paraId="4C236D71"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La presencia de cirrosis en el momento del diagnóstico es un factor de mal pronóstico, pero en esta investigación los pacientes cirróticos que respondieron al tratamiento, consiguieron detener el curso de la enfermedad con una buena evolución clínica y una excelente supervivencia. Desde</w:t>
      </w:r>
      <w:r w:rsidRPr="00A1510F">
        <w:rPr>
          <w:rFonts w:eastAsia="Calibri"/>
          <w:lang w:val="es-ES" w:eastAsia="en-US"/>
        </w:rPr>
        <w:t xml:space="preserve"> hace varios años, se plantea que en la cirrosis la respuesta terapéutica es similar a la de los no cirróticos cuando se usan </w:t>
      </w:r>
      <w:proofErr w:type="gramStart"/>
      <w:r w:rsidRPr="00A1510F">
        <w:rPr>
          <w:rFonts w:eastAsia="Calibri"/>
          <w:lang w:val="es-ES" w:eastAsia="en-US"/>
        </w:rPr>
        <w:t>esteroides.</w:t>
      </w:r>
      <w:r w:rsidRPr="00A1510F">
        <w:rPr>
          <w:rFonts w:eastAsia="Calibri"/>
          <w:vertAlign w:val="superscript"/>
          <w:lang w:val="es-ES" w:eastAsia="en-US"/>
        </w:rPr>
        <w:t>(</w:t>
      </w:r>
      <w:proofErr w:type="gramEnd"/>
      <w:r w:rsidRPr="00A1510F">
        <w:rPr>
          <w:rFonts w:eastAsia="Calibri"/>
          <w:vertAlign w:val="superscript"/>
          <w:lang w:val="es-ES" w:eastAsia="en-US"/>
        </w:rPr>
        <w:t>19)</w:t>
      </w:r>
      <w:r w:rsidRPr="00A1510F">
        <w:rPr>
          <w:rFonts w:eastAsia="Calibri"/>
          <w:lang w:val="es-MX" w:eastAsia="en-US"/>
        </w:rPr>
        <w:t xml:space="preserve"> </w:t>
      </w:r>
    </w:p>
    <w:p w14:paraId="062A759A" w14:textId="77777777" w:rsidR="00A1510F" w:rsidRPr="00A1510F" w:rsidRDefault="00A1510F" w:rsidP="00A1510F">
      <w:pPr>
        <w:spacing w:line="360" w:lineRule="auto"/>
        <w:jc w:val="both"/>
        <w:rPr>
          <w:rFonts w:eastAsia="Calibri"/>
          <w:vertAlign w:val="superscript"/>
          <w:lang w:val="es-ES" w:eastAsia="en-US"/>
        </w:rPr>
      </w:pPr>
      <w:r w:rsidRPr="00A1510F">
        <w:rPr>
          <w:rFonts w:eastAsia="Calibri"/>
          <w:lang w:val="es-MX" w:eastAsia="en-US"/>
        </w:rPr>
        <w:t xml:space="preserve">Los pacientes que respondieron al tratamiento tuvieron una evolución favorable sin progresión de la enfermedad. Esto se atribuye a que, en la HAI, el control de la inflamación hepática y la necrosis hepatocelular puede inhibir el estímulo </w:t>
      </w:r>
      <w:proofErr w:type="spellStart"/>
      <w:r w:rsidRPr="00A1510F">
        <w:rPr>
          <w:rFonts w:eastAsia="Calibri"/>
          <w:lang w:val="es-MX" w:eastAsia="en-US"/>
        </w:rPr>
        <w:t>fibrogénico</w:t>
      </w:r>
      <w:proofErr w:type="spellEnd"/>
      <w:r w:rsidRPr="00A1510F">
        <w:rPr>
          <w:rFonts w:eastAsia="Calibri"/>
          <w:lang w:val="es-MX" w:eastAsia="en-US"/>
        </w:rPr>
        <w:t xml:space="preserve"> y favorecer la degradación del tejido fibrilar constituido por colágeno tipo I y III en la matriz extracelular. Los corticoides reducen la inflamación e inhiben la acción del factor de crecimiento transformante ß, que activa las células estrelladas, con lo que se alcanzan respuestas favorables en la regresión de la fibrosis.</w:t>
      </w:r>
      <w:r w:rsidRPr="00A1510F">
        <w:rPr>
          <w:rFonts w:eastAsia="Calibri"/>
          <w:vertAlign w:val="superscript"/>
          <w:lang w:val="es-MX" w:eastAsia="en-US"/>
        </w:rPr>
        <w:t xml:space="preserve">(20,21) </w:t>
      </w:r>
      <w:r w:rsidRPr="00A1510F">
        <w:rPr>
          <w:rFonts w:eastAsia="Calibri"/>
          <w:lang w:val="es-ES" w:eastAsia="en-US"/>
        </w:rPr>
        <w:t xml:space="preserve">Esto quedó demostrado desde hace años por </w:t>
      </w:r>
      <w:r w:rsidRPr="00A1510F">
        <w:rPr>
          <w:rFonts w:eastAsia="Calibri"/>
          <w:i/>
          <w:lang w:val="es-ES" w:eastAsia="en-US"/>
        </w:rPr>
        <w:t>Valera</w:t>
      </w:r>
      <w:r w:rsidRPr="00A1510F">
        <w:rPr>
          <w:rFonts w:eastAsia="Calibri"/>
          <w:lang w:val="es-ES" w:eastAsia="en-US"/>
        </w:rPr>
        <w:t xml:space="preserve"> y otros</w:t>
      </w:r>
      <w:r w:rsidRPr="00A1510F">
        <w:rPr>
          <w:rFonts w:eastAsia="Calibri"/>
          <w:vertAlign w:val="superscript"/>
          <w:lang w:val="es-ES" w:eastAsia="en-US"/>
        </w:rPr>
        <w:t>(20)</w:t>
      </w:r>
      <w:r w:rsidRPr="00A1510F">
        <w:rPr>
          <w:rFonts w:eastAsia="Calibri"/>
          <w:lang w:val="es-ES" w:eastAsia="en-US"/>
        </w:rPr>
        <w:t xml:space="preserve"> en su estudio de 54 pacientes con HAI tratada con inmunosupresores, en el cual el 41 % disminuyó la fibrosis hepática y no hubo progresión en el 50 %; similar resultado reportan </w:t>
      </w:r>
      <w:r w:rsidRPr="00A1510F">
        <w:rPr>
          <w:rFonts w:eastAsia="Calibri"/>
          <w:i/>
          <w:lang w:val="es-ES" w:eastAsia="en-US"/>
        </w:rPr>
        <w:t>Rodríguez</w:t>
      </w:r>
      <w:r w:rsidRPr="00A1510F">
        <w:rPr>
          <w:rFonts w:eastAsia="Calibri"/>
          <w:lang w:val="es-ES" w:eastAsia="en-US"/>
        </w:rPr>
        <w:t xml:space="preserve"> y otros</w:t>
      </w:r>
      <w:r w:rsidRPr="00A1510F">
        <w:rPr>
          <w:rFonts w:eastAsia="Calibri"/>
          <w:vertAlign w:val="superscript"/>
          <w:lang w:val="es-ES" w:eastAsia="en-US"/>
        </w:rPr>
        <w:t>(11)</w:t>
      </w:r>
      <w:r w:rsidRPr="00A1510F">
        <w:rPr>
          <w:rFonts w:eastAsia="Calibri"/>
          <w:lang w:val="es-ES" w:eastAsia="en-US"/>
        </w:rPr>
        <w:t xml:space="preserve"> en 24 pacientes evaluados, de los cuales 14 (58 %) en estadio de cirrosis hepática compensada con respuesta al tratamiento, no presentaron progresión de la enfermedad.</w:t>
      </w:r>
    </w:p>
    <w:p w14:paraId="25EE377D" w14:textId="77777777" w:rsidR="00A1510F" w:rsidRPr="00A1510F" w:rsidRDefault="00A1510F" w:rsidP="00A1510F">
      <w:pPr>
        <w:spacing w:line="360" w:lineRule="auto"/>
        <w:jc w:val="both"/>
        <w:rPr>
          <w:rFonts w:eastAsia="Calibri"/>
          <w:vertAlign w:val="superscript"/>
          <w:lang w:val="es-MX" w:eastAsia="en-US"/>
        </w:rPr>
      </w:pPr>
      <w:r w:rsidRPr="00A1510F">
        <w:rPr>
          <w:rFonts w:eastAsia="Calibri"/>
          <w:lang w:val="es-MX" w:eastAsia="en-US"/>
        </w:rPr>
        <w:t xml:space="preserve">Entre los pacientes que no respondieron al tratamiento de primera línea se encuentran los diagnosticados en edades tempranas (3 de los 4 con HAI tipo II) que tuvieron mala adherencia al tratamiento inmunosupresor. Algunos de estos pacientes durante su evolución desarrollaron síndrome de solapamiento y aunque se les agregó el ácido </w:t>
      </w:r>
      <w:proofErr w:type="spellStart"/>
      <w:r w:rsidRPr="00A1510F">
        <w:rPr>
          <w:rFonts w:eastAsia="Calibri"/>
          <w:lang w:val="es-MX" w:eastAsia="en-US"/>
        </w:rPr>
        <w:t>ursodesoxicólico</w:t>
      </w:r>
      <w:proofErr w:type="spellEnd"/>
      <w:r w:rsidRPr="00A1510F">
        <w:rPr>
          <w:rFonts w:eastAsia="Calibri"/>
          <w:lang w:val="es-MX" w:eastAsia="en-US"/>
        </w:rPr>
        <w:t xml:space="preserve">, no tuvieron control de la enfermedad y por tanto su evolución clínica fue desfavorable, como se describe en esta </w:t>
      </w:r>
      <w:proofErr w:type="gramStart"/>
      <w:r w:rsidRPr="00A1510F">
        <w:rPr>
          <w:rFonts w:eastAsia="Calibri"/>
          <w:lang w:val="es-MX" w:eastAsia="en-US"/>
        </w:rPr>
        <w:t>entidad.</w:t>
      </w:r>
      <w:r w:rsidRPr="00A1510F">
        <w:rPr>
          <w:rFonts w:eastAsia="Calibri"/>
          <w:vertAlign w:val="superscript"/>
          <w:lang w:val="es-MX" w:eastAsia="en-US"/>
        </w:rPr>
        <w:t>(</w:t>
      </w:r>
      <w:proofErr w:type="gramEnd"/>
      <w:r w:rsidRPr="00A1510F">
        <w:rPr>
          <w:rFonts w:eastAsia="Calibri"/>
          <w:vertAlign w:val="superscript"/>
          <w:lang w:val="es-MX" w:eastAsia="en-US"/>
        </w:rPr>
        <w:t xml:space="preserve">22) </w:t>
      </w:r>
      <w:r w:rsidRPr="00A1510F">
        <w:rPr>
          <w:rFonts w:eastAsia="Calibri"/>
          <w:lang w:val="es-MX" w:eastAsia="en-US"/>
        </w:rPr>
        <w:t xml:space="preserve">Un menor número de pacientes sin respuesta al tratamiento se habían diagnosticado en estadio de cirrosis descompensada y 4 de ellos requirieron trasplante hepático. Solo 2 de las pacientes fueron tributarios de tratamiento de segunda línea, sin mostrar respuesta favorable. La cirrosis y la no respuesta terapéutica son predictores de progresión en la </w:t>
      </w:r>
      <w:proofErr w:type="gramStart"/>
      <w:r w:rsidRPr="00A1510F">
        <w:rPr>
          <w:rFonts w:eastAsia="Calibri"/>
          <w:lang w:val="es-MX" w:eastAsia="en-US"/>
        </w:rPr>
        <w:t>HAI.</w:t>
      </w:r>
      <w:r w:rsidRPr="00A1510F">
        <w:rPr>
          <w:rFonts w:eastAsia="Calibri"/>
          <w:vertAlign w:val="superscript"/>
          <w:lang w:val="es-MX" w:eastAsia="en-US"/>
        </w:rPr>
        <w:t>(</w:t>
      </w:r>
      <w:proofErr w:type="gramEnd"/>
      <w:r w:rsidRPr="00A1510F">
        <w:rPr>
          <w:rFonts w:eastAsia="Calibri"/>
          <w:vertAlign w:val="superscript"/>
          <w:lang w:val="es-MX" w:eastAsia="en-US"/>
        </w:rPr>
        <w:t>23)</w:t>
      </w:r>
    </w:p>
    <w:p w14:paraId="3ED38622" w14:textId="77777777" w:rsidR="00A1510F" w:rsidRPr="00A1510F" w:rsidRDefault="00A1510F" w:rsidP="00A1510F">
      <w:pPr>
        <w:spacing w:line="360" w:lineRule="auto"/>
        <w:jc w:val="both"/>
        <w:rPr>
          <w:rFonts w:eastAsia="Calibri"/>
          <w:lang w:val="es-ES" w:eastAsia="en-US"/>
        </w:rPr>
      </w:pPr>
      <w:r w:rsidRPr="00A1510F">
        <w:rPr>
          <w:rFonts w:eastAsia="Calibri"/>
          <w:lang w:val="es-ES" w:eastAsia="en-US"/>
        </w:rPr>
        <w:t xml:space="preserve">Cuando se comparan los enfermos con respuesta al tratamiento con aquellos que no respondieron, se evidencia el impacto de la terapéutica con un aumento significativo de la sobrevida de los enfermos con </w:t>
      </w:r>
      <w:r w:rsidRPr="00A1510F">
        <w:rPr>
          <w:rFonts w:eastAsia="Calibri"/>
          <w:lang w:val="es-ES" w:eastAsia="en-US"/>
        </w:rPr>
        <w:lastRenderedPageBreak/>
        <w:t xml:space="preserve">control de la etiología. Este beneficio en la supervivencia se demostró en ensayos controlados con placebo desde 1970, que informaron una mortalidad de hasta un 56 % en pacientes no tratados, en comparación con el 14 % de los que recibieron </w:t>
      </w:r>
      <w:proofErr w:type="gramStart"/>
      <w:r w:rsidRPr="00A1510F">
        <w:rPr>
          <w:rFonts w:eastAsia="Calibri"/>
          <w:lang w:val="es-ES" w:eastAsia="en-US"/>
        </w:rPr>
        <w:t>tratamiento.</w:t>
      </w:r>
      <w:r w:rsidRPr="00A1510F">
        <w:rPr>
          <w:rFonts w:eastAsia="Calibri"/>
          <w:vertAlign w:val="superscript"/>
          <w:lang w:val="es-ES" w:eastAsia="en-US"/>
        </w:rPr>
        <w:t>(</w:t>
      </w:r>
      <w:proofErr w:type="gramEnd"/>
      <w:r w:rsidRPr="00A1510F">
        <w:rPr>
          <w:rFonts w:eastAsia="Calibri"/>
          <w:vertAlign w:val="superscript"/>
          <w:lang w:val="es-ES" w:eastAsia="en-US"/>
        </w:rPr>
        <w:t>24)</w:t>
      </w:r>
      <w:r w:rsidRPr="00A1510F">
        <w:rPr>
          <w:rFonts w:eastAsia="Calibri"/>
          <w:lang w:val="es-ES" w:eastAsia="en-US"/>
        </w:rPr>
        <w:t xml:space="preserve"> En un estudio de cohorte, </w:t>
      </w:r>
      <w:proofErr w:type="spellStart"/>
      <w:r w:rsidRPr="00A1510F">
        <w:rPr>
          <w:rFonts w:eastAsia="Calibri"/>
          <w:i/>
          <w:lang w:val="es-ES" w:eastAsia="en-US"/>
        </w:rPr>
        <w:t>Biewenga</w:t>
      </w:r>
      <w:proofErr w:type="spellEnd"/>
      <w:r w:rsidRPr="00A1510F">
        <w:rPr>
          <w:rFonts w:eastAsia="Calibri"/>
          <w:i/>
          <w:lang w:val="es-ES" w:eastAsia="en-US"/>
        </w:rPr>
        <w:t xml:space="preserve"> </w:t>
      </w:r>
      <w:r w:rsidRPr="00A1510F">
        <w:rPr>
          <w:rFonts w:eastAsia="Calibri"/>
          <w:lang w:val="es-ES" w:eastAsia="en-US"/>
        </w:rPr>
        <w:t>y otros</w:t>
      </w:r>
      <w:r w:rsidRPr="00A1510F">
        <w:rPr>
          <w:rFonts w:eastAsia="Calibri"/>
          <w:vertAlign w:val="superscript"/>
          <w:lang w:val="es-ES" w:eastAsia="en-US"/>
        </w:rPr>
        <w:t>(25)</w:t>
      </w:r>
      <w:r w:rsidRPr="00A1510F">
        <w:rPr>
          <w:rFonts w:eastAsia="Calibri"/>
          <w:lang w:val="es-ES" w:eastAsia="en-US"/>
        </w:rPr>
        <w:t xml:space="preserve"> concluyeron que los valores de aminotransferasas bajas durante el tratamiento se asocian con una mejor supervivencia a largo plazo en la HAI.</w:t>
      </w:r>
    </w:p>
    <w:p w14:paraId="53CDAA61" w14:textId="77777777" w:rsidR="00A1510F" w:rsidRPr="00A1510F" w:rsidRDefault="00A1510F" w:rsidP="00A1510F">
      <w:pPr>
        <w:spacing w:line="360" w:lineRule="auto"/>
        <w:jc w:val="both"/>
        <w:rPr>
          <w:rFonts w:eastAsia="Calibri"/>
          <w:vertAlign w:val="superscript"/>
          <w:lang w:val="es-MX" w:eastAsia="en-US"/>
        </w:rPr>
      </w:pPr>
      <w:r w:rsidRPr="00A1510F">
        <w:rPr>
          <w:rFonts w:eastAsia="Calibri"/>
          <w:lang w:val="es-ES" w:eastAsia="en-US"/>
        </w:rPr>
        <w:t xml:space="preserve">Por el contrario, el fracaso de la respuesta terapéutica evaluado a los 12 meses, constituyó un factor predictor de trasplante y muerte relacionada con el hígado. Otras </w:t>
      </w:r>
      <w:proofErr w:type="gramStart"/>
      <w:r w:rsidRPr="00A1510F">
        <w:rPr>
          <w:rFonts w:eastAsia="Calibri"/>
          <w:lang w:val="es-ES" w:eastAsia="en-US"/>
        </w:rPr>
        <w:t>investigaciones</w:t>
      </w:r>
      <w:r w:rsidRPr="00A1510F">
        <w:rPr>
          <w:rFonts w:eastAsia="Calibri"/>
          <w:vertAlign w:val="superscript"/>
          <w:lang w:val="es-MX" w:eastAsia="en-US"/>
        </w:rPr>
        <w:t>(</w:t>
      </w:r>
      <w:proofErr w:type="gramEnd"/>
      <w:r w:rsidRPr="00A1510F">
        <w:rPr>
          <w:rFonts w:eastAsia="Calibri"/>
          <w:vertAlign w:val="superscript"/>
          <w:lang w:val="es-MX" w:eastAsia="en-US"/>
        </w:rPr>
        <w:t>26,27,28)</w:t>
      </w:r>
      <w:r w:rsidRPr="00A1510F">
        <w:rPr>
          <w:rFonts w:eastAsia="Calibri"/>
          <w:lang w:val="es-ES" w:eastAsia="en-US"/>
        </w:rPr>
        <w:t xml:space="preserve"> reafirman estos resultados, al demostrar </w:t>
      </w:r>
      <w:r w:rsidRPr="00A1510F">
        <w:rPr>
          <w:rFonts w:eastAsia="Calibri"/>
          <w:lang w:val="es-MX" w:eastAsia="en-US"/>
        </w:rPr>
        <w:t>que las recaídas se asociaron con un con mayor índice de mortalidad en los pacientes con HAI.</w:t>
      </w:r>
    </w:p>
    <w:p w14:paraId="140E37E3" w14:textId="77777777" w:rsidR="00A1510F" w:rsidRPr="00A1510F" w:rsidRDefault="00A1510F" w:rsidP="00A1510F">
      <w:pPr>
        <w:spacing w:line="360" w:lineRule="auto"/>
        <w:jc w:val="both"/>
        <w:rPr>
          <w:rFonts w:eastAsia="Calibri"/>
          <w:lang w:val="es-ES" w:eastAsia="en-US"/>
        </w:rPr>
      </w:pPr>
      <w:r w:rsidRPr="00A1510F">
        <w:rPr>
          <w:rFonts w:eastAsia="Calibri"/>
          <w:lang w:val="es-ES" w:eastAsia="en-US"/>
        </w:rPr>
        <w:t>Este trabajo confirma que la buena respuesta al tratamiento inmunosupresor inicial evita la progresión de la enfermedad, lo que impacta de manera positiva en la supervivencia de los pacientes con hepatitis autoinmune.</w:t>
      </w:r>
    </w:p>
    <w:p w14:paraId="0082C17B" w14:textId="77777777" w:rsidR="00A1510F" w:rsidRPr="00A1510F" w:rsidRDefault="00A1510F" w:rsidP="00A1510F">
      <w:pPr>
        <w:spacing w:line="360" w:lineRule="auto"/>
        <w:jc w:val="center"/>
        <w:rPr>
          <w:rFonts w:eastAsia="Calibri"/>
          <w:b/>
          <w:lang w:val="es-ES" w:eastAsia="en-US"/>
        </w:rPr>
      </w:pPr>
    </w:p>
    <w:p w14:paraId="33454022" w14:textId="77777777" w:rsidR="00A1510F" w:rsidRPr="00A1510F" w:rsidRDefault="00A1510F" w:rsidP="00A1510F">
      <w:pPr>
        <w:spacing w:line="360" w:lineRule="auto"/>
        <w:jc w:val="center"/>
        <w:rPr>
          <w:rFonts w:eastAsia="Calibri"/>
          <w:b/>
          <w:lang w:val="es-ES" w:eastAsia="en-US"/>
        </w:rPr>
      </w:pPr>
    </w:p>
    <w:p w14:paraId="02BA37E4" w14:textId="77777777" w:rsidR="00A1510F" w:rsidRPr="00A1510F" w:rsidRDefault="00A1510F" w:rsidP="00A1510F">
      <w:pPr>
        <w:spacing w:line="360" w:lineRule="auto"/>
        <w:jc w:val="center"/>
        <w:rPr>
          <w:rFonts w:eastAsia="Calibri"/>
          <w:sz w:val="32"/>
          <w:szCs w:val="32"/>
          <w:lang w:val="es-ES" w:eastAsia="en-US"/>
        </w:rPr>
      </w:pPr>
      <w:r w:rsidRPr="00A1510F">
        <w:rPr>
          <w:rFonts w:eastAsia="Calibri"/>
          <w:b/>
          <w:sz w:val="32"/>
          <w:szCs w:val="32"/>
          <w:lang w:val="es-ES" w:eastAsia="en-US"/>
        </w:rPr>
        <w:t>REFERENCIAS BIBLIOGRÁFICAS</w:t>
      </w:r>
    </w:p>
    <w:p w14:paraId="3CFED525" w14:textId="77777777" w:rsidR="00A1510F" w:rsidRPr="00A1510F" w:rsidRDefault="00A1510F" w:rsidP="00A1510F">
      <w:pPr>
        <w:spacing w:line="360" w:lineRule="auto"/>
        <w:rPr>
          <w:rFonts w:eastAsia="Calibri"/>
          <w:lang w:val="es-US" w:eastAsia="en-US"/>
        </w:rPr>
      </w:pPr>
      <w:r w:rsidRPr="00A1510F">
        <w:rPr>
          <w:rFonts w:eastAsia="Calibri"/>
          <w:lang w:val="es-ES" w:eastAsia="en-US"/>
        </w:rPr>
        <w:t xml:space="preserve">1. </w:t>
      </w:r>
      <w:r w:rsidRPr="00A1510F">
        <w:rPr>
          <w:rFonts w:eastAsia="Calibri"/>
          <w:color w:val="212121"/>
          <w:shd w:val="clear" w:color="auto" w:fill="FFFFFF"/>
          <w:lang w:val="es-US" w:eastAsia="en-US"/>
        </w:rPr>
        <w:t xml:space="preserve">Beretta </w:t>
      </w:r>
      <w:proofErr w:type="spellStart"/>
      <w:r w:rsidRPr="00A1510F">
        <w:rPr>
          <w:rFonts w:eastAsia="Calibri"/>
          <w:color w:val="212121"/>
          <w:shd w:val="clear" w:color="auto" w:fill="FFFFFF"/>
          <w:lang w:val="es-US" w:eastAsia="en-US"/>
        </w:rPr>
        <w:t>Picoli</w:t>
      </w:r>
      <w:proofErr w:type="spellEnd"/>
      <w:r w:rsidRPr="00A1510F">
        <w:rPr>
          <w:rFonts w:eastAsia="Calibri"/>
          <w:color w:val="212121"/>
          <w:shd w:val="clear" w:color="auto" w:fill="FFFFFF"/>
          <w:lang w:val="es-US" w:eastAsia="en-US"/>
        </w:rPr>
        <w:t xml:space="preserve"> BT, </w:t>
      </w:r>
      <w:proofErr w:type="spellStart"/>
      <w:r w:rsidRPr="00A1510F">
        <w:rPr>
          <w:rFonts w:eastAsia="Calibri"/>
          <w:color w:val="212121"/>
          <w:shd w:val="clear" w:color="auto" w:fill="FFFFFF"/>
          <w:lang w:val="es-US" w:eastAsia="en-US"/>
        </w:rPr>
        <w:t>Mieli-Vergani</w:t>
      </w:r>
      <w:proofErr w:type="spellEnd"/>
      <w:r w:rsidRPr="00A1510F">
        <w:rPr>
          <w:rFonts w:eastAsia="Calibri"/>
          <w:color w:val="212121"/>
          <w:shd w:val="clear" w:color="auto" w:fill="FFFFFF"/>
          <w:lang w:val="es-US" w:eastAsia="en-US"/>
        </w:rPr>
        <w:t xml:space="preserve"> G, </w:t>
      </w:r>
      <w:proofErr w:type="spellStart"/>
      <w:r w:rsidRPr="00A1510F">
        <w:rPr>
          <w:rFonts w:eastAsia="Calibri"/>
          <w:color w:val="212121"/>
          <w:shd w:val="clear" w:color="auto" w:fill="FFFFFF"/>
          <w:lang w:val="es-US" w:eastAsia="en-US"/>
        </w:rPr>
        <w:t>Vergani</w:t>
      </w:r>
      <w:proofErr w:type="spellEnd"/>
      <w:r w:rsidRPr="00A1510F">
        <w:rPr>
          <w:rFonts w:eastAsia="Calibri"/>
          <w:color w:val="212121"/>
          <w:shd w:val="clear" w:color="auto" w:fill="FFFFFF"/>
          <w:lang w:val="es-US" w:eastAsia="en-US"/>
        </w:rPr>
        <w:t xml:space="preserve"> D. </w:t>
      </w:r>
      <w:proofErr w:type="spellStart"/>
      <w:r w:rsidRPr="00A1510F">
        <w:rPr>
          <w:rFonts w:eastAsia="Calibri"/>
          <w:color w:val="212121"/>
          <w:shd w:val="clear" w:color="auto" w:fill="FFFFFF"/>
          <w:lang w:val="es-US" w:eastAsia="en-US"/>
        </w:rPr>
        <w:t>Autoimmmune</w:t>
      </w:r>
      <w:proofErr w:type="spellEnd"/>
      <w:r w:rsidRPr="00A1510F">
        <w:rPr>
          <w:rFonts w:eastAsia="Calibri"/>
          <w:color w:val="212121"/>
          <w:shd w:val="clear" w:color="auto" w:fill="FFFFFF"/>
          <w:lang w:val="es-US" w:eastAsia="en-US"/>
        </w:rPr>
        <w:t xml:space="preserve"> hepatitis.</w:t>
      </w:r>
      <w:r w:rsidRPr="00A1510F">
        <w:rPr>
          <w:rFonts w:eastAsia="Calibri"/>
          <w:lang w:val="es-MX" w:eastAsia="en-US"/>
        </w:rPr>
        <w:t xml:space="preserve"> </w:t>
      </w:r>
      <w:proofErr w:type="spellStart"/>
      <w:r w:rsidRPr="00A1510F">
        <w:rPr>
          <w:rFonts w:eastAsia="Calibri"/>
          <w:color w:val="212121"/>
          <w:shd w:val="clear" w:color="auto" w:fill="FFFFFF"/>
          <w:lang w:val="es-US" w:eastAsia="en-US"/>
        </w:rPr>
        <w:t>Cellular</w:t>
      </w:r>
      <w:proofErr w:type="spellEnd"/>
      <w:r w:rsidRPr="00A1510F">
        <w:rPr>
          <w:rFonts w:eastAsia="Calibri"/>
          <w:color w:val="212121"/>
          <w:shd w:val="clear" w:color="auto" w:fill="FFFFFF"/>
          <w:lang w:val="es-US" w:eastAsia="en-US"/>
        </w:rPr>
        <w:t xml:space="preserve"> &amp; Molecular Immunology.2021</w:t>
      </w:r>
      <w:r w:rsidRPr="00A1510F">
        <w:rPr>
          <w:rFonts w:eastAsia="Calibri"/>
          <w:shd w:val="clear" w:color="auto" w:fill="FFFFFF"/>
          <w:lang w:val="es-US" w:eastAsia="en-US"/>
        </w:rPr>
        <w:t xml:space="preserve">[acceso:21/11/2023];19:158–176. Disponible en: </w:t>
      </w:r>
      <w:hyperlink r:id="rId20" w:history="1">
        <w:r w:rsidRPr="00A1510F">
          <w:rPr>
            <w:rFonts w:eastAsia="Calibri"/>
            <w:color w:val="0563C1"/>
            <w:shd w:val="clear" w:color="auto" w:fill="FFFFFF"/>
            <w:lang w:val="es-US" w:eastAsia="en-US"/>
          </w:rPr>
          <w:t>https://www.nature.com/articles/s41423-021-00768-8</w:t>
        </w:r>
      </w:hyperlink>
    </w:p>
    <w:p w14:paraId="1743CE31" w14:textId="77777777" w:rsidR="00A1510F" w:rsidRPr="00A1510F" w:rsidRDefault="00A1510F" w:rsidP="00A1510F">
      <w:pPr>
        <w:spacing w:line="360" w:lineRule="auto"/>
        <w:rPr>
          <w:rFonts w:eastAsia="Calibri"/>
          <w:shd w:val="clear" w:color="auto" w:fill="FFFFFF"/>
          <w:lang w:val="en-US" w:eastAsia="en-US"/>
        </w:rPr>
      </w:pPr>
      <w:r w:rsidRPr="00A1510F">
        <w:rPr>
          <w:rFonts w:eastAsia="Calibri"/>
          <w:color w:val="212121"/>
          <w:shd w:val="clear" w:color="auto" w:fill="FFFFFF"/>
          <w:lang w:val="en-US" w:eastAsia="en-US"/>
        </w:rPr>
        <w:t xml:space="preserve">2. </w:t>
      </w:r>
      <w:r w:rsidRPr="00A1510F">
        <w:rPr>
          <w:rFonts w:eastAsia="Calibri"/>
          <w:shd w:val="clear" w:color="auto" w:fill="FFFFFF"/>
          <w:lang w:val="en-US" w:eastAsia="en-US"/>
        </w:rPr>
        <w:t xml:space="preserve">Mack CL, Adams D, Assis DN, </w:t>
      </w:r>
      <w:proofErr w:type="spellStart"/>
      <w:r w:rsidRPr="00A1510F">
        <w:rPr>
          <w:rFonts w:eastAsia="Calibri"/>
          <w:shd w:val="clear" w:color="auto" w:fill="FFFFFF"/>
          <w:lang w:val="en-US" w:eastAsia="en-US"/>
        </w:rPr>
        <w:t>Kerkar</w:t>
      </w:r>
      <w:proofErr w:type="spellEnd"/>
      <w:r w:rsidRPr="00A1510F">
        <w:rPr>
          <w:rFonts w:eastAsia="Calibri"/>
          <w:shd w:val="clear" w:color="auto" w:fill="FFFFFF"/>
          <w:lang w:val="en-US" w:eastAsia="en-US"/>
        </w:rPr>
        <w:t xml:space="preserve"> N, </w:t>
      </w:r>
      <w:proofErr w:type="spellStart"/>
      <w:r w:rsidRPr="00A1510F">
        <w:rPr>
          <w:rFonts w:eastAsia="Calibri"/>
          <w:shd w:val="clear" w:color="auto" w:fill="FFFFFF"/>
          <w:lang w:val="en-US" w:eastAsia="en-US"/>
        </w:rPr>
        <w:t>Manns</w:t>
      </w:r>
      <w:proofErr w:type="spellEnd"/>
      <w:r w:rsidRPr="00A1510F">
        <w:rPr>
          <w:rFonts w:eastAsia="Calibri"/>
          <w:shd w:val="clear" w:color="auto" w:fill="FFFFFF"/>
          <w:lang w:val="en-US" w:eastAsia="en-US"/>
        </w:rPr>
        <w:t xml:space="preserve"> MP, Mayo MJ, et al. Diagnosis and Management of Autoimmune Hepatitis in Adults and Children: 2019 Practice Guidance and Guidelines </w:t>
      </w:r>
      <w:proofErr w:type="gramStart"/>
      <w:r w:rsidRPr="00A1510F">
        <w:rPr>
          <w:rFonts w:eastAsia="Calibri"/>
          <w:shd w:val="clear" w:color="auto" w:fill="FFFFFF"/>
          <w:lang w:val="en-US" w:eastAsia="en-US"/>
        </w:rPr>
        <w:t>From</w:t>
      </w:r>
      <w:proofErr w:type="gramEnd"/>
      <w:r w:rsidRPr="00A1510F">
        <w:rPr>
          <w:rFonts w:eastAsia="Calibri"/>
          <w:shd w:val="clear" w:color="auto" w:fill="FFFFFF"/>
          <w:lang w:val="en-US" w:eastAsia="en-US"/>
        </w:rPr>
        <w:t xml:space="preserve"> the American Association for the Study of Liver Diseases. Hematology. 2020; 72 (2): 671-722. DOI: </w:t>
      </w:r>
      <w:hyperlink r:id="rId21" w:history="1">
        <w:r w:rsidRPr="00A1510F">
          <w:rPr>
            <w:rFonts w:eastAsia="Calibri"/>
            <w:color w:val="0563C1"/>
            <w:shd w:val="clear" w:color="auto" w:fill="FFFFFF"/>
            <w:lang w:val="en-US" w:eastAsia="en-US"/>
          </w:rPr>
          <w:t>https://doi.org/10.1002/hep.31065</w:t>
        </w:r>
      </w:hyperlink>
      <w:r w:rsidRPr="00A1510F">
        <w:rPr>
          <w:rFonts w:eastAsia="Calibri"/>
          <w:shd w:val="clear" w:color="auto" w:fill="FFFFFF"/>
          <w:lang w:val="en-US" w:eastAsia="en-US"/>
        </w:rPr>
        <w:t xml:space="preserve"> </w:t>
      </w:r>
    </w:p>
    <w:p w14:paraId="1F49E327" w14:textId="77777777" w:rsidR="00A1510F" w:rsidRPr="00A1510F" w:rsidRDefault="00A1510F" w:rsidP="00A1510F">
      <w:pPr>
        <w:spacing w:line="360" w:lineRule="auto"/>
        <w:rPr>
          <w:rFonts w:eastAsia="Calibri"/>
          <w:lang w:val="en-US" w:eastAsia="en-US"/>
        </w:rPr>
      </w:pPr>
      <w:r w:rsidRPr="00A1510F">
        <w:rPr>
          <w:rFonts w:eastAsia="Calibri"/>
          <w:shd w:val="clear" w:color="auto" w:fill="FFFFFF"/>
          <w:lang w:val="en-US" w:eastAsia="en-US"/>
        </w:rPr>
        <w:t>3.</w:t>
      </w:r>
      <w:r w:rsidRPr="00A1510F">
        <w:rPr>
          <w:lang w:val="en-US" w:eastAsia="es-ES"/>
        </w:rPr>
        <w:t xml:space="preserve"> </w:t>
      </w:r>
      <w:r w:rsidRPr="00A1510F">
        <w:rPr>
          <w:rFonts w:eastAsia="Calibri"/>
          <w:lang w:val="en-US" w:eastAsia="en-US"/>
        </w:rPr>
        <w:t xml:space="preserve">Than NN, Jeffery HC, </w:t>
      </w:r>
      <w:proofErr w:type="spellStart"/>
      <w:r w:rsidRPr="00A1510F">
        <w:rPr>
          <w:rFonts w:eastAsia="Calibri"/>
          <w:lang w:val="en-US" w:eastAsia="en-US"/>
        </w:rPr>
        <w:t>Oo</w:t>
      </w:r>
      <w:proofErr w:type="spellEnd"/>
      <w:r w:rsidRPr="00A1510F">
        <w:rPr>
          <w:rFonts w:eastAsia="Calibri"/>
          <w:lang w:val="en-US" w:eastAsia="en-US"/>
        </w:rPr>
        <w:t xml:space="preserve"> YH. Autoimmune Hepatitis: Progress from Global Immunosuppression to </w:t>
      </w:r>
      <w:proofErr w:type="spellStart"/>
      <w:r w:rsidRPr="00A1510F">
        <w:rPr>
          <w:rFonts w:eastAsia="Calibri"/>
          <w:lang w:val="en-US" w:eastAsia="en-US"/>
        </w:rPr>
        <w:t>Personalised</w:t>
      </w:r>
      <w:proofErr w:type="spellEnd"/>
      <w:r w:rsidRPr="00A1510F">
        <w:rPr>
          <w:rFonts w:eastAsia="Calibri"/>
          <w:lang w:val="en-US" w:eastAsia="en-US"/>
        </w:rPr>
        <w:t xml:space="preserve"> Regulatory T Cell Therapy. Can J Gastroenterol Hepatol. 2016</w:t>
      </w:r>
      <w:r w:rsidRPr="00A1510F">
        <w:rPr>
          <w:rFonts w:eastAsia="Calibri"/>
          <w:shd w:val="clear" w:color="auto" w:fill="FFFFFF"/>
          <w:lang w:val="en-US" w:eastAsia="en-US"/>
        </w:rPr>
        <w:t>[</w:t>
      </w:r>
      <w:proofErr w:type="spellStart"/>
      <w:r w:rsidRPr="00A1510F">
        <w:rPr>
          <w:rFonts w:eastAsia="Calibri"/>
          <w:shd w:val="clear" w:color="auto" w:fill="FFFFFF"/>
          <w:lang w:val="en-US" w:eastAsia="en-US"/>
        </w:rPr>
        <w:t>acceso</w:t>
      </w:r>
      <w:proofErr w:type="spellEnd"/>
      <w:r w:rsidRPr="00A1510F">
        <w:rPr>
          <w:rFonts w:eastAsia="Calibri"/>
          <w:shd w:val="clear" w:color="auto" w:fill="FFFFFF"/>
          <w:lang w:val="en-US" w:eastAsia="en-US"/>
        </w:rPr>
        <w:t>: 21/11/2023];</w:t>
      </w:r>
      <w:r w:rsidRPr="00A1510F">
        <w:rPr>
          <w:rFonts w:eastAsia="Calibri"/>
          <w:lang w:val="en-US" w:eastAsia="en-US"/>
        </w:rPr>
        <w:t xml:space="preserve"> 2016(7181685): 1-12. Disponible </w:t>
      </w:r>
      <w:proofErr w:type="spellStart"/>
      <w:r w:rsidRPr="00A1510F">
        <w:rPr>
          <w:rFonts w:eastAsia="Calibri"/>
          <w:lang w:val="en-US" w:eastAsia="en-US"/>
        </w:rPr>
        <w:t>en</w:t>
      </w:r>
      <w:proofErr w:type="spellEnd"/>
      <w:r w:rsidRPr="00A1510F">
        <w:rPr>
          <w:rFonts w:eastAsia="Calibri"/>
          <w:lang w:val="en-US" w:eastAsia="en-US"/>
        </w:rPr>
        <w:t xml:space="preserve">: </w:t>
      </w:r>
      <w:hyperlink w:history="1">
        <w:r w:rsidRPr="00A1510F">
          <w:rPr>
            <w:rFonts w:eastAsia="Calibri"/>
            <w:color w:val="0563C1"/>
            <w:lang w:val="en-US" w:eastAsia="en-US"/>
          </w:rPr>
          <w:t>https://www. ncbi.nlm.nih.gov/pmc/articles/PMC4904688/pdf/CJGH2016-7181685.pdf</w:t>
        </w:r>
      </w:hyperlink>
    </w:p>
    <w:p w14:paraId="709C0F3B" w14:textId="77777777" w:rsidR="00A1510F" w:rsidRPr="00A1510F" w:rsidRDefault="00A1510F" w:rsidP="00A1510F">
      <w:pPr>
        <w:spacing w:line="360" w:lineRule="auto"/>
        <w:rPr>
          <w:rFonts w:eastAsia="Calibri"/>
          <w:lang w:val="en-US" w:eastAsia="en-US"/>
        </w:rPr>
      </w:pPr>
      <w:r w:rsidRPr="00A1510F">
        <w:rPr>
          <w:rFonts w:eastAsia="Calibri"/>
          <w:shd w:val="clear" w:color="auto" w:fill="FFFFFF"/>
          <w:lang w:val="en-US" w:eastAsia="en-US"/>
        </w:rPr>
        <w:lastRenderedPageBreak/>
        <w:t xml:space="preserve">4. Richardson N, Ng STH, Wraith DC. Antigen-Specific Immunotherapy for Treatment of Autoimmune Liver Diseases. Front Immunol 2020; 11:1586.  DOI: </w:t>
      </w:r>
      <w:hyperlink r:id="rId22" w:history="1">
        <w:r w:rsidRPr="00A1510F">
          <w:rPr>
            <w:rFonts w:eastAsia="Calibri"/>
            <w:color w:val="0563C1"/>
            <w:shd w:val="clear" w:color="auto" w:fill="FFFFFF"/>
            <w:lang w:val="en-US" w:eastAsia="en-US"/>
          </w:rPr>
          <w:t>https://doi.org/10.3389/fimmu.2020.01586</w:t>
        </w:r>
      </w:hyperlink>
      <w:r w:rsidRPr="00A1510F">
        <w:rPr>
          <w:rFonts w:eastAsia="Calibri"/>
          <w:shd w:val="clear" w:color="auto" w:fill="FFFFFF"/>
          <w:lang w:val="en-US" w:eastAsia="en-US"/>
        </w:rPr>
        <w:t xml:space="preserve">  </w:t>
      </w:r>
    </w:p>
    <w:p w14:paraId="2E012FE3" w14:textId="77777777" w:rsidR="00A1510F" w:rsidRPr="00A1510F" w:rsidRDefault="00A1510F" w:rsidP="00A1510F">
      <w:pPr>
        <w:spacing w:line="360" w:lineRule="auto"/>
        <w:rPr>
          <w:rFonts w:eastAsia="Calibri"/>
          <w:lang w:val="es-MX" w:eastAsia="en-US"/>
        </w:rPr>
      </w:pPr>
      <w:r w:rsidRPr="00A1510F">
        <w:rPr>
          <w:rFonts w:eastAsia="Calibri"/>
          <w:lang w:val="en-US" w:eastAsia="en-US"/>
        </w:rPr>
        <w:t xml:space="preserve">5. </w:t>
      </w:r>
      <w:proofErr w:type="spellStart"/>
      <w:r w:rsidRPr="00A1510F">
        <w:rPr>
          <w:rFonts w:eastAsia="Calibri"/>
          <w:lang w:val="en-US" w:eastAsia="en-US"/>
        </w:rPr>
        <w:t>Terziroli</w:t>
      </w:r>
      <w:proofErr w:type="spellEnd"/>
      <w:r w:rsidRPr="00A1510F">
        <w:rPr>
          <w:rFonts w:eastAsia="Calibri"/>
          <w:lang w:val="en-US" w:eastAsia="en-US"/>
        </w:rPr>
        <w:t xml:space="preserve"> Beretta-</w:t>
      </w:r>
      <w:proofErr w:type="spellStart"/>
      <w:r w:rsidRPr="00A1510F">
        <w:rPr>
          <w:rFonts w:eastAsia="Calibri"/>
          <w:lang w:val="en-US" w:eastAsia="en-US"/>
        </w:rPr>
        <w:t>Piccoli</w:t>
      </w:r>
      <w:proofErr w:type="spellEnd"/>
      <w:r w:rsidRPr="00A1510F">
        <w:rPr>
          <w:rFonts w:eastAsia="Calibri"/>
          <w:lang w:val="en-US" w:eastAsia="en-US"/>
        </w:rPr>
        <w:t xml:space="preserve"> B, </w:t>
      </w:r>
      <w:proofErr w:type="spellStart"/>
      <w:r w:rsidRPr="00A1510F">
        <w:rPr>
          <w:rFonts w:eastAsia="Calibri"/>
          <w:lang w:val="en-US" w:eastAsia="en-US"/>
        </w:rPr>
        <w:t>Mieli-Vergani</w:t>
      </w:r>
      <w:proofErr w:type="spellEnd"/>
      <w:r w:rsidRPr="00A1510F">
        <w:rPr>
          <w:rFonts w:eastAsia="Calibri"/>
          <w:lang w:val="en-US" w:eastAsia="en-US"/>
        </w:rPr>
        <w:t xml:space="preserve"> G, </w:t>
      </w:r>
      <w:proofErr w:type="spellStart"/>
      <w:r w:rsidRPr="00A1510F">
        <w:rPr>
          <w:rFonts w:eastAsia="Calibri"/>
          <w:lang w:val="en-US" w:eastAsia="en-US"/>
        </w:rPr>
        <w:t>Vergani</w:t>
      </w:r>
      <w:proofErr w:type="spellEnd"/>
      <w:r w:rsidRPr="00A1510F">
        <w:rPr>
          <w:rFonts w:eastAsia="Calibri"/>
          <w:lang w:val="en-US" w:eastAsia="en-US"/>
        </w:rPr>
        <w:t xml:space="preserve"> D. </w:t>
      </w:r>
      <w:proofErr w:type="spellStart"/>
      <w:r w:rsidRPr="00A1510F">
        <w:rPr>
          <w:rFonts w:eastAsia="Calibri"/>
          <w:lang w:val="en-US" w:eastAsia="en-US"/>
        </w:rPr>
        <w:t>Autoimmmune</w:t>
      </w:r>
      <w:proofErr w:type="spellEnd"/>
      <w:r w:rsidRPr="00A1510F">
        <w:rPr>
          <w:rFonts w:eastAsia="Calibri"/>
          <w:lang w:val="en-US" w:eastAsia="en-US"/>
        </w:rPr>
        <w:t xml:space="preserve"> hepatitis. </w:t>
      </w:r>
      <w:r w:rsidRPr="00A1510F">
        <w:rPr>
          <w:rFonts w:eastAsia="Calibri"/>
          <w:lang w:val="es-MX" w:eastAsia="en-US"/>
        </w:rPr>
        <w:t xml:space="preserve">Cell Mol </w:t>
      </w:r>
      <w:proofErr w:type="spellStart"/>
      <w:r w:rsidRPr="00A1510F">
        <w:rPr>
          <w:rFonts w:eastAsia="Calibri"/>
          <w:lang w:val="es-MX" w:eastAsia="en-US"/>
        </w:rPr>
        <w:t>Immunol</w:t>
      </w:r>
      <w:proofErr w:type="spellEnd"/>
      <w:r w:rsidRPr="00A1510F">
        <w:rPr>
          <w:rFonts w:eastAsia="Calibri"/>
          <w:lang w:val="es-MX" w:eastAsia="en-US"/>
        </w:rPr>
        <w:t xml:space="preserve">. 2022; 19 (2): 158-176. </w:t>
      </w:r>
      <w:r w:rsidRPr="00A1510F">
        <w:rPr>
          <w:rFonts w:eastAsia="Calibri"/>
          <w:shd w:val="clear" w:color="auto" w:fill="FFFFFF"/>
          <w:lang w:val="es-US" w:eastAsia="en-US"/>
        </w:rPr>
        <w:t>DOI:</w:t>
      </w:r>
      <w:r w:rsidRPr="00A1510F">
        <w:rPr>
          <w:rFonts w:eastAsia="Calibri"/>
          <w:lang w:val="es-MX" w:eastAsia="en-US"/>
        </w:rPr>
        <w:t xml:space="preserve"> </w:t>
      </w:r>
      <w:hyperlink r:id="rId23" w:history="1">
        <w:r w:rsidRPr="00A1510F">
          <w:rPr>
            <w:rFonts w:eastAsia="Calibri"/>
            <w:color w:val="0563C1"/>
            <w:lang w:val="es-MX" w:eastAsia="en-US"/>
          </w:rPr>
          <w:t>https://doi.org/10.1038/s41423-021-00768-8</w:t>
        </w:r>
      </w:hyperlink>
      <w:r w:rsidRPr="00A1510F">
        <w:rPr>
          <w:rFonts w:eastAsia="Calibri"/>
          <w:lang w:val="es-MX" w:eastAsia="en-US"/>
        </w:rPr>
        <w:t xml:space="preserve">   </w:t>
      </w:r>
    </w:p>
    <w:p w14:paraId="7E96EF34" w14:textId="77777777" w:rsidR="00A1510F" w:rsidRPr="00A1510F" w:rsidRDefault="00A1510F" w:rsidP="00A1510F">
      <w:pPr>
        <w:spacing w:line="360" w:lineRule="auto"/>
        <w:rPr>
          <w:rFonts w:eastAsia="Calibri"/>
          <w:lang w:val="es-MX" w:eastAsia="en-US"/>
        </w:rPr>
      </w:pPr>
      <w:r w:rsidRPr="00A1510F">
        <w:rPr>
          <w:rFonts w:eastAsia="Calibri"/>
          <w:lang w:val="es-MX" w:eastAsia="en-US"/>
        </w:rPr>
        <w:t xml:space="preserve">6. La Rosa D, Castellanos MI. Avances en la </w:t>
      </w:r>
      <w:proofErr w:type="spellStart"/>
      <w:r w:rsidRPr="00A1510F">
        <w:rPr>
          <w:rFonts w:eastAsia="Calibri"/>
          <w:lang w:val="es-MX" w:eastAsia="en-US"/>
        </w:rPr>
        <w:t>inmunopatogenia</w:t>
      </w:r>
      <w:proofErr w:type="spellEnd"/>
      <w:r w:rsidRPr="00A1510F">
        <w:rPr>
          <w:rFonts w:eastAsia="Calibri"/>
          <w:lang w:val="es-MX" w:eastAsia="en-US"/>
        </w:rPr>
        <w:t xml:space="preserve"> de la hepatitis autoinmune. Revista Habanera de Ciencias Médicas. 2022 [acceso: 13/07/2023]; 21 (2):  e4411. Disponible en: </w:t>
      </w:r>
      <w:hyperlink r:id="rId24" w:history="1">
        <w:r w:rsidRPr="00A1510F">
          <w:rPr>
            <w:rFonts w:eastAsia="Calibri"/>
            <w:color w:val="0563C1"/>
            <w:lang w:val="es-MX" w:eastAsia="en-US"/>
          </w:rPr>
          <w:t>https://revhabanera.sld.cu/index.php/rhab/article/view/4411</w:t>
        </w:r>
      </w:hyperlink>
      <w:r w:rsidRPr="00A1510F">
        <w:rPr>
          <w:rFonts w:eastAsia="Calibri"/>
          <w:lang w:val="es-MX" w:eastAsia="en-US"/>
        </w:rPr>
        <w:t xml:space="preserve">  </w:t>
      </w:r>
    </w:p>
    <w:p w14:paraId="7F6392A0" w14:textId="77777777" w:rsidR="00A1510F" w:rsidRPr="00A1510F" w:rsidRDefault="00A1510F" w:rsidP="00A1510F">
      <w:pPr>
        <w:spacing w:line="360" w:lineRule="auto"/>
        <w:rPr>
          <w:rFonts w:eastAsia="Calibri"/>
          <w:lang w:val="en-US" w:eastAsia="en-US"/>
        </w:rPr>
      </w:pPr>
      <w:r w:rsidRPr="00A1510F">
        <w:rPr>
          <w:rFonts w:eastAsia="Calibri"/>
          <w:lang w:val="en-US" w:eastAsia="en-US"/>
        </w:rPr>
        <w:t xml:space="preserve">7. </w:t>
      </w:r>
      <w:proofErr w:type="spellStart"/>
      <w:r w:rsidRPr="00A1510F">
        <w:rPr>
          <w:rFonts w:eastAsia="Calibri"/>
          <w:lang w:val="en-US" w:eastAsia="en-US"/>
        </w:rPr>
        <w:t>Hartl</w:t>
      </w:r>
      <w:proofErr w:type="spellEnd"/>
      <w:r w:rsidRPr="00A1510F">
        <w:rPr>
          <w:rFonts w:eastAsia="Calibri"/>
          <w:lang w:val="en-US" w:eastAsia="en-US"/>
        </w:rPr>
        <w:t xml:space="preserve"> J, </w:t>
      </w:r>
      <w:proofErr w:type="spellStart"/>
      <w:r w:rsidRPr="00A1510F">
        <w:rPr>
          <w:rFonts w:eastAsia="Calibri"/>
          <w:lang w:val="en-US" w:eastAsia="en-US"/>
        </w:rPr>
        <w:t>Ehlken</w:t>
      </w:r>
      <w:proofErr w:type="spellEnd"/>
      <w:r w:rsidRPr="00A1510F">
        <w:rPr>
          <w:rFonts w:eastAsia="Calibri"/>
          <w:lang w:val="en-US" w:eastAsia="en-US"/>
        </w:rPr>
        <w:t xml:space="preserve"> H, </w:t>
      </w:r>
      <w:proofErr w:type="spellStart"/>
      <w:r w:rsidRPr="00A1510F">
        <w:rPr>
          <w:rFonts w:eastAsia="Calibri"/>
          <w:lang w:val="en-US" w:eastAsia="en-US"/>
        </w:rPr>
        <w:t>Sebode</w:t>
      </w:r>
      <w:proofErr w:type="spellEnd"/>
      <w:r w:rsidRPr="00A1510F">
        <w:rPr>
          <w:rFonts w:eastAsia="Calibri"/>
          <w:lang w:val="en-US" w:eastAsia="en-US"/>
        </w:rPr>
        <w:t xml:space="preserve"> M, </w:t>
      </w:r>
      <w:proofErr w:type="spellStart"/>
      <w:r w:rsidRPr="00A1510F">
        <w:rPr>
          <w:rFonts w:eastAsia="Calibri"/>
          <w:lang w:val="en-US" w:eastAsia="en-US"/>
        </w:rPr>
        <w:t>Peiseler</w:t>
      </w:r>
      <w:proofErr w:type="spellEnd"/>
      <w:r w:rsidRPr="00A1510F">
        <w:rPr>
          <w:rFonts w:eastAsia="Calibri"/>
          <w:lang w:val="en-US" w:eastAsia="en-US"/>
        </w:rPr>
        <w:t xml:space="preserve"> M, </w:t>
      </w:r>
      <w:proofErr w:type="spellStart"/>
      <w:r w:rsidRPr="00A1510F">
        <w:rPr>
          <w:rFonts w:eastAsia="Calibri"/>
          <w:lang w:val="en-US" w:eastAsia="en-US"/>
        </w:rPr>
        <w:t>Krech</w:t>
      </w:r>
      <w:proofErr w:type="spellEnd"/>
      <w:r w:rsidRPr="00A1510F">
        <w:rPr>
          <w:rFonts w:eastAsia="Calibri"/>
          <w:lang w:val="en-US" w:eastAsia="en-US"/>
        </w:rPr>
        <w:t xml:space="preserve"> T, </w:t>
      </w:r>
      <w:proofErr w:type="spellStart"/>
      <w:r w:rsidRPr="00A1510F">
        <w:rPr>
          <w:rFonts w:eastAsia="Calibri"/>
          <w:lang w:val="en-US" w:eastAsia="en-US"/>
        </w:rPr>
        <w:t>Zenouzi</w:t>
      </w:r>
      <w:proofErr w:type="spellEnd"/>
      <w:r w:rsidRPr="00A1510F">
        <w:rPr>
          <w:rFonts w:eastAsia="Calibri"/>
          <w:lang w:val="en-US" w:eastAsia="en-US"/>
        </w:rPr>
        <w:t xml:space="preserve"> R, et al. Usefulness of biochemical </w:t>
      </w:r>
      <w:proofErr w:type="spellStart"/>
      <w:r w:rsidRPr="00A1510F">
        <w:rPr>
          <w:rFonts w:eastAsia="Calibri"/>
          <w:lang w:val="en-US" w:eastAsia="en-US"/>
        </w:rPr>
        <w:t>remisión</w:t>
      </w:r>
      <w:proofErr w:type="spellEnd"/>
      <w:r w:rsidRPr="00A1510F">
        <w:rPr>
          <w:rFonts w:eastAsia="Calibri"/>
          <w:lang w:val="en-US" w:eastAsia="en-US"/>
        </w:rPr>
        <w:t xml:space="preserve"> and transient elastography in monitoring disease course in autoimmune hepatitis. J Hepatol. 2018; 68 (4): 754-763. </w:t>
      </w:r>
      <w:r w:rsidRPr="00A1510F">
        <w:rPr>
          <w:rFonts w:eastAsia="Calibri"/>
          <w:shd w:val="clear" w:color="auto" w:fill="FFFFFF"/>
          <w:lang w:val="en-US" w:eastAsia="en-US"/>
        </w:rPr>
        <w:t xml:space="preserve">DOI: </w:t>
      </w:r>
      <w:hyperlink r:id="rId25" w:history="1">
        <w:r w:rsidRPr="00A1510F">
          <w:rPr>
            <w:rFonts w:eastAsia="Calibri"/>
            <w:color w:val="0563C1"/>
            <w:lang w:val="en-US" w:eastAsia="en-US"/>
          </w:rPr>
          <w:t>https://doi.org/10.1016/j.jhep.2017.11.020</w:t>
        </w:r>
      </w:hyperlink>
      <w:r w:rsidRPr="00A1510F">
        <w:rPr>
          <w:rFonts w:eastAsia="Calibri"/>
          <w:color w:val="0563C1"/>
          <w:lang w:val="en-US" w:eastAsia="en-US"/>
        </w:rPr>
        <w:t xml:space="preserve">   </w:t>
      </w:r>
    </w:p>
    <w:p w14:paraId="29FD0454" w14:textId="77777777" w:rsidR="00A1510F" w:rsidRPr="00A1510F" w:rsidRDefault="00A1510F" w:rsidP="00A1510F">
      <w:pPr>
        <w:spacing w:line="360" w:lineRule="auto"/>
        <w:rPr>
          <w:rFonts w:eastAsia="Calibri"/>
          <w:lang w:val="en-US" w:eastAsia="en-US"/>
        </w:rPr>
      </w:pPr>
      <w:r w:rsidRPr="00A1510F">
        <w:rPr>
          <w:rFonts w:eastAsia="Calibri"/>
          <w:lang w:val="en-US" w:eastAsia="en-US"/>
        </w:rPr>
        <w:t>8. Pape</w:t>
      </w:r>
      <w:r w:rsidRPr="00A1510F">
        <w:rPr>
          <w:b/>
          <w:bCs/>
          <w:kern w:val="36"/>
          <w:lang w:val="en-US" w:eastAsia="es-ES"/>
        </w:rPr>
        <w:t xml:space="preserve"> </w:t>
      </w:r>
      <w:r w:rsidRPr="00A1510F">
        <w:rPr>
          <w:kern w:val="36"/>
          <w:lang w:val="en-US" w:eastAsia="es-ES"/>
        </w:rPr>
        <w:t xml:space="preserve">S, </w:t>
      </w:r>
      <w:proofErr w:type="spellStart"/>
      <w:r w:rsidRPr="00A1510F">
        <w:rPr>
          <w:kern w:val="36"/>
          <w:lang w:val="en-US" w:eastAsia="es-ES"/>
        </w:rPr>
        <w:t>Gevers</w:t>
      </w:r>
      <w:proofErr w:type="spellEnd"/>
      <w:r w:rsidRPr="00A1510F">
        <w:rPr>
          <w:kern w:val="36"/>
          <w:lang w:val="en-US" w:eastAsia="es-ES"/>
        </w:rPr>
        <w:t xml:space="preserve"> TG, </w:t>
      </w:r>
      <w:proofErr w:type="spellStart"/>
      <w:r w:rsidRPr="00A1510F">
        <w:rPr>
          <w:kern w:val="36"/>
          <w:lang w:val="en-US" w:eastAsia="es-ES"/>
        </w:rPr>
        <w:t>Vrolik</w:t>
      </w:r>
      <w:proofErr w:type="spellEnd"/>
      <w:r w:rsidRPr="00A1510F">
        <w:rPr>
          <w:kern w:val="36"/>
          <w:lang w:val="en-US" w:eastAsia="es-ES"/>
        </w:rPr>
        <w:t xml:space="preserve"> JM, Hoek B, Bouma G, </w:t>
      </w:r>
      <w:proofErr w:type="spellStart"/>
      <w:r w:rsidRPr="00A1510F">
        <w:rPr>
          <w:kern w:val="36"/>
          <w:lang w:val="en-US" w:eastAsia="es-ES"/>
        </w:rPr>
        <w:t>Nieuwkerk</w:t>
      </w:r>
      <w:proofErr w:type="spellEnd"/>
      <w:r w:rsidRPr="00A1510F">
        <w:rPr>
          <w:kern w:val="36"/>
          <w:lang w:val="en-US" w:eastAsia="es-ES"/>
        </w:rPr>
        <w:t xml:space="preserve"> CM. </w:t>
      </w:r>
      <w:r w:rsidRPr="00A1510F">
        <w:rPr>
          <w:rFonts w:eastAsia="Calibri"/>
          <w:lang w:val="en-US" w:eastAsia="en-US"/>
        </w:rPr>
        <w:t xml:space="preserve">Rapid Response to Treatment of Autoimmune Hepatitis Associated </w:t>
      </w:r>
      <w:proofErr w:type="gramStart"/>
      <w:r w:rsidRPr="00A1510F">
        <w:rPr>
          <w:rFonts w:eastAsia="Calibri"/>
          <w:lang w:val="en-US" w:eastAsia="en-US"/>
        </w:rPr>
        <w:t>With</w:t>
      </w:r>
      <w:proofErr w:type="gramEnd"/>
      <w:r w:rsidRPr="00A1510F">
        <w:rPr>
          <w:rFonts w:eastAsia="Calibri"/>
          <w:lang w:val="en-US" w:eastAsia="en-US"/>
        </w:rPr>
        <w:t xml:space="preserve"> Remission at 6 and 12 Months. Clinical Gastroenterology and Hepatology. 2020; 18 (7): 1609–1617. </w:t>
      </w:r>
      <w:r w:rsidRPr="00A1510F">
        <w:rPr>
          <w:rFonts w:eastAsia="Calibri"/>
          <w:shd w:val="clear" w:color="auto" w:fill="FFFFFF"/>
          <w:lang w:val="en-US" w:eastAsia="en-US"/>
        </w:rPr>
        <w:t xml:space="preserve">DOI: </w:t>
      </w:r>
      <w:hyperlink r:id="rId26" w:history="1">
        <w:r w:rsidRPr="00A1510F">
          <w:rPr>
            <w:rFonts w:eastAsia="Calibri"/>
            <w:color w:val="0563C1"/>
            <w:lang w:val="en-US" w:eastAsia="en-US"/>
          </w:rPr>
          <w:t>https://doi.org/10.1016/j.cgh.2019.11.013</w:t>
        </w:r>
      </w:hyperlink>
    </w:p>
    <w:p w14:paraId="6A9BDC43" w14:textId="77777777" w:rsidR="00A1510F" w:rsidRPr="00A1510F" w:rsidRDefault="00A1510F" w:rsidP="00A1510F">
      <w:pPr>
        <w:spacing w:line="360" w:lineRule="auto"/>
        <w:rPr>
          <w:rFonts w:eastAsia="Calibri"/>
          <w:lang w:val="es-ES" w:eastAsia="en-US"/>
        </w:rPr>
      </w:pPr>
      <w:r w:rsidRPr="00A1510F">
        <w:rPr>
          <w:rFonts w:eastAsia="Calibri"/>
          <w:lang w:val="en-US" w:eastAsia="en-US"/>
        </w:rPr>
        <w:t xml:space="preserve">9. Li Y, Xiao X, Miao Q, Ma X. Rapid response predicts complete biochemical response and histological remission in autoimmune hepatitis. </w:t>
      </w:r>
      <w:r w:rsidRPr="00A1510F">
        <w:rPr>
          <w:rFonts w:eastAsia="Calibri"/>
          <w:lang w:val="es-MX" w:eastAsia="en-US"/>
        </w:rPr>
        <w:t xml:space="preserve">J </w:t>
      </w:r>
      <w:proofErr w:type="spellStart"/>
      <w:r w:rsidRPr="00A1510F">
        <w:rPr>
          <w:rFonts w:eastAsia="Calibri"/>
          <w:lang w:val="es-MX" w:eastAsia="en-US"/>
        </w:rPr>
        <w:t>Hepatol</w:t>
      </w:r>
      <w:proofErr w:type="spellEnd"/>
      <w:r w:rsidRPr="00A1510F">
        <w:rPr>
          <w:rFonts w:eastAsia="Calibri"/>
          <w:lang w:val="es-MX" w:eastAsia="en-US"/>
        </w:rPr>
        <w:t xml:space="preserve">. 2022; 77 (5): 1463-1464. </w:t>
      </w:r>
      <w:r w:rsidRPr="00A1510F">
        <w:rPr>
          <w:rFonts w:eastAsia="Calibri"/>
          <w:shd w:val="clear" w:color="auto" w:fill="FFFFFF"/>
          <w:lang w:val="es-US" w:eastAsia="en-US"/>
        </w:rPr>
        <w:t xml:space="preserve">DOI: </w:t>
      </w:r>
      <w:hyperlink r:id="rId27" w:history="1">
        <w:r w:rsidRPr="00A1510F">
          <w:rPr>
            <w:rFonts w:eastAsia="Calibri"/>
            <w:color w:val="0563C1"/>
            <w:lang w:val="es-MX" w:eastAsia="en-US"/>
          </w:rPr>
          <w:t>https://doi.org/10.1016/j.jhep.2022.07.012</w:t>
        </w:r>
      </w:hyperlink>
      <w:r w:rsidRPr="00A1510F">
        <w:rPr>
          <w:rFonts w:eastAsia="Calibri"/>
          <w:lang w:val="es-MX" w:eastAsia="en-US"/>
        </w:rPr>
        <w:t xml:space="preserve"> </w:t>
      </w:r>
    </w:p>
    <w:p w14:paraId="785DD6B2" w14:textId="77777777" w:rsidR="00A1510F" w:rsidRPr="00A1510F" w:rsidRDefault="00A1510F" w:rsidP="00A1510F">
      <w:pPr>
        <w:shd w:val="clear" w:color="auto" w:fill="FFFFFF"/>
        <w:spacing w:line="360" w:lineRule="auto"/>
        <w:rPr>
          <w:color w:val="595959"/>
          <w:lang w:val="es-MX" w:eastAsia="es-MX"/>
        </w:rPr>
      </w:pPr>
      <w:r w:rsidRPr="00A1510F">
        <w:rPr>
          <w:rFonts w:eastAsia="Calibri"/>
          <w:lang w:val="es-ES" w:eastAsia="en-US"/>
        </w:rPr>
        <w:t xml:space="preserve">10. Cruz ZD, </w:t>
      </w:r>
      <w:proofErr w:type="spellStart"/>
      <w:r w:rsidRPr="00A1510F">
        <w:rPr>
          <w:rFonts w:eastAsia="Calibri"/>
          <w:lang w:val="es-ES" w:eastAsia="en-US"/>
        </w:rPr>
        <w:t>Samada</w:t>
      </w:r>
      <w:proofErr w:type="spellEnd"/>
      <w:r w:rsidRPr="00A1510F">
        <w:rPr>
          <w:rFonts w:eastAsia="Calibri"/>
          <w:lang w:val="es-ES" w:eastAsia="en-US"/>
        </w:rPr>
        <w:t xml:space="preserve"> M, Rodríguez H, Pérez T Perera JC, Chao L. Impacto de la etiología de la cirrosis hepática en la evolución clínica. Revista Hospital Juárez de México. 2021; 87 (4): 1-7. </w:t>
      </w:r>
      <w:r w:rsidRPr="00A1510F">
        <w:rPr>
          <w:rFonts w:eastAsia="Calibri"/>
          <w:shd w:val="clear" w:color="auto" w:fill="FFFFFF"/>
          <w:lang w:val="es-US" w:eastAsia="en-US"/>
        </w:rPr>
        <w:t xml:space="preserve">DOI: </w:t>
      </w:r>
      <w:hyperlink r:id="rId28" w:history="1">
        <w:r w:rsidRPr="00A1510F">
          <w:rPr>
            <w:rFonts w:eastAsia="Calibri"/>
            <w:color w:val="0563C1"/>
            <w:lang w:val="es-ES" w:eastAsia="en-US"/>
          </w:rPr>
          <w:t>http://dx.doi.org/10.24875/RHJM. 20000065</w:t>
        </w:r>
      </w:hyperlink>
      <w:r w:rsidRPr="00A1510F">
        <w:rPr>
          <w:rFonts w:eastAsia="Calibri"/>
          <w:color w:val="0563C1"/>
          <w:lang w:val="es-ES" w:eastAsia="en-US"/>
        </w:rPr>
        <w:t xml:space="preserve"> </w:t>
      </w:r>
    </w:p>
    <w:p w14:paraId="43025B22" w14:textId="77777777" w:rsidR="00A1510F" w:rsidRPr="00A1510F" w:rsidRDefault="00A1510F" w:rsidP="00A1510F">
      <w:pPr>
        <w:shd w:val="clear" w:color="auto" w:fill="FFFFFF"/>
        <w:spacing w:line="360" w:lineRule="auto"/>
        <w:rPr>
          <w:color w:val="595959"/>
          <w:lang w:val="es-MX" w:eastAsia="es-MX"/>
        </w:rPr>
      </w:pPr>
      <w:r w:rsidRPr="00A1510F">
        <w:rPr>
          <w:rFonts w:eastAsia="Calibri"/>
          <w:lang w:val="es-ES" w:eastAsia="en-US"/>
        </w:rPr>
        <w:t xml:space="preserve">11. Rodríguez H, </w:t>
      </w:r>
      <w:proofErr w:type="spellStart"/>
      <w:r w:rsidRPr="00A1510F">
        <w:rPr>
          <w:rFonts w:eastAsia="Calibri"/>
          <w:lang w:val="es-ES" w:eastAsia="en-US"/>
        </w:rPr>
        <w:t>Samada</w:t>
      </w:r>
      <w:proofErr w:type="spellEnd"/>
      <w:r w:rsidRPr="00A1510F">
        <w:rPr>
          <w:rFonts w:eastAsia="Calibri"/>
          <w:lang w:val="es-ES" w:eastAsia="en-US"/>
        </w:rPr>
        <w:t xml:space="preserve"> M, Hernández JC, Pérez T, Hernández Z, Chao L. </w:t>
      </w:r>
      <w:r w:rsidRPr="00A1510F">
        <w:rPr>
          <w:lang w:val="es-MX" w:eastAsia="es-MX"/>
        </w:rPr>
        <w:t>Evolución de pacientes con hepatitis autoinmune después de tratamiento. </w:t>
      </w:r>
      <w:r w:rsidRPr="00A1510F">
        <w:rPr>
          <w:bCs/>
          <w:lang w:val="es-MX" w:eastAsia="es-MX"/>
        </w:rPr>
        <w:t xml:space="preserve">Investigaciones </w:t>
      </w:r>
      <w:proofErr w:type="spellStart"/>
      <w:r w:rsidRPr="00A1510F">
        <w:rPr>
          <w:bCs/>
          <w:lang w:val="es-MX" w:eastAsia="es-MX"/>
        </w:rPr>
        <w:t>Medicoquirúrgicas</w:t>
      </w:r>
      <w:proofErr w:type="spellEnd"/>
      <w:r w:rsidRPr="00A1510F">
        <w:rPr>
          <w:lang w:val="es-MX" w:eastAsia="es-MX"/>
        </w:rPr>
        <w:t xml:space="preserve">. 2016 [acceso: 05/07/2023]; 8 (1): 4-13.  Disponible en: </w:t>
      </w:r>
      <w:hyperlink r:id="rId29" w:history="1">
        <w:r w:rsidRPr="00A1510F">
          <w:rPr>
            <w:color w:val="0563C1"/>
            <w:lang w:val="es-MX" w:eastAsia="es-MX"/>
          </w:rPr>
          <w:t>https://revcimeq.sld.cu/index.php/imq/article/view/333</w:t>
        </w:r>
      </w:hyperlink>
    </w:p>
    <w:p w14:paraId="4C6EF38E" w14:textId="77777777" w:rsidR="00A1510F" w:rsidRPr="00A1510F" w:rsidRDefault="00A1510F" w:rsidP="00A1510F">
      <w:pPr>
        <w:spacing w:line="360" w:lineRule="auto"/>
        <w:rPr>
          <w:rFonts w:eastAsia="Calibri"/>
          <w:color w:val="0563C1"/>
          <w:lang w:val="es-MX" w:eastAsia="en-US"/>
        </w:rPr>
      </w:pPr>
      <w:r w:rsidRPr="00A1510F">
        <w:rPr>
          <w:rFonts w:eastAsia="Calibri"/>
          <w:lang w:val="es-MX" w:eastAsia="en-US"/>
        </w:rPr>
        <w:t xml:space="preserve">12. </w:t>
      </w:r>
      <w:proofErr w:type="spellStart"/>
      <w:r w:rsidRPr="00A1510F">
        <w:rPr>
          <w:rFonts w:eastAsia="Calibri"/>
          <w:lang w:val="es-MX" w:eastAsia="en-US"/>
        </w:rPr>
        <w:t>Hennes</w:t>
      </w:r>
      <w:proofErr w:type="spellEnd"/>
      <w:r w:rsidRPr="00A1510F">
        <w:rPr>
          <w:rFonts w:eastAsia="Calibri"/>
          <w:lang w:val="es-MX" w:eastAsia="en-US"/>
        </w:rPr>
        <w:t xml:space="preserve"> EM, </w:t>
      </w:r>
      <w:proofErr w:type="spellStart"/>
      <w:r w:rsidRPr="00A1510F">
        <w:rPr>
          <w:rFonts w:eastAsia="Calibri"/>
          <w:lang w:val="es-MX" w:eastAsia="en-US"/>
        </w:rPr>
        <w:t>Zeniya</w:t>
      </w:r>
      <w:proofErr w:type="spellEnd"/>
      <w:r w:rsidRPr="00A1510F">
        <w:rPr>
          <w:rFonts w:eastAsia="Calibri"/>
          <w:lang w:val="es-MX" w:eastAsia="en-US"/>
        </w:rPr>
        <w:t xml:space="preserve"> M, </w:t>
      </w:r>
      <w:proofErr w:type="spellStart"/>
      <w:r w:rsidRPr="00A1510F">
        <w:rPr>
          <w:rFonts w:eastAsia="Calibri"/>
          <w:lang w:val="es-MX" w:eastAsia="en-US"/>
        </w:rPr>
        <w:t>Czaja</w:t>
      </w:r>
      <w:proofErr w:type="spellEnd"/>
      <w:r w:rsidRPr="00A1510F">
        <w:rPr>
          <w:rFonts w:eastAsia="Calibri"/>
          <w:lang w:val="es-MX" w:eastAsia="en-US"/>
        </w:rPr>
        <w:t xml:space="preserve"> AJ, Parés A, </w:t>
      </w:r>
      <w:proofErr w:type="spellStart"/>
      <w:r w:rsidRPr="00A1510F">
        <w:rPr>
          <w:rFonts w:eastAsia="Calibri"/>
          <w:lang w:val="es-MX" w:eastAsia="en-US"/>
        </w:rPr>
        <w:t>Dalekos</w:t>
      </w:r>
      <w:proofErr w:type="spellEnd"/>
      <w:r w:rsidRPr="00A1510F">
        <w:rPr>
          <w:rFonts w:eastAsia="Calibri"/>
          <w:lang w:val="es-MX" w:eastAsia="en-US"/>
        </w:rPr>
        <w:t xml:space="preserve"> GN, </w:t>
      </w:r>
      <w:proofErr w:type="spellStart"/>
      <w:r w:rsidRPr="00A1510F">
        <w:rPr>
          <w:rFonts w:eastAsia="Calibri"/>
          <w:lang w:val="es-MX" w:eastAsia="en-US"/>
        </w:rPr>
        <w:t>Krawitt</w:t>
      </w:r>
      <w:proofErr w:type="spellEnd"/>
      <w:r w:rsidRPr="00A1510F">
        <w:rPr>
          <w:rFonts w:eastAsia="Calibri"/>
          <w:lang w:val="es-MX" w:eastAsia="en-US"/>
        </w:rPr>
        <w:t xml:space="preserve"> EL, et al. </w:t>
      </w:r>
      <w:r w:rsidRPr="00A1510F">
        <w:rPr>
          <w:rFonts w:eastAsia="Calibri"/>
          <w:lang w:val="en-US" w:eastAsia="en-US"/>
        </w:rPr>
        <w:t xml:space="preserve">International Autoimmune Hepatitis Group. Simplified criteria for the diagnosis of autoimmune hepatitis. Hepatology. 2008; 48 (1): 169-76. </w:t>
      </w:r>
      <w:r w:rsidRPr="00A1510F">
        <w:rPr>
          <w:rFonts w:eastAsia="Calibri"/>
          <w:shd w:val="clear" w:color="auto" w:fill="FFFFFF"/>
          <w:lang w:val="es-MX" w:eastAsia="en-US"/>
        </w:rPr>
        <w:t>DOI:</w:t>
      </w:r>
      <w:r w:rsidRPr="00A1510F">
        <w:rPr>
          <w:rFonts w:eastAsia="Calibri"/>
          <w:lang w:val="es-MX" w:eastAsia="en-US"/>
        </w:rPr>
        <w:t xml:space="preserve"> </w:t>
      </w:r>
      <w:hyperlink r:id="rId30" w:history="1">
        <w:r w:rsidRPr="00A1510F">
          <w:rPr>
            <w:rFonts w:eastAsia="Calibri"/>
            <w:color w:val="0563C1"/>
            <w:lang w:val="es-MX" w:eastAsia="en-US"/>
          </w:rPr>
          <w:t>https://doi.org/10.1002/hep.22322</w:t>
        </w:r>
      </w:hyperlink>
    </w:p>
    <w:p w14:paraId="57825E02" w14:textId="77777777" w:rsidR="00A1510F" w:rsidRPr="00A1510F" w:rsidRDefault="00A1510F" w:rsidP="00A1510F">
      <w:pPr>
        <w:spacing w:line="360" w:lineRule="auto"/>
        <w:rPr>
          <w:rFonts w:eastAsia="Calibri"/>
          <w:iCs/>
          <w:lang w:val="es-MX" w:eastAsia="en-US"/>
        </w:rPr>
      </w:pPr>
      <w:r w:rsidRPr="00A1510F">
        <w:rPr>
          <w:rFonts w:eastAsia="Calibri"/>
          <w:iCs/>
          <w:lang w:val="es-MX" w:eastAsia="en-US"/>
        </w:rPr>
        <w:lastRenderedPageBreak/>
        <w:t xml:space="preserve">13. Marino P M. Novedades en hepatitis autoinmune. Acta </w:t>
      </w:r>
      <w:proofErr w:type="spellStart"/>
      <w:r w:rsidRPr="00A1510F">
        <w:rPr>
          <w:rFonts w:eastAsia="Calibri"/>
          <w:iCs/>
          <w:lang w:val="es-MX" w:eastAsia="en-US"/>
        </w:rPr>
        <w:t>Gastroenterol</w:t>
      </w:r>
      <w:proofErr w:type="spellEnd"/>
      <w:r w:rsidRPr="00A1510F">
        <w:rPr>
          <w:rFonts w:eastAsia="Calibri"/>
          <w:iCs/>
          <w:lang w:val="es-MX" w:eastAsia="en-US"/>
        </w:rPr>
        <w:t xml:space="preserve"> </w:t>
      </w:r>
      <w:proofErr w:type="spellStart"/>
      <w:r w:rsidRPr="00A1510F">
        <w:rPr>
          <w:rFonts w:eastAsia="Calibri"/>
          <w:iCs/>
          <w:lang w:val="es-MX" w:eastAsia="en-US"/>
        </w:rPr>
        <w:t>Latinoam</w:t>
      </w:r>
      <w:proofErr w:type="spellEnd"/>
      <w:r w:rsidRPr="00A1510F">
        <w:rPr>
          <w:rFonts w:eastAsia="Calibri"/>
          <w:iCs/>
          <w:lang w:val="es-MX" w:eastAsia="en-US"/>
        </w:rPr>
        <w:t xml:space="preserve">. 2023; </w:t>
      </w:r>
      <w:r w:rsidRPr="00A1510F">
        <w:rPr>
          <w:rFonts w:eastAsia="Calibri"/>
          <w:lang w:val="es-US" w:eastAsia="en-US"/>
        </w:rPr>
        <w:t>[acceso:13/07/2023];</w:t>
      </w:r>
      <w:r w:rsidRPr="00A1510F">
        <w:rPr>
          <w:rFonts w:eastAsia="Calibri"/>
          <w:iCs/>
          <w:lang w:val="es-MX" w:eastAsia="en-US"/>
        </w:rPr>
        <w:t xml:space="preserve">53(1):28-37. Disponible en: </w:t>
      </w:r>
      <w:hyperlink r:id="rId31" w:history="1">
        <w:r w:rsidRPr="00A1510F">
          <w:rPr>
            <w:rFonts w:eastAsia="Calibri"/>
            <w:iCs/>
            <w:color w:val="0563C1"/>
            <w:lang w:val="es-MX" w:eastAsia="en-US"/>
          </w:rPr>
          <w:t>https://actagastro.org/numeros-anteriores/2023/Vol-53-N1/Vol53N1-PDF06.pdf</w:t>
        </w:r>
      </w:hyperlink>
    </w:p>
    <w:p w14:paraId="3F5D613F" w14:textId="77777777" w:rsidR="00A1510F" w:rsidRPr="00A1510F" w:rsidRDefault="00A1510F" w:rsidP="00A1510F">
      <w:pPr>
        <w:spacing w:line="360" w:lineRule="auto"/>
        <w:rPr>
          <w:rFonts w:eastAsia="Calibri"/>
          <w:lang w:val="es-MX" w:eastAsia="en-US"/>
        </w:rPr>
      </w:pPr>
      <w:r w:rsidRPr="00A1510F">
        <w:rPr>
          <w:rFonts w:eastAsia="Calibri"/>
          <w:lang w:val="en-US" w:eastAsia="en-US"/>
        </w:rPr>
        <w:t xml:space="preserve">14. </w:t>
      </w:r>
      <w:proofErr w:type="spellStart"/>
      <w:r w:rsidRPr="00A1510F">
        <w:rPr>
          <w:rFonts w:eastAsia="Calibri"/>
          <w:lang w:val="en-US" w:eastAsia="en-US"/>
        </w:rPr>
        <w:t>Bedossa</w:t>
      </w:r>
      <w:proofErr w:type="spellEnd"/>
      <w:r w:rsidRPr="00A1510F">
        <w:rPr>
          <w:rFonts w:eastAsia="Calibri"/>
          <w:lang w:val="en-US" w:eastAsia="en-US"/>
        </w:rPr>
        <w:t xml:space="preserve"> P, </w:t>
      </w:r>
      <w:proofErr w:type="spellStart"/>
      <w:r w:rsidRPr="00A1510F">
        <w:rPr>
          <w:rFonts w:eastAsia="Calibri"/>
          <w:lang w:val="en-US" w:eastAsia="en-US"/>
        </w:rPr>
        <w:t>Poynard</w:t>
      </w:r>
      <w:proofErr w:type="spellEnd"/>
      <w:r w:rsidRPr="00A1510F">
        <w:rPr>
          <w:rFonts w:eastAsia="Calibri"/>
          <w:lang w:val="en-US" w:eastAsia="en-US"/>
        </w:rPr>
        <w:t xml:space="preserve"> T. An algorithm for the grading of activity in chronic hepatitis C. The METAVIR Cooperative Study Group. </w:t>
      </w:r>
      <w:proofErr w:type="spellStart"/>
      <w:r w:rsidRPr="00A1510F">
        <w:rPr>
          <w:rFonts w:eastAsia="Calibri"/>
          <w:lang w:val="es-MX" w:eastAsia="en-US"/>
        </w:rPr>
        <w:t>Hepatology</w:t>
      </w:r>
      <w:proofErr w:type="spellEnd"/>
      <w:r w:rsidRPr="00A1510F">
        <w:rPr>
          <w:rFonts w:eastAsia="Calibri"/>
          <w:lang w:val="es-MX" w:eastAsia="en-US"/>
        </w:rPr>
        <w:t xml:space="preserve">. 1996 </w:t>
      </w:r>
      <w:r w:rsidRPr="00A1510F">
        <w:rPr>
          <w:rFonts w:eastAsia="Calibri"/>
          <w:lang w:val="es-US" w:eastAsia="en-US"/>
        </w:rPr>
        <w:t xml:space="preserve">[acceso:13/07/2023]; </w:t>
      </w:r>
      <w:r w:rsidRPr="00A1510F">
        <w:rPr>
          <w:rFonts w:eastAsia="Calibri"/>
          <w:lang w:val="es-MX" w:eastAsia="en-US"/>
        </w:rPr>
        <w:t xml:space="preserve">24 (2): 289-93. Disponible en:     </w:t>
      </w:r>
      <w:hyperlink r:id="rId32" w:history="1">
        <w:r w:rsidRPr="00A1510F">
          <w:rPr>
            <w:rFonts w:eastAsia="Calibri"/>
            <w:color w:val="0563C1"/>
            <w:lang w:val="es-MX" w:eastAsia="en-US"/>
          </w:rPr>
          <w:t>https://aasldpubs.onlinelibrary.wiley.com/doi/epdf/10.100 2/hep.510240201</w:t>
        </w:r>
      </w:hyperlink>
    </w:p>
    <w:p w14:paraId="7C6884A6" w14:textId="77777777" w:rsidR="00A1510F" w:rsidRPr="00A1510F" w:rsidRDefault="00A1510F" w:rsidP="00A1510F">
      <w:pPr>
        <w:spacing w:line="360" w:lineRule="auto"/>
        <w:rPr>
          <w:rFonts w:eastAsia="Calibri"/>
          <w:lang w:val="es-MX" w:eastAsia="en-US"/>
        </w:rPr>
      </w:pPr>
      <w:r w:rsidRPr="00A1510F">
        <w:rPr>
          <w:rFonts w:eastAsia="Calibri"/>
          <w:lang w:val="es-MX" w:eastAsia="en-US"/>
        </w:rPr>
        <w:t xml:space="preserve">15. Declaración de Helsinki de la AMM - Principios éticos para las investigaciones médicas en seres humanos. AMM; 2013 </w:t>
      </w:r>
      <w:r w:rsidRPr="00A1510F">
        <w:rPr>
          <w:rFonts w:eastAsia="Calibri"/>
          <w:lang w:val="es-US" w:eastAsia="en-US"/>
        </w:rPr>
        <w:t>[acceso: 21/11/2023]</w:t>
      </w:r>
      <w:r w:rsidRPr="00A1510F">
        <w:rPr>
          <w:rFonts w:eastAsia="Calibri"/>
          <w:lang w:val="es-MX" w:eastAsia="en-US"/>
        </w:rPr>
        <w:t xml:space="preserve">. Disponible en: </w:t>
      </w:r>
      <w:r w:rsidRPr="00A1510F">
        <w:rPr>
          <w:rFonts w:eastAsia="Calibri"/>
          <w:color w:val="0563C1"/>
          <w:lang w:val="es-MX" w:eastAsia="en-US"/>
        </w:rPr>
        <w:t xml:space="preserve">    </w:t>
      </w:r>
      <w:hyperlink r:id="rId33" w:history="1">
        <w:r w:rsidRPr="00A1510F">
          <w:rPr>
            <w:rFonts w:eastAsia="Calibri"/>
            <w:color w:val="0563C1"/>
            <w:lang w:val="es-MX" w:eastAsia="en-US"/>
          </w:rPr>
          <w:t>https://uchile.cl/dam/jcr:fe1a556e-69c7-4ab9-881a-a0fcae203cfe/declaracin-de-helsinki</w:t>
        </w:r>
      </w:hyperlink>
      <w:r w:rsidRPr="00A1510F">
        <w:rPr>
          <w:rFonts w:eastAsia="Calibri"/>
          <w:color w:val="0563C1"/>
          <w:lang w:val="es-MX" w:eastAsia="en-US"/>
        </w:rPr>
        <w:t xml:space="preserve"> -2013.pdf</w:t>
      </w:r>
    </w:p>
    <w:p w14:paraId="50B5E18B" w14:textId="77777777" w:rsidR="00A1510F" w:rsidRPr="00A1510F" w:rsidRDefault="00A1510F" w:rsidP="00A1510F">
      <w:pPr>
        <w:spacing w:line="360" w:lineRule="auto"/>
        <w:rPr>
          <w:rFonts w:eastAsia="Calibri"/>
          <w:lang w:val="es-US" w:eastAsia="en-US"/>
        </w:rPr>
      </w:pPr>
      <w:r w:rsidRPr="00A1510F">
        <w:rPr>
          <w:rFonts w:eastAsia="Calibri"/>
          <w:lang w:val="en-US" w:eastAsia="en-US"/>
        </w:rPr>
        <w:t xml:space="preserve">16. Díaz Ramírez GS, Jiménez D, Escobar D, Vargas C, Rojas C, Rojas N. Characterization of patients diagnosed with autoimmune hepatitis in a fourth level hospital from Cali, 2014-2020. </w:t>
      </w:r>
      <w:r w:rsidRPr="00A1510F">
        <w:rPr>
          <w:rFonts w:eastAsia="Calibri"/>
          <w:lang w:val="es-US" w:eastAsia="en-US"/>
        </w:rPr>
        <w:t xml:space="preserve">Revista. </w:t>
      </w:r>
      <w:proofErr w:type="spellStart"/>
      <w:r w:rsidRPr="00A1510F">
        <w:rPr>
          <w:rFonts w:eastAsia="Calibri"/>
          <w:lang w:val="es-US" w:eastAsia="en-US"/>
        </w:rPr>
        <w:t>colomb</w:t>
      </w:r>
      <w:proofErr w:type="spellEnd"/>
      <w:r w:rsidRPr="00A1510F">
        <w:rPr>
          <w:rFonts w:eastAsia="Calibri"/>
          <w:lang w:val="es-US" w:eastAsia="en-US"/>
        </w:rPr>
        <w:t xml:space="preserve">. </w:t>
      </w:r>
      <w:proofErr w:type="spellStart"/>
      <w:r w:rsidRPr="00A1510F">
        <w:rPr>
          <w:rFonts w:eastAsia="Calibri"/>
          <w:lang w:val="es-US" w:eastAsia="en-US"/>
        </w:rPr>
        <w:t>Gastroenterol</w:t>
      </w:r>
      <w:proofErr w:type="spellEnd"/>
      <w:r w:rsidRPr="00A1510F">
        <w:rPr>
          <w:rFonts w:eastAsia="Calibri"/>
          <w:lang w:val="es-US" w:eastAsia="en-US"/>
        </w:rPr>
        <w:t xml:space="preserve">. 2023 [acceso: 21/11/2023]; 38 (1): 2-11. Disponible en: </w:t>
      </w:r>
      <w:hyperlink r:id="rId34" w:history="1">
        <w:r w:rsidRPr="00A1510F">
          <w:rPr>
            <w:rFonts w:eastAsia="Calibri"/>
            <w:color w:val="0563C1"/>
            <w:lang w:val="es-US" w:eastAsia="en-US"/>
          </w:rPr>
          <w:t>https://revistagastrocol.com/index.php/rcg/article/view/907/1515</w:t>
        </w:r>
      </w:hyperlink>
    </w:p>
    <w:p w14:paraId="6C9A7A78" w14:textId="77777777" w:rsidR="00A1510F" w:rsidRPr="00A1510F" w:rsidRDefault="00A1510F" w:rsidP="00A1510F">
      <w:pPr>
        <w:spacing w:line="360" w:lineRule="auto"/>
        <w:rPr>
          <w:rFonts w:eastAsia="Calibri"/>
          <w:lang w:val="es-ES" w:eastAsia="en-US"/>
        </w:rPr>
      </w:pPr>
      <w:r w:rsidRPr="00A1510F">
        <w:rPr>
          <w:rFonts w:eastAsia="Calibri"/>
          <w:lang w:val="en-US" w:eastAsia="en-US"/>
        </w:rPr>
        <w:t xml:space="preserve">17. Sharma S, Agarwal S, Kaushal K, Anand A, Gunjan D, Yadav R, et al. Presence and type of decompensation affects outcomes in autoimmune hepatitis upon treatment with corticosteroids. </w:t>
      </w:r>
      <w:r w:rsidRPr="00A1510F">
        <w:rPr>
          <w:rFonts w:eastAsia="Calibri"/>
          <w:lang w:val="es-MX" w:eastAsia="en-US"/>
        </w:rPr>
        <w:t xml:space="preserve">JGH Open. 2020; 5(1):81-90. </w:t>
      </w:r>
      <w:r w:rsidRPr="00A1510F">
        <w:rPr>
          <w:rFonts w:eastAsia="Calibri"/>
          <w:shd w:val="clear" w:color="auto" w:fill="FFFFFF"/>
          <w:lang w:val="es-US" w:eastAsia="en-US"/>
        </w:rPr>
        <w:t>DOI:</w:t>
      </w:r>
      <w:r w:rsidRPr="00A1510F">
        <w:rPr>
          <w:rFonts w:eastAsia="Calibri"/>
          <w:lang w:val="es-MX" w:eastAsia="en-US"/>
        </w:rPr>
        <w:t xml:space="preserve"> </w:t>
      </w:r>
      <w:hyperlink r:id="rId35" w:history="1">
        <w:r w:rsidRPr="00A1510F">
          <w:rPr>
            <w:rFonts w:eastAsia="Calibri"/>
            <w:color w:val="0563C1"/>
            <w:lang w:val="es-MX" w:eastAsia="en-US"/>
          </w:rPr>
          <w:t>https://doi.org/10.1002%2Fjgh3.12451</w:t>
        </w:r>
      </w:hyperlink>
      <w:r w:rsidRPr="00A1510F">
        <w:rPr>
          <w:rFonts w:eastAsia="Calibri"/>
          <w:lang w:val="es-MX" w:eastAsia="en-US"/>
        </w:rPr>
        <w:t xml:space="preserve"> </w:t>
      </w:r>
    </w:p>
    <w:p w14:paraId="7D5939C9" w14:textId="77777777" w:rsidR="00A1510F" w:rsidRPr="00A1510F" w:rsidRDefault="00A1510F" w:rsidP="00A1510F">
      <w:pPr>
        <w:spacing w:line="360" w:lineRule="auto"/>
        <w:rPr>
          <w:rFonts w:eastAsia="Calibri"/>
          <w:color w:val="0563C1"/>
          <w:lang w:val="en-US" w:eastAsia="en-US"/>
        </w:rPr>
      </w:pPr>
      <w:r w:rsidRPr="00A1510F">
        <w:rPr>
          <w:rFonts w:eastAsia="Calibri"/>
          <w:lang w:val="es-ES" w:eastAsia="en-US"/>
        </w:rPr>
        <w:t xml:space="preserve">18. </w:t>
      </w:r>
      <w:r w:rsidRPr="00A1510F">
        <w:rPr>
          <w:rFonts w:eastAsia="Calibri"/>
          <w:lang w:val="es-MX" w:eastAsia="en-US"/>
        </w:rPr>
        <w:t>Castellanos Fernández MI, Cepeda Mullo ME, la Rosa Hernández D,</w:t>
      </w:r>
      <w:r w:rsidRPr="00A1510F">
        <w:rPr>
          <w:rFonts w:eastAsia="Calibri"/>
          <w:lang w:val="es-ES" w:eastAsia="en-US"/>
        </w:rPr>
        <w:t xml:space="preserve"> </w:t>
      </w:r>
      <w:r w:rsidRPr="00A1510F">
        <w:rPr>
          <w:rFonts w:eastAsia="Calibri"/>
          <w:lang w:val="es-MX" w:eastAsia="en-US"/>
        </w:rPr>
        <w:t>Vega Sánchez H, González Fabian L</w:t>
      </w:r>
      <w:r w:rsidRPr="00A1510F">
        <w:rPr>
          <w:rFonts w:eastAsia="Calibri"/>
          <w:lang w:val="es-ES" w:eastAsia="en-US"/>
        </w:rPr>
        <w:t xml:space="preserve">, </w:t>
      </w:r>
      <w:proofErr w:type="spellStart"/>
      <w:r w:rsidRPr="00A1510F">
        <w:rPr>
          <w:rFonts w:eastAsia="Calibri"/>
          <w:lang w:val="es-ES" w:eastAsia="en-US"/>
        </w:rPr>
        <w:t>Gish</w:t>
      </w:r>
      <w:proofErr w:type="spellEnd"/>
      <w:r w:rsidRPr="00A1510F">
        <w:rPr>
          <w:rFonts w:eastAsia="Calibri"/>
          <w:lang w:val="es-ES" w:eastAsia="en-US"/>
        </w:rPr>
        <w:t xml:space="preserve"> RG, et al. </w:t>
      </w:r>
      <w:r w:rsidRPr="00A1510F">
        <w:rPr>
          <w:rFonts w:eastAsia="Calibri"/>
          <w:lang w:val="en-US" w:eastAsia="en-US"/>
        </w:rPr>
        <w:t>Autoimmune Hepatitis in Cuban Patients: A Retrospective Analysis of Clinical and Histological Profiles, Treatments, and Outcomes. Current Therapeutic Research. 2020 [</w:t>
      </w:r>
      <w:proofErr w:type="spellStart"/>
      <w:r w:rsidRPr="00A1510F">
        <w:rPr>
          <w:rFonts w:eastAsia="Calibri"/>
          <w:lang w:val="en-US" w:eastAsia="en-US"/>
        </w:rPr>
        <w:t>acceso</w:t>
      </w:r>
      <w:proofErr w:type="spellEnd"/>
      <w:r w:rsidRPr="00A1510F">
        <w:rPr>
          <w:rFonts w:eastAsia="Calibri"/>
          <w:lang w:val="en-US" w:eastAsia="en-US"/>
        </w:rPr>
        <w:t xml:space="preserve">: 12/11/2023]; 93:100594. Disponible </w:t>
      </w:r>
      <w:proofErr w:type="spellStart"/>
      <w:r w:rsidRPr="00A1510F">
        <w:rPr>
          <w:rFonts w:eastAsia="Calibri"/>
          <w:lang w:val="en-US" w:eastAsia="en-US"/>
        </w:rPr>
        <w:t>en</w:t>
      </w:r>
      <w:proofErr w:type="spellEnd"/>
      <w:r w:rsidRPr="00A1510F">
        <w:rPr>
          <w:rFonts w:eastAsia="Calibri"/>
          <w:lang w:val="en-US" w:eastAsia="en-US"/>
        </w:rPr>
        <w:t xml:space="preserve">: </w:t>
      </w:r>
      <w:hyperlink r:id="rId36" w:history="1">
        <w:r w:rsidRPr="00A1510F">
          <w:rPr>
            <w:rFonts w:eastAsia="Calibri"/>
            <w:color w:val="0563C1"/>
            <w:lang w:val="en-US" w:eastAsia="en-US"/>
          </w:rPr>
          <w:t>https://www.sciencedirect.com/science/article/pii/S0011393X20300205?via%3Dihub</w:t>
        </w:r>
      </w:hyperlink>
    </w:p>
    <w:p w14:paraId="630ADF4F" w14:textId="77777777" w:rsidR="00A1510F" w:rsidRPr="00A1510F" w:rsidRDefault="00A1510F" w:rsidP="00A1510F">
      <w:pPr>
        <w:keepNext/>
        <w:keepLines/>
        <w:spacing w:line="360" w:lineRule="auto"/>
        <w:outlineLvl w:val="1"/>
        <w:rPr>
          <w:b/>
          <w:bCs/>
          <w:lang w:val="es-ES" w:eastAsia="es-ES"/>
        </w:rPr>
      </w:pPr>
      <w:r w:rsidRPr="00A1510F">
        <w:rPr>
          <w:rFonts w:eastAsia="等线 Light"/>
          <w:lang w:val="en-US" w:eastAsia="en-US"/>
        </w:rPr>
        <w:t xml:space="preserve">19. </w:t>
      </w:r>
      <w:proofErr w:type="spellStart"/>
      <w:r w:rsidRPr="00A1510F">
        <w:rPr>
          <w:rFonts w:eastAsia="等线 Light"/>
          <w:lang w:val="en-US" w:eastAsia="en-US"/>
        </w:rPr>
        <w:t>Strassburg</w:t>
      </w:r>
      <w:proofErr w:type="spellEnd"/>
      <w:r w:rsidRPr="00A1510F">
        <w:rPr>
          <w:rFonts w:eastAsia="等线 Light"/>
          <w:lang w:val="en-US" w:eastAsia="en-US"/>
        </w:rPr>
        <w:t xml:space="preserve"> MD CP, </w:t>
      </w:r>
      <w:proofErr w:type="spellStart"/>
      <w:r w:rsidRPr="00A1510F">
        <w:rPr>
          <w:rFonts w:eastAsia="等线 Light"/>
          <w:lang w:val="en-US" w:eastAsia="en-US"/>
        </w:rPr>
        <w:t>Manns</w:t>
      </w:r>
      <w:proofErr w:type="spellEnd"/>
      <w:r w:rsidRPr="00A1510F">
        <w:rPr>
          <w:rFonts w:eastAsia="等线 Light"/>
          <w:lang w:val="en-US" w:eastAsia="en-US"/>
        </w:rPr>
        <w:t xml:space="preserve"> MP </w:t>
      </w:r>
      <w:r w:rsidRPr="00A1510F">
        <w:rPr>
          <w:bCs/>
          <w:kern w:val="36"/>
          <w:lang w:val="en-US" w:eastAsia="es-ES"/>
        </w:rPr>
        <w:t>Therapy of autoimmune hepatitis.</w:t>
      </w:r>
      <w:r w:rsidRPr="00A1510F">
        <w:rPr>
          <w:b/>
          <w:bCs/>
          <w:lang w:val="en-US" w:eastAsia="es-ES"/>
        </w:rPr>
        <w:t xml:space="preserve"> </w:t>
      </w:r>
      <w:hyperlink r:id="rId37" w:tooltip="Go to Best Practice &amp; Research Clinical Gastroenterology on ScienceDirect" w:history="1">
        <w:r w:rsidRPr="00A1510F">
          <w:rPr>
            <w:bCs/>
            <w:lang w:val="es-ES" w:eastAsia="es-ES"/>
          </w:rPr>
          <w:t>Best Practice &amp; Research Clinical Gastroenterology</w:t>
        </w:r>
      </w:hyperlink>
      <w:r w:rsidRPr="00A1510F">
        <w:rPr>
          <w:bCs/>
          <w:lang w:val="es-ES" w:eastAsia="es-ES"/>
        </w:rPr>
        <w:t xml:space="preserve">. 2011 </w:t>
      </w:r>
      <w:r w:rsidRPr="00A1510F">
        <w:rPr>
          <w:rFonts w:eastAsia="等线 Light"/>
          <w:lang w:val="es-ES" w:eastAsia="en-US"/>
        </w:rPr>
        <w:t xml:space="preserve">[acceso: 12/11/2023]; 25(6): 673687. Disponible en: </w:t>
      </w:r>
      <w:hyperlink r:id="rId38" w:history="1">
        <w:r w:rsidRPr="00A1510F">
          <w:rPr>
            <w:rFonts w:eastAsia="等线 Light"/>
            <w:color w:val="0563C1"/>
            <w:lang w:val="es-ES" w:eastAsia="en-US"/>
          </w:rPr>
          <w:t>https://www.sciencedirect</w:t>
        </w:r>
      </w:hyperlink>
      <w:r w:rsidRPr="00A1510F">
        <w:rPr>
          <w:rFonts w:eastAsia="等线 Light"/>
          <w:color w:val="2F5496"/>
          <w:lang w:val="es-ES" w:eastAsia="en-US"/>
        </w:rPr>
        <w:t>.com/science/article/abs/pii/S152169181100 0849</w:t>
      </w:r>
    </w:p>
    <w:p w14:paraId="3325CD51" w14:textId="77777777" w:rsidR="00A1510F" w:rsidRPr="00A1510F" w:rsidRDefault="00A1510F" w:rsidP="00A1510F">
      <w:pPr>
        <w:spacing w:line="360" w:lineRule="auto"/>
        <w:rPr>
          <w:rFonts w:eastAsia="Calibri"/>
          <w:lang w:val="es-ES" w:eastAsia="en-US"/>
        </w:rPr>
      </w:pPr>
      <w:r w:rsidRPr="00A1510F">
        <w:rPr>
          <w:rFonts w:eastAsia="Calibri"/>
          <w:lang w:val="es-ES" w:eastAsia="en-US"/>
        </w:rPr>
        <w:t xml:space="preserve">20. Valera JM, </w:t>
      </w:r>
      <w:proofErr w:type="spellStart"/>
      <w:r w:rsidRPr="00A1510F">
        <w:rPr>
          <w:rFonts w:eastAsia="Calibri"/>
          <w:lang w:val="es-ES" w:eastAsia="en-US"/>
        </w:rPr>
        <w:t>Smok</w:t>
      </w:r>
      <w:proofErr w:type="spellEnd"/>
      <w:r w:rsidRPr="00A1510F">
        <w:rPr>
          <w:rFonts w:eastAsia="Calibri"/>
          <w:lang w:val="es-ES" w:eastAsia="en-US"/>
        </w:rPr>
        <w:t xml:space="preserve"> G, Márquez S, </w:t>
      </w:r>
      <w:proofErr w:type="spellStart"/>
      <w:r w:rsidRPr="00A1510F">
        <w:rPr>
          <w:rFonts w:eastAsia="Calibri"/>
          <w:lang w:val="es-ES" w:eastAsia="en-US"/>
        </w:rPr>
        <w:t>Poniachik</w:t>
      </w:r>
      <w:proofErr w:type="spellEnd"/>
      <w:r w:rsidRPr="00A1510F">
        <w:rPr>
          <w:rFonts w:eastAsia="Calibri"/>
          <w:lang w:val="es-ES" w:eastAsia="en-US"/>
        </w:rPr>
        <w:t xml:space="preserve"> J, </w:t>
      </w:r>
      <w:proofErr w:type="spellStart"/>
      <w:r w:rsidRPr="00A1510F">
        <w:rPr>
          <w:rFonts w:eastAsia="Calibri"/>
          <w:lang w:val="es-ES" w:eastAsia="en-US"/>
        </w:rPr>
        <w:t>Brahmd</w:t>
      </w:r>
      <w:proofErr w:type="spellEnd"/>
      <w:r w:rsidRPr="00A1510F">
        <w:rPr>
          <w:rFonts w:eastAsia="Calibri"/>
          <w:lang w:val="es-ES" w:eastAsia="en-US"/>
        </w:rPr>
        <w:t xml:space="preserve"> J. Regresión histológica de la fibrosis hepática con tratamiento inmunosupresor en hepatitis autoinmune. </w:t>
      </w:r>
      <w:proofErr w:type="spellStart"/>
      <w:r w:rsidRPr="00A1510F">
        <w:rPr>
          <w:rFonts w:eastAsia="Calibri"/>
          <w:lang w:val="es-ES" w:eastAsia="en-US"/>
        </w:rPr>
        <w:t>Gastroenterol</w:t>
      </w:r>
      <w:proofErr w:type="spellEnd"/>
      <w:r w:rsidRPr="00A1510F">
        <w:rPr>
          <w:rFonts w:eastAsia="Calibri"/>
          <w:lang w:val="es-ES" w:eastAsia="en-US"/>
        </w:rPr>
        <w:t xml:space="preserve"> </w:t>
      </w:r>
      <w:proofErr w:type="spellStart"/>
      <w:r w:rsidRPr="00A1510F">
        <w:rPr>
          <w:rFonts w:eastAsia="Calibri"/>
          <w:lang w:val="es-ES" w:eastAsia="en-US"/>
        </w:rPr>
        <w:t>Hepatol</w:t>
      </w:r>
      <w:proofErr w:type="spellEnd"/>
      <w:r w:rsidRPr="00A1510F">
        <w:rPr>
          <w:rFonts w:eastAsia="Calibri"/>
          <w:lang w:val="es-ES" w:eastAsia="en-US"/>
        </w:rPr>
        <w:t xml:space="preserve">. 2011 [acceso: 12/07/2023]; 34(1): 10-15. Disponible en: </w:t>
      </w:r>
      <w:hyperlink w:history="1">
        <w:r w:rsidRPr="00A1510F">
          <w:rPr>
            <w:rFonts w:eastAsia="Calibri"/>
            <w:color w:val="0563C1"/>
            <w:lang w:val="es-ES" w:eastAsia="en-US"/>
          </w:rPr>
          <w:t>https://www.elsevier .es/es-revista-</w:t>
        </w:r>
        <w:r w:rsidRPr="00A1510F">
          <w:rPr>
            <w:rFonts w:eastAsia="Calibri"/>
            <w:color w:val="0563C1"/>
            <w:lang w:val="es-ES" w:eastAsia="en-US"/>
          </w:rPr>
          <w:lastRenderedPageBreak/>
          <w:t>gastroenterologia-hepatologia-14-articulo-regresion-histologica-fibrosis-hepatica-con-S021057051000275X</w:t>
        </w:r>
      </w:hyperlink>
      <w:r w:rsidRPr="00A1510F">
        <w:rPr>
          <w:rFonts w:eastAsia="Calibri"/>
          <w:lang w:val="es-ES" w:eastAsia="en-US"/>
        </w:rPr>
        <w:t xml:space="preserve"> </w:t>
      </w:r>
    </w:p>
    <w:p w14:paraId="4C425A51" w14:textId="77777777" w:rsidR="00A1510F" w:rsidRPr="00A1510F" w:rsidRDefault="00A1510F" w:rsidP="00A1510F">
      <w:pPr>
        <w:spacing w:line="360" w:lineRule="auto"/>
        <w:rPr>
          <w:rFonts w:eastAsia="Calibri"/>
          <w:lang w:val="en-US" w:eastAsia="en-US"/>
        </w:rPr>
      </w:pPr>
      <w:r w:rsidRPr="00A1510F">
        <w:rPr>
          <w:rFonts w:eastAsia="Calibri"/>
          <w:lang w:val="en-US" w:eastAsia="en-US"/>
        </w:rPr>
        <w:t xml:space="preserve">21. </w:t>
      </w:r>
      <w:proofErr w:type="spellStart"/>
      <w:r w:rsidRPr="00A1510F">
        <w:rPr>
          <w:rFonts w:eastAsia="Calibri"/>
          <w:lang w:val="en-US" w:eastAsia="en-US"/>
        </w:rPr>
        <w:t>Pellicano</w:t>
      </w:r>
      <w:proofErr w:type="spellEnd"/>
      <w:r w:rsidRPr="00A1510F">
        <w:rPr>
          <w:rFonts w:eastAsia="Calibri"/>
          <w:lang w:val="en-US" w:eastAsia="en-US"/>
        </w:rPr>
        <w:t xml:space="preserve"> R, Ferro A, </w:t>
      </w:r>
      <w:proofErr w:type="spellStart"/>
      <w:r w:rsidRPr="00A1510F">
        <w:rPr>
          <w:rFonts w:eastAsia="Calibri"/>
          <w:lang w:val="en-US" w:eastAsia="en-US"/>
        </w:rPr>
        <w:t>Cicerchia</w:t>
      </w:r>
      <w:proofErr w:type="spellEnd"/>
      <w:r w:rsidRPr="00A1510F">
        <w:rPr>
          <w:rFonts w:eastAsia="Calibri"/>
          <w:lang w:val="en-US" w:eastAsia="en-US"/>
        </w:rPr>
        <w:t xml:space="preserve"> F, </w:t>
      </w:r>
      <w:proofErr w:type="spellStart"/>
      <w:r w:rsidRPr="00A1510F">
        <w:rPr>
          <w:rFonts w:eastAsia="Calibri"/>
          <w:lang w:val="en-US" w:eastAsia="en-US"/>
        </w:rPr>
        <w:t>Mattivi</w:t>
      </w:r>
      <w:proofErr w:type="spellEnd"/>
      <w:r w:rsidRPr="00A1510F">
        <w:rPr>
          <w:rFonts w:eastAsia="Calibri"/>
          <w:lang w:val="en-US" w:eastAsia="en-US"/>
        </w:rPr>
        <w:t xml:space="preserve"> S, </w:t>
      </w:r>
      <w:proofErr w:type="spellStart"/>
      <w:r w:rsidRPr="00A1510F">
        <w:rPr>
          <w:rFonts w:eastAsia="Calibri"/>
          <w:lang w:val="en-US" w:eastAsia="en-US"/>
        </w:rPr>
        <w:t>Fagoonee</w:t>
      </w:r>
      <w:proofErr w:type="spellEnd"/>
      <w:r w:rsidRPr="00A1510F">
        <w:rPr>
          <w:rFonts w:eastAsia="Calibri"/>
          <w:lang w:val="en-US" w:eastAsia="en-US"/>
        </w:rPr>
        <w:t xml:space="preserve"> S, Durazno M. Autoimmune Hepatitis and Fibrosis. Journal of Clinical Medicine. 2023; 12 (5): 1979. </w:t>
      </w:r>
      <w:r w:rsidRPr="00A1510F">
        <w:rPr>
          <w:rFonts w:eastAsia="Calibri"/>
          <w:shd w:val="clear" w:color="auto" w:fill="FFFFFF"/>
          <w:lang w:val="en-US" w:eastAsia="en-US"/>
        </w:rPr>
        <w:t>DOI:</w:t>
      </w:r>
      <w:r w:rsidRPr="00A1510F">
        <w:rPr>
          <w:rFonts w:eastAsia="Calibri"/>
          <w:lang w:val="en-US" w:eastAsia="en-US"/>
        </w:rPr>
        <w:t xml:space="preserve"> </w:t>
      </w:r>
      <w:hyperlink r:id="rId39" w:history="1">
        <w:r w:rsidRPr="00A1510F">
          <w:rPr>
            <w:rFonts w:eastAsia="Calibri"/>
            <w:color w:val="0563C1"/>
            <w:lang w:val="en-US" w:eastAsia="en-US"/>
          </w:rPr>
          <w:t>https://doi.org/10.3390/jcm12051979</w:t>
        </w:r>
      </w:hyperlink>
      <w:r w:rsidRPr="00A1510F">
        <w:rPr>
          <w:rFonts w:eastAsia="Calibri"/>
          <w:lang w:val="en-US" w:eastAsia="en-US"/>
        </w:rPr>
        <w:t xml:space="preserve"> </w:t>
      </w:r>
    </w:p>
    <w:p w14:paraId="288FB09E" w14:textId="77777777" w:rsidR="00A1510F" w:rsidRPr="00A1510F" w:rsidRDefault="00A1510F" w:rsidP="00A1510F">
      <w:pPr>
        <w:spacing w:line="360" w:lineRule="auto"/>
        <w:rPr>
          <w:rFonts w:eastAsia="Calibri"/>
          <w:lang w:val="en-US" w:eastAsia="en-US"/>
        </w:rPr>
      </w:pPr>
      <w:r w:rsidRPr="00A1510F">
        <w:rPr>
          <w:rFonts w:eastAsia="Calibri"/>
          <w:lang w:val="en-US" w:eastAsia="en-US"/>
        </w:rPr>
        <w:t xml:space="preserve">22.  Jiang Y, Xu BH, Rodgers B, </w:t>
      </w:r>
      <w:proofErr w:type="spellStart"/>
      <w:r w:rsidRPr="00A1510F">
        <w:rPr>
          <w:rFonts w:eastAsia="Calibri"/>
          <w:lang w:val="en-US" w:eastAsia="en-US"/>
        </w:rPr>
        <w:t>Pyr</w:t>
      </w:r>
      <w:proofErr w:type="spellEnd"/>
      <w:r w:rsidRPr="00A1510F">
        <w:rPr>
          <w:rFonts w:eastAsia="Calibri"/>
          <w:lang w:val="en-US" w:eastAsia="en-US"/>
        </w:rPr>
        <w:t xml:space="preserve"> </w:t>
      </w:r>
      <w:proofErr w:type="spellStart"/>
      <w:r w:rsidRPr="00A1510F">
        <w:rPr>
          <w:rFonts w:eastAsia="Calibri"/>
          <w:lang w:val="en-US" w:eastAsia="en-US"/>
        </w:rPr>
        <w:t>Sopoulos</w:t>
      </w:r>
      <w:proofErr w:type="spellEnd"/>
      <w:r w:rsidRPr="00A1510F">
        <w:rPr>
          <w:rFonts w:eastAsia="Calibri"/>
          <w:lang w:val="en-US" w:eastAsia="en-US"/>
        </w:rPr>
        <w:t xml:space="preserve"> N. Characteristics and inpatient outcomes of primary biliary cholangitis and autoimmune hepatitis overlap syndrome. J Clin </w:t>
      </w:r>
      <w:proofErr w:type="spellStart"/>
      <w:r w:rsidRPr="00A1510F">
        <w:rPr>
          <w:rFonts w:eastAsia="Calibri"/>
          <w:lang w:val="en-US" w:eastAsia="en-US"/>
        </w:rPr>
        <w:t>Transl</w:t>
      </w:r>
      <w:proofErr w:type="spellEnd"/>
      <w:r w:rsidRPr="00A1510F">
        <w:rPr>
          <w:rFonts w:eastAsia="Calibri"/>
          <w:lang w:val="en-US" w:eastAsia="en-US"/>
        </w:rPr>
        <w:t xml:space="preserve"> Hepatol. 2021; 9(3): 392–398. </w:t>
      </w:r>
      <w:r w:rsidRPr="00A1510F">
        <w:rPr>
          <w:rFonts w:eastAsia="Calibri"/>
          <w:shd w:val="clear" w:color="auto" w:fill="FFFFFF"/>
          <w:lang w:val="en-US" w:eastAsia="en-US"/>
        </w:rPr>
        <w:t>DOI:</w:t>
      </w:r>
      <w:r w:rsidRPr="00A1510F">
        <w:rPr>
          <w:rFonts w:eastAsia="Calibri"/>
          <w:lang w:val="en-US" w:eastAsia="en-US"/>
        </w:rPr>
        <w:t xml:space="preserve"> </w:t>
      </w:r>
      <w:hyperlink r:id="rId40" w:history="1">
        <w:r w:rsidRPr="00A1510F">
          <w:rPr>
            <w:rFonts w:eastAsia="Calibri"/>
            <w:color w:val="0563C1"/>
            <w:lang w:val="en-US" w:eastAsia="en-US"/>
          </w:rPr>
          <w:t>https://doi.org/10.14218%2FJCTH.2021.00008</w:t>
        </w:r>
      </w:hyperlink>
      <w:r w:rsidRPr="00A1510F">
        <w:rPr>
          <w:rFonts w:eastAsia="Calibri"/>
          <w:lang w:val="en-US" w:eastAsia="en-US"/>
        </w:rPr>
        <w:t xml:space="preserve"> </w:t>
      </w:r>
    </w:p>
    <w:p w14:paraId="2B77530C" w14:textId="77777777" w:rsidR="00A1510F" w:rsidRPr="00A1510F" w:rsidRDefault="00A1510F" w:rsidP="00A1510F">
      <w:pPr>
        <w:spacing w:line="360" w:lineRule="auto"/>
        <w:rPr>
          <w:rFonts w:eastAsia="Calibri"/>
          <w:lang w:val="en-US" w:eastAsia="en-US"/>
        </w:rPr>
      </w:pPr>
      <w:r w:rsidRPr="00A1510F">
        <w:rPr>
          <w:rFonts w:eastAsia="Calibri"/>
          <w:lang w:val="en-US" w:eastAsia="en-US"/>
        </w:rPr>
        <w:t xml:space="preserve">23. </w:t>
      </w:r>
      <w:proofErr w:type="spellStart"/>
      <w:r w:rsidRPr="00A1510F">
        <w:rPr>
          <w:rFonts w:eastAsia="Calibri"/>
          <w:lang w:val="en-US" w:eastAsia="en-US"/>
        </w:rPr>
        <w:t>Toniutto</w:t>
      </w:r>
      <w:proofErr w:type="spellEnd"/>
      <w:r w:rsidRPr="00A1510F">
        <w:rPr>
          <w:rFonts w:eastAsia="Calibri"/>
          <w:lang w:val="en-US" w:eastAsia="en-US"/>
        </w:rPr>
        <w:t xml:space="preserve"> P, </w:t>
      </w:r>
      <w:proofErr w:type="spellStart"/>
      <w:r w:rsidRPr="00A1510F">
        <w:rPr>
          <w:rFonts w:eastAsia="Calibri"/>
          <w:lang w:val="en-US" w:eastAsia="en-US"/>
        </w:rPr>
        <w:t>Zorzi</w:t>
      </w:r>
      <w:proofErr w:type="spellEnd"/>
      <w:r w:rsidRPr="00A1510F">
        <w:rPr>
          <w:rFonts w:eastAsia="Calibri"/>
          <w:lang w:val="en-US" w:eastAsia="en-US"/>
        </w:rPr>
        <w:t xml:space="preserve"> M, </w:t>
      </w:r>
      <w:proofErr w:type="spellStart"/>
      <w:r w:rsidRPr="00A1510F">
        <w:rPr>
          <w:rFonts w:eastAsia="Calibri"/>
          <w:lang w:val="en-US" w:eastAsia="en-US"/>
        </w:rPr>
        <w:t>D'Alì</w:t>
      </w:r>
      <w:proofErr w:type="spellEnd"/>
      <w:r w:rsidRPr="00A1510F">
        <w:rPr>
          <w:rFonts w:eastAsia="Calibri"/>
          <w:lang w:val="en-US" w:eastAsia="en-US"/>
        </w:rPr>
        <w:t xml:space="preserve"> L, </w:t>
      </w:r>
      <w:proofErr w:type="spellStart"/>
      <w:r w:rsidRPr="00A1510F">
        <w:rPr>
          <w:rFonts w:eastAsia="Calibri"/>
          <w:lang w:val="en-US" w:eastAsia="en-US"/>
        </w:rPr>
        <w:t>Cussigh</w:t>
      </w:r>
      <w:proofErr w:type="spellEnd"/>
      <w:r w:rsidRPr="00A1510F">
        <w:rPr>
          <w:rFonts w:eastAsia="Calibri"/>
          <w:lang w:val="en-US" w:eastAsia="en-US"/>
        </w:rPr>
        <w:t xml:space="preserve"> A, </w:t>
      </w:r>
      <w:proofErr w:type="spellStart"/>
      <w:r w:rsidRPr="00A1510F">
        <w:rPr>
          <w:rFonts w:eastAsia="Calibri"/>
          <w:lang w:val="en-US" w:eastAsia="en-US"/>
        </w:rPr>
        <w:t>Cmet</w:t>
      </w:r>
      <w:proofErr w:type="spellEnd"/>
      <w:r w:rsidRPr="00A1510F">
        <w:rPr>
          <w:rFonts w:eastAsia="Calibri"/>
          <w:lang w:val="en-US" w:eastAsia="en-US"/>
        </w:rPr>
        <w:t xml:space="preserve"> S, </w:t>
      </w:r>
      <w:proofErr w:type="spellStart"/>
      <w:r w:rsidRPr="00A1510F">
        <w:rPr>
          <w:rFonts w:eastAsia="Calibri"/>
          <w:lang w:val="en-US" w:eastAsia="en-US"/>
        </w:rPr>
        <w:t>Bitetto</w:t>
      </w:r>
      <w:proofErr w:type="spellEnd"/>
      <w:r w:rsidRPr="00A1510F">
        <w:rPr>
          <w:rFonts w:eastAsia="Calibri"/>
          <w:lang w:val="en-US" w:eastAsia="en-US"/>
        </w:rPr>
        <w:t xml:space="preserve"> D, et al. Baseline Predictors of the Long-Term Insufficient Biochemical Response in Patients with Autoimmune Hepatitis: A Single Center Experience. J Clin Med. 2023; 12(8):3008. </w:t>
      </w:r>
      <w:r w:rsidRPr="00A1510F">
        <w:rPr>
          <w:rFonts w:eastAsia="Calibri"/>
          <w:shd w:val="clear" w:color="auto" w:fill="FFFFFF"/>
          <w:lang w:val="en-US" w:eastAsia="en-US"/>
        </w:rPr>
        <w:t>DOI:</w:t>
      </w:r>
      <w:r w:rsidRPr="00A1510F">
        <w:rPr>
          <w:rFonts w:eastAsia="Calibri"/>
          <w:lang w:val="en-US" w:eastAsia="en-US"/>
        </w:rPr>
        <w:t xml:space="preserve"> </w:t>
      </w:r>
      <w:hyperlink r:id="rId41" w:history="1">
        <w:r w:rsidRPr="00A1510F">
          <w:rPr>
            <w:rFonts w:eastAsia="Calibri"/>
            <w:color w:val="0563C1"/>
            <w:lang w:val="en-US" w:eastAsia="en-US"/>
          </w:rPr>
          <w:t>https://doi.org/10.3390%2Fjcm12083008</w:t>
        </w:r>
      </w:hyperlink>
      <w:r w:rsidRPr="00A1510F">
        <w:rPr>
          <w:rFonts w:eastAsia="Calibri"/>
          <w:lang w:val="en-US" w:eastAsia="en-US"/>
        </w:rPr>
        <w:t xml:space="preserve">   </w:t>
      </w:r>
    </w:p>
    <w:p w14:paraId="1BB9CF4D" w14:textId="77777777" w:rsidR="00A1510F" w:rsidRPr="00A1510F" w:rsidRDefault="00A1510F" w:rsidP="00A1510F">
      <w:pPr>
        <w:spacing w:line="360" w:lineRule="auto"/>
        <w:rPr>
          <w:rFonts w:eastAsia="Calibri"/>
          <w:lang w:val="en-US" w:eastAsia="en-US"/>
        </w:rPr>
      </w:pPr>
      <w:r w:rsidRPr="00A1510F">
        <w:rPr>
          <w:rFonts w:eastAsia="Calibri"/>
          <w:lang w:val="en-US" w:eastAsia="en-US"/>
        </w:rPr>
        <w:t xml:space="preserve">24. Soloway RD, </w:t>
      </w:r>
      <w:proofErr w:type="spellStart"/>
      <w:r w:rsidRPr="00A1510F">
        <w:rPr>
          <w:rFonts w:eastAsia="Calibri"/>
          <w:lang w:val="en-US" w:eastAsia="en-US"/>
        </w:rPr>
        <w:t>Summerskill</w:t>
      </w:r>
      <w:proofErr w:type="spellEnd"/>
      <w:r w:rsidRPr="00A1510F">
        <w:rPr>
          <w:rFonts w:eastAsia="Calibri"/>
          <w:lang w:val="en-US" w:eastAsia="en-US"/>
        </w:rPr>
        <w:t xml:space="preserve"> WH, </w:t>
      </w:r>
      <w:proofErr w:type="spellStart"/>
      <w:r w:rsidRPr="00A1510F">
        <w:rPr>
          <w:rFonts w:eastAsia="Calibri"/>
          <w:lang w:val="en-US" w:eastAsia="en-US"/>
        </w:rPr>
        <w:t>Baggenstoss</w:t>
      </w:r>
      <w:proofErr w:type="spellEnd"/>
      <w:r w:rsidRPr="00A1510F">
        <w:rPr>
          <w:rFonts w:eastAsia="Calibri"/>
          <w:lang w:val="en-US" w:eastAsia="en-US"/>
        </w:rPr>
        <w:t xml:space="preserve"> AH, </w:t>
      </w:r>
      <w:proofErr w:type="spellStart"/>
      <w:r w:rsidRPr="00A1510F">
        <w:rPr>
          <w:rFonts w:eastAsia="Calibri"/>
          <w:lang w:val="en-US" w:eastAsia="en-US"/>
        </w:rPr>
        <w:t>Geall</w:t>
      </w:r>
      <w:proofErr w:type="spellEnd"/>
      <w:r w:rsidRPr="00A1510F">
        <w:rPr>
          <w:rFonts w:eastAsia="Calibri"/>
          <w:lang w:val="en-US" w:eastAsia="en-US"/>
        </w:rPr>
        <w:t xml:space="preserve"> MG, </w:t>
      </w:r>
      <w:proofErr w:type="spellStart"/>
      <w:r w:rsidRPr="00A1510F">
        <w:rPr>
          <w:rFonts w:eastAsia="Calibri"/>
          <w:lang w:val="en-US" w:eastAsia="en-US"/>
        </w:rPr>
        <w:t>Gitnićk</w:t>
      </w:r>
      <w:proofErr w:type="spellEnd"/>
      <w:r w:rsidRPr="00A1510F">
        <w:rPr>
          <w:rFonts w:eastAsia="Calibri"/>
          <w:lang w:val="en-US" w:eastAsia="en-US"/>
        </w:rPr>
        <w:t xml:space="preserve"> GL, </w:t>
      </w:r>
      <w:proofErr w:type="spellStart"/>
      <w:r w:rsidRPr="00A1510F">
        <w:rPr>
          <w:rFonts w:eastAsia="Calibri"/>
          <w:lang w:val="en-US" w:eastAsia="en-US"/>
        </w:rPr>
        <w:t>Elveback</w:t>
      </w:r>
      <w:proofErr w:type="spellEnd"/>
      <w:r w:rsidRPr="00A1510F">
        <w:rPr>
          <w:rFonts w:eastAsia="Calibri"/>
          <w:lang w:val="en-US" w:eastAsia="en-US"/>
        </w:rPr>
        <w:t xml:space="preserve"> IR, et al. Clinical, biochemical, and histological remission of severe chronic active liver disease: a controlled study of treatments and early prognosis. Gastroenterology. 1972; 63(5):820–33. </w:t>
      </w:r>
      <w:r w:rsidRPr="00A1510F">
        <w:rPr>
          <w:rFonts w:eastAsia="Calibri"/>
          <w:shd w:val="clear" w:color="auto" w:fill="FFFFFF"/>
          <w:lang w:val="en-US" w:eastAsia="en-US"/>
        </w:rPr>
        <w:t>DOI:</w:t>
      </w:r>
      <w:r w:rsidRPr="00A1510F">
        <w:rPr>
          <w:rFonts w:eastAsia="Calibri"/>
          <w:lang w:val="en-US" w:eastAsia="en-US"/>
        </w:rPr>
        <w:t xml:space="preserve"> </w:t>
      </w:r>
      <w:hyperlink r:id="rId42" w:history="1">
        <w:r w:rsidRPr="00A1510F">
          <w:rPr>
            <w:rFonts w:eastAsia="Calibri"/>
            <w:color w:val="0563C1"/>
            <w:lang w:val="en-US" w:eastAsia="en-US"/>
          </w:rPr>
          <w:t>https://doi.org/10.1016/S0016-5085(19)33223-8</w:t>
        </w:r>
      </w:hyperlink>
      <w:r w:rsidRPr="00A1510F">
        <w:rPr>
          <w:rFonts w:eastAsia="Calibri"/>
          <w:lang w:val="en-US" w:eastAsia="en-US"/>
        </w:rPr>
        <w:t xml:space="preserve"> </w:t>
      </w:r>
    </w:p>
    <w:p w14:paraId="42526B94" w14:textId="77777777" w:rsidR="00A1510F" w:rsidRPr="00A1510F" w:rsidRDefault="00A1510F" w:rsidP="00A1510F">
      <w:pPr>
        <w:spacing w:line="360" w:lineRule="auto"/>
        <w:rPr>
          <w:rFonts w:eastAsia="Calibri"/>
          <w:lang w:val="en-US" w:eastAsia="en-US"/>
        </w:rPr>
      </w:pPr>
      <w:r w:rsidRPr="00A1510F">
        <w:rPr>
          <w:rFonts w:eastAsia="Calibri"/>
          <w:lang w:val="en-US" w:eastAsia="en-US"/>
        </w:rPr>
        <w:t xml:space="preserve">25. </w:t>
      </w:r>
      <w:proofErr w:type="spellStart"/>
      <w:r w:rsidRPr="00A1510F">
        <w:rPr>
          <w:rFonts w:eastAsia="Calibri"/>
          <w:lang w:val="en-US" w:eastAsia="en-US"/>
        </w:rPr>
        <w:t>Biewenga</w:t>
      </w:r>
      <w:proofErr w:type="spellEnd"/>
      <w:r w:rsidRPr="00A1510F">
        <w:rPr>
          <w:rFonts w:eastAsia="Calibri"/>
          <w:lang w:val="en-US" w:eastAsia="en-US"/>
        </w:rPr>
        <w:t xml:space="preserve"> M, </w:t>
      </w:r>
      <w:proofErr w:type="spellStart"/>
      <w:r w:rsidRPr="00A1510F">
        <w:rPr>
          <w:rFonts w:eastAsia="Calibri"/>
          <w:lang w:val="en-US" w:eastAsia="en-US"/>
        </w:rPr>
        <w:t>Verhelst</w:t>
      </w:r>
      <w:proofErr w:type="spellEnd"/>
      <w:r w:rsidRPr="00A1510F">
        <w:rPr>
          <w:rFonts w:eastAsia="Calibri"/>
          <w:lang w:val="en-US" w:eastAsia="en-US"/>
        </w:rPr>
        <w:t xml:space="preserve"> X, </w:t>
      </w:r>
      <w:proofErr w:type="spellStart"/>
      <w:r w:rsidRPr="00A1510F">
        <w:rPr>
          <w:rFonts w:eastAsia="Calibri"/>
          <w:lang w:val="en-US" w:eastAsia="en-US"/>
        </w:rPr>
        <w:t>Baven</w:t>
      </w:r>
      <w:proofErr w:type="spellEnd"/>
      <w:r w:rsidRPr="00A1510F">
        <w:rPr>
          <w:rFonts w:eastAsia="Calibri"/>
          <w:lang w:val="en-US" w:eastAsia="en-US"/>
        </w:rPr>
        <w:t xml:space="preserve">-Pronk M, Putter H, van den Berg A, Colle I, et al. Dutch Autoimmune Hepatitis Study Group. Aminotransferases During Treatment Predict Long-Term Survival in Patients with Autoimmune Hepatitis Type 1: A Landmark Analysis. Clin Gastroenterol Hepatol. 2022; 20 (8): 1776-1783. </w:t>
      </w:r>
      <w:r w:rsidRPr="00A1510F">
        <w:rPr>
          <w:rFonts w:eastAsia="Calibri"/>
          <w:shd w:val="clear" w:color="auto" w:fill="FFFFFF"/>
          <w:lang w:val="en-US" w:eastAsia="en-US"/>
        </w:rPr>
        <w:t>DOI:</w:t>
      </w:r>
      <w:r w:rsidRPr="00A1510F">
        <w:rPr>
          <w:rFonts w:eastAsia="Calibri"/>
          <w:lang w:val="en-US" w:eastAsia="en-US"/>
        </w:rPr>
        <w:t xml:space="preserve"> </w:t>
      </w:r>
      <w:hyperlink r:id="rId43" w:history="1">
        <w:r w:rsidRPr="00A1510F">
          <w:rPr>
            <w:rFonts w:eastAsia="Calibri"/>
            <w:color w:val="0563C1"/>
            <w:lang w:val="en-US" w:eastAsia="en-US"/>
          </w:rPr>
          <w:t>https://doi.org/10.1016/j.cgh.2021.05.024</w:t>
        </w:r>
      </w:hyperlink>
      <w:r w:rsidRPr="00A1510F">
        <w:rPr>
          <w:rFonts w:eastAsia="Calibri"/>
          <w:lang w:val="en-US" w:eastAsia="en-US"/>
        </w:rPr>
        <w:t xml:space="preserve"> </w:t>
      </w:r>
    </w:p>
    <w:p w14:paraId="6EF5E5DA" w14:textId="77777777" w:rsidR="00A1510F" w:rsidRPr="00A1510F" w:rsidRDefault="00A1510F" w:rsidP="00A1510F">
      <w:pPr>
        <w:spacing w:line="360" w:lineRule="auto"/>
        <w:rPr>
          <w:rFonts w:eastAsia="Calibri"/>
          <w:lang w:val="en-US" w:eastAsia="en-US"/>
        </w:rPr>
      </w:pPr>
      <w:r w:rsidRPr="00A1510F">
        <w:rPr>
          <w:rFonts w:eastAsia="Calibri"/>
          <w:lang w:val="en-US" w:eastAsia="en-US"/>
        </w:rPr>
        <w:t xml:space="preserve">26. </w:t>
      </w:r>
      <w:proofErr w:type="spellStart"/>
      <w:r w:rsidRPr="00A1510F">
        <w:rPr>
          <w:rFonts w:eastAsia="Calibri"/>
          <w:lang w:val="en-US" w:eastAsia="en-US"/>
        </w:rPr>
        <w:t>Hoeroldt</w:t>
      </w:r>
      <w:proofErr w:type="spellEnd"/>
      <w:r w:rsidRPr="00A1510F">
        <w:rPr>
          <w:rFonts w:eastAsia="Calibri"/>
          <w:lang w:val="en-US" w:eastAsia="en-US"/>
        </w:rPr>
        <w:t xml:space="preserve"> B, McFarlane E, Dube A, </w:t>
      </w:r>
      <w:proofErr w:type="spellStart"/>
      <w:r w:rsidRPr="00A1510F">
        <w:rPr>
          <w:rFonts w:eastAsia="Calibri"/>
          <w:lang w:val="en-US" w:eastAsia="en-US"/>
        </w:rPr>
        <w:t>Basumani</w:t>
      </w:r>
      <w:proofErr w:type="spellEnd"/>
      <w:r w:rsidRPr="00A1510F">
        <w:rPr>
          <w:rFonts w:eastAsia="Calibri"/>
          <w:lang w:val="en-US" w:eastAsia="en-US"/>
        </w:rPr>
        <w:t xml:space="preserve"> P, </w:t>
      </w:r>
      <w:proofErr w:type="spellStart"/>
      <w:r w:rsidRPr="00A1510F">
        <w:rPr>
          <w:rFonts w:eastAsia="Calibri"/>
          <w:lang w:val="en-US" w:eastAsia="en-US"/>
        </w:rPr>
        <w:t>Karajeh</w:t>
      </w:r>
      <w:proofErr w:type="spellEnd"/>
      <w:r w:rsidRPr="00A1510F">
        <w:rPr>
          <w:rFonts w:eastAsia="Calibri"/>
          <w:lang w:val="en-US" w:eastAsia="en-US"/>
        </w:rPr>
        <w:t xml:space="preserve"> M, Campbell MJ, et al. Long-term outcomes of patients with autoimmune hepatitis managed at a </w:t>
      </w:r>
      <w:proofErr w:type="spellStart"/>
      <w:r w:rsidRPr="00A1510F">
        <w:rPr>
          <w:rFonts w:eastAsia="Calibri"/>
          <w:lang w:val="en-US" w:eastAsia="en-US"/>
        </w:rPr>
        <w:t>non transplant</w:t>
      </w:r>
      <w:proofErr w:type="spellEnd"/>
      <w:r w:rsidRPr="00A1510F">
        <w:rPr>
          <w:rFonts w:eastAsia="Calibri"/>
          <w:lang w:val="en-US" w:eastAsia="en-US"/>
        </w:rPr>
        <w:t xml:space="preserve"> center. Gastroenterology. 2011; 140 (7): 1980-9. </w:t>
      </w:r>
      <w:r w:rsidRPr="00A1510F">
        <w:rPr>
          <w:rFonts w:eastAsia="Calibri"/>
          <w:shd w:val="clear" w:color="auto" w:fill="FFFFFF"/>
          <w:lang w:val="en-US" w:eastAsia="en-US"/>
        </w:rPr>
        <w:t>DOI:</w:t>
      </w:r>
      <w:r w:rsidRPr="00A1510F">
        <w:rPr>
          <w:rFonts w:eastAsia="Calibri"/>
          <w:lang w:val="en-US" w:eastAsia="en-US"/>
        </w:rPr>
        <w:t xml:space="preserve"> </w:t>
      </w:r>
      <w:hyperlink r:id="rId44" w:history="1">
        <w:r w:rsidRPr="00A1510F">
          <w:rPr>
            <w:rFonts w:eastAsia="Calibri"/>
            <w:color w:val="0563C1"/>
            <w:lang w:val="en-US" w:eastAsia="en-US"/>
          </w:rPr>
          <w:t>https://doi.org/10.1053/j.gastro.2011.02.065</w:t>
        </w:r>
      </w:hyperlink>
      <w:r w:rsidRPr="00A1510F">
        <w:rPr>
          <w:rFonts w:eastAsia="Calibri"/>
          <w:lang w:val="en-US" w:eastAsia="en-US"/>
        </w:rPr>
        <w:t xml:space="preserve"> </w:t>
      </w:r>
    </w:p>
    <w:p w14:paraId="6A7FDB45" w14:textId="77777777" w:rsidR="00A1510F" w:rsidRPr="00A1510F" w:rsidRDefault="00A1510F" w:rsidP="00A1510F">
      <w:pPr>
        <w:spacing w:line="360" w:lineRule="auto"/>
        <w:rPr>
          <w:rFonts w:eastAsia="Calibri"/>
          <w:lang w:val="en-US" w:eastAsia="en-US"/>
        </w:rPr>
      </w:pPr>
      <w:r w:rsidRPr="00A1510F">
        <w:rPr>
          <w:rFonts w:eastAsia="Calibri"/>
          <w:lang w:val="en-US" w:eastAsia="en-US"/>
        </w:rPr>
        <w:t xml:space="preserve">27. Van den Brand FF, van der Veen KS, de Boer YS, van </w:t>
      </w:r>
      <w:proofErr w:type="spellStart"/>
      <w:r w:rsidRPr="00A1510F">
        <w:rPr>
          <w:rFonts w:eastAsia="Calibri"/>
          <w:lang w:val="en-US" w:eastAsia="en-US"/>
        </w:rPr>
        <w:t>Gerven</w:t>
      </w:r>
      <w:proofErr w:type="spellEnd"/>
      <w:r w:rsidRPr="00A1510F">
        <w:rPr>
          <w:rFonts w:eastAsia="Calibri"/>
          <w:lang w:val="en-US" w:eastAsia="en-US"/>
        </w:rPr>
        <w:t xml:space="preserve"> NM, </w:t>
      </w:r>
      <w:proofErr w:type="spellStart"/>
      <w:r w:rsidRPr="00A1510F">
        <w:rPr>
          <w:rFonts w:eastAsia="Calibri"/>
          <w:lang w:val="en-US" w:eastAsia="en-US"/>
        </w:rPr>
        <w:t>Lissenberg</w:t>
      </w:r>
      <w:proofErr w:type="spellEnd"/>
      <w:r w:rsidRPr="00A1510F">
        <w:rPr>
          <w:rFonts w:eastAsia="Calibri"/>
          <w:lang w:val="en-US" w:eastAsia="en-US"/>
        </w:rPr>
        <w:t xml:space="preserve">-Witte BI, </w:t>
      </w:r>
      <w:proofErr w:type="spellStart"/>
      <w:r w:rsidRPr="00A1510F">
        <w:rPr>
          <w:rFonts w:eastAsia="Calibri"/>
          <w:lang w:val="en-US" w:eastAsia="en-US"/>
        </w:rPr>
        <w:t>Beuers</w:t>
      </w:r>
      <w:proofErr w:type="spellEnd"/>
      <w:r w:rsidRPr="00A1510F">
        <w:rPr>
          <w:rFonts w:eastAsia="Calibri"/>
          <w:lang w:val="en-US" w:eastAsia="en-US"/>
        </w:rPr>
        <w:t xml:space="preserve"> U, et al. Increased Mortality Among Patients With vs Without Cirrhosis and Autoimmune Hepatitis. Clin Gastroenterol Hepatol. 2019; 17 (5): 940-947. </w:t>
      </w:r>
      <w:r w:rsidRPr="00A1510F">
        <w:rPr>
          <w:rFonts w:eastAsia="Calibri"/>
          <w:shd w:val="clear" w:color="auto" w:fill="FFFFFF"/>
          <w:lang w:val="en-US" w:eastAsia="en-US"/>
        </w:rPr>
        <w:t>DOI:</w:t>
      </w:r>
      <w:r w:rsidRPr="00A1510F">
        <w:rPr>
          <w:rFonts w:eastAsia="Calibri"/>
          <w:lang w:val="en-US" w:eastAsia="en-US"/>
        </w:rPr>
        <w:t xml:space="preserve"> </w:t>
      </w:r>
      <w:hyperlink r:id="rId45" w:history="1">
        <w:r w:rsidRPr="00A1510F">
          <w:rPr>
            <w:rFonts w:eastAsia="Calibri"/>
            <w:color w:val="0563C1"/>
            <w:lang w:val="en-US" w:eastAsia="en-US"/>
          </w:rPr>
          <w:t>https://doi.org/10.1016/j.cgh.2018.09.046</w:t>
        </w:r>
      </w:hyperlink>
      <w:r w:rsidRPr="00A1510F">
        <w:rPr>
          <w:rFonts w:eastAsia="Calibri"/>
          <w:lang w:val="en-US" w:eastAsia="en-US"/>
        </w:rPr>
        <w:t xml:space="preserve"> </w:t>
      </w:r>
    </w:p>
    <w:p w14:paraId="460BE8AB" w14:textId="77777777" w:rsidR="00A1510F" w:rsidRPr="00A1510F" w:rsidRDefault="00A1510F" w:rsidP="00A1510F">
      <w:pPr>
        <w:spacing w:line="360" w:lineRule="auto"/>
        <w:rPr>
          <w:rFonts w:eastAsia="Calibri"/>
          <w:lang w:val="en-US" w:eastAsia="en-US"/>
        </w:rPr>
      </w:pPr>
      <w:r w:rsidRPr="00A1510F">
        <w:rPr>
          <w:rFonts w:eastAsia="Calibri"/>
          <w:lang w:val="en-US" w:eastAsia="en-US"/>
        </w:rPr>
        <w:t xml:space="preserve">28. Gleeson D. Long-Term Outcomes of Autoimmune Hepatitis. Clin Liver Dis (Hoboken). 2019; 14 (1): 24-28. </w:t>
      </w:r>
      <w:r w:rsidRPr="00A1510F">
        <w:rPr>
          <w:rFonts w:eastAsia="Calibri"/>
          <w:shd w:val="clear" w:color="auto" w:fill="FFFFFF"/>
          <w:lang w:val="en-US" w:eastAsia="en-US"/>
        </w:rPr>
        <w:t>DOI:</w:t>
      </w:r>
      <w:r w:rsidRPr="00A1510F">
        <w:rPr>
          <w:rFonts w:eastAsia="Calibri"/>
          <w:lang w:val="en-US" w:eastAsia="en-US"/>
        </w:rPr>
        <w:t xml:space="preserve"> </w:t>
      </w:r>
      <w:hyperlink r:id="rId46" w:history="1">
        <w:r w:rsidRPr="00A1510F">
          <w:rPr>
            <w:rFonts w:eastAsia="Calibri"/>
            <w:color w:val="0563C1"/>
            <w:lang w:val="en-US" w:eastAsia="en-US"/>
          </w:rPr>
          <w:t>https://doi.org/10.1002%2Fcld.797</w:t>
        </w:r>
      </w:hyperlink>
      <w:r w:rsidRPr="00A1510F">
        <w:rPr>
          <w:rFonts w:eastAsia="Calibri"/>
          <w:lang w:val="en-US" w:eastAsia="en-US"/>
        </w:rPr>
        <w:t xml:space="preserve"> </w:t>
      </w:r>
    </w:p>
    <w:p w14:paraId="51E9B299" w14:textId="77777777" w:rsidR="00A1510F" w:rsidRPr="00A1510F" w:rsidRDefault="00A1510F" w:rsidP="00A1510F">
      <w:pPr>
        <w:spacing w:line="360" w:lineRule="auto"/>
        <w:jc w:val="both"/>
        <w:rPr>
          <w:rFonts w:eastAsia="Calibri"/>
          <w:lang w:val="en-US" w:eastAsia="en-US"/>
        </w:rPr>
      </w:pPr>
    </w:p>
    <w:p w14:paraId="0D75868E" w14:textId="77777777" w:rsidR="00A1510F" w:rsidRPr="00A1510F" w:rsidRDefault="00A1510F" w:rsidP="00A1510F">
      <w:pPr>
        <w:spacing w:line="360" w:lineRule="auto"/>
        <w:jc w:val="both"/>
        <w:rPr>
          <w:rFonts w:eastAsia="Calibri"/>
          <w:lang w:val="en-US" w:eastAsia="en-US"/>
        </w:rPr>
      </w:pPr>
    </w:p>
    <w:p w14:paraId="70B7A96F" w14:textId="77777777" w:rsidR="00A1510F" w:rsidRPr="00A1510F" w:rsidRDefault="00A1510F" w:rsidP="00A1510F">
      <w:pPr>
        <w:spacing w:line="360" w:lineRule="auto"/>
        <w:jc w:val="center"/>
        <w:rPr>
          <w:rFonts w:eastAsia="Calibri"/>
          <w:b/>
          <w:bCs/>
          <w:lang w:val="es-MX" w:eastAsia="en-US"/>
        </w:rPr>
      </w:pPr>
      <w:r w:rsidRPr="00A1510F">
        <w:rPr>
          <w:rFonts w:eastAsia="Calibri"/>
          <w:b/>
          <w:bCs/>
          <w:lang w:val="es-MX" w:eastAsia="en-US"/>
        </w:rPr>
        <w:lastRenderedPageBreak/>
        <w:t>Conflictos de interés</w:t>
      </w:r>
    </w:p>
    <w:p w14:paraId="50EBFBD6"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No existen conflictos de interés.</w:t>
      </w:r>
    </w:p>
    <w:p w14:paraId="08292BF8" w14:textId="77777777" w:rsidR="00A1510F" w:rsidRPr="00A1510F" w:rsidRDefault="00A1510F" w:rsidP="00A1510F">
      <w:pPr>
        <w:spacing w:line="360" w:lineRule="auto"/>
        <w:jc w:val="both"/>
        <w:rPr>
          <w:rFonts w:eastAsia="Calibri"/>
          <w:lang w:val="es-MX" w:eastAsia="en-US"/>
        </w:rPr>
      </w:pPr>
    </w:p>
    <w:p w14:paraId="2E8879CC" w14:textId="77777777" w:rsidR="00A1510F" w:rsidRPr="00A1510F" w:rsidRDefault="00A1510F" w:rsidP="00A1510F">
      <w:pPr>
        <w:spacing w:line="360" w:lineRule="auto"/>
        <w:jc w:val="center"/>
        <w:rPr>
          <w:rFonts w:eastAsia="Calibri"/>
          <w:b/>
          <w:bCs/>
          <w:lang w:val="es-MX" w:eastAsia="en-US"/>
        </w:rPr>
      </w:pPr>
      <w:r w:rsidRPr="00A1510F">
        <w:rPr>
          <w:rFonts w:eastAsia="Calibri"/>
          <w:b/>
          <w:bCs/>
          <w:lang w:val="es-MX" w:eastAsia="en-US"/>
        </w:rPr>
        <w:t>Contribuciones de los autores</w:t>
      </w:r>
    </w:p>
    <w:p w14:paraId="44B5637F"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 xml:space="preserve">Conceptualización: </w:t>
      </w:r>
      <w:proofErr w:type="spellStart"/>
      <w:r w:rsidRPr="00A1510F">
        <w:rPr>
          <w:rFonts w:eastAsia="Calibri"/>
          <w:i/>
          <w:iCs/>
          <w:lang w:val="es-MX" w:eastAsia="en-US"/>
        </w:rPr>
        <w:t>Harlim</w:t>
      </w:r>
      <w:proofErr w:type="spellEnd"/>
      <w:r w:rsidRPr="00A1510F">
        <w:rPr>
          <w:rFonts w:eastAsia="Calibri"/>
          <w:i/>
          <w:iCs/>
          <w:lang w:val="es-MX" w:eastAsia="en-US"/>
        </w:rPr>
        <w:t xml:space="preserve"> Rodríguez </w:t>
      </w:r>
      <w:proofErr w:type="spellStart"/>
      <w:r w:rsidRPr="00A1510F">
        <w:rPr>
          <w:rFonts w:eastAsia="Calibri"/>
          <w:i/>
          <w:iCs/>
          <w:lang w:val="es-MX" w:eastAsia="en-US"/>
        </w:rPr>
        <w:t>Rodríguez</w:t>
      </w:r>
      <w:proofErr w:type="spellEnd"/>
      <w:r w:rsidRPr="00A1510F">
        <w:rPr>
          <w:rFonts w:eastAsia="Calibri"/>
          <w:i/>
          <w:iCs/>
          <w:lang w:val="es-MX" w:eastAsia="en-US"/>
        </w:rPr>
        <w:t xml:space="preserve">, Marcia </w:t>
      </w:r>
      <w:proofErr w:type="spellStart"/>
      <w:r w:rsidRPr="00A1510F">
        <w:rPr>
          <w:rFonts w:eastAsia="Calibri"/>
          <w:i/>
          <w:iCs/>
          <w:lang w:val="es-MX" w:eastAsia="en-US"/>
        </w:rPr>
        <w:t>Samada</w:t>
      </w:r>
      <w:proofErr w:type="spellEnd"/>
      <w:r w:rsidRPr="00A1510F">
        <w:rPr>
          <w:rFonts w:eastAsia="Calibri"/>
          <w:i/>
          <w:iCs/>
          <w:lang w:val="es-MX" w:eastAsia="en-US"/>
        </w:rPr>
        <w:t xml:space="preserve"> Suárez, Teresita Pérez González.</w:t>
      </w:r>
    </w:p>
    <w:p w14:paraId="7DB6D78C"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 xml:space="preserve">Análisis formal: </w:t>
      </w:r>
      <w:proofErr w:type="spellStart"/>
      <w:r w:rsidRPr="00A1510F">
        <w:rPr>
          <w:rFonts w:eastAsia="Calibri"/>
          <w:i/>
          <w:iCs/>
          <w:lang w:val="es-MX" w:eastAsia="en-US"/>
        </w:rPr>
        <w:t>Harlim</w:t>
      </w:r>
      <w:proofErr w:type="spellEnd"/>
      <w:r w:rsidRPr="00A1510F">
        <w:rPr>
          <w:rFonts w:eastAsia="Calibri"/>
          <w:i/>
          <w:iCs/>
          <w:lang w:val="es-MX" w:eastAsia="en-US"/>
        </w:rPr>
        <w:t xml:space="preserve"> Rodríguez </w:t>
      </w:r>
      <w:proofErr w:type="spellStart"/>
      <w:r w:rsidRPr="00A1510F">
        <w:rPr>
          <w:rFonts w:eastAsia="Calibri"/>
          <w:i/>
          <w:iCs/>
          <w:lang w:val="es-MX" w:eastAsia="en-US"/>
        </w:rPr>
        <w:t>Rodríguez</w:t>
      </w:r>
      <w:proofErr w:type="spellEnd"/>
      <w:r w:rsidRPr="00A1510F">
        <w:rPr>
          <w:rFonts w:eastAsia="Calibri"/>
          <w:i/>
          <w:iCs/>
          <w:lang w:val="es-MX" w:eastAsia="en-US"/>
        </w:rPr>
        <w:t xml:space="preserve">, Lisset Barroso Márquez, Marcia </w:t>
      </w:r>
      <w:proofErr w:type="spellStart"/>
      <w:r w:rsidRPr="00A1510F">
        <w:rPr>
          <w:rFonts w:eastAsia="Calibri"/>
          <w:i/>
          <w:iCs/>
          <w:lang w:val="es-MX" w:eastAsia="en-US"/>
        </w:rPr>
        <w:t>Samada</w:t>
      </w:r>
      <w:proofErr w:type="spellEnd"/>
      <w:r w:rsidRPr="00A1510F">
        <w:rPr>
          <w:rFonts w:eastAsia="Calibri"/>
          <w:i/>
          <w:iCs/>
          <w:lang w:val="es-MX" w:eastAsia="en-US"/>
        </w:rPr>
        <w:t xml:space="preserve"> Suárez.</w:t>
      </w:r>
    </w:p>
    <w:p w14:paraId="6A7822F2"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 xml:space="preserve">Investigación: </w:t>
      </w:r>
      <w:proofErr w:type="spellStart"/>
      <w:r w:rsidRPr="00A1510F">
        <w:rPr>
          <w:rFonts w:eastAsia="Calibri"/>
          <w:i/>
          <w:iCs/>
          <w:lang w:val="es-MX" w:eastAsia="en-US"/>
        </w:rPr>
        <w:t>Harlim</w:t>
      </w:r>
      <w:proofErr w:type="spellEnd"/>
      <w:r w:rsidRPr="00A1510F">
        <w:rPr>
          <w:rFonts w:eastAsia="Calibri"/>
          <w:i/>
          <w:iCs/>
          <w:lang w:val="es-MX" w:eastAsia="en-US"/>
        </w:rPr>
        <w:t xml:space="preserve"> Rodríguez </w:t>
      </w:r>
      <w:proofErr w:type="spellStart"/>
      <w:r w:rsidRPr="00A1510F">
        <w:rPr>
          <w:rFonts w:eastAsia="Calibri"/>
          <w:i/>
          <w:iCs/>
          <w:lang w:val="es-MX" w:eastAsia="en-US"/>
        </w:rPr>
        <w:t>Rodríguez</w:t>
      </w:r>
      <w:proofErr w:type="spellEnd"/>
      <w:r w:rsidRPr="00A1510F">
        <w:rPr>
          <w:rFonts w:eastAsia="Calibri"/>
          <w:i/>
          <w:iCs/>
          <w:lang w:val="es-MX" w:eastAsia="en-US"/>
        </w:rPr>
        <w:t xml:space="preserve">, </w:t>
      </w:r>
      <w:proofErr w:type="spellStart"/>
      <w:r w:rsidRPr="00A1510F">
        <w:rPr>
          <w:rFonts w:eastAsia="Calibri"/>
          <w:i/>
          <w:iCs/>
          <w:lang w:val="es-MX" w:eastAsia="en-US"/>
        </w:rPr>
        <w:t>Zucel</w:t>
      </w:r>
      <w:proofErr w:type="spellEnd"/>
      <w:r w:rsidRPr="00A1510F">
        <w:rPr>
          <w:rFonts w:eastAsia="Calibri"/>
          <w:i/>
          <w:iCs/>
          <w:lang w:val="es-MX" w:eastAsia="en-US"/>
        </w:rPr>
        <w:t xml:space="preserve"> </w:t>
      </w:r>
      <w:proofErr w:type="spellStart"/>
      <w:r w:rsidRPr="00A1510F">
        <w:rPr>
          <w:rFonts w:eastAsia="Calibri"/>
          <w:i/>
          <w:iCs/>
          <w:lang w:val="es-MX" w:eastAsia="en-US"/>
        </w:rPr>
        <w:t>Danay</w:t>
      </w:r>
      <w:proofErr w:type="spellEnd"/>
      <w:r w:rsidRPr="00A1510F">
        <w:rPr>
          <w:rFonts w:eastAsia="Calibri"/>
          <w:i/>
          <w:iCs/>
          <w:lang w:val="es-MX" w:eastAsia="en-US"/>
        </w:rPr>
        <w:t xml:space="preserve"> Cruz Hernández, </w:t>
      </w:r>
      <w:proofErr w:type="spellStart"/>
      <w:r w:rsidRPr="00A1510F">
        <w:rPr>
          <w:rFonts w:eastAsia="Calibri"/>
          <w:i/>
          <w:iCs/>
          <w:lang w:val="es-MX" w:eastAsia="en-US"/>
        </w:rPr>
        <w:t>Yunia</w:t>
      </w:r>
      <w:proofErr w:type="spellEnd"/>
      <w:r w:rsidRPr="00A1510F">
        <w:rPr>
          <w:rFonts w:eastAsia="Calibri"/>
          <w:i/>
          <w:iCs/>
          <w:lang w:val="es-MX" w:eastAsia="en-US"/>
        </w:rPr>
        <w:t xml:space="preserve"> Tusen Toledo.</w:t>
      </w:r>
    </w:p>
    <w:p w14:paraId="1DE19F51"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 xml:space="preserve">Metodología: </w:t>
      </w:r>
      <w:proofErr w:type="spellStart"/>
      <w:r w:rsidRPr="00A1510F">
        <w:rPr>
          <w:rFonts w:eastAsia="Calibri"/>
          <w:i/>
          <w:iCs/>
          <w:lang w:val="es-MX" w:eastAsia="en-US"/>
        </w:rPr>
        <w:t>Harlim</w:t>
      </w:r>
      <w:proofErr w:type="spellEnd"/>
      <w:r w:rsidRPr="00A1510F">
        <w:rPr>
          <w:rFonts w:eastAsia="Calibri"/>
          <w:i/>
          <w:iCs/>
          <w:lang w:val="es-MX" w:eastAsia="en-US"/>
        </w:rPr>
        <w:t xml:space="preserve"> Rodríguez </w:t>
      </w:r>
      <w:proofErr w:type="spellStart"/>
      <w:r w:rsidRPr="00A1510F">
        <w:rPr>
          <w:rFonts w:eastAsia="Calibri"/>
          <w:i/>
          <w:iCs/>
          <w:lang w:val="es-MX" w:eastAsia="en-US"/>
        </w:rPr>
        <w:t>Rodríguez</w:t>
      </w:r>
      <w:proofErr w:type="spellEnd"/>
      <w:r w:rsidRPr="00A1510F">
        <w:rPr>
          <w:rFonts w:eastAsia="Calibri"/>
          <w:i/>
          <w:iCs/>
          <w:lang w:val="es-MX" w:eastAsia="en-US"/>
        </w:rPr>
        <w:t xml:space="preserve">, Marcia </w:t>
      </w:r>
      <w:proofErr w:type="spellStart"/>
      <w:r w:rsidRPr="00A1510F">
        <w:rPr>
          <w:rFonts w:eastAsia="Calibri"/>
          <w:i/>
          <w:iCs/>
          <w:lang w:val="es-MX" w:eastAsia="en-US"/>
        </w:rPr>
        <w:t>Samada</w:t>
      </w:r>
      <w:proofErr w:type="spellEnd"/>
      <w:r w:rsidRPr="00A1510F">
        <w:rPr>
          <w:rFonts w:eastAsia="Calibri"/>
          <w:i/>
          <w:iCs/>
          <w:lang w:val="es-MX" w:eastAsia="en-US"/>
        </w:rPr>
        <w:t xml:space="preserve"> Suárez, Ludmila Martínez Leyva.</w:t>
      </w:r>
    </w:p>
    <w:p w14:paraId="73A9B480"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 xml:space="preserve">Supervisión: </w:t>
      </w:r>
      <w:r w:rsidRPr="00A1510F">
        <w:rPr>
          <w:rFonts w:eastAsia="Calibri"/>
          <w:i/>
          <w:iCs/>
          <w:lang w:val="es-MX" w:eastAsia="en-US"/>
        </w:rPr>
        <w:t xml:space="preserve">Marcia </w:t>
      </w:r>
      <w:proofErr w:type="spellStart"/>
      <w:r w:rsidRPr="00A1510F">
        <w:rPr>
          <w:rFonts w:eastAsia="Calibri"/>
          <w:i/>
          <w:iCs/>
          <w:lang w:val="es-MX" w:eastAsia="en-US"/>
        </w:rPr>
        <w:t>Samada</w:t>
      </w:r>
      <w:proofErr w:type="spellEnd"/>
      <w:r w:rsidRPr="00A1510F">
        <w:rPr>
          <w:rFonts w:eastAsia="Calibri"/>
          <w:i/>
          <w:iCs/>
          <w:lang w:val="es-MX" w:eastAsia="en-US"/>
        </w:rPr>
        <w:t xml:space="preserve"> Suárez.</w:t>
      </w:r>
    </w:p>
    <w:p w14:paraId="507E76AE" w14:textId="77777777" w:rsidR="00A1510F" w:rsidRPr="00A1510F" w:rsidRDefault="00A1510F" w:rsidP="00A1510F">
      <w:pPr>
        <w:spacing w:line="360" w:lineRule="auto"/>
        <w:jc w:val="both"/>
        <w:rPr>
          <w:rFonts w:eastAsia="Calibri"/>
          <w:lang w:val="es-MX" w:eastAsia="en-US"/>
        </w:rPr>
      </w:pPr>
      <w:r w:rsidRPr="00A1510F">
        <w:rPr>
          <w:rFonts w:eastAsia="Calibri"/>
          <w:lang w:val="es-MX" w:eastAsia="en-US"/>
        </w:rPr>
        <w:t xml:space="preserve">Redacción – borrador original: </w:t>
      </w:r>
      <w:proofErr w:type="spellStart"/>
      <w:r w:rsidRPr="00A1510F">
        <w:rPr>
          <w:rFonts w:eastAsia="Calibri"/>
          <w:i/>
          <w:iCs/>
          <w:lang w:val="es-MX" w:eastAsia="en-US"/>
        </w:rPr>
        <w:t>Harlim</w:t>
      </w:r>
      <w:proofErr w:type="spellEnd"/>
      <w:r w:rsidRPr="00A1510F">
        <w:rPr>
          <w:rFonts w:eastAsia="Calibri"/>
          <w:i/>
          <w:iCs/>
          <w:lang w:val="es-MX" w:eastAsia="en-US"/>
        </w:rPr>
        <w:t xml:space="preserve"> Rodríguez </w:t>
      </w:r>
      <w:proofErr w:type="spellStart"/>
      <w:r w:rsidRPr="00A1510F">
        <w:rPr>
          <w:rFonts w:eastAsia="Calibri"/>
          <w:i/>
          <w:iCs/>
          <w:lang w:val="es-MX" w:eastAsia="en-US"/>
        </w:rPr>
        <w:t>Rodríguez</w:t>
      </w:r>
      <w:proofErr w:type="spellEnd"/>
      <w:r w:rsidRPr="00A1510F">
        <w:rPr>
          <w:rFonts w:eastAsia="Calibri"/>
          <w:i/>
          <w:iCs/>
          <w:lang w:val="es-MX" w:eastAsia="en-US"/>
        </w:rPr>
        <w:t>, Teresita Pérez González, Lisset Barroso Márquez, Ludmila Martínez Leyva.</w:t>
      </w:r>
    </w:p>
    <w:p w14:paraId="1E9BC582" w14:textId="77777777" w:rsidR="00A1510F" w:rsidRPr="00A1510F" w:rsidRDefault="00A1510F" w:rsidP="00A1510F">
      <w:pPr>
        <w:spacing w:line="360" w:lineRule="auto"/>
        <w:jc w:val="both"/>
        <w:rPr>
          <w:rFonts w:eastAsia="Calibri"/>
          <w:i/>
          <w:iCs/>
          <w:lang w:val="es-MX" w:eastAsia="en-US"/>
        </w:rPr>
      </w:pPr>
      <w:r w:rsidRPr="00A1510F">
        <w:rPr>
          <w:rFonts w:eastAsia="Calibri"/>
          <w:lang w:val="es-MX" w:eastAsia="en-US"/>
        </w:rPr>
        <w:t xml:space="preserve">Redacción – revisión y edición: </w:t>
      </w:r>
      <w:proofErr w:type="spellStart"/>
      <w:r w:rsidRPr="00A1510F">
        <w:rPr>
          <w:rFonts w:eastAsia="Calibri"/>
          <w:i/>
          <w:iCs/>
          <w:lang w:val="es-MX" w:eastAsia="en-US"/>
        </w:rPr>
        <w:t>Harlim</w:t>
      </w:r>
      <w:proofErr w:type="spellEnd"/>
      <w:r w:rsidRPr="00A1510F">
        <w:rPr>
          <w:rFonts w:eastAsia="Calibri"/>
          <w:i/>
          <w:iCs/>
          <w:lang w:val="es-MX" w:eastAsia="en-US"/>
        </w:rPr>
        <w:t xml:space="preserve"> Rodríguez </w:t>
      </w:r>
      <w:proofErr w:type="spellStart"/>
      <w:r w:rsidRPr="00A1510F">
        <w:rPr>
          <w:rFonts w:eastAsia="Calibri"/>
          <w:i/>
          <w:iCs/>
          <w:lang w:val="es-MX" w:eastAsia="en-US"/>
        </w:rPr>
        <w:t>Rodríguez</w:t>
      </w:r>
      <w:proofErr w:type="spellEnd"/>
      <w:r w:rsidRPr="00A1510F">
        <w:rPr>
          <w:rFonts w:eastAsia="Calibri"/>
          <w:i/>
          <w:iCs/>
          <w:lang w:val="es-MX" w:eastAsia="en-US"/>
        </w:rPr>
        <w:t>, Ludmila Martínez Leyva.</w:t>
      </w:r>
    </w:p>
    <w:p w14:paraId="7313E531" w14:textId="77777777" w:rsidR="00675476" w:rsidRPr="0055115D" w:rsidRDefault="00675476" w:rsidP="00EA1FEF">
      <w:pPr>
        <w:pStyle w:val="PDFRevista"/>
      </w:pPr>
    </w:p>
    <w:sectPr w:rsidR="00675476" w:rsidRPr="0055115D" w:rsidSect="00FD3DF8">
      <w:headerReference w:type="default" r:id="rId47"/>
      <w:footerReference w:type="even" r:id="rId48"/>
      <w:footerReference w:type="default" r:id="rId4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D6AA4" w14:textId="77777777" w:rsidR="006C2322" w:rsidRDefault="006C2322">
      <w:r>
        <w:separator/>
      </w:r>
    </w:p>
  </w:endnote>
  <w:endnote w:type="continuationSeparator" w:id="0">
    <w:p w14:paraId="378423E7" w14:textId="77777777" w:rsidR="006C2322" w:rsidRDefault="006C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44A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6D741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C606"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63F1F420" wp14:editId="542F6C4E">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981F8"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6F5DE20" w14:textId="77777777" w:rsidR="00675476" w:rsidRPr="00AE044C" w:rsidRDefault="006C2322" w:rsidP="00391509">
    <w:pPr>
      <w:pStyle w:val="Piedepgina"/>
      <w:ind w:right="360"/>
      <w:rPr>
        <w:sz w:val="22"/>
        <w:szCs w:val="22"/>
      </w:rPr>
    </w:pPr>
    <w:hyperlink r:id="rId1" w:history="1">
      <w:r w:rsidR="00391509" w:rsidRPr="00AE044C">
        <w:rPr>
          <w:rStyle w:val="Hipervnculo"/>
          <w:sz w:val="22"/>
          <w:szCs w:val="22"/>
        </w:rPr>
        <w:t>http://scielo.sld.cu</w:t>
      </w:r>
    </w:hyperlink>
  </w:p>
  <w:p w14:paraId="71573489" w14:textId="77777777" w:rsidR="00391509" w:rsidRPr="00AE044C" w:rsidRDefault="006C2322"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9874D7A"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3A5ACFC4" wp14:editId="48E16D77">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772B1" w14:textId="77777777" w:rsidR="006C2322" w:rsidRDefault="006C2322">
      <w:r>
        <w:separator/>
      </w:r>
    </w:p>
  </w:footnote>
  <w:footnote w:type="continuationSeparator" w:id="0">
    <w:p w14:paraId="0D99217E" w14:textId="77777777" w:rsidR="006C2322" w:rsidRDefault="006C2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BABC" w14:textId="0D5568A0" w:rsidR="00CC376A" w:rsidRPr="00AE044C" w:rsidRDefault="00A1510F"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2E145CF0" wp14:editId="5E3E3CCD">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e024017849</w:t>
    </w:r>
  </w:p>
  <w:p w14:paraId="3B9AB2A9"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14AF679B" wp14:editId="282664B3">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AA5BB"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6B9"/>
    <w:multiLevelType w:val="multilevel"/>
    <w:tmpl w:val="5C5E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A204E"/>
    <w:multiLevelType w:val="hybridMultilevel"/>
    <w:tmpl w:val="081A1F5E"/>
    <w:lvl w:ilvl="0" w:tplc="0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2659A0"/>
    <w:multiLevelType w:val="hybridMultilevel"/>
    <w:tmpl w:val="1128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477C5"/>
    <w:multiLevelType w:val="hybridMultilevel"/>
    <w:tmpl w:val="E3FE0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0F2CA6"/>
    <w:multiLevelType w:val="hybridMultilevel"/>
    <w:tmpl w:val="1D66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73398"/>
    <w:multiLevelType w:val="hybridMultilevel"/>
    <w:tmpl w:val="145A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E2720"/>
    <w:multiLevelType w:val="hybridMultilevel"/>
    <w:tmpl w:val="57A8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E6250"/>
    <w:multiLevelType w:val="hybridMultilevel"/>
    <w:tmpl w:val="6F022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A22FA"/>
    <w:multiLevelType w:val="hybridMultilevel"/>
    <w:tmpl w:val="164C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F7822"/>
    <w:multiLevelType w:val="hybridMultilevel"/>
    <w:tmpl w:val="0D3AB868"/>
    <w:lvl w:ilvl="0" w:tplc="B66285B6">
      <w:numFmt w:val="bullet"/>
      <w:lvlText w:val="-"/>
      <w:lvlJc w:val="left"/>
      <w:pPr>
        <w:ind w:left="502"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415F8E"/>
    <w:multiLevelType w:val="hybridMultilevel"/>
    <w:tmpl w:val="4336D7D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1CE5236C"/>
    <w:multiLevelType w:val="multilevel"/>
    <w:tmpl w:val="58A2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7205E"/>
    <w:multiLevelType w:val="hybridMultilevel"/>
    <w:tmpl w:val="DA081068"/>
    <w:lvl w:ilvl="0" w:tplc="10D88670">
      <w:start w:val="6"/>
      <w:numFmt w:val="bullet"/>
      <w:lvlText w:val="-"/>
      <w:lvlJc w:val="left"/>
      <w:pPr>
        <w:ind w:left="1226" w:hanging="360"/>
      </w:pPr>
      <w:rPr>
        <w:rFonts w:ascii="Arial" w:eastAsiaTheme="minorHAnsi" w:hAnsi="Arial" w:cs="Arial" w:hint="default"/>
      </w:rPr>
    </w:lvl>
    <w:lvl w:ilvl="1" w:tplc="0C0A0003" w:tentative="1">
      <w:start w:val="1"/>
      <w:numFmt w:val="bullet"/>
      <w:lvlText w:val="o"/>
      <w:lvlJc w:val="left"/>
      <w:pPr>
        <w:ind w:left="1946" w:hanging="360"/>
      </w:pPr>
      <w:rPr>
        <w:rFonts w:ascii="Courier New" w:hAnsi="Courier New" w:cs="Courier New" w:hint="default"/>
      </w:rPr>
    </w:lvl>
    <w:lvl w:ilvl="2" w:tplc="0C0A0005" w:tentative="1">
      <w:start w:val="1"/>
      <w:numFmt w:val="bullet"/>
      <w:lvlText w:val=""/>
      <w:lvlJc w:val="left"/>
      <w:pPr>
        <w:ind w:left="2666" w:hanging="360"/>
      </w:pPr>
      <w:rPr>
        <w:rFonts w:ascii="Wingdings" w:hAnsi="Wingdings" w:hint="default"/>
      </w:rPr>
    </w:lvl>
    <w:lvl w:ilvl="3" w:tplc="0C0A0001" w:tentative="1">
      <w:start w:val="1"/>
      <w:numFmt w:val="bullet"/>
      <w:lvlText w:val=""/>
      <w:lvlJc w:val="left"/>
      <w:pPr>
        <w:ind w:left="3386" w:hanging="360"/>
      </w:pPr>
      <w:rPr>
        <w:rFonts w:ascii="Symbol" w:hAnsi="Symbol" w:hint="default"/>
      </w:rPr>
    </w:lvl>
    <w:lvl w:ilvl="4" w:tplc="0C0A0003" w:tentative="1">
      <w:start w:val="1"/>
      <w:numFmt w:val="bullet"/>
      <w:lvlText w:val="o"/>
      <w:lvlJc w:val="left"/>
      <w:pPr>
        <w:ind w:left="4106" w:hanging="360"/>
      </w:pPr>
      <w:rPr>
        <w:rFonts w:ascii="Courier New" w:hAnsi="Courier New" w:cs="Courier New" w:hint="default"/>
      </w:rPr>
    </w:lvl>
    <w:lvl w:ilvl="5" w:tplc="0C0A0005" w:tentative="1">
      <w:start w:val="1"/>
      <w:numFmt w:val="bullet"/>
      <w:lvlText w:val=""/>
      <w:lvlJc w:val="left"/>
      <w:pPr>
        <w:ind w:left="4826" w:hanging="360"/>
      </w:pPr>
      <w:rPr>
        <w:rFonts w:ascii="Wingdings" w:hAnsi="Wingdings" w:hint="default"/>
      </w:rPr>
    </w:lvl>
    <w:lvl w:ilvl="6" w:tplc="0C0A0001" w:tentative="1">
      <w:start w:val="1"/>
      <w:numFmt w:val="bullet"/>
      <w:lvlText w:val=""/>
      <w:lvlJc w:val="left"/>
      <w:pPr>
        <w:ind w:left="5546" w:hanging="360"/>
      </w:pPr>
      <w:rPr>
        <w:rFonts w:ascii="Symbol" w:hAnsi="Symbol" w:hint="default"/>
      </w:rPr>
    </w:lvl>
    <w:lvl w:ilvl="7" w:tplc="0C0A0003" w:tentative="1">
      <w:start w:val="1"/>
      <w:numFmt w:val="bullet"/>
      <w:lvlText w:val="o"/>
      <w:lvlJc w:val="left"/>
      <w:pPr>
        <w:ind w:left="6266" w:hanging="360"/>
      </w:pPr>
      <w:rPr>
        <w:rFonts w:ascii="Courier New" w:hAnsi="Courier New" w:cs="Courier New" w:hint="default"/>
      </w:rPr>
    </w:lvl>
    <w:lvl w:ilvl="8" w:tplc="0C0A0005" w:tentative="1">
      <w:start w:val="1"/>
      <w:numFmt w:val="bullet"/>
      <w:lvlText w:val=""/>
      <w:lvlJc w:val="left"/>
      <w:pPr>
        <w:ind w:left="6986" w:hanging="360"/>
      </w:pPr>
      <w:rPr>
        <w:rFonts w:ascii="Wingdings" w:hAnsi="Wingdings" w:hint="default"/>
      </w:rPr>
    </w:lvl>
  </w:abstractNum>
  <w:abstractNum w:abstractNumId="13" w15:restartNumberingAfterBreak="0">
    <w:nsid w:val="23C5019B"/>
    <w:multiLevelType w:val="hybridMultilevel"/>
    <w:tmpl w:val="6C1248FC"/>
    <w:lvl w:ilvl="0" w:tplc="B66285B6">
      <w:numFmt w:val="bullet"/>
      <w:lvlText w:val="-"/>
      <w:lvlJc w:val="left"/>
      <w:pPr>
        <w:ind w:left="146"/>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83E142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E096F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E897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AA2DE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FA107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F615A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F28C6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969F5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A53707B"/>
    <w:multiLevelType w:val="hybridMultilevel"/>
    <w:tmpl w:val="CD5A9570"/>
    <w:lvl w:ilvl="0" w:tplc="080A000B">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5" w15:restartNumberingAfterBreak="0">
    <w:nsid w:val="2D6C5237"/>
    <w:multiLevelType w:val="hybridMultilevel"/>
    <w:tmpl w:val="B008A56E"/>
    <w:lvl w:ilvl="0" w:tplc="080A000B">
      <w:start w:val="1"/>
      <w:numFmt w:val="bullet"/>
      <w:lvlText w:val=""/>
      <w:lvlJc w:val="left"/>
      <w:pPr>
        <w:ind w:left="866" w:hanging="360"/>
      </w:pPr>
      <w:rPr>
        <w:rFonts w:ascii="Wingdings" w:hAnsi="Wingdings" w:hint="default"/>
      </w:rPr>
    </w:lvl>
    <w:lvl w:ilvl="1" w:tplc="0C0A0003" w:tentative="1">
      <w:start w:val="1"/>
      <w:numFmt w:val="bullet"/>
      <w:lvlText w:val="o"/>
      <w:lvlJc w:val="left"/>
      <w:pPr>
        <w:ind w:left="1586" w:hanging="360"/>
      </w:pPr>
      <w:rPr>
        <w:rFonts w:ascii="Courier New" w:hAnsi="Courier New" w:cs="Courier New" w:hint="default"/>
      </w:rPr>
    </w:lvl>
    <w:lvl w:ilvl="2" w:tplc="0C0A0005" w:tentative="1">
      <w:start w:val="1"/>
      <w:numFmt w:val="bullet"/>
      <w:lvlText w:val=""/>
      <w:lvlJc w:val="left"/>
      <w:pPr>
        <w:ind w:left="2306" w:hanging="360"/>
      </w:pPr>
      <w:rPr>
        <w:rFonts w:ascii="Wingdings" w:hAnsi="Wingdings" w:hint="default"/>
      </w:rPr>
    </w:lvl>
    <w:lvl w:ilvl="3" w:tplc="0C0A0001" w:tentative="1">
      <w:start w:val="1"/>
      <w:numFmt w:val="bullet"/>
      <w:lvlText w:val=""/>
      <w:lvlJc w:val="left"/>
      <w:pPr>
        <w:ind w:left="3026" w:hanging="360"/>
      </w:pPr>
      <w:rPr>
        <w:rFonts w:ascii="Symbol" w:hAnsi="Symbol" w:hint="default"/>
      </w:rPr>
    </w:lvl>
    <w:lvl w:ilvl="4" w:tplc="0C0A0003" w:tentative="1">
      <w:start w:val="1"/>
      <w:numFmt w:val="bullet"/>
      <w:lvlText w:val="o"/>
      <w:lvlJc w:val="left"/>
      <w:pPr>
        <w:ind w:left="3746" w:hanging="360"/>
      </w:pPr>
      <w:rPr>
        <w:rFonts w:ascii="Courier New" w:hAnsi="Courier New" w:cs="Courier New" w:hint="default"/>
      </w:rPr>
    </w:lvl>
    <w:lvl w:ilvl="5" w:tplc="0C0A0005" w:tentative="1">
      <w:start w:val="1"/>
      <w:numFmt w:val="bullet"/>
      <w:lvlText w:val=""/>
      <w:lvlJc w:val="left"/>
      <w:pPr>
        <w:ind w:left="4466" w:hanging="360"/>
      </w:pPr>
      <w:rPr>
        <w:rFonts w:ascii="Wingdings" w:hAnsi="Wingdings" w:hint="default"/>
      </w:rPr>
    </w:lvl>
    <w:lvl w:ilvl="6" w:tplc="0C0A0001" w:tentative="1">
      <w:start w:val="1"/>
      <w:numFmt w:val="bullet"/>
      <w:lvlText w:val=""/>
      <w:lvlJc w:val="left"/>
      <w:pPr>
        <w:ind w:left="5186" w:hanging="360"/>
      </w:pPr>
      <w:rPr>
        <w:rFonts w:ascii="Symbol" w:hAnsi="Symbol" w:hint="default"/>
      </w:rPr>
    </w:lvl>
    <w:lvl w:ilvl="7" w:tplc="0C0A0003" w:tentative="1">
      <w:start w:val="1"/>
      <w:numFmt w:val="bullet"/>
      <w:lvlText w:val="o"/>
      <w:lvlJc w:val="left"/>
      <w:pPr>
        <w:ind w:left="5906" w:hanging="360"/>
      </w:pPr>
      <w:rPr>
        <w:rFonts w:ascii="Courier New" w:hAnsi="Courier New" w:cs="Courier New" w:hint="default"/>
      </w:rPr>
    </w:lvl>
    <w:lvl w:ilvl="8" w:tplc="0C0A0005" w:tentative="1">
      <w:start w:val="1"/>
      <w:numFmt w:val="bullet"/>
      <w:lvlText w:val=""/>
      <w:lvlJc w:val="left"/>
      <w:pPr>
        <w:ind w:left="6626" w:hanging="360"/>
      </w:pPr>
      <w:rPr>
        <w:rFonts w:ascii="Wingdings" w:hAnsi="Wingdings" w:hint="default"/>
      </w:rPr>
    </w:lvl>
  </w:abstractNum>
  <w:abstractNum w:abstractNumId="16" w15:restartNumberingAfterBreak="0">
    <w:nsid w:val="2FFA483D"/>
    <w:multiLevelType w:val="hybridMultilevel"/>
    <w:tmpl w:val="16369F0C"/>
    <w:lvl w:ilvl="0" w:tplc="B66285B6">
      <w:numFmt w:val="bullet"/>
      <w:lvlText w:val="-"/>
      <w:lvlJc w:val="left"/>
      <w:pPr>
        <w:ind w:left="720"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5320A6"/>
    <w:multiLevelType w:val="hybridMultilevel"/>
    <w:tmpl w:val="54664DB6"/>
    <w:lvl w:ilvl="0" w:tplc="080A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852B49"/>
    <w:multiLevelType w:val="hybridMultilevel"/>
    <w:tmpl w:val="B154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906F1"/>
    <w:multiLevelType w:val="hybridMultilevel"/>
    <w:tmpl w:val="F8B61640"/>
    <w:lvl w:ilvl="0" w:tplc="B66285B6">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FA3D12"/>
    <w:multiLevelType w:val="hybridMultilevel"/>
    <w:tmpl w:val="57A4A5A6"/>
    <w:lvl w:ilvl="0" w:tplc="080A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EF2951"/>
    <w:multiLevelType w:val="hybridMultilevel"/>
    <w:tmpl w:val="FFEA4A8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2" w15:restartNumberingAfterBreak="0">
    <w:nsid w:val="442334AF"/>
    <w:multiLevelType w:val="hybridMultilevel"/>
    <w:tmpl w:val="8528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3A71E6"/>
    <w:multiLevelType w:val="hybridMultilevel"/>
    <w:tmpl w:val="BB14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5" w15:restartNumberingAfterBreak="0">
    <w:nsid w:val="4BFA001A"/>
    <w:multiLevelType w:val="hybridMultilevel"/>
    <w:tmpl w:val="1F42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07E33"/>
    <w:multiLevelType w:val="hybridMultilevel"/>
    <w:tmpl w:val="5D621212"/>
    <w:lvl w:ilvl="0" w:tplc="080A000F">
      <w:start w:val="1"/>
      <w:numFmt w:val="decimal"/>
      <w:lvlText w:val="%1."/>
      <w:lvlJc w:val="left"/>
      <w:pPr>
        <w:ind w:left="705" w:hanging="360"/>
      </w:p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27" w15:restartNumberingAfterBreak="0">
    <w:nsid w:val="4CAD3FE2"/>
    <w:multiLevelType w:val="hybridMultilevel"/>
    <w:tmpl w:val="05E21BD8"/>
    <w:lvl w:ilvl="0" w:tplc="080A000B">
      <w:start w:val="1"/>
      <w:numFmt w:val="bullet"/>
      <w:lvlText w:val=""/>
      <w:lvlJc w:val="left"/>
      <w:pPr>
        <w:ind w:left="866" w:hanging="360"/>
      </w:pPr>
      <w:rPr>
        <w:rFonts w:ascii="Wingdings" w:hAnsi="Wingdings" w:hint="default"/>
      </w:rPr>
    </w:lvl>
    <w:lvl w:ilvl="1" w:tplc="0C0A0003" w:tentative="1">
      <w:start w:val="1"/>
      <w:numFmt w:val="bullet"/>
      <w:lvlText w:val="o"/>
      <w:lvlJc w:val="left"/>
      <w:pPr>
        <w:ind w:left="1586" w:hanging="360"/>
      </w:pPr>
      <w:rPr>
        <w:rFonts w:ascii="Courier New" w:hAnsi="Courier New" w:cs="Courier New" w:hint="default"/>
      </w:rPr>
    </w:lvl>
    <w:lvl w:ilvl="2" w:tplc="0C0A0005" w:tentative="1">
      <w:start w:val="1"/>
      <w:numFmt w:val="bullet"/>
      <w:lvlText w:val=""/>
      <w:lvlJc w:val="left"/>
      <w:pPr>
        <w:ind w:left="2306" w:hanging="360"/>
      </w:pPr>
      <w:rPr>
        <w:rFonts w:ascii="Wingdings" w:hAnsi="Wingdings" w:hint="default"/>
      </w:rPr>
    </w:lvl>
    <w:lvl w:ilvl="3" w:tplc="0C0A0001" w:tentative="1">
      <w:start w:val="1"/>
      <w:numFmt w:val="bullet"/>
      <w:lvlText w:val=""/>
      <w:lvlJc w:val="left"/>
      <w:pPr>
        <w:ind w:left="3026" w:hanging="360"/>
      </w:pPr>
      <w:rPr>
        <w:rFonts w:ascii="Symbol" w:hAnsi="Symbol" w:hint="default"/>
      </w:rPr>
    </w:lvl>
    <w:lvl w:ilvl="4" w:tplc="0C0A0003" w:tentative="1">
      <w:start w:val="1"/>
      <w:numFmt w:val="bullet"/>
      <w:lvlText w:val="o"/>
      <w:lvlJc w:val="left"/>
      <w:pPr>
        <w:ind w:left="3746" w:hanging="360"/>
      </w:pPr>
      <w:rPr>
        <w:rFonts w:ascii="Courier New" w:hAnsi="Courier New" w:cs="Courier New" w:hint="default"/>
      </w:rPr>
    </w:lvl>
    <w:lvl w:ilvl="5" w:tplc="0C0A0005" w:tentative="1">
      <w:start w:val="1"/>
      <w:numFmt w:val="bullet"/>
      <w:lvlText w:val=""/>
      <w:lvlJc w:val="left"/>
      <w:pPr>
        <w:ind w:left="4466" w:hanging="360"/>
      </w:pPr>
      <w:rPr>
        <w:rFonts w:ascii="Wingdings" w:hAnsi="Wingdings" w:hint="default"/>
      </w:rPr>
    </w:lvl>
    <w:lvl w:ilvl="6" w:tplc="0C0A0001" w:tentative="1">
      <w:start w:val="1"/>
      <w:numFmt w:val="bullet"/>
      <w:lvlText w:val=""/>
      <w:lvlJc w:val="left"/>
      <w:pPr>
        <w:ind w:left="5186" w:hanging="360"/>
      </w:pPr>
      <w:rPr>
        <w:rFonts w:ascii="Symbol" w:hAnsi="Symbol" w:hint="default"/>
      </w:rPr>
    </w:lvl>
    <w:lvl w:ilvl="7" w:tplc="0C0A0003" w:tentative="1">
      <w:start w:val="1"/>
      <w:numFmt w:val="bullet"/>
      <w:lvlText w:val="o"/>
      <w:lvlJc w:val="left"/>
      <w:pPr>
        <w:ind w:left="5906" w:hanging="360"/>
      </w:pPr>
      <w:rPr>
        <w:rFonts w:ascii="Courier New" w:hAnsi="Courier New" w:cs="Courier New" w:hint="default"/>
      </w:rPr>
    </w:lvl>
    <w:lvl w:ilvl="8" w:tplc="0C0A0005" w:tentative="1">
      <w:start w:val="1"/>
      <w:numFmt w:val="bullet"/>
      <w:lvlText w:val=""/>
      <w:lvlJc w:val="left"/>
      <w:pPr>
        <w:ind w:left="6626" w:hanging="360"/>
      </w:pPr>
      <w:rPr>
        <w:rFonts w:ascii="Wingdings" w:hAnsi="Wingdings" w:hint="default"/>
      </w:rPr>
    </w:lvl>
  </w:abstractNum>
  <w:abstractNum w:abstractNumId="28" w15:restartNumberingAfterBreak="0">
    <w:nsid w:val="4E0732A8"/>
    <w:multiLevelType w:val="hybridMultilevel"/>
    <w:tmpl w:val="4C0859D8"/>
    <w:lvl w:ilvl="0" w:tplc="B66285B6">
      <w:numFmt w:val="bullet"/>
      <w:lvlText w:val="-"/>
      <w:lvlJc w:val="left"/>
      <w:pPr>
        <w:ind w:left="720"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D71D9C"/>
    <w:multiLevelType w:val="hybridMultilevel"/>
    <w:tmpl w:val="22B02E6A"/>
    <w:lvl w:ilvl="0" w:tplc="080A0001">
      <w:start w:val="1"/>
      <w:numFmt w:val="bullet"/>
      <w:lvlText w:val=""/>
      <w:lvlJc w:val="left"/>
      <w:pPr>
        <w:ind w:left="14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83E142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E096F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E897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AA2DE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FA107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F615A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F28C6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969F5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1B37EEA"/>
    <w:multiLevelType w:val="hybridMultilevel"/>
    <w:tmpl w:val="AEBE19C2"/>
    <w:lvl w:ilvl="0" w:tplc="080A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786F13"/>
    <w:multiLevelType w:val="hybridMultilevel"/>
    <w:tmpl w:val="D264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E1E2B"/>
    <w:multiLevelType w:val="hybridMultilevel"/>
    <w:tmpl w:val="3AB6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681036"/>
    <w:multiLevelType w:val="hybridMultilevel"/>
    <w:tmpl w:val="5A14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CA41DC"/>
    <w:multiLevelType w:val="hybridMultilevel"/>
    <w:tmpl w:val="95FEC500"/>
    <w:lvl w:ilvl="0" w:tplc="0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70E69A9"/>
    <w:multiLevelType w:val="hybridMultilevel"/>
    <w:tmpl w:val="85F44518"/>
    <w:lvl w:ilvl="0" w:tplc="080A000B">
      <w:start w:val="1"/>
      <w:numFmt w:val="bullet"/>
      <w:lvlText w:val=""/>
      <w:lvlJc w:val="left"/>
      <w:pPr>
        <w:ind w:left="1222"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36" w15:restartNumberingAfterBreak="0">
    <w:nsid w:val="57577026"/>
    <w:multiLevelType w:val="hybridMultilevel"/>
    <w:tmpl w:val="E16C958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8672963"/>
    <w:multiLevelType w:val="hybridMultilevel"/>
    <w:tmpl w:val="F24CF2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0C4155B"/>
    <w:multiLevelType w:val="hybridMultilevel"/>
    <w:tmpl w:val="5F12A8B8"/>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1177781"/>
    <w:multiLevelType w:val="hybridMultilevel"/>
    <w:tmpl w:val="97729098"/>
    <w:lvl w:ilvl="0" w:tplc="080A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4F559C9"/>
    <w:multiLevelType w:val="hybridMultilevel"/>
    <w:tmpl w:val="139833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342DD9"/>
    <w:multiLevelType w:val="hybridMultilevel"/>
    <w:tmpl w:val="20B87406"/>
    <w:lvl w:ilvl="0" w:tplc="B66285B6">
      <w:numFmt w:val="bullet"/>
      <w:lvlText w:val="-"/>
      <w:lvlJc w:val="left"/>
      <w:pPr>
        <w:ind w:left="1222"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42" w15:restartNumberingAfterBreak="0">
    <w:nsid w:val="6A5B04DA"/>
    <w:multiLevelType w:val="hybridMultilevel"/>
    <w:tmpl w:val="583A44CA"/>
    <w:lvl w:ilvl="0" w:tplc="2E6EBE0C">
      <w:start w:val="1"/>
      <w:numFmt w:val="bullet"/>
      <w:lvlText w:val=""/>
      <w:lvlJc w:val="left"/>
      <w:pPr>
        <w:ind w:left="146" w:firstLine="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83E142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E096F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E897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AA2DE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FA107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F615A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F28C6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969F5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DCD2DC5"/>
    <w:multiLevelType w:val="hybridMultilevel"/>
    <w:tmpl w:val="589A748C"/>
    <w:lvl w:ilvl="0" w:tplc="89CE412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52856"/>
    <w:multiLevelType w:val="hybridMultilevel"/>
    <w:tmpl w:val="9D8A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AD3095"/>
    <w:multiLevelType w:val="hybridMultilevel"/>
    <w:tmpl w:val="0EBED176"/>
    <w:lvl w:ilvl="0" w:tplc="08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F5D7025"/>
    <w:multiLevelType w:val="hybridMultilevel"/>
    <w:tmpl w:val="37503FE0"/>
    <w:lvl w:ilvl="0" w:tplc="B66285B6">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34"/>
  </w:num>
  <w:num w:numId="4">
    <w:abstractNumId w:val="37"/>
  </w:num>
  <w:num w:numId="5">
    <w:abstractNumId w:val="26"/>
  </w:num>
  <w:num w:numId="6">
    <w:abstractNumId w:val="42"/>
  </w:num>
  <w:num w:numId="7">
    <w:abstractNumId w:val="16"/>
  </w:num>
  <w:num w:numId="8">
    <w:abstractNumId w:val="27"/>
  </w:num>
  <w:num w:numId="9">
    <w:abstractNumId w:val="21"/>
  </w:num>
  <w:num w:numId="10">
    <w:abstractNumId w:val="28"/>
  </w:num>
  <w:num w:numId="11">
    <w:abstractNumId w:val="39"/>
  </w:num>
  <w:num w:numId="12">
    <w:abstractNumId w:val="10"/>
  </w:num>
  <w:num w:numId="13">
    <w:abstractNumId w:val="29"/>
  </w:num>
  <w:num w:numId="14">
    <w:abstractNumId w:val="13"/>
  </w:num>
  <w:num w:numId="15">
    <w:abstractNumId w:val="1"/>
  </w:num>
  <w:num w:numId="16">
    <w:abstractNumId w:val="15"/>
  </w:num>
  <w:num w:numId="17">
    <w:abstractNumId w:val="9"/>
  </w:num>
  <w:num w:numId="18">
    <w:abstractNumId w:val="14"/>
  </w:num>
  <w:num w:numId="19">
    <w:abstractNumId w:val="41"/>
  </w:num>
  <w:num w:numId="20">
    <w:abstractNumId w:val="19"/>
  </w:num>
  <w:num w:numId="21">
    <w:abstractNumId w:val="46"/>
  </w:num>
  <w:num w:numId="22">
    <w:abstractNumId w:val="35"/>
  </w:num>
  <w:num w:numId="23">
    <w:abstractNumId w:val="44"/>
  </w:num>
  <w:num w:numId="24">
    <w:abstractNumId w:val="43"/>
  </w:num>
  <w:num w:numId="25">
    <w:abstractNumId w:val="12"/>
  </w:num>
  <w:num w:numId="26">
    <w:abstractNumId w:val="45"/>
  </w:num>
  <w:num w:numId="27">
    <w:abstractNumId w:val="30"/>
  </w:num>
  <w:num w:numId="28">
    <w:abstractNumId w:val="17"/>
  </w:num>
  <w:num w:numId="29">
    <w:abstractNumId w:val="20"/>
  </w:num>
  <w:num w:numId="30">
    <w:abstractNumId w:val="38"/>
  </w:num>
  <w:num w:numId="31">
    <w:abstractNumId w:val="40"/>
  </w:num>
  <w:num w:numId="32">
    <w:abstractNumId w:val="36"/>
  </w:num>
  <w:num w:numId="33">
    <w:abstractNumId w:val="18"/>
  </w:num>
  <w:num w:numId="34">
    <w:abstractNumId w:val="4"/>
  </w:num>
  <w:num w:numId="35">
    <w:abstractNumId w:val="7"/>
  </w:num>
  <w:num w:numId="36">
    <w:abstractNumId w:val="0"/>
  </w:num>
  <w:num w:numId="37">
    <w:abstractNumId w:val="11"/>
  </w:num>
  <w:num w:numId="38">
    <w:abstractNumId w:val="23"/>
  </w:num>
  <w:num w:numId="39">
    <w:abstractNumId w:val="6"/>
  </w:num>
  <w:num w:numId="40">
    <w:abstractNumId w:val="5"/>
  </w:num>
  <w:num w:numId="41">
    <w:abstractNumId w:val="22"/>
  </w:num>
  <w:num w:numId="42">
    <w:abstractNumId w:val="8"/>
  </w:num>
  <w:num w:numId="43">
    <w:abstractNumId w:val="2"/>
  </w:num>
  <w:num w:numId="44">
    <w:abstractNumId w:val="33"/>
  </w:num>
  <w:num w:numId="45">
    <w:abstractNumId w:val="25"/>
  </w:num>
  <w:num w:numId="46">
    <w:abstractNumId w:val="31"/>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0F"/>
    <w:rsid w:val="00057F45"/>
    <w:rsid w:val="000D3958"/>
    <w:rsid w:val="000F3690"/>
    <w:rsid w:val="001221D1"/>
    <w:rsid w:val="00165CB5"/>
    <w:rsid w:val="00180CE9"/>
    <w:rsid w:val="00230DD5"/>
    <w:rsid w:val="00250AE9"/>
    <w:rsid w:val="00380D64"/>
    <w:rsid w:val="00391509"/>
    <w:rsid w:val="003E03D5"/>
    <w:rsid w:val="00486BFA"/>
    <w:rsid w:val="00493701"/>
    <w:rsid w:val="004D2823"/>
    <w:rsid w:val="004E2065"/>
    <w:rsid w:val="005508A2"/>
    <w:rsid w:val="0055115D"/>
    <w:rsid w:val="00566F71"/>
    <w:rsid w:val="005918BD"/>
    <w:rsid w:val="005B5491"/>
    <w:rsid w:val="006173A6"/>
    <w:rsid w:val="00675476"/>
    <w:rsid w:val="00685DB2"/>
    <w:rsid w:val="006C2322"/>
    <w:rsid w:val="007C430F"/>
    <w:rsid w:val="007D2D0C"/>
    <w:rsid w:val="007D614D"/>
    <w:rsid w:val="00915D3C"/>
    <w:rsid w:val="00960D6A"/>
    <w:rsid w:val="009A0560"/>
    <w:rsid w:val="009B0917"/>
    <w:rsid w:val="009F0F96"/>
    <w:rsid w:val="00A1510F"/>
    <w:rsid w:val="00A23C0C"/>
    <w:rsid w:val="00A477DE"/>
    <w:rsid w:val="00A66186"/>
    <w:rsid w:val="00A71E65"/>
    <w:rsid w:val="00AE044C"/>
    <w:rsid w:val="00B31971"/>
    <w:rsid w:val="00B4380A"/>
    <w:rsid w:val="00B66ECB"/>
    <w:rsid w:val="00BC0C01"/>
    <w:rsid w:val="00C7523A"/>
    <w:rsid w:val="00CC1B6E"/>
    <w:rsid w:val="00CC376A"/>
    <w:rsid w:val="00CC48A1"/>
    <w:rsid w:val="00CF50E0"/>
    <w:rsid w:val="00D85951"/>
    <w:rsid w:val="00E30288"/>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055C6E"/>
  <w15:docId w15:val="{77309D95-6644-4FB4-B7AE-D6649666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A1510F"/>
    <w:pPr>
      <w:keepNext/>
      <w:keepLines/>
      <w:spacing w:before="240"/>
      <w:outlineLvl w:val="0"/>
    </w:pPr>
    <w:rPr>
      <w:rFonts w:ascii="Calibri Light" w:eastAsia="等线 Light" w:hAnsi="Calibri Light"/>
      <w:color w:val="2F5496"/>
      <w:sz w:val="32"/>
      <w:szCs w:val="32"/>
      <w:lang w:val="es-ES" w:eastAsia="es-ES"/>
    </w:rPr>
  </w:style>
  <w:style w:type="paragraph" w:styleId="Ttulo2">
    <w:name w:val="heading 2"/>
    <w:basedOn w:val="Normal"/>
    <w:next w:val="Normal"/>
    <w:link w:val="Ttulo2Car"/>
    <w:uiPriority w:val="9"/>
    <w:semiHidden/>
    <w:unhideWhenUsed/>
    <w:qFormat/>
    <w:rsid w:val="00A1510F"/>
    <w:pPr>
      <w:keepNext/>
      <w:keepLines/>
      <w:spacing w:before="40"/>
      <w:outlineLvl w:val="1"/>
    </w:pPr>
    <w:rPr>
      <w:rFonts w:ascii="Calibri Light" w:eastAsia="等线 Light" w:hAnsi="Calibri Light"/>
      <w:color w:val="2F5496"/>
      <w:sz w:val="26"/>
      <w:szCs w:val="26"/>
      <w:lang w:val="es-ES" w:eastAsia="es-ES"/>
    </w:rPr>
  </w:style>
  <w:style w:type="paragraph" w:styleId="Ttulo3">
    <w:name w:val="heading 3"/>
    <w:basedOn w:val="Normal"/>
    <w:next w:val="Normal"/>
    <w:link w:val="Ttulo3Car"/>
    <w:uiPriority w:val="9"/>
    <w:semiHidden/>
    <w:unhideWhenUsed/>
    <w:qFormat/>
    <w:rsid w:val="00A1510F"/>
    <w:pPr>
      <w:keepNext/>
      <w:keepLines/>
      <w:spacing w:before="40"/>
      <w:outlineLvl w:val="2"/>
    </w:pPr>
    <w:rPr>
      <w:rFonts w:ascii="Calibri Light" w:eastAsia="等线 Light" w:hAnsi="Calibri Light"/>
      <w:color w:val="1F3763"/>
      <w:lang w:val="es-ES" w:eastAsia="es-ES"/>
    </w:rPr>
  </w:style>
  <w:style w:type="paragraph" w:styleId="Ttulo4">
    <w:name w:val="heading 4"/>
    <w:basedOn w:val="Normal"/>
    <w:next w:val="Normal"/>
    <w:link w:val="Ttulo4Car"/>
    <w:uiPriority w:val="9"/>
    <w:semiHidden/>
    <w:unhideWhenUsed/>
    <w:qFormat/>
    <w:rsid w:val="00A1510F"/>
    <w:pPr>
      <w:keepNext/>
      <w:keepLines/>
      <w:spacing w:before="40"/>
      <w:outlineLvl w:val="3"/>
    </w:pPr>
    <w:rPr>
      <w:rFonts w:ascii="Calibri Light" w:eastAsia="等线 Light" w:hAnsi="Calibri Light"/>
      <w:i/>
      <w:iCs/>
      <w:color w:val="2F5496"/>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paragraph" w:customStyle="1" w:styleId="Ttulo11">
    <w:name w:val="Título 11"/>
    <w:basedOn w:val="Normal"/>
    <w:next w:val="Normal"/>
    <w:uiPriority w:val="9"/>
    <w:qFormat/>
    <w:rsid w:val="00A1510F"/>
    <w:pPr>
      <w:keepNext/>
      <w:keepLines/>
      <w:spacing w:before="240" w:line="259" w:lineRule="auto"/>
      <w:outlineLvl w:val="0"/>
    </w:pPr>
    <w:rPr>
      <w:rFonts w:ascii="Calibri Light" w:eastAsia="等线 Light" w:hAnsi="Calibri Light"/>
      <w:color w:val="2F5496"/>
      <w:sz w:val="32"/>
      <w:szCs w:val="32"/>
      <w:lang w:val="es-MX" w:eastAsia="en-US"/>
    </w:rPr>
  </w:style>
  <w:style w:type="paragraph" w:customStyle="1" w:styleId="Ttulo21">
    <w:name w:val="Título 21"/>
    <w:basedOn w:val="Normal"/>
    <w:next w:val="Normal"/>
    <w:uiPriority w:val="9"/>
    <w:semiHidden/>
    <w:unhideWhenUsed/>
    <w:qFormat/>
    <w:rsid w:val="00A1510F"/>
    <w:pPr>
      <w:keepNext/>
      <w:keepLines/>
      <w:spacing w:before="40" w:line="259" w:lineRule="auto"/>
      <w:outlineLvl w:val="1"/>
    </w:pPr>
    <w:rPr>
      <w:rFonts w:ascii="Calibri Light" w:eastAsia="等线 Light" w:hAnsi="Calibri Light"/>
      <w:color w:val="2F5496"/>
      <w:sz w:val="26"/>
      <w:szCs w:val="26"/>
      <w:lang w:val="es-MX" w:eastAsia="en-US"/>
    </w:rPr>
  </w:style>
  <w:style w:type="paragraph" w:customStyle="1" w:styleId="Ttulo31">
    <w:name w:val="Título 31"/>
    <w:basedOn w:val="Normal"/>
    <w:next w:val="Normal"/>
    <w:uiPriority w:val="9"/>
    <w:semiHidden/>
    <w:unhideWhenUsed/>
    <w:qFormat/>
    <w:rsid w:val="00A1510F"/>
    <w:pPr>
      <w:keepNext/>
      <w:keepLines/>
      <w:spacing w:before="40" w:line="259" w:lineRule="auto"/>
      <w:outlineLvl w:val="2"/>
    </w:pPr>
    <w:rPr>
      <w:rFonts w:ascii="Calibri Light" w:eastAsia="等线 Light" w:hAnsi="Calibri Light"/>
      <w:color w:val="1F3763"/>
      <w:lang w:val="es-MX" w:eastAsia="en-US"/>
    </w:rPr>
  </w:style>
  <w:style w:type="paragraph" w:customStyle="1" w:styleId="Ttulo41">
    <w:name w:val="Título 41"/>
    <w:basedOn w:val="Normal"/>
    <w:next w:val="Normal"/>
    <w:uiPriority w:val="9"/>
    <w:semiHidden/>
    <w:unhideWhenUsed/>
    <w:qFormat/>
    <w:rsid w:val="00A1510F"/>
    <w:pPr>
      <w:keepNext/>
      <w:keepLines/>
      <w:spacing w:before="40" w:line="259" w:lineRule="auto"/>
      <w:outlineLvl w:val="3"/>
    </w:pPr>
    <w:rPr>
      <w:rFonts w:ascii="Calibri Light" w:eastAsia="等线 Light" w:hAnsi="Calibri Light"/>
      <w:i/>
      <w:iCs/>
      <w:color w:val="2F5496"/>
      <w:sz w:val="22"/>
      <w:szCs w:val="22"/>
      <w:lang w:val="es-MX" w:eastAsia="en-US"/>
    </w:rPr>
  </w:style>
  <w:style w:type="numbering" w:customStyle="1" w:styleId="Sinlista1">
    <w:name w:val="Sin lista1"/>
    <w:next w:val="Sinlista"/>
    <w:uiPriority w:val="99"/>
    <w:semiHidden/>
    <w:unhideWhenUsed/>
    <w:rsid w:val="00A1510F"/>
  </w:style>
  <w:style w:type="paragraph" w:styleId="Prrafodelista">
    <w:name w:val="List Paragraph"/>
    <w:basedOn w:val="Normal"/>
    <w:uiPriority w:val="34"/>
    <w:qFormat/>
    <w:rsid w:val="00A1510F"/>
    <w:pPr>
      <w:spacing w:after="160" w:line="259" w:lineRule="auto"/>
      <w:ind w:left="720"/>
      <w:contextualSpacing/>
    </w:pPr>
    <w:rPr>
      <w:rFonts w:ascii="Calibri" w:eastAsia="Calibri" w:hAnsi="Calibri"/>
      <w:sz w:val="22"/>
      <w:szCs w:val="22"/>
      <w:lang w:val="es-MX" w:eastAsia="en-US"/>
    </w:rPr>
  </w:style>
  <w:style w:type="paragraph" w:styleId="HTMLconformatoprevio">
    <w:name w:val="HTML Preformatted"/>
    <w:basedOn w:val="Normal"/>
    <w:link w:val="HTMLconformatoprevioCar"/>
    <w:uiPriority w:val="99"/>
    <w:semiHidden/>
    <w:unhideWhenUsed/>
    <w:rsid w:val="00A1510F"/>
    <w:rPr>
      <w:rFonts w:ascii="Consolas" w:eastAsia="Calibri" w:hAnsi="Consolas"/>
      <w:sz w:val="20"/>
      <w:szCs w:val="20"/>
      <w:lang w:val="es-MX" w:eastAsia="en-US"/>
    </w:rPr>
  </w:style>
  <w:style w:type="character" w:customStyle="1" w:styleId="HTMLconformatoprevioCar">
    <w:name w:val="HTML con formato previo Car"/>
    <w:basedOn w:val="Fuentedeprrafopredeter"/>
    <w:link w:val="HTMLconformatoprevio"/>
    <w:uiPriority w:val="99"/>
    <w:semiHidden/>
    <w:rsid w:val="00A1510F"/>
    <w:rPr>
      <w:rFonts w:ascii="Consolas" w:eastAsia="Calibri" w:hAnsi="Consolas"/>
      <w:lang w:val="es-MX" w:eastAsia="en-US"/>
    </w:rPr>
  </w:style>
  <w:style w:type="table" w:customStyle="1" w:styleId="Tablaconcuadrcula1">
    <w:name w:val="Tabla con cuadrícula1"/>
    <w:basedOn w:val="Tablanormal"/>
    <w:next w:val="Tablaconcuadrcula"/>
    <w:uiPriority w:val="39"/>
    <w:rsid w:val="00A1510F"/>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A1510F"/>
    <w:rPr>
      <w:color w:val="605E5C"/>
      <w:shd w:val="clear" w:color="auto" w:fill="E1DFDD"/>
    </w:rPr>
  </w:style>
  <w:style w:type="character" w:customStyle="1" w:styleId="viiyi">
    <w:name w:val="viiyi"/>
    <w:basedOn w:val="Fuentedeprrafopredeter"/>
    <w:rsid w:val="00A1510F"/>
  </w:style>
  <w:style w:type="character" w:customStyle="1" w:styleId="q4iawc">
    <w:name w:val="q4iawc"/>
    <w:basedOn w:val="Fuentedeprrafopredeter"/>
    <w:rsid w:val="00A1510F"/>
  </w:style>
  <w:style w:type="table" w:customStyle="1" w:styleId="Sombreadoclaro1">
    <w:name w:val="Sombreado claro1"/>
    <w:basedOn w:val="Tablanormal"/>
    <w:uiPriority w:val="60"/>
    <w:rsid w:val="00A1510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encinsinresolver2">
    <w:name w:val="Mención sin resolver2"/>
    <w:basedOn w:val="Fuentedeprrafopredeter"/>
    <w:uiPriority w:val="99"/>
    <w:semiHidden/>
    <w:unhideWhenUsed/>
    <w:rsid w:val="00A1510F"/>
    <w:rPr>
      <w:color w:val="605E5C"/>
      <w:shd w:val="clear" w:color="auto" w:fill="E1DFDD"/>
    </w:rPr>
  </w:style>
  <w:style w:type="character" w:customStyle="1" w:styleId="Ttulo1Car">
    <w:name w:val="Título 1 Car"/>
    <w:basedOn w:val="Fuentedeprrafopredeter"/>
    <w:link w:val="Ttulo1"/>
    <w:uiPriority w:val="9"/>
    <w:rsid w:val="00A1510F"/>
    <w:rPr>
      <w:rFonts w:ascii="Calibri Light" w:eastAsia="等线 Light" w:hAnsi="Calibri Light" w:cs="Times New Roman"/>
      <w:color w:val="2F5496"/>
      <w:sz w:val="32"/>
      <w:szCs w:val="32"/>
    </w:rPr>
  </w:style>
  <w:style w:type="character" w:customStyle="1" w:styleId="Mencinsinresolver3">
    <w:name w:val="Mención sin resolver3"/>
    <w:basedOn w:val="Fuentedeprrafopredeter"/>
    <w:uiPriority w:val="99"/>
    <w:semiHidden/>
    <w:unhideWhenUsed/>
    <w:rsid w:val="00A1510F"/>
    <w:rPr>
      <w:color w:val="605E5C"/>
      <w:shd w:val="clear" w:color="auto" w:fill="E1DFDD"/>
    </w:rPr>
  </w:style>
  <w:style w:type="character" w:customStyle="1" w:styleId="Hipervnculovisitado1">
    <w:name w:val="Hipervínculo visitado1"/>
    <w:basedOn w:val="Fuentedeprrafopredeter"/>
    <w:uiPriority w:val="99"/>
    <w:semiHidden/>
    <w:unhideWhenUsed/>
    <w:rsid w:val="00A1510F"/>
    <w:rPr>
      <w:color w:val="954F72"/>
      <w:u w:val="single"/>
    </w:rPr>
  </w:style>
  <w:style w:type="character" w:customStyle="1" w:styleId="Ttulo3Car">
    <w:name w:val="Título 3 Car"/>
    <w:basedOn w:val="Fuentedeprrafopredeter"/>
    <w:link w:val="Ttulo3"/>
    <w:uiPriority w:val="9"/>
    <w:semiHidden/>
    <w:rsid w:val="00A1510F"/>
    <w:rPr>
      <w:rFonts w:ascii="Calibri Light" w:eastAsia="等线 Light" w:hAnsi="Calibri Light" w:cs="Times New Roman"/>
      <w:color w:val="1F3763"/>
      <w:sz w:val="24"/>
      <w:szCs w:val="24"/>
    </w:rPr>
  </w:style>
  <w:style w:type="character" w:styleId="Refdecomentario">
    <w:name w:val="annotation reference"/>
    <w:basedOn w:val="Fuentedeprrafopredeter"/>
    <w:uiPriority w:val="99"/>
    <w:semiHidden/>
    <w:unhideWhenUsed/>
    <w:rsid w:val="00A1510F"/>
    <w:rPr>
      <w:sz w:val="16"/>
      <w:szCs w:val="16"/>
    </w:rPr>
  </w:style>
  <w:style w:type="paragraph" w:styleId="Textocomentario">
    <w:name w:val="annotation text"/>
    <w:basedOn w:val="Normal"/>
    <w:link w:val="TextocomentarioCar"/>
    <w:uiPriority w:val="99"/>
    <w:unhideWhenUsed/>
    <w:qFormat/>
    <w:rsid w:val="00A1510F"/>
    <w:pPr>
      <w:spacing w:after="160"/>
    </w:pPr>
    <w:rPr>
      <w:rFonts w:ascii="Calibri" w:eastAsia="Calibri" w:hAnsi="Calibri"/>
      <w:sz w:val="20"/>
      <w:szCs w:val="20"/>
      <w:lang w:val="es-MX" w:eastAsia="en-US"/>
    </w:rPr>
  </w:style>
  <w:style w:type="character" w:customStyle="1" w:styleId="TextocomentarioCar">
    <w:name w:val="Texto comentario Car"/>
    <w:basedOn w:val="Fuentedeprrafopredeter"/>
    <w:link w:val="Textocomentario"/>
    <w:uiPriority w:val="99"/>
    <w:qFormat/>
    <w:rsid w:val="00A1510F"/>
    <w:rPr>
      <w:rFonts w:ascii="Calibri" w:eastAsia="Calibri" w:hAnsi="Calibri"/>
      <w:lang w:val="es-MX" w:eastAsia="en-US"/>
    </w:rPr>
  </w:style>
  <w:style w:type="paragraph" w:styleId="Asuntodelcomentario">
    <w:name w:val="annotation subject"/>
    <w:basedOn w:val="Textocomentario"/>
    <w:next w:val="Textocomentario"/>
    <w:link w:val="AsuntodelcomentarioCar"/>
    <w:uiPriority w:val="99"/>
    <w:semiHidden/>
    <w:unhideWhenUsed/>
    <w:rsid w:val="00A1510F"/>
    <w:rPr>
      <w:b/>
      <w:bCs/>
    </w:rPr>
  </w:style>
  <w:style w:type="character" w:customStyle="1" w:styleId="AsuntodelcomentarioCar">
    <w:name w:val="Asunto del comentario Car"/>
    <w:basedOn w:val="TextocomentarioCar"/>
    <w:link w:val="Asuntodelcomentario"/>
    <w:uiPriority w:val="99"/>
    <w:semiHidden/>
    <w:rsid w:val="00A1510F"/>
    <w:rPr>
      <w:rFonts w:ascii="Calibri" w:eastAsia="Calibri" w:hAnsi="Calibri"/>
      <w:b/>
      <w:bCs/>
      <w:lang w:val="es-MX" w:eastAsia="en-US"/>
    </w:rPr>
  </w:style>
  <w:style w:type="character" w:customStyle="1" w:styleId="Mencinsinresolver4">
    <w:name w:val="Mención sin resolver4"/>
    <w:basedOn w:val="Fuentedeprrafopredeter"/>
    <w:uiPriority w:val="99"/>
    <w:semiHidden/>
    <w:unhideWhenUsed/>
    <w:rsid w:val="00A1510F"/>
    <w:rPr>
      <w:color w:val="605E5C"/>
      <w:shd w:val="clear" w:color="auto" w:fill="E1DFDD"/>
    </w:rPr>
  </w:style>
  <w:style w:type="character" w:customStyle="1" w:styleId="ment">
    <w:name w:val="ment"/>
    <w:basedOn w:val="Fuentedeprrafopredeter"/>
    <w:rsid w:val="00A1510F"/>
  </w:style>
  <w:style w:type="paragraph" w:customStyle="1" w:styleId="n2">
    <w:name w:val="n2"/>
    <w:basedOn w:val="Normal"/>
    <w:rsid w:val="00A1510F"/>
    <w:pPr>
      <w:spacing w:before="100" w:beforeAutospacing="1" w:after="100" w:afterAutospacing="1"/>
    </w:pPr>
    <w:rPr>
      <w:lang w:val="es-ES" w:eastAsia="es-ES"/>
    </w:rPr>
  </w:style>
  <w:style w:type="character" w:styleId="nfasis">
    <w:name w:val="Emphasis"/>
    <w:basedOn w:val="Fuentedeprrafopredeter"/>
    <w:uiPriority w:val="20"/>
    <w:qFormat/>
    <w:rsid w:val="00A1510F"/>
    <w:rPr>
      <w:i/>
      <w:iCs/>
    </w:rPr>
  </w:style>
  <w:style w:type="paragraph" w:customStyle="1" w:styleId="j">
    <w:name w:val="j"/>
    <w:basedOn w:val="Normal"/>
    <w:rsid w:val="00A1510F"/>
    <w:pPr>
      <w:spacing w:before="100" w:beforeAutospacing="1" w:after="100" w:afterAutospacing="1"/>
    </w:pPr>
    <w:rPr>
      <w:lang w:val="es-ES" w:eastAsia="es-ES"/>
    </w:rPr>
  </w:style>
  <w:style w:type="character" w:customStyle="1" w:styleId="nacep">
    <w:name w:val="n_acep"/>
    <w:basedOn w:val="Fuentedeprrafopredeter"/>
    <w:rsid w:val="00A1510F"/>
  </w:style>
  <w:style w:type="paragraph" w:styleId="Textoindependiente">
    <w:name w:val="Body Text"/>
    <w:basedOn w:val="Normal"/>
    <w:link w:val="TextoindependienteCar"/>
    <w:uiPriority w:val="99"/>
    <w:unhideWhenUsed/>
    <w:rsid w:val="00A1510F"/>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A1510F"/>
    <w:rPr>
      <w:rFonts w:ascii="Arial" w:hAnsi="Arial" w:cs="Arial"/>
      <w:sz w:val="12"/>
      <w:szCs w:val="12"/>
    </w:rPr>
  </w:style>
  <w:style w:type="character" w:customStyle="1" w:styleId="Ttulo4Car">
    <w:name w:val="Título 4 Car"/>
    <w:basedOn w:val="Fuentedeprrafopredeter"/>
    <w:link w:val="Ttulo4"/>
    <w:uiPriority w:val="9"/>
    <w:semiHidden/>
    <w:rsid w:val="00A1510F"/>
    <w:rPr>
      <w:rFonts w:ascii="Calibri Light" w:eastAsia="等线 Light" w:hAnsi="Calibri Light" w:cs="Times New Roman"/>
      <w:i/>
      <w:iCs/>
      <w:color w:val="2F5496"/>
    </w:rPr>
  </w:style>
  <w:style w:type="character" w:customStyle="1" w:styleId="Ttulo2Car">
    <w:name w:val="Título 2 Car"/>
    <w:basedOn w:val="Fuentedeprrafopredeter"/>
    <w:link w:val="Ttulo2"/>
    <w:uiPriority w:val="9"/>
    <w:semiHidden/>
    <w:rsid w:val="00A1510F"/>
    <w:rPr>
      <w:rFonts w:ascii="Calibri Light" w:eastAsia="等线 Light" w:hAnsi="Calibri Light" w:cs="Times New Roman"/>
      <w:color w:val="2F5496"/>
      <w:sz w:val="26"/>
      <w:szCs w:val="26"/>
    </w:rPr>
  </w:style>
  <w:style w:type="character" w:customStyle="1" w:styleId="Mencinsinresolver5">
    <w:name w:val="Mención sin resolver5"/>
    <w:basedOn w:val="Fuentedeprrafopredeter"/>
    <w:uiPriority w:val="99"/>
    <w:semiHidden/>
    <w:unhideWhenUsed/>
    <w:rsid w:val="00A1510F"/>
    <w:rPr>
      <w:color w:val="605E5C"/>
      <w:shd w:val="clear" w:color="auto" w:fill="E1DFDD"/>
    </w:rPr>
  </w:style>
  <w:style w:type="character" w:customStyle="1" w:styleId="Mencinsinresolver6">
    <w:name w:val="Mención sin resolver6"/>
    <w:basedOn w:val="Fuentedeprrafopredeter"/>
    <w:uiPriority w:val="99"/>
    <w:semiHidden/>
    <w:unhideWhenUsed/>
    <w:rsid w:val="00A1510F"/>
    <w:rPr>
      <w:color w:val="605E5C"/>
      <w:shd w:val="clear" w:color="auto" w:fill="E1DFDD"/>
    </w:rPr>
  </w:style>
  <w:style w:type="character" w:customStyle="1" w:styleId="Ttulo1Car1">
    <w:name w:val="Título 1 Car1"/>
    <w:basedOn w:val="Fuentedeprrafopredeter"/>
    <w:link w:val="Ttulo1"/>
    <w:rsid w:val="00A1510F"/>
    <w:rPr>
      <w:rFonts w:asciiTheme="majorHAnsi" w:eastAsiaTheme="majorEastAsia" w:hAnsiTheme="majorHAnsi" w:cstheme="majorBidi"/>
      <w:color w:val="365F91" w:themeColor="accent1" w:themeShade="BF"/>
      <w:sz w:val="32"/>
      <w:szCs w:val="32"/>
      <w:lang w:val="es-ES_tradnl" w:eastAsia="es-ES_tradnl"/>
    </w:rPr>
  </w:style>
  <w:style w:type="character" w:styleId="Hipervnculovisitado">
    <w:name w:val="FollowedHyperlink"/>
    <w:basedOn w:val="Fuentedeprrafopredeter"/>
    <w:semiHidden/>
    <w:unhideWhenUsed/>
    <w:rsid w:val="00A1510F"/>
    <w:rPr>
      <w:color w:val="800080" w:themeColor="followedHyperlink"/>
      <w:u w:val="single"/>
    </w:rPr>
  </w:style>
  <w:style w:type="character" w:customStyle="1" w:styleId="Ttulo3Car1">
    <w:name w:val="Título 3 Car1"/>
    <w:basedOn w:val="Fuentedeprrafopredeter"/>
    <w:link w:val="Ttulo3"/>
    <w:semiHidden/>
    <w:rsid w:val="00A1510F"/>
    <w:rPr>
      <w:rFonts w:asciiTheme="majorHAnsi" w:eastAsiaTheme="majorEastAsia" w:hAnsiTheme="majorHAnsi" w:cstheme="majorBidi"/>
      <w:color w:val="243F60" w:themeColor="accent1" w:themeShade="7F"/>
      <w:sz w:val="24"/>
      <w:szCs w:val="24"/>
      <w:lang w:val="es-ES_tradnl" w:eastAsia="es-ES_tradnl"/>
    </w:rPr>
  </w:style>
  <w:style w:type="character" w:customStyle="1" w:styleId="Ttulo4Car1">
    <w:name w:val="Título 4 Car1"/>
    <w:basedOn w:val="Fuentedeprrafopredeter"/>
    <w:link w:val="Ttulo4"/>
    <w:semiHidden/>
    <w:rsid w:val="00A1510F"/>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Ttulo2Car1">
    <w:name w:val="Título 2 Car1"/>
    <w:basedOn w:val="Fuentedeprrafopredeter"/>
    <w:link w:val="Ttulo2"/>
    <w:semiHidden/>
    <w:rsid w:val="00A1510F"/>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4333-4030" TargetMode="External"/><Relationship Id="rId18" Type="http://schemas.openxmlformats.org/officeDocument/2006/relationships/image" Target="media/image4.png"/><Relationship Id="rId26" Type="http://schemas.openxmlformats.org/officeDocument/2006/relationships/hyperlink" Target="https://doi.org/10.1016/j.cgh.2019.11.013" TargetMode="External"/><Relationship Id="rId39" Type="http://schemas.openxmlformats.org/officeDocument/2006/relationships/hyperlink" Target="https://doi.org/10.3390/jcm12051979" TargetMode="External"/><Relationship Id="rId21" Type="http://schemas.openxmlformats.org/officeDocument/2006/relationships/hyperlink" Target="https://doi.org/10.1002/hep.31065" TargetMode="External"/><Relationship Id="rId34" Type="http://schemas.openxmlformats.org/officeDocument/2006/relationships/hyperlink" Target="https://revistagastrocol.com/index.php/rcg/article/view/907/1515" TargetMode="External"/><Relationship Id="rId42" Type="http://schemas.openxmlformats.org/officeDocument/2006/relationships/hyperlink" Target="https://doi.org/10.1016/S0016-5085(19)33223-8"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hyperlink" Target="https://orcid.org/0000-0003-3005-7107" TargetMode="Externa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yperlink" Target="https://revcimeq.sld.cu/index.php/imq/article/view/333" TargetMode="External"/><Relationship Id="rId11" Type="http://schemas.openxmlformats.org/officeDocument/2006/relationships/hyperlink" Target="https://orcid.org/0000-0001-6551-502X" TargetMode="External"/><Relationship Id="rId24" Type="http://schemas.openxmlformats.org/officeDocument/2006/relationships/hyperlink" Target="https://revhabanera.sld.cu/index.php/rhab/article/view/4411" TargetMode="External"/><Relationship Id="rId32" Type="http://schemas.openxmlformats.org/officeDocument/2006/relationships/hyperlink" Target="https://aasldpubs.onlinelibrary.wiley.com/doi/epdf/10.100%202/hep.510240201" TargetMode="External"/><Relationship Id="rId37" Type="http://schemas.openxmlformats.org/officeDocument/2006/relationships/hyperlink" Target="https://www.sciencedirect.com/journal/best-practice-and-research-clinical-gastroenterology" TargetMode="External"/><Relationship Id="rId40" Type="http://schemas.openxmlformats.org/officeDocument/2006/relationships/hyperlink" Target="https://doi.org/10.14218%2FJCTH.2021.00008" TargetMode="External"/><Relationship Id="rId45" Type="http://schemas.openxmlformats.org/officeDocument/2006/relationships/hyperlink" Target="https://doi.org/10.1016/j.cgh.2018.09.046"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doi.org/10.1038/s41423-021-00768-8" TargetMode="External"/><Relationship Id="rId28" Type="http://schemas.openxmlformats.org/officeDocument/2006/relationships/hyperlink" Target="http://dx.doi.org/10.24875/RHJM.%2020000065" TargetMode="External"/><Relationship Id="rId36" Type="http://schemas.openxmlformats.org/officeDocument/2006/relationships/hyperlink" Target="https://www.sciencedirect.com/science/article/pii/S0011393X20300205?via%3Dihub" TargetMode="External"/><Relationship Id="rId49" Type="http://schemas.openxmlformats.org/officeDocument/2006/relationships/footer" Target="footer2.xml"/><Relationship Id="rId10" Type="http://schemas.openxmlformats.org/officeDocument/2006/relationships/hyperlink" Target="https://orcid.org/0000-0002-3043-1763" TargetMode="External"/><Relationship Id="rId19" Type="http://schemas.openxmlformats.org/officeDocument/2006/relationships/image" Target="media/image5.jpg"/><Relationship Id="rId31" Type="http://schemas.openxmlformats.org/officeDocument/2006/relationships/hyperlink" Target="https://actagastro.org/numeros-anteriores/2023/Vol-53-N1/Vol53N1-PDF06.pdf" TargetMode="External"/><Relationship Id="rId44" Type="http://schemas.openxmlformats.org/officeDocument/2006/relationships/hyperlink" Target="https://doi.org/10.1053/j.gastro.2011.02.065" TargetMode="External"/><Relationship Id="rId4" Type="http://schemas.openxmlformats.org/officeDocument/2006/relationships/webSettings" Target="webSettings.xml"/><Relationship Id="rId9" Type="http://schemas.openxmlformats.org/officeDocument/2006/relationships/hyperlink" Target="https://orcid.org/0000-0003-0318-2914" TargetMode="External"/><Relationship Id="rId14" Type="http://schemas.openxmlformats.org/officeDocument/2006/relationships/hyperlink" Target="mailto:rodriguezharlim@gmail.com" TargetMode="External"/><Relationship Id="rId22" Type="http://schemas.openxmlformats.org/officeDocument/2006/relationships/hyperlink" Target="https://doi.org/10.3389/fimmu.2020.01586" TargetMode="External"/><Relationship Id="rId27" Type="http://schemas.openxmlformats.org/officeDocument/2006/relationships/hyperlink" Target="https://doi.org/10.1016/j.jhep.2022.07.012" TargetMode="External"/><Relationship Id="rId30" Type="http://schemas.openxmlformats.org/officeDocument/2006/relationships/hyperlink" Target="https://doi.org/10.1002/hep.22322" TargetMode="External"/><Relationship Id="rId35" Type="http://schemas.openxmlformats.org/officeDocument/2006/relationships/hyperlink" Target="https://doi.org/10.1002%2Fjgh3.12451" TargetMode="External"/><Relationship Id="rId43" Type="http://schemas.openxmlformats.org/officeDocument/2006/relationships/hyperlink" Target="https://doi.org/10.1016/j.cgh.2021.05.024" TargetMode="External"/><Relationship Id="rId48" Type="http://schemas.openxmlformats.org/officeDocument/2006/relationships/footer" Target="footer1.xml"/><Relationship Id="rId8" Type="http://schemas.openxmlformats.org/officeDocument/2006/relationships/hyperlink" Target="https://orcid.org/0000-0002-3795-3801"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orcid.org/0000-0001-7996-239" TargetMode="External"/><Relationship Id="rId17" Type="http://schemas.openxmlformats.org/officeDocument/2006/relationships/image" Target="media/image3.png"/><Relationship Id="rId25" Type="http://schemas.openxmlformats.org/officeDocument/2006/relationships/hyperlink" Target="https://doi.org/10.1016/j.jhep.2017.11.020" TargetMode="External"/><Relationship Id="rId33" Type="http://schemas.openxmlformats.org/officeDocument/2006/relationships/hyperlink" Target="https://uchile.cl/dam/jcr:fe1a556e-69c7-4ab9-881a-a0fcae203cfe/declaracin-de-helsinki" TargetMode="External"/><Relationship Id="rId38" Type="http://schemas.openxmlformats.org/officeDocument/2006/relationships/hyperlink" Target="https://www.sciencedirect" TargetMode="External"/><Relationship Id="rId46" Type="http://schemas.openxmlformats.org/officeDocument/2006/relationships/hyperlink" Target="https://doi.org/10.1002%2Fcld.797" TargetMode="External"/><Relationship Id="rId20" Type="http://schemas.openxmlformats.org/officeDocument/2006/relationships/hyperlink" Target="https://www.nature.com/articles/s41423-021-00768-8" TargetMode="External"/><Relationship Id="rId41" Type="http://schemas.openxmlformats.org/officeDocument/2006/relationships/hyperlink" Target="https://doi.org/10.3390%2Fjcm12083008"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13</TotalTime>
  <Pages>17</Pages>
  <Words>4618</Words>
  <Characters>25403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29962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6</cp:revision>
  <cp:lastPrinted>2024-01-30T23:43:00Z</cp:lastPrinted>
  <dcterms:created xsi:type="dcterms:W3CDTF">2024-01-30T23:38:00Z</dcterms:created>
  <dcterms:modified xsi:type="dcterms:W3CDTF">2024-01-30T23:52:00Z</dcterms:modified>
</cp:coreProperties>
</file>