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95B3" w14:textId="77777777" w:rsidR="00BE4D8C" w:rsidRPr="00BE4D8C" w:rsidRDefault="00BE4D8C" w:rsidP="00BE4D8C">
      <w:pPr>
        <w:keepNext/>
        <w:keepLines/>
        <w:suppressAutoHyphens/>
        <w:spacing w:line="360" w:lineRule="auto"/>
        <w:jc w:val="right"/>
        <w:outlineLvl w:val="1"/>
        <w:rPr>
          <w:rFonts w:cs="Arial"/>
          <w:color w:val="000000"/>
          <w:sz w:val="20"/>
          <w:szCs w:val="20"/>
          <w:lang w:val="es-US" w:eastAsia="en-US"/>
        </w:rPr>
      </w:pPr>
      <w:r w:rsidRPr="00BE4D8C">
        <w:rPr>
          <w:rFonts w:cs="Arial"/>
          <w:color w:val="000000"/>
          <w:sz w:val="20"/>
          <w:szCs w:val="20"/>
          <w:lang w:val="es-US" w:eastAsia="en-US"/>
        </w:rPr>
        <w:t>Presentación de caso</w:t>
      </w:r>
    </w:p>
    <w:p w14:paraId="48D9ABB3" w14:textId="77777777" w:rsidR="00BE4D8C" w:rsidRPr="00BE4D8C" w:rsidRDefault="00BE4D8C" w:rsidP="00BE4D8C">
      <w:pPr>
        <w:suppressAutoHyphens/>
        <w:spacing w:after="200" w:line="276" w:lineRule="auto"/>
        <w:rPr>
          <w:rFonts w:ascii="Calibri" w:eastAsia="Calibri" w:hAnsi="Calibri"/>
          <w:sz w:val="22"/>
          <w:szCs w:val="22"/>
          <w:lang w:val="es-US" w:eastAsia="en-US"/>
        </w:rPr>
      </w:pPr>
    </w:p>
    <w:p w14:paraId="619CCA4B" w14:textId="77777777" w:rsidR="00BE4D8C" w:rsidRPr="00BE4D8C" w:rsidRDefault="00BE4D8C" w:rsidP="00BE4D8C">
      <w:pPr>
        <w:suppressAutoHyphens/>
        <w:spacing w:line="360" w:lineRule="auto"/>
        <w:jc w:val="center"/>
        <w:rPr>
          <w:rFonts w:eastAsia="Calibri"/>
          <w:sz w:val="28"/>
          <w:szCs w:val="28"/>
          <w:lang w:val="es-CU" w:eastAsia="en-US"/>
        </w:rPr>
      </w:pPr>
      <w:r w:rsidRPr="00BE4D8C">
        <w:rPr>
          <w:rFonts w:eastAsia="Calibri" w:cs="Arial"/>
          <w:b/>
          <w:sz w:val="28"/>
          <w:szCs w:val="28"/>
          <w:lang w:val="es-US" w:eastAsia="en-US"/>
        </w:rPr>
        <w:t>Síndrome de Brown-</w:t>
      </w:r>
      <w:proofErr w:type="spellStart"/>
      <w:r w:rsidRPr="00BE4D8C">
        <w:rPr>
          <w:rFonts w:eastAsia="Calibri" w:cs="Arial"/>
          <w:b/>
          <w:sz w:val="28"/>
          <w:szCs w:val="28"/>
          <w:lang w:val="es-US" w:eastAsia="en-US"/>
        </w:rPr>
        <w:t>Séquard</w:t>
      </w:r>
      <w:proofErr w:type="spellEnd"/>
      <w:r w:rsidRPr="00BE4D8C">
        <w:rPr>
          <w:rFonts w:eastAsia="Calibri" w:cs="Arial"/>
          <w:b/>
          <w:sz w:val="28"/>
          <w:szCs w:val="28"/>
          <w:lang w:val="es-US" w:eastAsia="en-US"/>
        </w:rPr>
        <w:t xml:space="preserve"> por hernia discal cervical</w:t>
      </w:r>
    </w:p>
    <w:p w14:paraId="57098F0A" w14:textId="77777777" w:rsidR="00BE4D8C" w:rsidRPr="00BE4D8C" w:rsidRDefault="00BE4D8C" w:rsidP="00BE4D8C">
      <w:pPr>
        <w:suppressAutoHyphens/>
        <w:spacing w:line="360" w:lineRule="auto"/>
        <w:jc w:val="center"/>
        <w:rPr>
          <w:rFonts w:eastAsia="Calibri" w:cs="Arial"/>
          <w:sz w:val="28"/>
          <w:szCs w:val="28"/>
          <w:lang w:val="en-US" w:eastAsia="en-US"/>
        </w:rPr>
      </w:pPr>
      <w:r w:rsidRPr="00BE4D8C">
        <w:rPr>
          <w:rFonts w:eastAsia="Calibri" w:cs="Arial"/>
          <w:sz w:val="28"/>
          <w:szCs w:val="28"/>
          <w:lang w:val="en-US" w:eastAsia="en-US"/>
        </w:rPr>
        <w:t>Brown-</w:t>
      </w:r>
      <w:proofErr w:type="spellStart"/>
      <w:r w:rsidRPr="00BE4D8C">
        <w:rPr>
          <w:rFonts w:eastAsia="Calibri" w:cs="Arial"/>
          <w:sz w:val="28"/>
          <w:szCs w:val="28"/>
          <w:lang w:val="en-US" w:eastAsia="en-US"/>
        </w:rPr>
        <w:t>Séquard</w:t>
      </w:r>
      <w:proofErr w:type="spellEnd"/>
      <w:r w:rsidRPr="00BE4D8C">
        <w:rPr>
          <w:rFonts w:eastAsia="Calibri" w:cs="Arial"/>
          <w:sz w:val="28"/>
          <w:szCs w:val="28"/>
          <w:lang w:val="en-US" w:eastAsia="en-US"/>
        </w:rPr>
        <w:t xml:space="preserve"> syndrome due to cervical disc herniation</w:t>
      </w:r>
    </w:p>
    <w:p w14:paraId="24C14CC6" w14:textId="77777777" w:rsidR="00BE4D8C" w:rsidRPr="00BE4D8C" w:rsidRDefault="00BE4D8C" w:rsidP="00BE4D8C">
      <w:pPr>
        <w:shd w:val="clear" w:color="auto" w:fill="FFFFFF"/>
        <w:suppressAutoHyphens/>
        <w:spacing w:line="360" w:lineRule="auto"/>
        <w:jc w:val="both"/>
        <w:rPr>
          <w:lang w:val="en-US" w:eastAsia="pt-PT"/>
        </w:rPr>
      </w:pPr>
    </w:p>
    <w:p w14:paraId="26AB0F1D" w14:textId="77777777" w:rsidR="00BE4D8C" w:rsidRPr="00BE4D8C" w:rsidRDefault="00BE4D8C" w:rsidP="00BE4D8C">
      <w:pPr>
        <w:shd w:val="clear" w:color="auto" w:fill="FFFFFF"/>
        <w:suppressAutoHyphens/>
        <w:spacing w:line="360" w:lineRule="auto"/>
        <w:jc w:val="both"/>
        <w:rPr>
          <w:lang w:val="es-CU" w:eastAsia="pt-PT"/>
        </w:rPr>
      </w:pPr>
      <w:r w:rsidRPr="00BE4D8C">
        <w:rPr>
          <w:lang w:val="es-CU" w:eastAsia="pt-PT"/>
        </w:rPr>
        <w:t>Héctor Figueredo Acosta</w:t>
      </w:r>
      <w:r w:rsidRPr="00BE4D8C">
        <w:rPr>
          <w:vertAlign w:val="superscript"/>
          <w:lang w:val="es-CU" w:eastAsia="pt-PT"/>
        </w:rPr>
        <w:t>1</w:t>
      </w:r>
      <w:r w:rsidRPr="00BE4D8C">
        <w:rPr>
          <w:lang w:val="es-CU" w:eastAsia="pt-PT"/>
        </w:rPr>
        <w:t>*</w:t>
      </w:r>
      <w:r w:rsidRPr="00BE4D8C">
        <w:rPr>
          <w:color w:val="595959"/>
          <w:lang w:val="es-CU" w:eastAsia="pt-PT"/>
        </w:rPr>
        <w:t xml:space="preserve"> </w:t>
      </w:r>
      <w:hyperlink r:id="rId7">
        <w:r w:rsidRPr="00BE4D8C">
          <w:rPr>
            <w:color w:val="0000FF"/>
            <w:u w:val="single"/>
            <w:lang w:val="es-CU" w:eastAsia="pt-PT"/>
          </w:rPr>
          <w:t>https://orcid.org/0000-0002-0321-9978</w:t>
        </w:r>
      </w:hyperlink>
    </w:p>
    <w:p w14:paraId="0B6F9472" w14:textId="77777777" w:rsidR="00BE4D8C" w:rsidRPr="00BE4D8C" w:rsidRDefault="00BE4D8C" w:rsidP="00BE4D8C">
      <w:pPr>
        <w:shd w:val="clear" w:color="auto" w:fill="FFFFFF"/>
        <w:suppressAutoHyphens/>
        <w:spacing w:line="360" w:lineRule="auto"/>
        <w:jc w:val="both"/>
        <w:rPr>
          <w:lang w:val="es-CU" w:eastAsia="pt-PT"/>
        </w:rPr>
      </w:pPr>
      <w:proofErr w:type="spellStart"/>
      <w:r w:rsidRPr="00BE4D8C">
        <w:rPr>
          <w:lang w:val="es-CU" w:eastAsia="pt-PT"/>
        </w:rPr>
        <w:t>Damarys</w:t>
      </w:r>
      <w:proofErr w:type="spellEnd"/>
      <w:r w:rsidRPr="00BE4D8C">
        <w:rPr>
          <w:lang w:val="es-CU" w:eastAsia="pt-PT"/>
        </w:rPr>
        <w:t xml:space="preserve"> </w:t>
      </w:r>
      <w:proofErr w:type="spellStart"/>
      <w:r w:rsidRPr="00BE4D8C">
        <w:rPr>
          <w:lang w:val="es-CU" w:eastAsia="pt-PT"/>
        </w:rPr>
        <w:t>Maydel</w:t>
      </w:r>
      <w:proofErr w:type="spellEnd"/>
      <w:r w:rsidRPr="00BE4D8C">
        <w:rPr>
          <w:lang w:val="es-CU" w:eastAsia="pt-PT"/>
        </w:rPr>
        <w:t xml:space="preserve"> Torres de los Rios</w:t>
      </w:r>
      <w:r w:rsidRPr="00BE4D8C">
        <w:rPr>
          <w:vertAlign w:val="superscript"/>
          <w:lang w:val="es-CU" w:eastAsia="pt-PT"/>
        </w:rPr>
        <w:t xml:space="preserve">2 </w:t>
      </w:r>
      <w:hyperlink r:id="rId8">
        <w:r w:rsidRPr="00BE4D8C">
          <w:rPr>
            <w:color w:val="0000FF"/>
            <w:u w:val="single"/>
            <w:lang w:val="es-CU" w:eastAsia="pt-PT"/>
          </w:rPr>
          <w:t>https://orcid.org/0000-0002-9992-6537</w:t>
        </w:r>
      </w:hyperlink>
    </w:p>
    <w:p w14:paraId="529E82C6" w14:textId="77777777" w:rsidR="00BE4D8C" w:rsidRPr="00BE4D8C" w:rsidRDefault="00BE4D8C" w:rsidP="00BE4D8C">
      <w:pPr>
        <w:shd w:val="clear" w:color="auto" w:fill="FFFFFF"/>
        <w:suppressAutoHyphens/>
        <w:spacing w:line="360" w:lineRule="auto"/>
        <w:jc w:val="both"/>
        <w:rPr>
          <w:vertAlign w:val="superscript"/>
          <w:lang w:val="es-CU" w:eastAsia="pt-PT"/>
        </w:rPr>
      </w:pPr>
    </w:p>
    <w:p w14:paraId="260BC9F6" w14:textId="77777777" w:rsidR="00BE4D8C" w:rsidRPr="00BE4D8C" w:rsidRDefault="00BE4D8C" w:rsidP="00BE4D8C">
      <w:pPr>
        <w:shd w:val="clear" w:color="auto" w:fill="FFFFFF"/>
        <w:suppressAutoHyphens/>
        <w:spacing w:line="360" w:lineRule="auto"/>
        <w:jc w:val="both"/>
        <w:rPr>
          <w:lang w:eastAsia="pt-PT"/>
        </w:rPr>
      </w:pPr>
      <w:r w:rsidRPr="00BE4D8C">
        <w:rPr>
          <w:vertAlign w:val="superscript"/>
          <w:lang w:val="es-CU" w:eastAsia="pt-PT"/>
        </w:rPr>
        <w:t>1</w:t>
      </w:r>
      <w:r w:rsidRPr="00BE4D8C">
        <w:rPr>
          <w:lang w:val="es-CU" w:eastAsia="pt-PT"/>
        </w:rPr>
        <w:t xml:space="preserve">Hospital Militar "Dr. Joaquín Castillo </w:t>
      </w:r>
      <w:proofErr w:type="spellStart"/>
      <w:r w:rsidRPr="00BE4D8C">
        <w:rPr>
          <w:lang w:val="es-CU" w:eastAsia="pt-PT"/>
        </w:rPr>
        <w:t>Duany</w:t>
      </w:r>
      <w:proofErr w:type="spellEnd"/>
      <w:r w:rsidRPr="00BE4D8C">
        <w:rPr>
          <w:lang w:val="es-CU" w:eastAsia="pt-PT"/>
        </w:rPr>
        <w:t xml:space="preserve">". </w:t>
      </w:r>
      <w:r w:rsidRPr="00BE4D8C">
        <w:rPr>
          <w:lang w:eastAsia="pt-PT"/>
        </w:rPr>
        <w:t>Santiago de Cuba, Cuba.</w:t>
      </w:r>
    </w:p>
    <w:p w14:paraId="2D4FA8A7" w14:textId="77777777" w:rsidR="00BE4D8C" w:rsidRPr="00BE4D8C" w:rsidRDefault="00BE4D8C" w:rsidP="00BE4D8C">
      <w:pPr>
        <w:shd w:val="clear" w:color="auto" w:fill="FFFFFF"/>
        <w:suppressAutoHyphens/>
        <w:spacing w:line="360" w:lineRule="auto"/>
        <w:jc w:val="both"/>
        <w:rPr>
          <w:lang w:eastAsia="pt-PT"/>
        </w:rPr>
      </w:pPr>
      <w:r w:rsidRPr="00BE4D8C">
        <w:rPr>
          <w:vertAlign w:val="superscript"/>
          <w:lang w:eastAsia="pt-PT"/>
        </w:rPr>
        <w:t>2</w:t>
      </w:r>
      <w:r w:rsidRPr="00BE4D8C">
        <w:rPr>
          <w:lang w:eastAsia="pt-PT"/>
        </w:rPr>
        <w:t>Policlínico “Ángel Ortiz Vázquez”. Manzanillo. Granma, Cuba.</w:t>
      </w:r>
    </w:p>
    <w:p w14:paraId="6405D0AE" w14:textId="77777777" w:rsidR="00BE4D8C" w:rsidRPr="00BE4D8C" w:rsidRDefault="00BE4D8C" w:rsidP="00BE4D8C">
      <w:pPr>
        <w:shd w:val="clear" w:color="auto" w:fill="FFFFFF"/>
        <w:suppressAutoHyphens/>
        <w:spacing w:line="360" w:lineRule="auto"/>
        <w:jc w:val="both"/>
        <w:rPr>
          <w:lang w:eastAsia="pt-PT"/>
        </w:rPr>
      </w:pPr>
    </w:p>
    <w:p w14:paraId="4E237E06" w14:textId="77777777" w:rsidR="00BE4D8C" w:rsidRPr="00BE4D8C" w:rsidRDefault="00BE4D8C" w:rsidP="00BE4D8C">
      <w:pPr>
        <w:suppressAutoHyphens/>
        <w:spacing w:line="360" w:lineRule="auto"/>
        <w:rPr>
          <w:rFonts w:eastAsia="Calibri"/>
          <w:u w:val="single"/>
          <w:lang w:val="es-US" w:eastAsia="en-US"/>
        </w:rPr>
      </w:pPr>
      <w:r w:rsidRPr="00BE4D8C">
        <w:rPr>
          <w:rFonts w:eastAsia="Calibri"/>
          <w:lang w:eastAsia="en-US"/>
        </w:rPr>
        <w:t xml:space="preserve">*Autor para la correspondencia. Correo electrónico: </w:t>
      </w:r>
      <w:hyperlink r:id="rId9">
        <w:r w:rsidRPr="00BE4D8C">
          <w:rPr>
            <w:rFonts w:eastAsia="Calibri"/>
            <w:color w:val="0000FF"/>
            <w:u w:val="single"/>
            <w:lang w:eastAsia="en-US"/>
          </w:rPr>
          <w:t>hfigueredo@infomed.sld.cu</w:t>
        </w:r>
      </w:hyperlink>
    </w:p>
    <w:p w14:paraId="42A68BB7" w14:textId="77777777" w:rsidR="00BE4D8C" w:rsidRPr="00BE4D8C" w:rsidRDefault="00BE4D8C" w:rsidP="00BE4D8C">
      <w:pPr>
        <w:suppressAutoHyphens/>
        <w:spacing w:line="360" w:lineRule="auto"/>
        <w:jc w:val="both"/>
        <w:rPr>
          <w:rFonts w:eastAsia="Calibri" w:cs="Arial"/>
          <w:lang w:val="es-US" w:eastAsia="en-US"/>
        </w:rPr>
      </w:pPr>
    </w:p>
    <w:p w14:paraId="0A4AB5AA"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b/>
          <w:lang w:val="es-US" w:eastAsia="en-US"/>
        </w:rPr>
        <w:t>RESUMEN</w:t>
      </w:r>
    </w:p>
    <w:p w14:paraId="6F27E77D" w14:textId="035A5936" w:rsidR="00BE4D8C" w:rsidRPr="00BE4D8C" w:rsidRDefault="00BE4D8C" w:rsidP="00BE4D8C">
      <w:pPr>
        <w:suppressAutoHyphens/>
        <w:spacing w:line="360" w:lineRule="auto"/>
        <w:jc w:val="both"/>
        <w:rPr>
          <w:rFonts w:eastAsia="Calibri"/>
          <w:lang w:val="es-US" w:eastAsia="en-US"/>
        </w:rPr>
      </w:pPr>
      <w:r w:rsidRPr="00BE4D8C">
        <w:rPr>
          <w:rFonts w:eastAsia="Calibri" w:cs="Arial"/>
          <w:b/>
          <w:lang w:val="es-US" w:eastAsia="en-US"/>
        </w:rPr>
        <w:t xml:space="preserve">Introducción: </w:t>
      </w:r>
      <w:r w:rsidRPr="00BE4D8C">
        <w:rPr>
          <w:rFonts w:eastAsia="Calibri" w:cs="Arial"/>
          <w:lang w:val="es-US" w:eastAsia="en-US"/>
        </w:rPr>
        <w:t>El síndrome de Brown-</w:t>
      </w:r>
      <w:proofErr w:type="spellStart"/>
      <w:r w:rsidRPr="00BE4D8C">
        <w:rPr>
          <w:rFonts w:eastAsia="Calibri" w:cs="Arial"/>
          <w:lang w:val="es-US" w:eastAsia="en-US"/>
        </w:rPr>
        <w:t>Séquard</w:t>
      </w:r>
      <w:proofErr w:type="spellEnd"/>
      <w:r w:rsidRPr="00BE4D8C">
        <w:rPr>
          <w:rFonts w:eastAsia="Calibri" w:cs="Arial"/>
          <w:lang w:val="es-US" w:eastAsia="en-US"/>
        </w:rPr>
        <w:t xml:space="preserve"> representa entre el 1 y el 4 % de todas las lesiones medulares espinales; </w:t>
      </w:r>
      <w:r w:rsidR="00AE4F9C">
        <w:rPr>
          <w:rFonts w:eastAsia="Calibri" w:cs="Arial"/>
          <w:lang w:val="es-US" w:eastAsia="en-US"/>
        </w:rPr>
        <w:t>e</w:t>
      </w:r>
      <w:r w:rsidRPr="00BE4D8C">
        <w:rPr>
          <w:rFonts w:eastAsia="Calibri" w:cs="Arial"/>
          <w:lang w:val="es-US" w:eastAsia="en-US"/>
        </w:rPr>
        <w:t>s</w:t>
      </w:r>
      <w:r w:rsidR="00AE4F9C">
        <w:rPr>
          <w:rFonts w:eastAsia="Calibri" w:cs="Arial"/>
          <w:lang w:val="es-US" w:eastAsia="en-US"/>
        </w:rPr>
        <w:t xml:space="preserve"> </w:t>
      </w:r>
      <w:r w:rsidRPr="00BE4D8C">
        <w:rPr>
          <w:rFonts w:eastAsia="Calibri" w:cs="Arial"/>
          <w:lang w:val="es-US" w:eastAsia="en-US"/>
        </w:rPr>
        <w:t>muy infrecuente. Compromete la mitad lateral de la médula espinal y se afectan unilateralmente las estructuras o funciones del segmento dorsal, el tracto corticoespinal y el tracto espinotalámico.</w:t>
      </w:r>
    </w:p>
    <w:p w14:paraId="68E8911B"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b/>
          <w:lang w:val="es-US" w:eastAsia="en-US"/>
        </w:rPr>
        <w:t xml:space="preserve">Objetivo: </w:t>
      </w:r>
      <w:r w:rsidRPr="00BE4D8C">
        <w:rPr>
          <w:rFonts w:eastAsia="Calibri" w:cs="Arial"/>
          <w:lang w:val="es-US" w:eastAsia="en-US"/>
        </w:rPr>
        <w:t>Mostrar una forma de presentación atípica de la hernia discal cervical en una paciente joven sin antecedentes de traumatismo ni esfuerzo físico.</w:t>
      </w:r>
    </w:p>
    <w:p w14:paraId="3D13ABD3"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b/>
          <w:lang w:val="es-US" w:eastAsia="en-US"/>
        </w:rPr>
        <w:t xml:space="preserve">Caso clínico: </w:t>
      </w:r>
      <w:r w:rsidRPr="00BE4D8C">
        <w:rPr>
          <w:rFonts w:eastAsia="Calibri" w:cs="Arial"/>
          <w:lang w:val="es-US" w:eastAsia="en-US"/>
        </w:rPr>
        <w:t>Paciente femenina de 24 años de edad, que presenta disminución de la fuerza muscular en los miembros del lado izquierdo, de forma progresiva, con dificultades para deambular, así como dolor cervical de intensidad moderada. Se le diagnostica una hernia discal cervical y se realiza tratamiento quirúrgico con evolución satisfactoria.</w:t>
      </w:r>
    </w:p>
    <w:p w14:paraId="36B39086" w14:textId="77777777" w:rsidR="00BE4D8C" w:rsidRPr="00BE4D8C" w:rsidRDefault="00BE4D8C" w:rsidP="00BE4D8C">
      <w:pPr>
        <w:suppressAutoHyphens/>
        <w:spacing w:line="360" w:lineRule="auto"/>
        <w:jc w:val="both"/>
        <w:rPr>
          <w:rFonts w:cs="Arial"/>
          <w:lang w:val="es-US" w:eastAsia="es-US"/>
        </w:rPr>
      </w:pPr>
      <w:r w:rsidRPr="00BE4D8C">
        <w:rPr>
          <w:rFonts w:eastAsia="Calibri" w:cs="Arial"/>
          <w:b/>
          <w:lang w:val="es-US" w:eastAsia="en-US"/>
        </w:rPr>
        <w:t xml:space="preserve">Conclusiones: </w:t>
      </w:r>
      <w:r w:rsidRPr="00BE4D8C">
        <w:rPr>
          <w:rFonts w:cs="Arial"/>
          <w:lang w:val="es-US" w:eastAsia="es-US"/>
        </w:rPr>
        <w:t xml:space="preserve">En el síndrome de </w:t>
      </w:r>
      <w:r w:rsidRPr="00BE4D8C">
        <w:rPr>
          <w:rFonts w:eastAsia="Calibri" w:cs="Arial"/>
          <w:lang w:val="es-US" w:eastAsia="en-US"/>
        </w:rPr>
        <w:t>Brown-</w:t>
      </w:r>
      <w:proofErr w:type="spellStart"/>
      <w:r w:rsidRPr="00BE4D8C">
        <w:rPr>
          <w:rFonts w:eastAsia="Calibri" w:cs="Arial"/>
          <w:lang w:val="es-US" w:eastAsia="en-US"/>
        </w:rPr>
        <w:t>Séquard</w:t>
      </w:r>
      <w:proofErr w:type="spellEnd"/>
      <w:r w:rsidRPr="00BE4D8C">
        <w:rPr>
          <w:rFonts w:eastAsia="Calibri" w:cs="Arial"/>
          <w:lang w:val="es-US" w:eastAsia="en-US"/>
        </w:rPr>
        <w:t xml:space="preserve"> causado por discopatía cervical, el </w:t>
      </w:r>
      <w:r w:rsidRPr="00BE4D8C">
        <w:rPr>
          <w:rFonts w:cs="Arial"/>
          <w:lang w:val="es-US" w:eastAsia="es-US"/>
        </w:rPr>
        <w:t>tratamiento oportuno determina de forma esencial el mejoramiento de los síntomas de forma rápida; la fisioterapia y rehabilitación juegan un papel fundamental en la recuperación motora.</w:t>
      </w:r>
    </w:p>
    <w:p w14:paraId="21BC3A7A" w14:textId="77777777" w:rsidR="00BE4D8C" w:rsidRPr="00BE4D8C" w:rsidRDefault="00BE4D8C" w:rsidP="00BE4D8C">
      <w:pPr>
        <w:suppressAutoHyphens/>
        <w:spacing w:line="360" w:lineRule="auto"/>
        <w:jc w:val="both"/>
        <w:rPr>
          <w:rFonts w:eastAsia="Calibri"/>
          <w:lang w:val="es-CU" w:eastAsia="en-US"/>
        </w:rPr>
      </w:pPr>
      <w:r w:rsidRPr="00BE4D8C">
        <w:rPr>
          <w:rFonts w:eastAsia="Calibri" w:cs="Arial"/>
          <w:b/>
          <w:lang w:val="es-CU" w:eastAsia="en-US"/>
        </w:rPr>
        <w:t xml:space="preserve">Palabras clave: </w:t>
      </w:r>
      <w:r w:rsidRPr="00BE4D8C">
        <w:rPr>
          <w:rFonts w:eastAsia="Calibri" w:cs="Arial"/>
          <w:lang w:val="es-CU" w:eastAsia="en-US"/>
        </w:rPr>
        <w:t>síndrome de Brown-</w:t>
      </w:r>
      <w:proofErr w:type="spellStart"/>
      <w:r w:rsidRPr="00BE4D8C">
        <w:rPr>
          <w:rFonts w:eastAsia="Calibri" w:cs="Arial"/>
          <w:lang w:val="es-CU" w:eastAsia="en-US"/>
        </w:rPr>
        <w:t>Séquard</w:t>
      </w:r>
      <w:proofErr w:type="spellEnd"/>
      <w:r w:rsidRPr="00BE4D8C">
        <w:rPr>
          <w:rFonts w:eastAsia="Calibri" w:cs="Arial"/>
          <w:lang w:val="es-CU" w:eastAsia="en-US"/>
        </w:rPr>
        <w:t>; columna vertebral; médula cervical; hernia discal.</w:t>
      </w:r>
    </w:p>
    <w:p w14:paraId="4D1C0CF9" w14:textId="77777777" w:rsidR="00BE4D8C" w:rsidRPr="00BE4D8C" w:rsidRDefault="00BE4D8C" w:rsidP="00BE4D8C">
      <w:pPr>
        <w:suppressAutoHyphens/>
        <w:spacing w:line="360" w:lineRule="auto"/>
        <w:jc w:val="both"/>
        <w:rPr>
          <w:rFonts w:eastAsia="Calibri" w:cs="Arial"/>
          <w:lang w:val="es-CU" w:eastAsia="en-US"/>
        </w:rPr>
      </w:pPr>
    </w:p>
    <w:p w14:paraId="482A7E34" w14:textId="77777777" w:rsidR="00BE4D8C" w:rsidRPr="00BE4D8C" w:rsidRDefault="00BE4D8C" w:rsidP="00BE4D8C">
      <w:pPr>
        <w:suppressAutoHyphens/>
        <w:spacing w:line="360" w:lineRule="auto"/>
        <w:jc w:val="both"/>
        <w:rPr>
          <w:rFonts w:eastAsia="Calibri"/>
          <w:lang w:val="en-US" w:eastAsia="en-US"/>
        </w:rPr>
      </w:pPr>
      <w:r w:rsidRPr="00BE4D8C">
        <w:rPr>
          <w:rFonts w:eastAsia="Calibri" w:cs="Arial"/>
          <w:b/>
          <w:lang w:val="en-US" w:eastAsia="en-US"/>
        </w:rPr>
        <w:t>ABSTRACT</w:t>
      </w:r>
    </w:p>
    <w:p w14:paraId="21387140" w14:textId="77777777" w:rsidR="00BE4D8C" w:rsidRPr="00BE4D8C" w:rsidRDefault="00BE4D8C" w:rsidP="00BE4D8C">
      <w:pPr>
        <w:suppressAutoHyphens/>
        <w:spacing w:line="360" w:lineRule="auto"/>
        <w:jc w:val="both"/>
        <w:rPr>
          <w:rFonts w:eastAsia="Calibri"/>
          <w:lang w:val="en-US" w:eastAsia="en-US"/>
        </w:rPr>
      </w:pPr>
      <w:r w:rsidRPr="00BE4D8C">
        <w:rPr>
          <w:rFonts w:eastAsia="Calibri" w:cs="Arial"/>
          <w:b/>
          <w:lang w:val="en-US" w:eastAsia="en-US"/>
        </w:rPr>
        <w:t>Introduction:</w:t>
      </w:r>
      <w:r w:rsidRPr="00BE4D8C">
        <w:rPr>
          <w:rFonts w:eastAsia="Calibri" w:cs="Arial"/>
          <w:lang w:val="en-US" w:eastAsia="en-US"/>
        </w:rPr>
        <w:t xml:space="preserve"> Brown-</w:t>
      </w:r>
      <w:proofErr w:type="spellStart"/>
      <w:r w:rsidRPr="00BE4D8C">
        <w:rPr>
          <w:rFonts w:eastAsia="Calibri" w:cs="Arial"/>
          <w:lang w:val="en-US" w:eastAsia="en-US"/>
        </w:rPr>
        <w:t>Séquard</w:t>
      </w:r>
      <w:proofErr w:type="spellEnd"/>
      <w:r w:rsidRPr="00BE4D8C">
        <w:rPr>
          <w:rFonts w:eastAsia="Calibri" w:cs="Arial"/>
          <w:lang w:val="en-US" w:eastAsia="en-US"/>
        </w:rPr>
        <w:t xml:space="preserve"> syndrome accounts for 1 to 4 % of all spinal cord injuries, very infrequent. It involves the lateral half of the spinal cord and the structures and/or functions of the dorsal segment, the corticospinal tract and the spinothalamic tract are unilaterally affected.</w:t>
      </w:r>
    </w:p>
    <w:p w14:paraId="0D5D6E5C" w14:textId="77777777" w:rsidR="00BE4D8C" w:rsidRPr="00BE4D8C" w:rsidRDefault="00BE4D8C" w:rsidP="00BE4D8C">
      <w:pPr>
        <w:suppressAutoHyphens/>
        <w:spacing w:line="360" w:lineRule="auto"/>
        <w:jc w:val="both"/>
        <w:rPr>
          <w:rFonts w:eastAsia="Calibri"/>
          <w:lang w:val="en-US" w:eastAsia="en-US"/>
        </w:rPr>
      </w:pPr>
      <w:r w:rsidRPr="00BE4D8C">
        <w:rPr>
          <w:rFonts w:eastAsia="Calibri" w:cs="Arial"/>
          <w:b/>
          <w:lang w:val="en-US" w:eastAsia="en-US"/>
        </w:rPr>
        <w:t>Objective:</w:t>
      </w:r>
      <w:r w:rsidRPr="00BE4D8C">
        <w:rPr>
          <w:rFonts w:eastAsia="Calibri" w:cs="Arial"/>
          <w:lang w:val="en-US" w:eastAsia="en-US"/>
        </w:rPr>
        <w:t xml:space="preserve"> To show an atypical presentation of cervical disc herniation in a young female patient with no history of trauma or physical exertion.</w:t>
      </w:r>
    </w:p>
    <w:p w14:paraId="545F652F" w14:textId="77777777" w:rsidR="00BE4D8C" w:rsidRPr="00BE4D8C" w:rsidRDefault="00BE4D8C" w:rsidP="00BE4D8C">
      <w:pPr>
        <w:suppressAutoHyphens/>
        <w:spacing w:line="360" w:lineRule="auto"/>
        <w:jc w:val="both"/>
        <w:rPr>
          <w:rFonts w:eastAsia="Calibri" w:cs="Arial"/>
          <w:lang w:val="en-US" w:eastAsia="en-US"/>
        </w:rPr>
      </w:pPr>
      <w:r w:rsidRPr="00BE4D8C">
        <w:rPr>
          <w:rFonts w:eastAsia="Calibri" w:cs="Arial"/>
          <w:b/>
          <w:lang w:val="en-US" w:eastAsia="en-US"/>
        </w:rPr>
        <w:t>Clinical case:</w:t>
      </w:r>
      <w:r w:rsidRPr="00BE4D8C">
        <w:rPr>
          <w:rFonts w:eastAsia="Calibri" w:cs="Arial"/>
          <w:lang w:val="en-US" w:eastAsia="en-US"/>
        </w:rPr>
        <w:t xml:space="preserve"> A 24-year-old female patient presented with a progressive decrease in muscle strength on the left side of the limbs, with difficulty in walking, as well as moderate cervical pain. She was diagnosed with a cervical disc herniation and surgical treatment was performed with satisfactory evolution.</w:t>
      </w:r>
    </w:p>
    <w:p w14:paraId="6AB9AAE4" w14:textId="77777777" w:rsidR="00BE4D8C" w:rsidRPr="00BE4D8C" w:rsidRDefault="00BE4D8C" w:rsidP="00BE4D8C">
      <w:pPr>
        <w:suppressAutoHyphens/>
        <w:spacing w:line="360" w:lineRule="auto"/>
        <w:jc w:val="both"/>
        <w:rPr>
          <w:rFonts w:eastAsia="Calibri" w:cs="Arial"/>
          <w:lang w:val="en-US" w:eastAsia="en-US"/>
        </w:rPr>
      </w:pPr>
      <w:r w:rsidRPr="00BE4D8C">
        <w:rPr>
          <w:rFonts w:eastAsia="Calibri" w:cs="Arial"/>
          <w:b/>
          <w:lang w:val="en-US" w:eastAsia="en-US"/>
        </w:rPr>
        <w:t>Conclusions:</w:t>
      </w:r>
      <w:r w:rsidRPr="00BE4D8C">
        <w:rPr>
          <w:rFonts w:eastAsia="Calibri" w:cs="Arial"/>
          <w:lang w:val="en-US" w:eastAsia="en-US"/>
        </w:rPr>
        <w:t xml:space="preserve"> In Brown-</w:t>
      </w:r>
      <w:proofErr w:type="spellStart"/>
      <w:r w:rsidRPr="00BE4D8C">
        <w:rPr>
          <w:rFonts w:eastAsia="Calibri" w:cs="Arial"/>
          <w:lang w:val="en-US" w:eastAsia="en-US"/>
        </w:rPr>
        <w:t>Séquard</w:t>
      </w:r>
      <w:proofErr w:type="spellEnd"/>
      <w:r w:rsidRPr="00BE4D8C">
        <w:rPr>
          <w:rFonts w:eastAsia="Calibri" w:cs="Arial"/>
          <w:lang w:val="en-US" w:eastAsia="en-US"/>
        </w:rPr>
        <w:t xml:space="preserve"> Syndrome caused by cervical disc disease, timely treatment is essential for rapid improvement of symptoms; physiotherapy and rehabilitation play a key role in motor recovery.</w:t>
      </w:r>
    </w:p>
    <w:p w14:paraId="6FDDDF77" w14:textId="77777777" w:rsidR="00BE4D8C" w:rsidRPr="00BE4D8C" w:rsidRDefault="00BE4D8C" w:rsidP="00BE4D8C">
      <w:pPr>
        <w:suppressAutoHyphens/>
        <w:spacing w:line="360" w:lineRule="auto"/>
        <w:jc w:val="both"/>
        <w:rPr>
          <w:rFonts w:eastAsia="Calibri" w:cs="Arial"/>
          <w:lang w:val="en-US" w:eastAsia="en-US"/>
        </w:rPr>
      </w:pPr>
      <w:r w:rsidRPr="00BE4D8C">
        <w:rPr>
          <w:rFonts w:eastAsia="Calibri" w:cs="Arial"/>
          <w:b/>
          <w:bCs/>
          <w:lang w:val="en-US" w:eastAsia="en-US"/>
        </w:rPr>
        <w:t>Keywords:</w:t>
      </w:r>
      <w:r w:rsidRPr="00BE4D8C">
        <w:rPr>
          <w:rFonts w:eastAsia="Calibri" w:cs="Arial"/>
          <w:lang w:val="en-US" w:eastAsia="en-US"/>
        </w:rPr>
        <w:t xml:space="preserve"> Brown-</w:t>
      </w:r>
      <w:proofErr w:type="spellStart"/>
      <w:r w:rsidRPr="00BE4D8C">
        <w:rPr>
          <w:rFonts w:eastAsia="Calibri" w:cs="Arial"/>
          <w:lang w:val="en-US" w:eastAsia="en-US"/>
        </w:rPr>
        <w:t>Séquard</w:t>
      </w:r>
      <w:proofErr w:type="spellEnd"/>
      <w:r w:rsidRPr="00BE4D8C">
        <w:rPr>
          <w:rFonts w:eastAsia="Calibri" w:cs="Arial"/>
          <w:lang w:val="en-US" w:eastAsia="en-US"/>
        </w:rPr>
        <w:t xml:space="preserve"> syndrome; spine; cervical cord; disc herniation.</w:t>
      </w:r>
    </w:p>
    <w:p w14:paraId="2DD2D4FD" w14:textId="77777777" w:rsidR="00BE4D8C" w:rsidRPr="00BE4D8C" w:rsidRDefault="00BE4D8C" w:rsidP="00BE4D8C">
      <w:pPr>
        <w:suppressAutoHyphens/>
        <w:spacing w:line="360" w:lineRule="auto"/>
        <w:jc w:val="both"/>
        <w:rPr>
          <w:rFonts w:eastAsia="Calibri"/>
          <w:lang w:val="en-US" w:eastAsia="en-US"/>
        </w:rPr>
      </w:pPr>
    </w:p>
    <w:p w14:paraId="0C41B206" w14:textId="77777777" w:rsidR="00BE4D8C" w:rsidRPr="00BE4D8C" w:rsidRDefault="00BE4D8C" w:rsidP="00BE4D8C">
      <w:pPr>
        <w:suppressAutoHyphens/>
        <w:spacing w:line="360" w:lineRule="auto"/>
        <w:jc w:val="both"/>
        <w:rPr>
          <w:rFonts w:eastAsia="Calibri" w:cs="Arial"/>
          <w:lang w:val="en-US" w:eastAsia="en-US"/>
        </w:rPr>
      </w:pPr>
    </w:p>
    <w:p w14:paraId="4F5747ED"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Recibido: 16/12/2021</w:t>
      </w:r>
    </w:p>
    <w:p w14:paraId="626F2E54"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Aprobado: 13/05/2022</w:t>
      </w:r>
    </w:p>
    <w:p w14:paraId="5E51478C" w14:textId="77777777" w:rsidR="00BE4D8C" w:rsidRPr="00BE4D8C" w:rsidRDefault="00BE4D8C" w:rsidP="00BE4D8C">
      <w:pPr>
        <w:suppressAutoHyphens/>
        <w:spacing w:line="360" w:lineRule="auto"/>
        <w:jc w:val="both"/>
        <w:rPr>
          <w:rFonts w:eastAsia="Calibri" w:cs="Arial"/>
          <w:b/>
          <w:lang w:val="es-US" w:eastAsia="en-US"/>
        </w:rPr>
      </w:pPr>
    </w:p>
    <w:p w14:paraId="6F32A970" w14:textId="77777777" w:rsidR="00BE4D8C" w:rsidRPr="00BE4D8C" w:rsidRDefault="00BE4D8C" w:rsidP="00BE4D8C">
      <w:pPr>
        <w:suppressAutoHyphens/>
        <w:spacing w:line="360" w:lineRule="auto"/>
        <w:jc w:val="center"/>
        <w:rPr>
          <w:rFonts w:eastAsia="Calibri" w:cs="Arial"/>
          <w:b/>
          <w:sz w:val="32"/>
          <w:szCs w:val="32"/>
          <w:lang w:val="es-US" w:eastAsia="en-US"/>
        </w:rPr>
      </w:pPr>
    </w:p>
    <w:p w14:paraId="059B16E4" w14:textId="77777777" w:rsidR="00BE4D8C" w:rsidRPr="00BE4D8C" w:rsidRDefault="00BE4D8C" w:rsidP="00BE4D8C">
      <w:pPr>
        <w:suppressAutoHyphens/>
        <w:spacing w:line="360" w:lineRule="auto"/>
        <w:jc w:val="center"/>
        <w:rPr>
          <w:rFonts w:eastAsia="Calibri"/>
          <w:sz w:val="32"/>
          <w:szCs w:val="32"/>
          <w:lang w:val="es-US" w:eastAsia="en-US"/>
        </w:rPr>
      </w:pPr>
      <w:r w:rsidRPr="00BE4D8C">
        <w:rPr>
          <w:rFonts w:eastAsia="Calibri" w:cs="Arial"/>
          <w:b/>
          <w:sz w:val="32"/>
          <w:szCs w:val="32"/>
          <w:lang w:val="es-US" w:eastAsia="en-US"/>
        </w:rPr>
        <w:t>INTRODUCCIÓN</w:t>
      </w:r>
    </w:p>
    <w:p w14:paraId="29C9DD34"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Cada año son reportados a nivel mundial entre 250 000 y 500 000 casos nuevos de personas con lesiones en la médula espinal. Estos daños se presentan en forma de síndromes con las características clínicas peculiares que los distinguen, según la porción medular que se lesiona. Uno de estos es el síndrome de Brown-</w:t>
      </w:r>
      <w:proofErr w:type="spellStart"/>
      <w:r w:rsidRPr="00BE4D8C">
        <w:rPr>
          <w:rFonts w:eastAsia="Calibri" w:cs="Arial"/>
          <w:lang w:val="es-US" w:eastAsia="en-US"/>
        </w:rPr>
        <w:t>Séquard</w:t>
      </w:r>
      <w:proofErr w:type="spellEnd"/>
      <w:r w:rsidRPr="00BE4D8C">
        <w:rPr>
          <w:rFonts w:eastAsia="Calibri" w:cs="Arial"/>
          <w:lang w:val="es-US" w:eastAsia="en-US"/>
        </w:rPr>
        <w:t xml:space="preserve"> que representa entre el 1 y el 4 % de todas las lesiones medulares espinales, es decir, uno de los más </w:t>
      </w:r>
      <w:proofErr w:type="gramStart"/>
      <w:r w:rsidRPr="00BE4D8C">
        <w:rPr>
          <w:rFonts w:eastAsia="Calibri" w:cs="Arial"/>
          <w:lang w:val="es-US" w:eastAsia="en-US"/>
        </w:rPr>
        <w:t>infrecuentes.</w:t>
      </w:r>
      <w:r w:rsidRPr="00BE4D8C">
        <w:rPr>
          <w:rFonts w:eastAsia="Calibri" w:cs="Arial"/>
          <w:bCs/>
          <w:vertAlign w:val="superscript"/>
          <w:lang w:val="es-US" w:eastAsia="en-US"/>
        </w:rPr>
        <w:t>(</w:t>
      </w:r>
      <w:proofErr w:type="gramEnd"/>
      <w:r w:rsidRPr="00BE4D8C">
        <w:rPr>
          <w:rFonts w:eastAsia="Calibri" w:cs="Arial"/>
          <w:bCs/>
          <w:vertAlign w:val="superscript"/>
          <w:lang w:val="es-US" w:eastAsia="en-US"/>
        </w:rPr>
        <w:t>1)</w:t>
      </w:r>
    </w:p>
    <w:p w14:paraId="4037EC75" w14:textId="3AC9B4DE"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 xml:space="preserve">El síndrome de </w:t>
      </w:r>
      <w:proofErr w:type="spellStart"/>
      <w:r w:rsidRPr="00BE4D8C">
        <w:rPr>
          <w:rFonts w:eastAsia="Calibri" w:cs="Arial"/>
          <w:lang w:val="es-US" w:eastAsia="en-US"/>
        </w:rPr>
        <w:t>hemisección</w:t>
      </w:r>
      <w:proofErr w:type="spellEnd"/>
      <w:r w:rsidRPr="00BE4D8C">
        <w:rPr>
          <w:rFonts w:eastAsia="Calibri" w:cs="Arial"/>
          <w:lang w:val="es-US" w:eastAsia="en-US"/>
        </w:rPr>
        <w:t xml:space="preserve"> medular, como también se le conoce, compromete la mitad lateral de la médula espinal; se afectan unilateralmente las estructuras o funciones del segmento dorsal, el tracto </w:t>
      </w:r>
      <w:r w:rsidRPr="00BE4D8C">
        <w:rPr>
          <w:rFonts w:eastAsia="Calibri" w:cs="Arial"/>
          <w:lang w:val="es-US" w:eastAsia="en-US"/>
        </w:rPr>
        <w:lastRenderedPageBreak/>
        <w:t xml:space="preserve">corticoespinal y el tracto espinotalámico, lo que resulta en debilidad muscular, pérdida del tacto fino o epicrítico, sensibilidad profunda vibratoria y propioceptiva ipsilateral al daño, así como pérdida de la sensación superficial o </w:t>
      </w:r>
      <w:proofErr w:type="spellStart"/>
      <w:r w:rsidRPr="00BE4D8C">
        <w:rPr>
          <w:rFonts w:eastAsia="Calibri" w:cs="Arial"/>
          <w:lang w:val="es-US" w:eastAsia="en-US"/>
        </w:rPr>
        <w:t>protopática</w:t>
      </w:r>
      <w:proofErr w:type="spellEnd"/>
      <w:r w:rsidRPr="00BE4D8C">
        <w:rPr>
          <w:rFonts w:eastAsia="Calibri" w:cs="Arial"/>
          <w:lang w:val="es-US" w:eastAsia="en-US"/>
        </w:rPr>
        <w:t>, térmica y dolorosa contralateral a la lesión.</w:t>
      </w:r>
      <w:r w:rsidRPr="00BE4D8C">
        <w:rPr>
          <w:rFonts w:eastAsia="Calibri" w:cs="Arial"/>
          <w:bCs/>
          <w:vertAlign w:val="superscript"/>
          <w:lang w:val="es-US" w:eastAsia="en-US"/>
        </w:rPr>
        <w:t>(2,3,4)</w:t>
      </w:r>
      <w:r w:rsidRPr="00BE4D8C">
        <w:rPr>
          <w:rFonts w:eastAsia="Calibri" w:cs="Arial"/>
          <w:lang w:val="es-US" w:eastAsia="en-US"/>
        </w:rPr>
        <w:t xml:space="preserve"> Fue descrito en 1855 por </w:t>
      </w:r>
      <w:r w:rsidRPr="00BE4D8C">
        <w:rPr>
          <w:rFonts w:eastAsia="Calibri" w:cs="Arial"/>
          <w:i/>
          <w:lang w:val="es-US" w:eastAsia="en-US"/>
        </w:rPr>
        <w:t>Charles-Édouard Brown-</w:t>
      </w:r>
      <w:proofErr w:type="spellStart"/>
      <w:r w:rsidRPr="00BE4D8C">
        <w:rPr>
          <w:rFonts w:eastAsia="Calibri" w:cs="Arial"/>
          <w:i/>
          <w:lang w:val="es-US" w:eastAsia="en-US"/>
        </w:rPr>
        <w:t>Séquard</w:t>
      </w:r>
      <w:proofErr w:type="spellEnd"/>
      <w:r w:rsidRPr="00BE4D8C">
        <w:rPr>
          <w:rFonts w:eastAsia="Calibri" w:cs="Arial"/>
          <w:iCs/>
          <w:lang w:val="es-US" w:eastAsia="en-US"/>
        </w:rPr>
        <w:t>,</w:t>
      </w:r>
      <w:r w:rsidRPr="00BE4D8C">
        <w:rPr>
          <w:rFonts w:eastAsia="Calibri" w:cs="Arial"/>
          <w:bCs/>
          <w:vertAlign w:val="superscript"/>
          <w:lang w:val="es-US" w:eastAsia="en-US"/>
        </w:rPr>
        <w:t>(1,2)</w:t>
      </w:r>
      <w:r w:rsidRPr="00BE4D8C">
        <w:rPr>
          <w:rFonts w:eastAsia="Calibri" w:cs="Arial"/>
          <w:b/>
          <w:vertAlign w:val="superscript"/>
          <w:lang w:val="es-US" w:eastAsia="en-US"/>
        </w:rPr>
        <w:t xml:space="preserve"> </w:t>
      </w:r>
      <w:r w:rsidRPr="00BE4D8C">
        <w:rPr>
          <w:rFonts w:eastAsia="Calibri" w:cs="Arial"/>
          <w:lang w:val="es-US" w:eastAsia="en-US"/>
        </w:rPr>
        <w:t>al experimentar con animales.</w:t>
      </w:r>
    </w:p>
    <w:p w14:paraId="3C7712CE" w14:textId="2E71EB4B" w:rsidR="00BE4D8C" w:rsidRPr="00BE4D8C" w:rsidRDefault="00BE4D8C" w:rsidP="00BE4D8C">
      <w:pPr>
        <w:shd w:val="clear" w:color="auto" w:fill="FFFFFF"/>
        <w:suppressAutoHyphens/>
        <w:spacing w:line="360" w:lineRule="auto"/>
        <w:jc w:val="both"/>
        <w:rPr>
          <w:rFonts w:eastAsia="Calibri"/>
          <w:lang w:val="es-US" w:eastAsia="en-US"/>
        </w:rPr>
      </w:pPr>
      <w:r w:rsidRPr="00BE4D8C">
        <w:rPr>
          <w:rFonts w:eastAsia="Calibri" w:cs="Arial"/>
          <w:lang w:val="es-US" w:eastAsia="en-US"/>
        </w:rPr>
        <w:t xml:space="preserve">Muy pocos pacientes presentan un cuadro clínico puro, o sea, en el cual se describa todo el cortejo sintomático que lo caracteriza; por ello surge el término de “síndrome de Brown- </w:t>
      </w:r>
      <w:proofErr w:type="spellStart"/>
      <w:r w:rsidRPr="00BE4D8C">
        <w:rPr>
          <w:rFonts w:eastAsia="Calibri" w:cs="Arial"/>
          <w:lang w:val="es-US" w:eastAsia="en-US"/>
        </w:rPr>
        <w:t>Séquard</w:t>
      </w:r>
      <w:proofErr w:type="spellEnd"/>
      <w:r w:rsidRPr="00BE4D8C">
        <w:rPr>
          <w:rFonts w:eastAsia="Calibri" w:cs="Arial"/>
          <w:lang w:val="es-US" w:eastAsia="en-US"/>
        </w:rPr>
        <w:t xml:space="preserve"> </w:t>
      </w:r>
      <w:r w:rsidR="00D451ED" w:rsidRPr="00D451ED">
        <w:rPr>
          <w:rFonts w:eastAsia="Calibri" w:cs="Arial"/>
          <w:u w:val="single"/>
          <w:lang w:val="es-US" w:eastAsia="en-US"/>
        </w:rPr>
        <w:t>p</w:t>
      </w:r>
      <w:r w:rsidRPr="00D451ED">
        <w:rPr>
          <w:rFonts w:eastAsia="Calibri" w:cs="Arial"/>
          <w:u w:val="single"/>
          <w:lang w:val="es-US" w:eastAsia="en-US"/>
        </w:rPr>
        <w:t>lus</w:t>
      </w:r>
      <w:r w:rsidRPr="00BE4D8C">
        <w:rPr>
          <w:rFonts w:eastAsia="Calibri" w:cs="Arial"/>
          <w:lang w:val="es-US" w:eastAsia="en-US"/>
        </w:rPr>
        <w:t xml:space="preserve">” cuando la lesión es incompleta. Pueden asociarse o no alteraciones del control esfinteriano o de los movimientos oculares. Este síndrome se evidencia con mayor frecuencia, cuya manifestación </w:t>
      </w:r>
      <w:r w:rsidRPr="00BE4D8C">
        <w:rPr>
          <w:rFonts w:cs="Arial"/>
          <w:lang w:val="es-US" w:eastAsia="es-US"/>
        </w:rPr>
        <w:t xml:space="preserve">clínica puede variar de un déficit neurológico leve a </w:t>
      </w:r>
      <w:proofErr w:type="gramStart"/>
      <w:r w:rsidRPr="00BE4D8C">
        <w:rPr>
          <w:rFonts w:cs="Arial"/>
          <w:lang w:val="es-US" w:eastAsia="es-US"/>
        </w:rPr>
        <w:t>grave</w:t>
      </w:r>
      <w:r w:rsidRPr="00BE4D8C">
        <w:rPr>
          <w:rFonts w:cs="Arial"/>
          <w:b/>
          <w:lang w:val="es-US" w:eastAsia="es-US"/>
        </w:rPr>
        <w:t>.</w:t>
      </w:r>
      <w:r w:rsidRPr="00BE4D8C">
        <w:rPr>
          <w:rFonts w:cs="Arial"/>
          <w:bCs/>
          <w:vertAlign w:val="superscript"/>
          <w:lang w:val="es-US" w:eastAsia="es-US"/>
        </w:rPr>
        <w:t>(</w:t>
      </w:r>
      <w:proofErr w:type="gramEnd"/>
      <w:r w:rsidRPr="00BE4D8C">
        <w:rPr>
          <w:rFonts w:cs="Arial"/>
          <w:bCs/>
          <w:vertAlign w:val="superscript"/>
          <w:lang w:val="es-US" w:eastAsia="es-US"/>
        </w:rPr>
        <w:t>5)</w:t>
      </w:r>
      <w:r w:rsidRPr="00BE4D8C">
        <w:rPr>
          <w:rFonts w:eastAsia="Calibri"/>
          <w:lang w:val="es-US" w:eastAsia="en-US"/>
        </w:rPr>
        <w:t xml:space="preserve"> </w:t>
      </w:r>
    </w:p>
    <w:p w14:paraId="3F193B8F" w14:textId="77777777" w:rsidR="00BE4D8C" w:rsidRPr="00BE4D8C" w:rsidRDefault="00BE4D8C" w:rsidP="00BE4D8C">
      <w:pPr>
        <w:suppressAutoHyphens/>
        <w:spacing w:line="360" w:lineRule="auto"/>
        <w:jc w:val="both"/>
        <w:rPr>
          <w:rFonts w:eastAsia="Calibri"/>
          <w:bCs/>
          <w:lang w:val="es-US" w:eastAsia="en-US"/>
        </w:rPr>
      </w:pPr>
      <w:r w:rsidRPr="00BE4D8C">
        <w:rPr>
          <w:rFonts w:cs="Arial"/>
          <w:lang w:val="es-US" w:eastAsia="es-US"/>
        </w:rPr>
        <w:t>Las causas del síndrome de Brown-</w:t>
      </w:r>
      <w:proofErr w:type="spellStart"/>
      <w:r w:rsidRPr="00BE4D8C">
        <w:rPr>
          <w:rFonts w:cs="Arial"/>
          <w:lang w:val="es-US" w:eastAsia="es-US"/>
        </w:rPr>
        <w:t>Séquard</w:t>
      </w:r>
      <w:proofErr w:type="spellEnd"/>
      <w:r w:rsidRPr="00BE4D8C">
        <w:rPr>
          <w:rFonts w:cs="Arial"/>
          <w:lang w:val="es-US" w:eastAsia="es-US"/>
        </w:rPr>
        <w:t xml:space="preserve"> se pueden dividir en lesiones traumáticas (más frecuentes) y no traumáticas. Entre la gran variedad de causas no traumáticas, se incluyen quistes sinoviales y aracnoideos, espondilosis cervical, tumores, esclerosis múltiple, radiación, siringomielia, </w:t>
      </w:r>
      <w:proofErr w:type="spellStart"/>
      <w:r w:rsidRPr="00BE4D8C">
        <w:rPr>
          <w:rFonts w:cs="Arial"/>
          <w:lang w:val="es-US" w:eastAsia="es-US"/>
        </w:rPr>
        <w:t>hematomielia</w:t>
      </w:r>
      <w:proofErr w:type="spellEnd"/>
      <w:r w:rsidRPr="00BE4D8C">
        <w:rPr>
          <w:rFonts w:cs="Arial"/>
          <w:lang w:val="es-US" w:eastAsia="es-US"/>
        </w:rPr>
        <w:t>, hernia de disco intervertebral, enfermedad por descompresión y estenosis del canal raquídeo; además, diversas afecciones vasculares, que incluyen malformaciones, hematomas epidurales espontáneos y se han descritos casos debido a la disección de la arteria vertebral.</w:t>
      </w:r>
      <w:r w:rsidRPr="00BE4D8C">
        <w:rPr>
          <w:rFonts w:cs="Arial"/>
          <w:vertAlign w:val="superscript"/>
          <w:lang w:val="es-US" w:eastAsia="es-US"/>
        </w:rPr>
        <w:t>(</w:t>
      </w:r>
      <w:r w:rsidRPr="00BE4D8C">
        <w:rPr>
          <w:rFonts w:cs="Arial"/>
          <w:bCs/>
          <w:vertAlign w:val="superscript"/>
          <w:lang w:val="es-US" w:eastAsia="es-US"/>
        </w:rPr>
        <w:t>6)</w:t>
      </w:r>
      <w:r w:rsidRPr="00BE4D8C">
        <w:rPr>
          <w:rFonts w:cs="Arial"/>
          <w:lang w:val="es-US" w:eastAsia="es-US"/>
        </w:rPr>
        <w:t> También pueden haber causas infecciosas, como tuberculosis, mielitis transversa, herpes zóster, empiema y meningitis.</w:t>
      </w:r>
      <w:r w:rsidRPr="00BE4D8C">
        <w:rPr>
          <w:rFonts w:cs="Arial"/>
          <w:bCs/>
          <w:vertAlign w:val="superscript"/>
          <w:lang w:val="es-US" w:eastAsia="es-US"/>
        </w:rPr>
        <w:t>(1,2,7)</w:t>
      </w:r>
    </w:p>
    <w:p w14:paraId="460EA4CE" w14:textId="485690E6" w:rsidR="00BE4D8C" w:rsidRPr="00BE4D8C" w:rsidRDefault="00BE4D8C" w:rsidP="00BE4D8C">
      <w:pPr>
        <w:shd w:val="clear" w:color="auto" w:fill="FFFFFF"/>
        <w:suppressAutoHyphens/>
        <w:spacing w:line="360" w:lineRule="auto"/>
        <w:jc w:val="both"/>
        <w:rPr>
          <w:rFonts w:eastAsia="Calibri" w:cs="Arial"/>
          <w:lang w:val="es-US" w:eastAsia="en-US"/>
        </w:rPr>
      </w:pPr>
      <w:r w:rsidRPr="00BE4D8C">
        <w:rPr>
          <w:rFonts w:cs="Arial"/>
          <w:lang w:val="es-US" w:eastAsia="es-US"/>
        </w:rPr>
        <w:t>Las lesiones asientan más en la región cervical y en menor medida en la columna dorsal. Si la región lumbar es la afectada, se pueden detectar afectaciones urinarias y digestivas; los síntomas respiratorios aparecen cuando el daño compromete al tallo cerebral.</w:t>
      </w:r>
      <w:r w:rsidRPr="00BE4D8C">
        <w:rPr>
          <w:rFonts w:cs="Arial"/>
          <w:bCs/>
          <w:vertAlign w:val="superscript"/>
          <w:lang w:val="es-US" w:eastAsia="es-US"/>
        </w:rPr>
        <w:t>(2)</w:t>
      </w:r>
      <w:r w:rsidRPr="00BE4D8C">
        <w:rPr>
          <w:lang w:val="es-US" w:eastAsia="es-US"/>
        </w:rPr>
        <w:t> </w:t>
      </w:r>
      <w:r w:rsidRPr="00BE4D8C">
        <w:rPr>
          <w:rFonts w:eastAsia="Calibri" w:cs="Arial"/>
          <w:lang w:val="es-US" w:eastAsia="en-US"/>
        </w:rPr>
        <w:t>Teniendo en cuenta que se han notificado pocos casos de pacientes con discopatías cervicales causantes de este síndrome, sin llegar al centenar de casos reportados en revistas médicas internacionales ni descripción de casos en publicaciones a nivel nacional, se muestra una forma de presentación atípica de la hernia discal cervical en una paciente joven sin antecedentes de traumatismo ni esfuerzo físico.</w:t>
      </w:r>
    </w:p>
    <w:p w14:paraId="3AD55418" w14:textId="77777777" w:rsidR="00BE4D8C" w:rsidRPr="00BE4D8C" w:rsidRDefault="00BE4D8C" w:rsidP="00BE4D8C">
      <w:pPr>
        <w:shd w:val="clear" w:color="auto" w:fill="FFFFFF"/>
        <w:suppressAutoHyphens/>
        <w:spacing w:line="360" w:lineRule="auto"/>
        <w:jc w:val="both"/>
        <w:rPr>
          <w:rFonts w:eastAsia="Calibri" w:cs="Arial"/>
          <w:lang w:val="es-US" w:eastAsia="en-US"/>
        </w:rPr>
      </w:pPr>
    </w:p>
    <w:p w14:paraId="2507EDB8" w14:textId="77777777" w:rsidR="00BE4D8C" w:rsidRPr="00BE4D8C" w:rsidRDefault="00BE4D8C" w:rsidP="00BE4D8C">
      <w:pPr>
        <w:shd w:val="clear" w:color="auto" w:fill="FFFFFF"/>
        <w:suppressAutoHyphens/>
        <w:spacing w:line="360" w:lineRule="auto"/>
        <w:jc w:val="both"/>
        <w:rPr>
          <w:rFonts w:eastAsia="Calibri"/>
          <w:lang w:val="es-US" w:eastAsia="en-US"/>
        </w:rPr>
      </w:pPr>
      <w:r w:rsidRPr="00BE4D8C">
        <w:rPr>
          <w:rFonts w:eastAsia="Calibri" w:cs="Arial"/>
          <w:lang w:val="es-US" w:eastAsia="en-US"/>
        </w:rPr>
        <w:t xml:space="preserve"> </w:t>
      </w:r>
    </w:p>
    <w:p w14:paraId="26DE42C0" w14:textId="77777777" w:rsidR="00FD3A21" w:rsidRDefault="00FD3A21">
      <w:pPr>
        <w:rPr>
          <w:rFonts w:eastAsia="Calibri" w:cs="Arial"/>
          <w:b/>
          <w:sz w:val="32"/>
          <w:szCs w:val="32"/>
          <w:lang w:val="es-US" w:eastAsia="en-US"/>
        </w:rPr>
      </w:pPr>
      <w:r>
        <w:rPr>
          <w:rFonts w:eastAsia="Calibri" w:cs="Arial"/>
          <w:b/>
          <w:sz w:val="32"/>
          <w:szCs w:val="32"/>
          <w:lang w:val="es-US" w:eastAsia="en-US"/>
        </w:rPr>
        <w:br w:type="page"/>
      </w:r>
    </w:p>
    <w:p w14:paraId="3C376CE2" w14:textId="3C01A9DC" w:rsidR="00BE4D8C" w:rsidRPr="00BE4D8C" w:rsidRDefault="00BE4D8C" w:rsidP="00BE4D8C">
      <w:pPr>
        <w:suppressAutoHyphens/>
        <w:spacing w:line="360" w:lineRule="auto"/>
        <w:jc w:val="center"/>
        <w:rPr>
          <w:rFonts w:eastAsia="Calibri"/>
          <w:sz w:val="32"/>
          <w:szCs w:val="32"/>
          <w:lang w:val="es-US" w:eastAsia="en-US"/>
        </w:rPr>
      </w:pPr>
      <w:r w:rsidRPr="00BE4D8C">
        <w:rPr>
          <w:rFonts w:eastAsia="Calibri" w:cs="Arial"/>
          <w:b/>
          <w:sz w:val="32"/>
          <w:szCs w:val="32"/>
          <w:lang w:val="es-US" w:eastAsia="en-US"/>
        </w:rPr>
        <w:lastRenderedPageBreak/>
        <w:t>CASO CLÍNICO</w:t>
      </w:r>
    </w:p>
    <w:p w14:paraId="3558E70E" w14:textId="77777777" w:rsidR="00BE4D8C" w:rsidRPr="00BE4D8C" w:rsidRDefault="00BE4D8C" w:rsidP="00BE4D8C">
      <w:pPr>
        <w:suppressAutoHyphens/>
        <w:spacing w:line="360" w:lineRule="auto"/>
        <w:jc w:val="both"/>
        <w:rPr>
          <w:rFonts w:eastAsia="Calibri" w:cs="Arial"/>
          <w:lang w:val="es-US" w:eastAsia="en-US"/>
        </w:rPr>
      </w:pPr>
      <w:r w:rsidRPr="00BE4D8C">
        <w:rPr>
          <w:rFonts w:eastAsia="Calibri" w:cs="Arial"/>
          <w:lang w:val="es-US" w:eastAsia="en-US"/>
        </w:rPr>
        <w:t xml:space="preserve">Se trata de una paciente femenina de 24 años de edad, con antecedentes de salud, que acude a consulta por presentar disminución de la fuerza muscular en los miembros del lado izquierdo, con afectación de la marcha y limitaciones para sostener los objetos con la mano. También refería dolor ocasional en la región cervical, de tipo nociceptivo e intensidad moderada, punzante, que aparecía en cualquier momento del día y se aliviaba en ocasiones con analgésicos </w:t>
      </w:r>
      <w:proofErr w:type="spellStart"/>
      <w:r w:rsidRPr="00BE4D8C">
        <w:rPr>
          <w:rFonts w:eastAsia="Calibri" w:cs="Arial"/>
          <w:lang w:val="es-US" w:eastAsia="en-US"/>
        </w:rPr>
        <w:t>opiodes</w:t>
      </w:r>
      <w:proofErr w:type="spellEnd"/>
      <w:r w:rsidRPr="00BE4D8C">
        <w:rPr>
          <w:rFonts w:eastAsia="Calibri" w:cs="Arial"/>
          <w:lang w:val="es-US" w:eastAsia="en-US"/>
        </w:rPr>
        <w:t xml:space="preserve"> (tramadol, 1 comprimido de 50 mg al día), antinflamatorios no esteroideos (diclofenaco de sodio, 75 mg 2 veces al día por vía </w:t>
      </w:r>
      <w:proofErr w:type="spellStart"/>
      <w:r w:rsidRPr="00BE4D8C">
        <w:rPr>
          <w:rFonts w:eastAsia="Calibri" w:cs="Arial"/>
          <w:lang w:val="es-US" w:eastAsia="en-US"/>
        </w:rPr>
        <w:t>i.m</w:t>
      </w:r>
      <w:proofErr w:type="spellEnd"/>
      <w:r w:rsidRPr="00BE4D8C">
        <w:rPr>
          <w:rFonts w:eastAsia="Calibri" w:cs="Arial"/>
          <w:lang w:val="es-US" w:eastAsia="en-US"/>
        </w:rPr>
        <w:t xml:space="preserve">.). </w:t>
      </w:r>
    </w:p>
    <w:p w14:paraId="2EA4CC78" w14:textId="77777777" w:rsidR="00BE4D8C" w:rsidRPr="00BE4D8C" w:rsidRDefault="00BE4D8C" w:rsidP="00BE4D8C">
      <w:pPr>
        <w:suppressAutoHyphens/>
        <w:spacing w:line="360" w:lineRule="auto"/>
        <w:jc w:val="both"/>
        <w:rPr>
          <w:rFonts w:eastAsia="Calibri" w:cs="Arial"/>
          <w:lang w:val="es-US" w:eastAsia="en-US"/>
        </w:rPr>
      </w:pPr>
      <w:r w:rsidRPr="00BE4D8C">
        <w:rPr>
          <w:rFonts w:eastAsia="Calibri" w:cs="Arial"/>
          <w:lang w:val="es-US" w:eastAsia="en-US"/>
        </w:rPr>
        <w:t xml:space="preserve">Los síntomas comenzaron aproximadamente 3 meses atrás y fueron aumentando progresivamente, desde hace 2 semanas. Después de ser evaluada en el servicio de neurología fue referida para neurocirugía. Se decidió el ingreso. </w:t>
      </w:r>
    </w:p>
    <w:p w14:paraId="0344DCE8" w14:textId="77777777" w:rsidR="00BE4D8C" w:rsidRPr="00BE4D8C" w:rsidRDefault="00BE4D8C" w:rsidP="00BE4D8C">
      <w:pPr>
        <w:suppressAutoHyphens/>
        <w:spacing w:line="360" w:lineRule="auto"/>
        <w:jc w:val="both"/>
        <w:rPr>
          <w:rFonts w:eastAsia="Calibri" w:cs="Arial"/>
          <w:lang w:val="es-US" w:eastAsia="en-US"/>
        </w:rPr>
      </w:pPr>
      <w:r w:rsidRPr="00BE4D8C">
        <w:rPr>
          <w:rFonts w:eastAsia="Calibri" w:cs="Arial"/>
          <w:lang w:val="es-US" w:eastAsia="en-US"/>
        </w:rPr>
        <w:t xml:space="preserve">En el examen físico neurológico, se encontró hemiparesia izquierda desproporcional, con fuerza muscular grado 3/5 en miembro superior y 4/5 en miembro inferior, según la escala de Daniels y Lovett; hiporreflexia bicipital e </w:t>
      </w:r>
      <w:proofErr w:type="spellStart"/>
      <w:r w:rsidRPr="00BE4D8C">
        <w:rPr>
          <w:rFonts w:eastAsia="Calibri" w:cs="Arial"/>
          <w:lang w:val="es-US" w:eastAsia="en-US"/>
        </w:rPr>
        <w:t>hipopalestesia</w:t>
      </w:r>
      <w:proofErr w:type="spellEnd"/>
      <w:r w:rsidRPr="00BE4D8C">
        <w:rPr>
          <w:rFonts w:eastAsia="Calibri" w:cs="Arial"/>
          <w:lang w:val="es-US" w:eastAsia="en-US"/>
        </w:rPr>
        <w:t xml:space="preserve"> en el miembro superior ipsilateral y parestesias e hipoestesia en el brazo contralateral. Con estos hallazgos se plantea que la paciente presenta una lesión de medular tipo D, según escala de la </w:t>
      </w:r>
      <w:r w:rsidRPr="00FD3A21">
        <w:rPr>
          <w:rFonts w:eastAsia="Calibri" w:cs="Arial"/>
          <w:i/>
          <w:iCs/>
          <w:lang w:val="es-US" w:eastAsia="en-US"/>
        </w:rPr>
        <w:t>American</w:t>
      </w:r>
      <w:r w:rsidRPr="00BE4D8C">
        <w:rPr>
          <w:rFonts w:eastAsia="Calibri" w:cs="Arial"/>
          <w:lang w:val="es-US" w:eastAsia="en-US"/>
        </w:rPr>
        <w:t xml:space="preserve"> </w:t>
      </w:r>
      <w:proofErr w:type="spellStart"/>
      <w:r w:rsidRPr="00BE4D8C">
        <w:rPr>
          <w:rFonts w:eastAsia="Calibri" w:cs="Arial"/>
          <w:i/>
          <w:iCs/>
          <w:lang w:val="es-US" w:eastAsia="en-US"/>
        </w:rPr>
        <w:t>Spinal</w:t>
      </w:r>
      <w:proofErr w:type="spellEnd"/>
      <w:r w:rsidRPr="00BE4D8C">
        <w:rPr>
          <w:rFonts w:eastAsia="Calibri" w:cs="Arial"/>
          <w:i/>
          <w:iCs/>
          <w:lang w:val="es-US" w:eastAsia="en-US"/>
        </w:rPr>
        <w:t xml:space="preserve"> </w:t>
      </w:r>
      <w:proofErr w:type="spellStart"/>
      <w:r w:rsidRPr="00BE4D8C">
        <w:rPr>
          <w:rFonts w:eastAsia="Calibri" w:cs="Arial"/>
          <w:i/>
          <w:iCs/>
          <w:lang w:val="es-US" w:eastAsia="en-US"/>
        </w:rPr>
        <w:t>Injury</w:t>
      </w:r>
      <w:proofErr w:type="spellEnd"/>
      <w:r w:rsidRPr="00BE4D8C">
        <w:rPr>
          <w:rFonts w:eastAsia="Calibri" w:cs="Arial"/>
          <w:i/>
          <w:iCs/>
          <w:lang w:val="es-US" w:eastAsia="en-US"/>
        </w:rPr>
        <w:t xml:space="preserve"> </w:t>
      </w:r>
      <w:proofErr w:type="spellStart"/>
      <w:r w:rsidRPr="00BE4D8C">
        <w:rPr>
          <w:rFonts w:eastAsia="Calibri" w:cs="Arial"/>
          <w:i/>
          <w:iCs/>
          <w:lang w:val="es-US" w:eastAsia="en-US"/>
        </w:rPr>
        <w:t>Association</w:t>
      </w:r>
      <w:proofErr w:type="spellEnd"/>
      <w:r w:rsidRPr="00BE4D8C">
        <w:rPr>
          <w:rFonts w:eastAsia="Calibri" w:cs="Arial"/>
          <w:lang w:val="es-US" w:eastAsia="en-US"/>
        </w:rPr>
        <w:t xml:space="preserve"> (ASIA). </w:t>
      </w:r>
    </w:p>
    <w:p w14:paraId="03DB646F" w14:textId="77777777" w:rsidR="00BE4D8C" w:rsidRPr="00BE4D8C" w:rsidRDefault="00BE4D8C" w:rsidP="00BE4D8C">
      <w:pPr>
        <w:suppressAutoHyphens/>
        <w:spacing w:line="360" w:lineRule="auto"/>
        <w:jc w:val="both"/>
        <w:rPr>
          <w:rFonts w:eastAsia="Calibri" w:cs="Arial"/>
          <w:lang w:val="es-US" w:eastAsia="en-US"/>
        </w:rPr>
      </w:pPr>
      <w:r w:rsidRPr="00BE4D8C">
        <w:rPr>
          <w:rFonts w:eastAsia="Calibri" w:cs="Arial"/>
          <w:lang w:val="es-US" w:eastAsia="en-US"/>
        </w:rPr>
        <w:t xml:space="preserve">En estudio de resonancia magnética nuclear sin contraste, se detectó una hernia discal extruida, con gran compresión medular. Se decidió realizar tratamiento quirúrgico (Fig. 1), con abordaje anterolateral de la columna cervical; mediante la técnica neuroquirúrgica de Caspar, realizar </w:t>
      </w:r>
      <w:proofErr w:type="spellStart"/>
      <w:r w:rsidRPr="00BE4D8C">
        <w:rPr>
          <w:rFonts w:eastAsia="Calibri" w:cs="Arial"/>
          <w:lang w:val="es-US" w:eastAsia="en-US"/>
        </w:rPr>
        <w:t>discectomía</w:t>
      </w:r>
      <w:proofErr w:type="spellEnd"/>
      <w:r w:rsidRPr="00BE4D8C">
        <w:rPr>
          <w:rFonts w:eastAsia="Calibri" w:cs="Arial"/>
          <w:lang w:val="es-US" w:eastAsia="en-US"/>
        </w:rPr>
        <w:t xml:space="preserve"> intervertebral C4-C5, injerto óseo autólogo tomado de cresta ilíaca derecha y fijación con láminas y tornillos de titanio (Fig. 2). </w:t>
      </w:r>
    </w:p>
    <w:p w14:paraId="12A8B9FD" w14:textId="77777777" w:rsidR="00BE4D8C" w:rsidRPr="00BE4D8C" w:rsidRDefault="00BE4D8C" w:rsidP="00BE4D8C">
      <w:pPr>
        <w:suppressAutoHyphens/>
        <w:spacing w:line="360" w:lineRule="auto"/>
        <w:jc w:val="both"/>
        <w:rPr>
          <w:rFonts w:eastAsia="Calibri" w:cs="Arial"/>
          <w:lang w:val="es-US" w:eastAsia="en-US"/>
        </w:rPr>
      </w:pPr>
      <w:r w:rsidRPr="00BE4D8C">
        <w:rPr>
          <w:rFonts w:eastAsia="Calibri" w:cs="Arial"/>
          <w:lang w:val="es-US" w:eastAsia="en-US"/>
        </w:rPr>
        <w:t xml:space="preserve">Durante el postoperatorio se inició fisioterapia y aplicación de oxigenación hiperbárica. La paciente egresó a los 7 días. A los 2 meses ya tenía restauración total de la función motora, desaparecieron las manifestaciones sensitivas, y el dolor se presentaba en pocas ocasiones, cuando adoptaba algunas posturas; se aliviaba espontáneamente.  </w:t>
      </w:r>
    </w:p>
    <w:p w14:paraId="6DF3EA34" w14:textId="77777777" w:rsidR="00BE4D8C" w:rsidRPr="00BE4D8C" w:rsidRDefault="00BE4D8C" w:rsidP="00BE4D8C">
      <w:pPr>
        <w:suppressAutoHyphens/>
        <w:spacing w:line="360" w:lineRule="auto"/>
        <w:jc w:val="both"/>
        <w:rPr>
          <w:rFonts w:eastAsia="Calibri"/>
          <w:lang w:val="es-US" w:eastAsia="en-US"/>
        </w:rPr>
      </w:pPr>
    </w:p>
    <w:p w14:paraId="416CAC89" w14:textId="57F992A0" w:rsidR="00BE4D8C" w:rsidRPr="00BE4D8C" w:rsidRDefault="00451DF8" w:rsidP="00BE4D8C">
      <w:pPr>
        <w:suppressAutoHyphens/>
        <w:spacing w:line="360" w:lineRule="auto"/>
        <w:jc w:val="center"/>
        <w:rPr>
          <w:rFonts w:eastAsia="Calibri"/>
          <w:lang w:val="es-US" w:eastAsia="en-US"/>
        </w:rPr>
      </w:pPr>
      <w:r>
        <w:rPr>
          <w:rFonts w:eastAsia="Calibri"/>
          <w:noProof/>
          <w:lang w:val="es-US" w:eastAsia="en-US"/>
        </w:rPr>
        <w:lastRenderedPageBreak/>
        <w:drawing>
          <wp:inline distT="0" distB="0" distL="0" distR="0" wp14:anchorId="1C7AF412" wp14:editId="6999348D">
            <wp:extent cx="4819650" cy="2305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4819650" cy="2305050"/>
                    </a:xfrm>
                    <a:prstGeom prst="rect">
                      <a:avLst/>
                    </a:prstGeom>
                  </pic:spPr>
                </pic:pic>
              </a:graphicData>
            </a:graphic>
          </wp:inline>
        </w:drawing>
      </w:r>
    </w:p>
    <w:p w14:paraId="0123EBB3" w14:textId="77777777" w:rsidR="00BE4D8C" w:rsidRPr="00BE4D8C" w:rsidRDefault="00BE4D8C" w:rsidP="00BE4D8C">
      <w:pPr>
        <w:suppressAutoHyphens/>
        <w:spacing w:line="360" w:lineRule="auto"/>
        <w:jc w:val="center"/>
        <w:rPr>
          <w:rFonts w:eastAsia="Calibri" w:cs="Arial"/>
          <w:sz w:val="22"/>
          <w:szCs w:val="22"/>
          <w:lang w:val="es-US" w:eastAsia="en-US"/>
        </w:rPr>
      </w:pPr>
      <w:r w:rsidRPr="00BE4D8C">
        <w:rPr>
          <w:rFonts w:eastAsia="Calibri" w:cs="Arial"/>
          <w:b/>
          <w:bCs/>
          <w:sz w:val="22"/>
          <w:szCs w:val="22"/>
          <w:lang w:val="es-US" w:eastAsia="en-US"/>
        </w:rPr>
        <w:t xml:space="preserve">Fig. 1 - </w:t>
      </w:r>
      <w:r w:rsidRPr="00BE4D8C">
        <w:rPr>
          <w:rFonts w:eastAsia="Calibri" w:cs="Arial"/>
          <w:sz w:val="22"/>
          <w:szCs w:val="22"/>
          <w:lang w:val="es-US" w:eastAsia="en-US"/>
        </w:rPr>
        <w:t>Estudio de resonancia magnética simple. A - vista sagital; B - corte axial, en el cual se aprecia compresión medular marcada, por hernia discal extruida.</w:t>
      </w:r>
    </w:p>
    <w:p w14:paraId="5A15E307" w14:textId="77777777" w:rsidR="00BE4D8C" w:rsidRPr="00BE4D8C" w:rsidRDefault="00BE4D8C" w:rsidP="00BE4D8C">
      <w:pPr>
        <w:suppressAutoHyphens/>
        <w:spacing w:line="360" w:lineRule="auto"/>
        <w:jc w:val="center"/>
        <w:rPr>
          <w:rFonts w:eastAsia="Calibri"/>
          <w:sz w:val="22"/>
          <w:szCs w:val="22"/>
          <w:lang w:val="es-US" w:eastAsia="en-US"/>
        </w:rPr>
      </w:pPr>
    </w:p>
    <w:p w14:paraId="14B37BCF" w14:textId="78D5F012" w:rsidR="00BE4D8C" w:rsidRPr="00BE4D8C" w:rsidRDefault="00451DF8" w:rsidP="00451DF8">
      <w:pPr>
        <w:suppressAutoHyphens/>
        <w:spacing w:line="360" w:lineRule="auto"/>
        <w:jc w:val="center"/>
        <w:rPr>
          <w:rFonts w:eastAsia="Calibri"/>
          <w:lang w:val="es-US" w:eastAsia="en-US"/>
        </w:rPr>
      </w:pPr>
      <w:r>
        <w:rPr>
          <w:rFonts w:eastAsia="Calibri"/>
          <w:noProof/>
          <w:lang w:val="es-US" w:eastAsia="en-US"/>
        </w:rPr>
        <w:drawing>
          <wp:inline distT="0" distB="0" distL="0" distR="0" wp14:anchorId="4267D2EF" wp14:editId="1A7E1427">
            <wp:extent cx="3732792" cy="2605178"/>
            <wp:effectExtent l="0" t="0" r="127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3749658" cy="2616949"/>
                    </a:xfrm>
                    <a:prstGeom prst="rect">
                      <a:avLst/>
                    </a:prstGeom>
                  </pic:spPr>
                </pic:pic>
              </a:graphicData>
            </a:graphic>
          </wp:inline>
        </w:drawing>
      </w:r>
    </w:p>
    <w:p w14:paraId="44A1613B" w14:textId="77777777" w:rsidR="00BE4D8C" w:rsidRPr="00BE4D8C" w:rsidRDefault="00BE4D8C" w:rsidP="00BE4D8C">
      <w:pPr>
        <w:suppressAutoHyphens/>
        <w:spacing w:line="360" w:lineRule="auto"/>
        <w:jc w:val="center"/>
        <w:rPr>
          <w:rFonts w:eastAsia="Calibri"/>
          <w:sz w:val="22"/>
          <w:szCs w:val="22"/>
          <w:lang w:val="es-US" w:eastAsia="en-US"/>
        </w:rPr>
      </w:pPr>
      <w:r w:rsidRPr="00BE4D8C">
        <w:rPr>
          <w:rFonts w:eastAsia="Calibri" w:cs="Arial"/>
          <w:b/>
          <w:bCs/>
          <w:sz w:val="22"/>
          <w:szCs w:val="22"/>
          <w:lang w:val="es-US" w:eastAsia="en-US"/>
        </w:rPr>
        <w:t xml:space="preserve">Fig. 2 - </w:t>
      </w:r>
      <w:r w:rsidRPr="00BE4D8C">
        <w:rPr>
          <w:rFonts w:eastAsia="Calibri" w:cs="Arial"/>
          <w:sz w:val="22"/>
          <w:szCs w:val="22"/>
          <w:lang w:val="es-US" w:eastAsia="en-US"/>
        </w:rPr>
        <w:t>Imagen transoperatoria. Fijación con lámina y tornillos de titanio.</w:t>
      </w:r>
    </w:p>
    <w:p w14:paraId="7E1BF4A3" w14:textId="77777777" w:rsidR="00BE4D8C" w:rsidRPr="00BE4D8C" w:rsidRDefault="00BE4D8C" w:rsidP="00BE4D8C">
      <w:pPr>
        <w:suppressAutoHyphens/>
        <w:spacing w:line="360" w:lineRule="auto"/>
        <w:jc w:val="both"/>
        <w:rPr>
          <w:rFonts w:eastAsia="Calibri" w:cs="Arial"/>
          <w:b/>
          <w:lang w:val="es-US" w:eastAsia="en-US"/>
        </w:rPr>
      </w:pPr>
    </w:p>
    <w:p w14:paraId="11851A1D" w14:textId="77777777" w:rsidR="00BE4D8C" w:rsidRPr="00BE4D8C" w:rsidRDefault="00BE4D8C" w:rsidP="00BE4D8C">
      <w:pPr>
        <w:suppressAutoHyphens/>
        <w:spacing w:line="360" w:lineRule="auto"/>
        <w:jc w:val="center"/>
        <w:rPr>
          <w:rFonts w:eastAsia="Calibri" w:cs="Arial"/>
          <w:b/>
          <w:sz w:val="32"/>
          <w:szCs w:val="32"/>
          <w:lang w:val="es-US" w:eastAsia="en-US"/>
        </w:rPr>
      </w:pPr>
    </w:p>
    <w:p w14:paraId="01CF6164" w14:textId="77777777" w:rsidR="00451DF8" w:rsidRDefault="00451DF8">
      <w:pPr>
        <w:rPr>
          <w:rFonts w:eastAsia="Calibri" w:cs="Arial"/>
          <w:b/>
          <w:sz w:val="32"/>
          <w:szCs w:val="32"/>
          <w:lang w:val="es-US" w:eastAsia="en-US"/>
        </w:rPr>
      </w:pPr>
      <w:r>
        <w:rPr>
          <w:rFonts w:eastAsia="Calibri" w:cs="Arial"/>
          <w:b/>
          <w:sz w:val="32"/>
          <w:szCs w:val="32"/>
          <w:lang w:val="es-US" w:eastAsia="en-US"/>
        </w:rPr>
        <w:br w:type="page"/>
      </w:r>
    </w:p>
    <w:p w14:paraId="3A47789E" w14:textId="71D7E093" w:rsidR="00BE4D8C" w:rsidRPr="00BE4D8C" w:rsidRDefault="00BE4D8C" w:rsidP="00BE4D8C">
      <w:pPr>
        <w:suppressAutoHyphens/>
        <w:spacing w:line="360" w:lineRule="auto"/>
        <w:jc w:val="center"/>
        <w:rPr>
          <w:rFonts w:eastAsia="Calibri"/>
          <w:sz w:val="32"/>
          <w:szCs w:val="32"/>
          <w:lang w:val="es-US" w:eastAsia="en-US"/>
        </w:rPr>
      </w:pPr>
      <w:r w:rsidRPr="00BE4D8C">
        <w:rPr>
          <w:rFonts w:eastAsia="Calibri" w:cs="Arial"/>
          <w:b/>
          <w:sz w:val="32"/>
          <w:szCs w:val="32"/>
          <w:lang w:val="es-US" w:eastAsia="en-US"/>
        </w:rPr>
        <w:lastRenderedPageBreak/>
        <w:t>COMENTARIOS</w:t>
      </w:r>
    </w:p>
    <w:p w14:paraId="62EB1412"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 xml:space="preserve">El síndrome de </w:t>
      </w:r>
      <w:proofErr w:type="spellStart"/>
      <w:r w:rsidRPr="00BE4D8C">
        <w:rPr>
          <w:rFonts w:eastAsia="Calibri" w:cs="Arial"/>
          <w:lang w:val="es-US" w:eastAsia="en-US"/>
        </w:rPr>
        <w:t>hemisección</w:t>
      </w:r>
      <w:proofErr w:type="spellEnd"/>
      <w:r w:rsidRPr="00BE4D8C">
        <w:rPr>
          <w:rFonts w:eastAsia="Calibri" w:cs="Arial"/>
          <w:lang w:val="es-US" w:eastAsia="en-US"/>
        </w:rPr>
        <w:t xml:space="preserve"> medular no es común y aunque se notifican más de 500 casos por año, se desconoce su verdadera incidencia a nivel </w:t>
      </w:r>
      <w:proofErr w:type="gramStart"/>
      <w:r w:rsidRPr="00BE4D8C">
        <w:rPr>
          <w:rFonts w:eastAsia="Calibri" w:cs="Arial"/>
          <w:lang w:val="es-US" w:eastAsia="en-US"/>
        </w:rPr>
        <w:t>mundial</w:t>
      </w:r>
      <w:r w:rsidRPr="00BE4D8C">
        <w:rPr>
          <w:rFonts w:eastAsia="Calibri" w:cs="Arial"/>
          <w:bCs/>
          <w:lang w:val="es-US" w:eastAsia="en-US"/>
        </w:rPr>
        <w:t>.</w:t>
      </w:r>
      <w:r w:rsidRPr="00BE4D8C">
        <w:rPr>
          <w:rFonts w:eastAsia="Calibri" w:cs="Arial"/>
          <w:bCs/>
          <w:vertAlign w:val="superscript"/>
          <w:lang w:val="es-US" w:eastAsia="en-US"/>
        </w:rPr>
        <w:t>(</w:t>
      </w:r>
      <w:proofErr w:type="gramEnd"/>
      <w:r w:rsidRPr="00BE4D8C">
        <w:rPr>
          <w:rFonts w:eastAsia="Calibri" w:cs="Arial"/>
          <w:bCs/>
          <w:vertAlign w:val="superscript"/>
          <w:lang w:val="es-US" w:eastAsia="en-US"/>
        </w:rPr>
        <w:t>8)</w:t>
      </w:r>
      <w:r w:rsidRPr="00BE4D8C">
        <w:rPr>
          <w:rFonts w:eastAsia="Calibri" w:cs="Arial"/>
          <w:lang w:val="es-US" w:eastAsia="en-US"/>
        </w:rPr>
        <w:t xml:space="preserve"> La edad promedio en pacientes afectados es de 40 años.</w:t>
      </w:r>
      <w:r w:rsidRPr="00BE4D8C">
        <w:rPr>
          <w:rFonts w:eastAsia="Calibri" w:cs="Arial"/>
          <w:bCs/>
          <w:vertAlign w:val="superscript"/>
          <w:lang w:val="es-US" w:eastAsia="en-US"/>
        </w:rPr>
        <w:t>(1,2)</w:t>
      </w:r>
      <w:r w:rsidRPr="00BE4D8C">
        <w:rPr>
          <w:rFonts w:eastAsia="Calibri" w:cs="Arial"/>
          <w:b/>
          <w:vertAlign w:val="superscript"/>
          <w:lang w:val="es-US" w:eastAsia="en-US"/>
        </w:rPr>
        <w:t xml:space="preserve"> </w:t>
      </w:r>
      <w:r w:rsidRPr="00BE4D8C">
        <w:rPr>
          <w:rFonts w:eastAsia="Calibri" w:cs="Arial"/>
          <w:lang w:val="es-US" w:eastAsia="en-US"/>
        </w:rPr>
        <w:t xml:space="preserve">La hernia discal cervical es una causa excepcional; hasta la fecha existen pocos casos descritos. </w:t>
      </w:r>
    </w:p>
    <w:p w14:paraId="6F6DEC19"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 xml:space="preserve">En 1928, </w:t>
      </w:r>
      <w:proofErr w:type="spellStart"/>
      <w:proofErr w:type="gramStart"/>
      <w:r w:rsidRPr="00BE4D8C">
        <w:rPr>
          <w:rFonts w:eastAsia="Calibri" w:cs="Arial"/>
          <w:i/>
          <w:lang w:val="es-US" w:eastAsia="en-US"/>
        </w:rPr>
        <w:t>Stookey</w:t>
      </w:r>
      <w:proofErr w:type="spellEnd"/>
      <w:r w:rsidRPr="00BE4D8C">
        <w:rPr>
          <w:rFonts w:eastAsia="Calibri" w:cs="Arial"/>
          <w:bCs/>
          <w:vertAlign w:val="superscript"/>
          <w:lang w:val="es-US" w:eastAsia="en-US"/>
        </w:rPr>
        <w:t>(</w:t>
      </w:r>
      <w:proofErr w:type="gramEnd"/>
      <w:r w:rsidRPr="00BE4D8C">
        <w:rPr>
          <w:rFonts w:eastAsia="Calibri" w:cs="Arial"/>
          <w:bCs/>
          <w:vertAlign w:val="superscript"/>
          <w:lang w:val="es-US" w:eastAsia="en-US"/>
        </w:rPr>
        <w:t>3)</w:t>
      </w:r>
      <w:r w:rsidRPr="00BE4D8C">
        <w:rPr>
          <w:rFonts w:eastAsia="Calibri" w:cs="Arial"/>
          <w:color w:val="FF0000"/>
          <w:vertAlign w:val="superscript"/>
          <w:lang w:val="es-US" w:eastAsia="en-US"/>
        </w:rPr>
        <w:t xml:space="preserve"> </w:t>
      </w:r>
      <w:r w:rsidRPr="00BE4D8C">
        <w:rPr>
          <w:rFonts w:eastAsia="Calibri" w:cs="Arial"/>
          <w:lang w:val="es-US" w:eastAsia="en-US"/>
        </w:rPr>
        <w:t>informa del primer caso de síndrome de Brown-</w:t>
      </w:r>
      <w:proofErr w:type="spellStart"/>
      <w:r w:rsidRPr="00BE4D8C">
        <w:rPr>
          <w:rFonts w:eastAsia="Calibri" w:cs="Arial"/>
          <w:lang w:val="es-US" w:eastAsia="en-US"/>
        </w:rPr>
        <w:t>Séquard</w:t>
      </w:r>
      <w:proofErr w:type="spellEnd"/>
      <w:r w:rsidRPr="00BE4D8C">
        <w:rPr>
          <w:rFonts w:eastAsia="Calibri" w:cs="Arial"/>
          <w:lang w:val="es-US" w:eastAsia="en-US"/>
        </w:rPr>
        <w:t>, producido por una hernia discal cervical.</w:t>
      </w:r>
      <w:r w:rsidRPr="00BE4D8C">
        <w:rPr>
          <w:rFonts w:eastAsia="Calibri" w:cs="Arial"/>
          <w:b/>
          <w:color w:val="FF0000"/>
          <w:vertAlign w:val="superscript"/>
          <w:lang w:val="es-US" w:eastAsia="en-US"/>
        </w:rPr>
        <w:t xml:space="preserve"> </w:t>
      </w:r>
      <w:r w:rsidRPr="00BE4D8C">
        <w:rPr>
          <w:rFonts w:eastAsia="Calibri" w:cs="Arial"/>
          <w:i/>
          <w:lang w:val="es-US" w:eastAsia="en-US"/>
        </w:rPr>
        <w:t>Zeng</w:t>
      </w:r>
      <w:r w:rsidRPr="00BE4D8C">
        <w:rPr>
          <w:rFonts w:eastAsia="Calibri" w:cs="Arial"/>
          <w:lang w:val="es-US" w:eastAsia="en-US"/>
        </w:rPr>
        <w:t xml:space="preserve"> y</w:t>
      </w:r>
      <w:r w:rsidRPr="00BE4D8C">
        <w:rPr>
          <w:rFonts w:ascii="Calibri" w:eastAsia="Calibri" w:hAnsi="Calibri"/>
          <w:sz w:val="22"/>
          <w:szCs w:val="22"/>
          <w:lang w:val="es-US" w:eastAsia="en-US"/>
        </w:rPr>
        <w:t xml:space="preserve"> </w:t>
      </w:r>
      <w:proofErr w:type="gramStart"/>
      <w:r w:rsidRPr="00BE4D8C">
        <w:rPr>
          <w:rFonts w:ascii="Calibri" w:eastAsia="Calibri" w:hAnsi="Calibri"/>
          <w:sz w:val="22"/>
          <w:szCs w:val="22"/>
          <w:lang w:val="es-US" w:eastAsia="en-US"/>
        </w:rPr>
        <w:t>otros,</w:t>
      </w:r>
      <w:r w:rsidRPr="00BE4D8C">
        <w:rPr>
          <w:rFonts w:eastAsia="Calibri" w:cs="Arial"/>
          <w:bCs/>
          <w:vertAlign w:val="superscript"/>
          <w:lang w:val="es-US" w:eastAsia="en-US"/>
        </w:rPr>
        <w:t>(</w:t>
      </w:r>
      <w:proofErr w:type="gramEnd"/>
      <w:r w:rsidRPr="00BE4D8C">
        <w:rPr>
          <w:rFonts w:eastAsia="Calibri" w:cs="Arial"/>
          <w:bCs/>
          <w:vertAlign w:val="superscript"/>
          <w:lang w:val="es-US" w:eastAsia="en-US"/>
        </w:rPr>
        <w:t>3)</w:t>
      </w:r>
      <w:r w:rsidRPr="00BE4D8C">
        <w:rPr>
          <w:rFonts w:eastAsia="Calibri" w:cs="Arial"/>
          <w:color w:val="FF0000"/>
          <w:vertAlign w:val="superscript"/>
          <w:lang w:val="es-US" w:eastAsia="en-US"/>
        </w:rPr>
        <w:t xml:space="preserve"> </w:t>
      </w:r>
      <w:r w:rsidRPr="00BE4D8C">
        <w:rPr>
          <w:rFonts w:eastAsia="Calibri" w:cs="Arial"/>
          <w:lang w:val="es-US" w:eastAsia="en-US"/>
        </w:rPr>
        <w:t>describen que la edad</w:t>
      </w:r>
      <w:r w:rsidRPr="00BE4D8C">
        <w:rPr>
          <w:rFonts w:eastAsia="Calibri"/>
          <w:color w:val="FF0000"/>
          <w:lang w:val="es-US" w:eastAsia="en-US"/>
        </w:rPr>
        <w:t xml:space="preserve"> </w:t>
      </w:r>
      <w:r w:rsidRPr="00BE4D8C">
        <w:rPr>
          <w:rFonts w:eastAsia="Calibri" w:cs="Arial"/>
          <w:lang w:val="es-US" w:eastAsia="en-US"/>
        </w:rPr>
        <w:t xml:space="preserve">media de los pacientes es de 47,2 años y varía entre 23 y 86 años. El espacio C5-C6 fue el nivel más vulnerable en el 45,7 % de la serie de casos y predominó el sexo masculino en un 70 </w:t>
      </w:r>
      <w:proofErr w:type="gramStart"/>
      <w:r w:rsidRPr="00BE4D8C">
        <w:rPr>
          <w:rFonts w:eastAsia="Calibri" w:cs="Arial"/>
          <w:lang w:val="es-US" w:eastAsia="en-US"/>
        </w:rPr>
        <w:t>%</w:t>
      </w:r>
      <w:r w:rsidRPr="00BE4D8C">
        <w:rPr>
          <w:rFonts w:eastAsia="Calibri" w:cs="Arial"/>
          <w:bCs/>
          <w:lang w:val="es-US" w:eastAsia="en-US"/>
        </w:rPr>
        <w:t>.</w:t>
      </w:r>
      <w:r w:rsidRPr="00BE4D8C">
        <w:rPr>
          <w:rFonts w:eastAsia="Calibri" w:cs="Arial"/>
          <w:bCs/>
          <w:vertAlign w:val="superscript"/>
          <w:lang w:val="es-US" w:eastAsia="en-US"/>
        </w:rPr>
        <w:t>(</w:t>
      </w:r>
      <w:proofErr w:type="gramEnd"/>
      <w:r w:rsidRPr="00BE4D8C">
        <w:rPr>
          <w:rFonts w:eastAsia="Calibri" w:cs="Arial"/>
          <w:bCs/>
          <w:vertAlign w:val="superscript"/>
          <w:lang w:val="es-US" w:eastAsia="en-US"/>
        </w:rPr>
        <w:t>3)</w:t>
      </w:r>
      <w:r w:rsidRPr="00BE4D8C">
        <w:rPr>
          <w:rFonts w:eastAsia="Calibri" w:cs="Arial"/>
          <w:color w:val="FF0000"/>
          <w:vertAlign w:val="superscript"/>
          <w:lang w:val="es-US" w:eastAsia="en-US"/>
        </w:rPr>
        <w:t xml:space="preserve"> </w:t>
      </w:r>
      <w:r w:rsidRPr="00BE4D8C">
        <w:rPr>
          <w:rFonts w:eastAsia="Calibri" w:cs="Arial"/>
          <w:lang w:val="es-US" w:eastAsia="en-US"/>
        </w:rPr>
        <w:t>Ocurre en su mayoría debido a cambios degenerativos, ya que la protrusión abrupta de un disco intervertebral después de un traumatismo cervical agudo es muy rara.</w:t>
      </w:r>
      <w:r w:rsidRPr="00BE4D8C">
        <w:rPr>
          <w:rFonts w:eastAsia="Calibri" w:cs="Arial"/>
          <w:bCs/>
          <w:vertAlign w:val="superscript"/>
          <w:lang w:val="es-US" w:eastAsia="en-US"/>
        </w:rPr>
        <w:t>(8)</w:t>
      </w:r>
      <w:r w:rsidRPr="00BE4D8C">
        <w:rPr>
          <w:rFonts w:eastAsia="Calibri" w:cs="Arial"/>
          <w:bCs/>
          <w:lang w:val="es-US" w:eastAsia="en-US"/>
        </w:rPr>
        <w:t xml:space="preserve"> </w:t>
      </w:r>
      <w:r w:rsidRPr="00BE4D8C">
        <w:rPr>
          <w:rFonts w:eastAsia="Calibri" w:cs="Arial"/>
          <w:lang w:val="es-US" w:eastAsia="en-US"/>
        </w:rPr>
        <w:t>En el caso que se presenta no hubo relación con los datos estadísticos descritos.</w:t>
      </w:r>
    </w:p>
    <w:p w14:paraId="67077B0F" w14:textId="77777777" w:rsidR="00BE4D8C" w:rsidRPr="00BE4D8C" w:rsidRDefault="00BE4D8C" w:rsidP="00BE4D8C">
      <w:pPr>
        <w:suppressAutoHyphens/>
        <w:spacing w:line="360" w:lineRule="auto"/>
        <w:jc w:val="both"/>
        <w:rPr>
          <w:rFonts w:eastAsia="Calibri"/>
          <w:lang w:val="es-US" w:eastAsia="en-US"/>
        </w:rPr>
      </w:pPr>
      <w:r w:rsidRPr="00BE4D8C">
        <w:rPr>
          <w:rFonts w:eastAsia="Calibri" w:cs="Arial"/>
          <w:lang w:val="es-US" w:eastAsia="en-US"/>
        </w:rPr>
        <w:t>El diagnóstico se logra, a través de un exhaustivo examen físico neurológico, en correlación con los hallazgos de estudios imagenológicos, dentro de los cuales la resonancia magnética juega un papel primordial.</w:t>
      </w:r>
      <w:r w:rsidRPr="00BE4D8C">
        <w:rPr>
          <w:rFonts w:eastAsia="Calibri" w:cs="Arial"/>
          <w:color w:val="FF0000"/>
          <w:vertAlign w:val="superscript"/>
          <w:lang w:val="es-US" w:eastAsia="en-US"/>
        </w:rPr>
        <w:t xml:space="preserve"> </w:t>
      </w:r>
      <w:r w:rsidRPr="00BE4D8C">
        <w:rPr>
          <w:rFonts w:eastAsia="Calibri" w:cs="Arial"/>
          <w:lang w:val="es-US" w:eastAsia="en-US"/>
        </w:rPr>
        <w:t>La presentación de este síndrome en las hernias discales cervicales se describe con manifestaciones clínicas parciales o incompletas, los síntomas sensitivos pueden ser desapercibidos al comienzo y cuando aparece el déficit motor, se puede confundir con un accidente cerebrovascular, sobre todo de tipo isquémico. No obstante, las características que acompañan a los accidentes cerebrovasculares, como alteraciones del nivel de conciencia, trastornos del habla, afectación de nervios craneales, entre otras, lo diferencian del síndrome de Brown-</w:t>
      </w:r>
      <w:proofErr w:type="spellStart"/>
      <w:r w:rsidRPr="00BE4D8C">
        <w:rPr>
          <w:rFonts w:eastAsia="Calibri" w:cs="Arial"/>
          <w:lang w:val="es-US" w:eastAsia="en-US"/>
        </w:rPr>
        <w:t>Séquard</w:t>
      </w:r>
      <w:proofErr w:type="spellEnd"/>
      <w:r w:rsidRPr="00BE4D8C">
        <w:rPr>
          <w:rFonts w:eastAsia="Calibri" w:cs="Arial"/>
          <w:lang w:val="es-US" w:eastAsia="en-US"/>
        </w:rPr>
        <w:t>.</w:t>
      </w:r>
    </w:p>
    <w:p w14:paraId="2508D195" w14:textId="77777777" w:rsidR="00BE4D8C" w:rsidRPr="00BE4D8C" w:rsidRDefault="00BE4D8C" w:rsidP="00BE4D8C">
      <w:pPr>
        <w:suppressAutoHyphens/>
        <w:spacing w:line="360" w:lineRule="auto"/>
        <w:jc w:val="both"/>
        <w:rPr>
          <w:rFonts w:cs="Arial"/>
          <w:color w:val="000000"/>
          <w:lang w:val="es-US" w:eastAsia="es-US"/>
        </w:rPr>
      </w:pPr>
      <w:r w:rsidRPr="00BE4D8C">
        <w:rPr>
          <w:rFonts w:cs="Arial"/>
          <w:color w:val="000000"/>
          <w:lang w:val="es-US" w:eastAsia="es-US"/>
        </w:rPr>
        <w:t xml:space="preserve">El tratamiento de los pacientes con afecciones raquimedulares puede ser conservador o quirúrgico, según las causas y la presentación clínica; va siempre dirigido a evitar las complicaciones. Se lleva a cabo mediante un enfoque multidisciplinario, que incluye a médicos, enfermeras, así como fisioterapeutas y rehabilitadores, entre otros, con el objetivo principal de mejorar la calidad de vida del paciente. </w:t>
      </w:r>
    </w:p>
    <w:p w14:paraId="5E5D0084" w14:textId="77777777" w:rsidR="00BE4D8C" w:rsidRPr="00BE4D8C" w:rsidRDefault="00BE4D8C" w:rsidP="00BE4D8C">
      <w:pPr>
        <w:suppressAutoHyphens/>
        <w:spacing w:line="360" w:lineRule="auto"/>
        <w:jc w:val="both"/>
        <w:rPr>
          <w:rFonts w:eastAsia="Calibri" w:cs="Arial"/>
          <w:lang w:val="es-US" w:eastAsia="en-US"/>
        </w:rPr>
      </w:pPr>
      <w:r w:rsidRPr="00BE4D8C">
        <w:rPr>
          <w:rFonts w:eastAsia="Calibri" w:cs="Arial"/>
          <w:lang w:val="es-US" w:eastAsia="en-US"/>
        </w:rPr>
        <w:t xml:space="preserve">Debido a la poca prevalencia de </w:t>
      </w:r>
      <w:r w:rsidRPr="00BE4D8C">
        <w:rPr>
          <w:rFonts w:cs="Arial"/>
          <w:color w:val="000000"/>
          <w:lang w:val="es-US" w:eastAsia="es-US"/>
        </w:rPr>
        <w:t xml:space="preserve">este síndrome </w:t>
      </w:r>
      <w:r w:rsidRPr="00BE4D8C">
        <w:rPr>
          <w:rFonts w:eastAsia="Calibri" w:cs="Arial"/>
          <w:lang w:val="es-US" w:eastAsia="en-US"/>
        </w:rPr>
        <w:t xml:space="preserve">y a la variabilidad de causas, no existe un protocolo de tratamiento estandarizado, sin embargo, varios informes de casos muestran mejores resultados en la recuperación, después de la cirugía, que con el tratamiento médico conservador por sí </w:t>
      </w:r>
      <w:proofErr w:type="gramStart"/>
      <w:r w:rsidRPr="00BE4D8C">
        <w:rPr>
          <w:rFonts w:eastAsia="Calibri" w:cs="Arial"/>
          <w:lang w:val="es-US" w:eastAsia="en-US"/>
        </w:rPr>
        <w:t>solo.</w:t>
      </w:r>
      <w:r w:rsidRPr="00BE4D8C">
        <w:rPr>
          <w:rFonts w:eastAsia="Calibri" w:cs="Arial"/>
          <w:bCs/>
          <w:vertAlign w:val="superscript"/>
          <w:lang w:val="es-US" w:eastAsia="en-US"/>
        </w:rPr>
        <w:t>(</w:t>
      </w:r>
      <w:proofErr w:type="gramEnd"/>
      <w:r w:rsidRPr="00BE4D8C">
        <w:rPr>
          <w:rFonts w:eastAsia="Calibri" w:cs="Arial"/>
          <w:bCs/>
          <w:vertAlign w:val="superscript"/>
          <w:lang w:val="es-US" w:eastAsia="en-US"/>
        </w:rPr>
        <w:t>8,9)</w:t>
      </w:r>
      <w:r w:rsidRPr="00BE4D8C">
        <w:rPr>
          <w:rFonts w:eastAsia="Calibri" w:cs="Arial"/>
          <w:lang w:val="es-US" w:eastAsia="en-US"/>
        </w:rPr>
        <w:t xml:space="preserve"> </w:t>
      </w:r>
    </w:p>
    <w:p w14:paraId="30E9BB6B" w14:textId="77777777" w:rsidR="00BE4D8C" w:rsidRPr="00BE4D8C" w:rsidRDefault="00BE4D8C" w:rsidP="00BE4D8C">
      <w:pPr>
        <w:suppressAutoHyphens/>
        <w:spacing w:line="360" w:lineRule="auto"/>
        <w:jc w:val="both"/>
        <w:rPr>
          <w:rFonts w:eastAsia="Calibri"/>
          <w:shd w:val="clear" w:color="auto" w:fill="FFFFFF"/>
          <w:lang w:val="es-US" w:eastAsia="en-US"/>
        </w:rPr>
      </w:pPr>
      <w:r w:rsidRPr="00BE4D8C">
        <w:rPr>
          <w:rFonts w:eastAsia="Calibri" w:cs="Arial"/>
          <w:lang w:val="es-US" w:eastAsia="en-US"/>
        </w:rPr>
        <w:t xml:space="preserve">A consideración de los autores, la fisioterapia y la rehabilitación con técnicas como </w:t>
      </w:r>
      <w:r w:rsidRPr="00BE4D8C">
        <w:rPr>
          <w:rFonts w:eastAsia="Calibri"/>
          <w:shd w:val="clear" w:color="auto" w:fill="FFFFFF"/>
          <w:lang w:val="es-US" w:eastAsia="en-US"/>
        </w:rPr>
        <w:t xml:space="preserve">crioterapia, terapia de ultrasonido, termoterapia, electroterapia, terapia ocupacional ejercen un papel primordial en la recuperación total de muchos pacientes, como se evidencia en este caso. </w:t>
      </w:r>
    </w:p>
    <w:p w14:paraId="11C7CE31" w14:textId="77777777" w:rsidR="00BE4D8C" w:rsidRPr="00BE4D8C" w:rsidRDefault="00BE4D8C" w:rsidP="00BE4D8C">
      <w:pPr>
        <w:suppressAutoHyphens/>
        <w:spacing w:line="360" w:lineRule="auto"/>
        <w:jc w:val="both"/>
        <w:rPr>
          <w:rFonts w:cs="Arial"/>
          <w:color w:val="000000"/>
          <w:lang w:val="es-US" w:eastAsia="es-US"/>
        </w:rPr>
      </w:pPr>
      <w:r w:rsidRPr="00BE4D8C">
        <w:rPr>
          <w:rFonts w:cs="Arial"/>
          <w:lang w:val="es-US" w:eastAsia="es-US"/>
        </w:rPr>
        <w:lastRenderedPageBreak/>
        <w:t>Este síndrome es el de mejor pronóstico entre todas las enfermedades que causan daño</w:t>
      </w:r>
      <w:r w:rsidRPr="00BE4D8C">
        <w:rPr>
          <w:rFonts w:cs="Arial"/>
          <w:color w:val="000000"/>
          <w:lang w:val="es-US" w:eastAsia="es-US"/>
        </w:rPr>
        <w:t xml:space="preserve"> </w:t>
      </w:r>
      <w:proofErr w:type="gramStart"/>
      <w:r w:rsidRPr="00BE4D8C">
        <w:rPr>
          <w:rFonts w:cs="Arial"/>
          <w:color w:val="000000"/>
          <w:lang w:val="es-US" w:eastAsia="es-US"/>
        </w:rPr>
        <w:t>medular</w:t>
      </w:r>
      <w:r w:rsidRPr="00BE4D8C">
        <w:rPr>
          <w:rFonts w:cs="Arial"/>
          <w:bCs/>
          <w:vertAlign w:val="superscript"/>
          <w:lang w:val="es-US" w:eastAsia="es-US"/>
        </w:rPr>
        <w:t>(</w:t>
      </w:r>
      <w:proofErr w:type="gramEnd"/>
      <w:r w:rsidRPr="00BE4D8C">
        <w:rPr>
          <w:rFonts w:cs="Arial"/>
          <w:bCs/>
          <w:vertAlign w:val="superscript"/>
          <w:lang w:val="es-US" w:eastAsia="es-US"/>
        </w:rPr>
        <w:t>1)</w:t>
      </w:r>
      <w:r w:rsidRPr="00BE4D8C">
        <w:rPr>
          <w:rFonts w:cs="Arial"/>
          <w:color w:val="000000"/>
          <w:lang w:val="es-US" w:eastAsia="es-US"/>
        </w:rPr>
        <w:t xml:space="preserve"> y depende de la magnitud del daño en la médula espinal. Como casi siempre se presenta de forma incompleta, el grado de recuperación es mejor y se logra hasta en un 90 % de los casos, la capacidad funcional para deambular después de la </w:t>
      </w:r>
      <w:proofErr w:type="gramStart"/>
      <w:r w:rsidRPr="00BE4D8C">
        <w:rPr>
          <w:rFonts w:cs="Arial"/>
          <w:color w:val="000000"/>
          <w:lang w:val="es-US" w:eastAsia="es-US"/>
        </w:rPr>
        <w:t>rehabilitación.</w:t>
      </w:r>
      <w:r w:rsidRPr="00BE4D8C">
        <w:rPr>
          <w:rFonts w:cs="Arial"/>
          <w:bCs/>
          <w:vertAlign w:val="superscript"/>
          <w:lang w:val="es-US" w:eastAsia="es-US"/>
        </w:rPr>
        <w:t>(</w:t>
      </w:r>
      <w:proofErr w:type="gramEnd"/>
      <w:r w:rsidRPr="00BE4D8C">
        <w:rPr>
          <w:rFonts w:cs="Arial"/>
          <w:bCs/>
          <w:vertAlign w:val="superscript"/>
          <w:lang w:val="es-US" w:eastAsia="es-US"/>
        </w:rPr>
        <w:t>10)</w:t>
      </w:r>
      <w:r w:rsidRPr="00BE4D8C">
        <w:rPr>
          <w:rFonts w:cs="Arial"/>
          <w:bCs/>
          <w:color w:val="000000"/>
          <w:lang w:val="es-US" w:eastAsia="es-US"/>
        </w:rPr>
        <w:t xml:space="preserve"> </w:t>
      </w:r>
      <w:r w:rsidRPr="00BE4D8C">
        <w:rPr>
          <w:rFonts w:cs="Arial"/>
          <w:color w:val="000000"/>
          <w:lang w:val="es-US" w:eastAsia="es-US"/>
        </w:rPr>
        <w:t>No obstante, puede tardar hasta 2 años en pacientes con daños neurológicos importantes en el momento del diagnóstico.</w:t>
      </w:r>
      <w:r w:rsidRPr="00BE4D8C">
        <w:rPr>
          <w:rFonts w:cs="Arial"/>
          <w:bCs/>
          <w:color w:val="000000"/>
          <w:vertAlign w:val="superscript"/>
          <w:lang w:val="es-US" w:eastAsia="es-US"/>
        </w:rPr>
        <w:t>(</w:t>
      </w:r>
      <w:r w:rsidRPr="00BE4D8C">
        <w:rPr>
          <w:rFonts w:cs="Arial"/>
          <w:bCs/>
          <w:vertAlign w:val="superscript"/>
          <w:lang w:val="es-US" w:eastAsia="es-US"/>
        </w:rPr>
        <w:t>2)</w:t>
      </w:r>
    </w:p>
    <w:p w14:paraId="393DEADE" w14:textId="77777777" w:rsidR="00BE4D8C" w:rsidRPr="00BE4D8C" w:rsidRDefault="00BE4D8C" w:rsidP="00BE4D8C">
      <w:pPr>
        <w:suppressAutoHyphens/>
        <w:spacing w:line="360" w:lineRule="auto"/>
        <w:jc w:val="both"/>
        <w:rPr>
          <w:rFonts w:cs="Arial"/>
          <w:b/>
          <w:color w:val="000000"/>
          <w:sz w:val="32"/>
          <w:szCs w:val="32"/>
          <w:lang w:val="pt-PT" w:eastAsia="es-US"/>
        </w:rPr>
      </w:pPr>
      <w:r w:rsidRPr="00BE4D8C">
        <w:rPr>
          <w:rFonts w:cs="Arial"/>
          <w:lang w:val="es-US" w:eastAsia="es-US"/>
        </w:rPr>
        <w:t xml:space="preserve">En el síndrome de </w:t>
      </w:r>
      <w:r w:rsidRPr="00BE4D8C">
        <w:rPr>
          <w:rFonts w:eastAsia="Calibri" w:cs="Arial"/>
          <w:lang w:val="es-US" w:eastAsia="en-US"/>
        </w:rPr>
        <w:t>Brown-</w:t>
      </w:r>
      <w:proofErr w:type="spellStart"/>
      <w:r w:rsidRPr="00BE4D8C">
        <w:rPr>
          <w:rFonts w:eastAsia="Calibri" w:cs="Arial"/>
          <w:lang w:val="es-US" w:eastAsia="en-US"/>
        </w:rPr>
        <w:t>Séquard</w:t>
      </w:r>
      <w:proofErr w:type="spellEnd"/>
      <w:r w:rsidRPr="00BE4D8C">
        <w:rPr>
          <w:rFonts w:eastAsia="Calibri" w:cs="Arial"/>
          <w:lang w:val="es-US" w:eastAsia="en-US"/>
        </w:rPr>
        <w:t xml:space="preserve"> causado por discopatía cervical, el </w:t>
      </w:r>
      <w:r w:rsidRPr="00BE4D8C">
        <w:rPr>
          <w:rFonts w:cs="Arial"/>
          <w:lang w:val="es-US" w:eastAsia="es-US"/>
        </w:rPr>
        <w:t>tratamiento oportuno determina de forma esencial el mejoramiento de los síntomas de forma rápida; la fisioterapia y rehabilitación juegan un papel fundamental en la recuperación motora.</w:t>
      </w:r>
    </w:p>
    <w:p w14:paraId="176821EA" w14:textId="77777777" w:rsidR="00BE4D8C" w:rsidRPr="00BE4D8C" w:rsidRDefault="00BE4D8C" w:rsidP="00BE4D8C">
      <w:pPr>
        <w:suppressAutoHyphens/>
        <w:spacing w:line="360" w:lineRule="auto"/>
        <w:jc w:val="center"/>
        <w:rPr>
          <w:rFonts w:cs="Arial"/>
          <w:b/>
          <w:color w:val="000000"/>
          <w:sz w:val="32"/>
          <w:szCs w:val="32"/>
          <w:lang w:val="pt-PT" w:eastAsia="es-US"/>
        </w:rPr>
      </w:pPr>
    </w:p>
    <w:p w14:paraId="10E9CAA1" w14:textId="77777777" w:rsidR="00BE4D8C" w:rsidRPr="00BE4D8C" w:rsidRDefault="00BE4D8C" w:rsidP="00BE4D8C">
      <w:pPr>
        <w:suppressAutoHyphens/>
        <w:spacing w:line="360" w:lineRule="auto"/>
        <w:jc w:val="center"/>
        <w:rPr>
          <w:rFonts w:cs="Arial"/>
          <w:b/>
          <w:color w:val="000000"/>
          <w:sz w:val="32"/>
          <w:szCs w:val="32"/>
          <w:lang w:val="pt-PT" w:eastAsia="es-US"/>
        </w:rPr>
      </w:pPr>
    </w:p>
    <w:p w14:paraId="740F33F0" w14:textId="77777777" w:rsidR="00BE4D8C" w:rsidRPr="00BE4D8C" w:rsidRDefault="00BE4D8C" w:rsidP="00BE4D8C">
      <w:pPr>
        <w:suppressAutoHyphens/>
        <w:spacing w:line="360" w:lineRule="auto"/>
        <w:jc w:val="center"/>
        <w:rPr>
          <w:rFonts w:ascii="Calibri" w:eastAsia="Calibri" w:hAnsi="Calibri"/>
          <w:sz w:val="32"/>
          <w:szCs w:val="32"/>
          <w:lang w:val="pt-PT" w:eastAsia="en-US"/>
        </w:rPr>
      </w:pPr>
      <w:r w:rsidRPr="00BE4D8C">
        <w:rPr>
          <w:rFonts w:cs="Arial"/>
          <w:b/>
          <w:color w:val="000000"/>
          <w:sz w:val="32"/>
          <w:szCs w:val="32"/>
          <w:lang w:val="pt-PT" w:eastAsia="es-US"/>
        </w:rPr>
        <w:t>REFERENCIAS BIBLIOGRÁFICAS</w:t>
      </w:r>
    </w:p>
    <w:p w14:paraId="064879E6" w14:textId="77777777" w:rsidR="00BE4D8C" w:rsidRPr="00BE4D8C" w:rsidRDefault="00BE4D8C" w:rsidP="00BE4D8C">
      <w:pPr>
        <w:suppressAutoHyphens/>
        <w:spacing w:line="360" w:lineRule="auto"/>
        <w:rPr>
          <w:rFonts w:eastAsia="Calibri"/>
          <w:lang w:val="es-US" w:eastAsia="en-US"/>
        </w:rPr>
      </w:pPr>
      <w:r w:rsidRPr="00BE4D8C">
        <w:rPr>
          <w:rFonts w:eastAsia="Calibri"/>
          <w:lang w:val="pt-PT" w:eastAsia="en-US"/>
        </w:rPr>
        <w:t xml:space="preserve">1. Moskowitz E, Schroeppel T. Brown-Sequard syndrome. </w:t>
      </w:r>
      <w:r w:rsidRPr="00BE4D8C">
        <w:rPr>
          <w:rFonts w:eastAsia="Calibri"/>
          <w:lang w:val="es-US" w:eastAsia="en-US"/>
        </w:rPr>
        <w:t xml:space="preserve">Trauma </w:t>
      </w:r>
      <w:proofErr w:type="spellStart"/>
      <w:r w:rsidRPr="00BE4D8C">
        <w:rPr>
          <w:rFonts w:eastAsia="Calibri"/>
          <w:lang w:val="es-US" w:eastAsia="en-US"/>
        </w:rPr>
        <w:t>Surg</w:t>
      </w:r>
      <w:proofErr w:type="spellEnd"/>
      <w:r w:rsidRPr="00BE4D8C">
        <w:rPr>
          <w:rFonts w:eastAsia="Calibri"/>
          <w:lang w:val="es-US" w:eastAsia="en-US"/>
        </w:rPr>
        <w:t xml:space="preserve"> Acute Care Open. 2018 [acceso: 19/05/2021]; 3: [aprox. 2 p.]. Disponible en: </w:t>
      </w:r>
      <w:hyperlink r:id="rId12" w:history="1">
        <w:r w:rsidRPr="00BE4D8C">
          <w:rPr>
            <w:rFonts w:eastAsia="Calibri"/>
            <w:color w:val="0000FF"/>
            <w:u w:val="single"/>
            <w:lang w:val="es-US" w:eastAsia="en-US"/>
          </w:rPr>
          <w:t>https://www.ncbi.nlm.nih.gov/pmc/articles/PMC5887770/pdf/tsaco-2018-000169.pdf</w:t>
        </w:r>
      </w:hyperlink>
      <w:r w:rsidRPr="00BE4D8C">
        <w:rPr>
          <w:rFonts w:eastAsia="Calibri"/>
          <w:lang w:val="es-US" w:eastAsia="en-US"/>
        </w:rPr>
        <w:t xml:space="preserve"> </w:t>
      </w:r>
    </w:p>
    <w:p w14:paraId="25791BD6" w14:textId="77777777" w:rsidR="00BE4D8C" w:rsidRPr="00BE4D8C" w:rsidRDefault="00BE4D8C" w:rsidP="00BE4D8C">
      <w:pPr>
        <w:suppressAutoHyphens/>
        <w:spacing w:line="360" w:lineRule="auto"/>
        <w:rPr>
          <w:rFonts w:eastAsia="Calibri"/>
          <w:lang w:val="es-US" w:eastAsia="en-US"/>
        </w:rPr>
      </w:pPr>
      <w:r w:rsidRPr="00BE4D8C">
        <w:rPr>
          <w:rFonts w:eastAsia="Calibri"/>
          <w:lang w:val="en-US" w:eastAsia="en-US"/>
        </w:rPr>
        <w:t xml:space="preserve">2. Shams S, Arain A. </w:t>
      </w:r>
      <w:proofErr w:type="spellStart"/>
      <w:r w:rsidRPr="00BE4D8C">
        <w:rPr>
          <w:rFonts w:eastAsia="Calibri"/>
          <w:lang w:val="en-US" w:eastAsia="en-US"/>
        </w:rPr>
        <w:t>Síndrome</w:t>
      </w:r>
      <w:proofErr w:type="spellEnd"/>
      <w:r w:rsidRPr="00BE4D8C">
        <w:rPr>
          <w:rFonts w:eastAsia="Calibri"/>
          <w:lang w:val="en-US" w:eastAsia="en-US"/>
        </w:rPr>
        <w:t xml:space="preserve"> de Brown Sequard. Treasure Island (FL): </w:t>
      </w:r>
      <w:proofErr w:type="spellStart"/>
      <w:r w:rsidRPr="00BE4D8C">
        <w:rPr>
          <w:rFonts w:eastAsia="Calibri"/>
          <w:lang w:val="en-US" w:eastAsia="en-US"/>
        </w:rPr>
        <w:t>StatPearls</w:t>
      </w:r>
      <w:proofErr w:type="spellEnd"/>
      <w:r w:rsidRPr="00BE4D8C">
        <w:rPr>
          <w:rFonts w:eastAsia="Calibri"/>
          <w:lang w:val="en-US" w:eastAsia="en-US"/>
        </w:rPr>
        <w:t xml:space="preserve"> Publishing; 2020. </w:t>
      </w:r>
      <w:r w:rsidRPr="00BE4D8C">
        <w:rPr>
          <w:rFonts w:eastAsia="Calibri"/>
          <w:lang w:val="es-US" w:eastAsia="en-US"/>
        </w:rPr>
        <w:t xml:space="preserve">[acceso: 19/05/2021].  Disponible en: </w:t>
      </w:r>
      <w:hyperlink r:id="rId13" w:history="1">
        <w:r w:rsidRPr="00BE4D8C">
          <w:rPr>
            <w:rFonts w:eastAsia="Calibri"/>
            <w:color w:val="0000FF"/>
            <w:u w:val="single"/>
            <w:lang w:val="es-US" w:eastAsia="en-US"/>
          </w:rPr>
          <w:t>https://www.ncbi.nlm.nih.gov/books/NBK538135/</w:t>
        </w:r>
      </w:hyperlink>
      <w:r w:rsidRPr="00BE4D8C">
        <w:rPr>
          <w:rFonts w:eastAsia="Calibri"/>
          <w:lang w:val="es-US" w:eastAsia="en-US"/>
        </w:rPr>
        <w:t xml:space="preserve"> </w:t>
      </w:r>
    </w:p>
    <w:p w14:paraId="322DABD2" w14:textId="77777777" w:rsidR="00BE4D8C" w:rsidRPr="00BE4D8C" w:rsidRDefault="00BE4D8C" w:rsidP="00BE4D8C">
      <w:pPr>
        <w:suppressAutoHyphens/>
        <w:spacing w:line="360" w:lineRule="auto"/>
        <w:rPr>
          <w:rFonts w:eastAsia="Calibri"/>
          <w:lang w:val="es-US" w:eastAsia="en-US"/>
        </w:rPr>
      </w:pPr>
      <w:r w:rsidRPr="00BE4D8C">
        <w:rPr>
          <w:rFonts w:eastAsia="Calibri"/>
          <w:lang w:val="en-US" w:eastAsia="en-US"/>
        </w:rPr>
        <w:t>3. Zeng Y, Ren H, Wan J, Lu J, Zhong F, Deng S. Cervical disc herniation causing Brown-Sequard syndrome. Case report and review of literature (CARE-compliant). Medicine. 2018 [</w:t>
      </w:r>
      <w:proofErr w:type="spellStart"/>
      <w:r w:rsidRPr="00BE4D8C">
        <w:rPr>
          <w:rFonts w:eastAsia="Calibri"/>
          <w:lang w:val="en-US" w:eastAsia="en-US"/>
        </w:rPr>
        <w:t>acceso</w:t>
      </w:r>
      <w:proofErr w:type="spellEnd"/>
      <w:r w:rsidRPr="00BE4D8C">
        <w:rPr>
          <w:rFonts w:eastAsia="Calibri"/>
          <w:lang w:val="en-US" w:eastAsia="en-US"/>
        </w:rPr>
        <w:t>: 19/05/2021]; 97(37): [</w:t>
      </w:r>
      <w:proofErr w:type="spellStart"/>
      <w:r w:rsidRPr="00BE4D8C">
        <w:rPr>
          <w:rFonts w:eastAsia="Calibri"/>
          <w:lang w:val="en-US" w:eastAsia="en-US"/>
        </w:rPr>
        <w:t>aprox</w:t>
      </w:r>
      <w:proofErr w:type="spellEnd"/>
      <w:r w:rsidRPr="00BE4D8C">
        <w:rPr>
          <w:rFonts w:eastAsia="Calibri"/>
          <w:lang w:val="en-US" w:eastAsia="en-US"/>
        </w:rPr>
        <w:t xml:space="preserve">. </w:t>
      </w:r>
      <w:r w:rsidRPr="00BE4D8C">
        <w:rPr>
          <w:rFonts w:eastAsia="Calibri"/>
          <w:lang w:val="es-US" w:eastAsia="en-US"/>
        </w:rPr>
        <w:t xml:space="preserve">5 p.]. Disponible en: </w:t>
      </w:r>
      <w:hyperlink r:id="rId14" w:history="1">
        <w:r w:rsidRPr="00BE4D8C">
          <w:rPr>
            <w:rFonts w:eastAsia="Calibri"/>
            <w:color w:val="0000FF"/>
            <w:u w:val="single"/>
            <w:lang w:val="es-US" w:eastAsia="en-US"/>
          </w:rPr>
          <w:t>https://www.ncbi.nlm.nih.gov/pmc/articles/PMC6156073/pdf/medi-97-e12377.pdf</w:t>
        </w:r>
      </w:hyperlink>
      <w:r w:rsidRPr="00BE4D8C">
        <w:rPr>
          <w:rFonts w:eastAsia="Calibri"/>
          <w:lang w:val="es-US" w:eastAsia="en-US"/>
        </w:rPr>
        <w:t xml:space="preserve"> </w:t>
      </w:r>
    </w:p>
    <w:p w14:paraId="1D257148" w14:textId="77777777" w:rsidR="00BE4D8C" w:rsidRPr="00BE4D8C" w:rsidRDefault="00BE4D8C" w:rsidP="00BE4D8C">
      <w:pPr>
        <w:suppressAutoHyphens/>
        <w:spacing w:line="360" w:lineRule="auto"/>
        <w:rPr>
          <w:rFonts w:eastAsia="Calibri"/>
          <w:lang w:val="en-US" w:eastAsia="en-US"/>
        </w:rPr>
      </w:pPr>
      <w:r w:rsidRPr="00BE4D8C">
        <w:rPr>
          <w:rFonts w:eastAsia="Calibri"/>
          <w:lang w:val="en-US" w:eastAsia="en-US"/>
        </w:rPr>
        <w:t xml:space="preserve">4. </w:t>
      </w:r>
      <w:proofErr w:type="spellStart"/>
      <w:r w:rsidRPr="00BE4D8C">
        <w:rPr>
          <w:rFonts w:eastAsia="Calibri"/>
          <w:lang w:val="en-US" w:eastAsia="en-US"/>
        </w:rPr>
        <w:t>Astreinidis</w:t>
      </w:r>
      <w:proofErr w:type="spellEnd"/>
      <w:r w:rsidRPr="00BE4D8C">
        <w:rPr>
          <w:rFonts w:eastAsia="Calibri"/>
          <w:lang w:val="en-US" w:eastAsia="en-US"/>
        </w:rPr>
        <w:t xml:space="preserve"> A, </w:t>
      </w:r>
      <w:proofErr w:type="spellStart"/>
      <w:r w:rsidRPr="00BE4D8C">
        <w:rPr>
          <w:rFonts w:eastAsia="Calibri"/>
          <w:lang w:val="en-US" w:eastAsia="en-US"/>
        </w:rPr>
        <w:t>Finitsis</w:t>
      </w:r>
      <w:proofErr w:type="spellEnd"/>
      <w:r w:rsidRPr="00BE4D8C">
        <w:rPr>
          <w:rFonts w:eastAsia="Calibri"/>
          <w:lang w:val="en-US" w:eastAsia="en-US"/>
        </w:rPr>
        <w:t xml:space="preserve"> S, </w:t>
      </w:r>
      <w:proofErr w:type="spellStart"/>
      <w:r w:rsidRPr="00BE4D8C">
        <w:rPr>
          <w:rFonts w:eastAsia="Calibri"/>
          <w:lang w:val="en-US" w:eastAsia="en-US"/>
        </w:rPr>
        <w:t>Mavropoulou</w:t>
      </w:r>
      <w:proofErr w:type="spellEnd"/>
      <w:r w:rsidRPr="00BE4D8C">
        <w:rPr>
          <w:rFonts w:eastAsia="Calibri"/>
          <w:lang w:val="en-US" w:eastAsia="en-US"/>
        </w:rPr>
        <w:t xml:space="preserve"> X, </w:t>
      </w:r>
      <w:proofErr w:type="spellStart"/>
      <w:r w:rsidRPr="00BE4D8C">
        <w:rPr>
          <w:rFonts w:eastAsia="Calibri"/>
          <w:lang w:val="en-US" w:eastAsia="en-US"/>
        </w:rPr>
        <w:t>Psoma</w:t>
      </w:r>
      <w:proofErr w:type="spellEnd"/>
      <w:r w:rsidRPr="00BE4D8C">
        <w:rPr>
          <w:rFonts w:eastAsia="Calibri"/>
          <w:lang w:val="en-US" w:eastAsia="en-US"/>
        </w:rPr>
        <w:t xml:space="preserve"> E, </w:t>
      </w:r>
      <w:proofErr w:type="spellStart"/>
      <w:r w:rsidRPr="00BE4D8C">
        <w:rPr>
          <w:rFonts w:eastAsia="Calibri"/>
          <w:lang w:val="en-US" w:eastAsia="en-US"/>
        </w:rPr>
        <w:t>Prassopoulos</w:t>
      </w:r>
      <w:proofErr w:type="spellEnd"/>
      <w:r w:rsidRPr="00BE4D8C">
        <w:rPr>
          <w:rFonts w:eastAsia="Calibri"/>
          <w:lang w:val="en-US" w:eastAsia="en-US"/>
        </w:rPr>
        <w:t xml:space="preserve"> P. Acute Partial Brown-</w:t>
      </w:r>
      <w:proofErr w:type="spellStart"/>
      <w:r w:rsidRPr="00BE4D8C">
        <w:rPr>
          <w:rFonts w:eastAsia="Calibri"/>
          <w:lang w:val="en-US" w:eastAsia="en-US"/>
        </w:rPr>
        <w:t>Séquard</w:t>
      </w:r>
      <w:proofErr w:type="spellEnd"/>
      <w:r w:rsidRPr="00BE4D8C">
        <w:rPr>
          <w:rFonts w:eastAsia="Calibri"/>
          <w:lang w:val="en-US" w:eastAsia="en-US"/>
        </w:rPr>
        <w:t xml:space="preserve"> Syndrome Secondary to </w:t>
      </w:r>
      <w:proofErr w:type="spellStart"/>
      <w:r w:rsidRPr="00BE4D8C">
        <w:rPr>
          <w:rFonts w:eastAsia="Calibri"/>
          <w:lang w:val="en-US" w:eastAsia="en-US"/>
        </w:rPr>
        <w:t>Intraforaminal</w:t>
      </w:r>
      <w:proofErr w:type="spellEnd"/>
      <w:r w:rsidRPr="00BE4D8C">
        <w:rPr>
          <w:rFonts w:eastAsia="Calibri"/>
          <w:lang w:val="en-US" w:eastAsia="en-US"/>
        </w:rPr>
        <w:t xml:space="preserve"> Disc Prolapse and Spinal Cord Infarction. Case Reports in Neurological Medicine. 2019 [</w:t>
      </w:r>
      <w:proofErr w:type="spellStart"/>
      <w:r w:rsidRPr="00BE4D8C">
        <w:rPr>
          <w:rFonts w:eastAsia="Calibri"/>
          <w:lang w:val="en-US" w:eastAsia="en-US"/>
        </w:rPr>
        <w:t>acceso</w:t>
      </w:r>
      <w:proofErr w:type="spellEnd"/>
      <w:r w:rsidRPr="00BE4D8C">
        <w:rPr>
          <w:rFonts w:eastAsia="Calibri"/>
          <w:lang w:val="en-US" w:eastAsia="en-US"/>
        </w:rPr>
        <w:t xml:space="preserve">: 10/05/2021]; 1: 7987038. Disponible </w:t>
      </w:r>
      <w:proofErr w:type="spellStart"/>
      <w:r w:rsidRPr="00BE4D8C">
        <w:rPr>
          <w:rFonts w:eastAsia="Calibri"/>
          <w:lang w:val="en-US" w:eastAsia="en-US"/>
        </w:rPr>
        <w:t>en</w:t>
      </w:r>
      <w:proofErr w:type="spellEnd"/>
      <w:r w:rsidRPr="00BE4D8C">
        <w:rPr>
          <w:rFonts w:eastAsia="Calibri"/>
          <w:lang w:val="en-US" w:eastAsia="en-US"/>
        </w:rPr>
        <w:t xml:space="preserve">: </w:t>
      </w:r>
      <w:hyperlink r:id="rId15" w:history="1">
        <w:r w:rsidRPr="00BE4D8C">
          <w:rPr>
            <w:rFonts w:eastAsia="Calibri"/>
            <w:color w:val="0000FF"/>
            <w:u w:val="single"/>
            <w:lang w:val="en-US" w:eastAsia="en-US"/>
          </w:rPr>
          <w:t>https://www.ncbi.nlm.nih.gov/pmc/articles/PMC6778944/pdf/CRINM20197987038.pdf</w:t>
        </w:r>
      </w:hyperlink>
      <w:r w:rsidRPr="00BE4D8C">
        <w:rPr>
          <w:rFonts w:eastAsia="Calibri"/>
          <w:lang w:val="en-US" w:eastAsia="en-US"/>
        </w:rPr>
        <w:t xml:space="preserve"> </w:t>
      </w:r>
    </w:p>
    <w:p w14:paraId="40779067" w14:textId="77777777" w:rsidR="00BE4D8C" w:rsidRPr="00BE4D8C" w:rsidRDefault="00BE4D8C" w:rsidP="00BE4D8C">
      <w:pPr>
        <w:suppressAutoHyphens/>
        <w:spacing w:line="360" w:lineRule="auto"/>
        <w:rPr>
          <w:rFonts w:eastAsia="Calibri"/>
          <w:lang w:val="en-US" w:eastAsia="en-US"/>
        </w:rPr>
      </w:pPr>
      <w:r w:rsidRPr="00BE4D8C">
        <w:rPr>
          <w:rFonts w:eastAsia="Calibri"/>
          <w:lang w:val="en-US" w:eastAsia="en-US"/>
        </w:rPr>
        <w:t>5. Nelson K, Chu E, Abi-</w:t>
      </w:r>
      <w:proofErr w:type="spellStart"/>
      <w:r w:rsidRPr="00BE4D8C">
        <w:rPr>
          <w:rFonts w:eastAsia="Calibri"/>
          <w:lang w:val="en-US" w:eastAsia="en-US"/>
        </w:rPr>
        <w:t>Jaoudeh</w:t>
      </w:r>
      <w:proofErr w:type="spellEnd"/>
      <w:r w:rsidRPr="00BE4D8C">
        <w:rPr>
          <w:rFonts w:eastAsia="Calibri"/>
          <w:lang w:val="en-US" w:eastAsia="en-US"/>
        </w:rPr>
        <w:t xml:space="preserve"> N. Case of Brown Sequard syndrome with ipsilateral peripheral vasodilation. Radiology Case Report. 2020 [</w:t>
      </w:r>
      <w:proofErr w:type="spellStart"/>
      <w:r w:rsidRPr="00BE4D8C">
        <w:rPr>
          <w:rFonts w:eastAsia="Calibri"/>
          <w:lang w:val="en-US" w:eastAsia="en-US"/>
        </w:rPr>
        <w:t>acceso</w:t>
      </w:r>
      <w:proofErr w:type="spellEnd"/>
      <w:r w:rsidRPr="00BE4D8C">
        <w:rPr>
          <w:rFonts w:eastAsia="Calibri"/>
          <w:lang w:val="en-US" w:eastAsia="en-US"/>
        </w:rPr>
        <w:t>: 24/05/2021]; 15: [</w:t>
      </w:r>
      <w:proofErr w:type="spellStart"/>
      <w:r w:rsidRPr="00BE4D8C">
        <w:rPr>
          <w:rFonts w:eastAsia="Calibri"/>
          <w:lang w:val="en-US" w:eastAsia="en-US"/>
        </w:rPr>
        <w:t>aprox</w:t>
      </w:r>
      <w:proofErr w:type="spellEnd"/>
      <w:r w:rsidRPr="00BE4D8C">
        <w:rPr>
          <w:rFonts w:eastAsia="Calibri"/>
          <w:lang w:val="en-US" w:eastAsia="en-US"/>
        </w:rPr>
        <w:t xml:space="preserve">. 3 p.]. Disponible </w:t>
      </w:r>
      <w:proofErr w:type="spellStart"/>
      <w:r w:rsidRPr="00BE4D8C">
        <w:rPr>
          <w:rFonts w:eastAsia="Calibri"/>
          <w:lang w:val="en-US" w:eastAsia="en-US"/>
        </w:rPr>
        <w:t>en</w:t>
      </w:r>
      <w:proofErr w:type="spellEnd"/>
      <w:r w:rsidRPr="00BE4D8C">
        <w:rPr>
          <w:rFonts w:eastAsia="Calibri"/>
          <w:lang w:val="en-US" w:eastAsia="en-US"/>
        </w:rPr>
        <w:t xml:space="preserve">: </w:t>
      </w:r>
      <w:hyperlink r:id="rId16" w:history="1">
        <w:r w:rsidRPr="00BE4D8C">
          <w:rPr>
            <w:rFonts w:eastAsia="Calibri"/>
            <w:color w:val="0000FF"/>
            <w:u w:val="single"/>
            <w:lang w:val="en-US" w:eastAsia="en-US"/>
          </w:rPr>
          <w:t>https://www.ncbi.nlm.nih.gov/pmc/articles/PMC7327124/pdf/main.pdf</w:t>
        </w:r>
      </w:hyperlink>
      <w:r w:rsidRPr="00BE4D8C">
        <w:rPr>
          <w:rFonts w:eastAsia="Calibri"/>
          <w:lang w:val="en-US" w:eastAsia="en-US"/>
        </w:rPr>
        <w:t xml:space="preserve"> </w:t>
      </w:r>
    </w:p>
    <w:p w14:paraId="45EB9091" w14:textId="77777777" w:rsidR="00BE4D8C" w:rsidRPr="00BE4D8C" w:rsidRDefault="00BE4D8C" w:rsidP="00BE4D8C">
      <w:pPr>
        <w:suppressAutoHyphens/>
        <w:spacing w:line="360" w:lineRule="auto"/>
        <w:rPr>
          <w:rFonts w:eastAsia="Calibri"/>
          <w:lang w:val="es-US" w:eastAsia="en-US"/>
        </w:rPr>
      </w:pPr>
      <w:r w:rsidRPr="00BE4D8C">
        <w:rPr>
          <w:rFonts w:eastAsia="Calibri"/>
          <w:lang w:val="en-US" w:eastAsia="en-US"/>
        </w:rPr>
        <w:lastRenderedPageBreak/>
        <w:t>6. Meng YY, Dou L, Wang ChM, Kong DZ, Wei Y, Wu LS, et al. Spinal cord infarction presenting as Brown-</w:t>
      </w:r>
      <w:proofErr w:type="spellStart"/>
      <w:r w:rsidRPr="00BE4D8C">
        <w:rPr>
          <w:rFonts w:eastAsia="Calibri"/>
          <w:lang w:val="en-US" w:eastAsia="en-US"/>
        </w:rPr>
        <w:t>Séquard</w:t>
      </w:r>
      <w:proofErr w:type="spellEnd"/>
      <w:r w:rsidRPr="00BE4D8C">
        <w:rPr>
          <w:rFonts w:eastAsia="Calibri"/>
          <w:lang w:val="en-US" w:eastAsia="en-US"/>
        </w:rPr>
        <w:t xml:space="preserve"> syndrome from spontaneous vertebral artery dissection: a case report and literature review. </w:t>
      </w:r>
      <w:r w:rsidRPr="00BE4D8C">
        <w:rPr>
          <w:rFonts w:eastAsia="Calibri"/>
          <w:lang w:val="es-US" w:eastAsia="en-US"/>
        </w:rPr>
        <w:t xml:space="preserve">BMC </w:t>
      </w:r>
      <w:proofErr w:type="spellStart"/>
      <w:r w:rsidRPr="00BE4D8C">
        <w:rPr>
          <w:rFonts w:eastAsia="Calibri"/>
          <w:lang w:val="es-US" w:eastAsia="en-US"/>
        </w:rPr>
        <w:t>Neurology</w:t>
      </w:r>
      <w:proofErr w:type="spellEnd"/>
      <w:r w:rsidRPr="00BE4D8C">
        <w:rPr>
          <w:rFonts w:eastAsia="Calibri"/>
          <w:lang w:val="es-US" w:eastAsia="en-US"/>
        </w:rPr>
        <w:t xml:space="preserve">. 2019 [acceso: 24/05/2021]; 19(321): [aprox. 5 p.]. Disponible en: </w:t>
      </w:r>
      <w:hyperlink r:id="rId17" w:history="1">
        <w:r w:rsidRPr="00BE4D8C">
          <w:rPr>
            <w:rFonts w:eastAsia="Calibri"/>
            <w:color w:val="0000FF"/>
            <w:u w:val="single"/>
            <w:lang w:val="es-US" w:eastAsia="en-US"/>
          </w:rPr>
          <w:t>https://www.ncbi.nlm.nih.gov/pmc/articles/PMC6907223/pdf/12883_2019_Article_1559.pdf</w:t>
        </w:r>
      </w:hyperlink>
      <w:r w:rsidRPr="00BE4D8C">
        <w:rPr>
          <w:rFonts w:eastAsia="Calibri"/>
          <w:lang w:val="es-US" w:eastAsia="en-US"/>
        </w:rPr>
        <w:t xml:space="preserve"> </w:t>
      </w:r>
    </w:p>
    <w:p w14:paraId="7915D9A6" w14:textId="77777777" w:rsidR="00BE4D8C" w:rsidRPr="00BE4D8C" w:rsidRDefault="00BE4D8C" w:rsidP="00BE4D8C">
      <w:pPr>
        <w:suppressAutoHyphens/>
        <w:spacing w:line="360" w:lineRule="auto"/>
        <w:rPr>
          <w:rFonts w:eastAsia="Calibri"/>
          <w:lang w:val="es-US" w:eastAsia="en-US"/>
        </w:rPr>
      </w:pPr>
      <w:r w:rsidRPr="00BE4D8C">
        <w:rPr>
          <w:rFonts w:eastAsia="Calibri"/>
          <w:lang w:val="es-US" w:eastAsia="en-US"/>
        </w:rPr>
        <w:t xml:space="preserve">7. </w:t>
      </w:r>
      <w:proofErr w:type="spellStart"/>
      <w:r w:rsidRPr="00BE4D8C">
        <w:rPr>
          <w:rFonts w:eastAsia="Calibri"/>
          <w:lang w:val="es-US" w:eastAsia="en-US"/>
        </w:rPr>
        <w:t>Cai</w:t>
      </w:r>
      <w:proofErr w:type="spellEnd"/>
      <w:r w:rsidRPr="00BE4D8C">
        <w:rPr>
          <w:rFonts w:eastAsia="Calibri"/>
          <w:lang w:val="es-US" w:eastAsia="en-US"/>
        </w:rPr>
        <w:t xml:space="preserve"> DZ, Liu G, Wolf </w:t>
      </w:r>
      <w:proofErr w:type="spellStart"/>
      <w:r w:rsidRPr="00BE4D8C">
        <w:rPr>
          <w:rFonts w:eastAsia="Calibri"/>
          <w:lang w:val="es-US" w:eastAsia="en-US"/>
        </w:rPr>
        <w:t>ChF</w:t>
      </w:r>
      <w:proofErr w:type="spellEnd"/>
      <w:r w:rsidRPr="00BE4D8C">
        <w:rPr>
          <w:rFonts w:eastAsia="Calibri"/>
          <w:lang w:val="es-US" w:eastAsia="en-US"/>
        </w:rPr>
        <w:t xml:space="preserve">, Mansell ZM, </w:t>
      </w:r>
      <w:proofErr w:type="spellStart"/>
      <w:r w:rsidRPr="00BE4D8C">
        <w:rPr>
          <w:rFonts w:eastAsia="Calibri"/>
          <w:lang w:val="es-US" w:eastAsia="en-US"/>
        </w:rPr>
        <w:t>Eskander</w:t>
      </w:r>
      <w:proofErr w:type="spellEnd"/>
      <w:r w:rsidRPr="00BE4D8C">
        <w:rPr>
          <w:rFonts w:eastAsia="Calibri"/>
          <w:lang w:val="es-US" w:eastAsia="en-US"/>
        </w:rPr>
        <w:t xml:space="preserve"> JP, </w:t>
      </w:r>
      <w:proofErr w:type="spellStart"/>
      <w:r w:rsidRPr="00BE4D8C">
        <w:rPr>
          <w:rFonts w:eastAsia="Calibri"/>
          <w:lang w:val="es-US" w:eastAsia="en-US"/>
        </w:rPr>
        <w:t>Eskander</w:t>
      </w:r>
      <w:proofErr w:type="spellEnd"/>
      <w:r w:rsidRPr="00BE4D8C">
        <w:rPr>
          <w:rFonts w:eastAsia="Calibri"/>
          <w:lang w:val="es-US" w:eastAsia="en-US"/>
        </w:rPr>
        <w:t xml:space="preserve"> M. Síndrome de Brown-</w:t>
      </w:r>
      <w:proofErr w:type="spellStart"/>
      <w:r w:rsidRPr="00BE4D8C">
        <w:rPr>
          <w:rFonts w:eastAsia="Calibri"/>
          <w:lang w:val="es-US" w:eastAsia="en-US"/>
        </w:rPr>
        <w:t>Séquard</w:t>
      </w:r>
      <w:proofErr w:type="spellEnd"/>
      <w:r w:rsidRPr="00BE4D8C">
        <w:rPr>
          <w:rFonts w:eastAsia="Calibri"/>
          <w:lang w:val="es-US" w:eastAsia="en-US"/>
        </w:rPr>
        <w:t xml:space="preserve"> causado por traumatismo cervical cerrado con correlación radiográfica. </w:t>
      </w:r>
      <w:proofErr w:type="spellStart"/>
      <w:r w:rsidRPr="00BE4D8C">
        <w:rPr>
          <w:rFonts w:eastAsia="Calibri"/>
          <w:lang w:val="es-US" w:eastAsia="en-US"/>
        </w:rPr>
        <w:t>Asian</w:t>
      </w:r>
      <w:proofErr w:type="spellEnd"/>
      <w:r w:rsidRPr="00BE4D8C">
        <w:rPr>
          <w:rFonts w:eastAsia="Calibri"/>
          <w:lang w:val="es-US" w:eastAsia="en-US"/>
        </w:rPr>
        <w:t xml:space="preserve"> J </w:t>
      </w:r>
      <w:proofErr w:type="spellStart"/>
      <w:proofErr w:type="gramStart"/>
      <w:r w:rsidRPr="00BE4D8C">
        <w:rPr>
          <w:rFonts w:eastAsia="Calibri"/>
          <w:lang w:val="es-US" w:eastAsia="en-US"/>
        </w:rPr>
        <w:t>Neurosurg</w:t>
      </w:r>
      <w:proofErr w:type="spellEnd"/>
      <w:r w:rsidRPr="00BE4D8C">
        <w:rPr>
          <w:rFonts w:eastAsia="Calibri"/>
          <w:lang w:val="es-US" w:eastAsia="en-US"/>
        </w:rPr>
        <w:t xml:space="preserve"> .</w:t>
      </w:r>
      <w:proofErr w:type="gramEnd"/>
      <w:r w:rsidRPr="00BE4D8C">
        <w:rPr>
          <w:rFonts w:eastAsia="Calibri"/>
          <w:lang w:val="es-US" w:eastAsia="en-US"/>
        </w:rPr>
        <w:t xml:space="preserve"> 2018 [acceso: 24/05/2021]; 13(1): 130-2. Disponible en:  </w:t>
      </w:r>
      <w:hyperlink r:id="rId18" w:history="1">
        <w:r w:rsidRPr="00BE4D8C">
          <w:rPr>
            <w:rFonts w:eastAsia="Calibri"/>
            <w:color w:val="0000FF"/>
            <w:u w:val="single"/>
            <w:lang w:val="es-US" w:eastAsia="en-US"/>
          </w:rPr>
          <w:t>https://www.ncbi.nlm.nih.gov/pmc/articles/PMC5820868/</w:t>
        </w:r>
      </w:hyperlink>
      <w:r w:rsidRPr="00BE4D8C">
        <w:rPr>
          <w:rFonts w:eastAsia="Calibri"/>
          <w:lang w:val="es-US" w:eastAsia="en-US"/>
        </w:rPr>
        <w:t xml:space="preserve"> </w:t>
      </w:r>
    </w:p>
    <w:p w14:paraId="564BA060" w14:textId="77777777" w:rsidR="00BE4D8C" w:rsidRPr="00BE4D8C" w:rsidRDefault="00BE4D8C" w:rsidP="00BE4D8C">
      <w:pPr>
        <w:suppressAutoHyphens/>
        <w:spacing w:line="360" w:lineRule="auto"/>
        <w:rPr>
          <w:rFonts w:eastAsia="Calibri"/>
          <w:lang w:val="es-US" w:eastAsia="en-US"/>
        </w:rPr>
      </w:pPr>
      <w:r w:rsidRPr="00BE4D8C">
        <w:rPr>
          <w:rFonts w:eastAsia="Calibri"/>
          <w:lang w:val="en-US" w:eastAsia="en-US"/>
        </w:rPr>
        <w:t>8. Kim SJ, Lee SH, Bae J, Shin SH. Brown-</w:t>
      </w:r>
      <w:proofErr w:type="spellStart"/>
      <w:r w:rsidRPr="00BE4D8C">
        <w:rPr>
          <w:rFonts w:eastAsia="Calibri"/>
          <w:lang w:val="en-US" w:eastAsia="en-US"/>
        </w:rPr>
        <w:t>Séquard</w:t>
      </w:r>
      <w:proofErr w:type="spellEnd"/>
      <w:r w:rsidRPr="00BE4D8C">
        <w:rPr>
          <w:rFonts w:eastAsia="Calibri"/>
          <w:lang w:val="en-US" w:eastAsia="en-US"/>
        </w:rPr>
        <w:t xml:space="preserve"> Syndrome Caused by Acute Traumatic Cervical Disc Herniation. </w:t>
      </w:r>
      <w:proofErr w:type="spellStart"/>
      <w:r w:rsidRPr="00BE4D8C">
        <w:rPr>
          <w:rFonts w:eastAsia="Calibri"/>
          <w:lang w:val="es-CU" w:eastAsia="en-US"/>
        </w:rPr>
        <w:t>Korean</w:t>
      </w:r>
      <w:proofErr w:type="spellEnd"/>
      <w:r w:rsidRPr="00BE4D8C">
        <w:rPr>
          <w:rFonts w:eastAsia="Calibri"/>
          <w:lang w:val="es-CU" w:eastAsia="en-US"/>
        </w:rPr>
        <w:t xml:space="preserve"> J </w:t>
      </w:r>
      <w:proofErr w:type="spellStart"/>
      <w:r w:rsidRPr="00BE4D8C">
        <w:rPr>
          <w:rFonts w:eastAsia="Calibri"/>
          <w:lang w:val="es-CU" w:eastAsia="en-US"/>
        </w:rPr>
        <w:t>Neurotrauma</w:t>
      </w:r>
      <w:proofErr w:type="spellEnd"/>
      <w:r w:rsidRPr="00BE4D8C">
        <w:rPr>
          <w:rFonts w:eastAsia="Calibri"/>
          <w:lang w:val="es-CU" w:eastAsia="en-US"/>
        </w:rPr>
        <w:t xml:space="preserve">. 2019 [acceso: 24/05/2021]; 15(2): [aprox. </w:t>
      </w:r>
      <w:r w:rsidRPr="00BE4D8C">
        <w:rPr>
          <w:rFonts w:eastAsia="Calibri"/>
          <w:lang w:val="es-US" w:eastAsia="en-US"/>
        </w:rPr>
        <w:t xml:space="preserve">5 p.]. Disponible en: </w:t>
      </w:r>
      <w:hyperlink r:id="rId19" w:history="1">
        <w:r w:rsidRPr="00BE4D8C">
          <w:rPr>
            <w:rFonts w:eastAsia="Calibri"/>
            <w:color w:val="0000FF"/>
            <w:u w:val="single"/>
            <w:lang w:val="es-US" w:eastAsia="en-US"/>
          </w:rPr>
          <w:t>https://www.ncbi.nlm.nih.gov/pmc/articles/PMC6826085/pdf/kjn-15-204.pdf</w:t>
        </w:r>
      </w:hyperlink>
      <w:r w:rsidRPr="00BE4D8C">
        <w:rPr>
          <w:rFonts w:eastAsia="Calibri"/>
          <w:lang w:val="es-US" w:eastAsia="en-US"/>
        </w:rPr>
        <w:t xml:space="preserve"> </w:t>
      </w:r>
    </w:p>
    <w:p w14:paraId="2E547272" w14:textId="6FBB1470" w:rsidR="00BE4D8C" w:rsidRPr="004D354C" w:rsidRDefault="00BE4D8C" w:rsidP="00BE4D8C">
      <w:pPr>
        <w:suppressAutoHyphens/>
        <w:spacing w:line="360" w:lineRule="auto"/>
        <w:rPr>
          <w:rFonts w:eastAsia="Calibri"/>
          <w:lang w:val="es-CU" w:eastAsia="en-US"/>
        </w:rPr>
      </w:pPr>
      <w:r w:rsidRPr="00BE4D8C">
        <w:rPr>
          <w:rFonts w:eastAsia="Calibri"/>
          <w:lang w:val="en-US" w:eastAsia="en-US"/>
        </w:rPr>
        <w:t xml:space="preserve">9. Ding Q, Yu L. Spontaneous Cervical Intradural Disc Herniation Presenting </w:t>
      </w:r>
      <w:proofErr w:type="spellStart"/>
      <w:r w:rsidRPr="00BE4D8C">
        <w:rPr>
          <w:rFonts w:eastAsia="Calibri"/>
          <w:lang w:val="en-US" w:eastAsia="en-US"/>
        </w:rPr>
        <w:t>withBrown</w:t>
      </w:r>
      <w:proofErr w:type="spellEnd"/>
      <w:r w:rsidRPr="00BE4D8C">
        <w:rPr>
          <w:rFonts w:eastAsia="Calibri"/>
          <w:lang w:val="en-US" w:eastAsia="en-US"/>
        </w:rPr>
        <w:t xml:space="preserve">-Sequard Syndrome at C6–C7 level. Journal of </w:t>
      </w:r>
      <w:proofErr w:type="spellStart"/>
      <w:r w:rsidRPr="00BE4D8C">
        <w:rPr>
          <w:rFonts w:eastAsia="Calibri"/>
          <w:lang w:val="en-US" w:eastAsia="en-US"/>
        </w:rPr>
        <w:t>Orthopaedic</w:t>
      </w:r>
      <w:proofErr w:type="spellEnd"/>
      <w:r w:rsidRPr="00BE4D8C">
        <w:rPr>
          <w:rFonts w:eastAsia="Calibri"/>
          <w:lang w:val="en-US" w:eastAsia="en-US"/>
        </w:rPr>
        <w:t xml:space="preserve"> Case Reports. 2019 [</w:t>
      </w:r>
      <w:proofErr w:type="spellStart"/>
      <w:r w:rsidRPr="00BE4D8C">
        <w:rPr>
          <w:rFonts w:eastAsia="Calibri"/>
          <w:lang w:val="en-US" w:eastAsia="en-US"/>
        </w:rPr>
        <w:t>acceso</w:t>
      </w:r>
      <w:proofErr w:type="spellEnd"/>
      <w:r w:rsidRPr="00BE4D8C">
        <w:rPr>
          <w:rFonts w:eastAsia="Calibri"/>
          <w:lang w:val="en-US" w:eastAsia="en-US"/>
        </w:rPr>
        <w:t>: 10/05/2021]; 9(2): [</w:t>
      </w:r>
      <w:proofErr w:type="spellStart"/>
      <w:r w:rsidRPr="00BE4D8C">
        <w:rPr>
          <w:rFonts w:eastAsia="Calibri"/>
          <w:lang w:val="en-US" w:eastAsia="en-US"/>
        </w:rPr>
        <w:t>aprox</w:t>
      </w:r>
      <w:proofErr w:type="spellEnd"/>
      <w:r w:rsidRPr="00BE4D8C">
        <w:rPr>
          <w:rFonts w:eastAsia="Calibri"/>
          <w:lang w:val="en-US" w:eastAsia="en-US"/>
        </w:rPr>
        <w:t xml:space="preserve">. 4 p.]. </w:t>
      </w:r>
      <w:r w:rsidRPr="004D354C">
        <w:rPr>
          <w:rFonts w:eastAsia="Calibri"/>
          <w:lang w:val="es-CU" w:eastAsia="en-US"/>
        </w:rPr>
        <w:t xml:space="preserve">Disponible en: </w:t>
      </w:r>
      <w:hyperlink r:id="rId20" w:history="1">
        <w:r w:rsidRPr="004D354C">
          <w:rPr>
            <w:rFonts w:eastAsia="Calibri"/>
            <w:color w:val="0000FF"/>
            <w:u w:val="single"/>
            <w:lang w:val="es-CU" w:eastAsia="en-US"/>
          </w:rPr>
          <w:t>https://www.ncbi.nlm.nih.gov/pmc/articles/PMC6727451/pdf/JOCR-9-30.pdf</w:t>
        </w:r>
      </w:hyperlink>
      <w:r w:rsidRPr="004D354C">
        <w:rPr>
          <w:rFonts w:eastAsia="Calibri"/>
          <w:lang w:val="es-CU" w:eastAsia="en-US"/>
        </w:rPr>
        <w:t xml:space="preserve"> </w:t>
      </w:r>
    </w:p>
    <w:p w14:paraId="78B744A5" w14:textId="77777777" w:rsidR="00BE4D8C" w:rsidRPr="00BE4D8C" w:rsidRDefault="00BE4D8C" w:rsidP="00BE4D8C">
      <w:pPr>
        <w:suppressAutoHyphens/>
        <w:spacing w:line="360" w:lineRule="auto"/>
        <w:rPr>
          <w:rFonts w:eastAsia="Calibri"/>
          <w:lang w:val="es-US" w:eastAsia="en-US"/>
        </w:rPr>
      </w:pPr>
      <w:r w:rsidRPr="00BE4D8C">
        <w:rPr>
          <w:rFonts w:eastAsia="Calibri"/>
          <w:lang w:val="en-US" w:eastAsia="en-US"/>
        </w:rPr>
        <w:t xml:space="preserve">10. Sato M, </w:t>
      </w:r>
      <w:proofErr w:type="spellStart"/>
      <w:r w:rsidRPr="00BE4D8C">
        <w:rPr>
          <w:rFonts w:eastAsia="Calibri"/>
          <w:lang w:val="en-US" w:eastAsia="en-US"/>
        </w:rPr>
        <w:t>Kuriyama</w:t>
      </w:r>
      <w:proofErr w:type="spellEnd"/>
      <w:r w:rsidRPr="00BE4D8C">
        <w:rPr>
          <w:rFonts w:eastAsia="Calibri"/>
          <w:lang w:val="en-US" w:eastAsia="en-US"/>
        </w:rPr>
        <w:t xml:space="preserve"> A, Ryo </w:t>
      </w:r>
      <w:proofErr w:type="spellStart"/>
      <w:r w:rsidRPr="00BE4D8C">
        <w:rPr>
          <w:rFonts w:eastAsia="Calibri"/>
          <w:lang w:val="en-US" w:eastAsia="en-US"/>
        </w:rPr>
        <w:t>Ohtomo</w:t>
      </w:r>
      <w:proofErr w:type="spellEnd"/>
      <w:r w:rsidRPr="00BE4D8C">
        <w:rPr>
          <w:rFonts w:eastAsia="Calibri"/>
          <w:lang w:val="en-US" w:eastAsia="en-US"/>
        </w:rPr>
        <w:t xml:space="preserve"> R. Unilateral loss of thoracic motion after blunt trauma: a sign of acute Brown-</w:t>
      </w:r>
      <w:proofErr w:type="spellStart"/>
      <w:r w:rsidRPr="00BE4D8C">
        <w:rPr>
          <w:rFonts w:eastAsia="Calibri"/>
          <w:lang w:val="en-US" w:eastAsia="en-US"/>
        </w:rPr>
        <w:t>Séquard</w:t>
      </w:r>
      <w:proofErr w:type="spellEnd"/>
      <w:r w:rsidRPr="00BE4D8C">
        <w:rPr>
          <w:rFonts w:eastAsia="Calibri"/>
          <w:lang w:val="en-US" w:eastAsia="en-US"/>
        </w:rPr>
        <w:t xml:space="preserve"> </w:t>
      </w:r>
      <w:proofErr w:type="spellStart"/>
      <w:proofErr w:type="gramStart"/>
      <w:r w:rsidRPr="00BE4D8C">
        <w:rPr>
          <w:rFonts w:eastAsia="Calibri"/>
          <w:lang w:val="en-US" w:eastAsia="en-US"/>
        </w:rPr>
        <w:t>syndrome.Clin</w:t>
      </w:r>
      <w:proofErr w:type="spellEnd"/>
      <w:proofErr w:type="gramEnd"/>
      <w:r w:rsidRPr="00BE4D8C">
        <w:rPr>
          <w:rFonts w:eastAsia="Calibri"/>
          <w:lang w:val="en-US" w:eastAsia="en-US"/>
        </w:rPr>
        <w:t xml:space="preserve"> Exp </w:t>
      </w:r>
      <w:proofErr w:type="spellStart"/>
      <w:r w:rsidRPr="00BE4D8C">
        <w:rPr>
          <w:rFonts w:eastAsia="Calibri"/>
          <w:lang w:val="en-US" w:eastAsia="en-US"/>
        </w:rPr>
        <w:t>Emerg</w:t>
      </w:r>
      <w:proofErr w:type="spellEnd"/>
      <w:r w:rsidRPr="00BE4D8C">
        <w:rPr>
          <w:rFonts w:eastAsia="Calibri"/>
          <w:lang w:val="en-US" w:eastAsia="en-US"/>
        </w:rPr>
        <w:t xml:space="preserve"> Med. 2019 [</w:t>
      </w:r>
      <w:proofErr w:type="spellStart"/>
      <w:r w:rsidRPr="00BE4D8C">
        <w:rPr>
          <w:rFonts w:eastAsia="Calibri"/>
          <w:lang w:val="en-US" w:eastAsia="en-US"/>
        </w:rPr>
        <w:t>acceso</w:t>
      </w:r>
      <w:proofErr w:type="spellEnd"/>
      <w:r w:rsidRPr="00BE4D8C">
        <w:rPr>
          <w:rFonts w:eastAsia="Calibri"/>
          <w:lang w:val="en-US" w:eastAsia="en-US"/>
        </w:rPr>
        <w:t>: 10/05/2021]; 6(3): [</w:t>
      </w:r>
      <w:proofErr w:type="spellStart"/>
      <w:r w:rsidRPr="00BE4D8C">
        <w:rPr>
          <w:rFonts w:eastAsia="Calibri"/>
          <w:lang w:val="en-US" w:eastAsia="en-US"/>
        </w:rPr>
        <w:t>aprox</w:t>
      </w:r>
      <w:proofErr w:type="spellEnd"/>
      <w:r w:rsidRPr="00BE4D8C">
        <w:rPr>
          <w:rFonts w:eastAsia="Calibri"/>
          <w:lang w:val="en-US" w:eastAsia="en-US"/>
        </w:rPr>
        <w:t xml:space="preserve">. </w:t>
      </w:r>
      <w:r w:rsidRPr="00BE4D8C">
        <w:rPr>
          <w:rFonts w:eastAsia="Calibri"/>
          <w:lang w:val="es-US" w:eastAsia="en-US"/>
        </w:rPr>
        <w:t xml:space="preserve">4 p.]. Disponible en: </w:t>
      </w:r>
      <w:hyperlink r:id="rId21" w:history="1">
        <w:r w:rsidRPr="00BE4D8C">
          <w:rPr>
            <w:rFonts w:eastAsia="Calibri"/>
            <w:color w:val="0000FF"/>
            <w:u w:val="single"/>
            <w:lang w:val="es-US" w:eastAsia="en-US"/>
          </w:rPr>
          <w:t>https://www.ncbi.nlm.nih.gov/pmc/articles/PMC6774002/pdf/ceem-19-010.pdf</w:t>
        </w:r>
      </w:hyperlink>
      <w:r w:rsidRPr="00BE4D8C">
        <w:rPr>
          <w:rFonts w:eastAsia="Calibri"/>
          <w:lang w:val="es-US" w:eastAsia="en-US"/>
        </w:rPr>
        <w:t xml:space="preserve"> </w:t>
      </w:r>
    </w:p>
    <w:p w14:paraId="29D167DA" w14:textId="77777777" w:rsidR="00BE4D8C" w:rsidRPr="00BE4D8C" w:rsidRDefault="00BE4D8C" w:rsidP="00BE4D8C">
      <w:pPr>
        <w:suppressAutoHyphens/>
        <w:spacing w:line="360" w:lineRule="auto"/>
        <w:ind w:left="720"/>
        <w:contextualSpacing/>
        <w:jc w:val="both"/>
        <w:rPr>
          <w:rFonts w:eastAsia="Calibri" w:cs="Arial"/>
          <w:lang w:val="es-US" w:eastAsia="en-US"/>
        </w:rPr>
      </w:pPr>
    </w:p>
    <w:p w14:paraId="6189DE0D" w14:textId="77777777" w:rsidR="00BE4D8C" w:rsidRPr="00BE4D8C" w:rsidRDefault="00BE4D8C" w:rsidP="00BE4D8C">
      <w:pPr>
        <w:suppressAutoHyphens/>
        <w:spacing w:line="360" w:lineRule="auto"/>
        <w:ind w:left="720"/>
        <w:contextualSpacing/>
        <w:jc w:val="both"/>
        <w:rPr>
          <w:rFonts w:eastAsia="Calibri" w:cs="Arial"/>
          <w:lang w:val="es-US" w:eastAsia="en-US"/>
        </w:rPr>
      </w:pPr>
    </w:p>
    <w:p w14:paraId="011879FC" w14:textId="77777777" w:rsidR="00BE4D8C" w:rsidRPr="00BE4D8C" w:rsidRDefault="00BE4D8C" w:rsidP="00BE4D8C">
      <w:pPr>
        <w:suppressAutoHyphens/>
        <w:spacing w:line="360" w:lineRule="auto"/>
        <w:jc w:val="center"/>
        <w:rPr>
          <w:rFonts w:eastAsia="Calibri"/>
          <w:lang w:val="es-US" w:eastAsia="en-US"/>
        </w:rPr>
      </w:pPr>
      <w:r w:rsidRPr="00BE4D8C">
        <w:rPr>
          <w:rFonts w:eastAsia="Calibri" w:cs="Arial"/>
          <w:b/>
          <w:lang w:val="es-US" w:eastAsia="en-US"/>
        </w:rPr>
        <w:t>Conflictos de intereses</w:t>
      </w:r>
    </w:p>
    <w:p w14:paraId="6EA21138" w14:textId="5C434528" w:rsidR="00675476" w:rsidRPr="004D354C" w:rsidRDefault="00BE4D8C" w:rsidP="004D354C">
      <w:pPr>
        <w:suppressAutoHyphens/>
        <w:spacing w:line="360" w:lineRule="auto"/>
        <w:contextualSpacing/>
        <w:jc w:val="both"/>
        <w:rPr>
          <w:rFonts w:eastAsia="Calibri"/>
          <w:lang w:val="es-US" w:eastAsia="en-US"/>
        </w:rPr>
      </w:pPr>
      <w:r w:rsidRPr="00BE4D8C">
        <w:rPr>
          <w:rFonts w:eastAsia="Calibri" w:cs="Arial"/>
          <w:lang w:val="es-US" w:eastAsia="en-US"/>
        </w:rPr>
        <w:t>Los autores no reportan conflictos de intereses.</w:t>
      </w:r>
    </w:p>
    <w:sectPr w:rsidR="00675476" w:rsidRPr="004D354C"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78E2" w14:textId="77777777" w:rsidR="00E66BBC" w:rsidRDefault="00E66BBC">
      <w:r>
        <w:separator/>
      </w:r>
    </w:p>
  </w:endnote>
  <w:endnote w:type="continuationSeparator" w:id="0">
    <w:p w14:paraId="59653437" w14:textId="77777777" w:rsidR="00E66BBC" w:rsidRDefault="00E6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701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9B941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EA81" w14:textId="1942DC8D" w:rsidR="000F3690" w:rsidRPr="00AE044C" w:rsidRDefault="00BE4D8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9B0E7D1" wp14:editId="2B488C80">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7B7FD4"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4B04395" w14:textId="77777777" w:rsidR="00675476" w:rsidRPr="00AE044C" w:rsidRDefault="00E66BBC" w:rsidP="00391509">
    <w:pPr>
      <w:pStyle w:val="Piedepgina"/>
      <w:ind w:right="360"/>
      <w:rPr>
        <w:sz w:val="22"/>
        <w:szCs w:val="22"/>
      </w:rPr>
    </w:pPr>
    <w:hyperlink r:id="rId1" w:history="1">
      <w:r w:rsidR="00391509" w:rsidRPr="00AE044C">
        <w:rPr>
          <w:rStyle w:val="Hipervnculo"/>
          <w:sz w:val="22"/>
          <w:szCs w:val="22"/>
        </w:rPr>
        <w:t>http://scielo.sld.cu</w:t>
      </w:r>
    </w:hyperlink>
  </w:p>
  <w:p w14:paraId="291D9A79" w14:textId="77777777" w:rsidR="00391509" w:rsidRPr="00AE044C" w:rsidRDefault="00E66BB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FBBEACC" w14:textId="4EDD35E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BE4D8C" w:rsidRPr="00BE4D8C">
      <w:rPr>
        <w:rFonts w:ascii="Verdana" w:hAnsi="Verdana"/>
        <w:noProof/>
        <w:sz w:val="18"/>
        <w:szCs w:val="18"/>
        <w:lang w:val="en-US" w:eastAsia="en-US"/>
      </w:rPr>
      <w:drawing>
        <wp:inline distT="0" distB="0" distL="0" distR="0" wp14:anchorId="22BA2B5F" wp14:editId="5A677AC1">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E6C0" w14:textId="77777777" w:rsidR="00E66BBC" w:rsidRDefault="00E66BBC">
      <w:r>
        <w:separator/>
      </w:r>
    </w:p>
  </w:footnote>
  <w:footnote w:type="continuationSeparator" w:id="0">
    <w:p w14:paraId="7ECF3650" w14:textId="77777777" w:rsidR="00E66BBC" w:rsidRDefault="00E6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42FF" w14:textId="2BA2BBF2" w:rsidR="00CC376A" w:rsidRPr="00AE044C" w:rsidRDefault="00AE4F9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3</w:t>
    </w:r>
    <w:r w:rsidR="007D2D0C" w:rsidRPr="00AE044C">
      <w:rPr>
        <w:sz w:val="22"/>
        <w:szCs w:val="22"/>
      </w:rPr>
      <w:t>):</w:t>
    </w:r>
    <w:r w:rsidR="00BE4D8C">
      <w:rPr>
        <w:noProof/>
      </w:rPr>
      <w:drawing>
        <wp:anchor distT="0" distB="0" distL="114300" distR="114300" simplePos="0" relativeHeight="251663360" behindDoc="1" locked="0" layoutInCell="1" allowOverlap="1" wp14:anchorId="71AEC482" wp14:editId="1A0D69B7">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e02201791</w:t>
    </w:r>
  </w:p>
  <w:p w14:paraId="54ACD6C6" w14:textId="40900F47" w:rsidR="00A477DE" w:rsidRDefault="00BE4D8C">
    <w:r>
      <w:rPr>
        <w:noProof/>
      </w:rPr>
      <mc:AlternateContent>
        <mc:Choice Requires="wps">
          <w:drawing>
            <wp:anchor distT="0" distB="0" distL="114300" distR="114300" simplePos="0" relativeHeight="251654144" behindDoc="0" locked="0" layoutInCell="1" allowOverlap="1" wp14:anchorId="58B598B9" wp14:editId="56D83C59">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EA21F5"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44685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8C"/>
    <w:rsid w:val="00057F45"/>
    <w:rsid w:val="000D3958"/>
    <w:rsid w:val="000F3690"/>
    <w:rsid w:val="001221D1"/>
    <w:rsid w:val="00165CB5"/>
    <w:rsid w:val="00180CE9"/>
    <w:rsid w:val="00181957"/>
    <w:rsid w:val="00230DD5"/>
    <w:rsid w:val="00250AE9"/>
    <w:rsid w:val="00380D64"/>
    <w:rsid w:val="00391509"/>
    <w:rsid w:val="003E03D5"/>
    <w:rsid w:val="00451DF8"/>
    <w:rsid w:val="00486BFA"/>
    <w:rsid w:val="00493701"/>
    <w:rsid w:val="004D354C"/>
    <w:rsid w:val="004E2065"/>
    <w:rsid w:val="005508A2"/>
    <w:rsid w:val="0055115D"/>
    <w:rsid w:val="00566F71"/>
    <w:rsid w:val="005918BD"/>
    <w:rsid w:val="006173A6"/>
    <w:rsid w:val="00675476"/>
    <w:rsid w:val="007C430F"/>
    <w:rsid w:val="007D2D0C"/>
    <w:rsid w:val="007D614D"/>
    <w:rsid w:val="00960D6A"/>
    <w:rsid w:val="009A0560"/>
    <w:rsid w:val="009B0917"/>
    <w:rsid w:val="009F0F96"/>
    <w:rsid w:val="009F3D74"/>
    <w:rsid w:val="00A23C0C"/>
    <w:rsid w:val="00A477DE"/>
    <w:rsid w:val="00A71E65"/>
    <w:rsid w:val="00AE044C"/>
    <w:rsid w:val="00AE4F9C"/>
    <w:rsid w:val="00B31971"/>
    <w:rsid w:val="00B4380A"/>
    <w:rsid w:val="00B66ECB"/>
    <w:rsid w:val="00BE4D8C"/>
    <w:rsid w:val="00C7523A"/>
    <w:rsid w:val="00CC1B6E"/>
    <w:rsid w:val="00CC376A"/>
    <w:rsid w:val="00CC48A1"/>
    <w:rsid w:val="00CF50E0"/>
    <w:rsid w:val="00D451ED"/>
    <w:rsid w:val="00D85951"/>
    <w:rsid w:val="00E62606"/>
    <w:rsid w:val="00E66BBC"/>
    <w:rsid w:val="00EA1FEF"/>
    <w:rsid w:val="00EC5A6B"/>
    <w:rsid w:val="00EE301D"/>
    <w:rsid w:val="00FA7CC1"/>
    <w:rsid w:val="00FD3A2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EE0B2"/>
  <w15:docId w15:val="{A65D4413-94E3-44F2-9F47-15405D99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992-6537" TargetMode="External"/><Relationship Id="rId13" Type="http://schemas.openxmlformats.org/officeDocument/2006/relationships/hyperlink" Target="https://www.ncbi.nlm.nih.gov/books/NBK538135/" TargetMode="External"/><Relationship Id="rId18" Type="http://schemas.openxmlformats.org/officeDocument/2006/relationships/hyperlink" Target="https://www.ncbi.nlm.nih.gov/pmc/articles/PMC582086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cbi.nlm.nih.gov/pmc/articles/PMC6774002/pdf/ceem-19-010.pdf" TargetMode="External"/><Relationship Id="rId7" Type="http://schemas.openxmlformats.org/officeDocument/2006/relationships/hyperlink" Target="https://orcid.org/0000-0002-0321-9978" TargetMode="External"/><Relationship Id="rId12" Type="http://schemas.openxmlformats.org/officeDocument/2006/relationships/hyperlink" Target="https://www.ncbi.nlm.nih.gov/pmc/articles/PMC5887770/pdf/tsaco-2018-000169.pdf" TargetMode="External"/><Relationship Id="rId17" Type="http://schemas.openxmlformats.org/officeDocument/2006/relationships/hyperlink" Target="https://www.ncbi.nlm.nih.gov/pmc/articles/PMC6907223/pdf/12883_2019_Article_1559.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7327124/pdf/main.pdf" TargetMode="External"/><Relationship Id="rId20" Type="http://schemas.openxmlformats.org/officeDocument/2006/relationships/hyperlink" Target="https://www.ncbi.nlm.nih.gov/pmc/articles/PMC6727451/pdf/JOCR-9-3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6778944/pdf/CRINM20197987038.pdf"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ncbi.nlm.nih.gov/pmc/articles/PMC6826085/pdf/kjn-15-204.pdf" TargetMode="External"/><Relationship Id="rId4" Type="http://schemas.openxmlformats.org/officeDocument/2006/relationships/webSettings" Target="webSettings.xml"/><Relationship Id="rId9" Type="http://schemas.openxmlformats.org/officeDocument/2006/relationships/hyperlink" Target="mailto:hfigueredo@infomed.sld.cu" TargetMode="External"/><Relationship Id="rId14" Type="http://schemas.openxmlformats.org/officeDocument/2006/relationships/hyperlink" Target="https://www.ncbi.nlm.nih.gov/pmc/articles/PMC6156073/pdf/medi-97-e12377.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22</TotalTime>
  <Pages>8</Pages>
  <Words>2357</Words>
  <Characters>12965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15292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2010-09-13T21:29:00Z</cp:lastPrinted>
  <dcterms:created xsi:type="dcterms:W3CDTF">2022-06-22T14:49:00Z</dcterms:created>
  <dcterms:modified xsi:type="dcterms:W3CDTF">2022-06-22T15:11:00Z</dcterms:modified>
</cp:coreProperties>
</file>