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20641" w14:textId="77777777" w:rsidR="003E2A99" w:rsidRPr="003E2A99" w:rsidRDefault="003E2A99" w:rsidP="003E2A99">
      <w:pPr>
        <w:spacing w:line="360" w:lineRule="auto"/>
        <w:jc w:val="right"/>
        <w:rPr>
          <w:rFonts w:eastAsia="Calibri"/>
          <w:sz w:val="20"/>
          <w:szCs w:val="20"/>
          <w:lang w:val="es-ES" w:eastAsia="en-US"/>
        </w:rPr>
      </w:pPr>
      <w:r w:rsidRPr="003E2A99">
        <w:rPr>
          <w:rFonts w:eastAsia="Calibri"/>
          <w:sz w:val="20"/>
          <w:szCs w:val="20"/>
          <w:lang w:val="es-ES" w:eastAsia="en-US"/>
        </w:rPr>
        <w:t>Comunicación breve</w:t>
      </w:r>
    </w:p>
    <w:p w14:paraId="0B96CB3A" w14:textId="77777777" w:rsidR="003E2A99" w:rsidRPr="003E2A99" w:rsidRDefault="003E2A99" w:rsidP="003E2A99">
      <w:pPr>
        <w:spacing w:line="360" w:lineRule="auto"/>
        <w:jc w:val="right"/>
        <w:rPr>
          <w:rFonts w:eastAsia="Calibri"/>
          <w:sz w:val="20"/>
          <w:szCs w:val="20"/>
          <w:lang w:val="es-ES" w:eastAsia="en-US"/>
        </w:rPr>
      </w:pPr>
    </w:p>
    <w:p w14:paraId="32FF1ADB" w14:textId="77777777" w:rsidR="003E2A99" w:rsidRPr="003E2A99" w:rsidRDefault="003E2A99" w:rsidP="003E2A99">
      <w:pPr>
        <w:spacing w:line="360" w:lineRule="auto"/>
        <w:jc w:val="center"/>
        <w:rPr>
          <w:rFonts w:eastAsia="Calibri"/>
          <w:sz w:val="28"/>
          <w:szCs w:val="28"/>
          <w:lang w:val="es-ES" w:eastAsia="en-US"/>
        </w:rPr>
      </w:pPr>
      <w:r w:rsidRPr="003E2A99">
        <w:rPr>
          <w:rFonts w:eastAsia="Calibri"/>
          <w:b/>
          <w:sz w:val="28"/>
          <w:szCs w:val="28"/>
          <w:lang w:val="es-ES" w:eastAsia="en-US"/>
        </w:rPr>
        <w:t>Caracterización de pacientes con fractura abierta de tibia tratados con fijación externa</w:t>
      </w:r>
    </w:p>
    <w:p w14:paraId="7FB61288" w14:textId="77777777" w:rsidR="003E2A99" w:rsidRPr="003E2A99" w:rsidRDefault="003E2A99" w:rsidP="003E2A99">
      <w:pPr>
        <w:spacing w:line="360" w:lineRule="auto"/>
        <w:jc w:val="center"/>
        <w:rPr>
          <w:rFonts w:eastAsia="Calibri"/>
          <w:sz w:val="28"/>
          <w:szCs w:val="28"/>
          <w:lang w:val="en-US" w:eastAsia="en-US"/>
        </w:rPr>
      </w:pPr>
      <w:r w:rsidRPr="003E2A99">
        <w:rPr>
          <w:rFonts w:eastAsia="Calibri"/>
          <w:sz w:val="28"/>
          <w:szCs w:val="28"/>
          <w:lang w:val="en-US" w:eastAsia="en-US"/>
        </w:rPr>
        <w:t>Characterization of patients with open fracture of the tibia treated with external fixation</w:t>
      </w:r>
    </w:p>
    <w:p w14:paraId="06F1D67C" w14:textId="77777777" w:rsidR="003E2A99" w:rsidRPr="003E2A99" w:rsidRDefault="003E2A99" w:rsidP="003E2A99">
      <w:pPr>
        <w:spacing w:line="360" w:lineRule="auto"/>
        <w:rPr>
          <w:rFonts w:eastAsia="Calibri"/>
          <w:lang w:val="en-US" w:eastAsia="en-US"/>
        </w:rPr>
      </w:pPr>
    </w:p>
    <w:p w14:paraId="06BDF5E4" w14:textId="77777777" w:rsidR="003E2A99" w:rsidRPr="003E2A99" w:rsidRDefault="003E2A99" w:rsidP="003E2A99">
      <w:pPr>
        <w:spacing w:line="360" w:lineRule="auto"/>
        <w:rPr>
          <w:rFonts w:eastAsia="Calibri"/>
          <w:lang w:val="es-CU" w:eastAsia="en-US"/>
        </w:rPr>
      </w:pPr>
      <w:r w:rsidRPr="003E2A99">
        <w:rPr>
          <w:rFonts w:eastAsia="Calibri"/>
          <w:lang w:val="es-CU" w:eastAsia="en-US"/>
        </w:rPr>
        <w:t>Salvio Lázaro López de Quesada</w:t>
      </w:r>
      <w:r w:rsidRPr="003E2A99">
        <w:rPr>
          <w:rFonts w:eastAsia="Calibri"/>
          <w:vertAlign w:val="superscript"/>
          <w:lang w:val="es-CU" w:eastAsia="en-US"/>
        </w:rPr>
        <w:t>1</w:t>
      </w:r>
      <w:r w:rsidRPr="003E2A99">
        <w:rPr>
          <w:rFonts w:eastAsia="Calibri"/>
          <w:lang w:val="es-CU" w:eastAsia="en-US"/>
        </w:rPr>
        <w:t xml:space="preserve"> </w:t>
      </w:r>
      <w:hyperlink r:id="rId7" w:history="1">
        <w:r w:rsidRPr="003E2A99">
          <w:rPr>
            <w:rFonts w:eastAsia="Calibri"/>
            <w:color w:val="0563C1"/>
            <w:u w:val="single"/>
            <w:lang w:val="es-CU" w:eastAsia="en-US"/>
          </w:rPr>
          <w:t>https://orcid.org/0000-0001-5458-9920</w:t>
        </w:r>
      </w:hyperlink>
      <w:r w:rsidRPr="003E2A99">
        <w:rPr>
          <w:rFonts w:eastAsia="Calibri"/>
          <w:lang w:val="es-CU" w:eastAsia="en-US"/>
        </w:rPr>
        <w:t xml:space="preserve"> </w:t>
      </w:r>
    </w:p>
    <w:p w14:paraId="408EF110" w14:textId="77777777" w:rsidR="003E2A99" w:rsidRPr="003E2A99" w:rsidRDefault="003E2A99" w:rsidP="003E2A99">
      <w:pPr>
        <w:spacing w:line="360" w:lineRule="auto"/>
        <w:rPr>
          <w:rFonts w:eastAsia="Calibri"/>
          <w:lang w:val="es-CU" w:eastAsia="en-US"/>
        </w:rPr>
      </w:pPr>
      <w:r w:rsidRPr="003E2A99">
        <w:rPr>
          <w:rFonts w:eastAsia="Calibri"/>
          <w:lang w:val="es-CU" w:eastAsia="en-US"/>
        </w:rPr>
        <w:t xml:space="preserve">Edilberto </w:t>
      </w:r>
      <w:proofErr w:type="spellStart"/>
      <w:r w:rsidRPr="003E2A99">
        <w:rPr>
          <w:rFonts w:eastAsia="Calibri"/>
          <w:lang w:val="es-CU" w:eastAsia="en-US"/>
        </w:rPr>
        <w:t>Lanfernal</w:t>
      </w:r>
      <w:proofErr w:type="spellEnd"/>
      <w:r w:rsidRPr="003E2A99">
        <w:rPr>
          <w:rFonts w:eastAsia="Calibri"/>
          <w:lang w:val="es-CU" w:eastAsia="en-US"/>
        </w:rPr>
        <w:t xml:space="preserve"> Novo</w:t>
      </w:r>
      <w:r w:rsidRPr="003E2A99">
        <w:rPr>
          <w:rFonts w:eastAsia="Calibri"/>
          <w:vertAlign w:val="superscript"/>
          <w:lang w:val="es-CU" w:eastAsia="en-US"/>
        </w:rPr>
        <w:t>1</w:t>
      </w:r>
      <w:r w:rsidRPr="003E2A99">
        <w:rPr>
          <w:rFonts w:eastAsia="Calibri"/>
          <w:lang w:val="es-CU" w:eastAsia="en-US"/>
        </w:rPr>
        <w:t xml:space="preserve"> </w:t>
      </w:r>
      <w:hyperlink r:id="rId8" w:history="1">
        <w:r w:rsidRPr="003E2A99">
          <w:rPr>
            <w:rFonts w:eastAsia="Calibri"/>
            <w:color w:val="0563C1"/>
            <w:u w:val="single"/>
            <w:lang w:val="es-CU" w:eastAsia="en-US"/>
          </w:rPr>
          <w:t>https://orcid.org/0000-0002-2892-477X</w:t>
        </w:r>
      </w:hyperlink>
      <w:r w:rsidRPr="003E2A99">
        <w:rPr>
          <w:rFonts w:eastAsia="Calibri"/>
          <w:lang w:val="es-CU" w:eastAsia="en-US"/>
        </w:rPr>
        <w:t xml:space="preserve"> </w:t>
      </w:r>
    </w:p>
    <w:p w14:paraId="46C2C65C" w14:textId="77777777" w:rsidR="003E2A99" w:rsidRPr="003E2A99" w:rsidRDefault="003E2A99" w:rsidP="003E2A99">
      <w:pPr>
        <w:spacing w:line="360" w:lineRule="auto"/>
        <w:rPr>
          <w:rFonts w:eastAsia="Calibri"/>
          <w:lang w:val="es-CU" w:eastAsia="en-US"/>
        </w:rPr>
      </w:pPr>
      <w:r w:rsidRPr="003E2A99">
        <w:rPr>
          <w:rFonts w:eastAsia="Calibri"/>
          <w:lang w:val="es-CU" w:eastAsia="en-US"/>
        </w:rPr>
        <w:t>José Luis Nápoles Mengana</w:t>
      </w:r>
      <w:r w:rsidRPr="003E2A99">
        <w:rPr>
          <w:rFonts w:eastAsia="Calibri"/>
          <w:vertAlign w:val="superscript"/>
          <w:lang w:val="es-CU" w:eastAsia="en-US"/>
        </w:rPr>
        <w:t>1</w:t>
      </w:r>
      <w:r w:rsidRPr="003E2A99">
        <w:rPr>
          <w:rFonts w:eastAsia="Calibri"/>
          <w:lang w:val="es-CU" w:eastAsia="en-US"/>
        </w:rPr>
        <w:t xml:space="preserve">* </w:t>
      </w:r>
      <w:hyperlink r:id="rId9" w:history="1">
        <w:r w:rsidRPr="003E2A99">
          <w:rPr>
            <w:rFonts w:eastAsia="Calibri"/>
            <w:color w:val="0563C1"/>
            <w:u w:val="single"/>
            <w:lang w:val="es-CU" w:eastAsia="en-US"/>
          </w:rPr>
          <w:t>https://orcid.org/0000-0003-0198-2168</w:t>
        </w:r>
      </w:hyperlink>
      <w:r w:rsidRPr="003E2A99">
        <w:rPr>
          <w:rFonts w:eastAsia="Calibri"/>
          <w:lang w:val="es-CU" w:eastAsia="en-US"/>
        </w:rPr>
        <w:t xml:space="preserve"> </w:t>
      </w:r>
    </w:p>
    <w:p w14:paraId="39407F34" w14:textId="77777777" w:rsidR="003E2A99" w:rsidRPr="003E2A99" w:rsidRDefault="003E2A99" w:rsidP="003E2A99">
      <w:pPr>
        <w:spacing w:line="360" w:lineRule="auto"/>
        <w:rPr>
          <w:rFonts w:eastAsia="Calibri"/>
          <w:lang w:val="en-US" w:eastAsia="en-US"/>
        </w:rPr>
      </w:pPr>
      <w:proofErr w:type="spellStart"/>
      <w:r w:rsidRPr="003E2A99">
        <w:rPr>
          <w:rFonts w:eastAsia="Calibri"/>
          <w:lang w:val="en-US" w:eastAsia="en-US"/>
        </w:rPr>
        <w:t>Marilaicy</w:t>
      </w:r>
      <w:proofErr w:type="spellEnd"/>
      <w:r w:rsidRPr="003E2A99">
        <w:rPr>
          <w:rFonts w:eastAsia="Calibri"/>
          <w:lang w:val="en-US" w:eastAsia="en-US"/>
        </w:rPr>
        <w:t xml:space="preserve"> </w:t>
      </w:r>
      <w:proofErr w:type="spellStart"/>
      <w:r w:rsidRPr="003E2A99">
        <w:rPr>
          <w:rFonts w:eastAsia="Calibri"/>
          <w:lang w:val="en-US" w:eastAsia="en-US"/>
        </w:rPr>
        <w:t>Duconger</w:t>
      </w:r>
      <w:proofErr w:type="spellEnd"/>
      <w:r w:rsidRPr="003E2A99">
        <w:rPr>
          <w:rFonts w:eastAsia="Calibri"/>
          <w:lang w:val="en-US" w:eastAsia="en-US"/>
        </w:rPr>
        <w:t xml:space="preserve"> Danger</w:t>
      </w:r>
      <w:r w:rsidRPr="003E2A99">
        <w:rPr>
          <w:rFonts w:eastAsia="Calibri"/>
          <w:vertAlign w:val="superscript"/>
          <w:lang w:val="en-US" w:eastAsia="en-US"/>
        </w:rPr>
        <w:t>1</w:t>
      </w:r>
      <w:r w:rsidRPr="003E2A99">
        <w:rPr>
          <w:rFonts w:eastAsia="Calibri"/>
          <w:lang w:val="en-US" w:eastAsia="en-US"/>
        </w:rPr>
        <w:t xml:space="preserve"> </w:t>
      </w:r>
      <w:hyperlink r:id="rId10" w:history="1">
        <w:r w:rsidRPr="003E2A99">
          <w:rPr>
            <w:rFonts w:eastAsia="Calibri"/>
            <w:color w:val="0563C1"/>
            <w:u w:val="single"/>
            <w:lang w:val="en-US" w:eastAsia="en-US"/>
          </w:rPr>
          <w:t>https://orcid.org/0000-0003-0922-9074</w:t>
        </w:r>
      </w:hyperlink>
      <w:r w:rsidRPr="003E2A99">
        <w:rPr>
          <w:rFonts w:eastAsia="Calibri"/>
          <w:lang w:val="en-US" w:eastAsia="en-US"/>
        </w:rPr>
        <w:t xml:space="preserve"> </w:t>
      </w:r>
    </w:p>
    <w:p w14:paraId="7A5CC82D" w14:textId="77777777" w:rsidR="003E2A99" w:rsidRPr="003E2A99" w:rsidRDefault="003E2A99" w:rsidP="003E2A99">
      <w:pPr>
        <w:spacing w:line="360" w:lineRule="auto"/>
        <w:rPr>
          <w:rFonts w:eastAsia="Calibri"/>
          <w:lang w:val="es-CU" w:eastAsia="en-US"/>
        </w:rPr>
      </w:pPr>
      <w:r w:rsidRPr="003E2A99">
        <w:rPr>
          <w:rFonts w:eastAsia="Calibri"/>
          <w:lang w:val="es-CU" w:eastAsia="en-US"/>
        </w:rPr>
        <w:t>Celso Suárez Lescay</w:t>
      </w:r>
      <w:r w:rsidRPr="003E2A99">
        <w:rPr>
          <w:rFonts w:eastAsia="Calibri"/>
          <w:vertAlign w:val="superscript"/>
          <w:lang w:val="es-CU" w:eastAsia="en-US"/>
        </w:rPr>
        <w:t>1</w:t>
      </w:r>
      <w:r w:rsidRPr="003E2A99">
        <w:rPr>
          <w:rFonts w:eastAsia="Calibri"/>
          <w:lang w:val="es-CU" w:eastAsia="en-US"/>
        </w:rPr>
        <w:t xml:space="preserve"> </w:t>
      </w:r>
      <w:hyperlink r:id="rId11" w:history="1">
        <w:r w:rsidRPr="003E2A99">
          <w:rPr>
            <w:rFonts w:eastAsia="Calibri"/>
            <w:color w:val="0563C1"/>
            <w:u w:val="single"/>
            <w:lang w:val="es-CU" w:eastAsia="en-US"/>
          </w:rPr>
          <w:t>https://orcid.org/0000-0003-2378-1930</w:t>
        </w:r>
      </w:hyperlink>
      <w:r w:rsidRPr="003E2A99">
        <w:rPr>
          <w:rFonts w:eastAsia="Calibri"/>
          <w:lang w:val="es-CU" w:eastAsia="en-US"/>
        </w:rPr>
        <w:t xml:space="preserve"> </w:t>
      </w:r>
    </w:p>
    <w:p w14:paraId="547861D4" w14:textId="77777777" w:rsidR="003E2A99" w:rsidRPr="003E2A99" w:rsidRDefault="003E2A99" w:rsidP="003E2A99">
      <w:pPr>
        <w:spacing w:line="360" w:lineRule="auto"/>
        <w:rPr>
          <w:rFonts w:eastAsia="Calibri"/>
          <w:lang w:val="es-CU" w:eastAsia="en-US"/>
        </w:rPr>
      </w:pPr>
    </w:p>
    <w:p w14:paraId="294DE90B" w14:textId="77777777" w:rsidR="003E2A99" w:rsidRPr="003E2A99" w:rsidRDefault="003E2A99" w:rsidP="003E2A99">
      <w:pPr>
        <w:spacing w:line="360" w:lineRule="auto"/>
        <w:rPr>
          <w:rFonts w:eastAsia="Calibri"/>
          <w:lang w:val="es-CU" w:eastAsia="en-US"/>
        </w:rPr>
      </w:pPr>
      <w:r w:rsidRPr="003E2A99">
        <w:rPr>
          <w:rFonts w:eastAsia="Calibri"/>
          <w:vertAlign w:val="superscript"/>
          <w:lang w:val="es-CU" w:eastAsia="en-US"/>
        </w:rPr>
        <w:t>1</w:t>
      </w:r>
      <w:r w:rsidRPr="003E2A99">
        <w:rPr>
          <w:rFonts w:eastAsia="Calibri"/>
          <w:lang w:val="es-CU" w:eastAsia="en-US"/>
        </w:rPr>
        <w:t xml:space="preserve">Hospital Militar “Dr. Joaquín Castillo </w:t>
      </w:r>
      <w:proofErr w:type="spellStart"/>
      <w:r w:rsidRPr="003E2A99">
        <w:rPr>
          <w:rFonts w:eastAsia="Calibri"/>
          <w:lang w:val="es-CU" w:eastAsia="en-US"/>
        </w:rPr>
        <w:t>Duany</w:t>
      </w:r>
      <w:proofErr w:type="spellEnd"/>
      <w:r w:rsidRPr="003E2A99">
        <w:rPr>
          <w:rFonts w:eastAsia="Calibri"/>
          <w:lang w:val="es-CU" w:eastAsia="en-US"/>
        </w:rPr>
        <w:t>”. Santiago de Cuba, Cuba.</w:t>
      </w:r>
    </w:p>
    <w:p w14:paraId="2CF21B78" w14:textId="77777777" w:rsidR="003E2A99" w:rsidRPr="003E2A99" w:rsidRDefault="003E2A99" w:rsidP="003E2A99">
      <w:pPr>
        <w:spacing w:line="360" w:lineRule="auto"/>
        <w:rPr>
          <w:rFonts w:eastAsia="Calibri"/>
          <w:lang w:val="es-CU" w:eastAsia="en-US"/>
        </w:rPr>
      </w:pPr>
    </w:p>
    <w:p w14:paraId="5F14A794" w14:textId="77777777" w:rsidR="003E2A99" w:rsidRPr="003E2A99" w:rsidRDefault="003E2A99" w:rsidP="003E2A99">
      <w:pPr>
        <w:spacing w:line="360" w:lineRule="auto"/>
        <w:rPr>
          <w:rFonts w:eastAsia="Calibri"/>
          <w:lang w:val="es-CU" w:eastAsia="en-US"/>
        </w:rPr>
      </w:pPr>
      <w:r w:rsidRPr="003E2A99">
        <w:rPr>
          <w:rFonts w:eastAsia="Calibri"/>
          <w:lang w:val="es-CU" w:eastAsia="en-US"/>
        </w:rPr>
        <w:t xml:space="preserve">*Autor para la correspondencia. Correo electrónico: </w:t>
      </w:r>
      <w:hyperlink r:id="rId12" w:history="1">
        <w:r w:rsidRPr="003E2A99">
          <w:rPr>
            <w:rFonts w:eastAsia="Calibri"/>
            <w:color w:val="0563C1"/>
            <w:u w:val="single"/>
            <w:lang w:val="es-CU" w:eastAsia="en-US"/>
          </w:rPr>
          <w:t>jluisnapoles@infomed.sld.cu</w:t>
        </w:r>
      </w:hyperlink>
      <w:r w:rsidRPr="003E2A99">
        <w:rPr>
          <w:rFonts w:eastAsia="Calibri"/>
          <w:lang w:val="es-CU" w:eastAsia="en-US"/>
        </w:rPr>
        <w:t xml:space="preserve"> </w:t>
      </w:r>
    </w:p>
    <w:p w14:paraId="366DC291" w14:textId="77777777" w:rsidR="003E2A99" w:rsidRPr="003E2A99" w:rsidRDefault="003E2A99" w:rsidP="003E2A99">
      <w:pPr>
        <w:spacing w:line="360" w:lineRule="auto"/>
        <w:jc w:val="both"/>
        <w:rPr>
          <w:rFonts w:eastAsia="Calibri"/>
          <w:lang w:val="es-CU" w:eastAsia="en-US"/>
        </w:rPr>
      </w:pPr>
    </w:p>
    <w:p w14:paraId="2BCDFA70" w14:textId="77777777" w:rsidR="003E2A99" w:rsidRPr="003E2A99" w:rsidRDefault="003E2A99" w:rsidP="003E2A99">
      <w:pPr>
        <w:spacing w:line="360" w:lineRule="auto"/>
        <w:jc w:val="both"/>
        <w:rPr>
          <w:rFonts w:eastAsia="Calibri"/>
          <w:b/>
          <w:lang w:val="es-ES" w:eastAsia="en-US"/>
        </w:rPr>
      </w:pPr>
      <w:r w:rsidRPr="003E2A99">
        <w:rPr>
          <w:rFonts w:eastAsia="Calibri"/>
          <w:b/>
          <w:lang w:val="es-ES" w:eastAsia="en-US"/>
        </w:rPr>
        <w:t>RESUMEN</w:t>
      </w:r>
    </w:p>
    <w:p w14:paraId="180D5249" w14:textId="77777777" w:rsidR="003E2A99" w:rsidRPr="003E2A99" w:rsidRDefault="003E2A99" w:rsidP="003E2A99">
      <w:pPr>
        <w:spacing w:line="360" w:lineRule="auto"/>
        <w:jc w:val="both"/>
        <w:rPr>
          <w:rFonts w:eastAsia="Calibri"/>
          <w:lang w:val="es-ES" w:eastAsia="en-US"/>
        </w:rPr>
      </w:pPr>
      <w:r w:rsidRPr="003E2A99">
        <w:rPr>
          <w:rFonts w:eastAsia="Calibri"/>
          <w:b/>
          <w:lang w:val="es-ES" w:eastAsia="en-US"/>
        </w:rPr>
        <w:t xml:space="preserve">Introducción: </w:t>
      </w:r>
      <w:r w:rsidRPr="003E2A99">
        <w:rPr>
          <w:rFonts w:eastAsia="Calibri"/>
          <w:lang w:val="es-ES" w:eastAsia="en-US"/>
        </w:rPr>
        <w:t>La fractura de huesos largos es común, la de tibia presenta una elevada incidencia. No solo es frecuente, sino que a menudo es difícil de tratar. Su localización subcutánea provoca complicaciones como fractura abierta, pseudoartrosis y consolidación defectuosa.</w:t>
      </w:r>
    </w:p>
    <w:p w14:paraId="521A8BD1" w14:textId="77777777" w:rsidR="003E2A99" w:rsidRPr="003E2A99" w:rsidRDefault="003E2A99" w:rsidP="003E2A99">
      <w:pPr>
        <w:spacing w:line="360" w:lineRule="auto"/>
        <w:jc w:val="both"/>
        <w:rPr>
          <w:rFonts w:eastAsia="Calibri"/>
          <w:lang w:val="es-ES" w:eastAsia="en-US"/>
        </w:rPr>
      </w:pPr>
      <w:r w:rsidRPr="003E2A99">
        <w:rPr>
          <w:rFonts w:eastAsia="Calibri"/>
          <w:b/>
          <w:lang w:val="es-ES" w:eastAsia="en-US"/>
        </w:rPr>
        <w:t xml:space="preserve">Objetivo: </w:t>
      </w:r>
      <w:r w:rsidRPr="003E2A99">
        <w:rPr>
          <w:rFonts w:eastAsia="Calibri"/>
          <w:lang w:val="es-ES" w:eastAsia="en-US"/>
        </w:rPr>
        <w:t>Determinar las características clínicas y epidemiológicas de los pacientes con fractura abierta de tibia, tratados con fijación externa.</w:t>
      </w:r>
    </w:p>
    <w:p w14:paraId="5F72ADD6" w14:textId="77777777" w:rsidR="003E2A99" w:rsidRPr="003E2A99" w:rsidRDefault="003E2A99" w:rsidP="003E2A99">
      <w:pPr>
        <w:spacing w:line="360" w:lineRule="auto"/>
        <w:jc w:val="both"/>
        <w:rPr>
          <w:rFonts w:eastAsia="Calibri"/>
          <w:lang w:val="es-ES" w:eastAsia="en-US"/>
        </w:rPr>
      </w:pPr>
      <w:r w:rsidRPr="003E2A99">
        <w:rPr>
          <w:rFonts w:eastAsia="Calibri"/>
          <w:b/>
          <w:lang w:val="es-ES" w:eastAsia="en-US"/>
        </w:rPr>
        <w:t xml:space="preserve">Método: </w:t>
      </w:r>
      <w:r w:rsidRPr="003E2A99">
        <w:rPr>
          <w:rFonts w:eastAsia="Calibri"/>
          <w:lang w:val="es-ES" w:eastAsia="en-US"/>
        </w:rPr>
        <w:t>Se realizó un estudio descriptivo transversal. El universo estuvo constituido por 134 pacientes con diagnóstico de fractura abierta de tibia. Se escogió a 64 lesionados que cumplieron con los criterios de inclusión. Se analizaron las variables edad, sexo, etiología, localización anatómica, clasificación y trazo de la fractura, además de tipo de fijador externo utilizado y complicaciones. Para el análisis de los datos se utilizaron frecuencias absolutas y relativas como medidas resumen.</w:t>
      </w:r>
    </w:p>
    <w:p w14:paraId="4D83CD92" w14:textId="77777777" w:rsidR="003E2A99" w:rsidRPr="003E2A99" w:rsidRDefault="003E2A99" w:rsidP="003E2A99">
      <w:pPr>
        <w:spacing w:line="360" w:lineRule="auto"/>
        <w:jc w:val="both"/>
        <w:rPr>
          <w:rFonts w:eastAsia="Calibri"/>
          <w:lang w:val="es-ES" w:eastAsia="en-US"/>
        </w:rPr>
      </w:pPr>
      <w:r w:rsidRPr="003E2A99">
        <w:rPr>
          <w:rFonts w:eastAsia="Calibri"/>
          <w:b/>
          <w:lang w:val="es-ES" w:eastAsia="en-US"/>
        </w:rPr>
        <w:lastRenderedPageBreak/>
        <w:t xml:space="preserve">Resultados: </w:t>
      </w:r>
      <w:r w:rsidRPr="003E2A99">
        <w:rPr>
          <w:rFonts w:eastAsia="Calibri"/>
          <w:lang w:val="es-ES" w:eastAsia="en-US"/>
        </w:rPr>
        <w:t>El grupo de edad más afectado fue el de 28-37 años, con el 60,9 % del total. Hubo predominio del sexo masculino, para el 95,3 %. Predominó el accidente automovilístico como causa, con un 54,7 %. El fijador externo Ilizarov es el modelo más utilizado para tratar la fractura abierta de tibia y las complicaciones asociadas, para un 89,7 %.</w:t>
      </w:r>
    </w:p>
    <w:p w14:paraId="54724A48" w14:textId="77777777" w:rsidR="003E2A99" w:rsidRPr="003E2A99" w:rsidRDefault="003E2A99" w:rsidP="003E2A99">
      <w:pPr>
        <w:spacing w:line="360" w:lineRule="auto"/>
        <w:jc w:val="both"/>
        <w:rPr>
          <w:rFonts w:eastAsia="Calibri"/>
          <w:lang w:val="es-ES" w:eastAsia="en-US"/>
        </w:rPr>
      </w:pPr>
      <w:r w:rsidRPr="003E2A99">
        <w:rPr>
          <w:rFonts w:eastAsia="Calibri"/>
          <w:b/>
          <w:lang w:val="es-ES" w:eastAsia="en-US"/>
        </w:rPr>
        <w:t xml:space="preserve">Conclusiones: </w:t>
      </w:r>
      <w:r w:rsidRPr="003E2A99">
        <w:rPr>
          <w:rFonts w:eastAsia="Calibri"/>
          <w:lang w:val="es-ES" w:eastAsia="en-US"/>
        </w:rPr>
        <w:t>En pacientes con fractura abierta de tibia predomina en el sexo masculino, entre la tercera y cuarta década de la vida; los accidentes de tránsito son la causa principal y el fijador externo Ilizarov es el modelo más utilizado para tratar la fractura abierta de tibia y las complicaciones asociadas.</w:t>
      </w:r>
    </w:p>
    <w:p w14:paraId="3F9889BE" w14:textId="77777777" w:rsidR="003E2A99" w:rsidRPr="003E2A99" w:rsidRDefault="003E2A99" w:rsidP="003E2A99">
      <w:pPr>
        <w:spacing w:line="360" w:lineRule="auto"/>
        <w:jc w:val="both"/>
        <w:rPr>
          <w:rFonts w:eastAsia="Calibri"/>
          <w:lang w:val="es-ES" w:eastAsia="en-US"/>
        </w:rPr>
      </w:pPr>
      <w:r w:rsidRPr="003E2A99">
        <w:rPr>
          <w:rFonts w:eastAsia="Calibri"/>
          <w:b/>
          <w:lang w:val="es-ES" w:eastAsia="en-US"/>
        </w:rPr>
        <w:t xml:space="preserve">Palabras clave: </w:t>
      </w:r>
      <w:r w:rsidRPr="003E2A99">
        <w:rPr>
          <w:rFonts w:eastAsia="Calibri"/>
          <w:lang w:val="es-ES" w:eastAsia="en-US"/>
        </w:rPr>
        <w:t>fractura abierta de tibia; accidentes; fijador externo.</w:t>
      </w:r>
    </w:p>
    <w:p w14:paraId="59E912D7" w14:textId="77777777" w:rsidR="003E2A99" w:rsidRPr="003E2A99" w:rsidRDefault="003E2A99" w:rsidP="003E2A99">
      <w:pPr>
        <w:spacing w:line="360" w:lineRule="auto"/>
        <w:jc w:val="both"/>
        <w:rPr>
          <w:rFonts w:eastAsia="Calibri"/>
          <w:b/>
          <w:lang w:val="es-ES" w:eastAsia="en-US"/>
        </w:rPr>
      </w:pPr>
    </w:p>
    <w:p w14:paraId="5D84B39F" w14:textId="77777777" w:rsidR="003E2A99" w:rsidRPr="003E2A99" w:rsidRDefault="003E2A99" w:rsidP="003E2A99">
      <w:pPr>
        <w:spacing w:line="360" w:lineRule="auto"/>
        <w:jc w:val="both"/>
        <w:rPr>
          <w:rFonts w:eastAsia="Calibri"/>
          <w:b/>
          <w:lang w:val="en-US" w:eastAsia="en-US"/>
        </w:rPr>
      </w:pPr>
      <w:r w:rsidRPr="003E2A99">
        <w:rPr>
          <w:rFonts w:eastAsia="Calibri"/>
          <w:b/>
          <w:lang w:val="en-US" w:eastAsia="en-US"/>
        </w:rPr>
        <w:t>ABSTRACT</w:t>
      </w:r>
    </w:p>
    <w:p w14:paraId="46EBBBB8" w14:textId="77777777" w:rsidR="003E2A99" w:rsidRPr="003E2A99" w:rsidRDefault="003E2A99" w:rsidP="003E2A99">
      <w:pPr>
        <w:autoSpaceDE w:val="0"/>
        <w:autoSpaceDN w:val="0"/>
        <w:adjustRightInd w:val="0"/>
        <w:spacing w:line="360" w:lineRule="auto"/>
        <w:jc w:val="both"/>
        <w:rPr>
          <w:rFonts w:eastAsia="Calibri"/>
          <w:color w:val="000000"/>
          <w:lang w:val="en-US" w:eastAsia="en-US"/>
        </w:rPr>
      </w:pPr>
      <w:r w:rsidRPr="003E2A99">
        <w:rPr>
          <w:rFonts w:eastAsia="Calibri"/>
          <w:b/>
          <w:color w:val="000000"/>
          <w:lang w:val="en-US" w:eastAsia="en-US"/>
        </w:rPr>
        <w:t>Introduction:</w:t>
      </w:r>
      <w:r w:rsidRPr="003E2A99">
        <w:rPr>
          <w:rFonts w:eastAsia="Calibri"/>
          <w:color w:val="000000"/>
          <w:lang w:val="en-US" w:eastAsia="en-US"/>
        </w:rPr>
        <w:t xml:space="preserve"> Long bone fractures are common; among them the tibia presents a high incidence. They are not only common, but often difficult to treat. Its subcutaneous location causes complications such as open fractures, pseudoarthrosis and defective consolidations.</w:t>
      </w:r>
    </w:p>
    <w:p w14:paraId="5C8D5D54" w14:textId="77777777" w:rsidR="003E2A99" w:rsidRPr="003E2A99" w:rsidRDefault="003E2A99" w:rsidP="003E2A99">
      <w:pPr>
        <w:autoSpaceDE w:val="0"/>
        <w:autoSpaceDN w:val="0"/>
        <w:adjustRightInd w:val="0"/>
        <w:spacing w:line="360" w:lineRule="auto"/>
        <w:jc w:val="both"/>
        <w:rPr>
          <w:rFonts w:eastAsia="Calibri"/>
          <w:color w:val="000000"/>
          <w:lang w:val="en-US" w:eastAsia="en-US"/>
        </w:rPr>
      </w:pPr>
      <w:r w:rsidRPr="003E2A99">
        <w:rPr>
          <w:rFonts w:eastAsia="Calibri"/>
          <w:b/>
          <w:color w:val="000000"/>
          <w:lang w:val="en-US" w:eastAsia="en-US"/>
        </w:rPr>
        <w:t>Objective:</w:t>
      </w:r>
      <w:r w:rsidRPr="003E2A99">
        <w:rPr>
          <w:rFonts w:eastAsia="Calibri"/>
          <w:color w:val="000000"/>
          <w:lang w:val="en-US" w:eastAsia="en-US"/>
        </w:rPr>
        <w:t xml:space="preserve"> To determine the clinical-epidemiological characteristics of patients with open fracture of the tibia treated with external fixation.</w:t>
      </w:r>
    </w:p>
    <w:p w14:paraId="36425767" w14:textId="77777777" w:rsidR="003E2A99" w:rsidRPr="003E2A99" w:rsidRDefault="003E2A99" w:rsidP="003E2A99">
      <w:pPr>
        <w:autoSpaceDE w:val="0"/>
        <w:autoSpaceDN w:val="0"/>
        <w:adjustRightInd w:val="0"/>
        <w:spacing w:line="360" w:lineRule="auto"/>
        <w:jc w:val="both"/>
        <w:rPr>
          <w:rFonts w:eastAsia="Calibri"/>
          <w:color w:val="000000"/>
          <w:lang w:val="en-US" w:eastAsia="en-US"/>
        </w:rPr>
      </w:pPr>
      <w:r w:rsidRPr="003E2A99">
        <w:rPr>
          <w:rFonts w:eastAsia="Calibri"/>
          <w:b/>
          <w:color w:val="000000"/>
          <w:lang w:val="en-US" w:eastAsia="en-US"/>
        </w:rPr>
        <w:t>Method:</w:t>
      </w:r>
      <w:r w:rsidRPr="003E2A99">
        <w:rPr>
          <w:rFonts w:eastAsia="Calibri"/>
          <w:color w:val="000000"/>
          <w:lang w:val="en-US" w:eastAsia="en-US"/>
        </w:rPr>
        <w:t xml:space="preserve"> A cross-sectional descriptive study was carried out. The universe consisted of 134 patients with a diagnosis of open fracture of the tibia. Sixty-four injured patients who met the inclusion criteria were chosen. The variables age, sex, etiology, anatomical location, classification and fracture line were analyzed, in addition to the type of external fixator used and complications.</w:t>
      </w:r>
    </w:p>
    <w:p w14:paraId="2A1FD5DF" w14:textId="77777777" w:rsidR="003E2A99" w:rsidRPr="003E2A99" w:rsidRDefault="003E2A99" w:rsidP="003E2A99">
      <w:pPr>
        <w:autoSpaceDE w:val="0"/>
        <w:autoSpaceDN w:val="0"/>
        <w:adjustRightInd w:val="0"/>
        <w:spacing w:line="360" w:lineRule="auto"/>
        <w:jc w:val="both"/>
        <w:rPr>
          <w:rFonts w:eastAsia="Calibri"/>
          <w:color w:val="000000"/>
          <w:lang w:val="en-US" w:eastAsia="en-US"/>
        </w:rPr>
      </w:pPr>
      <w:r w:rsidRPr="003E2A99">
        <w:rPr>
          <w:rFonts w:eastAsia="Calibri"/>
          <w:b/>
          <w:color w:val="000000"/>
          <w:lang w:val="en-US" w:eastAsia="en-US"/>
        </w:rPr>
        <w:t>Results:</w:t>
      </w:r>
      <w:r w:rsidRPr="003E2A99">
        <w:rPr>
          <w:rFonts w:eastAsia="Calibri"/>
          <w:color w:val="000000"/>
          <w:lang w:val="en-US" w:eastAsia="en-US"/>
        </w:rPr>
        <w:t xml:space="preserve"> The most affected age group was 28-37 years old, with 60.9 % of the total. There was a predominance of the male sex for 95.3 %. The car accident prevailed as the cause of the injury with 54.7 %. The </w:t>
      </w:r>
      <w:proofErr w:type="spellStart"/>
      <w:r w:rsidRPr="003E2A99">
        <w:rPr>
          <w:rFonts w:eastAsia="Calibri"/>
          <w:color w:val="000000"/>
          <w:lang w:val="en-US" w:eastAsia="en-US"/>
        </w:rPr>
        <w:t>Ilizarov</w:t>
      </w:r>
      <w:proofErr w:type="spellEnd"/>
      <w:r w:rsidRPr="003E2A99">
        <w:rPr>
          <w:rFonts w:eastAsia="Calibri"/>
          <w:color w:val="000000"/>
          <w:lang w:val="en-US" w:eastAsia="en-US"/>
        </w:rPr>
        <w:t xml:space="preserve"> external fixator is the most used model for 89.7 % to treat open fracture of the tibia and associated complications.</w:t>
      </w:r>
    </w:p>
    <w:p w14:paraId="225CA27B" w14:textId="77777777" w:rsidR="003E2A99" w:rsidRPr="003E2A99" w:rsidRDefault="003E2A99" w:rsidP="003E2A99">
      <w:pPr>
        <w:autoSpaceDE w:val="0"/>
        <w:autoSpaceDN w:val="0"/>
        <w:adjustRightInd w:val="0"/>
        <w:spacing w:line="360" w:lineRule="auto"/>
        <w:jc w:val="both"/>
        <w:rPr>
          <w:rFonts w:eastAsia="Calibri"/>
          <w:color w:val="000000"/>
          <w:lang w:val="en-US" w:eastAsia="en-US"/>
        </w:rPr>
      </w:pPr>
      <w:r w:rsidRPr="003E2A99">
        <w:rPr>
          <w:rFonts w:eastAsia="Calibri"/>
          <w:b/>
          <w:color w:val="000000"/>
          <w:lang w:val="en-US" w:eastAsia="en-US"/>
        </w:rPr>
        <w:t>Conclusions:</w:t>
      </w:r>
      <w:r w:rsidRPr="003E2A99">
        <w:rPr>
          <w:rFonts w:eastAsia="Calibri"/>
          <w:color w:val="000000"/>
          <w:lang w:val="en-US" w:eastAsia="en-US"/>
        </w:rPr>
        <w:t xml:space="preserve"> The open fracture of the tibia predominates in males between the third and fourth decade of life; traffic accidents are the main cause of this traumatic injury, and the </w:t>
      </w:r>
      <w:proofErr w:type="spellStart"/>
      <w:r w:rsidRPr="003E2A99">
        <w:rPr>
          <w:rFonts w:eastAsia="Calibri"/>
          <w:color w:val="000000"/>
          <w:lang w:val="en-US" w:eastAsia="en-US"/>
        </w:rPr>
        <w:t>Ilizarov</w:t>
      </w:r>
      <w:proofErr w:type="spellEnd"/>
      <w:r w:rsidRPr="003E2A99">
        <w:rPr>
          <w:rFonts w:eastAsia="Calibri"/>
          <w:color w:val="000000"/>
          <w:lang w:val="en-US" w:eastAsia="en-US"/>
        </w:rPr>
        <w:t xml:space="preserve"> external fixator is the most widely used model for treating open tibial fractures and associated complications.</w:t>
      </w:r>
    </w:p>
    <w:p w14:paraId="56D213B0" w14:textId="77777777" w:rsidR="003E2A99" w:rsidRPr="003E2A99" w:rsidRDefault="003E2A99" w:rsidP="003E2A99">
      <w:pPr>
        <w:autoSpaceDE w:val="0"/>
        <w:autoSpaceDN w:val="0"/>
        <w:adjustRightInd w:val="0"/>
        <w:spacing w:line="360" w:lineRule="auto"/>
        <w:jc w:val="both"/>
        <w:rPr>
          <w:rFonts w:eastAsia="Calibri"/>
          <w:color w:val="000000"/>
          <w:lang w:val="en-US" w:eastAsia="en-US"/>
        </w:rPr>
      </w:pPr>
      <w:r w:rsidRPr="003E2A99">
        <w:rPr>
          <w:rFonts w:eastAsia="Calibri"/>
          <w:b/>
          <w:color w:val="000000"/>
          <w:lang w:val="en-US" w:eastAsia="en-US"/>
        </w:rPr>
        <w:t xml:space="preserve">Keywords: </w:t>
      </w:r>
      <w:r w:rsidRPr="003E2A99">
        <w:rPr>
          <w:rFonts w:eastAsia="Calibri"/>
          <w:color w:val="000000"/>
          <w:lang w:val="en-US" w:eastAsia="en-US"/>
        </w:rPr>
        <w:t>open fracture of the tibia; accidents; external fixator.</w:t>
      </w:r>
    </w:p>
    <w:p w14:paraId="544A19F5" w14:textId="77777777" w:rsidR="003E2A99" w:rsidRPr="003E2A99" w:rsidRDefault="003E2A99" w:rsidP="003E2A99">
      <w:pPr>
        <w:autoSpaceDE w:val="0"/>
        <w:autoSpaceDN w:val="0"/>
        <w:adjustRightInd w:val="0"/>
        <w:spacing w:line="360" w:lineRule="auto"/>
        <w:jc w:val="both"/>
        <w:rPr>
          <w:rFonts w:eastAsia="Calibri"/>
          <w:color w:val="000000"/>
          <w:lang w:val="en-US" w:eastAsia="en-US"/>
        </w:rPr>
      </w:pPr>
    </w:p>
    <w:p w14:paraId="39D2AFBC" w14:textId="77777777" w:rsidR="003E2A99" w:rsidRPr="003E2A99" w:rsidRDefault="003E2A99" w:rsidP="003E2A99">
      <w:pPr>
        <w:autoSpaceDE w:val="0"/>
        <w:autoSpaceDN w:val="0"/>
        <w:adjustRightInd w:val="0"/>
        <w:spacing w:line="360" w:lineRule="auto"/>
        <w:jc w:val="both"/>
        <w:rPr>
          <w:rFonts w:eastAsia="Calibri"/>
          <w:color w:val="000000"/>
          <w:lang w:val="en-US" w:eastAsia="en-US"/>
        </w:rPr>
      </w:pPr>
    </w:p>
    <w:p w14:paraId="62AC9011" w14:textId="77777777" w:rsidR="003E2A99" w:rsidRPr="003E2A99" w:rsidRDefault="003E2A99" w:rsidP="003E2A99">
      <w:pPr>
        <w:autoSpaceDE w:val="0"/>
        <w:autoSpaceDN w:val="0"/>
        <w:adjustRightInd w:val="0"/>
        <w:spacing w:line="360" w:lineRule="auto"/>
        <w:jc w:val="both"/>
        <w:rPr>
          <w:rFonts w:eastAsia="Calibri"/>
          <w:color w:val="000000"/>
          <w:lang w:val="es-CU" w:eastAsia="en-US"/>
        </w:rPr>
      </w:pPr>
      <w:r w:rsidRPr="003E2A99">
        <w:rPr>
          <w:rFonts w:eastAsia="Calibri"/>
          <w:color w:val="000000"/>
          <w:lang w:val="es-CU" w:eastAsia="en-US"/>
        </w:rPr>
        <w:t>Recibido: 07/02/2022</w:t>
      </w:r>
    </w:p>
    <w:p w14:paraId="111FD50A" w14:textId="77777777" w:rsidR="003E2A99" w:rsidRPr="003E2A99" w:rsidRDefault="003E2A99" w:rsidP="003E2A99">
      <w:pPr>
        <w:autoSpaceDE w:val="0"/>
        <w:autoSpaceDN w:val="0"/>
        <w:adjustRightInd w:val="0"/>
        <w:spacing w:line="360" w:lineRule="auto"/>
        <w:jc w:val="both"/>
        <w:rPr>
          <w:rFonts w:eastAsia="Calibri"/>
          <w:color w:val="000000"/>
          <w:lang w:val="es-CU" w:eastAsia="en-US"/>
        </w:rPr>
      </w:pPr>
      <w:r w:rsidRPr="003E2A99">
        <w:rPr>
          <w:rFonts w:eastAsia="Calibri"/>
          <w:color w:val="000000"/>
          <w:lang w:val="es-CU" w:eastAsia="en-US"/>
        </w:rPr>
        <w:t>Aprobado: 24/05/2022</w:t>
      </w:r>
    </w:p>
    <w:p w14:paraId="0D3C9396" w14:textId="77777777" w:rsidR="003E2A99" w:rsidRPr="003E2A99" w:rsidRDefault="003E2A99" w:rsidP="003E2A99">
      <w:pPr>
        <w:autoSpaceDE w:val="0"/>
        <w:autoSpaceDN w:val="0"/>
        <w:adjustRightInd w:val="0"/>
        <w:spacing w:line="360" w:lineRule="auto"/>
        <w:jc w:val="center"/>
        <w:rPr>
          <w:rFonts w:eastAsia="Calibri"/>
          <w:b/>
          <w:color w:val="000000"/>
          <w:sz w:val="32"/>
          <w:szCs w:val="32"/>
          <w:lang w:val="es-ES" w:eastAsia="en-US"/>
        </w:rPr>
      </w:pPr>
    </w:p>
    <w:p w14:paraId="67F6A8BF" w14:textId="77777777" w:rsidR="003E2A99" w:rsidRPr="003E2A99" w:rsidRDefault="003E2A99" w:rsidP="003E2A99">
      <w:pPr>
        <w:autoSpaceDE w:val="0"/>
        <w:autoSpaceDN w:val="0"/>
        <w:adjustRightInd w:val="0"/>
        <w:spacing w:line="360" w:lineRule="auto"/>
        <w:jc w:val="center"/>
        <w:rPr>
          <w:rFonts w:eastAsia="Calibri"/>
          <w:b/>
          <w:color w:val="000000"/>
          <w:sz w:val="32"/>
          <w:szCs w:val="32"/>
          <w:lang w:val="es-ES" w:eastAsia="en-US"/>
        </w:rPr>
      </w:pPr>
    </w:p>
    <w:p w14:paraId="7CB49D9F" w14:textId="77777777" w:rsidR="003E2A99" w:rsidRPr="003E2A99" w:rsidRDefault="003E2A99" w:rsidP="003E2A99">
      <w:pPr>
        <w:autoSpaceDE w:val="0"/>
        <w:autoSpaceDN w:val="0"/>
        <w:adjustRightInd w:val="0"/>
        <w:spacing w:line="360" w:lineRule="auto"/>
        <w:jc w:val="center"/>
        <w:rPr>
          <w:rFonts w:eastAsia="Calibri"/>
          <w:b/>
          <w:color w:val="000000"/>
          <w:sz w:val="32"/>
          <w:szCs w:val="32"/>
          <w:lang w:val="es-ES" w:eastAsia="en-US"/>
        </w:rPr>
      </w:pPr>
      <w:r w:rsidRPr="003E2A99">
        <w:rPr>
          <w:rFonts w:eastAsia="Calibri"/>
          <w:b/>
          <w:color w:val="000000"/>
          <w:sz w:val="32"/>
          <w:szCs w:val="32"/>
          <w:lang w:val="es-ES" w:eastAsia="en-US"/>
        </w:rPr>
        <w:t>INTRODUCCIÓN</w:t>
      </w:r>
    </w:p>
    <w:p w14:paraId="380FCEBA" w14:textId="77777777" w:rsidR="003E2A99" w:rsidRPr="003E2A99" w:rsidRDefault="003E2A99" w:rsidP="003E2A99">
      <w:pPr>
        <w:autoSpaceDE w:val="0"/>
        <w:autoSpaceDN w:val="0"/>
        <w:adjustRightInd w:val="0"/>
        <w:spacing w:line="360" w:lineRule="auto"/>
        <w:jc w:val="both"/>
        <w:rPr>
          <w:rFonts w:eastAsia="Calibri"/>
          <w:color w:val="000000"/>
          <w:lang w:val="es-ES" w:eastAsia="en-US"/>
        </w:rPr>
      </w:pPr>
      <w:r w:rsidRPr="003E2A99">
        <w:rPr>
          <w:rFonts w:eastAsia="Calibri"/>
          <w:color w:val="000000"/>
          <w:lang w:val="es-ES" w:eastAsia="en-US"/>
        </w:rPr>
        <w:t xml:space="preserve">La fractura de huesos largos es común; la de tibia presenta una elevada </w:t>
      </w:r>
      <w:proofErr w:type="gramStart"/>
      <w:r w:rsidRPr="003E2A99">
        <w:rPr>
          <w:rFonts w:eastAsia="Calibri"/>
          <w:color w:val="000000"/>
          <w:lang w:val="es-ES" w:eastAsia="en-US"/>
        </w:rPr>
        <w:t>incidencia.</w:t>
      </w:r>
      <w:r w:rsidRPr="003E2A99">
        <w:rPr>
          <w:rFonts w:eastAsia="Calibri"/>
          <w:vertAlign w:val="superscript"/>
          <w:lang w:val="es-ES" w:eastAsia="en-US"/>
        </w:rPr>
        <w:t>(</w:t>
      </w:r>
      <w:proofErr w:type="gramEnd"/>
      <w:r w:rsidRPr="003E2A99">
        <w:rPr>
          <w:rFonts w:eastAsia="Calibri"/>
          <w:vertAlign w:val="superscript"/>
          <w:lang w:val="es-ES" w:eastAsia="en-US"/>
        </w:rPr>
        <w:t>1)</w:t>
      </w:r>
      <w:r w:rsidRPr="003E2A99">
        <w:rPr>
          <w:rFonts w:eastAsia="Calibri"/>
          <w:lang w:val="es-ES" w:eastAsia="en-US"/>
        </w:rPr>
        <w:t xml:space="preserve"> Se </w:t>
      </w:r>
      <w:r w:rsidRPr="003E2A99">
        <w:rPr>
          <w:rFonts w:eastAsia="Calibri"/>
          <w:color w:val="000000"/>
          <w:lang w:val="es-ES" w:eastAsia="en-US"/>
        </w:rPr>
        <w:t xml:space="preserve">ha estimado que hay 492 000 nuevas fracturas cada año, con una prevalencia de 100 000 casos sin consolidar. </w:t>
      </w:r>
    </w:p>
    <w:p w14:paraId="517A9A0C" w14:textId="77777777" w:rsidR="003E2A99" w:rsidRPr="003E2A99" w:rsidRDefault="003E2A99" w:rsidP="003E2A99">
      <w:pPr>
        <w:autoSpaceDE w:val="0"/>
        <w:autoSpaceDN w:val="0"/>
        <w:adjustRightInd w:val="0"/>
        <w:spacing w:line="360" w:lineRule="auto"/>
        <w:jc w:val="both"/>
        <w:rPr>
          <w:rFonts w:eastAsia="Calibri"/>
          <w:vertAlign w:val="superscript"/>
          <w:lang w:val="es-ES" w:eastAsia="en-US"/>
        </w:rPr>
      </w:pPr>
      <w:r w:rsidRPr="003E2A99">
        <w:rPr>
          <w:rFonts w:eastAsia="Calibri"/>
          <w:color w:val="000000"/>
          <w:lang w:val="es-ES" w:eastAsia="en-US"/>
        </w:rPr>
        <w:t xml:space="preserve">Las fracturas abiertas son la comunicación del foco de fractura con el exterior y tienen 3 factores de riesgo fundamentales: alta posibilidad de contaminación, gran daño de tejidos blandos y hueso, y dificultad para el tratamiento, tanto conservador como quirúrgico a causa del daño óseo y de partes blandas asociadas que conlleva una alta incidencia de </w:t>
      </w:r>
      <w:proofErr w:type="gramStart"/>
      <w:r w:rsidRPr="003E2A99">
        <w:rPr>
          <w:rFonts w:eastAsia="Calibri"/>
          <w:color w:val="000000"/>
          <w:lang w:val="es-ES" w:eastAsia="en-US"/>
        </w:rPr>
        <w:t>complicaciones.</w:t>
      </w:r>
      <w:r w:rsidRPr="003E2A99">
        <w:rPr>
          <w:rFonts w:eastAsia="Calibri"/>
          <w:vertAlign w:val="superscript"/>
          <w:lang w:val="es-ES" w:eastAsia="en-US"/>
        </w:rPr>
        <w:t>(</w:t>
      </w:r>
      <w:proofErr w:type="gramEnd"/>
      <w:r w:rsidRPr="003E2A99">
        <w:rPr>
          <w:rFonts w:eastAsia="Calibri"/>
          <w:vertAlign w:val="superscript"/>
          <w:lang w:val="es-ES" w:eastAsia="en-US"/>
        </w:rPr>
        <w:t>1,2,3)</w:t>
      </w:r>
    </w:p>
    <w:p w14:paraId="6774AE73" w14:textId="77777777" w:rsidR="003E2A99" w:rsidRPr="003E2A99" w:rsidRDefault="003E2A99" w:rsidP="003E2A99">
      <w:pPr>
        <w:spacing w:line="360" w:lineRule="auto"/>
        <w:jc w:val="both"/>
        <w:rPr>
          <w:rFonts w:eastAsia="Calibri"/>
          <w:bCs/>
          <w:lang w:val="es-ES" w:eastAsia="en-US"/>
        </w:rPr>
      </w:pPr>
      <w:r w:rsidRPr="003E2A99">
        <w:rPr>
          <w:rFonts w:eastAsia="Calibri"/>
          <w:bCs/>
          <w:lang w:val="es-ES" w:eastAsia="en-US"/>
        </w:rPr>
        <w:t xml:space="preserve">En la actualidad, a nivel mundial, la fractura abierta de tibia constituye una causa importante en la búsqueda de asistencia médica de urgencias. Los cirujanos ortopédicos deben estar familiarizados con el tratamiento de esta enfermedad, debido a las complicaciones potenciales que pueden llegar a la amputación de la </w:t>
      </w:r>
      <w:proofErr w:type="gramStart"/>
      <w:r w:rsidRPr="003E2A99">
        <w:rPr>
          <w:rFonts w:eastAsia="Calibri"/>
          <w:bCs/>
          <w:lang w:val="es-ES" w:eastAsia="en-US"/>
        </w:rPr>
        <w:t>extremidad.</w:t>
      </w:r>
      <w:r w:rsidRPr="003E2A99">
        <w:rPr>
          <w:rFonts w:eastAsia="Calibri"/>
          <w:bCs/>
          <w:vertAlign w:val="superscript"/>
          <w:lang w:val="es-ES" w:eastAsia="en-US"/>
        </w:rPr>
        <w:t>(</w:t>
      </w:r>
      <w:proofErr w:type="gramEnd"/>
      <w:r w:rsidRPr="003E2A99">
        <w:rPr>
          <w:rFonts w:eastAsia="Calibri"/>
          <w:bCs/>
          <w:vertAlign w:val="superscript"/>
          <w:lang w:val="es-ES" w:eastAsia="en-US"/>
        </w:rPr>
        <w:t>2)</w:t>
      </w:r>
    </w:p>
    <w:p w14:paraId="025567CB" w14:textId="77777777" w:rsidR="003E2A99" w:rsidRPr="003E2A99" w:rsidRDefault="003E2A99" w:rsidP="003E2A99">
      <w:pPr>
        <w:spacing w:line="360" w:lineRule="auto"/>
        <w:jc w:val="both"/>
        <w:rPr>
          <w:rFonts w:eastAsia="Calibri"/>
          <w:bCs/>
          <w:lang w:val="es-ES" w:eastAsia="en-US"/>
        </w:rPr>
      </w:pPr>
      <w:r w:rsidRPr="003E2A99">
        <w:rPr>
          <w:rFonts w:eastAsia="Calibri"/>
          <w:lang w:val="es-ES" w:eastAsia="en-US"/>
        </w:rPr>
        <w:t xml:space="preserve">Al tratar a </w:t>
      </w:r>
      <w:proofErr w:type="gramStart"/>
      <w:r w:rsidRPr="003E2A99">
        <w:rPr>
          <w:rFonts w:eastAsia="Calibri"/>
          <w:lang w:val="es-ES" w:eastAsia="en-US"/>
        </w:rPr>
        <w:t>un pacientes</w:t>
      </w:r>
      <w:proofErr w:type="gramEnd"/>
      <w:r w:rsidRPr="003E2A99">
        <w:rPr>
          <w:rFonts w:eastAsia="Calibri"/>
          <w:lang w:val="es-ES" w:eastAsia="en-US"/>
        </w:rPr>
        <w:t xml:space="preserve"> con fractura expuesta, el cirujano tiene como objetivo prevenir la infección, promover la consolidación de la fractura y restablecer la función. Todos los pacientes que la presentan, requieren estabilización inicial, profilaxis antitetánica, tratamiento con antibióticos sistémicos, desbridamiento quirúrgico e irrigaciones copiosas urgentes, estabilización de la fractura, cierre oportuno de la herida, rehabilitación completa y seguimiento </w:t>
      </w:r>
      <w:proofErr w:type="gramStart"/>
      <w:r w:rsidRPr="003E2A99">
        <w:rPr>
          <w:rFonts w:eastAsia="Calibri"/>
          <w:lang w:val="es-ES" w:eastAsia="en-US"/>
        </w:rPr>
        <w:t>adecuado.</w:t>
      </w:r>
      <w:r w:rsidRPr="003E2A99">
        <w:rPr>
          <w:rFonts w:eastAsia="Calibri"/>
          <w:vertAlign w:val="superscript"/>
          <w:lang w:val="es-ES" w:eastAsia="en-US"/>
        </w:rPr>
        <w:t>(</w:t>
      </w:r>
      <w:proofErr w:type="gramEnd"/>
      <w:r w:rsidRPr="003E2A99">
        <w:rPr>
          <w:rFonts w:eastAsia="Calibri"/>
          <w:vertAlign w:val="superscript"/>
          <w:lang w:val="es-ES" w:eastAsia="en-US"/>
        </w:rPr>
        <w:t>4,5)</w:t>
      </w:r>
    </w:p>
    <w:p w14:paraId="217B8D72" w14:textId="77777777" w:rsidR="003E2A99" w:rsidRPr="003E2A99" w:rsidRDefault="003E2A99" w:rsidP="003E2A99">
      <w:pPr>
        <w:spacing w:line="360" w:lineRule="auto"/>
        <w:jc w:val="both"/>
        <w:rPr>
          <w:rFonts w:eastAsia="Calibri"/>
          <w:bCs/>
          <w:vertAlign w:val="superscript"/>
          <w:lang w:val="es-ES" w:eastAsia="en-US"/>
        </w:rPr>
      </w:pPr>
      <w:r w:rsidRPr="003E2A99">
        <w:rPr>
          <w:rFonts w:eastAsia="Calibri"/>
          <w:bCs/>
          <w:lang w:val="es-ES" w:eastAsia="en-US"/>
        </w:rPr>
        <w:t xml:space="preserve">Un elemento importante en el tratamiento de enfermos con fractura abierta de tibia, es el hecho de que más de la mitad presentan alguna lesión asociada, por tanto, deben ser considerados dentro del grupo de politraumatizados y desde el inicio, se realiza una valoración integral, empezando por los aspectos </w:t>
      </w:r>
      <w:proofErr w:type="gramStart"/>
      <w:r w:rsidRPr="003E2A99">
        <w:rPr>
          <w:rFonts w:eastAsia="Calibri"/>
          <w:bCs/>
          <w:lang w:val="es-ES" w:eastAsia="en-US"/>
        </w:rPr>
        <w:t>vitales.</w:t>
      </w:r>
      <w:r w:rsidRPr="003E2A99">
        <w:rPr>
          <w:rFonts w:eastAsia="Calibri"/>
          <w:bCs/>
          <w:vertAlign w:val="superscript"/>
          <w:lang w:val="es-ES" w:eastAsia="en-US"/>
        </w:rPr>
        <w:t>(</w:t>
      </w:r>
      <w:proofErr w:type="gramEnd"/>
      <w:r w:rsidRPr="003E2A99">
        <w:rPr>
          <w:rFonts w:eastAsia="Calibri"/>
          <w:bCs/>
          <w:vertAlign w:val="superscript"/>
          <w:lang w:val="es-ES" w:eastAsia="en-US"/>
        </w:rPr>
        <w:t>6,7,8)</w:t>
      </w:r>
    </w:p>
    <w:p w14:paraId="1BEE18D3" w14:textId="77777777" w:rsidR="003E2A99" w:rsidRPr="003E2A99" w:rsidRDefault="003E2A99" w:rsidP="003E2A99">
      <w:pPr>
        <w:spacing w:line="360" w:lineRule="auto"/>
        <w:jc w:val="both"/>
        <w:rPr>
          <w:rFonts w:eastAsia="Calibri"/>
          <w:bCs/>
          <w:vertAlign w:val="superscript"/>
          <w:lang w:val="es-ES" w:eastAsia="en-US"/>
        </w:rPr>
      </w:pPr>
      <w:r w:rsidRPr="003E2A99">
        <w:rPr>
          <w:rFonts w:eastAsia="Calibri"/>
          <w:bCs/>
          <w:lang w:val="es-ES" w:eastAsia="en-US"/>
        </w:rPr>
        <w:t xml:space="preserve">El tratamiento óptimo no está definido. Hay una serie de métodos para estabilizar la fractura expuesta, tales como a colocación de férulas, inmovilización con yeso, tracción, placas, tonillos, fijación externa y </w:t>
      </w:r>
      <w:r w:rsidRPr="003E2A99">
        <w:rPr>
          <w:rFonts w:eastAsia="Calibri"/>
          <w:bCs/>
          <w:lang w:val="es-ES" w:eastAsia="en-US"/>
        </w:rPr>
        <w:lastRenderedPageBreak/>
        <w:t xml:space="preserve">enclavijado intramedular. En cualquier situación, la opción depende de una serie de factores como el hueso comprometido, la localización de la herida y las condiciones del </w:t>
      </w:r>
      <w:proofErr w:type="gramStart"/>
      <w:r w:rsidRPr="003E2A99">
        <w:rPr>
          <w:rFonts w:eastAsia="Calibri"/>
          <w:bCs/>
          <w:lang w:val="es-ES" w:eastAsia="en-US"/>
        </w:rPr>
        <w:t>paciente.</w:t>
      </w:r>
      <w:r w:rsidRPr="003E2A99">
        <w:rPr>
          <w:rFonts w:eastAsia="Calibri"/>
          <w:bCs/>
          <w:vertAlign w:val="superscript"/>
          <w:lang w:val="es-ES" w:eastAsia="en-US"/>
        </w:rPr>
        <w:t>(</w:t>
      </w:r>
      <w:proofErr w:type="gramEnd"/>
      <w:r w:rsidRPr="003E2A99">
        <w:rPr>
          <w:rFonts w:eastAsia="Calibri"/>
          <w:bCs/>
          <w:vertAlign w:val="superscript"/>
          <w:lang w:val="es-ES" w:eastAsia="en-US"/>
        </w:rPr>
        <w:t>9,10)</w:t>
      </w:r>
    </w:p>
    <w:p w14:paraId="183B08EF" w14:textId="77777777" w:rsidR="003E2A99" w:rsidRPr="003E2A99" w:rsidRDefault="003E2A99" w:rsidP="003E2A99">
      <w:pPr>
        <w:spacing w:line="360" w:lineRule="auto"/>
        <w:jc w:val="both"/>
        <w:rPr>
          <w:rFonts w:eastAsia="Calibri"/>
          <w:bCs/>
          <w:lang w:val="es-ES" w:eastAsia="en-US"/>
        </w:rPr>
      </w:pPr>
      <w:r w:rsidRPr="003E2A99">
        <w:rPr>
          <w:rFonts w:eastAsia="Calibri"/>
          <w:bCs/>
          <w:lang w:val="es-ES" w:eastAsia="en-US"/>
        </w:rPr>
        <w:t>La fijación externa es el método de tratamiento de multipropósito;</w:t>
      </w:r>
      <w:r w:rsidRPr="003E2A99">
        <w:rPr>
          <w:rFonts w:eastAsia="Calibri"/>
          <w:bCs/>
          <w:vertAlign w:val="superscript"/>
          <w:lang w:val="es-ES" w:eastAsia="en-US"/>
        </w:rPr>
        <w:t>(3)</w:t>
      </w:r>
      <w:r w:rsidRPr="003E2A99">
        <w:rPr>
          <w:rFonts w:eastAsia="Calibri"/>
          <w:bCs/>
          <w:lang w:val="es-ES" w:eastAsia="en-US"/>
        </w:rPr>
        <w:t xml:space="preserve"> en esto radica su versatilidad. Cuando el cirujano ortopédico lo tiene disponible y domina sus principios e indicaciones, cuenta con la herramienta adecuada para enfrentar situaciones que antes de su aparición, no podía resolver satisfactoriamente.</w:t>
      </w:r>
    </w:p>
    <w:p w14:paraId="2BD267BB" w14:textId="77777777" w:rsidR="003E2A99" w:rsidRPr="003E2A99" w:rsidRDefault="003E2A99" w:rsidP="003E2A99">
      <w:pPr>
        <w:spacing w:line="360" w:lineRule="auto"/>
        <w:jc w:val="both"/>
        <w:rPr>
          <w:rFonts w:eastAsia="Calibri"/>
          <w:bCs/>
          <w:lang w:val="es-ES" w:eastAsia="en-US"/>
        </w:rPr>
      </w:pPr>
      <w:r w:rsidRPr="003E2A99">
        <w:rPr>
          <w:rFonts w:eastAsia="Calibri"/>
          <w:bCs/>
          <w:lang w:val="es-ES" w:eastAsia="en-US"/>
        </w:rPr>
        <w:t>En la actualidad existen varios tipos de fijadores externos, que se han creado según el ingenio y las necesidades. En Cuba, los más usados y de mayor alcance para los ortopédicos, son los fijadores externos modelos Ilizarov y RALCA®.</w:t>
      </w:r>
    </w:p>
    <w:p w14:paraId="41E23F89" w14:textId="77777777" w:rsidR="003E2A99" w:rsidRPr="003E2A99" w:rsidRDefault="003E2A99" w:rsidP="003E2A99">
      <w:pPr>
        <w:spacing w:line="360" w:lineRule="auto"/>
        <w:jc w:val="both"/>
        <w:rPr>
          <w:rFonts w:eastAsia="Calibri"/>
          <w:bCs/>
          <w:lang w:val="es-ES" w:eastAsia="en-US"/>
        </w:rPr>
      </w:pPr>
      <w:r w:rsidRPr="003E2A99">
        <w:rPr>
          <w:rFonts w:eastAsia="Calibri"/>
          <w:bCs/>
          <w:lang w:val="es-ES" w:eastAsia="en-US"/>
        </w:rPr>
        <w:t xml:space="preserve">El Servicio de Ortopedia y Traumatología del Hospital Militar “Dr. Joaquín Castillo </w:t>
      </w:r>
      <w:proofErr w:type="spellStart"/>
      <w:r w:rsidRPr="003E2A99">
        <w:rPr>
          <w:rFonts w:eastAsia="Calibri"/>
          <w:bCs/>
          <w:lang w:val="es-ES" w:eastAsia="en-US"/>
        </w:rPr>
        <w:t>Duany</w:t>
      </w:r>
      <w:proofErr w:type="spellEnd"/>
      <w:r w:rsidRPr="003E2A99">
        <w:rPr>
          <w:rFonts w:eastAsia="Calibri"/>
          <w:bCs/>
          <w:lang w:val="es-ES" w:eastAsia="en-US"/>
        </w:rPr>
        <w:t xml:space="preserve">”, institución pionera en el uso de la fijación externa, no cuenta con estudios previos sobre el uso de esta modalidad quirúrgica en el tratamiento de las fracturas abiertas de tibia. </w:t>
      </w:r>
    </w:p>
    <w:p w14:paraId="1FAC3301" w14:textId="77777777" w:rsidR="003E2A99" w:rsidRPr="003E2A99" w:rsidRDefault="003E2A99" w:rsidP="003E2A99">
      <w:pPr>
        <w:spacing w:line="360" w:lineRule="auto"/>
        <w:jc w:val="both"/>
        <w:rPr>
          <w:rFonts w:eastAsia="Calibri"/>
          <w:lang w:val="es-ES" w:eastAsia="en-US"/>
        </w:rPr>
      </w:pPr>
      <w:r w:rsidRPr="003E2A99">
        <w:rPr>
          <w:rFonts w:eastAsia="Calibri"/>
          <w:lang w:val="es-ES" w:eastAsia="en-US"/>
        </w:rPr>
        <w:t>El objetivo de este estudio es determinar las características clínicas y epidemiológicas de los pacientes con fractura abierta de tibia tratados con fijación externa.</w:t>
      </w:r>
    </w:p>
    <w:p w14:paraId="2C2D64BD" w14:textId="77777777" w:rsidR="003E2A99" w:rsidRPr="003E2A99" w:rsidRDefault="003E2A99" w:rsidP="003E2A99">
      <w:pPr>
        <w:autoSpaceDE w:val="0"/>
        <w:autoSpaceDN w:val="0"/>
        <w:adjustRightInd w:val="0"/>
        <w:spacing w:line="360" w:lineRule="auto"/>
        <w:jc w:val="both"/>
        <w:rPr>
          <w:rFonts w:eastAsia="Calibri"/>
          <w:b/>
          <w:color w:val="000000"/>
          <w:lang w:val="es-ES" w:eastAsia="en-US"/>
        </w:rPr>
      </w:pPr>
    </w:p>
    <w:p w14:paraId="647E630D" w14:textId="77777777" w:rsidR="003E2A99" w:rsidRPr="003E2A99" w:rsidRDefault="003E2A99" w:rsidP="003E2A99">
      <w:pPr>
        <w:autoSpaceDE w:val="0"/>
        <w:autoSpaceDN w:val="0"/>
        <w:adjustRightInd w:val="0"/>
        <w:spacing w:line="360" w:lineRule="auto"/>
        <w:jc w:val="both"/>
        <w:rPr>
          <w:rFonts w:eastAsia="Calibri"/>
          <w:b/>
          <w:color w:val="000000"/>
          <w:lang w:val="es-ES" w:eastAsia="en-US"/>
        </w:rPr>
      </w:pPr>
    </w:p>
    <w:p w14:paraId="5FAAD2FF" w14:textId="77777777" w:rsidR="003E2A99" w:rsidRPr="003E2A99" w:rsidRDefault="003E2A99" w:rsidP="003E2A99">
      <w:pPr>
        <w:spacing w:line="360" w:lineRule="auto"/>
        <w:jc w:val="center"/>
        <w:rPr>
          <w:rFonts w:eastAsia="Calibri"/>
          <w:b/>
          <w:sz w:val="32"/>
          <w:szCs w:val="32"/>
          <w:lang w:val="es-ES" w:eastAsia="en-US"/>
        </w:rPr>
      </w:pPr>
      <w:r w:rsidRPr="003E2A99">
        <w:rPr>
          <w:rFonts w:eastAsia="Calibri"/>
          <w:b/>
          <w:sz w:val="32"/>
          <w:szCs w:val="32"/>
          <w:lang w:val="es-ES" w:eastAsia="en-US"/>
        </w:rPr>
        <w:t>MÉTODOS</w:t>
      </w:r>
    </w:p>
    <w:p w14:paraId="376D6258" w14:textId="77777777" w:rsidR="003E2A99" w:rsidRPr="003E2A99" w:rsidRDefault="003E2A99" w:rsidP="003E2A99">
      <w:pPr>
        <w:spacing w:line="360" w:lineRule="auto"/>
        <w:jc w:val="both"/>
        <w:rPr>
          <w:rFonts w:eastAsia="Calibri"/>
          <w:b/>
          <w:lang w:val="es-ES" w:eastAsia="en-US"/>
        </w:rPr>
      </w:pPr>
      <w:r w:rsidRPr="003E2A99">
        <w:rPr>
          <w:rFonts w:eastAsia="Calibri"/>
          <w:lang w:val="es-ES" w:eastAsia="en-US"/>
        </w:rPr>
        <w:t xml:space="preserve">Se realizó un estudio descriptivo transversal, en pacientes con fractura abierta de tibia atendidos en el Hospital Militar “Dr. Joaquín Castillo </w:t>
      </w:r>
      <w:proofErr w:type="spellStart"/>
      <w:r w:rsidRPr="003E2A99">
        <w:rPr>
          <w:rFonts w:eastAsia="Calibri"/>
          <w:lang w:val="es-ES" w:eastAsia="en-US"/>
        </w:rPr>
        <w:t>Duany</w:t>
      </w:r>
      <w:proofErr w:type="spellEnd"/>
      <w:r w:rsidRPr="003E2A99">
        <w:rPr>
          <w:rFonts w:eastAsia="Calibri"/>
          <w:lang w:val="es-ES" w:eastAsia="en-US"/>
        </w:rPr>
        <w:t xml:space="preserve">”, desde octubre del 2017 a junio del 2021. El universo estuvo constituido por 134 pacientes tratados en el periodo. Se escogieron los 64 pacientes con diagnóstico de fractura abierta de tibia, tratados con fijación externa. </w:t>
      </w:r>
    </w:p>
    <w:p w14:paraId="7A629E69" w14:textId="77777777" w:rsidR="003E2A99" w:rsidRPr="003E2A99" w:rsidRDefault="003E2A99" w:rsidP="003E2A99">
      <w:pPr>
        <w:spacing w:line="360" w:lineRule="auto"/>
        <w:jc w:val="both"/>
        <w:rPr>
          <w:rFonts w:eastAsia="Calibri"/>
          <w:lang w:val="es-ES" w:eastAsia="en-US"/>
        </w:rPr>
      </w:pPr>
      <w:r w:rsidRPr="003E2A99">
        <w:rPr>
          <w:rFonts w:eastAsia="Calibri"/>
          <w:lang w:val="es-ES" w:eastAsia="en-US"/>
        </w:rPr>
        <w:t>Las variables empleadas en el estudio fueron:</w:t>
      </w:r>
    </w:p>
    <w:p w14:paraId="3464172F" w14:textId="77777777" w:rsidR="003E2A99" w:rsidRPr="003E2A99" w:rsidRDefault="003E2A99" w:rsidP="003E2A99">
      <w:pPr>
        <w:spacing w:line="360" w:lineRule="auto"/>
        <w:jc w:val="both"/>
        <w:rPr>
          <w:rFonts w:eastAsia="Calibri"/>
          <w:lang w:val="es-ES" w:eastAsia="en-US"/>
        </w:rPr>
      </w:pPr>
    </w:p>
    <w:p w14:paraId="7EDA356B" w14:textId="77777777" w:rsidR="003E2A99" w:rsidRPr="003E2A99" w:rsidRDefault="003E2A99" w:rsidP="003E2A99">
      <w:pPr>
        <w:numPr>
          <w:ilvl w:val="0"/>
          <w:numId w:val="2"/>
        </w:numPr>
        <w:spacing w:after="160" w:line="360" w:lineRule="auto"/>
        <w:contextualSpacing/>
        <w:jc w:val="both"/>
        <w:rPr>
          <w:rFonts w:eastAsia="Calibri"/>
          <w:lang w:val="es-ES" w:eastAsia="en-US"/>
        </w:rPr>
      </w:pPr>
      <w:r w:rsidRPr="003E2A99">
        <w:rPr>
          <w:rFonts w:eastAsia="Calibri"/>
          <w:lang w:val="es-ES" w:eastAsia="en-US"/>
        </w:rPr>
        <w:t>Sexo.</w:t>
      </w:r>
    </w:p>
    <w:p w14:paraId="144057CA" w14:textId="77777777" w:rsidR="003E2A99" w:rsidRPr="003E2A99" w:rsidRDefault="003E2A99" w:rsidP="003E2A99">
      <w:pPr>
        <w:numPr>
          <w:ilvl w:val="0"/>
          <w:numId w:val="2"/>
        </w:numPr>
        <w:spacing w:after="160" w:line="360" w:lineRule="auto"/>
        <w:contextualSpacing/>
        <w:jc w:val="both"/>
        <w:rPr>
          <w:rFonts w:eastAsia="Calibri"/>
          <w:lang w:val="es-ES" w:eastAsia="en-US"/>
        </w:rPr>
      </w:pPr>
      <w:r w:rsidRPr="003E2A99">
        <w:rPr>
          <w:rFonts w:eastAsia="Calibri"/>
          <w:lang w:val="es-ES" w:eastAsia="en-US"/>
        </w:rPr>
        <w:t>Edad: agrupada según años cumplidos en 18-27 años; 28-37 años y 38-47 años.</w:t>
      </w:r>
    </w:p>
    <w:p w14:paraId="03749510" w14:textId="77777777" w:rsidR="003E2A99" w:rsidRPr="003E2A99" w:rsidRDefault="003E2A99" w:rsidP="003E2A99">
      <w:pPr>
        <w:numPr>
          <w:ilvl w:val="0"/>
          <w:numId w:val="2"/>
        </w:numPr>
        <w:spacing w:after="160" w:line="360" w:lineRule="auto"/>
        <w:contextualSpacing/>
        <w:jc w:val="both"/>
        <w:rPr>
          <w:rFonts w:eastAsia="Calibri"/>
          <w:lang w:val="es-ES" w:eastAsia="en-US"/>
        </w:rPr>
      </w:pPr>
      <w:r w:rsidRPr="003E2A99">
        <w:rPr>
          <w:rFonts w:eastAsia="Calibri"/>
          <w:lang w:val="es-ES" w:eastAsia="en-US"/>
        </w:rPr>
        <w:t>Etiología: caída de altura, accidente de trabajo, accidente automovilístico.</w:t>
      </w:r>
    </w:p>
    <w:p w14:paraId="2A872E87" w14:textId="77777777" w:rsidR="003E2A99" w:rsidRPr="003E2A99" w:rsidRDefault="003E2A99" w:rsidP="003E2A99">
      <w:pPr>
        <w:numPr>
          <w:ilvl w:val="0"/>
          <w:numId w:val="2"/>
        </w:numPr>
        <w:spacing w:after="160" w:line="360" w:lineRule="auto"/>
        <w:contextualSpacing/>
        <w:jc w:val="both"/>
        <w:rPr>
          <w:rFonts w:eastAsia="Calibri"/>
          <w:lang w:val="es-ES" w:eastAsia="en-US"/>
        </w:rPr>
      </w:pPr>
      <w:r w:rsidRPr="003E2A99">
        <w:rPr>
          <w:rFonts w:eastAsia="Calibri"/>
          <w:lang w:val="es-ES" w:eastAsia="en-US"/>
        </w:rPr>
        <w:t>Localización de la fractura: tercio superior de la tibia, tercio medio y tercio inferior.</w:t>
      </w:r>
    </w:p>
    <w:p w14:paraId="1F10AEDC" w14:textId="77777777" w:rsidR="003E2A99" w:rsidRPr="003E2A99" w:rsidRDefault="003E2A99" w:rsidP="003E2A99">
      <w:pPr>
        <w:numPr>
          <w:ilvl w:val="0"/>
          <w:numId w:val="2"/>
        </w:numPr>
        <w:spacing w:after="160" w:line="360" w:lineRule="auto"/>
        <w:contextualSpacing/>
        <w:jc w:val="both"/>
        <w:rPr>
          <w:rFonts w:eastAsia="Calibri"/>
          <w:lang w:val="es-ES" w:eastAsia="en-US"/>
        </w:rPr>
      </w:pPr>
      <w:r w:rsidRPr="003E2A99">
        <w:rPr>
          <w:rFonts w:eastAsia="Calibri"/>
          <w:lang w:val="es-ES" w:eastAsia="en-US"/>
        </w:rPr>
        <w:lastRenderedPageBreak/>
        <w:t xml:space="preserve">Clasificación: se utilizó la clasificación de Gustilo y </w:t>
      </w:r>
      <w:proofErr w:type="gramStart"/>
      <w:r w:rsidRPr="003E2A99">
        <w:rPr>
          <w:rFonts w:eastAsia="Calibri"/>
          <w:lang w:val="es-ES" w:eastAsia="en-US"/>
        </w:rPr>
        <w:t>Anderson</w:t>
      </w:r>
      <w:r w:rsidRPr="003E2A99">
        <w:rPr>
          <w:rFonts w:eastAsia="Calibri"/>
          <w:vertAlign w:val="superscript"/>
          <w:lang w:val="es-ES" w:eastAsia="en-US"/>
        </w:rPr>
        <w:t>(</w:t>
      </w:r>
      <w:proofErr w:type="gramEnd"/>
      <w:r w:rsidRPr="003E2A99">
        <w:rPr>
          <w:rFonts w:eastAsia="Calibri"/>
          <w:vertAlign w:val="superscript"/>
          <w:lang w:val="es-ES" w:eastAsia="en-US"/>
        </w:rPr>
        <w:t>1,2)</w:t>
      </w:r>
      <w:r w:rsidRPr="003E2A99">
        <w:rPr>
          <w:rFonts w:eastAsia="Calibri"/>
          <w:lang w:val="es-ES" w:eastAsia="en-US"/>
        </w:rPr>
        <w:t xml:space="preserve"> (Tipo I, Tipo II y Tipo III con sus subtipos A, B y C).</w:t>
      </w:r>
    </w:p>
    <w:p w14:paraId="5E110224" w14:textId="77777777" w:rsidR="003E2A99" w:rsidRPr="003E2A99" w:rsidRDefault="003E2A99" w:rsidP="003E2A99">
      <w:pPr>
        <w:numPr>
          <w:ilvl w:val="0"/>
          <w:numId w:val="2"/>
        </w:numPr>
        <w:spacing w:after="160" w:line="360" w:lineRule="auto"/>
        <w:contextualSpacing/>
        <w:jc w:val="both"/>
        <w:rPr>
          <w:rFonts w:eastAsia="Calibri"/>
          <w:lang w:val="es-ES" w:eastAsia="en-US"/>
        </w:rPr>
      </w:pPr>
      <w:r w:rsidRPr="003E2A99">
        <w:rPr>
          <w:rFonts w:eastAsia="Calibri"/>
          <w:lang w:val="es-ES" w:eastAsia="en-US"/>
        </w:rPr>
        <w:t xml:space="preserve">Trazos de fractura: </w:t>
      </w:r>
      <w:proofErr w:type="spellStart"/>
      <w:r w:rsidRPr="003E2A99">
        <w:rPr>
          <w:rFonts w:eastAsia="Calibri"/>
          <w:lang w:val="es-ES" w:eastAsia="en-US"/>
        </w:rPr>
        <w:t>conminutiva</w:t>
      </w:r>
      <w:proofErr w:type="spellEnd"/>
      <w:r w:rsidRPr="003E2A99">
        <w:rPr>
          <w:rFonts w:eastAsia="Calibri"/>
          <w:lang w:val="es-ES" w:eastAsia="en-US"/>
        </w:rPr>
        <w:t xml:space="preserve">, transversa, oblicua, </w:t>
      </w:r>
      <w:proofErr w:type="spellStart"/>
      <w:r w:rsidRPr="003E2A99">
        <w:rPr>
          <w:rFonts w:eastAsia="Calibri"/>
          <w:lang w:val="es-ES" w:eastAsia="en-US"/>
        </w:rPr>
        <w:t>espiroidea</w:t>
      </w:r>
      <w:proofErr w:type="spellEnd"/>
      <w:r w:rsidRPr="003E2A99">
        <w:rPr>
          <w:rFonts w:eastAsia="Calibri"/>
          <w:lang w:val="es-ES" w:eastAsia="en-US"/>
        </w:rPr>
        <w:t xml:space="preserve"> y bifocal.</w:t>
      </w:r>
    </w:p>
    <w:p w14:paraId="4D8BFF36" w14:textId="77777777" w:rsidR="003E2A99" w:rsidRPr="003E2A99" w:rsidRDefault="003E2A99" w:rsidP="003E2A99">
      <w:pPr>
        <w:numPr>
          <w:ilvl w:val="0"/>
          <w:numId w:val="2"/>
        </w:numPr>
        <w:spacing w:after="160" w:line="360" w:lineRule="auto"/>
        <w:contextualSpacing/>
        <w:jc w:val="both"/>
        <w:rPr>
          <w:rFonts w:eastAsia="Calibri"/>
          <w:lang w:val="es-ES" w:eastAsia="en-US"/>
        </w:rPr>
      </w:pPr>
      <w:r w:rsidRPr="003E2A99">
        <w:rPr>
          <w:rFonts w:eastAsia="Calibri"/>
          <w:lang w:val="es-ES" w:eastAsia="en-US"/>
        </w:rPr>
        <w:t>Tipo de fijador externo: modelo Ilizarov y modelo RALCA®.</w:t>
      </w:r>
    </w:p>
    <w:p w14:paraId="0ECA962F" w14:textId="77777777" w:rsidR="003E2A99" w:rsidRPr="003E2A99" w:rsidRDefault="003E2A99" w:rsidP="003E2A99">
      <w:pPr>
        <w:numPr>
          <w:ilvl w:val="0"/>
          <w:numId w:val="2"/>
        </w:numPr>
        <w:spacing w:after="160" w:line="360" w:lineRule="auto"/>
        <w:contextualSpacing/>
        <w:jc w:val="both"/>
        <w:rPr>
          <w:rFonts w:eastAsia="Calibri"/>
          <w:lang w:val="es-ES" w:eastAsia="en-US"/>
        </w:rPr>
      </w:pPr>
      <w:r w:rsidRPr="003E2A99">
        <w:rPr>
          <w:rFonts w:eastAsia="Calibri"/>
          <w:lang w:val="es-ES" w:eastAsia="en-US"/>
        </w:rPr>
        <w:t>Complicaciones locales: osteítis, osteomielitis, pseudoartrosis, retardo de la consolidación.</w:t>
      </w:r>
    </w:p>
    <w:p w14:paraId="0CF03B34" w14:textId="77777777" w:rsidR="003E2A99" w:rsidRPr="003E2A99" w:rsidRDefault="003E2A99" w:rsidP="003E2A99">
      <w:pPr>
        <w:autoSpaceDE w:val="0"/>
        <w:autoSpaceDN w:val="0"/>
        <w:adjustRightInd w:val="0"/>
        <w:spacing w:line="360" w:lineRule="auto"/>
        <w:jc w:val="both"/>
        <w:rPr>
          <w:rFonts w:eastAsia="Calibri"/>
          <w:color w:val="000000"/>
          <w:lang w:val="es-ES" w:eastAsia="en-US"/>
        </w:rPr>
      </w:pPr>
    </w:p>
    <w:p w14:paraId="771C0138" w14:textId="77777777" w:rsidR="003E2A99" w:rsidRPr="003E2A99" w:rsidRDefault="003E2A99" w:rsidP="003E2A99">
      <w:pPr>
        <w:autoSpaceDE w:val="0"/>
        <w:autoSpaceDN w:val="0"/>
        <w:adjustRightInd w:val="0"/>
        <w:spacing w:line="360" w:lineRule="auto"/>
        <w:jc w:val="both"/>
        <w:rPr>
          <w:rFonts w:eastAsia="Calibri"/>
          <w:color w:val="000000"/>
          <w:lang w:val="es-ES" w:eastAsia="en-US"/>
        </w:rPr>
      </w:pPr>
      <w:r w:rsidRPr="003E2A99">
        <w:rPr>
          <w:rFonts w:eastAsia="Calibri"/>
          <w:color w:val="000000"/>
          <w:lang w:val="es-ES" w:eastAsia="en-US"/>
        </w:rPr>
        <w:t xml:space="preserve">Los datos de las variables fueron extraídos de las historias clínicas, informes operatorios, hojas de anestesia, protocolos de necropsia y la base de datos del departamento de estadísticas del centro. Los resultados se analizaron en tablas de contingencias. Se usó el porcentaje como medida de resumen.  </w:t>
      </w:r>
    </w:p>
    <w:p w14:paraId="0867BE8D" w14:textId="77777777" w:rsidR="003E2A99" w:rsidRPr="003E2A99" w:rsidRDefault="003E2A99" w:rsidP="003E2A99">
      <w:pPr>
        <w:spacing w:line="360" w:lineRule="auto"/>
        <w:jc w:val="both"/>
        <w:rPr>
          <w:rFonts w:eastAsia="Calibri"/>
          <w:lang w:val="es-ES" w:eastAsia="en-US"/>
        </w:rPr>
      </w:pPr>
      <w:r w:rsidRPr="003E2A99">
        <w:rPr>
          <w:rFonts w:eastAsia="Calibri"/>
          <w:lang w:val="es-ES" w:eastAsia="en-US"/>
        </w:rPr>
        <w:t xml:space="preserve">La investigación fue aprobada por el Comité de Ética del Hospital Militar “Dr. Joaquín Castillo </w:t>
      </w:r>
      <w:proofErr w:type="spellStart"/>
      <w:r w:rsidRPr="003E2A99">
        <w:rPr>
          <w:rFonts w:eastAsia="Calibri"/>
          <w:lang w:val="es-ES" w:eastAsia="en-US"/>
        </w:rPr>
        <w:t>Duany</w:t>
      </w:r>
      <w:proofErr w:type="spellEnd"/>
      <w:r w:rsidRPr="003E2A99">
        <w:rPr>
          <w:rFonts w:eastAsia="Calibri"/>
          <w:lang w:val="es-ES" w:eastAsia="en-US"/>
        </w:rPr>
        <w:t xml:space="preserve">”. </w:t>
      </w:r>
    </w:p>
    <w:p w14:paraId="0F05EEC8" w14:textId="77777777" w:rsidR="003E2A99" w:rsidRPr="003E2A99" w:rsidRDefault="003E2A99" w:rsidP="003E2A99">
      <w:pPr>
        <w:spacing w:line="360" w:lineRule="auto"/>
        <w:jc w:val="center"/>
        <w:rPr>
          <w:rFonts w:eastAsia="Calibri"/>
          <w:b/>
          <w:sz w:val="32"/>
          <w:szCs w:val="32"/>
          <w:lang w:val="es-ES" w:eastAsia="en-US"/>
        </w:rPr>
      </w:pPr>
    </w:p>
    <w:p w14:paraId="71A6340A" w14:textId="77777777" w:rsidR="003E2A99" w:rsidRPr="003E2A99" w:rsidRDefault="003E2A99" w:rsidP="003E2A99">
      <w:pPr>
        <w:spacing w:line="360" w:lineRule="auto"/>
        <w:jc w:val="center"/>
        <w:rPr>
          <w:rFonts w:eastAsia="Calibri"/>
          <w:b/>
          <w:sz w:val="32"/>
          <w:szCs w:val="32"/>
          <w:lang w:val="es-ES" w:eastAsia="en-US"/>
        </w:rPr>
      </w:pPr>
    </w:p>
    <w:p w14:paraId="1027451E" w14:textId="77777777" w:rsidR="003E2A99" w:rsidRPr="003E2A99" w:rsidRDefault="003E2A99" w:rsidP="003E2A99">
      <w:pPr>
        <w:spacing w:line="360" w:lineRule="auto"/>
        <w:jc w:val="center"/>
        <w:rPr>
          <w:rFonts w:eastAsia="Calibri"/>
          <w:b/>
          <w:sz w:val="32"/>
          <w:szCs w:val="32"/>
          <w:lang w:val="es-ES" w:eastAsia="en-US"/>
        </w:rPr>
      </w:pPr>
      <w:r w:rsidRPr="003E2A99">
        <w:rPr>
          <w:rFonts w:eastAsia="Calibri"/>
          <w:b/>
          <w:sz w:val="32"/>
          <w:szCs w:val="32"/>
          <w:lang w:val="es-ES" w:eastAsia="en-US"/>
        </w:rPr>
        <w:t>RESULTADOS</w:t>
      </w:r>
    </w:p>
    <w:p w14:paraId="4D934F83" w14:textId="77777777" w:rsidR="003E2A99" w:rsidRPr="003E2A99" w:rsidRDefault="003E2A99" w:rsidP="003E2A99">
      <w:pPr>
        <w:spacing w:line="360" w:lineRule="auto"/>
        <w:jc w:val="both"/>
        <w:rPr>
          <w:rFonts w:eastAsia="Calibri"/>
          <w:bCs/>
          <w:iCs/>
          <w:lang w:val="es-ES" w:eastAsia="en-US"/>
        </w:rPr>
      </w:pPr>
      <w:r w:rsidRPr="003E2A99">
        <w:rPr>
          <w:rFonts w:eastAsia="Calibri"/>
          <w:bCs/>
          <w:iCs/>
          <w:lang w:val="es-ES" w:eastAsia="en-US"/>
        </w:rPr>
        <w:t>En la tabla 1 se muestra que primaron los pacientes de 28 a 37 años, que representa el 60,9 %; el sexo masculino tuvo 38 (59,4 %) en ese grupo de edad. En el sexo femenino predominaron las pacientes de 18 a 27 años con 2 pacientes (66,6 %).  De forma global el sexo masculino fue el más afectado con 61 pacientes (95,3 %).</w:t>
      </w:r>
    </w:p>
    <w:p w14:paraId="275E3699" w14:textId="77777777" w:rsidR="003E2A99" w:rsidRPr="003E2A99" w:rsidRDefault="003E2A99" w:rsidP="003E2A99">
      <w:pPr>
        <w:spacing w:line="360" w:lineRule="auto"/>
        <w:jc w:val="both"/>
        <w:rPr>
          <w:rFonts w:eastAsia="Calibri"/>
          <w:bCs/>
          <w:iCs/>
          <w:lang w:val="es-ES" w:eastAsia="en-US"/>
        </w:rPr>
      </w:pPr>
    </w:p>
    <w:p w14:paraId="64615589" w14:textId="77777777" w:rsidR="003E2A99" w:rsidRPr="003E2A99" w:rsidRDefault="003E2A99" w:rsidP="003E2A99">
      <w:pPr>
        <w:spacing w:line="360" w:lineRule="auto"/>
        <w:jc w:val="center"/>
        <w:rPr>
          <w:rFonts w:eastAsia="Calibri"/>
          <w:bCs/>
          <w:sz w:val="22"/>
          <w:szCs w:val="22"/>
          <w:lang w:val="es-ES" w:eastAsia="en-US"/>
        </w:rPr>
      </w:pPr>
      <w:r w:rsidRPr="003E2A99">
        <w:rPr>
          <w:rFonts w:eastAsia="Calibri"/>
          <w:b/>
          <w:bCs/>
          <w:sz w:val="22"/>
          <w:szCs w:val="22"/>
          <w:lang w:val="es-ES" w:eastAsia="en-US"/>
        </w:rPr>
        <w:t xml:space="preserve">Tabla 1 - </w:t>
      </w:r>
      <w:r w:rsidRPr="003E2A99">
        <w:rPr>
          <w:rFonts w:eastAsia="Calibri"/>
          <w:bCs/>
          <w:sz w:val="22"/>
          <w:szCs w:val="22"/>
          <w:lang w:val="es-ES" w:eastAsia="en-US"/>
        </w:rPr>
        <w:t>Pacientes según edad y sexo</w:t>
      </w:r>
    </w:p>
    <w:p w14:paraId="051B4D54" w14:textId="48DBE74D" w:rsidR="003E2A99" w:rsidRPr="003E2A99" w:rsidRDefault="003E2A99" w:rsidP="003E2A99">
      <w:pPr>
        <w:spacing w:line="360" w:lineRule="auto"/>
        <w:jc w:val="center"/>
        <w:rPr>
          <w:rFonts w:eastAsia="Calibri"/>
          <w:bCs/>
          <w:lang w:val="es-ES" w:eastAsia="en-US"/>
        </w:rPr>
      </w:pPr>
      <w:r w:rsidRPr="003E2A99">
        <w:rPr>
          <w:rFonts w:eastAsia="Calibri"/>
          <w:noProof/>
          <w:lang w:val="es-ES" w:eastAsia="en-US"/>
        </w:rPr>
        <w:drawing>
          <wp:inline distT="0" distB="0" distL="0" distR="0" wp14:anchorId="5658F972" wp14:editId="7B500BA6">
            <wp:extent cx="2609850" cy="1447800"/>
            <wp:effectExtent l="0" t="0" r="0" b="0"/>
            <wp:docPr id="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09850" cy="1447800"/>
                    </a:xfrm>
                    <a:prstGeom prst="rect">
                      <a:avLst/>
                    </a:prstGeom>
                    <a:noFill/>
                    <a:ln>
                      <a:noFill/>
                    </a:ln>
                  </pic:spPr>
                </pic:pic>
              </a:graphicData>
            </a:graphic>
          </wp:inline>
        </w:drawing>
      </w:r>
    </w:p>
    <w:p w14:paraId="037239DB" w14:textId="77777777" w:rsidR="003E2A99" w:rsidRPr="003E2A99" w:rsidRDefault="003E2A99" w:rsidP="003E2A99">
      <w:pPr>
        <w:spacing w:line="360" w:lineRule="auto"/>
        <w:jc w:val="both"/>
        <w:rPr>
          <w:rFonts w:eastAsia="Calibri"/>
          <w:bCs/>
          <w:lang w:val="es-ES" w:eastAsia="en-US"/>
        </w:rPr>
      </w:pPr>
    </w:p>
    <w:p w14:paraId="50222BB9" w14:textId="77777777" w:rsidR="003E2A99" w:rsidRPr="003E2A99" w:rsidRDefault="003E2A99" w:rsidP="003E2A99">
      <w:pPr>
        <w:spacing w:line="360" w:lineRule="auto"/>
        <w:jc w:val="both"/>
        <w:rPr>
          <w:rFonts w:eastAsia="Calibri"/>
          <w:bCs/>
          <w:lang w:val="es-ES" w:eastAsia="en-US"/>
        </w:rPr>
      </w:pPr>
      <w:r w:rsidRPr="003E2A99">
        <w:rPr>
          <w:rFonts w:eastAsia="Calibri"/>
          <w:bCs/>
          <w:lang w:val="es-ES" w:eastAsia="en-US"/>
        </w:rPr>
        <w:lastRenderedPageBreak/>
        <w:t>En la tabla 2 se muestra que la frecuencia de fracturas en el tercio medio fue más frecuente, con 39 pacientes (60,9 %), seguida de las del tercio distal, con 20 pacientes (31,3 %). La causa más frecuente fue por accidentes automovilísticos, con un total de 35 (54,7 %).</w:t>
      </w:r>
    </w:p>
    <w:p w14:paraId="49F435A4" w14:textId="77777777" w:rsidR="003E2A99" w:rsidRPr="003E2A99" w:rsidRDefault="003E2A99" w:rsidP="003E2A99">
      <w:pPr>
        <w:spacing w:line="360" w:lineRule="auto"/>
        <w:jc w:val="both"/>
        <w:rPr>
          <w:rFonts w:eastAsia="Calibri"/>
          <w:bCs/>
          <w:lang w:val="es-ES" w:eastAsia="en-US"/>
        </w:rPr>
      </w:pPr>
    </w:p>
    <w:p w14:paraId="38BAC1D3" w14:textId="77777777" w:rsidR="003E2A99" w:rsidRPr="003E2A99" w:rsidRDefault="003E2A99" w:rsidP="003E2A99">
      <w:pPr>
        <w:spacing w:line="360" w:lineRule="auto"/>
        <w:jc w:val="center"/>
        <w:rPr>
          <w:rFonts w:eastAsia="Calibri"/>
          <w:bCs/>
          <w:sz w:val="22"/>
          <w:szCs w:val="22"/>
          <w:lang w:val="es-ES" w:eastAsia="en-US"/>
        </w:rPr>
      </w:pPr>
      <w:r w:rsidRPr="003E2A99">
        <w:rPr>
          <w:rFonts w:eastAsia="Calibri"/>
          <w:b/>
          <w:bCs/>
          <w:sz w:val="22"/>
          <w:szCs w:val="22"/>
          <w:lang w:val="es-ES" w:eastAsia="en-US"/>
        </w:rPr>
        <w:t xml:space="preserve">Tabla 2 - </w:t>
      </w:r>
      <w:r w:rsidRPr="003E2A99">
        <w:rPr>
          <w:rFonts w:eastAsia="Calibri"/>
          <w:bCs/>
          <w:sz w:val="22"/>
          <w:szCs w:val="22"/>
          <w:lang w:val="es-ES" w:eastAsia="en-US"/>
        </w:rPr>
        <w:t>Pacientes según etiología y localización anatómica</w:t>
      </w:r>
    </w:p>
    <w:p w14:paraId="6FAA8F0C" w14:textId="5089FA9A" w:rsidR="003E2A99" w:rsidRPr="003E2A99" w:rsidRDefault="003E2A99" w:rsidP="003E2A99">
      <w:pPr>
        <w:spacing w:line="360" w:lineRule="auto"/>
        <w:jc w:val="center"/>
        <w:rPr>
          <w:rFonts w:eastAsia="Calibri"/>
          <w:bCs/>
          <w:lang w:val="es-ES" w:eastAsia="en-US"/>
        </w:rPr>
      </w:pPr>
      <w:r w:rsidRPr="003E2A99">
        <w:rPr>
          <w:rFonts w:eastAsia="Calibri"/>
          <w:noProof/>
          <w:lang w:val="es-ES" w:eastAsia="en-US"/>
        </w:rPr>
        <w:drawing>
          <wp:inline distT="0" distB="0" distL="0" distR="0" wp14:anchorId="4DBDB6ED" wp14:editId="4C50BDB1">
            <wp:extent cx="4572000" cy="1447800"/>
            <wp:effectExtent l="0" t="0" r="0" b="0"/>
            <wp:docPr id="1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2000" cy="1447800"/>
                    </a:xfrm>
                    <a:prstGeom prst="rect">
                      <a:avLst/>
                    </a:prstGeom>
                    <a:noFill/>
                    <a:ln>
                      <a:noFill/>
                    </a:ln>
                  </pic:spPr>
                </pic:pic>
              </a:graphicData>
            </a:graphic>
          </wp:inline>
        </w:drawing>
      </w:r>
    </w:p>
    <w:p w14:paraId="7D3E9F90" w14:textId="77777777" w:rsidR="003E2A99" w:rsidRPr="003E2A99" w:rsidRDefault="003E2A99" w:rsidP="003E2A99">
      <w:pPr>
        <w:spacing w:line="360" w:lineRule="auto"/>
        <w:jc w:val="both"/>
        <w:rPr>
          <w:rFonts w:eastAsia="Calibri"/>
          <w:bCs/>
          <w:lang w:val="es-ES" w:eastAsia="en-US"/>
        </w:rPr>
      </w:pPr>
    </w:p>
    <w:p w14:paraId="667C6034" w14:textId="77777777" w:rsidR="003E2A99" w:rsidRPr="003E2A99" w:rsidRDefault="003E2A99" w:rsidP="003E2A99">
      <w:pPr>
        <w:spacing w:line="360" w:lineRule="auto"/>
        <w:jc w:val="both"/>
        <w:rPr>
          <w:rFonts w:eastAsia="Calibri"/>
          <w:bCs/>
          <w:lang w:val="es-ES" w:eastAsia="en-US"/>
        </w:rPr>
      </w:pPr>
      <w:r w:rsidRPr="003E2A99">
        <w:rPr>
          <w:rFonts w:eastAsia="Calibri"/>
          <w:bCs/>
          <w:lang w:val="es-ES" w:eastAsia="en-US"/>
        </w:rPr>
        <w:t xml:space="preserve">En la tabla 3 se observa que la mayoría de los pacientes presentaron una fractura abierta de tibia del tercio medio, de tipo IIIA, con 16 lesionados (25 %), seguida por las del tipo IIIB, con 11 pacientes para un 17,2 %. </w:t>
      </w:r>
    </w:p>
    <w:p w14:paraId="4C83A5B3" w14:textId="77777777" w:rsidR="003E2A99" w:rsidRPr="003E2A99" w:rsidRDefault="003E2A99" w:rsidP="003E2A99">
      <w:pPr>
        <w:spacing w:line="360" w:lineRule="auto"/>
        <w:jc w:val="both"/>
        <w:rPr>
          <w:rFonts w:eastAsia="Calibri"/>
          <w:bCs/>
          <w:lang w:val="es-ES" w:eastAsia="en-US"/>
        </w:rPr>
      </w:pPr>
    </w:p>
    <w:p w14:paraId="717892B3" w14:textId="77777777" w:rsidR="003E2A99" w:rsidRPr="003E2A99" w:rsidRDefault="003E2A99" w:rsidP="003E2A99">
      <w:pPr>
        <w:spacing w:line="360" w:lineRule="auto"/>
        <w:jc w:val="center"/>
        <w:rPr>
          <w:rFonts w:eastAsia="Calibri"/>
          <w:b/>
          <w:bCs/>
          <w:sz w:val="22"/>
          <w:szCs w:val="22"/>
          <w:lang w:val="es-ES" w:eastAsia="en-US"/>
        </w:rPr>
      </w:pPr>
      <w:r w:rsidRPr="003E2A99">
        <w:rPr>
          <w:rFonts w:eastAsia="Calibri"/>
          <w:b/>
          <w:bCs/>
          <w:sz w:val="22"/>
          <w:szCs w:val="22"/>
          <w:lang w:val="es-ES" w:eastAsia="en-US"/>
        </w:rPr>
        <w:t xml:space="preserve">Tabla 3 - </w:t>
      </w:r>
      <w:r w:rsidRPr="003E2A99">
        <w:rPr>
          <w:rFonts w:eastAsia="Calibri"/>
          <w:bCs/>
          <w:sz w:val="22"/>
          <w:szCs w:val="22"/>
          <w:lang w:val="es-ES" w:eastAsia="en-US"/>
        </w:rPr>
        <w:t>Pacientes según localización y clasificación de Gustilo y Anderson</w:t>
      </w:r>
    </w:p>
    <w:p w14:paraId="39A0D297" w14:textId="2C81803B" w:rsidR="003E2A99" w:rsidRPr="003E2A99" w:rsidRDefault="003E2A99" w:rsidP="003E2A99">
      <w:pPr>
        <w:spacing w:line="360" w:lineRule="auto"/>
        <w:jc w:val="center"/>
        <w:rPr>
          <w:rFonts w:eastAsia="Calibri"/>
          <w:bCs/>
          <w:lang w:val="es-ES" w:eastAsia="en-US"/>
        </w:rPr>
      </w:pPr>
      <w:r w:rsidRPr="003E2A99">
        <w:rPr>
          <w:rFonts w:eastAsia="Calibri"/>
          <w:noProof/>
          <w:lang w:val="es-ES" w:eastAsia="en-US"/>
        </w:rPr>
        <w:drawing>
          <wp:inline distT="0" distB="0" distL="0" distR="0" wp14:anchorId="380D2495" wp14:editId="0A09940E">
            <wp:extent cx="4924425" cy="1857375"/>
            <wp:effectExtent l="0" t="0" r="0" b="0"/>
            <wp:docPr id="1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24425" cy="1857375"/>
                    </a:xfrm>
                    <a:prstGeom prst="rect">
                      <a:avLst/>
                    </a:prstGeom>
                    <a:noFill/>
                    <a:ln>
                      <a:noFill/>
                    </a:ln>
                  </pic:spPr>
                </pic:pic>
              </a:graphicData>
            </a:graphic>
          </wp:inline>
        </w:drawing>
      </w:r>
    </w:p>
    <w:p w14:paraId="69BBC48B" w14:textId="77777777" w:rsidR="003E2A99" w:rsidRPr="003E2A99" w:rsidRDefault="003E2A99" w:rsidP="003E2A99">
      <w:pPr>
        <w:spacing w:line="360" w:lineRule="auto"/>
        <w:jc w:val="both"/>
        <w:rPr>
          <w:rFonts w:eastAsia="Calibri"/>
          <w:bCs/>
          <w:lang w:val="es-ES" w:eastAsia="en-US"/>
        </w:rPr>
      </w:pPr>
    </w:p>
    <w:p w14:paraId="636FF298" w14:textId="77777777" w:rsidR="003E2A99" w:rsidRPr="003E2A99" w:rsidRDefault="003E2A99" w:rsidP="003E2A99">
      <w:pPr>
        <w:spacing w:line="360" w:lineRule="auto"/>
        <w:jc w:val="both"/>
        <w:rPr>
          <w:rFonts w:eastAsia="Calibri"/>
          <w:bCs/>
          <w:lang w:val="es-ES" w:eastAsia="en-US"/>
        </w:rPr>
      </w:pPr>
      <w:r w:rsidRPr="003E2A99">
        <w:rPr>
          <w:rFonts w:eastAsia="Calibri"/>
          <w:bCs/>
          <w:lang w:val="es-ES" w:eastAsia="en-US"/>
        </w:rPr>
        <w:t xml:space="preserve">En la tabla 4 se muestra que el trazo de la fractura más frecuente fue la transversal, con 35 pacientes (54,7 %), localizadas en el tercio medio, con 23 pacientes (35,9 %); le siguieron las de trazo oblicuo y </w:t>
      </w:r>
      <w:proofErr w:type="spellStart"/>
      <w:r w:rsidRPr="003E2A99">
        <w:rPr>
          <w:rFonts w:eastAsia="Calibri"/>
          <w:bCs/>
          <w:lang w:val="es-ES" w:eastAsia="en-US"/>
        </w:rPr>
        <w:t>conminutivas</w:t>
      </w:r>
      <w:proofErr w:type="spellEnd"/>
      <w:r w:rsidRPr="003E2A99">
        <w:rPr>
          <w:rFonts w:eastAsia="Calibri"/>
          <w:bCs/>
          <w:lang w:val="es-ES" w:eastAsia="en-US"/>
        </w:rPr>
        <w:t xml:space="preserve">, ambas con 11 pacientes para un 17,2 % cada una.  </w:t>
      </w:r>
    </w:p>
    <w:p w14:paraId="58BA92D9" w14:textId="77777777" w:rsidR="003E2A99" w:rsidRPr="003E2A99" w:rsidRDefault="003E2A99" w:rsidP="003E2A99">
      <w:pPr>
        <w:spacing w:line="360" w:lineRule="auto"/>
        <w:jc w:val="both"/>
        <w:rPr>
          <w:rFonts w:eastAsia="Calibri"/>
          <w:bCs/>
          <w:lang w:val="es-ES" w:eastAsia="en-US"/>
        </w:rPr>
      </w:pPr>
    </w:p>
    <w:p w14:paraId="10C1D349" w14:textId="77777777" w:rsidR="003E2A99" w:rsidRPr="003E2A99" w:rsidRDefault="003E2A99" w:rsidP="003E2A99">
      <w:pPr>
        <w:spacing w:line="360" w:lineRule="auto"/>
        <w:jc w:val="center"/>
        <w:rPr>
          <w:rFonts w:eastAsia="Calibri"/>
          <w:sz w:val="22"/>
          <w:szCs w:val="22"/>
          <w:lang w:val="es-ES" w:eastAsia="en-US"/>
        </w:rPr>
      </w:pPr>
      <w:r w:rsidRPr="003E2A99">
        <w:rPr>
          <w:rFonts w:eastAsia="Calibri"/>
          <w:b/>
          <w:bCs/>
          <w:sz w:val="22"/>
          <w:szCs w:val="22"/>
          <w:lang w:val="es-ES" w:eastAsia="en-US"/>
        </w:rPr>
        <w:t xml:space="preserve">Tabla 4 - </w:t>
      </w:r>
      <w:r w:rsidRPr="003E2A99">
        <w:rPr>
          <w:rFonts w:eastAsia="Calibri"/>
          <w:sz w:val="22"/>
          <w:szCs w:val="22"/>
          <w:lang w:val="es-ES" w:eastAsia="en-US"/>
        </w:rPr>
        <w:t>Pacientes según trazos y localización</w:t>
      </w:r>
    </w:p>
    <w:p w14:paraId="76D33FFA" w14:textId="57A087D5" w:rsidR="003E2A99" w:rsidRPr="003E2A99" w:rsidRDefault="003E2A99" w:rsidP="003E2A99">
      <w:pPr>
        <w:spacing w:line="360" w:lineRule="auto"/>
        <w:jc w:val="center"/>
        <w:rPr>
          <w:rFonts w:eastAsia="Calibri"/>
          <w:bCs/>
          <w:lang w:val="es-ES" w:eastAsia="en-US"/>
        </w:rPr>
      </w:pPr>
      <w:r w:rsidRPr="003E2A99">
        <w:rPr>
          <w:rFonts w:eastAsia="Calibri"/>
          <w:noProof/>
          <w:lang w:val="es-ES" w:eastAsia="en-US"/>
        </w:rPr>
        <w:drawing>
          <wp:inline distT="0" distB="0" distL="0" distR="0" wp14:anchorId="310D3A76" wp14:editId="355D4EB0">
            <wp:extent cx="4152900" cy="1647825"/>
            <wp:effectExtent l="0" t="0" r="0" b="0"/>
            <wp:docPr id="1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52900" cy="1647825"/>
                    </a:xfrm>
                    <a:prstGeom prst="rect">
                      <a:avLst/>
                    </a:prstGeom>
                    <a:noFill/>
                    <a:ln>
                      <a:noFill/>
                    </a:ln>
                  </pic:spPr>
                </pic:pic>
              </a:graphicData>
            </a:graphic>
          </wp:inline>
        </w:drawing>
      </w:r>
    </w:p>
    <w:p w14:paraId="214A5D52" w14:textId="77777777" w:rsidR="003E2A99" w:rsidRPr="003E2A99" w:rsidRDefault="003E2A99" w:rsidP="003E2A99">
      <w:pPr>
        <w:spacing w:line="360" w:lineRule="auto"/>
        <w:jc w:val="both"/>
        <w:rPr>
          <w:rFonts w:eastAsia="Calibri"/>
          <w:bCs/>
          <w:lang w:val="es-ES" w:eastAsia="en-US"/>
        </w:rPr>
      </w:pPr>
    </w:p>
    <w:p w14:paraId="3CEAE43D" w14:textId="77777777" w:rsidR="003E2A99" w:rsidRPr="003E2A99" w:rsidRDefault="003E2A99" w:rsidP="003E2A99">
      <w:pPr>
        <w:spacing w:line="360" w:lineRule="auto"/>
        <w:jc w:val="both"/>
        <w:rPr>
          <w:rFonts w:eastAsia="Calibri"/>
          <w:bCs/>
          <w:lang w:val="es-ES" w:eastAsia="en-US"/>
        </w:rPr>
      </w:pPr>
      <w:r w:rsidRPr="003E2A99">
        <w:rPr>
          <w:rFonts w:eastAsia="Calibri"/>
          <w:bCs/>
          <w:lang w:val="es-ES" w:eastAsia="en-US"/>
        </w:rPr>
        <w:t xml:space="preserve">En la tabla 5 se muestra la distribución de las complicaciones locales en los pacientes, según el tipo de fijador externo empleado. Prevalecieron los pacientes tratados con fijadores externos modelos Ilizarov (26 pacientes; 89,7 %). Se observa </w:t>
      </w:r>
      <w:proofErr w:type="gramStart"/>
      <w:r w:rsidRPr="003E2A99">
        <w:rPr>
          <w:rFonts w:eastAsia="Calibri"/>
          <w:bCs/>
          <w:lang w:val="es-ES" w:eastAsia="en-US"/>
        </w:rPr>
        <w:t>que</w:t>
      </w:r>
      <w:proofErr w:type="gramEnd"/>
      <w:r w:rsidRPr="003E2A99">
        <w:rPr>
          <w:rFonts w:eastAsia="Calibri"/>
          <w:bCs/>
          <w:lang w:val="es-ES" w:eastAsia="en-US"/>
        </w:rPr>
        <w:t xml:space="preserve"> de los 64 pacientes, solo 29 presentaron complicaciones locales para un 45,3 % del total. La </w:t>
      </w:r>
      <w:proofErr w:type="spellStart"/>
      <w:r w:rsidRPr="003E2A99">
        <w:rPr>
          <w:rFonts w:eastAsia="Calibri"/>
          <w:bCs/>
          <w:lang w:val="es-ES" w:eastAsia="en-US"/>
        </w:rPr>
        <w:t>pseudoartosis</w:t>
      </w:r>
      <w:proofErr w:type="spellEnd"/>
      <w:r w:rsidRPr="003E2A99">
        <w:rPr>
          <w:rFonts w:eastAsia="Calibri"/>
          <w:bCs/>
          <w:lang w:val="es-ES" w:eastAsia="en-US"/>
        </w:rPr>
        <w:t xml:space="preserve">, con 11 pacientes (37,9 %) y la osteomielitis, con 8 pacientes (27,6 %), fueron las complicaciones más frecuentes. </w:t>
      </w:r>
    </w:p>
    <w:p w14:paraId="1A42BCA6" w14:textId="77777777" w:rsidR="003E2A99" w:rsidRPr="003E2A99" w:rsidRDefault="003E2A99" w:rsidP="003E2A99">
      <w:pPr>
        <w:spacing w:line="360" w:lineRule="auto"/>
        <w:jc w:val="both"/>
        <w:rPr>
          <w:rFonts w:eastAsia="Calibri"/>
          <w:bCs/>
          <w:lang w:val="es-ES" w:eastAsia="en-US"/>
        </w:rPr>
      </w:pPr>
    </w:p>
    <w:p w14:paraId="0D4BE088" w14:textId="77777777" w:rsidR="003E2A99" w:rsidRPr="003E2A99" w:rsidRDefault="003E2A99" w:rsidP="003E2A99">
      <w:pPr>
        <w:spacing w:line="360" w:lineRule="auto"/>
        <w:ind w:right="-93"/>
        <w:jc w:val="center"/>
        <w:rPr>
          <w:sz w:val="22"/>
          <w:szCs w:val="22"/>
          <w:lang w:val="es-ES" w:eastAsia="es-ES"/>
        </w:rPr>
      </w:pPr>
      <w:r w:rsidRPr="003E2A99">
        <w:rPr>
          <w:b/>
          <w:bCs/>
          <w:sz w:val="22"/>
          <w:szCs w:val="22"/>
          <w:lang w:val="es-ES" w:eastAsia="es-ES"/>
        </w:rPr>
        <w:t xml:space="preserve">Tabla 5 - </w:t>
      </w:r>
      <w:r w:rsidRPr="003E2A99">
        <w:rPr>
          <w:bCs/>
          <w:sz w:val="22"/>
          <w:szCs w:val="22"/>
          <w:lang w:val="es-ES" w:eastAsia="es-ES"/>
        </w:rPr>
        <w:t>Pacientes según complicaciones locales y modelo de fijador externo utilizado</w:t>
      </w:r>
    </w:p>
    <w:p w14:paraId="32F18C09" w14:textId="6BD68DCB" w:rsidR="003E2A99" w:rsidRPr="003E2A99" w:rsidRDefault="003E2A99" w:rsidP="003E2A99">
      <w:pPr>
        <w:spacing w:line="360" w:lineRule="auto"/>
        <w:jc w:val="center"/>
        <w:rPr>
          <w:rFonts w:eastAsia="Calibri"/>
          <w:b/>
          <w:bCs/>
          <w:lang w:val="es-ES" w:eastAsia="en-US"/>
        </w:rPr>
      </w:pPr>
      <w:r w:rsidRPr="003E2A99">
        <w:rPr>
          <w:rFonts w:eastAsia="Calibri"/>
          <w:b/>
          <w:noProof/>
          <w:lang w:val="es-ES" w:eastAsia="en-US"/>
        </w:rPr>
        <w:drawing>
          <wp:inline distT="0" distB="0" distL="0" distR="0" wp14:anchorId="7AF69AC1" wp14:editId="67D4DAB0">
            <wp:extent cx="4781550" cy="1657350"/>
            <wp:effectExtent l="0" t="0" r="0" b="0"/>
            <wp:docPr id="10"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81550" cy="1657350"/>
                    </a:xfrm>
                    <a:prstGeom prst="rect">
                      <a:avLst/>
                    </a:prstGeom>
                    <a:noFill/>
                    <a:ln>
                      <a:noFill/>
                    </a:ln>
                  </pic:spPr>
                </pic:pic>
              </a:graphicData>
            </a:graphic>
          </wp:inline>
        </w:drawing>
      </w:r>
    </w:p>
    <w:p w14:paraId="77960BCF" w14:textId="77777777" w:rsidR="003E2A99" w:rsidRPr="003E2A99" w:rsidRDefault="003E2A99" w:rsidP="003E2A99">
      <w:pPr>
        <w:spacing w:line="360" w:lineRule="auto"/>
        <w:jc w:val="center"/>
        <w:rPr>
          <w:rFonts w:eastAsia="Calibri"/>
          <w:b/>
          <w:bCs/>
          <w:lang w:val="es-ES" w:eastAsia="en-US"/>
        </w:rPr>
      </w:pPr>
    </w:p>
    <w:p w14:paraId="524FFC89" w14:textId="77777777" w:rsidR="003E2A99" w:rsidRPr="003E2A99" w:rsidRDefault="003E2A99" w:rsidP="003E2A99">
      <w:pPr>
        <w:spacing w:line="360" w:lineRule="auto"/>
        <w:jc w:val="center"/>
        <w:rPr>
          <w:rFonts w:eastAsia="Calibri"/>
          <w:b/>
          <w:bCs/>
          <w:lang w:val="es-ES" w:eastAsia="en-US"/>
        </w:rPr>
      </w:pPr>
    </w:p>
    <w:p w14:paraId="6197E2D1" w14:textId="77777777" w:rsidR="003E2A99" w:rsidRPr="003E2A99" w:rsidRDefault="003E2A99" w:rsidP="003E2A99">
      <w:pPr>
        <w:spacing w:line="360" w:lineRule="auto"/>
        <w:jc w:val="center"/>
        <w:rPr>
          <w:rFonts w:eastAsia="Calibri"/>
          <w:b/>
          <w:bCs/>
          <w:sz w:val="32"/>
          <w:szCs w:val="32"/>
          <w:lang w:val="es-ES" w:eastAsia="en-US"/>
        </w:rPr>
      </w:pPr>
      <w:r w:rsidRPr="003E2A99">
        <w:rPr>
          <w:rFonts w:eastAsia="Calibri"/>
          <w:b/>
          <w:bCs/>
          <w:sz w:val="32"/>
          <w:szCs w:val="32"/>
          <w:lang w:val="es-ES" w:eastAsia="en-US"/>
        </w:rPr>
        <w:t>DISCUSIÓN</w:t>
      </w:r>
    </w:p>
    <w:p w14:paraId="1AE55DF8" w14:textId="77777777" w:rsidR="003E2A99" w:rsidRPr="003E2A99" w:rsidRDefault="003E2A99" w:rsidP="003E2A99">
      <w:pPr>
        <w:spacing w:line="360" w:lineRule="auto"/>
        <w:jc w:val="both"/>
        <w:rPr>
          <w:rFonts w:eastAsia="Calibri"/>
          <w:bCs/>
          <w:lang w:val="es-ES" w:eastAsia="en-US"/>
        </w:rPr>
      </w:pPr>
      <w:r w:rsidRPr="003E2A99">
        <w:rPr>
          <w:rFonts w:eastAsia="Calibri"/>
          <w:bCs/>
          <w:lang w:val="es-ES" w:eastAsia="en-US"/>
        </w:rPr>
        <w:t xml:space="preserve">A pesar de la emancipación de la mujer en la sociedad, aún en la actualidad los trabajos de fuerza y de peligro lo realizan hombres, además, son los encargados en muchos casos, de ser líderes en la economía </w:t>
      </w:r>
      <w:r w:rsidRPr="003E2A99">
        <w:rPr>
          <w:rFonts w:eastAsia="Calibri"/>
          <w:bCs/>
          <w:lang w:val="es-ES" w:eastAsia="en-US"/>
        </w:rPr>
        <w:lastRenderedPageBreak/>
        <w:t xml:space="preserve">del hogar, por lo que los riesgos de accidentes se incrementan en este sexo. Este estudio coincide con </w:t>
      </w:r>
      <w:proofErr w:type="gramStart"/>
      <w:r w:rsidRPr="003E2A99">
        <w:rPr>
          <w:rFonts w:eastAsia="Calibri"/>
          <w:bCs/>
          <w:lang w:val="es-ES" w:eastAsia="en-US"/>
        </w:rPr>
        <w:t>otros,</w:t>
      </w:r>
      <w:r w:rsidRPr="003E2A99">
        <w:rPr>
          <w:rFonts w:eastAsia="Calibri"/>
          <w:bCs/>
          <w:vertAlign w:val="superscript"/>
          <w:lang w:val="es-ES" w:eastAsia="en-US"/>
        </w:rPr>
        <w:t>(</w:t>
      </w:r>
      <w:proofErr w:type="gramEnd"/>
      <w:r w:rsidRPr="003E2A99">
        <w:rPr>
          <w:rFonts w:eastAsia="Calibri"/>
          <w:bCs/>
          <w:vertAlign w:val="superscript"/>
          <w:lang w:val="es-ES" w:eastAsia="en-US"/>
        </w:rPr>
        <w:t>11,12)</w:t>
      </w:r>
      <w:r w:rsidRPr="003E2A99">
        <w:rPr>
          <w:rFonts w:eastAsia="Calibri"/>
          <w:bCs/>
          <w:lang w:val="es-ES" w:eastAsia="en-US"/>
        </w:rPr>
        <w:t xml:space="preserve"> en los cuales se expone que predomina el sexo masculino en relación al femenino. </w:t>
      </w:r>
    </w:p>
    <w:p w14:paraId="6C52B81A" w14:textId="77777777" w:rsidR="003E2A99" w:rsidRPr="003E2A99" w:rsidRDefault="003E2A99" w:rsidP="003E2A99">
      <w:pPr>
        <w:autoSpaceDE w:val="0"/>
        <w:autoSpaceDN w:val="0"/>
        <w:adjustRightInd w:val="0"/>
        <w:spacing w:line="360" w:lineRule="auto"/>
        <w:ind w:right="-93"/>
        <w:jc w:val="both"/>
        <w:rPr>
          <w:rFonts w:eastAsia="Calibri"/>
          <w:lang w:val="es-ES" w:eastAsia="en-US"/>
        </w:rPr>
      </w:pPr>
      <w:r w:rsidRPr="003E2A99">
        <w:rPr>
          <w:rFonts w:eastAsia="Calibri"/>
          <w:lang w:val="es-ES" w:eastAsia="en-US"/>
        </w:rPr>
        <w:t xml:space="preserve">La preponderancia de la lesión en adultos jóvenes de 25 a 39 años, con una relación de 3:1 respecto a las mujeres, se explica por las labores que desempeñan y la causan. Asimismo, la edad promedio de los pacientes afectados en esa serie fue de 32 años, como igualmente se informa en otras publicaciones relacionadas con el tema, sobre todo procedentes de naciones </w:t>
      </w:r>
      <w:proofErr w:type="gramStart"/>
      <w:r w:rsidRPr="003E2A99">
        <w:rPr>
          <w:rFonts w:eastAsia="Calibri"/>
          <w:lang w:val="es-ES" w:eastAsia="en-US"/>
        </w:rPr>
        <w:t>desarrolladas.</w:t>
      </w:r>
      <w:r w:rsidRPr="003E2A99">
        <w:rPr>
          <w:rFonts w:eastAsia="Calibri"/>
          <w:vertAlign w:val="superscript"/>
          <w:lang w:val="es-ES" w:eastAsia="en-US"/>
        </w:rPr>
        <w:t>(</w:t>
      </w:r>
      <w:proofErr w:type="gramEnd"/>
      <w:r w:rsidRPr="003E2A99">
        <w:rPr>
          <w:rFonts w:eastAsia="Calibri"/>
          <w:vertAlign w:val="superscript"/>
          <w:lang w:val="es-ES" w:eastAsia="en-US"/>
        </w:rPr>
        <w:t>12,13,14)</w:t>
      </w:r>
    </w:p>
    <w:p w14:paraId="3C6DA273" w14:textId="77777777" w:rsidR="003E2A99" w:rsidRPr="003E2A99" w:rsidRDefault="003E2A99" w:rsidP="003E2A99">
      <w:pPr>
        <w:spacing w:line="360" w:lineRule="auto"/>
        <w:jc w:val="both"/>
        <w:rPr>
          <w:rFonts w:eastAsia="Calibri"/>
          <w:bCs/>
          <w:vertAlign w:val="superscript"/>
          <w:lang w:val="es-ES" w:eastAsia="en-US"/>
        </w:rPr>
      </w:pPr>
      <w:r w:rsidRPr="003E2A99">
        <w:rPr>
          <w:rFonts w:eastAsia="Calibri"/>
          <w:bCs/>
          <w:lang w:val="es-ES" w:eastAsia="en-US"/>
        </w:rPr>
        <w:t xml:space="preserve">El conocimiento de la localización de una fractura de tibia es importante para su tratamiento, evolución y pronóstico, asociado con la intensidad del trauma. Dada la vascularización escasa en este hueso, que el agujero nutricio se encuentra en la porción posterior y proximal, su pronóstico es peor; también se tiene en cuenta la relación anatómica con las dos grandes articulaciones de la rodilla y el </w:t>
      </w:r>
      <w:proofErr w:type="gramStart"/>
      <w:r w:rsidRPr="003E2A99">
        <w:rPr>
          <w:rFonts w:eastAsia="Calibri"/>
          <w:bCs/>
          <w:lang w:val="es-ES" w:eastAsia="en-US"/>
        </w:rPr>
        <w:t>tobillo.</w:t>
      </w:r>
      <w:r w:rsidRPr="003E2A99">
        <w:rPr>
          <w:rFonts w:eastAsia="Calibri"/>
          <w:bCs/>
          <w:vertAlign w:val="superscript"/>
          <w:lang w:val="es-ES" w:eastAsia="en-US"/>
        </w:rPr>
        <w:t>(</w:t>
      </w:r>
      <w:proofErr w:type="gramEnd"/>
      <w:r w:rsidRPr="003E2A99">
        <w:rPr>
          <w:rFonts w:eastAsia="Calibri"/>
          <w:bCs/>
          <w:vertAlign w:val="superscript"/>
          <w:lang w:val="es-ES" w:eastAsia="en-US"/>
        </w:rPr>
        <w:t>15,16,17)</w:t>
      </w:r>
    </w:p>
    <w:p w14:paraId="54FDE9EC" w14:textId="77777777" w:rsidR="003E2A99" w:rsidRPr="003E2A99" w:rsidRDefault="003E2A99" w:rsidP="003E2A99">
      <w:pPr>
        <w:spacing w:line="360" w:lineRule="auto"/>
        <w:jc w:val="both"/>
        <w:rPr>
          <w:rFonts w:eastAsia="Calibri"/>
          <w:bCs/>
          <w:lang w:val="es-ES" w:eastAsia="en-US"/>
        </w:rPr>
      </w:pPr>
      <w:r w:rsidRPr="003E2A99">
        <w:rPr>
          <w:rFonts w:eastAsia="Calibri"/>
          <w:bCs/>
          <w:lang w:val="es-ES" w:eastAsia="en-US"/>
        </w:rPr>
        <w:t xml:space="preserve">La clasificación de Gustilo y Anderson es la de mayor uso en los grandes centros de referencia traumatológicos del mundo y tiene en cuenta el tamaño de la herida, grado de contaminación de los tejidos blandos y el tipo de fractura, en relación con su localización </w:t>
      </w:r>
      <w:proofErr w:type="gramStart"/>
      <w:r w:rsidRPr="003E2A99">
        <w:rPr>
          <w:rFonts w:eastAsia="Calibri"/>
          <w:bCs/>
          <w:lang w:val="es-ES" w:eastAsia="en-US"/>
        </w:rPr>
        <w:t>anatómica.</w:t>
      </w:r>
      <w:r w:rsidRPr="003E2A99">
        <w:rPr>
          <w:rFonts w:eastAsia="Calibri"/>
          <w:bCs/>
          <w:vertAlign w:val="superscript"/>
          <w:lang w:val="es-ES" w:eastAsia="en-US"/>
        </w:rPr>
        <w:t>(</w:t>
      </w:r>
      <w:proofErr w:type="gramEnd"/>
      <w:r w:rsidRPr="003E2A99">
        <w:rPr>
          <w:rFonts w:eastAsia="Calibri"/>
          <w:bCs/>
          <w:vertAlign w:val="superscript"/>
          <w:lang w:val="es-ES" w:eastAsia="en-US"/>
        </w:rPr>
        <w:t>11,12,18)</w:t>
      </w:r>
      <w:r w:rsidRPr="003E2A99">
        <w:rPr>
          <w:rFonts w:eastAsia="Calibri"/>
          <w:bCs/>
          <w:lang w:val="es-ES" w:eastAsia="en-US"/>
        </w:rPr>
        <w:t xml:space="preserve"> </w:t>
      </w:r>
    </w:p>
    <w:p w14:paraId="2C03DBE7" w14:textId="77777777" w:rsidR="003E2A99" w:rsidRPr="003E2A99" w:rsidRDefault="003E2A99" w:rsidP="003E2A99">
      <w:pPr>
        <w:spacing w:line="360" w:lineRule="auto"/>
        <w:jc w:val="both"/>
        <w:rPr>
          <w:rFonts w:eastAsia="Calibri"/>
          <w:bCs/>
          <w:lang w:val="es-ES" w:eastAsia="en-US"/>
        </w:rPr>
      </w:pPr>
      <w:r w:rsidRPr="003E2A99">
        <w:rPr>
          <w:rFonts w:eastAsia="Calibri"/>
          <w:bCs/>
          <w:lang w:val="es-ES" w:eastAsia="en-US"/>
        </w:rPr>
        <w:t>Lo que sucede en esta investigación resulta lógico porque se tiene en cuenta que el grado III está asociado a un impacto de alta intensidad y se corresponde con los casos estudiados en esta serie, en la cual los accidentes automovilísticos son los de mayor frecuencia.</w:t>
      </w:r>
    </w:p>
    <w:p w14:paraId="2B17E63D" w14:textId="77777777" w:rsidR="003E2A99" w:rsidRPr="003E2A99" w:rsidRDefault="003E2A99" w:rsidP="003E2A99">
      <w:pPr>
        <w:spacing w:line="360" w:lineRule="auto"/>
        <w:jc w:val="both"/>
        <w:rPr>
          <w:rFonts w:eastAsia="Calibri"/>
          <w:bCs/>
          <w:vertAlign w:val="superscript"/>
          <w:lang w:val="es-ES" w:eastAsia="en-US"/>
        </w:rPr>
      </w:pPr>
      <w:r w:rsidRPr="003E2A99">
        <w:rPr>
          <w:rFonts w:eastAsia="Calibri"/>
          <w:bCs/>
          <w:lang w:val="es-ES" w:eastAsia="en-US"/>
        </w:rPr>
        <w:t>Se reporta que la pseudoartrosis postraumática de tibia es muy frecuente, con una tasa de incidencia entre el 41 % y el 50 </w:t>
      </w:r>
      <w:proofErr w:type="gramStart"/>
      <w:r w:rsidRPr="003E2A99">
        <w:rPr>
          <w:rFonts w:eastAsia="Calibri"/>
          <w:bCs/>
          <w:lang w:val="es-ES" w:eastAsia="en-US"/>
        </w:rPr>
        <w:t>%,</w:t>
      </w:r>
      <w:r w:rsidRPr="003E2A99">
        <w:rPr>
          <w:rFonts w:eastAsia="Calibri"/>
          <w:bCs/>
          <w:vertAlign w:val="superscript"/>
          <w:lang w:val="es-ES" w:eastAsia="en-US"/>
        </w:rPr>
        <w:t>(</w:t>
      </w:r>
      <w:proofErr w:type="gramEnd"/>
      <w:r w:rsidRPr="003E2A99">
        <w:rPr>
          <w:rFonts w:eastAsia="Calibri"/>
          <w:bCs/>
          <w:vertAlign w:val="superscript"/>
          <w:lang w:val="es-ES" w:eastAsia="en-US"/>
        </w:rPr>
        <w:t>1,2,3,18,)</w:t>
      </w:r>
      <w:r w:rsidRPr="003E2A99">
        <w:rPr>
          <w:rFonts w:eastAsia="Calibri"/>
          <w:bCs/>
          <w:lang w:val="es-ES" w:eastAsia="en-US"/>
        </w:rPr>
        <w:t xml:space="preserve"> favorecida por los altos grados de contaminación, las fracturas tipo III de Gustilo y Anderson, además de las altas energías traumáticas.</w:t>
      </w:r>
      <w:r w:rsidRPr="003E2A99">
        <w:rPr>
          <w:rFonts w:eastAsia="Calibri"/>
          <w:bCs/>
          <w:vertAlign w:val="superscript"/>
          <w:lang w:val="es-ES" w:eastAsia="en-US"/>
        </w:rPr>
        <w:t>(18)</w:t>
      </w:r>
    </w:p>
    <w:p w14:paraId="4EE88A46" w14:textId="77777777" w:rsidR="003E2A99" w:rsidRPr="003E2A99" w:rsidRDefault="003E2A99" w:rsidP="003E2A99">
      <w:pPr>
        <w:spacing w:line="360" w:lineRule="auto"/>
        <w:jc w:val="both"/>
        <w:rPr>
          <w:rFonts w:eastAsia="Calibri"/>
          <w:bCs/>
          <w:lang w:val="es-ES" w:eastAsia="en-US"/>
        </w:rPr>
      </w:pPr>
      <w:r w:rsidRPr="003E2A99">
        <w:rPr>
          <w:rFonts w:eastAsia="Calibri"/>
          <w:lang w:val="es-ES" w:eastAsia="en-US"/>
        </w:rPr>
        <w:t>En pacientes con fractura abierta de tibia predomina en el sexo masculino, entre la tercera y cuarta década de la vida; los accidentes de tránsito son la causa principal y el fijador externo Ilizarov es el modelo más utilizado para tratar la fractura abierta de tibia y las complicaciones asociadas.</w:t>
      </w:r>
    </w:p>
    <w:p w14:paraId="4A0D90A5" w14:textId="77777777" w:rsidR="003E2A99" w:rsidRPr="003E2A99" w:rsidRDefault="003E2A99" w:rsidP="003E2A99">
      <w:pPr>
        <w:spacing w:line="360" w:lineRule="auto"/>
        <w:jc w:val="both"/>
        <w:rPr>
          <w:rFonts w:eastAsia="Calibri"/>
          <w:bCs/>
          <w:lang w:val="es-ES" w:eastAsia="en-US"/>
        </w:rPr>
      </w:pPr>
    </w:p>
    <w:p w14:paraId="0572F564" w14:textId="77777777" w:rsidR="003E2A99" w:rsidRPr="003E2A99" w:rsidRDefault="003E2A99" w:rsidP="003E2A99">
      <w:pPr>
        <w:spacing w:line="360" w:lineRule="auto"/>
        <w:jc w:val="both"/>
        <w:rPr>
          <w:rFonts w:eastAsia="Calibri"/>
          <w:bCs/>
          <w:lang w:val="es-ES" w:eastAsia="en-US"/>
        </w:rPr>
      </w:pPr>
    </w:p>
    <w:p w14:paraId="263CC2F0" w14:textId="77777777" w:rsidR="003E2A99" w:rsidRPr="003E2A99" w:rsidRDefault="003E2A99" w:rsidP="003E2A99">
      <w:pPr>
        <w:spacing w:line="360" w:lineRule="auto"/>
        <w:jc w:val="center"/>
        <w:rPr>
          <w:rFonts w:eastAsia="Calibri"/>
          <w:bCs/>
          <w:sz w:val="32"/>
          <w:szCs w:val="32"/>
          <w:lang w:val="es-ES" w:eastAsia="en-US"/>
        </w:rPr>
      </w:pPr>
      <w:r w:rsidRPr="003E2A99">
        <w:rPr>
          <w:rFonts w:eastAsia="Calibri"/>
          <w:b/>
          <w:bCs/>
          <w:sz w:val="32"/>
          <w:szCs w:val="32"/>
          <w:lang w:val="es-ES" w:eastAsia="en-US"/>
        </w:rPr>
        <w:t>REFERENCIAS BIBLIOGRÁFICAS</w:t>
      </w:r>
    </w:p>
    <w:p w14:paraId="040F4137" w14:textId="77777777" w:rsidR="003E2A99" w:rsidRPr="003E2A99" w:rsidRDefault="003E2A99" w:rsidP="003E2A99">
      <w:pPr>
        <w:spacing w:line="360" w:lineRule="auto"/>
        <w:rPr>
          <w:rFonts w:eastAsia="Calibri"/>
          <w:bCs/>
          <w:lang w:val="es-ES" w:eastAsia="en-US"/>
        </w:rPr>
      </w:pPr>
      <w:r w:rsidRPr="003E2A99">
        <w:rPr>
          <w:rFonts w:eastAsia="Calibri"/>
          <w:bCs/>
          <w:lang w:val="es-ES" w:eastAsia="en-US"/>
        </w:rPr>
        <w:t xml:space="preserve">1. </w:t>
      </w:r>
      <w:r w:rsidRPr="003E2A99">
        <w:rPr>
          <w:rFonts w:eastAsia="Calibri"/>
          <w:bCs/>
          <w:lang w:val="es-MX" w:eastAsia="en-US"/>
        </w:rPr>
        <w:t xml:space="preserve">Paige W. Fractura de las extremidades inferiores. </w:t>
      </w:r>
      <w:proofErr w:type="spellStart"/>
      <w:r w:rsidRPr="003E2A99">
        <w:rPr>
          <w:rFonts w:eastAsia="Calibri"/>
          <w:bCs/>
          <w:lang w:val="en-US" w:eastAsia="en-US"/>
        </w:rPr>
        <w:t>En</w:t>
      </w:r>
      <w:proofErr w:type="spellEnd"/>
      <w:r w:rsidRPr="003E2A99">
        <w:rPr>
          <w:rFonts w:eastAsia="Calibri"/>
          <w:bCs/>
          <w:lang w:val="en-US" w:eastAsia="en-US"/>
        </w:rPr>
        <w:t xml:space="preserve">: Terry </w:t>
      </w:r>
      <w:proofErr w:type="spellStart"/>
      <w:r w:rsidRPr="003E2A99">
        <w:rPr>
          <w:rFonts w:eastAsia="Calibri"/>
          <w:bCs/>
          <w:lang w:val="en-US" w:eastAsia="en-US"/>
        </w:rPr>
        <w:t>Canale</w:t>
      </w:r>
      <w:proofErr w:type="spellEnd"/>
      <w:r w:rsidRPr="003E2A99">
        <w:rPr>
          <w:rFonts w:eastAsia="Calibri"/>
          <w:bCs/>
          <w:lang w:val="en-US" w:eastAsia="en-US"/>
        </w:rPr>
        <w:t xml:space="preserve"> S, Beaty JH. </w:t>
      </w:r>
      <w:r w:rsidRPr="003E2A99">
        <w:rPr>
          <w:rFonts w:eastAsia="Calibri"/>
          <w:bCs/>
          <w:lang w:val="es-MX" w:eastAsia="en-US"/>
        </w:rPr>
        <w:t xml:space="preserve">Campbell. Cirugía Ortopédica. 11na ed. Madrid: </w:t>
      </w:r>
      <w:proofErr w:type="spellStart"/>
      <w:r w:rsidRPr="003E2A99">
        <w:rPr>
          <w:rFonts w:eastAsia="Calibri"/>
          <w:bCs/>
          <w:lang w:val="es-MX" w:eastAsia="en-US"/>
        </w:rPr>
        <w:t>Marbán</w:t>
      </w:r>
      <w:proofErr w:type="spellEnd"/>
      <w:r w:rsidRPr="003E2A99">
        <w:rPr>
          <w:rFonts w:eastAsia="Calibri"/>
          <w:bCs/>
          <w:lang w:val="es-MX" w:eastAsia="en-US"/>
        </w:rPr>
        <w:t xml:space="preserve">; 2013. </w:t>
      </w:r>
    </w:p>
    <w:p w14:paraId="58458E28" w14:textId="77777777" w:rsidR="003E2A99" w:rsidRPr="003E2A99" w:rsidRDefault="003E2A99" w:rsidP="003E2A99">
      <w:pPr>
        <w:spacing w:line="360" w:lineRule="auto"/>
        <w:rPr>
          <w:rFonts w:eastAsia="Calibri"/>
          <w:lang w:val="es-ES" w:eastAsia="en-US"/>
        </w:rPr>
      </w:pPr>
      <w:r w:rsidRPr="003E2A99">
        <w:rPr>
          <w:rFonts w:eastAsia="Calibri"/>
          <w:bCs/>
          <w:lang w:val="es-ES" w:eastAsia="en-US"/>
        </w:rPr>
        <w:lastRenderedPageBreak/>
        <w:t xml:space="preserve">2. </w:t>
      </w:r>
      <w:proofErr w:type="spellStart"/>
      <w:r w:rsidRPr="003E2A99">
        <w:rPr>
          <w:rFonts w:eastAsia="Calibri"/>
          <w:lang w:val="es-ES" w:eastAsia="en-US"/>
        </w:rPr>
        <w:t>Court</w:t>
      </w:r>
      <w:proofErr w:type="spellEnd"/>
      <w:r w:rsidRPr="003E2A99">
        <w:rPr>
          <w:rFonts w:eastAsia="Calibri"/>
          <w:lang w:val="es-ES" w:eastAsia="en-US"/>
        </w:rPr>
        <w:t xml:space="preserve"> Brown CM. Fracturas de la tibia y del peroné. Extremidad inferior. En: </w:t>
      </w:r>
      <w:proofErr w:type="spellStart"/>
      <w:r w:rsidRPr="003E2A99">
        <w:rPr>
          <w:rFonts w:eastAsia="Calibri"/>
          <w:lang w:val="es-ES" w:eastAsia="en-US"/>
        </w:rPr>
        <w:t>Bucholz</w:t>
      </w:r>
      <w:proofErr w:type="spellEnd"/>
      <w:r w:rsidRPr="003E2A99">
        <w:rPr>
          <w:rFonts w:eastAsia="Calibri"/>
          <w:lang w:val="es-ES" w:eastAsia="en-US"/>
        </w:rPr>
        <w:t xml:space="preserve"> RW, </w:t>
      </w:r>
      <w:proofErr w:type="spellStart"/>
      <w:r w:rsidRPr="003E2A99">
        <w:rPr>
          <w:rFonts w:eastAsia="Calibri"/>
          <w:lang w:val="es-ES" w:eastAsia="en-US"/>
        </w:rPr>
        <w:t>Heckman</w:t>
      </w:r>
      <w:proofErr w:type="spellEnd"/>
      <w:r w:rsidRPr="003E2A99">
        <w:rPr>
          <w:rFonts w:eastAsia="Calibri"/>
          <w:lang w:val="es-ES" w:eastAsia="en-US"/>
        </w:rPr>
        <w:t xml:space="preserve"> JD. </w:t>
      </w:r>
      <w:proofErr w:type="spellStart"/>
      <w:r w:rsidRPr="003E2A99">
        <w:rPr>
          <w:rFonts w:eastAsia="Calibri"/>
          <w:lang w:val="es-ES" w:eastAsia="en-US"/>
        </w:rPr>
        <w:t>Rockwood</w:t>
      </w:r>
      <w:proofErr w:type="spellEnd"/>
      <w:r w:rsidRPr="003E2A99">
        <w:rPr>
          <w:rFonts w:eastAsia="Calibri"/>
          <w:lang w:val="es-ES" w:eastAsia="en-US"/>
        </w:rPr>
        <w:t xml:space="preserve"> and </w:t>
      </w:r>
      <w:proofErr w:type="spellStart"/>
      <w:r w:rsidRPr="003E2A99">
        <w:rPr>
          <w:rFonts w:eastAsia="Calibri"/>
          <w:lang w:val="es-ES" w:eastAsia="en-US"/>
        </w:rPr>
        <w:t>Grens</w:t>
      </w:r>
      <w:proofErr w:type="spellEnd"/>
      <w:r w:rsidRPr="003E2A99">
        <w:rPr>
          <w:rFonts w:eastAsia="Calibri"/>
          <w:lang w:val="es-ES" w:eastAsia="en-US"/>
        </w:rPr>
        <w:t xml:space="preserve">. Fracturas en el adulto. 5ta ed. México: Wolters </w:t>
      </w:r>
      <w:proofErr w:type="spellStart"/>
      <w:r w:rsidRPr="003E2A99">
        <w:rPr>
          <w:rFonts w:eastAsia="Calibri"/>
          <w:lang w:val="es-ES" w:eastAsia="en-US"/>
        </w:rPr>
        <w:t>Kluwer</w:t>
      </w:r>
      <w:proofErr w:type="spellEnd"/>
      <w:r w:rsidRPr="003E2A99">
        <w:rPr>
          <w:rFonts w:eastAsia="Calibri"/>
          <w:lang w:val="es-ES" w:eastAsia="en-US"/>
        </w:rPr>
        <w:t xml:space="preserve">; 2019. </w:t>
      </w:r>
    </w:p>
    <w:p w14:paraId="7F6B70B1" w14:textId="77777777" w:rsidR="003E2A99" w:rsidRPr="003E2A99" w:rsidRDefault="003E2A99" w:rsidP="003E2A99">
      <w:pPr>
        <w:spacing w:line="360" w:lineRule="auto"/>
        <w:rPr>
          <w:rFonts w:eastAsia="Calibri"/>
          <w:lang w:val="es-ES" w:eastAsia="en-US"/>
        </w:rPr>
      </w:pPr>
      <w:r w:rsidRPr="003E2A99">
        <w:rPr>
          <w:rFonts w:eastAsia="Calibri"/>
          <w:bCs/>
          <w:lang w:val="es-ES" w:eastAsia="en-US"/>
        </w:rPr>
        <w:t>3. Ceballos Mesa A. Fijación externa y técnicas afines. La Habana: Editorial de Ciencias Médicas; 2015.</w:t>
      </w:r>
    </w:p>
    <w:p w14:paraId="57CF202C" w14:textId="77777777" w:rsidR="003E2A99" w:rsidRPr="003E2A99" w:rsidRDefault="003E2A99" w:rsidP="003E2A99">
      <w:pPr>
        <w:spacing w:line="360" w:lineRule="auto"/>
        <w:rPr>
          <w:rFonts w:eastAsia="Calibri"/>
          <w:bCs/>
          <w:color w:val="000000"/>
          <w:lang w:val="es-ES" w:eastAsia="en-US"/>
        </w:rPr>
      </w:pPr>
      <w:r w:rsidRPr="003E2A99">
        <w:rPr>
          <w:rFonts w:eastAsia="Calibri"/>
          <w:bCs/>
          <w:lang w:val="es-ES" w:eastAsia="en-US"/>
        </w:rPr>
        <w:t xml:space="preserve">4. </w:t>
      </w:r>
      <w:proofErr w:type="spellStart"/>
      <w:r w:rsidRPr="003E2A99">
        <w:rPr>
          <w:rFonts w:eastAsia="Calibri"/>
          <w:bCs/>
          <w:lang w:val="es-ES" w:eastAsia="en-US"/>
        </w:rPr>
        <w:t>MacKechnie</w:t>
      </w:r>
      <w:proofErr w:type="spellEnd"/>
      <w:r w:rsidRPr="003E2A99">
        <w:rPr>
          <w:rFonts w:eastAsia="Calibri"/>
          <w:bCs/>
          <w:lang w:val="es-ES" w:eastAsia="en-US"/>
        </w:rPr>
        <w:t xml:space="preserve"> MC, Albright PD, Tabares </w:t>
      </w:r>
      <w:proofErr w:type="spellStart"/>
      <w:r w:rsidRPr="003E2A99">
        <w:rPr>
          <w:rFonts w:eastAsia="Calibri"/>
          <w:bCs/>
          <w:lang w:val="es-ES" w:eastAsia="en-US"/>
        </w:rPr>
        <w:t>Saés</w:t>
      </w:r>
      <w:proofErr w:type="spellEnd"/>
      <w:r w:rsidRPr="003E2A99">
        <w:rPr>
          <w:rFonts w:eastAsia="Calibri"/>
          <w:bCs/>
          <w:lang w:val="es-ES" w:eastAsia="en-US"/>
        </w:rPr>
        <w:t xml:space="preserve"> H, Tabares </w:t>
      </w:r>
      <w:proofErr w:type="spellStart"/>
      <w:r w:rsidRPr="003E2A99">
        <w:rPr>
          <w:rFonts w:eastAsia="Calibri"/>
          <w:bCs/>
          <w:lang w:val="es-ES" w:eastAsia="en-US"/>
        </w:rPr>
        <w:t>Neyra</w:t>
      </w:r>
      <w:proofErr w:type="spellEnd"/>
      <w:r w:rsidRPr="003E2A99">
        <w:rPr>
          <w:rFonts w:eastAsia="Calibri"/>
          <w:bCs/>
          <w:lang w:val="es-ES" w:eastAsia="en-US"/>
        </w:rPr>
        <w:t xml:space="preserve"> H, Materno Parra Y, Pancorbo Sandoval E, </w:t>
      </w:r>
      <w:r w:rsidRPr="003E2A99">
        <w:rPr>
          <w:rFonts w:eastAsia="Calibri"/>
          <w:bCs/>
          <w:iCs/>
          <w:lang w:val="es-ES" w:eastAsia="en-US"/>
        </w:rPr>
        <w:t>et al</w:t>
      </w:r>
      <w:r w:rsidRPr="003E2A99">
        <w:rPr>
          <w:rFonts w:eastAsia="Calibri"/>
          <w:bCs/>
          <w:i/>
          <w:lang w:val="es-ES" w:eastAsia="en-US"/>
        </w:rPr>
        <w:t xml:space="preserve">. </w:t>
      </w:r>
      <w:r w:rsidRPr="003E2A99">
        <w:rPr>
          <w:rFonts w:eastAsia="Calibri"/>
          <w:bCs/>
          <w:lang w:val="es-ES" w:eastAsia="en-US"/>
        </w:rPr>
        <w:t xml:space="preserve">Manejo de fracturas abiertas en Cuba. </w:t>
      </w:r>
      <w:r w:rsidRPr="003E2A99">
        <w:rPr>
          <w:rFonts w:eastAsia="Calibri"/>
          <w:lang w:val="es-ES" w:eastAsia="en-US"/>
        </w:rPr>
        <w:t xml:space="preserve">Rev. </w:t>
      </w:r>
      <w:proofErr w:type="spellStart"/>
      <w:r w:rsidRPr="003E2A99">
        <w:rPr>
          <w:rFonts w:eastAsia="Calibri"/>
          <w:lang w:val="es-ES" w:eastAsia="en-US"/>
        </w:rPr>
        <w:t>Cub</w:t>
      </w:r>
      <w:proofErr w:type="spellEnd"/>
      <w:r w:rsidRPr="003E2A99">
        <w:rPr>
          <w:rFonts w:eastAsia="Calibri"/>
          <w:lang w:val="es-ES" w:eastAsia="en-US"/>
        </w:rPr>
        <w:t xml:space="preserve">. </w:t>
      </w:r>
      <w:proofErr w:type="spellStart"/>
      <w:r w:rsidRPr="003E2A99">
        <w:rPr>
          <w:rFonts w:eastAsia="Calibri"/>
          <w:lang w:val="es-ES" w:eastAsia="en-US"/>
        </w:rPr>
        <w:t>Ortop</w:t>
      </w:r>
      <w:proofErr w:type="spellEnd"/>
      <w:r w:rsidRPr="003E2A99">
        <w:rPr>
          <w:rFonts w:eastAsia="Calibri"/>
          <w:lang w:val="es-ES" w:eastAsia="en-US"/>
        </w:rPr>
        <w:t xml:space="preserve">. y </w:t>
      </w:r>
      <w:proofErr w:type="spellStart"/>
      <w:r w:rsidRPr="003E2A99">
        <w:rPr>
          <w:rFonts w:eastAsia="Calibri"/>
          <w:lang w:val="es-ES" w:eastAsia="en-US"/>
        </w:rPr>
        <w:t>Traum</w:t>
      </w:r>
      <w:proofErr w:type="spellEnd"/>
      <w:r w:rsidRPr="003E2A99">
        <w:rPr>
          <w:rFonts w:eastAsia="Calibri"/>
          <w:lang w:val="es-ES" w:eastAsia="en-US"/>
        </w:rPr>
        <w:t xml:space="preserve">. Cuba. 2021 [acceso: 11/12/2021]; 35(2): e405. Disponible en:  </w:t>
      </w:r>
      <w:hyperlink r:id="rId18" w:history="1">
        <w:r w:rsidRPr="003E2A99">
          <w:rPr>
            <w:rFonts w:eastAsia="Calibri"/>
            <w:color w:val="0563C1"/>
            <w:u w:val="single"/>
            <w:lang w:val="es-ES" w:eastAsia="en-US"/>
          </w:rPr>
          <w:t>http://scielo.sld.cu/pdf/ort/v35n2/1561-3100-ort-35-02-e405.pdf</w:t>
        </w:r>
      </w:hyperlink>
    </w:p>
    <w:p w14:paraId="40122B26" w14:textId="77777777" w:rsidR="003E2A99" w:rsidRPr="003E2A99" w:rsidRDefault="003E2A99" w:rsidP="003E2A99">
      <w:pPr>
        <w:spacing w:line="360" w:lineRule="auto"/>
        <w:rPr>
          <w:rFonts w:eastAsia="Calibri"/>
          <w:color w:val="FF0000"/>
          <w:lang w:val="es-ES" w:eastAsia="en-US"/>
        </w:rPr>
      </w:pPr>
      <w:r w:rsidRPr="003E2A99">
        <w:rPr>
          <w:rFonts w:eastAsia="Calibri"/>
          <w:bCs/>
          <w:color w:val="000000"/>
          <w:lang w:val="es-ES" w:eastAsia="en-US"/>
        </w:rPr>
        <w:t xml:space="preserve">5. Nápoles Mengana JL, Lagar Ávila AA, Ramos </w:t>
      </w:r>
      <w:proofErr w:type="spellStart"/>
      <w:r w:rsidRPr="003E2A99">
        <w:rPr>
          <w:rFonts w:eastAsia="Calibri"/>
          <w:bCs/>
          <w:color w:val="000000"/>
          <w:lang w:val="es-ES" w:eastAsia="en-US"/>
        </w:rPr>
        <w:t>Hechavarría</w:t>
      </w:r>
      <w:proofErr w:type="spellEnd"/>
      <w:r w:rsidRPr="003E2A99">
        <w:rPr>
          <w:rFonts w:eastAsia="Calibri"/>
          <w:bCs/>
          <w:color w:val="000000"/>
          <w:lang w:val="es-ES" w:eastAsia="en-US"/>
        </w:rPr>
        <w:t xml:space="preserve"> L. Luxación femorotibial abierta con fractura de rótula y tibia. Rev. Cubana </w:t>
      </w:r>
      <w:proofErr w:type="spellStart"/>
      <w:r w:rsidRPr="003E2A99">
        <w:rPr>
          <w:rFonts w:eastAsia="Calibri"/>
          <w:bCs/>
          <w:color w:val="000000"/>
          <w:lang w:val="es-ES" w:eastAsia="en-US"/>
        </w:rPr>
        <w:t>Med</w:t>
      </w:r>
      <w:proofErr w:type="spellEnd"/>
      <w:r w:rsidRPr="003E2A99">
        <w:rPr>
          <w:rFonts w:eastAsia="Calibri"/>
          <w:bCs/>
          <w:color w:val="000000"/>
          <w:lang w:val="es-ES" w:eastAsia="en-US"/>
        </w:rPr>
        <w:t xml:space="preserve">. </w:t>
      </w:r>
      <w:proofErr w:type="spellStart"/>
      <w:r w:rsidRPr="003E2A99">
        <w:rPr>
          <w:rFonts w:eastAsia="Calibri"/>
          <w:bCs/>
          <w:color w:val="000000"/>
          <w:lang w:val="es-ES" w:eastAsia="en-US"/>
        </w:rPr>
        <w:t>Milit</w:t>
      </w:r>
      <w:proofErr w:type="spellEnd"/>
      <w:r w:rsidRPr="003E2A99">
        <w:rPr>
          <w:rFonts w:eastAsia="Calibri"/>
          <w:bCs/>
          <w:color w:val="000000"/>
          <w:lang w:val="es-ES" w:eastAsia="en-US"/>
        </w:rPr>
        <w:t>. Cuba. 2021</w:t>
      </w:r>
      <w:r w:rsidRPr="003E2A99">
        <w:rPr>
          <w:rFonts w:eastAsia="Calibri"/>
          <w:bCs/>
          <w:lang w:val="es-ES" w:eastAsia="en-US"/>
        </w:rPr>
        <w:t xml:space="preserve"> </w:t>
      </w:r>
      <w:r w:rsidRPr="003E2A99">
        <w:rPr>
          <w:rFonts w:eastAsia="Calibri"/>
          <w:lang w:val="es-ES" w:eastAsia="en-US"/>
        </w:rPr>
        <w:t xml:space="preserve">[acceso: 11/12/2021]; 50(4): e02101372. Disponible en:  </w:t>
      </w:r>
      <w:hyperlink r:id="rId19" w:history="1">
        <w:r w:rsidRPr="003E2A99">
          <w:rPr>
            <w:rFonts w:eastAsia="Calibri"/>
            <w:color w:val="0563C1"/>
            <w:u w:val="single"/>
            <w:lang w:val="es-ES" w:eastAsia="en-US"/>
          </w:rPr>
          <w:t>http://revmedmilitar.sld.cu/index.php/mil/article/view/1372/1063</w:t>
        </w:r>
      </w:hyperlink>
    </w:p>
    <w:p w14:paraId="140E319D" w14:textId="77777777" w:rsidR="003E2A99" w:rsidRPr="003E2A99" w:rsidRDefault="003E2A99" w:rsidP="003E2A99">
      <w:pPr>
        <w:spacing w:line="360" w:lineRule="auto"/>
        <w:rPr>
          <w:rFonts w:eastAsia="Calibri"/>
          <w:color w:val="FF0000"/>
          <w:lang w:val="es-ES" w:eastAsia="en-US"/>
        </w:rPr>
      </w:pPr>
      <w:r w:rsidRPr="003E2A99">
        <w:rPr>
          <w:rFonts w:eastAsia="Calibri"/>
          <w:bCs/>
          <w:color w:val="000000"/>
          <w:lang w:val="es-ES" w:eastAsia="en-US"/>
        </w:rPr>
        <w:t xml:space="preserve">6. Hernández Valera D, Pancorbo Sandoval E, </w:t>
      </w:r>
      <w:r w:rsidRPr="003E2A99">
        <w:rPr>
          <w:rFonts w:eastAsia="Calibri"/>
          <w:lang w:val="es-ES" w:eastAsia="en-US"/>
        </w:rPr>
        <w:t xml:space="preserve">Delgado Quiñones A, Echevarría Borges Y, Quesada Pérez JA, Díaz Prieto G. Tratamiento de pseudoartrosis séptica de tibia secundaria a fractura expuesta. A prepósito de un caso. </w:t>
      </w:r>
      <w:proofErr w:type="spellStart"/>
      <w:r w:rsidRPr="003E2A99">
        <w:rPr>
          <w:rFonts w:eastAsia="Calibri"/>
          <w:lang w:val="es-ES" w:eastAsia="en-US"/>
        </w:rPr>
        <w:t>Rev</w:t>
      </w:r>
      <w:proofErr w:type="spellEnd"/>
      <w:r w:rsidRPr="003E2A99">
        <w:rPr>
          <w:rFonts w:eastAsia="Calibri"/>
          <w:lang w:val="es-ES" w:eastAsia="en-US"/>
        </w:rPr>
        <w:t xml:space="preserve"> </w:t>
      </w:r>
      <w:proofErr w:type="spellStart"/>
      <w:r w:rsidRPr="003E2A99">
        <w:rPr>
          <w:rFonts w:eastAsia="Calibri"/>
          <w:lang w:val="es-ES" w:eastAsia="en-US"/>
        </w:rPr>
        <w:t>Med</w:t>
      </w:r>
      <w:proofErr w:type="spellEnd"/>
      <w:r w:rsidRPr="003E2A99">
        <w:rPr>
          <w:rFonts w:eastAsia="Calibri"/>
          <w:lang w:val="es-ES" w:eastAsia="en-US"/>
        </w:rPr>
        <w:t xml:space="preserve"> </w:t>
      </w:r>
      <w:proofErr w:type="spellStart"/>
      <w:r w:rsidRPr="003E2A99">
        <w:rPr>
          <w:rFonts w:eastAsia="Calibri"/>
          <w:lang w:val="es-ES" w:eastAsia="en-US"/>
        </w:rPr>
        <w:t>Electron</w:t>
      </w:r>
      <w:proofErr w:type="spellEnd"/>
      <w:r w:rsidRPr="003E2A99">
        <w:rPr>
          <w:rFonts w:eastAsia="Calibri"/>
          <w:lang w:val="es-ES" w:eastAsia="en-US"/>
        </w:rPr>
        <w:t xml:space="preserve">. 2021 [acceso: 11/12/2021]; 43(5): 1436-44. Disponible en: </w:t>
      </w:r>
      <w:hyperlink r:id="rId20" w:history="1">
        <w:r w:rsidRPr="003E2A99">
          <w:rPr>
            <w:rFonts w:eastAsia="Calibri"/>
            <w:color w:val="0563C1"/>
            <w:u w:val="single"/>
            <w:lang w:val="es-ES" w:eastAsia="en-US"/>
          </w:rPr>
          <w:t>http://scielo.sld.cu/pdf/rme/v43n5/1684-1824-rme-43-05-1436.pdf</w:t>
        </w:r>
      </w:hyperlink>
    </w:p>
    <w:p w14:paraId="7F922195" w14:textId="77777777" w:rsidR="003E2A99" w:rsidRPr="003E2A99" w:rsidRDefault="003E2A99" w:rsidP="003E2A99">
      <w:pPr>
        <w:spacing w:line="360" w:lineRule="auto"/>
        <w:rPr>
          <w:rFonts w:eastAsia="Calibri"/>
          <w:color w:val="FF0000"/>
          <w:lang w:val="es-ES" w:eastAsia="en-US"/>
        </w:rPr>
      </w:pPr>
      <w:r w:rsidRPr="003E2A99">
        <w:rPr>
          <w:rFonts w:eastAsia="Calibri"/>
          <w:bCs/>
          <w:color w:val="000000"/>
          <w:lang w:val="es-ES" w:eastAsia="en-US"/>
        </w:rPr>
        <w:t xml:space="preserve">7. </w:t>
      </w:r>
      <w:r w:rsidRPr="003E2A99">
        <w:rPr>
          <w:rFonts w:eastAsia="Calibri"/>
          <w:lang w:val="es-ES" w:eastAsia="en-US"/>
        </w:rPr>
        <w:t xml:space="preserve">Amigo Castañeda P, Rodríguez Díaz M, Oliver Martín A, Domínguez Llama JL, Amigo Rodríguez PA. Lesión traumática expuesta, compleja y grave de tibia, tratada con fijador externo Álvarez Cambras. </w:t>
      </w:r>
      <w:proofErr w:type="spellStart"/>
      <w:r w:rsidRPr="003E2A99">
        <w:rPr>
          <w:rFonts w:eastAsia="Calibri"/>
          <w:lang w:val="es-ES" w:eastAsia="en-US"/>
        </w:rPr>
        <w:t>Rev</w:t>
      </w:r>
      <w:proofErr w:type="spellEnd"/>
      <w:r w:rsidRPr="003E2A99">
        <w:rPr>
          <w:rFonts w:eastAsia="Calibri"/>
          <w:lang w:val="es-ES" w:eastAsia="en-US"/>
        </w:rPr>
        <w:t xml:space="preserve"> </w:t>
      </w:r>
      <w:proofErr w:type="spellStart"/>
      <w:r w:rsidRPr="003E2A99">
        <w:rPr>
          <w:rFonts w:eastAsia="Calibri"/>
          <w:lang w:val="es-ES" w:eastAsia="en-US"/>
        </w:rPr>
        <w:t>Med</w:t>
      </w:r>
      <w:proofErr w:type="spellEnd"/>
      <w:r w:rsidRPr="003E2A99">
        <w:rPr>
          <w:rFonts w:eastAsia="Calibri"/>
          <w:lang w:val="es-ES" w:eastAsia="en-US"/>
        </w:rPr>
        <w:t xml:space="preserve"> </w:t>
      </w:r>
      <w:proofErr w:type="spellStart"/>
      <w:r w:rsidRPr="003E2A99">
        <w:rPr>
          <w:rFonts w:eastAsia="Calibri"/>
          <w:lang w:val="es-ES" w:eastAsia="en-US"/>
        </w:rPr>
        <w:t>Electron</w:t>
      </w:r>
      <w:proofErr w:type="spellEnd"/>
      <w:r w:rsidRPr="003E2A99">
        <w:rPr>
          <w:rFonts w:eastAsia="Calibri"/>
          <w:lang w:val="es-ES" w:eastAsia="en-US"/>
        </w:rPr>
        <w:t xml:space="preserve">. 2021 [acceso: 11/12/2021]; 43(4): [aprox. 10 p]. Disponible en:  </w:t>
      </w:r>
      <w:hyperlink r:id="rId21" w:history="1">
        <w:r w:rsidRPr="003E2A99">
          <w:rPr>
            <w:rFonts w:eastAsia="Calibri"/>
            <w:color w:val="0563C1"/>
            <w:u w:val="single"/>
            <w:lang w:val="es-ES" w:eastAsia="en-US"/>
          </w:rPr>
          <w:t>http://scielo.sld.cu/scielo.php?pid=S1684-18242021000401118&amp;script=sci_arttext&amp;tlng=pt</w:t>
        </w:r>
      </w:hyperlink>
    </w:p>
    <w:p w14:paraId="241F5142" w14:textId="77777777" w:rsidR="003E2A99" w:rsidRPr="003E2A99" w:rsidRDefault="003E2A99" w:rsidP="003E2A99">
      <w:pPr>
        <w:spacing w:line="360" w:lineRule="auto"/>
        <w:rPr>
          <w:rFonts w:eastAsia="Calibri"/>
          <w:lang w:val="es-ES" w:eastAsia="en-US"/>
        </w:rPr>
      </w:pPr>
      <w:r w:rsidRPr="003E2A99">
        <w:rPr>
          <w:rFonts w:eastAsia="Calibri"/>
          <w:bCs/>
          <w:lang w:val="es-ES" w:eastAsia="en-US"/>
        </w:rPr>
        <w:t xml:space="preserve">8. </w:t>
      </w:r>
      <w:proofErr w:type="spellStart"/>
      <w:r w:rsidRPr="003E2A99">
        <w:rPr>
          <w:rFonts w:eastAsia="Calibri"/>
          <w:lang w:val="es-ES" w:eastAsia="en-US"/>
        </w:rPr>
        <w:t>Filippini</w:t>
      </w:r>
      <w:proofErr w:type="spellEnd"/>
      <w:r w:rsidRPr="003E2A99">
        <w:rPr>
          <w:rFonts w:eastAsia="Calibri"/>
          <w:lang w:val="es-ES" w:eastAsia="en-US"/>
        </w:rPr>
        <w:t xml:space="preserve"> J, Bianchi G, Filomeno P. </w:t>
      </w:r>
      <w:r w:rsidRPr="003E2A99">
        <w:rPr>
          <w:rFonts w:eastAsia="Calibri"/>
          <w:bCs/>
          <w:lang w:val="es-ES" w:eastAsia="en-US"/>
        </w:rPr>
        <w:t xml:space="preserve">Actualización en el manejo de fracturas abiertas. Prevención de infección. Utilidad de cultivos de herida. Revisión Bibliográfica. </w:t>
      </w:r>
      <w:proofErr w:type="spellStart"/>
      <w:r w:rsidRPr="003E2A99">
        <w:rPr>
          <w:rFonts w:eastAsia="Calibri"/>
          <w:bCs/>
          <w:lang w:val="es-ES" w:eastAsia="en-US"/>
        </w:rPr>
        <w:t>An</w:t>
      </w:r>
      <w:proofErr w:type="spellEnd"/>
      <w:r w:rsidRPr="003E2A99">
        <w:rPr>
          <w:rFonts w:eastAsia="Calibri"/>
          <w:bCs/>
          <w:lang w:val="es-ES" w:eastAsia="en-US"/>
        </w:rPr>
        <w:t xml:space="preserve"> </w:t>
      </w:r>
      <w:proofErr w:type="spellStart"/>
      <w:r w:rsidRPr="003E2A99">
        <w:rPr>
          <w:rFonts w:eastAsia="Calibri"/>
          <w:bCs/>
          <w:lang w:val="es-ES" w:eastAsia="en-US"/>
        </w:rPr>
        <w:t>Facult</w:t>
      </w:r>
      <w:proofErr w:type="spellEnd"/>
      <w:r w:rsidRPr="003E2A99">
        <w:rPr>
          <w:rFonts w:eastAsia="Calibri"/>
          <w:bCs/>
          <w:lang w:val="es-ES" w:eastAsia="en-US"/>
        </w:rPr>
        <w:t xml:space="preserve"> </w:t>
      </w:r>
      <w:proofErr w:type="spellStart"/>
      <w:r w:rsidRPr="003E2A99">
        <w:rPr>
          <w:rFonts w:eastAsia="Calibri"/>
          <w:bCs/>
          <w:lang w:val="es-ES" w:eastAsia="en-US"/>
        </w:rPr>
        <w:t>Med</w:t>
      </w:r>
      <w:proofErr w:type="spellEnd"/>
      <w:r w:rsidRPr="003E2A99">
        <w:rPr>
          <w:rFonts w:eastAsia="Calibri"/>
          <w:bCs/>
          <w:lang w:val="es-ES" w:eastAsia="en-US"/>
        </w:rPr>
        <w:t xml:space="preserve">. 2020 </w:t>
      </w:r>
      <w:r w:rsidRPr="003E2A99">
        <w:rPr>
          <w:rFonts w:eastAsia="Calibri"/>
          <w:lang w:val="es-ES" w:eastAsia="en-US"/>
        </w:rPr>
        <w:t xml:space="preserve">[acceso: 11/12/2021]; 7(2): e2020v7n2a2. Disponible en:  </w:t>
      </w:r>
      <w:hyperlink r:id="rId22" w:history="1">
        <w:r w:rsidRPr="003E2A99">
          <w:rPr>
            <w:rFonts w:eastAsia="Calibri"/>
            <w:color w:val="0563C1"/>
            <w:u w:val="single"/>
            <w:lang w:val="es-ES" w:eastAsia="en-US"/>
          </w:rPr>
          <w:t>http://www.scielo.edu.uy/pdf/afm/v7n2/2301-1254-afm-7-02-e301.pdf</w:t>
        </w:r>
      </w:hyperlink>
    </w:p>
    <w:p w14:paraId="607D1BD4" w14:textId="77777777" w:rsidR="003E2A99" w:rsidRPr="003E2A99" w:rsidRDefault="003E2A99" w:rsidP="003E2A99">
      <w:pPr>
        <w:spacing w:line="360" w:lineRule="auto"/>
        <w:rPr>
          <w:rFonts w:eastAsia="Calibri"/>
          <w:bCs/>
          <w:i/>
          <w:iCs/>
          <w:lang w:val="es-ES" w:eastAsia="en-US"/>
        </w:rPr>
      </w:pPr>
      <w:r w:rsidRPr="003E2A99">
        <w:rPr>
          <w:rFonts w:eastAsia="Calibri"/>
          <w:bCs/>
          <w:lang w:val="es-ES" w:eastAsia="en-US"/>
        </w:rPr>
        <w:t xml:space="preserve">9. </w:t>
      </w:r>
      <w:proofErr w:type="spellStart"/>
      <w:r w:rsidRPr="003E2A99">
        <w:rPr>
          <w:rFonts w:eastAsia="Calibri"/>
          <w:bCs/>
          <w:lang w:val="es-ES" w:eastAsia="en-US"/>
        </w:rPr>
        <w:t>Shiraishi</w:t>
      </w:r>
      <w:proofErr w:type="spellEnd"/>
      <w:r w:rsidRPr="003E2A99">
        <w:rPr>
          <w:rFonts w:eastAsia="Calibri"/>
          <w:bCs/>
          <w:lang w:val="es-ES" w:eastAsia="en-US"/>
        </w:rPr>
        <w:t xml:space="preserve"> Zapata CJ, Lozada Zapata AR. Análisis epidemiológico de las fracturas abiertas de miembros inferiores en adultos atendidos en un hospital peruano. </w:t>
      </w:r>
      <w:proofErr w:type="spellStart"/>
      <w:r w:rsidRPr="003E2A99">
        <w:rPr>
          <w:rFonts w:eastAsia="Calibri"/>
          <w:bCs/>
          <w:iCs/>
          <w:lang w:val="es-ES" w:eastAsia="en-US"/>
        </w:rPr>
        <w:t>An</w:t>
      </w:r>
      <w:proofErr w:type="spellEnd"/>
      <w:r w:rsidRPr="003E2A99">
        <w:rPr>
          <w:rFonts w:eastAsia="Calibri"/>
          <w:bCs/>
          <w:iCs/>
          <w:lang w:val="es-ES" w:eastAsia="en-US"/>
        </w:rPr>
        <w:t xml:space="preserve"> </w:t>
      </w:r>
      <w:proofErr w:type="spellStart"/>
      <w:r w:rsidRPr="003E2A99">
        <w:rPr>
          <w:rFonts w:eastAsia="Calibri"/>
          <w:bCs/>
          <w:iCs/>
          <w:lang w:val="es-ES" w:eastAsia="en-US"/>
        </w:rPr>
        <w:t>Fac</w:t>
      </w:r>
      <w:proofErr w:type="spellEnd"/>
      <w:r w:rsidRPr="003E2A99">
        <w:rPr>
          <w:rFonts w:eastAsia="Calibri"/>
          <w:bCs/>
          <w:iCs/>
          <w:lang w:val="es-ES" w:eastAsia="en-US"/>
        </w:rPr>
        <w:t xml:space="preserve"> </w:t>
      </w:r>
      <w:proofErr w:type="spellStart"/>
      <w:r w:rsidRPr="003E2A99">
        <w:rPr>
          <w:rFonts w:eastAsia="Calibri"/>
          <w:bCs/>
          <w:iCs/>
          <w:lang w:val="es-ES" w:eastAsia="en-US"/>
        </w:rPr>
        <w:t>Med</w:t>
      </w:r>
      <w:proofErr w:type="spellEnd"/>
      <w:r w:rsidRPr="003E2A99">
        <w:rPr>
          <w:rFonts w:eastAsia="Calibri"/>
          <w:bCs/>
          <w:iCs/>
          <w:lang w:val="es-ES" w:eastAsia="en-US"/>
        </w:rPr>
        <w:t xml:space="preserve">. 2019 </w:t>
      </w:r>
      <w:r w:rsidRPr="003E2A99">
        <w:rPr>
          <w:rFonts w:eastAsia="Calibri"/>
          <w:lang w:val="es-ES" w:eastAsia="en-US"/>
        </w:rPr>
        <w:t xml:space="preserve">[acceso: 11/12/2021]; </w:t>
      </w:r>
      <w:r w:rsidRPr="003E2A99">
        <w:rPr>
          <w:rFonts w:eastAsia="Calibri"/>
          <w:bCs/>
          <w:iCs/>
          <w:lang w:val="es-ES" w:eastAsia="en-US"/>
        </w:rPr>
        <w:t>80(4): 539-40.</w:t>
      </w:r>
      <w:r w:rsidRPr="003E2A99">
        <w:rPr>
          <w:rFonts w:eastAsia="Calibri"/>
          <w:bCs/>
          <w:i/>
          <w:iCs/>
          <w:lang w:val="es-ES" w:eastAsia="en-US"/>
        </w:rPr>
        <w:t xml:space="preserve"> </w:t>
      </w:r>
      <w:r w:rsidRPr="003E2A99">
        <w:rPr>
          <w:rFonts w:eastAsia="Calibri"/>
          <w:lang w:val="es-ES" w:eastAsia="en-US"/>
        </w:rPr>
        <w:t xml:space="preserve">Disponible en:  </w:t>
      </w:r>
      <w:hyperlink r:id="rId23" w:history="1">
        <w:r w:rsidRPr="003E2A99">
          <w:rPr>
            <w:rFonts w:eastAsia="Calibri"/>
            <w:color w:val="0563C1"/>
            <w:u w:val="single"/>
            <w:lang w:val="es-ES" w:eastAsia="en-US"/>
          </w:rPr>
          <w:t>http://www.scielo.org.pe/pdf/afm/v80n4/a22v80n4.pdf</w:t>
        </w:r>
      </w:hyperlink>
    </w:p>
    <w:p w14:paraId="3AA17F77" w14:textId="77777777" w:rsidR="003E2A99" w:rsidRPr="003E2A99" w:rsidRDefault="003E2A99" w:rsidP="003E2A99">
      <w:pPr>
        <w:spacing w:line="360" w:lineRule="auto"/>
        <w:rPr>
          <w:rFonts w:eastAsia="Calibri"/>
          <w:lang w:val="es-ES" w:eastAsia="en-US"/>
        </w:rPr>
      </w:pPr>
      <w:r w:rsidRPr="003E2A99">
        <w:rPr>
          <w:rFonts w:eastAsia="Calibri"/>
          <w:bCs/>
          <w:color w:val="000000"/>
          <w:lang w:val="es-ES" w:eastAsia="en-US"/>
        </w:rPr>
        <w:lastRenderedPageBreak/>
        <w:t xml:space="preserve">10. López-Durán Stern L. Fracturas abiertas y cerradas: clasificación, etiopatogenia, diagnóstico y tratamiento general. En:  Gómez Barrena E, Cordero Ampuero J. Traumatología y ortopedia. Generalidades. </w:t>
      </w:r>
      <w:r w:rsidRPr="003E2A99">
        <w:rPr>
          <w:rFonts w:eastAsia="Calibri"/>
          <w:lang w:val="es-ES" w:eastAsia="en-US"/>
        </w:rPr>
        <w:t>Barcelona: Elsevier; 2020. p. 161-77.</w:t>
      </w:r>
    </w:p>
    <w:p w14:paraId="60A3BDD6" w14:textId="77777777" w:rsidR="003E2A99" w:rsidRPr="003E2A99" w:rsidRDefault="003E2A99" w:rsidP="003E2A99">
      <w:pPr>
        <w:spacing w:line="360" w:lineRule="auto"/>
        <w:rPr>
          <w:rFonts w:eastAsia="Calibri"/>
          <w:lang w:val="es-ES" w:eastAsia="en-US"/>
        </w:rPr>
      </w:pPr>
      <w:r w:rsidRPr="003E2A99">
        <w:rPr>
          <w:rFonts w:eastAsia="Calibri"/>
          <w:bCs/>
          <w:color w:val="000000"/>
          <w:lang w:val="es-ES" w:eastAsia="en-US"/>
        </w:rPr>
        <w:t xml:space="preserve">11. Valderrama CO. Fracturas abiertas: tratamiento en el primer nivel. En: Uribe </w:t>
      </w:r>
      <w:proofErr w:type="spellStart"/>
      <w:r w:rsidRPr="003E2A99">
        <w:rPr>
          <w:rFonts w:eastAsia="Calibri"/>
          <w:bCs/>
          <w:color w:val="000000"/>
          <w:lang w:val="es-ES" w:eastAsia="en-US"/>
        </w:rPr>
        <w:t>Rios</w:t>
      </w:r>
      <w:proofErr w:type="spellEnd"/>
      <w:r w:rsidRPr="003E2A99">
        <w:rPr>
          <w:rFonts w:eastAsia="Calibri"/>
          <w:bCs/>
          <w:color w:val="000000"/>
          <w:lang w:val="es-ES" w:eastAsia="en-US"/>
        </w:rPr>
        <w:t xml:space="preserve"> A. Enfoque del trauma ortopédico.</w:t>
      </w:r>
      <w:r w:rsidRPr="003E2A99">
        <w:rPr>
          <w:rFonts w:eastAsia="Calibri"/>
          <w:lang w:val="es-ES" w:eastAsia="en-US"/>
        </w:rPr>
        <w:t xml:space="preserve"> Medellín: CID Fondo Editorial, </w:t>
      </w:r>
      <w:proofErr w:type="spellStart"/>
      <w:r w:rsidRPr="003E2A99">
        <w:rPr>
          <w:rFonts w:eastAsia="Calibri"/>
          <w:lang w:val="es-ES" w:eastAsia="en-US"/>
        </w:rPr>
        <w:t>Ecoe</w:t>
      </w:r>
      <w:proofErr w:type="spellEnd"/>
      <w:r w:rsidRPr="003E2A99">
        <w:rPr>
          <w:rFonts w:eastAsia="Calibri"/>
          <w:lang w:val="es-ES" w:eastAsia="en-US"/>
        </w:rPr>
        <w:t xml:space="preserve"> Ediciones; 2018. [aprox. 19 p.]. [acceso: 11/07/2021]. Disponible en: </w:t>
      </w:r>
      <w:hyperlink r:id="rId24" w:anchor="v=onepage&amp;q=tratamiento%20de%20fracturas%20abiertas&amp;f=false" w:history="1">
        <w:r w:rsidRPr="003E2A99">
          <w:rPr>
            <w:rFonts w:eastAsia="Calibri"/>
            <w:color w:val="0563C1"/>
            <w:u w:val="single"/>
            <w:lang w:val="es-ES" w:eastAsia="en-US"/>
          </w:rPr>
          <w:t>https://books.google.es/books?hl=es&amp;lr=&amp;id=C_ReDwAAQBAJ&amp;oi=fnd&amp;pg=PT84&amp;dq=tratamiento+de+fracturas+abiertas&amp;ots=US0kVwbo2C&amp;sig=Xfnkaf97NInNf50V9VqoD76D9iU#v=onepage&amp;q=tratamiento%20de%20fracturas%20abiertas&amp;f=false</w:t>
        </w:r>
      </w:hyperlink>
    </w:p>
    <w:p w14:paraId="04B6B122" w14:textId="77777777" w:rsidR="003E2A99" w:rsidRPr="003E2A99" w:rsidRDefault="003E2A99" w:rsidP="003E2A99">
      <w:pPr>
        <w:spacing w:line="360" w:lineRule="auto"/>
        <w:rPr>
          <w:rFonts w:eastAsia="Calibri"/>
          <w:color w:val="0563C1"/>
          <w:u w:val="single"/>
          <w:lang w:val="es-ES" w:eastAsia="en-US"/>
        </w:rPr>
      </w:pPr>
      <w:r w:rsidRPr="003E2A99">
        <w:rPr>
          <w:rFonts w:eastAsia="Calibri"/>
          <w:bCs/>
          <w:color w:val="000000"/>
          <w:lang w:val="es-MX" w:eastAsia="en-US"/>
        </w:rPr>
        <w:t xml:space="preserve">12. </w:t>
      </w:r>
      <w:r w:rsidRPr="003E2A99">
        <w:rPr>
          <w:rFonts w:eastAsia="Calibri"/>
          <w:lang w:val="es-ES" w:eastAsia="en-US"/>
        </w:rPr>
        <w:t xml:space="preserve">Ganchozo Pincay MM, Altamirano Olvera ChD, Patiño Andrade RP, Beltrán Bayas JA. Determinar las complicaciones de las fracturas expuestas de tibia en pacientes de 20-40 años en el hospital Teodoro Maldonado </w:t>
      </w:r>
      <w:proofErr w:type="spellStart"/>
      <w:r w:rsidRPr="003E2A99">
        <w:rPr>
          <w:rFonts w:eastAsia="Calibri"/>
          <w:lang w:val="es-ES" w:eastAsia="en-US"/>
        </w:rPr>
        <w:t>Carbo</w:t>
      </w:r>
      <w:proofErr w:type="spellEnd"/>
      <w:r w:rsidRPr="003E2A99">
        <w:rPr>
          <w:rFonts w:eastAsia="Calibri"/>
          <w:lang w:val="es-ES" w:eastAsia="en-US"/>
        </w:rPr>
        <w:t xml:space="preserve"> periodo 2014. </w:t>
      </w:r>
      <w:proofErr w:type="spellStart"/>
      <w:r w:rsidRPr="003E2A99">
        <w:rPr>
          <w:rFonts w:eastAsia="Calibri"/>
          <w:lang w:val="es-ES" w:eastAsia="en-US"/>
        </w:rPr>
        <w:t>Rev</w:t>
      </w:r>
      <w:proofErr w:type="spellEnd"/>
      <w:r w:rsidRPr="003E2A99">
        <w:rPr>
          <w:rFonts w:eastAsia="Calibri"/>
          <w:lang w:val="es-ES" w:eastAsia="en-US"/>
        </w:rPr>
        <w:t xml:space="preserve"> </w:t>
      </w:r>
      <w:proofErr w:type="spellStart"/>
      <w:r w:rsidRPr="003E2A99">
        <w:rPr>
          <w:rFonts w:eastAsia="Calibri"/>
          <w:lang w:val="es-ES" w:eastAsia="en-US"/>
        </w:rPr>
        <w:t>Cient</w:t>
      </w:r>
      <w:proofErr w:type="spellEnd"/>
      <w:r w:rsidRPr="003E2A99">
        <w:rPr>
          <w:rFonts w:eastAsia="Calibri"/>
          <w:lang w:val="es-ES" w:eastAsia="en-US"/>
        </w:rPr>
        <w:t xml:space="preserve"> </w:t>
      </w:r>
      <w:proofErr w:type="spellStart"/>
      <w:r w:rsidRPr="003E2A99">
        <w:rPr>
          <w:rFonts w:eastAsia="Calibri"/>
          <w:lang w:val="es-ES" w:eastAsia="en-US"/>
        </w:rPr>
        <w:t>Mund</w:t>
      </w:r>
      <w:proofErr w:type="spellEnd"/>
      <w:r w:rsidRPr="003E2A99">
        <w:rPr>
          <w:rFonts w:eastAsia="Calibri"/>
          <w:lang w:val="es-ES" w:eastAsia="en-US"/>
        </w:rPr>
        <w:t xml:space="preserve"> </w:t>
      </w:r>
      <w:proofErr w:type="spellStart"/>
      <w:r w:rsidRPr="003E2A99">
        <w:rPr>
          <w:rFonts w:eastAsia="Calibri"/>
          <w:lang w:val="es-ES" w:eastAsia="en-US"/>
        </w:rPr>
        <w:t>Invest</w:t>
      </w:r>
      <w:proofErr w:type="spellEnd"/>
      <w:r w:rsidRPr="003E2A99">
        <w:rPr>
          <w:rFonts w:eastAsia="Calibri"/>
          <w:lang w:val="es-ES" w:eastAsia="en-US"/>
        </w:rPr>
        <w:t xml:space="preserve"> </w:t>
      </w:r>
      <w:proofErr w:type="spellStart"/>
      <w:r w:rsidRPr="003E2A99">
        <w:rPr>
          <w:rFonts w:eastAsia="Calibri"/>
          <w:lang w:val="es-ES" w:eastAsia="en-US"/>
        </w:rPr>
        <w:t>Conoc</w:t>
      </w:r>
      <w:proofErr w:type="spellEnd"/>
      <w:r w:rsidRPr="003E2A99">
        <w:rPr>
          <w:rFonts w:eastAsia="Calibri"/>
          <w:lang w:val="es-ES" w:eastAsia="en-US"/>
        </w:rPr>
        <w:t xml:space="preserve">. 2019 [acceso: 11/07/2021]; 3(3): 807-23. Disponible en: </w:t>
      </w:r>
      <w:hyperlink r:id="rId25" w:history="1">
        <w:r w:rsidRPr="003E2A99">
          <w:rPr>
            <w:rFonts w:eastAsia="Calibri"/>
            <w:color w:val="0563C1"/>
            <w:u w:val="single"/>
            <w:lang w:val="es-ES" w:eastAsia="en-US"/>
          </w:rPr>
          <w:t>https://www.recimundo.com/~recimund/index.php/es/article/download/550/758</w:t>
        </w:r>
      </w:hyperlink>
    </w:p>
    <w:p w14:paraId="6FB61886" w14:textId="77777777" w:rsidR="003E2A99" w:rsidRPr="003E2A99" w:rsidRDefault="003E2A99" w:rsidP="003E2A99">
      <w:pPr>
        <w:spacing w:line="360" w:lineRule="auto"/>
        <w:rPr>
          <w:rFonts w:eastAsia="Calibri"/>
          <w:lang w:val="es-ES" w:eastAsia="en-US"/>
        </w:rPr>
      </w:pPr>
      <w:r w:rsidRPr="003E2A99">
        <w:rPr>
          <w:rFonts w:eastAsia="Calibri"/>
          <w:lang w:val="es-ES" w:eastAsia="en-US"/>
        </w:rPr>
        <w:t xml:space="preserve">13. Galván </w:t>
      </w:r>
      <w:proofErr w:type="spellStart"/>
      <w:r w:rsidRPr="003E2A99">
        <w:rPr>
          <w:rFonts w:eastAsia="Calibri"/>
          <w:lang w:val="es-ES" w:eastAsia="en-US"/>
        </w:rPr>
        <w:t>Valareso</w:t>
      </w:r>
      <w:proofErr w:type="spellEnd"/>
      <w:r w:rsidRPr="003E2A99">
        <w:rPr>
          <w:rFonts w:eastAsia="Calibri"/>
          <w:lang w:val="es-ES" w:eastAsia="en-US"/>
        </w:rPr>
        <w:t xml:space="preserve"> AG. Incidencia de fracturas en extremidades inferiores por accidente de tránsito, en pacientes de 18-50 años edad, atendidos por el personal prehospitalario del Cuerpo de Bomberos del Distrito Metropolitano de Quito, durante el periodo enero a diciembre del 2017 [Tesis de grado de Licenciada en Atención Prehospitalaria y en Emergencias]. Ecuador: Universidad Central de Ecuador; 2018. [acceso: 11/07/2021]. Disponible en: </w:t>
      </w:r>
      <w:hyperlink r:id="rId26" w:history="1">
        <w:r w:rsidRPr="003E2A99">
          <w:rPr>
            <w:rFonts w:eastAsia="Calibri"/>
            <w:color w:val="0563C1"/>
            <w:u w:val="single"/>
            <w:lang w:val="es-ES" w:eastAsia="en-US"/>
          </w:rPr>
          <w:t>http://www.dspace.uce.edu.ec/bitstream/25000/16429/1/T-UCE-0020-CDI-034.pdf</w:t>
        </w:r>
      </w:hyperlink>
    </w:p>
    <w:p w14:paraId="37D7CF35" w14:textId="77777777" w:rsidR="003E2A99" w:rsidRPr="003E2A99" w:rsidRDefault="003E2A99" w:rsidP="003E2A99">
      <w:pPr>
        <w:spacing w:line="360" w:lineRule="auto"/>
        <w:rPr>
          <w:rFonts w:eastAsia="Calibri"/>
          <w:lang w:val="es-ES" w:eastAsia="en-US"/>
        </w:rPr>
      </w:pPr>
      <w:r w:rsidRPr="003E2A99">
        <w:rPr>
          <w:rFonts w:eastAsia="Calibri"/>
          <w:lang w:val="es-ES" w:eastAsia="en-US"/>
        </w:rPr>
        <w:t xml:space="preserve">14. Waldo Saldaña JC. Aspectos epidemiológicos, clínicos y radiológicos de las fracturas de la tibia y peroné en pacientes mayores de 18 años en el Hospital II-2 Tarapoto. Enero 2014-diciembre 2018. [Tesis para Título Profesional de Médico Cirujano]. Perú: Universidad Nacional de San Martín, Facultad de Medicina Humana; 2020. [acceso: 11/07/2021]. Disponible en: </w:t>
      </w:r>
      <w:hyperlink r:id="rId27" w:history="1">
        <w:r w:rsidRPr="003E2A99">
          <w:rPr>
            <w:rFonts w:eastAsia="Calibri"/>
            <w:color w:val="0563C1"/>
            <w:u w:val="single"/>
            <w:lang w:val="es-ES" w:eastAsia="en-US"/>
          </w:rPr>
          <w:t>http://repositorio.unsm.edu.pe/bitstream/handle/11458/3793/MED.%20HUM.%20-%20Julio%20C%C3%A9sar%20Waldo%20Salda%C3%B1a%20.pdf?sequence=1</w:t>
        </w:r>
      </w:hyperlink>
    </w:p>
    <w:p w14:paraId="6D34E7E9" w14:textId="77777777" w:rsidR="003E2A99" w:rsidRPr="003E2A99" w:rsidRDefault="003E2A99" w:rsidP="003E2A99">
      <w:pPr>
        <w:autoSpaceDE w:val="0"/>
        <w:autoSpaceDN w:val="0"/>
        <w:adjustRightInd w:val="0"/>
        <w:spacing w:line="360" w:lineRule="auto"/>
        <w:rPr>
          <w:rFonts w:eastAsia="Calibri"/>
          <w:bCs/>
          <w:sz w:val="22"/>
          <w:szCs w:val="22"/>
          <w:lang w:val="es-ES" w:eastAsia="en-US"/>
        </w:rPr>
      </w:pPr>
      <w:r w:rsidRPr="003E2A99">
        <w:rPr>
          <w:rFonts w:eastAsia="Calibri"/>
          <w:lang w:val="es-ES" w:eastAsia="en-US"/>
        </w:rPr>
        <w:t xml:space="preserve">15. Ángel-Ruíz JF, Moreno F. </w:t>
      </w:r>
      <w:r w:rsidRPr="003E2A99">
        <w:rPr>
          <w:rFonts w:eastAsia="Calibri"/>
          <w:bCs/>
          <w:lang w:val="es-ES" w:eastAsia="en-US"/>
        </w:rPr>
        <w:t xml:space="preserve">Infección en las fracturas abiertas con cierre primario de </w:t>
      </w:r>
      <w:proofErr w:type="spellStart"/>
      <w:r w:rsidRPr="003E2A99">
        <w:rPr>
          <w:rFonts w:eastAsia="Calibri"/>
          <w:bCs/>
          <w:lang w:val="es-ES" w:eastAsia="en-US"/>
        </w:rPr>
        <w:t>laherida</w:t>
      </w:r>
      <w:proofErr w:type="spellEnd"/>
      <w:r w:rsidRPr="003E2A99">
        <w:rPr>
          <w:rFonts w:eastAsia="Calibri"/>
          <w:bCs/>
          <w:lang w:val="es-ES" w:eastAsia="en-US"/>
        </w:rPr>
        <w:t xml:space="preserve"> respecto al cierre diferido: Revisión de la literatura. </w:t>
      </w:r>
      <w:proofErr w:type="spellStart"/>
      <w:r w:rsidRPr="003E2A99">
        <w:rPr>
          <w:rFonts w:eastAsia="Calibri"/>
          <w:bCs/>
          <w:lang w:val="es-ES" w:eastAsia="en-US"/>
        </w:rPr>
        <w:t>Salutem</w:t>
      </w:r>
      <w:proofErr w:type="spellEnd"/>
      <w:r w:rsidRPr="003E2A99">
        <w:rPr>
          <w:rFonts w:eastAsia="Calibri"/>
          <w:bCs/>
          <w:lang w:val="es-ES" w:eastAsia="en-US"/>
        </w:rPr>
        <w:t xml:space="preserve"> </w:t>
      </w:r>
      <w:proofErr w:type="spellStart"/>
      <w:r w:rsidRPr="003E2A99">
        <w:rPr>
          <w:rFonts w:eastAsia="Calibri"/>
          <w:bCs/>
          <w:lang w:val="es-ES" w:eastAsia="en-US"/>
        </w:rPr>
        <w:t>Scientia</w:t>
      </w:r>
      <w:proofErr w:type="spellEnd"/>
      <w:r w:rsidRPr="003E2A99">
        <w:rPr>
          <w:rFonts w:eastAsia="Calibri"/>
          <w:bCs/>
          <w:lang w:val="es-ES" w:eastAsia="en-US"/>
        </w:rPr>
        <w:t xml:space="preserve"> </w:t>
      </w:r>
      <w:proofErr w:type="spellStart"/>
      <w:r w:rsidRPr="003E2A99">
        <w:rPr>
          <w:rFonts w:eastAsia="Calibri"/>
          <w:bCs/>
          <w:lang w:val="es-ES" w:eastAsia="en-US"/>
        </w:rPr>
        <w:t>Spiritus</w:t>
      </w:r>
      <w:proofErr w:type="spellEnd"/>
      <w:r w:rsidRPr="003E2A99">
        <w:rPr>
          <w:rFonts w:eastAsia="Calibri"/>
          <w:bCs/>
          <w:lang w:val="es-ES" w:eastAsia="en-US"/>
        </w:rPr>
        <w:t xml:space="preserve">. 2020 </w:t>
      </w:r>
      <w:r w:rsidRPr="003E2A99">
        <w:rPr>
          <w:rFonts w:eastAsia="Calibri"/>
          <w:lang w:val="es-ES" w:eastAsia="en-US"/>
        </w:rPr>
        <w:t xml:space="preserve">[acceso: 11/07/2021]; 6(2): 4-20. Disponible en: </w:t>
      </w:r>
      <w:hyperlink r:id="rId28" w:history="1">
        <w:r w:rsidRPr="003E2A99">
          <w:rPr>
            <w:rFonts w:eastAsia="Calibri"/>
            <w:color w:val="0563C1"/>
            <w:u w:val="single"/>
            <w:lang w:val="es-ES" w:eastAsia="en-US"/>
          </w:rPr>
          <w:t>https://www.researchgate.net/profile/Freddy-</w:t>
        </w:r>
        <w:r w:rsidRPr="003E2A99">
          <w:rPr>
            <w:rFonts w:eastAsia="Calibri"/>
            <w:color w:val="0563C1"/>
            <w:u w:val="single"/>
            <w:lang w:val="es-ES" w:eastAsia="en-US"/>
          </w:rPr>
          <w:lastRenderedPageBreak/>
          <w:t>Moreno/publication/348155344_Infeccion_en_las_fracturas_abiertas_con_cierre_primario_de_la_herida_respecto_al_cierre_diferido_Revision_de_la_literatura/links/5ff0e14945851553a014f90e/Infeccion-en-las-fracturas-abiertas-con-cierre-primario-de-la-herida-respecto-al-cierre-diferido-Revision-de-la-literatura.pdf</w:t>
        </w:r>
      </w:hyperlink>
    </w:p>
    <w:p w14:paraId="21B1D6AC" w14:textId="77777777" w:rsidR="003E2A99" w:rsidRPr="003E2A99" w:rsidRDefault="003E2A99" w:rsidP="003E2A99">
      <w:pPr>
        <w:autoSpaceDE w:val="0"/>
        <w:autoSpaceDN w:val="0"/>
        <w:adjustRightInd w:val="0"/>
        <w:spacing w:line="360" w:lineRule="auto"/>
        <w:rPr>
          <w:rFonts w:eastAsia="Calibri"/>
          <w:lang w:val="es-ES" w:eastAsia="en-US"/>
        </w:rPr>
      </w:pPr>
      <w:r w:rsidRPr="003E2A99">
        <w:rPr>
          <w:rFonts w:eastAsia="Calibri"/>
          <w:lang w:val="pt-BR" w:eastAsia="en-US"/>
        </w:rPr>
        <w:t xml:space="preserve">16. </w:t>
      </w:r>
      <w:proofErr w:type="spellStart"/>
      <w:r w:rsidRPr="003E2A99">
        <w:rPr>
          <w:rFonts w:eastAsia="Calibri"/>
          <w:lang w:val="pt-BR" w:eastAsia="en-US"/>
        </w:rPr>
        <w:t>Cordero</w:t>
      </w:r>
      <w:proofErr w:type="spellEnd"/>
      <w:r w:rsidRPr="003E2A99">
        <w:rPr>
          <w:rFonts w:eastAsia="Calibri"/>
          <w:lang w:val="pt-BR" w:eastAsia="en-US"/>
        </w:rPr>
        <w:t xml:space="preserve"> Arco VP, </w:t>
      </w:r>
      <w:proofErr w:type="spellStart"/>
      <w:r w:rsidRPr="003E2A99">
        <w:rPr>
          <w:rFonts w:eastAsia="Calibri"/>
          <w:lang w:val="pt-BR" w:eastAsia="en-US"/>
        </w:rPr>
        <w:t>Sullca</w:t>
      </w:r>
      <w:proofErr w:type="spellEnd"/>
      <w:r w:rsidRPr="003E2A99">
        <w:rPr>
          <w:rFonts w:eastAsia="Calibri"/>
          <w:lang w:val="pt-BR" w:eastAsia="en-US"/>
        </w:rPr>
        <w:t xml:space="preserve"> </w:t>
      </w:r>
      <w:proofErr w:type="spellStart"/>
      <w:r w:rsidRPr="003E2A99">
        <w:rPr>
          <w:rFonts w:eastAsia="Calibri"/>
          <w:lang w:val="es-ES" w:eastAsia="en-US"/>
        </w:rPr>
        <w:t>Callyahua</w:t>
      </w:r>
      <w:proofErr w:type="spellEnd"/>
      <w:r w:rsidRPr="003E2A99">
        <w:rPr>
          <w:rFonts w:eastAsia="Calibri"/>
          <w:lang w:val="es-ES" w:eastAsia="en-US"/>
        </w:rPr>
        <w:t xml:space="preserve"> A, Albornos Llanco LA. Complicaciones de acuerdo con la técnica quirúrgica, a propósito del artículo “Caracterización de fracturas abiertas de tibia”. </w:t>
      </w:r>
      <w:proofErr w:type="spellStart"/>
      <w:r w:rsidRPr="003E2A99">
        <w:rPr>
          <w:rFonts w:eastAsia="Calibri"/>
          <w:lang w:val="es-ES" w:eastAsia="en-US"/>
        </w:rPr>
        <w:t>Rev</w:t>
      </w:r>
      <w:proofErr w:type="spellEnd"/>
      <w:r w:rsidRPr="003E2A99">
        <w:rPr>
          <w:rFonts w:eastAsia="Calibri"/>
          <w:lang w:val="es-ES" w:eastAsia="en-US"/>
        </w:rPr>
        <w:t xml:space="preserve"> </w:t>
      </w:r>
      <w:proofErr w:type="spellStart"/>
      <w:r w:rsidRPr="003E2A99">
        <w:rPr>
          <w:rFonts w:eastAsia="Calibri"/>
          <w:lang w:val="es-ES" w:eastAsia="en-US"/>
        </w:rPr>
        <w:t>Cub</w:t>
      </w:r>
      <w:proofErr w:type="spellEnd"/>
      <w:r w:rsidRPr="003E2A99">
        <w:rPr>
          <w:rFonts w:eastAsia="Calibri"/>
          <w:lang w:val="es-ES" w:eastAsia="en-US"/>
        </w:rPr>
        <w:t xml:space="preserve"> </w:t>
      </w:r>
      <w:proofErr w:type="spellStart"/>
      <w:r w:rsidRPr="003E2A99">
        <w:rPr>
          <w:rFonts w:eastAsia="Calibri"/>
          <w:lang w:val="es-ES" w:eastAsia="en-US"/>
        </w:rPr>
        <w:t>Ortop</w:t>
      </w:r>
      <w:proofErr w:type="spellEnd"/>
      <w:r w:rsidRPr="003E2A99">
        <w:rPr>
          <w:rFonts w:eastAsia="Calibri"/>
          <w:lang w:val="es-ES" w:eastAsia="en-US"/>
        </w:rPr>
        <w:t xml:space="preserve"> y </w:t>
      </w:r>
      <w:proofErr w:type="spellStart"/>
      <w:r w:rsidRPr="003E2A99">
        <w:rPr>
          <w:rFonts w:eastAsia="Calibri"/>
          <w:lang w:val="es-ES" w:eastAsia="en-US"/>
        </w:rPr>
        <w:t>Traum</w:t>
      </w:r>
      <w:proofErr w:type="spellEnd"/>
      <w:r w:rsidRPr="003E2A99">
        <w:rPr>
          <w:rFonts w:eastAsia="Calibri"/>
          <w:lang w:val="es-ES" w:eastAsia="en-US"/>
        </w:rPr>
        <w:t>. 2021</w:t>
      </w:r>
      <w:r w:rsidRPr="003E2A99">
        <w:rPr>
          <w:rFonts w:eastAsia="Calibri"/>
          <w:bCs/>
          <w:lang w:val="es-ES" w:eastAsia="en-US"/>
        </w:rPr>
        <w:t xml:space="preserve"> </w:t>
      </w:r>
      <w:r w:rsidRPr="003E2A99">
        <w:rPr>
          <w:rFonts w:eastAsia="Calibri"/>
          <w:lang w:val="es-ES" w:eastAsia="en-US"/>
        </w:rPr>
        <w:t xml:space="preserve">[acceso: 11/12/2021]; 35(1): e44. Disponible en: </w:t>
      </w:r>
      <w:hyperlink r:id="rId29" w:history="1">
        <w:r w:rsidRPr="003E2A99">
          <w:rPr>
            <w:rFonts w:eastAsia="Calibri"/>
            <w:color w:val="0563C1"/>
            <w:u w:val="single"/>
            <w:lang w:val="es-ES" w:eastAsia="en-US"/>
          </w:rPr>
          <w:t>http://www.revortopedia.sld.cu/index.php/revortopedia/article/download/444/300</w:t>
        </w:r>
      </w:hyperlink>
    </w:p>
    <w:p w14:paraId="3E85563B" w14:textId="77777777" w:rsidR="003E2A99" w:rsidRPr="003E2A99" w:rsidRDefault="003E2A99" w:rsidP="003E2A99">
      <w:pPr>
        <w:spacing w:line="360" w:lineRule="auto"/>
        <w:rPr>
          <w:rFonts w:eastAsia="Calibri"/>
          <w:lang w:val="es-ES" w:eastAsia="en-US"/>
        </w:rPr>
      </w:pPr>
      <w:r w:rsidRPr="003E2A99">
        <w:rPr>
          <w:rFonts w:eastAsia="Calibri"/>
          <w:lang w:val="es-ES" w:eastAsia="en-US"/>
        </w:rPr>
        <w:t xml:space="preserve">17. </w:t>
      </w:r>
      <w:proofErr w:type="spellStart"/>
      <w:r w:rsidRPr="003E2A99">
        <w:rPr>
          <w:rFonts w:eastAsia="Calibri"/>
          <w:lang w:val="es-ES" w:eastAsia="en-US"/>
        </w:rPr>
        <w:t>Argencio</w:t>
      </w:r>
      <w:proofErr w:type="spellEnd"/>
      <w:r w:rsidRPr="003E2A99">
        <w:rPr>
          <w:rFonts w:eastAsia="Calibri"/>
          <w:lang w:val="es-ES" w:eastAsia="en-US"/>
        </w:rPr>
        <w:t xml:space="preserve"> Espinosa I, </w:t>
      </w:r>
      <w:proofErr w:type="spellStart"/>
      <w:r w:rsidRPr="003E2A99">
        <w:rPr>
          <w:rFonts w:eastAsia="Calibri"/>
          <w:lang w:val="es-ES" w:eastAsia="en-US"/>
        </w:rPr>
        <w:t>Argencio</w:t>
      </w:r>
      <w:proofErr w:type="spellEnd"/>
      <w:r w:rsidRPr="003E2A99">
        <w:rPr>
          <w:rFonts w:eastAsia="Calibri"/>
          <w:lang w:val="es-ES" w:eastAsia="en-US"/>
        </w:rPr>
        <w:t xml:space="preserve"> </w:t>
      </w:r>
      <w:proofErr w:type="spellStart"/>
      <w:r w:rsidRPr="003E2A99">
        <w:rPr>
          <w:rFonts w:eastAsia="Calibri"/>
          <w:lang w:val="es-ES" w:eastAsia="en-US"/>
        </w:rPr>
        <w:t>Goncalvez</w:t>
      </w:r>
      <w:proofErr w:type="spellEnd"/>
      <w:r w:rsidRPr="003E2A99">
        <w:rPr>
          <w:rFonts w:eastAsia="Calibri"/>
          <w:lang w:val="es-ES" w:eastAsia="en-US"/>
        </w:rPr>
        <w:t xml:space="preserve"> M, Vaca Romero L. Estudio comparativo del </w:t>
      </w:r>
      <w:proofErr w:type="spellStart"/>
      <w:r w:rsidRPr="003E2A99">
        <w:rPr>
          <w:rFonts w:eastAsia="Calibri"/>
          <w:lang w:val="es-ES" w:eastAsia="en-US"/>
        </w:rPr>
        <w:t>enclavijamiento</w:t>
      </w:r>
      <w:proofErr w:type="spellEnd"/>
      <w:r w:rsidRPr="003E2A99">
        <w:rPr>
          <w:rFonts w:eastAsia="Calibri"/>
          <w:lang w:val="es-ES" w:eastAsia="en-US"/>
        </w:rPr>
        <w:t xml:space="preserve"> intramedular bloqueado con clavo de </w:t>
      </w:r>
      <w:proofErr w:type="spellStart"/>
      <w:r w:rsidRPr="003E2A99">
        <w:rPr>
          <w:rFonts w:eastAsia="Calibri"/>
          <w:lang w:val="es-ES" w:eastAsia="en-US"/>
        </w:rPr>
        <w:t>Ortofix</w:t>
      </w:r>
      <w:proofErr w:type="spellEnd"/>
      <w:r w:rsidRPr="003E2A99">
        <w:rPr>
          <w:rFonts w:eastAsia="Calibri"/>
          <w:lang w:val="es-ES" w:eastAsia="en-US"/>
        </w:rPr>
        <w:t xml:space="preserve"> vs clavo AO para tratamiento de las fracturas de </w:t>
      </w:r>
      <w:proofErr w:type="spellStart"/>
      <w:r w:rsidRPr="003E2A99">
        <w:rPr>
          <w:rFonts w:eastAsia="Calibri"/>
          <w:lang w:val="es-ES" w:eastAsia="en-US"/>
        </w:rPr>
        <w:t>diafisiarias</w:t>
      </w:r>
      <w:proofErr w:type="spellEnd"/>
      <w:r w:rsidRPr="003E2A99">
        <w:rPr>
          <w:rFonts w:eastAsia="Calibri"/>
          <w:lang w:val="es-ES" w:eastAsia="en-US"/>
        </w:rPr>
        <w:t xml:space="preserve"> de tibia. </w:t>
      </w:r>
      <w:proofErr w:type="spellStart"/>
      <w:r w:rsidRPr="003E2A99">
        <w:rPr>
          <w:rFonts w:eastAsia="Calibri"/>
          <w:lang w:val="es-ES" w:eastAsia="en-US"/>
        </w:rPr>
        <w:t>Rev</w:t>
      </w:r>
      <w:proofErr w:type="spellEnd"/>
      <w:r w:rsidRPr="003E2A99">
        <w:rPr>
          <w:rFonts w:eastAsia="Calibri"/>
          <w:lang w:val="es-ES" w:eastAsia="en-US"/>
        </w:rPr>
        <w:t xml:space="preserve"> </w:t>
      </w:r>
      <w:proofErr w:type="spellStart"/>
      <w:r w:rsidRPr="003E2A99">
        <w:rPr>
          <w:rFonts w:eastAsia="Calibri"/>
          <w:lang w:val="es-ES" w:eastAsia="en-US"/>
        </w:rPr>
        <w:t>Ecuat</w:t>
      </w:r>
      <w:proofErr w:type="spellEnd"/>
      <w:r w:rsidRPr="003E2A99">
        <w:rPr>
          <w:rFonts w:eastAsia="Calibri"/>
          <w:lang w:val="es-ES" w:eastAsia="en-US"/>
        </w:rPr>
        <w:t xml:space="preserve"> </w:t>
      </w:r>
      <w:proofErr w:type="spellStart"/>
      <w:r w:rsidRPr="003E2A99">
        <w:rPr>
          <w:rFonts w:eastAsia="Calibri"/>
          <w:lang w:val="es-ES" w:eastAsia="en-US"/>
        </w:rPr>
        <w:t>Ortop</w:t>
      </w:r>
      <w:proofErr w:type="spellEnd"/>
      <w:r w:rsidRPr="003E2A99">
        <w:rPr>
          <w:rFonts w:eastAsia="Calibri"/>
          <w:lang w:val="es-ES" w:eastAsia="en-US"/>
        </w:rPr>
        <w:t xml:space="preserve"> y </w:t>
      </w:r>
      <w:proofErr w:type="spellStart"/>
      <w:r w:rsidRPr="003E2A99">
        <w:rPr>
          <w:rFonts w:eastAsia="Calibri"/>
          <w:lang w:val="es-ES" w:eastAsia="en-US"/>
        </w:rPr>
        <w:t>Traum</w:t>
      </w:r>
      <w:proofErr w:type="spellEnd"/>
      <w:r w:rsidRPr="003E2A99">
        <w:rPr>
          <w:rFonts w:eastAsia="Calibri"/>
          <w:lang w:val="es-ES" w:eastAsia="en-US"/>
        </w:rPr>
        <w:t xml:space="preserve">.  2019 [acceso: 11/01/2021]; 8(2): 37-41. Disponible en: </w:t>
      </w:r>
      <w:hyperlink r:id="rId30" w:history="1">
        <w:r w:rsidRPr="003E2A99">
          <w:rPr>
            <w:rFonts w:eastAsia="Calibri"/>
            <w:color w:val="0563C1"/>
            <w:u w:val="single"/>
            <w:lang w:val="es-ES" w:eastAsia="en-US"/>
          </w:rPr>
          <w:t>http://revistacientificaseot.com/index.php/revseot/article/download/96/163</w:t>
        </w:r>
      </w:hyperlink>
    </w:p>
    <w:p w14:paraId="1C49F5CB" w14:textId="77777777" w:rsidR="003E2A99" w:rsidRPr="003E2A99" w:rsidRDefault="003E2A99" w:rsidP="003E2A99">
      <w:pPr>
        <w:spacing w:line="360" w:lineRule="auto"/>
        <w:rPr>
          <w:rFonts w:eastAsia="Calibri"/>
          <w:lang w:val="es-ES" w:eastAsia="en-US"/>
        </w:rPr>
      </w:pPr>
      <w:r w:rsidRPr="003E2A99">
        <w:rPr>
          <w:rFonts w:eastAsia="Calibri"/>
          <w:lang w:val="es-ES" w:eastAsia="en-US"/>
        </w:rPr>
        <w:t xml:space="preserve">18. </w:t>
      </w:r>
      <w:r w:rsidRPr="003E2A99">
        <w:rPr>
          <w:rFonts w:eastAsia="Calibri"/>
          <w:color w:val="000000"/>
          <w:lang w:val="es-ES" w:eastAsia="en-US"/>
        </w:rPr>
        <w:t xml:space="preserve">Vázquez Ribas E, Tabares Sáez H, Morales </w:t>
      </w:r>
      <w:proofErr w:type="spellStart"/>
      <w:r w:rsidRPr="003E2A99">
        <w:rPr>
          <w:rFonts w:eastAsia="Calibri"/>
          <w:color w:val="000000"/>
          <w:lang w:val="es-ES" w:eastAsia="en-US"/>
        </w:rPr>
        <w:t>Seife</w:t>
      </w:r>
      <w:proofErr w:type="spellEnd"/>
      <w:r w:rsidRPr="003E2A99">
        <w:rPr>
          <w:rFonts w:eastAsia="Calibri"/>
          <w:color w:val="000000"/>
          <w:lang w:val="es-ES" w:eastAsia="en-US"/>
        </w:rPr>
        <w:t xml:space="preserve"> R, Tabares </w:t>
      </w:r>
      <w:proofErr w:type="spellStart"/>
      <w:r w:rsidRPr="003E2A99">
        <w:rPr>
          <w:rFonts w:eastAsia="Calibri"/>
          <w:color w:val="000000"/>
          <w:lang w:val="es-ES" w:eastAsia="en-US"/>
        </w:rPr>
        <w:t>Neyra</w:t>
      </w:r>
      <w:proofErr w:type="spellEnd"/>
      <w:r w:rsidRPr="003E2A99">
        <w:rPr>
          <w:rFonts w:eastAsia="Calibri"/>
          <w:color w:val="000000"/>
          <w:lang w:val="es-ES" w:eastAsia="en-US"/>
        </w:rPr>
        <w:t xml:space="preserve"> HI. Caracterización de fracturas de tibia. </w:t>
      </w:r>
      <w:proofErr w:type="spellStart"/>
      <w:r w:rsidRPr="003E2A99">
        <w:rPr>
          <w:rFonts w:eastAsia="Calibri"/>
          <w:lang w:val="es-ES" w:eastAsia="en-US"/>
        </w:rPr>
        <w:t>Rev</w:t>
      </w:r>
      <w:proofErr w:type="spellEnd"/>
      <w:r w:rsidRPr="003E2A99">
        <w:rPr>
          <w:rFonts w:eastAsia="Calibri"/>
          <w:lang w:val="es-ES" w:eastAsia="en-US"/>
        </w:rPr>
        <w:t xml:space="preserve"> </w:t>
      </w:r>
      <w:proofErr w:type="spellStart"/>
      <w:r w:rsidRPr="003E2A99">
        <w:rPr>
          <w:rFonts w:eastAsia="Calibri"/>
          <w:lang w:val="es-ES" w:eastAsia="en-US"/>
        </w:rPr>
        <w:t>Cub</w:t>
      </w:r>
      <w:proofErr w:type="spellEnd"/>
      <w:r w:rsidRPr="003E2A99">
        <w:rPr>
          <w:rFonts w:eastAsia="Calibri"/>
          <w:lang w:val="es-ES" w:eastAsia="en-US"/>
        </w:rPr>
        <w:t xml:space="preserve"> </w:t>
      </w:r>
      <w:proofErr w:type="spellStart"/>
      <w:r w:rsidRPr="003E2A99">
        <w:rPr>
          <w:rFonts w:eastAsia="Calibri"/>
          <w:lang w:val="es-ES" w:eastAsia="en-US"/>
        </w:rPr>
        <w:t>Ortop</w:t>
      </w:r>
      <w:proofErr w:type="spellEnd"/>
      <w:r w:rsidRPr="003E2A99">
        <w:rPr>
          <w:rFonts w:eastAsia="Calibri"/>
          <w:lang w:val="es-ES" w:eastAsia="en-US"/>
        </w:rPr>
        <w:t xml:space="preserve"> y </w:t>
      </w:r>
      <w:proofErr w:type="spellStart"/>
      <w:r w:rsidRPr="003E2A99">
        <w:rPr>
          <w:rFonts w:eastAsia="Calibri"/>
          <w:lang w:val="es-ES" w:eastAsia="en-US"/>
        </w:rPr>
        <w:t>Traum</w:t>
      </w:r>
      <w:proofErr w:type="spellEnd"/>
      <w:r w:rsidRPr="003E2A99">
        <w:rPr>
          <w:rFonts w:eastAsia="Calibri"/>
          <w:lang w:val="es-ES" w:eastAsia="en-US"/>
        </w:rPr>
        <w:t xml:space="preserve">. 2021 [acceso: 11/12/2021]; 35(1): e306. Disponible en: </w:t>
      </w:r>
      <w:hyperlink r:id="rId31" w:history="1">
        <w:r w:rsidRPr="003E2A99">
          <w:rPr>
            <w:rFonts w:eastAsia="Calibri"/>
            <w:color w:val="0563C1"/>
            <w:u w:val="single"/>
            <w:lang w:val="es-ES" w:eastAsia="en-US"/>
          </w:rPr>
          <w:t>http://www.revortopedia.sld.cu/index.php/revortopedia/article/view/306</w:t>
        </w:r>
      </w:hyperlink>
    </w:p>
    <w:p w14:paraId="5C6736D9" w14:textId="77777777" w:rsidR="003E2A99" w:rsidRPr="003E2A99" w:rsidRDefault="003E2A99" w:rsidP="003E2A99">
      <w:pPr>
        <w:spacing w:line="360" w:lineRule="auto"/>
        <w:jc w:val="center"/>
        <w:rPr>
          <w:rFonts w:eastAsia="Calibri"/>
          <w:b/>
          <w:lang w:val="es-ES" w:eastAsia="en-US"/>
        </w:rPr>
      </w:pPr>
    </w:p>
    <w:p w14:paraId="7EB01552" w14:textId="77777777" w:rsidR="003E2A99" w:rsidRPr="003E2A99" w:rsidRDefault="003E2A99" w:rsidP="003E2A99">
      <w:pPr>
        <w:spacing w:line="360" w:lineRule="auto"/>
        <w:jc w:val="center"/>
        <w:rPr>
          <w:rFonts w:eastAsia="Calibri"/>
          <w:b/>
          <w:lang w:val="es-ES" w:eastAsia="en-US"/>
        </w:rPr>
      </w:pPr>
    </w:p>
    <w:p w14:paraId="442ED99C" w14:textId="77777777" w:rsidR="003E2A99" w:rsidRPr="003E2A99" w:rsidRDefault="003E2A99" w:rsidP="003E2A99">
      <w:pPr>
        <w:spacing w:line="360" w:lineRule="auto"/>
        <w:jc w:val="center"/>
        <w:rPr>
          <w:rFonts w:eastAsia="Calibri"/>
          <w:b/>
          <w:lang w:val="es-ES" w:eastAsia="en-US"/>
        </w:rPr>
      </w:pPr>
      <w:r w:rsidRPr="003E2A99">
        <w:rPr>
          <w:rFonts w:eastAsia="Calibri"/>
          <w:b/>
          <w:lang w:val="es-ES" w:eastAsia="en-US"/>
        </w:rPr>
        <w:t>Conflictos de interés</w:t>
      </w:r>
    </w:p>
    <w:p w14:paraId="545F0206" w14:textId="77777777" w:rsidR="003E2A99" w:rsidRPr="003E2A99" w:rsidRDefault="003E2A99" w:rsidP="003E2A99">
      <w:pPr>
        <w:spacing w:line="360" w:lineRule="auto"/>
        <w:rPr>
          <w:rFonts w:eastAsia="Calibri"/>
          <w:lang w:val="es-ES" w:eastAsia="en-US"/>
        </w:rPr>
      </w:pPr>
      <w:r w:rsidRPr="003E2A99">
        <w:rPr>
          <w:rFonts w:eastAsia="Calibri"/>
          <w:lang w:val="es-ES" w:eastAsia="en-US"/>
        </w:rPr>
        <w:t xml:space="preserve">Los autores no declaran tener conflictos de intereses. </w:t>
      </w:r>
    </w:p>
    <w:p w14:paraId="5BDD7D8A" w14:textId="77777777" w:rsidR="003E2A99" w:rsidRPr="003E2A99" w:rsidRDefault="003E2A99" w:rsidP="003E2A99">
      <w:pPr>
        <w:spacing w:line="360" w:lineRule="auto"/>
        <w:jc w:val="center"/>
        <w:rPr>
          <w:rFonts w:eastAsia="Calibri"/>
          <w:b/>
          <w:lang w:val="es-ES" w:eastAsia="en-US"/>
        </w:rPr>
      </w:pPr>
    </w:p>
    <w:p w14:paraId="5B25FD69" w14:textId="77777777" w:rsidR="003E2A99" w:rsidRPr="003E2A99" w:rsidRDefault="003E2A99" w:rsidP="003E2A99">
      <w:pPr>
        <w:spacing w:line="360" w:lineRule="auto"/>
        <w:jc w:val="center"/>
        <w:rPr>
          <w:rFonts w:eastAsia="Calibri"/>
          <w:b/>
          <w:lang w:val="es-ES" w:eastAsia="en-US"/>
        </w:rPr>
      </w:pPr>
      <w:r w:rsidRPr="003E2A99">
        <w:rPr>
          <w:rFonts w:eastAsia="Calibri"/>
          <w:b/>
          <w:lang w:val="es-ES" w:eastAsia="en-US"/>
        </w:rPr>
        <w:t>Contribuciones de los autores</w:t>
      </w:r>
    </w:p>
    <w:p w14:paraId="5B777CA9" w14:textId="77777777" w:rsidR="003E2A99" w:rsidRPr="003E2A99" w:rsidRDefault="003E2A99" w:rsidP="003E2A99">
      <w:pPr>
        <w:spacing w:line="360" w:lineRule="auto"/>
        <w:rPr>
          <w:rFonts w:eastAsia="Calibri"/>
          <w:bCs/>
          <w:i/>
          <w:iCs/>
          <w:lang w:val="es-ES" w:eastAsia="en-US"/>
        </w:rPr>
      </w:pPr>
      <w:r w:rsidRPr="003E2A99">
        <w:rPr>
          <w:rFonts w:eastAsia="Calibri"/>
          <w:bCs/>
          <w:lang w:val="es-ES" w:eastAsia="en-US"/>
        </w:rPr>
        <w:t xml:space="preserve">Conceptualización: </w:t>
      </w:r>
      <w:r w:rsidRPr="003E2A99">
        <w:rPr>
          <w:rFonts w:eastAsia="Calibri"/>
          <w:bCs/>
          <w:i/>
          <w:iCs/>
          <w:lang w:val="es-ES" w:eastAsia="en-US"/>
        </w:rPr>
        <w:t>Salvio Lázaro López de Quesada.</w:t>
      </w:r>
    </w:p>
    <w:p w14:paraId="11F63F3B" w14:textId="77777777" w:rsidR="003E2A99" w:rsidRPr="003E2A99" w:rsidRDefault="003E2A99" w:rsidP="003E2A99">
      <w:pPr>
        <w:spacing w:line="360" w:lineRule="auto"/>
        <w:rPr>
          <w:rFonts w:eastAsia="Calibri"/>
          <w:bCs/>
          <w:lang w:val="es-ES" w:eastAsia="en-US"/>
        </w:rPr>
      </w:pPr>
      <w:r w:rsidRPr="003E2A99">
        <w:rPr>
          <w:rFonts w:eastAsia="Calibri"/>
          <w:bCs/>
          <w:lang w:val="es-ES" w:eastAsia="en-US"/>
        </w:rPr>
        <w:t xml:space="preserve">Curación de datos: </w:t>
      </w:r>
      <w:r w:rsidRPr="003E2A99">
        <w:rPr>
          <w:rFonts w:eastAsia="Calibri"/>
          <w:bCs/>
          <w:i/>
          <w:iCs/>
          <w:lang w:val="es-ES" w:eastAsia="en-US"/>
        </w:rPr>
        <w:t xml:space="preserve">Salvio Lázaro López de Quesada, Edilberto </w:t>
      </w:r>
      <w:proofErr w:type="spellStart"/>
      <w:r w:rsidRPr="003E2A99">
        <w:rPr>
          <w:rFonts w:eastAsia="Calibri"/>
          <w:bCs/>
          <w:i/>
          <w:iCs/>
          <w:lang w:val="es-ES" w:eastAsia="en-US"/>
        </w:rPr>
        <w:t>Lanfernal</w:t>
      </w:r>
      <w:proofErr w:type="spellEnd"/>
      <w:r w:rsidRPr="003E2A99">
        <w:rPr>
          <w:rFonts w:eastAsia="Calibri"/>
          <w:bCs/>
          <w:i/>
          <w:iCs/>
          <w:lang w:val="es-ES" w:eastAsia="en-US"/>
        </w:rPr>
        <w:t xml:space="preserve"> Novo, José Luis </w:t>
      </w:r>
      <w:proofErr w:type="spellStart"/>
      <w:r w:rsidRPr="003E2A99">
        <w:rPr>
          <w:rFonts w:eastAsia="Calibri"/>
          <w:bCs/>
          <w:i/>
          <w:iCs/>
          <w:lang w:val="es-ES" w:eastAsia="en-US"/>
        </w:rPr>
        <w:t>Napoles</w:t>
      </w:r>
      <w:proofErr w:type="spellEnd"/>
      <w:r w:rsidRPr="003E2A99">
        <w:rPr>
          <w:rFonts w:eastAsia="Calibri"/>
          <w:bCs/>
          <w:i/>
          <w:iCs/>
          <w:lang w:val="es-ES" w:eastAsia="en-US"/>
        </w:rPr>
        <w:t xml:space="preserve"> Mengana.</w:t>
      </w:r>
    </w:p>
    <w:p w14:paraId="2EE47A20" w14:textId="77777777" w:rsidR="003E2A99" w:rsidRPr="003E2A99" w:rsidRDefault="003E2A99" w:rsidP="003E2A99">
      <w:pPr>
        <w:spacing w:line="360" w:lineRule="auto"/>
        <w:rPr>
          <w:rFonts w:eastAsia="Calibri"/>
          <w:bCs/>
          <w:lang w:val="en-US" w:eastAsia="en-US"/>
        </w:rPr>
      </w:pPr>
      <w:proofErr w:type="spellStart"/>
      <w:r w:rsidRPr="003E2A99">
        <w:rPr>
          <w:rFonts w:eastAsia="Calibri"/>
          <w:bCs/>
          <w:lang w:val="en-US" w:eastAsia="en-US"/>
        </w:rPr>
        <w:t>Análisis</w:t>
      </w:r>
      <w:proofErr w:type="spellEnd"/>
      <w:r w:rsidRPr="003E2A99">
        <w:rPr>
          <w:rFonts w:eastAsia="Calibri"/>
          <w:bCs/>
          <w:lang w:val="en-US" w:eastAsia="en-US"/>
        </w:rPr>
        <w:t xml:space="preserve"> formal: </w:t>
      </w:r>
      <w:proofErr w:type="spellStart"/>
      <w:r w:rsidRPr="003E2A99">
        <w:rPr>
          <w:rFonts w:eastAsia="Calibri"/>
          <w:bCs/>
          <w:i/>
          <w:iCs/>
          <w:lang w:val="en-US" w:eastAsia="en-US"/>
        </w:rPr>
        <w:t>Marilaicy</w:t>
      </w:r>
      <w:proofErr w:type="spellEnd"/>
      <w:r w:rsidRPr="003E2A99">
        <w:rPr>
          <w:rFonts w:eastAsia="Calibri"/>
          <w:bCs/>
          <w:i/>
          <w:iCs/>
          <w:lang w:val="en-US" w:eastAsia="en-US"/>
        </w:rPr>
        <w:t xml:space="preserve"> </w:t>
      </w:r>
      <w:proofErr w:type="spellStart"/>
      <w:r w:rsidRPr="003E2A99">
        <w:rPr>
          <w:rFonts w:eastAsia="Calibri"/>
          <w:bCs/>
          <w:i/>
          <w:iCs/>
          <w:lang w:val="en-US" w:eastAsia="en-US"/>
        </w:rPr>
        <w:t>Duconger</w:t>
      </w:r>
      <w:proofErr w:type="spellEnd"/>
      <w:r w:rsidRPr="003E2A99">
        <w:rPr>
          <w:rFonts w:eastAsia="Calibri"/>
          <w:bCs/>
          <w:i/>
          <w:iCs/>
          <w:lang w:val="en-US" w:eastAsia="en-US"/>
        </w:rPr>
        <w:t xml:space="preserve"> Danger.</w:t>
      </w:r>
    </w:p>
    <w:p w14:paraId="0E2DE03D" w14:textId="77777777" w:rsidR="003E2A99" w:rsidRPr="003E2A99" w:rsidRDefault="003E2A99" w:rsidP="003E2A99">
      <w:pPr>
        <w:spacing w:line="360" w:lineRule="auto"/>
        <w:rPr>
          <w:rFonts w:eastAsia="Calibri"/>
          <w:bCs/>
          <w:i/>
          <w:iCs/>
          <w:lang w:val="es-ES" w:eastAsia="en-US"/>
        </w:rPr>
      </w:pPr>
      <w:r w:rsidRPr="003E2A99">
        <w:rPr>
          <w:rFonts w:eastAsia="Calibri"/>
          <w:bCs/>
          <w:lang w:val="es-ES" w:eastAsia="en-US"/>
        </w:rPr>
        <w:t xml:space="preserve">Investigación: </w:t>
      </w:r>
      <w:r w:rsidRPr="003E2A99">
        <w:rPr>
          <w:rFonts w:eastAsia="Calibri"/>
          <w:bCs/>
          <w:i/>
          <w:iCs/>
          <w:lang w:val="es-ES" w:eastAsia="en-US"/>
        </w:rPr>
        <w:t xml:space="preserve">Salvio Lázaro López de Quesada, Edilberto </w:t>
      </w:r>
      <w:proofErr w:type="spellStart"/>
      <w:r w:rsidRPr="003E2A99">
        <w:rPr>
          <w:rFonts w:eastAsia="Calibri"/>
          <w:bCs/>
          <w:i/>
          <w:iCs/>
          <w:lang w:val="es-ES" w:eastAsia="en-US"/>
        </w:rPr>
        <w:t>Lanfernal</w:t>
      </w:r>
      <w:proofErr w:type="spellEnd"/>
      <w:r w:rsidRPr="003E2A99">
        <w:rPr>
          <w:rFonts w:eastAsia="Calibri"/>
          <w:bCs/>
          <w:i/>
          <w:iCs/>
          <w:lang w:val="es-ES" w:eastAsia="en-US"/>
        </w:rPr>
        <w:t xml:space="preserve"> Novo.</w:t>
      </w:r>
    </w:p>
    <w:p w14:paraId="110049FF" w14:textId="77777777" w:rsidR="003E2A99" w:rsidRPr="003E2A99" w:rsidRDefault="003E2A99" w:rsidP="003E2A99">
      <w:pPr>
        <w:spacing w:line="360" w:lineRule="auto"/>
        <w:rPr>
          <w:rFonts w:eastAsia="Calibri"/>
          <w:bCs/>
          <w:lang w:val="es-ES" w:eastAsia="en-US"/>
        </w:rPr>
      </w:pPr>
      <w:r w:rsidRPr="003E2A99">
        <w:rPr>
          <w:rFonts w:eastAsia="Calibri"/>
          <w:bCs/>
          <w:lang w:val="es-ES" w:eastAsia="en-US"/>
        </w:rPr>
        <w:t xml:space="preserve">Metodología: </w:t>
      </w:r>
      <w:proofErr w:type="spellStart"/>
      <w:r w:rsidRPr="003E2A99">
        <w:rPr>
          <w:rFonts w:eastAsia="Calibri"/>
          <w:bCs/>
          <w:i/>
          <w:iCs/>
          <w:lang w:val="es-ES" w:eastAsia="en-US"/>
        </w:rPr>
        <w:t>Marilaicy</w:t>
      </w:r>
      <w:proofErr w:type="spellEnd"/>
      <w:r w:rsidRPr="003E2A99">
        <w:rPr>
          <w:rFonts w:eastAsia="Calibri"/>
          <w:bCs/>
          <w:i/>
          <w:iCs/>
          <w:lang w:val="es-ES" w:eastAsia="en-US"/>
        </w:rPr>
        <w:t xml:space="preserve"> </w:t>
      </w:r>
      <w:proofErr w:type="spellStart"/>
      <w:r w:rsidRPr="003E2A99">
        <w:rPr>
          <w:rFonts w:eastAsia="Calibri"/>
          <w:bCs/>
          <w:i/>
          <w:iCs/>
          <w:lang w:val="es-ES" w:eastAsia="en-US"/>
        </w:rPr>
        <w:t>Duconger</w:t>
      </w:r>
      <w:proofErr w:type="spellEnd"/>
      <w:r w:rsidRPr="003E2A99">
        <w:rPr>
          <w:rFonts w:eastAsia="Calibri"/>
          <w:bCs/>
          <w:i/>
          <w:iCs/>
          <w:lang w:val="es-ES" w:eastAsia="en-US"/>
        </w:rPr>
        <w:t xml:space="preserve"> </w:t>
      </w:r>
      <w:proofErr w:type="spellStart"/>
      <w:r w:rsidRPr="003E2A99">
        <w:rPr>
          <w:rFonts w:eastAsia="Calibri"/>
          <w:bCs/>
          <w:i/>
          <w:iCs/>
          <w:lang w:val="es-ES" w:eastAsia="en-US"/>
        </w:rPr>
        <w:t>Danger</w:t>
      </w:r>
      <w:proofErr w:type="spellEnd"/>
      <w:r w:rsidRPr="003E2A99">
        <w:rPr>
          <w:rFonts w:eastAsia="Calibri"/>
          <w:bCs/>
          <w:i/>
          <w:iCs/>
          <w:lang w:val="es-ES" w:eastAsia="en-US"/>
        </w:rPr>
        <w:t>.</w:t>
      </w:r>
    </w:p>
    <w:p w14:paraId="53237A33" w14:textId="77777777" w:rsidR="003E2A99" w:rsidRPr="003E2A99" w:rsidRDefault="003E2A99" w:rsidP="003E2A99">
      <w:pPr>
        <w:spacing w:line="360" w:lineRule="auto"/>
        <w:rPr>
          <w:rFonts w:eastAsia="Calibri"/>
          <w:bCs/>
          <w:lang w:val="es-ES" w:eastAsia="en-US"/>
        </w:rPr>
      </w:pPr>
      <w:r w:rsidRPr="003E2A99">
        <w:rPr>
          <w:rFonts w:eastAsia="Calibri"/>
          <w:bCs/>
          <w:lang w:val="es-ES" w:eastAsia="en-US"/>
        </w:rPr>
        <w:t xml:space="preserve">Supervisión: </w:t>
      </w:r>
      <w:r w:rsidRPr="003E2A99">
        <w:rPr>
          <w:rFonts w:eastAsia="Calibri"/>
          <w:bCs/>
          <w:i/>
          <w:iCs/>
          <w:lang w:val="es-ES" w:eastAsia="en-US"/>
        </w:rPr>
        <w:t>Salvio Lázaro López de Quesada.</w:t>
      </w:r>
    </w:p>
    <w:p w14:paraId="1313EA12" w14:textId="77777777" w:rsidR="003E2A99" w:rsidRPr="003E2A99" w:rsidRDefault="003E2A99" w:rsidP="003E2A99">
      <w:pPr>
        <w:spacing w:line="360" w:lineRule="auto"/>
        <w:rPr>
          <w:rFonts w:eastAsia="Calibri"/>
          <w:bCs/>
          <w:lang w:val="es-ES" w:eastAsia="en-US"/>
        </w:rPr>
      </w:pPr>
      <w:r w:rsidRPr="003E2A99">
        <w:rPr>
          <w:rFonts w:eastAsia="Calibri"/>
          <w:bCs/>
          <w:lang w:val="es-ES" w:eastAsia="en-US"/>
        </w:rPr>
        <w:lastRenderedPageBreak/>
        <w:t xml:space="preserve">Validación: </w:t>
      </w:r>
      <w:r w:rsidRPr="003E2A99">
        <w:rPr>
          <w:rFonts w:eastAsia="Calibri"/>
          <w:bCs/>
          <w:i/>
          <w:iCs/>
          <w:lang w:val="es-ES" w:eastAsia="en-US"/>
        </w:rPr>
        <w:t xml:space="preserve">Celso Suárez </w:t>
      </w:r>
      <w:proofErr w:type="spellStart"/>
      <w:r w:rsidRPr="003E2A99">
        <w:rPr>
          <w:rFonts w:eastAsia="Calibri"/>
          <w:bCs/>
          <w:i/>
          <w:iCs/>
          <w:lang w:val="es-ES" w:eastAsia="en-US"/>
        </w:rPr>
        <w:t>Lescay</w:t>
      </w:r>
      <w:proofErr w:type="spellEnd"/>
      <w:r w:rsidRPr="003E2A99">
        <w:rPr>
          <w:rFonts w:eastAsia="Calibri"/>
          <w:bCs/>
          <w:i/>
          <w:iCs/>
          <w:lang w:val="es-ES" w:eastAsia="en-US"/>
        </w:rPr>
        <w:t>.</w:t>
      </w:r>
    </w:p>
    <w:p w14:paraId="7E076B75" w14:textId="77777777" w:rsidR="003E2A99" w:rsidRPr="003E2A99" w:rsidRDefault="003E2A99" w:rsidP="003E2A99">
      <w:pPr>
        <w:spacing w:line="360" w:lineRule="auto"/>
        <w:rPr>
          <w:rFonts w:eastAsia="Calibri"/>
          <w:bCs/>
          <w:lang w:val="es-ES" w:eastAsia="en-US"/>
        </w:rPr>
      </w:pPr>
      <w:r w:rsidRPr="003E2A99">
        <w:rPr>
          <w:rFonts w:eastAsia="Calibri"/>
          <w:bCs/>
          <w:lang w:val="es-ES" w:eastAsia="en-US"/>
        </w:rPr>
        <w:t xml:space="preserve">Redacción –borrador original: </w:t>
      </w:r>
      <w:r w:rsidRPr="003E2A99">
        <w:rPr>
          <w:rFonts w:eastAsia="Calibri"/>
          <w:bCs/>
          <w:i/>
          <w:iCs/>
          <w:lang w:val="es-ES" w:eastAsia="en-US"/>
        </w:rPr>
        <w:t>Salvio Lázaro López de Quesada.</w:t>
      </w:r>
    </w:p>
    <w:p w14:paraId="7DB26D2C" w14:textId="77777777" w:rsidR="003E2A99" w:rsidRPr="003E2A99" w:rsidRDefault="003E2A99" w:rsidP="003E2A99">
      <w:pPr>
        <w:spacing w:line="360" w:lineRule="auto"/>
        <w:rPr>
          <w:rFonts w:eastAsia="Calibri"/>
          <w:bCs/>
          <w:lang w:val="es-ES" w:eastAsia="en-US"/>
        </w:rPr>
      </w:pPr>
      <w:r w:rsidRPr="003E2A99">
        <w:rPr>
          <w:rFonts w:eastAsia="Calibri"/>
          <w:bCs/>
          <w:lang w:val="es-ES" w:eastAsia="en-US"/>
        </w:rPr>
        <w:t xml:space="preserve">Redacción –revisión y edición: </w:t>
      </w:r>
      <w:r w:rsidRPr="003E2A99">
        <w:rPr>
          <w:rFonts w:eastAsia="Calibri"/>
          <w:bCs/>
          <w:i/>
          <w:iCs/>
          <w:lang w:val="es-ES" w:eastAsia="en-US"/>
        </w:rPr>
        <w:t>José Luis Nápoles Mengana.</w:t>
      </w:r>
    </w:p>
    <w:p w14:paraId="09AAD192" w14:textId="77777777" w:rsidR="00675476" w:rsidRPr="003E2A99" w:rsidRDefault="00675476" w:rsidP="00EA1FEF">
      <w:pPr>
        <w:pStyle w:val="PDFRevista"/>
        <w:rPr>
          <w:lang w:val="es-ES"/>
        </w:rPr>
      </w:pPr>
    </w:p>
    <w:sectPr w:rsidR="00675476" w:rsidRPr="003E2A99" w:rsidSect="00FD3DF8">
      <w:headerReference w:type="default" r:id="rId32"/>
      <w:footerReference w:type="even" r:id="rId33"/>
      <w:footerReference w:type="default" r:id="rId34"/>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C623B" w14:textId="77777777" w:rsidR="00F46BFE" w:rsidRDefault="00F46BFE">
      <w:r>
        <w:separator/>
      </w:r>
    </w:p>
  </w:endnote>
  <w:endnote w:type="continuationSeparator" w:id="0">
    <w:p w14:paraId="0B6EB023" w14:textId="77777777" w:rsidR="00F46BFE" w:rsidRDefault="00F46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DED56"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626C719"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86A3B" w14:textId="42DE80C6" w:rsidR="000F3690" w:rsidRPr="00AE044C" w:rsidRDefault="003E2A99"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6BE5AB16" wp14:editId="440D0751">
              <wp:simplePos x="0" y="0"/>
              <wp:positionH relativeFrom="column">
                <wp:posOffset>3810</wp:posOffset>
              </wp:positionH>
              <wp:positionV relativeFrom="paragraph">
                <wp:posOffset>50165</wp:posOffset>
              </wp:positionV>
              <wp:extent cx="6286500" cy="19050"/>
              <wp:effectExtent l="19050" t="19050" r="0" b="0"/>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991B8E8" id="Conector recto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27E02975" w14:textId="77777777" w:rsidR="00675476" w:rsidRPr="00AE044C" w:rsidRDefault="00F46BFE" w:rsidP="00391509">
    <w:pPr>
      <w:pStyle w:val="Piedepgina"/>
      <w:ind w:right="360"/>
      <w:rPr>
        <w:sz w:val="22"/>
        <w:szCs w:val="22"/>
      </w:rPr>
    </w:pPr>
    <w:hyperlink r:id="rId1" w:history="1">
      <w:r w:rsidR="00391509" w:rsidRPr="00AE044C">
        <w:rPr>
          <w:rStyle w:val="Hipervnculo"/>
          <w:sz w:val="22"/>
          <w:szCs w:val="22"/>
        </w:rPr>
        <w:t>http://scielo.sld.cu</w:t>
      </w:r>
    </w:hyperlink>
  </w:p>
  <w:p w14:paraId="5DA3470B" w14:textId="77777777" w:rsidR="00391509" w:rsidRPr="00AE044C" w:rsidRDefault="00F46BFE"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5BE94D28" w14:textId="51FC61CC"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3E2A99" w:rsidRPr="003E2A99">
      <w:rPr>
        <w:rFonts w:ascii="Verdana" w:hAnsi="Verdana"/>
        <w:noProof/>
        <w:sz w:val="18"/>
        <w:szCs w:val="18"/>
        <w:lang w:val="en-US" w:eastAsia="en-US"/>
      </w:rPr>
      <w:drawing>
        <wp:inline distT="0" distB="0" distL="0" distR="0" wp14:anchorId="64E15923" wp14:editId="55239AF4">
          <wp:extent cx="638175" cy="152400"/>
          <wp:effectExtent l="0" t="0" r="0" b="0"/>
          <wp:docPr id="2"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0EC1F" w14:textId="77777777" w:rsidR="00F46BFE" w:rsidRDefault="00F46BFE">
      <w:r>
        <w:separator/>
      </w:r>
    </w:p>
  </w:footnote>
  <w:footnote w:type="continuationSeparator" w:id="0">
    <w:p w14:paraId="72E6081C" w14:textId="77777777" w:rsidR="00F46BFE" w:rsidRDefault="00F46B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4B8EE" w14:textId="72E90CED" w:rsidR="00CC376A" w:rsidRPr="00AE044C" w:rsidRDefault="003E2A99"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51</w:t>
    </w:r>
    <w:r w:rsidR="007D2D0C" w:rsidRPr="00AE044C">
      <w:rPr>
        <w:sz w:val="22"/>
        <w:szCs w:val="22"/>
      </w:rPr>
      <w:t>(</w:t>
    </w:r>
    <w:r>
      <w:rPr>
        <w:sz w:val="22"/>
        <w:szCs w:val="22"/>
      </w:rPr>
      <w:t>3</w:t>
    </w:r>
    <w:proofErr w:type="gramStart"/>
    <w:r w:rsidR="007D2D0C" w:rsidRPr="00AE044C">
      <w:rPr>
        <w:sz w:val="22"/>
        <w:szCs w:val="22"/>
      </w:rPr>
      <w:t>):</w:t>
    </w:r>
    <w:r>
      <w:rPr>
        <w:sz w:val="22"/>
        <w:szCs w:val="22"/>
      </w:rPr>
      <w:t>e</w:t>
    </w:r>
    <w:proofErr w:type="gramEnd"/>
    <w:r>
      <w:rPr>
        <w:sz w:val="22"/>
        <w:szCs w:val="22"/>
      </w:rPr>
      <w:t>02201876</w:t>
    </w:r>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2BCA87B0" wp14:editId="20D6FE5E">
          <wp:simplePos x="0" y="0"/>
          <wp:positionH relativeFrom="column">
            <wp:posOffset>2540</wp:posOffset>
          </wp:positionH>
          <wp:positionV relativeFrom="paragraph">
            <wp:posOffset>-598805</wp:posOffset>
          </wp:positionV>
          <wp:extent cx="6333490" cy="593725"/>
          <wp:effectExtent l="0" t="0" r="0" b="0"/>
          <wp:wrapNone/>
          <wp:docPr id="9"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1781FD" w14:textId="39FE5334" w:rsidR="00A477DE" w:rsidRDefault="003E2A99">
    <w:r>
      <w:rPr>
        <w:noProof/>
      </w:rPr>
      <mc:AlternateContent>
        <mc:Choice Requires="wps">
          <w:drawing>
            <wp:anchor distT="0" distB="0" distL="114300" distR="114300" simplePos="0" relativeHeight="251654144" behindDoc="0" locked="0" layoutInCell="1" allowOverlap="1" wp14:anchorId="13C44708" wp14:editId="3483A930">
              <wp:simplePos x="0" y="0"/>
              <wp:positionH relativeFrom="column">
                <wp:posOffset>635</wp:posOffset>
              </wp:positionH>
              <wp:positionV relativeFrom="paragraph">
                <wp:posOffset>42545</wp:posOffset>
              </wp:positionV>
              <wp:extent cx="6307455" cy="28575"/>
              <wp:effectExtent l="19050" t="19050" r="17145" b="9525"/>
              <wp:wrapNone/>
              <wp:docPr id="8"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DD7B414" id="Conector recto 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 w15:restartNumberingAfterBreak="0">
    <w:nsid w:val="4BCC18A3"/>
    <w:multiLevelType w:val="hybridMultilevel"/>
    <w:tmpl w:val="B768BF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238518806">
    <w:abstractNumId w:val="0"/>
  </w:num>
  <w:num w:numId="2" w16cid:durableId="11395659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A99"/>
    <w:rsid w:val="00057F45"/>
    <w:rsid w:val="000D3958"/>
    <w:rsid w:val="000F3690"/>
    <w:rsid w:val="001221D1"/>
    <w:rsid w:val="00165CB5"/>
    <w:rsid w:val="00180CE9"/>
    <w:rsid w:val="00230DD5"/>
    <w:rsid w:val="00250AE9"/>
    <w:rsid w:val="00380D64"/>
    <w:rsid w:val="00391509"/>
    <w:rsid w:val="003E03D5"/>
    <w:rsid w:val="003E2A99"/>
    <w:rsid w:val="00486BFA"/>
    <w:rsid w:val="00493701"/>
    <w:rsid w:val="004E2065"/>
    <w:rsid w:val="005508A2"/>
    <w:rsid w:val="0055115D"/>
    <w:rsid w:val="00566F71"/>
    <w:rsid w:val="005918BD"/>
    <w:rsid w:val="006173A6"/>
    <w:rsid w:val="00675476"/>
    <w:rsid w:val="007C430F"/>
    <w:rsid w:val="007D2D0C"/>
    <w:rsid w:val="007D614D"/>
    <w:rsid w:val="00960D6A"/>
    <w:rsid w:val="009A0560"/>
    <w:rsid w:val="009B0917"/>
    <w:rsid w:val="009F0F96"/>
    <w:rsid w:val="00A23C0C"/>
    <w:rsid w:val="00A477DE"/>
    <w:rsid w:val="00A57AE0"/>
    <w:rsid w:val="00A71E65"/>
    <w:rsid w:val="00AE044C"/>
    <w:rsid w:val="00B31971"/>
    <w:rsid w:val="00B4380A"/>
    <w:rsid w:val="00B66ECB"/>
    <w:rsid w:val="00C7523A"/>
    <w:rsid w:val="00CC1B6E"/>
    <w:rsid w:val="00CC376A"/>
    <w:rsid w:val="00CC48A1"/>
    <w:rsid w:val="00CF50E0"/>
    <w:rsid w:val="00D85951"/>
    <w:rsid w:val="00E62606"/>
    <w:rsid w:val="00EA1FEF"/>
    <w:rsid w:val="00EC5A6B"/>
    <w:rsid w:val="00EE301D"/>
    <w:rsid w:val="00F46BFE"/>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FFB13A"/>
  <w15:docId w15:val="{3968C1BE-F69D-4E8D-A772-2FD7CCED8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2892-477X" TargetMode="External"/><Relationship Id="rId13" Type="http://schemas.openxmlformats.org/officeDocument/2006/relationships/image" Target="media/image1.png"/><Relationship Id="rId18" Type="http://schemas.openxmlformats.org/officeDocument/2006/relationships/hyperlink" Target="http://scielo.sld.cu/pdf/ort/v35n2/1561-3100-ort-35-02-e405.pdf" TargetMode="External"/><Relationship Id="rId26" Type="http://schemas.openxmlformats.org/officeDocument/2006/relationships/hyperlink" Target="http://www.dspace.uce.edu.ec/bitstream/25000/16429/1/T-UCE-0020-CDI-034.pdf" TargetMode="External"/><Relationship Id="rId3" Type="http://schemas.openxmlformats.org/officeDocument/2006/relationships/settings" Target="settings.xml"/><Relationship Id="rId21" Type="http://schemas.openxmlformats.org/officeDocument/2006/relationships/hyperlink" Target="http://scielo.sld.cu/scielo.php?pid=S1684-18242021000401118&amp;script=sci_arttext&amp;tlng=pt" TargetMode="External"/><Relationship Id="rId34" Type="http://schemas.openxmlformats.org/officeDocument/2006/relationships/footer" Target="footer2.xml"/><Relationship Id="rId7" Type="http://schemas.openxmlformats.org/officeDocument/2006/relationships/hyperlink" Target="https://orcid.org/0000-0001-5458-9920" TargetMode="External"/><Relationship Id="rId12" Type="http://schemas.openxmlformats.org/officeDocument/2006/relationships/hyperlink" Target="mailto:jluisnapoles@infomed.sld.cu" TargetMode="External"/><Relationship Id="rId17" Type="http://schemas.openxmlformats.org/officeDocument/2006/relationships/image" Target="media/image5.png"/><Relationship Id="rId25" Type="http://schemas.openxmlformats.org/officeDocument/2006/relationships/hyperlink" Target="https://www.recimundo.com/~recimund/index.php/es/article/download/550/758"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scielo.sld.cu/pdf/rme/v43n5/1684-1824-rme-43-05-1436.pdf" TargetMode="External"/><Relationship Id="rId29" Type="http://schemas.openxmlformats.org/officeDocument/2006/relationships/hyperlink" Target="http://www.revortopedia.sld.cu/index.php/revortopedia/article/download/444/30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3-2378-1930" TargetMode="External"/><Relationship Id="rId24" Type="http://schemas.openxmlformats.org/officeDocument/2006/relationships/hyperlink" Target="https://books.google.es/books?hl=es&amp;lr=&amp;id=C_ReDwAAQBAJ&amp;oi=fnd&amp;pg=PT84&amp;dq=tratamiento+de+fracturas+abiertas&amp;ots=US0kVwbo2C&amp;sig=Xfnkaf97NInNf50V9VqoD76D9iU"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www.scielo.org.pe/pdf/afm/v80n4/a22v80n4.pdf" TargetMode="External"/><Relationship Id="rId28" Type="http://schemas.openxmlformats.org/officeDocument/2006/relationships/hyperlink" Target="https://www.researchgate.net/profile/Freddy-Moreno/publication/348155344_Infeccion_en_las_fracturas_abiertas_con_cierre_primario_de_la_herida_respecto_al_cierre_diferido_Revision_de_la_literatura/links/5ff0e14945851553a014f90e/Infeccion-en-las-fracturas-abiertas-con-cierre-primario-de-la-herida-respecto-al-cierre-diferido-Revision-de-la-literatura.pdf" TargetMode="External"/><Relationship Id="rId36" Type="http://schemas.openxmlformats.org/officeDocument/2006/relationships/theme" Target="theme/theme1.xml"/><Relationship Id="rId10" Type="http://schemas.openxmlformats.org/officeDocument/2006/relationships/hyperlink" Target="https://orcid.org/0000-0003-0922-9074" TargetMode="External"/><Relationship Id="rId19" Type="http://schemas.openxmlformats.org/officeDocument/2006/relationships/hyperlink" Target="http://revmedmilitar.sld.cu/index.php/mil/article/view/1372/1063" TargetMode="External"/><Relationship Id="rId31" Type="http://schemas.openxmlformats.org/officeDocument/2006/relationships/hyperlink" Target="http://www.revortopedia.sld.cu/index.php/revortopedia/article/view/306" TargetMode="External"/><Relationship Id="rId4" Type="http://schemas.openxmlformats.org/officeDocument/2006/relationships/webSettings" Target="webSettings.xml"/><Relationship Id="rId9" Type="http://schemas.openxmlformats.org/officeDocument/2006/relationships/hyperlink" Target="https://orcid.org/0000-0003-0198-2168" TargetMode="External"/><Relationship Id="rId14" Type="http://schemas.openxmlformats.org/officeDocument/2006/relationships/image" Target="media/image2.png"/><Relationship Id="rId22" Type="http://schemas.openxmlformats.org/officeDocument/2006/relationships/hyperlink" Target="http://www.scielo.edu.uy/pdf/afm/v7n2/2301-1254-afm-7-02-e301.pdf" TargetMode="External"/><Relationship Id="rId27" Type="http://schemas.openxmlformats.org/officeDocument/2006/relationships/hyperlink" Target="http://repositorio.unsm.edu.pe/bitstream/handle/11458/3793/MED.%20HUM.%20-%20Julio%20C%C3%A9sar%20Waldo%20Salda%C3%B1a%20.pdf?sequence=1" TargetMode="External"/><Relationship Id="rId30" Type="http://schemas.openxmlformats.org/officeDocument/2006/relationships/hyperlink" Target="http://revistacientificaseot.com/index.php/revseot/article/download/96/163" TargetMode="External"/><Relationship Id="rId35"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3</TotalTime>
  <Pages>12</Pages>
  <Words>3293</Words>
  <Characters>18115</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21366</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2</cp:revision>
  <cp:lastPrinted>2010-09-13T21:29:00Z</cp:lastPrinted>
  <dcterms:created xsi:type="dcterms:W3CDTF">2022-06-22T20:30:00Z</dcterms:created>
  <dcterms:modified xsi:type="dcterms:W3CDTF">2022-06-22T20:33:00Z</dcterms:modified>
</cp:coreProperties>
</file>