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B00E" w14:textId="77777777" w:rsidR="00435B9F" w:rsidRPr="00435B9F" w:rsidRDefault="00435B9F" w:rsidP="00435B9F">
      <w:pPr>
        <w:suppressAutoHyphens/>
        <w:spacing w:line="360" w:lineRule="auto"/>
        <w:jc w:val="right"/>
        <w:rPr>
          <w:rFonts w:eastAsia="Calibri"/>
          <w:bCs/>
          <w:sz w:val="20"/>
          <w:szCs w:val="20"/>
          <w:lang w:val="en-US" w:eastAsia="en-US"/>
        </w:rPr>
      </w:pPr>
      <w:r w:rsidRPr="00435B9F">
        <w:rPr>
          <w:rFonts w:eastAsia="Calibri"/>
          <w:bCs/>
          <w:sz w:val="20"/>
          <w:szCs w:val="20"/>
          <w:lang w:val="en-US" w:eastAsia="en-US"/>
        </w:rPr>
        <w:t>Research article</w:t>
      </w:r>
    </w:p>
    <w:p w14:paraId="0706DBD0" w14:textId="77777777" w:rsidR="00435B9F" w:rsidRPr="00435B9F" w:rsidRDefault="00435B9F" w:rsidP="00435B9F">
      <w:pPr>
        <w:suppressAutoHyphens/>
        <w:spacing w:line="360" w:lineRule="auto"/>
        <w:jc w:val="center"/>
        <w:rPr>
          <w:rFonts w:eastAsia="Calibri"/>
          <w:b/>
          <w:bCs/>
          <w:lang w:val="en-US" w:eastAsia="en-US"/>
        </w:rPr>
      </w:pPr>
    </w:p>
    <w:p w14:paraId="2D2B5C0F" w14:textId="77777777" w:rsidR="00435B9F" w:rsidRPr="00435B9F" w:rsidRDefault="00435B9F" w:rsidP="00435B9F">
      <w:pPr>
        <w:suppressAutoHyphens/>
        <w:spacing w:line="360" w:lineRule="auto"/>
        <w:jc w:val="center"/>
        <w:rPr>
          <w:rFonts w:eastAsia="Calibri"/>
          <w:b/>
          <w:bCs/>
          <w:sz w:val="28"/>
          <w:szCs w:val="28"/>
          <w:lang w:val="en-US" w:eastAsia="en-US"/>
        </w:rPr>
      </w:pPr>
      <w:r w:rsidRPr="00435B9F">
        <w:rPr>
          <w:rFonts w:eastAsia="Calibri"/>
          <w:b/>
          <w:bCs/>
          <w:sz w:val="28"/>
          <w:szCs w:val="28"/>
          <w:lang w:val="en-US" w:eastAsia="en-US"/>
        </w:rPr>
        <w:t>Self-reported periodontal disease, dental loss and COVID-19 in older adults</w:t>
      </w:r>
    </w:p>
    <w:p w14:paraId="73776657" w14:textId="77777777" w:rsidR="00435B9F" w:rsidRPr="00435B9F" w:rsidRDefault="00435B9F" w:rsidP="00435B9F">
      <w:pPr>
        <w:suppressAutoHyphens/>
        <w:spacing w:line="360" w:lineRule="auto"/>
        <w:jc w:val="center"/>
        <w:rPr>
          <w:rFonts w:eastAsia="Calibri"/>
          <w:bCs/>
          <w:sz w:val="28"/>
          <w:szCs w:val="28"/>
          <w:lang w:val="es-ES" w:eastAsia="en-US"/>
        </w:rPr>
      </w:pPr>
      <w:r w:rsidRPr="00435B9F">
        <w:rPr>
          <w:rFonts w:eastAsia="Calibri"/>
          <w:bCs/>
          <w:sz w:val="28"/>
          <w:szCs w:val="28"/>
          <w:lang w:val="es-ES" w:eastAsia="en-US"/>
        </w:rPr>
        <w:t>Autorreporte de enfermedad periodontal, pérdida dentaria y COVID-19 en adultos mayores</w:t>
      </w:r>
    </w:p>
    <w:p w14:paraId="469E0EF7" w14:textId="77777777" w:rsidR="00435B9F" w:rsidRPr="00435B9F" w:rsidRDefault="00435B9F" w:rsidP="00435B9F">
      <w:pPr>
        <w:suppressAutoHyphens/>
        <w:spacing w:line="360" w:lineRule="auto"/>
        <w:jc w:val="both"/>
        <w:rPr>
          <w:rFonts w:ascii="Arial" w:eastAsia="Calibri" w:hAnsi="Arial" w:cs="Arial"/>
          <w:lang w:val="es-ES" w:eastAsia="en-US"/>
        </w:rPr>
      </w:pPr>
    </w:p>
    <w:p w14:paraId="38B10135" w14:textId="77777777" w:rsidR="00435B9F" w:rsidRPr="00435B9F" w:rsidRDefault="00435B9F" w:rsidP="00435B9F">
      <w:pPr>
        <w:suppressAutoHyphens/>
        <w:spacing w:line="360" w:lineRule="auto"/>
        <w:jc w:val="both"/>
        <w:rPr>
          <w:rFonts w:eastAsia="Calibri"/>
          <w:lang w:val="es-ES" w:eastAsia="en-US"/>
        </w:rPr>
      </w:pPr>
      <w:proofErr w:type="spellStart"/>
      <w:r w:rsidRPr="00435B9F">
        <w:rPr>
          <w:rFonts w:eastAsia="Calibri"/>
          <w:lang w:val="es-ES" w:eastAsia="en-US"/>
        </w:rPr>
        <w:t>Yamilé</w:t>
      </w:r>
      <w:proofErr w:type="spellEnd"/>
      <w:r w:rsidRPr="00435B9F">
        <w:rPr>
          <w:rFonts w:eastAsia="Calibri"/>
          <w:lang w:val="es-ES" w:eastAsia="en-US"/>
        </w:rPr>
        <w:t xml:space="preserve"> Baganet-Cobas</w:t>
      </w:r>
      <w:r w:rsidRPr="00435B9F">
        <w:rPr>
          <w:rFonts w:eastAsia="Calibri"/>
          <w:vertAlign w:val="superscript"/>
          <w:lang w:val="es-ES" w:eastAsia="en-US"/>
        </w:rPr>
        <w:t>1</w:t>
      </w:r>
      <w:r w:rsidRPr="00435B9F">
        <w:rPr>
          <w:rFonts w:eastAsia="Calibri"/>
          <w:lang w:val="es-ES" w:eastAsia="en-US"/>
        </w:rPr>
        <w:t xml:space="preserve"> </w:t>
      </w:r>
      <w:hyperlink r:id="rId7" w:history="1">
        <w:r w:rsidRPr="00435B9F">
          <w:rPr>
            <w:rFonts w:eastAsia="Calibri"/>
            <w:color w:val="0563C1"/>
            <w:u w:val="single"/>
            <w:lang w:val="es-ES" w:eastAsia="en-US"/>
          </w:rPr>
          <w:t>https://orcid.org/0000-0002-6956-3181</w:t>
        </w:r>
      </w:hyperlink>
      <w:r w:rsidRPr="00435B9F">
        <w:rPr>
          <w:rFonts w:eastAsia="Calibri"/>
          <w:lang w:val="es-ES" w:eastAsia="en-US"/>
        </w:rPr>
        <w:t xml:space="preserve"> </w:t>
      </w:r>
    </w:p>
    <w:p w14:paraId="7988222C" w14:textId="77777777" w:rsidR="00435B9F" w:rsidRPr="00435B9F" w:rsidRDefault="00435B9F" w:rsidP="00435B9F">
      <w:pPr>
        <w:suppressAutoHyphens/>
        <w:spacing w:line="360" w:lineRule="auto"/>
        <w:jc w:val="both"/>
        <w:rPr>
          <w:rFonts w:eastAsia="Calibri"/>
          <w:lang w:val="es-ES" w:eastAsia="en-US"/>
        </w:rPr>
      </w:pPr>
      <w:r w:rsidRPr="00435B9F">
        <w:rPr>
          <w:rFonts w:eastAsia="Calibri"/>
          <w:lang w:val="es-ES" w:eastAsia="en-US"/>
        </w:rPr>
        <w:t>Alain-Manuel Chaple-Gil</w:t>
      </w:r>
      <w:r w:rsidRPr="00435B9F">
        <w:rPr>
          <w:rFonts w:eastAsia="Calibri"/>
          <w:vertAlign w:val="superscript"/>
          <w:lang w:val="es-ES" w:eastAsia="en-US"/>
        </w:rPr>
        <w:t>1,2</w:t>
      </w:r>
      <w:r w:rsidRPr="00435B9F">
        <w:rPr>
          <w:rFonts w:eastAsia="Calibri"/>
          <w:lang w:val="es-ES" w:eastAsia="en-US"/>
        </w:rPr>
        <w:t xml:space="preserve">* </w:t>
      </w:r>
      <w:hyperlink r:id="rId8" w:history="1">
        <w:r w:rsidRPr="00435B9F">
          <w:rPr>
            <w:rFonts w:eastAsia="Calibri"/>
            <w:color w:val="0563C1"/>
            <w:u w:val="single"/>
            <w:lang w:val="es-ES" w:eastAsia="en-US"/>
          </w:rPr>
          <w:t>https://orcid.org/0000-0002-8571-4429</w:t>
        </w:r>
      </w:hyperlink>
      <w:r w:rsidRPr="00435B9F">
        <w:rPr>
          <w:rFonts w:eastAsia="Calibri"/>
          <w:lang w:val="es-ES" w:eastAsia="en-US"/>
        </w:rPr>
        <w:t xml:space="preserve"> </w:t>
      </w:r>
    </w:p>
    <w:p w14:paraId="7693DC9B" w14:textId="77777777" w:rsidR="00435B9F" w:rsidRPr="00435B9F" w:rsidRDefault="00435B9F" w:rsidP="00435B9F">
      <w:pPr>
        <w:suppressAutoHyphens/>
        <w:spacing w:line="360" w:lineRule="auto"/>
        <w:jc w:val="both"/>
        <w:rPr>
          <w:rFonts w:eastAsia="Calibri"/>
          <w:lang w:val="es-ES" w:eastAsia="en-US"/>
        </w:rPr>
      </w:pPr>
      <w:proofErr w:type="spellStart"/>
      <w:r w:rsidRPr="00435B9F">
        <w:rPr>
          <w:rFonts w:eastAsia="Calibri"/>
          <w:lang w:val="es-ES" w:eastAsia="en-US"/>
        </w:rPr>
        <w:t>Yilian</w:t>
      </w:r>
      <w:proofErr w:type="spellEnd"/>
      <w:r w:rsidRPr="00435B9F">
        <w:rPr>
          <w:rFonts w:eastAsia="Calibri"/>
          <w:lang w:val="es-ES" w:eastAsia="en-US"/>
        </w:rPr>
        <w:t xml:space="preserve"> Caballero-Guerra</w:t>
      </w:r>
      <w:r w:rsidRPr="00435B9F">
        <w:rPr>
          <w:rFonts w:eastAsia="Calibri"/>
          <w:vertAlign w:val="superscript"/>
          <w:lang w:val="es-ES" w:eastAsia="en-US"/>
        </w:rPr>
        <w:t>3</w:t>
      </w:r>
      <w:r w:rsidRPr="00435B9F">
        <w:rPr>
          <w:rFonts w:eastAsia="Calibri"/>
          <w:lang w:val="es-ES" w:eastAsia="en-US"/>
        </w:rPr>
        <w:t xml:space="preserve"> </w:t>
      </w:r>
      <w:hyperlink r:id="rId9" w:history="1">
        <w:r w:rsidRPr="00435B9F">
          <w:rPr>
            <w:rFonts w:eastAsia="Calibri"/>
            <w:color w:val="0563C1"/>
            <w:u w:val="single"/>
            <w:lang w:val="es-ES" w:eastAsia="en-US"/>
          </w:rPr>
          <w:t>https://orcid.org/0000-0002-4000-7245</w:t>
        </w:r>
      </w:hyperlink>
      <w:r w:rsidRPr="00435B9F">
        <w:rPr>
          <w:rFonts w:eastAsia="Calibri"/>
          <w:lang w:val="es-ES" w:eastAsia="en-US"/>
        </w:rPr>
        <w:t xml:space="preserve"> </w:t>
      </w:r>
    </w:p>
    <w:p w14:paraId="2183126F" w14:textId="77777777" w:rsidR="00435B9F" w:rsidRPr="00435B9F" w:rsidRDefault="00435B9F" w:rsidP="00435B9F">
      <w:pPr>
        <w:suppressAutoHyphens/>
        <w:spacing w:line="360" w:lineRule="auto"/>
        <w:jc w:val="both"/>
        <w:rPr>
          <w:rFonts w:eastAsia="Calibri"/>
          <w:lang w:val="es-ES" w:eastAsia="en-US"/>
        </w:rPr>
      </w:pPr>
      <w:r w:rsidRPr="00435B9F">
        <w:rPr>
          <w:rFonts w:eastAsia="Calibri"/>
          <w:lang w:val="es-ES" w:eastAsia="en-US"/>
        </w:rPr>
        <w:t>Dayana Chávez-Valdez</w:t>
      </w:r>
      <w:r w:rsidRPr="00435B9F">
        <w:rPr>
          <w:rFonts w:eastAsia="Calibri"/>
          <w:vertAlign w:val="superscript"/>
          <w:lang w:val="es-ES" w:eastAsia="en-US"/>
        </w:rPr>
        <w:t>3</w:t>
      </w:r>
      <w:r w:rsidRPr="00435B9F">
        <w:rPr>
          <w:rFonts w:eastAsia="Calibri"/>
          <w:lang w:val="es-ES" w:eastAsia="en-US"/>
        </w:rPr>
        <w:t xml:space="preserve"> </w:t>
      </w:r>
      <w:hyperlink r:id="rId10" w:history="1">
        <w:r w:rsidRPr="00435B9F">
          <w:rPr>
            <w:rFonts w:eastAsia="Calibri"/>
            <w:color w:val="0563C1"/>
            <w:u w:val="single"/>
            <w:lang w:val="es-ES" w:eastAsia="en-US"/>
          </w:rPr>
          <w:t>https://orcid.org/0000-0003-1391-1260</w:t>
        </w:r>
      </w:hyperlink>
      <w:r w:rsidRPr="00435B9F">
        <w:rPr>
          <w:rFonts w:eastAsia="Calibri"/>
          <w:lang w:val="es-ES" w:eastAsia="en-US"/>
        </w:rPr>
        <w:t xml:space="preserve"> </w:t>
      </w:r>
    </w:p>
    <w:p w14:paraId="3C66E3FF" w14:textId="77777777" w:rsidR="00435B9F" w:rsidRPr="00435B9F" w:rsidRDefault="00435B9F" w:rsidP="00435B9F">
      <w:pPr>
        <w:suppressAutoHyphens/>
        <w:spacing w:line="360" w:lineRule="auto"/>
        <w:jc w:val="both"/>
        <w:rPr>
          <w:rFonts w:eastAsia="Calibri"/>
          <w:vertAlign w:val="superscript"/>
          <w:lang w:val="es-ES" w:eastAsia="en-US"/>
        </w:rPr>
      </w:pPr>
    </w:p>
    <w:p w14:paraId="524585E7" w14:textId="77777777" w:rsidR="00435B9F" w:rsidRPr="00435B9F" w:rsidRDefault="00435B9F" w:rsidP="00435B9F">
      <w:pPr>
        <w:suppressAutoHyphens/>
        <w:spacing w:line="360" w:lineRule="auto"/>
        <w:jc w:val="both"/>
        <w:rPr>
          <w:rFonts w:eastAsia="Calibri"/>
          <w:lang w:val="es-ES" w:eastAsia="en-US"/>
        </w:rPr>
      </w:pPr>
      <w:r w:rsidRPr="00435B9F">
        <w:rPr>
          <w:rFonts w:eastAsia="Calibri"/>
          <w:vertAlign w:val="superscript"/>
          <w:lang w:val="es-ES" w:eastAsia="en-US"/>
        </w:rPr>
        <w:t>1</w:t>
      </w:r>
      <w:r w:rsidRPr="00435B9F">
        <w:rPr>
          <w:rFonts w:eastAsia="Calibri"/>
          <w:lang w:val="es-ES" w:eastAsia="en-US"/>
        </w:rPr>
        <w:t>Universidad de Ciencias Médicas de La Habana. ICBP “Victoria de Girón”. Departamento Carrera de Estomatología</w:t>
      </w:r>
      <w:r w:rsidRPr="00435B9F">
        <w:rPr>
          <w:rFonts w:eastAsia="Calibri"/>
          <w:color w:val="2E74B5"/>
          <w:lang w:val="es-ES" w:eastAsia="en-US"/>
        </w:rPr>
        <w:t>.</w:t>
      </w:r>
      <w:r w:rsidRPr="00435B9F">
        <w:rPr>
          <w:rFonts w:eastAsia="Calibri"/>
          <w:lang w:val="es-ES" w:eastAsia="en-US"/>
        </w:rPr>
        <w:t xml:space="preserve"> La Habana, Cuba.</w:t>
      </w:r>
    </w:p>
    <w:p w14:paraId="502EC7B5" w14:textId="77777777" w:rsidR="00435B9F" w:rsidRPr="00435B9F" w:rsidRDefault="00435B9F" w:rsidP="00435B9F">
      <w:pPr>
        <w:suppressAutoHyphens/>
        <w:spacing w:line="360" w:lineRule="auto"/>
        <w:jc w:val="both"/>
        <w:rPr>
          <w:rFonts w:eastAsia="Calibri"/>
          <w:lang w:val="es-ES" w:eastAsia="en-US"/>
        </w:rPr>
      </w:pPr>
      <w:r w:rsidRPr="00435B9F">
        <w:rPr>
          <w:rFonts w:eastAsia="Calibri"/>
          <w:vertAlign w:val="superscript"/>
          <w:lang w:val="es-ES" w:eastAsia="en-US"/>
        </w:rPr>
        <w:t>2</w:t>
      </w:r>
      <w:r w:rsidRPr="00435B9F">
        <w:rPr>
          <w:rFonts w:eastAsia="Calibri"/>
          <w:lang w:val="es-ES" w:eastAsia="en-US"/>
        </w:rPr>
        <w:t>Universidad Autónoma de Chile. Facultad de Ciencias de la Salud. Temuco, Chile.</w:t>
      </w:r>
    </w:p>
    <w:p w14:paraId="2DB04DF6" w14:textId="77777777" w:rsidR="00435B9F" w:rsidRPr="00435B9F" w:rsidRDefault="00435B9F" w:rsidP="00435B9F">
      <w:pPr>
        <w:suppressAutoHyphens/>
        <w:spacing w:line="360" w:lineRule="auto"/>
        <w:jc w:val="both"/>
        <w:rPr>
          <w:rFonts w:eastAsia="Calibri"/>
          <w:lang w:val="es-ES" w:eastAsia="en-US"/>
        </w:rPr>
      </w:pPr>
      <w:r w:rsidRPr="00435B9F">
        <w:rPr>
          <w:rFonts w:eastAsia="Calibri"/>
          <w:vertAlign w:val="superscript"/>
          <w:lang w:val="es-ES" w:eastAsia="en-US"/>
        </w:rPr>
        <w:t>3</w:t>
      </w:r>
      <w:r w:rsidRPr="00435B9F">
        <w:rPr>
          <w:rFonts w:eastAsia="Calibri"/>
          <w:lang w:val="es-ES" w:eastAsia="en-US"/>
        </w:rPr>
        <w:t>Clínica Estomatológica “Ana Betancourt”. La Habana, Cuba.</w:t>
      </w:r>
    </w:p>
    <w:p w14:paraId="5FAB9CB9" w14:textId="77777777" w:rsidR="00435B9F" w:rsidRPr="00435B9F" w:rsidRDefault="00435B9F" w:rsidP="00435B9F">
      <w:pPr>
        <w:suppressAutoHyphens/>
        <w:spacing w:line="360" w:lineRule="auto"/>
        <w:jc w:val="both"/>
        <w:rPr>
          <w:rFonts w:eastAsia="Calibri"/>
          <w:lang w:val="es-ES" w:eastAsia="en-US"/>
        </w:rPr>
      </w:pPr>
    </w:p>
    <w:p w14:paraId="55A8548D"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s-CU" w:eastAsia="en-US"/>
        </w:rPr>
        <w:t>*</w:t>
      </w:r>
      <w:proofErr w:type="spellStart"/>
      <w:r w:rsidRPr="00435B9F">
        <w:rPr>
          <w:rFonts w:eastAsia="Calibri"/>
          <w:lang w:val="es-CU" w:eastAsia="en-US"/>
        </w:rPr>
        <w:t>Author</w:t>
      </w:r>
      <w:proofErr w:type="spellEnd"/>
      <w:r w:rsidRPr="00435B9F">
        <w:rPr>
          <w:rFonts w:eastAsia="Calibri"/>
          <w:lang w:val="es-CU" w:eastAsia="en-US"/>
        </w:rPr>
        <w:t xml:space="preserve"> </w:t>
      </w:r>
      <w:proofErr w:type="spellStart"/>
      <w:r w:rsidRPr="00435B9F">
        <w:rPr>
          <w:rFonts w:eastAsia="Calibri"/>
          <w:lang w:val="es-CU" w:eastAsia="en-US"/>
        </w:rPr>
        <w:t>for</w:t>
      </w:r>
      <w:proofErr w:type="spellEnd"/>
      <w:r w:rsidRPr="00435B9F">
        <w:rPr>
          <w:rFonts w:eastAsia="Calibri"/>
          <w:lang w:val="es-CU" w:eastAsia="en-US"/>
        </w:rPr>
        <w:t xml:space="preserve"> </w:t>
      </w:r>
      <w:proofErr w:type="spellStart"/>
      <w:r w:rsidRPr="00435B9F">
        <w:rPr>
          <w:rFonts w:eastAsia="Calibri"/>
          <w:lang w:val="es-CU" w:eastAsia="en-US"/>
        </w:rPr>
        <w:t>correspondence</w:t>
      </w:r>
      <w:proofErr w:type="spellEnd"/>
      <w:r w:rsidRPr="00435B9F">
        <w:rPr>
          <w:rFonts w:eastAsia="Calibri"/>
          <w:lang w:val="es-CU" w:eastAsia="en-US"/>
        </w:rPr>
        <w:t xml:space="preserve">. </w:t>
      </w:r>
      <w:r w:rsidRPr="00435B9F">
        <w:rPr>
          <w:rFonts w:eastAsia="Calibri"/>
          <w:lang w:val="en-US" w:eastAsia="en-US"/>
        </w:rPr>
        <w:t xml:space="preserve">Email: </w:t>
      </w:r>
      <w:hyperlink r:id="rId11" w:history="1">
        <w:r w:rsidRPr="00435B9F">
          <w:rPr>
            <w:rFonts w:eastAsia="Calibri"/>
            <w:color w:val="0563C1"/>
            <w:u w:val="single"/>
            <w:lang w:val="en-US" w:eastAsia="en-US"/>
          </w:rPr>
          <w:t>alain.chaple@uautonoma.cl</w:t>
        </w:r>
      </w:hyperlink>
      <w:r w:rsidRPr="00435B9F">
        <w:rPr>
          <w:rFonts w:eastAsia="Calibri"/>
          <w:lang w:val="en-US" w:eastAsia="en-US"/>
        </w:rPr>
        <w:t xml:space="preserve"> </w:t>
      </w:r>
    </w:p>
    <w:p w14:paraId="35C07BEA" w14:textId="77777777" w:rsidR="00435B9F" w:rsidRPr="00435B9F" w:rsidRDefault="00435B9F" w:rsidP="00435B9F">
      <w:pPr>
        <w:suppressAutoHyphens/>
        <w:spacing w:line="360" w:lineRule="auto"/>
        <w:jc w:val="both"/>
        <w:rPr>
          <w:rFonts w:eastAsia="Calibri"/>
          <w:bCs/>
          <w:lang w:val="en-US" w:eastAsia="en-US"/>
        </w:rPr>
      </w:pPr>
    </w:p>
    <w:p w14:paraId="345E9FEB" w14:textId="77777777" w:rsidR="00435B9F" w:rsidRPr="00435B9F" w:rsidRDefault="00435B9F" w:rsidP="00435B9F">
      <w:pPr>
        <w:suppressAutoHyphens/>
        <w:spacing w:line="360" w:lineRule="auto"/>
        <w:jc w:val="both"/>
        <w:rPr>
          <w:rFonts w:eastAsia="Calibri"/>
          <w:b/>
          <w:bCs/>
          <w:lang w:val="en-US" w:eastAsia="en-US"/>
        </w:rPr>
      </w:pPr>
      <w:r w:rsidRPr="00435B9F">
        <w:rPr>
          <w:rFonts w:eastAsia="Calibri"/>
          <w:b/>
          <w:bCs/>
          <w:lang w:val="en-US" w:eastAsia="en-US"/>
        </w:rPr>
        <w:t>ABSTRACT</w:t>
      </w:r>
    </w:p>
    <w:p w14:paraId="2D29C108" w14:textId="77777777" w:rsidR="00435B9F" w:rsidRPr="00435B9F" w:rsidRDefault="00435B9F" w:rsidP="00435B9F">
      <w:pPr>
        <w:suppressAutoHyphens/>
        <w:spacing w:line="360" w:lineRule="auto"/>
        <w:jc w:val="both"/>
        <w:rPr>
          <w:rFonts w:eastAsia="Calibri"/>
          <w:lang w:val="en-US" w:eastAsia="en-US"/>
        </w:rPr>
      </w:pPr>
      <w:r w:rsidRPr="00435B9F">
        <w:rPr>
          <w:rFonts w:eastAsia="Calibri"/>
          <w:b/>
          <w:bCs/>
          <w:lang w:val="en-US" w:eastAsia="en-US"/>
        </w:rPr>
        <w:t>Introduction</w:t>
      </w:r>
      <w:r w:rsidRPr="00435B9F">
        <w:rPr>
          <w:rFonts w:eastAsia="Calibri"/>
          <w:lang w:val="en-US" w:eastAsia="en-US"/>
        </w:rPr>
        <w:t xml:space="preserve">: Upon completion of this research, there was no evidence of studies addressing self-reported periodontal disease in Cuba, nor any antecedent of research relating it to COVID-19 in adults over 60. </w:t>
      </w:r>
    </w:p>
    <w:p w14:paraId="35DF0E66" w14:textId="77777777" w:rsidR="00435B9F" w:rsidRPr="00435B9F" w:rsidRDefault="00435B9F" w:rsidP="00435B9F">
      <w:pPr>
        <w:suppressAutoHyphens/>
        <w:spacing w:line="360" w:lineRule="auto"/>
        <w:jc w:val="both"/>
        <w:rPr>
          <w:rFonts w:eastAsia="Calibri"/>
          <w:lang w:val="en-US" w:eastAsia="en-US"/>
        </w:rPr>
      </w:pPr>
      <w:r w:rsidRPr="00435B9F">
        <w:rPr>
          <w:rFonts w:eastAsia="Calibri"/>
          <w:b/>
          <w:bCs/>
          <w:lang w:val="en-US" w:eastAsia="en-US"/>
        </w:rPr>
        <w:t>Objective</w:t>
      </w:r>
      <w:r w:rsidRPr="00435B9F">
        <w:rPr>
          <w:rFonts w:eastAsia="Calibri"/>
          <w:lang w:val="en-US" w:eastAsia="en-US"/>
        </w:rPr>
        <w:t xml:space="preserve">: To determine the relationship between self-reported periodontal disease, dental loss, and COVID-19 activity. </w:t>
      </w:r>
    </w:p>
    <w:p w14:paraId="49382543" w14:textId="77777777" w:rsidR="00435B9F" w:rsidRPr="00435B9F" w:rsidRDefault="00435B9F" w:rsidP="00435B9F">
      <w:pPr>
        <w:suppressAutoHyphens/>
        <w:spacing w:line="360" w:lineRule="auto"/>
        <w:jc w:val="both"/>
        <w:rPr>
          <w:rFonts w:eastAsia="Calibri"/>
          <w:lang w:val="en-US" w:eastAsia="en-US"/>
        </w:rPr>
      </w:pPr>
      <w:r w:rsidRPr="00435B9F">
        <w:rPr>
          <w:rFonts w:eastAsia="Calibri"/>
          <w:b/>
          <w:bCs/>
          <w:lang w:val="en-US" w:eastAsia="en-US"/>
        </w:rPr>
        <w:t>Methods</w:t>
      </w:r>
      <w:r w:rsidRPr="00435B9F">
        <w:rPr>
          <w:rFonts w:eastAsia="Calibri"/>
          <w:lang w:val="en-US" w:eastAsia="en-US"/>
        </w:rPr>
        <w:t xml:space="preserve">: A descriptive cross-sectional investigation was carried out. The sample included 238 individuals aged over 60 who were infected with COVID-19, and survived. They gave their consent. The study was performed for over 1 year in Playa municipality of Havana, Cuba. Variables such as gender, age, COVID-19 evolutionary severity, comorbidities, and self-reported periodontal disease were used. A </w:t>
      </w:r>
      <w:r w:rsidRPr="00435B9F">
        <w:rPr>
          <w:rFonts w:eastAsia="Calibri"/>
          <w:lang w:val="en-US" w:eastAsia="en-US"/>
        </w:rPr>
        <w:lastRenderedPageBreak/>
        <w:t xml:space="preserve">validated 4-question survey was applied to identify the periodontal disease and all data were processed in a database. Some variables were dichotomized to perform the odds ratio and Pearson's Chi-squared test, and determine the relationship between possible risk factors and the evolutionary severity of COVID-19. </w:t>
      </w:r>
    </w:p>
    <w:p w14:paraId="09FA5CC0" w14:textId="77777777" w:rsidR="00435B9F" w:rsidRPr="00435B9F" w:rsidRDefault="00435B9F" w:rsidP="00435B9F">
      <w:pPr>
        <w:suppressAutoHyphens/>
        <w:spacing w:line="360" w:lineRule="auto"/>
        <w:jc w:val="both"/>
        <w:rPr>
          <w:rFonts w:eastAsia="Calibri"/>
          <w:lang w:val="en-US" w:eastAsia="en-US"/>
        </w:rPr>
      </w:pPr>
      <w:r w:rsidRPr="00435B9F">
        <w:rPr>
          <w:rFonts w:eastAsia="Calibri"/>
          <w:b/>
          <w:bCs/>
          <w:lang w:val="en-US" w:eastAsia="en-US"/>
        </w:rPr>
        <w:t>Results</w:t>
      </w:r>
      <w:r w:rsidRPr="00435B9F">
        <w:rPr>
          <w:rFonts w:eastAsia="Calibri"/>
          <w:lang w:val="en-US" w:eastAsia="en-US"/>
        </w:rPr>
        <w:t xml:space="preserve">: As a result, the odds ratio values ​​and confidence intervals for periodontal disease and advanced periodontal disease were 1.598 (0.261; 9.78) and 1.814 (0.296; 11.105) respectively, and the p-values were 0.609 and 0.514 respectively. </w:t>
      </w:r>
    </w:p>
    <w:p w14:paraId="64C4EA52" w14:textId="77777777" w:rsidR="00435B9F" w:rsidRPr="00435B9F" w:rsidRDefault="00435B9F" w:rsidP="00435B9F">
      <w:pPr>
        <w:suppressAutoHyphens/>
        <w:spacing w:line="360" w:lineRule="auto"/>
        <w:jc w:val="both"/>
        <w:rPr>
          <w:rFonts w:eastAsia="Calibri"/>
          <w:lang w:val="en-US" w:eastAsia="en-US"/>
        </w:rPr>
      </w:pPr>
      <w:r w:rsidRPr="00435B9F">
        <w:rPr>
          <w:rFonts w:eastAsia="Calibri"/>
          <w:b/>
          <w:bCs/>
          <w:lang w:val="en-US" w:eastAsia="en-US"/>
        </w:rPr>
        <w:t>Conclusion</w:t>
      </w:r>
      <w:r w:rsidRPr="00435B9F">
        <w:rPr>
          <w:rFonts w:eastAsia="Calibri"/>
          <w:lang w:val="en-US" w:eastAsia="en-US"/>
        </w:rPr>
        <w:t>: A relationship between periodontal disease and the evolutionary severity of COVID-19 cannot be established. However, a relationship was observed targeting dental loss and respiratory diseases as determinant risk factors in the severity of COVID-19.</w:t>
      </w:r>
    </w:p>
    <w:p w14:paraId="715E2AF2" w14:textId="77777777" w:rsidR="00435B9F" w:rsidRPr="00435B9F" w:rsidRDefault="00435B9F" w:rsidP="00435B9F">
      <w:pPr>
        <w:suppressAutoHyphens/>
        <w:spacing w:line="360" w:lineRule="auto"/>
        <w:jc w:val="both"/>
        <w:rPr>
          <w:rFonts w:eastAsia="Calibri"/>
          <w:lang w:val="en-US" w:eastAsia="en-US"/>
        </w:rPr>
      </w:pPr>
      <w:r w:rsidRPr="00435B9F">
        <w:rPr>
          <w:rFonts w:eastAsia="Calibri"/>
          <w:b/>
          <w:bCs/>
          <w:lang w:val="en-US" w:eastAsia="en-US"/>
        </w:rPr>
        <w:t>Keywords</w:t>
      </w:r>
      <w:r w:rsidRPr="00435B9F">
        <w:rPr>
          <w:rFonts w:eastAsia="Calibri"/>
          <w:lang w:val="en-US" w:eastAsia="en-US"/>
        </w:rPr>
        <w:t>: periodontal disease; self-report; COVID-19; patient acuity; aged.</w:t>
      </w:r>
    </w:p>
    <w:p w14:paraId="44A279FA" w14:textId="77777777" w:rsidR="00435B9F" w:rsidRPr="00435B9F" w:rsidRDefault="00435B9F" w:rsidP="00435B9F">
      <w:pPr>
        <w:suppressAutoHyphens/>
        <w:spacing w:line="360" w:lineRule="auto"/>
        <w:jc w:val="both"/>
        <w:rPr>
          <w:rFonts w:eastAsia="Calibri"/>
          <w:b/>
          <w:bCs/>
          <w:lang w:val="en-US" w:eastAsia="en-US"/>
        </w:rPr>
      </w:pPr>
    </w:p>
    <w:p w14:paraId="282E5399" w14:textId="77777777" w:rsidR="00435B9F" w:rsidRPr="00435B9F" w:rsidRDefault="00435B9F" w:rsidP="00435B9F">
      <w:pPr>
        <w:suppressAutoHyphens/>
        <w:spacing w:line="360" w:lineRule="auto"/>
        <w:jc w:val="both"/>
        <w:rPr>
          <w:rFonts w:eastAsia="Calibri"/>
          <w:b/>
          <w:bCs/>
          <w:lang w:val="es-ES" w:eastAsia="en-US"/>
        </w:rPr>
      </w:pPr>
      <w:r w:rsidRPr="00435B9F">
        <w:rPr>
          <w:rFonts w:eastAsia="Calibri"/>
          <w:b/>
          <w:bCs/>
          <w:lang w:val="es-ES" w:eastAsia="en-US"/>
        </w:rPr>
        <w:t>RESUMEN</w:t>
      </w:r>
    </w:p>
    <w:p w14:paraId="1449DE04" w14:textId="77777777" w:rsidR="00435B9F" w:rsidRPr="00435B9F" w:rsidRDefault="00435B9F" w:rsidP="00435B9F">
      <w:pPr>
        <w:suppressAutoHyphens/>
        <w:spacing w:line="360" w:lineRule="auto"/>
        <w:jc w:val="both"/>
        <w:rPr>
          <w:rFonts w:eastAsia="Calibri"/>
          <w:lang w:val="es-ES" w:eastAsia="en-US"/>
        </w:rPr>
      </w:pPr>
      <w:r w:rsidRPr="00435B9F">
        <w:rPr>
          <w:rFonts w:eastAsia="Calibri"/>
          <w:b/>
          <w:bCs/>
          <w:lang w:val="es-ES" w:eastAsia="en-US"/>
        </w:rPr>
        <w:t>Introducción</w:t>
      </w:r>
      <w:r w:rsidRPr="00435B9F">
        <w:rPr>
          <w:rFonts w:eastAsia="Calibri"/>
          <w:lang w:val="es-ES" w:eastAsia="en-US"/>
        </w:rPr>
        <w:t xml:space="preserve">: Hasta el momento de culminada esta investigación no se encontró evidencia de estudios que aborden el autorreporte de enfermedad periodontal en Cuba, ni antecedentes de estudios que la relacionen con la COVID-19 en adultos mayores de 60 años. </w:t>
      </w:r>
    </w:p>
    <w:p w14:paraId="70D6F33A" w14:textId="77777777" w:rsidR="00435B9F" w:rsidRPr="00435B9F" w:rsidRDefault="00435B9F" w:rsidP="00435B9F">
      <w:pPr>
        <w:suppressAutoHyphens/>
        <w:spacing w:line="360" w:lineRule="auto"/>
        <w:jc w:val="both"/>
        <w:rPr>
          <w:rFonts w:eastAsia="Calibri"/>
          <w:lang w:val="es-ES" w:eastAsia="en-US"/>
        </w:rPr>
      </w:pPr>
      <w:r w:rsidRPr="00435B9F">
        <w:rPr>
          <w:rFonts w:eastAsia="Calibri"/>
          <w:b/>
          <w:bCs/>
          <w:lang w:val="es-ES" w:eastAsia="en-US"/>
        </w:rPr>
        <w:t>Objetivo</w:t>
      </w:r>
      <w:r w:rsidRPr="00435B9F">
        <w:rPr>
          <w:rFonts w:eastAsia="Calibri"/>
          <w:lang w:val="es-ES" w:eastAsia="en-US"/>
        </w:rPr>
        <w:t xml:space="preserve">: Determinar la relación entre el autorreporte de enfermedad periodontal, la pérdida dentaria y características de la COVID-19. </w:t>
      </w:r>
    </w:p>
    <w:p w14:paraId="013DE59F" w14:textId="77777777" w:rsidR="00435B9F" w:rsidRPr="00435B9F" w:rsidRDefault="00435B9F" w:rsidP="00435B9F">
      <w:pPr>
        <w:suppressAutoHyphens/>
        <w:spacing w:line="360" w:lineRule="auto"/>
        <w:jc w:val="both"/>
        <w:rPr>
          <w:rFonts w:eastAsia="Calibri"/>
          <w:lang w:val="es-ES" w:eastAsia="en-US"/>
        </w:rPr>
      </w:pPr>
      <w:r w:rsidRPr="00435B9F">
        <w:rPr>
          <w:rFonts w:eastAsia="Calibri"/>
          <w:b/>
          <w:bCs/>
          <w:lang w:val="es-ES" w:eastAsia="en-US"/>
        </w:rPr>
        <w:t>Métodos</w:t>
      </w:r>
      <w:r w:rsidRPr="00435B9F">
        <w:rPr>
          <w:rFonts w:eastAsia="Calibri"/>
          <w:lang w:val="es-ES" w:eastAsia="en-US"/>
        </w:rPr>
        <w:t xml:space="preserve">: Se realizó una investigación descriptiva transversal. La muestra fue de 238 individuos mayores de 60 años, que contrajeron la COVID-19 y sobrevivieron. Todos dieron su consentimiento informado. El estudio fue realizado en el período de 1 año en el municipio Playa, La Habana, Cuba. Las variables estudiadas fueron, sexo, edad, gravedad evolutiva de la COVID-19, comorbilidades y autorreporte de enfermedad periodontal. Se les aplicó una encuesta validada de 4 preguntas, para identificar enfermedad periodontal y los datos fueron procesados en una base de datos. Algunas variables fueron dicotomizadas para realizar la prueba de </w:t>
      </w:r>
      <w:proofErr w:type="spellStart"/>
      <w:r w:rsidRPr="00435B9F">
        <w:rPr>
          <w:rFonts w:eastAsia="Calibri"/>
          <w:i/>
          <w:iCs/>
          <w:lang w:val="es-ES" w:eastAsia="en-US"/>
        </w:rPr>
        <w:t>odds</w:t>
      </w:r>
      <w:proofErr w:type="spellEnd"/>
      <w:r w:rsidRPr="00435B9F">
        <w:rPr>
          <w:rFonts w:eastAsia="Calibri"/>
          <w:i/>
          <w:iCs/>
          <w:lang w:val="es-ES" w:eastAsia="en-US"/>
        </w:rPr>
        <w:t xml:space="preserve"> ratio</w:t>
      </w:r>
      <w:r w:rsidRPr="00435B9F">
        <w:rPr>
          <w:rFonts w:eastAsia="Calibri"/>
          <w:lang w:val="es-ES" w:eastAsia="en-US"/>
        </w:rPr>
        <w:t xml:space="preserve"> y </w:t>
      </w:r>
      <w:r w:rsidRPr="00435B9F">
        <w:rPr>
          <w:rFonts w:eastAsia="Calibri"/>
          <w:i/>
          <w:iCs/>
          <w:lang w:val="es-ES" w:eastAsia="en-US"/>
        </w:rPr>
        <w:t xml:space="preserve">ji </w:t>
      </w:r>
      <w:r w:rsidRPr="00435B9F">
        <w:rPr>
          <w:rFonts w:eastAsia="Calibri"/>
          <w:lang w:val="es-ES" w:eastAsia="en-US"/>
        </w:rPr>
        <w:t xml:space="preserve">cuadrado de Pearson, para determinar la relación entre posibles factores de riesgo y la gravedad evolutiva de la COVID-19. </w:t>
      </w:r>
    </w:p>
    <w:p w14:paraId="3E9EA774" w14:textId="77777777" w:rsidR="00435B9F" w:rsidRPr="00435B9F" w:rsidRDefault="00435B9F" w:rsidP="00435B9F">
      <w:pPr>
        <w:suppressAutoHyphens/>
        <w:spacing w:line="360" w:lineRule="auto"/>
        <w:jc w:val="both"/>
        <w:rPr>
          <w:rFonts w:eastAsia="Calibri"/>
          <w:lang w:val="es-ES" w:eastAsia="en-US"/>
        </w:rPr>
      </w:pPr>
      <w:r w:rsidRPr="00435B9F">
        <w:rPr>
          <w:rFonts w:eastAsia="Calibri"/>
          <w:b/>
          <w:bCs/>
          <w:lang w:val="es-ES" w:eastAsia="en-US"/>
        </w:rPr>
        <w:lastRenderedPageBreak/>
        <w:t>Resultados</w:t>
      </w:r>
      <w:r w:rsidRPr="00435B9F">
        <w:rPr>
          <w:rFonts w:eastAsia="Calibri"/>
          <w:lang w:val="es-ES" w:eastAsia="en-US"/>
        </w:rPr>
        <w:t xml:space="preserve">: Los valores de </w:t>
      </w:r>
      <w:proofErr w:type="spellStart"/>
      <w:r w:rsidRPr="00435B9F">
        <w:rPr>
          <w:rFonts w:eastAsia="Calibri"/>
          <w:i/>
          <w:iCs/>
          <w:lang w:val="es-ES" w:eastAsia="en-US"/>
        </w:rPr>
        <w:t>odds</w:t>
      </w:r>
      <w:proofErr w:type="spellEnd"/>
      <w:r w:rsidRPr="00435B9F">
        <w:rPr>
          <w:rFonts w:eastAsia="Calibri"/>
          <w:i/>
          <w:iCs/>
          <w:lang w:val="es-ES" w:eastAsia="en-US"/>
        </w:rPr>
        <w:t xml:space="preserve"> ratio</w:t>
      </w:r>
      <w:r w:rsidRPr="00435B9F">
        <w:rPr>
          <w:rFonts w:eastAsia="Calibri"/>
          <w:lang w:val="es-ES" w:eastAsia="en-US"/>
        </w:rPr>
        <w:t xml:space="preserve"> e intervalos de confianza de la enfermedad periodontal y la enfermedad periodontal avanzada fueron de 1,598 (0,261; 9,78) y 1,814 (0,296; 11,105) y los valores de p de 0,609 y 0,514 respectivamente. </w:t>
      </w:r>
    </w:p>
    <w:p w14:paraId="678AEACD" w14:textId="77777777" w:rsidR="00435B9F" w:rsidRPr="00435B9F" w:rsidRDefault="00435B9F" w:rsidP="00435B9F">
      <w:pPr>
        <w:suppressAutoHyphens/>
        <w:spacing w:line="360" w:lineRule="auto"/>
        <w:jc w:val="both"/>
        <w:rPr>
          <w:rFonts w:eastAsia="Calibri"/>
          <w:lang w:val="es-ES" w:eastAsia="en-US"/>
        </w:rPr>
      </w:pPr>
      <w:r w:rsidRPr="00435B9F">
        <w:rPr>
          <w:rFonts w:eastAsia="Calibri"/>
          <w:b/>
          <w:bCs/>
          <w:lang w:val="es-ES" w:eastAsia="en-US"/>
        </w:rPr>
        <w:t>Conclusiones</w:t>
      </w:r>
      <w:r w:rsidRPr="00435B9F">
        <w:rPr>
          <w:rFonts w:eastAsia="Calibri"/>
          <w:lang w:val="es-ES" w:eastAsia="en-US"/>
        </w:rPr>
        <w:t>: No se comprueba que exista relación entre la enfermedad periodontal y la gravedad evolutiva de la COVID-19. Sin embargo, existe una relación que señala a la pérdida dentaria y las enfermedades respiratorias como factores de riesgo determinante en la gravedad de la COVID-19.</w:t>
      </w:r>
      <w:bookmarkStart w:id="0" w:name="_Hlk91016462"/>
      <w:bookmarkEnd w:id="0"/>
    </w:p>
    <w:p w14:paraId="575EA1B9" w14:textId="77777777" w:rsidR="00435B9F" w:rsidRPr="00435B9F" w:rsidRDefault="00435B9F" w:rsidP="00435B9F">
      <w:pPr>
        <w:suppressAutoHyphens/>
        <w:spacing w:line="360" w:lineRule="auto"/>
        <w:jc w:val="both"/>
        <w:rPr>
          <w:rFonts w:eastAsia="Calibri"/>
          <w:lang w:val="es-ES" w:eastAsia="en-US"/>
        </w:rPr>
      </w:pPr>
      <w:r w:rsidRPr="00435B9F">
        <w:rPr>
          <w:rFonts w:eastAsia="Calibri"/>
          <w:b/>
          <w:bCs/>
          <w:lang w:val="es-ES" w:eastAsia="en-US"/>
        </w:rPr>
        <w:t>Palabras clave:</w:t>
      </w:r>
      <w:r w:rsidRPr="00435B9F">
        <w:rPr>
          <w:rFonts w:eastAsia="Calibri"/>
          <w:lang w:val="es-ES" w:eastAsia="en-US"/>
        </w:rPr>
        <w:t xml:space="preserve"> enfermedad periodontal; autorreporte; COVID-19; gravedad del paciente; anciano.</w:t>
      </w:r>
    </w:p>
    <w:p w14:paraId="646F1B95" w14:textId="77777777" w:rsidR="00435B9F" w:rsidRPr="00435B9F" w:rsidRDefault="00435B9F" w:rsidP="00435B9F">
      <w:pPr>
        <w:suppressAutoHyphens/>
        <w:spacing w:line="360" w:lineRule="auto"/>
        <w:jc w:val="both"/>
        <w:rPr>
          <w:rFonts w:eastAsia="Calibri"/>
          <w:lang w:val="es-ES" w:eastAsia="en-US"/>
        </w:rPr>
      </w:pPr>
    </w:p>
    <w:p w14:paraId="15821A1E" w14:textId="77777777" w:rsidR="00435B9F" w:rsidRPr="00435B9F" w:rsidRDefault="00435B9F" w:rsidP="00435B9F">
      <w:pPr>
        <w:suppressAutoHyphens/>
        <w:spacing w:line="360" w:lineRule="auto"/>
        <w:jc w:val="both"/>
        <w:rPr>
          <w:rFonts w:eastAsia="Calibri"/>
          <w:lang w:val="es-ES" w:eastAsia="en-US"/>
        </w:rPr>
      </w:pPr>
    </w:p>
    <w:p w14:paraId="3B30B575" w14:textId="77777777" w:rsidR="00435B9F" w:rsidRPr="00435B9F" w:rsidRDefault="00435B9F" w:rsidP="00435B9F">
      <w:pPr>
        <w:suppressAutoHyphens/>
        <w:spacing w:line="360" w:lineRule="auto"/>
        <w:jc w:val="both"/>
        <w:rPr>
          <w:rFonts w:eastAsia="Calibri"/>
          <w:lang w:val="en-US" w:eastAsia="en-US"/>
        </w:rPr>
      </w:pPr>
      <w:proofErr w:type="spellStart"/>
      <w:r w:rsidRPr="00435B9F">
        <w:rPr>
          <w:rFonts w:eastAsia="Calibri"/>
          <w:lang w:val="en-US" w:eastAsia="en-US"/>
        </w:rPr>
        <w:t>Recibido</w:t>
      </w:r>
      <w:proofErr w:type="spellEnd"/>
      <w:r w:rsidRPr="00435B9F">
        <w:rPr>
          <w:rFonts w:eastAsia="Calibri"/>
          <w:lang w:val="en-US" w:eastAsia="en-US"/>
        </w:rPr>
        <w:t>: 07/02/2022</w:t>
      </w:r>
    </w:p>
    <w:p w14:paraId="56AE2B0F" w14:textId="77777777" w:rsidR="00435B9F" w:rsidRPr="00435B9F" w:rsidRDefault="00435B9F" w:rsidP="00435B9F">
      <w:pPr>
        <w:suppressAutoHyphens/>
        <w:spacing w:line="360" w:lineRule="auto"/>
        <w:jc w:val="both"/>
        <w:rPr>
          <w:rFonts w:eastAsia="Calibri"/>
          <w:lang w:val="en-US" w:eastAsia="en-US"/>
        </w:rPr>
      </w:pPr>
      <w:proofErr w:type="spellStart"/>
      <w:r w:rsidRPr="00435B9F">
        <w:rPr>
          <w:rFonts w:eastAsia="Calibri"/>
          <w:lang w:val="en-US" w:eastAsia="en-US"/>
        </w:rPr>
        <w:t>Aprobado</w:t>
      </w:r>
      <w:proofErr w:type="spellEnd"/>
      <w:r w:rsidRPr="00435B9F">
        <w:rPr>
          <w:rFonts w:eastAsia="Calibri"/>
          <w:lang w:val="en-US" w:eastAsia="en-US"/>
        </w:rPr>
        <w:t>: 21/04/2022</w:t>
      </w:r>
    </w:p>
    <w:p w14:paraId="72B6CB51" w14:textId="77777777" w:rsidR="00435B9F" w:rsidRPr="00435B9F" w:rsidRDefault="00435B9F" w:rsidP="00435B9F">
      <w:pPr>
        <w:suppressAutoHyphens/>
        <w:spacing w:line="360" w:lineRule="auto"/>
        <w:jc w:val="both"/>
        <w:rPr>
          <w:rFonts w:eastAsia="Calibri"/>
          <w:lang w:val="en-US" w:eastAsia="en-US"/>
        </w:rPr>
      </w:pPr>
    </w:p>
    <w:p w14:paraId="69A2DFB4" w14:textId="77777777" w:rsidR="00435B9F" w:rsidRPr="00435B9F" w:rsidRDefault="00435B9F" w:rsidP="00435B9F">
      <w:pPr>
        <w:suppressAutoHyphens/>
        <w:spacing w:line="360" w:lineRule="auto"/>
        <w:jc w:val="both"/>
        <w:rPr>
          <w:rFonts w:eastAsia="Calibri"/>
          <w:b/>
          <w:bCs/>
          <w:lang w:val="en-US" w:eastAsia="en-US"/>
        </w:rPr>
      </w:pPr>
    </w:p>
    <w:p w14:paraId="286CF135" w14:textId="77777777" w:rsidR="00435B9F" w:rsidRPr="00435B9F" w:rsidRDefault="00435B9F" w:rsidP="00435B9F">
      <w:pPr>
        <w:suppressAutoHyphens/>
        <w:spacing w:line="360" w:lineRule="auto"/>
        <w:jc w:val="center"/>
        <w:rPr>
          <w:rFonts w:eastAsia="Calibri"/>
          <w:b/>
          <w:bCs/>
          <w:sz w:val="32"/>
          <w:szCs w:val="32"/>
          <w:lang w:val="en-US" w:eastAsia="en-US"/>
        </w:rPr>
      </w:pPr>
      <w:r w:rsidRPr="00435B9F">
        <w:rPr>
          <w:rFonts w:eastAsia="Calibri"/>
          <w:b/>
          <w:bCs/>
          <w:sz w:val="32"/>
          <w:szCs w:val="32"/>
          <w:lang w:val="en-US" w:eastAsia="en-US"/>
        </w:rPr>
        <w:t>INTRODUCTION</w:t>
      </w:r>
    </w:p>
    <w:p w14:paraId="766E388C"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In recent years, periodontal disease (PD) has been widely studied due to its significant relationship with health. It emerges as a manifestation of systemic disorders, influences the etiology of diverse general diseases, and shares risk factors with current major chronic illnesses, such as cardiovascular,</w:t>
      </w:r>
      <w:r w:rsidRPr="00435B9F">
        <w:rPr>
          <w:rFonts w:eastAsia="Calibri"/>
          <w:vertAlign w:val="superscript"/>
          <w:lang w:val="en-US" w:eastAsia="en-US"/>
        </w:rPr>
        <w:t>(1)</w:t>
      </w:r>
      <w:r w:rsidRPr="00435B9F">
        <w:rPr>
          <w:rFonts w:eastAsia="Calibri"/>
          <w:lang w:val="en-US" w:eastAsia="en-US"/>
        </w:rPr>
        <w:t xml:space="preserve"> rheumatic, renal, and neurological diseases – including Alzheimer's and Parkinson's,</w:t>
      </w:r>
      <w:r w:rsidRPr="00435B9F">
        <w:rPr>
          <w:rFonts w:eastAsia="Calibri"/>
          <w:vertAlign w:val="superscript"/>
          <w:lang w:val="en-US" w:eastAsia="en-US"/>
        </w:rPr>
        <w:t>(2,3)</w:t>
      </w:r>
      <w:r w:rsidRPr="00435B9F">
        <w:rPr>
          <w:rFonts w:eastAsia="Calibri"/>
          <w:lang w:val="en-US" w:eastAsia="en-US"/>
        </w:rPr>
        <w:t xml:space="preserve"> cancer, chronic respiratory diseases,</w:t>
      </w:r>
      <w:r w:rsidRPr="00435B9F">
        <w:rPr>
          <w:rFonts w:eastAsia="Calibri"/>
          <w:vertAlign w:val="superscript"/>
          <w:lang w:val="en-US" w:eastAsia="en-US"/>
        </w:rPr>
        <w:t>(4,5)</w:t>
      </w:r>
      <w:r w:rsidRPr="00435B9F">
        <w:rPr>
          <w:rFonts w:eastAsia="Calibri"/>
          <w:lang w:val="en-US" w:eastAsia="en-US"/>
        </w:rPr>
        <w:t xml:space="preserve"> obesity</w:t>
      </w:r>
      <w:r w:rsidRPr="00435B9F">
        <w:rPr>
          <w:rFonts w:eastAsia="Calibri"/>
          <w:vertAlign w:val="superscript"/>
          <w:lang w:val="en-US" w:eastAsia="en-US"/>
        </w:rPr>
        <w:t>(6)</w:t>
      </w:r>
      <w:r w:rsidRPr="00435B9F">
        <w:rPr>
          <w:rFonts w:eastAsia="Calibri"/>
          <w:lang w:val="en-US" w:eastAsia="en-US"/>
        </w:rPr>
        <w:t xml:space="preserve"> and diabetes,</w:t>
      </w:r>
      <w:r w:rsidRPr="00435B9F">
        <w:rPr>
          <w:rFonts w:eastAsia="Calibri"/>
          <w:vertAlign w:val="superscript"/>
          <w:lang w:val="en-US" w:eastAsia="en-US"/>
        </w:rPr>
        <w:t>(7,8)</w:t>
      </w:r>
      <w:r w:rsidRPr="00435B9F">
        <w:rPr>
          <w:rFonts w:eastAsia="Calibri"/>
          <w:lang w:val="en-US" w:eastAsia="en-US"/>
        </w:rPr>
        <w:t xml:space="preserve"> among others.</w:t>
      </w:r>
      <w:r w:rsidRPr="00435B9F">
        <w:rPr>
          <w:rFonts w:eastAsia="Calibri"/>
          <w:vertAlign w:val="superscript"/>
          <w:lang w:val="en-US" w:eastAsia="en-US"/>
        </w:rPr>
        <w:t>(9,10,11,12,13)</w:t>
      </w:r>
      <w:r w:rsidRPr="00435B9F">
        <w:rPr>
          <w:rFonts w:eastAsia="Calibri"/>
          <w:lang w:val="en-US" w:eastAsia="en-US"/>
        </w:rPr>
        <w:t xml:space="preserve"> As a result of this relationship, and the aging population, an increase in the prevalence of </w:t>
      </w:r>
      <w:proofErr w:type="spellStart"/>
      <w:r w:rsidRPr="00435B9F">
        <w:rPr>
          <w:rFonts w:eastAsia="Calibri"/>
          <w:lang w:val="en-US" w:eastAsia="en-US"/>
        </w:rPr>
        <w:t>periodontopathies</w:t>
      </w:r>
      <w:proofErr w:type="spellEnd"/>
      <w:r w:rsidRPr="00435B9F">
        <w:rPr>
          <w:rFonts w:eastAsia="Calibri"/>
          <w:lang w:val="en-US" w:eastAsia="en-US"/>
        </w:rPr>
        <w:t xml:space="preserve">, which in turn are the main cause of dental loss, is expected. Several studies associate edentulism with negative effects at the systemic </w:t>
      </w:r>
      <w:proofErr w:type="gramStart"/>
      <w:r w:rsidRPr="00435B9F">
        <w:rPr>
          <w:rFonts w:eastAsia="Calibri"/>
          <w:lang w:val="en-US" w:eastAsia="en-US"/>
        </w:rPr>
        <w:t>level.</w:t>
      </w:r>
      <w:r w:rsidRPr="00435B9F">
        <w:rPr>
          <w:rFonts w:eastAsia="Calibri"/>
          <w:vertAlign w:val="superscript"/>
          <w:lang w:val="en-US" w:eastAsia="en-US"/>
        </w:rPr>
        <w:t>(</w:t>
      </w:r>
      <w:proofErr w:type="gramEnd"/>
      <w:r w:rsidRPr="00435B9F">
        <w:rPr>
          <w:rFonts w:eastAsia="Calibri"/>
          <w:vertAlign w:val="superscript"/>
          <w:lang w:val="en-US" w:eastAsia="en-US"/>
        </w:rPr>
        <w:t>14,15,16)</w:t>
      </w:r>
      <w:r w:rsidRPr="00435B9F">
        <w:rPr>
          <w:rFonts w:eastAsia="Calibri"/>
          <w:lang w:val="en-US" w:eastAsia="en-US"/>
        </w:rPr>
        <w:t xml:space="preserve"> </w:t>
      </w:r>
    </w:p>
    <w:p w14:paraId="7D7C38D5"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The self-reported periodontal disease (SPD) has acceptable validity when compared to clinical excellence standards. Regarding painful gums, dental mobility, and people's opinions about whether they have gum disease, it can be classified as moderately to highly valid, according to Nelson's validity </w:t>
      </w:r>
      <w:proofErr w:type="gramStart"/>
      <w:r w:rsidRPr="00435B9F">
        <w:rPr>
          <w:rFonts w:eastAsia="Calibri"/>
          <w:lang w:val="en-US" w:eastAsia="en-US"/>
        </w:rPr>
        <w:t>classification.</w:t>
      </w:r>
      <w:r w:rsidRPr="00435B9F">
        <w:rPr>
          <w:rFonts w:eastAsia="Calibri"/>
          <w:vertAlign w:val="superscript"/>
          <w:lang w:val="en-US" w:eastAsia="en-US"/>
        </w:rPr>
        <w:t>(</w:t>
      </w:r>
      <w:proofErr w:type="gramEnd"/>
      <w:r w:rsidRPr="00435B9F">
        <w:rPr>
          <w:rFonts w:eastAsia="Calibri"/>
          <w:vertAlign w:val="superscript"/>
          <w:lang w:val="en-US" w:eastAsia="en-US"/>
        </w:rPr>
        <w:t>17)</w:t>
      </w:r>
    </w:p>
    <w:p w14:paraId="219D4BD3"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On March 11</w:t>
      </w:r>
      <w:r w:rsidRPr="00435B9F">
        <w:rPr>
          <w:rFonts w:eastAsia="Calibri"/>
          <w:vertAlign w:val="superscript"/>
          <w:lang w:val="en-US" w:eastAsia="en-US"/>
        </w:rPr>
        <w:t>th</w:t>
      </w:r>
      <w:r w:rsidRPr="00435B9F">
        <w:rPr>
          <w:rFonts w:eastAsia="Calibri"/>
          <w:lang w:val="en-US" w:eastAsia="en-US"/>
        </w:rPr>
        <w:t xml:space="preserve">, 2020, the World Health Organization declared the COVID-19 </w:t>
      </w:r>
      <w:proofErr w:type="gramStart"/>
      <w:r w:rsidRPr="00435B9F">
        <w:rPr>
          <w:rFonts w:eastAsia="Calibri"/>
          <w:lang w:val="en-US" w:eastAsia="en-US"/>
        </w:rPr>
        <w:t>pandemic,</w:t>
      </w:r>
      <w:r w:rsidRPr="00435B9F">
        <w:rPr>
          <w:rFonts w:eastAsia="Calibri"/>
          <w:vertAlign w:val="superscript"/>
          <w:lang w:val="en-US" w:eastAsia="en-US"/>
        </w:rPr>
        <w:t>(</w:t>
      </w:r>
      <w:proofErr w:type="gramEnd"/>
      <w:r w:rsidRPr="00435B9F">
        <w:rPr>
          <w:rFonts w:eastAsia="Calibri"/>
          <w:vertAlign w:val="superscript"/>
          <w:lang w:val="en-US" w:eastAsia="en-US"/>
        </w:rPr>
        <w:t>18)</w:t>
      </w:r>
      <w:r w:rsidRPr="00435B9F">
        <w:rPr>
          <w:rFonts w:eastAsia="Calibri"/>
          <w:lang w:val="en-US" w:eastAsia="en-US"/>
        </w:rPr>
        <w:t xml:space="preserve"> caused by a novel coronavirus SARS-COV-2. It produces pulmonary damage and other organ failures, and like PD, features an exacerbated immune-inflammatory response, resulting in an excessive host immune reaction </w:t>
      </w:r>
      <w:r w:rsidRPr="00435B9F">
        <w:rPr>
          <w:rFonts w:eastAsia="Calibri"/>
          <w:lang w:val="en-US" w:eastAsia="en-US"/>
        </w:rPr>
        <w:lastRenderedPageBreak/>
        <w:t xml:space="preserve">with cytokine storming, which is closely related to severity in the presence of chronic non-communicable </w:t>
      </w:r>
      <w:proofErr w:type="gramStart"/>
      <w:r w:rsidRPr="00435B9F">
        <w:rPr>
          <w:rFonts w:eastAsia="Calibri"/>
          <w:lang w:val="en-US" w:eastAsia="en-US"/>
        </w:rPr>
        <w:t>diseases.</w:t>
      </w:r>
      <w:r w:rsidRPr="00435B9F">
        <w:rPr>
          <w:rFonts w:eastAsia="Calibri"/>
          <w:vertAlign w:val="superscript"/>
          <w:lang w:val="en-US" w:eastAsia="en-US"/>
        </w:rPr>
        <w:t>(</w:t>
      </w:r>
      <w:proofErr w:type="gramEnd"/>
      <w:r w:rsidRPr="00435B9F">
        <w:rPr>
          <w:rFonts w:eastAsia="Calibri"/>
          <w:vertAlign w:val="superscript"/>
          <w:lang w:val="en-US" w:eastAsia="en-US"/>
        </w:rPr>
        <w:t>6,10,18,19,20)</w:t>
      </w:r>
      <w:r w:rsidRPr="00435B9F">
        <w:rPr>
          <w:rFonts w:eastAsia="Calibri"/>
          <w:lang w:val="en-US" w:eastAsia="en-US"/>
        </w:rPr>
        <w:t xml:space="preserve"> </w:t>
      </w:r>
    </w:p>
    <w:p w14:paraId="2A72AEA7"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The severity spectrum of COVID-19 ranges from asymptomatic to severe. While a significant proportion of SARS-CoV-2 positive individuals do not manifest symptoms or have only mild ones, some become seriously ill and develop a hyperinflammatory response leading to dysregulation of the involved organ metabolism, with potentially life-threatening consequences. Overall, the severity of COVID-19 increases with pre-existing </w:t>
      </w:r>
      <w:proofErr w:type="gramStart"/>
      <w:r w:rsidRPr="00435B9F">
        <w:rPr>
          <w:rFonts w:eastAsia="Calibri"/>
          <w:lang w:val="en-US" w:eastAsia="en-US"/>
        </w:rPr>
        <w:t>comorbidities.</w:t>
      </w:r>
      <w:r w:rsidRPr="00435B9F">
        <w:rPr>
          <w:rFonts w:eastAsia="Calibri"/>
          <w:vertAlign w:val="superscript"/>
          <w:lang w:val="en-US" w:eastAsia="en-US"/>
        </w:rPr>
        <w:t>(</w:t>
      </w:r>
      <w:proofErr w:type="gramEnd"/>
      <w:r w:rsidRPr="00435B9F">
        <w:rPr>
          <w:rFonts w:eastAsia="Calibri"/>
          <w:vertAlign w:val="superscript"/>
          <w:lang w:val="en-US" w:eastAsia="en-US"/>
        </w:rPr>
        <w:t>21)</w:t>
      </w:r>
      <w:r w:rsidRPr="00435B9F">
        <w:rPr>
          <w:rFonts w:eastAsia="Calibri"/>
          <w:lang w:val="en-US" w:eastAsia="en-US"/>
        </w:rPr>
        <w:t xml:space="preserve"> In this context, several hypothetical mechanisms may explain the strong associations observed between PD and COVID-19 severity.</w:t>
      </w:r>
      <w:r w:rsidRPr="00435B9F">
        <w:rPr>
          <w:rFonts w:eastAsia="Calibri"/>
          <w:vertAlign w:val="superscript"/>
          <w:lang w:val="en-US" w:eastAsia="en-US"/>
        </w:rPr>
        <w:t>(20,22,23,24,25)</w:t>
      </w:r>
      <w:r w:rsidRPr="00435B9F">
        <w:rPr>
          <w:rFonts w:eastAsia="Calibri"/>
          <w:lang w:val="en-US" w:eastAsia="en-US"/>
        </w:rPr>
        <w:t xml:space="preserve"> </w:t>
      </w:r>
    </w:p>
    <w:p w14:paraId="0CA2FDB6"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Up to the completion date of this research, there was no scientific evidence of SDP studies in Cuba, nor any antecedents of studies related to COVID-19 in adults over 60. For this reason, this research aims to determine the relationship between SDP, dental loss, and COVID-19 activity.</w:t>
      </w:r>
    </w:p>
    <w:p w14:paraId="63EBD5B4"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This research aims to determine the relationship between self-reported periodontal disease, dental loss, and COVID-19 activity.</w:t>
      </w:r>
    </w:p>
    <w:p w14:paraId="69724922" w14:textId="77777777" w:rsidR="00435B9F" w:rsidRPr="00435B9F" w:rsidRDefault="00435B9F" w:rsidP="00435B9F">
      <w:pPr>
        <w:suppressAutoHyphens/>
        <w:spacing w:line="360" w:lineRule="auto"/>
        <w:jc w:val="both"/>
        <w:rPr>
          <w:rFonts w:eastAsia="Calibri"/>
          <w:b/>
          <w:bCs/>
          <w:lang w:val="en-US" w:eastAsia="en-US"/>
        </w:rPr>
      </w:pPr>
    </w:p>
    <w:p w14:paraId="606C8906" w14:textId="77777777" w:rsidR="00435B9F" w:rsidRPr="00435B9F" w:rsidRDefault="00435B9F" w:rsidP="00435B9F">
      <w:pPr>
        <w:suppressAutoHyphens/>
        <w:spacing w:line="360" w:lineRule="auto"/>
        <w:jc w:val="center"/>
        <w:rPr>
          <w:rFonts w:eastAsia="Calibri"/>
          <w:b/>
          <w:bCs/>
          <w:sz w:val="32"/>
          <w:szCs w:val="32"/>
          <w:lang w:val="en-US" w:eastAsia="en-US"/>
        </w:rPr>
      </w:pPr>
    </w:p>
    <w:p w14:paraId="3ED185B2" w14:textId="77777777" w:rsidR="00435B9F" w:rsidRPr="00435B9F" w:rsidRDefault="00435B9F" w:rsidP="00435B9F">
      <w:pPr>
        <w:suppressAutoHyphens/>
        <w:spacing w:line="360" w:lineRule="auto"/>
        <w:jc w:val="center"/>
        <w:rPr>
          <w:rFonts w:eastAsia="Calibri"/>
          <w:sz w:val="32"/>
          <w:szCs w:val="32"/>
          <w:lang w:val="en-US" w:eastAsia="en-US"/>
        </w:rPr>
      </w:pPr>
      <w:r w:rsidRPr="00435B9F">
        <w:rPr>
          <w:rFonts w:eastAsia="Calibri"/>
          <w:b/>
          <w:bCs/>
          <w:sz w:val="32"/>
          <w:szCs w:val="32"/>
          <w:lang w:val="en-US" w:eastAsia="en-US"/>
        </w:rPr>
        <w:t>METHODS</w:t>
      </w:r>
    </w:p>
    <w:p w14:paraId="0702C154"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Type of study: </w:t>
      </w:r>
      <w:bookmarkStart w:id="1" w:name="_Hlk91016448"/>
      <w:r w:rsidRPr="00435B9F">
        <w:rPr>
          <w:rFonts w:eastAsia="Calibri"/>
          <w:lang w:val="en-US" w:eastAsia="en-US"/>
        </w:rPr>
        <w:t>A cross-sectional descriptive research was conducted from April to September 2021. It was approved by the Ethics Committee of the Faculty of Stomatology at University of Medical Sciences of Havana as the main subject of the master's studies of one of the authors.</w:t>
      </w:r>
      <w:bookmarkEnd w:id="1"/>
    </w:p>
    <w:p w14:paraId="0FBF67D2"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Inclusion and sample criteria: </w:t>
      </w:r>
      <w:bookmarkStart w:id="2" w:name="_Hlk91016488"/>
      <w:r w:rsidRPr="00435B9F">
        <w:rPr>
          <w:rFonts w:eastAsia="Calibri"/>
          <w:lang w:val="en-US" w:eastAsia="en-US"/>
        </w:rPr>
        <w:t>The sample consisted of 238 individuals aged over 60, who were infected with COVID-19 and survived it, from March 11</w:t>
      </w:r>
      <w:r w:rsidRPr="00435B9F">
        <w:rPr>
          <w:rFonts w:eastAsia="Calibri"/>
          <w:vertAlign w:val="superscript"/>
          <w:lang w:val="en-US" w:eastAsia="en-US"/>
        </w:rPr>
        <w:t>th</w:t>
      </w:r>
      <w:r w:rsidRPr="00435B9F">
        <w:rPr>
          <w:rFonts w:eastAsia="Calibri"/>
          <w:lang w:val="en-US" w:eastAsia="en-US"/>
        </w:rPr>
        <w:t>, 2020 to March 11</w:t>
      </w:r>
      <w:r w:rsidRPr="00435B9F">
        <w:rPr>
          <w:rFonts w:eastAsia="Calibri"/>
          <w:vertAlign w:val="superscript"/>
          <w:lang w:val="en-US" w:eastAsia="en-US"/>
        </w:rPr>
        <w:t>th</w:t>
      </w:r>
      <w:r w:rsidRPr="00435B9F">
        <w:rPr>
          <w:rFonts w:eastAsia="Calibri"/>
          <w:lang w:val="en-US" w:eastAsia="en-US"/>
        </w:rPr>
        <w:t>, 2021, and lived in Playa municipality in Havana, Cuba. They were all confirmed positive cases for COVID-19 according to the PCR test (Polymerase Chain Reaction).</w:t>
      </w:r>
      <w:bookmarkEnd w:id="2"/>
    </w:p>
    <w:p w14:paraId="3CFE8E86"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Variables: The study variables were defined by gender (male/female), age groups (60-75 and 76-100), evolutionary severity of COVID-19 (asymptomatic, symptomatic, and severe), comorbidities (hypertension, diabetes mellitus, heart disease, chronic respiratory disease, and morbid obesity), dental </w:t>
      </w:r>
      <w:r w:rsidRPr="00435B9F">
        <w:rPr>
          <w:rFonts w:eastAsia="Calibri"/>
          <w:lang w:val="en-US" w:eastAsia="en-US"/>
        </w:rPr>
        <w:lastRenderedPageBreak/>
        <w:t xml:space="preserve">loss (teeth and edentulous), and SPD (absence and presence of PD and presence of advanced periodontal disease (APD)). </w:t>
      </w:r>
      <w:bookmarkStart w:id="3" w:name="_Hlk91016558"/>
      <w:bookmarkEnd w:id="3"/>
    </w:p>
    <w:p w14:paraId="0CAE7D1B"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Techniques and procedures: Credentials were submitted to governmental institutions to access the data required to develop the research. Then, personal data were collected from patients confirmed as COVID-19 positive. Individuals were presented with a 4-question survey to identify the presence of periodontal disease. This survey was validated in New </w:t>
      </w:r>
      <w:proofErr w:type="gramStart"/>
      <w:r w:rsidRPr="00435B9F">
        <w:rPr>
          <w:rFonts w:eastAsia="Calibri"/>
          <w:lang w:val="en-US" w:eastAsia="en-US"/>
        </w:rPr>
        <w:t>Zealand,</w:t>
      </w:r>
      <w:r w:rsidRPr="00435B9F">
        <w:rPr>
          <w:rFonts w:eastAsia="Calibri"/>
          <w:vertAlign w:val="superscript"/>
          <w:lang w:val="en-US" w:eastAsia="en-US"/>
        </w:rPr>
        <w:t>(</w:t>
      </w:r>
      <w:proofErr w:type="gramEnd"/>
      <w:r w:rsidRPr="00435B9F">
        <w:rPr>
          <w:rFonts w:eastAsia="Calibri"/>
          <w:vertAlign w:val="superscript"/>
          <w:lang w:val="en-US" w:eastAsia="en-US"/>
        </w:rPr>
        <w:t>26)</w:t>
      </w:r>
      <w:r w:rsidRPr="00435B9F">
        <w:rPr>
          <w:rFonts w:eastAsia="Calibri"/>
          <w:lang w:val="en-US" w:eastAsia="en-US"/>
        </w:rPr>
        <w:t xml:space="preserve"> and translated into Spanish for its usage. First, the absence of PD was determined when all four answers were negative; then, the presence of PD was determined in cases with two positive answers and if only the fourth one was also positive. Finally, the presence of SPD was determined when answers 2,3, and 4 were positive.</w:t>
      </w:r>
    </w:p>
    <w:p w14:paraId="1D0220CB"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All data were collected through a Google form and stored in a database. General information, personal pathological background, and edentulous or dentate status were also recorded. All participants were visited and surveyed at their homes. All health protocol measures required by the relevant health organizations were followed, and the required protective equipment was used.</w:t>
      </w:r>
    </w:p>
    <w:p w14:paraId="75B0D71F"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Data processing and analyses: Data regarding the evolutionary severity of COVID-19, the PD, and the SPD were dichotomized to process all variables and perform </w:t>
      </w:r>
      <w:bookmarkStart w:id="4" w:name="_Hlk91016724"/>
      <w:r w:rsidRPr="00435B9F">
        <w:rPr>
          <w:rFonts w:eastAsia="Calibri"/>
          <w:lang w:val="en-US" w:eastAsia="en-US"/>
        </w:rPr>
        <w:t xml:space="preserve">Pearson's odds ratio and the chi-square test. It aimed to determine the connection between their relationship (as possible risk factors) and the evolutionary severity of COVID-19. There was a 95 % confidence interval defined to establish this relation; besides, the </w:t>
      </w:r>
      <w:bookmarkEnd w:id="4"/>
      <w:r w:rsidRPr="00435B9F">
        <w:rPr>
          <w:rFonts w:eastAsia="Calibri"/>
          <w:i/>
          <w:iCs/>
          <w:lang w:val="en-US" w:eastAsia="en-US"/>
        </w:rPr>
        <w:t>p</w:t>
      </w:r>
      <w:r w:rsidRPr="00435B9F">
        <w:rPr>
          <w:rFonts w:eastAsia="Calibri"/>
          <w:lang w:val="en-US" w:eastAsia="en-US"/>
        </w:rPr>
        <w:t xml:space="preserve">-value had to be less than 0.05 or equal to it to show any significance. All data were processed using Excel databases and imported into IBM SPSS® Statistics 25 for Windows. All statistical tests applied to the primary endpoints were assessed with a 95 % confidence interval. Similarly, this database is available in the </w:t>
      </w:r>
      <w:proofErr w:type="spellStart"/>
      <w:r w:rsidRPr="00435B9F">
        <w:rPr>
          <w:rFonts w:eastAsia="Calibri"/>
          <w:lang w:val="en-US" w:eastAsia="en-US"/>
        </w:rPr>
        <w:t>Zenodo</w:t>
      </w:r>
      <w:proofErr w:type="spellEnd"/>
      <w:r w:rsidRPr="00435B9F">
        <w:rPr>
          <w:rFonts w:eastAsia="Calibri"/>
          <w:lang w:val="en-US" w:eastAsia="en-US"/>
        </w:rPr>
        <w:t xml:space="preserve"> repository based on the principles of open </w:t>
      </w:r>
      <w:proofErr w:type="gramStart"/>
      <w:r w:rsidRPr="00435B9F">
        <w:rPr>
          <w:rFonts w:eastAsia="Calibri"/>
          <w:lang w:val="en-US" w:eastAsia="en-US"/>
        </w:rPr>
        <w:t>sciences.</w:t>
      </w:r>
      <w:r w:rsidRPr="00435B9F">
        <w:rPr>
          <w:rFonts w:eastAsia="Calibri"/>
          <w:vertAlign w:val="superscript"/>
          <w:lang w:val="en-US" w:eastAsia="en-US"/>
        </w:rPr>
        <w:t>(</w:t>
      </w:r>
      <w:proofErr w:type="gramEnd"/>
      <w:r w:rsidRPr="00435B9F">
        <w:rPr>
          <w:rFonts w:eastAsia="Calibri"/>
          <w:vertAlign w:val="superscript"/>
          <w:lang w:val="en-US" w:eastAsia="en-US"/>
        </w:rPr>
        <w:t>27)</w:t>
      </w:r>
    </w:p>
    <w:p w14:paraId="1C39B620"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Ethical aspects: The mediating institutions authorized using patient data through the official research document. All individuals received the informed consent document as per the Helsinki principles, which they signed voluntarily, and their identity and privacy were protected. They were informed of receiving information about the research results after its publication.</w:t>
      </w:r>
    </w:p>
    <w:p w14:paraId="6D0CB8D2" w14:textId="77777777" w:rsidR="00435B9F" w:rsidRPr="00435B9F" w:rsidRDefault="00435B9F" w:rsidP="00435B9F">
      <w:pPr>
        <w:suppressAutoHyphens/>
        <w:spacing w:line="360" w:lineRule="auto"/>
        <w:jc w:val="both"/>
        <w:rPr>
          <w:rFonts w:eastAsia="Calibri"/>
          <w:lang w:val="en-US" w:eastAsia="en-US"/>
        </w:rPr>
      </w:pPr>
    </w:p>
    <w:p w14:paraId="1C1B5045" w14:textId="77777777" w:rsidR="00435B9F" w:rsidRPr="00435B9F" w:rsidRDefault="00435B9F" w:rsidP="00435B9F">
      <w:pPr>
        <w:suppressAutoHyphens/>
        <w:spacing w:line="360" w:lineRule="auto"/>
        <w:jc w:val="center"/>
        <w:rPr>
          <w:rFonts w:eastAsia="Calibri"/>
          <w:b/>
          <w:bCs/>
          <w:sz w:val="32"/>
          <w:szCs w:val="32"/>
          <w:lang w:val="en-US" w:eastAsia="en-US"/>
        </w:rPr>
      </w:pPr>
    </w:p>
    <w:p w14:paraId="49A8BA20" w14:textId="77777777" w:rsidR="000E14C8" w:rsidRDefault="000E14C8">
      <w:pPr>
        <w:rPr>
          <w:rFonts w:eastAsia="Calibri"/>
          <w:b/>
          <w:bCs/>
          <w:sz w:val="32"/>
          <w:szCs w:val="32"/>
          <w:lang w:val="en-US" w:eastAsia="en-US"/>
        </w:rPr>
      </w:pPr>
      <w:r>
        <w:rPr>
          <w:rFonts w:eastAsia="Calibri"/>
          <w:b/>
          <w:bCs/>
          <w:sz w:val="32"/>
          <w:szCs w:val="32"/>
          <w:lang w:val="en-US" w:eastAsia="en-US"/>
        </w:rPr>
        <w:br w:type="page"/>
      </w:r>
    </w:p>
    <w:p w14:paraId="5EE323D5" w14:textId="3D60E7C8" w:rsidR="00435B9F" w:rsidRPr="00435B9F" w:rsidRDefault="00435B9F" w:rsidP="00435B9F">
      <w:pPr>
        <w:suppressAutoHyphens/>
        <w:spacing w:line="360" w:lineRule="auto"/>
        <w:jc w:val="center"/>
        <w:rPr>
          <w:rFonts w:eastAsia="Calibri"/>
          <w:b/>
          <w:bCs/>
          <w:sz w:val="32"/>
          <w:szCs w:val="32"/>
          <w:lang w:val="en-US" w:eastAsia="en-US"/>
        </w:rPr>
      </w:pPr>
      <w:r w:rsidRPr="00435B9F">
        <w:rPr>
          <w:rFonts w:eastAsia="Calibri"/>
          <w:b/>
          <w:bCs/>
          <w:sz w:val="32"/>
          <w:szCs w:val="32"/>
          <w:lang w:val="en-US" w:eastAsia="en-US"/>
        </w:rPr>
        <w:lastRenderedPageBreak/>
        <w:t>RESULTS</w:t>
      </w:r>
    </w:p>
    <w:p w14:paraId="4AE28822"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The population studied showed a slight predominance of female participants, and 72.3 % belonged to the early old age group. Among the comorbidities, there was a high prevalence of arterial hypertension (70.6 %), followed by diabetes mellitus and obesity. More than half of the total (58.4 %) had COVID-19 clinical symptoms, and a significant percentage of patients (81.9 % of the total) preserved their teeth despite their age (table 1).</w:t>
      </w:r>
    </w:p>
    <w:p w14:paraId="6F8D4D73" w14:textId="77777777" w:rsidR="00435B9F" w:rsidRPr="00435B9F" w:rsidRDefault="00435B9F" w:rsidP="00435B9F">
      <w:pPr>
        <w:suppressAutoHyphens/>
        <w:spacing w:line="360" w:lineRule="auto"/>
        <w:jc w:val="both"/>
        <w:rPr>
          <w:rFonts w:eastAsia="Calibri"/>
          <w:lang w:val="en-US" w:eastAsia="en-US"/>
        </w:rPr>
      </w:pPr>
    </w:p>
    <w:p w14:paraId="1AE13176" w14:textId="77777777" w:rsidR="00435B9F" w:rsidRPr="00435B9F" w:rsidRDefault="00435B9F" w:rsidP="00435B9F">
      <w:pPr>
        <w:suppressAutoHyphens/>
        <w:spacing w:line="360" w:lineRule="auto"/>
        <w:jc w:val="center"/>
        <w:rPr>
          <w:rFonts w:eastAsia="Calibri"/>
          <w:sz w:val="22"/>
          <w:szCs w:val="22"/>
          <w:lang w:val="en-US" w:eastAsia="en-US"/>
        </w:rPr>
      </w:pPr>
      <w:r w:rsidRPr="00435B9F">
        <w:rPr>
          <w:rFonts w:eastAsia="Calibri"/>
          <w:b/>
          <w:sz w:val="22"/>
          <w:szCs w:val="22"/>
          <w:lang w:val="en-US" w:eastAsia="en-US"/>
        </w:rPr>
        <w:t xml:space="preserve">Table 1 - </w:t>
      </w:r>
      <w:r w:rsidRPr="00435B9F">
        <w:rPr>
          <w:rFonts w:eastAsia="Calibri"/>
          <w:sz w:val="22"/>
          <w:szCs w:val="22"/>
          <w:lang w:val="en-US" w:eastAsia="en-US"/>
        </w:rPr>
        <w:t>Baseline characteristics of the patients studied</w:t>
      </w:r>
    </w:p>
    <w:p w14:paraId="4C3338EF" w14:textId="703FF498" w:rsidR="00435B9F" w:rsidRPr="00435B9F" w:rsidRDefault="00435B9F" w:rsidP="00435B9F">
      <w:pPr>
        <w:suppressAutoHyphens/>
        <w:spacing w:line="360" w:lineRule="auto"/>
        <w:jc w:val="center"/>
        <w:rPr>
          <w:rFonts w:eastAsia="Calibri"/>
          <w:lang w:val="es-ES" w:eastAsia="en-US"/>
        </w:rPr>
      </w:pPr>
      <w:r w:rsidRPr="00435B9F">
        <w:rPr>
          <w:rFonts w:eastAsia="Calibri"/>
          <w:noProof/>
          <w:lang w:val="es-ES" w:eastAsia="en-US"/>
        </w:rPr>
        <w:drawing>
          <wp:inline distT="0" distB="0" distL="0" distR="0" wp14:anchorId="7D682498" wp14:editId="260A327F">
            <wp:extent cx="3695700" cy="1666875"/>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0" cy="1666875"/>
                    </a:xfrm>
                    <a:prstGeom prst="rect">
                      <a:avLst/>
                    </a:prstGeom>
                    <a:noFill/>
                    <a:ln>
                      <a:noFill/>
                    </a:ln>
                  </pic:spPr>
                </pic:pic>
              </a:graphicData>
            </a:graphic>
          </wp:inline>
        </w:drawing>
      </w:r>
    </w:p>
    <w:p w14:paraId="641C0416" w14:textId="77777777" w:rsidR="00435B9F" w:rsidRPr="00435B9F" w:rsidRDefault="00435B9F" w:rsidP="00435B9F">
      <w:pPr>
        <w:suppressAutoHyphens/>
        <w:spacing w:line="360" w:lineRule="auto"/>
        <w:jc w:val="center"/>
        <w:rPr>
          <w:rFonts w:eastAsia="Calibri"/>
          <w:lang w:val="es-ES" w:eastAsia="en-US"/>
        </w:rPr>
      </w:pPr>
    </w:p>
    <w:p w14:paraId="21D5A2FA"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The self-reported results of periodontal disease, even advanced periodontal disease, were high (between 48.7 % and 45.6 %) and did not have a statistically significant relationship regarding the evolutionary severity of COVID-19. This was evidenced by the ODDS ratio values and their confidence intervals 1.598 (0.261; 9.78) and 1.814 (0.296; 11.105) respectively, as well as the </w:t>
      </w:r>
      <w:bookmarkStart w:id="5" w:name="_Hlk91018661"/>
      <w:r w:rsidRPr="00435B9F">
        <w:rPr>
          <w:rFonts w:eastAsia="Calibri"/>
          <w:i/>
          <w:iCs/>
          <w:lang w:val="en-US" w:eastAsia="en-US"/>
        </w:rPr>
        <w:t>p</w:t>
      </w:r>
      <w:r w:rsidRPr="00435B9F">
        <w:rPr>
          <w:rFonts w:eastAsia="Calibri"/>
          <w:lang w:val="en-US" w:eastAsia="en-US"/>
        </w:rPr>
        <w:t>-value of 0.609 and 0.514 for each of them. Besides, more than half of all of people affected by SPD presented clinical symptoms derived from COVID-19.</w:t>
      </w:r>
      <w:bookmarkEnd w:id="5"/>
    </w:p>
    <w:p w14:paraId="1BDA0247"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Dental </w:t>
      </w:r>
      <w:proofErr w:type="spellStart"/>
      <w:r w:rsidRPr="00435B9F">
        <w:rPr>
          <w:rFonts w:eastAsia="Calibri"/>
          <w:lang w:val="en-US" w:eastAsia="en-US"/>
        </w:rPr>
        <w:t>loss</w:t>
      </w:r>
      <w:proofErr w:type="spellEnd"/>
      <w:r w:rsidRPr="00435B9F">
        <w:rPr>
          <w:rFonts w:eastAsia="Calibri"/>
          <w:lang w:val="en-US" w:eastAsia="en-US"/>
        </w:rPr>
        <w:t xml:space="preserve"> </w:t>
      </w:r>
      <w:r w:rsidRPr="00435B9F">
        <w:rPr>
          <w:rFonts w:eastAsia="Calibri"/>
          <w:i/>
          <w:iCs/>
          <w:lang w:val="en-US" w:eastAsia="en-US"/>
        </w:rPr>
        <w:t>p-</w:t>
      </w:r>
      <w:r w:rsidRPr="00435B9F">
        <w:rPr>
          <w:rFonts w:eastAsia="Calibri"/>
          <w:lang w:val="en-US" w:eastAsia="en-US"/>
        </w:rPr>
        <w:t xml:space="preserve">values results were less than 0.05, and edentulous patients were statistically significant, suggesting the teeth loss as a risk factor for the evolutionary severity of COVID-19 with an ODDS ratio of 3.897 and confidence intervals between 1.001 and 15.173; supported by the </w:t>
      </w:r>
      <w:r w:rsidRPr="00435B9F">
        <w:rPr>
          <w:rFonts w:eastAsia="Calibri"/>
          <w:i/>
          <w:iCs/>
          <w:lang w:val="en-US" w:eastAsia="en-US"/>
        </w:rPr>
        <w:t>p</w:t>
      </w:r>
      <w:r w:rsidRPr="00435B9F">
        <w:rPr>
          <w:rFonts w:eastAsia="Calibri"/>
          <w:lang w:val="en-US" w:eastAsia="en-US"/>
        </w:rPr>
        <w:t>-value equal to 0.036 (table 2).</w:t>
      </w:r>
    </w:p>
    <w:p w14:paraId="15960CC7"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Likewise, there was a significant relationship between respiratory diseases and the severity of COVID-19, with an</w:t>
      </w:r>
      <w:r w:rsidRPr="00435B9F">
        <w:rPr>
          <w:rFonts w:eastAsia="Calibri"/>
          <w:i/>
          <w:iCs/>
          <w:lang w:val="en-US" w:eastAsia="en-US"/>
        </w:rPr>
        <w:t xml:space="preserve"> </w:t>
      </w:r>
      <w:r w:rsidRPr="00435B9F">
        <w:rPr>
          <w:rFonts w:eastAsia="Calibri"/>
          <w:lang w:val="en-US" w:eastAsia="en-US"/>
        </w:rPr>
        <w:t>odds ratio of 6,833 and confidence intervals between 1,717 and 27,192 (table 2).</w:t>
      </w:r>
    </w:p>
    <w:p w14:paraId="3874DD80" w14:textId="77777777" w:rsidR="00435B9F" w:rsidRPr="00435B9F" w:rsidRDefault="00435B9F" w:rsidP="00435B9F">
      <w:pPr>
        <w:suppressAutoHyphens/>
        <w:rPr>
          <w:rFonts w:eastAsia="Calibri"/>
          <w:b/>
          <w:bCs/>
          <w:sz w:val="22"/>
          <w:szCs w:val="22"/>
          <w:lang w:val="en-US" w:eastAsia="en-US"/>
        </w:rPr>
      </w:pPr>
    </w:p>
    <w:p w14:paraId="76623B9B" w14:textId="77777777" w:rsidR="00435B9F" w:rsidRPr="00435B9F" w:rsidRDefault="00435B9F" w:rsidP="00435B9F">
      <w:pPr>
        <w:suppressAutoHyphens/>
        <w:spacing w:line="360" w:lineRule="auto"/>
        <w:jc w:val="center"/>
        <w:rPr>
          <w:rFonts w:eastAsia="Calibri"/>
          <w:sz w:val="22"/>
          <w:szCs w:val="22"/>
          <w:lang w:val="en-US" w:eastAsia="en-US"/>
        </w:rPr>
      </w:pPr>
      <w:r w:rsidRPr="00435B9F">
        <w:rPr>
          <w:rFonts w:eastAsia="Calibri"/>
          <w:b/>
          <w:bCs/>
          <w:sz w:val="22"/>
          <w:szCs w:val="22"/>
          <w:lang w:val="en-US" w:eastAsia="en-US"/>
        </w:rPr>
        <w:t>Table 2 -</w:t>
      </w:r>
      <w:r w:rsidRPr="00435B9F">
        <w:rPr>
          <w:rFonts w:eastAsia="Calibri"/>
          <w:sz w:val="22"/>
          <w:szCs w:val="22"/>
          <w:lang w:val="en-US" w:eastAsia="en-US"/>
        </w:rPr>
        <w:t xml:space="preserve"> Self-reported Periodontal Disease, dental loss, comorbidities and evolutionary severity of COVID-19</w:t>
      </w:r>
    </w:p>
    <w:tbl>
      <w:tblPr>
        <w:tblStyle w:val="Tablaconcuadrcula1"/>
        <w:tblW w:w="8606" w:type="dxa"/>
        <w:jc w:val="center"/>
        <w:tblLook w:val="0420" w:firstRow="1" w:lastRow="0" w:firstColumn="0" w:lastColumn="0" w:noHBand="0" w:noVBand="1"/>
      </w:tblPr>
      <w:tblGrid>
        <w:gridCol w:w="1838"/>
        <w:gridCol w:w="1418"/>
        <w:gridCol w:w="1418"/>
        <w:gridCol w:w="1275"/>
        <w:gridCol w:w="1984"/>
        <w:gridCol w:w="673"/>
      </w:tblGrid>
      <w:tr w:rsidR="00435B9F" w:rsidRPr="00435B9F" w14:paraId="79D8CED7" w14:textId="77777777" w:rsidTr="000E14C8">
        <w:trPr>
          <w:trHeight w:val="387"/>
          <w:jc w:val="center"/>
        </w:trPr>
        <w:tc>
          <w:tcPr>
            <w:tcW w:w="1838" w:type="dxa"/>
            <w:vAlign w:val="center"/>
          </w:tcPr>
          <w:p w14:paraId="3195ADC8" w14:textId="77777777" w:rsidR="00435B9F" w:rsidRPr="00435B9F" w:rsidRDefault="00435B9F" w:rsidP="00435B9F">
            <w:pPr>
              <w:spacing w:line="360" w:lineRule="auto"/>
              <w:ind w:right="51"/>
              <w:jc w:val="center"/>
              <w:rPr>
                <w:rFonts w:ascii="Times New Roman" w:hAnsi="Times New Roman" w:cs="Times New Roman"/>
                <w:b/>
                <w:bCs/>
                <w:sz w:val="18"/>
                <w:szCs w:val="18"/>
                <w:lang w:val="en-US" w:eastAsia="en-US"/>
              </w:rPr>
            </w:pPr>
            <w:r w:rsidRPr="00435B9F">
              <w:rPr>
                <w:rFonts w:ascii="Times New Roman" w:hAnsi="Times New Roman" w:cs="Times New Roman"/>
                <w:b/>
                <w:bCs/>
                <w:sz w:val="18"/>
                <w:szCs w:val="18"/>
                <w:lang w:val="en-US" w:eastAsia="en-US"/>
              </w:rPr>
              <w:t>Variables</w:t>
            </w:r>
          </w:p>
        </w:tc>
        <w:tc>
          <w:tcPr>
            <w:tcW w:w="1418" w:type="dxa"/>
            <w:vAlign w:val="center"/>
          </w:tcPr>
          <w:p w14:paraId="5638B0E4" w14:textId="77777777" w:rsidR="00435B9F" w:rsidRPr="00435B9F" w:rsidRDefault="00435B9F" w:rsidP="00435B9F">
            <w:pPr>
              <w:spacing w:line="360" w:lineRule="auto"/>
              <w:ind w:right="51"/>
              <w:jc w:val="center"/>
              <w:rPr>
                <w:rFonts w:ascii="Times New Roman" w:hAnsi="Times New Roman" w:cs="Times New Roman"/>
                <w:b/>
                <w:bCs/>
                <w:sz w:val="18"/>
                <w:szCs w:val="18"/>
                <w:lang w:val="en-US" w:eastAsia="en-US"/>
              </w:rPr>
            </w:pPr>
            <w:r w:rsidRPr="00435B9F">
              <w:rPr>
                <w:rFonts w:ascii="Times New Roman" w:hAnsi="Times New Roman" w:cs="Times New Roman"/>
                <w:b/>
                <w:bCs/>
                <w:sz w:val="18"/>
                <w:szCs w:val="18"/>
                <w:lang w:val="en-US" w:eastAsia="en-US"/>
              </w:rPr>
              <w:t xml:space="preserve">Total </w:t>
            </w:r>
            <w:r w:rsidRPr="00435B9F">
              <w:rPr>
                <w:rFonts w:ascii="Times New Roman" w:hAnsi="Times New Roman" w:cs="Times New Roman"/>
                <w:b/>
                <w:bCs/>
                <w:sz w:val="18"/>
                <w:szCs w:val="18"/>
                <w:lang w:val="en-US" w:eastAsia="en-US"/>
              </w:rPr>
              <w:br/>
              <w:t>n= 238</w:t>
            </w:r>
          </w:p>
        </w:tc>
        <w:tc>
          <w:tcPr>
            <w:tcW w:w="1418" w:type="dxa"/>
            <w:vAlign w:val="center"/>
          </w:tcPr>
          <w:p w14:paraId="57E6EF7F" w14:textId="77777777" w:rsidR="00435B9F" w:rsidRPr="00435B9F" w:rsidRDefault="00435B9F" w:rsidP="00435B9F">
            <w:pPr>
              <w:spacing w:line="360" w:lineRule="auto"/>
              <w:ind w:right="51"/>
              <w:jc w:val="center"/>
              <w:rPr>
                <w:rFonts w:ascii="Times New Roman" w:hAnsi="Times New Roman" w:cs="Times New Roman"/>
                <w:b/>
                <w:bCs/>
                <w:sz w:val="18"/>
                <w:szCs w:val="18"/>
                <w:lang w:val="en-US" w:eastAsia="en-US"/>
              </w:rPr>
            </w:pPr>
            <w:r w:rsidRPr="00435B9F">
              <w:rPr>
                <w:rFonts w:ascii="Times New Roman" w:hAnsi="Times New Roman" w:cs="Times New Roman"/>
                <w:b/>
                <w:bCs/>
                <w:sz w:val="18"/>
                <w:szCs w:val="18"/>
                <w:lang w:val="en-US" w:eastAsia="en-US"/>
              </w:rPr>
              <w:t xml:space="preserve">Severe </w:t>
            </w:r>
            <w:r w:rsidRPr="00435B9F">
              <w:rPr>
                <w:rFonts w:ascii="Times New Roman" w:hAnsi="Times New Roman" w:cs="Times New Roman"/>
                <w:b/>
                <w:bCs/>
                <w:sz w:val="18"/>
                <w:szCs w:val="18"/>
                <w:lang w:val="en-US" w:eastAsia="en-US"/>
              </w:rPr>
              <w:br/>
              <w:t>n= 9</w:t>
            </w:r>
          </w:p>
        </w:tc>
        <w:tc>
          <w:tcPr>
            <w:tcW w:w="1275" w:type="dxa"/>
            <w:vAlign w:val="center"/>
          </w:tcPr>
          <w:p w14:paraId="517EBEB7" w14:textId="77777777" w:rsidR="00435B9F" w:rsidRPr="00435B9F" w:rsidRDefault="00435B9F" w:rsidP="00435B9F">
            <w:pPr>
              <w:spacing w:line="360" w:lineRule="auto"/>
              <w:ind w:right="51"/>
              <w:jc w:val="center"/>
              <w:rPr>
                <w:rFonts w:ascii="Times New Roman" w:hAnsi="Times New Roman" w:cs="Times New Roman"/>
                <w:b/>
                <w:bCs/>
                <w:sz w:val="18"/>
                <w:szCs w:val="18"/>
                <w:lang w:val="en-US" w:eastAsia="en-US"/>
              </w:rPr>
            </w:pPr>
            <w:r w:rsidRPr="00435B9F">
              <w:rPr>
                <w:rFonts w:ascii="Times New Roman" w:hAnsi="Times New Roman" w:cs="Times New Roman"/>
                <w:b/>
                <w:bCs/>
                <w:sz w:val="18"/>
                <w:szCs w:val="18"/>
                <w:lang w:val="en-US" w:eastAsia="en-US"/>
              </w:rPr>
              <w:t>Not severe n= 229</w:t>
            </w:r>
          </w:p>
        </w:tc>
        <w:tc>
          <w:tcPr>
            <w:tcW w:w="1984" w:type="dxa"/>
            <w:vAlign w:val="center"/>
          </w:tcPr>
          <w:p w14:paraId="06675BAF" w14:textId="77777777" w:rsidR="00435B9F" w:rsidRPr="00435B9F" w:rsidRDefault="00435B9F" w:rsidP="00435B9F">
            <w:pPr>
              <w:spacing w:line="360" w:lineRule="auto"/>
              <w:ind w:right="51"/>
              <w:jc w:val="center"/>
              <w:rPr>
                <w:rFonts w:ascii="Times New Roman" w:hAnsi="Times New Roman" w:cs="Times New Roman"/>
                <w:b/>
                <w:bCs/>
                <w:sz w:val="18"/>
                <w:szCs w:val="18"/>
                <w:lang w:val="en-US" w:eastAsia="en-US"/>
              </w:rPr>
            </w:pPr>
            <w:r w:rsidRPr="00435B9F">
              <w:rPr>
                <w:rFonts w:ascii="Times New Roman" w:hAnsi="Times New Roman" w:cs="Times New Roman"/>
                <w:b/>
                <w:bCs/>
                <w:sz w:val="18"/>
                <w:szCs w:val="18"/>
                <w:lang w:val="en-US" w:eastAsia="en-US"/>
              </w:rPr>
              <w:t>OR (IC 95%)</w:t>
            </w:r>
          </w:p>
        </w:tc>
        <w:tc>
          <w:tcPr>
            <w:tcW w:w="0" w:type="auto"/>
            <w:vAlign w:val="center"/>
          </w:tcPr>
          <w:p w14:paraId="4634FCF3" w14:textId="77777777" w:rsidR="00435B9F" w:rsidRPr="00435B9F" w:rsidRDefault="00435B9F" w:rsidP="00435B9F">
            <w:pPr>
              <w:spacing w:line="360" w:lineRule="auto"/>
              <w:ind w:right="51"/>
              <w:jc w:val="center"/>
              <w:rPr>
                <w:rFonts w:ascii="Times New Roman" w:hAnsi="Times New Roman" w:cs="Times New Roman"/>
                <w:b/>
                <w:bCs/>
                <w:i/>
                <w:iCs/>
                <w:sz w:val="18"/>
                <w:szCs w:val="18"/>
                <w:lang w:val="en-US" w:eastAsia="en-US"/>
              </w:rPr>
            </w:pPr>
            <w:r w:rsidRPr="00435B9F">
              <w:rPr>
                <w:rFonts w:ascii="Times New Roman" w:hAnsi="Times New Roman" w:cs="Times New Roman"/>
                <w:b/>
                <w:bCs/>
                <w:i/>
                <w:iCs/>
                <w:sz w:val="18"/>
                <w:szCs w:val="18"/>
                <w:lang w:val="en-US" w:eastAsia="en-US"/>
              </w:rPr>
              <w:t>p</w:t>
            </w:r>
          </w:p>
        </w:tc>
      </w:tr>
      <w:tr w:rsidR="00435B9F" w:rsidRPr="00435B9F" w14:paraId="6A4E4914" w14:textId="77777777" w:rsidTr="000E14C8">
        <w:trPr>
          <w:trHeight w:val="298"/>
          <w:jc w:val="center"/>
        </w:trPr>
        <w:tc>
          <w:tcPr>
            <w:tcW w:w="1838" w:type="dxa"/>
            <w:vAlign w:val="center"/>
          </w:tcPr>
          <w:p w14:paraId="0D8402C6" w14:textId="77777777" w:rsidR="00435B9F" w:rsidRPr="00435B9F" w:rsidRDefault="00435B9F" w:rsidP="00435B9F">
            <w:pPr>
              <w:spacing w:line="360" w:lineRule="auto"/>
              <w:ind w:right="51"/>
              <w:jc w:val="both"/>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SPD</w:t>
            </w:r>
          </w:p>
        </w:tc>
        <w:tc>
          <w:tcPr>
            <w:tcW w:w="1418" w:type="dxa"/>
            <w:vAlign w:val="center"/>
          </w:tcPr>
          <w:p w14:paraId="1C6B125D"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95 (48.7)</w:t>
            </w:r>
          </w:p>
        </w:tc>
        <w:tc>
          <w:tcPr>
            <w:tcW w:w="1418" w:type="dxa"/>
            <w:vAlign w:val="center"/>
          </w:tcPr>
          <w:p w14:paraId="52AC489C"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5 (5.26)</w:t>
            </w:r>
          </w:p>
        </w:tc>
        <w:tc>
          <w:tcPr>
            <w:tcW w:w="1275" w:type="dxa"/>
            <w:vAlign w:val="center"/>
          </w:tcPr>
          <w:p w14:paraId="366A65CF"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90 (94.38)</w:t>
            </w:r>
          </w:p>
        </w:tc>
        <w:tc>
          <w:tcPr>
            <w:tcW w:w="1984" w:type="dxa"/>
            <w:vAlign w:val="center"/>
          </w:tcPr>
          <w:p w14:paraId="2AD08793"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1.598 (0.261; 9.78)</w:t>
            </w:r>
          </w:p>
        </w:tc>
        <w:tc>
          <w:tcPr>
            <w:tcW w:w="0" w:type="auto"/>
            <w:vAlign w:val="center"/>
          </w:tcPr>
          <w:p w14:paraId="1CEDCFEC"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0.609</w:t>
            </w:r>
          </w:p>
        </w:tc>
      </w:tr>
      <w:tr w:rsidR="00435B9F" w:rsidRPr="00435B9F" w14:paraId="096357D7" w14:textId="77777777" w:rsidTr="000E14C8">
        <w:trPr>
          <w:trHeight w:val="302"/>
          <w:jc w:val="center"/>
        </w:trPr>
        <w:tc>
          <w:tcPr>
            <w:tcW w:w="1838" w:type="dxa"/>
            <w:vAlign w:val="center"/>
          </w:tcPr>
          <w:p w14:paraId="585674E2" w14:textId="77777777" w:rsidR="00435B9F" w:rsidRPr="00435B9F" w:rsidRDefault="00435B9F" w:rsidP="00435B9F">
            <w:pPr>
              <w:spacing w:line="360" w:lineRule="auto"/>
              <w:ind w:right="51"/>
              <w:jc w:val="both"/>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SPD (advanced)</w:t>
            </w:r>
          </w:p>
        </w:tc>
        <w:tc>
          <w:tcPr>
            <w:tcW w:w="1418" w:type="dxa"/>
            <w:vAlign w:val="center"/>
          </w:tcPr>
          <w:p w14:paraId="07CEDC2B"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89 (45.6)</w:t>
            </w:r>
          </w:p>
        </w:tc>
        <w:tc>
          <w:tcPr>
            <w:tcW w:w="1418" w:type="dxa"/>
            <w:vAlign w:val="center"/>
          </w:tcPr>
          <w:p w14:paraId="25E11DD6"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3 (3.37)</w:t>
            </w:r>
          </w:p>
        </w:tc>
        <w:tc>
          <w:tcPr>
            <w:tcW w:w="1275" w:type="dxa"/>
            <w:vAlign w:val="center"/>
          </w:tcPr>
          <w:p w14:paraId="484267C5"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86 (96.6)</w:t>
            </w:r>
          </w:p>
        </w:tc>
        <w:tc>
          <w:tcPr>
            <w:tcW w:w="1984" w:type="dxa"/>
            <w:vAlign w:val="center"/>
          </w:tcPr>
          <w:p w14:paraId="3693BFEB"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1.814 (0.296; 11.105)</w:t>
            </w:r>
          </w:p>
        </w:tc>
        <w:tc>
          <w:tcPr>
            <w:tcW w:w="0" w:type="auto"/>
            <w:vAlign w:val="center"/>
          </w:tcPr>
          <w:p w14:paraId="5D365B8F"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0.514</w:t>
            </w:r>
          </w:p>
        </w:tc>
      </w:tr>
      <w:tr w:rsidR="00435B9F" w:rsidRPr="00435B9F" w14:paraId="20BA16E7" w14:textId="77777777" w:rsidTr="000E14C8">
        <w:trPr>
          <w:trHeight w:val="321"/>
          <w:jc w:val="center"/>
        </w:trPr>
        <w:tc>
          <w:tcPr>
            <w:tcW w:w="1838" w:type="dxa"/>
            <w:vAlign w:val="center"/>
          </w:tcPr>
          <w:p w14:paraId="432D933F" w14:textId="77777777" w:rsidR="00435B9F" w:rsidRPr="00435B9F" w:rsidRDefault="00435B9F" w:rsidP="00435B9F">
            <w:pPr>
              <w:spacing w:line="360" w:lineRule="auto"/>
              <w:ind w:right="51"/>
              <w:jc w:val="both"/>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Toothed patients</w:t>
            </w:r>
          </w:p>
        </w:tc>
        <w:tc>
          <w:tcPr>
            <w:tcW w:w="1418" w:type="dxa"/>
            <w:vAlign w:val="center"/>
          </w:tcPr>
          <w:p w14:paraId="46769DF2"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195 (81.9)</w:t>
            </w:r>
          </w:p>
        </w:tc>
        <w:tc>
          <w:tcPr>
            <w:tcW w:w="1418" w:type="dxa"/>
            <w:vAlign w:val="center"/>
          </w:tcPr>
          <w:p w14:paraId="4F962062"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5 (2.5)</w:t>
            </w:r>
          </w:p>
        </w:tc>
        <w:tc>
          <w:tcPr>
            <w:tcW w:w="1275" w:type="dxa"/>
            <w:vAlign w:val="center"/>
          </w:tcPr>
          <w:p w14:paraId="4D6536C7"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190 (97.5)</w:t>
            </w:r>
          </w:p>
        </w:tc>
        <w:tc>
          <w:tcPr>
            <w:tcW w:w="1984" w:type="dxa"/>
            <w:vAlign w:val="center"/>
          </w:tcPr>
          <w:p w14:paraId="3EF34EB4"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0.257 (0.066; 0.999)</w:t>
            </w:r>
          </w:p>
        </w:tc>
        <w:tc>
          <w:tcPr>
            <w:tcW w:w="0" w:type="auto"/>
            <w:vAlign w:val="center"/>
          </w:tcPr>
          <w:p w14:paraId="171F2423"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0.036</w:t>
            </w:r>
          </w:p>
        </w:tc>
      </w:tr>
      <w:tr w:rsidR="00435B9F" w:rsidRPr="00435B9F" w14:paraId="64803E60" w14:textId="77777777" w:rsidTr="000E14C8">
        <w:trPr>
          <w:trHeight w:val="325"/>
          <w:jc w:val="center"/>
        </w:trPr>
        <w:tc>
          <w:tcPr>
            <w:tcW w:w="1838" w:type="dxa"/>
            <w:vAlign w:val="center"/>
          </w:tcPr>
          <w:p w14:paraId="1E0D5AA3" w14:textId="77777777" w:rsidR="00435B9F" w:rsidRPr="00435B9F" w:rsidRDefault="00435B9F" w:rsidP="00435B9F">
            <w:pPr>
              <w:spacing w:line="360" w:lineRule="auto"/>
              <w:ind w:right="51"/>
              <w:jc w:val="both"/>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Edentulous patients</w:t>
            </w:r>
          </w:p>
        </w:tc>
        <w:tc>
          <w:tcPr>
            <w:tcW w:w="1418" w:type="dxa"/>
            <w:vAlign w:val="center"/>
          </w:tcPr>
          <w:p w14:paraId="015AD3F8"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43 (18.1)</w:t>
            </w:r>
          </w:p>
        </w:tc>
        <w:tc>
          <w:tcPr>
            <w:tcW w:w="1418" w:type="dxa"/>
            <w:vAlign w:val="center"/>
          </w:tcPr>
          <w:p w14:paraId="14827FC7"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4 (9.3)</w:t>
            </w:r>
          </w:p>
        </w:tc>
        <w:tc>
          <w:tcPr>
            <w:tcW w:w="1275" w:type="dxa"/>
            <w:vAlign w:val="center"/>
          </w:tcPr>
          <w:p w14:paraId="6D6CAEFD"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39 (90.7)</w:t>
            </w:r>
          </w:p>
        </w:tc>
        <w:tc>
          <w:tcPr>
            <w:tcW w:w="1984" w:type="dxa"/>
            <w:vAlign w:val="center"/>
          </w:tcPr>
          <w:p w14:paraId="7D820001"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3.897 (1.001; 15.173)</w:t>
            </w:r>
          </w:p>
        </w:tc>
        <w:tc>
          <w:tcPr>
            <w:tcW w:w="0" w:type="auto"/>
            <w:vAlign w:val="center"/>
          </w:tcPr>
          <w:p w14:paraId="7F4711BB"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0.036</w:t>
            </w:r>
          </w:p>
        </w:tc>
      </w:tr>
      <w:tr w:rsidR="00435B9F" w:rsidRPr="00435B9F" w14:paraId="4B003EE6" w14:textId="77777777" w:rsidTr="000E14C8">
        <w:trPr>
          <w:trHeight w:val="219"/>
          <w:jc w:val="center"/>
        </w:trPr>
        <w:tc>
          <w:tcPr>
            <w:tcW w:w="1838" w:type="dxa"/>
            <w:vAlign w:val="center"/>
          </w:tcPr>
          <w:p w14:paraId="26E5C411" w14:textId="77777777" w:rsidR="00435B9F" w:rsidRPr="00435B9F" w:rsidRDefault="00435B9F" w:rsidP="00435B9F">
            <w:pPr>
              <w:spacing w:line="360" w:lineRule="auto"/>
              <w:ind w:right="51"/>
              <w:jc w:val="both"/>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 xml:space="preserve">Arterial hypertension </w:t>
            </w:r>
          </w:p>
        </w:tc>
        <w:tc>
          <w:tcPr>
            <w:tcW w:w="1418" w:type="dxa"/>
            <w:vAlign w:val="center"/>
          </w:tcPr>
          <w:p w14:paraId="579F75D3"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168 (70.5 %)</w:t>
            </w:r>
          </w:p>
        </w:tc>
        <w:tc>
          <w:tcPr>
            <w:tcW w:w="1418" w:type="dxa"/>
            <w:vAlign w:val="center"/>
          </w:tcPr>
          <w:p w14:paraId="1B77FB98"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8 (88.9 %)</w:t>
            </w:r>
          </w:p>
        </w:tc>
        <w:tc>
          <w:tcPr>
            <w:tcW w:w="1275" w:type="dxa"/>
            <w:vAlign w:val="center"/>
          </w:tcPr>
          <w:p w14:paraId="64FBA4D2"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160 (69.9)</w:t>
            </w:r>
          </w:p>
        </w:tc>
        <w:tc>
          <w:tcPr>
            <w:tcW w:w="1984" w:type="dxa"/>
            <w:vAlign w:val="center"/>
          </w:tcPr>
          <w:p w14:paraId="24EF0BBE"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3.45 (0.423; 28.115)</w:t>
            </w:r>
          </w:p>
        </w:tc>
        <w:tc>
          <w:tcPr>
            <w:tcW w:w="0" w:type="auto"/>
            <w:vAlign w:val="center"/>
          </w:tcPr>
          <w:p w14:paraId="01A250BE"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0.219</w:t>
            </w:r>
          </w:p>
        </w:tc>
      </w:tr>
      <w:tr w:rsidR="00435B9F" w:rsidRPr="00435B9F" w14:paraId="7AB44BC4" w14:textId="77777777" w:rsidTr="000E14C8">
        <w:trPr>
          <w:trHeight w:val="225"/>
          <w:jc w:val="center"/>
        </w:trPr>
        <w:tc>
          <w:tcPr>
            <w:tcW w:w="1838" w:type="dxa"/>
            <w:vAlign w:val="center"/>
          </w:tcPr>
          <w:p w14:paraId="6379C808" w14:textId="77777777" w:rsidR="00435B9F" w:rsidRPr="00435B9F" w:rsidRDefault="00435B9F" w:rsidP="00435B9F">
            <w:pPr>
              <w:spacing w:line="360" w:lineRule="auto"/>
              <w:ind w:right="51"/>
              <w:jc w:val="both"/>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Diabetes mellitus</w:t>
            </w:r>
          </w:p>
        </w:tc>
        <w:tc>
          <w:tcPr>
            <w:tcW w:w="1418" w:type="dxa"/>
            <w:vAlign w:val="center"/>
          </w:tcPr>
          <w:p w14:paraId="51FBD557"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59 (24.8)</w:t>
            </w:r>
          </w:p>
        </w:tc>
        <w:tc>
          <w:tcPr>
            <w:tcW w:w="1418" w:type="dxa"/>
            <w:vAlign w:val="center"/>
          </w:tcPr>
          <w:p w14:paraId="45343CCD"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4 (44.4)</w:t>
            </w:r>
          </w:p>
        </w:tc>
        <w:tc>
          <w:tcPr>
            <w:tcW w:w="1275" w:type="dxa"/>
            <w:vAlign w:val="center"/>
          </w:tcPr>
          <w:p w14:paraId="000D6848"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55 (24.0)</w:t>
            </w:r>
          </w:p>
        </w:tc>
        <w:tc>
          <w:tcPr>
            <w:tcW w:w="1984" w:type="dxa"/>
            <w:vAlign w:val="center"/>
          </w:tcPr>
          <w:p w14:paraId="1D664389"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2.531 (0.657; 9.756)</w:t>
            </w:r>
          </w:p>
        </w:tc>
        <w:tc>
          <w:tcPr>
            <w:tcW w:w="0" w:type="auto"/>
            <w:vAlign w:val="center"/>
          </w:tcPr>
          <w:p w14:paraId="7739AD25"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0.164</w:t>
            </w:r>
          </w:p>
        </w:tc>
      </w:tr>
      <w:tr w:rsidR="00435B9F" w:rsidRPr="00435B9F" w14:paraId="48CC2E03" w14:textId="77777777" w:rsidTr="000E14C8">
        <w:trPr>
          <w:trHeight w:val="230"/>
          <w:jc w:val="center"/>
        </w:trPr>
        <w:tc>
          <w:tcPr>
            <w:tcW w:w="1838" w:type="dxa"/>
            <w:vAlign w:val="center"/>
          </w:tcPr>
          <w:p w14:paraId="71CB8A9F" w14:textId="77777777" w:rsidR="00435B9F" w:rsidRPr="00435B9F" w:rsidRDefault="00435B9F" w:rsidP="00435B9F">
            <w:pPr>
              <w:spacing w:line="360" w:lineRule="auto"/>
              <w:ind w:right="51"/>
              <w:jc w:val="both"/>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Heart diseases</w:t>
            </w:r>
          </w:p>
        </w:tc>
        <w:tc>
          <w:tcPr>
            <w:tcW w:w="1418" w:type="dxa"/>
            <w:vAlign w:val="center"/>
          </w:tcPr>
          <w:p w14:paraId="2891EFAC"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31 (13.0 %)</w:t>
            </w:r>
          </w:p>
        </w:tc>
        <w:tc>
          <w:tcPr>
            <w:tcW w:w="1418" w:type="dxa"/>
            <w:vAlign w:val="center"/>
          </w:tcPr>
          <w:p w14:paraId="01A46158"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1 (11.1)</w:t>
            </w:r>
          </w:p>
        </w:tc>
        <w:tc>
          <w:tcPr>
            <w:tcW w:w="1275" w:type="dxa"/>
            <w:vAlign w:val="center"/>
          </w:tcPr>
          <w:p w14:paraId="1A3727DD"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30 (13.1)</w:t>
            </w:r>
          </w:p>
        </w:tc>
        <w:tc>
          <w:tcPr>
            <w:tcW w:w="1984" w:type="dxa"/>
            <w:vAlign w:val="center"/>
          </w:tcPr>
          <w:p w14:paraId="51011A48"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0.826 (0.100; 6.867)</w:t>
            </w:r>
          </w:p>
        </w:tc>
        <w:tc>
          <w:tcPr>
            <w:tcW w:w="0" w:type="auto"/>
            <w:vAlign w:val="center"/>
          </w:tcPr>
          <w:p w14:paraId="325A2F0F"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0.862</w:t>
            </w:r>
          </w:p>
        </w:tc>
      </w:tr>
      <w:tr w:rsidR="00435B9F" w:rsidRPr="00435B9F" w14:paraId="11C60E95" w14:textId="77777777" w:rsidTr="000E14C8">
        <w:trPr>
          <w:trHeight w:val="246"/>
          <w:jc w:val="center"/>
        </w:trPr>
        <w:tc>
          <w:tcPr>
            <w:tcW w:w="1838" w:type="dxa"/>
            <w:vAlign w:val="center"/>
          </w:tcPr>
          <w:p w14:paraId="5C0E0194" w14:textId="77777777" w:rsidR="00435B9F" w:rsidRPr="00435B9F" w:rsidRDefault="00435B9F" w:rsidP="00435B9F">
            <w:pPr>
              <w:spacing w:line="360" w:lineRule="auto"/>
              <w:ind w:right="51"/>
              <w:jc w:val="both"/>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Respiratory diseases</w:t>
            </w:r>
          </w:p>
        </w:tc>
        <w:tc>
          <w:tcPr>
            <w:tcW w:w="1418" w:type="dxa"/>
            <w:vAlign w:val="center"/>
          </w:tcPr>
          <w:p w14:paraId="205F7877"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28 (11.8)</w:t>
            </w:r>
          </w:p>
        </w:tc>
        <w:tc>
          <w:tcPr>
            <w:tcW w:w="1418" w:type="dxa"/>
            <w:vAlign w:val="center"/>
          </w:tcPr>
          <w:p w14:paraId="099D1DB6"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4 (44.4)</w:t>
            </w:r>
          </w:p>
        </w:tc>
        <w:tc>
          <w:tcPr>
            <w:tcW w:w="1275" w:type="dxa"/>
            <w:vAlign w:val="center"/>
          </w:tcPr>
          <w:p w14:paraId="6B899699"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24 (10.5)</w:t>
            </w:r>
          </w:p>
        </w:tc>
        <w:tc>
          <w:tcPr>
            <w:tcW w:w="1984" w:type="dxa"/>
            <w:vAlign w:val="center"/>
          </w:tcPr>
          <w:p w14:paraId="1863505D"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6.833 (1.717; 27.192)</w:t>
            </w:r>
          </w:p>
        </w:tc>
        <w:tc>
          <w:tcPr>
            <w:tcW w:w="0" w:type="auto"/>
            <w:vAlign w:val="center"/>
          </w:tcPr>
          <w:p w14:paraId="350EBF1A"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0.002</w:t>
            </w:r>
          </w:p>
        </w:tc>
      </w:tr>
      <w:tr w:rsidR="00435B9F" w:rsidRPr="00435B9F" w14:paraId="396C8C5B" w14:textId="77777777" w:rsidTr="000E14C8">
        <w:trPr>
          <w:trHeight w:val="129"/>
          <w:jc w:val="center"/>
        </w:trPr>
        <w:tc>
          <w:tcPr>
            <w:tcW w:w="1838" w:type="dxa"/>
            <w:vAlign w:val="center"/>
          </w:tcPr>
          <w:p w14:paraId="762A1E33" w14:textId="77777777" w:rsidR="00435B9F" w:rsidRPr="00435B9F" w:rsidRDefault="00435B9F" w:rsidP="00435B9F">
            <w:pPr>
              <w:spacing w:line="360" w:lineRule="auto"/>
              <w:ind w:right="51"/>
              <w:jc w:val="both"/>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Morbid obesity</w:t>
            </w:r>
          </w:p>
        </w:tc>
        <w:tc>
          <w:tcPr>
            <w:tcW w:w="1418" w:type="dxa"/>
            <w:vAlign w:val="center"/>
          </w:tcPr>
          <w:p w14:paraId="48D593F2"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37 (15.5)</w:t>
            </w:r>
          </w:p>
        </w:tc>
        <w:tc>
          <w:tcPr>
            <w:tcW w:w="1418" w:type="dxa"/>
            <w:vAlign w:val="center"/>
          </w:tcPr>
          <w:p w14:paraId="449989D9"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3 (33.3)</w:t>
            </w:r>
          </w:p>
        </w:tc>
        <w:tc>
          <w:tcPr>
            <w:tcW w:w="1275" w:type="dxa"/>
            <w:vAlign w:val="center"/>
          </w:tcPr>
          <w:p w14:paraId="514A28FD"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34 (14.8)</w:t>
            </w:r>
          </w:p>
        </w:tc>
        <w:tc>
          <w:tcPr>
            <w:tcW w:w="1984" w:type="dxa"/>
            <w:vAlign w:val="center"/>
          </w:tcPr>
          <w:p w14:paraId="251365FA"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2.868 (0.684; 12.019)</w:t>
            </w:r>
          </w:p>
        </w:tc>
        <w:tc>
          <w:tcPr>
            <w:tcW w:w="0" w:type="auto"/>
            <w:vAlign w:val="center"/>
          </w:tcPr>
          <w:p w14:paraId="743BE928" w14:textId="77777777" w:rsidR="00435B9F" w:rsidRPr="00435B9F" w:rsidRDefault="00435B9F" w:rsidP="00435B9F">
            <w:pPr>
              <w:spacing w:line="360" w:lineRule="auto"/>
              <w:ind w:right="51"/>
              <w:jc w:val="center"/>
              <w:rPr>
                <w:rFonts w:ascii="Times New Roman" w:hAnsi="Times New Roman" w:cs="Times New Roman"/>
                <w:sz w:val="18"/>
                <w:szCs w:val="18"/>
                <w:lang w:val="en-US" w:eastAsia="en-US"/>
              </w:rPr>
            </w:pPr>
            <w:r w:rsidRPr="00435B9F">
              <w:rPr>
                <w:rFonts w:ascii="Times New Roman" w:hAnsi="Times New Roman" w:cs="Times New Roman"/>
                <w:sz w:val="18"/>
                <w:szCs w:val="18"/>
                <w:lang w:val="en-US" w:eastAsia="en-US"/>
              </w:rPr>
              <w:t>0.133</w:t>
            </w:r>
          </w:p>
        </w:tc>
      </w:tr>
    </w:tbl>
    <w:p w14:paraId="14515D65" w14:textId="77777777" w:rsidR="00435B9F" w:rsidRPr="00435B9F" w:rsidRDefault="00435B9F" w:rsidP="00435B9F">
      <w:pPr>
        <w:suppressAutoHyphens/>
        <w:spacing w:line="360" w:lineRule="auto"/>
        <w:jc w:val="center"/>
        <w:rPr>
          <w:rFonts w:eastAsia="Calibri"/>
          <w:b/>
          <w:bCs/>
          <w:sz w:val="32"/>
          <w:szCs w:val="32"/>
          <w:lang w:val="es-ES" w:eastAsia="en-US"/>
        </w:rPr>
      </w:pPr>
    </w:p>
    <w:p w14:paraId="1078B978" w14:textId="77777777" w:rsidR="00435B9F" w:rsidRPr="00435B9F" w:rsidRDefault="00435B9F" w:rsidP="00435B9F">
      <w:pPr>
        <w:suppressAutoHyphens/>
        <w:spacing w:line="360" w:lineRule="auto"/>
        <w:jc w:val="center"/>
        <w:rPr>
          <w:rFonts w:eastAsia="Calibri"/>
          <w:b/>
          <w:bCs/>
          <w:sz w:val="32"/>
          <w:szCs w:val="32"/>
          <w:lang w:val="es-ES" w:eastAsia="en-US"/>
        </w:rPr>
      </w:pPr>
    </w:p>
    <w:p w14:paraId="026FF8E7" w14:textId="77777777" w:rsidR="00435B9F" w:rsidRPr="00435B9F" w:rsidRDefault="00435B9F" w:rsidP="00435B9F">
      <w:pPr>
        <w:suppressAutoHyphens/>
        <w:spacing w:line="360" w:lineRule="auto"/>
        <w:jc w:val="center"/>
        <w:rPr>
          <w:rFonts w:eastAsia="Calibri"/>
          <w:b/>
          <w:bCs/>
          <w:sz w:val="32"/>
          <w:szCs w:val="32"/>
          <w:lang w:val="es-ES" w:eastAsia="en-US"/>
        </w:rPr>
      </w:pPr>
      <w:r w:rsidRPr="00435B9F">
        <w:rPr>
          <w:rFonts w:eastAsia="Calibri"/>
          <w:b/>
          <w:bCs/>
          <w:sz w:val="32"/>
          <w:szCs w:val="32"/>
          <w:lang w:val="es-ES" w:eastAsia="en-US"/>
        </w:rPr>
        <w:t>DISCUSSION</w:t>
      </w:r>
    </w:p>
    <w:p w14:paraId="1CAC7443"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Dental </w:t>
      </w:r>
      <w:proofErr w:type="spellStart"/>
      <w:r w:rsidRPr="00435B9F">
        <w:rPr>
          <w:rFonts w:eastAsia="Calibri"/>
          <w:lang w:val="en-US" w:eastAsia="en-US"/>
        </w:rPr>
        <w:t>loss</w:t>
      </w:r>
      <w:proofErr w:type="spellEnd"/>
      <w:r w:rsidRPr="00435B9F">
        <w:rPr>
          <w:rFonts w:eastAsia="Calibri"/>
          <w:lang w:val="en-US" w:eastAsia="en-US"/>
        </w:rPr>
        <w:t xml:space="preserve"> might represent a risk factor contributing to the severity of COVID-19; however, there is no documented evidence in other articles connecting both situations. Recent studies suggest an association between edentulous diagnosed patients and lower respiratory capacity, a high incidence of chronic obstructive pulmonary diseases, greater susceptibility to hospitalizations due to pulmonary conditions, and even a higher risk of mortality derived from pneumonia, than toothed patients.</w:t>
      </w:r>
      <w:r w:rsidRPr="00435B9F">
        <w:rPr>
          <w:rFonts w:eastAsia="Calibri"/>
          <w:vertAlign w:val="superscript"/>
          <w:lang w:val="en-US" w:eastAsia="en-US"/>
        </w:rPr>
        <w:t>(16,28,29,30,31)</w:t>
      </w:r>
      <w:r w:rsidRPr="00435B9F">
        <w:rPr>
          <w:rFonts w:eastAsia="Calibri"/>
          <w:lang w:val="en-US" w:eastAsia="en-US"/>
        </w:rPr>
        <w:t xml:space="preserve"> The biological mechanism relating the periodontal disease, dental loss, and edentulism to chronic diseases involves a local and systemic inflammation due to endothelial dysfunction, together with micro and macro-vascular impairment. In general, people with systemic diseases, elderly or not, have a weakened immune </w:t>
      </w:r>
      <w:proofErr w:type="gramStart"/>
      <w:r w:rsidRPr="00435B9F">
        <w:rPr>
          <w:rFonts w:eastAsia="Calibri"/>
          <w:lang w:val="en-US" w:eastAsia="en-US"/>
        </w:rPr>
        <w:t>response.</w:t>
      </w:r>
      <w:r w:rsidRPr="00435B9F">
        <w:rPr>
          <w:rFonts w:eastAsia="Calibri"/>
          <w:vertAlign w:val="superscript"/>
          <w:lang w:val="en-US" w:eastAsia="en-US"/>
        </w:rPr>
        <w:t>(</w:t>
      </w:r>
      <w:proofErr w:type="gramEnd"/>
      <w:r w:rsidRPr="00435B9F">
        <w:rPr>
          <w:rFonts w:eastAsia="Calibri"/>
          <w:vertAlign w:val="superscript"/>
          <w:lang w:val="en-US" w:eastAsia="en-US"/>
        </w:rPr>
        <w:t>14,28,32,33)</w:t>
      </w:r>
      <w:r w:rsidRPr="00435B9F">
        <w:rPr>
          <w:rFonts w:eastAsia="Calibri"/>
          <w:lang w:val="en-US" w:eastAsia="en-US"/>
        </w:rPr>
        <w:t xml:space="preserve"> </w:t>
      </w:r>
    </w:p>
    <w:p w14:paraId="1EF4E69E"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The relationship between the presence of respiratory diseases and the severity of COVID-19 was reaffirmed. It has been seen that, while suffering from COVID-19, patients with pre-existing respiratory illnesses have had an increased risk of serious complications and some have even </w:t>
      </w:r>
      <w:proofErr w:type="gramStart"/>
      <w:r w:rsidRPr="00435B9F">
        <w:rPr>
          <w:rFonts w:eastAsia="Calibri"/>
          <w:lang w:val="en-US" w:eastAsia="en-US"/>
        </w:rPr>
        <w:t>died.</w:t>
      </w:r>
      <w:r w:rsidRPr="00435B9F">
        <w:rPr>
          <w:rFonts w:eastAsia="Calibri"/>
          <w:vertAlign w:val="superscript"/>
          <w:lang w:val="en-US" w:eastAsia="en-US"/>
        </w:rPr>
        <w:t>(</w:t>
      </w:r>
      <w:proofErr w:type="gramEnd"/>
      <w:r w:rsidRPr="00435B9F">
        <w:rPr>
          <w:rFonts w:eastAsia="Calibri"/>
          <w:vertAlign w:val="superscript"/>
          <w:lang w:val="en-US" w:eastAsia="en-US"/>
        </w:rPr>
        <w:t>34,35,36,37)</w:t>
      </w:r>
      <w:r w:rsidRPr="00435B9F">
        <w:rPr>
          <w:rFonts w:eastAsia="Calibri"/>
          <w:lang w:val="en-US" w:eastAsia="en-US"/>
        </w:rPr>
        <w:t xml:space="preserve"> The underdiagnosis of all chronic respiratory diseases has been a universal characteristic, and despite </w:t>
      </w:r>
      <w:r w:rsidRPr="00435B9F">
        <w:rPr>
          <w:rFonts w:eastAsia="Calibri"/>
          <w:lang w:val="en-US" w:eastAsia="en-US"/>
        </w:rPr>
        <w:lastRenderedPageBreak/>
        <w:t xml:space="preserve">reporting low prevalence among all chronic non-communicable diseases, according to </w:t>
      </w:r>
      <w:proofErr w:type="spellStart"/>
      <w:r w:rsidRPr="00435B9F">
        <w:rPr>
          <w:rFonts w:eastAsia="Calibri"/>
          <w:i/>
          <w:iCs/>
          <w:lang w:val="en-US" w:eastAsia="en-US"/>
        </w:rPr>
        <w:t>Signes</w:t>
      </w:r>
      <w:proofErr w:type="spellEnd"/>
      <w:r w:rsidRPr="00435B9F">
        <w:rPr>
          <w:rFonts w:eastAsia="Calibri"/>
          <w:i/>
          <w:iCs/>
          <w:lang w:val="en-US" w:eastAsia="en-US"/>
        </w:rPr>
        <w:t>-Costa</w:t>
      </w:r>
      <w:r w:rsidRPr="00435B9F">
        <w:rPr>
          <w:rFonts w:eastAsia="Calibri"/>
          <w:lang w:val="en-US" w:eastAsia="en-US"/>
        </w:rPr>
        <w:t xml:space="preserve"> et al.</w:t>
      </w:r>
      <w:r w:rsidRPr="00435B9F">
        <w:rPr>
          <w:rFonts w:eastAsia="Calibri"/>
          <w:vertAlign w:val="superscript"/>
          <w:lang w:val="en-US" w:eastAsia="en-US"/>
        </w:rPr>
        <w:t>(38)</w:t>
      </w:r>
      <w:r w:rsidRPr="00435B9F">
        <w:rPr>
          <w:rFonts w:eastAsia="Calibri"/>
          <w:lang w:val="en-US" w:eastAsia="en-US"/>
        </w:rPr>
        <w:t xml:space="preserve"> is the one with the greatest statistical relevance.</w:t>
      </w:r>
      <w:r w:rsidRPr="00435B9F">
        <w:rPr>
          <w:rFonts w:eastAsia="Calibri"/>
          <w:vertAlign w:val="superscript"/>
          <w:lang w:val="en-US" w:eastAsia="en-US"/>
        </w:rPr>
        <w:t>(34)</w:t>
      </w:r>
      <w:r w:rsidRPr="00435B9F">
        <w:rPr>
          <w:rFonts w:eastAsia="Calibri"/>
          <w:lang w:val="en-US" w:eastAsia="en-US"/>
        </w:rPr>
        <w:t xml:space="preserve"> </w:t>
      </w:r>
    </w:p>
    <w:p w14:paraId="343FEF53"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Although the expected association between SPD and COVID-19 was not detected, recent studies from Qatar and England suggest an increased risk of severity, hospitalization, and death from COVID-19 when patients have periodontal </w:t>
      </w:r>
      <w:proofErr w:type="gramStart"/>
      <w:r w:rsidRPr="00435B9F">
        <w:rPr>
          <w:rFonts w:eastAsia="Calibri"/>
          <w:lang w:val="en-US" w:eastAsia="en-US"/>
        </w:rPr>
        <w:t>disease.</w:t>
      </w:r>
      <w:r w:rsidRPr="00435B9F">
        <w:rPr>
          <w:rFonts w:eastAsia="Calibri"/>
          <w:vertAlign w:val="superscript"/>
          <w:lang w:val="en-US" w:eastAsia="en-US"/>
        </w:rPr>
        <w:t>(</w:t>
      </w:r>
      <w:proofErr w:type="gramEnd"/>
      <w:r w:rsidRPr="00435B9F">
        <w:rPr>
          <w:rFonts w:eastAsia="Calibri"/>
          <w:vertAlign w:val="superscript"/>
          <w:lang w:val="en-US" w:eastAsia="en-US"/>
        </w:rPr>
        <w:t>39,40)</w:t>
      </w:r>
      <w:r w:rsidRPr="00435B9F">
        <w:rPr>
          <w:rFonts w:eastAsia="Calibri"/>
          <w:lang w:val="en-US" w:eastAsia="en-US"/>
        </w:rPr>
        <w:t xml:space="preserve"> This can be attributed to the lack of traditional procedures used for diagnosis, a limitation that all self-reported measures share when compared to the results of periodontal probing and radiographic examinations. Self-reported methods had a desirable use considering the epidemiological situation. Besides, the relationship among high blood pressure, diabetes mellitus, obesity, cardiovascular diseases, and the severity of COVID-19 were significant in this study, which differs from other results of several studies carried on in Cuba and the </w:t>
      </w:r>
      <w:proofErr w:type="gramStart"/>
      <w:r w:rsidRPr="00435B9F">
        <w:rPr>
          <w:rFonts w:eastAsia="Calibri"/>
          <w:lang w:val="en-US" w:eastAsia="en-US"/>
        </w:rPr>
        <w:t>world.</w:t>
      </w:r>
      <w:r w:rsidRPr="00435B9F">
        <w:rPr>
          <w:rFonts w:eastAsia="Calibri"/>
          <w:vertAlign w:val="superscript"/>
          <w:lang w:val="en-US" w:eastAsia="en-US"/>
        </w:rPr>
        <w:t>(</w:t>
      </w:r>
      <w:proofErr w:type="gramEnd"/>
      <w:r w:rsidRPr="00435B9F">
        <w:rPr>
          <w:rFonts w:eastAsia="Calibri"/>
          <w:vertAlign w:val="superscript"/>
          <w:lang w:val="en-US" w:eastAsia="en-US"/>
        </w:rPr>
        <w:t>41,42,43,44,45)</w:t>
      </w:r>
      <w:r w:rsidRPr="00435B9F">
        <w:rPr>
          <w:rFonts w:eastAsia="Calibri"/>
          <w:lang w:val="en-US" w:eastAsia="en-US"/>
        </w:rPr>
        <w:t xml:space="preserve"> This can be attributable to the low percentage of critically ill patients who made up the sample.</w:t>
      </w:r>
    </w:p>
    <w:p w14:paraId="13CD1846"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Self-reported diagnostic methods stated the presence of PD and can be used for epidemiological purposes. There is no relationship between SPD and the evolutionary severity of COVID-19 in the population studied. However, a relationship is observed targeting dental loss and respiratory diseases as determinant risk factors in the severity of COVID-19.</w:t>
      </w:r>
    </w:p>
    <w:p w14:paraId="3E28F618" w14:textId="77777777" w:rsidR="00435B9F" w:rsidRPr="00435B9F" w:rsidRDefault="00435B9F" w:rsidP="00435B9F">
      <w:pPr>
        <w:suppressAutoHyphens/>
        <w:spacing w:line="360" w:lineRule="auto"/>
        <w:jc w:val="both"/>
        <w:rPr>
          <w:rFonts w:eastAsia="Calibri"/>
          <w:lang w:val="en-US" w:eastAsia="en-US"/>
        </w:rPr>
      </w:pPr>
    </w:p>
    <w:p w14:paraId="4475C731" w14:textId="77777777" w:rsidR="00435B9F" w:rsidRPr="00435B9F" w:rsidRDefault="00435B9F" w:rsidP="00435B9F">
      <w:pPr>
        <w:suppressAutoHyphens/>
        <w:spacing w:line="360" w:lineRule="auto"/>
        <w:jc w:val="center"/>
        <w:rPr>
          <w:rFonts w:eastAsia="Calibri"/>
          <w:b/>
          <w:bCs/>
          <w:sz w:val="32"/>
          <w:szCs w:val="32"/>
          <w:lang w:val="en-US" w:eastAsia="en-US"/>
        </w:rPr>
      </w:pPr>
    </w:p>
    <w:p w14:paraId="75677FC9" w14:textId="77777777" w:rsidR="00435B9F" w:rsidRPr="00435B9F" w:rsidRDefault="00435B9F" w:rsidP="00435B9F">
      <w:pPr>
        <w:suppressAutoHyphens/>
        <w:spacing w:line="360" w:lineRule="auto"/>
        <w:jc w:val="center"/>
        <w:rPr>
          <w:rFonts w:eastAsia="Calibri"/>
          <w:sz w:val="32"/>
          <w:szCs w:val="32"/>
          <w:lang w:val="en-US" w:eastAsia="en-US"/>
        </w:rPr>
      </w:pPr>
      <w:r w:rsidRPr="00435B9F">
        <w:rPr>
          <w:rFonts w:eastAsia="Calibri"/>
          <w:b/>
          <w:bCs/>
          <w:sz w:val="32"/>
          <w:szCs w:val="32"/>
          <w:lang w:val="en-US" w:eastAsia="en-US"/>
        </w:rPr>
        <w:t>BIBLIOGRAPHIC REFERENCES</w:t>
      </w:r>
    </w:p>
    <w:p w14:paraId="1E9E2BD2" w14:textId="77777777" w:rsidR="00435B9F" w:rsidRPr="00435B9F" w:rsidRDefault="00435B9F" w:rsidP="00435B9F">
      <w:pPr>
        <w:suppressAutoHyphens/>
        <w:spacing w:line="360" w:lineRule="auto"/>
        <w:rPr>
          <w:rFonts w:eastAsia="Calibri"/>
          <w:lang w:val="es-ES" w:eastAsia="en-US"/>
        </w:rPr>
      </w:pPr>
      <w:r w:rsidRPr="00435B9F">
        <w:rPr>
          <w:rFonts w:eastAsia="Calibri"/>
          <w:lang w:val="en-US" w:eastAsia="en-US"/>
        </w:rPr>
        <w:t xml:space="preserve">1. </w:t>
      </w:r>
      <w:proofErr w:type="spellStart"/>
      <w:r w:rsidRPr="00435B9F">
        <w:rPr>
          <w:rFonts w:eastAsia="Calibri"/>
          <w:lang w:val="en-US" w:eastAsia="en-US"/>
        </w:rPr>
        <w:t>Larvin</w:t>
      </w:r>
      <w:proofErr w:type="spellEnd"/>
      <w:r w:rsidRPr="00435B9F">
        <w:rPr>
          <w:rFonts w:eastAsia="Calibri"/>
          <w:lang w:val="en-US" w:eastAsia="en-US"/>
        </w:rPr>
        <w:t xml:space="preserve"> H, Kang J, Aggarwal VR, Pavitt S, Wu J. Risk of incident cardiovascular disease in people with periodontal disease: A systematic review and meta-analysis. </w:t>
      </w:r>
      <w:proofErr w:type="spellStart"/>
      <w:r w:rsidRPr="00435B9F">
        <w:rPr>
          <w:rFonts w:eastAsia="Calibri"/>
          <w:lang w:val="es-ES" w:eastAsia="en-US"/>
        </w:rPr>
        <w:t>Clinical</w:t>
      </w:r>
      <w:proofErr w:type="spellEnd"/>
      <w:r w:rsidRPr="00435B9F">
        <w:rPr>
          <w:rFonts w:eastAsia="Calibri"/>
          <w:lang w:val="es-ES" w:eastAsia="en-US"/>
        </w:rPr>
        <w:t xml:space="preserve"> and experimental dental </w:t>
      </w:r>
      <w:proofErr w:type="spellStart"/>
      <w:r w:rsidRPr="00435B9F">
        <w:rPr>
          <w:rFonts w:eastAsia="Calibri"/>
          <w:lang w:val="es-ES" w:eastAsia="en-US"/>
        </w:rPr>
        <w:t>research</w:t>
      </w:r>
      <w:proofErr w:type="spellEnd"/>
      <w:r w:rsidRPr="00435B9F">
        <w:rPr>
          <w:rFonts w:eastAsia="Calibri"/>
          <w:lang w:val="es-ES" w:eastAsia="en-US"/>
        </w:rPr>
        <w:t xml:space="preserve">. 2021; 7(1):109-22. </w:t>
      </w:r>
      <w:bookmarkStart w:id="6" w:name="_Hlk99577068"/>
      <w:r w:rsidRPr="00435B9F">
        <w:rPr>
          <w:rFonts w:eastAsia="Calibri"/>
          <w:lang w:val="es-ES" w:eastAsia="en-US"/>
        </w:rPr>
        <w:t xml:space="preserve">DOI: </w:t>
      </w:r>
      <w:bookmarkEnd w:id="6"/>
      <w:r w:rsidRPr="00435B9F">
        <w:rPr>
          <w:rFonts w:eastAsia="Calibri"/>
          <w:lang w:val="es-ES" w:eastAsia="en-US"/>
        </w:rPr>
        <w:t xml:space="preserve"> 10.1002/cre2.336 </w:t>
      </w:r>
    </w:p>
    <w:p w14:paraId="3503DD0C" w14:textId="77777777" w:rsidR="00435B9F" w:rsidRPr="00435B9F" w:rsidRDefault="00435B9F" w:rsidP="00435B9F">
      <w:pPr>
        <w:suppressAutoHyphens/>
        <w:spacing w:line="360" w:lineRule="auto"/>
        <w:rPr>
          <w:rFonts w:eastAsia="Calibri"/>
          <w:lang w:val="es-ES" w:eastAsia="en-US"/>
        </w:rPr>
      </w:pPr>
      <w:r w:rsidRPr="00435B9F">
        <w:rPr>
          <w:rFonts w:eastAsia="Calibri"/>
          <w:lang w:val="es-ES" w:eastAsia="en-US"/>
        </w:rPr>
        <w:t xml:space="preserve">2. </w:t>
      </w:r>
      <w:proofErr w:type="spellStart"/>
      <w:r w:rsidRPr="00435B9F">
        <w:rPr>
          <w:rFonts w:eastAsia="Calibri"/>
          <w:lang w:val="es-ES" w:eastAsia="en-US"/>
        </w:rPr>
        <w:t>Piattelli</w:t>
      </w:r>
      <w:proofErr w:type="spellEnd"/>
      <w:r w:rsidRPr="00435B9F">
        <w:rPr>
          <w:rFonts w:eastAsia="Calibri"/>
          <w:lang w:val="es-ES" w:eastAsia="en-US"/>
        </w:rPr>
        <w:t xml:space="preserve"> A. Enfermedades periodontales y enfermedades sistémicas.  Solemne acto de investidura como Doctor Honoris Causa 2016. [acceso: 31/03/2022]. Disponible en: </w:t>
      </w:r>
      <w:hyperlink r:id="rId13" w:history="1">
        <w:r w:rsidRPr="00435B9F">
          <w:rPr>
            <w:rFonts w:eastAsia="Calibri"/>
            <w:color w:val="0563C1"/>
            <w:u w:val="single"/>
            <w:lang w:val="es-ES" w:eastAsia="en-US"/>
          </w:rPr>
          <w:t>http://hdl.handle.net/10952/1975</w:t>
        </w:r>
      </w:hyperlink>
      <w:r w:rsidRPr="00435B9F">
        <w:rPr>
          <w:rFonts w:eastAsia="Calibri"/>
          <w:lang w:val="es-ES" w:eastAsia="en-US"/>
        </w:rPr>
        <w:t xml:space="preserve"> </w:t>
      </w:r>
    </w:p>
    <w:p w14:paraId="7043F351" w14:textId="77777777" w:rsidR="00435B9F" w:rsidRPr="00435B9F" w:rsidRDefault="00435B9F" w:rsidP="00435B9F">
      <w:pPr>
        <w:suppressAutoHyphens/>
        <w:spacing w:line="360" w:lineRule="auto"/>
        <w:rPr>
          <w:rFonts w:eastAsia="Calibri"/>
          <w:lang w:val="es-ES" w:eastAsia="en-US"/>
        </w:rPr>
      </w:pPr>
      <w:r w:rsidRPr="00435B9F">
        <w:rPr>
          <w:rFonts w:eastAsia="Calibri"/>
          <w:lang w:val="es-ES" w:eastAsia="en-US"/>
        </w:rPr>
        <w:t xml:space="preserve">3. Villa Ocampo P. Enfoque salubrista de la enfermedad periodontal. </w:t>
      </w:r>
      <w:proofErr w:type="spellStart"/>
      <w:r w:rsidRPr="00435B9F">
        <w:rPr>
          <w:rFonts w:eastAsia="Calibri"/>
          <w:lang w:val="es-ES" w:eastAsia="en-US"/>
        </w:rPr>
        <w:t>Rev</w:t>
      </w:r>
      <w:proofErr w:type="spellEnd"/>
      <w:r w:rsidRPr="00435B9F">
        <w:rPr>
          <w:rFonts w:eastAsia="Calibri"/>
          <w:lang w:val="es-ES" w:eastAsia="en-US"/>
        </w:rPr>
        <w:t xml:space="preserve"> </w:t>
      </w:r>
      <w:proofErr w:type="spellStart"/>
      <w:r w:rsidRPr="00435B9F">
        <w:rPr>
          <w:rFonts w:eastAsia="Calibri"/>
          <w:lang w:val="es-ES" w:eastAsia="en-US"/>
        </w:rPr>
        <w:t>Iberoam</w:t>
      </w:r>
      <w:proofErr w:type="spellEnd"/>
      <w:r w:rsidRPr="00435B9F">
        <w:rPr>
          <w:rFonts w:eastAsia="Calibri"/>
          <w:lang w:val="es-ES" w:eastAsia="en-US"/>
        </w:rPr>
        <w:t xml:space="preserve"> </w:t>
      </w:r>
      <w:proofErr w:type="spellStart"/>
      <w:r w:rsidRPr="00435B9F">
        <w:rPr>
          <w:rFonts w:eastAsia="Calibri"/>
          <w:lang w:val="es-ES" w:eastAsia="en-US"/>
        </w:rPr>
        <w:t>CIencias</w:t>
      </w:r>
      <w:proofErr w:type="spellEnd"/>
      <w:r w:rsidRPr="00435B9F">
        <w:rPr>
          <w:rFonts w:eastAsia="Calibri"/>
          <w:lang w:val="es-ES" w:eastAsia="en-US"/>
        </w:rPr>
        <w:t xml:space="preserve">. 2015 [acceso: 31/03/2022]; 2(4): [aprox. 11 </w:t>
      </w:r>
      <w:proofErr w:type="spellStart"/>
      <w:r w:rsidRPr="00435B9F">
        <w:rPr>
          <w:rFonts w:eastAsia="Calibri"/>
          <w:lang w:val="es-ES" w:eastAsia="en-US"/>
        </w:rPr>
        <w:t>pant</w:t>
      </w:r>
      <w:proofErr w:type="spellEnd"/>
      <w:r w:rsidRPr="00435B9F">
        <w:rPr>
          <w:rFonts w:eastAsia="Calibri"/>
          <w:lang w:val="es-ES" w:eastAsia="en-US"/>
        </w:rPr>
        <w:t xml:space="preserve">.]. Disponible en: </w:t>
      </w:r>
      <w:hyperlink r:id="rId14">
        <w:r w:rsidRPr="00435B9F">
          <w:rPr>
            <w:rFonts w:eastAsia="Calibri"/>
            <w:color w:val="0563C1"/>
            <w:u w:val="single"/>
            <w:lang w:val="es-ES" w:eastAsia="en-US"/>
          </w:rPr>
          <w:t>http://www.reibci.org/publicados/2015/julio/0800108.pdf</w:t>
        </w:r>
      </w:hyperlink>
      <w:r w:rsidRPr="00435B9F">
        <w:rPr>
          <w:rFonts w:eastAsia="Calibri"/>
          <w:lang w:val="es-ES" w:eastAsia="en-US"/>
        </w:rPr>
        <w:t xml:space="preserve"> </w:t>
      </w:r>
    </w:p>
    <w:p w14:paraId="79DA6215" w14:textId="77777777" w:rsidR="00435B9F" w:rsidRPr="00435B9F" w:rsidRDefault="00435B9F" w:rsidP="00435B9F">
      <w:pPr>
        <w:suppressAutoHyphens/>
        <w:spacing w:line="360" w:lineRule="auto"/>
        <w:rPr>
          <w:rFonts w:eastAsia="Calibri"/>
          <w:lang w:val="es-CU" w:eastAsia="en-US"/>
        </w:rPr>
      </w:pPr>
      <w:r w:rsidRPr="00435B9F">
        <w:rPr>
          <w:rFonts w:eastAsia="Calibri"/>
          <w:lang w:val="es-CU" w:eastAsia="en-US"/>
        </w:rPr>
        <w:lastRenderedPageBreak/>
        <w:t xml:space="preserve">4. Baldomero AK, </w:t>
      </w:r>
      <w:proofErr w:type="spellStart"/>
      <w:r w:rsidRPr="00435B9F">
        <w:rPr>
          <w:rFonts w:eastAsia="Calibri"/>
          <w:lang w:val="es-CU" w:eastAsia="en-US"/>
        </w:rPr>
        <w:t>Siddiqui</w:t>
      </w:r>
      <w:proofErr w:type="spellEnd"/>
      <w:r w:rsidRPr="00435B9F">
        <w:rPr>
          <w:rFonts w:eastAsia="Calibri"/>
          <w:lang w:val="es-CU" w:eastAsia="en-US"/>
        </w:rPr>
        <w:t xml:space="preserve"> M, Lo CY, Petersen A, </w:t>
      </w:r>
      <w:proofErr w:type="spellStart"/>
      <w:r w:rsidRPr="00435B9F">
        <w:rPr>
          <w:rFonts w:eastAsia="Calibri"/>
          <w:lang w:val="es-CU" w:eastAsia="en-US"/>
        </w:rPr>
        <w:t>Pragman</w:t>
      </w:r>
      <w:proofErr w:type="spellEnd"/>
      <w:r w:rsidRPr="00435B9F">
        <w:rPr>
          <w:rFonts w:eastAsia="Calibri"/>
          <w:lang w:val="es-CU" w:eastAsia="en-US"/>
        </w:rPr>
        <w:t xml:space="preserve"> AA, </w:t>
      </w:r>
      <w:proofErr w:type="spellStart"/>
      <w:r w:rsidRPr="00435B9F">
        <w:rPr>
          <w:rFonts w:eastAsia="Calibri"/>
          <w:lang w:val="es-CU" w:eastAsia="en-US"/>
        </w:rPr>
        <w:t>Connett</w:t>
      </w:r>
      <w:proofErr w:type="spellEnd"/>
      <w:r w:rsidRPr="00435B9F">
        <w:rPr>
          <w:rFonts w:eastAsia="Calibri"/>
          <w:lang w:val="es-CU" w:eastAsia="en-US"/>
        </w:rPr>
        <w:t xml:space="preserve"> JE, et al. </w:t>
      </w:r>
      <w:r w:rsidRPr="00435B9F">
        <w:rPr>
          <w:rFonts w:eastAsia="Calibri"/>
          <w:lang w:val="en-US" w:eastAsia="en-US"/>
        </w:rPr>
        <w:t xml:space="preserve">The relationship between oral health and COPD exacerbations. International journal of chronic obstructive pulmonary disease. </w:t>
      </w:r>
      <w:r w:rsidRPr="00435B9F">
        <w:rPr>
          <w:rFonts w:eastAsia="Calibri"/>
          <w:lang w:val="es-CU" w:eastAsia="en-US"/>
        </w:rPr>
        <w:t>2019; 14:881-92. DOI: 10.2147/</w:t>
      </w:r>
      <w:proofErr w:type="gramStart"/>
      <w:r w:rsidRPr="00435B9F">
        <w:rPr>
          <w:rFonts w:eastAsia="Calibri"/>
          <w:lang w:val="es-CU" w:eastAsia="en-US"/>
        </w:rPr>
        <w:t>copd.S</w:t>
      </w:r>
      <w:proofErr w:type="gramEnd"/>
      <w:r w:rsidRPr="00435B9F">
        <w:rPr>
          <w:rFonts w:eastAsia="Calibri"/>
          <w:lang w:val="es-CU" w:eastAsia="en-US"/>
        </w:rPr>
        <w:t xml:space="preserve">194991 </w:t>
      </w:r>
    </w:p>
    <w:p w14:paraId="49F1C2FA" w14:textId="77777777" w:rsidR="00435B9F" w:rsidRPr="00435B9F" w:rsidRDefault="00435B9F" w:rsidP="00435B9F">
      <w:pPr>
        <w:suppressAutoHyphens/>
        <w:spacing w:line="360" w:lineRule="auto"/>
        <w:rPr>
          <w:rFonts w:eastAsia="Calibri"/>
          <w:lang w:val="es-ES" w:eastAsia="en-US"/>
        </w:rPr>
      </w:pPr>
      <w:r w:rsidRPr="00435B9F">
        <w:rPr>
          <w:rFonts w:eastAsia="Calibri"/>
          <w:lang w:val="es-CU" w:eastAsia="en-US"/>
        </w:rPr>
        <w:t xml:space="preserve">5. Vargas KF, Ferradas MC, Amaral MM, Reyes JC, Palacios MA. </w:t>
      </w:r>
      <w:r w:rsidRPr="00435B9F">
        <w:rPr>
          <w:rFonts w:eastAsia="Calibri"/>
          <w:lang w:val="es-ES" w:eastAsia="en-US"/>
        </w:rPr>
        <w:t xml:space="preserve">Enfermedad periodontal y enfermedades respiratorias: una revisión de ensayos clínicos y estudios observacionales. </w:t>
      </w:r>
      <w:proofErr w:type="spellStart"/>
      <w:r w:rsidRPr="00435B9F">
        <w:rPr>
          <w:rFonts w:eastAsia="Calibri"/>
          <w:lang w:val="es-ES" w:eastAsia="en-US"/>
        </w:rPr>
        <w:t>Rev</w:t>
      </w:r>
      <w:proofErr w:type="spellEnd"/>
      <w:r w:rsidRPr="00435B9F">
        <w:rPr>
          <w:rFonts w:eastAsia="Calibri"/>
          <w:lang w:val="es-ES" w:eastAsia="en-US"/>
        </w:rPr>
        <w:t xml:space="preserve"> Mex </w:t>
      </w:r>
      <w:proofErr w:type="spellStart"/>
      <w:r w:rsidRPr="00435B9F">
        <w:rPr>
          <w:rFonts w:eastAsia="Calibri"/>
          <w:lang w:val="es-ES" w:eastAsia="en-US"/>
        </w:rPr>
        <w:t>Periodontol</w:t>
      </w:r>
      <w:proofErr w:type="spellEnd"/>
      <w:r w:rsidRPr="00435B9F">
        <w:rPr>
          <w:rFonts w:eastAsia="Calibri"/>
          <w:lang w:val="es-ES" w:eastAsia="en-US"/>
        </w:rPr>
        <w:t xml:space="preserve">. 2014 </w:t>
      </w:r>
      <w:bookmarkStart w:id="7" w:name="_Hlk99576843"/>
      <w:r w:rsidRPr="00435B9F">
        <w:rPr>
          <w:rFonts w:eastAsia="Calibri"/>
          <w:lang w:val="es-ES" w:eastAsia="en-US"/>
        </w:rPr>
        <w:t>[acceso: 18/12/2021]</w:t>
      </w:r>
      <w:bookmarkEnd w:id="7"/>
      <w:r w:rsidRPr="00435B9F">
        <w:rPr>
          <w:rFonts w:eastAsia="Calibri"/>
          <w:lang w:val="es-ES" w:eastAsia="en-US"/>
        </w:rPr>
        <w:t xml:space="preserve">; </w:t>
      </w:r>
      <w:proofErr w:type="gramStart"/>
      <w:r w:rsidRPr="00435B9F">
        <w:rPr>
          <w:rFonts w:eastAsia="Calibri"/>
          <w:lang w:val="es-ES" w:eastAsia="en-US"/>
        </w:rPr>
        <w:t>V(</w:t>
      </w:r>
      <w:proofErr w:type="gramEnd"/>
      <w:r w:rsidRPr="00435B9F">
        <w:rPr>
          <w:rFonts w:eastAsia="Calibri"/>
          <w:lang w:val="es-ES" w:eastAsia="en-US"/>
        </w:rPr>
        <w:t xml:space="preserve">1): 36-40. Disponible en: </w:t>
      </w:r>
      <w:hyperlink r:id="rId15" w:history="1">
        <w:r w:rsidRPr="00435B9F">
          <w:rPr>
            <w:rFonts w:eastAsia="Calibri"/>
            <w:color w:val="0563C1"/>
            <w:u w:val="single"/>
            <w:lang w:val="es-ES" w:eastAsia="en-US"/>
          </w:rPr>
          <w:t>https://www.researchgate.net/profile/Marco-Alarcon-2/publication/271328776_Enfermedad_periodontal_y_enfermedades_respiratorias_una_revision_de_ensayos_clinicos_y_estudios_observacionales_REVISION_BIBLIOGRAFICA/links/54c5c01d0cf2911c7a563405/Enfermedad-periodontal-y-enfermedades-respiratorias-una-revision-de-ensayos-clinicos-y-estudios-observacionales-REVISION-BIBLIOGRAFICA.pdf</w:t>
        </w:r>
      </w:hyperlink>
      <w:r w:rsidRPr="00435B9F">
        <w:rPr>
          <w:rFonts w:eastAsia="Calibri"/>
          <w:lang w:val="es-ES" w:eastAsia="en-US"/>
        </w:rPr>
        <w:t xml:space="preserve"> </w:t>
      </w:r>
    </w:p>
    <w:p w14:paraId="5AD1DAB1" w14:textId="77777777" w:rsidR="00435B9F" w:rsidRPr="00435B9F" w:rsidRDefault="00435B9F" w:rsidP="00435B9F">
      <w:pPr>
        <w:suppressAutoHyphens/>
        <w:spacing w:line="360" w:lineRule="auto"/>
        <w:rPr>
          <w:rFonts w:eastAsia="Calibri"/>
          <w:lang w:val="en-US" w:eastAsia="en-US"/>
        </w:rPr>
      </w:pPr>
      <w:r w:rsidRPr="00435B9F">
        <w:rPr>
          <w:rFonts w:eastAsia="Calibri"/>
          <w:lang w:val="es-ES" w:eastAsia="en-US"/>
        </w:rPr>
        <w:t xml:space="preserve">6. Halpern B, </w:t>
      </w:r>
      <w:proofErr w:type="spellStart"/>
      <w:r w:rsidRPr="00435B9F">
        <w:rPr>
          <w:rFonts w:eastAsia="Calibri"/>
          <w:lang w:val="es-ES" w:eastAsia="en-US"/>
        </w:rPr>
        <w:t>Louzada</w:t>
      </w:r>
      <w:proofErr w:type="spellEnd"/>
      <w:r w:rsidRPr="00435B9F">
        <w:rPr>
          <w:rFonts w:eastAsia="Calibri"/>
          <w:lang w:val="es-ES" w:eastAsia="en-US"/>
        </w:rPr>
        <w:t xml:space="preserve"> M, Aschner P, </w:t>
      </w:r>
      <w:proofErr w:type="spellStart"/>
      <w:r w:rsidRPr="00435B9F">
        <w:rPr>
          <w:rFonts w:eastAsia="Calibri"/>
          <w:lang w:val="es-ES" w:eastAsia="en-US"/>
        </w:rPr>
        <w:t>Gerchman</w:t>
      </w:r>
      <w:proofErr w:type="spellEnd"/>
      <w:r w:rsidRPr="00435B9F">
        <w:rPr>
          <w:rFonts w:eastAsia="Calibri"/>
          <w:lang w:val="es-ES" w:eastAsia="en-US"/>
        </w:rPr>
        <w:t xml:space="preserve"> F, </w:t>
      </w:r>
      <w:proofErr w:type="spellStart"/>
      <w:r w:rsidRPr="00435B9F">
        <w:rPr>
          <w:rFonts w:eastAsia="Calibri"/>
          <w:lang w:val="es-ES" w:eastAsia="en-US"/>
        </w:rPr>
        <w:t>Brajkovich</w:t>
      </w:r>
      <w:proofErr w:type="spellEnd"/>
      <w:r w:rsidRPr="00435B9F">
        <w:rPr>
          <w:rFonts w:eastAsia="Calibri"/>
          <w:lang w:val="es-ES" w:eastAsia="en-US"/>
        </w:rPr>
        <w:t xml:space="preserve"> I, Faria-Neto JR, et al. </w:t>
      </w:r>
      <w:r w:rsidRPr="00435B9F">
        <w:rPr>
          <w:rFonts w:eastAsia="Calibri"/>
          <w:lang w:val="en-US" w:eastAsia="en-US"/>
        </w:rPr>
        <w:t xml:space="preserve">Obesity and COVID-19 in Latin America: A tragedy of two pandemics-Official document of the Latin American Federation of Obesity Societies. </w:t>
      </w:r>
      <w:proofErr w:type="spellStart"/>
      <w:r w:rsidRPr="00435B9F">
        <w:rPr>
          <w:rFonts w:eastAsia="Calibri"/>
          <w:lang w:val="en-US" w:eastAsia="en-US"/>
        </w:rPr>
        <w:t>Obes</w:t>
      </w:r>
      <w:proofErr w:type="spellEnd"/>
      <w:r w:rsidRPr="00435B9F">
        <w:rPr>
          <w:rFonts w:eastAsia="Calibri"/>
          <w:lang w:val="en-US" w:eastAsia="en-US"/>
        </w:rPr>
        <w:t xml:space="preserve"> Rev. 2021; 22(3</w:t>
      </w:r>
      <w:proofErr w:type="gramStart"/>
      <w:r w:rsidRPr="00435B9F">
        <w:rPr>
          <w:rFonts w:eastAsia="Calibri"/>
          <w:lang w:val="en-US" w:eastAsia="en-US"/>
        </w:rPr>
        <w:t>):e</w:t>
      </w:r>
      <w:proofErr w:type="gramEnd"/>
      <w:r w:rsidRPr="00435B9F">
        <w:rPr>
          <w:rFonts w:eastAsia="Calibri"/>
          <w:lang w:val="en-US" w:eastAsia="en-US"/>
        </w:rPr>
        <w:t xml:space="preserve">13165. DOI: 10.1111/obr.13165 </w:t>
      </w:r>
    </w:p>
    <w:p w14:paraId="3FBFAB64"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7. </w:t>
      </w:r>
      <w:proofErr w:type="spellStart"/>
      <w:r w:rsidRPr="00435B9F">
        <w:rPr>
          <w:rFonts w:eastAsia="Calibri"/>
          <w:lang w:val="en-US" w:eastAsia="en-US"/>
        </w:rPr>
        <w:t>Roganović</w:t>
      </w:r>
      <w:proofErr w:type="spellEnd"/>
      <w:r w:rsidRPr="00435B9F">
        <w:rPr>
          <w:rFonts w:eastAsia="Calibri"/>
          <w:lang w:val="en-US" w:eastAsia="en-US"/>
        </w:rPr>
        <w:t xml:space="preserve"> JR. microRNA-146a and -155, upregulated by periodontitis and type 2 diabetes in oral fluids, are predicted to regulate SARS-CoV-2 oral receptor genes. Journal of Periodontology. 2021; 92(7):35-43. DOI: 10.1002/jper.20-0623 </w:t>
      </w:r>
    </w:p>
    <w:p w14:paraId="371EF52B"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8. </w:t>
      </w:r>
      <w:proofErr w:type="spellStart"/>
      <w:r w:rsidRPr="00435B9F">
        <w:rPr>
          <w:rFonts w:eastAsia="Calibri"/>
          <w:lang w:val="en-US" w:eastAsia="en-US"/>
        </w:rPr>
        <w:t>Liccardo</w:t>
      </w:r>
      <w:proofErr w:type="spellEnd"/>
      <w:r w:rsidRPr="00435B9F">
        <w:rPr>
          <w:rFonts w:eastAsia="Calibri"/>
          <w:lang w:val="en-US" w:eastAsia="en-US"/>
        </w:rPr>
        <w:t xml:space="preserve"> D, </w:t>
      </w:r>
      <w:proofErr w:type="spellStart"/>
      <w:r w:rsidRPr="00435B9F">
        <w:rPr>
          <w:rFonts w:eastAsia="Calibri"/>
          <w:lang w:val="en-US" w:eastAsia="en-US"/>
        </w:rPr>
        <w:t>Cannavo</w:t>
      </w:r>
      <w:proofErr w:type="spellEnd"/>
      <w:r w:rsidRPr="00435B9F">
        <w:rPr>
          <w:rFonts w:eastAsia="Calibri"/>
          <w:lang w:val="en-US" w:eastAsia="en-US"/>
        </w:rPr>
        <w:t xml:space="preserve"> A, Spagnuolo G, Ferrara N, </w:t>
      </w:r>
      <w:proofErr w:type="spellStart"/>
      <w:r w:rsidRPr="00435B9F">
        <w:rPr>
          <w:rFonts w:eastAsia="Calibri"/>
          <w:lang w:val="en-US" w:eastAsia="en-US"/>
        </w:rPr>
        <w:t>Cittadini</w:t>
      </w:r>
      <w:proofErr w:type="spellEnd"/>
      <w:r w:rsidRPr="00435B9F">
        <w:rPr>
          <w:rFonts w:eastAsia="Calibri"/>
          <w:lang w:val="en-US" w:eastAsia="en-US"/>
        </w:rPr>
        <w:t xml:space="preserve"> A, Rengo C, et al. Periodontal Disease: A Risk Factor for Diabetes and Cardiovascular Disease. International journal of molecular sciences. 2019; 20(6):1414. DOI: 10.3390/ijms20061414</w:t>
      </w:r>
    </w:p>
    <w:p w14:paraId="39B0444B"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9. </w:t>
      </w:r>
      <w:proofErr w:type="spellStart"/>
      <w:r w:rsidRPr="00435B9F">
        <w:rPr>
          <w:rFonts w:eastAsia="Calibri"/>
          <w:lang w:val="en-US" w:eastAsia="en-US"/>
        </w:rPr>
        <w:t>Chatzopoulos</w:t>
      </w:r>
      <w:proofErr w:type="spellEnd"/>
      <w:r w:rsidRPr="00435B9F">
        <w:rPr>
          <w:rFonts w:eastAsia="Calibri"/>
          <w:lang w:val="en-US" w:eastAsia="en-US"/>
        </w:rPr>
        <w:t xml:space="preserve"> GS, Cisneros A, Sanchez M, Wolff LF. Association between Periodontal Disease and Systemic Inflammatory Conditions Using Electronic Health Records: A Pilot Study. Antibiotics (Basel, Switzerland). 2021;10(4):386. DOI: 10.3390/antibiotics10040386</w:t>
      </w:r>
    </w:p>
    <w:p w14:paraId="3A38CAA3" w14:textId="77777777" w:rsidR="00435B9F" w:rsidRPr="00435B9F" w:rsidRDefault="00435B9F" w:rsidP="00435B9F">
      <w:pPr>
        <w:suppressAutoHyphens/>
        <w:spacing w:line="360" w:lineRule="auto"/>
        <w:rPr>
          <w:rFonts w:eastAsia="Calibri"/>
          <w:lang w:val="es-ES" w:eastAsia="en-US"/>
        </w:rPr>
      </w:pPr>
      <w:r w:rsidRPr="00435B9F">
        <w:rPr>
          <w:rFonts w:eastAsia="Calibri"/>
          <w:lang w:val="en-US" w:eastAsia="en-US"/>
        </w:rPr>
        <w:t xml:space="preserve">10. </w:t>
      </w:r>
      <w:proofErr w:type="spellStart"/>
      <w:r w:rsidRPr="00435B9F">
        <w:rPr>
          <w:rFonts w:eastAsia="Calibri"/>
          <w:lang w:val="en-US" w:eastAsia="en-US"/>
        </w:rPr>
        <w:t>Pitones</w:t>
      </w:r>
      <w:proofErr w:type="spellEnd"/>
      <w:r w:rsidRPr="00435B9F">
        <w:rPr>
          <w:rFonts w:eastAsia="Calibri"/>
          <w:lang w:val="en-US" w:eastAsia="en-US"/>
        </w:rPr>
        <w:t>-Rubio V, Chavez-Cortez EG, Hurtado-Camarena A, Gonzalez-</w:t>
      </w:r>
      <w:proofErr w:type="spellStart"/>
      <w:r w:rsidRPr="00435B9F">
        <w:rPr>
          <w:rFonts w:eastAsia="Calibri"/>
          <w:lang w:val="en-US" w:eastAsia="en-US"/>
        </w:rPr>
        <w:t>Rascon</w:t>
      </w:r>
      <w:proofErr w:type="spellEnd"/>
      <w:r w:rsidRPr="00435B9F">
        <w:rPr>
          <w:rFonts w:eastAsia="Calibri"/>
          <w:lang w:val="en-US" w:eastAsia="en-US"/>
        </w:rPr>
        <w:t xml:space="preserve"> A, Serafin-Higuera N. Is periodontal disease a risk factor for severe COVID-19 illness? </w:t>
      </w:r>
      <w:r w:rsidRPr="00435B9F">
        <w:rPr>
          <w:rFonts w:eastAsia="Calibri"/>
          <w:lang w:val="es-ES" w:eastAsia="en-US"/>
        </w:rPr>
        <w:t xml:space="preserve">Medical </w:t>
      </w:r>
      <w:proofErr w:type="spellStart"/>
      <w:r w:rsidRPr="00435B9F">
        <w:rPr>
          <w:rFonts w:eastAsia="Calibri"/>
          <w:lang w:val="es-ES" w:eastAsia="en-US"/>
        </w:rPr>
        <w:t>Hypotheses</w:t>
      </w:r>
      <w:proofErr w:type="spellEnd"/>
      <w:r w:rsidRPr="00435B9F">
        <w:rPr>
          <w:rFonts w:eastAsia="Calibri"/>
          <w:lang w:val="es-ES" w:eastAsia="en-US"/>
        </w:rPr>
        <w:t xml:space="preserve">.  2020 [acceso 4/7/2020];144(2020): [Aprox. 7 pp.] Disponible en: </w:t>
      </w:r>
      <w:hyperlink r:id="rId16" w:history="1">
        <w:r w:rsidRPr="00435B9F">
          <w:rPr>
            <w:rFonts w:eastAsia="Calibri"/>
            <w:color w:val="0563C1"/>
            <w:u w:val="single"/>
            <w:lang w:val="es-ES" w:eastAsia="en-US"/>
          </w:rPr>
          <w:t>https://www.ncbi.nlm.nih.gov/pmc/articles/PMC7303044/pdf/main.pdf</w:t>
        </w:r>
      </w:hyperlink>
      <w:r w:rsidRPr="00435B9F">
        <w:rPr>
          <w:rFonts w:eastAsia="Calibri"/>
          <w:lang w:val="es-ES" w:eastAsia="en-US"/>
        </w:rPr>
        <w:t xml:space="preserve"> </w:t>
      </w:r>
    </w:p>
    <w:p w14:paraId="2FC29D71"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lastRenderedPageBreak/>
        <w:t xml:space="preserve">11. Lim G, Janu U, </w:t>
      </w:r>
      <w:proofErr w:type="spellStart"/>
      <w:r w:rsidRPr="00435B9F">
        <w:rPr>
          <w:rFonts w:eastAsia="Calibri"/>
          <w:lang w:val="en-US" w:eastAsia="en-US"/>
        </w:rPr>
        <w:t>Chiou</w:t>
      </w:r>
      <w:proofErr w:type="spellEnd"/>
      <w:r w:rsidRPr="00435B9F">
        <w:rPr>
          <w:rFonts w:eastAsia="Calibri"/>
          <w:lang w:val="en-US" w:eastAsia="en-US"/>
        </w:rPr>
        <w:t xml:space="preserve"> LL, Gandhi KK, </w:t>
      </w:r>
      <w:proofErr w:type="spellStart"/>
      <w:r w:rsidRPr="00435B9F">
        <w:rPr>
          <w:rFonts w:eastAsia="Calibri"/>
          <w:lang w:val="en-US" w:eastAsia="en-US"/>
        </w:rPr>
        <w:t>Palomo</w:t>
      </w:r>
      <w:proofErr w:type="spellEnd"/>
      <w:r w:rsidRPr="00435B9F">
        <w:rPr>
          <w:rFonts w:eastAsia="Calibri"/>
          <w:lang w:val="en-US" w:eastAsia="en-US"/>
        </w:rPr>
        <w:t xml:space="preserve"> L, John V. Periodontal Health and Systemic Conditions. Dentistry journal. 2020; 8(4): [</w:t>
      </w:r>
      <w:proofErr w:type="spellStart"/>
      <w:r w:rsidRPr="00435B9F">
        <w:rPr>
          <w:rFonts w:eastAsia="Calibri"/>
          <w:lang w:val="en-US" w:eastAsia="en-US"/>
        </w:rPr>
        <w:t>aprox</w:t>
      </w:r>
      <w:proofErr w:type="spellEnd"/>
      <w:r w:rsidRPr="00435B9F">
        <w:rPr>
          <w:rFonts w:eastAsia="Calibri"/>
          <w:lang w:val="en-US" w:eastAsia="en-US"/>
        </w:rPr>
        <w:t xml:space="preserve">. 10 </w:t>
      </w:r>
      <w:proofErr w:type="gramStart"/>
      <w:r w:rsidRPr="00435B9F">
        <w:rPr>
          <w:rFonts w:eastAsia="Calibri"/>
          <w:lang w:val="en-US" w:eastAsia="en-US"/>
        </w:rPr>
        <w:t>pant</w:t>
      </w:r>
      <w:proofErr w:type="gramEnd"/>
      <w:r w:rsidRPr="00435B9F">
        <w:rPr>
          <w:rFonts w:eastAsia="Calibri"/>
          <w:lang w:val="en-US" w:eastAsia="en-US"/>
        </w:rPr>
        <w:t>.]. DOI: 10.3390/dj8040130</w:t>
      </w:r>
    </w:p>
    <w:p w14:paraId="581EC3CD"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12. Ahmad P, Arshad AI, Della Bella E, Khurshid Z, Stoddart M. Systemic Manifestations of the Periodontal Disease: A Bibliometric Review. Molecules. 2020; 25(19):4508. DOI: 10.3390/molecules25194508</w:t>
      </w:r>
    </w:p>
    <w:p w14:paraId="2F4A81D1"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13. </w:t>
      </w:r>
      <w:proofErr w:type="spellStart"/>
      <w:r w:rsidRPr="00435B9F">
        <w:rPr>
          <w:rFonts w:eastAsia="Calibri"/>
          <w:lang w:val="en-US" w:eastAsia="en-US"/>
        </w:rPr>
        <w:t>Hajishengallis</w:t>
      </w:r>
      <w:proofErr w:type="spellEnd"/>
      <w:r w:rsidRPr="00435B9F">
        <w:rPr>
          <w:rFonts w:eastAsia="Calibri"/>
          <w:lang w:val="en-US" w:eastAsia="en-US"/>
        </w:rPr>
        <w:t xml:space="preserve"> G, </w:t>
      </w:r>
      <w:proofErr w:type="spellStart"/>
      <w:r w:rsidRPr="00435B9F">
        <w:rPr>
          <w:rFonts w:eastAsia="Calibri"/>
          <w:lang w:val="en-US" w:eastAsia="en-US"/>
        </w:rPr>
        <w:t>Chavakis</w:t>
      </w:r>
      <w:proofErr w:type="spellEnd"/>
      <w:r w:rsidRPr="00435B9F">
        <w:rPr>
          <w:rFonts w:eastAsia="Calibri"/>
          <w:lang w:val="en-US" w:eastAsia="en-US"/>
        </w:rPr>
        <w:t xml:space="preserve"> T. Local and systemic mechanisms linking periodontal disease and inflammatory comorbidities. Nature Reviews Immunology. 2021; 21(7):426-40. DOI: 10.1038/s41577-020-00488-6</w:t>
      </w:r>
    </w:p>
    <w:p w14:paraId="5862E972" w14:textId="77777777" w:rsidR="00435B9F" w:rsidRPr="00435B9F" w:rsidRDefault="00435B9F" w:rsidP="00435B9F">
      <w:pPr>
        <w:suppressAutoHyphens/>
        <w:spacing w:line="360" w:lineRule="auto"/>
        <w:rPr>
          <w:rFonts w:eastAsia="Calibri"/>
          <w:lang w:val="es-CU" w:eastAsia="en-US"/>
        </w:rPr>
      </w:pPr>
      <w:r w:rsidRPr="00435B9F">
        <w:rPr>
          <w:rFonts w:eastAsia="Calibri"/>
          <w:lang w:val="en-US" w:eastAsia="en-US"/>
        </w:rPr>
        <w:t xml:space="preserve">14. </w:t>
      </w:r>
      <w:proofErr w:type="spellStart"/>
      <w:r w:rsidRPr="00435B9F">
        <w:rPr>
          <w:rFonts w:eastAsia="Calibri"/>
          <w:lang w:val="en-US" w:eastAsia="en-US"/>
        </w:rPr>
        <w:t>Lauritano</w:t>
      </w:r>
      <w:proofErr w:type="spellEnd"/>
      <w:r w:rsidRPr="00435B9F">
        <w:rPr>
          <w:rFonts w:eastAsia="Calibri"/>
          <w:lang w:val="en-US" w:eastAsia="en-US"/>
        </w:rPr>
        <w:t xml:space="preserve"> D, </w:t>
      </w:r>
      <w:proofErr w:type="spellStart"/>
      <w:r w:rsidRPr="00435B9F">
        <w:rPr>
          <w:rFonts w:eastAsia="Calibri"/>
          <w:lang w:val="en-US" w:eastAsia="en-US"/>
        </w:rPr>
        <w:t>Moreo</w:t>
      </w:r>
      <w:proofErr w:type="spellEnd"/>
      <w:r w:rsidRPr="00435B9F">
        <w:rPr>
          <w:rFonts w:eastAsia="Calibri"/>
          <w:lang w:val="en-US" w:eastAsia="en-US"/>
        </w:rPr>
        <w:t xml:space="preserve"> G, Della Vella F, Di </w:t>
      </w:r>
      <w:proofErr w:type="spellStart"/>
      <w:r w:rsidRPr="00435B9F">
        <w:rPr>
          <w:rFonts w:eastAsia="Calibri"/>
          <w:lang w:val="en-US" w:eastAsia="en-US"/>
        </w:rPr>
        <w:t>Stasio</w:t>
      </w:r>
      <w:proofErr w:type="spellEnd"/>
      <w:r w:rsidRPr="00435B9F">
        <w:rPr>
          <w:rFonts w:eastAsia="Calibri"/>
          <w:lang w:val="en-US" w:eastAsia="en-US"/>
        </w:rPr>
        <w:t xml:space="preserve"> D, Carinci F, Lucchese A, et al. Oral Health Status and Need for Oral Care in an Aging Population: A Systematic Review. </w:t>
      </w:r>
      <w:r w:rsidRPr="00435B9F">
        <w:rPr>
          <w:rFonts w:eastAsia="Calibri"/>
          <w:lang w:val="es-CU" w:eastAsia="en-US"/>
        </w:rPr>
        <w:t xml:space="preserve">International </w:t>
      </w:r>
      <w:proofErr w:type="spellStart"/>
      <w:r w:rsidRPr="00435B9F">
        <w:rPr>
          <w:rFonts w:eastAsia="Calibri"/>
          <w:lang w:val="es-CU" w:eastAsia="en-US"/>
        </w:rPr>
        <w:t>journal</w:t>
      </w:r>
      <w:proofErr w:type="spellEnd"/>
      <w:r w:rsidRPr="00435B9F">
        <w:rPr>
          <w:rFonts w:eastAsia="Calibri"/>
          <w:lang w:val="es-CU" w:eastAsia="en-US"/>
        </w:rPr>
        <w:t xml:space="preserve"> </w:t>
      </w:r>
      <w:proofErr w:type="spellStart"/>
      <w:r w:rsidRPr="00435B9F">
        <w:rPr>
          <w:rFonts w:eastAsia="Calibri"/>
          <w:lang w:val="es-CU" w:eastAsia="en-US"/>
        </w:rPr>
        <w:t>of</w:t>
      </w:r>
      <w:proofErr w:type="spellEnd"/>
      <w:r w:rsidRPr="00435B9F">
        <w:rPr>
          <w:rFonts w:eastAsia="Calibri"/>
          <w:lang w:val="es-CU" w:eastAsia="en-US"/>
        </w:rPr>
        <w:t xml:space="preserve"> </w:t>
      </w:r>
      <w:proofErr w:type="spellStart"/>
      <w:r w:rsidRPr="00435B9F">
        <w:rPr>
          <w:rFonts w:eastAsia="Calibri"/>
          <w:lang w:val="es-CU" w:eastAsia="en-US"/>
        </w:rPr>
        <w:t>environmental</w:t>
      </w:r>
      <w:proofErr w:type="spellEnd"/>
      <w:r w:rsidRPr="00435B9F">
        <w:rPr>
          <w:rFonts w:eastAsia="Calibri"/>
          <w:lang w:val="es-CU" w:eastAsia="en-US"/>
        </w:rPr>
        <w:t xml:space="preserve"> </w:t>
      </w:r>
      <w:proofErr w:type="spellStart"/>
      <w:r w:rsidRPr="00435B9F">
        <w:rPr>
          <w:rFonts w:eastAsia="Calibri"/>
          <w:lang w:val="es-CU" w:eastAsia="en-US"/>
        </w:rPr>
        <w:t>research</w:t>
      </w:r>
      <w:proofErr w:type="spellEnd"/>
      <w:r w:rsidRPr="00435B9F">
        <w:rPr>
          <w:rFonts w:eastAsia="Calibri"/>
          <w:lang w:val="es-CU" w:eastAsia="en-US"/>
        </w:rPr>
        <w:t xml:space="preserve"> and </w:t>
      </w:r>
      <w:proofErr w:type="spellStart"/>
      <w:r w:rsidRPr="00435B9F">
        <w:rPr>
          <w:rFonts w:eastAsia="Calibri"/>
          <w:lang w:val="es-CU" w:eastAsia="en-US"/>
        </w:rPr>
        <w:t>public</w:t>
      </w:r>
      <w:proofErr w:type="spellEnd"/>
      <w:r w:rsidRPr="00435B9F">
        <w:rPr>
          <w:rFonts w:eastAsia="Calibri"/>
          <w:lang w:val="es-CU" w:eastAsia="en-US"/>
        </w:rPr>
        <w:t xml:space="preserve"> </w:t>
      </w:r>
      <w:proofErr w:type="spellStart"/>
      <w:r w:rsidRPr="00435B9F">
        <w:rPr>
          <w:rFonts w:eastAsia="Calibri"/>
          <w:lang w:val="es-CU" w:eastAsia="en-US"/>
        </w:rPr>
        <w:t>health</w:t>
      </w:r>
      <w:proofErr w:type="spellEnd"/>
      <w:r w:rsidRPr="00435B9F">
        <w:rPr>
          <w:rFonts w:eastAsia="Calibri"/>
          <w:lang w:val="es-CU" w:eastAsia="en-US"/>
        </w:rPr>
        <w:t>. 2019; 16(22):4558. DOI: 10.3390/ijerph16224558</w:t>
      </w:r>
    </w:p>
    <w:p w14:paraId="65A28EEE" w14:textId="77777777" w:rsidR="00435B9F" w:rsidRPr="00435B9F" w:rsidRDefault="00435B9F" w:rsidP="00435B9F">
      <w:pPr>
        <w:suppressAutoHyphens/>
        <w:spacing w:line="360" w:lineRule="auto"/>
        <w:rPr>
          <w:rFonts w:eastAsia="Calibri"/>
          <w:lang w:val="en-US" w:eastAsia="en-US"/>
        </w:rPr>
      </w:pPr>
      <w:r w:rsidRPr="00435B9F">
        <w:rPr>
          <w:rFonts w:eastAsia="Calibri"/>
          <w:lang w:val="es-ES" w:eastAsia="en-US"/>
        </w:rPr>
        <w:t xml:space="preserve">15. López-Hernández D, Orozco-Campos N, Sam I, Blanco-Cornejo M. Necesidad de políticas de salud pública en población adulta mayor: indicadores de envejecimiento en un Instituto de Seguridad Social en México. </w:t>
      </w:r>
      <w:proofErr w:type="spellStart"/>
      <w:r w:rsidRPr="00435B9F">
        <w:rPr>
          <w:rFonts w:eastAsia="Calibri"/>
          <w:lang w:val="en-US" w:eastAsia="en-US"/>
        </w:rPr>
        <w:t>Gaceta</w:t>
      </w:r>
      <w:proofErr w:type="spellEnd"/>
      <w:r w:rsidRPr="00435B9F">
        <w:rPr>
          <w:rFonts w:eastAsia="Calibri"/>
          <w:lang w:val="en-US" w:eastAsia="en-US"/>
        </w:rPr>
        <w:t xml:space="preserve"> </w:t>
      </w:r>
      <w:proofErr w:type="spellStart"/>
      <w:r w:rsidRPr="00435B9F">
        <w:rPr>
          <w:rFonts w:eastAsia="Calibri"/>
          <w:lang w:val="en-US" w:eastAsia="en-US"/>
        </w:rPr>
        <w:t>Médica</w:t>
      </w:r>
      <w:proofErr w:type="spellEnd"/>
      <w:r w:rsidRPr="00435B9F">
        <w:rPr>
          <w:rFonts w:eastAsia="Calibri"/>
          <w:lang w:val="en-US" w:eastAsia="en-US"/>
        </w:rPr>
        <w:t xml:space="preserve"> de México. 2019; 155(Suppl 1</w:t>
      </w:r>
      <w:proofErr w:type="gramStart"/>
      <w:r w:rsidRPr="00435B9F">
        <w:rPr>
          <w:rFonts w:eastAsia="Calibri"/>
          <w:lang w:val="en-US" w:eastAsia="en-US"/>
        </w:rPr>
        <w:t>):S</w:t>
      </w:r>
      <w:proofErr w:type="gramEnd"/>
      <w:r w:rsidRPr="00435B9F">
        <w:rPr>
          <w:rFonts w:eastAsia="Calibri"/>
          <w:lang w:val="en-US" w:eastAsia="en-US"/>
        </w:rPr>
        <w:t>10-s5. DOI: 10.24875/gmm.19005140</w:t>
      </w:r>
    </w:p>
    <w:p w14:paraId="28523C78"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16. Al-</w:t>
      </w:r>
      <w:proofErr w:type="spellStart"/>
      <w:r w:rsidRPr="00435B9F">
        <w:rPr>
          <w:rFonts w:eastAsia="Calibri"/>
          <w:lang w:val="en-US" w:eastAsia="en-US"/>
        </w:rPr>
        <w:t>Rafee</w:t>
      </w:r>
      <w:proofErr w:type="spellEnd"/>
      <w:r w:rsidRPr="00435B9F">
        <w:rPr>
          <w:rFonts w:eastAsia="Calibri"/>
          <w:lang w:val="en-US" w:eastAsia="en-US"/>
        </w:rPr>
        <w:t xml:space="preserve"> M. The epidemiology of edentulism and the associated factors: A literature Review. 2020; 9(4):1841-3. DOI: 10.4103/jfmpc.jfmpc_1181_19</w:t>
      </w:r>
    </w:p>
    <w:p w14:paraId="75E692AB"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17. </w:t>
      </w:r>
      <w:proofErr w:type="spellStart"/>
      <w:r w:rsidRPr="00435B9F">
        <w:rPr>
          <w:rFonts w:eastAsia="Calibri"/>
          <w:lang w:val="en-US" w:eastAsia="en-US"/>
        </w:rPr>
        <w:t>Abbood</w:t>
      </w:r>
      <w:proofErr w:type="spellEnd"/>
      <w:r w:rsidRPr="00435B9F">
        <w:rPr>
          <w:rFonts w:eastAsia="Calibri"/>
          <w:lang w:val="en-US" w:eastAsia="en-US"/>
        </w:rPr>
        <w:t xml:space="preserve"> HM, </w:t>
      </w:r>
      <w:proofErr w:type="spellStart"/>
      <w:r w:rsidRPr="00435B9F">
        <w:rPr>
          <w:rFonts w:eastAsia="Calibri"/>
          <w:lang w:val="en-US" w:eastAsia="en-US"/>
        </w:rPr>
        <w:t>Hinz</w:t>
      </w:r>
      <w:proofErr w:type="spellEnd"/>
      <w:r w:rsidRPr="00435B9F">
        <w:rPr>
          <w:rFonts w:eastAsia="Calibri"/>
          <w:lang w:val="en-US" w:eastAsia="en-US"/>
        </w:rPr>
        <w:t xml:space="preserve"> J, </w:t>
      </w:r>
      <w:proofErr w:type="spellStart"/>
      <w:r w:rsidRPr="00435B9F">
        <w:rPr>
          <w:rFonts w:eastAsia="Calibri"/>
          <w:lang w:val="en-US" w:eastAsia="en-US"/>
        </w:rPr>
        <w:t>Cherukara</w:t>
      </w:r>
      <w:proofErr w:type="spellEnd"/>
      <w:r w:rsidRPr="00435B9F">
        <w:rPr>
          <w:rFonts w:eastAsia="Calibri"/>
          <w:lang w:val="en-US" w:eastAsia="en-US"/>
        </w:rPr>
        <w:t xml:space="preserve"> G, Macfarlane TV. Validity of Self-Reported Periodontal Disease: A Systematic Review and Meta-Analysis. Journal of periodontology. 2016; 87(12):1474-83. DOI: 10.1902/jop.2016.160196</w:t>
      </w:r>
    </w:p>
    <w:p w14:paraId="2995AA7A" w14:textId="77777777" w:rsidR="00435B9F" w:rsidRPr="00435B9F" w:rsidRDefault="00435B9F" w:rsidP="00435B9F">
      <w:pPr>
        <w:suppressAutoHyphens/>
        <w:spacing w:line="360" w:lineRule="auto"/>
        <w:rPr>
          <w:rFonts w:eastAsia="Calibri"/>
          <w:lang w:val="es-CU" w:eastAsia="en-US"/>
        </w:rPr>
      </w:pPr>
      <w:r w:rsidRPr="00435B9F">
        <w:rPr>
          <w:rFonts w:eastAsia="Calibri"/>
          <w:lang w:val="en-US" w:eastAsia="en-US"/>
        </w:rPr>
        <w:t xml:space="preserve">18. Sukumar K, </w:t>
      </w:r>
      <w:proofErr w:type="spellStart"/>
      <w:r w:rsidRPr="00435B9F">
        <w:rPr>
          <w:rFonts w:eastAsia="Calibri"/>
          <w:lang w:val="en-US" w:eastAsia="en-US"/>
        </w:rPr>
        <w:t>Tadepalli</w:t>
      </w:r>
      <w:proofErr w:type="spellEnd"/>
      <w:r w:rsidRPr="00435B9F">
        <w:rPr>
          <w:rFonts w:eastAsia="Calibri"/>
          <w:lang w:val="en-US" w:eastAsia="en-US"/>
        </w:rPr>
        <w:t xml:space="preserve"> A. Nexus between COVID-19 and periodontal disease. </w:t>
      </w:r>
      <w:proofErr w:type="spellStart"/>
      <w:r w:rsidRPr="00435B9F">
        <w:rPr>
          <w:rFonts w:eastAsia="Calibri"/>
          <w:lang w:val="es-CU" w:eastAsia="en-US"/>
        </w:rPr>
        <w:t>The</w:t>
      </w:r>
      <w:proofErr w:type="spellEnd"/>
      <w:r w:rsidRPr="00435B9F">
        <w:rPr>
          <w:rFonts w:eastAsia="Calibri"/>
          <w:lang w:val="es-CU" w:eastAsia="en-US"/>
        </w:rPr>
        <w:t xml:space="preserve"> </w:t>
      </w:r>
      <w:proofErr w:type="spellStart"/>
      <w:r w:rsidRPr="00435B9F">
        <w:rPr>
          <w:rFonts w:eastAsia="Calibri"/>
          <w:lang w:val="es-CU" w:eastAsia="en-US"/>
        </w:rPr>
        <w:t>Journal</w:t>
      </w:r>
      <w:proofErr w:type="spellEnd"/>
      <w:r w:rsidRPr="00435B9F">
        <w:rPr>
          <w:rFonts w:eastAsia="Calibri"/>
          <w:lang w:val="es-CU" w:eastAsia="en-US"/>
        </w:rPr>
        <w:t xml:space="preserve"> </w:t>
      </w:r>
      <w:proofErr w:type="spellStart"/>
      <w:r w:rsidRPr="00435B9F">
        <w:rPr>
          <w:rFonts w:eastAsia="Calibri"/>
          <w:lang w:val="es-CU" w:eastAsia="en-US"/>
        </w:rPr>
        <w:t>of</w:t>
      </w:r>
      <w:proofErr w:type="spellEnd"/>
      <w:r w:rsidRPr="00435B9F">
        <w:rPr>
          <w:rFonts w:eastAsia="Calibri"/>
          <w:lang w:val="es-CU" w:eastAsia="en-US"/>
        </w:rPr>
        <w:t xml:space="preserve"> </w:t>
      </w:r>
      <w:proofErr w:type="spellStart"/>
      <w:r w:rsidRPr="00435B9F">
        <w:rPr>
          <w:rFonts w:eastAsia="Calibri"/>
          <w:lang w:val="es-CU" w:eastAsia="en-US"/>
        </w:rPr>
        <w:t>international</w:t>
      </w:r>
      <w:proofErr w:type="spellEnd"/>
      <w:r w:rsidRPr="00435B9F">
        <w:rPr>
          <w:rFonts w:eastAsia="Calibri"/>
          <w:lang w:val="es-CU" w:eastAsia="en-US"/>
        </w:rPr>
        <w:t xml:space="preserve"> medical </w:t>
      </w:r>
      <w:proofErr w:type="spellStart"/>
      <w:r w:rsidRPr="00435B9F">
        <w:rPr>
          <w:rFonts w:eastAsia="Calibri"/>
          <w:lang w:val="es-CU" w:eastAsia="en-US"/>
        </w:rPr>
        <w:t>research</w:t>
      </w:r>
      <w:proofErr w:type="spellEnd"/>
      <w:r w:rsidRPr="00435B9F">
        <w:rPr>
          <w:rFonts w:eastAsia="Calibri"/>
          <w:lang w:val="es-CU" w:eastAsia="en-US"/>
        </w:rPr>
        <w:t>. 2021; 49(3):3000605211002695. DOI: 10.1177/03000605211002695</w:t>
      </w:r>
    </w:p>
    <w:p w14:paraId="6DB9C3A3" w14:textId="77777777" w:rsidR="00435B9F" w:rsidRPr="00435B9F" w:rsidRDefault="00435B9F" w:rsidP="00435B9F">
      <w:pPr>
        <w:suppressAutoHyphens/>
        <w:spacing w:line="360" w:lineRule="auto"/>
        <w:rPr>
          <w:rFonts w:eastAsia="Calibri"/>
          <w:lang w:val="es-ES" w:eastAsia="en-US"/>
        </w:rPr>
      </w:pPr>
      <w:r w:rsidRPr="00435B9F">
        <w:rPr>
          <w:rFonts w:eastAsia="Calibri"/>
          <w:lang w:val="es-ES" w:eastAsia="en-US"/>
        </w:rPr>
        <w:t xml:space="preserve">19. Huertos-Ochoa CC, Raffo-Peña MP, </w:t>
      </w:r>
      <w:proofErr w:type="spellStart"/>
      <w:r w:rsidRPr="00435B9F">
        <w:rPr>
          <w:rFonts w:eastAsia="Calibri"/>
          <w:lang w:val="es-ES" w:eastAsia="en-US"/>
        </w:rPr>
        <w:t>Sihuay</w:t>
      </w:r>
      <w:proofErr w:type="spellEnd"/>
      <w:r w:rsidRPr="00435B9F">
        <w:rPr>
          <w:rFonts w:eastAsia="Calibri"/>
          <w:lang w:val="es-ES" w:eastAsia="en-US"/>
        </w:rPr>
        <w:t xml:space="preserve">-Torres K. La enfermedad periodontal podría ser una comorbilidad para la COVID-19. Revista Cubana de Investigaciones Biomédicas. 2021[acceso: 18/12/2021]; 40(1):6. Disponible en: </w:t>
      </w:r>
      <w:hyperlink r:id="rId17">
        <w:r w:rsidRPr="00435B9F">
          <w:rPr>
            <w:rFonts w:eastAsia="Calibri"/>
            <w:color w:val="0563C1"/>
            <w:u w:val="single"/>
            <w:lang w:val="es-ES" w:eastAsia="en-US"/>
          </w:rPr>
          <w:t>http://www.revibiomedica.sld.cu/index.php/ibi/article/view/1177</w:t>
        </w:r>
      </w:hyperlink>
      <w:r w:rsidRPr="00435B9F">
        <w:rPr>
          <w:rFonts w:eastAsia="Calibri"/>
          <w:lang w:val="es-ES" w:eastAsia="en-US"/>
        </w:rPr>
        <w:t xml:space="preserve"> </w:t>
      </w:r>
    </w:p>
    <w:p w14:paraId="0A9342B3" w14:textId="77777777" w:rsidR="00435B9F" w:rsidRPr="00435B9F" w:rsidRDefault="00435B9F" w:rsidP="00435B9F">
      <w:pPr>
        <w:suppressAutoHyphens/>
        <w:spacing w:line="360" w:lineRule="auto"/>
        <w:rPr>
          <w:rFonts w:eastAsia="Calibri"/>
          <w:lang w:val="es-ES" w:eastAsia="en-US"/>
        </w:rPr>
      </w:pPr>
      <w:r w:rsidRPr="00435B9F">
        <w:rPr>
          <w:rFonts w:eastAsia="Calibri"/>
          <w:lang w:val="en-US" w:eastAsia="en-US"/>
        </w:rPr>
        <w:t xml:space="preserve">20. Gupta S, </w:t>
      </w:r>
      <w:proofErr w:type="spellStart"/>
      <w:r w:rsidRPr="00435B9F">
        <w:rPr>
          <w:rFonts w:eastAsia="Calibri"/>
          <w:lang w:val="en-US" w:eastAsia="en-US"/>
        </w:rPr>
        <w:t>Sahni</w:t>
      </w:r>
      <w:proofErr w:type="spellEnd"/>
      <w:r w:rsidRPr="00435B9F">
        <w:rPr>
          <w:rFonts w:eastAsia="Calibri"/>
          <w:lang w:val="en-US" w:eastAsia="en-US"/>
        </w:rPr>
        <w:t xml:space="preserve"> V. The intriguing commonality of </w:t>
      </w:r>
      <w:proofErr w:type="spellStart"/>
      <w:r w:rsidRPr="00435B9F">
        <w:rPr>
          <w:rFonts w:eastAsia="Calibri"/>
          <w:lang w:val="en-US" w:eastAsia="en-US"/>
        </w:rPr>
        <w:t>NETosis</w:t>
      </w:r>
      <w:proofErr w:type="spellEnd"/>
      <w:r w:rsidRPr="00435B9F">
        <w:rPr>
          <w:rFonts w:eastAsia="Calibri"/>
          <w:lang w:val="en-US" w:eastAsia="en-US"/>
        </w:rPr>
        <w:t xml:space="preserve"> between COVID-19 &amp; Periodontal disease. </w:t>
      </w:r>
      <w:r w:rsidRPr="00435B9F">
        <w:rPr>
          <w:rFonts w:eastAsia="Calibri"/>
          <w:lang w:val="es-ES" w:eastAsia="en-US"/>
        </w:rPr>
        <w:t xml:space="preserve">Medical </w:t>
      </w:r>
      <w:proofErr w:type="spellStart"/>
      <w:r w:rsidRPr="00435B9F">
        <w:rPr>
          <w:rFonts w:eastAsia="Calibri"/>
          <w:lang w:val="es-ES" w:eastAsia="en-US"/>
        </w:rPr>
        <w:t>Hypotheses</w:t>
      </w:r>
      <w:proofErr w:type="spellEnd"/>
      <w:r w:rsidRPr="00435B9F">
        <w:rPr>
          <w:rFonts w:eastAsia="Calibri"/>
          <w:lang w:val="es-ES" w:eastAsia="en-US"/>
        </w:rPr>
        <w:t xml:space="preserve">. 2020 [acceso: 4/07/2020]; 144: [Aprox. 1 pp.] Disponible en: </w:t>
      </w:r>
      <w:hyperlink r:id="rId18" w:history="1">
        <w:r w:rsidRPr="00435B9F">
          <w:rPr>
            <w:rFonts w:eastAsia="Calibri"/>
            <w:color w:val="0563C1"/>
            <w:u w:val="single"/>
            <w:lang w:val="es-ES" w:eastAsia="en-US"/>
          </w:rPr>
          <w:t>https://www.ncbi.nlm.nih.gov/pmc/articles/PMC7276117/pdf/main.pdf</w:t>
        </w:r>
      </w:hyperlink>
      <w:r w:rsidRPr="00435B9F">
        <w:rPr>
          <w:rFonts w:eastAsia="Calibri"/>
          <w:lang w:val="es-ES" w:eastAsia="en-US"/>
        </w:rPr>
        <w:t xml:space="preserve"> </w:t>
      </w:r>
    </w:p>
    <w:p w14:paraId="4E727184"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lastRenderedPageBreak/>
        <w:t>21. Hardy E, Fernandez-Patron C. Targeting MMP-Regulation of Inflammation to Increase Metabolic Tolerance to COVID-19 Pathologies: A Hypothesis. Biomolecules. 2021; 11(3):390. DOI: 10.3390/biom11030390</w:t>
      </w:r>
    </w:p>
    <w:p w14:paraId="1779C067"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22. Takahashi Y, Watanabe N, </w:t>
      </w:r>
      <w:proofErr w:type="spellStart"/>
      <w:r w:rsidRPr="00435B9F">
        <w:rPr>
          <w:rFonts w:eastAsia="Calibri"/>
          <w:lang w:val="en-US" w:eastAsia="en-US"/>
        </w:rPr>
        <w:t>Kamio</w:t>
      </w:r>
      <w:proofErr w:type="spellEnd"/>
      <w:r w:rsidRPr="00435B9F">
        <w:rPr>
          <w:rFonts w:eastAsia="Calibri"/>
          <w:lang w:val="en-US" w:eastAsia="en-US"/>
        </w:rPr>
        <w:t xml:space="preserve"> N, Kobayashi R, </w:t>
      </w:r>
      <w:proofErr w:type="spellStart"/>
      <w:r w:rsidRPr="00435B9F">
        <w:rPr>
          <w:rFonts w:eastAsia="Calibri"/>
          <w:lang w:val="en-US" w:eastAsia="en-US"/>
        </w:rPr>
        <w:t>Iinuma</w:t>
      </w:r>
      <w:proofErr w:type="spellEnd"/>
      <w:r w:rsidRPr="00435B9F">
        <w:rPr>
          <w:rFonts w:eastAsia="Calibri"/>
          <w:lang w:val="en-US" w:eastAsia="en-US"/>
        </w:rPr>
        <w:t xml:space="preserve"> T, Imai K. Aspiration of periodontopathic bacteria due to poor oral hygiene potentially contributes to the aggravation of COVID-19. Journal of Oral Science. 2020; 63(1):1-3. DOI: 10.2334/josnusd.20-0388</w:t>
      </w:r>
    </w:p>
    <w:p w14:paraId="34D6F507"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23. </w:t>
      </w:r>
      <w:proofErr w:type="spellStart"/>
      <w:r w:rsidRPr="00435B9F">
        <w:rPr>
          <w:rFonts w:eastAsia="Calibri"/>
          <w:lang w:val="en-US" w:eastAsia="en-US"/>
        </w:rPr>
        <w:t>Badran</w:t>
      </w:r>
      <w:proofErr w:type="spellEnd"/>
      <w:r w:rsidRPr="00435B9F">
        <w:rPr>
          <w:rFonts w:eastAsia="Calibri"/>
          <w:lang w:val="en-US" w:eastAsia="en-US"/>
        </w:rPr>
        <w:t xml:space="preserve"> Z, Gaudin A, </w:t>
      </w:r>
      <w:proofErr w:type="spellStart"/>
      <w:r w:rsidRPr="00435B9F">
        <w:rPr>
          <w:rFonts w:eastAsia="Calibri"/>
          <w:lang w:val="en-US" w:eastAsia="en-US"/>
        </w:rPr>
        <w:t>Struillou</w:t>
      </w:r>
      <w:proofErr w:type="spellEnd"/>
      <w:r w:rsidRPr="00435B9F">
        <w:rPr>
          <w:rFonts w:eastAsia="Calibri"/>
          <w:lang w:val="en-US" w:eastAsia="en-US"/>
        </w:rPr>
        <w:t xml:space="preserve"> X, Amador G, </w:t>
      </w:r>
      <w:proofErr w:type="spellStart"/>
      <w:r w:rsidRPr="00435B9F">
        <w:rPr>
          <w:rFonts w:eastAsia="Calibri"/>
          <w:lang w:val="en-US" w:eastAsia="en-US"/>
        </w:rPr>
        <w:t>Soueidan</w:t>
      </w:r>
      <w:proofErr w:type="spellEnd"/>
      <w:r w:rsidRPr="00435B9F">
        <w:rPr>
          <w:rFonts w:eastAsia="Calibri"/>
          <w:lang w:val="en-US" w:eastAsia="en-US"/>
        </w:rPr>
        <w:t xml:space="preserve"> A. Periodontal pockets: A potential reservoir for SARS-CoV-2? Medical hypotheses. 2020; 143(2020):109907. DOI: 10.1016/j.mehy.2020.109907</w:t>
      </w:r>
    </w:p>
    <w:p w14:paraId="3582DD91"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24. Herrera D, Serrano J, Roldan S, Sanz M. Is the oral cavity relevant in SARS-CoV-2 pandemic? Clinical Oral Investigations. 2020; 2020(24): 2925-30. DOI: 10.1007/s00784-020-03413-2</w:t>
      </w:r>
    </w:p>
    <w:p w14:paraId="787ADD36"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25. </w:t>
      </w:r>
      <w:proofErr w:type="spellStart"/>
      <w:r w:rsidRPr="00435B9F">
        <w:rPr>
          <w:rFonts w:eastAsia="Calibri"/>
          <w:lang w:val="en-US" w:eastAsia="en-US"/>
        </w:rPr>
        <w:t>Sahni</w:t>
      </w:r>
      <w:proofErr w:type="spellEnd"/>
      <w:r w:rsidRPr="00435B9F">
        <w:rPr>
          <w:rFonts w:eastAsia="Calibri"/>
          <w:lang w:val="en-US" w:eastAsia="en-US"/>
        </w:rPr>
        <w:t xml:space="preserve"> V, Gupta S. COVID-19 &amp; Periodontitis: The cytokine connection. Medical Hypotheses. 2020; 144(2020</w:t>
      </w:r>
      <w:proofErr w:type="gramStart"/>
      <w:r w:rsidRPr="00435B9F">
        <w:rPr>
          <w:rFonts w:eastAsia="Calibri"/>
          <w:lang w:val="en-US" w:eastAsia="en-US"/>
        </w:rPr>
        <w:t>):[</w:t>
      </w:r>
      <w:proofErr w:type="spellStart"/>
      <w:proofErr w:type="gramEnd"/>
      <w:r w:rsidRPr="00435B9F">
        <w:rPr>
          <w:rFonts w:eastAsia="Calibri"/>
          <w:lang w:val="en-US" w:eastAsia="en-US"/>
        </w:rPr>
        <w:t>Aprox</w:t>
      </w:r>
      <w:proofErr w:type="spellEnd"/>
      <w:r w:rsidRPr="00435B9F">
        <w:rPr>
          <w:rFonts w:eastAsia="Calibri"/>
          <w:lang w:val="en-US" w:eastAsia="en-US"/>
        </w:rPr>
        <w:t>. 1 pp.] DOI: 10.1016/j.mehy.2020.109908</w:t>
      </w:r>
    </w:p>
    <w:p w14:paraId="1C856325"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26. Foster Page LA, Thomson WM, Broadbent JM. Validity of self-reported periodontal questions in a New Zealand cohort. Clinical Oral Investigations. 2016; 20(3):563-9. DOI: 10.1007/s00784-015-1526-0</w:t>
      </w:r>
    </w:p>
    <w:p w14:paraId="4439461A" w14:textId="77777777" w:rsidR="00435B9F" w:rsidRPr="00435B9F" w:rsidRDefault="00435B9F" w:rsidP="00435B9F">
      <w:pPr>
        <w:suppressAutoHyphens/>
        <w:spacing w:line="360" w:lineRule="auto"/>
        <w:rPr>
          <w:rFonts w:eastAsia="Calibri"/>
          <w:lang w:val="es-ES" w:eastAsia="en-US"/>
        </w:rPr>
      </w:pPr>
      <w:r w:rsidRPr="00435B9F">
        <w:rPr>
          <w:rFonts w:eastAsia="Calibri"/>
          <w:lang w:val="en-US" w:eastAsia="en-US"/>
        </w:rPr>
        <w:t xml:space="preserve">27. </w:t>
      </w:r>
      <w:proofErr w:type="spellStart"/>
      <w:r w:rsidRPr="00435B9F">
        <w:rPr>
          <w:rFonts w:eastAsia="Calibri"/>
          <w:lang w:val="en-US" w:eastAsia="en-US"/>
        </w:rPr>
        <w:t>Chaple</w:t>
      </w:r>
      <w:proofErr w:type="spellEnd"/>
      <w:r w:rsidRPr="00435B9F">
        <w:rPr>
          <w:rFonts w:eastAsia="Calibri"/>
          <w:lang w:val="en-US" w:eastAsia="en-US"/>
        </w:rPr>
        <w:t xml:space="preserve"> Gil A, </w:t>
      </w:r>
      <w:proofErr w:type="spellStart"/>
      <w:r w:rsidRPr="00435B9F">
        <w:rPr>
          <w:rFonts w:eastAsia="Calibri"/>
          <w:lang w:val="en-US" w:eastAsia="en-US"/>
        </w:rPr>
        <w:t>Baganet</w:t>
      </w:r>
      <w:proofErr w:type="spellEnd"/>
      <w:r w:rsidRPr="00435B9F">
        <w:rPr>
          <w:rFonts w:eastAsia="Calibri"/>
          <w:lang w:val="en-US" w:eastAsia="en-US"/>
        </w:rPr>
        <w:t xml:space="preserve"> Cobas Y. Dataset- Self-reported periodontal disease, dental presence and COVID-19, in older adults of the Playa municipality. </w:t>
      </w:r>
      <w:r w:rsidRPr="00435B9F">
        <w:rPr>
          <w:rFonts w:eastAsia="Calibri"/>
          <w:lang w:val="es-ES" w:eastAsia="en-US"/>
        </w:rPr>
        <w:t>[</w:t>
      </w:r>
      <w:proofErr w:type="spellStart"/>
      <w:r w:rsidRPr="00435B9F">
        <w:rPr>
          <w:rFonts w:eastAsia="Calibri"/>
          <w:lang w:val="es-ES" w:eastAsia="en-US"/>
        </w:rPr>
        <w:t>Dataset</w:t>
      </w:r>
      <w:proofErr w:type="spellEnd"/>
      <w:r w:rsidRPr="00435B9F">
        <w:rPr>
          <w:rFonts w:eastAsia="Calibri"/>
          <w:lang w:val="es-ES" w:eastAsia="en-US"/>
        </w:rPr>
        <w:t xml:space="preserve">] </w:t>
      </w:r>
      <w:proofErr w:type="spellStart"/>
      <w:r w:rsidRPr="00435B9F">
        <w:rPr>
          <w:rFonts w:eastAsia="Calibri"/>
          <w:lang w:val="es-ES" w:eastAsia="en-US"/>
        </w:rPr>
        <w:t>Zenodo</w:t>
      </w:r>
      <w:proofErr w:type="spellEnd"/>
      <w:r w:rsidRPr="00435B9F">
        <w:rPr>
          <w:rFonts w:eastAsia="Calibri"/>
          <w:lang w:val="es-ES" w:eastAsia="en-US"/>
        </w:rPr>
        <w:t xml:space="preserve">; 2021. </w:t>
      </w:r>
      <w:proofErr w:type="spellStart"/>
      <w:r w:rsidRPr="00435B9F">
        <w:rPr>
          <w:rFonts w:eastAsia="Calibri"/>
          <w:lang w:val="es-ES" w:eastAsia="en-US"/>
        </w:rPr>
        <w:t>Zenodo</w:t>
      </w:r>
      <w:proofErr w:type="spellEnd"/>
      <w:r w:rsidRPr="00435B9F">
        <w:rPr>
          <w:rFonts w:eastAsia="Calibri"/>
          <w:lang w:val="es-ES" w:eastAsia="en-US"/>
        </w:rPr>
        <w:t>. DOI: 10.5281/zenodo.5791381</w:t>
      </w:r>
    </w:p>
    <w:p w14:paraId="64432E1B" w14:textId="77777777" w:rsidR="00435B9F" w:rsidRPr="00435B9F" w:rsidRDefault="00435B9F" w:rsidP="00435B9F">
      <w:pPr>
        <w:suppressAutoHyphens/>
        <w:spacing w:line="360" w:lineRule="auto"/>
        <w:rPr>
          <w:rFonts w:eastAsia="Calibri"/>
          <w:lang w:val="en-US" w:eastAsia="en-US"/>
        </w:rPr>
      </w:pPr>
      <w:r w:rsidRPr="00435B9F">
        <w:rPr>
          <w:rFonts w:eastAsia="Calibri"/>
          <w:lang w:val="es-ES" w:eastAsia="en-US"/>
        </w:rPr>
        <w:t xml:space="preserve">28. Casanova-Rosado AJ, Casanova-Rosado JF, Minaya-Sánchez M, Robles-Minaya JL, Casanova-Sarmiento JA, Márquez-Corona </w:t>
      </w:r>
      <w:proofErr w:type="spellStart"/>
      <w:r w:rsidRPr="00435B9F">
        <w:rPr>
          <w:rFonts w:eastAsia="Calibri"/>
          <w:lang w:val="es-ES" w:eastAsia="en-US"/>
        </w:rPr>
        <w:t>MdL</w:t>
      </w:r>
      <w:proofErr w:type="spellEnd"/>
      <w:r w:rsidRPr="00435B9F">
        <w:rPr>
          <w:rFonts w:eastAsia="Calibri"/>
          <w:lang w:val="es-ES" w:eastAsia="en-US"/>
        </w:rPr>
        <w:t xml:space="preserve">, et al. </w:t>
      </w:r>
      <w:r w:rsidRPr="00435B9F">
        <w:rPr>
          <w:rFonts w:eastAsia="Calibri"/>
          <w:lang w:val="en-US" w:eastAsia="en-US"/>
        </w:rPr>
        <w:t>Association of Edentulism with Various Chronic Diseases in Mexican Elders 60+ Years: Results of a Population-Based Survey. Healthcare. 2021; 9(4):404. DOI: 10.3390/healthcare9040404</w:t>
      </w:r>
    </w:p>
    <w:p w14:paraId="004CB9C6"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29. </w:t>
      </w:r>
      <w:proofErr w:type="spellStart"/>
      <w:r w:rsidRPr="00435B9F">
        <w:rPr>
          <w:rFonts w:eastAsia="Calibri"/>
          <w:lang w:val="en-US" w:eastAsia="en-US"/>
        </w:rPr>
        <w:t>Dwibedi</w:t>
      </w:r>
      <w:proofErr w:type="spellEnd"/>
      <w:r w:rsidRPr="00435B9F">
        <w:rPr>
          <w:rFonts w:eastAsia="Calibri"/>
          <w:lang w:val="en-US" w:eastAsia="en-US"/>
        </w:rPr>
        <w:t xml:space="preserve"> N, Wiener RC, Findley PA, Shen C, </w:t>
      </w:r>
      <w:proofErr w:type="spellStart"/>
      <w:r w:rsidRPr="00435B9F">
        <w:rPr>
          <w:rFonts w:eastAsia="Calibri"/>
          <w:lang w:val="en-US" w:eastAsia="en-US"/>
        </w:rPr>
        <w:t>Sambamoorthi</w:t>
      </w:r>
      <w:proofErr w:type="spellEnd"/>
      <w:r w:rsidRPr="00435B9F">
        <w:rPr>
          <w:rFonts w:eastAsia="Calibri"/>
          <w:lang w:val="en-US" w:eastAsia="en-US"/>
        </w:rPr>
        <w:t xml:space="preserve"> U. Asthma, chronic obstructive pulmonary disease, tooth loss, and edentulism among adults in the United States: 2016 Behavioral Risk Factor Surveillance System survey. Journal of the American Dental Association (1939). 2020; 151(10): 735-</w:t>
      </w:r>
      <w:proofErr w:type="gramStart"/>
      <w:r w:rsidRPr="00435B9F">
        <w:rPr>
          <w:rFonts w:eastAsia="Calibri"/>
          <w:lang w:val="en-US" w:eastAsia="en-US"/>
        </w:rPr>
        <w:t>44.e</w:t>
      </w:r>
      <w:proofErr w:type="gramEnd"/>
      <w:r w:rsidRPr="00435B9F">
        <w:rPr>
          <w:rFonts w:eastAsia="Calibri"/>
          <w:lang w:val="en-US" w:eastAsia="en-US"/>
        </w:rPr>
        <w:t>1. DOI: 10.1016/j.adaj.2019.07.032</w:t>
      </w:r>
    </w:p>
    <w:p w14:paraId="1A7F8CFD"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lastRenderedPageBreak/>
        <w:t xml:space="preserve">30. Manabe K, </w:t>
      </w:r>
      <w:proofErr w:type="spellStart"/>
      <w:r w:rsidRPr="00435B9F">
        <w:rPr>
          <w:rFonts w:eastAsia="Calibri"/>
          <w:lang w:val="en-US" w:eastAsia="en-US"/>
        </w:rPr>
        <w:t>Tanji</w:t>
      </w:r>
      <w:proofErr w:type="spellEnd"/>
      <w:r w:rsidRPr="00435B9F">
        <w:rPr>
          <w:rFonts w:eastAsia="Calibri"/>
          <w:lang w:val="en-US" w:eastAsia="en-US"/>
        </w:rPr>
        <w:t xml:space="preserve"> F, </w:t>
      </w:r>
      <w:proofErr w:type="spellStart"/>
      <w:r w:rsidRPr="00435B9F">
        <w:rPr>
          <w:rFonts w:eastAsia="Calibri"/>
          <w:lang w:val="en-US" w:eastAsia="en-US"/>
        </w:rPr>
        <w:t>Tomata</w:t>
      </w:r>
      <w:proofErr w:type="spellEnd"/>
      <w:r w:rsidRPr="00435B9F">
        <w:rPr>
          <w:rFonts w:eastAsia="Calibri"/>
          <w:lang w:val="en-US" w:eastAsia="en-US"/>
        </w:rPr>
        <w:t xml:space="preserve"> Y, Zhang S, Tsuji I. Preventive Effect of Oral Self-Care on Pneumonia Death among the Elderly with Tooth Loss: The </w:t>
      </w:r>
      <w:proofErr w:type="spellStart"/>
      <w:r w:rsidRPr="00435B9F">
        <w:rPr>
          <w:rFonts w:eastAsia="Calibri"/>
          <w:lang w:val="en-US" w:eastAsia="en-US"/>
        </w:rPr>
        <w:t>Ohsaki</w:t>
      </w:r>
      <w:proofErr w:type="spellEnd"/>
      <w:r w:rsidRPr="00435B9F">
        <w:rPr>
          <w:rFonts w:eastAsia="Calibri"/>
          <w:lang w:val="en-US" w:eastAsia="en-US"/>
        </w:rPr>
        <w:t xml:space="preserve"> Cohort 2006 Study. The Tohoku Journal of Experimental Medicine. 2019; 247(4):251-7. DOI: 10.1620/tjem.247.251</w:t>
      </w:r>
    </w:p>
    <w:p w14:paraId="2A509842"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31. Medeiros TCC, Areas ESA, Prates RC, Chapple I, Steffens JP. Association between tooth loss, chronic conditions and common risk factors - results from the 2019 </w:t>
      </w:r>
      <w:proofErr w:type="spellStart"/>
      <w:r w:rsidRPr="00435B9F">
        <w:rPr>
          <w:rFonts w:eastAsia="Calibri"/>
          <w:lang w:val="en-US" w:eastAsia="en-US"/>
        </w:rPr>
        <w:t>brazilian</w:t>
      </w:r>
      <w:proofErr w:type="spellEnd"/>
      <w:r w:rsidRPr="00435B9F">
        <w:rPr>
          <w:rFonts w:eastAsia="Calibri"/>
          <w:lang w:val="en-US" w:eastAsia="en-US"/>
        </w:rPr>
        <w:t xml:space="preserve"> health survey. J </w:t>
      </w:r>
      <w:proofErr w:type="spellStart"/>
      <w:r w:rsidRPr="00435B9F">
        <w:rPr>
          <w:rFonts w:eastAsia="Calibri"/>
          <w:lang w:val="en-US" w:eastAsia="en-US"/>
        </w:rPr>
        <w:t>Periodontol</w:t>
      </w:r>
      <w:proofErr w:type="spellEnd"/>
      <w:r w:rsidRPr="00435B9F">
        <w:rPr>
          <w:rFonts w:eastAsia="Calibri"/>
          <w:lang w:val="en-US" w:eastAsia="en-US"/>
        </w:rPr>
        <w:t>. 2021. Online ahead of print. DOI: 10.1002/jper.21-0433</w:t>
      </w:r>
    </w:p>
    <w:p w14:paraId="70EDF5B8"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32. Pardo Romero FF, Hernández LJ. </w:t>
      </w:r>
      <w:r w:rsidRPr="00435B9F">
        <w:rPr>
          <w:rFonts w:eastAsia="Calibri"/>
          <w:lang w:val="es-ES" w:eastAsia="en-US"/>
        </w:rPr>
        <w:t xml:space="preserve">Enfermedad periodontal: enfoques epidemiológicos para su análisis como problema de salud pública. </w:t>
      </w:r>
      <w:proofErr w:type="spellStart"/>
      <w:r w:rsidRPr="00435B9F">
        <w:rPr>
          <w:rFonts w:eastAsia="Calibri"/>
          <w:lang w:val="en-US" w:eastAsia="en-US"/>
        </w:rPr>
        <w:t>Revista</w:t>
      </w:r>
      <w:proofErr w:type="spellEnd"/>
      <w:r w:rsidRPr="00435B9F">
        <w:rPr>
          <w:rFonts w:eastAsia="Calibri"/>
          <w:lang w:val="en-US" w:eastAsia="en-US"/>
        </w:rPr>
        <w:t xml:space="preserve"> de </w:t>
      </w:r>
      <w:proofErr w:type="spellStart"/>
      <w:r w:rsidRPr="00435B9F">
        <w:rPr>
          <w:rFonts w:eastAsia="Calibri"/>
          <w:lang w:val="en-US" w:eastAsia="en-US"/>
        </w:rPr>
        <w:t>Salud</w:t>
      </w:r>
      <w:proofErr w:type="spellEnd"/>
      <w:r w:rsidRPr="00435B9F">
        <w:rPr>
          <w:rFonts w:eastAsia="Calibri"/>
          <w:lang w:val="en-US" w:eastAsia="en-US"/>
        </w:rPr>
        <w:t xml:space="preserve"> </w:t>
      </w:r>
      <w:proofErr w:type="spellStart"/>
      <w:r w:rsidRPr="00435B9F">
        <w:rPr>
          <w:rFonts w:eastAsia="Calibri"/>
          <w:lang w:val="en-US" w:eastAsia="en-US"/>
        </w:rPr>
        <w:t>Pública</w:t>
      </w:r>
      <w:proofErr w:type="spellEnd"/>
      <w:r w:rsidRPr="00435B9F">
        <w:rPr>
          <w:rFonts w:eastAsia="Calibri"/>
          <w:lang w:val="en-US" w:eastAsia="en-US"/>
        </w:rPr>
        <w:t>. 2018; 20(2): 258-64. DOI: 10.15446/</w:t>
      </w:r>
      <w:proofErr w:type="gramStart"/>
      <w:r w:rsidRPr="00435B9F">
        <w:rPr>
          <w:rFonts w:eastAsia="Calibri"/>
          <w:lang w:val="en-US" w:eastAsia="en-US"/>
        </w:rPr>
        <w:t>rsap.v</w:t>
      </w:r>
      <w:proofErr w:type="gramEnd"/>
      <w:r w:rsidRPr="00435B9F">
        <w:rPr>
          <w:rFonts w:eastAsia="Calibri"/>
          <w:lang w:val="en-US" w:eastAsia="en-US"/>
        </w:rPr>
        <w:t>20n2.64654</w:t>
      </w:r>
    </w:p>
    <w:p w14:paraId="73F88CC6"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33. Nieman DC. Coronavirus disease-2019: A tocsin to our aging, unfit, corpulent, and immunodeficient society. Journal of Sport and Health Science. 2020; 9(4):293-301. DOI: 10.1016/j.jshs.2020.05.001</w:t>
      </w:r>
    </w:p>
    <w:p w14:paraId="213D8EBA"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34. Ng WH, </w:t>
      </w:r>
      <w:proofErr w:type="spellStart"/>
      <w:r w:rsidRPr="00435B9F">
        <w:rPr>
          <w:rFonts w:eastAsia="Calibri"/>
          <w:lang w:val="en-US" w:eastAsia="en-US"/>
        </w:rPr>
        <w:t>Tipih</w:t>
      </w:r>
      <w:proofErr w:type="spellEnd"/>
      <w:r w:rsidRPr="00435B9F">
        <w:rPr>
          <w:rFonts w:eastAsia="Calibri"/>
          <w:lang w:val="en-US" w:eastAsia="en-US"/>
        </w:rPr>
        <w:t xml:space="preserve"> T, </w:t>
      </w:r>
      <w:proofErr w:type="spellStart"/>
      <w:r w:rsidRPr="00435B9F">
        <w:rPr>
          <w:rFonts w:eastAsia="Calibri"/>
          <w:lang w:val="en-US" w:eastAsia="en-US"/>
        </w:rPr>
        <w:t>Makoah</w:t>
      </w:r>
      <w:proofErr w:type="spellEnd"/>
      <w:r w:rsidRPr="00435B9F">
        <w:rPr>
          <w:rFonts w:eastAsia="Calibri"/>
          <w:lang w:val="en-US" w:eastAsia="en-US"/>
        </w:rPr>
        <w:t xml:space="preserve"> NA, Vermeulen JG, </w:t>
      </w:r>
      <w:proofErr w:type="spellStart"/>
      <w:r w:rsidRPr="00435B9F">
        <w:rPr>
          <w:rFonts w:eastAsia="Calibri"/>
          <w:lang w:val="en-US" w:eastAsia="en-US"/>
        </w:rPr>
        <w:t>Goedhals</w:t>
      </w:r>
      <w:proofErr w:type="spellEnd"/>
      <w:r w:rsidRPr="00435B9F">
        <w:rPr>
          <w:rFonts w:eastAsia="Calibri"/>
          <w:lang w:val="en-US" w:eastAsia="en-US"/>
        </w:rPr>
        <w:t xml:space="preserve"> D, </w:t>
      </w:r>
      <w:proofErr w:type="spellStart"/>
      <w:r w:rsidRPr="00435B9F">
        <w:rPr>
          <w:rFonts w:eastAsia="Calibri"/>
          <w:lang w:val="en-US" w:eastAsia="en-US"/>
        </w:rPr>
        <w:t>Sempa</w:t>
      </w:r>
      <w:proofErr w:type="spellEnd"/>
      <w:r w:rsidRPr="00435B9F">
        <w:rPr>
          <w:rFonts w:eastAsia="Calibri"/>
          <w:lang w:val="en-US" w:eastAsia="en-US"/>
        </w:rPr>
        <w:t xml:space="preserve"> JB, et al. Comorbidities in SARS-CoV-2 Patients: </w:t>
      </w:r>
      <w:proofErr w:type="gramStart"/>
      <w:r w:rsidRPr="00435B9F">
        <w:rPr>
          <w:rFonts w:eastAsia="Calibri"/>
          <w:lang w:val="en-US" w:eastAsia="en-US"/>
        </w:rPr>
        <w:t>a</w:t>
      </w:r>
      <w:proofErr w:type="gramEnd"/>
      <w:r w:rsidRPr="00435B9F">
        <w:rPr>
          <w:rFonts w:eastAsia="Calibri"/>
          <w:lang w:val="en-US" w:eastAsia="en-US"/>
        </w:rPr>
        <w:t xml:space="preserve"> Systematic Review and Meta-Analysis. mBio. 2021; 12(1</w:t>
      </w:r>
      <w:proofErr w:type="gramStart"/>
      <w:r w:rsidRPr="00435B9F">
        <w:rPr>
          <w:rFonts w:eastAsia="Calibri"/>
          <w:lang w:val="en-US" w:eastAsia="en-US"/>
        </w:rPr>
        <w:t>):e</w:t>
      </w:r>
      <w:proofErr w:type="gramEnd"/>
      <w:r w:rsidRPr="00435B9F">
        <w:rPr>
          <w:rFonts w:eastAsia="Calibri"/>
          <w:lang w:val="en-US" w:eastAsia="en-US"/>
        </w:rPr>
        <w:t>03647-20. DOI: 10.1128/mBio.03647-20</w:t>
      </w:r>
    </w:p>
    <w:p w14:paraId="519946B8"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35. </w:t>
      </w:r>
      <w:proofErr w:type="spellStart"/>
      <w:r w:rsidRPr="00435B9F">
        <w:rPr>
          <w:rFonts w:eastAsia="Calibri"/>
          <w:lang w:val="en-US" w:eastAsia="en-US"/>
        </w:rPr>
        <w:t>Kaeuffer</w:t>
      </w:r>
      <w:proofErr w:type="spellEnd"/>
      <w:r w:rsidRPr="00435B9F">
        <w:rPr>
          <w:rFonts w:eastAsia="Calibri"/>
          <w:lang w:val="en-US" w:eastAsia="en-US"/>
        </w:rPr>
        <w:t xml:space="preserve"> C, Le </w:t>
      </w:r>
      <w:proofErr w:type="spellStart"/>
      <w:r w:rsidRPr="00435B9F">
        <w:rPr>
          <w:rFonts w:eastAsia="Calibri"/>
          <w:lang w:val="en-US" w:eastAsia="en-US"/>
        </w:rPr>
        <w:t>Hyaric</w:t>
      </w:r>
      <w:proofErr w:type="spellEnd"/>
      <w:r w:rsidRPr="00435B9F">
        <w:rPr>
          <w:rFonts w:eastAsia="Calibri"/>
          <w:lang w:val="en-US" w:eastAsia="en-US"/>
        </w:rPr>
        <w:t xml:space="preserve"> C, </w:t>
      </w:r>
      <w:proofErr w:type="spellStart"/>
      <w:r w:rsidRPr="00435B9F">
        <w:rPr>
          <w:rFonts w:eastAsia="Calibri"/>
          <w:lang w:val="en-US" w:eastAsia="en-US"/>
        </w:rPr>
        <w:t>Fabacher</w:t>
      </w:r>
      <w:proofErr w:type="spellEnd"/>
      <w:r w:rsidRPr="00435B9F">
        <w:rPr>
          <w:rFonts w:eastAsia="Calibri"/>
          <w:lang w:val="en-US" w:eastAsia="en-US"/>
        </w:rPr>
        <w:t xml:space="preserve"> T, </w:t>
      </w:r>
      <w:proofErr w:type="spellStart"/>
      <w:r w:rsidRPr="00435B9F">
        <w:rPr>
          <w:rFonts w:eastAsia="Calibri"/>
          <w:lang w:val="en-US" w:eastAsia="en-US"/>
        </w:rPr>
        <w:t>Mootien</w:t>
      </w:r>
      <w:proofErr w:type="spellEnd"/>
      <w:r w:rsidRPr="00435B9F">
        <w:rPr>
          <w:rFonts w:eastAsia="Calibri"/>
          <w:lang w:val="en-US" w:eastAsia="en-US"/>
        </w:rPr>
        <w:t xml:space="preserve"> J, </w:t>
      </w:r>
      <w:proofErr w:type="spellStart"/>
      <w:r w:rsidRPr="00435B9F">
        <w:rPr>
          <w:rFonts w:eastAsia="Calibri"/>
          <w:lang w:val="en-US" w:eastAsia="en-US"/>
        </w:rPr>
        <w:t>Dervieux</w:t>
      </w:r>
      <w:proofErr w:type="spellEnd"/>
      <w:r w:rsidRPr="00435B9F">
        <w:rPr>
          <w:rFonts w:eastAsia="Calibri"/>
          <w:lang w:val="en-US" w:eastAsia="en-US"/>
        </w:rPr>
        <w:t xml:space="preserve"> B, Ruch Y, et al. Clinical characteristics and risk factors associated with severe COVID-19: prospective analysis of 1,045 </w:t>
      </w:r>
      <w:proofErr w:type="spellStart"/>
      <w:r w:rsidRPr="00435B9F">
        <w:rPr>
          <w:rFonts w:eastAsia="Calibri"/>
          <w:lang w:val="en-US" w:eastAsia="en-US"/>
        </w:rPr>
        <w:t>hospitalised</w:t>
      </w:r>
      <w:proofErr w:type="spellEnd"/>
      <w:r w:rsidRPr="00435B9F">
        <w:rPr>
          <w:rFonts w:eastAsia="Calibri"/>
          <w:lang w:val="en-US" w:eastAsia="en-US"/>
        </w:rPr>
        <w:t xml:space="preserve"> cases in North-Eastern France, March 2020. Euro </w:t>
      </w:r>
      <w:proofErr w:type="spellStart"/>
      <w:r w:rsidRPr="00435B9F">
        <w:rPr>
          <w:rFonts w:eastAsia="Calibri"/>
          <w:lang w:val="en-US" w:eastAsia="en-US"/>
        </w:rPr>
        <w:t>Surveill</w:t>
      </w:r>
      <w:proofErr w:type="spellEnd"/>
      <w:r w:rsidRPr="00435B9F">
        <w:rPr>
          <w:rFonts w:eastAsia="Calibri"/>
          <w:lang w:val="en-US" w:eastAsia="en-US"/>
        </w:rPr>
        <w:t>. 2020; 25(48): 2000895. DOI: 10.2807/1560-7917.Es.2020.25.48.2000895</w:t>
      </w:r>
    </w:p>
    <w:p w14:paraId="003ACFD3"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36. Leong R, Lee TJ, Chen Z, Zhang C, Xu J. Global Temporal Patterns of Age Group and Sex Distributions of COVID-19. Infectious disease reports. 2021; 13(2):582-96. DOI: 10.3390/idr13020054</w:t>
      </w:r>
    </w:p>
    <w:p w14:paraId="6B436FFF"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37. </w:t>
      </w:r>
      <w:proofErr w:type="spellStart"/>
      <w:r w:rsidRPr="00435B9F">
        <w:rPr>
          <w:rFonts w:eastAsia="Calibri"/>
          <w:lang w:val="en-US" w:eastAsia="en-US"/>
        </w:rPr>
        <w:t>Bajgain</w:t>
      </w:r>
      <w:proofErr w:type="spellEnd"/>
      <w:r w:rsidRPr="00435B9F">
        <w:rPr>
          <w:rFonts w:eastAsia="Calibri"/>
          <w:lang w:val="en-US" w:eastAsia="en-US"/>
        </w:rPr>
        <w:t xml:space="preserve"> KT, Badal S, </w:t>
      </w:r>
      <w:proofErr w:type="spellStart"/>
      <w:r w:rsidRPr="00435B9F">
        <w:rPr>
          <w:rFonts w:eastAsia="Calibri"/>
          <w:lang w:val="en-US" w:eastAsia="en-US"/>
        </w:rPr>
        <w:t>Bajgain</w:t>
      </w:r>
      <w:proofErr w:type="spellEnd"/>
      <w:r w:rsidRPr="00435B9F">
        <w:rPr>
          <w:rFonts w:eastAsia="Calibri"/>
          <w:lang w:val="en-US" w:eastAsia="en-US"/>
        </w:rPr>
        <w:t xml:space="preserve"> BB, Santana MJ. Prevalence of comorbidities among individuals with COVID-19: A rapid review of current literature. American Journal of Infection Control. 2021; 49(2):238-46. DOI: 10.1016/j.ajic.2020.06.213</w:t>
      </w:r>
    </w:p>
    <w:p w14:paraId="152C7922"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38. </w:t>
      </w:r>
      <w:proofErr w:type="spellStart"/>
      <w:r w:rsidRPr="00435B9F">
        <w:rPr>
          <w:rFonts w:eastAsia="Calibri"/>
          <w:lang w:val="en-US" w:eastAsia="en-US"/>
        </w:rPr>
        <w:t>Signes</w:t>
      </w:r>
      <w:proofErr w:type="spellEnd"/>
      <w:r w:rsidRPr="00435B9F">
        <w:rPr>
          <w:rFonts w:eastAsia="Calibri"/>
          <w:lang w:val="en-US" w:eastAsia="en-US"/>
        </w:rPr>
        <w:t xml:space="preserve">-Costa J, </w:t>
      </w:r>
      <w:proofErr w:type="spellStart"/>
      <w:r w:rsidRPr="00435B9F">
        <w:rPr>
          <w:rFonts w:eastAsia="Calibri"/>
          <w:lang w:val="en-US" w:eastAsia="en-US"/>
        </w:rPr>
        <w:t>Núñez</w:t>
      </w:r>
      <w:proofErr w:type="spellEnd"/>
      <w:r w:rsidRPr="00435B9F">
        <w:rPr>
          <w:rFonts w:eastAsia="Calibri"/>
          <w:lang w:val="en-US" w:eastAsia="en-US"/>
        </w:rPr>
        <w:t>-Gil IJ, Soriano JB, Arroyo-</w:t>
      </w:r>
      <w:proofErr w:type="spellStart"/>
      <w:r w:rsidRPr="00435B9F">
        <w:rPr>
          <w:rFonts w:eastAsia="Calibri"/>
          <w:lang w:val="en-US" w:eastAsia="en-US"/>
        </w:rPr>
        <w:t>Espliguero</w:t>
      </w:r>
      <w:proofErr w:type="spellEnd"/>
      <w:r w:rsidRPr="00435B9F">
        <w:rPr>
          <w:rFonts w:eastAsia="Calibri"/>
          <w:lang w:val="en-US" w:eastAsia="en-US"/>
        </w:rPr>
        <w:t xml:space="preserve"> R, Eid CM, Romero R, et al. Prevalence and 30-day mortality in hospitalized patients with Covid-19 and prior lung diseases. </w:t>
      </w:r>
      <w:proofErr w:type="spellStart"/>
      <w:r w:rsidRPr="00435B9F">
        <w:rPr>
          <w:rFonts w:eastAsia="Calibri"/>
          <w:lang w:val="en-US" w:eastAsia="en-US"/>
        </w:rPr>
        <w:t>Archivos</w:t>
      </w:r>
      <w:proofErr w:type="spellEnd"/>
      <w:r w:rsidRPr="00435B9F">
        <w:rPr>
          <w:rFonts w:eastAsia="Calibri"/>
          <w:lang w:val="en-US" w:eastAsia="en-US"/>
        </w:rPr>
        <w:t xml:space="preserve"> de </w:t>
      </w:r>
      <w:proofErr w:type="spellStart"/>
      <w:r w:rsidRPr="00435B9F">
        <w:rPr>
          <w:rFonts w:eastAsia="Calibri"/>
          <w:lang w:val="en-US" w:eastAsia="en-US"/>
        </w:rPr>
        <w:t>Bronconeumologia</w:t>
      </w:r>
      <w:proofErr w:type="spellEnd"/>
      <w:r w:rsidRPr="00435B9F">
        <w:rPr>
          <w:rFonts w:eastAsia="Calibri"/>
          <w:lang w:val="en-US" w:eastAsia="en-US"/>
        </w:rPr>
        <w:t xml:space="preserve">. 2021; 57(Suppl 2):13-20. DOI: </w:t>
      </w:r>
      <w:proofErr w:type="gramStart"/>
      <w:r w:rsidRPr="00435B9F">
        <w:rPr>
          <w:rFonts w:eastAsia="Calibri"/>
          <w:lang w:val="en-US" w:eastAsia="en-US"/>
        </w:rPr>
        <w:t>j.arbres</w:t>
      </w:r>
      <w:proofErr w:type="gramEnd"/>
      <w:r w:rsidRPr="00435B9F">
        <w:rPr>
          <w:rFonts w:eastAsia="Calibri"/>
          <w:lang w:val="en-US" w:eastAsia="en-US"/>
        </w:rPr>
        <w:t>.2020.11.012</w:t>
      </w:r>
    </w:p>
    <w:p w14:paraId="662FDA00"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lastRenderedPageBreak/>
        <w:t xml:space="preserve">39. </w:t>
      </w:r>
      <w:proofErr w:type="spellStart"/>
      <w:r w:rsidRPr="00435B9F">
        <w:rPr>
          <w:rFonts w:eastAsia="Calibri"/>
          <w:lang w:val="en-US" w:eastAsia="en-US"/>
        </w:rPr>
        <w:t>Larvin</w:t>
      </w:r>
      <w:proofErr w:type="spellEnd"/>
      <w:r w:rsidRPr="00435B9F">
        <w:rPr>
          <w:rFonts w:eastAsia="Calibri"/>
          <w:lang w:val="en-US" w:eastAsia="en-US"/>
        </w:rPr>
        <w:t xml:space="preserve"> H, Wilmott S, Wu J, Kang J. The Impact of Periodontal Disease on Hospital Admission and Mortality During COVID-19 Pandemic. Frontiers in medicine. 2020; 7: 604980. DOI: 10.3389/fmed.2020.604980</w:t>
      </w:r>
    </w:p>
    <w:p w14:paraId="54CB2B3C" w14:textId="77777777" w:rsidR="00435B9F" w:rsidRPr="00435B9F" w:rsidRDefault="00435B9F" w:rsidP="00435B9F">
      <w:pPr>
        <w:suppressAutoHyphens/>
        <w:spacing w:line="360" w:lineRule="auto"/>
        <w:rPr>
          <w:rFonts w:eastAsia="Calibri"/>
          <w:lang w:val="en-US" w:eastAsia="en-US"/>
        </w:rPr>
      </w:pPr>
      <w:r w:rsidRPr="00435B9F">
        <w:rPr>
          <w:rFonts w:eastAsia="Calibri"/>
          <w:lang w:val="en-US" w:eastAsia="en-US"/>
        </w:rPr>
        <w:t xml:space="preserve">40. </w:t>
      </w:r>
      <w:proofErr w:type="spellStart"/>
      <w:r w:rsidRPr="00435B9F">
        <w:rPr>
          <w:rFonts w:eastAsia="Calibri"/>
          <w:lang w:val="en-US" w:eastAsia="en-US"/>
        </w:rPr>
        <w:t>Marouf</w:t>
      </w:r>
      <w:proofErr w:type="spellEnd"/>
      <w:r w:rsidRPr="00435B9F">
        <w:rPr>
          <w:rFonts w:eastAsia="Calibri"/>
          <w:lang w:val="en-US" w:eastAsia="en-US"/>
        </w:rPr>
        <w:t xml:space="preserve"> N, Cai W, Said KN, </w:t>
      </w:r>
      <w:proofErr w:type="spellStart"/>
      <w:r w:rsidRPr="00435B9F">
        <w:rPr>
          <w:rFonts w:eastAsia="Calibri"/>
          <w:lang w:val="en-US" w:eastAsia="en-US"/>
        </w:rPr>
        <w:t>Daas</w:t>
      </w:r>
      <w:proofErr w:type="spellEnd"/>
      <w:r w:rsidRPr="00435B9F">
        <w:rPr>
          <w:rFonts w:eastAsia="Calibri"/>
          <w:lang w:val="en-US" w:eastAsia="en-US"/>
        </w:rPr>
        <w:t xml:space="preserve"> H, Diab H, </w:t>
      </w:r>
      <w:proofErr w:type="spellStart"/>
      <w:r w:rsidRPr="00435B9F">
        <w:rPr>
          <w:rFonts w:eastAsia="Calibri"/>
          <w:lang w:val="en-US" w:eastAsia="en-US"/>
        </w:rPr>
        <w:t>Chinta</w:t>
      </w:r>
      <w:proofErr w:type="spellEnd"/>
      <w:r w:rsidRPr="00435B9F">
        <w:rPr>
          <w:rFonts w:eastAsia="Calibri"/>
          <w:lang w:val="en-US" w:eastAsia="en-US"/>
        </w:rPr>
        <w:t xml:space="preserve"> VR, et al. Association between periodontitis and severity of COVID-19 infection: A case-control study. Journal of Clinical Periodontology. 2021; 48(4):483-91. DOI: 10.1111/jcpe.13435</w:t>
      </w:r>
    </w:p>
    <w:p w14:paraId="11467298" w14:textId="77777777" w:rsidR="00435B9F" w:rsidRPr="00435B9F" w:rsidRDefault="00435B9F" w:rsidP="00435B9F">
      <w:pPr>
        <w:suppressAutoHyphens/>
        <w:spacing w:line="360" w:lineRule="auto"/>
        <w:rPr>
          <w:rFonts w:eastAsia="Calibri"/>
          <w:lang w:val="es-CU" w:eastAsia="en-US"/>
        </w:rPr>
      </w:pPr>
      <w:r w:rsidRPr="00435B9F">
        <w:rPr>
          <w:rFonts w:eastAsia="Calibri"/>
          <w:lang w:val="en-US" w:eastAsia="en-US"/>
        </w:rPr>
        <w:t xml:space="preserve">41. Holt NR, Neumann JT, McNeil JJ, Cheng AC. Implications of COVID-19 for an ageing population. </w:t>
      </w:r>
      <w:proofErr w:type="spellStart"/>
      <w:r w:rsidRPr="00435B9F">
        <w:rPr>
          <w:rFonts w:eastAsia="Calibri"/>
          <w:lang w:val="es-CU" w:eastAsia="en-US"/>
        </w:rPr>
        <w:t>The</w:t>
      </w:r>
      <w:proofErr w:type="spellEnd"/>
      <w:r w:rsidRPr="00435B9F">
        <w:rPr>
          <w:rFonts w:eastAsia="Calibri"/>
          <w:lang w:val="es-CU" w:eastAsia="en-US"/>
        </w:rPr>
        <w:t xml:space="preserve"> Medical </w:t>
      </w:r>
      <w:proofErr w:type="spellStart"/>
      <w:r w:rsidRPr="00435B9F">
        <w:rPr>
          <w:rFonts w:eastAsia="Calibri"/>
          <w:lang w:val="es-CU" w:eastAsia="en-US"/>
        </w:rPr>
        <w:t>journal</w:t>
      </w:r>
      <w:proofErr w:type="spellEnd"/>
      <w:r w:rsidRPr="00435B9F">
        <w:rPr>
          <w:rFonts w:eastAsia="Calibri"/>
          <w:lang w:val="es-CU" w:eastAsia="en-US"/>
        </w:rPr>
        <w:t xml:space="preserve"> </w:t>
      </w:r>
      <w:proofErr w:type="spellStart"/>
      <w:r w:rsidRPr="00435B9F">
        <w:rPr>
          <w:rFonts w:eastAsia="Calibri"/>
          <w:lang w:val="es-CU" w:eastAsia="en-US"/>
        </w:rPr>
        <w:t>of</w:t>
      </w:r>
      <w:proofErr w:type="spellEnd"/>
      <w:r w:rsidRPr="00435B9F">
        <w:rPr>
          <w:rFonts w:eastAsia="Calibri"/>
          <w:lang w:val="es-CU" w:eastAsia="en-US"/>
        </w:rPr>
        <w:t xml:space="preserve"> Australia. 2020; 213(8): 342-</w:t>
      </w:r>
      <w:proofErr w:type="gramStart"/>
      <w:r w:rsidRPr="00435B9F">
        <w:rPr>
          <w:rFonts w:eastAsia="Calibri"/>
          <w:lang w:val="es-CU" w:eastAsia="en-US"/>
        </w:rPr>
        <w:t>4.e</w:t>
      </w:r>
      <w:proofErr w:type="gramEnd"/>
      <w:r w:rsidRPr="00435B9F">
        <w:rPr>
          <w:rFonts w:eastAsia="Calibri"/>
          <w:lang w:val="es-CU" w:eastAsia="en-US"/>
        </w:rPr>
        <w:t xml:space="preserve">1. </w:t>
      </w:r>
      <w:r w:rsidRPr="00435B9F">
        <w:rPr>
          <w:rFonts w:eastAsia="Calibri"/>
          <w:lang w:val="es-ES" w:eastAsia="en-US"/>
        </w:rPr>
        <w:t xml:space="preserve">DOI:  </w:t>
      </w:r>
      <w:r w:rsidRPr="00435B9F">
        <w:rPr>
          <w:rFonts w:eastAsia="Calibri"/>
          <w:lang w:val="es-CU" w:eastAsia="en-US"/>
        </w:rPr>
        <w:t>10.5694/mja2.50785</w:t>
      </w:r>
    </w:p>
    <w:p w14:paraId="56A6E3DF" w14:textId="77777777" w:rsidR="00435B9F" w:rsidRPr="00435B9F" w:rsidRDefault="00435B9F" w:rsidP="00435B9F">
      <w:pPr>
        <w:suppressAutoHyphens/>
        <w:spacing w:line="360" w:lineRule="auto"/>
        <w:rPr>
          <w:rFonts w:eastAsia="Calibri"/>
          <w:lang w:val="en-US" w:eastAsia="en-US"/>
        </w:rPr>
      </w:pPr>
      <w:r w:rsidRPr="00435B9F">
        <w:rPr>
          <w:rFonts w:eastAsia="Calibri"/>
          <w:lang w:val="es-ES" w:eastAsia="en-US"/>
        </w:rPr>
        <w:t xml:space="preserve">42. Becerra-Muñoz VM, Núñez-Gil IJ, </w:t>
      </w:r>
      <w:proofErr w:type="spellStart"/>
      <w:r w:rsidRPr="00435B9F">
        <w:rPr>
          <w:rFonts w:eastAsia="Calibri"/>
          <w:lang w:val="es-ES" w:eastAsia="en-US"/>
        </w:rPr>
        <w:t>Eid</w:t>
      </w:r>
      <w:proofErr w:type="spellEnd"/>
      <w:r w:rsidRPr="00435B9F">
        <w:rPr>
          <w:rFonts w:eastAsia="Calibri"/>
          <w:lang w:val="es-ES" w:eastAsia="en-US"/>
        </w:rPr>
        <w:t xml:space="preserve"> CM, García Aguado M, Romero R, Huang J, et al. </w:t>
      </w:r>
      <w:r w:rsidRPr="00435B9F">
        <w:rPr>
          <w:rFonts w:eastAsia="Calibri"/>
          <w:lang w:val="en-US" w:eastAsia="en-US"/>
        </w:rPr>
        <w:t xml:space="preserve">Clinical profile and predictors of in-hospital mortality among older patients </w:t>
      </w:r>
      <w:proofErr w:type="spellStart"/>
      <w:r w:rsidRPr="00435B9F">
        <w:rPr>
          <w:rFonts w:eastAsia="Calibri"/>
          <w:lang w:val="en-US" w:eastAsia="en-US"/>
        </w:rPr>
        <w:t>hospitalised</w:t>
      </w:r>
      <w:proofErr w:type="spellEnd"/>
      <w:r w:rsidRPr="00435B9F">
        <w:rPr>
          <w:rFonts w:eastAsia="Calibri"/>
          <w:lang w:val="en-US" w:eastAsia="en-US"/>
        </w:rPr>
        <w:t xml:space="preserve"> for COVID-19. Age and Ageing. 2021; 50(2): 326-34. DOI: 10.1093/ageing/afaa258</w:t>
      </w:r>
    </w:p>
    <w:p w14:paraId="5B80B3C2" w14:textId="77777777" w:rsidR="00435B9F" w:rsidRPr="00435B9F" w:rsidRDefault="00435B9F" w:rsidP="00435B9F">
      <w:pPr>
        <w:suppressAutoHyphens/>
        <w:spacing w:line="360" w:lineRule="auto"/>
        <w:rPr>
          <w:rFonts w:eastAsia="Calibri"/>
          <w:lang w:val="es-ES" w:eastAsia="en-US"/>
        </w:rPr>
      </w:pPr>
      <w:r w:rsidRPr="00435B9F">
        <w:rPr>
          <w:rFonts w:eastAsia="Calibri"/>
          <w:lang w:val="en-US" w:eastAsia="en-US"/>
        </w:rPr>
        <w:t xml:space="preserve">43. Huang C, Wang Y, Li X, Ren L, Zhao J, Hu Y, et al. Clinical features of patients infected with 2019 novel coronavirus in Wuhan, China. </w:t>
      </w:r>
      <w:r w:rsidRPr="00435B9F">
        <w:rPr>
          <w:rFonts w:eastAsia="Calibri"/>
          <w:lang w:val="es-ES" w:eastAsia="en-US"/>
        </w:rPr>
        <w:t>Lancet. 2020; 395(10223):497-506. DOI: 10.1016/s0140-6736(20)30183-5</w:t>
      </w:r>
    </w:p>
    <w:p w14:paraId="737CF9D5" w14:textId="77777777" w:rsidR="00435B9F" w:rsidRPr="00435B9F" w:rsidRDefault="00435B9F" w:rsidP="00435B9F">
      <w:pPr>
        <w:suppressAutoHyphens/>
        <w:spacing w:line="360" w:lineRule="auto"/>
        <w:rPr>
          <w:rFonts w:eastAsia="Calibri"/>
          <w:lang w:val="es-ES" w:eastAsia="en-US"/>
        </w:rPr>
      </w:pPr>
      <w:r w:rsidRPr="00435B9F">
        <w:rPr>
          <w:rFonts w:eastAsia="Calibri"/>
          <w:lang w:val="es-ES" w:eastAsia="en-US"/>
        </w:rPr>
        <w:t>44. Maldonado Cantillo G. Comportamiento epidemiológico de la Hipertensión arterial en un Policlínico cubano. Horizonte Sanitario. 2020; 19(1):69-77. DOI: 10.19136/</w:t>
      </w:r>
      <w:proofErr w:type="gramStart"/>
      <w:r w:rsidRPr="00435B9F">
        <w:rPr>
          <w:rFonts w:eastAsia="Calibri"/>
          <w:lang w:val="es-ES" w:eastAsia="en-US"/>
        </w:rPr>
        <w:t>hs.a</w:t>
      </w:r>
      <w:proofErr w:type="gramEnd"/>
      <w:r w:rsidRPr="00435B9F">
        <w:rPr>
          <w:rFonts w:eastAsia="Calibri"/>
          <w:lang w:val="es-ES" w:eastAsia="en-US"/>
        </w:rPr>
        <w:t>19n1.2899</w:t>
      </w:r>
    </w:p>
    <w:p w14:paraId="1C8950D9" w14:textId="77777777" w:rsidR="00435B9F" w:rsidRPr="00435B9F" w:rsidRDefault="00435B9F" w:rsidP="00435B9F">
      <w:pPr>
        <w:suppressAutoHyphens/>
        <w:spacing w:line="360" w:lineRule="auto"/>
        <w:rPr>
          <w:rFonts w:eastAsia="Calibri"/>
          <w:lang w:val="en-US" w:eastAsia="en-US"/>
        </w:rPr>
      </w:pPr>
      <w:r w:rsidRPr="00435B9F">
        <w:rPr>
          <w:rFonts w:eastAsia="Calibri"/>
          <w:lang w:val="es-ES" w:eastAsia="en-US"/>
        </w:rPr>
        <w:t xml:space="preserve">45. </w:t>
      </w:r>
      <w:proofErr w:type="spellStart"/>
      <w:r w:rsidRPr="00435B9F">
        <w:rPr>
          <w:rFonts w:eastAsia="Calibri"/>
          <w:lang w:val="es-ES" w:eastAsia="en-US"/>
        </w:rPr>
        <w:t>Soeroto</w:t>
      </w:r>
      <w:proofErr w:type="spellEnd"/>
      <w:r w:rsidRPr="00435B9F">
        <w:rPr>
          <w:rFonts w:eastAsia="Calibri"/>
          <w:lang w:val="es-ES" w:eastAsia="en-US"/>
        </w:rPr>
        <w:t xml:space="preserve"> AY, </w:t>
      </w:r>
      <w:proofErr w:type="spellStart"/>
      <w:r w:rsidRPr="00435B9F">
        <w:rPr>
          <w:rFonts w:eastAsia="Calibri"/>
          <w:lang w:val="es-ES" w:eastAsia="en-US"/>
        </w:rPr>
        <w:t>Soetedjo</w:t>
      </w:r>
      <w:proofErr w:type="spellEnd"/>
      <w:r w:rsidRPr="00435B9F">
        <w:rPr>
          <w:rFonts w:eastAsia="Calibri"/>
          <w:lang w:val="es-ES" w:eastAsia="en-US"/>
        </w:rPr>
        <w:t xml:space="preserve"> NN, </w:t>
      </w:r>
      <w:proofErr w:type="spellStart"/>
      <w:r w:rsidRPr="00435B9F">
        <w:rPr>
          <w:rFonts w:eastAsia="Calibri"/>
          <w:lang w:val="es-ES" w:eastAsia="en-US"/>
        </w:rPr>
        <w:t>Purwiga</w:t>
      </w:r>
      <w:proofErr w:type="spellEnd"/>
      <w:r w:rsidRPr="00435B9F">
        <w:rPr>
          <w:rFonts w:eastAsia="Calibri"/>
          <w:lang w:val="es-ES" w:eastAsia="en-US"/>
        </w:rPr>
        <w:t xml:space="preserve"> A, </w:t>
      </w:r>
      <w:proofErr w:type="spellStart"/>
      <w:r w:rsidRPr="00435B9F">
        <w:rPr>
          <w:rFonts w:eastAsia="Calibri"/>
          <w:lang w:val="es-ES" w:eastAsia="en-US"/>
        </w:rPr>
        <w:t>Santoso</w:t>
      </w:r>
      <w:proofErr w:type="spellEnd"/>
      <w:r w:rsidRPr="00435B9F">
        <w:rPr>
          <w:rFonts w:eastAsia="Calibri"/>
          <w:lang w:val="es-ES" w:eastAsia="en-US"/>
        </w:rPr>
        <w:t xml:space="preserve"> P, </w:t>
      </w:r>
      <w:proofErr w:type="spellStart"/>
      <w:r w:rsidRPr="00435B9F">
        <w:rPr>
          <w:rFonts w:eastAsia="Calibri"/>
          <w:lang w:val="es-ES" w:eastAsia="en-US"/>
        </w:rPr>
        <w:t>Kulsum</w:t>
      </w:r>
      <w:proofErr w:type="spellEnd"/>
      <w:r w:rsidRPr="00435B9F">
        <w:rPr>
          <w:rFonts w:eastAsia="Calibri"/>
          <w:lang w:val="es-ES" w:eastAsia="en-US"/>
        </w:rPr>
        <w:t xml:space="preserve"> ID, </w:t>
      </w:r>
      <w:proofErr w:type="spellStart"/>
      <w:r w:rsidRPr="00435B9F">
        <w:rPr>
          <w:rFonts w:eastAsia="Calibri"/>
          <w:lang w:val="es-ES" w:eastAsia="en-US"/>
        </w:rPr>
        <w:t>Suryadinata</w:t>
      </w:r>
      <w:proofErr w:type="spellEnd"/>
      <w:r w:rsidRPr="00435B9F">
        <w:rPr>
          <w:rFonts w:eastAsia="Calibri"/>
          <w:lang w:val="es-ES" w:eastAsia="en-US"/>
        </w:rPr>
        <w:t xml:space="preserve"> H, et al. </w:t>
      </w:r>
      <w:r w:rsidRPr="00435B9F">
        <w:rPr>
          <w:rFonts w:eastAsia="Calibri"/>
          <w:lang w:val="en-US" w:eastAsia="en-US"/>
        </w:rPr>
        <w:t>Effect of increased BMI and obesity on the outcome of COVID-19 adult patients: A systematic review and meta-analysis. Diabetes &amp; Metabolic Syndrome. 2020; 14(6):1897-904. DOI:  10.1016/j.dsx.2020.09.029</w:t>
      </w:r>
    </w:p>
    <w:p w14:paraId="5AEF6108" w14:textId="77777777" w:rsidR="00435B9F" w:rsidRPr="00435B9F" w:rsidRDefault="00435B9F" w:rsidP="00435B9F">
      <w:pPr>
        <w:suppressAutoHyphens/>
        <w:spacing w:line="360" w:lineRule="auto"/>
        <w:rPr>
          <w:rFonts w:eastAsia="Calibri"/>
          <w:lang w:val="en-US" w:eastAsia="en-US"/>
        </w:rPr>
      </w:pPr>
    </w:p>
    <w:p w14:paraId="2C6A65B2" w14:textId="77777777" w:rsidR="00435B9F" w:rsidRPr="00435B9F" w:rsidRDefault="00435B9F" w:rsidP="00435B9F">
      <w:pPr>
        <w:suppressAutoHyphens/>
        <w:spacing w:line="360" w:lineRule="auto"/>
        <w:rPr>
          <w:rFonts w:eastAsia="Calibri"/>
          <w:lang w:val="en-US" w:eastAsia="en-US"/>
        </w:rPr>
      </w:pPr>
    </w:p>
    <w:p w14:paraId="08CC25D3" w14:textId="77777777" w:rsidR="00435B9F" w:rsidRPr="00435B9F" w:rsidRDefault="00435B9F" w:rsidP="00435B9F">
      <w:pPr>
        <w:suppressAutoHyphens/>
        <w:spacing w:line="360" w:lineRule="auto"/>
        <w:jc w:val="center"/>
        <w:rPr>
          <w:rFonts w:eastAsia="Calibri"/>
          <w:b/>
          <w:bCs/>
          <w:lang w:val="en-US" w:eastAsia="en-US"/>
        </w:rPr>
      </w:pPr>
      <w:r w:rsidRPr="00435B9F">
        <w:rPr>
          <w:rFonts w:eastAsia="Calibri"/>
          <w:b/>
          <w:bCs/>
          <w:lang w:val="en-US" w:eastAsia="en-US"/>
        </w:rPr>
        <w:t>Conflict of interests</w:t>
      </w:r>
    </w:p>
    <w:p w14:paraId="1AD3C00F"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The authors declare that they have no conflict of interests.</w:t>
      </w:r>
    </w:p>
    <w:p w14:paraId="487BBFF6"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Funding: This research was not funded by any institution and was carried out upon the authors' own resources.</w:t>
      </w:r>
    </w:p>
    <w:p w14:paraId="4E802944" w14:textId="77777777" w:rsidR="00435B9F" w:rsidRPr="00435B9F" w:rsidRDefault="00435B9F" w:rsidP="00435B9F">
      <w:pPr>
        <w:suppressAutoHyphens/>
        <w:spacing w:line="360" w:lineRule="auto"/>
        <w:jc w:val="both"/>
        <w:rPr>
          <w:rFonts w:eastAsia="Calibri"/>
          <w:b/>
          <w:bCs/>
          <w:lang w:val="en-US" w:eastAsia="en-US"/>
        </w:rPr>
      </w:pPr>
    </w:p>
    <w:p w14:paraId="25BBFAEF" w14:textId="77777777" w:rsidR="00435B9F" w:rsidRPr="00435B9F" w:rsidRDefault="00435B9F" w:rsidP="00435B9F">
      <w:pPr>
        <w:suppressAutoHyphens/>
        <w:spacing w:line="360" w:lineRule="auto"/>
        <w:jc w:val="center"/>
        <w:rPr>
          <w:rFonts w:eastAsia="Calibri"/>
          <w:b/>
          <w:bCs/>
          <w:lang w:val="en-US" w:eastAsia="en-US"/>
        </w:rPr>
      </w:pPr>
      <w:r w:rsidRPr="00435B9F">
        <w:rPr>
          <w:rFonts w:eastAsia="Calibri"/>
          <w:b/>
          <w:bCs/>
          <w:lang w:val="en-US" w:eastAsia="en-US"/>
        </w:rPr>
        <w:t>Authorship contribution</w:t>
      </w:r>
    </w:p>
    <w:p w14:paraId="37966583" w14:textId="77777777" w:rsidR="00435B9F" w:rsidRPr="00435B9F" w:rsidRDefault="00435B9F" w:rsidP="00435B9F">
      <w:pPr>
        <w:suppressAutoHyphens/>
        <w:spacing w:line="360" w:lineRule="auto"/>
        <w:jc w:val="both"/>
        <w:rPr>
          <w:rFonts w:eastAsia="Calibri"/>
          <w:i/>
          <w:iCs/>
          <w:lang w:val="en-US" w:eastAsia="en-US"/>
        </w:rPr>
      </w:pPr>
      <w:r w:rsidRPr="00435B9F">
        <w:rPr>
          <w:rFonts w:eastAsia="Calibri"/>
          <w:lang w:val="en-US" w:eastAsia="en-US"/>
        </w:rPr>
        <w:t xml:space="preserve">Conceptualization: </w:t>
      </w:r>
      <w:proofErr w:type="spellStart"/>
      <w:r w:rsidRPr="00435B9F">
        <w:rPr>
          <w:rFonts w:eastAsia="Calibri"/>
          <w:i/>
          <w:iCs/>
          <w:lang w:val="en-US" w:eastAsia="en-US"/>
        </w:rPr>
        <w:t>Yamilé</w:t>
      </w:r>
      <w:proofErr w:type="spellEnd"/>
      <w:r w:rsidRPr="00435B9F">
        <w:rPr>
          <w:rFonts w:eastAsia="Calibri"/>
          <w:i/>
          <w:iCs/>
          <w:lang w:val="en-US" w:eastAsia="en-US"/>
        </w:rPr>
        <w:t xml:space="preserve"> </w:t>
      </w:r>
      <w:proofErr w:type="spellStart"/>
      <w:r w:rsidRPr="00435B9F">
        <w:rPr>
          <w:rFonts w:eastAsia="Calibri"/>
          <w:i/>
          <w:iCs/>
          <w:lang w:val="en-US" w:eastAsia="en-US"/>
        </w:rPr>
        <w:t>Baganet</w:t>
      </w:r>
      <w:proofErr w:type="spellEnd"/>
      <w:r w:rsidRPr="00435B9F">
        <w:rPr>
          <w:rFonts w:eastAsia="Calibri"/>
          <w:i/>
          <w:iCs/>
          <w:lang w:val="en-US" w:eastAsia="en-US"/>
        </w:rPr>
        <w:t xml:space="preserve"> Cobas, Alain Manuel </w:t>
      </w:r>
      <w:proofErr w:type="spellStart"/>
      <w:r w:rsidRPr="00435B9F">
        <w:rPr>
          <w:rFonts w:eastAsia="Calibri"/>
          <w:i/>
          <w:iCs/>
          <w:lang w:val="en-US" w:eastAsia="en-US"/>
        </w:rPr>
        <w:t>Chaple</w:t>
      </w:r>
      <w:proofErr w:type="spellEnd"/>
      <w:r w:rsidRPr="00435B9F">
        <w:rPr>
          <w:rFonts w:eastAsia="Calibri"/>
          <w:i/>
          <w:iCs/>
          <w:lang w:val="en-US" w:eastAsia="en-US"/>
        </w:rPr>
        <w:t xml:space="preserve"> Gil.</w:t>
      </w:r>
    </w:p>
    <w:p w14:paraId="1FC11F65" w14:textId="77777777" w:rsidR="00435B9F" w:rsidRPr="00435B9F" w:rsidRDefault="00435B9F" w:rsidP="00435B9F">
      <w:pPr>
        <w:suppressAutoHyphens/>
        <w:spacing w:line="360" w:lineRule="auto"/>
        <w:jc w:val="both"/>
        <w:rPr>
          <w:rFonts w:eastAsia="Calibri"/>
          <w:i/>
          <w:iCs/>
          <w:lang w:val="en-US" w:eastAsia="en-US"/>
        </w:rPr>
      </w:pPr>
      <w:r w:rsidRPr="00435B9F">
        <w:rPr>
          <w:rFonts w:eastAsia="Calibri"/>
          <w:lang w:val="en-US" w:eastAsia="en-US"/>
        </w:rPr>
        <w:lastRenderedPageBreak/>
        <w:t xml:space="preserve">Data curation: </w:t>
      </w:r>
      <w:r w:rsidRPr="00435B9F">
        <w:rPr>
          <w:rFonts w:eastAsia="Calibri"/>
          <w:i/>
          <w:iCs/>
          <w:lang w:val="en-US" w:eastAsia="en-US"/>
        </w:rPr>
        <w:t xml:space="preserve">Alain Manuel </w:t>
      </w:r>
      <w:proofErr w:type="spellStart"/>
      <w:r w:rsidRPr="00435B9F">
        <w:rPr>
          <w:rFonts w:eastAsia="Calibri"/>
          <w:i/>
          <w:iCs/>
          <w:lang w:val="en-US" w:eastAsia="en-US"/>
        </w:rPr>
        <w:t>Chaple</w:t>
      </w:r>
      <w:proofErr w:type="spellEnd"/>
      <w:r w:rsidRPr="00435B9F">
        <w:rPr>
          <w:rFonts w:eastAsia="Calibri"/>
          <w:i/>
          <w:iCs/>
          <w:lang w:val="en-US" w:eastAsia="en-US"/>
        </w:rPr>
        <w:t xml:space="preserve"> Gil.</w:t>
      </w:r>
    </w:p>
    <w:p w14:paraId="4EDE2023"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Formal analysis: </w:t>
      </w:r>
      <w:r w:rsidRPr="00435B9F">
        <w:rPr>
          <w:rFonts w:eastAsia="Calibri"/>
          <w:i/>
          <w:iCs/>
          <w:lang w:val="en-US" w:eastAsia="en-US"/>
        </w:rPr>
        <w:t xml:space="preserve">Alain Manuel </w:t>
      </w:r>
      <w:proofErr w:type="spellStart"/>
      <w:r w:rsidRPr="00435B9F">
        <w:rPr>
          <w:rFonts w:eastAsia="Calibri"/>
          <w:i/>
          <w:iCs/>
          <w:lang w:val="en-US" w:eastAsia="en-US"/>
        </w:rPr>
        <w:t>Chaple</w:t>
      </w:r>
      <w:proofErr w:type="spellEnd"/>
      <w:r w:rsidRPr="00435B9F">
        <w:rPr>
          <w:rFonts w:eastAsia="Calibri"/>
          <w:i/>
          <w:iCs/>
          <w:lang w:val="en-US" w:eastAsia="en-US"/>
        </w:rPr>
        <w:t xml:space="preserve"> Gil.</w:t>
      </w:r>
    </w:p>
    <w:p w14:paraId="3A83AC44" w14:textId="77777777" w:rsidR="00435B9F" w:rsidRPr="00435B9F" w:rsidRDefault="00435B9F" w:rsidP="00435B9F">
      <w:pPr>
        <w:suppressAutoHyphens/>
        <w:spacing w:line="360" w:lineRule="auto"/>
        <w:jc w:val="both"/>
        <w:rPr>
          <w:rFonts w:eastAsia="Calibri"/>
          <w:lang w:val="es-CU" w:eastAsia="en-US"/>
        </w:rPr>
      </w:pPr>
      <w:proofErr w:type="spellStart"/>
      <w:r w:rsidRPr="00435B9F">
        <w:rPr>
          <w:rFonts w:eastAsia="Calibri"/>
          <w:lang w:val="es-CU" w:eastAsia="en-US"/>
        </w:rPr>
        <w:t>Investigation</w:t>
      </w:r>
      <w:proofErr w:type="spellEnd"/>
      <w:r w:rsidRPr="00435B9F">
        <w:rPr>
          <w:rFonts w:eastAsia="Calibri"/>
          <w:lang w:val="es-CU" w:eastAsia="en-US"/>
        </w:rPr>
        <w:t xml:space="preserve">: </w:t>
      </w:r>
      <w:proofErr w:type="spellStart"/>
      <w:r w:rsidRPr="00435B9F">
        <w:rPr>
          <w:rFonts w:eastAsia="Calibri"/>
          <w:i/>
          <w:iCs/>
          <w:lang w:val="es-CU" w:eastAsia="en-US"/>
        </w:rPr>
        <w:t>Yilian</w:t>
      </w:r>
      <w:proofErr w:type="spellEnd"/>
      <w:r w:rsidRPr="00435B9F">
        <w:rPr>
          <w:rFonts w:eastAsia="Calibri"/>
          <w:i/>
          <w:iCs/>
          <w:lang w:val="es-CU" w:eastAsia="en-US"/>
        </w:rPr>
        <w:t xml:space="preserve"> Caballero Guerra, Dayana Chávez Valdez.</w:t>
      </w:r>
    </w:p>
    <w:p w14:paraId="68748677"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Methodology: </w:t>
      </w:r>
      <w:proofErr w:type="spellStart"/>
      <w:r w:rsidRPr="00435B9F">
        <w:rPr>
          <w:rFonts w:eastAsia="Calibri"/>
          <w:i/>
          <w:iCs/>
          <w:lang w:val="en-US" w:eastAsia="en-US"/>
        </w:rPr>
        <w:t>Yamilé</w:t>
      </w:r>
      <w:proofErr w:type="spellEnd"/>
      <w:r w:rsidRPr="00435B9F">
        <w:rPr>
          <w:rFonts w:eastAsia="Calibri"/>
          <w:i/>
          <w:iCs/>
          <w:lang w:val="en-US" w:eastAsia="en-US"/>
        </w:rPr>
        <w:t xml:space="preserve"> </w:t>
      </w:r>
      <w:proofErr w:type="spellStart"/>
      <w:r w:rsidRPr="00435B9F">
        <w:rPr>
          <w:rFonts w:eastAsia="Calibri"/>
          <w:i/>
          <w:iCs/>
          <w:lang w:val="en-US" w:eastAsia="en-US"/>
        </w:rPr>
        <w:t>Baganet</w:t>
      </w:r>
      <w:proofErr w:type="spellEnd"/>
      <w:r w:rsidRPr="00435B9F">
        <w:rPr>
          <w:rFonts w:eastAsia="Calibri"/>
          <w:i/>
          <w:iCs/>
          <w:lang w:val="en-US" w:eastAsia="en-US"/>
        </w:rPr>
        <w:t xml:space="preserve"> Cobas, Alain Manuel </w:t>
      </w:r>
      <w:proofErr w:type="spellStart"/>
      <w:r w:rsidRPr="00435B9F">
        <w:rPr>
          <w:rFonts w:eastAsia="Calibri"/>
          <w:i/>
          <w:iCs/>
          <w:lang w:val="en-US" w:eastAsia="en-US"/>
        </w:rPr>
        <w:t>Chaple</w:t>
      </w:r>
      <w:proofErr w:type="spellEnd"/>
      <w:r w:rsidRPr="00435B9F">
        <w:rPr>
          <w:rFonts w:eastAsia="Calibri"/>
          <w:i/>
          <w:iCs/>
          <w:lang w:val="en-US" w:eastAsia="en-US"/>
        </w:rPr>
        <w:t xml:space="preserve"> Gil.</w:t>
      </w:r>
    </w:p>
    <w:p w14:paraId="5957744C"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Project administration: </w:t>
      </w:r>
      <w:proofErr w:type="spellStart"/>
      <w:r w:rsidRPr="00435B9F">
        <w:rPr>
          <w:rFonts w:eastAsia="Calibri"/>
          <w:i/>
          <w:iCs/>
          <w:lang w:val="en-US" w:eastAsia="en-US"/>
        </w:rPr>
        <w:t>Yamilé</w:t>
      </w:r>
      <w:proofErr w:type="spellEnd"/>
      <w:r w:rsidRPr="00435B9F">
        <w:rPr>
          <w:rFonts w:eastAsia="Calibri"/>
          <w:i/>
          <w:iCs/>
          <w:lang w:val="en-US" w:eastAsia="en-US"/>
        </w:rPr>
        <w:t xml:space="preserve"> </w:t>
      </w:r>
      <w:proofErr w:type="spellStart"/>
      <w:r w:rsidRPr="00435B9F">
        <w:rPr>
          <w:rFonts w:eastAsia="Calibri"/>
          <w:i/>
          <w:iCs/>
          <w:lang w:val="en-US" w:eastAsia="en-US"/>
        </w:rPr>
        <w:t>Baganet</w:t>
      </w:r>
      <w:proofErr w:type="spellEnd"/>
      <w:r w:rsidRPr="00435B9F">
        <w:rPr>
          <w:rFonts w:eastAsia="Calibri"/>
          <w:i/>
          <w:iCs/>
          <w:lang w:val="en-US" w:eastAsia="en-US"/>
        </w:rPr>
        <w:t xml:space="preserve"> Cobas.</w:t>
      </w:r>
    </w:p>
    <w:p w14:paraId="0B156520"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Supervision: </w:t>
      </w:r>
      <w:proofErr w:type="spellStart"/>
      <w:r w:rsidRPr="00435B9F">
        <w:rPr>
          <w:rFonts w:eastAsia="Calibri"/>
          <w:i/>
          <w:iCs/>
          <w:lang w:val="en-US" w:eastAsia="en-US"/>
        </w:rPr>
        <w:t>Yamilé</w:t>
      </w:r>
      <w:proofErr w:type="spellEnd"/>
      <w:r w:rsidRPr="00435B9F">
        <w:rPr>
          <w:rFonts w:eastAsia="Calibri"/>
          <w:i/>
          <w:iCs/>
          <w:lang w:val="en-US" w:eastAsia="en-US"/>
        </w:rPr>
        <w:t xml:space="preserve"> </w:t>
      </w:r>
      <w:proofErr w:type="spellStart"/>
      <w:r w:rsidRPr="00435B9F">
        <w:rPr>
          <w:rFonts w:eastAsia="Calibri"/>
          <w:i/>
          <w:iCs/>
          <w:lang w:val="en-US" w:eastAsia="en-US"/>
        </w:rPr>
        <w:t>Baganet</w:t>
      </w:r>
      <w:proofErr w:type="spellEnd"/>
      <w:r w:rsidRPr="00435B9F">
        <w:rPr>
          <w:rFonts w:eastAsia="Calibri"/>
          <w:i/>
          <w:iCs/>
          <w:lang w:val="en-US" w:eastAsia="en-US"/>
        </w:rPr>
        <w:t xml:space="preserve"> Cobas, Alain Manuel </w:t>
      </w:r>
      <w:proofErr w:type="spellStart"/>
      <w:r w:rsidRPr="00435B9F">
        <w:rPr>
          <w:rFonts w:eastAsia="Calibri"/>
          <w:i/>
          <w:iCs/>
          <w:lang w:val="en-US" w:eastAsia="en-US"/>
        </w:rPr>
        <w:t>Chaple</w:t>
      </w:r>
      <w:proofErr w:type="spellEnd"/>
      <w:r w:rsidRPr="00435B9F">
        <w:rPr>
          <w:rFonts w:eastAsia="Calibri"/>
          <w:i/>
          <w:iCs/>
          <w:lang w:val="en-US" w:eastAsia="en-US"/>
        </w:rPr>
        <w:t xml:space="preserve"> Gil.</w:t>
      </w:r>
    </w:p>
    <w:p w14:paraId="4ED5241D"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Visualization: </w:t>
      </w:r>
      <w:proofErr w:type="spellStart"/>
      <w:r w:rsidRPr="00435B9F">
        <w:rPr>
          <w:rFonts w:eastAsia="Calibri"/>
          <w:i/>
          <w:iCs/>
          <w:lang w:val="en-US" w:eastAsia="en-US"/>
        </w:rPr>
        <w:t>Yamilé</w:t>
      </w:r>
      <w:proofErr w:type="spellEnd"/>
      <w:r w:rsidRPr="00435B9F">
        <w:rPr>
          <w:rFonts w:eastAsia="Calibri"/>
          <w:i/>
          <w:iCs/>
          <w:lang w:val="en-US" w:eastAsia="en-US"/>
        </w:rPr>
        <w:t xml:space="preserve"> </w:t>
      </w:r>
      <w:proofErr w:type="spellStart"/>
      <w:r w:rsidRPr="00435B9F">
        <w:rPr>
          <w:rFonts w:eastAsia="Calibri"/>
          <w:i/>
          <w:iCs/>
          <w:lang w:val="en-US" w:eastAsia="en-US"/>
        </w:rPr>
        <w:t>Baganet</w:t>
      </w:r>
      <w:proofErr w:type="spellEnd"/>
      <w:r w:rsidRPr="00435B9F">
        <w:rPr>
          <w:rFonts w:eastAsia="Calibri"/>
          <w:i/>
          <w:iCs/>
          <w:lang w:val="en-US" w:eastAsia="en-US"/>
        </w:rPr>
        <w:t xml:space="preserve"> Cobas, Alain Manuel </w:t>
      </w:r>
      <w:proofErr w:type="spellStart"/>
      <w:r w:rsidRPr="00435B9F">
        <w:rPr>
          <w:rFonts w:eastAsia="Calibri"/>
          <w:i/>
          <w:iCs/>
          <w:lang w:val="en-US" w:eastAsia="en-US"/>
        </w:rPr>
        <w:t>Chaple</w:t>
      </w:r>
      <w:proofErr w:type="spellEnd"/>
      <w:r w:rsidRPr="00435B9F">
        <w:rPr>
          <w:rFonts w:eastAsia="Calibri"/>
          <w:i/>
          <w:iCs/>
          <w:lang w:val="en-US" w:eastAsia="en-US"/>
        </w:rPr>
        <w:t xml:space="preserve"> Gil.</w:t>
      </w:r>
    </w:p>
    <w:p w14:paraId="61D73BCF" w14:textId="77777777" w:rsidR="00435B9F" w:rsidRPr="00435B9F" w:rsidRDefault="00435B9F" w:rsidP="00435B9F">
      <w:pPr>
        <w:suppressAutoHyphens/>
        <w:spacing w:line="360" w:lineRule="auto"/>
        <w:jc w:val="both"/>
        <w:rPr>
          <w:rFonts w:eastAsia="Calibri"/>
          <w:lang w:val="en-US" w:eastAsia="en-US"/>
        </w:rPr>
      </w:pPr>
      <w:r w:rsidRPr="00435B9F">
        <w:rPr>
          <w:rFonts w:eastAsia="Calibri"/>
          <w:lang w:val="en-US" w:eastAsia="en-US"/>
        </w:rPr>
        <w:t xml:space="preserve">Writing - original draft: </w:t>
      </w:r>
      <w:proofErr w:type="spellStart"/>
      <w:r w:rsidRPr="00435B9F">
        <w:rPr>
          <w:rFonts w:eastAsia="Calibri"/>
          <w:i/>
          <w:iCs/>
          <w:lang w:val="en-US" w:eastAsia="en-US"/>
        </w:rPr>
        <w:t>Yamilé</w:t>
      </w:r>
      <w:proofErr w:type="spellEnd"/>
      <w:r w:rsidRPr="00435B9F">
        <w:rPr>
          <w:rFonts w:eastAsia="Calibri"/>
          <w:i/>
          <w:iCs/>
          <w:lang w:val="en-US" w:eastAsia="en-US"/>
        </w:rPr>
        <w:t xml:space="preserve"> </w:t>
      </w:r>
      <w:proofErr w:type="spellStart"/>
      <w:r w:rsidRPr="00435B9F">
        <w:rPr>
          <w:rFonts w:eastAsia="Calibri"/>
          <w:i/>
          <w:iCs/>
          <w:lang w:val="en-US" w:eastAsia="en-US"/>
        </w:rPr>
        <w:t>Baganet</w:t>
      </w:r>
      <w:proofErr w:type="spellEnd"/>
      <w:r w:rsidRPr="00435B9F">
        <w:rPr>
          <w:rFonts w:eastAsia="Calibri"/>
          <w:i/>
          <w:iCs/>
          <w:lang w:val="en-US" w:eastAsia="en-US"/>
        </w:rPr>
        <w:t xml:space="preserve"> Cobas, Alain Manuel </w:t>
      </w:r>
      <w:proofErr w:type="spellStart"/>
      <w:r w:rsidRPr="00435B9F">
        <w:rPr>
          <w:rFonts w:eastAsia="Calibri"/>
          <w:i/>
          <w:iCs/>
          <w:lang w:val="en-US" w:eastAsia="en-US"/>
        </w:rPr>
        <w:t>Chaple</w:t>
      </w:r>
      <w:proofErr w:type="spellEnd"/>
      <w:r w:rsidRPr="00435B9F">
        <w:rPr>
          <w:rFonts w:eastAsia="Calibri"/>
          <w:i/>
          <w:iCs/>
          <w:lang w:val="en-US" w:eastAsia="en-US"/>
        </w:rPr>
        <w:t xml:space="preserve"> Gil, </w:t>
      </w:r>
      <w:proofErr w:type="spellStart"/>
      <w:r w:rsidRPr="00435B9F">
        <w:rPr>
          <w:rFonts w:eastAsia="Calibri"/>
          <w:i/>
          <w:iCs/>
          <w:lang w:val="en-US" w:eastAsia="en-US"/>
        </w:rPr>
        <w:t>Yilian</w:t>
      </w:r>
      <w:proofErr w:type="spellEnd"/>
      <w:r w:rsidRPr="00435B9F">
        <w:rPr>
          <w:rFonts w:eastAsia="Calibri"/>
          <w:i/>
          <w:iCs/>
          <w:lang w:val="en-US" w:eastAsia="en-US"/>
        </w:rPr>
        <w:t xml:space="preserve"> Caballero Guerra, Dayana Chávez Valdez.</w:t>
      </w:r>
    </w:p>
    <w:p w14:paraId="191E54C9" w14:textId="77777777" w:rsidR="00435B9F" w:rsidRPr="00435B9F" w:rsidRDefault="00435B9F" w:rsidP="00435B9F">
      <w:pPr>
        <w:suppressAutoHyphens/>
        <w:spacing w:line="360" w:lineRule="auto"/>
        <w:jc w:val="both"/>
        <w:rPr>
          <w:rFonts w:eastAsia="Calibri"/>
          <w:lang w:val="es-ES" w:eastAsia="en-US"/>
        </w:rPr>
      </w:pPr>
      <w:proofErr w:type="spellStart"/>
      <w:r w:rsidRPr="00435B9F">
        <w:rPr>
          <w:rFonts w:eastAsia="Calibri"/>
          <w:lang w:val="es-ES" w:eastAsia="en-US"/>
        </w:rPr>
        <w:t>Writing</w:t>
      </w:r>
      <w:proofErr w:type="spellEnd"/>
      <w:r w:rsidRPr="00435B9F">
        <w:rPr>
          <w:rFonts w:eastAsia="Calibri"/>
          <w:lang w:val="es-ES" w:eastAsia="en-US"/>
        </w:rPr>
        <w:t xml:space="preserve"> – </w:t>
      </w:r>
      <w:proofErr w:type="spellStart"/>
      <w:r w:rsidRPr="00435B9F">
        <w:rPr>
          <w:rFonts w:eastAsia="Calibri"/>
          <w:lang w:val="es-ES" w:eastAsia="en-US"/>
        </w:rPr>
        <w:t>review</w:t>
      </w:r>
      <w:proofErr w:type="spellEnd"/>
      <w:r w:rsidRPr="00435B9F">
        <w:rPr>
          <w:rFonts w:eastAsia="Calibri"/>
          <w:lang w:val="es-ES" w:eastAsia="en-US"/>
        </w:rPr>
        <w:t xml:space="preserve"> and </w:t>
      </w:r>
      <w:proofErr w:type="spellStart"/>
      <w:r w:rsidRPr="00435B9F">
        <w:rPr>
          <w:rFonts w:eastAsia="Calibri"/>
          <w:lang w:val="es-ES" w:eastAsia="en-US"/>
        </w:rPr>
        <w:t>editing</w:t>
      </w:r>
      <w:proofErr w:type="spellEnd"/>
      <w:r w:rsidRPr="00435B9F">
        <w:rPr>
          <w:rFonts w:eastAsia="Calibri"/>
          <w:lang w:val="es-ES" w:eastAsia="en-US"/>
        </w:rPr>
        <w:t xml:space="preserve">: </w:t>
      </w:r>
      <w:proofErr w:type="spellStart"/>
      <w:r w:rsidRPr="00435B9F">
        <w:rPr>
          <w:rFonts w:eastAsia="Calibri"/>
          <w:i/>
          <w:iCs/>
          <w:lang w:val="es-ES" w:eastAsia="en-US"/>
        </w:rPr>
        <w:t>Yamilé</w:t>
      </w:r>
      <w:proofErr w:type="spellEnd"/>
      <w:r w:rsidRPr="00435B9F">
        <w:rPr>
          <w:rFonts w:eastAsia="Calibri"/>
          <w:i/>
          <w:iCs/>
          <w:lang w:val="es-ES" w:eastAsia="en-US"/>
        </w:rPr>
        <w:t xml:space="preserve"> </w:t>
      </w:r>
      <w:proofErr w:type="spellStart"/>
      <w:r w:rsidRPr="00435B9F">
        <w:rPr>
          <w:rFonts w:eastAsia="Calibri"/>
          <w:i/>
          <w:iCs/>
          <w:lang w:val="es-ES" w:eastAsia="en-US"/>
        </w:rPr>
        <w:t>Baganet</w:t>
      </w:r>
      <w:proofErr w:type="spellEnd"/>
      <w:r w:rsidRPr="00435B9F">
        <w:rPr>
          <w:rFonts w:eastAsia="Calibri"/>
          <w:i/>
          <w:iCs/>
          <w:lang w:val="es-ES" w:eastAsia="en-US"/>
        </w:rPr>
        <w:t xml:space="preserve"> Cobas, Alain Manuel Chaple Gil, </w:t>
      </w:r>
      <w:proofErr w:type="spellStart"/>
      <w:r w:rsidRPr="00435B9F">
        <w:rPr>
          <w:rFonts w:eastAsia="Calibri"/>
          <w:i/>
          <w:iCs/>
          <w:lang w:val="es-ES" w:eastAsia="en-US"/>
        </w:rPr>
        <w:t>Yilian</w:t>
      </w:r>
      <w:proofErr w:type="spellEnd"/>
      <w:r w:rsidRPr="00435B9F">
        <w:rPr>
          <w:rFonts w:eastAsia="Calibri"/>
          <w:i/>
          <w:iCs/>
          <w:lang w:val="es-ES" w:eastAsia="en-US"/>
        </w:rPr>
        <w:t xml:space="preserve"> Caballero Guerra, Dayana Chávez Valdez.</w:t>
      </w:r>
    </w:p>
    <w:p w14:paraId="338DA010" w14:textId="77777777" w:rsidR="00675476" w:rsidRPr="0055115D" w:rsidRDefault="00675476" w:rsidP="00EA1FEF">
      <w:pPr>
        <w:pStyle w:val="PDFRevista"/>
      </w:pPr>
    </w:p>
    <w:sectPr w:rsidR="00675476" w:rsidRPr="0055115D" w:rsidSect="00FD3DF8">
      <w:headerReference w:type="default" r:id="rId19"/>
      <w:footerReference w:type="even" r:id="rId20"/>
      <w:footerReference w:type="defaul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EA62" w14:textId="77777777" w:rsidR="00463D24" w:rsidRDefault="00463D24">
      <w:r>
        <w:separator/>
      </w:r>
    </w:p>
  </w:endnote>
  <w:endnote w:type="continuationSeparator" w:id="0">
    <w:p w14:paraId="4C807CE1" w14:textId="77777777" w:rsidR="00463D24" w:rsidRDefault="0046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73D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DD850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4757" w14:textId="136C6FDB" w:rsidR="000F3690" w:rsidRPr="00AE044C" w:rsidRDefault="00435B9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172A49E" wp14:editId="5C6B175F">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AD9EF3"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0E96A53B" w14:textId="77777777" w:rsidR="00675476" w:rsidRPr="00AE044C" w:rsidRDefault="00463D24" w:rsidP="00391509">
    <w:pPr>
      <w:pStyle w:val="Piedepgina"/>
      <w:ind w:right="360"/>
      <w:rPr>
        <w:sz w:val="22"/>
        <w:szCs w:val="22"/>
      </w:rPr>
    </w:pPr>
    <w:hyperlink r:id="rId1" w:history="1">
      <w:r w:rsidR="00391509" w:rsidRPr="00AE044C">
        <w:rPr>
          <w:rStyle w:val="Hipervnculo"/>
          <w:sz w:val="22"/>
          <w:szCs w:val="22"/>
        </w:rPr>
        <w:t>http://scielo.sld.cu</w:t>
      </w:r>
    </w:hyperlink>
  </w:p>
  <w:p w14:paraId="444D8CFE" w14:textId="77777777" w:rsidR="00391509" w:rsidRPr="00AE044C" w:rsidRDefault="00463D24"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E26CDD4" w14:textId="2AB2669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435B9F" w:rsidRPr="00435B9F">
      <w:rPr>
        <w:rFonts w:ascii="Verdana" w:hAnsi="Verdana"/>
        <w:noProof/>
        <w:sz w:val="18"/>
        <w:szCs w:val="18"/>
        <w:lang w:val="en-US" w:eastAsia="en-US"/>
      </w:rPr>
      <w:drawing>
        <wp:inline distT="0" distB="0" distL="0" distR="0" wp14:anchorId="1622195E" wp14:editId="7C38D0E2">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8129" w14:textId="77777777" w:rsidR="00463D24" w:rsidRDefault="00463D24">
      <w:r>
        <w:separator/>
      </w:r>
    </w:p>
  </w:footnote>
  <w:footnote w:type="continuationSeparator" w:id="0">
    <w:p w14:paraId="17B44BBC" w14:textId="77777777" w:rsidR="00463D24" w:rsidRDefault="0046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049B" w14:textId="572342A0" w:rsidR="00CC376A" w:rsidRPr="00AE044C" w:rsidRDefault="00435B9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097636D9" wp14:editId="2C91241D">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e02201878</w:t>
    </w:r>
  </w:p>
  <w:p w14:paraId="352EA00D" w14:textId="392DC332" w:rsidR="00A477DE" w:rsidRDefault="00435B9F">
    <w:r>
      <w:rPr>
        <w:noProof/>
      </w:rPr>
      <mc:AlternateContent>
        <mc:Choice Requires="wps">
          <w:drawing>
            <wp:anchor distT="0" distB="0" distL="114300" distR="114300" simplePos="0" relativeHeight="251654144" behindDoc="0" locked="0" layoutInCell="1" allowOverlap="1" wp14:anchorId="1722E9DE" wp14:editId="61273BCB">
              <wp:simplePos x="0" y="0"/>
              <wp:positionH relativeFrom="column">
                <wp:posOffset>635</wp:posOffset>
              </wp:positionH>
              <wp:positionV relativeFrom="paragraph">
                <wp:posOffset>42545</wp:posOffset>
              </wp:positionV>
              <wp:extent cx="6307455" cy="28575"/>
              <wp:effectExtent l="19050" t="19050" r="17145"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00111A"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C28NJo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9F"/>
    <w:rsid w:val="00057F45"/>
    <w:rsid w:val="000D3958"/>
    <w:rsid w:val="000E14C8"/>
    <w:rsid w:val="000F3690"/>
    <w:rsid w:val="001221D1"/>
    <w:rsid w:val="00165CB5"/>
    <w:rsid w:val="00180CE9"/>
    <w:rsid w:val="00230DD5"/>
    <w:rsid w:val="00250AE9"/>
    <w:rsid w:val="00380D64"/>
    <w:rsid w:val="00391509"/>
    <w:rsid w:val="003E03D5"/>
    <w:rsid w:val="00435B9F"/>
    <w:rsid w:val="00463D24"/>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AA181"/>
  <w15:docId w15:val="{661C0DE2-E00A-44FA-BB66-B504911D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435B9F"/>
    <w:pPr>
      <w:suppressAutoHyphens/>
    </w:pPr>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571-4429" TargetMode="External"/><Relationship Id="rId13" Type="http://schemas.openxmlformats.org/officeDocument/2006/relationships/hyperlink" Target="http://hdl.handle.net/10952/1975" TargetMode="External"/><Relationship Id="rId18" Type="http://schemas.openxmlformats.org/officeDocument/2006/relationships/hyperlink" Target="https://www.ncbi.nlm.nih.gov/pmc/articles/PMC7276117/pdf/main.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2-6956-3181" TargetMode="External"/><Relationship Id="rId12" Type="http://schemas.openxmlformats.org/officeDocument/2006/relationships/image" Target="media/image1.gif"/><Relationship Id="rId17" Type="http://schemas.openxmlformats.org/officeDocument/2006/relationships/hyperlink" Target="http://www.revibiomedica.sld.cu/index.php/ibi/article/view/1177" TargetMode="External"/><Relationship Id="rId2" Type="http://schemas.openxmlformats.org/officeDocument/2006/relationships/styles" Target="styles.xml"/><Relationship Id="rId16" Type="http://schemas.openxmlformats.org/officeDocument/2006/relationships/hyperlink" Target="https://www.ncbi.nlm.nih.gov/pmc/articles/PMC7303044/pdf/main.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ain.chaple@uautonoma.cl" TargetMode="External"/><Relationship Id="rId5" Type="http://schemas.openxmlformats.org/officeDocument/2006/relationships/footnotes" Target="footnotes.xml"/><Relationship Id="rId15" Type="http://schemas.openxmlformats.org/officeDocument/2006/relationships/hyperlink" Target="https://www.researchgate.net/profile/Marco-Alarcon-2/publication/271328776_Enfermedad_periodontal_y_enfermedades_respiratorias_una_revision_de_ensayos_clinicos_y_estudios_observacionales_REVISION_BIBLIOGRAFICA/links/54c5c01d0cf2911c7a563405/Enfermedad-periodontal-y-enfermedades-respiratorias-una-revision-de-ensayos-clinicos-y-estudios-observacionales-REVISION-BIBLIOGRAFICA.pdf" TargetMode="External"/><Relationship Id="rId23" Type="http://schemas.openxmlformats.org/officeDocument/2006/relationships/theme" Target="theme/theme1.xml"/><Relationship Id="rId10" Type="http://schemas.openxmlformats.org/officeDocument/2006/relationships/hyperlink" Target="https://orcid.org/0000-0003-1391-126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4000-7245" TargetMode="External"/><Relationship Id="rId14" Type="http://schemas.openxmlformats.org/officeDocument/2006/relationships/hyperlink" Target="http://www.reibci.org/publicados/2015/julio/0800108.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14</Pages>
  <Words>4310</Words>
  <Characters>23706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27961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2022-04-28T20:40:00Z</dcterms:created>
  <dcterms:modified xsi:type="dcterms:W3CDTF">2022-04-28T20:41:00Z</dcterms:modified>
</cp:coreProperties>
</file>