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75A78" w14:textId="77777777" w:rsidR="00EC2BF0" w:rsidRPr="00EC2BF0" w:rsidRDefault="00EC2BF0" w:rsidP="00EC2BF0">
      <w:pPr>
        <w:spacing w:line="360" w:lineRule="auto"/>
        <w:jc w:val="right"/>
        <w:rPr>
          <w:rFonts w:eastAsia="Calibri"/>
          <w:bCs/>
          <w:sz w:val="20"/>
          <w:szCs w:val="20"/>
          <w:lang w:val="es-ES" w:eastAsia="en-US"/>
        </w:rPr>
      </w:pPr>
      <w:r w:rsidRPr="00EC2BF0">
        <w:rPr>
          <w:rFonts w:eastAsia="Calibri"/>
          <w:bCs/>
          <w:sz w:val="20"/>
          <w:szCs w:val="20"/>
          <w:lang w:val="es-ES" w:eastAsia="en-US"/>
        </w:rPr>
        <w:t>Artículo de investigación</w:t>
      </w:r>
    </w:p>
    <w:p w14:paraId="2D16AAA7" w14:textId="77777777" w:rsidR="00EC2BF0" w:rsidRPr="00EC2BF0" w:rsidRDefault="00EC2BF0" w:rsidP="00EC2BF0">
      <w:pPr>
        <w:spacing w:line="360" w:lineRule="auto"/>
        <w:jc w:val="both"/>
        <w:rPr>
          <w:rFonts w:eastAsia="Calibri"/>
          <w:b/>
          <w:lang w:val="es-ES" w:eastAsia="en-US"/>
        </w:rPr>
      </w:pPr>
    </w:p>
    <w:p w14:paraId="599D8249" w14:textId="77777777" w:rsidR="00EC2BF0" w:rsidRPr="00EC2BF0" w:rsidRDefault="00EC2BF0" w:rsidP="00EC2BF0">
      <w:pPr>
        <w:spacing w:line="360" w:lineRule="auto"/>
        <w:jc w:val="center"/>
        <w:rPr>
          <w:rFonts w:eastAsia="Calibri"/>
          <w:b/>
          <w:sz w:val="28"/>
          <w:szCs w:val="28"/>
          <w:lang w:val="es-ES" w:eastAsia="en-US"/>
        </w:rPr>
      </w:pPr>
      <w:r w:rsidRPr="00EC2BF0">
        <w:rPr>
          <w:rFonts w:eastAsia="Calibri"/>
          <w:b/>
          <w:sz w:val="28"/>
          <w:szCs w:val="28"/>
          <w:lang w:val="es-ES" w:eastAsia="en-US"/>
        </w:rPr>
        <w:t>Manifestaciones digestivas en pacientes hospitalizados con la COVID-19</w:t>
      </w:r>
    </w:p>
    <w:p w14:paraId="0A9C1E83" w14:textId="77777777" w:rsidR="00EC2BF0" w:rsidRPr="00EC2BF0" w:rsidRDefault="00EC2BF0" w:rsidP="00EC2BF0">
      <w:pPr>
        <w:autoSpaceDE w:val="0"/>
        <w:autoSpaceDN w:val="0"/>
        <w:adjustRightInd w:val="0"/>
        <w:spacing w:line="360" w:lineRule="auto"/>
        <w:jc w:val="center"/>
        <w:rPr>
          <w:rFonts w:eastAsia="Calibri"/>
          <w:color w:val="000000"/>
          <w:lang w:val="en-US" w:eastAsia="es-ES"/>
        </w:rPr>
      </w:pPr>
      <w:r w:rsidRPr="00EC2BF0">
        <w:rPr>
          <w:rFonts w:eastAsia="Calibri"/>
          <w:color w:val="000000"/>
          <w:sz w:val="28"/>
          <w:szCs w:val="28"/>
          <w:lang w:val="en-US" w:eastAsia="es-ES"/>
        </w:rPr>
        <w:t>Digestive manifestations in hospitalized patients with COVID-19</w:t>
      </w:r>
    </w:p>
    <w:p w14:paraId="224B41F6" w14:textId="77777777" w:rsidR="00EC2BF0" w:rsidRPr="00EC2BF0" w:rsidRDefault="00EC2BF0" w:rsidP="00EC2BF0">
      <w:pPr>
        <w:spacing w:line="360" w:lineRule="auto"/>
        <w:jc w:val="both"/>
        <w:rPr>
          <w:rFonts w:eastAsia="Calibri"/>
          <w:lang w:val="en-US" w:eastAsia="en-US"/>
        </w:rPr>
      </w:pPr>
    </w:p>
    <w:p w14:paraId="3C2E40F3"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 xml:space="preserve">Cesar </w:t>
      </w:r>
      <w:proofErr w:type="spellStart"/>
      <w:r w:rsidRPr="00EC2BF0">
        <w:rPr>
          <w:rFonts w:eastAsia="Calibri"/>
          <w:lang w:val="es-ES" w:eastAsia="en-US"/>
        </w:rPr>
        <w:t>Abrahan</w:t>
      </w:r>
      <w:proofErr w:type="spellEnd"/>
      <w:r w:rsidRPr="00EC2BF0">
        <w:rPr>
          <w:rFonts w:eastAsia="Calibri"/>
          <w:lang w:val="es-ES" w:eastAsia="en-US"/>
        </w:rPr>
        <w:t xml:space="preserve"> Agüero Figueredo</w:t>
      </w:r>
      <w:r w:rsidRPr="00EC2BF0">
        <w:rPr>
          <w:rFonts w:eastAsia="Calibri"/>
          <w:vertAlign w:val="superscript"/>
          <w:lang w:val="es-ES" w:eastAsia="en-US"/>
        </w:rPr>
        <w:t>1</w:t>
      </w:r>
      <w:r w:rsidRPr="00EC2BF0">
        <w:rPr>
          <w:rFonts w:eastAsia="Calibri"/>
          <w:lang w:val="es-ES" w:eastAsia="en-US"/>
        </w:rPr>
        <w:t xml:space="preserve">* </w:t>
      </w:r>
      <w:hyperlink r:id="rId7" w:history="1">
        <w:r w:rsidRPr="00EC2BF0">
          <w:rPr>
            <w:rFonts w:eastAsia="Calibri"/>
            <w:color w:val="0000FF"/>
            <w:u w:val="single"/>
            <w:lang w:val="es-ES" w:eastAsia="en-US"/>
          </w:rPr>
          <w:t>https://orcid.org/0000-0001-5993-1043</w:t>
        </w:r>
      </w:hyperlink>
    </w:p>
    <w:p w14:paraId="557E8829" w14:textId="77777777" w:rsidR="00EC2BF0" w:rsidRPr="00EC2BF0" w:rsidRDefault="00EC2BF0" w:rsidP="00EC2BF0">
      <w:pPr>
        <w:spacing w:line="360" w:lineRule="auto"/>
        <w:jc w:val="both"/>
        <w:rPr>
          <w:rFonts w:eastAsia="Calibri"/>
          <w:lang w:val="es-ES" w:eastAsia="en-US"/>
        </w:rPr>
      </w:pPr>
      <w:proofErr w:type="spellStart"/>
      <w:r w:rsidRPr="00EC2BF0">
        <w:rPr>
          <w:rFonts w:eastAsia="Calibri"/>
          <w:lang w:val="es-ES" w:eastAsia="en-US"/>
        </w:rPr>
        <w:t>Moyra</w:t>
      </w:r>
      <w:proofErr w:type="spellEnd"/>
      <w:r w:rsidRPr="00EC2BF0">
        <w:rPr>
          <w:rFonts w:eastAsia="Calibri"/>
          <w:lang w:val="es-ES" w:eastAsia="en-US"/>
        </w:rPr>
        <w:t xml:space="preserve"> Agüero Figueredo</w:t>
      </w:r>
      <w:r w:rsidRPr="00EC2BF0">
        <w:rPr>
          <w:rFonts w:eastAsia="Calibri"/>
          <w:vertAlign w:val="superscript"/>
          <w:lang w:val="es-ES" w:eastAsia="en-US"/>
        </w:rPr>
        <w:t xml:space="preserve">2 </w:t>
      </w:r>
      <w:hyperlink r:id="rId8" w:history="1">
        <w:r w:rsidRPr="00EC2BF0">
          <w:rPr>
            <w:rFonts w:eastAsia="Calibri"/>
            <w:color w:val="0000FF"/>
            <w:u w:val="single"/>
            <w:lang w:val="es-ES" w:eastAsia="en-US"/>
          </w:rPr>
          <w:t>https://orcid.org/0000-0003-2825-9199</w:t>
        </w:r>
      </w:hyperlink>
    </w:p>
    <w:p w14:paraId="723A7D95" w14:textId="77777777" w:rsidR="00EC2BF0" w:rsidRPr="00EC2BF0" w:rsidRDefault="00EC2BF0" w:rsidP="00EC2BF0">
      <w:pPr>
        <w:spacing w:line="360" w:lineRule="auto"/>
        <w:jc w:val="both"/>
        <w:rPr>
          <w:rFonts w:eastAsia="Calibri"/>
          <w:lang w:val="es-ES" w:eastAsia="en-US"/>
        </w:rPr>
      </w:pPr>
      <w:proofErr w:type="spellStart"/>
      <w:r w:rsidRPr="00EC2BF0">
        <w:rPr>
          <w:rFonts w:eastAsia="Calibri"/>
          <w:lang w:val="es-ES" w:eastAsia="en-US"/>
        </w:rPr>
        <w:t>Yenier</w:t>
      </w:r>
      <w:proofErr w:type="spellEnd"/>
      <w:r w:rsidRPr="00EC2BF0">
        <w:rPr>
          <w:rFonts w:eastAsia="Calibri"/>
          <w:lang w:val="es-ES" w:eastAsia="en-US"/>
        </w:rPr>
        <w:t xml:space="preserve"> López Barrero</w:t>
      </w:r>
      <w:r w:rsidRPr="00EC2BF0">
        <w:rPr>
          <w:rFonts w:eastAsia="Calibri"/>
          <w:vertAlign w:val="superscript"/>
          <w:lang w:val="es-ES" w:eastAsia="en-US"/>
        </w:rPr>
        <w:t>3</w:t>
      </w:r>
      <w:r w:rsidRPr="00EC2BF0">
        <w:rPr>
          <w:rFonts w:eastAsia="Calibri"/>
          <w:b/>
          <w:vertAlign w:val="superscript"/>
          <w:lang w:val="es-ES" w:eastAsia="en-US"/>
        </w:rPr>
        <w:t xml:space="preserve"> </w:t>
      </w:r>
      <w:hyperlink r:id="rId9" w:history="1">
        <w:r w:rsidRPr="00EC2BF0">
          <w:rPr>
            <w:rFonts w:eastAsia="Calibri"/>
            <w:color w:val="0000FF"/>
            <w:u w:val="single"/>
            <w:lang w:val="es-ES" w:eastAsia="en-US"/>
          </w:rPr>
          <w:t>https://orcid.org/0000-0003-0003-0421</w:t>
        </w:r>
      </w:hyperlink>
    </w:p>
    <w:p w14:paraId="48F0C486"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Lilian Zúñiga Fernández</w:t>
      </w:r>
      <w:r w:rsidRPr="00EC2BF0">
        <w:rPr>
          <w:rFonts w:eastAsia="Calibri"/>
          <w:vertAlign w:val="superscript"/>
          <w:lang w:val="es-ES" w:eastAsia="en-US"/>
        </w:rPr>
        <w:t xml:space="preserve">1 </w:t>
      </w:r>
      <w:hyperlink r:id="rId10" w:history="1">
        <w:r w:rsidRPr="00EC2BF0">
          <w:rPr>
            <w:rFonts w:eastAsia="Calibri"/>
            <w:color w:val="0000FF"/>
            <w:u w:val="single"/>
            <w:lang w:val="es-ES" w:eastAsia="en-US"/>
          </w:rPr>
          <w:t>https://orcid.org/0000-00</w:t>
        </w:r>
        <w:bookmarkStart w:id="0" w:name="_Hlt90913849"/>
        <w:r w:rsidRPr="00EC2BF0">
          <w:rPr>
            <w:rFonts w:eastAsia="Calibri"/>
            <w:color w:val="0000FF"/>
            <w:u w:val="single"/>
            <w:lang w:val="es-ES" w:eastAsia="en-US"/>
          </w:rPr>
          <w:t>0</w:t>
        </w:r>
        <w:bookmarkEnd w:id="0"/>
        <w:r w:rsidRPr="00EC2BF0">
          <w:rPr>
            <w:rFonts w:eastAsia="Calibri"/>
            <w:color w:val="0000FF"/>
            <w:u w:val="single"/>
            <w:lang w:val="es-ES" w:eastAsia="en-US"/>
          </w:rPr>
          <w:t>2</w:t>
        </w:r>
        <w:bookmarkStart w:id="1" w:name="_Hlt90913880"/>
        <w:r w:rsidRPr="00EC2BF0">
          <w:rPr>
            <w:rFonts w:eastAsia="Calibri"/>
            <w:color w:val="0000FF"/>
            <w:u w:val="single"/>
            <w:lang w:val="es-ES" w:eastAsia="en-US"/>
          </w:rPr>
          <w:t>-</w:t>
        </w:r>
        <w:bookmarkEnd w:id="1"/>
        <w:r w:rsidRPr="00EC2BF0">
          <w:rPr>
            <w:rFonts w:eastAsia="Calibri"/>
            <w:color w:val="0000FF"/>
            <w:u w:val="single"/>
            <w:lang w:val="es-ES" w:eastAsia="en-US"/>
          </w:rPr>
          <w:t>0373-8524</w:t>
        </w:r>
      </w:hyperlink>
    </w:p>
    <w:p w14:paraId="57B02B36" w14:textId="77777777" w:rsidR="00EC2BF0" w:rsidRPr="00EC2BF0" w:rsidRDefault="00EC2BF0" w:rsidP="00EC2BF0">
      <w:pPr>
        <w:spacing w:line="360" w:lineRule="auto"/>
        <w:rPr>
          <w:rFonts w:ascii="Calibri" w:eastAsia="Calibri" w:hAnsi="Calibri"/>
          <w:sz w:val="22"/>
          <w:szCs w:val="22"/>
          <w:lang w:val="es-ES" w:eastAsia="en-US"/>
        </w:rPr>
      </w:pPr>
    </w:p>
    <w:p w14:paraId="1C768AFD" w14:textId="77777777" w:rsidR="00EC2BF0" w:rsidRPr="00EC2BF0" w:rsidRDefault="00EC2BF0" w:rsidP="00EC2BF0">
      <w:pPr>
        <w:spacing w:line="360" w:lineRule="auto"/>
        <w:jc w:val="both"/>
        <w:rPr>
          <w:rFonts w:eastAsia="Calibri"/>
          <w:lang w:val="es-ES" w:eastAsia="en-US"/>
        </w:rPr>
      </w:pPr>
      <w:r w:rsidRPr="00EC2BF0">
        <w:rPr>
          <w:rFonts w:eastAsia="Calibri"/>
          <w:vertAlign w:val="superscript"/>
          <w:lang w:val="es-ES" w:eastAsia="en-US"/>
        </w:rPr>
        <w:t>1</w:t>
      </w:r>
      <w:r w:rsidRPr="00EC2BF0">
        <w:rPr>
          <w:rFonts w:eastAsia="Calibri"/>
          <w:lang w:val="es-ES" w:eastAsia="en-US"/>
        </w:rPr>
        <w:t>Universidad de Ciencias Médicas de Holguín. Hospital Clínico Quirúrgico “Lucía Íñiguez”. Holguín, Cuba.</w:t>
      </w:r>
    </w:p>
    <w:p w14:paraId="0ABED39F" w14:textId="77777777" w:rsidR="00EC2BF0" w:rsidRPr="00EC2BF0" w:rsidRDefault="00EC2BF0" w:rsidP="00EC2BF0">
      <w:pPr>
        <w:spacing w:line="360" w:lineRule="auto"/>
        <w:jc w:val="both"/>
        <w:rPr>
          <w:rFonts w:eastAsia="Calibri"/>
          <w:lang w:val="es-ES" w:eastAsia="en-US"/>
        </w:rPr>
      </w:pPr>
      <w:r w:rsidRPr="00EC2BF0">
        <w:rPr>
          <w:rFonts w:eastAsia="Calibri"/>
          <w:vertAlign w:val="superscript"/>
          <w:lang w:val="es-ES" w:eastAsia="en-US"/>
        </w:rPr>
        <w:t>2</w:t>
      </w:r>
      <w:r w:rsidRPr="00EC2BF0">
        <w:rPr>
          <w:rFonts w:eastAsia="Calibri"/>
          <w:lang w:val="es-ES" w:eastAsia="en-US"/>
        </w:rPr>
        <w:t>Universidad de Ciencias Médicas de Ciego de Ávila. Policlínico Comunitario Sur. Ciego de Ávila</w:t>
      </w:r>
      <w:r w:rsidRPr="00EC2BF0">
        <w:rPr>
          <w:rFonts w:eastAsia="Calibri"/>
          <w:b/>
          <w:lang w:val="es-ES" w:eastAsia="en-US"/>
        </w:rPr>
        <w:t xml:space="preserve">, </w:t>
      </w:r>
      <w:r w:rsidRPr="00EC2BF0">
        <w:rPr>
          <w:rFonts w:eastAsia="Calibri"/>
          <w:lang w:val="es-ES" w:eastAsia="en-US"/>
        </w:rPr>
        <w:t>Cuba.</w:t>
      </w:r>
    </w:p>
    <w:p w14:paraId="55C927B8" w14:textId="77777777" w:rsidR="00EC2BF0" w:rsidRPr="00EC2BF0" w:rsidRDefault="00EC2BF0" w:rsidP="00EC2BF0">
      <w:pPr>
        <w:spacing w:line="360" w:lineRule="auto"/>
        <w:jc w:val="both"/>
        <w:rPr>
          <w:rFonts w:eastAsia="Calibri"/>
          <w:lang w:val="es-ES" w:eastAsia="en-US"/>
        </w:rPr>
      </w:pPr>
      <w:r w:rsidRPr="00EC2BF0">
        <w:rPr>
          <w:rFonts w:eastAsia="Calibri"/>
          <w:vertAlign w:val="superscript"/>
          <w:lang w:val="es-ES" w:eastAsia="en-US"/>
        </w:rPr>
        <w:t>3</w:t>
      </w:r>
      <w:r w:rsidRPr="00EC2BF0">
        <w:rPr>
          <w:rFonts w:eastAsia="Calibri"/>
          <w:lang w:val="es-ES" w:eastAsia="en-US"/>
        </w:rPr>
        <w:t>Centro de idiomas. Universidad de Granma. Granma, Cuba.</w:t>
      </w:r>
    </w:p>
    <w:p w14:paraId="21059716" w14:textId="77777777" w:rsidR="00EC2BF0" w:rsidRPr="00EC2BF0" w:rsidRDefault="00EC2BF0" w:rsidP="00EC2BF0">
      <w:pPr>
        <w:spacing w:line="360" w:lineRule="auto"/>
        <w:rPr>
          <w:rFonts w:ascii="Calibri" w:eastAsia="Calibri" w:hAnsi="Calibri"/>
          <w:sz w:val="22"/>
          <w:szCs w:val="22"/>
          <w:lang w:val="es-ES" w:eastAsia="en-US"/>
        </w:rPr>
      </w:pPr>
    </w:p>
    <w:p w14:paraId="6E81E747" w14:textId="77777777" w:rsidR="00EC2BF0" w:rsidRPr="00EC2BF0" w:rsidRDefault="00EC2BF0" w:rsidP="00EC2BF0">
      <w:pPr>
        <w:spacing w:line="360" w:lineRule="auto"/>
        <w:rPr>
          <w:rFonts w:eastAsia="Calibri"/>
          <w:lang w:val="es-ES" w:eastAsia="en-US"/>
        </w:rPr>
      </w:pPr>
      <w:r w:rsidRPr="00EC2BF0">
        <w:rPr>
          <w:rFonts w:eastAsia="Calibri"/>
          <w:lang w:val="es-ES" w:eastAsia="en-US"/>
        </w:rPr>
        <w:t xml:space="preserve">*Autor para la correspondencia. Correo electrónico: </w:t>
      </w:r>
      <w:hyperlink r:id="rId11" w:history="1">
        <w:r w:rsidRPr="00EC2BF0">
          <w:rPr>
            <w:rFonts w:eastAsia="Calibri"/>
            <w:color w:val="0000FF"/>
            <w:u w:val="single"/>
            <w:lang w:val="es-ES" w:eastAsia="en-US"/>
          </w:rPr>
          <w:t>abrahancesar1981@gmail.com</w:t>
        </w:r>
      </w:hyperlink>
      <w:r w:rsidRPr="00EC2BF0">
        <w:rPr>
          <w:rFonts w:eastAsia="Calibri"/>
          <w:lang w:val="es-ES" w:eastAsia="en-US"/>
        </w:rPr>
        <w:t xml:space="preserve"> </w:t>
      </w:r>
    </w:p>
    <w:p w14:paraId="08928928" w14:textId="77777777" w:rsidR="00EC2BF0" w:rsidRPr="00EC2BF0" w:rsidRDefault="00EC2BF0" w:rsidP="00EC2BF0">
      <w:pPr>
        <w:spacing w:line="360" w:lineRule="auto"/>
        <w:jc w:val="both"/>
        <w:rPr>
          <w:rFonts w:eastAsia="Calibri"/>
          <w:lang w:val="es-ES" w:eastAsia="en-US"/>
        </w:rPr>
      </w:pPr>
    </w:p>
    <w:p w14:paraId="78A46878" w14:textId="77777777" w:rsidR="00EC2BF0" w:rsidRPr="00EC2BF0" w:rsidRDefault="00EC2BF0" w:rsidP="00EC2BF0">
      <w:pPr>
        <w:spacing w:line="360" w:lineRule="auto"/>
        <w:jc w:val="both"/>
        <w:rPr>
          <w:rFonts w:eastAsia="Calibri"/>
          <w:b/>
          <w:lang w:val="es-ES" w:eastAsia="en-US"/>
        </w:rPr>
      </w:pPr>
      <w:r w:rsidRPr="00EC2BF0">
        <w:rPr>
          <w:rFonts w:eastAsia="Calibri"/>
          <w:b/>
          <w:lang w:val="es-ES" w:eastAsia="en-US"/>
        </w:rPr>
        <w:t>RESUMEN</w:t>
      </w:r>
    </w:p>
    <w:p w14:paraId="5648B27D" w14:textId="77777777" w:rsidR="00EC2BF0" w:rsidRPr="00EC2BF0" w:rsidRDefault="00EC2BF0" w:rsidP="00EC2BF0">
      <w:pPr>
        <w:spacing w:line="360" w:lineRule="auto"/>
        <w:jc w:val="both"/>
        <w:rPr>
          <w:rFonts w:eastAsia="Calibri"/>
          <w:lang w:val="es-ES" w:eastAsia="en-US"/>
        </w:rPr>
      </w:pPr>
      <w:r w:rsidRPr="00EC2BF0">
        <w:rPr>
          <w:rFonts w:eastAsia="Calibri"/>
          <w:b/>
          <w:lang w:val="es-ES" w:eastAsia="en-US"/>
        </w:rPr>
        <w:t xml:space="preserve">Introducción: </w:t>
      </w:r>
      <w:r w:rsidRPr="00EC2BF0">
        <w:rPr>
          <w:rFonts w:eastAsia="Calibri"/>
          <w:lang w:val="es-ES" w:eastAsia="en-US"/>
        </w:rPr>
        <w:t xml:space="preserve">La COVID-19 ha provocado una crisis sanitaria sin precedentes, al tratarse de una enfermedad emergente, inédita y con alta transmisibilidad. Nuevas cepas diferentes a la variante original del virus, ya han sido identificadas, lo que pudiera significar un cambio en sus patrones de presentación clínica. </w:t>
      </w:r>
    </w:p>
    <w:p w14:paraId="3DF438A8" w14:textId="77777777" w:rsidR="00EC2BF0" w:rsidRPr="00EC2BF0" w:rsidRDefault="00EC2BF0" w:rsidP="00EC2BF0">
      <w:pPr>
        <w:spacing w:line="360" w:lineRule="auto"/>
        <w:jc w:val="both"/>
        <w:rPr>
          <w:rFonts w:eastAsia="Calibri"/>
          <w:lang w:val="es-ES" w:eastAsia="en-US"/>
        </w:rPr>
      </w:pPr>
      <w:r w:rsidRPr="00EC2BF0">
        <w:rPr>
          <w:rFonts w:eastAsia="Calibri"/>
          <w:b/>
          <w:lang w:val="es-ES" w:eastAsia="en-US"/>
        </w:rPr>
        <w:t>Objetivo:</w:t>
      </w:r>
      <w:r w:rsidRPr="00EC2BF0">
        <w:rPr>
          <w:rFonts w:eastAsia="Calibri"/>
          <w:lang w:val="es-ES" w:eastAsia="en-US"/>
        </w:rPr>
        <w:t xml:space="preserve"> Describir las manifestaciones digestivas en pacientes hospitalizados por la COVID-19.</w:t>
      </w:r>
    </w:p>
    <w:p w14:paraId="5D2E574D" w14:textId="77777777" w:rsidR="00EC2BF0" w:rsidRPr="00EC2BF0" w:rsidRDefault="00EC2BF0" w:rsidP="00EC2BF0">
      <w:pPr>
        <w:spacing w:line="360" w:lineRule="auto"/>
        <w:jc w:val="both"/>
        <w:rPr>
          <w:rFonts w:eastAsia="Calibri"/>
          <w:b/>
          <w:lang w:val="es-ES" w:eastAsia="en-US"/>
        </w:rPr>
      </w:pPr>
      <w:r w:rsidRPr="00EC2BF0">
        <w:rPr>
          <w:rFonts w:eastAsia="Calibri"/>
          <w:b/>
          <w:lang w:val="es-ES" w:eastAsia="en-US"/>
        </w:rPr>
        <w:t xml:space="preserve">Métodos: </w:t>
      </w:r>
      <w:r w:rsidRPr="00EC2BF0">
        <w:rPr>
          <w:rFonts w:eastAsia="Calibri"/>
          <w:lang w:val="es-ES" w:eastAsia="en-US"/>
        </w:rPr>
        <w:t xml:space="preserve">Se realizó un estudio descriptivo, de tipo prospectivo en pacientes diagnosticados con la COVID-19, ingresados entre los meses de julio y septiembre del 2021. Se estudiaron 136 pacientes seleccionados. A cada paciente seleccionado se le confeccionó su historia clínica individual. Se midieron las variables: sexo, edad, comorbilidades, presencia de manifestaciones digestivas y duración de los </w:t>
      </w:r>
      <w:r w:rsidRPr="00EC2BF0">
        <w:rPr>
          <w:rFonts w:eastAsia="Calibri"/>
          <w:lang w:val="es-ES" w:eastAsia="en-US"/>
        </w:rPr>
        <w:lastRenderedPageBreak/>
        <w:t xml:space="preserve">síntomas digestivos. Se calculó la media y desviación estándar para la duración de los síntomas digestivos, y en las restantes variables los resultados fueron expresados en frecuencia absoluta y porcientos. </w:t>
      </w:r>
    </w:p>
    <w:p w14:paraId="55D80FBF" w14:textId="77777777" w:rsidR="00EC2BF0" w:rsidRPr="00EC2BF0" w:rsidRDefault="00EC2BF0" w:rsidP="00EC2BF0">
      <w:pPr>
        <w:spacing w:line="360" w:lineRule="auto"/>
        <w:jc w:val="both"/>
        <w:rPr>
          <w:rFonts w:eastAsia="Calibri"/>
          <w:b/>
          <w:lang w:val="es-ES" w:eastAsia="en-US"/>
        </w:rPr>
      </w:pPr>
      <w:r w:rsidRPr="00EC2BF0">
        <w:rPr>
          <w:rFonts w:eastAsia="Calibri"/>
          <w:b/>
          <w:lang w:val="es-ES" w:eastAsia="en-US"/>
        </w:rPr>
        <w:t xml:space="preserve">Resultados: </w:t>
      </w:r>
      <w:r w:rsidRPr="00EC2BF0">
        <w:rPr>
          <w:rFonts w:eastAsia="Calibri"/>
          <w:lang w:val="es-ES" w:eastAsia="en-US"/>
        </w:rPr>
        <w:t>Las manifestaciones digestivas estuvieron presentes en el 58,8 % de los pacientes. La diarrea se presentó en el 29,4 %, con una media de duración de 1,9 días aproximadamente y fue el síntoma digestivo más precoz de todos los identificados. Las náuseas y la anorexia se presentaron en el 25 %, sin embargo, fue la anorexia el síntoma de mayor duración, con un máximo de 10 días.</w:t>
      </w:r>
    </w:p>
    <w:p w14:paraId="5CE0E601" w14:textId="77777777" w:rsidR="00EC2BF0" w:rsidRPr="00EC2BF0" w:rsidRDefault="00EC2BF0" w:rsidP="00EC2BF0">
      <w:pPr>
        <w:spacing w:line="360" w:lineRule="auto"/>
        <w:jc w:val="both"/>
        <w:rPr>
          <w:rFonts w:eastAsia="Calibri"/>
          <w:lang w:val="es-ES" w:eastAsia="en-US"/>
        </w:rPr>
      </w:pPr>
      <w:r w:rsidRPr="00EC2BF0">
        <w:rPr>
          <w:rFonts w:eastAsia="Calibri"/>
          <w:b/>
          <w:lang w:val="es-ES" w:eastAsia="en-US"/>
        </w:rPr>
        <w:t xml:space="preserve">Conclusiones: </w:t>
      </w:r>
      <w:r w:rsidRPr="00EC2BF0">
        <w:rPr>
          <w:rFonts w:eastAsia="Calibri"/>
          <w:lang w:val="es-ES" w:eastAsia="en-US"/>
        </w:rPr>
        <w:t xml:space="preserve">Las manifestaciones digestivas en pacientes hospitalizados con la COVID-19 fueron: diarreas, náuseas, vómitos, epigastralgia, anorexia y dispepsia, de ellas, las de más frecuente presentación fueron: diarreas, náuseas y la anorexia. </w:t>
      </w:r>
    </w:p>
    <w:p w14:paraId="3AE4A97A" w14:textId="589BB818" w:rsidR="00EC2BF0" w:rsidRPr="00EC2BF0" w:rsidRDefault="00EC2BF0" w:rsidP="00EC2BF0">
      <w:pPr>
        <w:spacing w:line="360" w:lineRule="auto"/>
        <w:jc w:val="both"/>
        <w:rPr>
          <w:rFonts w:eastAsia="Calibri"/>
          <w:b/>
          <w:lang w:val="es-ES" w:eastAsia="en-US"/>
        </w:rPr>
      </w:pPr>
      <w:r w:rsidRPr="00EC2BF0">
        <w:rPr>
          <w:rFonts w:eastAsia="Calibri"/>
          <w:b/>
          <w:lang w:val="es-ES" w:eastAsia="en-US"/>
        </w:rPr>
        <w:t xml:space="preserve">Palabras clave: </w:t>
      </w:r>
      <w:r w:rsidRPr="00EC2BF0">
        <w:rPr>
          <w:rFonts w:eastAsia="Calibri"/>
          <w:iCs/>
          <w:lang w:val="es-ES" w:eastAsia="en-US"/>
        </w:rPr>
        <w:t>SARS- CoV-2; COVID-19; síntomas digestivos</w:t>
      </w:r>
      <w:r w:rsidR="00474D46">
        <w:rPr>
          <w:rFonts w:eastAsia="Calibri"/>
          <w:iCs/>
          <w:lang w:val="es-ES" w:eastAsia="en-US"/>
        </w:rPr>
        <w:t>;</w:t>
      </w:r>
      <w:r w:rsidRPr="00EC2BF0">
        <w:rPr>
          <w:rFonts w:eastAsia="Calibri"/>
          <w:iCs/>
          <w:lang w:val="es-ES" w:eastAsia="en-US"/>
        </w:rPr>
        <w:t xml:space="preserve"> coronavirus.</w:t>
      </w:r>
    </w:p>
    <w:p w14:paraId="7146837C" w14:textId="77777777" w:rsidR="00EC2BF0" w:rsidRPr="00EC2BF0" w:rsidRDefault="00EC2BF0" w:rsidP="00EC2BF0">
      <w:pPr>
        <w:spacing w:line="360" w:lineRule="auto"/>
        <w:jc w:val="both"/>
        <w:rPr>
          <w:rFonts w:eastAsia="Calibri"/>
          <w:b/>
          <w:lang w:val="es-419" w:eastAsia="en-US"/>
        </w:rPr>
      </w:pPr>
    </w:p>
    <w:p w14:paraId="392F27E7" w14:textId="77777777" w:rsidR="00EC2BF0" w:rsidRPr="00EC2BF0" w:rsidRDefault="00EC2BF0" w:rsidP="00EC2BF0">
      <w:pPr>
        <w:spacing w:line="360" w:lineRule="auto"/>
        <w:jc w:val="both"/>
        <w:rPr>
          <w:rFonts w:eastAsia="Calibri"/>
          <w:b/>
          <w:lang w:val="en-US" w:eastAsia="en-US"/>
        </w:rPr>
      </w:pPr>
      <w:r w:rsidRPr="00EC2BF0">
        <w:rPr>
          <w:rFonts w:eastAsia="Calibri"/>
          <w:b/>
          <w:lang w:val="en-US" w:eastAsia="en-US"/>
        </w:rPr>
        <w:t>ABSTRACT</w:t>
      </w:r>
    </w:p>
    <w:p w14:paraId="611AAC7F" w14:textId="77777777" w:rsidR="00EC2BF0" w:rsidRPr="00EC2BF0" w:rsidRDefault="00EC2BF0" w:rsidP="00EC2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n-US"/>
        </w:rPr>
      </w:pPr>
      <w:r w:rsidRPr="00EC2BF0">
        <w:rPr>
          <w:b/>
          <w:lang w:val="en" w:eastAsia="en-US"/>
        </w:rPr>
        <w:t>Introduction:</w:t>
      </w:r>
      <w:r w:rsidRPr="00EC2BF0">
        <w:rPr>
          <w:lang w:val="en" w:eastAsia="en-US"/>
        </w:rPr>
        <w:t xml:space="preserve"> COVID-19 has caused an unprecedented health crisis, as it is an emerging, unprecedented disease with high transmissibility. New different strains from the original variant of the virus have already been identified, which could mean a change in its clinical presentation patterns.</w:t>
      </w:r>
    </w:p>
    <w:p w14:paraId="57586D56" w14:textId="77777777" w:rsidR="00EC2BF0" w:rsidRPr="00EC2BF0" w:rsidRDefault="00EC2BF0" w:rsidP="00EC2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n-US"/>
        </w:rPr>
      </w:pPr>
      <w:r w:rsidRPr="00EC2BF0">
        <w:rPr>
          <w:b/>
          <w:lang w:val="en" w:eastAsia="en-US"/>
        </w:rPr>
        <w:t>Objective:</w:t>
      </w:r>
      <w:r w:rsidRPr="00EC2BF0">
        <w:rPr>
          <w:lang w:val="en" w:eastAsia="en-US"/>
        </w:rPr>
        <w:t xml:space="preserve"> To describe the digestive manifestations in patients hospitalized due to COVID-19. </w:t>
      </w:r>
    </w:p>
    <w:p w14:paraId="766756FA" w14:textId="77777777" w:rsidR="00EC2BF0" w:rsidRPr="00EC2BF0" w:rsidRDefault="00EC2BF0" w:rsidP="00EC2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n-US"/>
        </w:rPr>
      </w:pPr>
      <w:r w:rsidRPr="00EC2BF0">
        <w:rPr>
          <w:b/>
          <w:lang w:val="en" w:eastAsia="en-US"/>
        </w:rPr>
        <w:t>Methods:</w:t>
      </w:r>
      <w:r w:rsidRPr="00EC2BF0">
        <w:rPr>
          <w:lang w:val="en" w:eastAsia="en-US"/>
        </w:rPr>
        <w:t xml:space="preserve"> A descriptive, prospective study was carried out in patients diagnosed with COVID-19, admitted among the months of July and September 2021; 136 patients were studied. Each selected patient had the individual medical record compiled. The variables taken into consideration were sex, age, comorbidities, presence of digestive manifestations and duration of digestive symptoms. The average and standard deviation for the duration of the digestive symptoms were calculated, and in the remaining variables, the results were expressed in absolute frequency and percentages.</w:t>
      </w:r>
    </w:p>
    <w:p w14:paraId="7580B3BF" w14:textId="77777777" w:rsidR="00EC2BF0" w:rsidRPr="00EC2BF0" w:rsidRDefault="00EC2BF0" w:rsidP="00EC2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n-US"/>
        </w:rPr>
      </w:pPr>
      <w:r w:rsidRPr="00EC2BF0">
        <w:rPr>
          <w:b/>
          <w:lang w:val="en" w:eastAsia="en-US"/>
        </w:rPr>
        <w:t>Results:</w:t>
      </w:r>
      <w:r w:rsidRPr="00EC2BF0">
        <w:rPr>
          <w:lang w:val="en" w:eastAsia="en-US"/>
        </w:rPr>
        <w:t xml:space="preserve"> Digestive manifestations were present in 58,8 % of the patients. Diarrhea occurred in 29,4 %, a</w:t>
      </w:r>
      <w:r w:rsidRPr="00EC2BF0">
        <w:rPr>
          <w:rFonts w:ascii="Calibri" w:eastAsia="Calibri" w:hAnsi="Calibri"/>
          <w:sz w:val="22"/>
          <w:szCs w:val="22"/>
          <w:lang w:val="en-US" w:eastAsia="en-US"/>
        </w:rPr>
        <w:t xml:space="preserve"> </w:t>
      </w:r>
      <w:r w:rsidRPr="00EC2BF0">
        <w:rPr>
          <w:lang w:val="en" w:eastAsia="en-US"/>
        </w:rPr>
        <w:t>with an average duration of approximately 1,9 days, and was the earliest digestive symptom of all those identified. Nausea and anorexia occurred in 25 %; anorexia was the symptom that lasted the longest, with a maximum of 10 days.</w:t>
      </w:r>
    </w:p>
    <w:p w14:paraId="657C9B33" w14:textId="77777777" w:rsidR="00EC2BF0" w:rsidRPr="00EC2BF0" w:rsidRDefault="00EC2BF0" w:rsidP="00EC2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n-US"/>
        </w:rPr>
      </w:pPr>
      <w:r w:rsidRPr="00EC2BF0">
        <w:rPr>
          <w:b/>
          <w:lang w:val="en" w:eastAsia="en-US"/>
        </w:rPr>
        <w:lastRenderedPageBreak/>
        <w:t>Conclusions:</w:t>
      </w:r>
      <w:r w:rsidRPr="00EC2BF0">
        <w:rPr>
          <w:lang w:val="en" w:eastAsia="en-US"/>
        </w:rPr>
        <w:t xml:space="preserve"> The digestive manifestations in hospitalized patients with COVID-19 were diarrhea, nausea, vomiting, epigastric pain, anorexia and dyspepsia, of which the most frequent presentation was: diarrhea, nausea and anorexia.</w:t>
      </w:r>
    </w:p>
    <w:p w14:paraId="4F8DD4EC" w14:textId="24DA8411" w:rsidR="00EC2BF0" w:rsidRPr="00EC2BF0" w:rsidRDefault="00EC2BF0" w:rsidP="00DA1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lang w:val="en" w:eastAsia="en-US"/>
        </w:rPr>
      </w:pPr>
      <w:r w:rsidRPr="00EC2BF0">
        <w:rPr>
          <w:rFonts w:eastAsia="Calibri"/>
          <w:b/>
          <w:bCs/>
          <w:lang w:val="en" w:eastAsia="en-US"/>
        </w:rPr>
        <w:t>Keywords:</w:t>
      </w:r>
      <w:r w:rsidRPr="00EC2BF0">
        <w:rPr>
          <w:rFonts w:eastAsia="Calibri"/>
          <w:lang w:val="en" w:eastAsia="en-US"/>
        </w:rPr>
        <w:t xml:space="preserve"> SARS-CoV-2; COVID-19; digestive symptoms</w:t>
      </w:r>
      <w:r w:rsidR="00474D46">
        <w:rPr>
          <w:rFonts w:eastAsia="Calibri"/>
          <w:lang w:val="en" w:eastAsia="en-US"/>
        </w:rPr>
        <w:t>;</w:t>
      </w:r>
      <w:r w:rsidRPr="00EC2BF0">
        <w:rPr>
          <w:rFonts w:eastAsia="Calibri"/>
          <w:lang w:val="en" w:eastAsia="en-US"/>
        </w:rPr>
        <w:t xml:space="preserve"> coronavirus.</w:t>
      </w:r>
    </w:p>
    <w:p w14:paraId="0F2E3FC6" w14:textId="77777777" w:rsidR="00EC2BF0" w:rsidRPr="00EC2BF0" w:rsidRDefault="00EC2BF0" w:rsidP="00EC2BF0">
      <w:pPr>
        <w:spacing w:line="360" w:lineRule="auto"/>
        <w:rPr>
          <w:rFonts w:ascii="Calibri" w:eastAsia="Calibri" w:hAnsi="Calibri"/>
          <w:sz w:val="20"/>
          <w:szCs w:val="20"/>
          <w:lang w:val="en" w:eastAsia="en-US"/>
        </w:rPr>
      </w:pPr>
    </w:p>
    <w:p w14:paraId="7C5140D4" w14:textId="77777777" w:rsidR="00EC2BF0" w:rsidRPr="00EC2BF0" w:rsidRDefault="00EC2BF0" w:rsidP="00EC2BF0">
      <w:pPr>
        <w:spacing w:line="360" w:lineRule="auto"/>
        <w:rPr>
          <w:rFonts w:ascii="Calibri" w:eastAsia="Calibri" w:hAnsi="Calibri"/>
          <w:sz w:val="20"/>
          <w:szCs w:val="20"/>
          <w:lang w:val="en" w:eastAsia="en-US"/>
        </w:rPr>
      </w:pPr>
    </w:p>
    <w:p w14:paraId="5431042B" w14:textId="77777777" w:rsidR="00EC2BF0" w:rsidRPr="00EC2BF0" w:rsidRDefault="00EC2BF0" w:rsidP="00EC2BF0">
      <w:pPr>
        <w:spacing w:line="360" w:lineRule="auto"/>
        <w:rPr>
          <w:rFonts w:eastAsia="Calibri"/>
          <w:lang w:val="es-CU" w:eastAsia="en-US"/>
        </w:rPr>
      </w:pPr>
      <w:r w:rsidRPr="00EC2BF0">
        <w:rPr>
          <w:rFonts w:eastAsia="Calibri"/>
          <w:lang w:val="es-CU" w:eastAsia="en-US"/>
        </w:rPr>
        <w:t>Recibido: 21/02/2022</w:t>
      </w:r>
    </w:p>
    <w:p w14:paraId="7779C8E6" w14:textId="77777777" w:rsidR="00EC2BF0" w:rsidRPr="00EC2BF0" w:rsidRDefault="00EC2BF0" w:rsidP="00EC2BF0">
      <w:pPr>
        <w:spacing w:line="360" w:lineRule="auto"/>
        <w:rPr>
          <w:rFonts w:eastAsia="Calibri"/>
          <w:lang w:val="es-CU" w:eastAsia="en-US"/>
        </w:rPr>
      </w:pPr>
      <w:r w:rsidRPr="00EC2BF0">
        <w:rPr>
          <w:rFonts w:eastAsia="Calibri"/>
          <w:lang w:val="es-CU" w:eastAsia="en-US"/>
        </w:rPr>
        <w:t>Aprobado: 25/05/2022</w:t>
      </w:r>
    </w:p>
    <w:p w14:paraId="161D133F" w14:textId="77777777" w:rsidR="00EC2BF0" w:rsidRPr="00EC2BF0" w:rsidRDefault="00EC2BF0" w:rsidP="00EC2BF0">
      <w:pPr>
        <w:spacing w:line="360" w:lineRule="auto"/>
        <w:rPr>
          <w:rFonts w:eastAsia="Calibri"/>
          <w:lang w:val="es-CU" w:eastAsia="en-US"/>
        </w:rPr>
      </w:pPr>
    </w:p>
    <w:p w14:paraId="74781CBE" w14:textId="77777777" w:rsidR="00EC2BF0" w:rsidRPr="00EC2BF0" w:rsidRDefault="00EC2BF0" w:rsidP="00EC2BF0">
      <w:pPr>
        <w:spacing w:line="360" w:lineRule="auto"/>
        <w:jc w:val="both"/>
        <w:rPr>
          <w:rFonts w:eastAsia="Calibri"/>
          <w:b/>
          <w:lang w:val="es-CU" w:eastAsia="en-US"/>
        </w:rPr>
      </w:pPr>
    </w:p>
    <w:p w14:paraId="3EF3A274" w14:textId="77777777" w:rsidR="00EC2BF0" w:rsidRPr="00EC2BF0" w:rsidRDefault="00EC2BF0" w:rsidP="00EC2BF0">
      <w:pPr>
        <w:spacing w:line="360" w:lineRule="auto"/>
        <w:jc w:val="center"/>
        <w:rPr>
          <w:rFonts w:eastAsia="Calibri"/>
          <w:b/>
          <w:sz w:val="32"/>
          <w:szCs w:val="32"/>
          <w:lang w:val="es-ES" w:eastAsia="en-US"/>
        </w:rPr>
      </w:pPr>
      <w:r w:rsidRPr="00EC2BF0">
        <w:rPr>
          <w:rFonts w:eastAsia="Calibri"/>
          <w:b/>
          <w:sz w:val="32"/>
          <w:szCs w:val="32"/>
          <w:lang w:val="es-ES" w:eastAsia="en-US"/>
        </w:rPr>
        <w:t>INTRODUCCIÓN</w:t>
      </w:r>
    </w:p>
    <w:p w14:paraId="23AC18AE"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 xml:space="preserve">Desde tiempos remotos las epidemias han acompañado a la humanidad y prueba de ello son las huellas encontradas en restos de esqueletos milenarios, así como la información registrada en documentos de la antigüedad. Siempre ha sido un reto para el hombre, en cada momento de su evolución, controlar estas calamidades con los medios que ha tenido a su </w:t>
      </w:r>
      <w:proofErr w:type="gramStart"/>
      <w:r w:rsidRPr="00EC2BF0">
        <w:rPr>
          <w:rFonts w:eastAsia="Calibri"/>
          <w:lang w:val="es-ES" w:eastAsia="en-US"/>
        </w:rPr>
        <w:t>alcance.</w:t>
      </w:r>
      <w:r w:rsidRPr="00EC2BF0">
        <w:rPr>
          <w:rFonts w:eastAsia="Calibri"/>
          <w:vertAlign w:val="superscript"/>
          <w:lang w:val="es-ES" w:eastAsia="en-US"/>
        </w:rPr>
        <w:t>(</w:t>
      </w:r>
      <w:proofErr w:type="gramEnd"/>
      <w:r w:rsidRPr="00EC2BF0">
        <w:rPr>
          <w:rFonts w:eastAsia="Calibri"/>
          <w:vertAlign w:val="superscript"/>
          <w:lang w:val="es-ES" w:eastAsia="en-US"/>
        </w:rPr>
        <w:t>1)</w:t>
      </w:r>
      <w:r w:rsidRPr="00EC2BF0">
        <w:rPr>
          <w:rFonts w:eastAsia="Calibri"/>
          <w:lang w:val="es-ES" w:eastAsia="en-US"/>
        </w:rPr>
        <w:t xml:space="preserve"> </w:t>
      </w:r>
    </w:p>
    <w:p w14:paraId="1C3B8B34"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 xml:space="preserve">El siglo XXI, desde sus comienzos, se ha caracterizado por una problemática de salud con afectación a escala mundial y también en Cuba: la aparición de enfermedades infecciosas emergentes y reemergentes, la resistencia microbiana, el aumento de la incidencia y prevalencia de las enfermedades crónicas no transmisibles y el aumento de la incidencia del </w:t>
      </w:r>
      <w:proofErr w:type="gramStart"/>
      <w:r w:rsidRPr="00EC2BF0">
        <w:rPr>
          <w:rFonts w:eastAsia="Calibri"/>
          <w:lang w:val="es-ES" w:eastAsia="en-US"/>
        </w:rPr>
        <w:t>cáncer.</w:t>
      </w:r>
      <w:r w:rsidRPr="00EC2BF0">
        <w:rPr>
          <w:rFonts w:eastAsia="Calibri"/>
          <w:vertAlign w:val="superscript"/>
          <w:lang w:val="es-ES" w:eastAsia="en-US"/>
        </w:rPr>
        <w:t>(</w:t>
      </w:r>
      <w:proofErr w:type="gramEnd"/>
      <w:r w:rsidRPr="00EC2BF0">
        <w:rPr>
          <w:rFonts w:eastAsia="Calibri"/>
          <w:vertAlign w:val="superscript"/>
          <w:lang w:val="es-ES" w:eastAsia="en-US"/>
        </w:rPr>
        <w:t xml:space="preserve">2) </w:t>
      </w:r>
    </w:p>
    <w:p w14:paraId="33580203"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 xml:space="preserve">En diciembre de 2019, la oficina de la Organización Mundial de la Salud (OMS) en China, fue informada de casos de neumonía de etiología desconocida, detectados en Wuhan y se aisló de muestras de las vías respiratorias inferiores de varios pacientes, un nuevo coronavirus, que fue llamado SARS-CoV-2. La infección se ha extendido a todas las regiones del orbe. El SARS-CoV-2 es el coronavirus productor de la COVID-19; infección potencialmente letal, declarada como pandemia el 11 de marzo del 2020 por la </w:t>
      </w:r>
      <w:proofErr w:type="gramStart"/>
      <w:r w:rsidRPr="00EC2BF0">
        <w:rPr>
          <w:rFonts w:eastAsia="Calibri"/>
          <w:lang w:val="es-ES" w:eastAsia="en-US"/>
        </w:rPr>
        <w:t>OMS.</w:t>
      </w:r>
      <w:r w:rsidRPr="00EC2BF0">
        <w:rPr>
          <w:rFonts w:eastAsia="Calibri"/>
          <w:vertAlign w:val="superscript"/>
          <w:lang w:val="es-ES" w:eastAsia="en-US"/>
        </w:rPr>
        <w:t>(</w:t>
      </w:r>
      <w:proofErr w:type="gramEnd"/>
      <w:r w:rsidRPr="00EC2BF0">
        <w:rPr>
          <w:rFonts w:eastAsia="Calibri"/>
          <w:vertAlign w:val="superscript"/>
          <w:lang w:val="es-ES" w:eastAsia="en-US"/>
        </w:rPr>
        <w:t xml:space="preserve">3,4) </w:t>
      </w:r>
    </w:p>
    <w:p w14:paraId="525208CD"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Los coronavirus (</w:t>
      </w:r>
      <w:proofErr w:type="spellStart"/>
      <w:r w:rsidRPr="00EC2BF0">
        <w:rPr>
          <w:rFonts w:eastAsia="Calibri"/>
          <w:lang w:val="es-ES" w:eastAsia="en-US"/>
        </w:rPr>
        <w:t>CoV</w:t>
      </w:r>
      <w:proofErr w:type="spellEnd"/>
      <w:r w:rsidRPr="00EC2BF0">
        <w:rPr>
          <w:rFonts w:eastAsia="Calibri"/>
          <w:lang w:val="es-ES" w:eastAsia="en-US"/>
        </w:rPr>
        <w:t xml:space="preserve">) son virus ARN de sentido positivo, encapsulados y no segmentados, de varios tipos (alfa, beta, gamma y delta), que generalmente causan enfermedades entéricas y respiratorias en animales y </w:t>
      </w:r>
      <w:proofErr w:type="gramStart"/>
      <w:r w:rsidRPr="00EC2BF0">
        <w:rPr>
          <w:rFonts w:eastAsia="Calibri"/>
          <w:lang w:val="es-ES" w:eastAsia="en-US"/>
        </w:rPr>
        <w:t>humanos.</w:t>
      </w:r>
      <w:r w:rsidRPr="00EC2BF0">
        <w:rPr>
          <w:rFonts w:eastAsia="Calibri"/>
          <w:vertAlign w:val="superscript"/>
          <w:lang w:val="es-ES" w:eastAsia="en-US"/>
        </w:rPr>
        <w:t>(</w:t>
      </w:r>
      <w:proofErr w:type="gramEnd"/>
      <w:r w:rsidRPr="00EC2BF0">
        <w:rPr>
          <w:rFonts w:eastAsia="Calibri"/>
          <w:vertAlign w:val="superscript"/>
          <w:lang w:val="es-ES" w:eastAsia="en-US"/>
        </w:rPr>
        <w:t xml:space="preserve">5) </w:t>
      </w:r>
      <w:r w:rsidRPr="00EC2BF0">
        <w:rPr>
          <w:rFonts w:eastAsia="Calibri"/>
          <w:lang w:val="es-ES" w:eastAsia="en-US"/>
        </w:rPr>
        <w:t xml:space="preserve"> En noviembre 2002, al sur de China, surgió el coronavirus del síndrome </w:t>
      </w:r>
      <w:r w:rsidRPr="00EC2BF0">
        <w:rPr>
          <w:rFonts w:eastAsia="Calibri"/>
          <w:lang w:val="es-ES" w:eastAsia="en-US"/>
        </w:rPr>
        <w:lastRenderedPageBreak/>
        <w:t>respiratorio agudo grave (SARS-</w:t>
      </w:r>
      <w:proofErr w:type="spellStart"/>
      <w:r w:rsidRPr="00EC2BF0">
        <w:rPr>
          <w:rFonts w:eastAsia="Calibri"/>
          <w:lang w:val="es-ES" w:eastAsia="en-US"/>
        </w:rPr>
        <w:t>CoV</w:t>
      </w:r>
      <w:proofErr w:type="spellEnd"/>
      <w:r w:rsidRPr="00EC2BF0">
        <w:rPr>
          <w:rFonts w:eastAsia="Calibri"/>
          <w:lang w:val="es-ES" w:eastAsia="en-US"/>
        </w:rPr>
        <w:t xml:space="preserve">), un </w:t>
      </w:r>
      <w:proofErr w:type="spellStart"/>
      <w:r w:rsidRPr="00EC2BF0">
        <w:rPr>
          <w:rFonts w:eastAsia="Calibri"/>
          <w:lang w:val="es-ES" w:eastAsia="en-US"/>
        </w:rPr>
        <w:t>betacoronavirus</w:t>
      </w:r>
      <w:proofErr w:type="spellEnd"/>
      <w:r w:rsidRPr="00EC2BF0">
        <w:rPr>
          <w:rFonts w:eastAsia="Calibri"/>
          <w:lang w:val="es-ES" w:eastAsia="en-US"/>
        </w:rPr>
        <w:t xml:space="preserve"> que infectó por lo menos a 8 000 personas y causó 774 muertes en 37 países. En el año 2012, en Arabia Saudita, surgió el coronavirus del síndrome respiratorio del Medio Oriente (MERS-</w:t>
      </w:r>
      <w:proofErr w:type="spellStart"/>
      <w:r w:rsidRPr="00EC2BF0">
        <w:rPr>
          <w:rFonts w:eastAsia="Calibri"/>
          <w:lang w:val="es-ES" w:eastAsia="en-US"/>
        </w:rPr>
        <w:t>CoV</w:t>
      </w:r>
      <w:proofErr w:type="spellEnd"/>
      <w:r w:rsidRPr="00EC2BF0">
        <w:rPr>
          <w:rFonts w:eastAsia="Calibri"/>
          <w:lang w:val="es-ES" w:eastAsia="en-US"/>
        </w:rPr>
        <w:t xml:space="preserve">), responsable de 2 494 casos y 858 </w:t>
      </w:r>
      <w:proofErr w:type="gramStart"/>
      <w:r w:rsidRPr="00EC2BF0">
        <w:rPr>
          <w:rFonts w:eastAsia="Calibri"/>
          <w:lang w:val="es-ES" w:eastAsia="en-US"/>
        </w:rPr>
        <w:t>muertes.</w:t>
      </w:r>
      <w:r w:rsidRPr="00EC2BF0">
        <w:rPr>
          <w:rFonts w:eastAsia="Calibri"/>
          <w:vertAlign w:val="superscript"/>
          <w:lang w:val="es-ES" w:eastAsia="en-US"/>
        </w:rPr>
        <w:t>(</w:t>
      </w:r>
      <w:proofErr w:type="gramEnd"/>
      <w:r w:rsidRPr="00EC2BF0">
        <w:rPr>
          <w:rFonts w:eastAsia="Calibri"/>
          <w:vertAlign w:val="superscript"/>
          <w:lang w:val="es-ES" w:eastAsia="en-US"/>
        </w:rPr>
        <w:t>4)</w:t>
      </w:r>
    </w:p>
    <w:p w14:paraId="302886E7" w14:textId="77777777" w:rsidR="00EC2BF0" w:rsidRPr="00EC2BF0" w:rsidRDefault="00EC2BF0" w:rsidP="00EC2BF0">
      <w:pPr>
        <w:spacing w:line="360" w:lineRule="auto"/>
        <w:jc w:val="both"/>
        <w:rPr>
          <w:rFonts w:eastAsia="Calibri"/>
          <w:b/>
          <w:color w:val="FF0000"/>
          <w:lang w:val="es-ES" w:eastAsia="en-US"/>
        </w:rPr>
      </w:pPr>
      <w:r w:rsidRPr="00EC2BF0">
        <w:rPr>
          <w:rFonts w:eastAsia="Calibri"/>
          <w:lang w:val="es-ES" w:eastAsia="en-US"/>
        </w:rPr>
        <w:t xml:space="preserve">La transmisión del coronavirus puede ocurrir desde individuos sintomáticos y asintomáticos. Se pueden detectar partículas de virus viables en aerosoles, hasta 3 horas después de la emisión y hasta 3 días en </w:t>
      </w:r>
      <w:proofErr w:type="gramStart"/>
      <w:r w:rsidRPr="00EC2BF0">
        <w:rPr>
          <w:rFonts w:eastAsia="Calibri"/>
          <w:lang w:val="es-ES" w:eastAsia="en-US"/>
        </w:rPr>
        <w:t>superficies.</w:t>
      </w:r>
      <w:r w:rsidRPr="00EC2BF0">
        <w:rPr>
          <w:rFonts w:eastAsia="Calibri"/>
          <w:vertAlign w:val="superscript"/>
          <w:lang w:val="es-ES" w:eastAsia="en-US"/>
        </w:rPr>
        <w:t>(</w:t>
      </w:r>
      <w:proofErr w:type="gramEnd"/>
      <w:r w:rsidRPr="00EC2BF0">
        <w:rPr>
          <w:rFonts w:eastAsia="Calibri"/>
          <w:vertAlign w:val="superscript"/>
          <w:lang w:val="es-ES" w:eastAsia="en-US"/>
        </w:rPr>
        <w:t>6)</w:t>
      </w:r>
      <w:r w:rsidRPr="00EC2BF0">
        <w:rPr>
          <w:rFonts w:eastAsia="Calibri"/>
          <w:lang w:val="es-ES" w:eastAsia="en-US"/>
        </w:rPr>
        <w:t xml:space="preserve"> </w:t>
      </w:r>
    </w:p>
    <w:p w14:paraId="1DCC0B03" w14:textId="77777777" w:rsidR="00EC2BF0" w:rsidRPr="00EC2BF0" w:rsidRDefault="00EC2BF0" w:rsidP="00EC2BF0">
      <w:pPr>
        <w:spacing w:line="360" w:lineRule="auto"/>
        <w:jc w:val="both"/>
        <w:rPr>
          <w:rFonts w:eastAsia="Calibri"/>
          <w:color w:val="FF0000"/>
          <w:lang w:val="es-ES" w:eastAsia="en-US"/>
        </w:rPr>
      </w:pPr>
      <w:r w:rsidRPr="00EC2BF0">
        <w:rPr>
          <w:rFonts w:eastAsia="Calibri"/>
          <w:lang w:val="es-ES" w:eastAsia="en-US"/>
        </w:rPr>
        <w:t>La pandemia causada por el SARS-CoV-2 ha provocado una crisis sanitaria sin precedentes; desde su aparición ha generado crecientes desafíos, pues se trata de una enfermedad emergente, inédita, con alta transmisibilidad, que ha hecho colapsar los servicios de salud, incluso en países desarrollados. Ha provocado un número significativo de muertes y una lluvia de informaciones que ha llevado a los profesionales de la salud a investigar, actuar y educar en breve tiempo.</w:t>
      </w:r>
      <w:r w:rsidRPr="00EC2BF0">
        <w:rPr>
          <w:rFonts w:eastAsia="Calibri"/>
          <w:b/>
          <w:lang w:val="es-ES" w:eastAsia="en-US"/>
        </w:rPr>
        <w:t xml:space="preserve"> </w:t>
      </w:r>
    </w:p>
    <w:p w14:paraId="37CF2352"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Aunque Cuba ha puesto todo su empeño y destinado valiosos recursos para el adecuado control de la enfermedad, se ha extendido inexorablemente por toda la isla, acompañada de brotes y rebrotes que ha puesto a prueba el sistema de salud del país. Numerosas investigaciones han permitido una mejor comprensión y enfrentamiento a la COVID-19, sin embargo, al continuar siendo una enfermedad relativamente nueva. Pese a la gran campaña de vacunación desplegada en el país para el control de la enfermedad, durante el pasado verano, la isla vivió el peor rebrote de la pandemia con elevado número de contagios y una cifra no despreciable de decesos diarios. Por otro lado, el peligro latente de nuevas mutaciones y con ellos nuevas olas de contagios, obliga a seguir de cerca su evolución y posibles modificaciones en los patrones de presentación.</w:t>
      </w:r>
    </w:p>
    <w:p w14:paraId="208AC13B"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 xml:space="preserve">Aunque varias investigaciones coinciden que la COVID-19 puede ocasionar síntomas digestivos, poco se ha investigado en Cuba al respecto; la mayoría de los estudios que hacen alusión al tema, lo hacen desde trabajos de revisión, basados principalmente en la experiencia de enfrentamiento a la enfermedad en otras latitudes. </w:t>
      </w:r>
    </w:p>
    <w:p w14:paraId="0623B001" w14:textId="77777777" w:rsidR="00EC2BF0" w:rsidRPr="00EC2BF0" w:rsidRDefault="00EC2BF0" w:rsidP="00EC2BF0">
      <w:pPr>
        <w:spacing w:line="360" w:lineRule="auto"/>
        <w:jc w:val="both"/>
        <w:rPr>
          <w:rFonts w:eastAsia="Calibri"/>
          <w:vertAlign w:val="superscript"/>
          <w:lang w:val="es-ES" w:eastAsia="en-US"/>
        </w:rPr>
      </w:pPr>
      <w:r w:rsidRPr="00EC2BF0">
        <w:rPr>
          <w:rFonts w:eastAsia="Calibri"/>
          <w:lang w:val="es-ES" w:eastAsia="en-US"/>
        </w:rPr>
        <w:t>En una investigación llevada a cabo en Holguín durante los 3 primeros meses de enfrentamiento a la enfermedad, en la que se estudian 92 casos confirmados, no se identifican o asocian los síntomas digestivos a la COVID-</w:t>
      </w:r>
      <w:proofErr w:type="gramStart"/>
      <w:r w:rsidRPr="00EC2BF0">
        <w:rPr>
          <w:rFonts w:eastAsia="Calibri"/>
          <w:lang w:val="es-ES" w:eastAsia="en-US"/>
        </w:rPr>
        <w:t>19.</w:t>
      </w:r>
      <w:r w:rsidRPr="00EC2BF0">
        <w:rPr>
          <w:rFonts w:eastAsia="Calibri"/>
          <w:vertAlign w:val="superscript"/>
          <w:lang w:val="es-ES" w:eastAsia="en-US"/>
        </w:rPr>
        <w:t>(</w:t>
      </w:r>
      <w:proofErr w:type="gramEnd"/>
      <w:r w:rsidRPr="00EC2BF0">
        <w:rPr>
          <w:rFonts w:eastAsia="Calibri"/>
          <w:vertAlign w:val="superscript"/>
          <w:lang w:val="es-ES" w:eastAsia="en-US"/>
        </w:rPr>
        <w:t>6)</w:t>
      </w:r>
      <w:r w:rsidRPr="00EC2BF0">
        <w:rPr>
          <w:rFonts w:eastAsia="Calibri"/>
          <w:lang w:val="es-ES" w:eastAsia="en-US"/>
        </w:rPr>
        <w:t xml:space="preserve"> Por otra parte, nuevas cepas diferentes a la variante original del SARS-CoV-2, más contagiosas, ya han sido identificadas por laboratorios de Cuba. Esto puede significar un </w:t>
      </w:r>
      <w:r w:rsidRPr="00EC2BF0">
        <w:rPr>
          <w:rFonts w:eastAsia="Calibri"/>
          <w:lang w:val="es-ES" w:eastAsia="en-US"/>
        </w:rPr>
        <w:lastRenderedPageBreak/>
        <w:t xml:space="preserve">cambio en sus patrones de presentación clínica, entre ellas, las manifestaciones digestivas. Según algunos investigadores, la variante delta de este coronavirus, no solo es más contagiosa que la original, sino también modifica los patrones de presentación clínica de la </w:t>
      </w:r>
      <w:proofErr w:type="gramStart"/>
      <w:r w:rsidRPr="00EC2BF0">
        <w:rPr>
          <w:rFonts w:eastAsia="Calibri"/>
          <w:lang w:val="es-ES" w:eastAsia="en-US"/>
        </w:rPr>
        <w:t>enfermedad.</w:t>
      </w:r>
      <w:r w:rsidRPr="00EC2BF0">
        <w:rPr>
          <w:rFonts w:eastAsia="Calibri"/>
          <w:vertAlign w:val="superscript"/>
          <w:lang w:val="es-ES" w:eastAsia="en-US"/>
        </w:rPr>
        <w:t>(</w:t>
      </w:r>
      <w:proofErr w:type="gramEnd"/>
      <w:r w:rsidRPr="00EC2BF0">
        <w:rPr>
          <w:rFonts w:eastAsia="Calibri"/>
          <w:vertAlign w:val="superscript"/>
          <w:lang w:val="es-ES" w:eastAsia="en-US"/>
        </w:rPr>
        <w:t>7)</w:t>
      </w:r>
    </w:p>
    <w:p w14:paraId="2223D95A"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 xml:space="preserve">El objetivo de este trabajo es describir las manifestaciones digestivas en pacientes hospitalizados por la COVID-19. </w:t>
      </w:r>
    </w:p>
    <w:p w14:paraId="54561402" w14:textId="77777777" w:rsidR="00EC2BF0" w:rsidRPr="00EC2BF0" w:rsidRDefault="00EC2BF0" w:rsidP="00EC2BF0">
      <w:pPr>
        <w:spacing w:line="360" w:lineRule="auto"/>
        <w:jc w:val="both"/>
        <w:rPr>
          <w:rFonts w:eastAsia="Calibri"/>
          <w:lang w:val="es-ES" w:eastAsia="en-US"/>
        </w:rPr>
      </w:pPr>
    </w:p>
    <w:p w14:paraId="054A610E" w14:textId="77777777" w:rsidR="00EC2BF0" w:rsidRPr="00EC2BF0" w:rsidRDefault="00EC2BF0" w:rsidP="00EC2BF0">
      <w:pPr>
        <w:spacing w:line="360" w:lineRule="auto"/>
        <w:jc w:val="center"/>
        <w:rPr>
          <w:rFonts w:eastAsia="Calibri"/>
          <w:b/>
          <w:lang w:val="es-ES" w:eastAsia="en-US"/>
        </w:rPr>
      </w:pPr>
    </w:p>
    <w:p w14:paraId="1179FEC6" w14:textId="77777777" w:rsidR="00EC2BF0" w:rsidRPr="00EC2BF0" w:rsidRDefault="00EC2BF0" w:rsidP="00EC2BF0">
      <w:pPr>
        <w:spacing w:line="360" w:lineRule="auto"/>
        <w:ind w:left="708" w:hanging="708"/>
        <w:jc w:val="center"/>
        <w:rPr>
          <w:rFonts w:eastAsia="Calibri"/>
          <w:b/>
          <w:sz w:val="32"/>
          <w:szCs w:val="32"/>
          <w:lang w:val="es-ES" w:eastAsia="en-US"/>
        </w:rPr>
      </w:pPr>
      <w:r w:rsidRPr="00EC2BF0">
        <w:rPr>
          <w:rFonts w:eastAsia="Calibri"/>
          <w:b/>
          <w:sz w:val="32"/>
          <w:szCs w:val="32"/>
          <w:lang w:val="es-ES" w:eastAsia="en-US"/>
        </w:rPr>
        <w:t>MÉTODOS</w:t>
      </w:r>
    </w:p>
    <w:p w14:paraId="102FBD9C"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 xml:space="preserve">Se realizó un estudio observacional descriptivo, de tipo serie de casos, en pacientes diagnosticados con la COVID-19, ingresados en el Hospital Clínico Quirúrgico “Lucía Íñiguez”, de la provincia Holguín. El universo de estudio estuvo constituido por todos los pacientes hospitalizados entre los meses de julio a septiembre del 2021, confirmados de infección por el SARS-CoV-2 mediante el test de reacción en cadena de la polimerasa (PCR). </w:t>
      </w:r>
    </w:p>
    <w:p w14:paraId="1289CEAF"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La serie quedó conformada por 136 pacientes que presentaron manifestaciones digestivas al ingreso o durante la estadía hospitalaria y cuya condición clínica o mental permitió la recogida de datos para las variables estudiadas.</w:t>
      </w:r>
    </w:p>
    <w:p w14:paraId="4BCACE37"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Variables estudiadas: edad (se agrupó en: menores de 60 años y con 60 o más años), sexo, comorbilidades (se consideraron los antecedentes patológicos personales recogidos en la  anamnesis), evolución clínica (se clasificó en : estable y grave o crítica, de acuerdo a los criterios clínicos establecidos en los protocolos de atención al paciente con COVID-19 por el sistema nacional de salud), manifestaciones digestivas (se consideraron los síntomas diarrea, náuseas, vómitos, epigastralgia, anorexia y dispepsia) y duración de los síntomas digestivos; para su medición se tuvo en cuenta desde el momento de aparición de la manifestaciones clínicas hasta su desaparición).</w:t>
      </w:r>
    </w:p>
    <w:p w14:paraId="3E55E820"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 xml:space="preserve">Los resultados se expresaron en frecuencias absolutas y porcentajes para las variables edad, sexo, comorbilidades, evolución clínica y manifestaciones digestivas. Para la variable duración de los síntomas digestivos se calculó la media y la desviación estándar. </w:t>
      </w:r>
    </w:p>
    <w:p w14:paraId="00B6ECCB"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lastRenderedPageBreak/>
        <w:t>Aspectos éticos: se cumplieron los principios éticos establecidos en la Declaración de Helsinki, se mantuvo la confidencialidad de la identidad de cada paciente y se obtuvo la aprobación del Comité de Ética del Hospital Clínico Quirúrgico “Lucía Íñiguez”, para realizar la investigación.</w:t>
      </w:r>
    </w:p>
    <w:p w14:paraId="04A6E112" w14:textId="77777777" w:rsidR="00EC2BF0" w:rsidRPr="00EC2BF0" w:rsidRDefault="00EC2BF0" w:rsidP="00EC2BF0">
      <w:pPr>
        <w:spacing w:line="360" w:lineRule="auto"/>
        <w:jc w:val="center"/>
        <w:rPr>
          <w:rFonts w:eastAsia="Calibri"/>
          <w:b/>
          <w:lang w:val="es-ES" w:eastAsia="en-US"/>
        </w:rPr>
      </w:pPr>
    </w:p>
    <w:p w14:paraId="1115214C" w14:textId="77777777" w:rsidR="00EC2BF0" w:rsidRPr="00EC2BF0" w:rsidRDefault="00EC2BF0" w:rsidP="00EC2BF0">
      <w:pPr>
        <w:spacing w:line="360" w:lineRule="auto"/>
        <w:jc w:val="center"/>
        <w:rPr>
          <w:rFonts w:eastAsia="Calibri"/>
          <w:b/>
          <w:lang w:val="es-ES" w:eastAsia="en-US"/>
        </w:rPr>
      </w:pPr>
    </w:p>
    <w:p w14:paraId="72AB1098" w14:textId="77777777" w:rsidR="00EC2BF0" w:rsidRPr="00EC2BF0" w:rsidRDefault="00EC2BF0" w:rsidP="00EC2BF0">
      <w:pPr>
        <w:spacing w:line="360" w:lineRule="auto"/>
        <w:jc w:val="center"/>
        <w:rPr>
          <w:rFonts w:eastAsia="Calibri"/>
          <w:b/>
          <w:sz w:val="32"/>
          <w:szCs w:val="32"/>
          <w:lang w:val="es-ES" w:eastAsia="en-US"/>
        </w:rPr>
      </w:pPr>
      <w:r w:rsidRPr="00EC2BF0">
        <w:rPr>
          <w:rFonts w:eastAsia="Calibri"/>
          <w:b/>
          <w:sz w:val="32"/>
          <w:szCs w:val="32"/>
          <w:lang w:val="es-ES" w:eastAsia="en-US"/>
        </w:rPr>
        <w:t>RESULTADOS</w:t>
      </w:r>
    </w:p>
    <w:p w14:paraId="27A889B1"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Hubo un ligero predominio de pacientes del sexo femenino (51,5 %); el grupo de pacientes con mayor frecuencia fueron los de 60 años o más (58,8 %). El 85,3 % padecía alguna enfermedad crónica y de ellos, el 47,8 % presentaba 2 o más comorbilidades. La evolución clínica hospitalaria fue estable en el 84,5 %; evolucionó a estadio grave o crítico el 15,4 % de los pacientes (tabla 1).</w:t>
      </w:r>
    </w:p>
    <w:p w14:paraId="07B71BB4" w14:textId="77777777" w:rsidR="00EC2BF0" w:rsidRPr="00EC2BF0" w:rsidRDefault="00EC2BF0" w:rsidP="00EC2BF0">
      <w:pPr>
        <w:rPr>
          <w:rFonts w:ascii="Calibri" w:eastAsia="Calibri" w:hAnsi="Calibri"/>
          <w:sz w:val="20"/>
          <w:szCs w:val="20"/>
          <w:lang w:val="es-ES" w:eastAsia="en-US"/>
        </w:rPr>
      </w:pPr>
    </w:p>
    <w:p w14:paraId="16AE780C" w14:textId="77777777" w:rsidR="00EC2BF0" w:rsidRPr="00EC2BF0" w:rsidRDefault="00EC2BF0" w:rsidP="00EC2BF0">
      <w:pPr>
        <w:spacing w:line="360" w:lineRule="auto"/>
        <w:jc w:val="center"/>
        <w:rPr>
          <w:rFonts w:eastAsia="Calibri"/>
          <w:b/>
          <w:sz w:val="22"/>
          <w:szCs w:val="22"/>
          <w:lang w:val="es-ES" w:eastAsia="en-US"/>
        </w:rPr>
      </w:pPr>
      <w:r w:rsidRPr="00EC2BF0">
        <w:rPr>
          <w:rFonts w:eastAsia="Calibri"/>
          <w:b/>
          <w:sz w:val="22"/>
          <w:szCs w:val="22"/>
          <w:lang w:val="es-ES" w:eastAsia="en-US"/>
        </w:rPr>
        <w:t xml:space="preserve">Tabla 1 - </w:t>
      </w:r>
      <w:r w:rsidRPr="00EC2BF0">
        <w:rPr>
          <w:rFonts w:eastAsia="Calibri"/>
          <w:sz w:val="22"/>
          <w:szCs w:val="22"/>
          <w:lang w:val="es-ES" w:eastAsia="en-US"/>
        </w:rPr>
        <w:t>Distribución de pacientes según características demográficas y clínicas</w:t>
      </w:r>
    </w:p>
    <w:p w14:paraId="3E402BEB" w14:textId="6079B6ED" w:rsidR="00EC2BF0" w:rsidRPr="00EC2BF0" w:rsidRDefault="00DB0AEB" w:rsidP="00EC2BF0">
      <w:pPr>
        <w:spacing w:line="360" w:lineRule="auto"/>
        <w:jc w:val="center"/>
        <w:rPr>
          <w:rFonts w:eastAsia="Calibri"/>
          <w:b/>
          <w:lang w:val="es-ES" w:eastAsia="en-US"/>
        </w:rPr>
      </w:pPr>
      <w:r>
        <w:rPr>
          <w:rFonts w:eastAsia="Calibri"/>
          <w:b/>
          <w:noProof/>
          <w:lang w:val="es-ES" w:eastAsia="en-US"/>
        </w:rPr>
        <w:drawing>
          <wp:inline distT="0" distB="0" distL="0" distR="0" wp14:anchorId="386B903E" wp14:editId="4DB30E3D">
            <wp:extent cx="2704762" cy="2742857"/>
            <wp:effectExtent l="0" t="0" r="635"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2">
                      <a:extLst>
                        <a:ext uri="{28A0092B-C50C-407E-A947-70E740481C1C}">
                          <a14:useLocalDpi xmlns:a14="http://schemas.microsoft.com/office/drawing/2010/main" val="0"/>
                        </a:ext>
                      </a:extLst>
                    </a:blip>
                    <a:stretch>
                      <a:fillRect/>
                    </a:stretch>
                  </pic:blipFill>
                  <pic:spPr>
                    <a:xfrm>
                      <a:off x="0" y="0"/>
                      <a:ext cx="2704762" cy="2742857"/>
                    </a:xfrm>
                    <a:prstGeom prst="rect">
                      <a:avLst/>
                    </a:prstGeom>
                  </pic:spPr>
                </pic:pic>
              </a:graphicData>
            </a:graphic>
          </wp:inline>
        </w:drawing>
      </w:r>
    </w:p>
    <w:p w14:paraId="3EE19BC1" w14:textId="77777777" w:rsidR="00EC2BF0" w:rsidRPr="00EC2BF0" w:rsidRDefault="00EC2BF0" w:rsidP="00EC2BF0">
      <w:pPr>
        <w:rPr>
          <w:rFonts w:ascii="Calibri" w:eastAsia="Calibri" w:hAnsi="Calibri"/>
          <w:sz w:val="20"/>
          <w:szCs w:val="20"/>
          <w:lang w:val="es-ES" w:eastAsia="en-US"/>
        </w:rPr>
      </w:pPr>
    </w:p>
    <w:p w14:paraId="70211C98"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 xml:space="preserve">En la tabla 2 se muestran las principales comorbilidades identificadas entre los 116 pacientes portadores de ellas.  Predominó la hipertensión arterial (HTA), con el 61,8 % de pacientes afectados. La diabetes mellitus y la cardiopatía isquémica, estuvieron presentes en el 22,1 % de la serie. </w:t>
      </w:r>
    </w:p>
    <w:p w14:paraId="4152D91F" w14:textId="77777777" w:rsidR="00EC2BF0" w:rsidRPr="00EC2BF0" w:rsidRDefault="00EC2BF0" w:rsidP="00EC2BF0">
      <w:pPr>
        <w:rPr>
          <w:rFonts w:ascii="Calibri" w:eastAsia="Calibri" w:hAnsi="Calibri"/>
          <w:sz w:val="20"/>
          <w:szCs w:val="20"/>
          <w:lang w:val="es-ES" w:eastAsia="en-US"/>
        </w:rPr>
      </w:pPr>
    </w:p>
    <w:p w14:paraId="096D431F" w14:textId="77777777" w:rsidR="00443E77" w:rsidRDefault="00443E77">
      <w:pPr>
        <w:rPr>
          <w:rFonts w:eastAsia="Calibri"/>
          <w:b/>
          <w:sz w:val="22"/>
          <w:szCs w:val="22"/>
          <w:lang w:val="es-ES" w:eastAsia="en-US"/>
        </w:rPr>
      </w:pPr>
      <w:r>
        <w:rPr>
          <w:rFonts w:eastAsia="Calibri"/>
          <w:b/>
          <w:sz w:val="22"/>
          <w:szCs w:val="22"/>
          <w:lang w:val="es-ES" w:eastAsia="en-US"/>
        </w:rPr>
        <w:br w:type="page"/>
      </w:r>
    </w:p>
    <w:p w14:paraId="2260554D" w14:textId="1AA3652E" w:rsidR="00EC2BF0" w:rsidRPr="00EC2BF0" w:rsidRDefault="00EC2BF0" w:rsidP="00EC2BF0">
      <w:pPr>
        <w:spacing w:line="360" w:lineRule="auto"/>
        <w:jc w:val="center"/>
        <w:rPr>
          <w:rFonts w:eastAsia="Calibri"/>
          <w:b/>
          <w:sz w:val="22"/>
          <w:szCs w:val="22"/>
          <w:lang w:val="es-ES" w:eastAsia="en-US"/>
        </w:rPr>
      </w:pPr>
      <w:r w:rsidRPr="00EC2BF0">
        <w:rPr>
          <w:rFonts w:eastAsia="Calibri"/>
          <w:b/>
          <w:sz w:val="22"/>
          <w:szCs w:val="22"/>
          <w:lang w:val="es-ES" w:eastAsia="en-US"/>
        </w:rPr>
        <w:lastRenderedPageBreak/>
        <w:t xml:space="preserve">Tabla 2 - </w:t>
      </w:r>
      <w:r w:rsidRPr="00EC2BF0">
        <w:rPr>
          <w:rFonts w:eastAsia="Calibri"/>
          <w:sz w:val="22"/>
          <w:szCs w:val="22"/>
          <w:lang w:val="es-ES" w:eastAsia="en-US"/>
        </w:rPr>
        <w:t>Distribución de pacientes según las comorbilidades (n= 116)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825"/>
        <w:gridCol w:w="923"/>
      </w:tblGrid>
      <w:tr w:rsidR="00EC2BF0" w:rsidRPr="00EC2BF0" w14:paraId="5D1CE3D4" w14:textId="77777777" w:rsidTr="00CF0388">
        <w:trPr>
          <w:jc w:val="center"/>
        </w:trPr>
        <w:tc>
          <w:tcPr>
            <w:tcW w:w="0" w:type="auto"/>
            <w:shd w:val="clear" w:color="auto" w:fill="auto"/>
            <w:vAlign w:val="center"/>
          </w:tcPr>
          <w:p w14:paraId="64B5390C" w14:textId="77777777" w:rsidR="00EC2BF0" w:rsidRPr="00EC2BF0" w:rsidRDefault="00EC2BF0" w:rsidP="00EC2BF0">
            <w:pPr>
              <w:spacing w:line="360" w:lineRule="auto"/>
              <w:jc w:val="center"/>
              <w:rPr>
                <w:rFonts w:eastAsia="Calibri"/>
                <w:b/>
                <w:bCs/>
                <w:sz w:val="18"/>
                <w:szCs w:val="18"/>
                <w:lang w:val="es-ES" w:eastAsia="en-US"/>
              </w:rPr>
            </w:pPr>
            <w:r w:rsidRPr="00EC2BF0">
              <w:rPr>
                <w:rFonts w:eastAsia="Calibri"/>
                <w:b/>
                <w:bCs/>
                <w:sz w:val="18"/>
                <w:szCs w:val="18"/>
                <w:lang w:val="es-ES" w:eastAsia="en-US"/>
              </w:rPr>
              <w:t>Comorbilidad</w:t>
            </w:r>
          </w:p>
        </w:tc>
        <w:tc>
          <w:tcPr>
            <w:tcW w:w="825" w:type="dxa"/>
            <w:shd w:val="clear" w:color="auto" w:fill="auto"/>
            <w:vAlign w:val="center"/>
          </w:tcPr>
          <w:p w14:paraId="175A658B" w14:textId="77777777" w:rsidR="00EC2BF0" w:rsidRPr="00EC2BF0" w:rsidRDefault="00EC2BF0" w:rsidP="00EC2BF0">
            <w:pPr>
              <w:spacing w:line="360" w:lineRule="auto"/>
              <w:jc w:val="center"/>
              <w:rPr>
                <w:rFonts w:eastAsia="Calibri"/>
                <w:b/>
                <w:bCs/>
                <w:sz w:val="18"/>
                <w:szCs w:val="18"/>
                <w:lang w:val="es-ES" w:eastAsia="en-US"/>
              </w:rPr>
            </w:pPr>
            <w:r w:rsidRPr="00EC2BF0">
              <w:rPr>
                <w:rFonts w:eastAsia="Calibri"/>
                <w:b/>
                <w:bCs/>
                <w:sz w:val="18"/>
                <w:szCs w:val="18"/>
                <w:lang w:val="es-ES" w:eastAsia="en-US"/>
              </w:rPr>
              <w:t>n</w:t>
            </w:r>
          </w:p>
        </w:tc>
        <w:tc>
          <w:tcPr>
            <w:tcW w:w="923" w:type="dxa"/>
            <w:shd w:val="clear" w:color="auto" w:fill="auto"/>
            <w:vAlign w:val="center"/>
          </w:tcPr>
          <w:p w14:paraId="01F6335B" w14:textId="77777777" w:rsidR="00EC2BF0" w:rsidRPr="00EC2BF0" w:rsidRDefault="00EC2BF0" w:rsidP="00EC2BF0">
            <w:pPr>
              <w:spacing w:line="360" w:lineRule="auto"/>
              <w:jc w:val="center"/>
              <w:rPr>
                <w:rFonts w:eastAsia="Calibri"/>
                <w:b/>
                <w:bCs/>
                <w:sz w:val="18"/>
                <w:szCs w:val="18"/>
                <w:lang w:val="es-ES" w:eastAsia="en-US"/>
              </w:rPr>
            </w:pPr>
            <w:r w:rsidRPr="00EC2BF0">
              <w:rPr>
                <w:rFonts w:eastAsia="Calibri"/>
                <w:b/>
                <w:bCs/>
                <w:sz w:val="18"/>
                <w:szCs w:val="18"/>
                <w:lang w:val="es-ES" w:eastAsia="en-US"/>
              </w:rPr>
              <w:t>%</w:t>
            </w:r>
          </w:p>
        </w:tc>
      </w:tr>
      <w:tr w:rsidR="00EC2BF0" w:rsidRPr="00EC2BF0" w14:paraId="7ADEF1F9" w14:textId="77777777" w:rsidTr="00CF0388">
        <w:trPr>
          <w:jc w:val="center"/>
        </w:trPr>
        <w:tc>
          <w:tcPr>
            <w:tcW w:w="0" w:type="auto"/>
            <w:shd w:val="clear" w:color="auto" w:fill="auto"/>
            <w:vAlign w:val="center"/>
          </w:tcPr>
          <w:p w14:paraId="385D1795" w14:textId="77777777" w:rsidR="00EC2BF0" w:rsidRPr="00EC2BF0" w:rsidRDefault="00EC2BF0" w:rsidP="00EC2BF0">
            <w:pPr>
              <w:spacing w:line="360" w:lineRule="auto"/>
              <w:rPr>
                <w:rFonts w:eastAsia="Calibri"/>
                <w:bCs/>
                <w:sz w:val="18"/>
                <w:szCs w:val="18"/>
                <w:lang w:val="es-ES" w:eastAsia="en-US"/>
              </w:rPr>
            </w:pPr>
            <w:r w:rsidRPr="00EC2BF0">
              <w:rPr>
                <w:rFonts w:eastAsia="Calibri"/>
                <w:bCs/>
                <w:sz w:val="18"/>
                <w:szCs w:val="18"/>
                <w:lang w:val="es-ES" w:eastAsia="en-US"/>
              </w:rPr>
              <w:t>HTA</w:t>
            </w:r>
          </w:p>
        </w:tc>
        <w:tc>
          <w:tcPr>
            <w:tcW w:w="825" w:type="dxa"/>
            <w:shd w:val="clear" w:color="auto" w:fill="auto"/>
            <w:vAlign w:val="center"/>
          </w:tcPr>
          <w:p w14:paraId="665E7842" w14:textId="77777777" w:rsidR="00EC2BF0" w:rsidRPr="00EC2BF0" w:rsidRDefault="00EC2BF0" w:rsidP="00EC2BF0">
            <w:pPr>
              <w:spacing w:line="360" w:lineRule="auto"/>
              <w:jc w:val="center"/>
              <w:rPr>
                <w:rFonts w:eastAsia="Calibri"/>
                <w:sz w:val="18"/>
                <w:szCs w:val="18"/>
                <w:lang w:val="es-ES" w:eastAsia="en-US"/>
              </w:rPr>
            </w:pPr>
            <w:r w:rsidRPr="00EC2BF0">
              <w:rPr>
                <w:rFonts w:eastAsia="Calibri"/>
                <w:sz w:val="18"/>
                <w:szCs w:val="18"/>
                <w:lang w:val="es-ES" w:eastAsia="en-US"/>
              </w:rPr>
              <w:t>84</w:t>
            </w:r>
          </w:p>
        </w:tc>
        <w:tc>
          <w:tcPr>
            <w:tcW w:w="923" w:type="dxa"/>
            <w:shd w:val="clear" w:color="auto" w:fill="auto"/>
            <w:vAlign w:val="center"/>
          </w:tcPr>
          <w:p w14:paraId="5138609B" w14:textId="77777777" w:rsidR="00EC2BF0" w:rsidRPr="00EC2BF0" w:rsidRDefault="00EC2BF0" w:rsidP="00EC2BF0">
            <w:pPr>
              <w:spacing w:line="360" w:lineRule="auto"/>
              <w:jc w:val="center"/>
              <w:rPr>
                <w:rFonts w:eastAsia="Calibri"/>
                <w:sz w:val="18"/>
                <w:szCs w:val="18"/>
                <w:lang w:val="es-ES" w:eastAsia="en-US"/>
              </w:rPr>
            </w:pPr>
            <w:r w:rsidRPr="00EC2BF0">
              <w:rPr>
                <w:rFonts w:eastAsia="Calibri"/>
                <w:sz w:val="18"/>
                <w:szCs w:val="18"/>
                <w:lang w:val="es-ES" w:eastAsia="en-US"/>
              </w:rPr>
              <w:t>61,8</w:t>
            </w:r>
          </w:p>
        </w:tc>
      </w:tr>
      <w:tr w:rsidR="00EC2BF0" w:rsidRPr="00EC2BF0" w14:paraId="7A62EFE8" w14:textId="77777777" w:rsidTr="00CF0388">
        <w:trPr>
          <w:jc w:val="center"/>
        </w:trPr>
        <w:tc>
          <w:tcPr>
            <w:tcW w:w="0" w:type="auto"/>
            <w:shd w:val="clear" w:color="auto" w:fill="auto"/>
            <w:vAlign w:val="center"/>
          </w:tcPr>
          <w:p w14:paraId="55F5CB3A" w14:textId="77777777" w:rsidR="00EC2BF0" w:rsidRPr="00EC2BF0" w:rsidRDefault="00EC2BF0" w:rsidP="00EC2BF0">
            <w:pPr>
              <w:spacing w:line="360" w:lineRule="auto"/>
              <w:rPr>
                <w:rFonts w:eastAsia="Calibri"/>
                <w:bCs/>
                <w:sz w:val="18"/>
                <w:szCs w:val="18"/>
                <w:lang w:val="es-ES" w:eastAsia="en-US"/>
              </w:rPr>
            </w:pPr>
            <w:r w:rsidRPr="00EC2BF0">
              <w:rPr>
                <w:rFonts w:eastAsia="Calibri"/>
                <w:bCs/>
                <w:sz w:val="18"/>
                <w:szCs w:val="18"/>
                <w:lang w:val="es-ES" w:eastAsia="en-US"/>
              </w:rPr>
              <w:t>Diabetes mellitus</w:t>
            </w:r>
          </w:p>
        </w:tc>
        <w:tc>
          <w:tcPr>
            <w:tcW w:w="825" w:type="dxa"/>
            <w:shd w:val="clear" w:color="auto" w:fill="auto"/>
            <w:vAlign w:val="center"/>
          </w:tcPr>
          <w:p w14:paraId="51824DF4" w14:textId="77777777" w:rsidR="00EC2BF0" w:rsidRPr="00EC2BF0" w:rsidRDefault="00EC2BF0" w:rsidP="00EC2BF0">
            <w:pPr>
              <w:spacing w:line="360" w:lineRule="auto"/>
              <w:jc w:val="center"/>
              <w:rPr>
                <w:rFonts w:eastAsia="Calibri"/>
                <w:sz w:val="18"/>
                <w:szCs w:val="18"/>
                <w:lang w:val="es-ES" w:eastAsia="en-US"/>
              </w:rPr>
            </w:pPr>
            <w:r w:rsidRPr="00EC2BF0">
              <w:rPr>
                <w:rFonts w:eastAsia="Calibri"/>
                <w:sz w:val="18"/>
                <w:szCs w:val="18"/>
                <w:lang w:val="es-ES" w:eastAsia="en-US"/>
              </w:rPr>
              <w:t>30</w:t>
            </w:r>
          </w:p>
        </w:tc>
        <w:tc>
          <w:tcPr>
            <w:tcW w:w="923" w:type="dxa"/>
            <w:shd w:val="clear" w:color="auto" w:fill="auto"/>
            <w:vAlign w:val="center"/>
          </w:tcPr>
          <w:p w14:paraId="0EF57A56" w14:textId="77777777" w:rsidR="00EC2BF0" w:rsidRPr="00EC2BF0" w:rsidRDefault="00EC2BF0" w:rsidP="00EC2BF0">
            <w:pPr>
              <w:spacing w:line="360" w:lineRule="auto"/>
              <w:jc w:val="center"/>
              <w:rPr>
                <w:rFonts w:eastAsia="Calibri"/>
                <w:sz w:val="18"/>
                <w:szCs w:val="18"/>
                <w:lang w:val="es-ES" w:eastAsia="en-US"/>
              </w:rPr>
            </w:pPr>
            <w:r w:rsidRPr="00EC2BF0">
              <w:rPr>
                <w:rFonts w:eastAsia="Calibri"/>
                <w:sz w:val="18"/>
                <w:szCs w:val="18"/>
                <w:lang w:val="es-ES" w:eastAsia="en-US"/>
              </w:rPr>
              <w:t>22,1</w:t>
            </w:r>
          </w:p>
        </w:tc>
      </w:tr>
      <w:tr w:rsidR="00EC2BF0" w:rsidRPr="00EC2BF0" w14:paraId="6293EC1F" w14:textId="77777777" w:rsidTr="00CF0388">
        <w:trPr>
          <w:jc w:val="center"/>
        </w:trPr>
        <w:tc>
          <w:tcPr>
            <w:tcW w:w="0" w:type="auto"/>
            <w:shd w:val="clear" w:color="auto" w:fill="auto"/>
            <w:vAlign w:val="center"/>
          </w:tcPr>
          <w:p w14:paraId="409AA01A" w14:textId="77777777" w:rsidR="00EC2BF0" w:rsidRPr="00EC2BF0" w:rsidRDefault="00EC2BF0" w:rsidP="00EC2BF0">
            <w:pPr>
              <w:spacing w:line="360" w:lineRule="auto"/>
              <w:rPr>
                <w:rFonts w:eastAsia="Calibri"/>
                <w:bCs/>
                <w:sz w:val="18"/>
                <w:szCs w:val="18"/>
                <w:lang w:val="es-ES" w:eastAsia="en-US"/>
              </w:rPr>
            </w:pPr>
            <w:r w:rsidRPr="00EC2BF0">
              <w:rPr>
                <w:rFonts w:eastAsia="Calibri"/>
                <w:bCs/>
                <w:sz w:val="18"/>
                <w:szCs w:val="18"/>
                <w:lang w:val="es-ES" w:eastAsia="en-US"/>
              </w:rPr>
              <w:t>Cardiopatía isquémica</w:t>
            </w:r>
          </w:p>
        </w:tc>
        <w:tc>
          <w:tcPr>
            <w:tcW w:w="825" w:type="dxa"/>
            <w:shd w:val="clear" w:color="auto" w:fill="auto"/>
            <w:vAlign w:val="center"/>
          </w:tcPr>
          <w:p w14:paraId="06FCD300" w14:textId="77777777" w:rsidR="00EC2BF0" w:rsidRPr="00EC2BF0" w:rsidRDefault="00EC2BF0" w:rsidP="00EC2BF0">
            <w:pPr>
              <w:spacing w:line="360" w:lineRule="auto"/>
              <w:jc w:val="center"/>
              <w:rPr>
                <w:rFonts w:eastAsia="Calibri"/>
                <w:sz w:val="18"/>
                <w:szCs w:val="18"/>
                <w:lang w:val="es-ES" w:eastAsia="en-US"/>
              </w:rPr>
            </w:pPr>
            <w:r w:rsidRPr="00EC2BF0">
              <w:rPr>
                <w:rFonts w:eastAsia="Calibri"/>
                <w:sz w:val="18"/>
                <w:szCs w:val="18"/>
                <w:lang w:val="es-ES" w:eastAsia="en-US"/>
              </w:rPr>
              <w:t>30</w:t>
            </w:r>
          </w:p>
        </w:tc>
        <w:tc>
          <w:tcPr>
            <w:tcW w:w="923" w:type="dxa"/>
            <w:shd w:val="clear" w:color="auto" w:fill="auto"/>
            <w:vAlign w:val="center"/>
          </w:tcPr>
          <w:p w14:paraId="2C375A67" w14:textId="77777777" w:rsidR="00EC2BF0" w:rsidRPr="00EC2BF0" w:rsidRDefault="00EC2BF0" w:rsidP="00EC2BF0">
            <w:pPr>
              <w:spacing w:line="360" w:lineRule="auto"/>
              <w:jc w:val="center"/>
              <w:rPr>
                <w:rFonts w:eastAsia="Calibri"/>
                <w:sz w:val="18"/>
                <w:szCs w:val="18"/>
                <w:lang w:val="es-ES" w:eastAsia="en-US"/>
              </w:rPr>
            </w:pPr>
            <w:r w:rsidRPr="00EC2BF0">
              <w:rPr>
                <w:rFonts w:eastAsia="Calibri"/>
                <w:sz w:val="18"/>
                <w:szCs w:val="18"/>
                <w:lang w:val="es-ES" w:eastAsia="en-US"/>
              </w:rPr>
              <w:t>22,1</w:t>
            </w:r>
          </w:p>
        </w:tc>
      </w:tr>
      <w:tr w:rsidR="00EC2BF0" w:rsidRPr="00EC2BF0" w14:paraId="23920D0C" w14:textId="77777777" w:rsidTr="00CF0388">
        <w:trPr>
          <w:jc w:val="center"/>
        </w:trPr>
        <w:tc>
          <w:tcPr>
            <w:tcW w:w="0" w:type="auto"/>
            <w:shd w:val="clear" w:color="auto" w:fill="auto"/>
            <w:vAlign w:val="center"/>
          </w:tcPr>
          <w:p w14:paraId="5FD63EC5" w14:textId="77777777" w:rsidR="00EC2BF0" w:rsidRPr="00EC2BF0" w:rsidRDefault="00EC2BF0" w:rsidP="00EC2BF0">
            <w:pPr>
              <w:spacing w:line="360" w:lineRule="auto"/>
              <w:rPr>
                <w:rFonts w:eastAsia="Calibri"/>
                <w:bCs/>
                <w:sz w:val="18"/>
                <w:szCs w:val="18"/>
                <w:lang w:val="es-ES" w:eastAsia="en-US"/>
              </w:rPr>
            </w:pPr>
            <w:r w:rsidRPr="00EC2BF0">
              <w:rPr>
                <w:rFonts w:eastAsia="Calibri"/>
                <w:bCs/>
                <w:sz w:val="18"/>
                <w:szCs w:val="18"/>
                <w:lang w:val="es-ES" w:eastAsia="en-US"/>
              </w:rPr>
              <w:t>Hipotiroidismo</w:t>
            </w:r>
          </w:p>
        </w:tc>
        <w:tc>
          <w:tcPr>
            <w:tcW w:w="825" w:type="dxa"/>
            <w:shd w:val="clear" w:color="auto" w:fill="auto"/>
            <w:vAlign w:val="center"/>
          </w:tcPr>
          <w:p w14:paraId="3932FFC8" w14:textId="77777777" w:rsidR="00EC2BF0" w:rsidRPr="00EC2BF0" w:rsidRDefault="00EC2BF0" w:rsidP="00EC2BF0">
            <w:pPr>
              <w:spacing w:line="360" w:lineRule="auto"/>
              <w:jc w:val="center"/>
              <w:rPr>
                <w:rFonts w:eastAsia="Calibri"/>
                <w:sz w:val="18"/>
                <w:szCs w:val="18"/>
                <w:lang w:val="es-ES" w:eastAsia="en-US"/>
              </w:rPr>
            </w:pPr>
            <w:r w:rsidRPr="00EC2BF0">
              <w:rPr>
                <w:rFonts w:eastAsia="Calibri"/>
                <w:sz w:val="18"/>
                <w:szCs w:val="18"/>
                <w:lang w:val="es-ES" w:eastAsia="en-US"/>
              </w:rPr>
              <w:t>12</w:t>
            </w:r>
          </w:p>
        </w:tc>
        <w:tc>
          <w:tcPr>
            <w:tcW w:w="923" w:type="dxa"/>
            <w:shd w:val="clear" w:color="auto" w:fill="auto"/>
            <w:vAlign w:val="center"/>
          </w:tcPr>
          <w:p w14:paraId="748B6AED" w14:textId="77777777" w:rsidR="00EC2BF0" w:rsidRPr="00EC2BF0" w:rsidRDefault="00EC2BF0" w:rsidP="00EC2BF0">
            <w:pPr>
              <w:spacing w:line="360" w:lineRule="auto"/>
              <w:jc w:val="center"/>
              <w:rPr>
                <w:rFonts w:eastAsia="Calibri"/>
                <w:sz w:val="18"/>
                <w:szCs w:val="18"/>
                <w:lang w:val="es-ES" w:eastAsia="en-US"/>
              </w:rPr>
            </w:pPr>
            <w:r w:rsidRPr="00EC2BF0">
              <w:rPr>
                <w:rFonts w:eastAsia="Calibri"/>
                <w:sz w:val="18"/>
                <w:szCs w:val="18"/>
                <w:lang w:val="es-ES" w:eastAsia="en-US"/>
              </w:rPr>
              <w:t>8,8</w:t>
            </w:r>
          </w:p>
        </w:tc>
      </w:tr>
      <w:tr w:rsidR="00EC2BF0" w:rsidRPr="00EC2BF0" w14:paraId="6B0C75F9" w14:textId="77777777" w:rsidTr="00CF0388">
        <w:trPr>
          <w:jc w:val="center"/>
        </w:trPr>
        <w:tc>
          <w:tcPr>
            <w:tcW w:w="0" w:type="auto"/>
            <w:shd w:val="clear" w:color="auto" w:fill="auto"/>
            <w:vAlign w:val="center"/>
          </w:tcPr>
          <w:p w14:paraId="350B3E15" w14:textId="77777777" w:rsidR="00EC2BF0" w:rsidRPr="00EC2BF0" w:rsidRDefault="00EC2BF0" w:rsidP="00EC2BF0">
            <w:pPr>
              <w:spacing w:line="360" w:lineRule="auto"/>
              <w:rPr>
                <w:rFonts w:eastAsia="Calibri"/>
                <w:bCs/>
                <w:sz w:val="18"/>
                <w:szCs w:val="18"/>
                <w:lang w:val="es-ES" w:eastAsia="en-US"/>
              </w:rPr>
            </w:pPr>
            <w:r w:rsidRPr="00EC2BF0">
              <w:rPr>
                <w:rFonts w:eastAsia="Calibri"/>
                <w:bCs/>
                <w:sz w:val="18"/>
                <w:szCs w:val="18"/>
                <w:lang w:val="es-ES" w:eastAsia="en-US"/>
              </w:rPr>
              <w:t>EPOC</w:t>
            </w:r>
          </w:p>
        </w:tc>
        <w:tc>
          <w:tcPr>
            <w:tcW w:w="825" w:type="dxa"/>
            <w:shd w:val="clear" w:color="auto" w:fill="auto"/>
            <w:vAlign w:val="center"/>
          </w:tcPr>
          <w:p w14:paraId="0B59725D" w14:textId="77777777" w:rsidR="00EC2BF0" w:rsidRPr="00EC2BF0" w:rsidRDefault="00EC2BF0" w:rsidP="00EC2BF0">
            <w:pPr>
              <w:spacing w:line="360" w:lineRule="auto"/>
              <w:jc w:val="center"/>
              <w:rPr>
                <w:rFonts w:eastAsia="Calibri"/>
                <w:sz w:val="18"/>
                <w:szCs w:val="18"/>
                <w:lang w:val="es-ES" w:eastAsia="en-US"/>
              </w:rPr>
            </w:pPr>
            <w:r w:rsidRPr="00EC2BF0">
              <w:rPr>
                <w:rFonts w:eastAsia="Calibri"/>
                <w:sz w:val="18"/>
                <w:szCs w:val="18"/>
                <w:lang w:val="es-ES" w:eastAsia="en-US"/>
              </w:rPr>
              <w:t>8</w:t>
            </w:r>
          </w:p>
        </w:tc>
        <w:tc>
          <w:tcPr>
            <w:tcW w:w="923" w:type="dxa"/>
            <w:shd w:val="clear" w:color="auto" w:fill="auto"/>
            <w:vAlign w:val="center"/>
          </w:tcPr>
          <w:p w14:paraId="01851F3F" w14:textId="77777777" w:rsidR="00EC2BF0" w:rsidRPr="00EC2BF0" w:rsidRDefault="00EC2BF0" w:rsidP="00EC2BF0">
            <w:pPr>
              <w:spacing w:line="360" w:lineRule="auto"/>
              <w:jc w:val="center"/>
              <w:rPr>
                <w:rFonts w:eastAsia="Calibri"/>
                <w:sz w:val="18"/>
                <w:szCs w:val="18"/>
                <w:lang w:val="es-ES" w:eastAsia="en-US"/>
              </w:rPr>
            </w:pPr>
            <w:r w:rsidRPr="00EC2BF0">
              <w:rPr>
                <w:rFonts w:eastAsia="Calibri"/>
                <w:sz w:val="18"/>
                <w:szCs w:val="18"/>
                <w:lang w:val="es-ES" w:eastAsia="en-US"/>
              </w:rPr>
              <w:t>5,9</w:t>
            </w:r>
          </w:p>
        </w:tc>
      </w:tr>
      <w:tr w:rsidR="00EC2BF0" w:rsidRPr="00EC2BF0" w14:paraId="265146C8" w14:textId="77777777" w:rsidTr="00CF0388">
        <w:trPr>
          <w:jc w:val="center"/>
        </w:trPr>
        <w:tc>
          <w:tcPr>
            <w:tcW w:w="0" w:type="auto"/>
            <w:shd w:val="clear" w:color="auto" w:fill="auto"/>
            <w:vAlign w:val="center"/>
          </w:tcPr>
          <w:p w14:paraId="5816B33D" w14:textId="77777777" w:rsidR="00EC2BF0" w:rsidRPr="00EC2BF0" w:rsidRDefault="00EC2BF0" w:rsidP="00EC2BF0">
            <w:pPr>
              <w:spacing w:line="360" w:lineRule="auto"/>
              <w:rPr>
                <w:rFonts w:eastAsia="Calibri"/>
                <w:bCs/>
                <w:sz w:val="18"/>
                <w:szCs w:val="18"/>
                <w:lang w:val="es-ES" w:eastAsia="en-US"/>
              </w:rPr>
            </w:pPr>
            <w:r w:rsidRPr="00EC2BF0">
              <w:rPr>
                <w:rFonts w:eastAsia="Calibri"/>
                <w:bCs/>
                <w:sz w:val="18"/>
                <w:szCs w:val="18"/>
                <w:lang w:val="es-ES" w:eastAsia="en-US"/>
              </w:rPr>
              <w:t>IRC</w:t>
            </w:r>
          </w:p>
        </w:tc>
        <w:tc>
          <w:tcPr>
            <w:tcW w:w="825" w:type="dxa"/>
            <w:shd w:val="clear" w:color="auto" w:fill="auto"/>
            <w:vAlign w:val="center"/>
          </w:tcPr>
          <w:p w14:paraId="79E7122F" w14:textId="77777777" w:rsidR="00EC2BF0" w:rsidRPr="00EC2BF0" w:rsidRDefault="00EC2BF0" w:rsidP="00EC2BF0">
            <w:pPr>
              <w:spacing w:line="360" w:lineRule="auto"/>
              <w:jc w:val="center"/>
              <w:rPr>
                <w:rFonts w:eastAsia="Calibri"/>
                <w:sz w:val="18"/>
                <w:szCs w:val="18"/>
                <w:lang w:val="es-ES" w:eastAsia="en-US"/>
              </w:rPr>
            </w:pPr>
            <w:r w:rsidRPr="00EC2BF0">
              <w:rPr>
                <w:rFonts w:eastAsia="Calibri"/>
                <w:sz w:val="18"/>
                <w:szCs w:val="18"/>
                <w:lang w:val="es-ES" w:eastAsia="en-US"/>
              </w:rPr>
              <w:t>2</w:t>
            </w:r>
          </w:p>
        </w:tc>
        <w:tc>
          <w:tcPr>
            <w:tcW w:w="923" w:type="dxa"/>
            <w:shd w:val="clear" w:color="auto" w:fill="auto"/>
            <w:vAlign w:val="center"/>
          </w:tcPr>
          <w:p w14:paraId="30B18BE9" w14:textId="77777777" w:rsidR="00EC2BF0" w:rsidRPr="00EC2BF0" w:rsidRDefault="00EC2BF0" w:rsidP="00EC2BF0">
            <w:pPr>
              <w:spacing w:line="360" w:lineRule="auto"/>
              <w:jc w:val="center"/>
              <w:rPr>
                <w:rFonts w:eastAsia="Calibri"/>
                <w:sz w:val="18"/>
                <w:szCs w:val="18"/>
                <w:lang w:val="es-ES" w:eastAsia="en-US"/>
              </w:rPr>
            </w:pPr>
            <w:r w:rsidRPr="00EC2BF0">
              <w:rPr>
                <w:rFonts w:eastAsia="Calibri"/>
                <w:sz w:val="18"/>
                <w:szCs w:val="18"/>
                <w:lang w:val="es-ES" w:eastAsia="en-US"/>
              </w:rPr>
              <w:t>1,5</w:t>
            </w:r>
          </w:p>
        </w:tc>
      </w:tr>
      <w:tr w:rsidR="00EC2BF0" w:rsidRPr="00EC2BF0" w14:paraId="0BF84F2C" w14:textId="77777777" w:rsidTr="00CF0388">
        <w:trPr>
          <w:jc w:val="center"/>
        </w:trPr>
        <w:tc>
          <w:tcPr>
            <w:tcW w:w="0" w:type="auto"/>
            <w:shd w:val="clear" w:color="auto" w:fill="auto"/>
            <w:vAlign w:val="center"/>
          </w:tcPr>
          <w:p w14:paraId="17153808" w14:textId="77777777" w:rsidR="00EC2BF0" w:rsidRPr="00EC2BF0" w:rsidRDefault="00EC2BF0" w:rsidP="00EC2BF0">
            <w:pPr>
              <w:spacing w:line="360" w:lineRule="auto"/>
              <w:rPr>
                <w:rFonts w:eastAsia="Calibri"/>
                <w:bCs/>
                <w:sz w:val="18"/>
                <w:szCs w:val="18"/>
                <w:lang w:val="es-ES" w:eastAsia="en-US"/>
              </w:rPr>
            </w:pPr>
            <w:r w:rsidRPr="00EC2BF0">
              <w:rPr>
                <w:rFonts w:eastAsia="Calibri"/>
                <w:bCs/>
                <w:sz w:val="18"/>
                <w:szCs w:val="18"/>
                <w:lang w:val="es-ES" w:eastAsia="en-US"/>
              </w:rPr>
              <w:t>Neoplasias</w:t>
            </w:r>
          </w:p>
        </w:tc>
        <w:tc>
          <w:tcPr>
            <w:tcW w:w="825" w:type="dxa"/>
            <w:shd w:val="clear" w:color="auto" w:fill="auto"/>
            <w:vAlign w:val="center"/>
          </w:tcPr>
          <w:p w14:paraId="2413486D" w14:textId="77777777" w:rsidR="00EC2BF0" w:rsidRPr="00EC2BF0" w:rsidRDefault="00EC2BF0" w:rsidP="00EC2BF0">
            <w:pPr>
              <w:spacing w:line="360" w:lineRule="auto"/>
              <w:jc w:val="center"/>
              <w:rPr>
                <w:rFonts w:eastAsia="Calibri"/>
                <w:sz w:val="18"/>
                <w:szCs w:val="18"/>
                <w:lang w:val="es-ES" w:eastAsia="en-US"/>
              </w:rPr>
            </w:pPr>
            <w:r w:rsidRPr="00EC2BF0">
              <w:rPr>
                <w:rFonts w:eastAsia="Calibri"/>
                <w:sz w:val="18"/>
                <w:szCs w:val="18"/>
                <w:lang w:val="es-ES" w:eastAsia="en-US"/>
              </w:rPr>
              <w:t>4</w:t>
            </w:r>
          </w:p>
        </w:tc>
        <w:tc>
          <w:tcPr>
            <w:tcW w:w="923" w:type="dxa"/>
            <w:shd w:val="clear" w:color="auto" w:fill="auto"/>
            <w:vAlign w:val="center"/>
          </w:tcPr>
          <w:p w14:paraId="12CE35F2" w14:textId="77777777" w:rsidR="00EC2BF0" w:rsidRPr="00EC2BF0" w:rsidRDefault="00EC2BF0" w:rsidP="00EC2BF0">
            <w:pPr>
              <w:spacing w:line="360" w:lineRule="auto"/>
              <w:jc w:val="center"/>
              <w:rPr>
                <w:rFonts w:eastAsia="Calibri"/>
                <w:sz w:val="18"/>
                <w:szCs w:val="18"/>
                <w:lang w:val="es-ES" w:eastAsia="en-US"/>
              </w:rPr>
            </w:pPr>
            <w:r w:rsidRPr="00EC2BF0">
              <w:rPr>
                <w:rFonts w:eastAsia="Calibri"/>
                <w:sz w:val="18"/>
                <w:szCs w:val="18"/>
                <w:lang w:val="es-ES" w:eastAsia="en-US"/>
              </w:rPr>
              <w:t>2,9</w:t>
            </w:r>
          </w:p>
        </w:tc>
      </w:tr>
      <w:tr w:rsidR="00EC2BF0" w:rsidRPr="00EC2BF0" w14:paraId="422A5483" w14:textId="77777777" w:rsidTr="00CF0388">
        <w:trPr>
          <w:jc w:val="center"/>
        </w:trPr>
        <w:tc>
          <w:tcPr>
            <w:tcW w:w="0" w:type="auto"/>
            <w:shd w:val="clear" w:color="auto" w:fill="auto"/>
            <w:vAlign w:val="center"/>
          </w:tcPr>
          <w:p w14:paraId="5001FEAF" w14:textId="77777777" w:rsidR="00EC2BF0" w:rsidRPr="00EC2BF0" w:rsidRDefault="00EC2BF0" w:rsidP="00EC2BF0">
            <w:pPr>
              <w:spacing w:line="360" w:lineRule="auto"/>
              <w:rPr>
                <w:rFonts w:eastAsia="Calibri"/>
                <w:bCs/>
                <w:sz w:val="18"/>
                <w:szCs w:val="18"/>
                <w:lang w:val="es-ES" w:eastAsia="en-US"/>
              </w:rPr>
            </w:pPr>
            <w:r w:rsidRPr="00EC2BF0">
              <w:rPr>
                <w:rFonts w:eastAsia="Calibri"/>
                <w:bCs/>
                <w:sz w:val="18"/>
                <w:szCs w:val="18"/>
                <w:lang w:val="es-ES" w:eastAsia="en-US"/>
              </w:rPr>
              <w:t>Otras</w:t>
            </w:r>
          </w:p>
        </w:tc>
        <w:tc>
          <w:tcPr>
            <w:tcW w:w="825" w:type="dxa"/>
            <w:shd w:val="clear" w:color="auto" w:fill="auto"/>
            <w:vAlign w:val="center"/>
          </w:tcPr>
          <w:p w14:paraId="77946626" w14:textId="77777777" w:rsidR="00EC2BF0" w:rsidRPr="00EC2BF0" w:rsidRDefault="00EC2BF0" w:rsidP="00EC2BF0">
            <w:pPr>
              <w:spacing w:line="360" w:lineRule="auto"/>
              <w:jc w:val="center"/>
              <w:rPr>
                <w:rFonts w:eastAsia="Calibri"/>
                <w:sz w:val="18"/>
                <w:szCs w:val="18"/>
                <w:lang w:val="es-ES" w:eastAsia="en-US"/>
              </w:rPr>
            </w:pPr>
            <w:r w:rsidRPr="00EC2BF0">
              <w:rPr>
                <w:rFonts w:eastAsia="Calibri"/>
                <w:sz w:val="18"/>
                <w:szCs w:val="18"/>
                <w:lang w:val="es-ES" w:eastAsia="en-US"/>
              </w:rPr>
              <w:t>28</w:t>
            </w:r>
          </w:p>
        </w:tc>
        <w:tc>
          <w:tcPr>
            <w:tcW w:w="923" w:type="dxa"/>
            <w:shd w:val="clear" w:color="auto" w:fill="auto"/>
            <w:vAlign w:val="center"/>
          </w:tcPr>
          <w:p w14:paraId="131FB333" w14:textId="77777777" w:rsidR="00EC2BF0" w:rsidRPr="00EC2BF0" w:rsidRDefault="00EC2BF0" w:rsidP="00EC2BF0">
            <w:pPr>
              <w:spacing w:line="360" w:lineRule="auto"/>
              <w:jc w:val="center"/>
              <w:rPr>
                <w:rFonts w:eastAsia="Calibri"/>
                <w:sz w:val="18"/>
                <w:szCs w:val="18"/>
                <w:lang w:val="es-ES" w:eastAsia="en-US"/>
              </w:rPr>
            </w:pPr>
            <w:r w:rsidRPr="00EC2BF0">
              <w:rPr>
                <w:rFonts w:eastAsia="Calibri"/>
                <w:sz w:val="18"/>
                <w:szCs w:val="18"/>
                <w:lang w:val="es-ES" w:eastAsia="en-US"/>
              </w:rPr>
              <w:t>20,6</w:t>
            </w:r>
          </w:p>
        </w:tc>
      </w:tr>
    </w:tbl>
    <w:p w14:paraId="6CF90D23" w14:textId="77777777" w:rsidR="00EC2BF0" w:rsidRPr="00EC2BF0" w:rsidRDefault="00EC2BF0" w:rsidP="00EC2BF0">
      <w:pPr>
        <w:spacing w:line="360" w:lineRule="auto"/>
        <w:jc w:val="both"/>
        <w:rPr>
          <w:rFonts w:eastAsia="Calibri"/>
          <w:b/>
          <w:lang w:val="es-ES" w:eastAsia="en-US"/>
        </w:rPr>
      </w:pPr>
    </w:p>
    <w:p w14:paraId="2979F8F8"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Las manifestaciones digestivas estuvieron presentes en el 58,8 % de los pacientes estudiados (n= 80); sin manifestaciones el 41,2 % (n= 56). En todos los casos la sintomatología digestiva apareció durante los primeros 5 días de iniciado el cuadro.</w:t>
      </w:r>
    </w:p>
    <w:p w14:paraId="4751024F"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 xml:space="preserve">En la tabla 3 se observa la distribución de los pacientes según los síntomas digestivos identificados y la duración de cada síntoma.  </w:t>
      </w:r>
    </w:p>
    <w:p w14:paraId="09D25DBB"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El 47,5 % presentó al menos 2 o más síntomas digestivos. La diarrea estuvo presente en el 29,4 % de los estudiados, con una media de duración de 1,9 días; este fue el síntoma digestivo más precoz de todos los identificados con una duración entre 1 y 4 días. Las náuseas y la anorexia, se presentaron en el 25 % de los pacientes, con una media de duración entre 3,4 y 5,8 días. La anorexia fue el síntoma de mayor duración, con un máximo de 10 días en 3 pacientes.</w:t>
      </w:r>
    </w:p>
    <w:p w14:paraId="666277EB" w14:textId="77777777" w:rsidR="00EC2BF0" w:rsidRPr="00EC2BF0" w:rsidRDefault="00EC2BF0" w:rsidP="00EC2BF0">
      <w:pPr>
        <w:rPr>
          <w:rFonts w:ascii="Calibri" w:eastAsia="Calibri" w:hAnsi="Calibri"/>
          <w:sz w:val="20"/>
          <w:szCs w:val="20"/>
          <w:lang w:val="es-ES" w:eastAsia="en-US"/>
        </w:rPr>
      </w:pPr>
    </w:p>
    <w:p w14:paraId="6A9F59EB" w14:textId="77777777" w:rsidR="00EC2BF0" w:rsidRPr="00EC2BF0" w:rsidRDefault="00EC2BF0" w:rsidP="00EC2BF0">
      <w:pPr>
        <w:spacing w:line="360" w:lineRule="auto"/>
        <w:jc w:val="center"/>
        <w:rPr>
          <w:rFonts w:eastAsia="Calibri"/>
          <w:sz w:val="22"/>
          <w:szCs w:val="22"/>
          <w:lang w:val="es-ES" w:eastAsia="en-US"/>
        </w:rPr>
      </w:pPr>
      <w:r w:rsidRPr="00EC2BF0">
        <w:rPr>
          <w:rFonts w:eastAsia="Calibri"/>
          <w:b/>
          <w:sz w:val="22"/>
          <w:szCs w:val="22"/>
          <w:lang w:val="es-ES" w:eastAsia="en-US"/>
        </w:rPr>
        <w:t>Tabla 3 -</w:t>
      </w:r>
      <w:r w:rsidRPr="00EC2BF0">
        <w:rPr>
          <w:rFonts w:eastAsia="Calibri"/>
          <w:sz w:val="22"/>
          <w:szCs w:val="22"/>
          <w:lang w:val="es-ES" w:eastAsia="en-US"/>
        </w:rPr>
        <w:t xml:space="preserve"> Distribución de pacientes según manifestaciones digestivas y duración de los síntomas</w:t>
      </w:r>
    </w:p>
    <w:p w14:paraId="7E498D9E" w14:textId="17B7F99E" w:rsidR="00EC2BF0" w:rsidRPr="00EC2BF0" w:rsidRDefault="00EC2BF0" w:rsidP="00EC2BF0">
      <w:pPr>
        <w:spacing w:line="360" w:lineRule="auto"/>
        <w:jc w:val="center"/>
        <w:rPr>
          <w:rFonts w:eastAsia="Calibri"/>
          <w:bCs/>
          <w:sz w:val="16"/>
          <w:szCs w:val="16"/>
          <w:lang w:val="es-ES" w:eastAsia="en-US"/>
        </w:rPr>
      </w:pPr>
      <w:r w:rsidRPr="00EC2BF0">
        <w:rPr>
          <w:rFonts w:eastAsia="Calibri"/>
          <w:bCs/>
          <w:noProof/>
          <w:sz w:val="16"/>
          <w:szCs w:val="16"/>
          <w:lang w:val="es-ES" w:eastAsia="en-US"/>
        </w:rPr>
        <w:drawing>
          <wp:inline distT="0" distB="0" distL="0" distR="0" wp14:anchorId="7A6B12A6" wp14:editId="63DE3AFE">
            <wp:extent cx="3962400" cy="1870621"/>
            <wp:effectExtent l="0" t="0" r="0" b="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0431" cy="1879133"/>
                    </a:xfrm>
                    <a:prstGeom prst="rect">
                      <a:avLst/>
                    </a:prstGeom>
                    <a:noFill/>
                    <a:ln>
                      <a:noFill/>
                    </a:ln>
                  </pic:spPr>
                </pic:pic>
              </a:graphicData>
            </a:graphic>
          </wp:inline>
        </w:drawing>
      </w:r>
    </w:p>
    <w:p w14:paraId="66CAF343" w14:textId="77777777" w:rsidR="00EC2BF0" w:rsidRPr="00EC2BF0" w:rsidRDefault="00EC2BF0" w:rsidP="00EC2BF0">
      <w:pPr>
        <w:spacing w:line="360" w:lineRule="auto"/>
        <w:jc w:val="center"/>
        <w:rPr>
          <w:rFonts w:eastAsia="Calibri"/>
          <w:bCs/>
          <w:sz w:val="16"/>
          <w:szCs w:val="16"/>
          <w:lang w:val="es-ES" w:eastAsia="en-US"/>
        </w:rPr>
      </w:pPr>
      <w:r w:rsidRPr="00EC2BF0">
        <w:rPr>
          <w:rFonts w:eastAsia="Calibri"/>
          <w:bCs/>
          <w:sz w:val="16"/>
          <w:szCs w:val="16"/>
          <w:lang w:val="es-ES" w:eastAsia="en-US"/>
        </w:rPr>
        <w:t>DE: desviación estándar; Min: Mínimo; Máx.: Máximo.</w:t>
      </w:r>
    </w:p>
    <w:p w14:paraId="12E33DC4" w14:textId="77777777" w:rsidR="00EC2BF0" w:rsidRPr="00EC2BF0" w:rsidRDefault="00EC2BF0" w:rsidP="00EC2BF0">
      <w:pPr>
        <w:spacing w:line="360" w:lineRule="auto"/>
        <w:jc w:val="center"/>
        <w:rPr>
          <w:rFonts w:eastAsia="Calibri"/>
          <w:b/>
          <w:lang w:val="es-ES" w:eastAsia="en-US"/>
        </w:rPr>
      </w:pPr>
    </w:p>
    <w:p w14:paraId="32C53550" w14:textId="77777777" w:rsidR="00EC2BF0" w:rsidRPr="00EC2BF0" w:rsidRDefault="00EC2BF0" w:rsidP="00EC2BF0">
      <w:pPr>
        <w:rPr>
          <w:rFonts w:ascii="Calibri" w:eastAsia="Calibri" w:hAnsi="Calibri"/>
          <w:sz w:val="20"/>
          <w:szCs w:val="20"/>
          <w:lang w:val="es-ES" w:eastAsia="en-US"/>
        </w:rPr>
      </w:pPr>
    </w:p>
    <w:p w14:paraId="529AFEE0" w14:textId="77777777" w:rsidR="00EC2BF0" w:rsidRPr="00EC2BF0" w:rsidRDefault="00EC2BF0" w:rsidP="00EC2BF0">
      <w:pPr>
        <w:spacing w:line="360" w:lineRule="auto"/>
        <w:jc w:val="center"/>
        <w:rPr>
          <w:rFonts w:eastAsia="Calibri"/>
          <w:b/>
          <w:sz w:val="32"/>
          <w:szCs w:val="32"/>
          <w:lang w:val="es-ES" w:eastAsia="en-US"/>
        </w:rPr>
      </w:pPr>
      <w:r w:rsidRPr="00EC2BF0">
        <w:rPr>
          <w:rFonts w:eastAsia="Calibri"/>
          <w:b/>
          <w:sz w:val="32"/>
          <w:szCs w:val="32"/>
          <w:lang w:val="es-ES" w:eastAsia="en-US"/>
        </w:rPr>
        <w:t>DISCUSIÓN</w:t>
      </w:r>
    </w:p>
    <w:p w14:paraId="1F30B5C9"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 xml:space="preserve">Se distinguen 6 especies en la familia </w:t>
      </w:r>
      <w:proofErr w:type="spellStart"/>
      <w:r w:rsidRPr="00EC2BF0">
        <w:rPr>
          <w:rFonts w:eastAsia="Calibri"/>
          <w:iCs/>
          <w:lang w:val="es-ES" w:eastAsia="en-US"/>
        </w:rPr>
        <w:t>Coronaviridae</w:t>
      </w:r>
      <w:proofErr w:type="spellEnd"/>
      <w:r w:rsidRPr="00EC2BF0">
        <w:rPr>
          <w:rFonts w:eastAsia="Calibri"/>
          <w:lang w:val="es-ES" w:eastAsia="en-US"/>
        </w:rPr>
        <w:t xml:space="preserve">, estos poseen una cadena sencilla de ARN, lo que les ha permitido mutar con el paso del </w:t>
      </w:r>
      <w:proofErr w:type="gramStart"/>
      <w:r w:rsidRPr="00EC2BF0">
        <w:rPr>
          <w:rFonts w:eastAsia="Calibri"/>
          <w:lang w:val="es-ES" w:eastAsia="en-US"/>
        </w:rPr>
        <w:t>tiempo.</w:t>
      </w:r>
      <w:r w:rsidRPr="00EC2BF0">
        <w:rPr>
          <w:rFonts w:eastAsia="Calibri"/>
          <w:vertAlign w:val="superscript"/>
          <w:lang w:val="es-ES" w:eastAsia="en-US"/>
        </w:rPr>
        <w:t>(</w:t>
      </w:r>
      <w:proofErr w:type="gramEnd"/>
      <w:r w:rsidRPr="00EC2BF0">
        <w:rPr>
          <w:rFonts w:eastAsia="Calibri"/>
          <w:vertAlign w:val="superscript"/>
          <w:lang w:val="es-ES" w:eastAsia="en-US"/>
        </w:rPr>
        <w:t xml:space="preserve">4) </w:t>
      </w:r>
      <w:r w:rsidRPr="00EC2BF0">
        <w:rPr>
          <w:rFonts w:eastAsia="Calibri"/>
          <w:lang w:val="es-ES" w:eastAsia="en-US"/>
        </w:rPr>
        <w:t>Una vez que el virus penetra por las vías aéreas superiores, con síntomas leves o sin ellos, puede diseminarse hacia las vías aéreas inferiores, colonizar el tracto digestivo, una combinación de ambos o alcanzar otros órganos.</w:t>
      </w:r>
      <w:r w:rsidRPr="00EC2BF0">
        <w:rPr>
          <w:rFonts w:eastAsia="Calibri"/>
          <w:vertAlign w:val="superscript"/>
          <w:lang w:val="es-ES" w:eastAsia="en-US"/>
        </w:rPr>
        <w:t xml:space="preserve">(2) </w:t>
      </w:r>
      <w:r w:rsidRPr="00EC2BF0">
        <w:rPr>
          <w:rFonts w:eastAsia="Calibri"/>
          <w:lang w:val="es-ES" w:eastAsia="en-US"/>
        </w:rPr>
        <w:t xml:space="preserve"> </w:t>
      </w:r>
    </w:p>
    <w:p w14:paraId="2ABAB4C4"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 xml:space="preserve">La COVID-19 es considerada una enfermedad sistémica. Los efectos del virus en el organismo pueden deberse a la acción directa del virus, a las consecuencias de la respuesta inmune o por la interferencia del virus en la maquinaria metabólica de la célula. Por otra parte, pueden tener lugar interacciones entre las proteínas virales y componentes de las vías genéticas, inmunitarias o metabólicas de la célula infectada, lo que afectaría las funciones implicadas en cada </w:t>
      </w:r>
      <w:proofErr w:type="gramStart"/>
      <w:r w:rsidRPr="00EC2BF0">
        <w:rPr>
          <w:rFonts w:eastAsia="Calibri"/>
          <w:lang w:val="es-ES" w:eastAsia="en-US"/>
        </w:rPr>
        <w:t>caso.</w:t>
      </w:r>
      <w:r w:rsidRPr="00EC2BF0">
        <w:rPr>
          <w:rFonts w:eastAsia="Calibri"/>
          <w:vertAlign w:val="superscript"/>
          <w:lang w:val="es-ES" w:eastAsia="en-US"/>
        </w:rPr>
        <w:t>(</w:t>
      </w:r>
      <w:proofErr w:type="gramEnd"/>
      <w:r w:rsidRPr="00EC2BF0">
        <w:rPr>
          <w:rFonts w:eastAsia="Calibri"/>
          <w:vertAlign w:val="superscript"/>
          <w:lang w:val="es-ES" w:eastAsia="en-US"/>
        </w:rPr>
        <w:t xml:space="preserve">7) </w:t>
      </w:r>
    </w:p>
    <w:p w14:paraId="57B58763" w14:textId="77777777" w:rsidR="00EC2BF0" w:rsidRPr="00EC2BF0" w:rsidRDefault="00EC2BF0" w:rsidP="00EC2BF0">
      <w:pPr>
        <w:spacing w:line="360" w:lineRule="auto"/>
        <w:jc w:val="both"/>
        <w:rPr>
          <w:rFonts w:eastAsia="Calibri"/>
          <w:b/>
          <w:lang w:val="es-ES" w:eastAsia="en-US"/>
        </w:rPr>
      </w:pPr>
      <w:r w:rsidRPr="00EC2BF0">
        <w:rPr>
          <w:rFonts w:eastAsia="Calibri"/>
          <w:lang w:val="es-ES" w:eastAsia="en-US"/>
        </w:rPr>
        <w:t xml:space="preserve">Las manifestaciones clínicas son variables, van desde una enfermedad leve asintomática, hasta enfermedad grave con falla respiratoria, disfunción multiorgánica, choque séptico y muerte. El primer caso identificado en EE.UU., tuvo síntomas gastrointestinales y se identificó el ARN viral en la materia </w:t>
      </w:r>
      <w:proofErr w:type="gramStart"/>
      <w:r w:rsidRPr="00EC2BF0">
        <w:rPr>
          <w:rFonts w:eastAsia="Calibri"/>
          <w:lang w:val="es-ES" w:eastAsia="en-US"/>
        </w:rPr>
        <w:t>fecal.</w:t>
      </w:r>
      <w:r w:rsidRPr="00EC2BF0">
        <w:rPr>
          <w:rFonts w:eastAsia="Calibri"/>
          <w:vertAlign w:val="superscript"/>
          <w:lang w:val="es-ES" w:eastAsia="en-US"/>
        </w:rPr>
        <w:t>(</w:t>
      </w:r>
      <w:proofErr w:type="gramEnd"/>
      <w:r w:rsidRPr="00EC2BF0">
        <w:rPr>
          <w:rFonts w:eastAsia="Calibri"/>
          <w:vertAlign w:val="superscript"/>
          <w:lang w:val="es-ES" w:eastAsia="en-US"/>
        </w:rPr>
        <w:t>8)</w:t>
      </w:r>
      <w:r w:rsidRPr="00EC2BF0">
        <w:rPr>
          <w:rFonts w:eastAsia="Calibri"/>
          <w:lang w:val="es-ES" w:eastAsia="en-US"/>
        </w:rPr>
        <w:t xml:space="preserve"> </w:t>
      </w:r>
    </w:p>
    <w:p w14:paraId="6A17C60A" w14:textId="77777777" w:rsidR="00EC2BF0" w:rsidRPr="00EC2BF0" w:rsidRDefault="00EC2BF0" w:rsidP="00EC2BF0">
      <w:pPr>
        <w:spacing w:line="360" w:lineRule="auto"/>
        <w:jc w:val="both"/>
        <w:rPr>
          <w:rFonts w:eastAsia="Calibri"/>
          <w:vertAlign w:val="superscript"/>
          <w:lang w:val="es-ES" w:eastAsia="en-US"/>
        </w:rPr>
      </w:pPr>
      <w:r w:rsidRPr="00EC2BF0">
        <w:rPr>
          <w:rFonts w:eastAsia="Calibri"/>
          <w:lang w:val="es-ES" w:eastAsia="en-US"/>
        </w:rPr>
        <w:t>Los virus SARS-</w:t>
      </w:r>
      <w:proofErr w:type="spellStart"/>
      <w:r w:rsidRPr="00EC2BF0">
        <w:rPr>
          <w:rFonts w:eastAsia="Calibri"/>
          <w:lang w:val="es-ES" w:eastAsia="en-US"/>
        </w:rPr>
        <w:t>CoV</w:t>
      </w:r>
      <w:proofErr w:type="spellEnd"/>
      <w:r w:rsidRPr="00EC2BF0">
        <w:rPr>
          <w:rFonts w:eastAsia="Calibri"/>
          <w:lang w:val="es-ES" w:eastAsia="en-US"/>
        </w:rPr>
        <w:t xml:space="preserve"> y SARS-CoV-2 se unen a sus células objetivo, a través de los receptores de la enzima convertidora de angiotensina 2 (ECA2), los cuales se expresan en células epiteliales de las vías respiratorias, parénquima pulmonar, endotelio vascular, células renales e intestino delgado.</w:t>
      </w:r>
      <w:r w:rsidRPr="00EC2BF0">
        <w:rPr>
          <w:rFonts w:eastAsia="Calibri"/>
          <w:vertAlign w:val="superscript"/>
          <w:lang w:val="es-ES" w:eastAsia="en-US"/>
        </w:rPr>
        <w:t xml:space="preserve">(2,5) </w:t>
      </w:r>
      <w:r w:rsidRPr="00EC2BF0">
        <w:rPr>
          <w:rFonts w:eastAsia="Calibri"/>
          <w:lang w:val="es-ES" w:eastAsia="en-US"/>
        </w:rPr>
        <w:t xml:space="preserve">Aunque el receptor principal del coronavirus es la ECA2, ha sido documentado que el virus también se une a dos lectinas de tipo C expresadas en células dendríticas, DC-SIGN y LSIGN y el receptor DPP4. El receptor DPP4 también se encuentra en células epiteliales del riñón, intestino delgado, hígado, páncreas y próstata, así como en leucocitos </w:t>
      </w:r>
      <w:proofErr w:type="gramStart"/>
      <w:r w:rsidRPr="00EC2BF0">
        <w:rPr>
          <w:rFonts w:eastAsia="Calibri"/>
          <w:lang w:val="es-ES" w:eastAsia="en-US"/>
        </w:rPr>
        <w:t>activados.</w:t>
      </w:r>
      <w:r w:rsidRPr="00EC2BF0">
        <w:rPr>
          <w:rFonts w:eastAsia="Calibri"/>
          <w:vertAlign w:val="superscript"/>
          <w:lang w:val="es-ES" w:eastAsia="en-US"/>
        </w:rPr>
        <w:t>(</w:t>
      </w:r>
      <w:proofErr w:type="gramEnd"/>
      <w:r w:rsidRPr="00EC2BF0">
        <w:rPr>
          <w:rFonts w:eastAsia="Calibri"/>
          <w:vertAlign w:val="superscript"/>
          <w:lang w:val="es-ES" w:eastAsia="en-US"/>
        </w:rPr>
        <w:t xml:space="preserve">4) </w:t>
      </w:r>
      <w:r w:rsidRPr="00EC2BF0">
        <w:rPr>
          <w:rFonts w:eastAsia="Calibri"/>
          <w:lang w:val="es-ES" w:eastAsia="en-US"/>
        </w:rPr>
        <w:t xml:space="preserve"> También se ha documentado que infecta células epiteliales de glándulas gastrointestinales del estómago, duodeno y recto y en mucha menor medida, del esófago.</w:t>
      </w:r>
      <w:r w:rsidRPr="00EC2BF0">
        <w:rPr>
          <w:rFonts w:eastAsia="Calibri"/>
          <w:vertAlign w:val="superscript"/>
          <w:lang w:val="es-ES" w:eastAsia="en-US"/>
        </w:rPr>
        <w:t>(3)</w:t>
      </w:r>
    </w:p>
    <w:p w14:paraId="2D156F1C" w14:textId="77777777" w:rsidR="00EC2BF0" w:rsidRPr="00EC2BF0" w:rsidRDefault="00EC2BF0" w:rsidP="00EC2BF0">
      <w:pPr>
        <w:spacing w:line="360" w:lineRule="auto"/>
        <w:jc w:val="both"/>
        <w:rPr>
          <w:rFonts w:eastAsia="Calibri"/>
          <w:vertAlign w:val="superscript"/>
          <w:lang w:val="es-ES" w:eastAsia="en-US"/>
        </w:rPr>
      </w:pPr>
      <w:r w:rsidRPr="00EC2BF0">
        <w:rPr>
          <w:rFonts w:eastAsia="Calibri"/>
          <w:lang w:val="es-ES" w:eastAsia="en-US"/>
        </w:rPr>
        <w:t xml:space="preserve">Un estudio que incluyó 1 099 pacientes con la COVID-19, confirmada por el laboratorio, procedentes de 552 hospitales en China; 55 pacientes (5,6 %) presentaron náuseas, vómitos o ambos y 3,8 % diarrea. A tenor de ello, puede pensarse que los portadores asintomáticos o las personas con síntomas digestivos </w:t>
      </w:r>
      <w:r w:rsidRPr="00EC2BF0">
        <w:rPr>
          <w:rFonts w:eastAsia="Calibri"/>
          <w:lang w:val="es-ES" w:eastAsia="en-US"/>
        </w:rPr>
        <w:lastRenderedPageBreak/>
        <w:t xml:space="preserve">leves en una etapa temprana de la enfermedad, pueden ser subestimados como posibles focos de contagio a otras personas que aparentemente, no han estado en contacto con sujetos con síntomas </w:t>
      </w:r>
      <w:proofErr w:type="gramStart"/>
      <w:r w:rsidRPr="00EC2BF0">
        <w:rPr>
          <w:rFonts w:eastAsia="Calibri"/>
          <w:lang w:val="es-ES" w:eastAsia="en-US"/>
        </w:rPr>
        <w:t>respiratorios.</w:t>
      </w:r>
      <w:r w:rsidRPr="00EC2BF0">
        <w:rPr>
          <w:rFonts w:eastAsia="Calibri"/>
          <w:vertAlign w:val="superscript"/>
          <w:lang w:val="es-ES" w:eastAsia="en-US"/>
        </w:rPr>
        <w:t>(</w:t>
      </w:r>
      <w:proofErr w:type="gramEnd"/>
      <w:r w:rsidRPr="00EC2BF0">
        <w:rPr>
          <w:rFonts w:eastAsia="Calibri"/>
          <w:vertAlign w:val="superscript"/>
          <w:lang w:val="es-ES" w:eastAsia="en-US"/>
        </w:rPr>
        <w:t>3)</w:t>
      </w:r>
    </w:p>
    <w:p w14:paraId="2A545A38"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 xml:space="preserve">Según el informe del 6 de abril del 2020 sobre la situación de la COVID‐19 en </w:t>
      </w:r>
      <w:proofErr w:type="gramStart"/>
      <w:r w:rsidRPr="00EC2BF0">
        <w:rPr>
          <w:rFonts w:eastAsia="Calibri"/>
          <w:lang w:val="es-ES" w:eastAsia="en-US"/>
        </w:rPr>
        <w:t>España,</w:t>
      </w:r>
      <w:r w:rsidRPr="00EC2BF0">
        <w:rPr>
          <w:rFonts w:eastAsia="Calibri"/>
          <w:vertAlign w:val="superscript"/>
          <w:lang w:val="es-ES" w:eastAsia="en-US"/>
        </w:rPr>
        <w:t>(</w:t>
      </w:r>
      <w:proofErr w:type="gramEnd"/>
      <w:r w:rsidRPr="00EC2BF0">
        <w:rPr>
          <w:rFonts w:eastAsia="Calibri"/>
          <w:vertAlign w:val="superscript"/>
          <w:lang w:val="es-ES" w:eastAsia="en-US"/>
        </w:rPr>
        <w:t>9)</w:t>
      </w:r>
      <w:r w:rsidRPr="00EC2BF0">
        <w:rPr>
          <w:rFonts w:eastAsia="Calibri"/>
          <w:lang w:val="es-ES" w:eastAsia="en-US"/>
        </w:rPr>
        <w:t xml:space="preserve"> el 40 % de los enfermos presentaron manifestaciones digestivas (diarreas o vómitos). La diarrea estuvo presente en una tercera parte de los 2 278 pacientes. Los hombres tuvieron mayor frecuencia de fiebre, mientras que el dolor de garganta y los síntomas digestivos fueron significativamente más usuales en mujeres. </w:t>
      </w:r>
    </w:p>
    <w:p w14:paraId="0115D00B"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 xml:space="preserve">Un </w:t>
      </w:r>
      <w:proofErr w:type="gramStart"/>
      <w:r w:rsidRPr="00EC2BF0">
        <w:rPr>
          <w:rFonts w:eastAsia="Calibri"/>
          <w:lang w:val="es-ES" w:eastAsia="en-US"/>
        </w:rPr>
        <w:t>estudio</w:t>
      </w:r>
      <w:r w:rsidRPr="00EC2BF0">
        <w:rPr>
          <w:rFonts w:eastAsia="Calibri"/>
          <w:vertAlign w:val="superscript"/>
          <w:lang w:val="es-ES" w:eastAsia="en-US"/>
        </w:rPr>
        <w:t>(</w:t>
      </w:r>
      <w:proofErr w:type="gramEnd"/>
      <w:r w:rsidRPr="00EC2BF0">
        <w:rPr>
          <w:rFonts w:eastAsia="Calibri"/>
          <w:vertAlign w:val="superscript"/>
          <w:lang w:val="es-ES" w:eastAsia="en-US"/>
        </w:rPr>
        <w:t>10)</w:t>
      </w:r>
      <w:r w:rsidRPr="00EC2BF0">
        <w:rPr>
          <w:rFonts w:eastAsia="Calibri"/>
          <w:lang w:val="es-ES" w:eastAsia="en-US"/>
        </w:rPr>
        <w:t xml:space="preserve"> realizado en México, que analiza la experiencia clínica publicada en 15 artículos que estudian casos de la COVID-19 con síntomas gastrointestinales, ya sea como parte del cortejo sintomático de la infección o como manifestaciones atípicas, encuentra una prevalencia de síntomas gastrointestinales que varía del 3,0 % al 39,6 % entre diferentes observadores.</w:t>
      </w:r>
    </w:p>
    <w:p w14:paraId="3CDAE43A" w14:textId="77777777" w:rsidR="00EC2BF0" w:rsidRPr="00EC2BF0" w:rsidRDefault="00EC2BF0" w:rsidP="00EC2BF0">
      <w:pPr>
        <w:spacing w:line="360" w:lineRule="auto"/>
        <w:jc w:val="both"/>
        <w:rPr>
          <w:rFonts w:eastAsia="Calibri"/>
          <w:lang w:val="es-ES" w:eastAsia="en-US"/>
        </w:rPr>
      </w:pPr>
      <w:proofErr w:type="spellStart"/>
      <w:r w:rsidRPr="00EC2BF0">
        <w:rPr>
          <w:rFonts w:eastAsia="Calibri"/>
          <w:i/>
          <w:lang w:val="es-ES" w:eastAsia="en-US"/>
        </w:rPr>
        <w:t>Tierraseca</w:t>
      </w:r>
      <w:proofErr w:type="spellEnd"/>
      <w:r w:rsidRPr="00EC2BF0">
        <w:rPr>
          <w:rFonts w:eastAsia="Calibri"/>
          <w:i/>
          <w:lang w:val="es-ES" w:eastAsia="en-US"/>
        </w:rPr>
        <w:t xml:space="preserve"> </w:t>
      </w:r>
      <w:r w:rsidRPr="00EC2BF0">
        <w:rPr>
          <w:rFonts w:eastAsia="Calibri"/>
          <w:iCs/>
          <w:lang w:val="es-ES" w:eastAsia="en-US"/>
        </w:rPr>
        <w:t xml:space="preserve">y </w:t>
      </w:r>
      <w:proofErr w:type="gramStart"/>
      <w:r w:rsidRPr="00EC2BF0">
        <w:rPr>
          <w:rFonts w:eastAsia="Calibri"/>
          <w:iCs/>
          <w:lang w:val="es-ES" w:eastAsia="en-US"/>
        </w:rPr>
        <w:t>otros</w:t>
      </w:r>
      <w:r w:rsidRPr="00EC2BF0">
        <w:rPr>
          <w:rFonts w:eastAsia="Calibri"/>
          <w:vertAlign w:val="superscript"/>
          <w:lang w:val="es-ES" w:eastAsia="en-US"/>
        </w:rPr>
        <w:t>(</w:t>
      </w:r>
      <w:proofErr w:type="gramEnd"/>
      <w:r w:rsidRPr="00EC2BF0">
        <w:rPr>
          <w:rFonts w:eastAsia="Calibri"/>
          <w:vertAlign w:val="superscript"/>
          <w:lang w:val="es-ES" w:eastAsia="en-US"/>
        </w:rPr>
        <w:t>11)</w:t>
      </w:r>
      <w:r w:rsidRPr="00EC2BF0">
        <w:rPr>
          <w:rFonts w:eastAsia="Calibri"/>
          <w:lang w:val="es-ES" w:eastAsia="en-US"/>
        </w:rPr>
        <w:t xml:space="preserve"> publican un caso de paciente masculino sin síntomas respiratorios, con dolor abdominal en la fosa ilíaca izquierda, fiebre, vómitos y diarrea, positivo al SARS-CoV-2 que respondió favorablemente al tratamiento estándar para la COVID-19. </w:t>
      </w:r>
    </w:p>
    <w:p w14:paraId="347261AF" w14:textId="77777777" w:rsidR="00EC2BF0" w:rsidRPr="00EC2BF0" w:rsidRDefault="00EC2BF0" w:rsidP="00EC2BF0">
      <w:pPr>
        <w:spacing w:line="360" w:lineRule="auto"/>
        <w:jc w:val="both"/>
        <w:rPr>
          <w:rFonts w:eastAsia="Calibri"/>
          <w:lang w:val="es-ES" w:eastAsia="en-US"/>
        </w:rPr>
      </w:pPr>
      <w:proofErr w:type="spellStart"/>
      <w:r w:rsidRPr="00EC2BF0">
        <w:rPr>
          <w:rFonts w:eastAsia="Calibri"/>
          <w:i/>
          <w:lang w:val="es-ES" w:eastAsia="en-US"/>
        </w:rPr>
        <w:t>Fang</w:t>
      </w:r>
      <w:proofErr w:type="spellEnd"/>
      <w:r w:rsidRPr="00EC2BF0">
        <w:rPr>
          <w:rFonts w:eastAsia="Calibri"/>
          <w:lang w:val="es-ES" w:eastAsia="en-US"/>
        </w:rPr>
        <w:t xml:space="preserve"> y </w:t>
      </w:r>
      <w:proofErr w:type="gramStart"/>
      <w:r w:rsidRPr="00EC2BF0">
        <w:rPr>
          <w:rFonts w:eastAsia="Calibri"/>
          <w:lang w:val="es-ES" w:eastAsia="en-US"/>
        </w:rPr>
        <w:t>otros</w:t>
      </w:r>
      <w:r w:rsidRPr="00EC2BF0">
        <w:rPr>
          <w:rFonts w:eastAsia="Calibri"/>
          <w:vertAlign w:val="superscript"/>
          <w:lang w:val="es-ES" w:eastAsia="en-US"/>
        </w:rPr>
        <w:t>(</w:t>
      </w:r>
      <w:proofErr w:type="gramEnd"/>
      <w:r w:rsidRPr="00EC2BF0">
        <w:rPr>
          <w:rFonts w:eastAsia="Calibri"/>
          <w:vertAlign w:val="superscript"/>
          <w:lang w:val="es-ES" w:eastAsia="en-US"/>
        </w:rPr>
        <w:t>12)</w:t>
      </w:r>
      <w:r w:rsidRPr="00EC2BF0">
        <w:rPr>
          <w:rFonts w:eastAsia="Calibri"/>
          <w:lang w:val="es-ES" w:eastAsia="en-US"/>
        </w:rPr>
        <w:t xml:space="preserve"> reportan que presentaron diarrea el 49,5 % de los pacientes; en el 55,2 % después de la terapia antiviral y 22,2 % previo al diagnóstico. La duración fue entre 1 a 8 días después del inicio de la enfermedad, con una media de 3 días. Además otros autores también plantean que la sintomatología gastrointestinal está presente de forma </w:t>
      </w:r>
      <w:proofErr w:type="gramStart"/>
      <w:r w:rsidRPr="00EC2BF0">
        <w:rPr>
          <w:rFonts w:eastAsia="Calibri"/>
          <w:lang w:val="es-ES" w:eastAsia="en-US"/>
        </w:rPr>
        <w:t>relevante.</w:t>
      </w:r>
      <w:r w:rsidRPr="00EC2BF0">
        <w:rPr>
          <w:rFonts w:eastAsia="Calibri"/>
          <w:vertAlign w:val="superscript"/>
          <w:lang w:val="es-ES" w:eastAsia="en-US"/>
        </w:rPr>
        <w:t>(</w:t>
      </w:r>
      <w:proofErr w:type="gramEnd"/>
      <w:r w:rsidRPr="00EC2BF0">
        <w:rPr>
          <w:rFonts w:eastAsia="Calibri"/>
          <w:vertAlign w:val="superscript"/>
          <w:lang w:val="es-ES" w:eastAsia="en-US"/>
        </w:rPr>
        <w:t>13)</w:t>
      </w:r>
      <w:r w:rsidRPr="00EC2BF0">
        <w:rPr>
          <w:rFonts w:eastAsia="Calibri"/>
          <w:lang w:val="es-ES" w:eastAsia="en-US"/>
        </w:rPr>
        <w:t xml:space="preserve">  </w:t>
      </w:r>
    </w:p>
    <w:p w14:paraId="231A48FF"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En la presente investigación, el por ciento de pacientes con síntomas gastrointestinales fue mayor en comparación con otras investigaciones, incluso con estudios realizados en América.</w:t>
      </w:r>
      <w:r w:rsidRPr="00EC2BF0">
        <w:rPr>
          <w:rFonts w:eastAsia="Calibri"/>
          <w:vertAlign w:val="superscript"/>
          <w:lang w:val="es-ES" w:eastAsia="en-US"/>
        </w:rPr>
        <w:t>(10)</w:t>
      </w:r>
      <w:r w:rsidRPr="00EC2BF0">
        <w:rPr>
          <w:rFonts w:eastAsia="Calibri"/>
          <w:lang w:val="es-ES" w:eastAsia="en-US"/>
        </w:rPr>
        <w:t xml:space="preserve"> Este resultado podría estar influenciado por varios factores, entre los que se destacan, cepas más virulentas circulando en el momento que se realizó la investigación en comparación con la cepa original detectada al inicio de la epidemia; mayor capacidad de identificación de pacientes infectados por el virus gracias, a las políticas y estrategias implementadas por el sistema de salud, en la que desempeñó un papel importante la hospitalización oportuna de todos los pacientes con alto riesgo de complicaciones; y la experiencia acumulada en los meses de enfrentamiento a la pandemia por parte del personal sanitario.</w:t>
      </w:r>
    </w:p>
    <w:p w14:paraId="426F30FC"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 xml:space="preserve">Es importante destacar que algunos investigadores han logrado asociar la presencia de manifestaciones digestivas, con evolución hacia la gravedad y mayor frecuencia de </w:t>
      </w:r>
      <w:proofErr w:type="gramStart"/>
      <w:r w:rsidRPr="00EC2BF0">
        <w:rPr>
          <w:rFonts w:eastAsia="Calibri"/>
          <w:lang w:val="es-ES" w:eastAsia="en-US"/>
        </w:rPr>
        <w:t>complicaciones.</w:t>
      </w:r>
      <w:r w:rsidRPr="00EC2BF0">
        <w:rPr>
          <w:rFonts w:eastAsia="Calibri"/>
          <w:vertAlign w:val="superscript"/>
          <w:lang w:val="es-ES" w:eastAsia="en-US"/>
        </w:rPr>
        <w:t>(</w:t>
      </w:r>
      <w:proofErr w:type="gramEnd"/>
      <w:r w:rsidRPr="00EC2BF0">
        <w:rPr>
          <w:rFonts w:eastAsia="Calibri"/>
          <w:vertAlign w:val="superscript"/>
          <w:lang w:val="es-ES" w:eastAsia="en-US"/>
        </w:rPr>
        <w:t xml:space="preserve">2) </w:t>
      </w:r>
      <w:r w:rsidRPr="00EC2BF0">
        <w:rPr>
          <w:rFonts w:eastAsia="Calibri"/>
          <w:lang w:val="es-ES" w:eastAsia="en-US"/>
        </w:rPr>
        <w:t>Un metaanálisis</w:t>
      </w:r>
      <w:r w:rsidRPr="00EC2BF0">
        <w:rPr>
          <w:rFonts w:eastAsia="Calibri"/>
          <w:vertAlign w:val="superscript"/>
          <w:lang w:val="es-ES" w:eastAsia="en-US"/>
        </w:rPr>
        <w:t xml:space="preserve"> </w:t>
      </w:r>
      <w:r w:rsidRPr="00EC2BF0">
        <w:rPr>
          <w:rFonts w:eastAsia="Calibri"/>
          <w:lang w:val="es-ES" w:eastAsia="en-US"/>
        </w:rPr>
        <w:t xml:space="preserve">realizado por </w:t>
      </w:r>
      <w:r w:rsidRPr="00EC2BF0">
        <w:rPr>
          <w:rFonts w:eastAsia="Calibri"/>
          <w:i/>
          <w:lang w:val="es-ES" w:eastAsia="en-US"/>
        </w:rPr>
        <w:t xml:space="preserve">Cheung </w:t>
      </w:r>
      <w:r w:rsidRPr="00EC2BF0">
        <w:rPr>
          <w:rFonts w:eastAsia="Calibri"/>
          <w:lang w:val="es-ES" w:eastAsia="en-US"/>
        </w:rPr>
        <w:t>y otros,</w:t>
      </w:r>
      <w:r w:rsidRPr="00EC2BF0">
        <w:rPr>
          <w:rFonts w:eastAsia="Calibri"/>
          <w:vertAlign w:val="superscript"/>
          <w:lang w:val="es-ES" w:eastAsia="en-US"/>
        </w:rPr>
        <w:t>(13)</w:t>
      </w:r>
      <w:r w:rsidRPr="00EC2BF0">
        <w:rPr>
          <w:rFonts w:eastAsia="Calibri"/>
          <w:lang w:val="es-ES" w:eastAsia="en-US"/>
        </w:rPr>
        <w:t xml:space="preserve"> que incluyó 4 243 pacientes de población predominantemente asiática </w:t>
      </w:r>
      <w:r w:rsidRPr="00EC2BF0">
        <w:rPr>
          <w:rFonts w:eastAsia="Calibri"/>
          <w:lang w:val="es-ES" w:eastAsia="en-US"/>
        </w:rPr>
        <w:lastRenderedPageBreak/>
        <w:t xml:space="preserve">y europea, evidencia una prevalencia de manifestaciones gastrointestinales del 17,6 % (IC 95 %, 12,3 - 24,5 %). En ese estudio el síntoma más frecuente fue la anorexia con 27 %, seguido de diarrea, 12 %, náuseas/ vómitos, 10 % y dolor abdominal, 9 %. La prevalencia de los síntomas gastrointestinales fue mayor en pacientes con enfermedad grave, que en pacientes sin gravedad (17 % </w:t>
      </w:r>
      <w:r w:rsidRPr="00EC2BF0">
        <w:rPr>
          <w:rFonts w:eastAsia="Calibri"/>
          <w:i/>
          <w:iCs/>
          <w:lang w:val="es-ES" w:eastAsia="en-US"/>
        </w:rPr>
        <w:t>versus</w:t>
      </w:r>
      <w:r w:rsidRPr="00EC2BF0">
        <w:rPr>
          <w:rFonts w:eastAsia="Calibri"/>
          <w:lang w:val="es-ES" w:eastAsia="en-US"/>
        </w:rPr>
        <w:t xml:space="preserve"> 12 %). Estas frecuencias fueron similares en población adulta, pediátrica y mujeres embarazadas. </w:t>
      </w:r>
    </w:p>
    <w:p w14:paraId="3EB6FEED" w14:textId="77777777" w:rsidR="00EC2BF0" w:rsidRPr="00EC2BF0" w:rsidRDefault="00EC2BF0" w:rsidP="00EC2BF0">
      <w:pPr>
        <w:spacing w:line="360" w:lineRule="auto"/>
        <w:jc w:val="both"/>
        <w:rPr>
          <w:rFonts w:eastAsia="Calibri"/>
          <w:vertAlign w:val="superscript"/>
          <w:lang w:val="es-ES" w:eastAsia="en-US"/>
        </w:rPr>
      </w:pPr>
      <w:r w:rsidRPr="00EC2BF0">
        <w:rPr>
          <w:rFonts w:eastAsia="Calibri"/>
          <w:lang w:val="es-ES" w:eastAsia="en-US"/>
        </w:rPr>
        <w:t xml:space="preserve">Otro estudio realizado en </w:t>
      </w:r>
      <w:proofErr w:type="gramStart"/>
      <w:r w:rsidRPr="00EC2BF0">
        <w:rPr>
          <w:rFonts w:eastAsia="Calibri"/>
          <w:lang w:val="es-ES" w:eastAsia="en-US"/>
        </w:rPr>
        <w:t>Asia</w:t>
      </w:r>
      <w:r w:rsidRPr="00EC2BF0">
        <w:rPr>
          <w:rFonts w:eastAsia="Calibri"/>
          <w:vertAlign w:val="superscript"/>
          <w:lang w:val="es-ES" w:eastAsia="en-US"/>
        </w:rPr>
        <w:t>(</w:t>
      </w:r>
      <w:proofErr w:type="gramEnd"/>
      <w:r w:rsidRPr="00EC2BF0">
        <w:rPr>
          <w:rFonts w:eastAsia="Calibri"/>
          <w:vertAlign w:val="superscript"/>
          <w:lang w:val="es-ES" w:eastAsia="en-US"/>
        </w:rPr>
        <w:t>14)</w:t>
      </w:r>
      <w:r w:rsidRPr="00EC2BF0">
        <w:rPr>
          <w:rFonts w:eastAsia="Calibri"/>
          <w:lang w:val="es-ES" w:eastAsia="en-US"/>
        </w:rPr>
        <w:t xml:space="preserve"> también concluye que los síntomas gastrointestinales pueden estar presentes en la enfermedad. No obstante, la diarrea puede estar infradiagnosticada, ya que suele presentarse al inicio de la enfermedad y se autolimita, por </w:t>
      </w:r>
      <w:proofErr w:type="gramStart"/>
      <w:r w:rsidRPr="00EC2BF0">
        <w:rPr>
          <w:rFonts w:eastAsia="Calibri"/>
          <w:lang w:val="es-ES" w:eastAsia="en-US"/>
        </w:rPr>
        <w:t>tanto</w:t>
      </w:r>
      <w:proofErr w:type="gramEnd"/>
      <w:r w:rsidRPr="00EC2BF0">
        <w:rPr>
          <w:rFonts w:eastAsia="Calibri"/>
          <w:lang w:val="es-ES" w:eastAsia="en-US"/>
        </w:rPr>
        <w:t xml:space="preserve"> es difícil relacionarla, en algunos casos, con el diagnostico ulterior de la COVID-19.</w:t>
      </w:r>
    </w:p>
    <w:p w14:paraId="0D5E999A"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 xml:space="preserve">Según </w:t>
      </w:r>
      <w:r w:rsidRPr="00EC2BF0">
        <w:rPr>
          <w:rFonts w:eastAsia="Calibri"/>
          <w:i/>
          <w:iCs/>
          <w:lang w:val="es-ES" w:eastAsia="en-US"/>
        </w:rPr>
        <w:t xml:space="preserve">Mao R </w:t>
      </w:r>
      <w:r w:rsidRPr="00EC2BF0">
        <w:rPr>
          <w:rFonts w:eastAsia="Calibri"/>
          <w:lang w:val="es-ES" w:eastAsia="en-US"/>
        </w:rPr>
        <w:t xml:space="preserve">y </w:t>
      </w:r>
      <w:proofErr w:type="gramStart"/>
      <w:r w:rsidRPr="00EC2BF0">
        <w:rPr>
          <w:rFonts w:eastAsia="Calibri"/>
          <w:lang w:val="es-ES" w:eastAsia="en-US"/>
        </w:rPr>
        <w:t>otros,</w:t>
      </w:r>
      <w:r w:rsidRPr="00EC2BF0">
        <w:rPr>
          <w:rFonts w:eastAsia="Calibri"/>
          <w:vertAlign w:val="superscript"/>
          <w:lang w:val="es-ES" w:eastAsia="en-US"/>
        </w:rPr>
        <w:t>(</w:t>
      </w:r>
      <w:proofErr w:type="gramEnd"/>
      <w:r w:rsidRPr="00EC2BF0">
        <w:rPr>
          <w:rFonts w:eastAsia="Calibri"/>
          <w:vertAlign w:val="superscript"/>
          <w:lang w:val="es-ES" w:eastAsia="en-US"/>
        </w:rPr>
        <w:t>15)</w:t>
      </w:r>
      <w:r w:rsidRPr="00EC2BF0">
        <w:rPr>
          <w:rFonts w:eastAsia="Calibri"/>
          <w:lang w:val="es-ES" w:eastAsia="en-US"/>
        </w:rPr>
        <w:t xml:space="preserve"> los síntomas digestivos pueden aparecer sin manifestaciones respiratorias asociada, lo cual tiene importantes implicaciones epidemiológicas. La coexistencia de manifestaciones gastrointestinales y respiratorias podría implicar mayor gravedad de la enfermedad, evidenciada en la presencia de datos de gravedad clínicos, analíticos, radiológicos y mayor necesidad de ventilación mecánica, respecto a los pacientes con manifestaciones exclusivamente respiratorias. </w:t>
      </w:r>
    </w:p>
    <w:p w14:paraId="013751B6"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 xml:space="preserve">La anorexia fue el síntoma más frecuente en algunas investigaciones y en esta; fue el de mayor duración. Su presencia pudiera explicarse por el estado inflamatorio, la hipoxia, la alteración de la función hepática, la depresión y las reacciones adversas de los medicamentos. Su evaluación es muy subjetiva, por lo que los investigadores coinciden con lo planteado por varios </w:t>
      </w:r>
      <w:proofErr w:type="gramStart"/>
      <w:r w:rsidRPr="00EC2BF0">
        <w:rPr>
          <w:rFonts w:eastAsia="Calibri"/>
          <w:lang w:val="es-ES" w:eastAsia="en-US"/>
        </w:rPr>
        <w:t>autores,</w:t>
      </w:r>
      <w:r w:rsidRPr="00EC2BF0">
        <w:rPr>
          <w:rFonts w:eastAsia="Calibri"/>
          <w:vertAlign w:val="superscript"/>
          <w:lang w:val="es-ES" w:eastAsia="en-US"/>
        </w:rPr>
        <w:t>(</w:t>
      </w:r>
      <w:proofErr w:type="gramEnd"/>
      <w:r w:rsidRPr="00EC2BF0">
        <w:rPr>
          <w:rFonts w:eastAsia="Calibri"/>
          <w:vertAlign w:val="superscript"/>
          <w:lang w:val="es-ES" w:eastAsia="en-US"/>
        </w:rPr>
        <w:t>16,17,18)</w:t>
      </w:r>
      <w:r w:rsidRPr="00EC2BF0">
        <w:rPr>
          <w:rFonts w:eastAsia="Calibri"/>
          <w:lang w:val="es-ES" w:eastAsia="en-US"/>
        </w:rPr>
        <w:t xml:space="preserve"> que la diarrea y las náuseas suelen ser los síntomas más comunes. </w:t>
      </w:r>
    </w:p>
    <w:p w14:paraId="42465F66" w14:textId="77777777" w:rsidR="00EC2BF0" w:rsidRPr="00EC2BF0" w:rsidRDefault="00EC2BF0" w:rsidP="00EC2BF0">
      <w:pPr>
        <w:spacing w:line="360" w:lineRule="auto"/>
        <w:jc w:val="both"/>
        <w:rPr>
          <w:rFonts w:eastAsia="Calibri"/>
          <w:vertAlign w:val="superscript"/>
          <w:lang w:val="es-ES" w:eastAsia="en-US"/>
        </w:rPr>
      </w:pPr>
      <w:r w:rsidRPr="00EC2BF0">
        <w:rPr>
          <w:rFonts w:eastAsia="Calibri"/>
          <w:lang w:val="es-ES" w:eastAsia="en-US"/>
        </w:rPr>
        <w:t xml:space="preserve">Según algunos </w:t>
      </w:r>
      <w:proofErr w:type="gramStart"/>
      <w:r w:rsidRPr="00EC2BF0">
        <w:rPr>
          <w:rFonts w:eastAsia="Calibri"/>
          <w:lang w:val="es-ES" w:eastAsia="en-US"/>
        </w:rPr>
        <w:t>autores,</w:t>
      </w:r>
      <w:r w:rsidRPr="00EC2BF0">
        <w:rPr>
          <w:rFonts w:eastAsia="Calibri"/>
          <w:vertAlign w:val="superscript"/>
          <w:lang w:val="es-ES" w:eastAsia="en-US"/>
        </w:rPr>
        <w:t>(</w:t>
      </w:r>
      <w:proofErr w:type="gramEnd"/>
      <w:r w:rsidRPr="00EC2BF0">
        <w:rPr>
          <w:rFonts w:eastAsia="Calibri"/>
          <w:vertAlign w:val="superscript"/>
          <w:lang w:val="es-ES" w:eastAsia="en-US"/>
        </w:rPr>
        <w:t>17,19)</w:t>
      </w:r>
      <w:r w:rsidRPr="00EC2BF0">
        <w:rPr>
          <w:rFonts w:eastAsia="Calibri"/>
          <w:lang w:val="es-ES" w:eastAsia="en-US"/>
        </w:rPr>
        <w:t xml:space="preserve"> la diarrea puede explicarse debido a que la ECA2 modula la inflamación intestinal; el SARS-CoV-2, al utilizar este receptor para entrar a la célula, al colonizar las células del tubo digestivo puede causar la interrupción de la función ECA2 y provocar  este síntoma. </w:t>
      </w:r>
    </w:p>
    <w:p w14:paraId="20C6B34F"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 xml:space="preserve">A pesar de todo lo que se ha investigado sobre la COVID-19, en cuanto a sus manifestaciones clínicas, complicaciones o secuelas, lo cierto es que continúa siendo una enfermedad emergente con quizás no pocos aspectos aún por describir y comprender. Por otro lado, el surgimiento de mutaciones del virus con aparición de nuevas variantes, es otro elemento importante que contribuye a que se modifique el cuadro clínico de la enfermedad.   </w:t>
      </w:r>
    </w:p>
    <w:p w14:paraId="01D9A82F"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lastRenderedPageBreak/>
        <w:t xml:space="preserve">En el presente estudio no se determinó la variante del virus que portaban los pacientes y quizás de ello dependa que más de la mitad presentaron manifestaciones digestivas, lo que supera a los resultados descritos por otros investigadores. </w:t>
      </w:r>
    </w:p>
    <w:p w14:paraId="1615B552"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Las manifestaciones digestivas en pacientes hospitalizados con la COVID-19 fueron: diarrea, náuseas, vómitos, epigastralgia, anorexia y dispepsia, de ellas, las de más frecuente presentación fueron: diarrea, náuseas y la anorexia.</w:t>
      </w:r>
    </w:p>
    <w:p w14:paraId="59D9BEA4" w14:textId="77777777" w:rsidR="00EC2BF0" w:rsidRPr="00EC2BF0" w:rsidRDefault="00EC2BF0" w:rsidP="00EC2BF0">
      <w:pPr>
        <w:rPr>
          <w:rFonts w:ascii="Calibri" w:eastAsia="Calibri" w:hAnsi="Calibri"/>
          <w:sz w:val="20"/>
          <w:szCs w:val="20"/>
          <w:lang w:val="es-ES" w:eastAsia="en-US"/>
        </w:rPr>
      </w:pPr>
    </w:p>
    <w:p w14:paraId="11737EBC" w14:textId="77777777" w:rsidR="00EC2BF0" w:rsidRPr="00EC2BF0" w:rsidRDefault="00EC2BF0" w:rsidP="00EC2BF0">
      <w:pPr>
        <w:spacing w:line="360" w:lineRule="auto"/>
        <w:jc w:val="center"/>
        <w:rPr>
          <w:rFonts w:eastAsia="Calibri"/>
          <w:b/>
          <w:lang w:val="es-ES" w:eastAsia="en-US"/>
        </w:rPr>
      </w:pPr>
    </w:p>
    <w:p w14:paraId="16D1AE04" w14:textId="77777777" w:rsidR="00EC2BF0" w:rsidRPr="00EC2BF0" w:rsidRDefault="00EC2BF0" w:rsidP="00EC2BF0">
      <w:pPr>
        <w:spacing w:line="360" w:lineRule="auto"/>
        <w:jc w:val="center"/>
        <w:rPr>
          <w:rFonts w:eastAsia="Calibri"/>
          <w:b/>
          <w:sz w:val="32"/>
          <w:szCs w:val="32"/>
          <w:lang w:val="es-ES" w:eastAsia="en-US"/>
        </w:rPr>
      </w:pPr>
      <w:r w:rsidRPr="00EC2BF0">
        <w:rPr>
          <w:rFonts w:eastAsia="Calibri"/>
          <w:b/>
          <w:sz w:val="32"/>
          <w:szCs w:val="32"/>
          <w:lang w:val="es-ES" w:eastAsia="en-US"/>
        </w:rPr>
        <w:t>REFERENCIAS BIBLIOGÁFICAS</w:t>
      </w:r>
    </w:p>
    <w:p w14:paraId="050DA061" w14:textId="77777777" w:rsidR="00EC2BF0" w:rsidRPr="00EC2BF0" w:rsidRDefault="00EC2BF0" w:rsidP="00EC2BF0">
      <w:pPr>
        <w:spacing w:line="360" w:lineRule="auto"/>
        <w:rPr>
          <w:rFonts w:eastAsia="Calibri"/>
          <w:lang w:val="es-ES" w:eastAsia="en-US"/>
        </w:rPr>
      </w:pPr>
      <w:r w:rsidRPr="00EC2BF0">
        <w:rPr>
          <w:rFonts w:eastAsia="Calibri"/>
          <w:lang w:val="es-ES" w:eastAsia="en-US"/>
        </w:rPr>
        <w:t>1</w:t>
      </w:r>
      <w:r w:rsidRPr="00EC2BF0">
        <w:rPr>
          <w:rFonts w:eastAsia="Calibri"/>
          <w:color w:val="FF0000"/>
          <w:lang w:val="es-ES" w:eastAsia="en-US"/>
        </w:rPr>
        <w:t xml:space="preserve">. </w:t>
      </w:r>
      <w:proofErr w:type="spellStart"/>
      <w:r w:rsidRPr="00EC2BF0">
        <w:rPr>
          <w:rFonts w:eastAsia="Calibri"/>
          <w:lang w:val="es-ES" w:eastAsia="en-US"/>
        </w:rPr>
        <w:t>Pelaéz</w:t>
      </w:r>
      <w:proofErr w:type="spellEnd"/>
      <w:r w:rsidRPr="00EC2BF0">
        <w:rPr>
          <w:rFonts w:eastAsia="Calibri"/>
          <w:lang w:val="es-ES" w:eastAsia="en-US"/>
        </w:rPr>
        <w:t xml:space="preserve"> Sánchez O, Bermejo P. Brotes, Epidemias, eventos y otros términos epidemiológicos de uso cotidiano. </w:t>
      </w:r>
      <w:proofErr w:type="spellStart"/>
      <w:r w:rsidRPr="00EC2BF0">
        <w:rPr>
          <w:rFonts w:eastAsia="Calibri"/>
          <w:lang w:val="es-ES" w:eastAsia="en-US"/>
        </w:rPr>
        <w:t>Rev</w:t>
      </w:r>
      <w:proofErr w:type="spellEnd"/>
      <w:r w:rsidRPr="00EC2BF0">
        <w:rPr>
          <w:rFonts w:eastAsia="Calibri"/>
          <w:lang w:val="es-ES" w:eastAsia="en-US"/>
        </w:rPr>
        <w:t xml:space="preserve"> Cubana Salud Pública. 2020 [acceso: 05/05/2020]; 46(2): 123-32. Disponible en: </w:t>
      </w:r>
      <w:hyperlink r:id="rId14" w:history="1">
        <w:r w:rsidRPr="00EC2BF0">
          <w:rPr>
            <w:rFonts w:eastAsia="Calibri"/>
            <w:color w:val="0000FF"/>
            <w:u w:val="single"/>
            <w:lang w:val="es-ES" w:eastAsia="en-US"/>
          </w:rPr>
          <w:t>http://www.revsaludpublica.sld.cu/index.php/spu/article/view/2358</w:t>
        </w:r>
      </w:hyperlink>
      <w:r w:rsidRPr="00EC2BF0">
        <w:rPr>
          <w:rFonts w:eastAsia="Calibri"/>
          <w:lang w:val="es-ES" w:eastAsia="en-US"/>
        </w:rPr>
        <w:t xml:space="preserve">  </w:t>
      </w:r>
    </w:p>
    <w:p w14:paraId="76CE634E" w14:textId="77777777" w:rsidR="00EC2BF0" w:rsidRPr="00EC2BF0" w:rsidRDefault="00EC2BF0" w:rsidP="00EC2BF0">
      <w:pPr>
        <w:spacing w:line="360" w:lineRule="auto"/>
        <w:rPr>
          <w:rFonts w:eastAsia="Calibri"/>
          <w:lang w:val="es-ES" w:eastAsia="en-US"/>
        </w:rPr>
      </w:pPr>
      <w:r w:rsidRPr="00EC2BF0">
        <w:rPr>
          <w:rFonts w:eastAsia="Calibri"/>
          <w:lang w:val="es-ES" w:eastAsia="en-US"/>
        </w:rPr>
        <w:t xml:space="preserve">2. Serra Valdés M. COVID-19. De la patogenia a la elevada mortalidad en el adulto mayor y con comorbilidades. </w:t>
      </w:r>
      <w:proofErr w:type="spellStart"/>
      <w:r w:rsidRPr="00EC2BF0">
        <w:rPr>
          <w:rFonts w:eastAsia="Calibri"/>
          <w:lang w:val="es-ES" w:eastAsia="en-US"/>
        </w:rPr>
        <w:t>Rev</w:t>
      </w:r>
      <w:proofErr w:type="spellEnd"/>
      <w:r w:rsidRPr="00EC2BF0">
        <w:rPr>
          <w:rFonts w:eastAsia="Calibri"/>
          <w:lang w:val="es-ES" w:eastAsia="en-US"/>
        </w:rPr>
        <w:t xml:space="preserve"> </w:t>
      </w:r>
      <w:proofErr w:type="spellStart"/>
      <w:r w:rsidRPr="00EC2BF0">
        <w:rPr>
          <w:rFonts w:eastAsia="Calibri"/>
          <w:lang w:val="es-ES" w:eastAsia="en-US"/>
        </w:rPr>
        <w:t>haban</w:t>
      </w:r>
      <w:proofErr w:type="spellEnd"/>
      <w:r w:rsidRPr="00EC2BF0">
        <w:rPr>
          <w:rFonts w:eastAsia="Calibri"/>
          <w:lang w:val="es-ES" w:eastAsia="en-US"/>
        </w:rPr>
        <w:t xml:space="preserve"> </w:t>
      </w:r>
      <w:proofErr w:type="spellStart"/>
      <w:r w:rsidRPr="00EC2BF0">
        <w:rPr>
          <w:rFonts w:eastAsia="Calibri"/>
          <w:lang w:val="es-ES" w:eastAsia="en-US"/>
        </w:rPr>
        <w:t>cienc</w:t>
      </w:r>
      <w:proofErr w:type="spellEnd"/>
      <w:r w:rsidRPr="00EC2BF0">
        <w:rPr>
          <w:rFonts w:eastAsia="Calibri"/>
          <w:lang w:val="es-ES" w:eastAsia="en-US"/>
        </w:rPr>
        <w:t xml:space="preserve"> </w:t>
      </w:r>
      <w:proofErr w:type="spellStart"/>
      <w:r w:rsidRPr="00EC2BF0">
        <w:rPr>
          <w:rFonts w:eastAsia="Calibri"/>
          <w:lang w:val="es-ES" w:eastAsia="en-US"/>
        </w:rPr>
        <w:t>méd</w:t>
      </w:r>
      <w:proofErr w:type="spellEnd"/>
      <w:r w:rsidRPr="00EC2BF0">
        <w:rPr>
          <w:rFonts w:eastAsia="Calibri"/>
          <w:lang w:val="es-ES" w:eastAsia="en-US"/>
        </w:rPr>
        <w:t xml:space="preserve">. 2020 [acceso: 20/07/2020]; 19(3): e3379. Disponible en: </w:t>
      </w:r>
      <w:hyperlink r:id="rId15" w:history="1">
        <w:r w:rsidRPr="00EC2BF0">
          <w:rPr>
            <w:rFonts w:eastAsia="Calibri"/>
            <w:color w:val="0000FF"/>
            <w:u w:val="single"/>
            <w:lang w:val="es-ES" w:eastAsia="en-US"/>
          </w:rPr>
          <w:t>http://www.revhabanera.sld.cu/index.php/rhab/article/view/3379</w:t>
        </w:r>
      </w:hyperlink>
    </w:p>
    <w:p w14:paraId="66C49EC5" w14:textId="77777777" w:rsidR="00EC2BF0" w:rsidRPr="00EC2BF0" w:rsidRDefault="00EC2BF0" w:rsidP="00EC2BF0">
      <w:pPr>
        <w:spacing w:line="360" w:lineRule="auto"/>
        <w:rPr>
          <w:rFonts w:eastAsia="Calibri"/>
          <w:lang w:val="es-ES" w:eastAsia="en-US"/>
        </w:rPr>
      </w:pPr>
      <w:r w:rsidRPr="00EC2BF0">
        <w:rPr>
          <w:rFonts w:eastAsia="Calibri"/>
          <w:lang w:val="es-ES" w:eastAsia="en-US"/>
        </w:rPr>
        <w:t xml:space="preserve">3. Góngora Gómez O, Gámez Leyva LR. Manifestaciones extrapulmonares de la infección por el nuevo Coronavirus SARS-CoV-2. </w:t>
      </w:r>
      <w:proofErr w:type="spellStart"/>
      <w:r w:rsidRPr="00EC2BF0">
        <w:rPr>
          <w:rFonts w:eastAsia="Calibri"/>
          <w:lang w:val="es-ES" w:eastAsia="en-US"/>
        </w:rPr>
        <w:t>Rev</w:t>
      </w:r>
      <w:proofErr w:type="spellEnd"/>
      <w:r w:rsidRPr="00EC2BF0">
        <w:rPr>
          <w:rFonts w:eastAsia="Calibri"/>
          <w:lang w:val="es-ES" w:eastAsia="en-US"/>
        </w:rPr>
        <w:t xml:space="preserve"> </w:t>
      </w:r>
      <w:proofErr w:type="spellStart"/>
      <w:r w:rsidRPr="00EC2BF0">
        <w:rPr>
          <w:rFonts w:eastAsia="Calibri"/>
          <w:lang w:val="es-ES" w:eastAsia="en-US"/>
        </w:rPr>
        <w:t>haban</w:t>
      </w:r>
      <w:proofErr w:type="spellEnd"/>
      <w:r w:rsidRPr="00EC2BF0">
        <w:rPr>
          <w:rFonts w:eastAsia="Calibri"/>
          <w:lang w:val="es-ES" w:eastAsia="en-US"/>
        </w:rPr>
        <w:t xml:space="preserve"> </w:t>
      </w:r>
      <w:proofErr w:type="spellStart"/>
      <w:r w:rsidRPr="00EC2BF0">
        <w:rPr>
          <w:rFonts w:eastAsia="Calibri"/>
          <w:lang w:val="es-ES" w:eastAsia="en-US"/>
        </w:rPr>
        <w:t>cienc</w:t>
      </w:r>
      <w:proofErr w:type="spellEnd"/>
      <w:r w:rsidRPr="00EC2BF0">
        <w:rPr>
          <w:rFonts w:eastAsia="Calibri"/>
          <w:lang w:val="es-ES" w:eastAsia="en-US"/>
        </w:rPr>
        <w:t xml:space="preserve"> </w:t>
      </w:r>
      <w:proofErr w:type="spellStart"/>
      <w:r w:rsidRPr="00EC2BF0">
        <w:rPr>
          <w:rFonts w:eastAsia="Calibri"/>
          <w:lang w:val="es-ES" w:eastAsia="en-US"/>
        </w:rPr>
        <w:t>méd</w:t>
      </w:r>
      <w:proofErr w:type="spellEnd"/>
      <w:r w:rsidRPr="00EC2BF0">
        <w:rPr>
          <w:rFonts w:eastAsia="Calibri"/>
          <w:lang w:val="es-ES" w:eastAsia="en-US"/>
        </w:rPr>
        <w:t>. 2020 [acceso: 20/07/2020]; 19(</w:t>
      </w:r>
      <w:proofErr w:type="spellStart"/>
      <w:r w:rsidRPr="00EC2BF0">
        <w:rPr>
          <w:rFonts w:eastAsia="Calibri"/>
          <w:lang w:val="es-ES" w:eastAsia="en-US"/>
        </w:rPr>
        <w:t>Supl</w:t>
      </w:r>
      <w:proofErr w:type="spellEnd"/>
      <w:r w:rsidRPr="00EC2BF0">
        <w:rPr>
          <w:rFonts w:eastAsia="Calibri"/>
          <w:lang w:val="es-ES" w:eastAsia="en-US"/>
        </w:rPr>
        <w:t xml:space="preserve">.): e3378. Disponible en: </w:t>
      </w:r>
      <w:hyperlink r:id="rId16" w:history="1">
        <w:r w:rsidRPr="00EC2BF0">
          <w:rPr>
            <w:rFonts w:eastAsia="Calibri"/>
            <w:color w:val="0000FF"/>
            <w:u w:val="single"/>
            <w:lang w:val="es-ES" w:eastAsia="en-US"/>
          </w:rPr>
          <w:t>http://www.revhabanera.sld.cu/index.php/rhab/article/view/3378</w:t>
        </w:r>
      </w:hyperlink>
    </w:p>
    <w:p w14:paraId="200BDA17" w14:textId="77777777" w:rsidR="00EC2BF0" w:rsidRPr="00EC2BF0" w:rsidRDefault="00EC2BF0" w:rsidP="00EC2BF0">
      <w:pPr>
        <w:spacing w:line="360" w:lineRule="auto"/>
        <w:rPr>
          <w:rFonts w:eastAsia="Calibri"/>
          <w:lang w:val="es-ES" w:eastAsia="en-US"/>
        </w:rPr>
      </w:pPr>
      <w:r w:rsidRPr="00EC2BF0">
        <w:rPr>
          <w:rFonts w:eastAsia="Calibri"/>
          <w:lang w:val="es-ES" w:eastAsia="en-US"/>
        </w:rPr>
        <w:t xml:space="preserve">4. Jaramillo MD, Jaramillo Trujillo G, Barreto J, Pérez MD, Pérez JS. Covid-19: herramientas de prevención actual en las unidades de endoscopia. </w:t>
      </w:r>
      <w:proofErr w:type="spellStart"/>
      <w:r w:rsidRPr="00EC2BF0">
        <w:rPr>
          <w:rFonts w:eastAsia="Calibri"/>
          <w:lang w:val="es-ES" w:eastAsia="en-US"/>
        </w:rPr>
        <w:t>Repert</w:t>
      </w:r>
      <w:proofErr w:type="spellEnd"/>
      <w:r w:rsidRPr="00EC2BF0">
        <w:rPr>
          <w:rFonts w:eastAsia="Calibri"/>
          <w:lang w:val="es-ES" w:eastAsia="en-US"/>
        </w:rPr>
        <w:t xml:space="preserve">. </w:t>
      </w:r>
      <w:proofErr w:type="spellStart"/>
      <w:r w:rsidRPr="00EC2BF0">
        <w:rPr>
          <w:rFonts w:eastAsia="Calibri"/>
          <w:lang w:val="es-ES" w:eastAsia="en-US"/>
        </w:rPr>
        <w:t>Med</w:t>
      </w:r>
      <w:proofErr w:type="spellEnd"/>
      <w:r w:rsidRPr="00EC2BF0">
        <w:rPr>
          <w:rFonts w:eastAsia="Calibri"/>
          <w:lang w:val="es-ES" w:eastAsia="en-US"/>
        </w:rPr>
        <w:t xml:space="preserve">. Cir. 2020 [acceso: 20/07/2020]; 29(Supl.1): 15-21. Disponible en: </w:t>
      </w:r>
      <w:hyperlink r:id="rId17" w:history="1">
        <w:r w:rsidRPr="00EC2BF0">
          <w:rPr>
            <w:rFonts w:eastAsia="Calibri"/>
            <w:color w:val="0000FF"/>
            <w:u w:val="single"/>
            <w:lang w:val="es-ES" w:eastAsia="en-US"/>
          </w:rPr>
          <w:t>http://10.31260/RepertMedCir.01217372.1046</w:t>
        </w:r>
      </w:hyperlink>
    </w:p>
    <w:p w14:paraId="01BA54C3" w14:textId="77777777" w:rsidR="00EC2BF0" w:rsidRPr="00EC2BF0" w:rsidRDefault="00EC2BF0" w:rsidP="00EC2BF0">
      <w:pPr>
        <w:spacing w:line="360" w:lineRule="auto"/>
        <w:rPr>
          <w:rFonts w:eastAsia="Calibri"/>
          <w:lang w:val="es-ES" w:eastAsia="en-US"/>
        </w:rPr>
      </w:pPr>
      <w:r w:rsidRPr="00EC2BF0">
        <w:rPr>
          <w:rFonts w:eastAsia="Calibri"/>
          <w:lang w:val="es-ES" w:eastAsia="en-US"/>
        </w:rPr>
        <w:t xml:space="preserve">5. Torres Mesa P. Endoscopia digestiva en tiempos de COVID-19: Resumen de recomendaciones. </w:t>
      </w:r>
      <w:proofErr w:type="spellStart"/>
      <w:r w:rsidRPr="00EC2BF0">
        <w:rPr>
          <w:rFonts w:eastAsia="Calibri"/>
          <w:lang w:val="es-ES" w:eastAsia="en-US"/>
        </w:rPr>
        <w:t>Rev</w:t>
      </w:r>
      <w:proofErr w:type="spellEnd"/>
      <w:r w:rsidRPr="00EC2BF0">
        <w:rPr>
          <w:rFonts w:eastAsia="Calibri"/>
          <w:lang w:val="es-ES" w:eastAsia="en-US"/>
        </w:rPr>
        <w:t xml:space="preserve"> </w:t>
      </w:r>
      <w:proofErr w:type="spellStart"/>
      <w:r w:rsidRPr="00EC2BF0">
        <w:rPr>
          <w:rFonts w:eastAsia="Calibri"/>
          <w:lang w:val="es-ES" w:eastAsia="en-US"/>
        </w:rPr>
        <w:t>Colomb</w:t>
      </w:r>
      <w:proofErr w:type="spellEnd"/>
      <w:r w:rsidRPr="00EC2BF0">
        <w:rPr>
          <w:rFonts w:eastAsia="Calibri"/>
          <w:lang w:val="es-ES" w:eastAsia="en-US"/>
        </w:rPr>
        <w:t xml:space="preserve"> Cir. 2020; 35(2): 209-15. DOI:10.30944/20117582.622</w:t>
      </w:r>
    </w:p>
    <w:p w14:paraId="64527D5A" w14:textId="77777777" w:rsidR="00EC2BF0" w:rsidRPr="00EC2BF0" w:rsidRDefault="00EC2BF0" w:rsidP="00EC2BF0">
      <w:pPr>
        <w:spacing w:line="360" w:lineRule="auto"/>
        <w:rPr>
          <w:rFonts w:eastAsia="Calibri"/>
          <w:b/>
          <w:lang w:val="es-ES" w:eastAsia="en-US"/>
        </w:rPr>
      </w:pPr>
      <w:r w:rsidRPr="00EC2BF0">
        <w:rPr>
          <w:rFonts w:eastAsia="Calibri"/>
          <w:lang w:val="es-ES" w:eastAsia="en-US"/>
        </w:rPr>
        <w:t>6.</w:t>
      </w:r>
      <w:r w:rsidRPr="00EC2BF0">
        <w:rPr>
          <w:rFonts w:eastAsia="Calibri"/>
          <w:b/>
          <w:lang w:val="es-ES" w:eastAsia="en-US"/>
        </w:rPr>
        <w:t xml:space="preserve"> </w:t>
      </w:r>
      <w:r w:rsidRPr="00EC2BF0">
        <w:rPr>
          <w:rFonts w:eastAsia="Calibri"/>
          <w:lang w:val="es-ES" w:eastAsia="en-US"/>
        </w:rPr>
        <w:t xml:space="preserve">Garrido Tapia EJ, Manso López AM, Ángeles </w:t>
      </w:r>
      <w:proofErr w:type="spellStart"/>
      <w:r w:rsidRPr="00EC2BF0">
        <w:rPr>
          <w:rFonts w:eastAsia="Calibri"/>
          <w:lang w:val="es-ES" w:eastAsia="en-US"/>
        </w:rPr>
        <w:t>Salermo</w:t>
      </w:r>
      <w:proofErr w:type="spellEnd"/>
      <w:r w:rsidRPr="00EC2BF0">
        <w:rPr>
          <w:rFonts w:eastAsia="Calibri"/>
          <w:lang w:val="es-ES" w:eastAsia="en-US"/>
        </w:rPr>
        <w:t xml:space="preserve"> M, Ramírez </w:t>
      </w:r>
      <w:proofErr w:type="spellStart"/>
      <w:r w:rsidRPr="00EC2BF0">
        <w:rPr>
          <w:rFonts w:eastAsia="Calibri"/>
          <w:lang w:val="es-ES" w:eastAsia="en-US"/>
        </w:rPr>
        <w:t>Ramírez</w:t>
      </w:r>
      <w:proofErr w:type="spellEnd"/>
      <w:r w:rsidRPr="00EC2BF0">
        <w:rPr>
          <w:rFonts w:eastAsia="Calibri"/>
          <w:lang w:val="es-ES" w:eastAsia="en-US"/>
        </w:rPr>
        <w:t xml:space="preserve"> G, Rosa Pérez Rodríguez V. Características clínico-epidemiológicas y algunas reflexiones sobre la COVID-19 en Holguín. CCM. 2020 [acceso: 02/09/2021]: 24(3): 839-55. Disponible en: </w:t>
      </w:r>
      <w:hyperlink r:id="rId18" w:history="1">
        <w:r w:rsidRPr="00EC2BF0">
          <w:rPr>
            <w:rFonts w:eastAsia="Calibri"/>
            <w:color w:val="0000FF"/>
            <w:u w:val="single"/>
            <w:lang w:val="es-ES" w:eastAsia="en-US"/>
          </w:rPr>
          <w:t>http://recocmed.sld.cu/index.php/cocmed/article/view/3717</w:t>
        </w:r>
      </w:hyperlink>
      <w:r w:rsidRPr="00EC2BF0">
        <w:rPr>
          <w:rFonts w:eastAsia="Calibri"/>
          <w:lang w:val="es-ES" w:eastAsia="en-US"/>
        </w:rPr>
        <w:t xml:space="preserve"> </w:t>
      </w:r>
    </w:p>
    <w:p w14:paraId="4B9FCE99" w14:textId="77777777" w:rsidR="00EC2BF0" w:rsidRPr="00EC2BF0" w:rsidRDefault="00EC2BF0" w:rsidP="00EC2BF0">
      <w:pPr>
        <w:spacing w:line="360" w:lineRule="auto"/>
        <w:rPr>
          <w:rFonts w:eastAsia="Calibri"/>
          <w:lang w:val="es-ES" w:eastAsia="en-US"/>
        </w:rPr>
      </w:pPr>
      <w:r w:rsidRPr="00EC2BF0">
        <w:rPr>
          <w:rFonts w:eastAsia="Calibri"/>
          <w:lang w:val="es-ES" w:eastAsia="en-US"/>
        </w:rPr>
        <w:lastRenderedPageBreak/>
        <w:t>7.</w:t>
      </w:r>
      <w:r w:rsidRPr="00EC2BF0">
        <w:rPr>
          <w:rFonts w:eastAsia="Calibri"/>
          <w:b/>
          <w:lang w:val="es-ES" w:eastAsia="en-US"/>
        </w:rPr>
        <w:t xml:space="preserve"> </w:t>
      </w:r>
      <w:r w:rsidRPr="00EC2BF0">
        <w:rPr>
          <w:rFonts w:eastAsia="Calibri"/>
          <w:lang w:val="es-ES" w:eastAsia="en-US"/>
        </w:rPr>
        <w:t xml:space="preserve">Góngora-Parra KB, Rodríguez-González N, Serrano-Batista OR. Mimetismo molecular e interacciones entre la glicoproteína S de SARS-CoV-2 y proteínas humanas. </w:t>
      </w:r>
      <w:proofErr w:type="spellStart"/>
      <w:r w:rsidRPr="00EC2BF0">
        <w:rPr>
          <w:rFonts w:eastAsia="Calibri"/>
          <w:lang w:val="es-ES" w:eastAsia="en-US"/>
        </w:rPr>
        <w:t>Rev</w:t>
      </w:r>
      <w:proofErr w:type="spellEnd"/>
      <w:r w:rsidRPr="00EC2BF0">
        <w:rPr>
          <w:rFonts w:eastAsia="Calibri"/>
          <w:lang w:val="es-ES" w:eastAsia="en-US"/>
        </w:rPr>
        <w:t xml:space="preserve"> Electrónica Dr. Zoilo E. </w:t>
      </w:r>
      <w:proofErr w:type="spellStart"/>
      <w:r w:rsidRPr="00EC2BF0">
        <w:rPr>
          <w:rFonts w:eastAsia="Calibri"/>
          <w:lang w:val="es-ES" w:eastAsia="en-US"/>
        </w:rPr>
        <w:t>Marinello</w:t>
      </w:r>
      <w:proofErr w:type="spellEnd"/>
      <w:r w:rsidRPr="00EC2BF0">
        <w:rPr>
          <w:rFonts w:eastAsia="Calibri"/>
          <w:lang w:val="es-ES" w:eastAsia="en-US"/>
        </w:rPr>
        <w:t xml:space="preserve"> Vidaurreta. 2021 [acceso: 02/09/2021]: 46(4). 23-38. Disponible en: </w:t>
      </w:r>
      <w:hyperlink r:id="rId19" w:history="1">
        <w:r w:rsidRPr="00EC2BF0">
          <w:rPr>
            <w:rFonts w:eastAsia="Calibri"/>
            <w:color w:val="0000FF"/>
            <w:u w:val="single"/>
            <w:lang w:val="es-ES" w:eastAsia="en-US"/>
          </w:rPr>
          <w:t>http://revzoilomarinello.sld.cu/index.php/zmv/article/view/2810</w:t>
        </w:r>
      </w:hyperlink>
    </w:p>
    <w:p w14:paraId="4CC59973" w14:textId="77777777" w:rsidR="00EC2BF0" w:rsidRPr="00EC2BF0" w:rsidRDefault="00EC2BF0" w:rsidP="00EC2BF0">
      <w:pPr>
        <w:spacing w:line="360" w:lineRule="auto"/>
        <w:rPr>
          <w:rFonts w:eastAsia="Calibri"/>
          <w:lang w:val="es-ES" w:eastAsia="en-US"/>
        </w:rPr>
      </w:pPr>
      <w:r w:rsidRPr="00EC2BF0">
        <w:rPr>
          <w:rFonts w:eastAsia="Calibri"/>
          <w:lang w:val="es-ES" w:eastAsia="en-US"/>
        </w:rPr>
        <w:t xml:space="preserve">8. Otero W, Martín Gómez M, Ruiz O, Marulanda H. Procedimientos endoscópicos y pandemia COVID-19 Consideraciones básicas. </w:t>
      </w:r>
      <w:proofErr w:type="spellStart"/>
      <w:r w:rsidRPr="00EC2BF0">
        <w:rPr>
          <w:rFonts w:eastAsia="Calibri"/>
          <w:lang w:val="es-ES" w:eastAsia="en-US"/>
        </w:rPr>
        <w:t>Rev</w:t>
      </w:r>
      <w:proofErr w:type="spellEnd"/>
      <w:r w:rsidRPr="00EC2BF0">
        <w:rPr>
          <w:rFonts w:eastAsia="Calibri"/>
          <w:lang w:val="es-ES" w:eastAsia="en-US"/>
        </w:rPr>
        <w:t xml:space="preserve"> </w:t>
      </w:r>
      <w:proofErr w:type="spellStart"/>
      <w:r w:rsidRPr="00EC2BF0">
        <w:rPr>
          <w:rFonts w:eastAsia="Calibri"/>
          <w:lang w:val="es-ES" w:eastAsia="en-US"/>
        </w:rPr>
        <w:t>Colomb</w:t>
      </w:r>
      <w:proofErr w:type="spellEnd"/>
      <w:r w:rsidRPr="00EC2BF0">
        <w:rPr>
          <w:rFonts w:eastAsia="Calibri"/>
          <w:lang w:val="es-ES" w:eastAsia="en-US"/>
        </w:rPr>
        <w:t xml:space="preserve"> </w:t>
      </w:r>
      <w:proofErr w:type="spellStart"/>
      <w:r w:rsidRPr="00EC2BF0">
        <w:rPr>
          <w:rFonts w:eastAsia="Calibri"/>
          <w:lang w:val="es-ES" w:eastAsia="en-US"/>
        </w:rPr>
        <w:t>Gastroenterol</w:t>
      </w:r>
      <w:proofErr w:type="spellEnd"/>
      <w:r w:rsidRPr="00EC2BF0">
        <w:rPr>
          <w:rFonts w:eastAsia="Calibri"/>
          <w:lang w:val="es-ES" w:eastAsia="en-US"/>
        </w:rPr>
        <w:t>. 2020; 35(1): 66-75</w:t>
      </w:r>
      <w:proofErr w:type="gramStart"/>
      <w:r w:rsidRPr="00EC2BF0">
        <w:rPr>
          <w:rFonts w:eastAsia="Calibri"/>
          <w:lang w:val="es-ES" w:eastAsia="en-US"/>
        </w:rPr>
        <w:t>. :</w:t>
      </w:r>
      <w:proofErr w:type="gramEnd"/>
      <w:r w:rsidRPr="00EC2BF0">
        <w:rPr>
          <w:rFonts w:eastAsia="Calibri"/>
          <w:lang w:val="es-ES" w:eastAsia="en-US"/>
        </w:rPr>
        <w:t xml:space="preserve"> DOI:10.22516/25007440.526</w:t>
      </w:r>
    </w:p>
    <w:p w14:paraId="539CB0C2" w14:textId="77777777" w:rsidR="00EC2BF0" w:rsidRPr="00EC2BF0" w:rsidRDefault="00EC2BF0" w:rsidP="00EC2BF0">
      <w:pPr>
        <w:spacing w:line="360" w:lineRule="auto"/>
        <w:rPr>
          <w:rFonts w:eastAsia="Calibri"/>
          <w:lang w:val="es-ES" w:eastAsia="en-US"/>
        </w:rPr>
      </w:pPr>
      <w:r w:rsidRPr="00EC2BF0">
        <w:rPr>
          <w:rFonts w:eastAsia="Calibri"/>
          <w:lang w:val="es-ES" w:eastAsia="en-US"/>
        </w:rPr>
        <w:t xml:space="preserve">9. </w:t>
      </w:r>
      <w:proofErr w:type="spellStart"/>
      <w:r w:rsidRPr="00EC2BF0">
        <w:rPr>
          <w:rFonts w:eastAsia="Calibri"/>
          <w:lang w:val="es-ES" w:eastAsia="en-US"/>
        </w:rPr>
        <w:t>Samada</w:t>
      </w:r>
      <w:proofErr w:type="spellEnd"/>
      <w:r w:rsidRPr="00EC2BF0">
        <w:rPr>
          <w:rFonts w:eastAsia="Calibri"/>
          <w:lang w:val="es-ES" w:eastAsia="en-US"/>
        </w:rPr>
        <w:t xml:space="preserve"> Suárez M., Valenzuela Aguilera K. ¿Los síntomas gastrointestinales pueden ser el debut de la COVID-19? Boletín científico del CIMEQ. Actualización médica del SARS‐COV‐2. 2020</w:t>
      </w:r>
      <w:r w:rsidRPr="00EC2BF0">
        <w:rPr>
          <w:rFonts w:ascii="Calibri" w:eastAsia="Calibri" w:hAnsi="Calibri"/>
          <w:sz w:val="22"/>
          <w:szCs w:val="22"/>
          <w:lang w:val="es-ES" w:eastAsia="en-US"/>
        </w:rPr>
        <w:t xml:space="preserve"> </w:t>
      </w:r>
      <w:r w:rsidRPr="00EC2BF0">
        <w:rPr>
          <w:rFonts w:eastAsia="Calibri"/>
          <w:lang w:val="es-ES" w:eastAsia="en-US"/>
        </w:rPr>
        <w:t xml:space="preserve">[acceso: 22/07/2020]; 8(1): [aprox. 3 p.]. Disponible en: </w:t>
      </w:r>
      <w:hyperlink r:id="rId20" w:history="1">
        <w:r w:rsidRPr="00EC2BF0">
          <w:rPr>
            <w:rFonts w:eastAsia="Calibri"/>
            <w:color w:val="0000FF"/>
            <w:u w:val="single"/>
            <w:lang w:val="es-ES" w:eastAsia="en-US"/>
          </w:rPr>
          <w:t>https://doi.org/10.1053/j.gastro.2020.03.065</w:t>
        </w:r>
      </w:hyperlink>
    </w:p>
    <w:p w14:paraId="3D35F677" w14:textId="77777777" w:rsidR="00EC2BF0" w:rsidRPr="00EC2BF0" w:rsidRDefault="00EC2BF0" w:rsidP="00EC2BF0">
      <w:pPr>
        <w:spacing w:line="360" w:lineRule="auto"/>
        <w:rPr>
          <w:rFonts w:eastAsia="Calibri"/>
          <w:lang w:val="es-ES" w:eastAsia="en-US"/>
        </w:rPr>
      </w:pPr>
      <w:r w:rsidRPr="00EC2BF0">
        <w:rPr>
          <w:rFonts w:eastAsia="Calibri"/>
          <w:lang w:val="es-ES" w:eastAsia="en-US"/>
        </w:rPr>
        <w:t xml:space="preserve">10. </w:t>
      </w:r>
      <w:proofErr w:type="spellStart"/>
      <w:r w:rsidRPr="00EC2BF0">
        <w:rPr>
          <w:rFonts w:eastAsia="Calibri"/>
          <w:lang w:val="es-ES" w:eastAsia="en-US"/>
        </w:rPr>
        <w:t>Schlmulson</w:t>
      </w:r>
      <w:proofErr w:type="spellEnd"/>
      <w:r w:rsidRPr="00EC2BF0">
        <w:rPr>
          <w:rFonts w:eastAsia="Calibri"/>
          <w:lang w:val="es-ES" w:eastAsia="en-US"/>
        </w:rPr>
        <w:t xml:space="preserve"> M, Dávalos MF, Berumen J. Alerta: los síntomas gastrointestinales podrías ser una manifestación de la COVID-19. </w:t>
      </w:r>
      <w:proofErr w:type="spellStart"/>
      <w:r w:rsidRPr="00EC2BF0">
        <w:rPr>
          <w:rFonts w:eastAsia="Calibri"/>
          <w:lang w:val="es-ES" w:eastAsia="en-US"/>
        </w:rPr>
        <w:t>Rev</w:t>
      </w:r>
      <w:proofErr w:type="spellEnd"/>
      <w:r w:rsidRPr="00EC2BF0">
        <w:rPr>
          <w:rFonts w:eastAsia="Calibri"/>
          <w:lang w:val="es-ES" w:eastAsia="en-US"/>
        </w:rPr>
        <w:t xml:space="preserve"> Mex de Gastro. 2020: 85(3): 282-7. DOI: 10.1016/J.RGMX.2020.04.001</w:t>
      </w:r>
    </w:p>
    <w:p w14:paraId="5A3D13F6" w14:textId="77777777" w:rsidR="00EC2BF0" w:rsidRPr="00EC2BF0" w:rsidRDefault="00EC2BF0" w:rsidP="00EC2BF0">
      <w:pPr>
        <w:spacing w:line="360" w:lineRule="auto"/>
        <w:rPr>
          <w:rFonts w:eastAsia="Calibri"/>
          <w:lang w:val="es-CU" w:eastAsia="en-US"/>
        </w:rPr>
      </w:pPr>
      <w:r w:rsidRPr="00EC2BF0">
        <w:rPr>
          <w:rFonts w:eastAsia="Calibri"/>
          <w:lang w:val="es-ES" w:eastAsia="en-US"/>
        </w:rPr>
        <w:t xml:space="preserve">11. </w:t>
      </w:r>
      <w:proofErr w:type="spellStart"/>
      <w:r w:rsidRPr="00EC2BF0">
        <w:rPr>
          <w:rFonts w:eastAsia="Calibri"/>
          <w:lang w:val="es-ES" w:eastAsia="en-US"/>
        </w:rPr>
        <w:t>Tierraseca</w:t>
      </w:r>
      <w:proofErr w:type="spellEnd"/>
      <w:r w:rsidRPr="00EC2BF0">
        <w:rPr>
          <w:rFonts w:eastAsia="Calibri"/>
          <w:lang w:val="es-ES" w:eastAsia="en-US"/>
        </w:rPr>
        <w:t xml:space="preserve"> MS, Serrano EMB, Hernández TB. Manifestación gastrointestinal exclusiva como forma de presentación de infección por coronavirus (COVID-19). Anales de Pediatría. 2020</w:t>
      </w:r>
      <w:r w:rsidRPr="00EC2BF0">
        <w:rPr>
          <w:rFonts w:ascii="Calibri" w:eastAsia="Calibri" w:hAnsi="Calibri"/>
          <w:sz w:val="22"/>
          <w:szCs w:val="22"/>
          <w:lang w:val="es-ES" w:eastAsia="en-US"/>
        </w:rPr>
        <w:t xml:space="preserve"> </w:t>
      </w:r>
      <w:r w:rsidRPr="00EC2BF0">
        <w:rPr>
          <w:rFonts w:eastAsia="Calibri"/>
          <w:lang w:val="es-ES" w:eastAsia="en-US"/>
        </w:rPr>
        <w:t xml:space="preserve">[acceso: 27/07/2020]; 28(2): [aprox. </w:t>
      </w:r>
      <w:r w:rsidRPr="00EC2BF0">
        <w:rPr>
          <w:rFonts w:eastAsia="Calibri"/>
          <w:lang w:val="es-CU" w:eastAsia="en-US"/>
        </w:rPr>
        <w:t xml:space="preserve">5 p.]. Disponible en: </w:t>
      </w:r>
      <w:hyperlink r:id="rId21" w:history="1">
        <w:r w:rsidRPr="00EC2BF0">
          <w:rPr>
            <w:rFonts w:eastAsia="Calibri"/>
            <w:color w:val="0000FF"/>
            <w:u w:val="single"/>
            <w:lang w:val="es-CU" w:eastAsia="en-US"/>
          </w:rPr>
          <w:t>https://doi.org/10.1016/j.anpedi.2020.04.021</w:t>
        </w:r>
      </w:hyperlink>
    </w:p>
    <w:p w14:paraId="7433B14F" w14:textId="77777777" w:rsidR="00EC2BF0" w:rsidRPr="00EC2BF0" w:rsidRDefault="00EC2BF0" w:rsidP="00EC2BF0">
      <w:pPr>
        <w:spacing w:line="360" w:lineRule="auto"/>
        <w:rPr>
          <w:rFonts w:eastAsia="Calibri"/>
          <w:lang w:val="es-CU" w:eastAsia="en-US"/>
        </w:rPr>
      </w:pPr>
      <w:r w:rsidRPr="00EC2BF0">
        <w:rPr>
          <w:rFonts w:eastAsia="Calibri"/>
          <w:lang w:val="en-US" w:eastAsia="en-US"/>
        </w:rPr>
        <w:t xml:space="preserve">12. Fang D, Ma J, Guan J. Manifestations of digestive system in hospitalized patients with novel coronavirus pneumonia in Wuhan, China: a single‐center, descriptive study. </w:t>
      </w:r>
      <w:r w:rsidRPr="00EC2BF0">
        <w:rPr>
          <w:rFonts w:eastAsia="Calibri"/>
          <w:lang w:val="es-CU" w:eastAsia="en-US"/>
        </w:rPr>
        <w:t xml:space="preserve">Chin J </w:t>
      </w:r>
      <w:proofErr w:type="spellStart"/>
      <w:r w:rsidRPr="00EC2BF0">
        <w:rPr>
          <w:rFonts w:eastAsia="Calibri"/>
          <w:lang w:val="es-CU" w:eastAsia="en-US"/>
        </w:rPr>
        <w:t>Dig</w:t>
      </w:r>
      <w:proofErr w:type="spellEnd"/>
      <w:r w:rsidRPr="00EC2BF0">
        <w:rPr>
          <w:rFonts w:eastAsia="Calibri"/>
          <w:lang w:val="es-CU" w:eastAsia="en-US"/>
        </w:rPr>
        <w:t xml:space="preserve">; 2020 </w:t>
      </w:r>
      <w:r w:rsidRPr="00EC2BF0">
        <w:rPr>
          <w:rFonts w:eastAsia="Calibri"/>
          <w:lang w:val="es-ES" w:eastAsia="en-US"/>
        </w:rPr>
        <w:t>[acceso: 24/05/2020]</w:t>
      </w:r>
      <w:r w:rsidRPr="00EC2BF0">
        <w:rPr>
          <w:rFonts w:eastAsia="Calibri"/>
          <w:lang w:val="es-CU" w:eastAsia="en-US"/>
        </w:rPr>
        <w:t xml:space="preserve">; 40(4): [aprox. </w:t>
      </w:r>
      <w:r w:rsidRPr="00EC2BF0">
        <w:rPr>
          <w:rFonts w:eastAsia="Calibri"/>
          <w:lang w:val="es-ES" w:eastAsia="en-US"/>
        </w:rPr>
        <w:t xml:space="preserve">15 p.]. Disponible en: </w:t>
      </w:r>
      <w:r w:rsidRPr="00EC2BF0">
        <w:rPr>
          <w:rFonts w:ascii="Calibri" w:eastAsia="Calibri" w:hAnsi="Calibri"/>
          <w:sz w:val="22"/>
          <w:szCs w:val="22"/>
          <w:lang w:val="es-ES" w:eastAsia="en-US"/>
        </w:rPr>
        <w:t xml:space="preserve"> </w:t>
      </w:r>
      <w:hyperlink r:id="rId22" w:history="1">
        <w:r w:rsidRPr="00EC2BF0">
          <w:rPr>
            <w:rFonts w:eastAsia="Calibri"/>
            <w:color w:val="0000FF"/>
            <w:u w:val="single"/>
            <w:lang w:val="es-ES" w:eastAsia="en-US"/>
          </w:rPr>
          <w:t>https://pesquisa.bvsalud.org/portal/resource/pt/wpr-871462</w:t>
        </w:r>
      </w:hyperlink>
      <w:r w:rsidRPr="00EC2BF0">
        <w:rPr>
          <w:rFonts w:eastAsia="Calibri"/>
          <w:lang w:val="es-ES" w:eastAsia="en-US"/>
        </w:rPr>
        <w:t xml:space="preserve"> </w:t>
      </w:r>
    </w:p>
    <w:p w14:paraId="7E2627F2" w14:textId="77777777" w:rsidR="00EC2BF0" w:rsidRPr="00EC2BF0" w:rsidRDefault="00EC2BF0" w:rsidP="00EC2BF0">
      <w:pPr>
        <w:spacing w:line="360" w:lineRule="auto"/>
        <w:rPr>
          <w:rFonts w:eastAsia="Calibri"/>
          <w:lang w:val="en-US" w:eastAsia="en-US"/>
        </w:rPr>
      </w:pPr>
      <w:r w:rsidRPr="00EC2BF0">
        <w:rPr>
          <w:rFonts w:eastAsia="Calibri"/>
          <w:lang w:val="en-US" w:eastAsia="en-US"/>
        </w:rPr>
        <w:t>13. Cheung KS, Hung IF, Chan PP, Lung K, Tso E, Liu R, et al. Gastrointestinal Manifestations of SARS-CoV-2 Infection and Virus Load in Fecal Samples from the Hong Kong Cohort and Systematic Review and Meta-analysis. Gastroenterology Rev. 2020; 12(3): 2-11. DOI: 10.1053/j.gastro.2020.03.065</w:t>
      </w:r>
    </w:p>
    <w:p w14:paraId="18D75FAF" w14:textId="77777777" w:rsidR="00EC2BF0" w:rsidRPr="00EC2BF0" w:rsidRDefault="00EC2BF0" w:rsidP="00EC2BF0">
      <w:pPr>
        <w:spacing w:line="360" w:lineRule="auto"/>
        <w:rPr>
          <w:rFonts w:eastAsia="Calibri"/>
          <w:lang w:val="en-US" w:eastAsia="en-US"/>
        </w:rPr>
      </w:pPr>
      <w:r w:rsidRPr="00EC2BF0">
        <w:rPr>
          <w:rFonts w:eastAsia="Calibri"/>
          <w:lang w:val="en-US" w:eastAsia="en-US"/>
        </w:rPr>
        <w:t xml:space="preserve">14.  </w:t>
      </w:r>
      <w:proofErr w:type="spellStart"/>
      <w:r w:rsidRPr="00EC2BF0">
        <w:rPr>
          <w:rFonts w:eastAsia="Calibri"/>
          <w:lang w:val="en-US" w:eastAsia="en-US"/>
        </w:rPr>
        <w:t>Jin</w:t>
      </w:r>
      <w:proofErr w:type="spellEnd"/>
      <w:r w:rsidRPr="00EC2BF0">
        <w:rPr>
          <w:rFonts w:eastAsia="Calibri"/>
          <w:lang w:val="en-US" w:eastAsia="en-US"/>
        </w:rPr>
        <w:t xml:space="preserve"> X, Lian JS, Hu JH. Epidemiological, clinical and virological characteristics of 74 cases of coronavirus-infected disease 2019 (COVID-19) with gastrointestinal symptoms. Gastroenterol Hepatol. 2020 [</w:t>
      </w:r>
      <w:proofErr w:type="spellStart"/>
      <w:r w:rsidRPr="00EC2BF0">
        <w:rPr>
          <w:rFonts w:eastAsia="Calibri"/>
          <w:lang w:val="en-US" w:eastAsia="en-US"/>
        </w:rPr>
        <w:t>acceso</w:t>
      </w:r>
      <w:proofErr w:type="spellEnd"/>
      <w:r w:rsidRPr="00EC2BF0">
        <w:rPr>
          <w:rFonts w:eastAsia="Calibri"/>
          <w:lang w:val="en-US" w:eastAsia="en-US"/>
        </w:rPr>
        <w:t>: 24/05/2020]; 12(3): [</w:t>
      </w:r>
      <w:proofErr w:type="spellStart"/>
      <w:r w:rsidRPr="00EC2BF0">
        <w:rPr>
          <w:rFonts w:eastAsia="Calibri"/>
          <w:lang w:val="en-US" w:eastAsia="en-US"/>
        </w:rPr>
        <w:t>aprox</w:t>
      </w:r>
      <w:proofErr w:type="spellEnd"/>
      <w:r w:rsidRPr="00EC2BF0">
        <w:rPr>
          <w:rFonts w:eastAsia="Calibri"/>
          <w:lang w:val="en-US" w:eastAsia="en-US"/>
        </w:rPr>
        <w:t xml:space="preserve">. 8 pg.].  Disponible </w:t>
      </w:r>
      <w:proofErr w:type="spellStart"/>
      <w:r w:rsidRPr="00EC2BF0">
        <w:rPr>
          <w:rFonts w:eastAsia="Calibri"/>
          <w:lang w:val="en-US" w:eastAsia="en-US"/>
        </w:rPr>
        <w:t>en</w:t>
      </w:r>
      <w:proofErr w:type="spellEnd"/>
      <w:r w:rsidRPr="00EC2BF0">
        <w:rPr>
          <w:rFonts w:eastAsia="Calibri"/>
          <w:lang w:val="en-US" w:eastAsia="en-US"/>
        </w:rPr>
        <w:t xml:space="preserve">: </w:t>
      </w:r>
      <w:hyperlink r:id="rId23" w:history="1">
        <w:r w:rsidRPr="00EC2BF0">
          <w:rPr>
            <w:rFonts w:eastAsia="Calibri"/>
            <w:color w:val="0000FF"/>
            <w:u w:val="single"/>
            <w:lang w:val="en-US" w:eastAsia="en-US"/>
          </w:rPr>
          <w:t>http://10.1136/gutjnl-2020-320926</w:t>
        </w:r>
      </w:hyperlink>
    </w:p>
    <w:p w14:paraId="197E7E4A" w14:textId="77777777" w:rsidR="00EC2BF0" w:rsidRPr="00EC2BF0" w:rsidRDefault="00EC2BF0" w:rsidP="00EC2BF0">
      <w:pPr>
        <w:spacing w:line="360" w:lineRule="auto"/>
        <w:rPr>
          <w:rFonts w:eastAsia="Calibri"/>
          <w:lang w:val="es-ES" w:eastAsia="en-US"/>
        </w:rPr>
      </w:pPr>
      <w:r w:rsidRPr="00EC2BF0">
        <w:rPr>
          <w:rFonts w:eastAsia="Calibri"/>
          <w:lang w:val="en-US" w:eastAsia="en-US"/>
        </w:rPr>
        <w:lastRenderedPageBreak/>
        <w:t xml:space="preserve">15. Mao R, Liang J, Shen J. Implications of COVID-19 for patients with pre-existing digestive diseases. </w:t>
      </w:r>
      <w:r w:rsidRPr="00EC2BF0">
        <w:rPr>
          <w:rFonts w:eastAsia="Calibri"/>
          <w:lang w:val="es-ES" w:eastAsia="en-US"/>
        </w:rPr>
        <w:t xml:space="preserve">Lancet </w:t>
      </w:r>
      <w:proofErr w:type="spellStart"/>
      <w:r w:rsidRPr="00EC2BF0">
        <w:rPr>
          <w:rFonts w:eastAsia="Calibri"/>
          <w:lang w:val="es-ES" w:eastAsia="en-US"/>
        </w:rPr>
        <w:t>Gastroenterol</w:t>
      </w:r>
      <w:proofErr w:type="spellEnd"/>
      <w:r w:rsidRPr="00EC2BF0">
        <w:rPr>
          <w:rFonts w:eastAsia="Calibri"/>
          <w:lang w:val="es-ES" w:eastAsia="en-US"/>
        </w:rPr>
        <w:t xml:space="preserve"> </w:t>
      </w:r>
      <w:proofErr w:type="spellStart"/>
      <w:r w:rsidRPr="00EC2BF0">
        <w:rPr>
          <w:rFonts w:eastAsia="Calibri"/>
          <w:lang w:val="es-ES" w:eastAsia="en-US"/>
        </w:rPr>
        <w:t>Hepatol</w:t>
      </w:r>
      <w:proofErr w:type="spellEnd"/>
      <w:r w:rsidRPr="00EC2BF0">
        <w:rPr>
          <w:rFonts w:eastAsia="Calibri"/>
          <w:lang w:val="es-ES" w:eastAsia="en-US"/>
        </w:rPr>
        <w:t>. 2020</w:t>
      </w:r>
      <w:r w:rsidRPr="00EC2BF0">
        <w:rPr>
          <w:rFonts w:ascii="Calibri" w:eastAsia="Calibri" w:hAnsi="Calibri"/>
          <w:sz w:val="22"/>
          <w:szCs w:val="22"/>
          <w:lang w:val="es-ES" w:eastAsia="en-US"/>
        </w:rPr>
        <w:t xml:space="preserve"> </w:t>
      </w:r>
      <w:r w:rsidRPr="00EC2BF0">
        <w:rPr>
          <w:rFonts w:eastAsia="Calibri"/>
          <w:lang w:val="es-ES" w:eastAsia="en-US"/>
        </w:rPr>
        <w:t xml:space="preserve">[acceso: 20/07/2020]; 5(4): 425-7. Disponible en:   </w:t>
      </w:r>
      <w:hyperlink r:id="rId24" w:history="1">
        <w:r w:rsidRPr="00EC2BF0">
          <w:rPr>
            <w:rFonts w:eastAsia="Calibri"/>
            <w:color w:val="0000FF"/>
            <w:u w:val="single"/>
            <w:lang w:val="es-ES" w:eastAsia="en-US"/>
          </w:rPr>
          <w:t>http://dx.doi.org/10.1016/S2468-1253(20)30076-5</w:t>
        </w:r>
      </w:hyperlink>
    </w:p>
    <w:p w14:paraId="24BF9BD3" w14:textId="77777777" w:rsidR="00EC2BF0" w:rsidRPr="00EC2BF0" w:rsidRDefault="00EC2BF0" w:rsidP="00EC2BF0">
      <w:pPr>
        <w:spacing w:line="360" w:lineRule="auto"/>
        <w:rPr>
          <w:rFonts w:eastAsia="Calibri"/>
          <w:lang w:val="es-ES" w:eastAsia="en-US"/>
        </w:rPr>
      </w:pPr>
      <w:r w:rsidRPr="00EC2BF0">
        <w:rPr>
          <w:rFonts w:eastAsia="Calibri"/>
          <w:lang w:val="en-US" w:eastAsia="en-US"/>
        </w:rPr>
        <w:t xml:space="preserve">16. Chen N, Zhou M, Dong X. Epidemiological and clinical characteristics of 99 cases of 2019 novel coronavirus pneumonia in Wuhan China: a descriptive study. </w:t>
      </w:r>
      <w:r w:rsidRPr="00EC2BF0">
        <w:rPr>
          <w:rFonts w:eastAsia="Calibri"/>
          <w:lang w:val="es-ES" w:eastAsia="en-US"/>
        </w:rPr>
        <w:t>Lancet. 2020</w:t>
      </w:r>
      <w:r w:rsidRPr="00EC2BF0">
        <w:rPr>
          <w:rFonts w:ascii="Calibri" w:eastAsia="Calibri" w:hAnsi="Calibri"/>
          <w:sz w:val="22"/>
          <w:szCs w:val="22"/>
          <w:lang w:val="es-ES" w:eastAsia="en-US"/>
        </w:rPr>
        <w:t xml:space="preserve"> </w:t>
      </w:r>
      <w:r w:rsidRPr="00EC2BF0">
        <w:rPr>
          <w:rFonts w:eastAsia="Calibri"/>
          <w:lang w:val="es-ES" w:eastAsia="en-US"/>
        </w:rPr>
        <w:t>[acceso: 20/07/2020]</w:t>
      </w:r>
      <w:r w:rsidRPr="00EC2BF0">
        <w:rPr>
          <w:rFonts w:ascii="Calibri" w:eastAsia="Calibri" w:hAnsi="Calibri"/>
          <w:sz w:val="22"/>
          <w:szCs w:val="22"/>
          <w:lang w:val="es-ES" w:eastAsia="en-US"/>
        </w:rPr>
        <w:t xml:space="preserve"> </w:t>
      </w:r>
      <w:r w:rsidRPr="00EC2BF0">
        <w:rPr>
          <w:rFonts w:eastAsia="Calibri"/>
          <w:lang w:val="es-ES" w:eastAsia="en-US"/>
        </w:rPr>
        <w:t xml:space="preserve">[acceso 20/07/2020]; 14(1): 507-13. Disponible en: </w:t>
      </w:r>
      <w:hyperlink r:id="rId25" w:history="1">
        <w:r w:rsidRPr="00EC2BF0">
          <w:rPr>
            <w:rFonts w:eastAsia="Calibri"/>
            <w:color w:val="0000FF"/>
            <w:u w:val="single"/>
            <w:lang w:val="es-ES" w:eastAsia="en-US"/>
          </w:rPr>
          <w:t>http://dx.doi.org/10.1016/S0140-6736(20)30211-7</w:t>
        </w:r>
      </w:hyperlink>
    </w:p>
    <w:p w14:paraId="65C9B74E" w14:textId="77777777" w:rsidR="00EC2BF0" w:rsidRPr="00EC2BF0" w:rsidRDefault="00EC2BF0" w:rsidP="00EC2BF0">
      <w:pPr>
        <w:spacing w:line="360" w:lineRule="auto"/>
        <w:rPr>
          <w:rFonts w:eastAsia="Calibri"/>
          <w:lang w:val="es-ES" w:eastAsia="en-US"/>
        </w:rPr>
      </w:pPr>
      <w:r w:rsidRPr="00EC2BF0">
        <w:rPr>
          <w:rFonts w:eastAsia="Calibri"/>
          <w:lang w:val="es-ES" w:eastAsia="en-US"/>
        </w:rPr>
        <w:t>17. Velarde Ruiz Velasco J, García Jiménez E, Remes Troche J. Manifestaciones hepáticas y repercusión en el paciente cirrótico de COVID-19. Rev. de Gastroenterología de México. 2020</w:t>
      </w:r>
      <w:r w:rsidRPr="00EC2BF0">
        <w:rPr>
          <w:rFonts w:ascii="Calibri" w:eastAsia="Calibri" w:hAnsi="Calibri"/>
          <w:sz w:val="22"/>
          <w:szCs w:val="22"/>
          <w:lang w:val="es-ES" w:eastAsia="en-US"/>
        </w:rPr>
        <w:t xml:space="preserve"> </w:t>
      </w:r>
      <w:r w:rsidRPr="00EC2BF0">
        <w:rPr>
          <w:rFonts w:eastAsia="Calibri"/>
          <w:lang w:val="es-ES" w:eastAsia="en-US"/>
        </w:rPr>
        <w:t xml:space="preserve">[acceso: 20/07/2020]; 85(3): 303-11. Disponible en: </w:t>
      </w:r>
      <w:hyperlink r:id="rId26" w:history="1">
        <w:r w:rsidRPr="00EC2BF0">
          <w:rPr>
            <w:rFonts w:eastAsia="Calibri"/>
            <w:color w:val="0000FF"/>
            <w:u w:val="single"/>
            <w:lang w:val="es-ES" w:eastAsia="en-US"/>
          </w:rPr>
          <w:t>https://doi.org/10.1016/j.rgmx.2020.05.002</w:t>
        </w:r>
      </w:hyperlink>
    </w:p>
    <w:p w14:paraId="068A1A62" w14:textId="77777777" w:rsidR="00EC2BF0" w:rsidRPr="00EC2BF0" w:rsidRDefault="00EC2BF0" w:rsidP="00EC2BF0">
      <w:pPr>
        <w:spacing w:line="360" w:lineRule="auto"/>
        <w:rPr>
          <w:rFonts w:eastAsia="Calibri"/>
          <w:lang w:val="es-419" w:eastAsia="en-US"/>
        </w:rPr>
      </w:pPr>
      <w:r w:rsidRPr="00EC2BF0">
        <w:rPr>
          <w:rFonts w:eastAsia="Calibri"/>
          <w:lang w:val="en-US" w:eastAsia="en-US"/>
        </w:rPr>
        <w:t xml:space="preserve">18. Hamming I, </w:t>
      </w:r>
      <w:proofErr w:type="spellStart"/>
      <w:r w:rsidRPr="00EC2BF0">
        <w:rPr>
          <w:rFonts w:eastAsia="Calibri"/>
          <w:lang w:val="en-US" w:eastAsia="en-US"/>
        </w:rPr>
        <w:t>Timens</w:t>
      </w:r>
      <w:proofErr w:type="spellEnd"/>
      <w:r w:rsidRPr="00EC2BF0">
        <w:rPr>
          <w:rFonts w:eastAsia="Calibri"/>
          <w:lang w:val="en-US" w:eastAsia="en-US"/>
        </w:rPr>
        <w:t xml:space="preserve"> W, </w:t>
      </w:r>
      <w:proofErr w:type="spellStart"/>
      <w:r w:rsidRPr="00EC2BF0">
        <w:rPr>
          <w:rFonts w:eastAsia="Calibri"/>
          <w:lang w:val="en-US" w:eastAsia="en-US"/>
        </w:rPr>
        <w:t>Bulthuis</w:t>
      </w:r>
      <w:proofErr w:type="spellEnd"/>
      <w:r w:rsidRPr="00EC2BF0">
        <w:rPr>
          <w:rFonts w:eastAsia="Calibri"/>
          <w:lang w:val="en-US" w:eastAsia="en-US"/>
        </w:rPr>
        <w:t xml:space="preserve"> ML. Tissue distribution of ACE2 protein, the functional receptor for SARS coronavirus. A first step in understanding SARS pathogenesis. J </w:t>
      </w:r>
      <w:proofErr w:type="spellStart"/>
      <w:r w:rsidRPr="00EC2BF0">
        <w:rPr>
          <w:rFonts w:eastAsia="Calibri"/>
          <w:lang w:val="en-US" w:eastAsia="en-US"/>
        </w:rPr>
        <w:t>Pathol</w:t>
      </w:r>
      <w:proofErr w:type="spellEnd"/>
      <w:r w:rsidRPr="00EC2BF0">
        <w:rPr>
          <w:rFonts w:eastAsia="Calibri"/>
          <w:lang w:val="en-US" w:eastAsia="en-US"/>
        </w:rPr>
        <w:t>. 2020</w:t>
      </w:r>
      <w:r w:rsidRPr="00EC2BF0">
        <w:rPr>
          <w:rFonts w:ascii="Calibri" w:eastAsia="Calibri" w:hAnsi="Calibri"/>
          <w:sz w:val="22"/>
          <w:szCs w:val="22"/>
          <w:lang w:val="en-US" w:eastAsia="en-US"/>
        </w:rPr>
        <w:t xml:space="preserve"> </w:t>
      </w:r>
      <w:r w:rsidRPr="00EC2BF0">
        <w:rPr>
          <w:rFonts w:eastAsia="Calibri"/>
          <w:lang w:val="en-US" w:eastAsia="en-US"/>
        </w:rPr>
        <w:t>[</w:t>
      </w:r>
      <w:proofErr w:type="spellStart"/>
      <w:r w:rsidRPr="00EC2BF0">
        <w:rPr>
          <w:rFonts w:eastAsia="Calibri"/>
          <w:lang w:val="en-US" w:eastAsia="en-US"/>
        </w:rPr>
        <w:t>acceso</w:t>
      </w:r>
      <w:proofErr w:type="spellEnd"/>
      <w:r w:rsidRPr="00EC2BF0">
        <w:rPr>
          <w:rFonts w:eastAsia="Calibri"/>
          <w:lang w:val="en-US" w:eastAsia="en-US"/>
        </w:rPr>
        <w:t xml:space="preserve">: 20/07/2020]; 32(4): 631-7. </w:t>
      </w:r>
      <w:r w:rsidRPr="00EC2BF0">
        <w:rPr>
          <w:rFonts w:eastAsia="Calibri"/>
          <w:lang w:val="es-419" w:eastAsia="en-US"/>
        </w:rPr>
        <w:t xml:space="preserve">Disponible en: </w:t>
      </w:r>
      <w:hyperlink r:id="rId27" w:history="1">
        <w:r w:rsidRPr="00EC2BF0">
          <w:rPr>
            <w:rFonts w:eastAsia="Calibri"/>
            <w:color w:val="0000FF"/>
            <w:u w:val="single"/>
            <w:lang w:val="es-419" w:eastAsia="en-US"/>
          </w:rPr>
          <w:t>http://dx.doi.org/10.1002/path.1570</w:t>
        </w:r>
      </w:hyperlink>
    </w:p>
    <w:p w14:paraId="7B22DC6B" w14:textId="77777777" w:rsidR="00EC2BF0" w:rsidRPr="00EC2BF0" w:rsidRDefault="00EC2BF0" w:rsidP="00EC2BF0">
      <w:pPr>
        <w:spacing w:line="360" w:lineRule="auto"/>
        <w:rPr>
          <w:rFonts w:eastAsia="Calibri"/>
          <w:lang w:val="es-ES" w:eastAsia="en-US"/>
        </w:rPr>
      </w:pPr>
      <w:r w:rsidRPr="00EC2BF0">
        <w:rPr>
          <w:rFonts w:eastAsia="Calibri"/>
          <w:lang w:val="es-ES" w:eastAsia="en-US"/>
        </w:rPr>
        <w:t>19.</w:t>
      </w:r>
      <w:r w:rsidRPr="00EC2BF0">
        <w:rPr>
          <w:rFonts w:eastAsia="Calibri"/>
          <w:b/>
          <w:lang w:val="es-ES" w:eastAsia="en-US"/>
        </w:rPr>
        <w:t xml:space="preserve"> </w:t>
      </w:r>
      <w:r w:rsidRPr="00EC2BF0">
        <w:rPr>
          <w:rFonts w:eastAsia="Calibri"/>
          <w:lang w:val="es-ES" w:eastAsia="en-US"/>
        </w:rPr>
        <w:t>Plasencia-</w:t>
      </w:r>
      <w:proofErr w:type="spellStart"/>
      <w:r w:rsidRPr="00EC2BF0">
        <w:rPr>
          <w:rFonts w:eastAsia="Calibri"/>
          <w:lang w:val="es-ES" w:eastAsia="en-US"/>
        </w:rPr>
        <w:t>Urizarri</w:t>
      </w:r>
      <w:proofErr w:type="spellEnd"/>
      <w:r w:rsidRPr="00EC2BF0">
        <w:rPr>
          <w:rFonts w:eastAsia="Calibri"/>
          <w:lang w:val="es-ES" w:eastAsia="en-US"/>
        </w:rPr>
        <w:t xml:space="preserve"> TM, Aguilera-Rodríguez R, Almaguer-Mederos LE. Comorbilidades y gravedad clínica de la COVID-19: revisión sistemática y meta-análisis. </w:t>
      </w:r>
      <w:proofErr w:type="spellStart"/>
      <w:r w:rsidRPr="00EC2BF0">
        <w:rPr>
          <w:rFonts w:eastAsia="Calibri"/>
          <w:lang w:val="es-ES" w:eastAsia="en-US"/>
        </w:rPr>
        <w:t>Rev</w:t>
      </w:r>
      <w:proofErr w:type="spellEnd"/>
      <w:r w:rsidRPr="00EC2BF0">
        <w:rPr>
          <w:rFonts w:eastAsia="Calibri"/>
          <w:lang w:val="es-ES" w:eastAsia="en-US"/>
        </w:rPr>
        <w:t xml:space="preserve"> </w:t>
      </w:r>
      <w:proofErr w:type="spellStart"/>
      <w:r w:rsidRPr="00EC2BF0">
        <w:rPr>
          <w:rFonts w:eastAsia="Calibri"/>
          <w:lang w:val="es-ES" w:eastAsia="en-US"/>
        </w:rPr>
        <w:t>haban</w:t>
      </w:r>
      <w:proofErr w:type="spellEnd"/>
      <w:r w:rsidRPr="00EC2BF0">
        <w:rPr>
          <w:rFonts w:eastAsia="Calibri"/>
          <w:lang w:val="es-ES" w:eastAsia="en-US"/>
        </w:rPr>
        <w:t xml:space="preserve"> </w:t>
      </w:r>
      <w:proofErr w:type="spellStart"/>
      <w:r w:rsidRPr="00EC2BF0">
        <w:rPr>
          <w:rFonts w:eastAsia="Calibri"/>
          <w:lang w:val="es-ES" w:eastAsia="en-US"/>
        </w:rPr>
        <w:t>cienc</w:t>
      </w:r>
      <w:proofErr w:type="spellEnd"/>
      <w:r w:rsidRPr="00EC2BF0">
        <w:rPr>
          <w:rFonts w:eastAsia="Calibri"/>
          <w:lang w:val="es-ES" w:eastAsia="en-US"/>
        </w:rPr>
        <w:t xml:space="preserve"> </w:t>
      </w:r>
      <w:proofErr w:type="spellStart"/>
      <w:r w:rsidRPr="00EC2BF0">
        <w:rPr>
          <w:rFonts w:eastAsia="Calibri"/>
          <w:lang w:val="es-ES" w:eastAsia="en-US"/>
        </w:rPr>
        <w:t>méd</w:t>
      </w:r>
      <w:proofErr w:type="spellEnd"/>
      <w:r w:rsidRPr="00EC2BF0">
        <w:rPr>
          <w:rFonts w:eastAsia="Calibri"/>
          <w:lang w:val="es-ES" w:eastAsia="en-US"/>
        </w:rPr>
        <w:t xml:space="preserve">. 2020 [acceso: 02/09/2021]; 19(Supl.1): e3389.35-43. Disponible en: </w:t>
      </w:r>
      <w:hyperlink r:id="rId28" w:history="1">
        <w:r w:rsidRPr="00EC2BF0">
          <w:rPr>
            <w:rFonts w:eastAsia="Calibri"/>
            <w:color w:val="0000FF"/>
            <w:u w:val="single"/>
            <w:lang w:val="es-ES" w:eastAsia="en-US"/>
          </w:rPr>
          <w:t>http://www.revhabanera.sld.cu/index.php/rhab/article/view/3389</w:t>
        </w:r>
      </w:hyperlink>
    </w:p>
    <w:p w14:paraId="036EE544" w14:textId="77777777" w:rsidR="00EC2BF0" w:rsidRPr="00EC2BF0" w:rsidRDefault="00EC2BF0" w:rsidP="00EC2BF0">
      <w:pPr>
        <w:rPr>
          <w:rFonts w:ascii="Calibri" w:eastAsia="Calibri" w:hAnsi="Calibri"/>
          <w:sz w:val="20"/>
          <w:szCs w:val="20"/>
          <w:lang w:val="es-ES" w:eastAsia="en-US"/>
        </w:rPr>
      </w:pPr>
    </w:p>
    <w:p w14:paraId="505E26DC" w14:textId="77777777" w:rsidR="00EC2BF0" w:rsidRPr="00EC2BF0" w:rsidRDefault="00EC2BF0" w:rsidP="00EC2BF0">
      <w:pPr>
        <w:spacing w:line="360" w:lineRule="auto"/>
        <w:jc w:val="both"/>
        <w:rPr>
          <w:rFonts w:eastAsia="Calibri"/>
          <w:b/>
          <w:lang w:val="es-ES" w:eastAsia="en-US"/>
        </w:rPr>
      </w:pPr>
    </w:p>
    <w:p w14:paraId="4705B8DD" w14:textId="77777777" w:rsidR="00EC2BF0" w:rsidRPr="00EC2BF0" w:rsidRDefault="00EC2BF0" w:rsidP="00EC2BF0">
      <w:pPr>
        <w:spacing w:line="360" w:lineRule="auto"/>
        <w:jc w:val="center"/>
        <w:rPr>
          <w:rFonts w:eastAsia="Calibri"/>
          <w:b/>
          <w:lang w:val="es-ES" w:eastAsia="en-US"/>
        </w:rPr>
      </w:pPr>
      <w:r w:rsidRPr="00EC2BF0">
        <w:rPr>
          <w:rFonts w:eastAsia="Calibri"/>
          <w:b/>
          <w:lang w:val="es-ES" w:eastAsia="en-US"/>
        </w:rPr>
        <w:t>Conflicto de interés</w:t>
      </w:r>
    </w:p>
    <w:p w14:paraId="4191C230"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Los autores del presente artículo declaran no tener conflicto de intereses.</w:t>
      </w:r>
    </w:p>
    <w:p w14:paraId="0FD3855B" w14:textId="77777777" w:rsidR="00EC2BF0" w:rsidRPr="00EC2BF0" w:rsidRDefault="00EC2BF0" w:rsidP="00EC2BF0">
      <w:pPr>
        <w:spacing w:line="360" w:lineRule="auto"/>
        <w:jc w:val="both"/>
        <w:rPr>
          <w:rFonts w:eastAsia="Calibri"/>
          <w:b/>
          <w:lang w:val="es-ES" w:eastAsia="en-US"/>
        </w:rPr>
      </w:pPr>
    </w:p>
    <w:p w14:paraId="40AFA656" w14:textId="77777777" w:rsidR="00EC2BF0" w:rsidRPr="00EC2BF0" w:rsidRDefault="00EC2BF0" w:rsidP="00EC2BF0">
      <w:pPr>
        <w:spacing w:line="360" w:lineRule="auto"/>
        <w:jc w:val="center"/>
        <w:rPr>
          <w:rFonts w:eastAsia="Calibri"/>
          <w:lang w:val="es-ES" w:eastAsia="en-US"/>
        </w:rPr>
      </w:pPr>
      <w:r w:rsidRPr="00EC2BF0">
        <w:rPr>
          <w:rFonts w:eastAsia="Calibri"/>
          <w:b/>
          <w:lang w:val="es-ES" w:eastAsia="en-US"/>
        </w:rPr>
        <w:t>Contribuciones de los autores</w:t>
      </w:r>
    </w:p>
    <w:p w14:paraId="2D8D0683" w14:textId="77777777" w:rsidR="00EC2BF0" w:rsidRPr="00EC2BF0" w:rsidRDefault="00EC2BF0" w:rsidP="00EC2BF0">
      <w:pPr>
        <w:spacing w:line="360" w:lineRule="auto"/>
        <w:jc w:val="both"/>
        <w:rPr>
          <w:rFonts w:eastAsia="Calibri"/>
          <w:i/>
          <w:lang w:val="es-ES" w:eastAsia="en-US"/>
        </w:rPr>
      </w:pPr>
      <w:r w:rsidRPr="00EC2BF0">
        <w:rPr>
          <w:rFonts w:eastAsia="Calibri"/>
          <w:lang w:val="es-ES" w:eastAsia="en-US"/>
        </w:rPr>
        <w:t xml:space="preserve">Conceptualización: </w:t>
      </w:r>
      <w:r w:rsidRPr="00EC2BF0">
        <w:rPr>
          <w:rFonts w:eastAsia="Calibri"/>
          <w:i/>
          <w:lang w:val="es-ES" w:eastAsia="en-US"/>
        </w:rPr>
        <w:t xml:space="preserve">César </w:t>
      </w:r>
      <w:proofErr w:type="spellStart"/>
      <w:r w:rsidRPr="00EC2BF0">
        <w:rPr>
          <w:rFonts w:eastAsia="Calibri"/>
          <w:i/>
          <w:lang w:val="es-ES" w:eastAsia="en-US"/>
        </w:rPr>
        <w:t>Abrahan</w:t>
      </w:r>
      <w:proofErr w:type="spellEnd"/>
      <w:r w:rsidRPr="00EC2BF0">
        <w:rPr>
          <w:rFonts w:eastAsia="Calibri"/>
          <w:i/>
          <w:lang w:val="es-ES" w:eastAsia="en-US"/>
        </w:rPr>
        <w:t xml:space="preserve"> Agüero Figueredo.</w:t>
      </w:r>
    </w:p>
    <w:p w14:paraId="163F9E31"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 xml:space="preserve">Curación de datos: </w:t>
      </w:r>
      <w:bookmarkStart w:id="2" w:name="_Hlk96704271"/>
      <w:bookmarkStart w:id="3" w:name="_Hlk96704625"/>
      <w:r w:rsidRPr="00EC2BF0">
        <w:rPr>
          <w:rFonts w:eastAsia="Calibri"/>
          <w:i/>
          <w:lang w:val="es-ES" w:eastAsia="en-US"/>
        </w:rPr>
        <w:t xml:space="preserve">César </w:t>
      </w:r>
      <w:proofErr w:type="spellStart"/>
      <w:r w:rsidRPr="00EC2BF0">
        <w:rPr>
          <w:rFonts w:eastAsia="Calibri"/>
          <w:i/>
          <w:lang w:val="es-ES" w:eastAsia="en-US"/>
        </w:rPr>
        <w:t>Abrahan</w:t>
      </w:r>
      <w:proofErr w:type="spellEnd"/>
      <w:r w:rsidRPr="00EC2BF0">
        <w:rPr>
          <w:rFonts w:eastAsia="Calibri"/>
          <w:i/>
          <w:lang w:val="es-ES" w:eastAsia="en-US"/>
        </w:rPr>
        <w:t xml:space="preserve"> Agüero Figueredo, Lilian Zúñiga Fernández</w:t>
      </w:r>
      <w:bookmarkEnd w:id="2"/>
      <w:r w:rsidRPr="00EC2BF0">
        <w:rPr>
          <w:rFonts w:eastAsia="Calibri"/>
          <w:i/>
          <w:lang w:val="es-ES" w:eastAsia="en-US"/>
        </w:rPr>
        <w:t>.</w:t>
      </w:r>
      <w:bookmarkEnd w:id="3"/>
    </w:p>
    <w:p w14:paraId="21A48609"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 xml:space="preserve">Análisis formal: </w:t>
      </w:r>
      <w:bookmarkStart w:id="4" w:name="_Hlk96704639"/>
      <w:proofErr w:type="spellStart"/>
      <w:r w:rsidRPr="00EC2BF0">
        <w:rPr>
          <w:rFonts w:eastAsia="Calibri"/>
          <w:i/>
          <w:lang w:val="es-ES" w:eastAsia="en-US"/>
        </w:rPr>
        <w:t>Moyra</w:t>
      </w:r>
      <w:proofErr w:type="spellEnd"/>
      <w:r w:rsidRPr="00EC2BF0">
        <w:rPr>
          <w:rFonts w:eastAsia="Calibri"/>
          <w:i/>
          <w:lang w:val="es-ES" w:eastAsia="en-US"/>
        </w:rPr>
        <w:t xml:space="preserve"> Agüero Figueredo</w:t>
      </w:r>
      <w:bookmarkEnd w:id="4"/>
      <w:r w:rsidRPr="00EC2BF0">
        <w:rPr>
          <w:rFonts w:eastAsia="Calibri"/>
          <w:i/>
          <w:lang w:val="es-ES" w:eastAsia="en-US"/>
        </w:rPr>
        <w:t>.</w:t>
      </w:r>
    </w:p>
    <w:p w14:paraId="3FB6BEA4" w14:textId="77777777" w:rsidR="00EC2BF0" w:rsidRPr="00EC2BF0" w:rsidRDefault="00EC2BF0" w:rsidP="00EC2BF0">
      <w:pPr>
        <w:spacing w:line="360" w:lineRule="auto"/>
        <w:rPr>
          <w:rFonts w:eastAsia="Calibri"/>
          <w:lang w:val="es-419" w:eastAsia="en-US"/>
        </w:rPr>
      </w:pPr>
      <w:r w:rsidRPr="00EC2BF0">
        <w:rPr>
          <w:rFonts w:eastAsia="Calibri"/>
          <w:lang w:val="es-ES" w:eastAsia="en-US"/>
        </w:rPr>
        <w:t xml:space="preserve">Investigación: </w:t>
      </w:r>
      <w:r w:rsidRPr="00EC2BF0">
        <w:rPr>
          <w:rFonts w:eastAsia="Calibri"/>
          <w:i/>
          <w:lang w:val="es-419" w:eastAsia="en-US"/>
        </w:rPr>
        <w:t xml:space="preserve">César </w:t>
      </w:r>
      <w:proofErr w:type="spellStart"/>
      <w:r w:rsidRPr="00EC2BF0">
        <w:rPr>
          <w:rFonts w:eastAsia="Calibri"/>
          <w:i/>
          <w:lang w:val="es-419" w:eastAsia="en-US"/>
        </w:rPr>
        <w:t>Abrahan</w:t>
      </w:r>
      <w:proofErr w:type="spellEnd"/>
      <w:r w:rsidRPr="00EC2BF0">
        <w:rPr>
          <w:rFonts w:eastAsia="Calibri"/>
          <w:i/>
          <w:lang w:val="es-419" w:eastAsia="en-US"/>
        </w:rPr>
        <w:t xml:space="preserve"> Agüero Figueredo, </w:t>
      </w:r>
      <w:proofErr w:type="spellStart"/>
      <w:r w:rsidRPr="00EC2BF0">
        <w:rPr>
          <w:rFonts w:eastAsia="Calibri"/>
          <w:i/>
          <w:lang w:val="es-419" w:eastAsia="en-US"/>
        </w:rPr>
        <w:t>Moyra</w:t>
      </w:r>
      <w:proofErr w:type="spellEnd"/>
      <w:r w:rsidRPr="00EC2BF0">
        <w:rPr>
          <w:rFonts w:eastAsia="Calibri"/>
          <w:i/>
          <w:lang w:val="es-419" w:eastAsia="en-US"/>
        </w:rPr>
        <w:t xml:space="preserve"> Agüero Figueredo, Lilian Zúñiga Fernández.</w:t>
      </w:r>
    </w:p>
    <w:p w14:paraId="60BC7C55"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 xml:space="preserve">Metodología: </w:t>
      </w:r>
      <w:r w:rsidRPr="00EC2BF0">
        <w:rPr>
          <w:rFonts w:eastAsia="Calibri"/>
          <w:i/>
          <w:lang w:val="es-ES" w:eastAsia="en-US"/>
        </w:rPr>
        <w:t xml:space="preserve">César </w:t>
      </w:r>
      <w:proofErr w:type="spellStart"/>
      <w:r w:rsidRPr="00EC2BF0">
        <w:rPr>
          <w:rFonts w:eastAsia="Calibri"/>
          <w:i/>
          <w:lang w:val="es-ES" w:eastAsia="en-US"/>
        </w:rPr>
        <w:t>Abrahan</w:t>
      </w:r>
      <w:proofErr w:type="spellEnd"/>
      <w:r w:rsidRPr="00EC2BF0">
        <w:rPr>
          <w:rFonts w:eastAsia="Calibri"/>
          <w:i/>
          <w:lang w:val="es-ES" w:eastAsia="en-US"/>
        </w:rPr>
        <w:t xml:space="preserve"> Agüero Figueredo.</w:t>
      </w:r>
    </w:p>
    <w:p w14:paraId="39FAB227"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Administración del proyecto</w:t>
      </w:r>
      <w:r w:rsidRPr="00EC2BF0">
        <w:rPr>
          <w:rFonts w:eastAsia="Calibri"/>
          <w:i/>
          <w:lang w:val="es-ES" w:eastAsia="en-US"/>
        </w:rPr>
        <w:t xml:space="preserve">: </w:t>
      </w:r>
      <w:bookmarkStart w:id="5" w:name="_Hlk96704342"/>
      <w:r w:rsidRPr="00EC2BF0">
        <w:rPr>
          <w:rFonts w:eastAsia="Calibri"/>
          <w:i/>
          <w:lang w:val="es-ES" w:eastAsia="en-US"/>
        </w:rPr>
        <w:t xml:space="preserve">César </w:t>
      </w:r>
      <w:proofErr w:type="spellStart"/>
      <w:r w:rsidRPr="00EC2BF0">
        <w:rPr>
          <w:rFonts w:eastAsia="Calibri"/>
          <w:i/>
          <w:lang w:val="es-ES" w:eastAsia="en-US"/>
        </w:rPr>
        <w:t>Abrahan</w:t>
      </w:r>
      <w:proofErr w:type="spellEnd"/>
      <w:r w:rsidRPr="00EC2BF0">
        <w:rPr>
          <w:rFonts w:eastAsia="Calibri"/>
          <w:i/>
          <w:lang w:val="es-ES" w:eastAsia="en-US"/>
        </w:rPr>
        <w:t xml:space="preserve"> Agüero Figueredo</w:t>
      </w:r>
      <w:r w:rsidRPr="00EC2BF0">
        <w:rPr>
          <w:rFonts w:eastAsia="Calibri"/>
          <w:lang w:val="es-ES" w:eastAsia="en-US"/>
        </w:rPr>
        <w:t>.</w:t>
      </w:r>
      <w:bookmarkEnd w:id="5"/>
    </w:p>
    <w:p w14:paraId="619163DF" w14:textId="77777777" w:rsidR="00EC2BF0" w:rsidRPr="00EC2BF0" w:rsidRDefault="00EC2BF0" w:rsidP="00EC2BF0">
      <w:pPr>
        <w:spacing w:line="360" w:lineRule="auto"/>
        <w:rPr>
          <w:rFonts w:eastAsia="Calibri"/>
          <w:lang w:val="es-419" w:eastAsia="en-US"/>
        </w:rPr>
      </w:pPr>
      <w:r w:rsidRPr="00EC2BF0">
        <w:rPr>
          <w:rFonts w:eastAsia="Calibri"/>
          <w:lang w:val="es-ES" w:eastAsia="en-US"/>
        </w:rPr>
        <w:t xml:space="preserve">Recursos: </w:t>
      </w:r>
      <w:bookmarkStart w:id="6" w:name="_Hlk96704467"/>
      <w:r w:rsidRPr="00EC2BF0">
        <w:rPr>
          <w:rFonts w:eastAsia="Calibri"/>
          <w:i/>
          <w:lang w:val="es-419" w:eastAsia="en-US"/>
        </w:rPr>
        <w:t xml:space="preserve">César </w:t>
      </w:r>
      <w:proofErr w:type="spellStart"/>
      <w:r w:rsidRPr="00EC2BF0">
        <w:rPr>
          <w:rFonts w:eastAsia="Calibri"/>
          <w:i/>
          <w:lang w:val="es-419" w:eastAsia="en-US"/>
        </w:rPr>
        <w:t>Abrahan</w:t>
      </w:r>
      <w:proofErr w:type="spellEnd"/>
      <w:r w:rsidRPr="00EC2BF0">
        <w:rPr>
          <w:rFonts w:eastAsia="Calibri"/>
          <w:i/>
          <w:lang w:val="es-419" w:eastAsia="en-US"/>
        </w:rPr>
        <w:t xml:space="preserve"> Agüero Figueredo, Lilian Zúñiga Fernández</w:t>
      </w:r>
      <w:r w:rsidRPr="00EC2BF0">
        <w:rPr>
          <w:rFonts w:eastAsia="Calibri"/>
          <w:lang w:val="es-419" w:eastAsia="en-US"/>
        </w:rPr>
        <w:t>.</w:t>
      </w:r>
      <w:bookmarkEnd w:id="6"/>
    </w:p>
    <w:p w14:paraId="21B15CD2" w14:textId="77777777" w:rsidR="00EC2BF0" w:rsidRPr="00EC2BF0" w:rsidRDefault="00EC2BF0" w:rsidP="00EC2BF0">
      <w:pPr>
        <w:spacing w:line="360" w:lineRule="auto"/>
        <w:rPr>
          <w:rFonts w:eastAsia="Calibri"/>
          <w:lang w:val="es-419" w:eastAsia="en-US"/>
        </w:rPr>
      </w:pPr>
      <w:r w:rsidRPr="00EC2BF0">
        <w:rPr>
          <w:rFonts w:eastAsia="Calibri"/>
          <w:lang w:val="es-419" w:eastAsia="en-US"/>
        </w:rPr>
        <w:lastRenderedPageBreak/>
        <w:t xml:space="preserve">Supervisión: </w:t>
      </w:r>
      <w:r w:rsidRPr="00EC2BF0">
        <w:rPr>
          <w:rFonts w:eastAsia="Calibri"/>
          <w:i/>
          <w:lang w:val="es-419" w:eastAsia="en-US"/>
        </w:rPr>
        <w:t xml:space="preserve">César </w:t>
      </w:r>
      <w:proofErr w:type="spellStart"/>
      <w:r w:rsidRPr="00EC2BF0">
        <w:rPr>
          <w:rFonts w:eastAsia="Calibri"/>
          <w:i/>
          <w:lang w:val="es-419" w:eastAsia="en-US"/>
        </w:rPr>
        <w:t>Abrahan</w:t>
      </w:r>
      <w:proofErr w:type="spellEnd"/>
      <w:r w:rsidRPr="00EC2BF0">
        <w:rPr>
          <w:rFonts w:eastAsia="Calibri"/>
          <w:i/>
          <w:lang w:val="es-419" w:eastAsia="en-US"/>
        </w:rPr>
        <w:t xml:space="preserve"> Agüero Figueredo.</w:t>
      </w:r>
    </w:p>
    <w:p w14:paraId="2C42B2F7" w14:textId="77777777" w:rsidR="00EC2BF0" w:rsidRPr="00EC2BF0" w:rsidRDefault="00EC2BF0" w:rsidP="00EC2BF0">
      <w:pPr>
        <w:spacing w:line="360" w:lineRule="auto"/>
        <w:jc w:val="both"/>
        <w:rPr>
          <w:rFonts w:eastAsia="Calibri"/>
          <w:i/>
          <w:lang w:val="es-ES" w:eastAsia="en-US"/>
        </w:rPr>
      </w:pPr>
      <w:r w:rsidRPr="00EC2BF0">
        <w:rPr>
          <w:rFonts w:eastAsia="Calibri"/>
          <w:lang w:val="es-ES" w:eastAsia="en-US"/>
        </w:rPr>
        <w:t xml:space="preserve">Validación: </w:t>
      </w:r>
      <w:proofErr w:type="spellStart"/>
      <w:r w:rsidRPr="00EC2BF0">
        <w:rPr>
          <w:rFonts w:eastAsia="Calibri"/>
          <w:i/>
          <w:lang w:val="es-ES" w:eastAsia="en-US"/>
        </w:rPr>
        <w:t>Yenier</w:t>
      </w:r>
      <w:proofErr w:type="spellEnd"/>
      <w:r w:rsidRPr="00EC2BF0">
        <w:rPr>
          <w:rFonts w:eastAsia="Calibri"/>
          <w:i/>
          <w:lang w:val="es-ES" w:eastAsia="en-US"/>
        </w:rPr>
        <w:t xml:space="preserve"> López Barrero.</w:t>
      </w:r>
    </w:p>
    <w:p w14:paraId="15D87CEF" w14:textId="77777777" w:rsidR="00EC2BF0" w:rsidRPr="00EC2BF0" w:rsidRDefault="00EC2BF0" w:rsidP="00EC2BF0">
      <w:pPr>
        <w:spacing w:line="360" w:lineRule="auto"/>
        <w:jc w:val="both"/>
        <w:rPr>
          <w:rFonts w:eastAsia="Calibri"/>
          <w:lang w:val="es-ES" w:eastAsia="en-US"/>
        </w:rPr>
      </w:pPr>
      <w:r w:rsidRPr="00EC2BF0">
        <w:rPr>
          <w:rFonts w:eastAsia="Calibri"/>
          <w:lang w:val="es-ES" w:eastAsia="en-US"/>
        </w:rPr>
        <w:t xml:space="preserve">Visualización: </w:t>
      </w:r>
      <w:proofErr w:type="spellStart"/>
      <w:r w:rsidRPr="00EC2BF0">
        <w:rPr>
          <w:rFonts w:eastAsia="Calibri"/>
          <w:i/>
          <w:lang w:val="es-ES" w:eastAsia="en-US"/>
        </w:rPr>
        <w:t>Yenier</w:t>
      </w:r>
      <w:proofErr w:type="spellEnd"/>
      <w:r w:rsidRPr="00EC2BF0">
        <w:rPr>
          <w:rFonts w:eastAsia="Calibri"/>
          <w:i/>
          <w:lang w:val="es-ES" w:eastAsia="en-US"/>
        </w:rPr>
        <w:t xml:space="preserve"> López Barrero.</w:t>
      </w:r>
    </w:p>
    <w:p w14:paraId="2D3D9014" w14:textId="77777777" w:rsidR="00EC2BF0" w:rsidRPr="00EC2BF0" w:rsidRDefault="00EC2BF0" w:rsidP="00EC2BF0">
      <w:pPr>
        <w:spacing w:line="360" w:lineRule="auto"/>
        <w:jc w:val="both"/>
        <w:rPr>
          <w:rFonts w:eastAsia="Calibri"/>
          <w:i/>
          <w:lang w:val="es-ES" w:eastAsia="en-US"/>
        </w:rPr>
      </w:pPr>
      <w:bookmarkStart w:id="7" w:name="_Hlk96704411"/>
      <w:r w:rsidRPr="00EC2BF0">
        <w:rPr>
          <w:rFonts w:eastAsia="Calibri"/>
          <w:lang w:val="es-ES" w:eastAsia="en-US"/>
        </w:rPr>
        <w:t>Redacción -</w:t>
      </w:r>
      <w:bookmarkEnd w:id="7"/>
      <w:r w:rsidRPr="00EC2BF0">
        <w:rPr>
          <w:rFonts w:eastAsia="Calibri"/>
          <w:lang w:val="es-ES" w:eastAsia="en-US"/>
        </w:rPr>
        <w:t xml:space="preserve">borrador original: </w:t>
      </w:r>
      <w:r w:rsidRPr="00EC2BF0">
        <w:rPr>
          <w:rFonts w:eastAsia="Calibri"/>
          <w:i/>
          <w:lang w:val="es-ES" w:eastAsia="en-US"/>
        </w:rPr>
        <w:t xml:space="preserve">César </w:t>
      </w:r>
      <w:proofErr w:type="spellStart"/>
      <w:r w:rsidRPr="00EC2BF0">
        <w:rPr>
          <w:rFonts w:eastAsia="Calibri"/>
          <w:i/>
          <w:lang w:val="es-ES" w:eastAsia="en-US"/>
        </w:rPr>
        <w:t>Abrahan</w:t>
      </w:r>
      <w:proofErr w:type="spellEnd"/>
      <w:r w:rsidRPr="00EC2BF0">
        <w:rPr>
          <w:rFonts w:eastAsia="Calibri"/>
          <w:i/>
          <w:lang w:val="es-ES" w:eastAsia="en-US"/>
        </w:rPr>
        <w:t xml:space="preserve"> Agüero Figueredo.</w:t>
      </w:r>
    </w:p>
    <w:p w14:paraId="2DCD0C09" w14:textId="77777777" w:rsidR="00EC2BF0" w:rsidRPr="00EC2BF0" w:rsidRDefault="00EC2BF0" w:rsidP="00EC2BF0">
      <w:pPr>
        <w:spacing w:line="360" w:lineRule="auto"/>
        <w:rPr>
          <w:rFonts w:eastAsia="Calibri"/>
          <w:lang w:val="es-ES" w:eastAsia="en-US"/>
        </w:rPr>
      </w:pPr>
      <w:r w:rsidRPr="00EC2BF0">
        <w:rPr>
          <w:rFonts w:eastAsia="Calibri"/>
          <w:lang w:val="es-419" w:eastAsia="en-US"/>
        </w:rPr>
        <w:t xml:space="preserve">Redacción -revisión y edición: </w:t>
      </w:r>
      <w:r w:rsidRPr="00EC2BF0">
        <w:rPr>
          <w:rFonts w:eastAsia="Calibri"/>
          <w:i/>
          <w:lang w:val="es-419" w:eastAsia="en-US"/>
        </w:rPr>
        <w:t xml:space="preserve">César </w:t>
      </w:r>
      <w:proofErr w:type="spellStart"/>
      <w:r w:rsidRPr="00EC2BF0">
        <w:rPr>
          <w:rFonts w:eastAsia="Calibri"/>
          <w:i/>
          <w:lang w:val="es-419" w:eastAsia="en-US"/>
        </w:rPr>
        <w:t>Abrahan</w:t>
      </w:r>
      <w:proofErr w:type="spellEnd"/>
      <w:r w:rsidRPr="00EC2BF0">
        <w:rPr>
          <w:rFonts w:eastAsia="Calibri"/>
          <w:i/>
          <w:lang w:val="es-419" w:eastAsia="en-US"/>
        </w:rPr>
        <w:t xml:space="preserve"> Agüero Figueredo, Lilian Zúñiga Fernández.</w:t>
      </w:r>
    </w:p>
    <w:p w14:paraId="1986A28F" w14:textId="77777777" w:rsidR="00675476" w:rsidRPr="00EC2BF0" w:rsidRDefault="00675476" w:rsidP="00EA1FEF">
      <w:pPr>
        <w:pStyle w:val="PDFRevista"/>
        <w:rPr>
          <w:lang w:val="es-ES"/>
        </w:rPr>
      </w:pPr>
    </w:p>
    <w:sectPr w:rsidR="00675476" w:rsidRPr="00EC2BF0" w:rsidSect="00FD3DF8">
      <w:headerReference w:type="default" r:id="rId29"/>
      <w:footerReference w:type="even" r:id="rId30"/>
      <w:footerReference w:type="default" r:id="rId3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FC93A" w14:textId="77777777" w:rsidR="00FD3930" w:rsidRDefault="00FD3930">
      <w:r>
        <w:separator/>
      </w:r>
    </w:p>
  </w:endnote>
  <w:endnote w:type="continuationSeparator" w:id="0">
    <w:p w14:paraId="6831C70E" w14:textId="77777777" w:rsidR="00FD3930" w:rsidRDefault="00FD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64DA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8E9BF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06FF4" w14:textId="576B471F" w:rsidR="000F3690" w:rsidRPr="00AE044C" w:rsidRDefault="00EC2BF0"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0E438F1" wp14:editId="18357F8F">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C47DA2"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5823DD19" w14:textId="77777777" w:rsidR="00675476" w:rsidRPr="00AE044C" w:rsidRDefault="00FD3930" w:rsidP="00391509">
    <w:pPr>
      <w:pStyle w:val="Piedepgina"/>
      <w:ind w:right="360"/>
      <w:rPr>
        <w:sz w:val="22"/>
        <w:szCs w:val="22"/>
      </w:rPr>
    </w:pPr>
    <w:hyperlink r:id="rId1" w:history="1">
      <w:r w:rsidR="00391509" w:rsidRPr="00AE044C">
        <w:rPr>
          <w:rStyle w:val="Hipervnculo"/>
          <w:sz w:val="22"/>
          <w:szCs w:val="22"/>
        </w:rPr>
        <w:t>http://scielo.sld.cu</w:t>
      </w:r>
    </w:hyperlink>
  </w:p>
  <w:p w14:paraId="72E5F2DA" w14:textId="77777777" w:rsidR="00391509" w:rsidRPr="00AE044C" w:rsidRDefault="00FD393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AA28F2D" w14:textId="00667ACA"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EC2BF0" w:rsidRPr="00EC2BF0">
      <w:rPr>
        <w:rFonts w:ascii="Verdana" w:hAnsi="Verdana"/>
        <w:noProof/>
        <w:sz w:val="18"/>
        <w:szCs w:val="18"/>
        <w:lang w:val="en-US" w:eastAsia="en-US"/>
      </w:rPr>
      <w:drawing>
        <wp:inline distT="0" distB="0" distL="0" distR="0" wp14:anchorId="7E696DF5" wp14:editId="2783A53A">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F92D5" w14:textId="77777777" w:rsidR="00FD3930" w:rsidRDefault="00FD3930">
      <w:r>
        <w:separator/>
      </w:r>
    </w:p>
  </w:footnote>
  <w:footnote w:type="continuationSeparator" w:id="0">
    <w:p w14:paraId="4F31FB10" w14:textId="77777777" w:rsidR="00FD3930" w:rsidRDefault="00FD3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5A1" w14:textId="1BD2A6F8" w:rsidR="00CC376A" w:rsidRPr="00AE044C" w:rsidRDefault="00EC2BF0"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Pr>
        <w:noProof/>
      </w:rPr>
      <w:drawing>
        <wp:anchor distT="0" distB="0" distL="114300" distR="114300" simplePos="0" relativeHeight="251663360" behindDoc="1" locked="0" layoutInCell="1" allowOverlap="1" wp14:anchorId="10B21B11" wp14:editId="0EBDA0E8">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 xml:space="preserve"> e02201884</w:t>
    </w:r>
  </w:p>
  <w:p w14:paraId="19CB2E2D" w14:textId="6F61C28B" w:rsidR="00A477DE" w:rsidRDefault="00EC2BF0">
    <w:r>
      <w:rPr>
        <w:noProof/>
      </w:rPr>
      <mc:AlternateContent>
        <mc:Choice Requires="wps">
          <w:drawing>
            <wp:anchor distT="0" distB="0" distL="114300" distR="114300" simplePos="0" relativeHeight="251654144" behindDoc="0" locked="0" layoutInCell="1" allowOverlap="1" wp14:anchorId="1BC50883" wp14:editId="122D4FF9">
              <wp:simplePos x="0" y="0"/>
              <wp:positionH relativeFrom="column">
                <wp:posOffset>635</wp:posOffset>
              </wp:positionH>
              <wp:positionV relativeFrom="paragraph">
                <wp:posOffset>42545</wp:posOffset>
              </wp:positionV>
              <wp:extent cx="6307455" cy="28575"/>
              <wp:effectExtent l="19050" t="19050" r="1714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1A3ABE"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256DDAC"/>
    <w:lvl w:ilvl="0" w:tplc="38208C26">
      <w:numFmt w:val="bullet"/>
      <w:lvlText w:val="-"/>
      <w:lvlJc w:val="left"/>
      <w:pPr>
        <w:ind w:left="720" w:hanging="360"/>
      </w:pPr>
      <w:rPr>
        <w:rFonts w:ascii="Times New Roman" w:eastAsia="Calibr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0A48E0D8"/>
    <w:lvl w:ilvl="0" w:tplc="5A7000DA">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BF0"/>
    <w:rsid w:val="000370F5"/>
    <w:rsid w:val="00057F45"/>
    <w:rsid w:val="000D3958"/>
    <w:rsid w:val="000F3690"/>
    <w:rsid w:val="001221D1"/>
    <w:rsid w:val="00165CB5"/>
    <w:rsid w:val="00180CE9"/>
    <w:rsid w:val="00230DD5"/>
    <w:rsid w:val="00250AE9"/>
    <w:rsid w:val="00380D64"/>
    <w:rsid w:val="00391509"/>
    <w:rsid w:val="003E03D5"/>
    <w:rsid w:val="00443E77"/>
    <w:rsid w:val="00474D46"/>
    <w:rsid w:val="00486BFA"/>
    <w:rsid w:val="00493701"/>
    <w:rsid w:val="004E2065"/>
    <w:rsid w:val="00543B80"/>
    <w:rsid w:val="005508A2"/>
    <w:rsid w:val="0055115D"/>
    <w:rsid w:val="00566F71"/>
    <w:rsid w:val="005918BD"/>
    <w:rsid w:val="006173A6"/>
    <w:rsid w:val="00675476"/>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DA1736"/>
    <w:rsid w:val="00DB0AEB"/>
    <w:rsid w:val="00E62606"/>
    <w:rsid w:val="00EA1FEF"/>
    <w:rsid w:val="00EC2BF0"/>
    <w:rsid w:val="00EC5A6B"/>
    <w:rsid w:val="00EE301D"/>
    <w:rsid w:val="00FA7CC1"/>
    <w:rsid w:val="00FD3930"/>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859BA"/>
  <w15:docId w15:val="{61371418-18E1-493A-8508-AB1F234D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qFormat/>
    <w:rsid w:val="00EC2BF0"/>
    <w:pPr>
      <w:keepNext/>
      <w:keepLines/>
      <w:spacing w:before="480" w:line="276" w:lineRule="auto"/>
      <w:outlineLvl w:val="0"/>
    </w:pPr>
    <w:rPr>
      <w:rFonts w:ascii="Cambria" w:hAnsi="Cambria"/>
      <w:b/>
      <w:bCs/>
      <w:color w:val="365F91"/>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1Car">
    <w:name w:val="Título 1 Car"/>
    <w:basedOn w:val="Fuentedeprrafopredeter"/>
    <w:link w:val="Ttulo1"/>
    <w:rsid w:val="00EC2BF0"/>
    <w:rPr>
      <w:rFonts w:ascii="Cambria" w:hAnsi="Cambria"/>
      <w:b/>
      <w:bCs/>
      <w:color w:val="365F91"/>
      <w:sz w:val="28"/>
      <w:szCs w:val="28"/>
      <w:lang w:val="x-none" w:eastAsia="x-none"/>
    </w:rPr>
  </w:style>
  <w:style w:type="numbering" w:customStyle="1" w:styleId="Sinlista1">
    <w:name w:val="Sin lista1"/>
    <w:rsid w:val="00EC2BF0"/>
  </w:style>
  <w:style w:type="character" w:customStyle="1" w:styleId="Fuentedeprrafopredeter4">
    <w:name w:val="Fuente de párrafo predeter.4"/>
    <w:rsid w:val="00EC2BF0"/>
    <w:rPr>
      <w:rFonts w:ascii="Calibri" w:eastAsia="Calibri" w:hAnsi="Calibri" w:cs="Times New Roman"/>
    </w:rPr>
  </w:style>
  <w:style w:type="table" w:customStyle="1" w:styleId="Tablaconcuadrcula1">
    <w:name w:val="Tabla con cuadrícula1"/>
    <w:basedOn w:val="Tablanormal"/>
    <w:rsid w:val="00EC2B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rsid w:val="00EC2BF0"/>
    <w:rPr>
      <w:rFonts w:ascii="Calibri" w:eastAsia="Calibri" w:hAnsi="Calibri"/>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tblPr/>
      <w:tcPr>
        <w:tcBorders>
          <w:top w:val="single" w:sz="8" w:space="0" w:color="4BACC6"/>
          <w:left w:val="nil"/>
          <w:bottom w:val="single" w:sz="8" w:space="0" w:color="4BACC6"/>
          <w:right w:val="nil"/>
          <w:insideH w:val="nil"/>
          <w:insideV w:val="nil"/>
        </w:tcBorders>
      </w:tc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rsid w:val="00EC2BF0"/>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tblPr/>
      <w:tcPr>
        <w:tcBorders>
          <w:top w:val="single" w:sz="8" w:space="0" w:color="000000"/>
          <w:left w:val="nil"/>
          <w:bottom w:val="single" w:sz="8" w:space="0" w:color="000000"/>
          <w:right w:val="nil"/>
          <w:insideH w:val="nil"/>
          <w:insideV w:val="nil"/>
        </w:tcBorders>
      </w:tc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ipervnculovisitado">
    <w:name w:val="FollowedHyperlink"/>
    <w:rsid w:val="00EC2BF0"/>
    <w:rPr>
      <w:rFonts w:ascii="Calibri" w:eastAsia="Calibri" w:hAnsi="Calibri" w:cs="Times New Roman"/>
      <w:color w:val="800080"/>
      <w:u w:val="single"/>
    </w:rPr>
  </w:style>
  <w:style w:type="character" w:styleId="Refdecomentario">
    <w:name w:val="annotation reference"/>
    <w:uiPriority w:val="99"/>
    <w:semiHidden/>
    <w:unhideWhenUsed/>
    <w:rsid w:val="00EC2BF0"/>
    <w:rPr>
      <w:rFonts w:ascii="Calibri" w:eastAsia="Calibri" w:hAnsi="Calibri" w:cs="Times New Roman"/>
      <w:sz w:val="16"/>
      <w:szCs w:val="16"/>
    </w:rPr>
  </w:style>
  <w:style w:type="paragraph" w:styleId="Textocomentario">
    <w:name w:val="annotation text"/>
    <w:basedOn w:val="Normal"/>
    <w:link w:val="TextocomentarioCar"/>
    <w:uiPriority w:val="99"/>
    <w:unhideWhenUsed/>
    <w:qFormat/>
    <w:rsid w:val="00EC2BF0"/>
    <w:pPr>
      <w:spacing w:after="200" w:line="276" w:lineRule="auto"/>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qFormat/>
    <w:rsid w:val="00EC2BF0"/>
    <w:rPr>
      <w:rFonts w:ascii="Calibri" w:eastAsia="Calibri" w:hAnsi="Calibri"/>
      <w:lang w:val="es-ES" w:eastAsia="en-US"/>
    </w:rPr>
  </w:style>
  <w:style w:type="paragraph" w:styleId="Asuntodelcomentario">
    <w:name w:val="annotation subject"/>
    <w:basedOn w:val="Textocomentario"/>
    <w:next w:val="Textocomentario"/>
    <w:link w:val="AsuntodelcomentarioCar"/>
    <w:uiPriority w:val="99"/>
    <w:semiHidden/>
    <w:unhideWhenUsed/>
    <w:rsid w:val="00EC2BF0"/>
    <w:rPr>
      <w:b/>
      <w:bCs/>
    </w:rPr>
  </w:style>
  <w:style w:type="character" w:customStyle="1" w:styleId="AsuntodelcomentarioCar">
    <w:name w:val="Asunto del comentario Car"/>
    <w:basedOn w:val="TextocomentarioCar"/>
    <w:link w:val="Asuntodelcomentario"/>
    <w:uiPriority w:val="99"/>
    <w:semiHidden/>
    <w:rsid w:val="00EC2BF0"/>
    <w:rPr>
      <w:rFonts w:ascii="Calibri" w:eastAsia="Calibri" w:hAnsi="Calibri"/>
      <w:b/>
      <w:bCs/>
      <w:lang w:val="es-ES" w:eastAsia="en-US"/>
    </w:rPr>
  </w:style>
  <w:style w:type="character" w:styleId="Mencinsinresolver">
    <w:name w:val="Unresolved Mention"/>
    <w:uiPriority w:val="99"/>
    <w:semiHidden/>
    <w:unhideWhenUsed/>
    <w:rsid w:val="00EC2BF0"/>
    <w:rPr>
      <w:rFonts w:ascii="Calibri" w:eastAsia="Calibri" w:hAnsi="Calibri" w:cs="Times New Roman"/>
      <w:color w:val="605E5C"/>
      <w:shd w:val="clear" w:color="auto" w:fill="E1DFDD"/>
    </w:rPr>
  </w:style>
  <w:style w:type="paragraph" w:styleId="Revisin">
    <w:name w:val="Revision"/>
    <w:hidden/>
    <w:uiPriority w:val="99"/>
    <w:semiHidden/>
    <w:rsid w:val="00EC2BF0"/>
    <w:rPr>
      <w:rFonts w:ascii="Calibri" w:eastAsia="Calibri" w:hAnsi="Calibri"/>
      <w:sz w:val="22"/>
      <w:szCs w:val="22"/>
      <w:lang w:val="es-ES" w:eastAsia="en-US"/>
    </w:rPr>
  </w:style>
  <w:style w:type="paragraph" w:styleId="a">
    <w:basedOn w:val="Normal"/>
    <w:next w:val="Normal"/>
    <w:uiPriority w:val="35"/>
    <w:unhideWhenUsed/>
    <w:qFormat/>
    <w:rsid w:val="00EC2BF0"/>
    <w:pPr>
      <w:spacing w:after="200" w:line="276" w:lineRule="auto"/>
    </w:pPr>
    <w:rPr>
      <w:rFonts w:ascii="Calibri" w:eastAsia="Calibri" w:hAnsi="Calibri"/>
      <w:b/>
      <w:bCs/>
      <w:sz w:val="20"/>
      <w:szCs w:val="20"/>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3-2825-9199" TargetMode="External"/><Relationship Id="rId13" Type="http://schemas.openxmlformats.org/officeDocument/2006/relationships/image" Target="media/image2.png"/><Relationship Id="rId18" Type="http://schemas.openxmlformats.org/officeDocument/2006/relationships/hyperlink" Target="http://recocmed.sld.cu/index.php/cocmed/article/view/3717" TargetMode="External"/><Relationship Id="rId26" Type="http://schemas.openxmlformats.org/officeDocument/2006/relationships/hyperlink" Target="https://doi.org/10.1016/j.rgmx.2020.05.002" TargetMode="External"/><Relationship Id="rId3" Type="http://schemas.openxmlformats.org/officeDocument/2006/relationships/settings" Target="settings.xml"/><Relationship Id="rId21" Type="http://schemas.openxmlformats.org/officeDocument/2006/relationships/hyperlink" Target="https://doi.org/10.1016/j.anpedi.2020.04.021" TargetMode="External"/><Relationship Id="rId7" Type="http://schemas.openxmlformats.org/officeDocument/2006/relationships/hyperlink" Target="http://orcid.org/0000-0001-5993-1043" TargetMode="External"/><Relationship Id="rId12" Type="http://schemas.openxmlformats.org/officeDocument/2006/relationships/image" Target="media/image1.png"/><Relationship Id="rId17" Type="http://schemas.openxmlformats.org/officeDocument/2006/relationships/hyperlink" Target="http://10.31260/RepertMedCir.01217372.1046" TargetMode="External"/><Relationship Id="rId25" Type="http://schemas.openxmlformats.org/officeDocument/2006/relationships/hyperlink" Target="http://dx.doi.org/10.1016/S0140-6736(20)30211-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evhabanera.sld.cu/index.php/rhab/article/view/3378" TargetMode="External"/><Relationship Id="rId20" Type="http://schemas.openxmlformats.org/officeDocument/2006/relationships/hyperlink" Target="https://doi.org/10.1053/j.gastro.2020.03.065"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rahancesar1981@gmail.com" TargetMode="External"/><Relationship Id="rId24" Type="http://schemas.openxmlformats.org/officeDocument/2006/relationships/hyperlink" Target="http://dx.doi.org/10.1016/S2468-1253(20)30076-5"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revhabanera.sld.cu/index.php/rhab/article/view/3379" TargetMode="External"/><Relationship Id="rId23" Type="http://schemas.openxmlformats.org/officeDocument/2006/relationships/hyperlink" Target="http://10.1136/gutjnl-2020-320926" TargetMode="External"/><Relationship Id="rId28" Type="http://schemas.openxmlformats.org/officeDocument/2006/relationships/hyperlink" Target="http://www.revhabanera.sld.cu/index.php/rhab/article/view/3389" TargetMode="External"/><Relationship Id="rId10" Type="http://schemas.openxmlformats.org/officeDocument/2006/relationships/hyperlink" Target="http://orcid.org/0000-0002-0373-8524" TargetMode="External"/><Relationship Id="rId19" Type="http://schemas.openxmlformats.org/officeDocument/2006/relationships/hyperlink" Target="http://revzoilomarinello.sld.cu/index.php/zmv/article/view/2810"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orcid.org/0000-0003-0003-0421" TargetMode="External"/><Relationship Id="rId14" Type="http://schemas.openxmlformats.org/officeDocument/2006/relationships/hyperlink" Target="http://www.revsaludpublica.sld.cu/index.php/spu/article/view/2358" TargetMode="External"/><Relationship Id="rId22" Type="http://schemas.openxmlformats.org/officeDocument/2006/relationships/hyperlink" Target="https://pesquisa.bvsalud.org/portal/resource/pt/wpr-871462" TargetMode="External"/><Relationship Id="rId27" Type="http://schemas.openxmlformats.org/officeDocument/2006/relationships/hyperlink" Target="http://dx.doi.org/10.1002/path.1570"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33</TotalTime>
  <Pages>14</Pages>
  <Words>4286</Words>
  <Characters>23576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27807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10</cp:revision>
  <cp:lastPrinted>2022-05-27T18:42:00Z</cp:lastPrinted>
  <dcterms:created xsi:type="dcterms:W3CDTF">2022-05-27T18:21:00Z</dcterms:created>
  <dcterms:modified xsi:type="dcterms:W3CDTF">2022-05-27T18:54:00Z</dcterms:modified>
</cp:coreProperties>
</file>