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DF3AF" w14:textId="77777777" w:rsidR="00D1297D" w:rsidRPr="00D1297D" w:rsidRDefault="00D1297D" w:rsidP="00D1297D">
      <w:pPr>
        <w:spacing w:line="360" w:lineRule="auto"/>
        <w:jc w:val="right"/>
        <w:rPr>
          <w:rFonts w:eastAsia="Calibri"/>
          <w:sz w:val="20"/>
          <w:szCs w:val="20"/>
          <w:lang w:val="es-PE" w:eastAsia="en-US"/>
        </w:rPr>
      </w:pPr>
      <w:r w:rsidRPr="00D1297D">
        <w:rPr>
          <w:rFonts w:eastAsia="Calibri"/>
          <w:sz w:val="20"/>
          <w:szCs w:val="20"/>
          <w:lang w:val="es-PE" w:eastAsia="en-US"/>
        </w:rPr>
        <w:t>Artículo de investigación</w:t>
      </w:r>
    </w:p>
    <w:p w14:paraId="488A49DB" w14:textId="77777777" w:rsidR="00D1297D" w:rsidRPr="00D1297D" w:rsidRDefault="00D1297D" w:rsidP="00D1297D">
      <w:pPr>
        <w:spacing w:line="360" w:lineRule="auto"/>
        <w:jc w:val="right"/>
        <w:rPr>
          <w:rFonts w:eastAsia="Calibri"/>
          <w:sz w:val="20"/>
          <w:szCs w:val="20"/>
          <w:lang w:val="es-PE" w:eastAsia="en-US"/>
        </w:rPr>
      </w:pPr>
    </w:p>
    <w:p w14:paraId="7C4022C2" w14:textId="77777777" w:rsidR="00D1297D" w:rsidRPr="00D1297D" w:rsidRDefault="00D1297D" w:rsidP="00D1297D">
      <w:pPr>
        <w:spacing w:line="360" w:lineRule="auto"/>
        <w:jc w:val="center"/>
        <w:rPr>
          <w:rFonts w:eastAsia="Calibri"/>
          <w:b/>
          <w:sz w:val="28"/>
          <w:szCs w:val="28"/>
          <w:lang w:val="es-PE" w:eastAsia="en-US"/>
        </w:rPr>
      </w:pPr>
      <w:r w:rsidRPr="00D1297D">
        <w:rPr>
          <w:rFonts w:eastAsia="Calibri"/>
          <w:b/>
          <w:sz w:val="28"/>
          <w:szCs w:val="28"/>
          <w:lang w:val="es-PE" w:eastAsia="en-US"/>
        </w:rPr>
        <w:t>Características clínicas, epidemiológicas y terapéuticas de pacientes con carcinoma epidermoide de cavidad bucal</w:t>
      </w:r>
    </w:p>
    <w:p w14:paraId="43826244" w14:textId="77777777" w:rsidR="00D1297D" w:rsidRPr="00D1297D" w:rsidRDefault="00D1297D" w:rsidP="00D1297D">
      <w:pPr>
        <w:spacing w:line="360" w:lineRule="auto"/>
        <w:jc w:val="center"/>
        <w:rPr>
          <w:rFonts w:eastAsia="Calibri"/>
          <w:lang w:val="en-US" w:eastAsia="en-US"/>
        </w:rPr>
      </w:pPr>
      <w:r w:rsidRPr="00D1297D">
        <w:rPr>
          <w:rFonts w:eastAsia="Calibri"/>
          <w:sz w:val="28"/>
          <w:szCs w:val="28"/>
          <w:lang w:val="en-US" w:eastAsia="en-US"/>
        </w:rPr>
        <w:t xml:space="preserve">Clinical, epidemiological and therapeutic characteristics of patients with oral cavity squamous cell carcinoma  </w:t>
      </w:r>
    </w:p>
    <w:p w14:paraId="7C0092DB" w14:textId="77777777" w:rsidR="00D1297D" w:rsidRPr="00D1297D" w:rsidRDefault="00D1297D" w:rsidP="00D1297D">
      <w:pPr>
        <w:spacing w:line="360" w:lineRule="auto"/>
        <w:jc w:val="center"/>
        <w:rPr>
          <w:rFonts w:eastAsia="Calibri"/>
          <w:bCs/>
          <w:lang w:val="en-US" w:eastAsia="en-US"/>
        </w:rPr>
      </w:pPr>
    </w:p>
    <w:p w14:paraId="3D0ED8B0" w14:textId="77777777" w:rsidR="00D1297D" w:rsidRPr="00D1297D" w:rsidRDefault="00D1297D" w:rsidP="00D1297D">
      <w:pPr>
        <w:spacing w:line="360" w:lineRule="auto"/>
        <w:rPr>
          <w:rFonts w:eastAsia="Calibri"/>
          <w:bCs/>
          <w:lang w:val="es-PE" w:eastAsia="en-US"/>
        </w:rPr>
      </w:pPr>
      <w:r w:rsidRPr="00D1297D">
        <w:rPr>
          <w:rFonts w:eastAsia="Calibri"/>
          <w:bCs/>
          <w:lang w:val="es-PE" w:eastAsia="en-US"/>
        </w:rPr>
        <w:t>Ibraín Enrique Corrales-Reyes</w:t>
      </w:r>
      <w:r w:rsidRPr="00D1297D">
        <w:rPr>
          <w:rFonts w:eastAsia="Calibri"/>
          <w:bCs/>
          <w:vertAlign w:val="superscript"/>
          <w:lang w:val="es-PE" w:eastAsia="en-US"/>
        </w:rPr>
        <w:t>1</w:t>
      </w:r>
      <w:r w:rsidRPr="00D1297D">
        <w:rPr>
          <w:rFonts w:eastAsia="Calibri"/>
          <w:bCs/>
          <w:lang w:val="es-PE" w:eastAsia="en-US"/>
        </w:rPr>
        <w:t xml:space="preserve">* </w:t>
      </w:r>
      <w:hyperlink r:id="rId7" w:history="1">
        <w:r w:rsidRPr="00D1297D">
          <w:rPr>
            <w:rFonts w:eastAsia="Calibri"/>
            <w:bCs/>
            <w:color w:val="0000FF"/>
            <w:u w:val="single"/>
            <w:lang w:val="es-PE" w:eastAsia="en-US"/>
          </w:rPr>
          <w:t>https://orcid.org/0000-0002-2146-9014</w:t>
        </w:r>
      </w:hyperlink>
      <w:r w:rsidRPr="00D1297D">
        <w:rPr>
          <w:rFonts w:eastAsia="Calibri"/>
          <w:bCs/>
          <w:lang w:val="es-PE" w:eastAsia="en-US"/>
        </w:rPr>
        <w:t xml:space="preserve">  </w:t>
      </w:r>
    </w:p>
    <w:p w14:paraId="7D9BBEF6" w14:textId="77777777" w:rsidR="00D1297D" w:rsidRPr="00D1297D" w:rsidRDefault="00D1297D" w:rsidP="00D1297D">
      <w:pPr>
        <w:spacing w:line="360" w:lineRule="auto"/>
        <w:rPr>
          <w:rFonts w:eastAsia="Calibri"/>
          <w:bCs/>
          <w:lang w:val="es-PE" w:eastAsia="en-US"/>
        </w:rPr>
      </w:pPr>
      <w:r w:rsidRPr="00D1297D">
        <w:rPr>
          <w:rFonts w:eastAsia="Calibri"/>
          <w:bCs/>
          <w:lang w:val="es-PE" w:eastAsia="en-US"/>
        </w:rPr>
        <w:t>Vanesa Cruz-Sánchez</w:t>
      </w:r>
      <w:r w:rsidRPr="00D1297D">
        <w:rPr>
          <w:rFonts w:eastAsia="Calibri"/>
          <w:bCs/>
          <w:vertAlign w:val="superscript"/>
          <w:lang w:val="es-PE" w:eastAsia="en-US"/>
        </w:rPr>
        <w:t>1</w:t>
      </w:r>
      <w:r w:rsidRPr="00D1297D">
        <w:rPr>
          <w:rFonts w:eastAsia="Calibri"/>
          <w:bCs/>
          <w:lang w:val="es-PE" w:eastAsia="en-US"/>
        </w:rPr>
        <w:t xml:space="preserve"> </w:t>
      </w:r>
      <w:hyperlink r:id="rId8" w:history="1">
        <w:r w:rsidRPr="00D1297D">
          <w:rPr>
            <w:rFonts w:eastAsia="Calibri"/>
            <w:bCs/>
            <w:color w:val="0000FF"/>
            <w:u w:val="single"/>
            <w:lang w:val="es-PE" w:eastAsia="en-US"/>
          </w:rPr>
          <w:t>https://orcid.org/0000-0003-1197-5105</w:t>
        </w:r>
      </w:hyperlink>
      <w:r w:rsidRPr="00D1297D">
        <w:rPr>
          <w:rFonts w:eastAsia="Calibri"/>
          <w:bCs/>
          <w:lang w:val="es-PE" w:eastAsia="en-US"/>
        </w:rPr>
        <w:t xml:space="preserve">   </w:t>
      </w:r>
    </w:p>
    <w:p w14:paraId="5AF9DA34" w14:textId="77777777" w:rsidR="00D1297D" w:rsidRPr="00D1297D" w:rsidRDefault="00D1297D" w:rsidP="00D1297D">
      <w:pPr>
        <w:spacing w:line="360" w:lineRule="auto"/>
        <w:rPr>
          <w:rFonts w:eastAsia="Calibri"/>
          <w:bCs/>
          <w:lang w:val="es-PE" w:eastAsia="en-US"/>
        </w:rPr>
      </w:pPr>
      <w:r w:rsidRPr="00D1297D">
        <w:rPr>
          <w:rFonts w:eastAsia="Calibri"/>
          <w:bCs/>
          <w:lang w:val="es-PE" w:eastAsia="en-US"/>
        </w:rPr>
        <w:t>Alejandro Ernesto Núñez-Blanco</w:t>
      </w:r>
      <w:r w:rsidRPr="00D1297D">
        <w:rPr>
          <w:rFonts w:eastAsia="Calibri"/>
          <w:bCs/>
          <w:vertAlign w:val="superscript"/>
          <w:lang w:val="es-PE" w:eastAsia="en-US"/>
        </w:rPr>
        <w:t>1</w:t>
      </w:r>
      <w:r w:rsidRPr="00D1297D">
        <w:rPr>
          <w:rFonts w:eastAsia="Calibri"/>
          <w:bCs/>
          <w:lang w:val="es-PE" w:eastAsia="en-US"/>
        </w:rPr>
        <w:t xml:space="preserve"> </w:t>
      </w:r>
      <w:hyperlink r:id="rId9" w:history="1">
        <w:r w:rsidRPr="00D1297D">
          <w:rPr>
            <w:rFonts w:eastAsia="Calibri"/>
            <w:bCs/>
            <w:color w:val="0000FF"/>
            <w:u w:val="single"/>
            <w:lang w:val="es-PE" w:eastAsia="en-US"/>
          </w:rPr>
          <w:t>https://orcid.org/0000-0002-5237-7139</w:t>
        </w:r>
      </w:hyperlink>
      <w:r w:rsidRPr="00D1297D">
        <w:rPr>
          <w:rFonts w:eastAsia="Calibri"/>
          <w:bCs/>
          <w:lang w:val="es-PE" w:eastAsia="en-US"/>
        </w:rPr>
        <w:t xml:space="preserve">  </w:t>
      </w:r>
    </w:p>
    <w:p w14:paraId="3E34DA07" w14:textId="77777777" w:rsidR="00D1297D" w:rsidRPr="00D1297D" w:rsidRDefault="00D1297D" w:rsidP="00D1297D">
      <w:pPr>
        <w:spacing w:line="360" w:lineRule="auto"/>
        <w:rPr>
          <w:rFonts w:eastAsia="Calibri"/>
          <w:bCs/>
          <w:lang w:val="es-PE" w:eastAsia="en-US"/>
        </w:rPr>
      </w:pPr>
      <w:r w:rsidRPr="00D1297D">
        <w:rPr>
          <w:rFonts w:eastAsia="Calibri"/>
          <w:bCs/>
          <w:lang w:val="es-PE" w:eastAsia="en-US"/>
        </w:rPr>
        <w:t>Bryan Alexis Cossio-Alva</w:t>
      </w:r>
      <w:r w:rsidRPr="00D1297D">
        <w:rPr>
          <w:rFonts w:eastAsia="Calibri"/>
          <w:bCs/>
          <w:vertAlign w:val="superscript"/>
          <w:lang w:val="es-PE" w:eastAsia="en-US"/>
        </w:rPr>
        <w:t>2</w:t>
      </w:r>
      <w:r w:rsidRPr="00D1297D">
        <w:rPr>
          <w:rFonts w:eastAsia="Calibri"/>
          <w:bCs/>
          <w:lang w:val="es-PE" w:eastAsia="en-US"/>
        </w:rPr>
        <w:t xml:space="preserve"> </w:t>
      </w:r>
      <w:hyperlink r:id="rId10" w:history="1">
        <w:r w:rsidRPr="00D1297D">
          <w:rPr>
            <w:rFonts w:eastAsia="Calibri"/>
            <w:bCs/>
            <w:color w:val="0000FF"/>
            <w:u w:val="single"/>
            <w:lang w:val="es-PE" w:eastAsia="en-US"/>
          </w:rPr>
          <w:t>https://orcid.org/0000-0003-1568-5324</w:t>
        </w:r>
      </w:hyperlink>
      <w:r w:rsidRPr="00D1297D">
        <w:rPr>
          <w:rFonts w:eastAsia="Calibri"/>
          <w:bCs/>
          <w:lang w:val="es-PE" w:eastAsia="en-US"/>
        </w:rPr>
        <w:t xml:space="preserve"> </w:t>
      </w:r>
    </w:p>
    <w:p w14:paraId="0C9D0FEB" w14:textId="77777777" w:rsidR="00D1297D" w:rsidRPr="00D1297D" w:rsidRDefault="00D1297D" w:rsidP="00D1297D">
      <w:pPr>
        <w:spacing w:line="360" w:lineRule="auto"/>
        <w:rPr>
          <w:rFonts w:eastAsia="Calibri"/>
          <w:bCs/>
          <w:lang w:val="es-PE" w:eastAsia="en-US"/>
        </w:rPr>
      </w:pPr>
    </w:p>
    <w:p w14:paraId="007867E4" w14:textId="77777777" w:rsidR="00D1297D" w:rsidRPr="00D1297D" w:rsidRDefault="00D1297D" w:rsidP="00D1297D">
      <w:pPr>
        <w:spacing w:line="360" w:lineRule="auto"/>
        <w:rPr>
          <w:rFonts w:eastAsia="Calibri"/>
          <w:bCs/>
          <w:lang w:val="es-PE" w:eastAsia="en-US"/>
        </w:rPr>
      </w:pPr>
      <w:r w:rsidRPr="00D1297D">
        <w:rPr>
          <w:rFonts w:eastAsia="Calibri"/>
          <w:bCs/>
          <w:vertAlign w:val="superscript"/>
          <w:lang w:val="es-PE" w:eastAsia="en-US"/>
        </w:rPr>
        <w:t>1</w:t>
      </w:r>
      <w:r w:rsidRPr="00D1297D">
        <w:rPr>
          <w:rFonts w:eastAsia="Calibri"/>
          <w:bCs/>
          <w:lang w:val="es-PE" w:eastAsia="en-US"/>
        </w:rPr>
        <w:t>Universidad de Ciencias Médicas de Granma. Hospital General Provincial “Carlos Manuel de Céspedes”. Servicio de Cirugía Maxilofacial. Bayamo, Granma, Cuba.</w:t>
      </w:r>
    </w:p>
    <w:p w14:paraId="26364E2D" w14:textId="77777777" w:rsidR="00D1297D" w:rsidRPr="00D1297D" w:rsidRDefault="00D1297D" w:rsidP="00D1297D">
      <w:pPr>
        <w:spacing w:line="360" w:lineRule="auto"/>
        <w:rPr>
          <w:rFonts w:eastAsia="Calibri"/>
          <w:bCs/>
          <w:lang w:val="es-PE" w:eastAsia="en-US"/>
        </w:rPr>
      </w:pPr>
      <w:r w:rsidRPr="00D1297D">
        <w:rPr>
          <w:rFonts w:eastAsia="Calibri"/>
          <w:bCs/>
          <w:vertAlign w:val="superscript"/>
          <w:lang w:val="es-PE" w:eastAsia="en-US"/>
        </w:rPr>
        <w:t>2</w:t>
      </w:r>
      <w:r w:rsidRPr="00D1297D">
        <w:rPr>
          <w:rFonts w:eastAsia="Calibri"/>
          <w:bCs/>
          <w:lang w:val="es-PE" w:eastAsia="en-US"/>
        </w:rPr>
        <w:t>Universidad Científica del Sur. Facultad de Ciencias de la Salud. Escuela de Estomatología. Lima, Perú.</w:t>
      </w:r>
    </w:p>
    <w:p w14:paraId="0C61DE9B" w14:textId="77777777" w:rsidR="00D1297D" w:rsidRPr="00D1297D" w:rsidRDefault="00D1297D" w:rsidP="00D1297D">
      <w:pPr>
        <w:spacing w:line="360" w:lineRule="auto"/>
        <w:rPr>
          <w:rFonts w:eastAsia="Calibri"/>
          <w:bCs/>
          <w:lang w:val="es-PE" w:eastAsia="en-US"/>
        </w:rPr>
      </w:pPr>
    </w:p>
    <w:p w14:paraId="21A59F83" w14:textId="77777777" w:rsidR="00D1297D" w:rsidRPr="00D1297D" w:rsidRDefault="00D1297D" w:rsidP="00D1297D">
      <w:pPr>
        <w:spacing w:line="360" w:lineRule="auto"/>
        <w:rPr>
          <w:rFonts w:eastAsia="Calibri"/>
          <w:bCs/>
          <w:lang w:val="es-PE" w:eastAsia="en-US"/>
        </w:rPr>
      </w:pPr>
      <w:r w:rsidRPr="00D1297D">
        <w:rPr>
          <w:rFonts w:eastAsia="Calibri"/>
          <w:bCs/>
          <w:lang w:val="es-PE" w:eastAsia="en-US"/>
        </w:rPr>
        <w:t xml:space="preserve">*Autor para la correspondencia: </w:t>
      </w:r>
      <w:hyperlink r:id="rId11" w:history="1">
        <w:r w:rsidRPr="00D1297D">
          <w:rPr>
            <w:rFonts w:eastAsia="Calibri"/>
            <w:bCs/>
            <w:color w:val="0000FF"/>
            <w:u w:val="single"/>
            <w:lang w:val="es-PE" w:eastAsia="en-US"/>
          </w:rPr>
          <w:t>iecorralesr@infomed.sld.cu</w:t>
        </w:r>
      </w:hyperlink>
      <w:r w:rsidRPr="00D1297D">
        <w:rPr>
          <w:rFonts w:eastAsia="Calibri"/>
          <w:bCs/>
          <w:lang w:val="es-PE" w:eastAsia="en-US"/>
        </w:rPr>
        <w:t xml:space="preserve">  </w:t>
      </w:r>
    </w:p>
    <w:p w14:paraId="69E53373" w14:textId="77777777" w:rsidR="00D1297D" w:rsidRPr="00D1297D" w:rsidRDefault="00D1297D" w:rsidP="00D1297D">
      <w:pPr>
        <w:spacing w:line="360" w:lineRule="auto"/>
        <w:jc w:val="both"/>
        <w:rPr>
          <w:rFonts w:eastAsia="Calibri"/>
          <w:bCs/>
          <w:lang w:val="es-PE" w:eastAsia="en-US"/>
        </w:rPr>
      </w:pPr>
    </w:p>
    <w:p w14:paraId="18F3B695" w14:textId="77777777" w:rsidR="00D1297D" w:rsidRPr="00D1297D" w:rsidRDefault="00D1297D" w:rsidP="00D1297D">
      <w:pPr>
        <w:spacing w:line="360" w:lineRule="auto"/>
        <w:rPr>
          <w:rFonts w:eastAsia="Calibri"/>
          <w:b/>
          <w:lang w:val="es-PE" w:eastAsia="en-US"/>
        </w:rPr>
      </w:pPr>
      <w:bookmarkStart w:id="0" w:name="_Hlk68475664"/>
      <w:r w:rsidRPr="00D1297D">
        <w:rPr>
          <w:rFonts w:eastAsia="Calibri"/>
          <w:b/>
          <w:lang w:val="es-PE" w:eastAsia="en-US"/>
        </w:rPr>
        <w:t>RESUMEN</w:t>
      </w:r>
    </w:p>
    <w:p w14:paraId="58B02E38" w14:textId="77777777" w:rsidR="00D1297D" w:rsidRPr="00D1297D" w:rsidRDefault="00D1297D" w:rsidP="00D1297D">
      <w:pPr>
        <w:spacing w:line="360" w:lineRule="auto"/>
        <w:jc w:val="both"/>
        <w:rPr>
          <w:rFonts w:eastAsia="Calibri"/>
          <w:lang w:val="es-PE" w:eastAsia="en-US"/>
        </w:rPr>
      </w:pPr>
      <w:r w:rsidRPr="00D1297D">
        <w:rPr>
          <w:rFonts w:eastAsia="Calibri"/>
          <w:b/>
          <w:lang w:val="es-PE" w:eastAsia="en-US"/>
        </w:rPr>
        <w:t>Introducción</w:t>
      </w:r>
      <w:r w:rsidRPr="00D1297D">
        <w:rPr>
          <w:rFonts w:eastAsia="Calibri"/>
          <w:lang w:val="es-PE" w:eastAsia="en-US"/>
        </w:rPr>
        <w:t xml:space="preserve">: </w:t>
      </w:r>
      <w:r w:rsidRPr="00D1297D">
        <w:rPr>
          <w:rFonts w:eastAsia="Calibri"/>
          <w:lang w:val="es-PE" w:eastAsia="es-ES"/>
        </w:rPr>
        <w:t xml:space="preserve">La región de la cabeza y el cuello es una de las áreas más complejas del cuerpo y el </w:t>
      </w:r>
      <w:r w:rsidRPr="00D1297D">
        <w:rPr>
          <w:rFonts w:eastAsia="Calibri"/>
          <w:lang w:val="es-PE" w:eastAsia="en-US"/>
        </w:rPr>
        <w:t xml:space="preserve">carcinoma epidermoide es la neoplasia maligna más frecuente en esta localización. </w:t>
      </w:r>
    </w:p>
    <w:p w14:paraId="79EA0E1B" w14:textId="77777777" w:rsidR="00D1297D" w:rsidRPr="00D1297D" w:rsidRDefault="00D1297D" w:rsidP="00D1297D">
      <w:pPr>
        <w:spacing w:line="360" w:lineRule="auto"/>
        <w:jc w:val="both"/>
        <w:rPr>
          <w:rFonts w:eastAsia="Calibri"/>
          <w:lang w:val="es-PE" w:eastAsia="ar-SA"/>
        </w:rPr>
      </w:pPr>
      <w:r w:rsidRPr="00D1297D">
        <w:rPr>
          <w:rFonts w:eastAsia="Calibri"/>
          <w:b/>
          <w:lang w:val="es-PE" w:eastAsia="en-US"/>
        </w:rPr>
        <w:t>Objetivo</w:t>
      </w:r>
      <w:r w:rsidRPr="00D1297D">
        <w:rPr>
          <w:rFonts w:eastAsia="Calibri"/>
          <w:lang w:val="es-PE" w:eastAsia="en-US"/>
        </w:rPr>
        <w:t xml:space="preserve">: </w:t>
      </w:r>
      <w:r w:rsidRPr="00D1297D">
        <w:rPr>
          <w:rFonts w:eastAsia="Calibri"/>
          <w:lang w:val="es-PE" w:eastAsia="es-ES"/>
        </w:rPr>
        <w:t xml:space="preserve">Caracterizar, desde el punto de vista clínico, epidemiológico y terapéutico, los pacientes </w:t>
      </w:r>
      <w:r w:rsidRPr="00D1297D">
        <w:rPr>
          <w:rFonts w:eastAsia="Calibri"/>
          <w:lang w:val="es-PE" w:eastAsia="en-US"/>
        </w:rPr>
        <w:t>con carcinoma epidermoide de cavidad bucal</w:t>
      </w:r>
      <w:r w:rsidRPr="00D1297D">
        <w:rPr>
          <w:rFonts w:eastAsia="Calibri"/>
          <w:lang w:val="es-PE" w:eastAsia="ar-SA"/>
        </w:rPr>
        <w:t xml:space="preserve">. </w:t>
      </w:r>
    </w:p>
    <w:p w14:paraId="232C1400" w14:textId="77777777" w:rsidR="00D1297D" w:rsidRPr="00D1297D" w:rsidRDefault="00D1297D" w:rsidP="00D1297D">
      <w:pPr>
        <w:spacing w:line="360" w:lineRule="auto"/>
        <w:jc w:val="both"/>
        <w:rPr>
          <w:rFonts w:eastAsia="Calibri"/>
          <w:lang w:val="es-PE" w:eastAsia="en-US"/>
        </w:rPr>
      </w:pPr>
      <w:r w:rsidRPr="00D1297D">
        <w:rPr>
          <w:rFonts w:eastAsia="Calibri"/>
          <w:b/>
          <w:lang w:val="es-PE" w:eastAsia="en-US"/>
        </w:rPr>
        <w:t>Métodos</w:t>
      </w:r>
      <w:r w:rsidRPr="00D1297D">
        <w:rPr>
          <w:rFonts w:eastAsia="Calibri"/>
          <w:lang w:val="es-PE" w:eastAsia="en-US"/>
        </w:rPr>
        <w:t>: Estudio observacional, descriptivo y transversal en pacientes tratados en un servicio de cirugía maxilofacial entre el 1 de enero de 2018 y el 31 de diciembre de 2020. Se analizaron variables clínicas, epidemiológicas y terapéuticas. La información se obtuvo mediante la entrevista y el examen clínico. Como medidas de resumen se utilizaron frecuencias absolutas y porcentajes.</w:t>
      </w:r>
    </w:p>
    <w:p w14:paraId="6D0816F1" w14:textId="77777777" w:rsidR="00D1297D" w:rsidRPr="00D1297D" w:rsidRDefault="00D1297D" w:rsidP="00D1297D">
      <w:pPr>
        <w:spacing w:line="360" w:lineRule="auto"/>
        <w:jc w:val="both"/>
        <w:rPr>
          <w:rFonts w:eastAsia="Calibri"/>
          <w:lang w:val="es-PE" w:eastAsia="en-US"/>
        </w:rPr>
      </w:pPr>
      <w:r w:rsidRPr="00D1297D">
        <w:rPr>
          <w:rFonts w:eastAsia="Calibri"/>
          <w:b/>
          <w:lang w:val="es-PE" w:eastAsia="en-US"/>
        </w:rPr>
        <w:lastRenderedPageBreak/>
        <w:t>Resultados</w:t>
      </w:r>
      <w:r w:rsidRPr="00D1297D">
        <w:rPr>
          <w:rFonts w:eastAsia="Calibri"/>
          <w:lang w:val="es-PE" w:eastAsia="en-US"/>
        </w:rPr>
        <w:t xml:space="preserve">: Se estudiaron 29 pacientes, con predominio del sexo masculino (69,0 %). La edad media fue de 60,3 años (rango entre 41 y 80 años). </w:t>
      </w:r>
      <w:r w:rsidRPr="00D1297D">
        <w:rPr>
          <w:lang w:val="es-ES" w:eastAsia="es-MX"/>
        </w:rPr>
        <w:t xml:space="preserve">La lengua fue la región anatómica más afectada </w:t>
      </w:r>
      <w:r w:rsidRPr="00D1297D">
        <w:rPr>
          <w:rFonts w:eastAsia="Calibri"/>
          <w:lang w:val="es-PE" w:eastAsia="es-MX"/>
        </w:rPr>
        <w:t>(34,5 %) y</w:t>
      </w:r>
      <w:r w:rsidRPr="00D1297D">
        <w:rPr>
          <w:lang w:val="es-ES" w:eastAsia="es-MX"/>
        </w:rPr>
        <w:t xml:space="preserve"> la </w:t>
      </w:r>
      <w:r w:rsidRPr="00D1297D">
        <w:rPr>
          <w:lang w:val="es-ES" w:eastAsia="es-PE"/>
        </w:rPr>
        <w:t xml:space="preserve">úlcera hundida o infiltrante la variante clínica de mayor presentación </w:t>
      </w:r>
      <w:r w:rsidRPr="00D1297D">
        <w:rPr>
          <w:rFonts w:eastAsia="Calibri"/>
          <w:lang w:val="es-PE" w:eastAsia="es-MX"/>
        </w:rPr>
        <w:t>(</w:t>
      </w:r>
      <w:r w:rsidRPr="00D1297D">
        <w:rPr>
          <w:lang w:val="es-ES" w:eastAsia="es-PE"/>
        </w:rPr>
        <w:t>27,6 </w:t>
      </w:r>
      <w:r w:rsidRPr="00D1297D">
        <w:rPr>
          <w:rFonts w:eastAsia="Calibri"/>
          <w:lang w:val="es-PE" w:eastAsia="es-MX"/>
        </w:rPr>
        <w:t>%). E</w:t>
      </w:r>
      <w:r w:rsidRPr="00D1297D">
        <w:rPr>
          <w:lang w:val="es-ES" w:eastAsia="es-PE"/>
        </w:rPr>
        <w:t xml:space="preserve">l 48,3 % de las neoplasias fueron diferenciadas histológicamente. </w:t>
      </w:r>
      <w:r w:rsidRPr="00D1297D">
        <w:rPr>
          <w:lang w:val="es-ES" w:eastAsia="es-MX"/>
        </w:rPr>
        <w:t xml:space="preserve">El 65,5 % de los diagnósticos se realizó en estadios avanzados de la enfermedad (etapas III y IV). </w:t>
      </w:r>
      <w:r w:rsidRPr="00D1297D">
        <w:rPr>
          <w:rFonts w:eastAsia="Calibri"/>
          <w:lang w:val="es-PE" w:eastAsia="en-US"/>
        </w:rPr>
        <w:t>Los tratamientos más utilizados fueron la cirugía (</w:t>
      </w:r>
      <w:r w:rsidRPr="00D1297D">
        <w:rPr>
          <w:rFonts w:eastAsia="Calibri"/>
          <w:lang w:val="es-PE" w:eastAsia="es-MX"/>
        </w:rPr>
        <w:t>31,0 </w:t>
      </w:r>
      <w:r w:rsidRPr="00D1297D">
        <w:rPr>
          <w:rFonts w:eastAsia="Calibri"/>
          <w:lang w:val="es-PE" w:eastAsia="en-US"/>
        </w:rPr>
        <w:t xml:space="preserve">%) y la combinación de </w:t>
      </w:r>
      <w:r w:rsidRPr="00D1297D">
        <w:rPr>
          <w:rFonts w:eastAsia="Calibri"/>
          <w:lang w:val="es-PE" w:eastAsia="es-MX"/>
        </w:rPr>
        <w:t>quimioterapia más radioterapia</w:t>
      </w:r>
      <w:r w:rsidRPr="00D1297D">
        <w:rPr>
          <w:rFonts w:eastAsia="Calibri"/>
          <w:lang w:val="es-PE" w:eastAsia="en-US"/>
        </w:rPr>
        <w:t xml:space="preserve"> (27,6 %). </w:t>
      </w:r>
    </w:p>
    <w:p w14:paraId="6A651EAC" w14:textId="77777777" w:rsidR="00D1297D" w:rsidRPr="00D1297D" w:rsidRDefault="00D1297D" w:rsidP="00D1297D">
      <w:pPr>
        <w:spacing w:line="360" w:lineRule="auto"/>
        <w:jc w:val="both"/>
        <w:rPr>
          <w:lang w:val="es-ES" w:eastAsia="es-PE"/>
        </w:rPr>
      </w:pPr>
      <w:r w:rsidRPr="00D1297D">
        <w:rPr>
          <w:rFonts w:eastAsia="Calibri"/>
          <w:b/>
          <w:lang w:val="es-PE" w:eastAsia="en-US"/>
        </w:rPr>
        <w:t>Conclusión</w:t>
      </w:r>
      <w:r w:rsidRPr="00D1297D">
        <w:rPr>
          <w:rFonts w:eastAsia="Calibri"/>
          <w:lang w:val="es-PE" w:eastAsia="en-US"/>
        </w:rPr>
        <w:t xml:space="preserve">: Predominan los pacientes masculinos, las lesiones linguales, de aspecto ulcerado y diferenciadas </w:t>
      </w:r>
      <w:r w:rsidRPr="00D1297D">
        <w:rPr>
          <w:lang w:val="es-ES" w:eastAsia="es-PE"/>
        </w:rPr>
        <w:t xml:space="preserve">histológicamente. La modalidad terapéutica más utilizada fue la cirugía. </w:t>
      </w:r>
    </w:p>
    <w:p w14:paraId="4456A7E4" w14:textId="77777777" w:rsidR="00D1297D" w:rsidRPr="00D1297D" w:rsidRDefault="00D1297D" w:rsidP="00D1297D">
      <w:pPr>
        <w:spacing w:line="360" w:lineRule="auto"/>
        <w:jc w:val="both"/>
        <w:rPr>
          <w:rFonts w:eastAsia="Calibri"/>
          <w:lang w:val="es-PE" w:eastAsia="en-US"/>
        </w:rPr>
      </w:pPr>
      <w:r w:rsidRPr="00D1297D">
        <w:rPr>
          <w:rFonts w:eastAsia="Calibri"/>
          <w:b/>
          <w:lang w:val="es-PE" w:eastAsia="en-US"/>
        </w:rPr>
        <w:t>Palabras clave</w:t>
      </w:r>
      <w:r w:rsidRPr="00D1297D">
        <w:rPr>
          <w:rFonts w:eastAsia="Calibri"/>
          <w:lang w:val="es-PE" w:eastAsia="en-US"/>
        </w:rPr>
        <w:t>: neoplasias de la boca; carcinoma de células escamosas; epidemiología.</w:t>
      </w:r>
    </w:p>
    <w:p w14:paraId="4B73B5E3" w14:textId="77777777" w:rsidR="00D1297D" w:rsidRPr="00D1297D" w:rsidRDefault="00D1297D" w:rsidP="00D1297D">
      <w:pPr>
        <w:spacing w:line="360" w:lineRule="auto"/>
        <w:jc w:val="center"/>
        <w:rPr>
          <w:rFonts w:eastAsia="Calibri"/>
          <w:b/>
          <w:lang w:val="es-US" w:eastAsia="en-US"/>
        </w:rPr>
      </w:pPr>
    </w:p>
    <w:p w14:paraId="31159A0F" w14:textId="77777777" w:rsidR="00D1297D" w:rsidRPr="00D1297D" w:rsidRDefault="00D1297D" w:rsidP="00D1297D">
      <w:pPr>
        <w:spacing w:line="360" w:lineRule="auto"/>
        <w:rPr>
          <w:rFonts w:eastAsia="Calibri"/>
          <w:b/>
          <w:lang w:val="en-US" w:eastAsia="en-US"/>
        </w:rPr>
      </w:pPr>
      <w:r w:rsidRPr="00D1297D">
        <w:rPr>
          <w:rFonts w:eastAsia="Calibri"/>
          <w:b/>
          <w:lang w:val="en-US" w:eastAsia="en-US"/>
        </w:rPr>
        <w:t>ABSTRACT</w:t>
      </w:r>
    </w:p>
    <w:p w14:paraId="24C40E10" w14:textId="77777777" w:rsidR="00D1297D" w:rsidRPr="00D1297D" w:rsidRDefault="00D1297D" w:rsidP="00D1297D">
      <w:pPr>
        <w:spacing w:line="360" w:lineRule="auto"/>
        <w:jc w:val="both"/>
        <w:rPr>
          <w:rFonts w:eastAsia="Calibri"/>
          <w:b/>
          <w:lang w:val="en-US" w:eastAsia="en-US"/>
        </w:rPr>
      </w:pPr>
      <w:r w:rsidRPr="00D1297D">
        <w:rPr>
          <w:rFonts w:eastAsia="Calibri"/>
          <w:b/>
          <w:lang w:val="en-US" w:eastAsia="en-US"/>
        </w:rPr>
        <w:t xml:space="preserve">Introduction: </w:t>
      </w:r>
      <w:r w:rsidRPr="00D1297D">
        <w:rPr>
          <w:rFonts w:eastAsia="Calibri"/>
          <w:lang w:val="en-US" w:eastAsia="en-US"/>
        </w:rPr>
        <w:t>Head</w:t>
      </w:r>
      <w:r w:rsidRPr="00D1297D">
        <w:rPr>
          <w:rFonts w:eastAsia="Calibri"/>
          <w:b/>
          <w:lang w:val="en-US" w:eastAsia="en-US"/>
        </w:rPr>
        <w:t xml:space="preserve"> </w:t>
      </w:r>
      <w:r w:rsidRPr="00D1297D">
        <w:rPr>
          <w:rFonts w:eastAsia="Calibri"/>
          <w:lang w:val="en-US" w:eastAsia="en-US"/>
        </w:rPr>
        <w:t>and neck region</w:t>
      </w:r>
      <w:r w:rsidRPr="00D1297D">
        <w:rPr>
          <w:rFonts w:eastAsia="Calibri"/>
          <w:b/>
          <w:lang w:val="en-US" w:eastAsia="en-US"/>
        </w:rPr>
        <w:t xml:space="preserve"> </w:t>
      </w:r>
      <w:r w:rsidRPr="00D1297D">
        <w:rPr>
          <w:rFonts w:eastAsia="Calibri"/>
          <w:lang w:val="en-US" w:eastAsia="en-US"/>
        </w:rPr>
        <w:t>is one of the more complex areas of the body and the squamous cell carcinoma is the most frequent malignant neoplasm in this location.</w:t>
      </w:r>
    </w:p>
    <w:p w14:paraId="105C42C6" w14:textId="77777777" w:rsidR="00D1297D" w:rsidRPr="00D1297D" w:rsidRDefault="00D1297D" w:rsidP="00D1297D">
      <w:pPr>
        <w:spacing w:line="360" w:lineRule="auto"/>
        <w:jc w:val="both"/>
        <w:rPr>
          <w:rFonts w:eastAsia="Calibri"/>
          <w:lang w:val="en-US" w:eastAsia="en-US"/>
        </w:rPr>
      </w:pPr>
      <w:r w:rsidRPr="00D1297D">
        <w:rPr>
          <w:rFonts w:eastAsia="Calibri"/>
          <w:b/>
          <w:lang w:val="en-US" w:eastAsia="en-US"/>
        </w:rPr>
        <w:t>Objective</w:t>
      </w:r>
      <w:r w:rsidRPr="00D1297D">
        <w:rPr>
          <w:rFonts w:eastAsia="Calibri"/>
          <w:lang w:val="en-US" w:eastAsia="en-US"/>
        </w:rPr>
        <w:t>: To characterize, from a clinic, epidemiologic and therapeutic point of view, patients with squamous cell carcinoma of the oral cavity.</w:t>
      </w:r>
    </w:p>
    <w:p w14:paraId="3E7A59EE" w14:textId="77777777" w:rsidR="00D1297D" w:rsidRPr="00D1297D" w:rsidRDefault="00D1297D" w:rsidP="00D1297D">
      <w:pPr>
        <w:spacing w:line="360" w:lineRule="auto"/>
        <w:jc w:val="both"/>
        <w:rPr>
          <w:rFonts w:eastAsia="Calibri"/>
          <w:lang w:val="en-US" w:eastAsia="es-ES"/>
        </w:rPr>
      </w:pPr>
      <w:r w:rsidRPr="00D1297D">
        <w:rPr>
          <w:rFonts w:eastAsia="Calibri"/>
          <w:b/>
          <w:lang w:val="en-US" w:eastAsia="es-ES"/>
        </w:rPr>
        <w:t>Methods</w:t>
      </w:r>
      <w:r w:rsidRPr="00D1297D">
        <w:rPr>
          <w:rFonts w:eastAsia="Calibri"/>
          <w:lang w:val="en-US" w:eastAsia="es-ES"/>
        </w:rPr>
        <w:t xml:space="preserve">: Observational, descriptive and cross-sectional study with </w:t>
      </w:r>
      <w:r w:rsidRPr="00D1297D">
        <w:rPr>
          <w:rFonts w:eastAsia="Calibri"/>
          <w:lang w:val="en-US" w:eastAsia="en-US"/>
        </w:rPr>
        <w:t xml:space="preserve">patients treated in maxillofacial surgery service between January 1, 2018 and December 31, 2020. Clinic, epidemiologic and therapeutic variables were analyzed. </w:t>
      </w:r>
      <w:r w:rsidRPr="00D1297D">
        <w:rPr>
          <w:lang w:val="en" w:eastAsia="es-MX"/>
        </w:rPr>
        <w:t xml:space="preserve">The information was obtained through interview and clinical examination. </w:t>
      </w:r>
      <w:r w:rsidRPr="00D1297D">
        <w:rPr>
          <w:rFonts w:eastAsia="Calibri"/>
          <w:lang w:val="en-US" w:eastAsia="en-US"/>
        </w:rPr>
        <w:t>Absolute frequencies and percentages were used as summary measures.</w:t>
      </w:r>
    </w:p>
    <w:p w14:paraId="76D8DB8B" w14:textId="77777777" w:rsidR="00D1297D" w:rsidRPr="00D1297D" w:rsidRDefault="00D1297D" w:rsidP="00D1297D">
      <w:pPr>
        <w:spacing w:line="360" w:lineRule="auto"/>
        <w:jc w:val="both"/>
        <w:rPr>
          <w:lang w:val="en-US" w:eastAsia="es-MX"/>
        </w:rPr>
      </w:pPr>
      <w:r w:rsidRPr="00D1297D">
        <w:rPr>
          <w:rFonts w:eastAsia="Calibri"/>
          <w:b/>
          <w:lang w:val="en-US" w:eastAsia="en-US"/>
        </w:rPr>
        <w:t>Results</w:t>
      </w:r>
      <w:r w:rsidRPr="00D1297D">
        <w:rPr>
          <w:rFonts w:eastAsia="Calibri"/>
          <w:lang w:val="en-US" w:eastAsia="en-US"/>
        </w:rPr>
        <w:t xml:space="preserve">: Twenty-nine (29) patients, with a predominance of males (69.0 %), were studied. Mean age was 12 years (range between 41 and 80 years). </w:t>
      </w:r>
      <w:r w:rsidRPr="00D1297D">
        <w:rPr>
          <w:lang w:val="en" w:eastAsia="es-MX"/>
        </w:rPr>
        <w:t>The tongue was the most affected anatomical region (34.5 %) and the sunken or infiltrating ulcer was the most common clinical variant (27.6 %); 48.3 % of the neoplasms were differentiated histologically.</w:t>
      </w:r>
      <w:r w:rsidRPr="00D1297D">
        <w:rPr>
          <w:lang w:val="en-US" w:eastAsia="es-PE"/>
        </w:rPr>
        <w:t xml:space="preserve"> </w:t>
      </w:r>
      <w:r w:rsidRPr="00D1297D">
        <w:rPr>
          <w:lang w:val="en" w:eastAsia="es-MX"/>
        </w:rPr>
        <w:t>65.5 % of the diagnoses were made in advanced stages of the disease (stages III and IV). The most used treatments were surgery (31.0 %) and the combination of chemotherapy plus radiotherapy (27.6 %).</w:t>
      </w:r>
      <w:r w:rsidRPr="00D1297D">
        <w:rPr>
          <w:lang w:val="en-US" w:eastAsia="es-MX"/>
        </w:rPr>
        <w:t xml:space="preserve"> </w:t>
      </w:r>
    </w:p>
    <w:p w14:paraId="786B6CC3" w14:textId="77777777" w:rsidR="00D1297D" w:rsidRPr="00D1297D" w:rsidRDefault="00D1297D" w:rsidP="00D1297D">
      <w:pPr>
        <w:spacing w:line="360" w:lineRule="auto"/>
        <w:jc w:val="both"/>
        <w:rPr>
          <w:lang w:val="en-US" w:eastAsia="es-PE"/>
        </w:rPr>
      </w:pPr>
      <w:r w:rsidRPr="00D1297D">
        <w:rPr>
          <w:rFonts w:eastAsia="Calibri"/>
          <w:b/>
          <w:lang w:val="en-US" w:eastAsia="en-US"/>
        </w:rPr>
        <w:t>Conclusion</w:t>
      </w:r>
      <w:r w:rsidRPr="00D1297D">
        <w:rPr>
          <w:rFonts w:eastAsia="Calibri"/>
          <w:lang w:val="en-US" w:eastAsia="en-US"/>
        </w:rPr>
        <w:t xml:space="preserve">: </w:t>
      </w:r>
      <w:r w:rsidRPr="00D1297D">
        <w:rPr>
          <w:lang w:val="en" w:eastAsia="es-MX"/>
        </w:rPr>
        <w:t>Male patients, lingual lesions, ulcerated appearance and histologically differentiated predominated. The most used therapeutic modality was surgery.</w:t>
      </w:r>
    </w:p>
    <w:p w14:paraId="4C386C0D" w14:textId="77777777" w:rsidR="00D1297D" w:rsidRPr="00D1297D" w:rsidRDefault="00D1297D" w:rsidP="00D1297D">
      <w:pPr>
        <w:spacing w:line="360" w:lineRule="auto"/>
        <w:jc w:val="both"/>
        <w:rPr>
          <w:rFonts w:eastAsia="Calibri"/>
          <w:lang w:val="en-US" w:eastAsia="en-US"/>
        </w:rPr>
      </w:pPr>
      <w:r w:rsidRPr="00D1297D">
        <w:rPr>
          <w:rFonts w:eastAsia="Calibri"/>
          <w:b/>
          <w:lang w:val="en-US" w:eastAsia="en-US"/>
        </w:rPr>
        <w:t>Keywords</w:t>
      </w:r>
      <w:r w:rsidRPr="00D1297D">
        <w:rPr>
          <w:rFonts w:eastAsia="Calibri"/>
          <w:lang w:val="en-US" w:eastAsia="en-US"/>
        </w:rPr>
        <w:t>:</w:t>
      </w:r>
      <w:r w:rsidRPr="00D1297D">
        <w:rPr>
          <w:rFonts w:eastAsia="Calibri"/>
          <w:b/>
          <w:lang w:val="en-US" w:eastAsia="en-US"/>
        </w:rPr>
        <w:t xml:space="preserve"> </w:t>
      </w:r>
      <w:r w:rsidRPr="00D1297D">
        <w:rPr>
          <w:rFonts w:eastAsia="Calibri"/>
          <w:lang w:val="en-US" w:eastAsia="en-US"/>
        </w:rPr>
        <w:t>mouth neoplasms; squamous cell carcinoma; epidemiology.</w:t>
      </w:r>
    </w:p>
    <w:p w14:paraId="2B960843" w14:textId="77777777" w:rsidR="00D1297D" w:rsidRPr="00D1297D" w:rsidRDefault="00D1297D" w:rsidP="00D1297D">
      <w:pPr>
        <w:spacing w:line="360" w:lineRule="auto"/>
        <w:jc w:val="both"/>
        <w:rPr>
          <w:rFonts w:eastAsia="Calibri"/>
          <w:lang w:val="en-US" w:eastAsia="en-US"/>
        </w:rPr>
      </w:pPr>
    </w:p>
    <w:p w14:paraId="35C7CE81" w14:textId="77777777" w:rsidR="00D1297D" w:rsidRPr="00D1297D" w:rsidRDefault="00D1297D" w:rsidP="00D1297D">
      <w:pPr>
        <w:spacing w:line="360" w:lineRule="auto"/>
        <w:jc w:val="both"/>
        <w:rPr>
          <w:rFonts w:eastAsia="Calibri"/>
          <w:lang w:val="en-US" w:eastAsia="en-US"/>
        </w:rPr>
      </w:pPr>
    </w:p>
    <w:p w14:paraId="4D49EE60" w14:textId="77777777" w:rsidR="00D1297D" w:rsidRPr="00D1297D" w:rsidRDefault="00D1297D" w:rsidP="00D1297D">
      <w:pPr>
        <w:spacing w:line="360" w:lineRule="auto"/>
        <w:jc w:val="both"/>
        <w:rPr>
          <w:rFonts w:eastAsia="Calibri"/>
          <w:lang w:val="es-ES" w:eastAsia="en-US"/>
        </w:rPr>
      </w:pPr>
      <w:r w:rsidRPr="00D1297D">
        <w:rPr>
          <w:rFonts w:eastAsia="Calibri"/>
          <w:lang w:val="es-ES" w:eastAsia="en-US"/>
        </w:rPr>
        <w:t>Recibido: 17/02/2022</w:t>
      </w:r>
    </w:p>
    <w:p w14:paraId="284AA59A" w14:textId="77777777" w:rsidR="00D1297D" w:rsidRPr="00D1297D" w:rsidRDefault="00D1297D" w:rsidP="00D1297D">
      <w:pPr>
        <w:spacing w:line="360" w:lineRule="auto"/>
        <w:jc w:val="both"/>
        <w:rPr>
          <w:rFonts w:eastAsia="Calibri"/>
          <w:lang w:val="es-ES" w:eastAsia="en-US"/>
        </w:rPr>
      </w:pPr>
      <w:r w:rsidRPr="00D1297D">
        <w:rPr>
          <w:rFonts w:eastAsia="Calibri"/>
          <w:lang w:val="es-ES" w:eastAsia="en-US"/>
        </w:rPr>
        <w:t>Aprobado: 02/06/2022</w:t>
      </w:r>
    </w:p>
    <w:p w14:paraId="52BFDEC9" w14:textId="77777777" w:rsidR="00D1297D" w:rsidRPr="00D1297D" w:rsidRDefault="00D1297D" w:rsidP="00D1297D">
      <w:pPr>
        <w:spacing w:line="360" w:lineRule="auto"/>
        <w:jc w:val="both"/>
        <w:rPr>
          <w:rFonts w:eastAsia="Calibri"/>
          <w:lang w:val="es-ES" w:eastAsia="en-US"/>
        </w:rPr>
      </w:pPr>
    </w:p>
    <w:p w14:paraId="25D296B1" w14:textId="77777777" w:rsidR="00D1297D" w:rsidRPr="00D1297D" w:rsidRDefault="00D1297D" w:rsidP="00D1297D">
      <w:pPr>
        <w:spacing w:line="360" w:lineRule="auto"/>
        <w:jc w:val="center"/>
        <w:rPr>
          <w:rFonts w:eastAsia="Calibri"/>
          <w:b/>
          <w:bCs/>
          <w:sz w:val="32"/>
          <w:szCs w:val="32"/>
          <w:lang w:val="es-PE" w:eastAsia="en-US"/>
        </w:rPr>
      </w:pPr>
    </w:p>
    <w:p w14:paraId="1AEBDDB1" w14:textId="77777777" w:rsidR="00D1297D" w:rsidRPr="00D1297D" w:rsidRDefault="00D1297D" w:rsidP="00D1297D">
      <w:pPr>
        <w:spacing w:line="360" w:lineRule="auto"/>
        <w:jc w:val="center"/>
        <w:rPr>
          <w:rFonts w:eastAsia="Calibri"/>
          <w:b/>
          <w:bCs/>
          <w:sz w:val="32"/>
          <w:szCs w:val="32"/>
          <w:lang w:val="es-PE" w:eastAsia="en-US"/>
        </w:rPr>
      </w:pPr>
      <w:r w:rsidRPr="00D1297D">
        <w:rPr>
          <w:rFonts w:eastAsia="Calibri"/>
          <w:b/>
          <w:bCs/>
          <w:sz w:val="32"/>
          <w:szCs w:val="32"/>
          <w:lang w:val="es-PE" w:eastAsia="en-US"/>
        </w:rPr>
        <w:t>INTRODUCCIÓN</w:t>
      </w:r>
    </w:p>
    <w:p w14:paraId="65A49D86" w14:textId="77777777" w:rsidR="00D1297D" w:rsidRPr="00D1297D" w:rsidRDefault="00D1297D" w:rsidP="00D1297D">
      <w:pPr>
        <w:spacing w:line="360" w:lineRule="auto"/>
        <w:contextualSpacing/>
        <w:jc w:val="both"/>
        <w:rPr>
          <w:lang w:val="es-MX"/>
        </w:rPr>
      </w:pPr>
      <w:r w:rsidRPr="00D1297D">
        <w:t>El cáncer de cabeza y cuello (CCC) comprende un grupo de neoplasias que comparten un origen anatómico similar cuya mayoría se originan de la mucosa que recubre el epitelio del tracto respiratorio y digestivo.</w:t>
      </w:r>
      <w:r w:rsidRPr="00D1297D">
        <w:rPr>
          <w:vertAlign w:val="superscript"/>
        </w:rPr>
        <w:t xml:space="preserve">(1,2) </w:t>
      </w:r>
      <w:r w:rsidRPr="00D1297D">
        <w:rPr>
          <w:lang w:val="es-MX"/>
        </w:rPr>
        <w:t>El complejo bucal se encuentra entre las 10 primeras regiones anatómicas afectadas por el CCC y se divide en sitios anatómicos con desigual morbilidad y diferencias en la génesis del cáncer. Es por ello que el término cáncer bucal (CB) puede incluir al cáncer en los labios, la cavidad bucal, la bucofaringe y las glándulas salivales.</w:t>
      </w:r>
      <w:r w:rsidRPr="00D1297D">
        <w:rPr>
          <w:vertAlign w:val="superscript"/>
          <w:lang w:val="es-MX"/>
        </w:rPr>
        <w:t xml:space="preserve">(3) </w:t>
      </w:r>
      <w:r w:rsidRPr="00D1297D">
        <w:rPr>
          <w:lang w:val="es-MX"/>
        </w:rPr>
        <w:t>El carcinoma epidermoide (CE) es la neoplasia maligna más frecuente de la cabeza y el cuello; comprende aproximadamente el 90 % de todos los tumores malignos y la cavidad bucal es la localización donde aparece con más frecuencia.</w:t>
      </w:r>
      <w:r w:rsidRPr="00D1297D">
        <w:rPr>
          <w:vertAlign w:val="superscript"/>
          <w:lang w:val="es-MX"/>
        </w:rPr>
        <w:t>(4)</w:t>
      </w:r>
      <w:r w:rsidRPr="00D1297D">
        <w:rPr>
          <w:lang w:val="es-MX"/>
        </w:rPr>
        <w:t xml:space="preserve"> </w:t>
      </w:r>
    </w:p>
    <w:p w14:paraId="773C0FCB" w14:textId="77777777" w:rsidR="00D1297D" w:rsidRPr="00D1297D" w:rsidRDefault="00D1297D" w:rsidP="00D1297D">
      <w:pPr>
        <w:spacing w:line="360" w:lineRule="auto"/>
        <w:jc w:val="both"/>
        <w:rPr>
          <w:vertAlign w:val="superscript"/>
          <w:lang w:val="es-MX" w:eastAsia="es-MX"/>
        </w:rPr>
      </w:pPr>
      <w:r w:rsidRPr="00D1297D">
        <w:rPr>
          <w:lang w:val="es-MX" w:eastAsia="es-MX"/>
        </w:rPr>
        <w:t>El CB es una enfermedad ampliamente distribuida en el mundo, con diversas prevalencias según las regiones y sus respectivos grados de desarrollo. La incidencia anual varía de 2 a 4 casos por 100 000 habitantes en los países industrializados, a 25 casos por 100 000 habitantes en ciertas poblaciones asiáticas.</w:t>
      </w:r>
      <w:r w:rsidRPr="00D1297D">
        <w:rPr>
          <w:vertAlign w:val="superscript"/>
          <w:lang w:val="es-MX" w:eastAsia="es-MX"/>
        </w:rPr>
        <w:t>(5)</w:t>
      </w:r>
    </w:p>
    <w:p w14:paraId="5636D116" w14:textId="77777777" w:rsidR="00D1297D" w:rsidRPr="00D1297D" w:rsidRDefault="00D1297D" w:rsidP="00D1297D">
      <w:pPr>
        <w:spacing w:line="360" w:lineRule="auto"/>
        <w:jc w:val="both"/>
        <w:rPr>
          <w:vertAlign w:val="superscript"/>
          <w:lang w:val="es-MX" w:eastAsia="es-MX"/>
        </w:rPr>
      </w:pPr>
      <w:r w:rsidRPr="00D1297D">
        <w:rPr>
          <w:lang w:val="es-MX" w:eastAsia="es-MX"/>
        </w:rPr>
        <w:t>En Yemen,</w:t>
      </w:r>
      <w:r w:rsidRPr="00D1297D">
        <w:rPr>
          <w:vertAlign w:val="superscript"/>
          <w:lang w:val="es-MX" w:eastAsia="es-MX"/>
        </w:rPr>
        <w:t>(6)</w:t>
      </w:r>
      <w:r w:rsidRPr="00D1297D">
        <w:rPr>
          <w:lang w:val="es-MX" w:eastAsia="es-MX"/>
        </w:rPr>
        <w:t xml:space="preserve"> del total de casos de CCC, el 31,7 % fueron CE bucales. En Hong Kong,</w:t>
      </w:r>
      <w:r w:rsidRPr="00D1297D">
        <w:rPr>
          <w:vertAlign w:val="superscript"/>
          <w:lang w:val="es-MX" w:eastAsia="es-MX"/>
        </w:rPr>
        <w:t>(7)</w:t>
      </w:r>
      <w:r w:rsidRPr="00D1297D">
        <w:rPr>
          <w:lang w:val="es-MX" w:eastAsia="es-MX"/>
        </w:rPr>
        <w:t xml:space="preserve"> la incidencia anual es de 6,4 y 1,3 por 100 000 habitantes en hombres y mujeres respectivamente.</w:t>
      </w:r>
      <w:r w:rsidRPr="00D1297D">
        <w:rPr>
          <w:vertAlign w:val="superscript"/>
          <w:lang w:val="es-MX" w:eastAsia="es-MX"/>
        </w:rPr>
        <w:t xml:space="preserve"> </w:t>
      </w:r>
      <w:r w:rsidRPr="00D1297D">
        <w:rPr>
          <w:lang w:val="es-MX" w:eastAsia="es-MX"/>
        </w:rPr>
        <w:t>En España se estima una tasa anual de 8,6 por 100 000 habitantes</w:t>
      </w:r>
      <w:r w:rsidRPr="00D1297D">
        <w:rPr>
          <w:vertAlign w:val="superscript"/>
          <w:lang w:val="es-MX" w:eastAsia="es-MX"/>
        </w:rPr>
        <w:t xml:space="preserve"> (8)</w:t>
      </w:r>
      <w:r w:rsidRPr="00D1297D">
        <w:rPr>
          <w:lang w:val="es-MX" w:eastAsia="es-MX"/>
        </w:rPr>
        <w:t xml:space="preserve"> y en Francia una incidencia anual de 2 300 casos.</w:t>
      </w:r>
      <w:r w:rsidRPr="00D1297D">
        <w:rPr>
          <w:vertAlign w:val="superscript"/>
          <w:lang w:val="es-MX" w:eastAsia="es-MX"/>
        </w:rPr>
        <w:t>(9)</w:t>
      </w:r>
      <w:r w:rsidRPr="00D1297D">
        <w:rPr>
          <w:lang w:val="es-MX" w:eastAsia="es-MX"/>
        </w:rPr>
        <w:t xml:space="preserve"> En el 2015, en los EE.UU. se reportan aproximadamente 45 780 nuevos casos de cáncer de cavidad oral y orofaringe, de los cuales 8 650 murieron a causa de la enfermedad.</w:t>
      </w:r>
      <w:r w:rsidRPr="00D1297D">
        <w:rPr>
          <w:vertAlign w:val="superscript"/>
          <w:lang w:val="es-MX" w:eastAsia="es-MX"/>
        </w:rPr>
        <w:t xml:space="preserve">(10) </w:t>
      </w:r>
    </w:p>
    <w:p w14:paraId="10001A07" w14:textId="77777777" w:rsidR="00D1297D" w:rsidRPr="00D1297D" w:rsidRDefault="00D1297D" w:rsidP="00D1297D">
      <w:pPr>
        <w:spacing w:line="360" w:lineRule="auto"/>
        <w:jc w:val="both"/>
        <w:rPr>
          <w:lang w:val="es-MX" w:eastAsia="es-MX"/>
        </w:rPr>
      </w:pPr>
      <w:r w:rsidRPr="00D1297D">
        <w:rPr>
          <w:lang w:val="es-MX" w:eastAsia="es-MX"/>
        </w:rPr>
        <w:t>La región latinoamericana se caracteriza por una alta incidencia de CCC; sin embargo, las tasas entre países varían ampliamente. Existe una disparidad de sexo y se reporta en hombres el 72 % de los casos de cáncer de esta localización.</w:t>
      </w:r>
      <w:r w:rsidRPr="00D1297D">
        <w:rPr>
          <w:vertAlign w:val="superscript"/>
          <w:lang w:val="es-MX" w:eastAsia="es-MX"/>
        </w:rPr>
        <w:t xml:space="preserve">(11) </w:t>
      </w:r>
      <w:r w:rsidRPr="00D1297D">
        <w:rPr>
          <w:lang w:val="es-MX" w:eastAsia="es-MX"/>
        </w:rPr>
        <w:t xml:space="preserve">En México, el 5 % de todas las neoplasias corresponden al CE de cabeza </w:t>
      </w:r>
      <w:r w:rsidRPr="00D1297D">
        <w:rPr>
          <w:lang w:val="es-MX" w:eastAsia="es-MX"/>
        </w:rPr>
        <w:lastRenderedPageBreak/>
        <w:t>y cuello.</w:t>
      </w:r>
      <w:r w:rsidRPr="00D1297D">
        <w:rPr>
          <w:vertAlign w:val="superscript"/>
          <w:lang w:val="es-MX" w:eastAsia="es-MX"/>
        </w:rPr>
        <w:t xml:space="preserve">(1) </w:t>
      </w:r>
      <w:r w:rsidRPr="00D1297D">
        <w:rPr>
          <w:lang w:val="es-MX" w:eastAsia="es-MX"/>
        </w:rPr>
        <w:t>En Uruguay el CCC ocupa el quinto lugar en incidencia y sexto en mortalidad en hombres.</w:t>
      </w:r>
      <w:r w:rsidRPr="00D1297D">
        <w:rPr>
          <w:vertAlign w:val="superscript"/>
          <w:lang w:val="es-MX" w:eastAsia="es-MX"/>
        </w:rPr>
        <w:t xml:space="preserve">(12) </w:t>
      </w:r>
      <w:r w:rsidRPr="00D1297D">
        <w:rPr>
          <w:lang w:val="es-MX" w:eastAsia="es-MX"/>
        </w:rPr>
        <w:t>En Chile, el cáncer de cavidad bucal y faringe se encuentra en el décimo séptimo lugar con una incidencia de 3,2 por 100 000 habitantes.</w:t>
      </w:r>
      <w:r w:rsidRPr="00D1297D">
        <w:rPr>
          <w:vertAlign w:val="superscript"/>
          <w:lang w:val="es-MX" w:eastAsia="es-MX"/>
        </w:rPr>
        <w:t xml:space="preserve">(2) </w:t>
      </w:r>
      <w:r w:rsidRPr="00D1297D">
        <w:rPr>
          <w:lang w:val="es-MX" w:eastAsia="es-MX"/>
        </w:rPr>
        <w:t>En Brasil, el número de muertes a causa de CE de cavidad bucal fue de 4891 en 2010, y en 2014, 11 280 nuevos casos fueron diagnosticados en hombres y 4 010 en mujeres.</w:t>
      </w:r>
      <w:r w:rsidRPr="00D1297D">
        <w:rPr>
          <w:vertAlign w:val="superscript"/>
          <w:lang w:val="es-MX" w:eastAsia="es-MX"/>
        </w:rPr>
        <w:t xml:space="preserve">(13) </w:t>
      </w:r>
      <w:r w:rsidRPr="00D1297D">
        <w:rPr>
          <w:lang w:val="es-MX" w:eastAsia="es-MX"/>
        </w:rPr>
        <w:t>Otro estudio brasileño evaluó el período 2000-2014 y reportó una prevalencia del 16,7 % del CB para todos los tipos de cáncer evaluados según localizaciones.</w:t>
      </w:r>
      <w:r w:rsidRPr="00D1297D">
        <w:rPr>
          <w:vertAlign w:val="superscript"/>
          <w:lang w:val="es-MX" w:eastAsia="es-MX"/>
        </w:rPr>
        <w:t>(14)</w:t>
      </w:r>
    </w:p>
    <w:p w14:paraId="6EF33AA2" w14:textId="77777777" w:rsidR="00D1297D" w:rsidRPr="00D1297D" w:rsidRDefault="00D1297D" w:rsidP="00D1297D">
      <w:pPr>
        <w:spacing w:line="360" w:lineRule="auto"/>
        <w:jc w:val="both"/>
        <w:rPr>
          <w:lang w:val="es-MX" w:eastAsia="es-MX"/>
        </w:rPr>
      </w:pPr>
      <w:r w:rsidRPr="00D1297D">
        <w:rPr>
          <w:lang w:val="es-MX" w:eastAsia="es-MX"/>
        </w:rPr>
        <w:t>En Cuba, durante el periodo 1987-1996, se registraron 3 374 defunciones por CB, para un promedio anual de 330. Del total de fallecidos, 2 475 fueron hombres y 899 mujeres.</w:t>
      </w:r>
      <w:r w:rsidRPr="00D1297D">
        <w:rPr>
          <w:vertAlign w:val="superscript"/>
          <w:lang w:val="es-MX" w:eastAsia="es-MX"/>
        </w:rPr>
        <w:t>(15)</w:t>
      </w:r>
      <w:r w:rsidRPr="00D1297D">
        <w:rPr>
          <w:lang w:val="es-MX" w:eastAsia="es-MX"/>
        </w:rPr>
        <w:t xml:space="preserve"> En el año 2020, la tasa cruda de cáncer de labio, cavidad bucal y faringe en ambos sexos fue de 8,0 por 100 000 habitantes, y ocuparon el noveno lugar dentro de las 15 primeras localizaciones. Ese mismo año 899 personas murieron a causa de esta enfermedad.</w:t>
      </w:r>
      <w:r w:rsidRPr="00D1297D">
        <w:rPr>
          <w:vertAlign w:val="superscript"/>
          <w:lang w:val="es-MX" w:eastAsia="es-MX"/>
        </w:rPr>
        <w:t>(16)</w:t>
      </w:r>
    </w:p>
    <w:p w14:paraId="041D4C9F" w14:textId="77777777" w:rsidR="00D1297D" w:rsidRPr="00D1297D" w:rsidRDefault="00D1297D" w:rsidP="00D1297D">
      <w:pPr>
        <w:spacing w:line="360" w:lineRule="auto"/>
        <w:jc w:val="both"/>
        <w:rPr>
          <w:lang w:val="es-PE" w:eastAsia="es-MX"/>
        </w:rPr>
      </w:pPr>
      <w:r w:rsidRPr="00D1297D">
        <w:rPr>
          <w:rFonts w:eastAsia="Calibri"/>
          <w:bCs/>
          <w:lang w:val="es-MX" w:eastAsia="en-US"/>
        </w:rPr>
        <w:t>A nivel de provincias, se han desarrollado estudios en La Habana,</w:t>
      </w:r>
      <w:r w:rsidRPr="00D1297D">
        <w:rPr>
          <w:vertAlign w:val="superscript"/>
          <w:lang w:val="es-MX" w:eastAsia="es-MX"/>
        </w:rPr>
        <w:t>(17)</w:t>
      </w:r>
      <w:r w:rsidRPr="00D1297D">
        <w:rPr>
          <w:rFonts w:eastAsia="Calibri"/>
          <w:bCs/>
          <w:lang w:val="es-MX" w:eastAsia="en-US"/>
        </w:rPr>
        <w:t xml:space="preserve"> Matanzas,</w:t>
      </w:r>
      <w:r w:rsidRPr="00D1297D">
        <w:rPr>
          <w:rFonts w:eastAsia="Calibri"/>
          <w:bCs/>
          <w:vertAlign w:val="superscript"/>
          <w:lang w:val="es-MX" w:eastAsia="en-US"/>
        </w:rPr>
        <w:t xml:space="preserve">(18) </w:t>
      </w:r>
      <w:r w:rsidRPr="00D1297D">
        <w:rPr>
          <w:rFonts w:eastAsia="Calibri"/>
          <w:bCs/>
          <w:lang w:val="es-MX" w:eastAsia="en-US"/>
        </w:rPr>
        <w:t>Ciego de Ávila,</w:t>
      </w:r>
      <w:r w:rsidRPr="00D1297D">
        <w:rPr>
          <w:vertAlign w:val="superscript"/>
          <w:lang w:val="es-MX" w:eastAsia="es-MX"/>
        </w:rPr>
        <w:t>(3,19)</w:t>
      </w:r>
      <w:r w:rsidRPr="00D1297D">
        <w:rPr>
          <w:rFonts w:eastAsia="Calibri"/>
          <w:bCs/>
          <w:lang w:val="es-MX" w:eastAsia="en-US"/>
        </w:rPr>
        <w:t xml:space="preserve"> Camagüey,</w:t>
      </w:r>
      <w:r w:rsidRPr="00D1297D">
        <w:rPr>
          <w:vertAlign w:val="superscript"/>
          <w:lang w:val="es-MX" w:eastAsia="es-MX"/>
        </w:rPr>
        <w:t>(20)</w:t>
      </w:r>
      <w:r w:rsidRPr="00D1297D">
        <w:rPr>
          <w:rFonts w:eastAsia="Calibri"/>
          <w:bCs/>
          <w:lang w:val="es-MX" w:eastAsia="en-US"/>
        </w:rPr>
        <w:t xml:space="preserve"> Las Tunas,</w:t>
      </w:r>
      <w:r w:rsidRPr="00D1297D">
        <w:rPr>
          <w:vertAlign w:val="superscript"/>
          <w:lang w:val="es-MX" w:eastAsia="es-MX"/>
        </w:rPr>
        <w:t>(4,21)</w:t>
      </w:r>
      <w:r w:rsidRPr="00D1297D">
        <w:rPr>
          <w:rFonts w:eastAsia="Calibri"/>
          <w:bCs/>
          <w:lang w:val="es-MX" w:eastAsia="en-US"/>
        </w:rPr>
        <w:t xml:space="preserve"> Holguín,</w:t>
      </w:r>
      <w:r w:rsidRPr="00D1297D">
        <w:rPr>
          <w:vertAlign w:val="superscript"/>
          <w:lang w:val="es-MX" w:eastAsia="es-MX"/>
        </w:rPr>
        <w:t>(22)</w:t>
      </w:r>
      <w:r w:rsidRPr="00D1297D">
        <w:rPr>
          <w:rFonts w:eastAsia="Calibri"/>
          <w:bCs/>
          <w:lang w:val="es-MX" w:eastAsia="en-US"/>
        </w:rPr>
        <w:t xml:space="preserve"> Santiago de Cuba</w:t>
      </w:r>
      <w:r w:rsidRPr="00D1297D">
        <w:rPr>
          <w:vertAlign w:val="superscript"/>
          <w:lang w:val="es-MX" w:eastAsia="es-MX"/>
        </w:rPr>
        <w:t>(23)</w:t>
      </w:r>
      <w:r w:rsidRPr="00D1297D">
        <w:rPr>
          <w:rFonts w:eastAsia="Calibri"/>
          <w:bCs/>
          <w:lang w:val="es-MX" w:eastAsia="en-US"/>
        </w:rPr>
        <w:t xml:space="preserve"> y Granma.</w:t>
      </w:r>
      <w:r w:rsidRPr="00D1297D">
        <w:rPr>
          <w:vertAlign w:val="superscript"/>
          <w:lang w:val="es-MX" w:eastAsia="es-MX"/>
        </w:rPr>
        <w:t>(23,24,25,26)</w:t>
      </w:r>
      <w:r w:rsidRPr="00D1297D">
        <w:rPr>
          <w:rFonts w:eastAsia="Calibri"/>
          <w:bCs/>
          <w:lang w:val="es-MX" w:eastAsia="en-US"/>
        </w:rPr>
        <w:t xml:space="preserve"> Si bien se tienen estos antecedentes, se justifica continuar investigando a fin de obtener datos epidemiológicos actualizados útiles</w:t>
      </w:r>
      <w:r w:rsidRPr="00D1297D">
        <w:rPr>
          <w:lang w:val="es-PE" w:eastAsia="es-MX"/>
        </w:rPr>
        <w:t xml:space="preserve"> en la limitación el daño, la promoción de estilos de vida saludables y el incentivo para modificar conductas y hábitos nocivos, además de orientar la labor asistencial y optimizar los recursos. </w:t>
      </w:r>
    </w:p>
    <w:p w14:paraId="7311154C" w14:textId="77777777" w:rsidR="00D1297D" w:rsidRPr="00D1297D" w:rsidRDefault="00D1297D" w:rsidP="00D1297D">
      <w:pPr>
        <w:spacing w:line="360" w:lineRule="auto"/>
        <w:jc w:val="both"/>
        <w:rPr>
          <w:rFonts w:eastAsia="Calibri"/>
          <w:b/>
          <w:lang w:val="es-PE" w:eastAsia="en-US"/>
        </w:rPr>
      </w:pPr>
      <w:r w:rsidRPr="00D1297D">
        <w:rPr>
          <w:lang w:val="es-PE" w:eastAsia="es-MX"/>
        </w:rPr>
        <w:t xml:space="preserve">El objetivo de esta investigación fue caracterizar, </w:t>
      </w:r>
      <w:bookmarkEnd w:id="0"/>
      <w:r w:rsidRPr="00D1297D">
        <w:rPr>
          <w:rFonts w:eastAsia="Calibri"/>
          <w:lang w:val="es-PE" w:eastAsia="es-ES"/>
        </w:rPr>
        <w:t xml:space="preserve">desde el punto de vista clínico, epidemiológico y terapéutico, los pacientes </w:t>
      </w:r>
      <w:r w:rsidRPr="00D1297D">
        <w:rPr>
          <w:rFonts w:eastAsia="Calibri"/>
          <w:lang w:val="es-PE" w:eastAsia="en-US"/>
        </w:rPr>
        <w:t>con carcinoma epidermoide de cavidad bucal</w:t>
      </w:r>
      <w:r w:rsidRPr="00D1297D">
        <w:rPr>
          <w:rFonts w:eastAsia="Calibri"/>
          <w:lang w:val="es-PE" w:eastAsia="ar-SA"/>
        </w:rPr>
        <w:t>.</w:t>
      </w:r>
    </w:p>
    <w:p w14:paraId="716B04E2" w14:textId="77777777" w:rsidR="00D1297D" w:rsidRPr="00D1297D" w:rsidRDefault="00D1297D" w:rsidP="00D1297D">
      <w:pPr>
        <w:spacing w:line="360" w:lineRule="auto"/>
        <w:jc w:val="center"/>
        <w:rPr>
          <w:rFonts w:eastAsia="Calibri"/>
          <w:b/>
          <w:lang w:val="es-PE" w:eastAsia="en-US"/>
        </w:rPr>
      </w:pPr>
    </w:p>
    <w:p w14:paraId="31A7511B" w14:textId="77777777" w:rsidR="00D1297D" w:rsidRPr="00D1297D" w:rsidRDefault="00D1297D" w:rsidP="00D1297D">
      <w:pPr>
        <w:spacing w:line="360" w:lineRule="auto"/>
        <w:jc w:val="center"/>
        <w:rPr>
          <w:rFonts w:eastAsia="Calibri"/>
          <w:b/>
          <w:sz w:val="32"/>
          <w:szCs w:val="32"/>
          <w:lang w:val="es-PE" w:eastAsia="en-US"/>
        </w:rPr>
      </w:pPr>
    </w:p>
    <w:p w14:paraId="7ADF4E26" w14:textId="77777777" w:rsidR="00D1297D" w:rsidRPr="00D1297D" w:rsidRDefault="00D1297D" w:rsidP="00D1297D">
      <w:pPr>
        <w:spacing w:line="360" w:lineRule="auto"/>
        <w:jc w:val="center"/>
        <w:rPr>
          <w:rFonts w:eastAsia="Calibri"/>
          <w:b/>
          <w:sz w:val="32"/>
          <w:szCs w:val="32"/>
          <w:lang w:val="es-PE" w:eastAsia="en-US"/>
        </w:rPr>
      </w:pPr>
      <w:r w:rsidRPr="00D1297D">
        <w:rPr>
          <w:rFonts w:eastAsia="Calibri"/>
          <w:b/>
          <w:sz w:val="32"/>
          <w:szCs w:val="32"/>
          <w:lang w:val="es-PE" w:eastAsia="en-US"/>
        </w:rPr>
        <w:t>MÉTODOS</w:t>
      </w:r>
    </w:p>
    <w:p w14:paraId="63C603BC" w14:textId="77777777" w:rsidR="00D1297D" w:rsidRPr="00D1297D" w:rsidRDefault="00D1297D" w:rsidP="00D1297D">
      <w:pPr>
        <w:spacing w:line="360" w:lineRule="auto"/>
        <w:jc w:val="center"/>
        <w:rPr>
          <w:rFonts w:eastAsia="Calibri"/>
          <w:b/>
          <w:sz w:val="28"/>
          <w:szCs w:val="28"/>
          <w:lang w:val="es-PE" w:eastAsia="en-US"/>
        </w:rPr>
      </w:pPr>
      <w:r w:rsidRPr="00D1297D">
        <w:rPr>
          <w:rFonts w:eastAsia="Calibri"/>
          <w:b/>
          <w:sz w:val="28"/>
          <w:szCs w:val="28"/>
          <w:lang w:val="es-PE" w:eastAsia="en-US"/>
        </w:rPr>
        <w:t>Diseño del estudio y contexto temporal y espacial</w:t>
      </w:r>
    </w:p>
    <w:p w14:paraId="3E8A2DEC" w14:textId="77777777" w:rsidR="00D1297D" w:rsidRPr="00D1297D" w:rsidRDefault="00D1297D" w:rsidP="00D1297D">
      <w:pPr>
        <w:spacing w:line="360" w:lineRule="auto"/>
        <w:jc w:val="both"/>
        <w:rPr>
          <w:rFonts w:eastAsia="Calibri"/>
          <w:lang w:val="es-PE" w:eastAsia="en-US"/>
        </w:rPr>
      </w:pPr>
      <w:r w:rsidRPr="00D1297D">
        <w:rPr>
          <w:rFonts w:eastAsia="Calibri"/>
          <w:lang w:val="es-PE" w:eastAsia="en-US"/>
        </w:rPr>
        <w:t xml:space="preserve">Se realizó un estudio observacional, descriptivo y transversal, en el servicio de cirugía maxilofacial del Hospital General Provincial “Carlos Manuel de Céspedes” en el período comprendido entre el 1 de enero de 2018 y el 31 de diciembre de 2020. </w:t>
      </w:r>
    </w:p>
    <w:p w14:paraId="56107C6B" w14:textId="77777777" w:rsidR="00D1297D" w:rsidRPr="00D1297D" w:rsidRDefault="00D1297D" w:rsidP="00D1297D">
      <w:pPr>
        <w:spacing w:line="360" w:lineRule="auto"/>
        <w:jc w:val="center"/>
        <w:rPr>
          <w:rFonts w:eastAsia="Calibri"/>
          <w:b/>
          <w:sz w:val="28"/>
          <w:szCs w:val="28"/>
          <w:lang w:val="es-PE" w:eastAsia="en-US"/>
        </w:rPr>
      </w:pPr>
      <w:r w:rsidRPr="00D1297D">
        <w:rPr>
          <w:rFonts w:eastAsia="Calibri"/>
          <w:b/>
          <w:sz w:val="28"/>
          <w:szCs w:val="28"/>
          <w:lang w:val="es-PE" w:eastAsia="en-US"/>
        </w:rPr>
        <w:t>Pacientes</w:t>
      </w:r>
    </w:p>
    <w:p w14:paraId="5181EBDD" w14:textId="77777777" w:rsidR="00D1297D" w:rsidRPr="00D1297D" w:rsidRDefault="00D1297D" w:rsidP="00D1297D">
      <w:pPr>
        <w:spacing w:line="360" w:lineRule="auto"/>
        <w:jc w:val="both"/>
        <w:rPr>
          <w:rFonts w:eastAsia="Calibri"/>
          <w:lang w:val="es-ES" w:eastAsia="en-US"/>
        </w:rPr>
      </w:pPr>
      <w:r w:rsidRPr="00D1297D">
        <w:rPr>
          <w:rFonts w:eastAsia="Calibri"/>
          <w:lang w:val="es-ES" w:eastAsia="en-US"/>
        </w:rPr>
        <w:lastRenderedPageBreak/>
        <w:t xml:space="preserve">El universo estuvo constituido por todos los pacientes con diagnóstico histológico de carcinoma epidermoide intraoral. </w:t>
      </w:r>
    </w:p>
    <w:p w14:paraId="004252B5" w14:textId="77777777" w:rsidR="00D1297D" w:rsidRPr="00D1297D" w:rsidRDefault="00D1297D" w:rsidP="00D1297D">
      <w:pPr>
        <w:spacing w:line="360" w:lineRule="auto"/>
        <w:jc w:val="both"/>
        <w:rPr>
          <w:rFonts w:eastAsia="Calibri"/>
          <w:lang w:val="es-ES" w:eastAsia="en-US"/>
        </w:rPr>
      </w:pPr>
      <w:r w:rsidRPr="00D1297D">
        <w:rPr>
          <w:rFonts w:eastAsia="Calibri"/>
          <w:lang w:val="es-ES" w:eastAsia="en-US"/>
        </w:rPr>
        <w:t xml:space="preserve">Los criterios de inclusión fueron: </w:t>
      </w:r>
    </w:p>
    <w:p w14:paraId="0B6B9FEE" w14:textId="77777777" w:rsidR="00D1297D" w:rsidRPr="00D1297D" w:rsidRDefault="00D1297D" w:rsidP="00D1297D">
      <w:pPr>
        <w:spacing w:line="360" w:lineRule="auto"/>
        <w:jc w:val="both"/>
        <w:rPr>
          <w:rFonts w:eastAsia="Calibri"/>
          <w:lang w:val="es-ES" w:eastAsia="en-US"/>
        </w:rPr>
      </w:pPr>
    </w:p>
    <w:p w14:paraId="3AE32D74" w14:textId="77777777" w:rsidR="00D1297D" w:rsidRPr="00D1297D" w:rsidRDefault="00D1297D" w:rsidP="00D1297D">
      <w:pPr>
        <w:spacing w:line="360" w:lineRule="auto"/>
        <w:ind w:left="708"/>
        <w:jc w:val="both"/>
        <w:rPr>
          <w:rFonts w:eastAsia="Calibri"/>
          <w:lang w:val="es-PE" w:eastAsia="en-US"/>
        </w:rPr>
      </w:pPr>
      <w:r w:rsidRPr="00D1297D">
        <w:rPr>
          <w:rFonts w:eastAsia="Calibri"/>
          <w:lang w:val="es-PE" w:eastAsia="en-US"/>
        </w:rPr>
        <w:t xml:space="preserve">a) neoplasia de localización primaria en la cavidad bucal (lengua, suelo de boca, rebordes alveolares, espacio retromolar, carrillos y paladar duro); </w:t>
      </w:r>
    </w:p>
    <w:p w14:paraId="385381A4" w14:textId="77777777" w:rsidR="00D1297D" w:rsidRPr="00D1297D" w:rsidRDefault="00D1297D" w:rsidP="00D1297D">
      <w:pPr>
        <w:spacing w:line="360" w:lineRule="auto"/>
        <w:ind w:left="708"/>
        <w:jc w:val="both"/>
        <w:rPr>
          <w:rFonts w:eastAsia="Calibri"/>
          <w:lang w:val="es-ES" w:eastAsia="en-US"/>
        </w:rPr>
      </w:pPr>
      <w:r w:rsidRPr="00D1297D">
        <w:rPr>
          <w:rFonts w:eastAsia="Calibri"/>
          <w:lang w:val="es-PE" w:eastAsia="en-US"/>
        </w:rPr>
        <w:t xml:space="preserve">b) haber recibido tratamiento </w:t>
      </w:r>
      <w:r w:rsidRPr="00D1297D">
        <w:rPr>
          <w:rFonts w:eastAsia="Calibri"/>
          <w:lang w:val="es-ES" w:eastAsia="en-US"/>
        </w:rPr>
        <w:t xml:space="preserve">en el hospital donde se realizó el estudio; </w:t>
      </w:r>
    </w:p>
    <w:p w14:paraId="76A13835" w14:textId="77777777" w:rsidR="00D1297D" w:rsidRPr="00D1297D" w:rsidRDefault="00D1297D" w:rsidP="00D1297D">
      <w:pPr>
        <w:spacing w:line="360" w:lineRule="auto"/>
        <w:ind w:left="708"/>
        <w:jc w:val="both"/>
        <w:rPr>
          <w:rFonts w:eastAsia="Calibri"/>
          <w:lang w:val="es-PE" w:eastAsia="en-US"/>
        </w:rPr>
      </w:pPr>
      <w:r w:rsidRPr="00D1297D">
        <w:rPr>
          <w:rFonts w:eastAsia="Calibri"/>
          <w:lang w:val="es-ES" w:eastAsia="en-US"/>
        </w:rPr>
        <w:t xml:space="preserve">c) </w:t>
      </w:r>
      <w:r w:rsidRPr="00D1297D">
        <w:rPr>
          <w:rFonts w:eastAsia="Calibri"/>
          <w:lang w:val="es-PE" w:eastAsia="en-US"/>
        </w:rPr>
        <w:t xml:space="preserve">capacidad psíquica para responder las preguntas de la entrevista; </w:t>
      </w:r>
    </w:p>
    <w:p w14:paraId="21F63BF9" w14:textId="77777777" w:rsidR="00D1297D" w:rsidRPr="00D1297D" w:rsidRDefault="00D1297D" w:rsidP="00D1297D">
      <w:pPr>
        <w:spacing w:line="360" w:lineRule="auto"/>
        <w:ind w:left="708"/>
        <w:jc w:val="both"/>
        <w:rPr>
          <w:rFonts w:eastAsia="Calibri"/>
          <w:lang w:val="es-PE" w:eastAsia="en-US"/>
        </w:rPr>
      </w:pPr>
      <w:r w:rsidRPr="00D1297D">
        <w:rPr>
          <w:rFonts w:eastAsia="Calibri"/>
          <w:lang w:val="es-PE" w:eastAsia="en-US"/>
        </w:rPr>
        <w:t xml:space="preserve">d) contar con un colaborador (familiar o amigo allegado) para la entrevista en caso de dudas sobre los datos de la investigación; </w:t>
      </w:r>
    </w:p>
    <w:p w14:paraId="7E677687" w14:textId="77777777" w:rsidR="00D1297D" w:rsidRPr="00D1297D" w:rsidRDefault="00D1297D" w:rsidP="00D1297D">
      <w:pPr>
        <w:spacing w:line="360" w:lineRule="auto"/>
        <w:ind w:left="708"/>
        <w:jc w:val="both"/>
        <w:rPr>
          <w:rFonts w:eastAsia="Calibri"/>
          <w:lang w:val="es-PE" w:eastAsia="en-US"/>
        </w:rPr>
      </w:pPr>
      <w:r w:rsidRPr="00D1297D">
        <w:rPr>
          <w:rFonts w:eastAsia="Calibri"/>
          <w:lang w:val="es-PE" w:eastAsia="en-US"/>
        </w:rPr>
        <w:t xml:space="preserve">e) documentos oficiales completos y actualizados que contribuyan al esclarecimiento de la información en caso de dudas u olvido; y </w:t>
      </w:r>
    </w:p>
    <w:p w14:paraId="623B0649" w14:textId="77777777" w:rsidR="00D1297D" w:rsidRPr="00D1297D" w:rsidRDefault="00D1297D" w:rsidP="00D1297D">
      <w:pPr>
        <w:spacing w:line="360" w:lineRule="auto"/>
        <w:ind w:left="708"/>
        <w:jc w:val="both"/>
        <w:rPr>
          <w:rFonts w:eastAsia="Calibri"/>
          <w:lang w:val="es-PE" w:eastAsia="en-US"/>
        </w:rPr>
      </w:pPr>
      <w:r w:rsidRPr="00D1297D">
        <w:rPr>
          <w:rFonts w:eastAsia="Calibri"/>
          <w:lang w:val="es-PE" w:eastAsia="en-US"/>
        </w:rPr>
        <w:t xml:space="preserve">f) manifestar por escrito su consentimiento para participar en el estudio, según criterios bioéticos. </w:t>
      </w:r>
    </w:p>
    <w:p w14:paraId="0D6D186E" w14:textId="77777777" w:rsidR="00D1297D" w:rsidRPr="00D1297D" w:rsidRDefault="00D1297D" w:rsidP="00D1297D">
      <w:pPr>
        <w:spacing w:line="360" w:lineRule="auto"/>
        <w:jc w:val="both"/>
        <w:rPr>
          <w:lang w:val="es-MX" w:eastAsia="es-MX"/>
        </w:rPr>
      </w:pPr>
    </w:p>
    <w:p w14:paraId="2D4EFBBE" w14:textId="77777777" w:rsidR="00D1297D" w:rsidRPr="00D1297D" w:rsidRDefault="00D1297D" w:rsidP="00D1297D">
      <w:pPr>
        <w:spacing w:line="360" w:lineRule="auto"/>
        <w:jc w:val="both"/>
        <w:rPr>
          <w:vertAlign w:val="superscript"/>
          <w:lang w:val="es-MX" w:eastAsia="es-MX"/>
        </w:rPr>
      </w:pPr>
      <w:r w:rsidRPr="00D1297D">
        <w:rPr>
          <w:lang w:val="es-MX" w:eastAsia="es-MX"/>
        </w:rPr>
        <w:t>Se incluyeron solo a los pacientes con CE primarios de cavidad bucal pues se partió de la premisa de que la carcinogénesis labial depende, fundamentalmente, de las radiaciones solares y ello crea una diferencia en comparación con la cavidad bucal, que es inaccesible a la luz solar y está expuesta a otros factores de riesgo (FR). No se incluyó la orofaringe porque forma parte de la faringe, que en su conjunto es objeto de tratamiento por otras especialidades. En el caso de las glándulas salivales y los tejidos duros del complejo maxilofacial, estos pacientes se excluyeron porque están sometidos a otros FR y en ellos aparecen otros tipos de neoplasias malignas.</w:t>
      </w:r>
      <w:r w:rsidRPr="00D1297D">
        <w:rPr>
          <w:vertAlign w:val="superscript"/>
          <w:lang w:val="es-MX" w:eastAsia="es-MX"/>
        </w:rPr>
        <w:t>(3)</w:t>
      </w:r>
    </w:p>
    <w:p w14:paraId="4A1C8250" w14:textId="77777777" w:rsidR="00D1297D" w:rsidRPr="00D1297D" w:rsidRDefault="00D1297D" w:rsidP="00D1297D">
      <w:pPr>
        <w:spacing w:line="360" w:lineRule="auto"/>
        <w:jc w:val="both"/>
        <w:rPr>
          <w:rFonts w:eastAsia="Calibri"/>
          <w:lang w:val="es-PE" w:eastAsia="en-US"/>
        </w:rPr>
      </w:pPr>
      <w:r w:rsidRPr="00D1297D">
        <w:rPr>
          <w:rFonts w:eastAsia="Calibri"/>
          <w:lang w:val="es-PE" w:eastAsia="en-US"/>
        </w:rPr>
        <w:t xml:space="preserve">Se excluyeron los pacientes con diagnóstico histológico de CE pero que en el momento de la investigación residieron fuera del territorio provincial, así como los fallecidos. </w:t>
      </w:r>
      <w:r w:rsidRPr="00D1297D">
        <w:rPr>
          <w:rFonts w:eastAsia="Calibri"/>
          <w:lang w:val="es-ES" w:eastAsia="en-US"/>
        </w:rPr>
        <w:t>En el periodo se diagnosticaron 33 pacientes y 4 fueron excluidos; la muestra quedó conformada por 29 pacientes.</w:t>
      </w:r>
    </w:p>
    <w:p w14:paraId="42C00C2E" w14:textId="77777777" w:rsidR="00D1297D" w:rsidRPr="00D1297D" w:rsidRDefault="00D1297D" w:rsidP="00D1297D">
      <w:pPr>
        <w:spacing w:line="360" w:lineRule="auto"/>
        <w:jc w:val="center"/>
        <w:rPr>
          <w:rFonts w:eastAsia="Calibri"/>
          <w:b/>
          <w:sz w:val="28"/>
          <w:szCs w:val="28"/>
          <w:lang w:val="es-PE" w:eastAsia="en-US"/>
        </w:rPr>
      </w:pPr>
      <w:r w:rsidRPr="00D1297D">
        <w:rPr>
          <w:rFonts w:eastAsia="Calibri"/>
          <w:b/>
          <w:sz w:val="28"/>
          <w:szCs w:val="28"/>
          <w:lang w:val="es-PE" w:eastAsia="en-US"/>
        </w:rPr>
        <w:t>Variables</w:t>
      </w:r>
    </w:p>
    <w:p w14:paraId="5CA027BC" w14:textId="77777777" w:rsidR="00D1297D" w:rsidRPr="00D1297D" w:rsidRDefault="00D1297D" w:rsidP="00D1297D">
      <w:pPr>
        <w:numPr>
          <w:ilvl w:val="0"/>
          <w:numId w:val="2"/>
        </w:numPr>
        <w:spacing w:line="360" w:lineRule="auto"/>
        <w:ind w:left="357" w:hanging="357"/>
        <w:contextualSpacing/>
        <w:jc w:val="both"/>
        <w:rPr>
          <w:rFonts w:eastAsia="Calibri"/>
          <w:lang w:val="es-PE" w:eastAsia="en-US"/>
        </w:rPr>
      </w:pPr>
      <w:r w:rsidRPr="00D1297D">
        <w:rPr>
          <w:rFonts w:eastAsia="Calibri"/>
          <w:lang w:val="es-PE" w:eastAsia="en-US"/>
        </w:rPr>
        <w:t>Edad: según años cumplidos en el momento del diagnóstico histológico.</w:t>
      </w:r>
    </w:p>
    <w:p w14:paraId="07214E23" w14:textId="77777777" w:rsidR="00D1297D" w:rsidRPr="00D1297D" w:rsidRDefault="00D1297D" w:rsidP="00D1297D">
      <w:pPr>
        <w:numPr>
          <w:ilvl w:val="0"/>
          <w:numId w:val="2"/>
        </w:numPr>
        <w:spacing w:line="360" w:lineRule="auto"/>
        <w:ind w:left="357" w:hanging="357"/>
        <w:contextualSpacing/>
        <w:jc w:val="both"/>
        <w:rPr>
          <w:rFonts w:eastAsia="Calibri"/>
          <w:lang w:val="es-PE" w:eastAsia="en-US"/>
        </w:rPr>
      </w:pPr>
      <w:r w:rsidRPr="00D1297D">
        <w:rPr>
          <w:rFonts w:eastAsia="Calibri"/>
          <w:lang w:val="es-PE" w:eastAsia="en-US"/>
        </w:rPr>
        <w:t xml:space="preserve">Sexo biológico: masculino y femenino. </w:t>
      </w:r>
    </w:p>
    <w:p w14:paraId="23BF4B57" w14:textId="77777777" w:rsidR="00D1297D" w:rsidRPr="00D1297D" w:rsidRDefault="00D1297D" w:rsidP="00D1297D">
      <w:pPr>
        <w:numPr>
          <w:ilvl w:val="0"/>
          <w:numId w:val="2"/>
        </w:numPr>
        <w:spacing w:line="360" w:lineRule="auto"/>
        <w:ind w:left="357" w:hanging="357"/>
        <w:contextualSpacing/>
        <w:jc w:val="both"/>
        <w:rPr>
          <w:rFonts w:eastAsia="Calibri"/>
          <w:lang w:val="es-PE" w:eastAsia="en-US"/>
        </w:rPr>
      </w:pPr>
      <w:r w:rsidRPr="00D1297D">
        <w:rPr>
          <w:rFonts w:eastAsia="Calibri"/>
          <w:lang w:val="es-PE" w:eastAsia="en-US"/>
        </w:rPr>
        <w:t>Procedencia: urbana o rural.</w:t>
      </w:r>
    </w:p>
    <w:p w14:paraId="7CBA0C0A" w14:textId="77777777" w:rsidR="00D1297D" w:rsidRPr="00D1297D" w:rsidRDefault="00D1297D" w:rsidP="00D1297D">
      <w:pPr>
        <w:numPr>
          <w:ilvl w:val="0"/>
          <w:numId w:val="2"/>
        </w:numPr>
        <w:spacing w:line="360" w:lineRule="auto"/>
        <w:ind w:left="357" w:hanging="357"/>
        <w:contextualSpacing/>
        <w:jc w:val="both"/>
        <w:rPr>
          <w:rFonts w:eastAsia="Calibri"/>
          <w:lang w:val="es-PE" w:eastAsia="en-US"/>
        </w:rPr>
      </w:pPr>
      <w:r w:rsidRPr="00D1297D">
        <w:rPr>
          <w:rFonts w:eastAsia="Calibri"/>
          <w:lang w:val="es-PE" w:eastAsia="en-US"/>
        </w:rPr>
        <w:lastRenderedPageBreak/>
        <w:t>Nivel de escolaridad: según nivel escolar vencido (primaria, secundaria, técnico medio, preuniversitario y universitario).</w:t>
      </w:r>
    </w:p>
    <w:p w14:paraId="086CC7C2" w14:textId="77777777" w:rsidR="00D1297D" w:rsidRPr="00D1297D" w:rsidRDefault="00D1297D" w:rsidP="00D1297D">
      <w:pPr>
        <w:numPr>
          <w:ilvl w:val="0"/>
          <w:numId w:val="2"/>
        </w:numPr>
        <w:spacing w:line="360" w:lineRule="auto"/>
        <w:ind w:left="357" w:hanging="357"/>
        <w:contextualSpacing/>
        <w:jc w:val="both"/>
        <w:rPr>
          <w:rFonts w:eastAsia="Calibri"/>
          <w:lang w:val="es-PE" w:eastAsia="en-US"/>
        </w:rPr>
      </w:pPr>
      <w:r w:rsidRPr="00D1297D">
        <w:rPr>
          <w:rFonts w:eastAsia="Calibri"/>
          <w:lang w:val="es-PE" w:eastAsia="en-US"/>
        </w:rPr>
        <w:t>Municipio. Se consideraron los seis municipios de la provincia pertenecientes a la región del Cauto (Jiguaní, Guisa, Bayamo, Río Cauto, Cauto Cristo y Buey Arriba) cuya atención de salud de nivel secundario deriva al hospital donde se realizó la investigación. No obstante, se incluyeron pacientes cuyos municipios no pertenecen a la región del Cauto, teniendo en cuenta que el servicio provincial de Oncología de Cabeza y Cuello se ubica en el hospital donde se realizó el estudio.</w:t>
      </w:r>
    </w:p>
    <w:p w14:paraId="50381526" w14:textId="77777777" w:rsidR="00D1297D" w:rsidRPr="00D1297D" w:rsidRDefault="00D1297D" w:rsidP="00D1297D">
      <w:pPr>
        <w:numPr>
          <w:ilvl w:val="0"/>
          <w:numId w:val="2"/>
        </w:numPr>
        <w:spacing w:line="360" w:lineRule="auto"/>
        <w:ind w:left="357" w:hanging="357"/>
        <w:contextualSpacing/>
        <w:jc w:val="both"/>
        <w:rPr>
          <w:rFonts w:eastAsia="Calibri"/>
          <w:lang w:val="es-PE" w:eastAsia="en-US"/>
        </w:rPr>
      </w:pPr>
      <w:r w:rsidRPr="00D1297D">
        <w:rPr>
          <w:rFonts w:eastAsia="Calibri"/>
          <w:lang w:val="es-PE" w:eastAsia="en-US"/>
        </w:rPr>
        <w:t>Año de diagnóstico histológico.</w:t>
      </w:r>
    </w:p>
    <w:p w14:paraId="12902B13" w14:textId="77777777" w:rsidR="00D1297D" w:rsidRPr="00D1297D" w:rsidRDefault="00D1297D" w:rsidP="00D1297D">
      <w:pPr>
        <w:numPr>
          <w:ilvl w:val="0"/>
          <w:numId w:val="2"/>
        </w:numPr>
        <w:spacing w:line="360" w:lineRule="auto"/>
        <w:ind w:left="357" w:hanging="357"/>
        <w:contextualSpacing/>
        <w:jc w:val="both"/>
        <w:rPr>
          <w:rFonts w:eastAsia="Calibri"/>
          <w:lang w:val="es-PE" w:eastAsia="en-US"/>
        </w:rPr>
      </w:pPr>
      <w:r w:rsidRPr="00D1297D">
        <w:rPr>
          <w:rFonts w:eastAsia="Calibri"/>
          <w:lang w:val="es-PE" w:eastAsia="en-US"/>
        </w:rPr>
        <w:t>Localización anatómica: lengua, suelo de boca, rebordes alveolares, espacio retromolar, carrillos y paladar duro.</w:t>
      </w:r>
    </w:p>
    <w:p w14:paraId="3FD12A54" w14:textId="77777777" w:rsidR="00D1297D" w:rsidRPr="00D1297D" w:rsidRDefault="00D1297D" w:rsidP="00D1297D">
      <w:pPr>
        <w:numPr>
          <w:ilvl w:val="0"/>
          <w:numId w:val="2"/>
        </w:numPr>
        <w:spacing w:line="360" w:lineRule="auto"/>
        <w:ind w:left="357" w:hanging="357"/>
        <w:contextualSpacing/>
        <w:jc w:val="both"/>
        <w:rPr>
          <w:rFonts w:eastAsia="Calibri"/>
          <w:lang w:val="es-PE" w:eastAsia="en-US"/>
        </w:rPr>
      </w:pPr>
      <w:r w:rsidRPr="00D1297D">
        <w:rPr>
          <w:rFonts w:eastAsia="Calibri"/>
          <w:lang w:val="es-PE" w:eastAsia="en-US"/>
        </w:rPr>
        <w:t>Variantes del CE según características anatomoclínicas: úlcera de bordes elevados, úlcera plana, úlcera hundida o infiltrante, mancha eritematosa, mancha blanquecina, exofítica y excavada o anfractuosa.</w:t>
      </w:r>
      <w:r w:rsidRPr="00D1297D">
        <w:rPr>
          <w:vertAlign w:val="superscript"/>
          <w:lang w:val="es-MX" w:eastAsia="es-MX"/>
        </w:rPr>
        <w:t>(27)</w:t>
      </w:r>
    </w:p>
    <w:p w14:paraId="5651BBB8" w14:textId="77777777" w:rsidR="00D1297D" w:rsidRPr="00D1297D" w:rsidRDefault="00D1297D" w:rsidP="00D1297D">
      <w:pPr>
        <w:numPr>
          <w:ilvl w:val="0"/>
          <w:numId w:val="2"/>
        </w:numPr>
        <w:spacing w:line="360" w:lineRule="auto"/>
        <w:ind w:left="357" w:hanging="357"/>
        <w:contextualSpacing/>
        <w:jc w:val="both"/>
        <w:rPr>
          <w:rFonts w:eastAsia="Calibri"/>
          <w:lang w:val="es-PE" w:eastAsia="en-US"/>
        </w:rPr>
      </w:pPr>
      <w:r w:rsidRPr="00D1297D">
        <w:rPr>
          <w:rFonts w:eastAsia="Calibri"/>
          <w:lang w:val="es-PE" w:eastAsia="en-US"/>
        </w:rPr>
        <w:t>Grado histológico de diferenciación. Se consideraron los criterios establecidos por la Organización Mundial de la Salud (</w:t>
      </w:r>
      <w:r w:rsidRPr="00D1297D">
        <w:rPr>
          <w:lang w:val="es-ES" w:eastAsia="es-MX"/>
        </w:rPr>
        <w:t>OMS):</w:t>
      </w:r>
      <w:r w:rsidRPr="00D1297D">
        <w:rPr>
          <w:vertAlign w:val="superscript"/>
          <w:lang w:val="es-MX" w:eastAsia="es-MX"/>
        </w:rPr>
        <w:t>(28)</w:t>
      </w:r>
      <w:r w:rsidRPr="00D1297D">
        <w:rPr>
          <w:lang w:val="es-ES" w:eastAsia="es-MX"/>
        </w:rPr>
        <w:t xml:space="preserve"> diferenciado, moderadamente diferenciado, poco diferenciado e indiferenciado.</w:t>
      </w:r>
    </w:p>
    <w:p w14:paraId="189B6E91" w14:textId="77777777" w:rsidR="00D1297D" w:rsidRPr="00D1297D" w:rsidRDefault="00D1297D" w:rsidP="00D1297D">
      <w:pPr>
        <w:numPr>
          <w:ilvl w:val="0"/>
          <w:numId w:val="2"/>
        </w:numPr>
        <w:spacing w:line="360" w:lineRule="auto"/>
        <w:ind w:left="357" w:hanging="357"/>
        <w:contextualSpacing/>
        <w:jc w:val="both"/>
        <w:rPr>
          <w:rFonts w:eastAsia="Calibri"/>
          <w:lang w:val="es-PE" w:eastAsia="en-US"/>
        </w:rPr>
      </w:pPr>
      <w:r w:rsidRPr="00D1297D">
        <w:rPr>
          <w:rFonts w:eastAsia="Calibri"/>
          <w:lang w:val="es-PE" w:eastAsia="en-US"/>
        </w:rPr>
        <w:t xml:space="preserve">Etapas de los CE (tabla 1). Se clasificaron según </w:t>
      </w:r>
      <w:r w:rsidRPr="00D1297D">
        <w:rPr>
          <w:lang w:val="es-MX" w:eastAsia="es-MX"/>
        </w:rPr>
        <w:t>según sistema TNM (7</w:t>
      </w:r>
      <w:r w:rsidRPr="00D1297D">
        <w:rPr>
          <w:vertAlign w:val="superscript"/>
          <w:lang w:val="es-MX" w:eastAsia="es-MX"/>
        </w:rPr>
        <w:t>ma</w:t>
      </w:r>
      <w:r w:rsidRPr="00D1297D">
        <w:rPr>
          <w:lang w:val="es-MX" w:eastAsia="es-MX"/>
        </w:rPr>
        <w:t xml:space="preserve"> edición OMS).</w:t>
      </w:r>
      <w:r w:rsidRPr="00D1297D">
        <w:rPr>
          <w:vertAlign w:val="superscript"/>
          <w:lang w:val="es-MX" w:eastAsia="es-MX"/>
        </w:rPr>
        <w:t>(28)</w:t>
      </w:r>
      <w:r w:rsidRPr="00D1297D">
        <w:rPr>
          <w:lang w:val="es-MX" w:eastAsia="es-MX"/>
        </w:rPr>
        <w:t xml:space="preserve"> Tumor (T): indica la extensión local del tumor. Nódulo cervical (N): indica la presencia o no de adenopatías regionales involucradas. Metástasis (M): indica la presencia o no de metástasis a distancia. La clasificación es la siguiente: </w:t>
      </w:r>
    </w:p>
    <w:p w14:paraId="1DED79A9" w14:textId="77777777" w:rsidR="00D1297D" w:rsidRPr="00D1297D" w:rsidRDefault="00D1297D" w:rsidP="00F76F1C">
      <w:pPr>
        <w:numPr>
          <w:ilvl w:val="0"/>
          <w:numId w:val="4"/>
        </w:numPr>
        <w:spacing w:line="360" w:lineRule="auto"/>
        <w:contextualSpacing/>
        <w:jc w:val="both"/>
        <w:rPr>
          <w:lang w:val="es-MX"/>
        </w:rPr>
      </w:pPr>
      <w:r w:rsidRPr="00D1297D">
        <w:rPr>
          <w:lang w:val="es-MX"/>
        </w:rPr>
        <w:t>Tumor primario (T). T1: tumor ≤ 2 cm en su diámetro mayor. T2: tumor &gt; 2 cm, pero &lt; 4 cm. T3: tumor &gt; 4 cm. T4a: piel de la cara, hueso cortical, músculos extrínsecos de la lengua y seno maxilar. T4b: espacio masticatorio, base de cráneo, fosa pterigoidea y arteria carótida.</w:t>
      </w:r>
    </w:p>
    <w:p w14:paraId="3A60F8B9" w14:textId="77777777" w:rsidR="00D1297D" w:rsidRPr="00D1297D" w:rsidRDefault="00D1297D" w:rsidP="00F76F1C">
      <w:pPr>
        <w:numPr>
          <w:ilvl w:val="0"/>
          <w:numId w:val="4"/>
        </w:numPr>
        <w:spacing w:line="360" w:lineRule="auto"/>
        <w:contextualSpacing/>
        <w:jc w:val="both"/>
        <w:rPr>
          <w:lang w:val="es-ES"/>
        </w:rPr>
      </w:pPr>
      <w:r w:rsidRPr="00D1297D">
        <w:rPr>
          <w:lang w:val="es-MX"/>
        </w:rPr>
        <w:t>Ganglios regionales (N)</w:t>
      </w:r>
      <w:r w:rsidRPr="00D1297D">
        <w:rPr>
          <w:i/>
          <w:lang w:val="es-MX"/>
        </w:rPr>
        <w:t xml:space="preserve">. </w:t>
      </w:r>
      <w:r w:rsidRPr="00D1297D">
        <w:rPr>
          <w:lang w:val="es-MX"/>
        </w:rPr>
        <w:t xml:space="preserve">Nx: </w:t>
      </w:r>
      <w:r w:rsidRPr="00D1297D">
        <w:rPr>
          <w:lang w:val="es-ES"/>
        </w:rPr>
        <w:t xml:space="preserve">los ganglios linfáticos regionales no pueden ser valorados. N0: no hay metástasis regional de ganglios linfáticos. </w:t>
      </w:r>
      <w:r w:rsidRPr="00D1297D">
        <w:rPr>
          <w:lang w:val="es-MX"/>
        </w:rPr>
        <w:t xml:space="preserve">N1: metástasis en un solo ganglio linfático ipsilateral, ≤ 3 cm en su máxima dimensión. N2: metástasis en un solo ganglio linfático ipsilateral, de más de 3 cm, pero menos de 6 cm en su máxima dimensión (N2a); o en múltiples ganglios linfáticos ipsilaterales, ninguno mayor a 6 cm en su máxima dimensión </w:t>
      </w:r>
      <w:r w:rsidRPr="00D1297D">
        <w:rPr>
          <w:lang w:val="es-MX"/>
        </w:rPr>
        <w:lastRenderedPageBreak/>
        <w:t xml:space="preserve">(N2b); o en ganglios bilaterales o contralaterales, ninguno mayor a 6 cm en su máxima dimensión (N2c). N3: </w:t>
      </w:r>
      <w:r w:rsidRPr="00D1297D">
        <w:rPr>
          <w:lang w:val="es-ES"/>
        </w:rPr>
        <w:t>metástasis en un ganglio linfático mayor a 6 cm en su máxima dimensión.</w:t>
      </w:r>
    </w:p>
    <w:p w14:paraId="3532B11E" w14:textId="77777777" w:rsidR="00D1297D" w:rsidRPr="00D1297D" w:rsidRDefault="00D1297D" w:rsidP="00F76F1C">
      <w:pPr>
        <w:numPr>
          <w:ilvl w:val="0"/>
          <w:numId w:val="4"/>
        </w:numPr>
        <w:spacing w:line="360" w:lineRule="auto"/>
        <w:contextualSpacing/>
        <w:jc w:val="both"/>
        <w:rPr>
          <w:lang w:val="es-MX"/>
        </w:rPr>
      </w:pPr>
      <w:r w:rsidRPr="00D1297D">
        <w:rPr>
          <w:lang w:val="es-MX"/>
        </w:rPr>
        <w:t>Metástasis a distancia (M). M0: no metástasis a distancia. M1: metástasis a distancia.</w:t>
      </w:r>
    </w:p>
    <w:p w14:paraId="74C1928E" w14:textId="77777777" w:rsidR="00D1297D" w:rsidRPr="00D1297D" w:rsidRDefault="00D1297D" w:rsidP="00D1297D">
      <w:pPr>
        <w:spacing w:line="360" w:lineRule="auto"/>
        <w:contextualSpacing/>
        <w:jc w:val="center"/>
        <w:rPr>
          <w:b/>
          <w:lang w:val="es-MX"/>
        </w:rPr>
      </w:pPr>
    </w:p>
    <w:p w14:paraId="41203671" w14:textId="77777777" w:rsidR="00D1297D" w:rsidRPr="00D1297D" w:rsidRDefault="00D1297D" w:rsidP="00D1297D">
      <w:pPr>
        <w:spacing w:line="360" w:lineRule="auto"/>
        <w:contextualSpacing/>
        <w:jc w:val="center"/>
        <w:rPr>
          <w:sz w:val="22"/>
          <w:szCs w:val="22"/>
          <w:lang w:val="es-MX"/>
        </w:rPr>
      </w:pPr>
      <w:r w:rsidRPr="00D1297D">
        <w:rPr>
          <w:b/>
          <w:sz w:val="22"/>
          <w:szCs w:val="22"/>
          <w:lang w:val="es-MX"/>
        </w:rPr>
        <w:t>Tabla 1 -</w:t>
      </w:r>
      <w:r w:rsidRPr="00D1297D">
        <w:rPr>
          <w:sz w:val="22"/>
          <w:szCs w:val="22"/>
          <w:lang w:val="es-MX"/>
        </w:rPr>
        <w:t xml:space="preserve"> Etapas de los carcinomas epidermoides</w:t>
      </w:r>
    </w:p>
    <w:tbl>
      <w:tblPr>
        <w:tblStyle w:val="Tablaconcuadrcula1"/>
        <w:tblW w:w="4533" w:type="dxa"/>
        <w:jc w:val="center"/>
        <w:tblLook w:val="04A0" w:firstRow="1" w:lastRow="0" w:firstColumn="1" w:lastColumn="0" w:noHBand="0" w:noVBand="1"/>
      </w:tblPr>
      <w:tblGrid>
        <w:gridCol w:w="1100"/>
        <w:gridCol w:w="1338"/>
        <w:gridCol w:w="1244"/>
        <w:gridCol w:w="851"/>
      </w:tblGrid>
      <w:tr w:rsidR="00D1297D" w:rsidRPr="00D1297D" w14:paraId="19184EE7" w14:textId="77777777" w:rsidTr="00506A36">
        <w:trPr>
          <w:jc w:val="center"/>
        </w:trPr>
        <w:tc>
          <w:tcPr>
            <w:tcW w:w="1100" w:type="dxa"/>
            <w:vAlign w:val="center"/>
          </w:tcPr>
          <w:p w14:paraId="0BD55369" w14:textId="77777777" w:rsidR="00D1297D" w:rsidRPr="00D1297D" w:rsidRDefault="00D1297D" w:rsidP="00D1297D">
            <w:pPr>
              <w:spacing w:line="360" w:lineRule="auto"/>
              <w:jc w:val="center"/>
              <w:rPr>
                <w:b/>
                <w:sz w:val="18"/>
                <w:szCs w:val="18"/>
                <w:lang w:val="es-MX" w:eastAsia="es-MX"/>
              </w:rPr>
            </w:pPr>
            <w:r w:rsidRPr="00D1297D">
              <w:rPr>
                <w:b/>
                <w:sz w:val="18"/>
                <w:szCs w:val="18"/>
                <w:lang w:val="es-MX" w:eastAsia="es-MX"/>
              </w:rPr>
              <w:t>Etapa</w:t>
            </w:r>
          </w:p>
        </w:tc>
        <w:tc>
          <w:tcPr>
            <w:tcW w:w="1338" w:type="dxa"/>
            <w:vAlign w:val="center"/>
          </w:tcPr>
          <w:p w14:paraId="11EDAC21" w14:textId="77777777" w:rsidR="00D1297D" w:rsidRPr="00D1297D" w:rsidRDefault="00D1297D" w:rsidP="00D1297D">
            <w:pPr>
              <w:spacing w:line="360" w:lineRule="auto"/>
              <w:jc w:val="center"/>
              <w:rPr>
                <w:b/>
                <w:sz w:val="18"/>
                <w:szCs w:val="18"/>
                <w:lang w:val="es-MX" w:eastAsia="es-MX"/>
              </w:rPr>
            </w:pPr>
            <w:r w:rsidRPr="00D1297D">
              <w:rPr>
                <w:b/>
                <w:sz w:val="18"/>
                <w:szCs w:val="18"/>
                <w:lang w:val="es-MX" w:eastAsia="es-MX"/>
              </w:rPr>
              <w:t>T</w:t>
            </w:r>
          </w:p>
        </w:tc>
        <w:tc>
          <w:tcPr>
            <w:tcW w:w="1244" w:type="dxa"/>
            <w:vAlign w:val="center"/>
          </w:tcPr>
          <w:p w14:paraId="65F11E51" w14:textId="77777777" w:rsidR="00D1297D" w:rsidRPr="00D1297D" w:rsidRDefault="00D1297D" w:rsidP="00D1297D">
            <w:pPr>
              <w:spacing w:line="360" w:lineRule="auto"/>
              <w:jc w:val="center"/>
              <w:rPr>
                <w:b/>
                <w:sz w:val="18"/>
                <w:szCs w:val="18"/>
                <w:lang w:val="es-MX" w:eastAsia="es-MX"/>
              </w:rPr>
            </w:pPr>
            <w:r w:rsidRPr="00D1297D">
              <w:rPr>
                <w:b/>
                <w:sz w:val="18"/>
                <w:szCs w:val="18"/>
                <w:lang w:val="es-MX" w:eastAsia="es-MX"/>
              </w:rPr>
              <w:t>N</w:t>
            </w:r>
          </w:p>
        </w:tc>
        <w:tc>
          <w:tcPr>
            <w:tcW w:w="851" w:type="dxa"/>
            <w:vAlign w:val="center"/>
          </w:tcPr>
          <w:p w14:paraId="6E24E955" w14:textId="77777777" w:rsidR="00D1297D" w:rsidRPr="00D1297D" w:rsidRDefault="00D1297D" w:rsidP="00D1297D">
            <w:pPr>
              <w:spacing w:line="360" w:lineRule="auto"/>
              <w:jc w:val="center"/>
              <w:rPr>
                <w:b/>
                <w:sz w:val="18"/>
                <w:szCs w:val="18"/>
                <w:lang w:val="es-MX" w:eastAsia="es-MX"/>
              </w:rPr>
            </w:pPr>
            <w:r w:rsidRPr="00D1297D">
              <w:rPr>
                <w:b/>
                <w:sz w:val="18"/>
                <w:szCs w:val="18"/>
                <w:lang w:val="es-MX" w:eastAsia="es-MX"/>
              </w:rPr>
              <w:t>M</w:t>
            </w:r>
          </w:p>
        </w:tc>
      </w:tr>
      <w:tr w:rsidR="00D1297D" w:rsidRPr="00D1297D" w14:paraId="209A1DC5" w14:textId="77777777" w:rsidTr="00506A36">
        <w:trPr>
          <w:jc w:val="center"/>
        </w:trPr>
        <w:tc>
          <w:tcPr>
            <w:tcW w:w="1100" w:type="dxa"/>
            <w:vAlign w:val="center"/>
          </w:tcPr>
          <w:p w14:paraId="5497B27B" w14:textId="77777777" w:rsidR="00D1297D" w:rsidRPr="00D1297D" w:rsidRDefault="00D1297D" w:rsidP="00D1297D">
            <w:pPr>
              <w:spacing w:line="360" w:lineRule="auto"/>
              <w:jc w:val="both"/>
              <w:rPr>
                <w:sz w:val="18"/>
                <w:szCs w:val="18"/>
                <w:lang w:val="es-MX" w:eastAsia="es-MX"/>
              </w:rPr>
            </w:pPr>
            <w:r w:rsidRPr="00D1297D">
              <w:rPr>
                <w:sz w:val="18"/>
                <w:szCs w:val="18"/>
                <w:lang w:val="es-MX" w:eastAsia="es-MX"/>
              </w:rPr>
              <w:t>I</w:t>
            </w:r>
          </w:p>
        </w:tc>
        <w:tc>
          <w:tcPr>
            <w:tcW w:w="1338" w:type="dxa"/>
            <w:vAlign w:val="center"/>
          </w:tcPr>
          <w:p w14:paraId="5AA70C39" w14:textId="77777777" w:rsidR="00D1297D" w:rsidRPr="00D1297D" w:rsidRDefault="00D1297D" w:rsidP="00D1297D">
            <w:pPr>
              <w:spacing w:line="360" w:lineRule="auto"/>
              <w:jc w:val="center"/>
              <w:rPr>
                <w:sz w:val="18"/>
                <w:szCs w:val="18"/>
                <w:lang w:val="es-MX" w:eastAsia="es-MX"/>
              </w:rPr>
            </w:pPr>
            <w:r w:rsidRPr="00D1297D">
              <w:rPr>
                <w:sz w:val="18"/>
                <w:szCs w:val="18"/>
                <w:lang w:val="es-MX" w:eastAsia="es-MX"/>
              </w:rPr>
              <w:t>T1</w:t>
            </w:r>
          </w:p>
        </w:tc>
        <w:tc>
          <w:tcPr>
            <w:tcW w:w="1244" w:type="dxa"/>
            <w:vAlign w:val="center"/>
          </w:tcPr>
          <w:p w14:paraId="558CC3FE" w14:textId="77777777" w:rsidR="00D1297D" w:rsidRPr="00D1297D" w:rsidRDefault="00D1297D" w:rsidP="00D1297D">
            <w:pPr>
              <w:spacing w:line="360" w:lineRule="auto"/>
              <w:jc w:val="center"/>
              <w:rPr>
                <w:sz w:val="18"/>
                <w:szCs w:val="18"/>
                <w:lang w:val="es-MX" w:eastAsia="es-MX"/>
              </w:rPr>
            </w:pPr>
            <w:r w:rsidRPr="00D1297D">
              <w:rPr>
                <w:sz w:val="18"/>
                <w:szCs w:val="18"/>
                <w:lang w:val="es-MX" w:eastAsia="es-MX"/>
              </w:rPr>
              <w:t>N0</w:t>
            </w:r>
          </w:p>
        </w:tc>
        <w:tc>
          <w:tcPr>
            <w:tcW w:w="851" w:type="dxa"/>
            <w:vAlign w:val="center"/>
          </w:tcPr>
          <w:p w14:paraId="1447C696" w14:textId="77777777" w:rsidR="00D1297D" w:rsidRPr="00D1297D" w:rsidRDefault="00D1297D" w:rsidP="00D1297D">
            <w:pPr>
              <w:spacing w:line="360" w:lineRule="auto"/>
              <w:jc w:val="center"/>
              <w:rPr>
                <w:sz w:val="18"/>
                <w:szCs w:val="18"/>
                <w:lang w:val="es-MX" w:eastAsia="es-MX"/>
              </w:rPr>
            </w:pPr>
            <w:r w:rsidRPr="00D1297D">
              <w:rPr>
                <w:sz w:val="18"/>
                <w:szCs w:val="18"/>
                <w:lang w:val="es-MX" w:eastAsia="es-MX"/>
              </w:rPr>
              <w:t>M0</w:t>
            </w:r>
          </w:p>
        </w:tc>
      </w:tr>
      <w:tr w:rsidR="00D1297D" w:rsidRPr="00D1297D" w14:paraId="7CB83F59" w14:textId="77777777" w:rsidTr="00506A36">
        <w:trPr>
          <w:jc w:val="center"/>
        </w:trPr>
        <w:tc>
          <w:tcPr>
            <w:tcW w:w="1100" w:type="dxa"/>
            <w:vAlign w:val="center"/>
          </w:tcPr>
          <w:p w14:paraId="5374C7A9" w14:textId="77777777" w:rsidR="00D1297D" w:rsidRPr="00D1297D" w:rsidRDefault="00D1297D" w:rsidP="00D1297D">
            <w:pPr>
              <w:spacing w:line="360" w:lineRule="auto"/>
              <w:jc w:val="both"/>
              <w:rPr>
                <w:sz w:val="18"/>
                <w:szCs w:val="18"/>
                <w:lang w:val="es-MX" w:eastAsia="es-MX"/>
              </w:rPr>
            </w:pPr>
            <w:r w:rsidRPr="00D1297D">
              <w:rPr>
                <w:sz w:val="18"/>
                <w:szCs w:val="18"/>
                <w:lang w:val="es-MX" w:eastAsia="es-MX"/>
              </w:rPr>
              <w:t>II</w:t>
            </w:r>
          </w:p>
        </w:tc>
        <w:tc>
          <w:tcPr>
            <w:tcW w:w="1338" w:type="dxa"/>
            <w:vAlign w:val="center"/>
          </w:tcPr>
          <w:p w14:paraId="421C87F8" w14:textId="77777777" w:rsidR="00D1297D" w:rsidRPr="00D1297D" w:rsidRDefault="00D1297D" w:rsidP="00D1297D">
            <w:pPr>
              <w:spacing w:line="360" w:lineRule="auto"/>
              <w:jc w:val="center"/>
              <w:rPr>
                <w:sz w:val="18"/>
                <w:szCs w:val="18"/>
                <w:lang w:val="es-MX" w:eastAsia="es-MX"/>
              </w:rPr>
            </w:pPr>
            <w:r w:rsidRPr="00D1297D">
              <w:rPr>
                <w:sz w:val="18"/>
                <w:szCs w:val="18"/>
                <w:lang w:val="es-MX" w:eastAsia="es-MX"/>
              </w:rPr>
              <w:t>T2</w:t>
            </w:r>
          </w:p>
        </w:tc>
        <w:tc>
          <w:tcPr>
            <w:tcW w:w="1244" w:type="dxa"/>
            <w:vAlign w:val="center"/>
          </w:tcPr>
          <w:p w14:paraId="5B990C4F" w14:textId="77777777" w:rsidR="00D1297D" w:rsidRPr="00D1297D" w:rsidRDefault="00D1297D" w:rsidP="00D1297D">
            <w:pPr>
              <w:spacing w:line="360" w:lineRule="auto"/>
              <w:jc w:val="center"/>
              <w:rPr>
                <w:sz w:val="18"/>
                <w:szCs w:val="18"/>
                <w:lang w:val="es-MX" w:eastAsia="es-MX"/>
              </w:rPr>
            </w:pPr>
            <w:r w:rsidRPr="00D1297D">
              <w:rPr>
                <w:sz w:val="18"/>
                <w:szCs w:val="18"/>
                <w:lang w:val="es-MX" w:eastAsia="es-MX"/>
              </w:rPr>
              <w:t>N0</w:t>
            </w:r>
          </w:p>
        </w:tc>
        <w:tc>
          <w:tcPr>
            <w:tcW w:w="851" w:type="dxa"/>
            <w:vAlign w:val="center"/>
          </w:tcPr>
          <w:p w14:paraId="197A1D06" w14:textId="77777777" w:rsidR="00D1297D" w:rsidRPr="00D1297D" w:rsidRDefault="00D1297D" w:rsidP="00D1297D">
            <w:pPr>
              <w:spacing w:line="360" w:lineRule="auto"/>
              <w:jc w:val="center"/>
              <w:rPr>
                <w:sz w:val="18"/>
                <w:szCs w:val="18"/>
                <w:lang w:val="es-MX" w:eastAsia="es-MX"/>
              </w:rPr>
            </w:pPr>
            <w:r w:rsidRPr="00D1297D">
              <w:rPr>
                <w:sz w:val="18"/>
                <w:szCs w:val="18"/>
                <w:lang w:val="es-MX" w:eastAsia="es-MX"/>
              </w:rPr>
              <w:t>M0</w:t>
            </w:r>
          </w:p>
        </w:tc>
      </w:tr>
      <w:tr w:rsidR="00D1297D" w:rsidRPr="00D1297D" w14:paraId="17C1D3E9" w14:textId="77777777" w:rsidTr="00506A36">
        <w:trPr>
          <w:jc w:val="center"/>
        </w:trPr>
        <w:tc>
          <w:tcPr>
            <w:tcW w:w="1100" w:type="dxa"/>
            <w:vAlign w:val="center"/>
          </w:tcPr>
          <w:p w14:paraId="4363472C" w14:textId="77777777" w:rsidR="00D1297D" w:rsidRPr="00D1297D" w:rsidRDefault="00D1297D" w:rsidP="00D1297D">
            <w:pPr>
              <w:spacing w:line="360" w:lineRule="auto"/>
              <w:jc w:val="both"/>
              <w:rPr>
                <w:sz w:val="18"/>
                <w:szCs w:val="18"/>
                <w:lang w:val="es-MX" w:eastAsia="es-MX"/>
              </w:rPr>
            </w:pPr>
            <w:r w:rsidRPr="00D1297D">
              <w:rPr>
                <w:sz w:val="18"/>
                <w:szCs w:val="18"/>
                <w:lang w:val="es-MX" w:eastAsia="es-MX"/>
              </w:rPr>
              <w:t>III</w:t>
            </w:r>
          </w:p>
        </w:tc>
        <w:tc>
          <w:tcPr>
            <w:tcW w:w="1338" w:type="dxa"/>
            <w:vAlign w:val="center"/>
          </w:tcPr>
          <w:p w14:paraId="52AE36FA" w14:textId="77777777" w:rsidR="00D1297D" w:rsidRPr="00D1297D" w:rsidRDefault="00D1297D" w:rsidP="00D1297D">
            <w:pPr>
              <w:spacing w:line="360" w:lineRule="auto"/>
              <w:jc w:val="center"/>
              <w:rPr>
                <w:sz w:val="18"/>
                <w:szCs w:val="18"/>
                <w:lang w:val="es-MX" w:eastAsia="es-MX"/>
              </w:rPr>
            </w:pPr>
            <w:r w:rsidRPr="00D1297D">
              <w:rPr>
                <w:sz w:val="18"/>
                <w:szCs w:val="18"/>
                <w:lang w:val="es-MX" w:eastAsia="es-MX"/>
              </w:rPr>
              <w:t>T3</w:t>
            </w:r>
          </w:p>
        </w:tc>
        <w:tc>
          <w:tcPr>
            <w:tcW w:w="1244" w:type="dxa"/>
            <w:vAlign w:val="center"/>
          </w:tcPr>
          <w:p w14:paraId="0080066A" w14:textId="77777777" w:rsidR="00D1297D" w:rsidRPr="00D1297D" w:rsidRDefault="00D1297D" w:rsidP="00D1297D">
            <w:pPr>
              <w:spacing w:line="360" w:lineRule="auto"/>
              <w:jc w:val="center"/>
              <w:rPr>
                <w:sz w:val="18"/>
                <w:szCs w:val="18"/>
                <w:lang w:val="es-MX" w:eastAsia="es-MX"/>
              </w:rPr>
            </w:pPr>
            <w:r w:rsidRPr="00D1297D">
              <w:rPr>
                <w:sz w:val="18"/>
                <w:szCs w:val="18"/>
                <w:lang w:val="es-MX" w:eastAsia="es-MX"/>
              </w:rPr>
              <w:t>N1</w:t>
            </w:r>
          </w:p>
        </w:tc>
        <w:tc>
          <w:tcPr>
            <w:tcW w:w="851" w:type="dxa"/>
            <w:vAlign w:val="center"/>
          </w:tcPr>
          <w:p w14:paraId="4A82D212" w14:textId="77777777" w:rsidR="00D1297D" w:rsidRPr="00D1297D" w:rsidRDefault="00D1297D" w:rsidP="00D1297D">
            <w:pPr>
              <w:spacing w:line="360" w:lineRule="auto"/>
              <w:jc w:val="center"/>
              <w:rPr>
                <w:sz w:val="18"/>
                <w:szCs w:val="18"/>
                <w:lang w:val="es-MX" w:eastAsia="es-MX"/>
              </w:rPr>
            </w:pPr>
            <w:r w:rsidRPr="00D1297D">
              <w:rPr>
                <w:sz w:val="18"/>
                <w:szCs w:val="18"/>
                <w:lang w:val="es-MX" w:eastAsia="es-MX"/>
              </w:rPr>
              <w:t>M0</w:t>
            </w:r>
          </w:p>
        </w:tc>
      </w:tr>
      <w:tr w:rsidR="00D1297D" w:rsidRPr="00D1297D" w14:paraId="309138CC" w14:textId="77777777" w:rsidTr="00506A36">
        <w:trPr>
          <w:jc w:val="center"/>
        </w:trPr>
        <w:tc>
          <w:tcPr>
            <w:tcW w:w="1100" w:type="dxa"/>
            <w:vAlign w:val="center"/>
          </w:tcPr>
          <w:p w14:paraId="01EB48A5" w14:textId="77777777" w:rsidR="00D1297D" w:rsidRPr="00D1297D" w:rsidRDefault="00D1297D" w:rsidP="00D1297D">
            <w:pPr>
              <w:spacing w:line="360" w:lineRule="auto"/>
              <w:jc w:val="both"/>
              <w:rPr>
                <w:sz w:val="18"/>
                <w:szCs w:val="18"/>
                <w:lang w:val="es-MX" w:eastAsia="es-MX"/>
              </w:rPr>
            </w:pPr>
            <w:r w:rsidRPr="00D1297D">
              <w:rPr>
                <w:sz w:val="18"/>
                <w:szCs w:val="18"/>
                <w:lang w:val="es-MX" w:eastAsia="es-MX"/>
              </w:rPr>
              <w:t>IVa</w:t>
            </w:r>
          </w:p>
        </w:tc>
        <w:tc>
          <w:tcPr>
            <w:tcW w:w="1338" w:type="dxa"/>
            <w:vAlign w:val="center"/>
          </w:tcPr>
          <w:p w14:paraId="3A4EA1DB" w14:textId="77777777" w:rsidR="00D1297D" w:rsidRPr="00D1297D" w:rsidRDefault="00D1297D" w:rsidP="00D1297D">
            <w:pPr>
              <w:spacing w:line="360" w:lineRule="auto"/>
              <w:jc w:val="center"/>
              <w:rPr>
                <w:sz w:val="18"/>
                <w:szCs w:val="18"/>
                <w:lang w:val="es-MX" w:eastAsia="es-MX"/>
              </w:rPr>
            </w:pPr>
            <w:r w:rsidRPr="00D1297D">
              <w:rPr>
                <w:sz w:val="18"/>
                <w:szCs w:val="18"/>
                <w:lang w:val="es-MX" w:eastAsia="es-MX"/>
              </w:rPr>
              <w:t>T4a</w:t>
            </w:r>
          </w:p>
        </w:tc>
        <w:tc>
          <w:tcPr>
            <w:tcW w:w="1244" w:type="dxa"/>
            <w:vAlign w:val="center"/>
          </w:tcPr>
          <w:p w14:paraId="75A42613" w14:textId="77777777" w:rsidR="00D1297D" w:rsidRPr="00D1297D" w:rsidRDefault="00D1297D" w:rsidP="00D1297D">
            <w:pPr>
              <w:spacing w:line="360" w:lineRule="auto"/>
              <w:jc w:val="center"/>
              <w:rPr>
                <w:sz w:val="18"/>
                <w:szCs w:val="18"/>
                <w:lang w:val="es-MX" w:eastAsia="es-MX"/>
              </w:rPr>
            </w:pPr>
            <w:r w:rsidRPr="00D1297D">
              <w:rPr>
                <w:sz w:val="18"/>
                <w:szCs w:val="18"/>
                <w:lang w:val="es-MX" w:eastAsia="es-MX"/>
              </w:rPr>
              <w:t>N2</w:t>
            </w:r>
          </w:p>
        </w:tc>
        <w:tc>
          <w:tcPr>
            <w:tcW w:w="851" w:type="dxa"/>
            <w:vAlign w:val="center"/>
          </w:tcPr>
          <w:p w14:paraId="35559DBD" w14:textId="77777777" w:rsidR="00D1297D" w:rsidRPr="00D1297D" w:rsidRDefault="00D1297D" w:rsidP="00D1297D">
            <w:pPr>
              <w:spacing w:line="360" w:lineRule="auto"/>
              <w:jc w:val="center"/>
              <w:rPr>
                <w:sz w:val="18"/>
                <w:szCs w:val="18"/>
                <w:lang w:val="es-MX" w:eastAsia="es-MX"/>
              </w:rPr>
            </w:pPr>
            <w:r w:rsidRPr="00D1297D">
              <w:rPr>
                <w:sz w:val="18"/>
                <w:szCs w:val="18"/>
                <w:lang w:val="es-MX" w:eastAsia="es-MX"/>
              </w:rPr>
              <w:t>M0</w:t>
            </w:r>
          </w:p>
        </w:tc>
      </w:tr>
      <w:tr w:rsidR="00D1297D" w:rsidRPr="00D1297D" w14:paraId="45A7FC63" w14:textId="77777777" w:rsidTr="00506A36">
        <w:trPr>
          <w:jc w:val="center"/>
        </w:trPr>
        <w:tc>
          <w:tcPr>
            <w:tcW w:w="1100" w:type="dxa"/>
            <w:vAlign w:val="center"/>
          </w:tcPr>
          <w:p w14:paraId="4E3CBB7B" w14:textId="77777777" w:rsidR="00D1297D" w:rsidRPr="00D1297D" w:rsidRDefault="00D1297D" w:rsidP="00D1297D">
            <w:pPr>
              <w:spacing w:line="360" w:lineRule="auto"/>
              <w:jc w:val="both"/>
              <w:rPr>
                <w:sz w:val="18"/>
                <w:szCs w:val="18"/>
                <w:lang w:val="es-MX" w:eastAsia="es-MX"/>
              </w:rPr>
            </w:pPr>
            <w:r w:rsidRPr="00D1297D">
              <w:rPr>
                <w:sz w:val="18"/>
                <w:szCs w:val="18"/>
                <w:lang w:val="es-MX" w:eastAsia="es-MX"/>
              </w:rPr>
              <w:t>IVb</w:t>
            </w:r>
          </w:p>
        </w:tc>
        <w:tc>
          <w:tcPr>
            <w:tcW w:w="1338" w:type="dxa"/>
            <w:vAlign w:val="center"/>
          </w:tcPr>
          <w:p w14:paraId="0AF14191" w14:textId="77777777" w:rsidR="00D1297D" w:rsidRPr="00D1297D" w:rsidRDefault="00D1297D" w:rsidP="00D1297D">
            <w:pPr>
              <w:spacing w:line="360" w:lineRule="auto"/>
              <w:jc w:val="center"/>
              <w:rPr>
                <w:sz w:val="18"/>
                <w:szCs w:val="18"/>
                <w:lang w:val="es-MX" w:eastAsia="es-MX"/>
              </w:rPr>
            </w:pPr>
            <w:r w:rsidRPr="00D1297D">
              <w:rPr>
                <w:sz w:val="18"/>
                <w:szCs w:val="18"/>
                <w:lang w:val="es-MX" w:eastAsia="es-MX"/>
              </w:rPr>
              <w:t>T4b</w:t>
            </w:r>
          </w:p>
        </w:tc>
        <w:tc>
          <w:tcPr>
            <w:tcW w:w="1244" w:type="dxa"/>
            <w:vAlign w:val="center"/>
          </w:tcPr>
          <w:p w14:paraId="646D1005" w14:textId="77777777" w:rsidR="00D1297D" w:rsidRPr="00D1297D" w:rsidRDefault="00D1297D" w:rsidP="00D1297D">
            <w:pPr>
              <w:spacing w:line="360" w:lineRule="auto"/>
              <w:jc w:val="center"/>
              <w:rPr>
                <w:sz w:val="18"/>
                <w:szCs w:val="18"/>
                <w:lang w:val="es-MX" w:eastAsia="es-MX"/>
              </w:rPr>
            </w:pPr>
            <w:r w:rsidRPr="00D1297D">
              <w:rPr>
                <w:sz w:val="18"/>
                <w:szCs w:val="18"/>
                <w:lang w:val="es-MX" w:eastAsia="es-MX"/>
              </w:rPr>
              <w:t>N3</w:t>
            </w:r>
          </w:p>
        </w:tc>
        <w:tc>
          <w:tcPr>
            <w:tcW w:w="851" w:type="dxa"/>
            <w:vAlign w:val="center"/>
          </w:tcPr>
          <w:p w14:paraId="470C806F" w14:textId="77777777" w:rsidR="00D1297D" w:rsidRPr="00D1297D" w:rsidRDefault="00D1297D" w:rsidP="00D1297D">
            <w:pPr>
              <w:spacing w:line="360" w:lineRule="auto"/>
              <w:jc w:val="center"/>
              <w:rPr>
                <w:sz w:val="18"/>
                <w:szCs w:val="18"/>
                <w:lang w:val="es-MX" w:eastAsia="es-MX"/>
              </w:rPr>
            </w:pPr>
            <w:r w:rsidRPr="00D1297D">
              <w:rPr>
                <w:sz w:val="18"/>
                <w:szCs w:val="18"/>
                <w:lang w:val="es-MX" w:eastAsia="es-MX"/>
              </w:rPr>
              <w:t>M0</w:t>
            </w:r>
          </w:p>
        </w:tc>
      </w:tr>
      <w:tr w:rsidR="00D1297D" w:rsidRPr="00D1297D" w14:paraId="1ECE089C" w14:textId="77777777" w:rsidTr="00506A36">
        <w:trPr>
          <w:jc w:val="center"/>
        </w:trPr>
        <w:tc>
          <w:tcPr>
            <w:tcW w:w="1100" w:type="dxa"/>
            <w:vAlign w:val="center"/>
          </w:tcPr>
          <w:p w14:paraId="588A488A" w14:textId="77777777" w:rsidR="00D1297D" w:rsidRPr="00D1297D" w:rsidRDefault="00D1297D" w:rsidP="00D1297D">
            <w:pPr>
              <w:spacing w:line="360" w:lineRule="auto"/>
              <w:jc w:val="both"/>
              <w:rPr>
                <w:sz w:val="18"/>
                <w:szCs w:val="18"/>
                <w:lang w:val="es-MX" w:eastAsia="es-MX"/>
              </w:rPr>
            </w:pPr>
            <w:r w:rsidRPr="00D1297D">
              <w:rPr>
                <w:sz w:val="18"/>
                <w:szCs w:val="18"/>
                <w:lang w:val="es-MX" w:eastAsia="es-MX"/>
              </w:rPr>
              <w:t>IVc</w:t>
            </w:r>
          </w:p>
        </w:tc>
        <w:tc>
          <w:tcPr>
            <w:tcW w:w="1338" w:type="dxa"/>
            <w:vAlign w:val="center"/>
          </w:tcPr>
          <w:p w14:paraId="4C0DC986" w14:textId="77777777" w:rsidR="00D1297D" w:rsidRPr="00D1297D" w:rsidRDefault="00D1297D" w:rsidP="00D1297D">
            <w:pPr>
              <w:spacing w:line="360" w:lineRule="auto"/>
              <w:jc w:val="center"/>
              <w:rPr>
                <w:sz w:val="18"/>
                <w:szCs w:val="18"/>
                <w:lang w:val="es-MX" w:eastAsia="es-MX"/>
              </w:rPr>
            </w:pPr>
            <w:r w:rsidRPr="00D1297D">
              <w:rPr>
                <w:sz w:val="18"/>
                <w:szCs w:val="18"/>
                <w:lang w:val="es-MX" w:eastAsia="es-MX"/>
              </w:rPr>
              <w:t>Cualquier T</w:t>
            </w:r>
          </w:p>
        </w:tc>
        <w:tc>
          <w:tcPr>
            <w:tcW w:w="1244" w:type="dxa"/>
            <w:vAlign w:val="center"/>
          </w:tcPr>
          <w:p w14:paraId="47F8E907" w14:textId="77777777" w:rsidR="00D1297D" w:rsidRPr="00D1297D" w:rsidRDefault="00D1297D" w:rsidP="00D1297D">
            <w:pPr>
              <w:spacing w:line="360" w:lineRule="auto"/>
              <w:jc w:val="center"/>
              <w:rPr>
                <w:sz w:val="18"/>
                <w:szCs w:val="18"/>
                <w:lang w:val="es-MX" w:eastAsia="es-MX"/>
              </w:rPr>
            </w:pPr>
            <w:r w:rsidRPr="00D1297D">
              <w:rPr>
                <w:sz w:val="18"/>
                <w:szCs w:val="18"/>
                <w:lang w:val="es-MX" w:eastAsia="es-MX"/>
              </w:rPr>
              <w:t>Cualquier N</w:t>
            </w:r>
          </w:p>
        </w:tc>
        <w:tc>
          <w:tcPr>
            <w:tcW w:w="851" w:type="dxa"/>
            <w:vAlign w:val="center"/>
          </w:tcPr>
          <w:p w14:paraId="33109918" w14:textId="77777777" w:rsidR="00D1297D" w:rsidRPr="00D1297D" w:rsidRDefault="00D1297D" w:rsidP="00D1297D">
            <w:pPr>
              <w:spacing w:line="360" w:lineRule="auto"/>
              <w:jc w:val="center"/>
              <w:rPr>
                <w:sz w:val="18"/>
                <w:szCs w:val="18"/>
                <w:lang w:val="es-MX" w:eastAsia="es-MX"/>
              </w:rPr>
            </w:pPr>
            <w:r w:rsidRPr="00D1297D">
              <w:rPr>
                <w:sz w:val="18"/>
                <w:szCs w:val="18"/>
                <w:lang w:val="es-MX" w:eastAsia="es-MX"/>
              </w:rPr>
              <w:t>M1</w:t>
            </w:r>
          </w:p>
        </w:tc>
      </w:tr>
    </w:tbl>
    <w:p w14:paraId="612D08CF" w14:textId="77777777" w:rsidR="00D1297D" w:rsidRPr="00D1297D" w:rsidRDefault="00D1297D" w:rsidP="00D1297D">
      <w:pPr>
        <w:spacing w:line="360" w:lineRule="auto"/>
        <w:ind w:left="720"/>
        <w:contextualSpacing/>
        <w:jc w:val="both"/>
        <w:rPr>
          <w:rFonts w:eastAsia="Calibri"/>
          <w:lang w:eastAsia="en-US"/>
        </w:rPr>
      </w:pPr>
    </w:p>
    <w:p w14:paraId="17B7D9A0" w14:textId="77777777" w:rsidR="00D1297D" w:rsidRPr="00D1297D" w:rsidRDefault="00D1297D" w:rsidP="00D1297D">
      <w:pPr>
        <w:numPr>
          <w:ilvl w:val="0"/>
          <w:numId w:val="3"/>
        </w:numPr>
        <w:spacing w:line="360" w:lineRule="auto"/>
        <w:contextualSpacing/>
        <w:jc w:val="both"/>
        <w:rPr>
          <w:rFonts w:eastAsia="Calibri"/>
          <w:lang w:eastAsia="en-US"/>
        </w:rPr>
      </w:pPr>
      <w:r w:rsidRPr="00D1297D">
        <w:rPr>
          <w:rFonts w:eastAsia="Calibri"/>
          <w:lang w:val="es-PE" w:eastAsia="en-US"/>
        </w:rPr>
        <w:t>Modalidad terapéutica: cirugía, radioterapia, quimioterapia y combinaciones.</w:t>
      </w:r>
    </w:p>
    <w:p w14:paraId="03247C3C" w14:textId="77777777" w:rsidR="00D1297D" w:rsidRPr="00D1297D" w:rsidRDefault="00D1297D" w:rsidP="00D1297D">
      <w:pPr>
        <w:spacing w:line="360" w:lineRule="auto"/>
        <w:jc w:val="center"/>
        <w:rPr>
          <w:rFonts w:eastAsia="Calibri"/>
          <w:b/>
          <w:lang w:val="es-PE" w:eastAsia="en-US"/>
        </w:rPr>
      </w:pPr>
      <w:bookmarkStart w:id="1" w:name="_Toc66109725"/>
    </w:p>
    <w:p w14:paraId="29BECA9D" w14:textId="77777777" w:rsidR="00D1297D" w:rsidRPr="00D1297D" w:rsidRDefault="00D1297D" w:rsidP="00D1297D">
      <w:pPr>
        <w:spacing w:line="360" w:lineRule="auto"/>
        <w:jc w:val="center"/>
        <w:rPr>
          <w:rFonts w:eastAsia="Calibri"/>
          <w:sz w:val="28"/>
          <w:szCs w:val="28"/>
          <w:lang w:val="es-PE" w:eastAsia="en-US"/>
        </w:rPr>
      </w:pPr>
      <w:r w:rsidRPr="00D1297D">
        <w:rPr>
          <w:rFonts w:eastAsia="Calibri"/>
          <w:b/>
          <w:sz w:val="28"/>
          <w:szCs w:val="28"/>
          <w:lang w:val="es-PE" w:eastAsia="en-US"/>
        </w:rPr>
        <w:t>Recolección de la información</w:t>
      </w:r>
      <w:bookmarkEnd w:id="1"/>
      <w:r w:rsidRPr="00D1297D">
        <w:rPr>
          <w:rFonts w:eastAsia="Calibri"/>
          <w:b/>
          <w:sz w:val="28"/>
          <w:szCs w:val="28"/>
          <w:lang w:val="es-PE" w:eastAsia="en-US"/>
        </w:rPr>
        <w:t>, análisis estadístico y aspectos éticos</w:t>
      </w:r>
    </w:p>
    <w:p w14:paraId="176FA116" w14:textId="77777777" w:rsidR="00D1297D" w:rsidRPr="00D1297D" w:rsidRDefault="00D1297D" w:rsidP="00D1297D">
      <w:pPr>
        <w:spacing w:line="360" w:lineRule="auto"/>
        <w:jc w:val="both"/>
        <w:rPr>
          <w:rFonts w:eastAsia="Calibri"/>
          <w:lang w:val="es-PE" w:eastAsia="en-US"/>
        </w:rPr>
      </w:pPr>
      <w:r w:rsidRPr="00D1297D">
        <w:rPr>
          <w:rFonts w:eastAsia="Calibri"/>
          <w:lang w:val="es-PE" w:eastAsia="en-US"/>
        </w:rPr>
        <w:t xml:space="preserve">La información se obtuvo mediante entrevista con el formulario de </w:t>
      </w:r>
      <w:r w:rsidRPr="00D1297D">
        <w:rPr>
          <w:rFonts w:eastAsia="Calibri"/>
          <w:i/>
          <w:lang w:val="es-PE" w:eastAsia="en-US"/>
        </w:rPr>
        <w:t>Hermidas Rojas</w:t>
      </w:r>
      <w:r w:rsidRPr="00D1297D">
        <w:rPr>
          <w:rFonts w:eastAsia="Calibri"/>
          <w:vertAlign w:val="superscript"/>
          <w:lang w:val="es-PE" w:eastAsia="en-US"/>
        </w:rPr>
        <w:t>(3)</w:t>
      </w:r>
      <w:r w:rsidRPr="00D1297D">
        <w:rPr>
          <w:rFonts w:eastAsia="Calibri"/>
          <w:lang w:val="es-PE" w:eastAsia="en-US"/>
        </w:rPr>
        <w:t xml:space="preserve"> y el examen clínico. </w:t>
      </w:r>
      <w:r w:rsidRPr="00D1297D">
        <w:rPr>
          <w:rFonts w:eastAsia="Calibri"/>
          <w:lang w:val="es-PE" w:eastAsia="es-MX"/>
        </w:rPr>
        <w:t>Se elaboró una base de datos en el programa Microsoft Excel®. Se realizó el análisis descriptivo de las variables según las frecuencias absolutas y relativas.</w:t>
      </w:r>
      <w:r w:rsidRPr="00D1297D">
        <w:rPr>
          <w:rFonts w:eastAsia="Calibri"/>
          <w:lang w:val="es-PE" w:eastAsia="en-US"/>
        </w:rPr>
        <w:t xml:space="preserve"> Para participar en el estudio, fue necesario manifestar por escrito un consentimiento informado. Se respetaron los aspectos de la Declaración de Helsinki para la investigación en seres humanos. El proyecto de la investigación se aprobó en el comité de ética y en el consejo científico del Hospital General Provincial “Carlos Manuel de Céspedes”.</w:t>
      </w:r>
    </w:p>
    <w:p w14:paraId="30838E61" w14:textId="77777777" w:rsidR="00D1297D" w:rsidRPr="00D1297D" w:rsidRDefault="00D1297D" w:rsidP="00D1297D">
      <w:pPr>
        <w:spacing w:line="360" w:lineRule="auto"/>
        <w:jc w:val="both"/>
        <w:rPr>
          <w:rFonts w:eastAsia="Calibri"/>
          <w:lang w:val="es-PE" w:eastAsia="en-US"/>
        </w:rPr>
      </w:pPr>
    </w:p>
    <w:p w14:paraId="41F9DA5B" w14:textId="77777777" w:rsidR="00D1297D" w:rsidRPr="00D1297D" w:rsidRDefault="00D1297D" w:rsidP="00D1297D">
      <w:pPr>
        <w:spacing w:line="360" w:lineRule="auto"/>
        <w:jc w:val="center"/>
        <w:rPr>
          <w:rFonts w:eastAsia="Calibri"/>
          <w:b/>
          <w:sz w:val="32"/>
          <w:szCs w:val="32"/>
          <w:lang w:val="es-MX" w:eastAsia="en-US"/>
        </w:rPr>
      </w:pPr>
    </w:p>
    <w:p w14:paraId="293ABAF6" w14:textId="77777777" w:rsidR="00D1297D" w:rsidRPr="00D1297D" w:rsidRDefault="00D1297D" w:rsidP="00D1297D">
      <w:pPr>
        <w:spacing w:line="360" w:lineRule="auto"/>
        <w:jc w:val="center"/>
        <w:rPr>
          <w:rFonts w:eastAsia="Calibri"/>
          <w:b/>
          <w:sz w:val="32"/>
          <w:szCs w:val="32"/>
          <w:lang w:val="es-MX" w:eastAsia="en-US"/>
        </w:rPr>
      </w:pPr>
      <w:r w:rsidRPr="00D1297D">
        <w:rPr>
          <w:rFonts w:eastAsia="Calibri"/>
          <w:b/>
          <w:sz w:val="32"/>
          <w:szCs w:val="32"/>
          <w:lang w:val="es-MX" w:eastAsia="en-US"/>
        </w:rPr>
        <w:t>RESULTADOS</w:t>
      </w:r>
    </w:p>
    <w:p w14:paraId="4D234A68" w14:textId="77777777" w:rsidR="00D1297D" w:rsidRPr="00D1297D" w:rsidRDefault="00D1297D" w:rsidP="00D1297D">
      <w:pPr>
        <w:spacing w:line="360" w:lineRule="auto"/>
        <w:jc w:val="both"/>
        <w:rPr>
          <w:rFonts w:eastAsia="Calibri"/>
          <w:lang w:val="es-PE" w:eastAsia="es-MX"/>
        </w:rPr>
      </w:pPr>
      <w:r w:rsidRPr="00D1297D">
        <w:rPr>
          <w:rFonts w:eastAsia="Calibri"/>
          <w:lang w:val="es-PE" w:eastAsia="es-MX"/>
        </w:rPr>
        <w:t>El rango de edad de 60 a 69 años fue el más frecuente. La edad media fue de 63,0 ± 10,3 años, con un mínimo de 41 años y un máximo de 80 años. Predominó el sexo masculino con 20 pacientes (</w:t>
      </w:r>
      <w:r w:rsidRPr="00D1297D">
        <w:rPr>
          <w:lang w:val="es-US" w:eastAsia="es-PE"/>
        </w:rPr>
        <w:t>69,0 %</w:t>
      </w:r>
      <w:r w:rsidRPr="00D1297D">
        <w:rPr>
          <w:rFonts w:eastAsia="Calibri"/>
          <w:lang w:val="es-PE" w:eastAsia="es-MX"/>
        </w:rPr>
        <w:t xml:space="preserve">), para una relación hombre/mujer de 2,2:1. Quince (15) pacientes (51,7 %) tuvieron bajos niveles de </w:t>
      </w:r>
      <w:r w:rsidRPr="00D1297D">
        <w:rPr>
          <w:rFonts w:eastAsia="Calibri"/>
          <w:lang w:val="es-PE" w:eastAsia="es-MX"/>
        </w:rPr>
        <w:lastRenderedPageBreak/>
        <w:t>escolaridad (primaria y secundaria) (tabla 2). La distribución por municipios es la siguiente: Bayamo (n= 20), Buey Arriba (n= 3), Guisa (n= 2) y un paciente per cápita en Río Cauto, Cauto Cristo, Manzanillo y Media Luna.</w:t>
      </w:r>
    </w:p>
    <w:p w14:paraId="5DEA45DB" w14:textId="77777777" w:rsidR="00D1297D" w:rsidRPr="00D1297D" w:rsidRDefault="00D1297D" w:rsidP="00D1297D">
      <w:pPr>
        <w:spacing w:line="360" w:lineRule="auto"/>
        <w:jc w:val="center"/>
        <w:rPr>
          <w:rFonts w:eastAsia="Calibri"/>
          <w:b/>
          <w:sz w:val="22"/>
          <w:szCs w:val="22"/>
          <w:lang w:val="es-PE" w:eastAsia="es-MX"/>
        </w:rPr>
      </w:pPr>
    </w:p>
    <w:p w14:paraId="7F86C6BC" w14:textId="77777777" w:rsidR="00D1297D" w:rsidRPr="00D1297D" w:rsidRDefault="00D1297D" w:rsidP="00D1297D">
      <w:pPr>
        <w:spacing w:line="360" w:lineRule="auto"/>
        <w:jc w:val="center"/>
        <w:rPr>
          <w:rFonts w:eastAsia="Calibri"/>
          <w:sz w:val="22"/>
          <w:szCs w:val="22"/>
          <w:lang w:val="es-PE" w:eastAsia="es-MX"/>
        </w:rPr>
      </w:pPr>
      <w:r w:rsidRPr="00D1297D">
        <w:rPr>
          <w:rFonts w:eastAsia="Calibri"/>
          <w:b/>
          <w:sz w:val="22"/>
          <w:szCs w:val="22"/>
          <w:lang w:val="es-PE" w:eastAsia="es-MX"/>
        </w:rPr>
        <w:t>Tabla 2 -</w:t>
      </w:r>
      <w:r w:rsidRPr="00D1297D">
        <w:rPr>
          <w:rFonts w:eastAsia="Calibri"/>
          <w:sz w:val="22"/>
          <w:szCs w:val="22"/>
          <w:lang w:val="es-PE" w:eastAsia="es-MX"/>
        </w:rPr>
        <w:t xml:space="preserve"> Características sociodemográficas de los pacientes</w:t>
      </w:r>
    </w:p>
    <w:p w14:paraId="708314E0" w14:textId="2DFCAE5D" w:rsidR="00D1297D" w:rsidRPr="00D1297D" w:rsidRDefault="00D1297D" w:rsidP="00D1297D">
      <w:pPr>
        <w:spacing w:line="360" w:lineRule="auto"/>
        <w:jc w:val="center"/>
        <w:rPr>
          <w:lang w:val="es-ES" w:eastAsia="es-MX"/>
        </w:rPr>
      </w:pPr>
      <w:r w:rsidRPr="00D1297D">
        <w:rPr>
          <w:noProof/>
          <w:lang w:val="es-ES" w:eastAsia="es-MX"/>
        </w:rPr>
        <w:drawing>
          <wp:inline distT="0" distB="0" distL="0" distR="0" wp14:anchorId="19C3A7EE" wp14:editId="62DF5CEC">
            <wp:extent cx="2905125" cy="3686175"/>
            <wp:effectExtent l="0" t="0" r="0"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5125" cy="3686175"/>
                    </a:xfrm>
                    <a:prstGeom prst="rect">
                      <a:avLst/>
                    </a:prstGeom>
                    <a:noFill/>
                    <a:ln>
                      <a:noFill/>
                    </a:ln>
                  </pic:spPr>
                </pic:pic>
              </a:graphicData>
            </a:graphic>
          </wp:inline>
        </w:drawing>
      </w:r>
    </w:p>
    <w:p w14:paraId="6FC4DBDE" w14:textId="77777777" w:rsidR="00D1297D" w:rsidRPr="00D1297D" w:rsidRDefault="00D1297D" w:rsidP="00D1297D">
      <w:pPr>
        <w:spacing w:line="360" w:lineRule="auto"/>
        <w:jc w:val="both"/>
        <w:rPr>
          <w:lang w:val="es-ES" w:eastAsia="es-MX"/>
        </w:rPr>
      </w:pPr>
    </w:p>
    <w:p w14:paraId="6E33D5A6" w14:textId="77777777" w:rsidR="00D1297D" w:rsidRPr="00D1297D" w:rsidRDefault="00D1297D" w:rsidP="00D1297D">
      <w:pPr>
        <w:spacing w:line="360" w:lineRule="auto"/>
        <w:jc w:val="both"/>
        <w:rPr>
          <w:lang w:val="es-ES" w:eastAsia="es-PE"/>
        </w:rPr>
      </w:pPr>
      <w:r w:rsidRPr="00D1297D">
        <w:rPr>
          <w:lang w:val="es-ES" w:eastAsia="es-MX"/>
        </w:rPr>
        <w:t xml:space="preserve">La lengua fue la localización más afectada </w:t>
      </w:r>
      <w:r w:rsidRPr="00D1297D">
        <w:rPr>
          <w:rFonts w:eastAsia="Calibri"/>
          <w:lang w:val="es-PE" w:eastAsia="es-MX"/>
        </w:rPr>
        <w:t>(34,5 %),</w:t>
      </w:r>
      <w:r w:rsidRPr="00D1297D">
        <w:rPr>
          <w:lang w:val="es-ES" w:eastAsia="es-MX"/>
        </w:rPr>
        <w:t xml:space="preserve"> la </w:t>
      </w:r>
      <w:r w:rsidRPr="00D1297D">
        <w:rPr>
          <w:lang w:val="es-ES" w:eastAsia="es-PE"/>
        </w:rPr>
        <w:t xml:space="preserve">úlcera hundida o infiltrante la variante clínica de mayor presentación </w:t>
      </w:r>
      <w:r w:rsidRPr="00D1297D">
        <w:rPr>
          <w:rFonts w:eastAsia="Calibri"/>
          <w:lang w:val="es-PE" w:eastAsia="es-MX"/>
        </w:rPr>
        <w:t>(</w:t>
      </w:r>
      <w:r w:rsidRPr="00D1297D">
        <w:rPr>
          <w:lang w:val="es-ES" w:eastAsia="es-PE"/>
        </w:rPr>
        <w:t>27,6 </w:t>
      </w:r>
      <w:r w:rsidRPr="00D1297D">
        <w:rPr>
          <w:rFonts w:eastAsia="Calibri"/>
          <w:lang w:val="es-PE" w:eastAsia="es-MX"/>
        </w:rPr>
        <w:t>%)</w:t>
      </w:r>
      <w:r w:rsidRPr="00D1297D">
        <w:rPr>
          <w:lang w:val="es-ES" w:eastAsia="es-PE"/>
        </w:rPr>
        <w:t xml:space="preserve"> y el 48,3 % de los CE fueron diferenciados histológicamente (tabla 3).</w:t>
      </w:r>
    </w:p>
    <w:p w14:paraId="559820D6" w14:textId="77777777" w:rsidR="00D1297D" w:rsidRPr="00D1297D" w:rsidRDefault="00D1297D" w:rsidP="00D1297D">
      <w:pPr>
        <w:spacing w:line="360" w:lineRule="auto"/>
        <w:jc w:val="both"/>
        <w:rPr>
          <w:lang w:val="es-ES" w:eastAsia="es-MX"/>
        </w:rPr>
      </w:pPr>
    </w:p>
    <w:p w14:paraId="4830A25C" w14:textId="77777777" w:rsidR="00D1297D" w:rsidRPr="00D1297D" w:rsidRDefault="00D1297D" w:rsidP="00D1297D">
      <w:pPr>
        <w:rPr>
          <w:rFonts w:eastAsia="Calibri"/>
          <w:b/>
          <w:sz w:val="22"/>
          <w:szCs w:val="22"/>
          <w:lang w:val="es-PE" w:eastAsia="es-MX"/>
        </w:rPr>
      </w:pPr>
      <w:r w:rsidRPr="00D1297D">
        <w:rPr>
          <w:rFonts w:eastAsia="Calibri"/>
          <w:b/>
          <w:sz w:val="22"/>
          <w:szCs w:val="22"/>
          <w:lang w:val="es-PE" w:eastAsia="es-MX"/>
        </w:rPr>
        <w:br w:type="page"/>
      </w:r>
    </w:p>
    <w:p w14:paraId="0CD17D7D" w14:textId="77777777" w:rsidR="00D1297D" w:rsidRPr="00D1297D" w:rsidRDefault="00D1297D" w:rsidP="00D1297D">
      <w:pPr>
        <w:spacing w:line="360" w:lineRule="auto"/>
        <w:jc w:val="center"/>
        <w:rPr>
          <w:rFonts w:eastAsia="Calibri"/>
          <w:sz w:val="22"/>
          <w:szCs w:val="22"/>
          <w:lang w:val="es-PE" w:eastAsia="es-MX"/>
        </w:rPr>
      </w:pPr>
      <w:r w:rsidRPr="00D1297D">
        <w:rPr>
          <w:rFonts w:eastAsia="Calibri"/>
          <w:b/>
          <w:sz w:val="22"/>
          <w:szCs w:val="22"/>
          <w:lang w:val="es-PE" w:eastAsia="es-MX"/>
        </w:rPr>
        <w:lastRenderedPageBreak/>
        <w:t>Tabla 3 -</w:t>
      </w:r>
      <w:r w:rsidRPr="00D1297D">
        <w:rPr>
          <w:rFonts w:eastAsia="Calibri"/>
          <w:sz w:val="22"/>
          <w:szCs w:val="22"/>
          <w:lang w:val="es-PE" w:eastAsia="es-MX"/>
        </w:rPr>
        <w:t xml:space="preserve"> Localizaciones anatómicas, variantes clínicas y grado histológico de diferenciación de los carcinomas epidermoides</w:t>
      </w:r>
    </w:p>
    <w:p w14:paraId="5BC7E49F" w14:textId="37EE6044" w:rsidR="00D1297D" w:rsidRPr="00D1297D" w:rsidRDefault="00D1297D" w:rsidP="00D1297D">
      <w:pPr>
        <w:spacing w:line="360" w:lineRule="auto"/>
        <w:jc w:val="center"/>
        <w:rPr>
          <w:rFonts w:eastAsia="Calibri"/>
          <w:sz w:val="16"/>
          <w:szCs w:val="16"/>
          <w:lang w:val="es-PE" w:eastAsia="es-MX"/>
        </w:rPr>
      </w:pPr>
      <w:r w:rsidRPr="00D1297D">
        <w:rPr>
          <w:rFonts w:eastAsia="Calibri"/>
          <w:noProof/>
          <w:sz w:val="16"/>
          <w:szCs w:val="16"/>
          <w:lang w:val="es-PE" w:eastAsia="es-MX"/>
        </w:rPr>
        <w:drawing>
          <wp:inline distT="0" distB="0" distL="0" distR="0" wp14:anchorId="020E0B57" wp14:editId="3A2EFEB6">
            <wp:extent cx="4514850" cy="3686175"/>
            <wp:effectExtent l="0" t="0" r="0" b="0"/>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4850" cy="3686175"/>
                    </a:xfrm>
                    <a:prstGeom prst="rect">
                      <a:avLst/>
                    </a:prstGeom>
                    <a:noFill/>
                    <a:ln>
                      <a:noFill/>
                    </a:ln>
                  </pic:spPr>
                </pic:pic>
              </a:graphicData>
            </a:graphic>
          </wp:inline>
        </w:drawing>
      </w:r>
    </w:p>
    <w:p w14:paraId="1E9A9B27" w14:textId="77777777" w:rsidR="00D1297D" w:rsidRPr="00D1297D" w:rsidRDefault="00D1297D" w:rsidP="00D1297D">
      <w:pPr>
        <w:spacing w:line="360" w:lineRule="auto"/>
        <w:jc w:val="center"/>
        <w:rPr>
          <w:sz w:val="16"/>
          <w:szCs w:val="16"/>
          <w:lang w:val="es-PE" w:eastAsia="es-MX"/>
        </w:rPr>
      </w:pPr>
      <w:r w:rsidRPr="00D1297D">
        <w:rPr>
          <w:rFonts w:eastAsia="Calibri"/>
          <w:sz w:val="16"/>
          <w:szCs w:val="16"/>
          <w:lang w:val="es-PE" w:eastAsia="es-MX"/>
        </w:rPr>
        <w:t>*Un mismo paciente pudo presentar varias lesiones y, por tanto, diferentes localizaciones, variantes clínicas y grados de diferenciación.</w:t>
      </w:r>
    </w:p>
    <w:p w14:paraId="2C3EF685" w14:textId="77777777" w:rsidR="00D1297D" w:rsidRPr="00D1297D" w:rsidRDefault="00D1297D" w:rsidP="00D1297D">
      <w:pPr>
        <w:spacing w:line="360" w:lineRule="auto"/>
        <w:jc w:val="both"/>
        <w:rPr>
          <w:lang w:val="es-ES" w:eastAsia="es-MX"/>
        </w:rPr>
      </w:pPr>
    </w:p>
    <w:p w14:paraId="06840D82" w14:textId="77777777" w:rsidR="00D1297D" w:rsidRPr="00D1297D" w:rsidRDefault="00D1297D" w:rsidP="00D1297D">
      <w:pPr>
        <w:spacing w:line="360" w:lineRule="auto"/>
        <w:jc w:val="both"/>
        <w:rPr>
          <w:lang w:val="es-ES" w:eastAsia="es-MX"/>
        </w:rPr>
      </w:pPr>
      <w:r w:rsidRPr="00D1297D">
        <w:rPr>
          <w:lang w:val="es-ES" w:eastAsia="es-MX"/>
        </w:rPr>
        <w:t>Predominaron las lesiones T3 (</w:t>
      </w:r>
      <w:r w:rsidRPr="00D1297D">
        <w:rPr>
          <w:lang w:val="es-ES" w:eastAsia="es-PE"/>
        </w:rPr>
        <w:t>31,0 </w:t>
      </w:r>
      <w:r w:rsidRPr="00D1297D">
        <w:rPr>
          <w:lang w:val="es-ES" w:eastAsia="es-MX"/>
        </w:rPr>
        <w:t>%), N0 (</w:t>
      </w:r>
      <w:r w:rsidRPr="00D1297D">
        <w:rPr>
          <w:lang w:val="es-ES" w:eastAsia="es-PE"/>
        </w:rPr>
        <w:t>58,6 </w:t>
      </w:r>
      <w:r w:rsidRPr="00D1297D">
        <w:rPr>
          <w:lang w:val="es-ES" w:eastAsia="es-MX"/>
        </w:rPr>
        <w:t>%) y M0 (</w:t>
      </w:r>
      <w:r w:rsidRPr="00D1297D">
        <w:rPr>
          <w:lang w:val="es-ES" w:eastAsia="es-PE"/>
        </w:rPr>
        <w:t>96,6 </w:t>
      </w:r>
      <w:r w:rsidRPr="00D1297D">
        <w:rPr>
          <w:lang w:val="es-ES" w:eastAsia="es-MX"/>
        </w:rPr>
        <w:t xml:space="preserve">%). Nueve pacientes se encontraron en la etapa clínica III en el momento del diagnóstico. El 65,5 % de los casos se diagnosticó en estadios avanzados de la enfermedad (etapas III y IV) </w:t>
      </w:r>
      <w:r w:rsidRPr="00D1297D">
        <w:rPr>
          <w:lang w:val="es-ES" w:eastAsia="es-PE"/>
        </w:rPr>
        <w:t>(tabla 4).</w:t>
      </w:r>
    </w:p>
    <w:p w14:paraId="1306E8C1" w14:textId="77777777" w:rsidR="00D1297D" w:rsidRPr="00D1297D" w:rsidRDefault="00D1297D" w:rsidP="00D1297D">
      <w:pPr>
        <w:spacing w:line="360" w:lineRule="auto"/>
        <w:jc w:val="both"/>
        <w:rPr>
          <w:rFonts w:eastAsia="Calibri"/>
          <w:lang w:val="es-PE" w:eastAsia="es-MX"/>
        </w:rPr>
      </w:pPr>
      <w:r w:rsidRPr="00D1297D">
        <w:rPr>
          <w:rFonts w:eastAsia="Calibri"/>
          <w:lang w:val="es-PE" w:eastAsia="es-MX"/>
        </w:rPr>
        <w:t xml:space="preserve">La modalidad terapéutica más utilizada fue la cirugía (31,0 %). La quimioterapia más radioterapia, así como la cirugía combinada con la radioterapia y la quimioterapia se emplearon en el </w:t>
      </w:r>
      <w:r w:rsidRPr="00D1297D">
        <w:rPr>
          <w:lang w:val="es-US" w:eastAsia="es-MX"/>
        </w:rPr>
        <w:t xml:space="preserve">27,6 % y 24,1 % de los pacientes respectivamente </w:t>
      </w:r>
      <w:r w:rsidRPr="00D1297D">
        <w:rPr>
          <w:rFonts w:eastAsia="Calibri"/>
          <w:lang w:val="es-PE" w:eastAsia="es-MX"/>
        </w:rPr>
        <w:t>(tabla 5).</w:t>
      </w:r>
    </w:p>
    <w:p w14:paraId="0B1BF441" w14:textId="77777777" w:rsidR="00D1297D" w:rsidRPr="00D1297D" w:rsidRDefault="00D1297D" w:rsidP="00D1297D">
      <w:pPr>
        <w:spacing w:line="360" w:lineRule="auto"/>
        <w:jc w:val="center"/>
        <w:rPr>
          <w:rFonts w:eastAsia="Calibri"/>
          <w:b/>
          <w:lang w:val="es-PE" w:eastAsia="es-MX"/>
        </w:rPr>
      </w:pPr>
    </w:p>
    <w:p w14:paraId="4A7627AC" w14:textId="77777777" w:rsidR="00D1297D" w:rsidRPr="00D1297D" w:rsidRDefault="00D1297D" w:rsidP="00D1297D">
      <w:pPr>
        <w:rPr>
          <w:rFonts w:eastAsia="Calibri"/>
          <w:b/>
          <w:sz w:val="22"/>
          <w:szCs w:val="22"/>
          <w:lang w:val="es-PE" w:eastAsia="es-MX"/>
        </w:rPr>
      </w:pPr>
      <w:r w:rsidRPr="00D1297D">
        <w:rPr>
          <w:rFonts w:eastAsia="Calibri"/>
          <w:b/>
          <w:sz w:val="22"/>
          <w:szCs w:val="22"/>
          <w:lang w:val="es-PE" w:eastAsia="es-MX"/>
        </w:rPr>
        <w:br w:type="page"/>
      </w:r>
    </w:p>
    <w:p w14:paraId="31DCC4F5" w14:textId="77777777" w:rsidR="00D1297D" w:rsidRPr="00D1297D" w:rsidRDefault="00D1297D" w:rsidP="00D1297D">
      <w:pPr>
        <w:spacing w:line="360" w:lineRule="auto"/>
        <w:jc w:val="center"/>
        <w:rPr>
          <w:rFonts w:eastAsia="Calibri"/>
          <w:sz w:val="22"/>
          <w:szCs w:val="22"/>
          <w:lang w:val="es-PE" w:eastAsia="es-MX"/>
        </w:rPr>
      </w:pPr>
      <w:r w:rsidRPr="00D1297D">
        <w:rPr>
          <w:rFonts w:eastAsia="Calibri"/>
          <w:b/>
          <w:sz w:val="22"/>
          <w:szCs w:val="22"/>
          <w:lang w:val="es-PE" w:eastAsia="es-MX"/>
        </w:rPr>
        <w:lastRenderedPageBreak/>
        <w:t>Tabla 4 -</w:t>
      </w:r>
      <w:r w:rsidRPr="00D1297D">
        <w:rPr>
          <w:rFonts w:eastAsia="Calibri"/>
          <w:sz w:val="22"/>
          <w:szCs w:val="22"/>
          <w:lang w:val="es-PE" w:eastAsia="es-MX"/>
        </w:rPr>
        <w:t xml:space="preserve"> Distribución de los pacientes según sistema TNM OMS 7</w:t>
      </w:r>
      <w:r w:rsidRPr="00D1297D">
        <w:rPr>
          <w:rFonts w:eastAsia="Calibri"/>
          <w:sz w:val="22"/>
          <w:szCs w:val="22"/>
          <w:vertAlign w:val="superscript"/>
          <w:lang w:val="es-PE" w:eastAsia="es-MX"/>
        </w:rPr>
        <w:t>ma</w:t>
      </w:r>
      <w:r w:rsidRPr="00D1297D">
        <w:rPr>
          <w:rFonts w:eastAsia="Calibri"/>
          <w:sz w:val="22"/>
          <w:szCs w:val="22"/>
          <w:lang w:val="es-PE" w:eastAsia="es-MX"/>
        </w:rPr>
        <w:t xml:space="preserve"> edición</w:t>
      </w:r>
    </w:p>
    <w:p w14:paraId="7D7CABD0" w14:textId="6A4CD85B" w:rsidR="00D1297D" w:rsidRPr="00D1297D" w:rsidRDefault="00D1297D" w:rsidP="00D1297D">
      <w:pPr>
        <w:spacing w:line="360" w:lineRule="auto"/>
        <w:jc w:val="center"/>
        <w:rPr>
          <w:rFonts w:eastAsia="Calibri"/>
          <w:lang w:val="es-PE" w:eastAsia="es-MX"/>
        </w:rPr>
      </w:pPr>
      <w:r w:rsidRPr="00D1297D">
        <w:rPr>
          <w:rFonts w:eastAsia="Calibri"/>
          <w:noProof/>
          <w:lang w:val="es-PE" w:eastAsia="es-MX"/>
        </w:rPr>
        <w:drawing>
          <wp:inline distT="0" distB="0" distL="0" distR="0" wp14:anchorId="6FD5ACB8" wp14:editId="76F684AD">
            <wp:extent cx="2828925" cy="3905250"/>
            <wp:effectExtent l="0" t="0" r="0" b="0"/>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8925" cy="3905250"/>
                    </a:xfrm>
                    <a:prstGeom prst="rect">
                      <a:avLst/>
                    </a:prstGeom>
                    <a:noFill/>
                    <a:ln>
                      <a:noFill/>
                    </a:ln>
                  </pic:spPr>
                </pic:pic>
              </a:graphicData>
            </a:graphic>
          </wp:inline>
        </w:drawing>
      </w:r>
    </w:p>
    <w:p w14:paraId="32D84F56" w14:textId="77777777" w:rsidR="00D1297D" w:rsidRPr="00D1297D" w:rsidRDefault="00D1297D" w:rsidP="00D1297D">
      <w:pPr>
        <w:spacing w:line="360" w:lineRule="auto"/>
        <w:jc w:val="both"/>
        <w:rPr>
          <w:rFonts w:eastAsia="Calibri"/>
          <w:lang w:val="es-PE" w:eastAsia="es-MX"/>
        </w:rPr>
      </w:pPr>
    </w:p>
    <w:p w14:paraId="2F686AFD" w14:textId="77777777" w:rsidR="00D1297D" w:rsidRPr="00D1297D" w:rsidRDefault="00D1297D" w:rsidP="00D1297D">
      <w:pPr>
        <w:spacing w:line="360" w:lineRule="auto"/>
        <w:jc w:val="center"/>
        <w:rPr>
          <w:rFonts w:eastAsia="Calibri"/>
          <w:sz w:val="22"/>
          <w:szCs w:val="22"/>
          <w:lang w:val="es-PE" w:eastAsia="es-MX"/>
        </w:rPr>
      </w:pPr>
      <w:r w:rsidRPr="00D1297D">
        <w:rPr>
          <w:rFonts w:eastAsia="Calibri"/>
          <w:b/>
          <w:sz w:val="22"/>
          <w:szCs w:val="22"/>
          <w:lang w:val="es-PE" w:eastAsia="es-MX"/>
        </w:rPr>
        <w:t xml:space="preserve">Tabla 5 - </w:t>
      </w:r>
      <w:r w:rsidRPr="00D1297D">
        <w:rPr>
          <w:rFonts w:eastAsia="Calibri"/>
          <w:sz w:val="22"/>
          <w:szCs w:val="22"/>
          <w:lang w:val="es-PE" w:eastAsia="es-MX"/>
        </w:rPr>
        <w:t>Distribución de los pacientes por modalidad</w:t>
      </w:r>
      <w:r w:rsidRPr="00D1297D">
        <w:rPr>
          <w:sz w:val="22"/>
          <w:szCs w:val="22"/>
          <w:lang w:val="es-PE" w:eastAsia="es-MX"/>
        </w:rPr>
        <w:t>es</w:t>
      </w:r>
      <w:r w:rsidRPr="00D1297D">
        <w:rPr>
          <w:rFonts w:eastAsia="Calibri"/>
          <w:sz w:val="22"/>
          <w:szCs w:val="22"/>
          <w:lang w:val="es-PE" w:eastAsia="es-MX"/>
        </w:rPr>
        <w:t xml:space="preserve"> terapéutica</w:t>
      </w:r>
      <w:r w:rsidRPr="00D1297D">
        <w:rPr>
          <w:sz w:val="22"/>
          <w:szCs w:val="22"/>
          <w:lang w:val="es-PE" w:eastAsia="es-MX"/>
        </w:rPr>
        <w:t>s</w:t>
      </w:r>
      <w:r w:rsidRPr="00D1297D">
        <w:rPr>
          <w:rFonts w:eastAsia="Calibri"/>
          <w:sz w:val="22"/>
          <w:szCs w:val="22"/>
          <w:lang w:val="es-PE" w:eastAsia="es-MX"/>
        </w:rPr>
        <w:t xml:space="preserve"> según etapas clínicas</w:t>
      </w:r>
    </w:p>
    <w:p w14:paraId="53DD3018" w14:textId="573430D3" w:rsidR="00D1297D" w:rsidRPr="00D1297D" w:rsidRDefault="00D1297D" w:rsidP="00D1297D">
      <w:pPr>
        <w:spacing w:line="360" w:lineRule="auto"/>
        <w:jc w:val="center"/>
        <w:rPr>
          <w:sz w:val="18"/>
          <w:szCs w:val="18"/>
          <w:lang w:val="es-US" w:eastAsia="es-MX"/>
        </w:rPr>
      </w:pPr>
      <w:r w:rsidRPr="00D1297D">
        <w:rPr>
          <w:noProof/>
          <w:sz w:val="18"/>
          <w:szCs w:val="18"/>
          <w:lang w:val="es-US" w:eastAsia="es-MX"/>
        </w:rPr>
        <w:drawing>
          <wp:inline distT="0" distB="0" distL="0" distR="0" wp14:anchorId="734FFDD0" wp14:editId="4D18A927">
            <wp:extent cx="6066000" cy="2066400"/>
            <wp:effectExtent l="0" t="0" r="0" b="0"/>
            <wp:docPr id="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66000" cy="2066400"/>
                    </a:xfrm>
                    <a:prstGeom prst="rect">
                      <a:avLst/>
                    </a:prstGeom>
                    <a:noFill/>
                    <a:ln>
                      <a:noFill/>
                    </a:ln>
                  </pic:spPr>
                </pic:pic>
              </a:graphicData>
            </a:graphic>
          </wp:inline>
        </w:drawing>
      </w:r>
    </w:p>
    <w:p w14:paraId="678AEDCC" w14:textId="77777777" w:rsidR="00D1297D" w:rsidRPr="00D1297D" w:rsidRDefault="00D1297D" w:rsidP="00D1297D">
      <w:pPr>
        <w:spacing w:line="360" w:lineRule="auto"/>
        <w:jc w:val="center"/>
        <w:rPr>
          <w:sz w:val="18"/>
          <w:szCs w:val="18"/>
          <w:lang w:val="es-US" w:eastAsia="es-MX"/>
        </w:rPr>
      </w:pPr>
      <w:r w:rsidRPr="00D1297D">
        <w:rPr>
          <w:sz w:val="18"/>
          <w:szCs w:val="18"/>
          <w:lang w:val="es-US" w:eastAsia="es-MX"/>
        </w:rPr>
        <w:t>C: cirugía; QT: quimioterapia; RT: radioterapia.</w:t>
      </w:r>
    </w:p>
    <w:p w14:paraId="57D18639" w14:textId="77777777" w:rsidR="00D1297D" w:rsidRPr="00D1297D" w:rsidRDefault="00D1297D" w:rsidP="00D1297D">
      <w:pPr>
        <w:spacing w:line="360" w:lineRule="auto"/>
        <w:jc w:val="center"/>
        <w:rPr>
          <w:b/>
          <w:lang w:val="es-ES" w:eastAsia="es-MX"/>
        </w:rPr>
      </w:pPr>
    </w:p>
    <w:p w14:paraId="1C170DC1" w14:textId="77777777" w:rsidR="00D1297D" w:rsidRPr="00D1297D" w:rsidRDefault="00D1297D" w:rsidP="00D1297D">
      <w:pPr>
        <w:spacing w:line="360" w:lineRule="auto"/>
        <w:jc w:val="center"/>
        <w:rPr>
          <w:b/>
          <w:sz w:val="32"/>
          <w:szCs w:val="32"/>
          <w:lang w:val="es-ES" w:eastAsia="es-MX"/>
        </w:rPr>
      </w:pPr>
    </w:p>
    <w:p w14:paraId="6D7CFFCA" w14:textId="77777777" w:rsidR="00D1297D" w:rsidRPr="00D1297D" w:rsidRDefault="00D1297D" w:rsidP="00D1297D">
      <w:pPr>
        <w:spacing w:line="360" w:lineRule="auto"/>
        <w:jc w:val="center"/>
        <w:rPr>
          <w:b/>
          <w:sz w:val="32"/>
          <w:szCs w:val="32"/>
          <w:lang w:val="es-ES" w:eastAsia="es-MX"/>
        </w:rPr>
      </w:pPr>
      <w:r w:rsidRPr="00D1297D">
        <w:rPr>
          <w:b/>
          <w:sz w:val="32"/>
          <w:szCs w:val="32"/>
          <w:lang w:val="es-ES" w:eastAsia="es-MX"/>
        </w:rPr>
        <w:t>DISCUSIÓN</w:t>
      </w:r>
    </w:p>
    <w:p w14:paraId="6F6DEB5B" w14:textId="77777777" w:rsidR="00D1297D" w:rsidRPr="00D1297D" w:rsidRDefault="00D1297D" w:rsidP="00D1297D">
      <w:pPr>
        <w:spacing w:line="360" w:lineRule="auto"/>
        <w:jc w:val="both"/>
        <w:rPr>
          <w:lang w:val="es-MX" w:eastAsia="es-MX"/>
        </w:rPr>
      </w:pPr>
      <w:r w:rsidRPr="00D1297D">
        <w:rPr>
          <w:lang w:val="es-MX" w:eastAsia="es-MX"/>
        </w:rPr>
        <w:t>Bayamo fue el municipio con mayor número de pacientes, lo cual resulta lógico al ser la capital provincial y poseer la mayor densidad poblacional. Ello es similar a lo reportado en La Habana</w:t>
      </w:r>
      <w:r w:rsidRPr="00D1297D">
        <w:rPr>
          <w:vertAlign w:val="superscript"/>
          <w:lang w:val="es-MX" w:eastAsia="es-MX"/>
        </w:rPr>
        <w:t>(17)</w:t>
      </w:r>
      <w:r w:rsidRPr="00D1297D">
        <w:rPr>
          <w:lang w:val="es-MX" w:eastAsia="es-MX"/>
        </w:rPr>
        <w:t xml:space="preserve"> y Ciego de Ávila</w:t>
      </w:r>
      <w:r w:rsidRPr="00D1297D">
        <w:rPr>
          <w:vertAlign w:val="superscript"/>
          <w:lang w:val="es-MX" w:eastAsia="es-MX"/>
        </w:rPr>
        <w:t>(3)</w:t>
      </w:r>
      <w:r w:rsidRPr="00D1297D">
        <w:rPr>
          <w:lang w:val="es-MX" w:eastAsia="es-MX"/>
        </w:rPr>
        <w:t xml:space="preserve"> y pudo guardar relación con la exposición a hábitos tóxicos, pues el acceso a los cigarrillos y bebidas alcohólicas es mayor en las ciudades. También pueden haber influido ciertos aspectos como el estilo de vida en estas, que es más sedentario, así como el estrés, el menor consumo de dieta antioxidante y los riesgos laborales de las fábricas e industrias, a pesar de que el acceso a los servicios estomatológicos es mayor.</w:t>
      </w:r>
      <w:r w:rsidRPr="00D1297D">
        <w:rPr>
          <w:vertAlign w:val="superscript"/>
          <w:lang w:val="es-MX" w:eastAsia="es-MX"/>
        </w:rPr>
        <w:t>(29)</w:t>
      </w:r>
      <w:r w:rsidRPr="00D1297D">
        <w:rPr>
          <w:lang w:val="es-MX" w:eastAsia="es-MX"/>
        </w:rPr>
        <w:t xml:space="preserve"> </w:t>
      </w:r>
    </w:p>
    <w:p w14:paraId="66EAEF60" w14:textId="77777777" w:rsidR="00D1297D" w:rsidRPr="00D1297D" w:rsidRDefault="00D1297D" w:rsidP="00D1297D">
      <w:pPr>
        <w:spacing w:line="360" w:lineRule="auto"/>
        <w:jc w:val="both"/>
        <w:rPr>
          <w:lang w:val="es-ES" w:eastAsia="es-MX"/>
        </w:rPr>
      </w:pPr>
      <w:r w:rsidRPr="00D1297D">
        <w:rPr>
          <w:lang w:val="es-MX" w:eastAsia="es-MX"/>
        </w:rPr>
        <w:t>Predominaron los pacientes masculinos, lo cual es similar a lo reportado en Yemen,</w:t>
      </w:r>
      <w:r w:rsidRPr="00D1297D">
        <w:rPr>
          <w:vertAlign w:val="superscript"/>
          <w:lang w:val="es-MX" w:eastAsia="es-MX"/>
        </w:rPr>
        <w:t>(6)</w:t>
      </w:r>
      <w:r w:rsidRPr="00D1297D">
        <w:rPr>
          <w:lang w:val="es-MX" w:eastAsia="es-MX"/>
        </w:rPr>
        <w:t xml:space="preserve"> Arabia Saudita,</w:t>
      </w:r>
      <w:r w:rsidRPr="00D1297D">
        <w:rPr>
          <w:vertAlign w:val="superscript"/>
          <w:lang w:val="es-MX" w:eastAsia="es-MX"/>
        </w:rPr>
        <w:t>(30)</w:t>
      </w:r>
      <w:r w:rsidRPr="00D1297D">
        <w:rPr>
          <w:lang w:val="es-MX" w:eastAsia="es-MX"/>
        </w:rPr>
        <w:t xml:space="preserve"> Paquistán,</w:t>
      </w:r>
      <w:r w:rsidRPr="00D1297D">
        <w:rPr>
          <w:vertAlign w:val="superscript"/>
          <w:lang w:val="es-MX" w:eastAsia="es-MX"/>
        </w:rPr>
        <w:t xml:space="preserve">(31) </w:t>
      </w:r>
      <w:r w:rsidRPr="00D1297D">
        <w:rPr>
          <w:lang w:val="es-MX" w:eastAsia="es-MX"/>
        </w:rPr>
        <w:t>Brasil,</w:t>
      </w:r>
      <w:r w:rsidRPr="00D1297D">
        <w:rPr>
          <w:vertAlign w:val="superscript"/>
          <w:lang w:val="es-MX" w:eastAsia="es-MX"/>
        </w:rPr>
        <w:t>(13,14)</w:t>
      </w:r>
      <w:r w:rsidRPr="00D1297D">
        <w:rPr>
          <w:lang w:val="es-MX" w:eastAsia="es-MX"/>
        </w:rPr>
        <w:t xml:space="preserve"> Colombia,</w:t>
      </w:r>
      <w:r w:rsidRPr="00D1297D">
        <w:rPr>
          <w:vertAlign w:val="superscript"/>
          <w:lang w:val="es-MX" w:eastAsia="es-MX"/>
        </w:rPr>
        <w:t xml:space="preserve">(32) </w:t>
      </w:r>
      <w:r w:rsidRPr="00D1297D">
        <w:rPr>
          <w:lang w:val="es-MX" w:eastAsia="es-MX"/>
        </w:rPr>
        <w:t>así como en estudios nacionales previos.</w:t>
      </w:r>
      <w:r w:rsidRPr="00D1297D">
        <w:rPr>
          <w:vertAlign w:val="superscript"/>
          <w:lang w:val="es-MX" w:eastAsia="es-MX"/>
        </w:rPr>
        <w:t>(15,17,18,19,20)</w:t>
      </w:r>
      <w:r w:rsidRPr="00D1297D">
        <w:rPr>
          <w:lang w:val="es-MX" w:eastAsia="es-MX"/>
        </w:rPr>
        <w:t xml:space="preserve"> Esto puede atribuirse a los roles de género, pues tradicionalmente los hombres asumen estilos de vida menos saludables, se dedican a profesiones de riesgo y descuidan con más facilidad su salud bucal en comparación con las mujeres.</w:t>
      </w:r>
    </w:p>
    <w:p w14:paraId="5DEE36AD" w14:textId="77777777" w:rsidR="00D1297D" w:rsidRPr="00D1297D" w:rsidRDefault="00D1297D" w:rsidP="00D1297D">
      <w:pPr>
        <w:spacing w:line="360" w:lineRule="auto"/>
        <w:jc w:val="both"/>
        <w:rPr>
          <w:lang w:val="es-MX" w:eastAsia="es-MX"/>
        </w:rPr>
      </w:pPr>
      <w:r w:rsidRPr="00D1297D">
        <w:rPr>
          <w:lang w:val="es-ES" w:eastAsia="es-MX"/>
        </w:rPr>
        <w:t>Diversos autores</w:t>
      </w:r>
      <w:r w:rsidRPr="00D1297D">
        <w:rPr>
          <w:vertAlign w:val="superscript"/>
          <w:lang w:val="es-ES" w:eastAsia="es-MX"/>
        </w:rPr>
        <w:t xml:space="preserve"> (31,33)</w:t>
      </w:r>
      <w:r w:rsidRPr="00D1297D">
        <w:rPr>
          <w:lang w:val="es-ES" w:eastAsia="es-MX"/>
        </w:rPr>
        <w:t xml:space="preserve"> consideran como pacientes jóvenes con CB a los menores de 45 años. De este análisis se deduce que sólo tres pacientes jóvenes padecieron de CB en esta investigación. </w:t>
      </w:r>
      <w:r w:rsidRPr="00D1297D">
        <w:rPr>
          <w:lang w:val="es-MX" w:eastAsia="es-MX"/>
        </w:rPr>
        <w:t>El 60 % de los pacientes del presente estudio tuvieron 60 o más años de edad, lo cual refuerza la idea de que el CB sigue siendo una enfermedad fuertemente relacionada a la edad avanzada.</w:t>
      </w:r>
      <w:r w:rsidRPr="00D1297D">
        <w:rPr>
          <w:vertAlign w:val="superscript"/>
          <w:lang w:val="es-ES" w:eastAsia="es-MX"/>
        </w:rPr>
        <w:t>(26)</w:t>
      </w:r>
      <w:r w:rsidRPr="00D1297D">
        <w:rPr>
          <w:lang w:val="es-MX" w:eastAsia="es-MX"/>
        </w:rPr>
        <w:t xml:space="preserve"> La explicación fundamental se refiere al simple efecto de la duración de la exposición a carcinógenos, independientemente de cualquier efecto del envejecimiento; aunque otros autores</w:t>
      </w:r>
      <w:r w:rsidRPr="00D1297D">
        <w:rPr>
          <w:vertAlign w:val="superscript"/>
          <w:lang w:val="es-MX" w:eastAsia="es-MX"/>
        </w:rPr>
        <w:t>(34,35)</w:t>
      </w:r>
      <w:r w:rsidRPr="00D1297D">
        <w:rPr>
          <w:lang w:val="es-MX" w:eastAsia="es-MX"/>
        </w:rPr>
        <w:t xml:space="preserve"> sostienen que el envejecimiento, no la edad misma, sería el responsable, mediante múltiples mecanismos, de la generación de un microambiente tisular que favorece la oncogénesis.</w:t>
      </w:r>
    </w:p>
    <w:p w14:paraId="16B46DE8" w14:textId="77777777" w:rsidR="00D1297D" w:rsidRPr="00D1297D" w:rsidRDefault="00D1297D" w:rsidP="00D1297D">
      <w:pPr>
        <w:spacing w:line="360" w:lineRule="auto"/>
        <w:jc w:val="both"/>
        <w:rPr>
          <w:vertAlign w:val="superscript"/>
          <w:lang w:val="es-ES" w:eastAsia="es-MX"/>
        </w:rPr>
      </w:pPr>
      <w:r w:rsidRPr="00D1297D">
        <w:rPr>
          <w:lang w:val="es-MX" w:eastAsia="es-MX"/>
        </w:rPr>
        <w:t>El desarrollo de los servicios estomatológicos en Cuba ha contribuido a disminuir la prevalencia y la mortalidad por CB, pero resulta preocupante que cada año se le diagnostique esta enfermedad a un grupo considerable de personas. Los datos epidemiológicos varían entre regiones, pero la realidad es que el CB no ha dejado de ser un problema de salud en la nación.</w:t>
      </w:r>
      <w:r w:rsidRPr="00D1297D">
        <w:rPr>
          <w:vertAlign w:val="superscript"/>
          <w:lang w:val="es-MX" w:eastAsia="es-MX"/>
        </w:rPr>
        <w:t xml:space="preserve">(3) </w:t>
      </w:r>
      <w:r w:rsidRPr="00D1297D">
        <w:rPr>
          <w:lang w:val="es-MX" w:eastAsia="es-MX"/>
        </w:rPr>
        <w:t>Aproximadamente el 60 % de los CE tuvieron aspecto ulcerado, lo cual es similar a lo encontrado en Camagüey,</w:t>
      </w:r>
      <w:r w:rsidRPr="00D1297D">
        <w:rPr>
          <w:vertAlign w:val="superscript"/>
          <w:lang w:val="es-MX" w:eastAsia="es-MX"/>
        </w:rPr>
        <w:t>(20)</w:t>
      </w:r>
      <w:r w:rsidRPr="00D1297D">
        <w:rPr>
          <w:lang w:val="es-MX" w:eastAsia="es-MX"/>
        </w:rPr>
        <w:t xml:space="preserve"> pero difiere de los reportado en </w:t>
      </w:r>
      <w:r w:rsidRPr="00D1297D">
        <w:rPr>
          <w:lang w:val="es-MX" w:eastAsia="es-MX"/>
        </w:rPr>
        <w:lastRenderedPageBreak/>
        <w:t>Granma donde la mayoría de las lesiones tuvieron un aspecto nodular vegetante.</w:t>
      </w:r>
      <w:r w:rsidRPr="00D1297D">
        <w:rPr>
          <w:vertAlign w:val="superscript"/>
          <w:lang w:val="es-ES" w:eastAsia="es-MX"/>
        </w:rPr>
        <w:t xml:space="preserve">(24) </w:t>
      </w:r>
      <w:r w:rsidRPr="00D1297D">
        <w:rPr>
          <w:lang w:val="es-MX" w:eastAsia="es-MX"/>
        </w:rPr>
        <w:t>A lo anterior contribuyen los pocos síntomas del CB en sus etapas iniciales, el carácter inespecífico de las lesiones y el desconocimiento de las señales de alarma de la enfermedad.</w:t>
      </w:r>
    </w:p>
    <w:p w14:paraId="22E915B4" w14:textId="77777777" w:rsidR="00D1297D" w:rsidRPr="00D1297D" w:rsidRDefault="00D1297D" w:rsidP="00D1297D">
      <w:pPr>
        <w:spacing w:line="360" w:lineRule="auto"/>
        <w:jc w:val="both"/>
        <w:rPr>
          <w:lang w:val="es-ES" w:eastAsia="es-MX"/>
        </w:rPr>
      </w:pPr>
      <w:r w:rsidRPr="00D1297D">
        <w:rPr>
          <w:lang w:val="es-MX" w:eastAsia="es-MX"/>
        </w:rPr>
        <w:t>Evidentemente no se están realizando en la atención primaria de salud las necesarias labores tanto de promoción como de prevención primaria y secundaria del CB, pues a pesar de que se localiza en regiones asequibles a la exploración física, el 65 % de los casos se diagnosticó en estadios</w:t>
      </w:r>
      <w:r w:rsidRPr="00D1297D">
        <w:rPr>
          <w:lang w:val="es-ES" w:eastAsia="es-MX"/>
        </w:rPr>
        <w:t xml:space="preserve"> avanzados de la enfermedad. Ello es superior a lo reportado en Granma,</w:t>
      </w:r>
      <w:r w:rsidRPr="00D1297D">
        <w:rPr>
          <w:vertAlign w:val="superscript"/>
          <w:lang w:val="es-ES" w:eastAsia="es-MX"/>
        </w:rPr>
        <w:t>(24)</w:t>
      </w:r>
      <w:r w:rsidRPr="00D1297D">
        <w:rPr>
          <w:lang w:val="es-ES" w:eastAsia="es-MX"/>
        </w:rPr>
        <w:t xml:space="preserve"> Las Tunas</w:t>
      </w:r>
      <w:r w:rsidRPr="00D1297D">
        <w:rPr>
          <w:vertAlign w:val="superscript"/>
          <w:lang w:val="es-ES" w:eastAsia="es-MX"/>
        </w:rPr>
        <w:t xml:space="preserve">(4) </w:t>
      </w:r>
      <w:r w:rsidRPr="00D1297D">
        <w:rPr>
          <w:lang w:val="es-ES" w:eastAsia="es-MX"/>
        </w:rPr>
        <w:t>y La Habana</w:t>
      </w:r>
      <w:r w:rsidRPr="00D1297D">
        <w:rPr>
          <w:vertAlign w:val="superscript"/>
          <w:lang w:val="es-ES" w:eastAsia="es-MX"/>
        </w:rPr>
        <w:t xml:space="preserve">(36) </w:t>
      </w:r>
      <w:r w:rsidRPr="00D1297D">
        <w:rPr>
          <w:lang w:val="es-MX" w:eastAsia="es-MX"/>
        </w:rPr>
        <w:t>y debe constituir una alerta para los decisores provinciales en materia de salud bucal.</w:t>
      </w:r>
    </w:p>
    <w:p w14:paraId="62F26B9C" w14:textId="77777777" w:rsidR="00D1297D" w:rsidRPr="00D1297D" w:rsidRDefault="00D1297D" w:rsidP="00D1297D">
      <w:pPr>
        <w:spacing w:line="360" w:lineRule="auto"/>
        <w:jc w:val="both"/>
        <w:rPr>
          <w:lang w:val="es-MX" w:eastAsia="es-MX"/>
        </w:rPr>
      </w:pPr>
      <w:r w:rsidRPr="00D1297D">
        <w:rPr>
          <w:lang w:val="es-MX" w:eastAsia="es-MX"/>
        </w:rPr>
        <w:t>Las principales modalidades terapéuticas curativas para el CCC son la cirugía y la radioterapia, que pueden usarse solas o en combinación con la quimioterapia y la inmunoterapia para aumentar el tiempo libre de enfermedad y la supervivencia.</w:t>
      </w:r>
      <w:r w:rsidRPr="00D1297D">
        <w:rPr>
          <w:vertAlign w:val="superscript"/>
          <w:lang w:val="es-ES" w:eastAsia="es-MX"/>
        </w:rPr>
        <w:t>(37)</w:t>
      </w:r>
      <w:r w:rsidRPr="00D1297D">
        <w:rPr>
          <w:lang w:val="es-MX" w:eastAsia="es-MX"/>
        </w:rPr>
        <w:t xml:space="preserve"> Muchas neoplasias, independientemente de la localización, responden de manera similar a la cirugía y a la radioterapia, lo que permite considerar otros factores en la elección del tratamiento oncoespecífico, como la preferencia del paciente o la morbilidad específica de la localización.</w:t>
      </w:r>
      <w:r w:rsidRPr="00D1297D">
        <w:rPr>
          <w:vertAlign w:val="superscript"/>
          <w:lang w:val="es-MX" w:eastAsia="es-MX"/>
        </w:rPr>
        <w:t>(36)</w:t>
      </w:r>
      <w:r w:rsidRPr="00D1297D">
        <w:rPr>
          <w:lang w:val="es-MX" w:eastAsia="es-MX"/>
        </w:rPr>
        <w:t xml:space="preserve"> </w:t>
      </w:r>
    </w:p>
    <w:p w14:paraId="09173BFB" w14:textId="77777777" w:rsidR="00D1297D" w:rsidRPr="00D1297D" w:rsidRDefault="00D1297D" w:rsidP="00D1297D">
      <w:pPr>
        <w:spacing w:line="360" w:lineRule="auto"/>
        <w:jc w:val="both"/>
        <w:rPr>
          <w:lang w:val="es-ES" w:eastAsia="es-MX"/>
        </w:rPr>
      </w:pPr>
      <w:r w:rsidRPr="00D1297D">
        <w:rPr>
          <w:lang w:val="es-MX" w:eastAsia="es-MX"/>
        </w:rPr>
        <w:t xml:space="preserve">Si bien </w:t>
      </w:r>
      <w:r w:rsidRPr="00D1297D">
        <w:rPr>
          <w:rFonts w:eastAsia="Calibri"/>
          <w:lang w:val="es-PE" w:eastAsia="es-MX"/>
        </w:rPr>
        <w:t xml:space="preserve">la modalidad terapéutica más utilizada fue la cirugía, de forma global el 62 % de los pacientes recibieron tratamientos combinados, lo cual resulta lógico pues la mayoría se diagnosticó </w:t>
      </w:r>
      <w:r w:rsidRPr="00D1297D">
        <w:rPr>
          <w:lang w:val="es-MX" w:eastAsia="es-MX"/>
        </w:rPr>
        <w:t>en estadios</w:t>
      </w:r>
      <w:r w:rsidRPr="00D1297D">
        <w:rPr>
          <w:lang w:val="es-ES" w:eastAsia="es-MX"/>
        </w:rPr>
        <w:t xml:space="preserve"> avanzados de la enfermedad, donde está protocolizada en las normas oncológicas la multiterapia oncoespecífica.</w:t>
      </w:r>
    </w:p>
    <w:p w14:paraId="5B64CCC5" w14:textId="77777777" w:rsidR="00D1297D" w:rsidRPr="00D1297D" w:rsidRDefault="00D1297D" w:rsidP="00D1297D">
      <w:pPr>
        <w:spacing w:line="360" w:lineRule="auto"/>
        <w:jc w:val="both"/>
        <w:rPr>
          <w:lang w:val="es-MX" w:eastAsia="es-MX"/>
        </w:rPr>
      </w:pPr>
      <w:r w:rsidRPr="00D1297D">
        <w:rPr>
          <w:lang w:val="es-MX" w:eastAsia="es-MX"/>
        </w:rPr>
        <w:t xml:space="preserve">Predominaron los pacientes masculinos, de edades avanzadas, con lesiones linguales, de aspecto ulcerado, </w:t>
      </w:r>
      <w:r w:rsidRPr="00D1297D">
        <w:rPr>
          <w:rFonts w:eastAsia="Calibri"/>
          <w:lang w:val="es-PE" w:eastAsia="en-US"/>
        </w:rPr>
        <w:t xml:space="preserve">diferenciadas </w:t>
      </w:r>
      <w:r w:rsidRPr="00D1297D">
        <w:rPr>
          <w:lang w:val="es-ES" w:eastAsia="es-PE"/>
        </w:rPr>
        <w:t>histológicamente</w:t>
      </w:r>
      <w:r w:rsidRPr="00D1297D">
        <w:rPr>
          <w:lang w:val="es-MX" w:eastAsia="es-MX"/>
        </w:rPr>
        <w:t xml:space="preserve"> y diagnosticados en etapas avanzadas de la enfermedad. </w:t>
      </w:r>
      <w:r w:rsidRPr="00D1297D">
        <w:rPr>
          <w:lang w:val="es-ES" w:eastAsia="es-PE"/>
        </w:rPr>
        <w:t>La modalidad terapéutica más utilizada fue la cirugía.</w:t>
      </w:r>
    </w:p>
    <w:p w14:paraId="4510916F" w14:textId="77777777" w:rsidR="00D1297D" w:rsidRPr="00D1297D" w:rsidRDefault="00D1297D" w:rsidP="00D1297D">
      <w:pPr>
        <w:spacing w:line="360" w:lineRule="auto"/>
        <w:jc w:val="both"/>
        <w:rPr>
          <w:lang w:val="es-MX" w:eastAsia="es-MX"/>
        </w:rPr>
      </w:pPr>
    </w:p>
    <w:p w14:paraId="27A8306F" w14:textId="77777777" w:rsidR="00D1297D" w:rsidRPr="00D1297D" w:rsidRDefault="00D1297D" w:rsidP="00D1297D">
      <w:pPr>
        <w:spacing w:line="360" w:lineRule="auto"/>
        <w:ind w:left="360"/>
        <w:jc w:val="center"/>
        <w:rPr>
          <w:b/>
          <w:sz w:val="32"/>
          <w:szCs w:val="32"/>
          <w:lang w:val="es-ES" w:eastAsia="es-MX"/>
        </w:rPr>
      </w:pPr>
    </w:p>
    <w:p w14:paraId="7A56D562" w14:textId="77777777" w:rsidR="00D1297D" w:rsidRPr="00D1297D" w:rsidRDefault="00D1297D" w:rsidP="00D1297D">
      <w:pPr>
        <w:spacing w:line="360" w:lineRule="auto"/>
        <w:ind w:left="360"/>
        <w:jc w:val="center"/>
        <w:rPr>
          <w:b/>
          <w:sz w:val="32"/>
          <w:szCs w:val="32"/>
          <w:lang w:val="es-ES" w:eastAsia="es-MX"/>
        </w:rPr>
      </w:pPr>
      <w:r w:rsidRPr="00D1297D">
        <w:rPr>
          <w:b/>
          <w:sz w:val="32"/>
          <w:szCs w:val="32"/>
          <w:lang w:val="es-ES" w:eastAsia="es-MX"/>
        </w:rPr>
        <w:t>REFERENCIAS BIBLIOGRÁFICAS</w:t>
      </w:r>
    </w:p>
    <w:p w14:paraId="7045003E" w14:textId="77777777" w:rsidR="00D1297D" w:rsidRPr="00D1297D" w:rsidRDefault="00D1297D" w:rsidP="00D1297D">
      <w:pPr>
        <w:spacing w:line="360" w:lineRule="auto"/>
        <w:rPr>
          <w:lang w:val="es-US" w:eastAsia="es-MX"/>
        </w:rPr>
      </w:pPr>
      <w:r w:rsidRPr="00D1297D">
        <w:rPr>
          <w:lang w:val="es-US" w:eastAsia="es-MX"/>
        </w:rPr>
        <w:t xml:space="preserve">1. Villagómez-Ortíz VJ, Paz-Delgadillo DE, Marino-Martínez I, Ceseñas-Falcón LÁ, Sandoval-de la Fuente A, Reyes-Escobedo A. Prevalencia de infección por virus del papiloma humano en carcinoma </w:t>
      </w:r>
      <w:r w:rsidRPr="00D1297D">
        <w:rPr>
          <w:lang w:val="es-US" w:eastAsia="es-MX"/>
        </w:rPr>
        <w:lastRenderedPageBreak/>
        <w:t>espinocelular de cavidad oral, orofaringe y laringe. Cir Cir. 2016; 84(5): 363-68. DOI: 10.1016/j.circir.2016.01.006</w:t>
      </w:r>
    </w:p>
    <w:p w14:paraId="22273D3E" w14:textId="77777777" w:rsidR="00D1297D" w:rsidRPr="00D1297D" w:rsidRDefault="00D1297D" w:rsidP="00D1297D">
      <w:pPr>
        <w:spacing w:line="360" w:lineRule="auto"/>
        <w:rPr>
          <w:lang w:val="es-US" w:eastAsia="es-MX"/>
        </w:rPr>
      </w:pPr>
      <w:r w:rsidRPr="00D1297D">
        <w:rPr>
          <w:lang w:val="es-US" w:eastAsia="es-MX"/>
        </w:rPr>
        <w:t xml:space="preserve">2. Fernández A, Córdova P, Badenier O, Esguep A. Epidemiological characterization of oral cancer. Literature review. J Oral Res. 2015 [acceso: 10/02/2022]; 4(2): 137-45. Disponible en: </w:t>
      </w:r>
      <w:hyperlink r:id="rId16" w:history="1">
        <w:r w:rsidRPr="00D1297D">
          <w:rPr>
            <w:color w:val="0000FF"/>
            <w:u w:val="single"/>
            <w:lang w:val="es-US" w:eastAsia="es-MX"/>
          </w:rPr>
          <w:t>https://www.joralres.com/index.php/JOR/article/download/156/150</w:t>
        </w:r>
      </w:hyperlink>
      <w:r w:rsidRPr="00D1297D">
        <w:rPr>
          <w:lang w:val="es-US" w:eastAsia="es-MX"/>
        </w:rPr>
        <w:t xml:space="preserve"> </w:t>
      </w:r>
    </w:p>
    <w:p w14:paraId="56652A98" w14:textId="77777777" w:rsidR="00D1297D" w:rsidRPr="00D1297D" w:rsidRDefault="00D1297D" w:rsidP="00D1297D">
      <w:pPr>
        <w:spacing w:line="360" w:lineRule="auto"/>
        <w:rPr>
          <w:lang w:val="es-US" w:eastAsia="es-MX"/>
        </w:rPr>
      </w:pPr>
      <w:r w:rsidRPr="00D1297D">
        <w:rPr>
          <w:lang w:val="es-US" w:eastAsia="es-MX"/>
        </w:rPr>
        <w:t xml:space="preserve">3. Hermida Rojas M. Escala para predecir el riesgo de cáncer bucal [Tesis doctoral]. La Habana: Universidad de Ciencias Médicas de la Habana, Facultad de Estomatología; 2007. </w:t>
      </w:r>
      <w:r w:rsidRPr="00D1297D">
        <w:rPr>
          <w:color w:val="000000"/>
          <w:lang w:val="es-PE" w:eastAsia="es-MX"/>
        </w:rPr>
        <w:t xml:space="preserve">[acceso: 28/05/2022]. Disponible en: </w:t>
      </w:r>
      <w:hyperlink r:id="rId17" w:tgtFrame="_blank" w:history="1">
        <w:r w:rsidRPr="00D1297D">
          <w:rPr>
            <w:color w:val="0000FF"/>
            <w:u w:val="single"/>
            <w:lang w:val="es-PE" w:eastAsia="es-MX"/>
          </w:rPr>
          <w:t xml:space="preserve">https://repositorioslatinoamericanos.uchile.cl/handle/2250/140270 </w:t>
        </w:r>
      </w:hyperlink>
    </w:p>
    <w:p w14:paraId="021FF678" w14:textId="77777777" w:rsidR="00D1297D" w:rsidRPr="00D1297D" w:rsidRDefault="00D1297D" w:rsidP="00D1297D">
      <w:pPr>
        <w:spacing w:line="360" w:lineRule="auto"/>
        <w:rPr>
          <w:lang w:val="es-US" w:eastAsia="es-MX"/>
        </w:rPr>
      </w:pPr>
      <w:r w:rsidRPr="00D1297D">
        <w:rPr>
          <w:lang w:val="es-US" w:eastAsia="es-MX"/>
        </w:rPr>
        <w:t xml:space="preserve">4. de-la-Paz-Suárez T, Mendoza-Font Y, Duran-Téllez L, García-Alguacil C. Cáncer bucal en pacientes de la provincia Las Tunas, estudio de siete años. Rev Electrón Dr. Zoilo E. Marinello Vidaurreta. 2018 [acceso: 10/02/2022]; 43(4): [aporx. 7 p.]. Disponible en: </w:t>
      </w:r>
      <w:hyperlink r:id="rId18" w:history="1">
        <w:r w:rsidRPr="00D1297D">
          <w:rPr>
            <w:color w:val="0000FF"/>
            <w:u w:val="single"/>
            <w:lang w:val="es-US" w:eastAsia="es-MX"/>
          </w:rPr>
          <w:t>http://www.revzoilomarinello.sld.cu/index.php/zmv/article/view/1375</w:t>
        </w:r>
      </w:hyperlink>
      <w:r w:rsidRPr="00D1297D">
        <w:rPr>
          <w:lang w:val="es-US" w:eastAsia="es-MX"/>
        </w:rPr>
        <w:t xml:space="preserve"> </w:t>
      </w:r>
    </w:p>
    <w:p w14:paraId="1F3F06A1" w14:textId="77777777" w:rsidR="00D1297D" w:rsidRPr="00D1297D" w:rsidRDefault="00D1297D" w:rsidP="00D1297D">
      <w:pPr>
        <w:spacing w:line="360" w:lineRule="auto"/>
        <w:rPr>
          <w:lang w:val="en-US" w:eastAsia="es-MX"/>
        </w:rPr>
      </w:pPr>
      <w:r w:rsidRPr="00D1297D">
        <w:rPr>
          <w:lang w:val="en-US" w:eastAsia="es-MX"/>
        </w:rPr>
        <w:t>5. D’souza S, Addepalli V. Preventive measures in oral cancer: An overview. Biomedicine &amp; Pharmacotherapy. 2018; 107:72–80. DOI: 10.1016/j.biopha.2018.07.114</w:t>
      </w:r>
    </w:p>
    <w:p w14:paraId="4FEE0856" w14:textId="77777777" w:rsidR="00D1297D" w:rsidRPr="00D1297D" w:rsidRDefault="00D1297D" w:rsidP="00D1297D">
      <w:pPr>
        <w:spacing w:line="360" w:lineRule="auto"/>
        <w:rPr>
          <w:lang w:val="en-US" w:eastAsia="es-MX"/>
        </w:rPr>
      </w:pPr>
      <w:r w:rsidRPr="00D1297D">
        <w:rPr>
          <w:lang w:val="en-US" w:eastAsia="es-MX"/>
        </w:rPr>
        <w:t>6. Nasher AT, Al-hebshi NN, Al-Moayad EE, Suleiman AM. Viral infection and oral habits as risk factors for oral squamous cell carcinoma in Yemen: a case-control study. Oral Surg Oral Med Oral Pathol Oral Radiol. 2014; 118: 566-72. DOI: 10.1016/j.oooo.2014.08.005</w:t>
      </w:r>
    </w:p>
    <w:p w14:paraId="79C29E69" w14:textId="77777777" w:rsidR="00D1297D" w:rsidRPr="00D1297D" w:rsidRDefault="00D1297D" w:rsidP="00D1297D">
      <w:pPr>
        <w:spacing w:line="360" w:lineRule="auto"/>
        <w:rPr>
          <w:lang w:val="es-US" w:eastAsia="es-MX"/>
        </w:rPr>
      </w:pPr>
      <w:r w:rsidRPr="00D1297D">
        <w:rPr>
          <w:lang w:val="en-US" w:eastAsia="es-MX"/>
        </w:rPr>
        <w:t xml:space="preserve">7. Chan PKS, To KF, Tsang SH, Lau CH, Kwong WH, Chan YHY. Human papillomavirus infection and squamous cell carcinoma in Hong Kong: a case-control study. </w:t>
      </w:r>
      <w:r w:rsidRPr="00D1297D">
        <w:rPr>
          <w:lang w:val="es-US" w:eastAsia="es-MX"/>
        </w:rPr>
        <w:t xml:space="preserve">Hong Kong Med J. 2017 [acceso: 10/02/2022]; 23(4-Supl 5): 8-11. Disponible en: </w:t>
      </w:r>
      <w:hyperlink r:id="rId19" w:history="1">
        <w:r w:rsidRPr="00D1297D">
          <w:rPr>
            <w:color w:val="0000FF"/>
            <w:u w:val="single"/>
            <w:lang w:val="es-US" w:eastAsia="es-MX"/>
          </w:rPr>
          <w:t>https://www.hkmj.org/system/files/hkm1708sp5p8.pdf</w:t>
        </w:r>
      </w:hyperlink>
      <w:r w:rsidRPr="00D1297D">
        <w:rPr>
          <w:lang w:val="es-US" w:eastAsia="es-MX"/>
        </w:rPr>
        <w:t xml:space="preserve"> </w:t>
      </w:r>
    </w:p>
    <w:p w14:paraId="3A4413D0" w14:textId="77777777" w:rsidR="00D1297D" w:rsidRPr="00D1297D" w:rsidRDefault="00D1297D" w:rsidP="00D1297D">
      <w:pPr>
        <w:spacing w:line="360" w:lineRule="auto"/>
        <w:rPr>
          <w:lang w:val="es-US" w:eastAsia="es-MX"/>
        </w:rPr>
      </w:pPr>
      <w:r w:rsidRPr="00D1297D">
        <w:rPr>
          <w:lang w:val="es-US" w:eastAsia="es-MX"/>
        </w:rPr>
        <w:t>8. Bernal AJ, Fernández N, Martínez JD, Gómez-Escolar L, Reola E, Puertas J. Evaluación del tratamiento del carcinoma epidermoide cutáneo de cabeza y cuello en la edad avanzada. Análisis de la supervivencia. Cir Esp. 2018; 96(9): 577-82. DOI: 10.1016/j.ciresp.2018.05.005</w:t>
      </w:r>
    </w:p>
    <w:p w14:paraId="60B8DB2B" w14:textId="77777777" w:rsidR="00D1297D" w:rsidRPr="00D1297D" w:rsidRDefault="00D1297D" w:rsidP="00D1297D">
      <w:pPr>
        <w:spacing w:line="360" w:lineRule="auto"/>
        <w:rPr>
          <w:lang w:val="en-US" w:eastAsia="es-MX"/>
        </w:rPr>
      </w:pPr>
      <w:r w:rsidRPr="00D1297D">
        <w:rPr>
          <w:lang w:val="es-US" w:eastAsia="es-MX"/>
        </w:rPr>
        <w:t xml:space="preserve">9. Ligier K, Belot A, Launoy G, Velten M, Delafosse P, Guizard AV. </w:t>
      </w:r>
      <w:r w:rsidRPr="00D1297D">
        <w:rPr>
          <w:lang w:val="en-US" w:eastAsia="es-MX"/>
        </w:rPr>
        <w:t xml:space="preserve">Epidemiology of oral cavity cancers in France. Rev Stomatol Chir Maxillofac. 2011; 112(3): 164e171. DOI: 10.1016/j.stomax.2011.04.004 </w:t>
      </w:r>
    </w:p>
    <w:p w14:paraId="2EBCDAD6" w14:textId="77777777" w:rsidR="00D1297D" w:rsidRPr="00D1297D" w:rsidRDefault="00D1297D" w:rsidP="00D1297D">
      <w:pPr>
        <w:spacing w:line="360" w:lineRule="auto"/>
        <w:rPr>
          <w:lang w:val="en-US" w:eastAsia="es-MX"/>
        </w:rPr>
      </w:pPr>
      <w:r w:rsidRPr="00D1297D">
        <w:rPr>
          <w:lang w:val="en-US" w:eastAsia="es-MX"/>
        </w:rPr>
        <w:lastRenderedPageBreak/>
        <w:t>10. Fu X, Chen S, Chen W, Yang Z, Song M, Li H, et al. Clinical analysis of second primary gingival squamous cell carcinoma after radiotherapy. Oral Oncol. 2018; 84: 20-24. DOI: 10.1016/j.oraloncology.2018.06.018</w:t>
      </w:r>
    </w:p>
    <w:p w14:paraId="1E2411E5" w14:textId="77777777" w:rsidR="00D1297D" w:rsidRPr="00D1297D" w:rsidRDefault="00D1297D" w:rsidP="00D1297D">
      <w:pPr>
        <w:spacing w:line="360" w:lineRule="auto"/>
        <w:rPr>
          <w:lang w:val="es-US" w:eastAsia="es-MX"/>
        </w:rPr>
      </w:pPr>
      <w:r w:rsidRPr="00D1297D">
        <w:rPr>
          <w:lang w:val="en-US" w:eastAsia="es-MX"/>
        </w:rPr>
        <w:t xml:space="preserve">11. Warnakulasuriya S. Global epidemiology of oral and oropharyngeal cancer. </w:t>
      </w:r>
      <w:r w:rsidRPr="00D1297D">
        <w:rPr>
          <w:lang w:val="es-US" w:eastAsia="es-MX"/>
        </w:rPr>
        <w:t xml:space="preserve">Oral Oncol. 2009; 45(4-5): 309-16. DOI: 10.1016/j.oraloncology.2008.06.002 </w:t>
      </w:r>
    </w:p>
    <w:p w14:paraId="68CF42F9" w14:textId="77777777" w:rsidR="00D1297D" w:rsidRPr="00D1297D" w:rsidRDefault="00D1297D" w:rsidP="00D1297D">
      <w:pPr>
        <w:spacing w:line="360" w:lineRule="auto"/>
        <w:rPr>
          <w:lang w:val="es-US" w:eastAsia="es-MX"/>
        </w:rPr>
      </w:pPr>
      <w:r w:rsidRPr="00D1297D">
        <w:rPr>
          <w:lang w:val="es-US" w:eastAsia="es-MX"/>
        </w:rPr>
        <w:t>12. Álvarez D, Munyo A, Borche G, D’Albora R, Rodríguez V, Cuello M. Cáncer de cabeza y cuello en Uruguay. Análisis de sobrevida en dos centros de referencia. Rev Méd Urug. 2018; 34(1): 21-8. DOI: 10.29193/rmu.34.1.2</w:t>
      </w:r>
    </w:p>
    <w:p w14:paraId="724940EA" w14:textId="77777777" w:rsidR="00D1297D" w:rsidRPr="00D1297D" w:rsidRDefault="00D1297D" w:rsidP="00D1297D">
      <w:pPr>
        <w:spacing w:line="360" w:lineRule="auto"/>
        <w:rPr>
          <w:lang w:val="es-US" w:eastAsia="es-MX"/>
        </w:rPr>
      </w:pPr>
      <w:r w:rsidRPr="00D1297D">
        <w:rPr>
          <w:lang w:val="es-US" w:eastAsia="es-MX"/>
        </w:rPr>
        <w:t xml:space="preserve">13. Campêlo MG, de Medeiros DR, de Vasconcelos G, de Morais HC, Vieira J, de Castro DQ. </w:t>
      </w:r>
      <w:r w:rsidRPr="00D1297D">
        <w:rPr>
          <w:lang w:val="en-US" w:eastAsia="es-MX"/>
        </w:rPr>
        <w:t xml:space="preserve">Characterization of late diagnosis of oral cancer in a Brazilian city. </w:t>
      </w:r>
      <w:r w:rsidRPr="00D1297D">
        <w:rPr>
          <w:lang w:val="es-US" w:eastAsia="es-MX"/>
        </w:rPr>
        <w:t xml:space="preserve">Rev Cubana Estomatol. 2015 [acceso: 10/02/2022]; 52(3): 40-5. Disponible en: </w:t>
      </w:r>
      <w:hyperlink r:id="rId20" w:history="1">
        <w:r w:rsidRPr="00D1297D">
          <w:rPr>
            <w:color w:val="0000FF"/>
            <w:u w:val="single"/>
            <w:lang w:val="es-US" w:eastAsia="es-MX"/>
          </w:rPr>
          <w:t>https://www.revestomatologia.sld.cu/index.php/est/article/view/772</w:t>
        </w:r>
      </w:hyperlink>
      <w:r w:rsidRPr="00D1297D">
        <w:rPr>
          <w:lang w:val="es-US" w:eastAsia="es-MX"/>
        </w:rPr>
        <w:t xml:space="preserve"> </w:t>
      </w:r>
    </w:p>
    <w:p w14:paraId="7F4C57E0" w14:textId="77777777" w:rsidR="00D1297D" w:rsidRPr="00D1297D" w:rsidRDefault="00D1297D" w:rsidP="00D1297D">
      <w:pPr>
        <w:spacing w:line="360" w:lineRule="auto"/>
        <w:rPr>
          <w:lang w:val="es-US" w:eastAsia="es-MX"/>
        </w:rPr>
      </w:pPr>
      <w:r w:rsidRPr="00D1297D">
        <w:rPr>
          <w:lang w:val="es-US" w:eastAsia="es-MX"/>
        </w:rPr>
        <w:t xml:space="preserve">14. Guedes L, Pires C, Macedo AC, Gondim AM, Lima I, Dias R. O câncer de cabeça e pescoço no Brasil. Rev Cubana Estomatol. 2018 [acceso: 10/02/2022]; 55(3): [aprox. 7 p.]. Disponible en: </w:t>
      </w:r>
      <w:hyperlink r:id="rId21" w:history="1">
        <w:r w:rsidRPr="00D1297D">
          <w:rPr>
            <w:color w:val="0000FF"/>
            <w:u w:val="single"/>
            <w:lang w:val="es-US" w:eastAsia="es-MX"/>
          </w:rPr>
          <w:t>https://scielo.sld.cu/pdf/est/v55n3/a05_1703.pdf</w:t>
        </w:r>
      </w:hyperlink>
      <w:r w:rsidRPr="00D1297D">
        <w:rPr>
          <w:lang w:val="es-US" w:eastAsia="es-MX"/>
        </w:rPr>
        <w:t xml:space="preserve"> </w:t>
      </w:r>
    </w:p>
    <w:p w14:paraId="2ED42AC8" w14:textId="77777777" w:rsidR="00D1297D" w:rsidRPr="00D1297D" w:rsidRDefault="00D1297D" w:rsidP="00D1297D">
      <w:pPr>
        <w:spacing w:line="360" w:lineRule="auto"/>
        <w:rPr>
          <w:lang w:val="es-US" w:eastAsia="es-MX"/>
        </w:rPr>
      </w:pPr>
      <w:r w:rsidRPr="00D1297D">
        <w:rPr>
          <w:lang w:val="es-US" w:eastAsia="es-MX"/>
        </w:rPr>
        <w:t xml:space="preserve">15. García M, Lence JJ, Sosa M, Martín LA, Fernández L. Mortalidad por cáncer bucal en Cuba (1987-1996). Rev Cubana Oncol. 1999 [acceso: 10/02/2022]; 15(2): 114-18. Disponible en: </w:t>
      </w:r>
      <w:hyperlink r:id="rId22" w:history="1">
        <w:r w:rsidRPr="00D1297D">
          <w:rPr>
            <w:color w:val="0000FF"/>
            <w:u w:val="single"/>
            <w:lang w:val="es-US" w:eastAsia="es-MX"/>
          </w:rPr>
          <w:t>https://bvs.sld.cu/revistas/onc/vol15_2_99/onc07299.pdf</w:t>
        </w:r>
      </w:hyperlink>
      <w:r w:rsidRPr="00D1297D">
        <w:rPr>
          <w:lang w:val="es-US" w:eastAsia="es-MX"/>
        </w:rPr>
        <w:t xml:space="preserve"> </w:t>
      </w:r>
    </w:p>
    <w:p w14:paraId="1C79FE9E" w14:textId="77777777" w:rsidR="00D1297D" w:rsidRPr="00D1297D" w:rsidRDefault="00D1297D" w:rsidP="00D1297D">
      <w:pPr>
        <w:spacing w:line="360" w:lineRule="auto"/>
        <w:rPr>
          <w:lang w:val="es-US" w:eastAsia="es-MX"/>
        </w:rPr>
      </w:pPr>
      <w:r w:rsidRPr="00D1297D">
        <w:rPr>
          <w:lang w:val="es-US" w:eastAsia="es-MX"/>
        </w:rPr>
        <w:t xml:space="preserve">16. Anuario Estadístico de Salud 2020. La Habana: Ministerio de Salud Pública [acceso: 10/02/2022]. Disponible en: </w:t>
      </w:r>
      <w:hyperlink r:id="rId23" w:history="1">
        <w:r w:rsidRPr="00D1297D">
          <w:rPr>
            <w:color w:val="0000FF"/>
            <w:u w:val="single"/>
            <w:lang w:val="es-US" w:eastAsia="es-MX"/>
          </w:rPr>
          <w:t>https://files.sld.cu/bvscuba/files/2021/08/Anuario-Estadistico-Español-2020-Definitivo.pdf</w:t>
        </w:r>
      </w:hyperlink>
      <w:r w:rsidRPr="00D1297D">
        <w:rPr>
          <w:lang w:val="es-US" w:eastAsia="es-MX"/>
        </w:rPr>
        <w:t xml:space="preserve">  </w:t>
      </w:r>
    </w:p>
    <w:p w14:paraId="0F29C393" w14:textId="77777777" w:rsidR="00D1297D" w:rsidRPr="00D1297D" w:rsidRDefault="00D1297D" w:rsidP="00D1297D">
      <w:pPr>
        <w:spacing w:line="360" w:lineRule="auto"/>
        <w:rPr>
          <w:lang w:val="es-US" w:eastAsia="es-MX"/>
        </w:rPr>
      </w:pPr>
      <w:r w:rsidRPr="00D1297D">
        <w:rPr>
          <w:lang w:val="es-US" w:eastAsia="es-MX"/>
        </w:rPr>
        <w:t xml:space="preserve">17. Rodríguez A, Fernández ME, Vila D, Vigo M, Robaina PL. Mortalidad por cáncer bucal en La Habana, 2001-2010. Rev Cubana Estomatol. 2015 [acceso: 10/02/2022]; 52(1): 11-20. Disponible en: </w:t>
      </w:r>
      <w:hyperlink r:id="rId24" w:history="1">
        <w:r w:rsidRPr="00D1297D">
          <w:rPr>
            <w:color w:val="0000FF"/>
            <w:u w:val="single"/>
            <w:lang w:val="es-US" w:eastAsia="es-MX"/>
          </w:rPr>
          <w:t>https://scielo.sld.cu/pdf/est/v52s1/est03115.pdf</w:t>
        </w:r>
      </w:hyperlink>
      <w:r w:rsidRPr="00D1297D">
        <w:rPr>
          <w:lang w:val="es-US" w:eastAsia="es-MX"/>
        </w:rPr>
        <w:t xml:space="preserve"> </w:t>
      </w:r>
    </w:p>
    <w:p w14:paraId="50409F84" w14:textId="77777777" w:rsidR="00D1297D" w:rsidRPr="00D1297D" w:rsidRDefault="00D1297D" w:rsidP="00D1297D">
      <w:pPr>
        <w:spacing w:line="360" w:lineRule="auto"/>
        <w:rPr>
          <w:lang w:val="es-US" w:eastAsia="es-MX"/>
        </w:rPr>
      </w:pPr>
      <w:r w:rsidRPr="00D1297D">
        <w:rPr>
          <w:lang w:val="es-US" w:eastAsia="es-MX"/>
        </w:rPr>
        <w:t xml:space="preserve">18. Valentín González F, Rodríguez González GM, Conde Suárez HF, Vila Morales D. Caracterización del cáncer bucal. Estudio de 15 años. Rev Méd Electrón. 2017 [acceso: 10/02/2022]; 39(2): [aprox. 13 p.]. Disponible en: </w:t>
      </w:r>
      <w:hyperlink r:id="rId25" w:history="1">
        <w:r w:rsidRPr="00D1297D">
          <w:rPr>
            <w:color w:val="0000FF"/>
            <w:u w:val="single"/>
            <w:lang w:val="es-US" w:eastAsia="es-MX"/>
          </w:rPr>
          <w:t>http://www.revmedicaelectronica.sld.cu/index.php/rme/article/view/2202/pdf_224</w:t>
        </w:r>
      </w:hyperlink>
      <w:r w:rsidRPr="00D1297D">
        <w:rPr>
          <w:lang w:val="es-US" w:eastAsia="es-MX"/>
        </w:rPr>
        <w:t xml:space="preserve">  </w:t>
      </w:r>
    </w:p>
    <w:p w14:paraId="5A345EDF" w14:textId="77777777" w:rsidR="00D1297D" w:rsidRPr="00D1297D" w:rsidRDefault="00D1297D" w:rsidP="00D1297D">
      <w:pPr>
        <w:spacing w:line="360" w:lineRule="auto"/>
        <w:rPr>
          <w:lang w:val="es-US" w:eastAsia="es-MX"/>
        </w:rPr>
      </w:pPr>
      <w:r w:rsidRPr="00D1297D">
        <w:rPr>
          <w:lang w:val="es-US" w:eastAsia="es-MX"/>
        </w:rPr>
        <w:lastRenderedPageBreak/>
        <w:t xml:space="preserve">19. Rodríguez I, Betancourt M, García AB, Giance L. Pronóstico de incidencia y mortalidad del cáncer bucal en la provincia Ciego de Ávila. Rev Cubana Estomatol. 2017 [acceso: 10/02/2022]; 54(3): [aprox. 11 p.]. Disponible en: </w:t>
      </w:r>
      <w:hyperlink r:id="rId26" w:history="1">
        <w:r w:rsidRPr="00D1297D">
          <w:rPr>
            <w:color w:val="0000FF"/>
            <w:u w:val="single"/>
            <w:lang w:val="es-US" w:eastAsia="es-MX"/>
          </w:rPr>
          <w:t>https://scielo.sld.cu/pdf/est/v54n3/est05317.pdf</w:t>
        </w:r>
      </w:hyperlink>
      <w:r w:rsidRPr="00D1297D">
        <w:rPr>
          <w:lang w:val="es-US" w:eastAsia="es-MX"/>
        </w:rPr>
        <w:t xml:space="preserve"> </w:t>
      </w:r>
    </w:p>
    <w:p w14:paraId="26287BA3" w14:textId="77777777" w:rsidR="00D1297D" w:rsidRPr="00D1297D" w:rsidRDefault="00D1297D" w:rsidP="00D1297D">
      <w:pPr>
        <w:spacing w:line="360" w:lineRule="auto"/>
        <w:rPr>
          <w:lang w:val="es-US" w:eastAsia="es-MX"/>
        </w:rPr>
      </w:pPr>
      <w:r w:rsidRPr="00D1297D">
        <w:rPr>
          <w:lang w:val="es-US" w:eastAsia="es-MX"/>
        </w:rPr>
        <w:t xml:space="preserve">20. Morales-Basulto R, Reina-Rodríguez Y, Viamontes-Beltrán J. Estudio clínico-epidemiológico de pacientes con cáncer en suelo de boca. Medisur. 2019 [acceso: 10/02/2022]; 17(5): 698-705. Disponible en: </w:t>
      </w:r>
      <w:hyperlink r:id="rId27" w:history="1">
        <w:r w:rsidRPr="00D1297D">
          <w:rPr>
            <w:color w:val="0000FF"/>
            <w:u w:val="single"/>
            <w:lang w:val="es-US" w:eastAsia="es-MX"/>
          </w:rPr>
          <w:t>https://medisur.sld.cu/index.php/medisur/article/view/4161</w:t>
        </w:r>
      </w:hyperlink>
      <w:r w:rsidRPr="00D1297D">
        <w:rPr>
          <w:lang w:val="es-US" w:eastAsia="es-MX"/>
        </w:rPr>
        <w:t xml:space="preserve">  </w:t>
      </w:r>
    </w:p>
    <w:p w14:paraId="7A1BE1E5" w14:textId="77777777" w:rsidR="00D1297D" w:rsidRPr="00D1297D" w:rsidRDefault="00D1297D" w:rsidP="00D1297D">
      <w:pPr>
        <w:spacing w:line="360" w:lineRule="auto"/>
        <w:rPr>
          <w:lang w:val="es-US" w:eastAsia="es-MX"/>
        </w:rPr>
      </w:pPr>
      <w:r w:rsidRPr="00D1297D">
        <w:rPr>
          <w:lang w:val="es-US" w:eastAsia="es-MX"/>
        </w:rPr>
        <w:t xml:space="preserve">21. Pérez-Reyes YO, Bermúdez-Núñez YI. Factores de riesgo asociados al cáncer bucal en pacientes de un consultorio médico de la familia. Rev Electrón Dr. Zoilo E. Marinello Vidaurreta. 2020 [acceso: 10/02/2022]; 45(5): [aprox. 6 p.]. Disponible en: </w:t>
      </w:r>
      <w:hyperlink r:id="rId28" w:history="1">
        <w:r w:rsidRPr="00D1297D">
          <w:rPr>
            <w:color w:val="0000FF"/>
            <w:u w:val="single"/>
            <w:lang w:val="es-US" w:eastAsia="es-MX"/>
          </w:rPr>
          <w:t>http://revzoilomarinello.sld.cu/index.php/zmv/article/view/2172/pdf_707</w:t>
        </w:r>
      </w:hyperlink>
      <w:r w:rsidRPr="00D1297D">
        <w:rPr>
          <w:lang w:val="es-US" w:eastAsia="es-MX"/>
        </w:rPr>
        <w:t xml:space="preserve"> </w:t>
      </w:r>
    </w:p>
    <w:p w14:paraId="1AB60B8D" w14:textId="77777777" w:rsidR="00D1297D" w:rsidRPr="00D1297D" w:rsidRDefault="00D1297D" w:rsidP="00D1297D">
      <w:pPr>
        <w:spacing w:line="360" w:lineRule="auto"/>
        <w:rPr>
          <w:lang w:val="es-US" w:eastAsia="es-MX"/>
        </w:rPr>
      </w:pPr>
      <w:r w:rsidRPr="00D1297D">
        <w:rPr>
          <w:lang w:val="es-US" w:eastAsia="es-MX"/>
        </w:rPr>
        <w:t xml:space="preserve">22. Verdecia AI, Álvarez E, Parra J. Mortalidad por cáncer bucal en pacientes de la provincia Holguín. Correo Cient Méd. 2014 [acceso: 10/02/2022]; 18(1):45-55. Disponible en: </w:t>
      </w:r>
      <w:hyperlink r:id="rId29" w:history="1">
        <w:r w:rsidRPr="00D1297D">
          <w:rPr>
            <w:color w:val="0000FF"/>
            <w:u w:val="single"/>
            <w:lang w:val="es-US" w:eastAsia="es-MX"/>
          </w:rPr>
          <w:t>https://scielo.sld.cu/pdf/ccm/v18n1/ccm07114.pdf</w:t>
        </w:r>
      </w:hyperlink>
      <w:r w:rsidRPr="00D1297D">
        <w:rPr>
          <w:lang w:val="es-US" w:eastAsia="es-MX"/>
        </w:rPr>
        <w:t xml:space="preserve"> </w:t>
      </w:r>
    </w:p>
    <w:p w14:paraId="54E5CF5A" w14:textId="77777777" w:rsidR="00D1297D" w:rsidRPr="00D1297D" w:rsidRDefault="00D1297D" w:rsidP="00D1297D">
      <w:pPr>
        <w:spacing w:line="360" w:lineRule="auto"/>
        <w:rPr>
          <w:lang w:val="es-US" w:eastAsia="es-MX"/>
        </w:rPr>
      </w:pPr>
      <w:r w:rsidRPr="00D1297D">
        <w:rPr>
          <w:lang w:val="es-US" w:eastAsia="es-MX"/>
        </w:rPr>
        <w:t xml:space="preserve">23. Laurencio J, Noriega SO, Góngora RG. Caracterización clínico-epidemiológica de pacientes con cáncer bucal y otras lesiones del complejo bucomaxilofacial. MEDISAN. 2019 [acceso: 10/02/2022]; 23(5):837. Disponible en: </w:t>
      </w:r>
      <w:hyperlink r:id="rId30" w:history="1">
        <w:r w:rsidRPr="00D1297D">
          <w:rPr>
            <w:color w:val="0000FF"/>
            <w:u w:val="single"/>
            <w:lang w:val="es-US" w:eastAsia="es-MX"/>
          </w:rPr>
          <w:t>https://medisan.sld.cu/index.php/san/article/view/2844/pdf</w:t>
        </w:r>
      </w:hyperlink>
      <w:r w:rsidRPr="00D1297D">
        <w:rPr>
          <w:lang w:val="es-US" w:eastAsia="es-MX"/>
        </w:rPr>
        <w:t xml:space="preserve"> </w:t>
      </w:r>
    </w:p>
    <w:p w14:paraId="0F509334" w14:textId="77777777" w:rsidR="00D1297D" w:rsidRPr="00D1297D" w:rsidRDefault="00D1297D" w:rsidP="00D1297D">
      <w:pPr>
        <w:spacing w:line="360" w:lineRule="auto"/>
        <w:rPr>
          <w:lang w:val="es-US" w:eastAsia="es-MX"/>
        </w:rPr>
      </w:pPr>
      <w:r w:rsidRPr="00D1297D">
        <w:rPr>
          <w:lang w:val="es-US" w:eastAsia="es-MX"/>
        </w:rPr>
        <w:t xml:space="preserve">24. Cabrera JJ, de la Rosa JD, Pérez K, Ramírez G, Peñón M, Vázquez GL. Caracterización clínico-epidemiológica de pacientes con cáncer bucal. 16 de Abril. 2020 [acceso: 10/02/2022]; 59(278): e984. Disponible en: </w:t>
      </w:r>
      <w:hyperlink r:id="rId31" w:history="1">
        <w:r w:rsidRPr="00D1297D">
          <w:rPr>
            <w:color w:val="0000FF"/>
            <w:u w:val="single"/>
            <w:lang w:val="es-US" w:eastAsia="es-MX"/>
          </w:rPr>
          <w:t>https://www.rev16deabril.sld.cu/index.php/16_4/article/view/984</w:t>
        </w:r>
      </w:hyperlink>
      <w:r w:rsidRPr="00D1297D">
        <w:rPr>
          <w:lang w:val="es-US" w:eastAsia="es-MX"/>
        </w:rPr>
        <w:t xml:space="preserve">  </w:t>
      </w:r>
    </w:p>
    <w:p w14:paraId="212BEDC3" w14:textId="77777777" w:rsidR="00D1297D" w:rsidRPr="00D1297D" w:rsidRDefault="00D1297D" w:rsidP="00D1297D">
      <w:pPr>
        <w:spacing w:line="360" w:lineRule="auto"/>
        <w:rPr>
          <w:lang w:val="es-US" w:eastAsia="es-MX"/>
        </w:rPr>
      </w:pPr>
      <w:r w:rsidRPr="00D1297D">
        <w:rPr>
          <w:lang w:val="es-US" w:eastAsia="es-MX"/>
        </w:rPr>
        <w:t xml:space="preserve">25. Cruz V, Cruz L. Factores de riesgo asociados al carcinoma escamoso del labio. Multimed. 2018 [acceso: 10/02/2022]; 22(5): 924-36. Disponible en: </w:t>
      </w:r>
      <w:hyperlink r:id="rId32" w:history="1">
        <w:r w:rsidRPr="00D1297D">
          <w:rPr>
            <w:color w:val="0000FF"/>
            <w:u w:val="single"/>
            <w:lang w:val="es-US" w:eastAsia="es-MX"/>
          </w:rPr>
          <w:t>https://www.medigraphic.com/pdfs/multimed/mul-2018/mul185c.pdf</w:t>
        </w:r>
      </w:hyperlink>
      <w:r w:rsidRPr="00D1297D">
        <w:rPr>
          <w:lang w:val="es-US" w:eastAsia="es-MX"/>
        </w:rPr>
        <w:t xml:space="preserve"> </w:t>
      </w:r>
    </w:p>
    <w:p w14:paraId="2D4D0A56" w14:textId="77777777" w:rsidR="00D1297D" w:rsidRPr="00D1297D" w:rsidRDefault="00D1297D" w:rsidP="00D1297D">
      <w:pPr>
        <w:spacing w:line="360" w:lineRule="auto"/>
        <w:rPr>
          <w:lang w:val="es-US" w:eastAsia="es-MX"/>
        </w:rPr>
      </w:pPr>
      <w:r w:rsidRPr="00D1297D">
        <w:rPr>
          <w:lang w:val="es-US" w:eastAsia="es-MX"/>
        </w:rPr>
        <w:t xml:space="preserve">26. Corrales-Reyes IE, Cruz-Sánchez V, Mejia CR. Carcinoma epidermoide intraoral y factores de riesgo asociados: un estudio de casos y controles. Rev Cubana Med Militar. 2021 [acceso: 10/02/2022]; 50(3): e02101401. Disponible en: </w:t>
      </w:r>
      <w:hyperlink r:id="rId33" w:history="1">
        <w:r w:rsidRPr="00D1297D">
          <w:rPr>
            <w:color w:val="0000FF"/>
            <w:u w:val="single"/>
            <w:lang w:val="es-US" w:eastAsia="es-MX"/>
          </w:rPr>
          <w:t>https://www.revmedmilitar.sld.cu/index.php/mil/article/view/1401/1011</w:t>
        </w:r>
      </w:hyperlink>
      <w:r w:rsidRPr="00D1297D">
        <w:rPr>
          <w:lang w:val="es-US" w:eastAsia="es-MX"/>
        </w:rPr>
        <w:t xml:space="preserve"> </w:t>
      </w:r>
    </w:p>
    <w:p w14:paraId="7F925D6E" w14:textId="77777777" w:rsidR="00D1297D" w:rsidRPr="00D1297D" w:rsidRDefault="00D1297D" w:rsidP="00D1297D">
      <w:pPr>
        <w:spacing w:line="360" w:lineRule="auto"/>
        <w:rPr>
          <w:lang w:val="es-US" w:eastAsia="es-MX"/>
        </w:rPr>
      </w:pPr>
      <w:r w:rsidRPr="00D1297D">
        <w:rPr>
          <w:lang w:val="es-US" w:eastAsia="es-MX"/>
        </w:rPr>
        <w:t>27. Santana JC, Miranda JD, Urbizo J, Delgado R, Moreira E, Dou N, et al. Atlas de patologías del complejo bucal. 2da edición. La Habana: Editorial Ciencias Médicas; 2010.</w:t>
      </w:r>
    </w:p>
    <w:p w14:paraId="2D173D26" w14:textId="77777777" w:rsidR="00D1297D" w:rsidRPr="00D1297D" w:rsidRDefault="00D1297D" w:rsidP="00D1297D">
      <w:pPr>
        <w:spacing w:line="360" w:lineRule="auto"/>
        <w:rPr>
          <w:lang w:val="en-US" w:eastAsia="es-MX"/>
        </w:rPr>
      </w:pPr>
      <w:r w:rsidRPr="00D1297D">
        <w:rPr>
          <w:lang w:val="es-CU" w:eastAsia="es-MX"/>
        </w:rPr>
        <w:lastRenderedPageBreak/>
        <w:t xml:space="preserve">28. Edge SB, Compton CC. </w:t>
      </w:r>
      <w:r w:rsidRPr="00D1297D">
        <w:rPr>
          <w:lang w:val="en-US" w:eastAsia="es-MX"/>
        </w:rPr>
        <w:t xml:space="preserve">The American Joint Committee on Cancer: the 7th edition of the AJCC cancer staging manual and the future of TNM. Ann Surg Oncol. 2010; 17(6): 1471-4. DOI: 10.1245/s10434-010-0985-4 </w:t>
      </w:r>
    </w:p>
    <w:p w14:paraId="6F919BC4" w14:textId="77777777" w:rsidR="00D1297D" w:rsidRPr="00D1297D" w:rsidRDefault="00D1297D" w:rsidP="00D1297D">
      <w:pPr>
        <w:spacing w:line="360" w:lineRule="auto"/>
        <w:rPr>
          <w:lang w:val="en-US" w:eastAsia="es-MX"/>
        </w:rPr>
      </w:pPr>
      <w:r w:rsidRPr="00D1297D">
        <w:rPr>
          <w:lang w:val="en-US" w:eastAsia="es-MX"/>
        </w:rPr>
        <w:t xml:space="preserve">29. Wei-Ping T, Guo-Ji N, Meng-Jie C, Tajigul Y, Arzi G, Arzigul W, et al. Hot food and beverage consumption and the risk of esophageal squamous cell carcinoma. A case-control study in a northwest area in China. Medicine. 2017; 96(50): e9325. DOI: 10.1097/MD.0000000000009325 </w:t>
      </w:r>
    </w:p>
    <w:p w14:paraId="40119A8D" w14:textId="77777777" w:rsidR="00D1297D" w:rsidRPr="00D1297D" w:rsidRDefault="00D1297D" w:rsidP="00D1297D">
      <w:pPr>
        <w:spacing w:line="360" w:lineRule="auto"/>
        <w:rPr>
          <w:lang w:val="en-US" w:eastAsia="es-MX"/>
        </w:rPr>
      </w:pPr>
      <w:r w:rsidRPr="00D1297D">
        <w:rPr>
          <w:lang w:val="en-US" w:eastAsia="es-MX"/>
        </w:rPr>
        <w:t>30. Alharbi F, Ali MF. Individual and Integrated Effects of Potential Risk Factors for Oral Squamous Cell Carcinoma: A Hospital-Based Case-Control Study in Jazan, Saudi Arabia. Asian Pac J Cancer Prev. 2018; 19(3): 791-96. DOI: 10.22034/apjcp.2018.19.3.791</w:t>
      </w:r>
    </w:p>
    <w:p w14:paraId="7E62DFDF" w14:textId="77777777" w:rsidR="00D1297D" w:rsidRPr="00D1297D" w:rsidRDefault="00D1297D" w:rsidP="00D1297D">
      <w:pPr>
        <w:spacing w:line="360" w:lineRule="auto"/>
        <w:rPr>
          <w:lang w:val="es-US" w:eastAsia="es-MX"/>
        </w:rPr>
      </w:pPr>
      <w:r w:rsidRPr="00D1297D">
        <w:rPr>
          <w:lang w:val="en-US" w:eastAsia="es-MX"/>
        </w:rPr>
        <w:t xml:space="preserve">31. Saira, Fiaz M, Rauf M, Ahmed R, Malik S. Epidemiological and clinical correlates of oral squamous cell carcinoma in patients from north-west Pakistan. </w:t>
      </w:r>
      <w:r w:rsidRPr="00D1297D">
        <w:rPr>
          <w:lang w:val="es-US" w:eastAsia="es-MX"/>
        </w:rPr>
        <w:t xml:space="preserve">J Pak Med Assoc. 2019 [acceso: 10/02/2022]; 69(8): 1074-78. Disponible en: </w:t>
      </w:r>
      <w:hyperlink r:id="rId34" w:history="1">
        <w:r w:rsidRPr="00D1297D">
          <w:rPr>
            <w:color w:val="0000FF"/>
            <w:u w:val="single"/>
            <w:lang w:val="es-US" w:eastAsia="es-MX"/>
          </w:rPr>
          <w:t>https://www.jpma.org.pk/PdfDownload/9264</w:t>
        </w:r>
      </w:hyperlink>
      <w:r w:rsidRPr="00D1297D">
        <w:rPr>
          <w:lang w:val="es-US" w:eastAsia="es-MX"/>
        </w:rPr>
        <w:t xml:space="preserve"> </w:t>
      </w:r>
    </w:p>
    <w:p w14:paraId="3233673F" w14:textId="77777777" w:rsidR="00D1297D" w:rsidRPr="00D1297D" w:rsidRDefault="00D1297D" w:rsidP="00D1297D">
      <w:pPr>
        <w:spacing w:line="360" w:lineRule="auto"/>
        <w:rPr>
          <w:lang w:val="en-US" w:eastAsia="es-MX"/>
        </w:rPr>
      </w:pPr>
      <w:r w:rsidRPr="00D1297D">
        <w:rPr>
          <w:lang w:val="es-US" w:eastAsia="es-MX"/>
        </w:rPr>
        <w:t xml:space="preserve">32. Bernal-Baláez AE. Estudio epidemiológico del cáncer bucal en Colombia 1989-2008. </w:t>
      </w:r>
      <w:r w:rsidRPr="00D1297D">
        <w:rPr>
          <w:lang w:val="en-US" w:eastAsia="es-MX"/>
        </w:rPr>
        <w:t xml:space="preserve">Rev Fac Med. 2016; 64(1): 75-8. DOI: 10.15446/revfacmed.v64n1.53736 </w:t>
      </w:r>
    </w:p>
    <w:p w14:paraId="790CB1D4" w14:textId="77777777" w:rsidR="00D1297D" w:rsidRPr="00D1297D" w:rsidRDefault="00D1297D" w:rsidP="00D1297D">
      <w:pPr>
        <w:spacing w:line="360" w:lineRule="auto"/>
        <w:rPr>
          <w:lang w:val="es-US" w:eastAsia="es-MX"/>
        </w:rPr>
      </w:pPr>
      <w:r w:rsidRPr="00D1297D">
        <w:rPr>
          <w:lang w:val="en-US" w:eastAsia="es-MX"/>
        </w:rPr>
        <w:t xml:space="preserve">33. Rafieian N, Azimi S, Manifar S, Julideh H, ShirKhoda M. Is there any association between green tea consumption and the risk of head and neck squamous cell carcinoma: Finding from a case-control study. </w:t>
      </w:r>
      <w:r w:rsidRPr="00D1297D">
        <w:rPr>
          <w:lang w:val="es-US" w:eastAsia="es-MX"/>
        </w:rPr>
        <w:t xml:space="preserve">Arch Oral Biology. 2019; 98:280–84.  DOI: 10.1016/j.archoralbio.2018.12.003 </w:t>
      </w:r>
    </w:p>
    <w:p w14:paraId="770EF8F7" w14:textId="77777777" w:rsidR="00D1297D" w:rsidRPr="00D1297D" w:rsidRDefault="00D1297D" w:rsidP="00D1297D">
      <w:pPr>
        <w:spacing w:line="360" w:lineRule="auto"/>
        <w:rPr>
          <w:lang w:val="es-US" w:eastAsia="es-MX"/>
        </w:rPr>
      </w:pPr>
      <w:r w:rsidRPr="00D1297D">
        <w:rPr>
          <w:lang w:val="es-US" w:eastAsia="es-MX"/>
        </w:rPr>
        <w:t xml:space="preserve">34. Piemonte ED. Cáncer bucal: diseño y evaluación de un índice de riesgo multifactorial [Tesis doctoral]. Córdoba: Universidad Nacional de Córdoba, Facultad de Odontología; 2015. </w:t>
      </w:r>
      <w:r w:rsidRPr="00D1297D">
        <w:rPr>
          <w:color w:val="000000"/>
          <w:lang w:val="es-PE" w:eastAsia="es-MX"/>
        </w:rPr>
        <w:t xml:space="preserve">[acceso: 28/05/2022]. Disponible en: </w:t>
      </w:r>
      <w:hyperlink r:id="rId35" w:history="1">
        <w:r w:rsidRPr="00D1297D">
          <w:rPr>
            <w:color w:val="0000FF"/>
            <w:u w:val="single"/>
            <w:lang w:val="es-PE" w:eastAsia="es-MX"/>
          </w:rPr>
          <w:t>https://rdu.unc.edu.ar/handle/11086/1757</w:t>
        </w:r>
      </w:hyperlink>
      <w:r w:rsidRPr="00D1297D">
        <w:rPr>
          <w:color w:val="000000"/>
          <w:lang w:val="es-PE" w:eastAsia="es-MX"/>
        </w:rPr>
        <w:t xml:space="preserve"> </w:t>
      </w:r>
    </w:p>
    <w:p w14:paraId="14720BC0" w14:textId="77777777" w:rsidR="00D1297D" w:rsidRPr="00D1297D" w:rsidRDefault="00D1297D" w:rsidP="00D1297D">
      <w:pPr>
        <w:spacing w:line="360" w:lineRule="auto"/>
        <w:rPr>
          <w:lang w:val="es-US" w:eastAsia="es-MX"/>
        </w:rPr>
      </w:pPr>
      <w:r w:rsidRPr="00D1297D">
        <w:rPr>
          <w:lang w:val="es-US" w:eastAsia="es-MX"/>
        </w:rPr>
        <w:t xml:space="preserve">35. Lins LSS, Bezerra NVF, Freire AR, Almeida LFD, Lucena EHG, Cavalcanti YW. </w:t>
      </w:r>
      <w:r w:rsidRPr="00D1297D">
        <w:rPr>
          <w:lang w:val="en-US" w:eastAsia="es-MX"/>
        </w:rPr>
        <w:t xml:space="preserve">Socio-demographic characteristics are related to the advanced clinical stage of oral cancer. </w:t>
      </w:r>
      <w:r w:rsidRPr="00D1297D">
        <w:rPr>
          <w:lang w:val="es-US" w:eastAsia="es-MX"/>
        </w:rPr>
        <w:t>Med Oral Patol Oral Cir Bucal. 2019; 24(6): e759-63. DOI: 10.4317/medoral.23105</w:t>
      </w:r>
    </w:p>
    <w:p w14:paraId="76398D81" w14:textId="77777777" w:rsidR="00D1297D" w:rsidRPr="00D1297D" w:rsidRDefault="00D1297D" w:rsidP="00D1297D">
      <w:pPr>
        <w:spacing w:line="360" w:lineRule="auto"/>
        <w:rPr>
          <w:lang w:val="es-US" w:eastAsia="es-MX"/>
        </w:rPr>
      </w:pPr>
      <w:r w:rsidRPr="00D1297D">
        <w:rPr>
          <w:lang w:val="es-US" w:eastAsia="es-MX"/>
        </w:rPr>
        <w:t xml:space="preserve">36. Cepeda MM, Añel AK, González Y, Mustelier L. Comportamiento clínico epidemiológico del cáncer de cabeza y cuello. Rev Cubana Otorrinolaringol Cir Cabeza Cuello. 2021 [acceso: 10/02/2022]; 5(3): e275. Disponible en: </w:t>
      </w:r>
      <w:hyperlink r:id="rId36" w:history="1">
        <w:r w:rsidRPr="00D1297D">
          <w:rPr>
            <w:color w:val="0000FF"/>
            <w:u w:val="single"/>
            <w:lang w:val="es-US" w:eastAsia="es-MX"/>
          </w:rPr>
          <w:t>http://www.revotorrino.sld.cu/index.php/otl/article/view/275/416</w:t>
        </w:r>
      </w:hyperlink>
      <w:r w:rsidRPr="00D1297D">
        <w:rPr>
          <w:lang w:val="es-US" w:eastAsia="es-MX"/>
        </w:rPr>
        <w:t xml:space="preserve">  </w:t>
      </w:r>
    </w:p>
    <w:p w14:paraId="18F67604" w14:textId="77777777" w:rsidR="00D1297D" w:rsidRPr="00D1297D" w:rsidRDefault="00D1297D" w:rsidP="00D1297D">
      <w:pPr>
        <w:spacing w:line="360" w:lineRule="auto"/>
        <w:rPr>
          <w:lang w:val="es-PE" w:eastAsia="es-MX"/>
        </w:rPr>
      </w:pPr>
      <w:r w:rsidRPr="00D1297D">
        <w:rPr>
          <w:lang w:val="es-US" w:eastAsia="es-MX"/>
        </w:rPr>
        <w:lastRenderedPageBreak/>
        <w:t xml:space="preserve">37. Forteza M, García D, Pérez M, Alert J, Reno J. Tumores malignos de cabeza y cuello en pacientes pediátricos. Rev Cubana Pediatría. 2019 [acceso: 10/02/2022]; 91(4): e789. Disponible en: </w:t>
      </w:r>
      <w:hyperlink r:id="rId37" w:history="1">
        <w:r w:rsidRPr="00D1297D">
          <w:rPr>
            <w:color w:val="0000FF"/>
            <w:u w:val="single"/>
            <w:lang w:val="es-US" w:eastAsia="es-MX"/>
          </w:rPr>
          <w:t>http://www.revpediatria.sld.cu/index.php/ped/article/view/789/423</w:t>
        </w:r>
      </w:hyperlink>
      <w:r w:rsidRPr="00D1297D">
        <w:rPr>
          <w:lang w:val="es-US" w:eastAsia="es-MX"/>
        </w:rPr>
        <w:t xml:space="preserve"> </w:t>
      </w:r>
    </w:p>
    <w:p w14:paraId="421A3D83" w14:textId="77777777" w:rsidR="00D1297D" w:rsidRPr="00D1297D" w:rsidRDefault="00D1297D" w:rsidP="00D1297D">
      <w:pPr>
        <w:spacing w:line="360" w:lineRule="auto"/>
        <w:jc w:val="both"/>
        <w:rPr>
          <w:rFonts w:eastAsia="Calibri"/>
          <w:b/>
          <w:lang w:eastAsia="en-US"/>
        </w:rPr>
      </w:pPr>
    </w:p>
    <w:p w14:paraId="03B69E10" w14:textId="77777777" w:rsidR="00D1297D" w:rsidRPr="00D1297D" w:rsidRDefault="00D1297D" w:rsidP="00D1297D">
      <w:pPr>
        <w:spacing w:line="360" w:lineRule="auto"/>
        <w:jc w:val="both"/>
        <w:rPr>
          <w:rFonts w:eastAsia="Calibri"/>
          <w:b/>
          <w:lang w:eastAsia="en-US"/>
        </w:rPr>
      </w:pPr>
    </w:p>
    <w:p w14:paraId="4E51B489" w14:textId="7FFF9FB2" w:rsidR="00D1297D" w:rsidRPr="00D1297D" w:rsidRDefault="00D1297D" w:rsidP="00894FE2">
      <w:pPr>
        <w:spacing w:line="360" w:lineRule="auto"/>
        <w:jc w:val="center"/>
        <w:rPr>
          <w:rFonts w:eastAsia="Calibri"/>
          <w:b/>
          <w:lang w:eastAsia="en-US"/>
        </w:rPr>
      </w:pPr>
      <w:r w:rsidRPr="00D1297D">
        <w:rPr>
          <w:rFonts w:eastAsia="Calibri"/>
          <w:b/>
          <w:lang w:eastAsia="en-US"/>
        </w:rPr>
        <w:t>Conflictos de intereses</w:t>
      </w:r>
    </w:p>
    <w:p w14:paraId="2F87C084" w14:textId="77777777" w:rsidR="00D1297D" w:rsidRPr="00D1297D" w:rsidRDefault="00D1297D" w:rsidP="00894FE2">
      <w:pPr>
        <w:spacing w:line="360" w:lineRule="auto"/>
        <w:rPr>
          <w:rFonts w:eastAsia="Calibri"/>
          <w:bCs/>
          <w:color w:val="000000"/>
          <w:lang w:eastAsia="en-US"/>
        </w:rPr>
      </w:pPr>
      <w:r w:rsidRPr="00D1297D">
        <w:rPr>
          <w:rFonts w:eastAsia="Calibri"/>
          <w:bCs/>
          <w:color w:val="000000"/>
          <w:lang w:eastAsia="en-US"/>
        </w:rPr>
        <w:t>Los autores no tienen conflictos de interés que declarar ni fuentes de financiación.</w:t>
      </w:r>
    </w:p>
    <w:p w14:paraId="05F14C24" w14:textId="77777777" w:rsidR="00D1297D" w:rsidRPr="00D1297D" w:rsidRDefault="00D1297D" w:rsidP="00894FE2">
      <w:pPr>
        <w:spacing w:line="360" w:lineRule="auto"/>
        <w:rPr>
          <w:rFonts w:eastAsia="Calibri"/>
          <w:bCs/>
          <w:color w:val="000000"/>
          <w:lang w:eastAsia="en-US"/>
        </w:rPr>
      </w:pPr>
    </w:p>
    <w:p w14:paraId="1502BFCC" w14:textId="77777777" w:rsidR="00D1297D" w:rsidRPr="00D1297D" w:rsidRDefault="00D1297D" w:rsidP="00894FE2">
      <w:pPr>
        <w:spacing w:line="360" w:lineRule="auto"/>
        <w:jc w:val="center"/>
        <w:rPr>
          <w:rFonts w:eastAsia="Calibri"/>
          <w:b/>
          <w:bCs/>
          <w:lang w:eastAsia="en-US"/>
        </w:rPr>
      </w:pPr>
      <w:r w:rsidRPr="00D1297D">
        <w:rPr>
          <w:rFonts w:eastAsia="Calibri"/>
          <w:b/>
          <w:bCs/>
          <w:lang w:eastAsia="en-US"/>
        </w:rPr>
        <w:t>Contribuciones de los autores</w:t>
      </w:r>
    </w:p>
    <w:p w14:paraId="2584A9DC" w14:textId="77777777" w:rsidR="00D1297D" w:rsidRPr="00D1297D" w:rsidRDefault="00D1297D" w:rsidP="00894FE2">
      <w:pPr>
        <w:spacing w:line="360" w:lineRule="auto"/>
        <w:rPr>
          <w:rFonts w:eastAsia="Calibri"/>
          <w:i/>
          <w:iCs/>
          <w:lang w:eastAsia="en-US"/>
        </w:rPr>
      </w:pPr>
      <w:r w:rsidRPr="00D1297D">
        <w:rPr>
          <w:rFonts w:eastAsia="Calibri"/>
          <w:lang w:eastAsia="en-US"/>
        </w:rPr>
        <w:t xml:space="preserve">Conceptualización: </w:t>
      </w:r>
      <w:r w:rsidRPr="00D1297D">
        <w:rPr>
          <w:rFonts w:eastAsia="Calibri"/>
          <w:i/>
          <w:iCs/>
          <w:lang w:eastAsia="en-US"/>
        </w:rPr>
        <w:t>Ibraín Enrique Corrales-Reyes.</w:t>
      </w:r>
    </w:p>
    <w:p w14:paraId="6D7531F7" w14:textId="77777777" w:rsidR="00D1297D" w:rsidRPr="00D1297D" w:rsidRDefault="00D1297D" w:rsidP="00D1297D">
      <w:pPr>
        <w:spacing w:line="360" w:lineRule="auto"/>
        <w:rPr>
          <w:rFonts w:eastAsia="Calibri"/>
          <w:lang w:eastAsia="en-US"/>
        </w:rPr>
      </w:pPr>
      <w:r w:rsidRPr="00D1297D">
        <w:rPr>
          <w:rFonts w:eastAsia="Calibri"/>
          <w:lang w:eastAsia="en-US"/>
        </w:rPr>
        <w:t xml:space="preserve">Curación de datos: </w:t>
      </w:r>
      <w:r w:rsidRPr="00D1297D">
        <w:rPr>
          <w:rFonts w:eastAsia="Calibri"/>
          <w:i/>
          <w:iCs/>
          <w:lang w:eastAsia="en-US"/>
        </w:rPr>
        <w:t>Ibraín Enrique Corrales-Reyes, Vanesa Cruz-Sánchez.</w:t>
      </w:r>
    </w:p>
    <w:p w14:paraId="440AB0CA" w14:textId="77777777" w:rsidR="00D1297D" w:rsidRPr="00D1297D" w:rsidRDefault="00D1297D" w:rsidP="00D1297D">
      <w:pPr>
        <w:spacing w:line="360" w:lineRule="auto"/>
        <w:rPr>
          <w:rFonts w:eastAsia="Calibri"/>
          <w:lang w:eastAsia="en-US"/>
        </w:rPr>
      </w:pPr>
      <w:r w:rsidRPr="00D1297D">
        <w:rPr>
          <w:rFonts w:eastAsia="Calibri"/>
          <w:lang w:eastAsia="en-US"/>
        </w:rPr>
        <w:t xml:space="preserve">Análisis formal: </w:t>
      </w:r>
      <w:r w:rsidRPr="00D1297D">
        <w:rPr>
          <w:rFonts w:eastAsia="Calibri"/>
          <w:i/>
          <w:iCs/>
          <w:lang w:eastAsia="en-US"/>
        </w:rPr>
        <w:t>Ibraín Enrique Corrales-Reyes.</w:t>
      </w:r>
    </w:p>
    <w:p w14:paraId="692D0A20" w14:textId="77777777" w:rsidR="00D1297D" w:rsidRPr="00D1297D" w:rsidRDefault="00D1297D" w:rsidP="00D1297D">
      <w:pPr>
        <w:spacing w:line="360" w:lineRule="auto"/>
        <w:rPr>
          <w:rFonts w:eastAsia="Calibri"/>
          <w:lang w:eastAsia="en-US"/>
        </w:rPr>
      </w:pPr>
      <w:r w:rsidRPr="00D1297D">
        <w:rPr>
          <w:rFonts w:eastAsia="Calibri"/>
          <w:lang w:eastAsia="en-US"/>
        </w:rPr>
        <w:t xml:space="preserve">Investigación: </w:t>
      </w:r>
      <w:r w:rsidRPr="00D1297D">
        <w:rPr>
          <w:rFonts w:eastAsia="Calibri"/>
          <w:i/>
          <w:iCs/>
          <w:lang w:eastAsia="en-US"/>
        </w:rPr>
        <w:t>Ibraín Enrique Corrales-Reyes, Vanesa Cruz-Sánchez.</w:t>
      </w:r>
    </w:p>
    <w:p w14:paraId="7FEA582B" w14:textId="77777777" w:rsidR="00D1297D" w:rsidRPr="00D1297D" w:rsidRDefault="00D1297D" w:rsidP="00D1297D">
      <w:pPr>
        <w:spacing w:line="360" w:lineRule="auto"/>
        <w:rPr>
          <w:rFonts w:eastAsia="Calibri"/>
          <w:lang w:eastAsia="en-US"/>
        </w:rPr>
      </w:pPr>
      <w:r w:rsidRPr="00D1297D">
        <w:rPr>
          <w:rFonts w:eastAsia="Calibri"/>
          <w:lang w:eastAsia="en-US"/>
        </w:rPr>
        <w:t xml:space="preserve">Metodología: </w:t>
      </w:r>
      <w:r w:rsidRPr="00D1297D">
        <w:rPr>
          <w:rFonts w:eastAsia="Calibri"/>
          <w:i/>
          <w:iCs/>
          <w:lang w:eastAsia="en-US"/>
        </w:rPr>
        <w:t>Ibraín Enrique Corrales-Reyes.</w:t>
      </w:r>
    </w:p>
    <w:p w14:paraId="5C457510" w14:textId="77777777" w:rsidR="00D1297D" w:rsidRPr="00D1297D" w:rsidRDefault="00D1297D" w:rsidP="00D1297D">
      <w:pPr>
        <w:spacing w:line="360" w:lineRule="auto"/>
        <w:rPr>
          <w:rFonts w:eastAsia="Calibri"/>
          <w:lang w:eastAsia="en-US"/>
        </w:rPr>
      </w:pPr>
      <w:r w:rsidRPr="00D1297D">
        <w:rPr>
          <w:rFonts w:eastAsia="Calibri"/>
          <w:lang w:eastAsia="en-US"/>
        </w:rPr>
        <w:t xml:space="preserve">Administración del proyecto: </w:t>
      </w:r>
      <w:r w:rsidRPr="00D1297D">
        <w:rPr>
          <w:rFonts w:eastAsia="Calibri"/>
          <w:i/>
          <w:iCs/>
          <w:lang w:eastAsia="en-US"/>
        </w:rPr>
        <w:t>Ibraín Enrique Corrales-Reyes.</w:t>
      </w:r>
    </w:p>
    <w:p w14:paraId="6FA8C1FF" w14:textId="77777777" w:rsidR="00D1297D" w:rsidRPr="00D1297D" w:rsidRDefault="00D1297D" w:rsidP="00D1297D">
      <w:pPr>
        <w:spacing w:line="360" w:lineRule="auto"/>
        <w:rPr>
          <w:rFonts w:eastAsia="Calibri"/>
          <w:lang w:eastAsia="en-US"/>
        </w:rPr>
      </w:pPr>
      <w:r w:rsidRPr="00D1297D">
        <w:rPr>
          <w:rFonts w:eastAsia="Calibri"/>
          <w:lang w:eastAsia="en-US"/>
        </w:rPr>
        <w:t xml:space="preserve">Validación: </w:t>
      </w:r>
      <w:r w:rsidRPr="00D1297D">
        <w:rPr>
          <w:rFonts w:eastAsia="Calibri"/>
          <w:i/>
          <w:iCs/>
          <w:lang w:eastAsia="en-US"/>
        </w:rPr>
        <w:t>Ibraín Enrique Corrales-Reyes.</w:t>
      </w:r>
    </w:p>
    <w:p w14:paraId="38275603" w14:textId="77777777" w:rsidR="00D1297D" w:rsidRPr="00D1297D" w:rsidRDefault="00D1297D" w:rsidP="00D1297D">
      <w:pPr>
        <w:spacing w:line="360" w:lineRule="auto"/>
        <w:rPr>
          <w:rFonts w:eastAsia="Calibri"/>
          <w:lang w:eastAsia="en-US"/>
        </w:rPr>
      </w:pPr>
      <w:r w:rsidRPr="00D1297D">
        <w:rPr>
          <w:rFonts w:eastAsia="Calibri"/>
          <w:lang w:eastAsia="en-US"/>
        </w:rPr>
        <w:t xml:space="preserve">Visualización: </w:t>
      </w:r>
      <w:r w:rsidRPr="00D1297D">
        <w:rPr>
          <w:rFonts w:eastAsia="Calibri"/>
          <w:i/>
          <w:iCs/>
          <w:lang w:eastAsia="en-US"/>
        </w:rPr>
        <w:t>Ibraín Enrique Corrales-Reyes.</w:t>
      </w:r>
    </w:p>
    <w:p w14:paraId="581B8D07" w14:textId="77777777" w:rsidR="00D1297D" w:rsidRPr="00D1297D" w:rsidRDefault="00D1297D" w:rsidP="00D1297D">
      <w:pPr>
        <w:spacing w:line="360" w:lineRule="auto"/>
        <w:rPr>
          <w:rFonts w:eastAsia="Calibri"/>
          <w:lang w:eastAsia="en-US"/>
        </w:rPr>
      </w:pPr>
      <w:r w:rsidRPr="00D1297D">
        <w:rPr>
          <w:rFonts w:eastAsia="Calibri"/>
          <w:lang w:eastAsia="en-US"/>
        </w:rPr>
        <w:t xml:space="preserve">Redacción – borrador original: </w:t>
      </w:r>
      <w:r w:rsidRPr="00D1297D">
        <w:rPr>
          <w:rFonts w:eastAsia="Calibri"/>
          <w:i/>
          <w:iCs/>
          <w:lang w:eastAsia="en-US"/>
        </w:rPr>
        <w:t>Ibraín Enrique Corrales-Reyes, Vanesa Cruz-Sánchez, Alejandro Ernesto Núñez-Blanco, Bryan Alexis Cossio-Alva.</w:t>
      </w:r>
    </w:p>
    <w:p w14:paraId="33FE1A83" w14:textId="77777777" w:rsidR="00D1297D" w:rsidRPr="00D1297D" w:rsidRDefault="00D1297D" w:rsidP="00D1297D">
      <w:pPr>
        <w:spacing w:line="360" w:lineRule="auto"/>
        <w:rPr>
          <w:rFonts w:eastAsia="Calibri"/>
          <w:lang w:eastAsia="en-US"/>
        </w:rPr>
      </w:pPr>
      <w:r w:rsidRPr="00D1297D">
        <w:rPr>
          <w:rFonts w:eastAsia="Calibri"/>
          <w:lang w:eastAsia="en-US"/>
        </w:rPr>
        <w:t xml:space="preserve">Redacción – revisión y edición: </w:t>
      </w:r>
      <w:r w:rsidRPr="00D1297D">
        <w:rPr>
          <w:rFonts w:eastAsia="Calibri"/>
          <w:i/>
          <w:iCs/>
          <w:lang w:eastAsia="en-US"/>
        </w:rPr>
        <w:t>Ibraín Enrique Corrales-Reyes, Vanesa Cruz-Sánchez, Alejandro Ernesto Núñez-Blanco, Bryan Alexis Cossio-Alva.</w:t>
      </w:r>
    </w:p>
    <w:p w14:paraId="364BECAE" w14:textId="77777777" w:rsidR="00675476" w:rsidRPr="00D1297D" w:rsidRDefault="00675476" w:rsidP="00EA1FEF">
      <w:pPr>
        <w:pStyle w:val="PDFRevista"/>
        <w:rPr>
          <w:lang w:val="es-ES_tradnl"/>
        </w:rPr>
      </w:pPr>
    </w:p>
    <w:sectPr w:rsidR="00675476" w:rsidRPr="00D1297D" w:rsidSect="00FD3DF8">
      <w:headerReference w:type="default" r:id="rId38"/>
      <w:footerReference w:type="even" r:id="rId39"/>
      <w:footerReference w:type="default" r:id="rId4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7A154" w14:textId="77777777" w:rsidR="000D0939" w:rsidRDefault="000D0939">
      <w:r>
        <w:separator/>
      </w:r>
    </w:p>
  </w:endnote>
  <w:endnote w:type="continuationSeparator" w:id="0">
    <w:p w14:paraId="366A3496" w14:textId="77777777" w:rsidR="000D0939" w:rsidRDefault="000D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4C9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19E459"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D21B" w14:textId="61539CD9" w:rsidR="000F3690" w:rsidRPr="00AE044C" w:rsidRDefault="00D1297D"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7E37966" wp14:editId="41EAA1F2">
              <wp:simplePos x="0" y="0"/>
              <wp:positionH relativeFrom="column">
                <wp:posOffset>3810</wp:posOffset>
              </wp:positionH>
              <wp:positionV relativeFrom="paragraph">
                <wp:posOffset>50165</wp:posOffset>
              </wp:positionV>
              <wp:extent cx="6286500" cy="19050"/>
              <wp:effectExtent l="19050" t="1905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3D9BB7"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oLZ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MuaLziz0JNFO20V&#10;e0jKDC5UVLCxe59mE6N9djsUvwKzuOnAtiozfDk7apumjuKvlhQER/iH4RtKqoFjxCzT2Pg+QZIA&#10;bMxunO9uqDEyQYeL2XIxL8k0Qbnp53Ke3SqgujU7H+JXhT1Lm5ob4p3B4bQLMZGB6laS7rK41cZk&#10;w41lQ81ny/nDPHcENFqmbKoLvj1sjGcnSG+Gvu02j0aZ12Uej1ZmtE6B/HLdR9Dmsqfbjb0qkkS4&#10;yHlAed77m1JkaqZ5fYDp1byOc/ef32T9Gw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vYKC2ccBAABuAwAADgAAAAAAAAAAAAAA&#10;AAAuAgAAZHJzL2Uyb0RvYy54bWxQSwECLQAUAAYACAAAACEAhoC+k9oAAAAFAQAADwAAAAAAAAAA&#10;AAAAAAAhBAAAZHJzL2Rvd25yZXYueG1sUEsFBgAAAAAEAAQA8wAAACgFAAAAAA==&#10;" strokecolor="blue" strokeweight="2.25pt"/>
          </w:pict>
        </mc:Fallback>
      </mc:AlternateContent>
    </w:r>
  </w:p>
  <w:p w14:paraId="3ACE34D1" w14:textId="77777777" w:rsidR="00675476" w:rsidRPr="00AE044C" w:rsidRDefault="000D0939" w:rsidP="00391509">
    <w:pPr>
      <w:pStyle w:val="Piedepgina"/>
      <w:ind w:right="360"/>
      <w:rPr>
        <w:sz w:val="22"/>
        <w:szCs w:val="22"/>
      </w:rPr>
    </w:pPr>
    <w:hyperlink r:id="rId1" w:history="1">
      <w:r w:rsidR="00391509" w:rsidRPr="00AE044C">
        <w:rPr>
          <w:rStyle w:val="Hipervnculo"/>
          <w:sz w:val="22"/>
          <w:szCs w:val="22"/>
        </w:rPr>
        <w:t>http://scielo.sld.cu</w:t>
      </w:r>
    </w:hyperlink>
  </w:p>
  <w:p w14:paraId="13CD1C0E" w14:textId="77777777" w:rsidR="00391509" w:rsidRPr="00AE044C" w:rsidRDefault="000D0939"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EBA0EAA" w14:textId="11453DAE"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D1297D" w:rsidRPr="00D1297D">
      <w:rPr>
        <w:rFonts w:ascii="Verdana" w:hAnsi="Verdana"/>
        <w:noProof/>
        <w:sz w:val="18"/>
        <w:szCs w:val="18"/>
        <w:lang w:val="en-US" w:eastAsia="en-US"/>
      </w:rPr>
      <w:drawing>
        <wp:inline distT="0" distB="0" distL="0" distR="0" wp14:anchorId="6CB53E54" wp14:editId="477C93F7">
          <wp:extent cx="638175" cy="152400"/>
          <wp:effectExtent l="0" t="0" r="0" b="0"/>
          <wp:docPr id="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D9CC0" w14:textId="77777777" w:rsidR="000D0939" w:rsidRDefault="000D0939">
      <w:r>
        <w:separator/>
      </w:r>
    </w:p>
  </w:footnote>
  <w:footnote w:type="continuationSeparator" w:id="0">
    <w:p w14:paraId="0FA1F7F1" w14:textId="77777777" w:rsidR="000D0939" w:rsidRDefault="000D0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9EFDB" w14:textId="39EAF973" w:rsidR="00CC376A" w:rsidRPr="00AE044C" w:rsidRDefault="00D1297D"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noProof/>
      </w:rPr>
      <w:drawing>
        <wp:anchor distT="0" distB="0" distL="114300" distR="114300" simplePos="0" relativeHeight="251663360" behindDoc="1" locked="0" layoutInCell="1" allowOverlap="1" wp14:anchorId="2E7A73DC" wp14:editId="686D0879">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 xml:space="preserve"> e02201902</w:t>
    </w:r>
  </w:p>
  <w:p w14:paraId="1FE386CB" w14:textId="78C5470F" w:rsidR="00A477DE" w:rsidRDefault="00D1297D">
    <w:r>
      <w:rPr>
        <w:noProof/>
      </w:rPr>
      <mc:AlternateContent>
        <mc:Choice Requires="wps">
          <w:drawing>
            <wp:anchor distT="0" distB="0" distL="114300" distR="114300" simplePos="0" relativeHeight="251654144" behindDoc="0" locked="0" layoutInCell="1" allowOverlap="1" wp14:anchorId="2ABB8B80" wp14:editId="4310DB99">
              <wp:simplePos x="0" y="0"/>
              <wp:positionH relativeFrom="column">
                <wp:posOffset>635</wp:posOffset>
              </wp:positionH>
              <wp:positionV relativeFrom="paragraph">
                <wp:posOffset>42545</wp:posOffset>
              </wp:positionV>
              <wp:extent cx="6307455" cy="28575"/>
              <wp:effectExtent l="19050" t="19050" r="17145" b="952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43B7B1"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DZT1Du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A07FB"/>
    <w:multiLevelType w:val="hybridMultilevel"/>
    <w:tmpl w:val="A570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12790D"/>
    <w:multiLevelType w:val="hybridMultilevel"/>
    <w:tmpl w:val="8C028EF8"/>
    <w:lvl w:ilvl="0" w:tplc="5C0A0003">
      <w:start w:val="1"/>
      <w:numFmt w:val="bullet"/>
      <w:lvlText w:val="o"/>
      <w:lvlJc w:val="left"/>
      <w:pPr>
        <w:ind w:left="1077" w:hanging="360"/>
      </w:pPr>
      <w:rPr>
        <w:rFonts w:ascii="Courier New" w:hAnsi="Courier New" w:cs="Courier New" w:hint="default"/>
      </w:rPr>
    </w:lvl>
    <w:lvl w:ilvl="1" w:tplc="080A0003">
      <w:start w:val="1"/>
      <w:numFmt w:val="bullet"/>
      <w:lvlText w:val="o"/>
      <w:lvlJc w:val="left"/>
      <w:pPr>
        <w:ind w:left="1797" w:hanging="360"/>
      </w:pPr>
      <w:rPr>
        <w:rFonts w:ascii="Courier New" w:hAnsi="Courier New" w:cs="Courier New" w:hint="default"/>
      </w:rPr>
    </w:lvl>
    <w:lvl w:ilvl="2" w:tplc="080A0005">
      <w:start w:val="1"/>
      <w:numFmt w:val="bullet"/>
      <w:lvlText w:val=""/>
      <w:lvlJc w:val="left"/>
      <w:pPr>
        <w:ind w:left="2517" w:hanging="360"/>
      </w:pPr>
      <w:rPr>
        <w:rFonts w:ascii="Wingdings" w:hAnsi="Wingdings" w:hint="default"/>
      </w:rPr>
    </w:lvl>
    <w:lvl w:ilvl="3" w:tplc="080A0001">
      <w:start w:val="1"/>
      <w:numFmt w:val="bullet"/>
      <w:lvlText w:val=""/>
      <w:lvlJc w:val="left"/>
      <w:pPr>
        <w:ind w:left="3237" w:hanging="360"/>
      </w:pPr>
      <w:rPr>
        <w:rFonts w:ascii="Symbol" w:hAnsi="Symbol" w:hint="default"/>
      </w:rPr>
    </w:lvl>
    <w:lvl w:ilvl="4" w:tplc="080A0003">
      <w:start w:val="1"/>
      <w:numFmt w:val="bullet"/>
      <w:lvlText w:val="o"/>
      <w:lvlJc w:val="left"/>
      <w:pPr>
        <w:ind w:left="3957" w:hanging="360"/>
      </w:pPr>
      <w:rPr>
        <w:rFonts w:ascii="Courier New" w:hAnsi="Courier New" w:cs="Courier New" w:hint="default"/>
      </w:rPr>
    </w:lvl>
    <w:lvl w:ilvl="5" w:tplc="080A0005">
      <w:start w:val="1"/>
      <w:numFmt w:val="bullet"/>
      <w:lvlText w:val=""/>
      <w:lvlJc w:val="left"/>
      <w:pPr>
        <w:ind w:left="4677" w:hanging="360"/>
      </w:pPr>
      <w:rPr>
        <w:rFonts w:ascii="Wingdings" w:hAnsi="Wingdings" w:hint="default"/>
      </w:rPr>
    </w:lvl>
    <w:lvl w:ilvl="6" w:tplc="080A0001">
      <w:start w:val="1"/>
      <w:numFmt w:val="bullet"/>
      <w:lvlText w:val=""/>
      <w:lvlJc w:val="left"/>
      <w:pPr>
        <w:ind w:left="5397" w:hanging="360"/>
      </w:pPr>
      <w:rPr>
        <w:rFonts w:ascii="Symbol" w:hAnsi="Symbol" w:hint="default"/>
      </w:rPr>
    </w:lvl>
    <w:lvl w:ilvl="7" w:tplc="080A0003">
      <w:start w:val="1"/>
      <w:numFmt w:val="bullet"/>
      <w:lvlText w:val="o"/>
      <w:lvlJc w:val="left"/>
      <w:pPr>
        <w:ind w:left="6117" w:hanging="360"/>
      </w:pPr>
      <w:rPr>
        <w:rFonts w:ascii="Courier New" w:hAnsi="Courier New" w:cs="Courier New" w:hint="default"/>
      </w:rPr>
    </w:lvl>
    <w:lvl w:ilvl="8" w:tplc="080A0005">
      <w:start w:val="1"/>
      <w:numFmt w:val="bullet"/>
      <w:lvlText w:val=""/>
      <w:lvlJc w:val="left"/>
      <w:pPr>
        <w:ind w:left="6837" w:hanging="360"/>
      </w:pPr>
      <w:rPr>
        <w:rFonts w:ascii="Wingdings" w:hAnsi="Wingdings" w:hint="default"/>
      </w:r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5D4326D9"/>
    <w:multiLevelType w:val="hybridMultilevel"/>
    <w:tmpl w:val="84263E50"/>
    <w:lvl w:ilvl="0" w:tplc="080A0001">
      <w:start w:val="1"/>
      <w:numFmt w:val="bullet"/>
      <w:lvlText w:val=""/>
      <w:lvlJc w:val="left"/>
      <w:pPr>
        <w:ind w:left="1077" w:hanging="360"/>
      </w:pPr>
      <w:rPr>
        <w:rFonts w:ascii="Symbol" w:hAnsi="Symbol" w:hint="default"/>
      </w:rPr>
    </w:lvl>
    <w:lvl w:ilvl="1" w:tplc="080A0003">
      <w:start w:val="1"/>
      <w:numFmt w:val="bullet"/>
      <w:lvlText w:val="o"/>
      <w:lvlJc w:val="left"/>
      <w:pPr>
        <w:ind w:left="1797" w:hanging="360"/>
      </w:pPr>
      <w:rPr>
        <w:rFonts w:ascii="Courier New" w:hAnsi="Courier New" w:cs="Courier New" w:hint="default"/>
      </w:rPr>
    </w:lvl>
    <w:lvl w:ilvl="2" w:tplc="080A0005">
      <w:start w:val="1"/>
      <w:numFmt w:val="bullet"/>
      <w:lvlText w:val=""/>
      <w:lvlJc w:val="left"/>
      <w:pPr>
        <w:ind w:left="2517" w:hanging="360"/>
      </w:pPr>
      <w:rPr>
        <w:rFonts w:ascii="Wingdings" w:hAnsi="Wingdings" w:hint="default"/>
      </w:rPr>
    </w:lvl>
    <w:lvl w:ilvl="3" w:tplc="080A0001">
      <w:start w:val="1"/>
      <w:numFmt w:val="bullet"/>
      <w:lvlText w:val=""/>
      <w:lvlJc w:val="left"/>
      <w:pPr>
        <w:ind w:left="3237" w:hanging="360"/>
      </w:pPr>
      <w:rPr>
        <w:rFonts w:ascii="Symbol" w:hAnsi="Symbol" w:hint="default"/>
      </w:rPr>
    </w:lvl>
    <w:lvl w:ilvl="4" w:tplc="080A0003">
      <w:start w:val="1"/>
      <w:numFmt w:val="bullet"/>
      <w:lvlText w:val="o"/>
      <w:lvlJc w:val="left"/>
      <w:pPr>
        <w:ind w:left="3957" w:hanging="360"/>
      </w:pPr>
      <w:rPr>
        <w:rFonts w:ascii="Courier New" w:hAnsi="Courier New" w:cs="Courier New" w:hint="default"/>
      </w:rPr>
    </w:lvl>
    <w:lvl w:ilvl="5" w:tplc="080A0005">
      <w:start w:val="1"/>
      <w:numFmt w:val="bullet"/>
      <w:lvlText w:val=""/>
      <w:lvlJc w:val="left"/>
      <w:pPr>
        <w:ind w:left="4677" w:hanging="360"/>
      </w:pPr>
      <w:rPr>
        <w:rFonts w:ascii="Wingdings" w:hAnsi="Wingdings" w:hint="default"/>
      </w:rPr>
    </w:lvl>
    <w:lvl w:ilvl="6" w:tplc="080A0001">
      <w:start w:val="1"/>
      <w:numFmt w:val="bullet"/>
      <w:lvlText w:val=""/>
      <w:lvlJc w:val="left"/>
      <w:pPr>
        <w:ind w:left="5397" w:hanging="360"/>
      </w:pPr>
      <w:rPr>
        <w:rFonts w:ascii="Symbol" w:hAnsi="Symbol" w:hint="default"/>
      </w:rPr>
    </w:lvl>
    <w:lvl w:ilvl="7" w:tplc="080A0003">
      <w:start w:val="1"/>
      <w:numFmt w:val="bullet"/>
      <w:lvlText w:val="o"/>
      <w:lvlJc w:val="left"/>
      <w:pPr>
        <w:ind w:left="6117" w:hanging="360"/>
      </w:pPr>
      <w:rPr>
        <w:rFonts w:ascii="Courier New" w:hAnsi="Courier New" w:cs="Courier New" w:hint="default"/>
      </w:rPr>
    </w:lvl>
    <w:lvl w:ilvl="8" w:tplc="080A0005">
      <w:start w:val="1"/>
      <w:numFmt w:val="bullet"/>
      <w:lvlText w:val=""/>
      <w:lvlJc w:val="left"/>
      <w:pPr>
        <w:ind w:left="6837"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7D"/>
    <w:rsid w:val="00057F45"/>
    <w:rsid w:val="000D0939"/>
    <w:rsid w:val="000D3958"/>
    <w:rsid w:val="000F3690"/>
    <w:rsid w:val="001221D1"/>
    <w:rsid w:val="00144ADF"/>
    <w:rsid w:val="00165CB5"/>
    <w:rsid w:val="00180CE9"/>
    <w:rsid w:val="00230DD5"/>
    <w:rsid w:val="00250AE9"/>
    <w:rsid w:val="00380D64"/>
    <w:rsid w:val="00391509"/>
    <w:rsid w:val="003E03D5"/>
    <w:rsid w:val="00486BFA"/>
    <w:rsid w:val="00493701"/>
    <w:rsid w:val="004E2065"/>
    <w:rsid w:val="005508A2"/>
    <w:rsid w:val="0055115D"/>
    <w:rsid w:val="00566F71"/>
    <w:rsid w:val="005918BD"/>
    <w:rsid w:val="005F2014"/>
    <w:rsid w:val="006173A6"/>
    <w:rsid w:val="00675476"/>
    <w:rsid w:val="007C430F"/>
    <w:rsid w:val="007D2D0C"/>
    <w:rsid w:val="007D614D"/>
    <w:rsid w:val="00894FE2"/>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1297D"/>
    <w:rsid w:val="00D85951"/>
    <w:rsid w:val="00E62606"/>
    <w:rsid w:val="00EA1FEF"/>
    <w:rsid w:val="00EC5A6B"/>
    <w:rsid w:val="00EE301D"/>
    <w:rsid w:val="00F76F1C"/>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9D92A9"/>
  <w15:docId w15:val="{5B3B1769-69EB-4247-8637-A42D06E0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Tablaconcuadrcula1">
    <w:name w:val="Tabla con cuadrícula1"/>
    <w:basedOn w:val="Tablanormal"/>
    <w:next w:val="Tablaconcuadrcula"/>
    <w:uiPriority w:val="39"/>
    <w:rsid w:val="00D1297D"/>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197-5105" TargetMode="External"/><Relationship Id="rId13" Type="http://schemas.openxmlformats.org/officeDocument/2006/relationships/image" Target="media/image2.png"/><Relationship Id="rId18" Type="http://schemas.openxmlformats.org/officeDocument/2006/relationships/hyperlink" Target="http://www.revzoilomarinello.sld.cu/index.php/zmv/article/view/1375" TargetMode="External"/><Relationship Id="rId26" Type="http://schemas.openxmlformats.org/officeDocument/2006/relationships/hyperlink" Target="https://scielo.sld.cu/pdf/est/v54n3/est05317.pdf"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scielo.sld.cu/pdf/est/v55n3/a05_1703.pdf" TargetMode="External"/><Relationship Id="rId34" Type="http://schemas.openxmlformats.org/officeDocument/2006/relationships/hyperlink" Target="https://www.jpma.org.pk/PdfDownload/9264" TargetMode="External"/><Relationship Id="rId42" Type="http://schemas.openxmlformats.org/officeDocument/2006/relationships/theme" Target="theme/theme1.xml"/><Relationship Id="rId7" Type="http://schemas.openxmlformats.org/officeDocument/2006/relationships/hyperlink" Target="https://orcid.org/0000-0002-2146-9014" TargetMode="External"/><Relationship Id="rId12" Type="http://schemas.openxmlformats.org/officeDocument/2006/relationships/image" Target="media/image1.png"/><Relationship Id="rId17" Type="http://schemas.openxmlformats.org/officeDocument/2006/relationships/hyperlink" Target="https://repositorioslatinoamericanos.uchile.cl/handle/2250/140270" TargetMode="External"/><Relationship Id="rId25" Type="http://schemas.openxmlformats.org/officeDocument/2006/relationships/hyperlink" Target="http://www.revmedicaelectronica.sld.cu/index.php/rme/article/view/2202/pdf_224" TargetMode="External"/><Relationship Id="rId33" Type="http://schemas.openxmlformats.org/officeDocument/2006/relationships/hyperlink" Target="https://www.revmedmilitar.sld.cu/index.php/mil/article/view/1401/1011"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joralres.com/index.php/JOR/article/download/156/150" TargetMode="External"/><Relationship Id="rId20" Type="http://schemas.openxmlformats.org/officeDocument/2006/relationships/hyperlink" Target="https://www.revestomatologia.sld.cu/index.php/est/article/view/772" TargetMode="External"/><Relationship Id="rId29" Type="http://schemas.openxmlformats.org/officeDocument/2006/relationships/hyperlink" Target="https://scielo.sld.cu/pdf/ccm/v18n1/ccm07114.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ecorralesr@infomed.sld.cu" TargetMode="External"/><Relationship Id="rId24" Type="http://schemas.openxmlformats.org/officeDocument/2006/relationships/hyperlink" Target="https://scielo.sld.cu/pdf/est/v52s1/est03115.pdf" TargetMode="External"/><Relationship Id="rId32" Type="http://schemas.openxmlformats.org/officeDocument/2006/relationships/hyperlink" Target="https://www.medigraphic.com/pdfs/multimed/mul-2018/mul185c.pdf" TargetMode="External"/><Relationship Id="rId37" Type="http://schemas.openxmlformats.org/officeDocument/2006/relationships/hyperlink" Target="http://www.revpediatria.sld.cu/index.php/ped/article/view/789/423"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files.sld.cu/bvscuba/files/2021/08/Anuario-Estadistico-Espa&#241;ol-2020-Definitivo.pdf" TargetMode="External"/><Relationship Id="rId28" Type="http://schemas.openxmlformats.org/officeDocument/2006/relationships/hyperlink" Target="http://revzoilomarinello.sld.cu/index.php/zmv/article/view/2172/pdf_707" TargetMode="External"/><Relationship Id="rId36" Type="http://schemas.openxmlformats.org/officeDocument/2006/relationships/hyperlink" Target="http://www.revotorrino.sld.cu/index.php/otl/article/view/275/416" TargetMode="External"/><Relationship Id="rId10" Type="http://schemas.openxmlformats.org/officeDocument/2006/relationships/hyperlink" Target="https://orcid.org/0000-0003-1568-5324" TargetMode="External"/><Relationship Id="rId19" Type="http://schemas.openxmlformats.org/officeDocument/2006/relationships/hyperlink" Target="https://www.hkmj.org/system/files/hkm1708sp5p8.pdf" TargetMode="External"/><Relationship Id="rId31" Type="http://schemas.openxmlformats.org/officeDocument/2006/relationships/hyperlink" Target="https://www.rev16deabril.sld.cu/index.php/16_4/article/view/984" TargetMode="External"/><Relationship Id="rId4" Type="http://schemas.openxmlformats.org/officeDocument/2006/relationships/webSettings" Target="webSettings.xml"/><Relationship Id="rId9" Type="http://schemas.openxmlformats.org/officeDocument/2006/relationships/hyperlink" Target="https://orcid.org/0000-0002-5237-7139" TargetMode="External"/><Relationship Id="rId14" Type="http://schemas.openxmlformats.org/officeDocument/2006/relationships/image" Target="media/image3.png"/><Relationship Id="rId22" Type="http://schemas.openxmlformats.org/officeDocument/2006/relationships/hyperlink" Target="https://bvs.sld.cu/revistas/onc/vol15_2_99/onc07299.pdf" TargetMode="External"/><Relationship Id="rId27" Type="http://schemas.openxmlformats.org/officeDocument/2006/relationships/hyperlink" Target="https://medisur.sld.cu/index.php/medisur/article/view/4161" TargetMode="External"/><Relationship Id="rId30" Type="http://schemas.openxmlformats.org/officeDocument/2006/relationships/hyperlink" Target="https://medisan.sld.cu/index.php/san/article/view/2844/pdf" TargetMode="External"/><Relationship Id="rId35" Type="http://schemas.openxmlformats.org/officeDocument/2006/relationships/hyperlink" Target="https://rdu.unc.edu.ar/handle/11086/1757"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17</Pages>
  <Words>4822</Words>
  <Characters>26524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31284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6</cp:revision>
  <cp:lastPrinted>2022-06-08T15:10:00Z</cp:lastPrinted>
  <dcterms:created xsi:type="dcterms:W3CDTF">2022-06-08T15:07:00Z</dcterms:created>
  <dcterms:modified xsi:type="dcterms:W3CDTF">2022-06-08T15:11:00Z</dcterms:modified>
</cp:coreProperties>
</file>