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6E10D" w14:textId="77777777" w:rsidR="00FE2D92" w:rsidRPr="00FE2D92" w:rsidRDefault="00FE2D92" w:rsidP="00FE2D92">
      <w:pPr>
        <w:spacing w:line="360" w:lineRule="auto"/>
        <w:jc w:val="right"/>
        <w:rPr>
          <w:sz w:val="20"/>
          <w:szCs w:val="20"/>
          <w:lang w:val="es-PE" w:eastAsia="es-ES"/>
        </w:rPr>
      </w:pPr>
      <w:r w:rsidRPr="00FE2D92">
        <w:rPr>
          <w:color w:val="000000"/>
          <w:sz w:val="20"/>
          <w:szCs w:val="20"/>
          <w:lang w:val="es-PE" w:eastAsia="es-ES"/>
        </w:rPr>
        <w:t>Artículo de investigación</w:t>
      </w:r>
    </w:p>
    <w:p w14:paraId="1EC46B4B" w14:textId="77777777" w:rsidR="00FE2D92" w:rsidRPr="00FE2D92" w:rsidRDefault="00FE2D92" w:rsidP="00FE2D92">
      <w:pPr>
        <w:spacing w:line="360" w:lineRule="auto"/>
        <w:rPr>
          <w:lang w:val="es-PE" w:eastAsia="es-ES"/>
        </w:rPr>
      </w:pPr>
    </w:p>
    <w:p w14:paraId="7054DF3B" w14:textId="77777777" w:rsidR="00FE2D92" w:rsidRPr="00FE2D92" w:rsidRDefault="00FE2D92" w:rsidP="00FE2D92">
      <w:pPr>
        <w:spacing w:line="360" w:lineRule="auto"/>
        <w:jc w:val="center"/>
        <w:rPr>
          <w:sz w:val="28"/>
          <w:szCs w:val="28"/>
          <w:lang w:val="es-PE" w:eastAsia="es-ES"/>
        </w:rPr>
      </w:pPr>
      <w:r w:rsidRPr="00FE2D92">
        <w:rPr>
          <w:b/>
          <w:color w:val="000000"/>
          <w:sz w:val="28"/>
          <w:szCs w:val="28"/>
          <w:lang w:val="es-PE" w:eastAsia="es-ES"/>
        </w:rPr>
        <w:t>Asociación del uso de ivermectina en la mortalidad de pacientes con la COVID-19</w:t>
      </w:r>
    </w:p>
    <w:p w14:paraId="0304C31D" w14:textId="77777777" w:rsidR="00FE2D92" w:rsidRPr="00FE2D92" w:rsidRDefault="00FE2D92" w:rsidP="00FE2D92">
      <w:pPr>
        <w:spacing w:line="360" w:lineRule="auto"/>
        <w:jc w:val="center"/>
        <w:rPr>
          <w:color w:val="000000"/>
          <w:sz w:val="28"/>
          <w:szCs w:val="28"/>
          <w:lang w:val="en-US" w:eastAsia="es-ES"/>
        </w:rPr>
      </w:pPr>
      <w:r w:rsidRPr="00FE2D92">
        <w:rPr>
          <w:color w:val="000000"/>
          <w:sz w:val="28"/>
          <w:szCs w:val="28"/>
          <w:lang w:val="en-US" w:eastAsia="es-ES"/>
        </w:rPr>
        <w:t>Association of Ivermectin use on mortality in patients with COVID-19</w:t>
      </w:r>
    </w:p>
    <w:p w14:paraId="68BDD991" w14:textId="77777777" w:rsidR="00FE2D92" w:rsidRPr="00FE2D92" w:rsidRDefault="00FE2D92" w:rsidP="00FE2D92">
      <w:pPr>
        <w:spacing w:line="360" w:lineRule="auto"/>
        <w:jc w:val="center"/>
        <w:rPr>
          <w:color w:val="000000"/>
          <w:sz w:val="28"/>
          <w:szCs w:val="28"/>
          <w:lang w:val="en-US" w:eastAsia="es-ES"/>
        </w:rPr>
      </w:pPr>
    </w:p>
    <w:p w14:paraId="56508C0F" w14:textId="77777777" w:rsidR="00FE2D92" w:rsidRPr="00FE2D92" w:rsidRDefault="00FE2D92" w:rsidP="00FE2D92">
      <w:pPr>
        <w:spacing w:line="360" w:lineRule="auto"/>
        <w:jc w:val="both"/>
        <w:rPr>
          <w:rFonts w:eastAsia="Calibri"/>
          <w:lang w:val="es-PE" w:eastAsia="es-ES"/>
        </w:rPr>
      </w:pPr>
      <w:r w:rsidRPr="00FE2D92">
        <w:rPr>
          <w:rFonts w:eastAsia="Calibri"/>
          <w:lang w:val="es-PE" w:eastAsia="es-ES"/>
        </w:rPr>
        <w:t>Andrea Lucia Mujica Alvarez</w:t>
      </w:r>
      <w:r w:rsidRPr="00FE2D92">
        <w:rPr>
          <w:rFonts w:eastAsia="Calibri"/>
          <w:vertAlign w:val="superscript"/>
          <w:lang w:val="es-PE" w:eastAsia="es-ES"/>
        </w:rPr>
        <w:t>1,2</w:t>
      </w:r>
      <w:r w:rsidRPr="00FE2D92">
        <w:rPr>
          <w:rFonts w:eastAsia="Calibri"/>
          <w:lang w:val="es-PE" w:eastAsia="es-ES"/>
        </w:rPr>
        <w:t xml:space="preserve">* </w:t>
      </w:r>
      <w:hyperlink w:history="1"/>
      <w:hyperlink r:id="rId7" w:history="1">
        <w:r w:rsidRPr="00FE2D92">
          <w:rPr>
            <w:rFonts w:eastAsia="Calibri"/>
            <w:color w:val="0000FF"/>
            <w:u w:val="single"/>
            <w:lang w:val="es-PE" w:eastAsia="es-ES"/>
          </w:rPr>
          <w:t>https://orcid.org/0000-0001-6529-5805</w:t>
        </w:r>
      </w:hyperlink>
      <w:r w:rsidRPr="00FE2D92">
        <w:rPr>
          <w:rFonts w:eastAsia="Calibri"/>
          <w:lang w:val="es-PE" w:eastAsia="es-ES"/>
        </w:rPr>
        <w:t xml:space="preserve"> </w:t>
      </w:r>
      <w:r w:rsidRPr="00FE2D92">
        <w:rPr>
          <w:rFonts w:eastAsia="Calibri"/>
          <w:highlight w:val="white"/>
          <w:lang w:val="es-PE" w:eastAsia="es-ES"/>
        </w:rPr>
        <w:t xml:space="preserve">  </w:t>
      </w:r>
    </w:p>
    <w:p w14:paraId="6B19FA02" w14:textId="77777777" w:rsidR="00FE2D92" w:rsidRPr="00FE2D92" w:rsidRDefault="00FE2D92" w:rsidP="00FE2D92">
      <w:pPr>
        <w:spacing w:line="360" w:lineRule="auto"/>
        <w:jc w:val="both"/>
        <w:rPr>
          <w:rFonts w:eastAsia="Calibri"/>
          <w:lang w:val="en-US" w:eastAsia="es-ES"/>
        </w:rPr>
      </w:pPr>
      <w:bookmarkStart w:id="0" w:name="_heading=h.gjdgxs" w:colFirst="0" w:colLast="0"/>
      <w:bookmarkEnd w:id="0"/>
      <w:r w:rsidRPr="00FE2D92">
        <w:rPr>
          <w:rFonts w:eastAsia="Calibri"/>
          <w:lang w:val="en-US" w:eastAsia="es-ES"/>
        </w:rPr>
        <w:t>Christian R. Mejia</w:t>
      </w:r>
      <w:r w:rsidRPr="00FE2D92">
        <w:rPr>
          <w:rFonts w:eastAsia="Calibri"/>
          <w:vertAlign w:val="superscript"/>
          <w:lang w:val="en-US" w:eastAsia="es-ES"/>
        </w:rPr>
        <w:t xml:space="preserve">3 </w:t>
      </w:r>
      <w:hyperlink r:id="rId8" w:history="1">
        <w:r w:rsidRPr="00FE2D92">
          <w:rPr>
            <w:rFonts w:eastAsia="Calibri"/>
            <w:color w:val="0000FF"/>
            <w:u w:val="single"/>
            <w:lang w:val="en-US" w:eastAsia="es-ES"/>
          </w:rPr>
          <w:t>https://orcid.org/0000-0002-5940-7281</w:t>
        </w:r>
      </w:hyperlink>
      <w:r w:rsidRPr="00FE2D92">
        <w:rPr>
          <w:rFonts w:eastAsia="Calibri"/>
          <w:lang w:val="en-US" w:eastAsia="es-ES"/>
        </w:rPr>
        <w:t xml:space="preserve">  </w:t>
      </w:r>
    </w:p>
    <w:p w14:paraId="5E990168" w14:textId="77777777" w:rsidR="00FE2D92" w:rsidRPr="00FE2D92" w:rsidRDefault="00FE2D92" w:rsidP="00FE2D92">
      <w:pPr>
        <w:spacing w:line="360" w:lineRule="auto"/>
        <w:jc w:val="both"/>
        <w:rPr>
          <w:rFonts w:eastAsia="Calibri"/>
          <w:lang w:val="en-US" w:eastAsia="es-ES"/>
        </w:rPr>
      </w:pPr>
    </w:p>
    <w:p w14:paraId="2ED7D52A" w14:textId="77777777" w:rsidR="00FE2D92" w:rsidRPr="00FE2D92" w:rsidRDefault="00FE2D92" w:rsidP="00FE2D92">
      <w:pPr>
        <w:pBdr>
          <w:top w:val="nil"/>
          <w:left w:val="nil"/>
          <w:bottom w:val="nil"/>
          <w:right w:val="nil"/>
          <w:between w:val="nil"/>
        </w:pBdr>
        <w:tabs>
          <w:tab w:val="left" w:pos="426"/>
        </w:tabs>
        <w:spacing w:line="360" w:lineRule="auto"/>
        <w:jc w:val="both"/>
        <w:rPr>
          <w:rFonts w:eastAsia="Calibri"/>
          <w:color w:val="000000"/>
          <w:lang w:val="es-PE" w:eastAsia="es-ES"/>
        </w:rPr>
      </w:pPr>
      <w:r w:rsidRPr="00FE2D92">
        <w:rPr>
          <w:rFonts w:eastAsia="Calibri"/>
          <w:color w:val="000000"/>
          <w:vertAlign w:val="superscript"/>
          <w:lang w:val="es-PE" w:eastAsia="es-ES"/>
        </w:rPr>
        <w:t>1</w:t>
      </w:r>
      <w:r w:rsidRPr="00FE2D92">
        <w:rPr>
          <w:rFonts w:eastAsia="Calibri"/>
          <w:lang w:val="es-PE" w:eastAsia="es-ES"/>
        </w:rPr>
        <w:t>Hospital San José del Callao. Callao, Perú.</w:t>
      </w:r>
    </w:p>
    <w:p w14:paraId="291972B1" w14:textId="77777777" w:rsidR="00FE2D92" w:rsidRPr="00FE2D92" w:rsidRDefault="00FE2D92" w:rsidP="00FE2D92">
      <w:pPr>
        <w:spacing w:line="360" w:lineRule="auto"/>
        <w:jc w:val="both"/>
        <w:rPr>
          <w:rFonts w:eastAsia="Calibri"/>
          <w:lang w:val="es-PE" w:eastAsia="es-ES"/>
        </w:rPr>
      </w:pPr>
      <w:r w:rsidRPr="00FE2D92">
        <w:rPr>
          <w:rFonts w:eastAsia="Calibri"/>
          <w:color w:val="000000"/>
          <w:vertAlign w:val="superscript"/>
          <w:lang w:val="es-PE" w:eastAsia="es-ES"/>
        </w:rPr>
        <w:t>2</w:t>
      </w:r>
      <w:r w:rsidRPr="00FE2D92">
        <w:rPr>
          <w:rFonts w:eastAsia="Calibri"/>
          <w:lang w:val="es-PE" w:eastAsia="es-ES"/>
        </w:rPr>
        <w:t>Sociedad Peruana de Medicina Interna. Lima, Perú.</w:t>
      </w:r>
    </w:p>
    <w:p w14:paraId="6B4929D2" w14:textId="4E6B0460" w:rsidR="00FE2D92" w:rsidRDefault="00FE2D92" w:rsidP="00FE2D92">
      <w:pPr>
        <w:spacing w:line="360" w:lineRule="auto"/>
        <w:jc w:val="both"/>
        <w:rPr>
          <w:rFonts w:eastAsia="Calibri"/>
          <w:lang w:val="es-PE" w:eastAsia="es-ES"/>
        </w:rPr>
      </w:pPr>
      <w:r w:rsidRPr="00FE2D92">
        <w:rPr>
          <w:rFonts w:eastAsia="Calibri"/>
          <w:color w:val="000000"/>
          <w:vertAlign w:val="superscript"/>
          <w:lang w:val="es-PE" w:eastAsia="es-ES"/>
        </w:rPr>
        <w:t>3</w:t>
      </w:r>
      <w:r w:rsidR="0064054E" w:rsidRPr="0064054E">
        <w:t xml:space="preserve"> </w:t>
      </w:r>
      <w:r w:rsidR="0064054E" w:rsidRPr="0064054E">
        <w:rPr>
          <w:rFonts w:eastAsia="Calibri"/>
          <w:lang w:val="es-PE" w:eastAsia="es-ES"/>
        </w:rPr>
        <w:t>Universidad Continental. Huancayo, Perú.</w:t>
      </w:r>
    </w:p>
    <w:p w14:paraId="7A93A360" w14:textId="77777777" w:rsidR="0064054E" w:rsidRPr="00FE2D92" w:rsidRDefault="0064054E" w:rsidP="00FE2D92">
      <w:pPr>
        <w:spacing w:line="360" w:lineRule="auto"/>
        <w:jc w:val="both"/>
        <w:rPr>
          <w:rFonts w:eastAsia="Calibri"/>
          <w:color w:val="000000"/>
          <w:lang w:val="es-PE" w:eastAsia="es-ES"/>
        </w:rPr>
      </w:pPr>
    </w:p>
    <w:p w14:paraId="70D63D92" w14:textId="77777777" w:rsidR="00FE2D92" w:rsidRPr="00FE2D92" w:rsidRDefault="00FE2D92" w:rsidP="00FE2D92">
      <w:pPr>
        <w:spacing w:line="360" w:lineRule="auto"/>
        <w:jc w:val="both"/>
        <w:rPr>
          <w:rFonts w:eastAsia="Calibri"/>
          <w:color w:val="000000"/>
          <w:lang w:val="es-PE" w:eastAsia="es-ES"/>
        </w:rPr>
      </w:pPr>
      <w:r w:rsidRPr="00FE2D92">
        <w:rPr>
          <w:rFonts w:eastAsia="Calibri"/>
          <w:color w:val="000000"/>
          <w:lang w:val="es-PE" w:eastAsia="es-ES"/>
        </w:rPr>
        <w:t xml:space="preserve">*Autor para la correspondencia. Correo electrónico: </w:t>
      </w:r>
      <w:hyperlink r:id="rId9" w:history="1">
        <w:r w:rsidRPr="00FE2D92">
          <w:rPr>
            <w:rFonts w:eastAsia="Calibri"/>
            <w:color w:val="0000FF"/>
            <w:u w:val="single"/>
            <w:lang w:val="es-PE" w:eastAsia="es-ES"/>
          </w:rPr>
          <w:t>andrealma@gmail.com</w:t>
        </w:r>
      </w:hyperlink>
    </w:p>
    <w:p w14:paraId="6604F39C" w14:textId="77777777" w:rsidR="00FE2D92" w:rsidRPr="00FE2D92" w:rsidRDefault="00FE2D92" w:rsidP="00FE2D92">
      <w:pPr>
        <w:spacing w:line="360" w:lineRule="auto"/>
        <w:jc w:val="both"/>
        <w:rPr>
          <w:rFonts w:eastAsia="Calibri"/>
          <w:color w:val="000000"/>
          <w:lang w:val="es-PE" w:eastAsia="es-ES"/>
        </w:rPr>
      </w:pPr>
    </w:p>
    <w:p w14:paraId="6702A553" w14:textId="77777777" w:rsidR="00FE2D92" w:rsidRPr="00FE2D92" w:rsidRDefault="00FE2D92" w:rsidP="00FE2D92">
      <w:pPr>
        <w:spacing w:line="360" w:lineRule="auto"/>
        <w:rPr>
          <w:lang w:val="es-PE" w:eastAsia="es-ES"/>
        </w:rPr>
      </w:pPr>
      <w:r w:rsidRPr="00FE2D92">
        <w:rPr>
          <w:b/>
          <w:color w:val="000000"/>
          <w:lang w:val="es-PE" w:eastAsia="es-ES"/>
        </w:rPr>
        <w:t>RESUMEN</w:t>
      </w:r>
    </w:p>
    <w:p w14:paraId="6B8D5271" w14:textId="6AF690D0" w:rsidR="00FE2D92" w:rsidRPr="00FE2D92" w:rsidRDefault="00FE2D92" w:rsidP="00FE2D92">
      <w:pPr>
        <w:spacing w:line="360" w:lineRule="auto"/>
        <w:jc w:val="both"/>
        <w:rPr>
          <w:color w:val="000000"/>
          <w:lang w:val="es-PE" w:eastAsia="es-ES"/>
        </w:rPr>
      </w:pPr>
      <w:r w:rsidRPr="00FE2D92">
        <w:rPr>
          <w:b/>
          <w:color w:val="000000"/>
          <w:lang w:val="es-PE" w:eastAsia="es-ES"/>
        </w:rPr>
        <w:t xml:space="preserve">Introducción: </w:t>
      </w:r>
      <w:r w:rsidRPr="00FE2D92">
        <w:rPr>
          <w:color w:val="000000"/>
          <w:lang w:val="es-PE" w:eastAsia="es-ES"/>
        </w:rPr>
        <w:t xml:space="preserve">La ivermectina ha sido utilizada para prevenir y tratar pacientes con la COVID-19, sin embargo, investigaciones han demostrado que su eficacia no justifica el uso. </w:t>
      </w:r>
    </w:p>
    <w:p w14:paraId="27A0AB78" w14:textId="77777777" w:rsidR="00FE2D92" w:rsidRPr="00FE2D92" w:rsidRDefault="00FE2D92" w:rsidP="00FE2D92">
      <w:pPr>
        <w:spacing w:line="360" w:lineRule="auto"/>
        <w:jc w:val="both"/>
        <w:rPr>
          <w:lang w:val="es-PE" w:eastAsia="es-ES"/>
        </w:rPr>
      </w:pPr>
      <w:r w:rsidRPr="00FE2D92">
        <w:rPr>
          <w:b/>
          <w:color w:val="000000"/>
          <w:lang w:val="es-PE" w:eastAsia="es-ES"/>
        </w:rPr>
        <w:t xml:space="preserve">Objetivo: </w:t>
      </w:r>
      <w:r w:rsidRPr="00FE2D92">
        <w:rPr>
          <w:color w:val="000000"/>
          <w:lang w:val="es-PE" w:eastAsia="es-ES"/>
        </w:rPr>
        <w:t>Determinar la asociación del uso de ivermectina, mortalidad y otros 3 indicadores en pacientes con la COVID-19.</w:t>
      </w:r>
    </w:p>
    <w:p w14:paraId="59DEDC28" w14:textId="77777777" w:rsidR="00FE2D92" w:rsidRPr="00FE2D92" w:rsidRDefault="00FE2D92" w:rsidP="00FE2D92">
      <w:pPr>
        <w:spacing w:line="360" w:lineRule="auto"/>
        <w:jc w:val="both"/>
        <w:rPr>
          <w:lang w:val="es-PE" w:eastAsia="es-ES"/>
        </w:rPr>
      </w:pPr>
      <w:r w:rsidRPr="00FE2D92">
        <w:rPr>
          <w:b/>
          <w:color w:val="000000"/>
          <w:lang w:val="es-PE" w:eastAsia="es-ES"/>
        </w:rPr>
        <w:t>Métodos</w:t>
      </w:r>
      <w:r w:rsidRPr="00FE2D92">
        <w:rPr>
          <w:color w:val="000000"/>
          <w:lang w:val="es-PE" w:eastAsia="es-ES"/>
        </w:rPr>
        <w:t>: Estudio observacional de cohorte retrospectiva. Se revisaron las historias clínicas que estuvieron hospitalizados entre abril y octubre de 2020, quienes además del tratamiento estándar (oxigenoterapia, corticoide y enoxaparina), recibieron tratamiento con ivermectina por neumonía grave o crítica por la COVID-19. Se midieron 4 variables resultado: mortalidad, indicación de pase a la unidad de cuidados intensivos, días de hospitalización y tiempo de requerimiento de oxigenoterapia a alto flujo. </w:t>
      </w:r>
    </w:p>
    <w:p w14:paraId="55B0C1E6" w14:textId="77777777" w:rsidR="00FE2D92" w:rsidRPr="00FE2D92" w:rsidRDefault="00FE2D92" w:rsidP="00FE2D92">
      <w:pPr>
        <w:spacing w:line="360" w:lineRule="auto"/>
        <w:jc w:val="both"/>
        <w:rPr>
          <w:lang w:val="es-PE" w:eastAsia="es-ES"/>
        </w:rPr>
      </w:pPr>
      <w:r w:rsidRPr="00FE2D92">
        <w:rPr>
          <w:b/>
          <w:color w:val="000000"/>
          <w:lang w:val="es-PE" w:eastAsia="es-ES"/>
        </w:rPr>
        <w:t xml:space="preserve">Resultados: </w:t>
      </w:r>
      <w:r w:rsidRPr="00FE2D92">
        <w:rPr>
          <w:color w:val="000000"/>
          <w:lang w:val="es-PE" w:eastAsia="es-ES"/>
        </w:rPr>
        <w:t>El 42 </w:t>
      </w:r>
      <w:r w:rsidRPr="00FE2D92">
        <w:rPr>
          <w:lang w:val="es-PE" w:eastAsia="es-ES"/>
        </w:rPr>
        <w:t>%</w:t>
      </w:r>
      <w:r w:rsidRPr="00FE2D92">
        <w:rPr>
          <w:color w:val="000000"/>
          <w:lang w:val="es-PE" w:eastAsia="es-ES"/>
        </w:rPr>
        <w:t xml:space="preserve"> (126) de los pacientes falleció y el 52</w:t>
      </w:r>
      <w:r w:rsidRPr="00FE2D92">
        <w:rPr>
          <w:lang w:val="es-PE" w:eastAsia="es-ES"/>
        </w:rPr>
        <w:t> %</w:t>
      </w:r>
      <w:r w:rsidRPr="00FE2D92">
        <w:rPr>
          <w:color w:val="000000"/>
          <w:lang w:val="es-PE" w:eastAsia="es-ES"/>
        </w:rPr>
        <w:t xml:space="preserve"> (159) tuvo indicación de pase a la unidad de cuidados intensivos. En el análisis multivariado, quienes tomaron una mayor dosis tuvieron mayor indicación de pase a cuidados intensivos (</w:t>
      </w:r>
      <w:proofErr w:type="spellStart"/>
      <w:r w:rsidRPr="00FE2D92">
        <w:rPr>
          <w:color w:val="000000"/>
          <w:lang w:val="es-PE" w:eastAsia="es-ES"/>
        </w:rPr>
        <w:t>RRa</w:t>
      </w:r>
      <w:proofErr w:type="spellEnd"/>
      <w:r w:rsidRPr="00FE2D92">
        <w:rPr>
          <w:color w:val="000000"/>
          <w:lang w:val="es-PE" w:eastAsia="es-ES"/>
        </w:rPr>
        <w:t>: 1,10; IC 95</w:t>
      </w:r>
      <w:r w:rsidRPr="00FE2D92">
        <w:rPr>
          <w:lang w:val="es-PE" w:eastAsia="es-ES"/>
        </w:rPr>
        <w:t> %</w:t>
      </w:r>
      <w:r w:rsidRPr="00FE2D92">
        <w:rPr>
          <w:color w:val="000000"/>
          <w:lang w:val="es-PE" w:eastAsia="es-ES"/>
        </w:rPr>
        <w:t xml:space="preserve">: 1,01-1,20; valor p= 0,035), días de </w:t>
      </w:r>
      <w:r w:rsidRPr="00FE2D92">
        <w:rPr>
          <w:color w:val="000000"/>
          <w:lang w:val="es-PE" w:eastAsia="es-ES"/>
        </w:rPr>
        <w:lastRenderedPageBreak/>
        <w:t>hospitalización (coeficiente: 5,07; IC 95</w:t>
      </w:r>
      <w:r w:rsidRPr="00FE2D92">
        <w:rPr>
          <w:lang w:val="es-PE" w:eastAsia="es-ES"/>
        </w:rPr>
        <w:t> %</w:t>
      </w:r>
      <w:r w:rsidRPr="00FE2D92">
        <w:rPr>
          <w:color w:val="000000"/>
          <w:lang w:val="es-PE" w:eastAsia="es-ES"/>
        </w:rPr>
        <w:t>: 2,15-11,92; valor p&lt; 0,001) y tiempo de requerimiento de oxigenoterapia con alto flujo (coeficiente: 3,33; IC 95</w:t>
      </w:r>
      <w:r w:rsidRPr="00FE2D92">
        <w:rPr>
          <w:lang w:val="es-PE" w:eastAsia="es-ES"/>
        </w:rPr>
        <w:t> %</w:t>
      </w:r>
      <w:r w:rsidRPr="00FE2D92">
        <w:rPr>
          <w:color w:val="000000"/>
          <w:lang w:val="es-PE" w:eastAsia="es-ES"/>
        </w:rPr>
        <w:t>: 1,56-7,09; valor p= 0,002). </w:t>
      </w:r>
    </w:p>
    <w:p w14:paraId="790B6673" w14:textId="77777777" w:rsidR="00FE2D92" w:rsidRPr="00FE2D92" w:rsidRDefault="00FE2D92" w:rsidP="00FE2D92">
      <w:pPr>
        <w:spacing w:line="360" w:lineRule="auto"/>
        <w:jc w:val="both"/>
        <w:rPr>
          <w:lang w:val="es-PE" w:eastAsia="es-ES"/>
        </w:rPr>
      </w:pPr>
      <w:r w:rsidRPr="00FE2D92">
        <w:rPr>
          <w:b/>
          <w:color w:val="000000"/>
          <w:lang w:val="es-PE" w:eastAsia="es-ES"/>
        </w:rPr>
        <w:t xml:space="preserve">Conclusión: </w:t>
      </w:r>
      <w:r w:rsidRPr="00FE2D92">
        <w:rPr>
          <w:color w:val="000000"/>
          <w:lang w:val="es-PE" w:eastAsia="es-ES"/>
        </w:rPr>
        <w:t>Los pacientes que recibieron ivermectina tuvieron mayor probabilidad de indicación de pase a la unidad de cuidados intensivos, mayor tiempo de hospitalización y mayor tiempo de requerimiento de oxígeno a alto flujo, sin hallar relación con la mortalidad de los pacientes hospitalizados por la COVID-19. La administración de ivermectina antes o durante la hospitalización no tuvo beneficios. </w:t>
      </w:r>
    </w:p>
    <w:p w14:paraId="45663812" w14:textId="77777777" w:rsidR="00FE2D92" w:rsidRPr="00FE2D92" w:rsidRDefault="00FE2D92" w:rsidP="00FE2D92">
      <w:pPr>
        <w:spacing w:line="360" w:lineRule="auto"/>
        <w:jc w:val="both"/>
        <w:rPr>
          <w:lang w:val="es-PE" w:eastAsia="es-ES"/>
        </w:rPr>
      </w:pPr>
      <w:r w:rsidRPr="00FE2D92">
        <w:rPr>
          <w:b/>
          <w:color w:val="000000"/>
          <w:lang w:val="es-PE" w:eastAsia="es-ES"/>
        </w:rPr>
        <w:t xml:space="preserve">Palabras clave: </w:t>
      </w:r>
      <w:r w:rsidRPr="00FE2D92">
        <w:rPr>
          <w:color w:val="000000"/>
          <w:lang w:val="es-PE" w:eastAsia="es-ES"/>
        </w:rPr>
        <w:t>ivermectina; terapéutica; infecciones por coronavirus; COVID-19; SARS-CoV-2. </w:t>
      </w:r>
    </w:p>
    <w:p w14:paraId="7D81F2C3" w14:textId="77777777" w:rsidR="00FE2D92" w:rsidRPr="00FE2D92" w:rsidRDefault="00FE2D92" w:rsidP="00FE2D92">
      <w:pPr>
        <w:spacing w:line="360" w:lineRule="auto"/>
        <w:rPr>
          <w:lang w:val="es-PE" w:eastAsia="es-ES"/>
        </w:rPr>
      </w:pPr>
    </w:p>
    <w:p w14:paraId="7D4B1613" w14:textId="77777777" w:rsidR="00FE2D92" w:rsidRPr="00FE2D92" w:rsidRDefault="00FE2D92" w:rsidP="00FE2D92">
      <w:pPr>
        <w:spacing w:line="360" w:lineRule="auto"/>
        <w:rPr>
          <w:lang w:val="en-US" w:eastAsia="es-ES"/>
        </w:rPr>
      </w:pPr>
      <w:r w:rsidRPr="00FE2D92">
        <w:rPr>
          <w:b/>
          <w:color w:val="000000"/>
          <w:lang w:val="en-US" w:eastAsia="es-ES"/>
        </w:rPr>
        <w:t>ABSTRACT</w:t>
      </w:r>
    </w:p>
    <w:p w14:paraId="449AE531" w14:textId="101E5A80" w:rsidR="00FE2D92" w:rsidRPr="00FE2D92" w:rsidRDefault="00FE2D92" w:rsidP="00FE2D92">
      <w:pPr>
        <w:spacing w:line="360" w:lineRule="auto"/>
        <w:jc w:val="both"/>
        <w:rPr>
          <w:color w:val="000000"/>
          <w:lang w:val="en-US" w:eastAsia="es-ES"/>
        </w:rPr>
      </w:pPr>
      <w:r w:rsidRPr="00FE2D92">
        <w:rPr>
          <w:b/>
          <w:color w:val="000000"/>
          <w:lang w:val="en-US" w:eastAsia="es-ES"/>
        </w:rPr>
        <w:t>Introduction:</w:t>
      </w:r>
      <w:r w:rsidRPr="00FE2D92">
        <w:rPr>
          <w:color w:val="000000"/>
          <w:lang w:val="en-US" w:eastAsia="es-ES"/>
        </w:rPr>
        <w:t xml:space="preserve"> Ivermectin has been used to prevent and treat COVID-19 patients, however, research has shown that its efficacy does not justify its use. </w:t>
      </w:r>
    </w:p>
    <w:p w14:paraId="0557603F" w14:textId="77777777" w:rsidR="00FE2D92" w:rsidRPr="00FE2D92" w:rsidRDefault="00FE2D92" w:rsidP="00FE2D92">
      <w:pPr>
        <w:spacing w:line="360" w:lineRule="auto"/>
        <w:jc w:val="both"/>
        <w:rPr>
          <w:b/>
          <w:color w:val="000000"/>
          <w:lang w:val="en-US" w:eastAsia="es-ES"/>
        </w:rPr>
      </w:pPr>
      <w:r w:rsidRPr="00FE2D92">
        <w:rPr>
          <w:b/>
          <w:color w:val="000000"/>
          <w:lang w:val="en-US" w:eastAsia="es-ES"/>
        </w:rPr>
        <w:t>Objective:</w:t>
      </w:r>
      <w:r w:rsidRPr="00FE2D92">
        <w:rPr>
          <w:color w:val="000000"/>
          <w:lang w:val="en-US" w:eastAsia="es-ES"/>
        </w:rPr>
        <w:t xml:space="preserve"> To determine the association between the use of Ivermectin, mortality and 3 other indicators in patients with COVID-19. </w:t>
      </w:r>
    </w:p>
    <w:p w14:paraId="04140364" w14:textId="77777777" w:rsidR="00FE2D92" w:rsidRPr="00FE2D92" w:rsidRDefault="00FE2D92" w:rsidP="00FE2D92">
      <w:pPr>
        <w:spacing w:line="360" w:lineRule="auto"/>
        <w:jc w:val="both"/>
        <w:rPr>
          <w:color w:val="000000"/>
          <w:lang w:val="en-US" w:eastAsia="es-ES"/>
        </w:rPr>
      </w:pPr>
      <w:r w:rsidRPr="00FE2D92">
        <w:rPr>
          <w:b/>
          <w:color w:val="000000"/>
          <w:lang w:val="en-US" w:eastAsia="es-ES"/>
        </w:rPr>
        <w:t>Methods:</w:t>
      </w:r>
      <w:r w:rsidRPr="00FE2D92">
        <w:rPr>
          <w:color w:val="000000"/>
          <w:lang w:val="en-US" w:eastAsia="es-ES"/>
        </w:rPr>
        <w:t xml:space="preserve"> Observational retrospective cohort study. We reviewed the medical records of patients who were hospitalized between April and October 2020, who in addition to standard treatment (oxygen therapy, corticosteroid and enoxaparin), received treatment with Ivermectin for severe or critical COVID-19 pneumonia. Four outcome variables were measured: mortality, indication for transfer to the Intensive Care Unit days of hospitalization and time required for high-flow oxygen therapy. </w:t>
      </w:r>
    </w:p>
    <w:p w14:paraId="0ED2D724" w14:textId="77777777" w:rsidR="00FE2D92" w:rsidRPr="00FE2D92" w:rsidRDefault="00FE2D92" w:rsidP="00FE2D92">
      <w:pPr>
        <w:spacing w:line="360" w:lineRule="auto"/>
        <w:jc w:val="both"/>
        <w:rPr>
          <w:color w:val="000000"/>
          <w:lang w:val="en-US" w:eastAsia="es-ES"/>
        </w:rPr>
      </w:pPr>
      <w:r w:rsidRPr="00FE2D92">
        <w:rPr>
          <w:b/>
          <w:color w:val="000000"/>
          <w:lang w:val="en-US" w:eastAsia="es-ES"/>
        </w:rPr>
        <w:t>Results:</w:t>
      </w:r>
      <w:r w:rsidRPr="00FE2D92">
        <w:rPr>
          <w:color w:val="000000"/>
          <w:lang w:val="en-US" w:eastAsia="es-ES"/>
        </w:rPr>
        <w:t xml:space="preserve"> Of patients, 42</w:t>
      </w:r>
      <w:r w:rsidRPr="00FE2D92">
        <w:rPr>
          <w:lang w:val="en-US" w:eastAsia="es-ES"/>
        </w:rPr>
        <w:t> %</w:t>
      </w:r>
      <w:r w:rsidRPr="00FE2D92">
        <w:rPr>
          <w:color w:val="000000"/>
          <w:lang w:val="en-US" w:eastAsia="es-ES"/>
        </w:rPr>
        <w:t xml:space="preserve"> (126) died and 52</w:t>
      </w:r>
      <w:r w:rsidRPr="00FE2D92">
        <w:rPr>
          <w:lang w:val="en-US" w:eastAsia="es-ES"/>
        </w:rPr>
        <w:t> %</w:t>
      </w:r>
      <w:r w:rsidRPr="00FE2D92">
        <w:rPr>
          <w:color w:val="000000"/>
          <w:lang w:val="en-US" w:eastAsia="es-ES"/>
        </w:rPr>
        <w:t xml:space="preserve"> (159) had indication for transfer to the Intensive Care Unit. In the multivariate analysis those who took a higher dose had a greater indication for transfer to Intensive Care Unit (</w:t>
      </w:r>
      <w:proofErr w:type="spellStart"/>
      <w:r w:rsidRPr="00FE2D92">
        <w:rPr>
          <w:color w:val="000000"/>
          <w:lang w:val="en-US" w:eastAsia="es-ES"/>
        </w:rPr>
        <w:t>RRa</w:t>
      </w:r>
      <w:proofErr w:type="spellEnd"/>
      <w:r w:rsidRPr="00FE2D92">
        <w:rPr>
          <w:color w:val="000000"/>
          <w:lang w:val="en-US" w:eastAsia="es-ES"/>
        </w:rPr>
        <w:t>: 1.10; IC 95</w:t>
      </w:r>
      <w:r w:rsidRPr="00FE2D92">
        <w:rPr>
          <w:lang w:val="en-US" w:eastAsia="es-ES"/>
        </w:rPr>
        <w:t> %</w:t>
      </w:r>
      <w:r w:rsidRPr="00FE2D92">
        <w:rPr>
          <w:color w:val="000000"/>
          <w:lang w:val="en-US" w:eastAsia="es-ES"/>
        </w:rPr>
        <w:t>: 1.01-1.20; p-value= 0.035), days of hospitalization (coefficient: 5</w:t>
      </w:r>
      <w:r w:rsidRPr="00FE2D92">
        <w:rPr>
          <w:lang w:val="en-US" w:eastAsia="es-ES"/>
        </w:rPr>
        <w:t>,</w:t>
      </w:r>
      <w:r w:rsidRPr="00FE2D92">
        <w:rPr>
          <w:color w:val="000000"/>
          <w:lang w:val="en-US" w:eastAsia="es-ES"/>
        </w:rPr>
        <w:t>07; IC 95</w:t>
      </w:r>
      <w:r w:rsidRPr="00FE2D92">
        <w:rPr>
          <w:lang w:val="en-US" w:eastAsia="es-ES"/>
        </w:rPr>
        <w:t> %</w:t>
      </w:r>
      <w:r w:rsidRPr="00FE2D92">
        <w:rPr>
          <w:color w:val="000000"/>
          <w:lang w:val="en-US" w:eastAsia="es-ES"/>
        </w:rPr>
        <w:t>: 2.15-11.92; p-value&lt; 0.001) and time requiring high-flow oxygen therapy (coefficient: 3.33; IC 95</w:t>
      </w:r>
      <w:r w:rsidRPr="00FE2D92">
        <w:rPr>
          <w:lang w:val="en-US" w:eastAsia="es-ES"/>
        </w:rPr>
        <w:t> %</w:t>
      </w:r>
      <w:r w:rsidRPr="00FE2D92">
        <w:rPr>
          <w:color w:val="000000"/>
          <w:lang w:val="en-US" w:eastAsia="es-ES"/>
        </w:rPr>
        <w:t xml:space="preserve">: 1.56-7.09; p-value= 0.002). </w:t>
      </w:r>
    </w:p>
    <w:p w14:paraId="49944251" w14:textId="77777777" w:rsidR="00FE2D92" w:rsidRPr="00FE2D92" w:rsidRDefault="00FE2D92" w:rsidP="00FE2D92">
      <w:pPr>
        <w:spacing w:line="360" w:lineRule="auto"/>
        <w:jc w:val="both"/>
        <w:rPr>
          <w:lang w:val="en-US" w:eastAsia="es-ES"/>
        </w:rPr>
      </w:pPr>
      <w:r w:rsidRPr="00FE2D92">
        <w:rPr>
          <w:b/>
          <w:color w:val="000000"/>
          <w:lang w:val="en-US" w:eastAsia="es-ES"/>
        </w:rPr>
        <w:t>Conclusion:</w:t>
      </w:r>
      <w:r w:rsidRPr="00FE2D92">
        <w:rPr>
          <w:color w:val="000000"/>
          <w:lang w:val="en-US" w:eastAsia="es-ES"/>
        </w:rPr>
        <w:t xml:space="preserve"> Patients who received Ivermectin were more likely to be referred to the Intensive Care Unit, had a longer hospital stay, and required more time on high-flow oxygen, without finding a relationship with mortality in patients hospitalized for SARS-CoV-2. The administration of Ivermectin before or during hospitalization had no benefit. </w:t>
      </w:r>
    </w:p>
    <w:p w14:paraId="57C0E6C8" w14:textId="77777777" w:rsidR="00FE2D92" w:rsidRPr="00FE2D92" w:rsidRDefault="00FE2D92" w:rsidP="00FE2D92">
      <w:pPr>
        <w:spacing w:line="360" w:lineRule="auto"/>
        <w:jc w:val="both"/>
        <w:rPr>
          <w:color w:val="000000"/>
          <w:lang w:val="en-US" w:eastAsia="es-ES"/>
        </w:rPr>
      </w:pPr>
      <w:r w:rsidRPr="00FE2D92">
        <w:rPr>
          <w:b/>
          <w:color w:val="000000"/>
          <w:lang w:val="en-US" w:eastAsia="es-ES"/>
        </w:rPr>
        <w:lastRenderedPageBreak/>
        <w:t>Keywords:</w:t>
      </w:r>
      <w:r w:rsidRPr="00FE2D92">
        <w:rPr>
          <w:color w:val="000000"/>
          <w:lang w:val="en-US" w:eastAsia="es-ES"/>
        </w:rPr>
        <w:t xml:space="preserve"> ivermectin; therapeutic; coronavirus infections; COVID-19; SARS-CoV-2. </w:t>
      </w:r>
    </w:p>
    <w:p w14:paraId="1E6259D4" w14:textId="77777777" w:rsidR="00FE2D92" w:rsidRPr="00FE2D92" w:rsidRDefault="00FE2D92" w:rsidP="00FE2D92">
      <w:pPr>
        <w:spacing w:line="360" w:lineRule="auto"/>
        <w:jc w:val="both"/>
        <w:rPr>
          <w:color w:val="000000"/>
          <w:lang w:val="en-US" w:eastAsia="es-ES"/>
        </w:rPr>
      </w:pPr>
    </w:p>
    <w:p w14:paraId="3E1CE552" w14:textId="77777777" w:rsidR="00FE2D92" w:rsidRPr="00FE2D92" w:rsidRDefault="00FE2D92" w:rsidP="00FE2D92">
      <w:pPr>
        <w:spacing w:line="360" w:lineRule="auto"/>
        <w:jc w:val="both"/>
        <w:rPr>
          <w:color w:val="000000"/>
          <w:lang w:val="en-US" w:eastAsia="es-ES"/>
        </w:rPr>
      </w:pPr>
    </w:p>
    <w:p w14:paraId="75964351" w14:textId="77777777" w:rsidR="00FE2D92" w:rsidRPr="00FE2D92" w:rsidRDefault="00FE2D92" w:rsidP="00FE2D92">
      <w:pPr>
        <w:spacing w:line="360" w:lineRule="auto"/>
        <w:jc w:val="both"/>
        <w:rPr>
          <w:color w:val="000000"/>
          <w:lang w:val="es-PE" w:eastAsia="es-ES"/>
        </w:rPr>
      </w:pPr>
      <w:r w:rsidRPr="00FE2D92">
        <w:rPr>
          <w:color w:val="000000"/>
          <w:lang w:val="es-PE" w:eastAsia="es-ES"/>
        </w:rPr>
        <w:t>Recibido: 24/02/2022</w:t>
      </w:r>
    </w:p>
    <w:p w14:paraId="20A17409" w14:textId="77777777" w:rsidR="00FE2D92" w:rsidRPr="00FE2D92" w:rsidRDefault="00FE2D92" w:rsidP="00FE2D92">
      <w:pPr>
        <w:spacing w:line="360" w:lineRule="auto"/>
        <w:jc w:val="both"/>
        <w:rPr>
          <w:color w:val="000000"/>
          <w:lang w:val="es-PE" w:eastAsia="es-ES"/>
        </w:rPr>
      </w:pPr>
      <w:r w:rsidRPr="00FE2D92">
        <w:rPr>
          <w:color w:val="000000"/>
          <w:lang w:val="es-PE" w:eastAsia="es-ES"/>
        </w:rPr>
        <w:t>Aprobado: 27/04/2022</w:t>
      </w:r>
    </w:p>
    <w:p w14:paraId="6CED4F9D" w14:textId="77777777" w:rsidR="00FE2D92" w:rsidRPr="00FE2D92" w:rsidRDefault="00FE2D92" w:rsidP="00FE2D92">
      <w:pPr>
        <w:spacing w:line="360" w:lineRule="auto"/>
        <w:jc w:val="both"/>
        <w:rPr>
          <w:lang w:val="es-PE" w:eastAsia="es-ES"/>
        </w:rPr>
      </w:pPr>
    </w:p>
    <w:p w14:paraId="67142BC6" w14:textId="77777777" w:rsidR="00FE2D92" w:rsidRPr="00FE2D92" w:rsidRDefault="00FE2D92" w:rsidP="00FE2D92">
      <w:pPr>
        <w:spacing w:line="360" w:lineRule="auto"/>
        <w:jc w:val="center"/>
        <w:rPr>
          <w:b/>
          <w:color w:val="000000"/>
          <w:sz w:val="32"/>
          <w:szCs w:val="32"/>
          <w:lang w:val="es-PE" w:eastAsia="es-ES"/>
        </w:rPr>
      </w:pPr>
    </w:p>
    <w:p w14:paraId="0BE040F2" w14:textId="77777777" w:rsidR="00FE2D92" w:rsidRPr="00FE2D92" w:rsidRDefault="00FE2D92" w:rsidP="00FE2D92">
      <w:pPr>
        <w:spacing w:line="360" w:lineRule="auto"/>
        <w:jc w:val="center"/>
        <w:rPr>
          <w:sz w:val="32"/>
          <w:szCs w:val="32"/>
          <w:lang w:val="es-PE" w:eastAsia="es-ES"/>
        </w:rPr>
      </w:pPr>
      <w:r w:rsidRPr="00FE2D92">
        <w:rPr>
          <w:b/>
          <w:color w:val="000000"/>
          <w:sz w:val="32"/>
          <w:szCs w:val="32"/>
          <w:lang w:val="es-PE" w:eastAsia="es-ES"/>
        </w:rPr>
        <w:t>INTRODUCCIÓN</w:t>
      </w:r>
    </w:p>
    <w:p w14:paraId="35283A9D" w14:textId="77777777" w:rsidR="00FE2D92" w:rsidRPr="00FE2D92" w:rsidRDefault="00FE2D92" w:rsidP="00FE2D92">
      <w:pPr>
        <w:spacing w:line="360" w:lineRule="auto"/>
        <w:jc w:val="both"/>
        <w:rPr>
          <w:lang w:val="es-PE" w:eastAsia="es-ES"/>
        </w:rPr>
      </w:pPr>
      <w:r w:rsidRPr="00FE2D92">
        <w:rPr>
          <w:color w:val="000000"/>
          <w:lang w:val="es-PE" w:eastAsia="es-ES"/>
        </w:rPr>
        <w:t>China reportó un nuevo coronavirus a fines del 2019, el SARS-CoV-2.</w:t>
      </w:r>
      <w:r w:rsidRPr="00FE2D92">
        <w:rPr>
          <w:color w:val="000000"/>
          <w:vertAlign w:val="superscript"/>
          <w:lang w:val="es-PE" w:eastAsia="es-ES"/>
        </w:rPr>
        <w:t>(1)</w:t>
      </w:r>
      <w:r w:rsidRPr="00FE2D92">
        <w:rPr>
          <w:color w:val="000000"/>
          <w:lang w:val="es-PE" w:eastAsia="es-ES"/>
        </w:rPr>
        <w:t xml:space="preserve"> Su presentación clínica varía en cada persona, pero tienen mayor riesgo de desarrollar una infección grave, algunas poblaciones susceptibles y los pacientes con enfermedad crónica.</w:t>
      </w:r>
      <w:r w:rsidRPr="00FE2D92">
        <w:rPr>
          <w:color w:val="000000"/>
          <w:vertAlign w:val="superscript"/>
          <w:lang w:val="es-PE" w:eastAsia="es-ES"/>
        </w:rPr>
        <w:t>(2,3,4)</w:t>
      </w:r>
      <w:r w:rsidRPr="00FE2D92">
        <w:rPr>
          <w:color w:val="000000"/>
          <w:lang w:val="es-PE" w:eastAsia="es-ES"/>
        </w:rPr>
        <w:t xml:space="preserve"> Aunque se ha avanzado con la vacunación, en varios escenarios se usa el tratamiento sintomático y de soporte, incluso se ha reportado la prescripción de medicamentos </w:t>
      </w:r>
      <w:r w:rsidRPr="00FE2D92">
        <w:rPr>
          <w:i/>
          <w:iCs/>
          <w:color w:val="000000"/>
          <w:lang w:val="es-PE" w:eastAsia="es-ES"/>
        </w:rPr>
        <w:t>off-</w:t>
      </w:r>
      <w:proofErr w:type="spellStart"/>
      <w:r w:rsidRPr="00FE2D92">
        <w:rPr>
          <w:i/>
          <w:iCs/>
          <w:color w:val="000000"/>
          <w:lang w:val="es-PE" w:eastAsia="es-ES"/>
        </w:rPr>
        <w:t>label</w:t>
      </w:r>
      <w:proofErr w:type="spellEnd"/>
      <w:r w:rsidRPr="00FE2D92">
        <w:rPr>
          <w:color w:val="000000"/>
          <w:lang w:val="es-PE" w:eastAsia="es-ES"/>
        </w:rPr>
        <w:t xml:space="preserve"> (extraoficial o en indicaciones no autorizadas).</w:t>
      </w:r>
      <w:r w:rsidRPr="00FE2D92">
        <w:rPr>
          <w:color w:val="000000"/>
          <w:vertAlign w:val="superscript"/>
          <w:lang w:val="es-PE" w:eastAsia="es-ES"/>
        </w:rPr>
        <w:t>(2,3,5)</w:t>
      </w:r>
      <w:r w:rsidRPr="00FE2D92">
        <w:rPr>
          <w:color w:val="000000"/>
          <w:lang w:val="es-PE" w:eastAsia="es-ES"/>
        </w:rPr>
        <w:t xml:space="preserve"> En este escenario, uno de los medicamentos más controversiales ha sido la ivermectina, que inhibe la replicación de varios virus ARN, mediante la inhibición del transporte nuclear mediado por el </w:t>
      </w:r>
      <w:proofErr w:type="spellStart"/>
      <w:r w:rsidRPr="00FE2D92">
        <w:rPr>
          <w:color w:val="000000"/>
          <w:lang w:val="es-PE" w:eastAsia="es-ES"/>
        </w:rPr>
        <w:t>importin</w:t>
      </w:r>
      <w:proofErr w:type="spellEnd"/>
      <w:r w:rsidRPr="00FE2D92">
        <w:rPr>
          <w:color w:val="000000"/>
          <w:lang w:val="es-PE" w:eastAsia="es-ES"/>
        </w:rPr>
        <w:t xml:space="preserve"> α/β1 heterodímero.</w:t>
      </w:r>
      <w:r w:rsidRPr="00FE2D92">
        <w:rPr>
          <w:color w:val="000000"/>
          <w:vertAlign w:val="superscript"/>
          <w:lang w:val="es-PE" w:eastAsia="es-ES"/>
        </w:rPr>
        <w:t>(6,7,8)</w:t>
      </w:r>
    </w:p>
    <w:p w14:paraId="635D6370" w14:textId="77777777" w:rsidR="00FE2D92" w:rsidRPr="00FE2D92" w:rsidRDefault="00FE2D92" w:rsidP="00FE2D92">
      <w:pPr>
        <w:spacing w:line="360" w:lineRule="auto"/>
        <w:jc w:val="both"/>
        <w:rPr>
          <w:color w:val="000000"/>
          <w:lang w:val="es-PE" w:eastAsia="es-ES"/>
        </w:rPr>
      </w:pPr>
      <w:r w:rsidRPr="00FE2D92">
        <w:rPr>
          <w:color w:val="000000"/>
          <w:lang w:val="es-PE" w:eastAsia="es-ES"/>
        </w:rPr>
        <w:t>El Perú autoriza en mayo de 2020, el uso de ivermectina en los pacientes con la COVID-19.</w:t>
      </w:r>
      <w:r w:rsidRPr="00FE2D92">
        <w:rPr>
          <w:color w:val="000000"/>
          <w:vertAlign w:val="superscript"/>
          <w:lang w:val="es-PE" w:eastAsia="es-ES"/>
        </w:rPr>
        <w:t>(9)</w:t>
      </w:r>
      <w:r w:rsidRPr="00FE2D92">
        <w:rPr>
          <w:color w:val="000000"/>
          <w:lang w:val="es-PE" w:eastAsia="es-ES"/>
        </w:rPr>
        <w:t xml:space="preserve"> Sin embargo, muchas investigaciones</w:t>
      </w:r>
      <w:r w:rsidRPr="00FE2D92">
        <w:rPr>
          <w:vertAlign w:val="superscript"/>
          <w:lang w:val="es-PE" w:eastAsia="es-ES"/>
        </w:rPr>
        <w:t>(10,11,12,13)</w:t>
      </w:r>
      <w:r w:rsidRPr="00FE2D92">
        <w:rPr>
          <w:color w:val="000000"/>
          <w:lang w:val="es-PE" w:eastAsia="es-ES"/>
        </w:rPr>
        <w:t xml:space="preserve"> ya han demostrado que la eficacia de la ivermectina sobre SARS-CoV-2 no justifica su uso terapéutico o preventivo. A pesar de ello, aún se sigue reportando su uso. </w:t>
      </w:r>
    </w:p>
    <w:p w14:paraId="10BCA7B1" w14:textId="77777777" w:rsidR="00FE2D92" w:rsidRPr="00FE2D92" w:rsidRDefault="00FE2D92" w:rsidP="00FE2D92">
      <w:pPr>
        <w:spacing w:line="360" w:lineRule="auto"/>
        <w:jc w:val="both"/>
        <w:rPr>
          <w:lang w:val="es-PE" w:eastAsia="es-ES"/>
        </w:rPr>
      </w:pPr>
      <w:r w:rsidRPr="00FE2D92">
        <w:rPr>
          <w:color w:val="000000"/>
          <w:lang w:val="es-PE" w:eastAsia="es-ES"/>
        </w:rPr>
        <w:t>El objetivo de este estudio es determinar la asociación del uso de ivermectina, mortalidad y otros 3 indicadores en pacientes con la COVID-19.</w:t>
      </w:r>
    </w:p>
    <w:p w14:paraId="3079E946" w14:textId="77777777" w:rsidR="00FE2D92" w:rsidRPr="00FE2D92" w:rsidRDefault="00FE2D92" w:rsidP="00FE2D92">
      <w:pPr>
        <w:spacing w:line="360" w:lineRule="auto"/>
        <w:rPr>
          <w:lang w:val="es-PE" w:eastAsia="es-ES"/>
        </w:rPr>
      </w:pPr>
    </w:p>
    <w:p w14:paraId="4FF6F034" w14:textId="77777777" w:rsidR="00FE2D92" w:rsidRPr="00FE2D92" w:rsidRDefault="00FE2D92" w:rsidP="00FE2D92">
      <w:pPr>
        <w:spacing w:line="360" w:lineRule="auto"/>
        <w:jc w:val="center"/>
        <w:rPr>
          <w:b/>
          <w:color w:val="000000"/>
          <w:sz w:val="32"/>
          <w:szCs w:val="32"/>
          <w:lang w:val="es-PE" w:eastAsia="es-ES"/>
        </w:rPr>
      </w:pPr>
    </w:p>
    <w:p w14:paraId="4F69E98F" w14:textId="77777777" w:rsidR="00FE2D92" w:rsidRPr="00FE2D92" w:rsidRDefault="00FE2D92" w:rsidP="00FE2D92">
      <w:pPr>
        <w:spacing w:line="360" w:lineRule="auto"/>
        <w:jc w:val="center"/>
        <w:rPr>
          <w:sz w:val="32"/>
          <w:szCs w:val="32"/>
          <w:lang w:val="es-PE" w:eastAsia="es-ES"/>
        </w:rPr>
      </w:pPr>
      <w:r w:rsidRPr="00FE2D92">
        <w:rPr>
          <w:b/>
          <w:color w:val="000000"/>
          <w:sz w:val="32"/>
          <w:szCs w:val="32"/>
          <w:lang w:val="es-PE" w:eastAsia="es-ES"/>
        </w:rPr>
        <w:t>MÉTODOS</w:t>
      </w:r>
    </w:p>
    <w:p w14:paraId="2D31F7A8" w14:textId="77777777" w:rsidR="00FE2D92" w:rsidRPr="00FE2D92" w:rsidRDefault="00FE2D92" w:rsidP="00FE2D92">
      <w:pPr>
        <w:spacing w:line="360" w:lineRule="auto"/>
        <w:jc w:val="center"/>
        <w:rPr>
          <w:sz w:val="28"/>
          <w:szCs w:val="28"/>
          <w:lang w:val="es-PE" w:eastAsia="es-ES"/>
        </w:rPr>
      </w:pPr>
      <w:r w:rsidRPr="00FE2D92">
        <w:rPr>
          <w:b/>
          <w:color w:val="000000"/>
          <w:sz w:val="28"/>
          <w:szCs w:val="28"/>
          <w:lang w:val="es-PE" w:eastAsia="es-ES"/>
        </w:rPr>
        <w:t>Diseño del estudio</w:t>
      </w:r>
    </w:p>
    <w:p w14:paraId="70F6A04D" w14:textId="77777777" w:rsidR="00FE2D92" w:rsidRPr="00FE2D92" w:rsidRDefault="00FE2D92" w:rsidP="00FE2D92">
      <w:pPr>
        <w:spacing w:line="360" w:lineRule="auto"/>
        <w:jc w:val="both"/>
        <w:rPr>
          <w:lang w:val="es-PE" w:eastAsia="es-ES"/>
        </w:rPr>
      </w:pPr>
      <w:r w:rsidRPr="00FE2D92">
        <w:rPr>
          <w:color w:val="000000"/>
          <w:lang w:val="es-PE" w:eastAsia="es-ES"/>
        </w:rPr>
        <w:t xml:space="preserve">Se realizó un estudio de cohorte retrospectiva, mediante la revisión de historias clínicas de pacientes dados de alta, quienes además del tratamiento estándar (oxigenoterapia, corticoide y enoxaparina), </w:t>
      </w:r>
      <w:r w:rsidRPr="00FE2D92">
        <w:rPr>
          <w:color w:val="000000"/>
          <w:lang w:val="es-PE" w:eastAsia="es-ES"/>
        </w:rPr>
        <w:lastRenderedPageBreak/>
        <w:t>recibieron tratamiento con ivermectina. De manera que no se pudo controlar la indicación de este tratamiento, al ser un análisis secundario basado en las indicaciones que los médicos dieron a los pacientes en un hospital público, el Hospital San José del Callao, Perú, el cual atiende a pacientes COVID-19. </w:t>
      </w:r>
    </w:p>
    <w:p w14:paraId="4070939F" w14:textId="77777777" w:rsidR="00FE2D92" w:rsidRPr="00FE2D92" w:rsidRDefault="00FE2D92" w:rsidP="00FE2D92">
      <w:pPr>
        <w:spacing w:line="360" w:lineRule="auto"/>
        <w:jc w:val="center"/>
        <w:rPr>
          <w:sz w:val="28"/>
          <w:szCs w:val="28"/>
          <w:lang w:val="es-PE" w:eastAsia="es-ES"/>
        </w:rPr>
      </w:pPr>
      <w:r w:rsidRPr="00FE2D92">
        <w:rPr>
          <w:b/>
          <w:color w:val="000000"/>
          <w:sz w:val="28"/>
          <w:szCs w:val="28"/>
          <w:lang w:val="es-PE" w:eastAsia="es-ES"/>
        </w:rPr>
        <w:t>Población y muestra</w:t>
      </w:r>
    </w:p>
    <w:p w14:paraId="39DC1919" w14:textId="0564A24C" w:rsidR="00FE2D92" w:rsidRPr="00FE2D92" w:rsidRDefault="00FE2D92" w:rsidP="00FE2D92">
      <w:pPr>
        <w:spacing w:line="360" w:lineRule="auto"/>
        <w:jc w:val="both"/>
        <w:rPr>
          <w:lang w:val="es-PE" w:eastAsia="es-ES"/>
        </w:rPr>
      </w:pPr>
      <w:r w:rsidRPr="00FE2D92">
        <w:rPr>
          <w:color w:val="000000"/>
          <w:lang w:val="es-PE" w:eastAsia="es-ES"/>
        </w:rPr>
        <w:t xml:space="preserve">La población fue de 363 pacientes. La muestra fue de 304 pacientes hospitalizados entre los meses de abril y octubre del año 2020, </w:t>
      </w:r>
      <w:r w:rsidR="005053F4">
        <w:rPr>
          <w:color w:val="000000"/>
          <w:lang w:val="es-PE" w:eastAsia="es-ES"/>
        </w:rPr>
        <w:t xml:space="preserve">que tuvieron diagnóstico de </w:t>
      </w:r>
      <w:r w:rsidRPr="00FE2D92">
        <w:rPr>
          <w:color w:val="000000"/>
          <w:lang w:val="es-PE" w:eastAsia="es-ES"/>
        </w:rPr>
        <w:t>por neumonía grave o crítica por la COVID-19.</w:t>
      </w:r>
      <w:r w:rsidR="005053F4">
        <w:rPr>
          <w:color w:val="000000"/>
          <w:lang w:val="es-PE" w:eastAsia="es-ES"/>
        </w:rPr>
        <w:t xml:space="preserve"> </w:t>
      </w:r>
      <w:r w:rsidRPr="00FE2D92">
        <w:rPr>
          <w:color w:val="000000"/>
          <w:lang w:val="es-PE" w:eastAsia="es-ES"/>
        </w:rPr>
        <w:t xml:space="preserve">Se excluyó 59 historias: 6 por no ser encontradas físicamente, 33 por haber sido referidos a otra institución, 12 por haber solicitado retiro voluntario, 7 por haber fallecido en menos de 24 horas y una paciente que fue </w:t>
      </w:r>
      <w:proofErr w:type="spellStart"/>
      <w:r w:rsidRPr="00FE2D92">
        <w:rPr>
          <w:color w:val="000000"/>
          <w:lang w:val="es-PE" w:eastAsia="es-ES"/>
        </w:rPr>
        <w:t>rehospitalizada</w:t>
      </w:r>
      <w:proofErr w:type="spellEnd"/>
      <w:r w:rsidRPr="00FE2D92">
        <w:rPr>
          <w:color w:val="000000"/>
          <w:lang w:val="es-PE" w:eastAsia="es-ES"/>
        </w:rPr>
        <w:t xml:space="preserve"> al poco tiempo del alta. </w:t>
      </w:r>
    </w:p>
    <w:p w14:paraId="4BBBA1DB" w14:textId="77777777" w:rsidR="00FE2D92" w:rsidRPr="00FE2D92" w:rsidRDefault="00FE2D92" w:rsidP="00FE2D92">
      <w:pPr>
        <w:spacing w:line="360" w:lineRule="auto"/>
        <w:jc w:val="center"/>
        <w:rPr>
          <w:sz w:val="28"/>
          <w:szCs w:val="28"/>
          <w:lang w:val="es-PE" w:eastAsia="es-ES"/>
        </w:rPr>
      </w:pPr>
      <w:r w:rsidRPr="00FE2D92">
        <w:rPr>
          <w:b/>
          <w:color w:val="000000"/>
          <w:sz w:val="28"/>
          <w:szCs w:val="28"/>
          <w:lang w:val="es-PE" w:eastAsia="es-ES"/>
        </w:rPr>
        <w:t>Variables</w:t>
      </w:r>
    </w:p>
    <w:p w14:paraId="783D3D39" w14:textId="07D257F1" w:rsidR="00FE2D92" w:rsidRPr="00FE2D92" w:rsidRDefault="00FE2D92" w:rsidP="00FE2D92">
      <w:pPr>
        <w:spacing w:line="360" w:lineRule="auto"/>
        <w:jc w:val="both"/>
        <w:rPr>
          <w:lang w:val="es-PE" w:eastAsia="es-ES"/>
        </w:rPr>
      </w:pPr>
      <w:r w:rsidRPr="00FE2D92">
        <w:rPr>
          <w:color w:val="000000"/>
          <w:lang w:val="es-PE" w:eastAsia="es-ES"/>
        </w:rPr>
        <w:t xml:space="preserve">Se registraron las variables: edad, sexo, existencia de comorbilidades, antecedente de uso de ivermectina antes de la hospitalización (desde el inicio de los síntomas hasta la fecha de ingreso al hospital), uso de ivermectina durante las primeras 72 horas de hospitalización, dosis total de ivermectina durante su hospitalización (se consideró dicha información en el </w:t>
      </w:r>
      <w:proofErr w:type="spellStart"/>
      <w:r w:rsidRPr="00FE2D92">
        <w:rPr>
          <w:color w:val="000000"/>
          <w:lang w:val="es-PE" w:eastAsia="es-ES"/>
        </w:rPr>
        <w:t>cárdex</w:t>
      </w:r>
      <w:proofErr w:type="spellEnd"/>
      <w:r w:rsidRPr="00FE2D92">
        <w:rPr>
          <w:color w:val="000000"/>
          <w:lang w:val="es-PE" w:eastAsia="es-ES"/>
        </w:rPr>
        <w:t xml:space="preserve"> de enfermería, </w:t>
      </w:r>
      <w:r w:rsidR="00941C48">
        <w:rPr>
          <w:color w:val="000000"/>
          <w:lang w:val="es-PE" w:eastAsia="es-ES"/>
        </w:rPr>
        <w:t>el cual registra la</w:t>
      </w:r>
      <w:r w:rsidRPr="00FE2D92">
        <w:rPr>
          <w:color w:val="000000"/>
          <w:lang w:val="es-PE" w:eastAsia="es-ES"/>
        </w:rPr>
        <w:t xml:space="preserve"> administración del medicamento), tiempo de requerimiento oxigenoterapia a alto flujo, si el paciente tuvo indicación de pase a la unidad de cuidados intensivos (UCI), tiempo de hospitalización, reporte de complicaciones y la mortalidad. </w:t>
      </w:r>
    </w:p>
    <w:p w14:paraId="6062BEC6" w14:textId="77777777" w:rsidR="00FE2D92" w:rsidRPr="00FE2D92" w:rsidRDefault="00FE2D92" w:rsidP="00FE2D92">
      <w:pPr>
        <w:spacing w:line="360" w:lineRule="auto"/>
        <w:jc w:val="center"/>
        <w:rPr>
          <w:sz w:val="28"/>
          <w:szCs w:val="28"/>
          <w:lang w:val="es-PE" w:eastAsia="es-ES"/>
        </w:rPr>
      </w:pPr>
      <w:r w:rsidRPr="00FE2D92">
        <w:rPr>
          <w:b/>
          <w:color w:val="000000"/>
          <w:sz w:val="28"/>
          <w:szCs w:val="28"/>
          <w:lang w:val="es-PE" w:eastAsia="es-ES"/>
        </w:rPr>
        <w:t>Procedimientos</w:t>
      </w:r>
    </w:p>
    <w:p w14:paraId="473D9090" w14:textId="77777777" w:rsidR="00FE2D92" w:rsidRPr="00FE2D92" w:rsidRDefault="00FE2D92" w:rsidP="00FE2D92">
      <w:pPr>
        <w:spacing w:line="360" w:lineRule="auto"/>
        <w:jc w:val="both"/>
        <w:rPr>
          <w:lang w:val="es-PE" w:eastAsia="es-ES"/>
        </w:rPr>
      </w:pPr>
      <w:r w:rsidRPr="00FE2D92">
        <w:rPr>
          <w:color w:val="000000"/>
          <w:lang w:val="es-PE" w:eastAsia="es-ES"/>
        </w:rPr>
        <w:t xml:space="preserve">La unidad de epidemiología y salud ambiental del Hospital San José remitió a los autores una lista inicial de los pacientes hospitalizados por la COVID-19, desde el 01/04/2020 al 31/10/2020, tras lo cual se solicitó el préstamo de dichas historias; con esto se recolectó los datos de cada historia clínica, a través de una ficha </w:t>
      </w:r>
      <w:r w:rsidRPr="00FE2D92">
        <w:rPr>
          <w:i/>
          <w:iCs/>
          <w:color w:val="000000"/>
          <w:lang w:val="es-PE" w:eastAsia="es-ES"/>
        </w:rPr>
        <w:t>ad hoc</w:t>
      </w:r>
      <w:r w:rsidRPr="00FE2D92">
        <w:rPr>
          <w:color w:val="000000"/>
          <w:lang w:val="es-PE" w:eastAsia="es-ES"/>
        </w:rPr>
        <w:t>, por una sola persona (la autora principal). </w:t>
      </w:r>
    </w:p>
    <w:p w14:paraId="1FDFCDF7" w14:textId="77777777" w:rsidR="00FE2D92" w:rsidRPr="00FE2D92" w:rsidRDefault="00FE2D92" w:rsidP="00FE2D92">
      <w:pPr>
        <w:spacing w:line="360" w:lineRule="auto"/>
        <w:jc w:val="center"/>
        <w:rPr>
          <w:sz w:val="28"/>
          <w:szCs w:val="28"/>
          <w:lang w:val="es-PE" w:eastAsia="es-ES"/>
        </w:rPr>
      </w:pPr>
      <w:r w:rsidRPr="00FE2D92">
        <w:rPr>
          <w:b/>
          <w:color w:val="000000"/>
          <w:sz w:val="28"/>
          <w:szCs w:val="28"/>
          <w:lang w:val="es-PE" w:eastAsia="es-ES"/>
        </w:rPr>
        <w:t>Análisis estadístico</w:t>
      </w:r>
    </w:p>
    <w:p w14:paraId="67ED348D" w14:textId="77777777" w:rsidR="00FE2D92" w:rsidRPr="00FE2D92" w:rsidRDefault="00FE2D92" w:rsidP="00FE2D92">
      <w:pPr>
        <w:spacing w:line="360" w:lineRule="auto"/>
        <w:jc w:val="both"/>
        <w:rPr>
          <w:lang w:val="es-PE" w:eastAsia="es-ES"/>
        </w:rPr>
      </w:pPr>
      <w:r w:rsidRPr="00FE2D92">
        <w:rPr>
          <w:color w:val="000000"/>
          <w:lang w:val="es-PE" w:eastAsia="es-ES"/>
        </w:rPr>
        <w:t>Se usó el programa estadístico Stata (versión 11.1). Para el análisis de los resultados, primero se obtuvo las frecuencias y porcentajes de las variables categóricas, y la mediana y el rango intercuartílico de las variables cuantitativas.</w:t>
      </w:r>
    </w:p>
    <w:p w14:paraId="1205EB6E" w14:textId="77777777" w:rsidR="00FE2D92" w:rsidRPr="00FE2D92" w:rsidRDefault="00FE2D92" w:rsidP="00FE2D92">
      <w:pPr>
        <w:spacing w:line="360" w:lineRule="auto"/>
        <w:jc w:val="both"/>
        <w:rPr>
          <w:color w:val="000000"/>
          <w:lang w:val="es-PE" w:eastAsia="es-ES"/>
        </w:rPr>
      </w:pPr>
      <w:r w:rsidRPr="00FE2D92">
        <w:rPr>
          <w:color w:val="000000"/>
          <w:lang w:val="es-PE" w:eastAsia="es-ES"/>
        </w:rPr>
        <w:lastRenderedPageBreak/>
        <w:t>Para los resultados categóricos (mortalidad e indicación de pase a UCI) se usó los modelos lineales generalizados, con la familia Poisson, función de enlace log y modelos para varianzas robustas; con lo que se obtuvo los riesgos relativos (RR), los intervalos de confianza al 95</w:t>
      </w:r>
      <w:r w:rsidRPr="00FE2D92">
        <w:rPr>
          <w:lang w:val="es-PE" w:eastAsia="es-ES"/>
        </w:rPr>
        <w:t> %</w:t>
      </w:r>
      <w:r w:rsidRPr="00FE2D92">
        <w:rPr>
          <w:color w:val="000000"/>
          <w:lang w:val="es-PE" w:eastAsia="es-ES"/>
        </w:rPr>
        <w:t xml:space="preserve"> (IC 95</w:t>
      </w:r>
      <w:r w:rsidRPr="00FE2D92">
        <w:rPr>
          <w:lang w:val="es-PE" w:eastAsia="es-ES"/>
        </w:rPr>
        <w:t> %</w:t>
      </w:r>
      <w:r w:rsidRPr="00FE2D92">
        <w:rPr>
          <w:color w:val="000000"/>
          <w:lang w:val="es-PE" w:eastAsia="es-ES"/>
        </w:rPr>
        <w:t xml:space="preserve">) y los valores p. Para los resultados cuantitativos (los días de hospitalización y del requerimiento de oxígeno a alto flujo) se usó los modelos lineales generalizados, con la familia </w:t>
      </w:r>
      <w:r w:rsidRPr="00FE2D92">
        <w:rPr>
          <w:i/>
          <w:iCs/>
          <w:color w:val="000000"/>
          <w:lang w:val="es-PE" w:eastAsia="es-ES"/>
        </w:rPr>
        <w:t>Gaussian</w:t>
      </w:r>
      <w:r w:rsidRPr="00FE2D92">
        <w:rPr>
          <w:color w:val="000000"/>
          <w:lang w:val="es-PE" w:eastAsia="es-ES"/>
        </w:rPr>
        <w:t xml:space="preserve">, función de enlace </w:t>
      </w:r>
      <w:proofErr w:type="spellStart"/>
      <w:r w:rsidRPr="00FE2D92">
        <w:rPr>
          <w:i/>
          <w:iCs/>
          <w:color w:val="000000"/>
          <w:lang w:val="es-PE" w:eastAsia="es-ES"/>
        </w:rPr>
        <w:t>identity</w:t>
      </w:r>
      <w:proofErr w:type="spellEnd"/>
      <w:r w:rsidRPr="00FE2D92">
        <w:rPr>
          <w:color w:val="000000"/>
          <w:lang w:val="es-PE" w:eastAsia="es-ES"/>
        </w:rPr>
        <w:t xml:space="preserve"> y los modelos para varianzas robustas; con lo que se obtuvo los coeficientes, los intervalos de confianza al 95</w:t>
      </w:r>
      <w:r w:rsidRPr="00FE2D92">
        <w:rPr>
          <w:lang w:val="es-PE" w:eastAsia="es-ES"/>
        </w:rPr>
        <w:t xml:space="preserve"> %</w:t>
      </w:r>
      <w:r w:rsidRPr="00FE2D92">
        <w:rPr>
          <w:color w:val="000000"/>
          <w:lang w:val="es-PE" w:eastAsia="es-ES"/>
        </w:rPr>
        <w:t xml:space="preserve"> y los valores p. En cada caso primero se generó los modelos bivariados, según si se obtuvo una significancia estadística (valores p&lt; 0,05) se pasó a un modelo multivariado.</w:t>
      </w:r>
    </w:p>
    <w:p w14:paraId="08258526" w14:textId="77777777" w:rsidR="00FE2D92" w:rsidRPr="00FE2D92" w:rsidRDefault="00FE2D92" w:rsidP="00FE2D92">
      <w:pPr>
        <w:spacing w:line="360" w:lineRule="auto"/>
        <w:jc w:val="center"/>
        <w:rPr>
          <w:sz w:val="28"/>
          <w:szCs w:val="28"/>
          <w:lang w:val="es-PE" w:eastAsia="es-ES"/>
        </w:rPr>
      </w:pPr>
      <w:r w:rsidRPr="00FE2D92">
        <w:rPr>
          <w:b/>
          <w:color w:val="000000"/>
          <w:sz w:val="28"/>
          <w:szCs w:val="28"/>
          <w:lang w:val="es-PE" w:eastAsia="es-ES"/>
        </w:rPr>
        <w:t>Aspectos éticos</w:t>
      </w:r>
    </w:p>
    <w:p w14:paraId="2271C066" w14:textId="77777777" w:rsidR="00FE2D92" w:rsidRPr="00FE2D92" w:rsidRDefault="00FE2D92" w:rsidP="00FE2D92">
      <w:pPr>
        <w:spacing w:line="360" w:lineRule="auto"/>
        <w:jc w:val="both"/>
        <w:rPr>
          <w:lang w:val="es-PE" w:eastAsia="es-ES"/>
        </w:rPr>
      </w:pPr>
      <w:r w:rsidRPr="00FE2D92">
        <w:rPr>
          <w:color w:val="000000"/>
          <w:lang w:val="es-PE" w:eastAsia="es-ES"/>
        </w:rPr>
        <w:t>El Comité de Ética en Investigación del Hospital San José, tras la evaluación de la propuesta, emitió un dictamen de aprobación para la revisión de historias clínicas físicas. Este estudio también fue autorizado por la dirección ejecutiva del hospital (oficio N°1494-2020-GRC/DE-UADI-HSJ). Se ha respetado el derecho a la privacidad, en este artículo no aparecen datos de los pacientes.</w:t>
      </w:r>
    </w:p>
    <w:p w14:paraId="00EEC860" w14:textId="77777777" w:rsidR="00FE2D92" w:rsidRPr="00FE2D92" w:rsidRDefault="00FE2D92" w:rsidP="00FE2D92">
      <w:pPr>
        <w:spacing w:line="360" w:lineRule="auto"/>
        <w:jc w:val="both"/>
        <w:rPr>
          <w:color w:val="000000"/>
          <w:lang w:val="es-PE" w:eastAsia="es-ES"/>
        </w:rPr>
      </w:pPr>
    </w:p>
    <w:p w14:paraId="6389AAA5" w14:textId="77777777" w:rsidR="00FE2D92" w:rsidRPr="00FE2D92" w:rsidRDefault="00FE2D92" w:rsidP="00FE2D92">
      <w:pPr>
        <w:spacing w:line="360" w:lineRule="auto"/>
        <w:jc w:val="both"/>
        <w:rPr>
          <w:lang w:val="es-PE" w:eastAsia="es-ES"/>
        </w:rPr>
      </w:pPr>
    </w:p>
    <w:p w14:paraId="33645662" w14:textId="77777777" w:rsidR="00FE2D92" w:rsidRPr="00FE2D92" w:rsidRDefault="00FE2D92" w:rsidP="00FE2D92">
      <w:pPr>
        <w:spacing w:line="360" w:lineRule="auto"/>
        <w:jc w:val="center"/>
        <w:rPr>
          <w:sz w:val="32"/>
          <w:szCs w:val="32"/>
          <w:lang w:val="es-PE" w:eastAsia="es-ES"/>
        </w:rPr>
      </w:pPr>
      <w:r w:rsidRPr="00FE2D92">
        <w:rPr>
          <w:b/>
          <w:color w:val="000000"/>
          <w:sz w:val="32"/>
          <w:szCs w:val="32"/>
          <w:lang w:val="es-PE" w:eastAsia="es-ES"/>
        </w:rPr>
        <w:t>RESULTADOS</w:t>
      </w:r>
    </w:p>
    <w:p w14:paraId="2B52B5C2" w14:textId="77777777" w:rsidR="00FE2D92" w:rsidRPr="00FE2D92" w:rsidRDefault="00FE2D92" w:rsidP="00FE2D92">
      <w:pPr>
        <w:spacing w:line="360" w:lineRule="auto"/>
        <w:jc w:val="both"/>
        <w:rPr>
          <w:lang w:val="es-PE" w:eastAsia="es-ES"/>
        </w:rPr>
      </w:pPr>
      <w:r w:rsidRPr="00FE2D92">
        <w:rPr>
          <w:color w:val="000000"/>
          <w:lang w:val="es-PE" w:eastAsia="es-ES"/>
        </w:rPr>
        <w:t>De los 304 pacientes, la mediana de edad es de 59 años (rango intercuartílico: 49-70 años), el 66,8</w:t>
      </w:r>
      <w:r w:rsidRPr="00FE2D92">
        <w:rPr>
          <w:lang w:val="es-PE" w:eastAsia="es-ES"/>
        </w:rPr>
        <w:t> %</w:t>
      </w:r>
      <w:r w:rsidRPr="00FE2D92">
        <w:rPr>
          <w:color w:val="000000"/>
          <w:lang w:val="es-PE" w:eastAsia="es-ES"/>
        </w:rPr>
        <w:t xml:space="preserve"> (203) fueron hombres, el 79,9</w:t>
      </w:r>
      <w:r w:rsidRPr="00FE2D92">
        <w:rPr>
          <w:lang w:val="es-PE" w:eastAsia="es-ES"/>
        </w:rPr>
        <w:t> %</w:t>
      </w:r>
      <w:r w:rsidRPr="00FE2D92">
        <w:rPr>
          <w:color w:val="000000"/>
          <w:lang w:val="es-PE" w:eastAsia="es-ES"/>
        </w:rPr>
        <w:t xml:space="preserve"> (243) tenía alguna comorbilidad, el 41,5</w:t>
      </w:r>
      <w:r w:rsidRPr="00FE2D92">
        <w:rPr>
          <w:lang w:val="es-PE" w:eastAsia="es-ES"/>
        </w:rPr>
        <w:t> %</w:t>
      </w:r>
      <w:r w:rsidRPr="00FE2D92">
        <w:rPr>
          <w:color w:val="000000"/>
          <w:lang w:val="es-PE" w:eastAsia="es-ES"/>
        </w:rPr>
        <w:t xml:space="preserve"> (126) falleció y el 52,3</w:t>
      </w:r>
      <w:r w:rsidRPr="00FE2D92">
        <w:rPr>
          <w:lang w:val="es-PE" w:eastAsia="es-ES"/>
        </w:rPr>
        <w:t> %</w:t>
      </w:r>
      <w:r w:rsidRPr="00FE2D92">
        <w:rPr>
          <w:color w:val="000000"/>
          <w:lang w:val="es-PE" w:eastAsia="es-ES"/>
        </w:rPr>
        <w:t xml:space="preserve"> (159) tuvo indicación de pase a la UCI. El 65,5</w:t>
      </w:r>
      <w:r w:rsidRPr="00FE2D92">
        <w:rPr>
          <w:lang w:val="es-PE" w:eastAsia="es-ES"/>
        </w:rPr>
        <w:t> %</w:t>
      </w:r>
      <w:r w:rsidRPr="00FE2D92">
        <w:rPr>
          <w:color w:val="000000"/>
          <w:lang w:val="es-PE" w:eastAsia="es-ES"/>
        </w:rPr>
        <w:t xml:space="preserve"> (199) recibió alguna dosis de ivermectina durante su hospitalización, de los cuales, 181 (59,5</w:t>
      </w:r>
      <w:r w:rsidRPr="00FE2D92">
        <w:rPr>
          <w:lang w:val="es-PE" w:eastAsia="es-ES"/>
        </w:rPr>
        <w:t> %</w:t>
      </w:r>
      <w:r w:rsidRPr="00FE2D92">
        <w:rPr>
          <w:color w:val="000000"/>
          <w:lang w:val="es-PE" w:eastAsia="es-ES"/>
        </w:rPr>
        <w:t>) fue en las primeras 72 horas de hospitalización (tabla 1).</w:t>
      </w:r>
    </w:p>
    <w:p w14:paraId="1F13AA3F" w14:textId="77777777" w:rsidR="00FE2D92" w:rsidRPr="00FE2D92" w:rsidRDefault="00FE2D92" w:rsidP="00FE2D92">
      <w:pPr>
        <w:spacing w:line="360" w:lineRule="auto"/>
        <w:jc w:val="center"/>
        <w:rPr>
          <w:b/>
          <w:color w:val="000000"/>
          <w:sz w:val="22"/>
          <w:szCs w:val="22"/>
          <w:lang w:val="es-PE" w:eastAsia="es-ES"/>
        </w:rPr>
      </w:pPr>
    </w:p>
    <w:p w14:paraId="06631793" w14:textId="77777777" w:rsidR="00CA16DE" w:rsidRDefault="00CA16DE">
      <w:pPr>
        <w:rPr>
          <w:b/>
          <w:color w:val="000000"/>
          <w:sz w:val="22"/>
          <w:szCs w:val="22"/>
          <w:lang w:val="es-PE" w:eastAsia="es-ES"/>
        </w:rPr>
      </w:pPr>
      <w:r>
        <w:rPr>
          <w:b/>
          <w:color w:val="000000"/>
          <w:sz w:val="22"/>
          <w:szCs w:val="22"/>
          <w:lang w:val="es-PE" w:eastAsia="es-ES"/>
        </w:rPr>
        <w:br w:type="page"/>
      </w:r>
    </w:p>
    <w:p w14:paraId="5076F366" w14:textId="33B37382" w:rsidR="00FE2D92" w:rsidRPr="00FE2D92" w:rsidRDefault="00FE2D92" w:rsidP="00FE2D92">
      <w:pPr>
        <w:spacing w:line="360" w:lineRule="auto"/>
        <w:jc w:val="center"/>
        <w:rPr>
          <w:sz w:val="22"/>
          <w:szCs w:val="22"/>
          <w:lang w:val="es-PE" w:eastAsia="es-ES"/>
        </w:rPr>
      </w:pPr>
      <w:r w:rsidRPr="00FE2D92">
        <w:rPr>
          <w:b/>
          <w:color w:val="000000"/>
          <w:sz w:val="22"/>
          <w:szCs w:val="22"/>
          <w:lang w:val="es-PE" w:eastAsia="es-ES"/>
        </w:rPr>
        <w:lastRenderedPageBreak/>
        <w:t>Tabla 1 -</w:t>
      </w:r>
      <w:r w:rsidRPr="00FE2D92">
        <w:rPr>
          <w:color w:val="000000"/>
          <w:sz w:val="22"/>
          <w:szCs w:val="22"/>
          <w:lang w:val="es-PE" w:eastAsia="es-ES"/>
        </w:rPr>
        <w:t xml:space="preserve"> Caracterización epidemiológica de los pacientes con la COVID-19 en un hospital en el Callao - Perú</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75"/>
        <w:gridCol w:w="1050"/>
        <w:gridCol w:w="1030"/>
      </w:tblGrid>
      <w:tr w:rsidR="00FE2D92" w:rsidRPr="00FE2D92" w14:paraId="5B8B0DC6" w14:textId="77777777" w:rsidTr="00F60ABC">
        <w:trPr>
          <w:trHeight w:val="398"/>
          <w:jc w:val="center"/>
        </w:trPr>
        <w:tc>
          <w:tcPr>
            <w:tcW w:w="3675" w:type="dxa"/>
            <w:tcMar>
              <w:top w:w="100" w:type="dxa"/>
              <w:left w:w="100" w:type="dxa"/>
              <w:bottom w:w="100" w:type="dxa"/>
              <w:right w:w="100" w:type="dxa"/>
            </w:tcMar>
            <w:vAlign w:val="center"/>
          </w:tcPr>
          <w:p w14:paraId="7E6478F3" w14:textId="77777777" w:rsidR="00FE2D92" w:rsidRPr="00FE2D92" w:rsidRDefault="00FE2D92" w:rsidP="00FE2D92">
            <w:pPr>
              <w:jc w:val="center"/>
              <w:rPr>
                <w:sz w:val="18"/>
                <w:szCs w:val="18"/>
                <w:lang w:val="es-PE" w:eastAsia="es-ES"/>
              </w:rPr>
            </w:pPr>
            <w:r w:rsidRPr="00FE2D92">
              <w:rPr>
                <w:b/>
                <w:color w:val="000000"/>
                <w:sz w:val="18"/>
                <w:szCs w:val="18"/>
                <w:lang w:val="es-PE" w:eastAsia="es-ES"/>
              </w:rPr>
              <w:t>Características epidemiológicas</w:t>
            </w:r>
          </w:p>
        </w:tc>
        <w:tc>
          <w:tcPr>
            <w:tcW w:w="1050" w:type="dxa"/>
            <w:tcMar>
              <w:top w:w="100" w:type="dxa"/>
              <w:left w:w="100" w:type="dxa"/>
              <w:bottom w:w="100" w:type="dxa"/>
              <w:right w:w="100" w:type="dxa"/>
            </w:tcMar>
            <w:vAlign w:val="center"/>
          </w:tcPr>
          <w:p w14:paraId="6F810DDE" w14:textId="77777777" w:rsidR="00FE2D92" w:rsidRPr="00FE2D92" w:rsidRDefault="00FE2D92" w:rsidP="00FE2D92">
            <w:pPr>
              <w:jc w:val="center"/>
              <w:rPr>
                <w:sz w:val="18"/>
                <w:szCs w:val="18"/>
                <w:lang w:val="es-PE" w:eastAsia="es-ES"/>
              </w:rPr>
            </w:pPr>
            <w:r w:rsidRPr="00FE2D92">
              <w:rPr>
                <w:b/>
                <w:color w:val="000000"/>
                <w:sz w:val="18"/>
                <w:szCs w:val="18"/>
                <w:lang w:val="es-PE" w:eastAsia="es-ES"/>
              </w:rPr>
              <w:t>Frecuencia</w:t>
            </w:r>
          </w:p>
        </w:tc>
        <w:tc>
          <w:tcPr>
            <w:tcW w:w="1030" w:type="dxa"/>
            <w:tcMar>
              <w:top w:w="100" w:type="dxa"/>
              <w:left w:w="100" w:type="dxa"/>
              <w:bottom w:w="100" w:type="dxa"/>
              <w:right w:w="100" w:type="dxa"/>
            </w:tcMar>
            <w:vAlign w:val="center"/>
          </w:tcPr>
          <w:p w14:paraId="44FDE6C6" w14:textId="77777777" w:rsidR="00FE2D92" w:rsidRPr="00FE2D92" w:rsidRDefault="00FE2D92" w:rsidP="00FE2D92">
            <w:pPr>
              <w:jc w:val="center"/>
              <w:rPr>
                <w:sz w:val="18"/>
                <w:szCs w:val="18"/>
                <w:lang w:val="es-PE" w:eastAsia="es-ES"/>
              </w:rPr>
            </w:pPr>
            <w:r w:rsidRPr="00FE2D92">
              <w:rPr>
                <w:b/>
                <w:color w:val="000000"/>
                <w:sz w:val="18"/>
                <w:szCs w:val="18"/>
                <w:lang w:val="es-PE" w:eastAsia="es-ES"/>
              </w:rPr>
              <w:t>Resultado</w:t>
            </w:r>
          </w:p>
        </w:tc>
      </w:tr>
      <w:tr w:rsidR="00FE2D92" w:rsidRPr="00FE2D92" w14:paraId="12B07383" w14:textId="77777777" w:rsidTr="00F60ABC">
        <w:trPr>
          <w:jc w:val="center"/>
        </w:trPr>
        <w:tc>
          <w:tcPr>
            <w:tcW w:w="3675" w:type="dxa"/>
            <w:tcMar>
              <w:top w:w="100" w:type="dxa"/>
              <w:left w:w="100" w:type="dxa"/>
              <w:bottom w:w="100" w:type="dxa"/>
              <w:right w:w="100" w:type="dxa"/>
            </w:tcMar>
            <w:vAlign w:val="center"/>
          </w:tcPr>
          <w:p w14:paraId="009C4897" w14:textId="77777777" w:rsidR="00FE2D92" w:rsidRPr="00FE2D92" w:rsidRDefault="00FE2D92" w:rsidP="00FE2D92">
            <w:pPr>
              <w:jc w:val="both"/>
              <w:rPr>
                <w:sz w:val="18"/>
                <w:szCs w:val="18"/>
                <w:lang w:val="es-PE" w:eastAsia="es-ES"/>
              </w:rPr>
            </w:pPr>
            <w:r w:rsidRPr="00FE2D92">
              <w:rPr>
                <w:color w:val="000000"/>
                <w:sz w:val="18"/>
                <w:szCs w:val="18"/>
                <w:lang w:val="es-PE" w:eastAsia="es-ES"/>
              </w:rPr>
              <w:t>Edad (años cumplidos)</w:t>
            </w:r>
          </w:p>
        </w:tc>
        <w:tc>
          <w:tcPr>
            <w:tcW w:w="1050" w:type="dxa"/>
            <w:tcMar>
              <w:top w:w="100" w:type="dxa"/>
              <w:left w:w="100" w:type="dxa"/>
              <w:bottom w:w="100" w:type="dxa"/>
              <w:right w:w="100" w:type="dxa"/>
            </w:tcMar>
            <w:vAlign w:val="center"/>
          </w:tcPr>
          <w:p w14:paraId="06996C4D" w14:textId="77777777" w:rsidR="00FE2D92" w:rsidRPr="00FE2D92" w:rsidRDefault="00FE2D92" w:rsidP="00FE2D92">
            <w:pPr>
              <w:jc w:val="center"/>
              <w:rPr>
                <w:sz w:val="18"/>
                <w:szCs w:val="18"/>
                <w:lang w:val="es-PE" w:eastAsia="es-ES"/>
              </w:rPr>
            </w:pPr>
            <w:r w:rsidRPr="00FE2D92">
              <w:rPr>
                <w:color w:val="000000"/>
                <w:sz w:val="18"/>
                <w:szCs w:val="18"/>
                <w:lang w:val="es-PE" w:eastAsia="es-ES"/>
              </w:rPr>
              <w:t>59</w:t>
            </w:r>
          </w:p>
        </w:tc>
        <w:tc>
          <w:tcPr>
            <w:tcW w:w="1030" w:type="dxa"/>
            <w:tcMar>
              <w:top w:w="100" w:type="dxa"/>
              <w:left w:w="100" w:type="dxa"/>
              <w:bottom w:w="100" w:type="dxa"/>
              <w:right w:w="100" w:type="dxa"/>
            </w:tcMar>
            <w:vAlign w:val="center"/>
          </w:tcPr>
          <w:p w14:paraId="46DC763A" w14:textId="77777777" w:rsidR="00FE2D92" w:rsidRPr="00FE2D92" w:rsidRDefault="00FE2D92" w:rsidP="00FE2D92">
            <w:pPr>
              <w:jc w:val="center"/>
              <w:rPr>
                <w:sz w:val="18"/>
                <w:szCs w:val="18"/>
                <w:lang w:val="es-PE" w:eastAsia="es-ES"/>
              </w:rPr>
            </w:pPr>
            <w:r w:rsidRPr="00FE2D92">
              <w:rPr>
                <w:color w:val="000000"/>
                <w:sz w:val="18"/>
                <w:szCs w:val="18"/>
                <w:lang w:val="es-PE" w:eastAsia="es-ES"/>
              </w:rPr>
              <w:t>49-70</w:t>
            </w:r>
          </w:p>
        </w:tc>
      </w:tr>
      <w:tr w:rsidR="00FE2D92" w:rsidRPr="00FE2D92" w14:paraId="48B48A63" w14:textId="77777777" w:rsidTr="00F60ABC">
        <w:trPr>
          <w:jc w:val="center"/>
        </w:trPr>
        <w:tc>
          <w:tcPr>
            <w:tcW w:w="3675" w:type="dxa"/>
            <w:tcMar>
              <w:top w:w="100" w:type="dxa"/>
              <w:left w:w="100" w:type="dxa"/>
              <w:bottom w:w="100" w:type="dxa"/>
              <w:right w:w="100" w:type="dxa"/>
            </w:tcMar>
            <w:vAlign w:val="center"/>
          </w:tcPr>
          <w:p w14:paraId="164C140D" w14:textId="77777777" w:rsidR="00FE2D92" w:rsidRPr="00FE2D92" w:rsidRDefault="00FE2D92" w:rsidP="00FE2D92">
            <w:pPr>
              <w:jc w:val="both"/>
              <w:rPr>
                <w:sz w:val="18"/>
                <w:szCs w:val="18"/>
                <w:lang w:val="es-PE" w:eastAsia="es-ES"/>
              </w:rPr>
            </w:pPr>
            <w:r w:rsidRPr="00FE2D92">
              <w:rPr>
                <w:color w:val="000000"/>
                <w:sz w:val="18"/>
                <w:szCs w:val="18"/>
                <w:lang w:val="es-PE" w:eastAsia="es-ES"/>
              </w:rPr>
              <w:t>Sexo masculino</w:t>
            </w:r>
          </w:p>
        </w:tc>
        <w:tc>
          <w:tcPr>
            <w:tcW w:w="1050" w:type="dxa"/>
            <w:tcMar>
              <w:top w:w="100" w:type="dxa"/>
              <w:left w:w="100" w:type="dxa"/>
              <w:bottom w:w="100" w:type="dxa"/>
              <w:right w:w="100" w:type="dxa"/>
            </w:tcMar>
            <w:vAlign w:val="center"/>
          </w:tcPr>
          <w:p w14:paraId="7FA9F7AF" w14:textId="77777777" w:rsidR="00FE2D92" w:rsidRPr="00FE2D92" w:rsidRDefault="00FE2D92" w:rsidP="00FE2D92">
            <w:pPr>
              <w:jc w:val="center"/>
              <w:rPr>
                <w:sz w:val="18"/>
                <w:szCs w:val="18"/>
                <w:lang w:val="es-PE" w:eastAsia="es-ES"/>
              </w:rPr>
            </w:pPr>
            <w:r w:rsidRPr="00FE2D92">
              <w:rPr>
                <w:color w:val="000000"/>
                <w:sz w:val="18"/>
                <w:szCs w:val="18"/>
                <w:lang w:val="es-PE" w:eastAsia="es-ES"/>
              </w:rPr>
              <w:t>203</w:t>
            </w:r>
          </w:p>
        </w:tc>
        <w:tc>
          <w:tcPr>
            <w:tcW w:w="1030" w:type="dxa"/>
            <w:tcMar>
              <w:top w:w="100" w:type="dxa"/>
              <w:left w:w="100" w:type="dxa"/>
              <w:bottom w:w="100" w:type="dxa"/>
              <w:right w:w="100" w:type="dxa"/>
            </w:tcMar>
            <w:vAlign w:val="center"/>
          </w:tcPr>
          <w:p w14:paraId="368FE0EC" w14:textId="77777777" w:rsidR="00FE2D92" w:rsidRPr="00FE2D92" w:rsidRDefault="00FE2D92" w:rsidP="00FE2D92">
            <w:pPr>
              <w:jc w:val="center"/>
              <w:rPr>
                <w:sz w:val="18"/>
                <w:szCs w:val="18"/>
                <w:lang w:val="es-PE" w:eastAsia="es-ES"/>
              </w:rPr>
            </w:pPr>
            <w:r w:rsidRPr="00FE2D92">
              <w:rPr>
                <w:color w:val="000000"/>
                <w:sz w:val="18"/>
                <w:szCs w:val="18"/>
                <w:lang w:val="es-PE" w:eastAsia="es-ES"/>
              </w:rPr>
              <w:t xml:space="preserve">66,8 </w:t>
            </w:r>
            <w:r w:rsidRPr="00FE2D92">
              <w:rPr>
                <w:sz w:val="18"/>
                <w:szCs w:val="18"/>
                <w:lang w:val="es-PE" w:eastAsia="es-ES"/>
              </w:rPr>
              <w:t>%</w:t>
            </w:r>
          </w:p>
        </w:tc>
      </w:tr>
      <w:tr w:rsidR="00FE2D92" w:rsidRPr="00FE2D92" w14:paraId="1A0C21C5" w14:textId="77777777" w:rsidTr="00F60ABC">
        <w:trPr>
          <w:jc w:val="center"/>
        </w:trPr>
        <w:tc>
          <w:tcPr>
            <w:tcW w:w="3675" w:type="dxa"/>
            <w:tcMar>
              <w:top w:w="100" w:type="dxa"/>
              <w:left w:w="100" w:type="dxa"/>
              <w:bottom w:w="100" w:type="dxa"/>
              <w:right w:w="100" w:type="dxa"/>
            </w:tcMar>
            <w:vAlign w:val="center"/>
          </w:tcPr>
          <w:p w14:paraId="512DCAD6" w14:textId="77777777" w:rsidR="00FE2D92" w:rsidRPr="00FE2D92" w:rsidRDefault="00FE2D92" w:rsidP="00FE2D92">
            <w:pPr>
              <w:jc w:val="both"/>
              <w:rPr>
                <w:sz w:val="18"/>
                <w:szCs w:val="18"/>
                <w:lang w:val="es-PE" w:eastAsia="es-ES"/>
              </w:rPr>
            </w:pPr>
            <w:r w:rsidRPr="00FE2D92">
              <w:rPr>
                <w:color w:val="000000"/>
                <w:sz w:val="18"/>
                <w:szCs w:val="18"/>
                <w:lang w:val="es-PE" w:eastAsia="es-ES"/>
              </w:rPr>
              <w:t>Padece de alguna comorbilidad</w:t>
            </w:r>
          </w:p>
        </w:tc>
        <w:tc>
          <w:tcPr>
            <w:tcW w:w="1050" w:type="dxa"/>
            <w:tcMar>
              <w:top w:w="100" w:type="dxa"/>
              <w:left w:w="100" w:type="dxa"/>
              <w:bottom w:w="100" w:type="dxa"/>
              <w:right w:w="100" w:type="dxa"/>
            </w:tcMar>
            <w:vAlign w:val="center"/>
          </w:tcPr>
          <w:p w14:paraId="64CB4988" w14:textId="77777777" w:rsidR="00FE2D92" w:rsidRPr="00FE2D92" w:rsidRDefault="00FE2D92" w:rsidP="00FE2D92">
            <w:pPr>
              <w:jc w:val="center"/>
              <w:rPr>
                <w:sz w:val="18"/>
                <w:szCs w:val="18"/>
                <w:lang w:val="es-PE" w:eastAsia="es-ES"/>
              </w:rPr>
            </w:pPr>
            <w:r w:rsidRPr="00FE2D92">
              <w:rPr>
                <w:color w:val="000000"/>
                <w:sz w:val="18"/>
                <w:szCs w:val="18"/>
                <w:lang w:val="es-PE" w:eastAsia="es-ES"/>
              </w:rPr>
              <w:t>243</w:t>
            </w:r>
          </w:p>
        </w:tc>
        <w:tc>
          <w:tcPr>
            <w:tcW w:w="1030" w:type="dxa"/>
            <w:tcMar>
              <w:top w:w="100" w:type="dxa"/>
              <w:left w:w="100" w:type="dxa"/>
              <w:bottom w:w="100" w:type="dxa"/>
              <w:right w:w="100" w:type="dxa"/>
            </w:tcMar>
            <w:vAlign w:val="center"/>
          </w:tcPr>
          <w:p w14:paraId="65D0E5C8" w14:textId="77777777" w:rsidR="00FE2D92" w:rsidRPr="00FE2D92" w:rsidRDefault="00FE2D92" w:rsidP="00FE2D92">
            <w:pPr>
              <w:jc w:val="center"/>
              <w:rPr>
                <w:sz w:val="18"/>
                <w:szCs w:val="18"/>
                <w:lang w:val="es-PE" w:eastAsia="es-ES"/>
              </w:rPr>
            </w:pPr>
            <w:r w:rsidRPr="00FE2D92">
              <w:rPr>
                <w:color w:val="000000"/>
                <w:sz w:val="18"/>
                <w:szCs w:val="18"/>
                <w:lang w:val="es-PE" w:eastAsia="es-ES"/>
              </w:rPr>
              <w:t>79,9</w:t>
            </w:r>
            <w:r w:rsidRPr="00FE2D92">
              <w:rPr>
                <w:sz w:val="18"/>
                <w:szCs w:val="18"/>
                <w:lang w:val="es-PE" w:eastAsia="es-ES"/>
              </w:rPr>
              <w:t xml:space="preserve"> %</w:t>
            </w:r>
          </w:p>
        </w:tc>
      </w:tr>
      <w:tr w:rsidR="00FE2D92" w:rsidRPr="00FE2D92" w14:paraId="46BF2375" w14:textId="77777777" w:rsidTr="00F60ABC">
        <w:trPr>
          <w:jc w:val="center"/>
        </w:trPr>
        <w:tc>
          <w:tcPr>
            <w:tcW w:w="3675" w:type="dxa"/>
            <w:tcMar>
              <w:top w:w="100" w:type="dxa"/>
              <w:left w:w="100" w:type="dxa"/>
              <w:bottom w:w="100" w:type="dxa"/>
              <w:right w:w="100" w:type="dxa"/>
            </w:tcMar>
            <w:vAlign w:val="center"/>
          </w:tcPr>
          <w:p w14:paraId="5E783C8F" w14:textId="77777777" w:rsidR="00FE2D92" w:rsidRPr="00FE2D92" w:rsidRDefault="00FE2D92" w:rsidP="00FE2D92">
            <w:pPr>
              <w:jc w:val="both"/>
              <w:rPr>
                <w:sz w:val="18"/>
                <w:szCs w:val="18"/>
                <w:lang w:val="es-PE" w:eastAsia="es-ES"/>
              </w:rPr>
            </w:pPr>
            <w:r w:rsidRPr="00FE2D92">
              <w:rPr>
                <w:color w:val="000000"/>
                <w:sz w:val="18"/>
                <w:szCs w:val="18"/>
                <w:lang w:val="es-PE" w:eastAsia="es-ES"/>
              </w:rPr>
              <w:t>Padece de asma</w:t>
            </w:r>
          </w:p>
        </w:tc>
        <w:tc>
          <w:tcPr>
            <w:tcW w:w="1050" w:type="dxa"/>
            <w:tcMar>
              <w:top w:w="100" w:type="dxa"/>
              <w:left w:w="100" w:type="dxa"/>
              <w:bottom w:w="100" w:type="dxa"/>
              <w:right w:w="100" w:type="dxa"/>
            </w:tcMar>
            <w:vAlign w:val="center"/>
          </w:tcPr>
          <w:p w14:paraId="45B82A6B" w14:textId="77777777" w:rsidR="00FE2D92" w:rsidRPr="00FE2D92" w:rsidRDefault="00FE2D92" w:rsidP="00FE2D92">
            <w:pPr>
              <w:jc w:val="center"/>
              <w:rPr>
                <w:sz w:val="18"/>
                <w:szCs w:val="18"/>
                <w:lang w:val="es-PE" w:eastAsia="es-ES"/>
              </w:rPr>
            </w:pPr>
            <w:r w:rsidRPr="00FE2D92">
              <w:rPr>
                <w:color w:val="000000"/>
                <w:sz w:val="18"/>
                <w:szCs w:val="18"/>
                <w:lang w:val="es-PE" w:eastAsia="es-ES"/>
              </w:rPr>
              <w:t>21</w:t>
            </w:r>
          </w:p>
        </w:tc>
        <w:tc>
          <w:tcPr>
            <w:tcW w:w="1030" w:type="dxa"/>
            <w:tcMar>
              <w:top w:w="100" w:type="dxa"/>
              <w:left w:w="100" w:type="dxa"/>
              <w:bottom w:w="100" w:type="dxa"/>
              <w:right w:w="100" w:type="dxa"/>
            </w:tcMar>
            <w:vAlign w:val="center"/>
          </w:tcPr>
          <w:p w14:paraId="45401700" w14:textId="77777777" w:rsidR="00FE2D92" w:rsidRPr="00FE2D92" w:rsidRDefault="00FE2D92" w:rsidP="00FE2D92">
            <w:pPr>
              <w:jc w:val="center"/>
              <w:rPr>
                <w:sz w:val="18"/>
                <w:szCs w:val="18"/>
                <w:lang w:val="es-PE" w:eastAsia="es-ES"/>
              </w:rPr>
            </w:pPr>
            <w:r w:rsidRPr="00FE2D92">
              <w:rPr>
                <w:color w:val="000000"/>
                <w:sz w:val="18"/>
                <w:szCs w:val="18"/>
                <w:lang w:val="es-PE" w:eastAsia="es-ES"/>
              </w:rPr>
              <w:t>6,9</w:t>
            </w:r>
            <w:r w:rsidRPr="00FE2D92">
              <w:rPr>
                <w:sz w:val="18"/>
                <w:szCs w:val="18"/>
                <w:lang w:val="es-PE" w:eastAsia="es-ES"/>
              </w:rPr>
              <w:t xml:space="preserve"> %</w:t>
            </w:r>
          </w:p>
        </w:tc>
      </w:tr>
      <w:tr w:rsidR="00FE2D92" w:rsidRPr="00FE2D92" w14:paraId="7D4DC59D" w14:textId="77777777" w:rsidTr="00F60ABC">
        <w:trPr>
          <w:jc w:val="center"/>
        </w:trPr>
        <w:tc>
          <w:tcPr>
            <w:tcW w:w="3675" w:type="dxa"/>
            <w:tcMar>
              <w:top w:w="100" w:type="dxa"/>
              <w:left w:w="100" w:type="dxa"/>
              <w:bottom w:w="100" w:type="dxa"/>
              <w:right w:w="100" w:type="dxa"/>
            </w:tcMar>
            <w:vAlign w:val="center"/>
          </w:tcPr>
          <w:p w14:paraId="2DC00BC8" w14:textId="77777777" w:rsidR="00FE2D92" w:rsidRPr="00FE2D92" w:rsidRDefault="00FE2D92" w:rsidP="00FE2D92">
            <w:pPr>
              <w:jc w:val="both"/>
              <w:rPr>
                <w:sz w:val="18"/>
                <w:szCs w:val="18"/>
                <w:lang w:val="es-PE" w:eastAsia="es-ES"/>
              </w:rPr>
            </w:pPr>
            <w:r w:rsidRPr="00FE2D92">
              <w:rPr>
                <w:color w:val="000000"/>
                <w:sz w:val="18"/>
                <w:szCs w:val="18"/>
                <w:lang w:val="es-PE" w:eastAsia="es-ES"/>
              </w:rPr>
              <w:t>Padece de hipertensión arterial</w:t>
            </w:r>
          </w:p>
        </w:tc>
        <w:tc>
          <w:tcPr>
            <w:tcW w:w="1050" w:type="dxa"/>
            <w:tcMar>
              <w:top w:w="100" w:type="dxa"/>
              <w:left w:w="100" w:type="dxa"/>
              <w:bottom w:w="100" w:type="dxa"/>
              <w:right w:w="100" w:type="dxa"/>
            </w:tcMar>
            <w:vAlign w:val="center"/>
          </w:tcPr>
          <w:p w14:paraId="3B90CE0D" w14:textId="77777777" w:rsidR="00FE2D92" w:rsidRPr="00FE2D92" w:rsidRDefault="00FE2D92" w:rsidP="00FE2D92">
            <w:pPr>
              <w:jc w:val="center"/>
              <w:rPr>
                <w:sz w:val="18"/>
                <w:szCs w:val="18"/>
                <w:lang w:val="es-PE" w:eastAsia="es-ES"/>
              </w:rPr>
            </w:pPr>
            <w:r w:rsidRPr="00FE2D92">
              <w:rPr>
                <w:color w:val="000000"/>
                <w:sz w:val="18"/>
                <w:szCs w:val="18"/>
                <w:lang w:val="es-PE" w:eastAsia="es-ES"/>
              </w:rPr>
              <w:t>94</w:t>
            </w:r>
          </w:p>
        </w:tc>
        <w:tc>
          <w:tcPr>
            <w:tcW w:w="1030" w:type="dxa"/>
            <w:tcMar>
              <w:top w:w="100" w:type="dxa"/>
              <w:left w:w="100" w:type="dxa"/>
              <w:bottom w:w="100" w:type="dxa"/>
              <w:right w:w="100" w:type="dxa"/>
            </w:tcMar>
            <w:vAlign w:val="center"/>
          </w:tcPr>
          <w:p w14:paraId="3D3D8CC2" w14:textId="77777777" w:rsidR="00FE2D92" w:rsidRPr="00FE2D92" w:rsidRDefault="00FE2D92" w:rsidP="00FE2D92">
            <w:pPr>
              <w:jc w:val="center"/>
              <w:rPr>
                <w:sz w:val="18"/>
                <w:szCs w:val="18"/>
                <w:lang w:val="es-PE" w:eastAsia="es-ES"/>
              </w:rPr>
            </w:pPr>
            <w:r w:rsidRPr="00FE2D92">
              <w:rPr>
                <w:color w:val="000000"/>
                <w:sz w:val="18"/>
                <w:szCs w:val="18"/>
                <w:lang w:val="es-PE" w:eastAsia="es-ES"/>
              </w:rPr>
              <w:t>30,9</w:t>
            </w:r>
            <w:r w:rsidRPr="00FE2D92">
              <w:rPr>
                <w:sz w:val="18"/>
                <w:szCs w:val="18"/>
                <w:lang w:val="es-PE" w:eastAsia="es-ES"/>
              </w:rPr>
              <w:t xml:space="preserve"> %</w:t>
            </w:r>
          </w:p>
        </w:tc>
      </w:tr>
      <w:tr w:rsidR="00FE2D92" w:rsidRPr="00FE2D92" w14:paraId="70FBFA52" w14:textId="77777777" w:rsidTr="00F60ABC">
        <w:trPr>
          <w:jc w:val="center"/>
        </w:trPr>
        <w:tc>
          <w:tcPr>
            <w:tcW w:w="3675" w:type="dxa"/>
            <w:tcMar>
              <w:top w:w="100" w:type="dxa"/>
              <w:left w:w="100" w:type="dxa"/>
              <w:bottom w:w="100" w:type="dxa"/>
              <w:right w:w="100" w:type="dxa"/>
            </w:tcMar>
            <w:vAlign w:val="center"/>
          </w:tcPr>
          <w:p w14:paraId="2BA321C1" w14:textId="77777777" w:rsidR="00FE2D92" w:rsidRPr="00FE2D92" w:rsidRDefault="00FE2D92" w:rsidP="00FE2D92">
            <w:pPr>
              <w:jc w:val="both"/>
              <w:rPr>
                <w:sz w:val="18"/>
                <w:szCs w:val="18"/>
                <w:lang w:val="es-PE" w:eastAsia="es-ES"/>
              </w:rPr>
            </w:pPr>
            <w:r w:rsidRPr="00FE2D92">
              <w:rPr>
                <w:color w:val="000000"/>
                <w:sz w:val="18"/>
                <w:szCs w:val="18"/>
                <w:lang w:val="es-PE" w:eastAsia="es-ES"/>
              </w:rPr>
              <w:t>Padece de diabetes mellitus</w:t>
            </w:r>
          </w:p>
        </w:tc>
        <w:tc>
          <w:tcPr>
            <w:tcW w:w="1050" w:type="dxa"/>
            <w:tcMar>
              <w:top w:w="100" w:type="dxa"/>
              <w:left w:w="100" w:type="dxa"/>
              <w:bottom w:w="100" w:type="dxa"/>
              <w:right w:w="100" w:type="dxa"/>
            </w:tcMar>
            <w:vAlign w:val="center"/>
          </w:tcPr>
          <w:p w14:paraId="2C52BD8F" w14:textId="77777777" w:rsidR="00FE2D92" w:rsidRPr="00FE2D92" w:rsidRDefault="00FE2D92" w:rsidP="00FE2D92">
            <w:pPr>
              <w:jc w:val="center"/>
              <w:rPr>
                <w:sz w:val="18"/>
                <w:szCs w:val="18"/>
                <w:lang w:val="es-PE" w:eastAsia="es-ES"/>
              </w:rPr>
            </w:pPr>
            <w:r w:rsidRPr="00FE2D92">
              <w:rPr>
                <w:color w:val="000000"/>
                <w:sz w:val="18"/>
                <w:szCs w:val="18"/>
                <w:lang w:val="es-PE" w:eastAsia="es-ES"/>
              </w:rPr>
              <w:t>86</w:t>
            </w:r>
          </w:p>
        </w:tc>
        <w:tc>
          <w:tcPr>
            <w:tcW w:w="1030" w:type="dxa"/>
            <w:tcMar>
              <w:top w:w="100" w:type="dxa"/>
              <w:left w:w="100" w:type="dxa"/>
              <w:bottom w:w="100" w:type="dxa"/>
              <w:right w:w="100" w:type="dxa"/>
            </w:tcMar>
            <w:vAlign w:val="center"/>
          </w:tcPr>
          <w:p w14:paraId="7D3EE59F" w14:textId="77777777" w:rsidR="00FE2D92" w:rsidRPr="00FE2D92" w:rsidRDefault="00FE2D92" w:rsidP="00FE2D92">
            <w:pPr>
              <w:jc w:val="center"/>
              <w:rPr>
                <w:sz w:val="18"/>
                <w:szCs w:val="18"/>
                <w:lang w:val="es-PE" w:eastAsia="es-ES"/>
              </w:rPr>
            </w:pPr>
            <w:r w:rsidRPr="00FE2D92">
              <w:rPr>
                <w:color w:val="000000"/>
                <w:sz w:val="18"/>
                <w:szCs w:val="18"/>
                <w:lang w:val="es-PE" w:eastAsia="es-ES"/>
              </w:rPr>
              <w:t>28,3</w:t>
            </w:r>
            <w:r w:rsidRPr="00FE2D92">
              <w:rPr>
                <w:sz w:val="18"/>
                <w:szCs w:val="18"/>
                <w:lang w:val="es-PE" w:eastAsia="es-ES"/>
              </w:rPr>
              <w:t xml:space="preserve"> %</w:t>
            </w:r>
          </w:p>
        </w:tc>
      </w:tr>
      <w:tr w:rsidR="00FE2D92" w:rsidRPr="00FE2D92" w14:paraId="4ACF010C" w14:textId="77777777" w:rsidTr="00F60ABC">
        <w:trPr>
          <w:jc w:val="center"/>
        </w:trPr>
        <w:tc>
          <w:tcPr>
            <w:tcW w:w="3675" w:type="dxa"/>
            <w:tcMar>
              <w:top w:w="100" w:type="dxa"/>
              <w:left w:w="100" w:type="dxa"/>
              <w:bottom w:w="100" w:type="dxa"/>
              <w:right w:w="100" w:type="dxa"/>
            </w:tcMar>
            <w:vAlign w:val="center"/>
          </w:tcPr>
          <w:p w14:paraId="0DBF1BD8" w14:textId="77777777" w:rsidR="00FE2D92" w:rsidRPr="00FE2D92" w:rsidRDefault="00FE2D92" w:rsidP="00FE2D92">
            <w:pPr>
              <w:jc w:val="both"/>
              <w:rPr>
                <w:sz w:val="18"/>
                <w:szCs w:val="18"/>
                <w:lang w:val="es-PE" w:eastAsia="es-ES"/>
              </w:rPr>
            </w:pPr>
            <w:r w:rsidRPr="00FE2D92">
              <w:rPr>
                <w:color w:val="000000"/>
                <w:sz w:val="18"/>
                <w:szCs w:val="18"/>
                <w:lang w:val="es-PE" w:eastAsia="es-ES"/>
              </w:rPr>
              <w:t>Tiene obesidad</w:t>
            </w:r>
          </w:p>
        </w:tc>
        <w:tc>
          <w:tcPr>
            <w:tcW w:w="1050" w:type="dxa"/>
            <w:tcMar>
              <w:top w:w="100" w:type="dxa"/>
              <w:left w:w="100" w:type="dxa"/>
              <w:bottom w:w="100" w:type="dxa"/>
              <w:right w:w="100" w:type="dxa"/>
            </w:tcMar>
            <w:vAlign w:val="center"/>
          </w:tcPr>
          <w:p w14:paraId="779BF147" w14:textId="77777777" w:rsidR="00FE2D92" w:rsidRPr="00FE2D92" w:rsidRDefault="00FE2D92" w:rsidP="00FE2D92">
            <w:pPr>
              <w:jc w:val="center"/>
              <w:rPr>
                <w:sz w:val="18"/>
                <w:szCs w:val="18"/>
                <w:lang w:val="es-PE" w:eastAsia="es-ES"/>
              </w:rPr>
            </w:pPr>
            <w:r w:rsidRPr="00FE2D92">
              <w:rPr>
                <w:color w:val="000000"/>
                <w:sz w:val="18"/>
                <w:szCs w:val="18"/>
                <w:lang w:val="es-PE" w:eastAsia="es-ES"/>
              </w:rPr>
              <w:t>89</w:t>
            </w:r>
          </w:p>
        </w:tc>
        <w:tc>
          <w:tcPr>
            <w:tcW w:w="1030" w:type="dxa"/>
            <w:tcMar>
              <w:top w:w="100" w:type="dxa"/>
              <w:left w:w="100" w:type="dxa"/>
              <w:bottom w:w="100" w:type="dxa"/>
              <w:right w:w="100" w:type="dxa"/>
            </w:tcMar>
            <w:vAlign w:val="center"/>
          </w:tcPr>
          <w:p w14:paraId="34841965" w14:textId="77777777" w:rsidR="00FE2D92" w:rsidRPr="00FE2D92" w:rsidRDefault="00FE2D92" w:rsidP="00FE2D92">
            <w:pPr>
              <w:jc w:val="center"/>
              <w:rPr>
                <w:sz w:val="18"/>
                <w:szCs w:val="18"/>
                <w:lang w:val="es-PE" w:eastAsia="es-ES"/>
              </w:rPr>
            </w:pPr>
            <w:r w:rsidRPr="00FE2D92">
              <w:rPr>
                <w:color w:val="000000"/>
                <w:sz w:val="18"/>
                <w:szCs w:val="18"/>
                <w:lang w:val="es-PE" w:eastAsia="es-ES"/>
              </w:rPr>
              <w:t>29,3</w:t>
            </w:r>
            <w:r w:rsidRPr="00FE2D92">
              <w:rPr>
                <w:sz w:val="18"/>
                <w:szCs w:val="18"/>
                <w:lang w:val="es-PE" w:eastAsia="es-ES"/>
              </w:rPr>
              <w:t xml:space="preserve"> %</w:t>
            </w:r>
          </w:p>
        </w:tc>
      </w:tr>
      <w:tr w:rsidR="00FE2D92" w:rsidRPr="00FE2D92" w14:paraId="0636588F" w14:textId="77777777" w:rsidTr="00F60ABC">
        <w:trPr>
          <w:jc w:val="center"/>
        </w:trPr>
        <w:tc>
          <w:tcPr>
            <w:tcW w:w="3675" w:type="dxa"/>
            <w:tcMar>
              <w:top w:w="100" w:type="dxa"/>
              <w:left w:w="100" w:type="dxa"/>
              <w:bottom w:w="100" w:type="dxa"/>
              <w:right w:w="100" w:type="dxa"/>
            </w:tcMar>
            <w:vAlign w:val="center"/>
          </w:tcPr>
          <w:p w14:paraId="0267FC89" w14:textId="77777777" w:rsidR="00FE2D92" w:rsidRPr="00FE2D92" w:rsidRDefault="00FE2D92" w:rsidP="00FE2D92">
            <w:pPr>
              <w:jc w:val="both"/>
              <w:rPr>
                <w:sz w:val="18"/>
                <w:szCs w:val="18"/>
                <w:lang w:val="es-PE" w:eastAsia="es-ES"/>
              </w:rPr>
            </w:pPr>
            <w:r w:rsidRPr="00FE2D92">
              <w:rPr>
                <w:color w:val="000000"/>
                <w:sz w:val="18"/>
                <w:szCs w:val="18"/>
                <w:lang w:val="es-PE" w:eastAsia="es-ES"/>
              </w:rPr>
              <w:t>Tiene hipertensión pulmonar</w:t>
            </w:r>
          </w:p>
        </w:tc>
        <w:tc>
          <w:tcPr>
            <w:tcW w:w="1050" w:type="dxa"/>
            <w:tcMar>
              <w:top w:w="100" w:type="dxa"/>
              <w:left w:w="100" w:type="dxa"/>
              <w:bottom w:w="100" w:type="dxa"/>
              <w:right w:w="100" w:type="dxa"/>
            </w:tcMar>
            <w:vAlign w:val="center"/>
          </w:tcPr>
          <w:p w14:paraId="6A4FB8B5" w14:textId="77777777" w:rsidR="00FE2D92" w:rsidRPr="00FE2D92" w:rsidRDefault="00FE2D92" w:rsidP="00FE2D92">
            <w:pPr>
              <w:jc w:val="center"/>
              <w:rPr>
                <w:sz w:val="18"/>
                <w:szCs w:val="18"/>
                <w:lang w:val="es-PE" w:eastAsia="es-ES"/>
              </w:rPr>
            </w:pPr>
            <w:r w:rsidRPr="00FE2D92">
              <w:rPr>
                <w:color w:val="000000"/>
                <w:sz w:val="18"/>
                <w:szCs w:val="18"/>
                <w:lang w:val="es-PE" w:eastAsia="es-ES"/>
              </w:rPr>
              <w:t>9</w:t>
            </w:r>
          </w:p>
        </w:tc>
        <w:tc>
          <w:tcPr>
            <w:tcW w:w="1030" w:type="dxa"/>
            <w:tcMar>
              <w:top w:w="100" w:type="dxa"/>
              <w:left w:w="100" w:type="dxa"/>
              <w:bottom w:w="100" w:type="dxa"/>
              <w:right w:w="100" w:type="dxa"/>
            </w:tcMar>
            <w:vAlign w:val="center"/>
          </w:tcPr>
          <w:p w14:paraId="0F6DE6A7" w14:textId="77777777" w:rsidR="00FE2D92" w:rsidRPr="00FE2D92" w:rsidRDefault="00FE2D92" w:rsidP="00FE2D92">
            <w:pPr>
              <w:jc w:val="center"/>
              <w:rPr>
                <w:sz w:val="18"/>
                <w:szCs w:val="18"/>
                <w:lang w:val="es-PE" w:eastAsia="es-ES"/>
              </w:rPr>
            </w:pPr>
            <w:r w:rsidRPr="00FE2D92">
              <w:rPr>
                <w:color w:val="000000"/>
                <w:sz w:val="18"/>
                <w:szCs w:val="18"/>
                <w:lang w:val="es-PE" w:eastAsia="es-ES"/>
              </w:rPr>
              <w:t>3,0</w:t>
            </w:r>
            <w:r w:rsidRPr="00FE2D92">
              <w:rPr>
                <w:sz w:val="18"/>
                <w:szCs w:val="18"/>
                <w:lang w:val="es-PE" w:eastAsia="es-ES"/>
              </w:rPr>
              <w:t xml:space="preserve"> %</w:t>
            </w:r>
          </w:p>
        </w:tc>
      </w:tr>
      <w:tr w:rsidR="00FE2D92" w:rsidRPr="00FE2D92" w14:paraId="446455B7" w14:textId="77777777" w:rsidTr="00F60ABC">
        <w:trPr>
          <w:jc w:val="center"/>
        </w:trPr>
        <w:tc>
          <w:tcPr>
            <w:tcW w:w="3675" w:type="dxa"/>
            <w:tcMar>
              <w:top w:w="100" w:type="dxa"/>
              <w:left w:w="100" w:type="dxa"/>
              <w:bottom w:w="100" w:type="dxa"/>
              <w:right w:w="100" w:type="dxa"/>
            </w:tcMar>
            <w:vAlign w:val="center"/>
          </w:tcPr>
          <w:p w14:paraId="6DF008CA" w14:textId="77777777" w:rsidR="00FE2D92" w:rsidRPr="00FE2D92" w:rsidRDefault="00FE2D92" w:rsidP="00FE2D92">
            <w:pPr>
              <w:jc w:val="both"/>
              <w:rPr>
                <w:sz w:val="18"/>
                <w:szCs w:val="18"/>
                <w:lang w:val="es-PE" w:eastAsia="es-ES"/>
              </w:rPr>
            </w:pPr>
            <w:r w:rsidRPr="00FE2D92">
              <w:rPr>
                <w:color w:val="000000"/>
                <w:sz w:val="18"/>
                <w:szCs w:val="18"/>
                <w:lang w:val="es-PE" w:eastAsia="es-ES"/>
              </w:rPr>
              <w:t>Tomó ivermectina antes de hospitalizarse</w:t>
            </w:r>
          </w:p>
        </w:tc>
        <w:tc>
          <w:tcPr>
            <w:tcW w:w="1050" w:type="dxa"/>
            <w:tcMar>
              <w:top w:w="100" w:type="dxa"/>
              <w:left w:w="100" w:type="dxa"/>
              <w:bottom w:w="100" w:type="dxa"/>
              <w:right w:w="100" w:type="dxa"/>
            </w:tcMar>
            <w:vAlign w:val="center"/>
          </w:tcPr>
          <w:p w14:paraId="2C8E18FB" w14:textId="77777777" w:rsidR="00FE2D92" w:rsidRPr="00FE2D92" w:rsidRDefault="00FE2D92" w:rsidP="00FE2D92">
            <w:pPr>
              <w:jc w:val="center"/>
              <w:rPr>
                <w:sz w:val="18"/>
                <w:szCs w:val="18"/>
                <w:lang w:val="es-PE" w:eastAsia="es-ES"/>
              </w:rPr>
            </w:pPr>
            <w:r w:rsidRPr="00FE2D92">
              <w:rPr>
                <w:color w:val="000000"/>
                <w:sz w:val="18"/>
                <w:szCs w:val="18"/>
                <w:lang w:val="es-PE" w:eastAsia="es-ES"/>
              </w:rPr>
              <w:t>85</w:t>
            </w:r>
          </w:p>
        </w:tc>
        <w:tc>
          <w:tcPr>
            <w:tcW w:w="1030" w:type="dxa"/>
            <w:tcMar>
              <w:top w:w="100" w:type="dxa"/>
              <w:left w:w="100" w:type="dxa"/>
              <w:bottom w:w="100" w:type="dxa"/>
              <w:right w:w="100" w:type="dxa"/>
            </w:tcMar>
            <w:vAlign w:val="center"/>
          </w:tcPr>
          <w:p w14:paraId="626128BA" w14:textId="77777777" w:rsidR="00FE2D92" w:rsidRPr="00FE2D92" w:rsidRDefault="00FE2D92" w:rsidP="00FE2D92">
            <w:pPr>
              <w:jc w:val="center"/>
              <w:rPr>
                <w:sz w:val="18"/>
                <w:szCs w:val="18"/>
                <w:lang w:val="es-PE" w:eastAsia="es-ES"/>
              </w:rPr>
            </w:pPr>
            <w:r w:rsidRPr="00FE2D92">
              <w:rPr>
                <w:color w:val="000000"/>
                <w:sz w:val="18"/>
                <w:szCs w:val="18"/>
                <w:lang w:val="es-PE" w:eastAsia="es-ES"/>
              </w:rPr>
              <w:t>28,0</w:t>
            </w:r>
            <w:r w:rsidRPr="00FE2D92">
              <w:rPr>
                <w:sz w:val="18"/>
                <w:szCs w:val="18"/>
                <w:lang w:val="es-PE" w:eastAsia="es-ES"/>
              </w:rPr>
              <w:t xml:space="preserve"> %</w:t>
            </w:r>
          </w:p>
        </w:tc>
      </w:tr>
      <w:tr w:rsidR="00FE2D92" w:rsidRPr="00FE2D92" w14:paraId="0A62F16C" w14:textId="77777777" w:rsidTr="00F60ABC">
        <w:trPr>
          <w:jc w:val="center"/>
        </w:trPr>
        <w:tc>
          <w:tcPr>
            <w:tcW w:w="3675" w:type="dxa"/>
            <w:tcMar>
              <w:top w:w="100" w:type="dxa"/>
              <w:left w:w="100" w:type="dxa"/>
              <w:bottom w:w="100" w:type="dxa"/>
              <w:right w:w="100" w:type="dxa"/>
            </w:tcMar>
            <w:vAlign w:val="center"/>
          </w:tcPr>
          <w:p w14:paraId="583927C5" w14:textId="77777777" w:rsidR="00FE2D92" w:rsidRPr="00FE2D92" w:rsidRDefault="00FE2D92" w:rsidP="00FE2D92">
            <w:pPr>
              <w:jc w:val="both"/>
              <w:rPr>
                <w:sz w:val="18"/>
                <w:szCs w:val="18"/>
                <w:lang w:val="es-PE" w:eastAsia="es-ES"/>
              </w:rPr>
            </w:pPr>
            <w:r w:rsidRPr="00FE2D92">
              <w:rPr>
                <w:color w:val="000000"/>
                <w:sz w:val="18"/>
                <w:szCs w:val="18"/>
                <w:lang w:val="es-PE" w:eastAsia="es-ES"/>
              </w:rPr>
              <w:t>Cantidad de dosis antes de las 72 horas</w:t>
            </w:r>
          </w:p>
        </w:tc>
        <w:tc>
          <w:tcPr>
            <w:tcW w:w="1050" w:type="dxa"/>
            <w:tcMar>
              <w:top w:w="100" w:type="dxa"/>
              <w:left w:w="100" w:type="dxa"/>
              <w:bottom w:w="100" w:type="dxa"/>
              <w:right w:w="100" w:type="dxa"/>
            </w:tcMar>
            <w:vAlign w:val="center"/>
          </w:tcPr>
          <w:p w14:paraId="23B785B0" w14:textId="77777777" w:rsidR="00FE2D92" w:rsidRPr="00FE2D92" w:rsidRDefault="00FE2D92" w:rsidP="00FE2D92">
            <w:pPr>
              <w:jc w:val="center"/>
              <w:rPr>
                <w:sz w:val="18"/>
                <w:szCs w:val="18"/>
                <w:lang w:val="es-PE" w:eastAsia="es-ES"/>
              </w:rPr>
            </w:pPr>
            <w:r w:rsidRPr="00FE2D92">
              <w:rPr>
                <w:color w:val="000000"/>
                <w:sz w:val="18"/>
                <w:szCs w:val="18"/>
                <w:lang w:val="es-PE" w:eastAsia="es-ES"/>
              </w:rPr>
              <w:t>1</w:t>
            </w:r>
          </w:p>
        </w:tc>
        <w:tc>
          <w:tcPr>
            <w:tcW w:w="1030" w:type="dxa"/>
            <w:tcMar>
              <w:top w:w="100" w:type="dxa"/>
              <w:left w:w="100" w:type="dxa"/>
              <w:bottom w:w="100" w:type="dxa"/>
              <w:right w:w="100" w:type="dxa"/>
            </w:tcMar>
            <w:vAlign w:val="center"/>
          </w:tcPr>
          <w:p w14:paraId="5290719A" w14:textId="77777777" w:rsidR="00FE2D92" w:rsidRPr="00FE2D92" w:rsidRDefault="00FE2D92" w:rsidP="00FE2D92">
            <w:pPr>
              <w:jc w:val="center"/>
              <w:rPr>
                <w:sz w:val="18"/>
                <w:szCs w:val="18"/>
                <w:lang w:val="es-PE" w:eastAsia="es-ES"/>
              </w:rPr>
            </w:pPr>
            <w:r w:rsidRPr="00FE2D92">
              <w:rPr>
                <w:color w:val="000000"/>
                <w:sz w:val="18"/>
                <w:szCs w:val="18"/>
                <w:lang w:val="es-PE" w:eastAsia="es-ES"/>
              </w:rPr>
              <w:t>0-2</w:t>
            </w:r>
          </w:p>
        </w:tc>
      </w:tr>
      <w:tr w:rsidR="00FE2D92" w:rsidRPr="00FE2D92" w14:paraId="4720C2AC" w14:textId="77777777" w:rsidTr="00F60ABC">
        <w:trPr>
          <w:jc w:val="center"/>
        </w:trPr>
        <w:tc>
          <w:tcPr>
            <w:tcW w:w="3675" w:type="dxa"/>
            <w:tcMar>
              <w:top w:w="100" w:type="dxa"/>
              <w:left w:w="100" w:type="dxa"/>
              <w:bottom w:w="100" w:type="dxa"/>
              <w:right w:w="100" w:type="dxa"/>
            </w:tcMar>
            <w:vAlign w:val="center"/>
          </w:tcPr>
          <w:p w14:paraId="10D472DC" w14:textId="77777777" w:rsidR="00FE2D92" w:rsidRPr="00FE2D92" w:rsidRDefault="00FE2D92" w:rsidP="00FE2D92">
            <w:pPr>
              <w:jc w:val="both"/>
              <w:rPr>
                <w:sz w:val="18"/>
                <w:szCs w:val="18"/>
                <w:lang w:val="es-PE" w:eastAsia="es-ES"/>
              </w:rPr>
            </w:pPr>
            <w:r w:rsidRPr="00FE2D92">
              <w:rPr>
                <w:color w:val="000000"/>
                <w:sz w:val="18"/>
                <w:szCs w:val="18"/>
                <w:lang w:val="es-PE" w:eastAsia="es-ES"/>
              </w:rPr>
              <w:t>Cantidad total de dosis de Ivermectina</w:t>
            </w:r>
          </w:p>
        </w:tc>
        <w:tc>
          <w:tcPr>
            <w:tcW w:w="1050" w:type="dxa"/>
            <w:tcMar>
              <w:top w:w="100" w:type="dxa"/>
              <w:left w:w="100" w:type="dxa"/>
              <w:bottom w:w="100" w:type="dxa"/>
              <w:right w:w="100" w:type="dxa"/>
            </w:tcMar>
            <w:vAlign w:val="center"/>
          </w:tcPr>
          <w:p w14:paraId="4147255C" w14:textId="77777777" w:rsidR="00FE2D92" w:rsidRPr="00FE2D92" w:rsidRDefault="00FE2D92" w:rsidP="00FE2D92">
            <w:pPr>
              <w:jc w:val="center"/>
              <w:rPr>
                <w:sz w:val="18"/>
                <w:szCs w:val="18"/>
                <w:lang w:val="es-PE" w:eastAsia="es-ES"/>
              </w:rPr>
            </w:pPr>
            <w:r w:rsidRPr="00FE2D92">
              <w:rPr>
                <w:color w:val="000000"/>
                <w:sz w:val="18"/>
                <w:szCs w:val="18"/>
                <w:lang w:val="es-PE" w:eastAsia="es-ES"/>
              </w:rPr>
              <w:t>2</w:t>
            </w:r>
          </w:p>
        </w:tc>
        <w:tc>
          <w:tcPr>
            <w:tcW w:w="1030" w:type="dxa"/>
            <w:tcMar>
              <w:top w:w="100" w:type="dxa"/>
              <w:left w:w="100" w:type="dxa"/>
              <w:bottom w:w="100" w:type="dxa"/>
              <w:right w:w="100" w:type="dxa"/>
            </w:tcMar>
            <w:vAlign w:val="center"/>
          </w:tcPr>
          <w:p w14:paraId="6171002E" w14:textId="77777777" w:rsidR="00FE2D92" w:rsidRPr="00FE2D92" w:rsidRDefault="00FE2D92" w:rsidP="00FE2D92">
            <w:pPr>
              <w:jc w:val="center"/>
              <w:rPr>
                <w:sz w:val="18"/>
                <w:szCs w:val="18"/>
                <w:lang w:val="es-PE" w:eastAsia="es-ES"/>
              </w:rPr>
            </w:pPr>
            <w:r w:rsidRPr="00FE2D92">
              <w:rPr>
                <w:color w:val="000000"/>
                <w:sz w:val="18"/>
                <w:szCs w:val="18"/>
                <w:lang w:val="es-PE" w:eastAsia="es-ES"/>
              </w:rPr>
              <w:t>0-2</w:t>
            </w:r>
          </w:p>
        </w:tc>
      </w:tr>
      <w:tr w:rsidR="00FE2D92" w:rsidRPr="00FE2D92" w14:paraId="1B68E02F" w14:textId="77777777" w:rsidTr="00F60ABC">
        <w:trPr>
          <w:jc w:val="center"/>
        </w:trPr>
        <w:tc>
          <w:tcPr>
            <w:tcW w:w="3675" w:type="dxa"/>
            <w:tcMar>
              <w:top w:w="100" w:type="dxa"/>
              <w:left w:w="100" w:type="dxa"/>
              <w:bottom w:w="100" w:type="dxa"/>
              <w:right w:w="100" w:type="dxa"/>
            </w:tcMar>
            <w:vAlign w:val="center"/>
          </w:tcPr>
          <w:p w14:paraId="4ED911C8" w14:textId="77777777" w:rsidR="00FE2D92" w:rsidRPr="00FE2D92" w:rsidRDefault="00FE2D92" w:rsidP="00FE2D92">
            <w:pPr>
              <w:jc w:val="both"/>
              <w:rPr>
                <w:sz w:val="18"/>
                <w:szCs w:val="18"/>
                <w:lang w:val="es-PE" w:eastAsia="es-ES"/>
              </w:rPr>
            </w:pPr>
            <w:r w:rsidRPr="00FE2D92">
              <w:rPr>
                <w:color w:val="000000"/>
                <w:sz w:val="18"/>
                <w:szCs w:val="18"/>
                <w:lang w:val="es-PE" w:eastAsia="es-ES"/>
              </w:rPr>
              <w:t>Falleció el paciente</w:t>
            </w:r>
          </w:p>
        </w:tc>
        <w:tc>
          <w:tcPr>
            <w:tcW w:w="1050" w:type="dxa"/>
            <w:tcMar>
              <w:top w:w="100" w:type="dxa"/>
              <w:left w:w="100" w:type="dxa"/>
              <w:bottom w:w="100" w:type="dxa"/>
              <w:right w:w="100" w:type="dxa"/>
            </w:tcMar>
            <w:vAlign w:val="center"/>
          </w:tcPr>
          <w:p w14:paraId="788C0290" w14:textId="77777777" w:rsidR="00FE2D92" w:rsidRPr="00FE2D92" w:rsidRDefault="00FE2D92" w:rsidP="00FE2D92">
            <w:pPr>
              <w:jc w:val="center"/>
              <w:rPr>
                <w:sz w:val="18"/>
                <w:szCs w:val="18"/>
                <w:lang w:val="es-PE" w:eastAsia="es-ES"/>
              </w:rPr>
            </w:pPr>
            <w:r w:rsidRPr="00FE2D92">
              <w:rPr>
                <w:color w:val="000000"/>
                <w:sz w:val="18"/>
                <w:szCs w:val="18"/>
                <w:lang w:val="es-PE" w:eastAsia="es-ES"/>
              </w:rPr>
              <w:t>126</w:t>
            </w:r>
          </w:p>
        </w:tc>
        <w:tc>
          <w:tcPr>
            <w:tcW w:w="1030" w:type="dxa"/>
            <w:tcMar>
              <w:top w:w="100" w:type="dxa"/>
              <w:left w:w="100" w:type="dxa"/>
              <w:bottom w:w="100" w:type="dxa"/>
              <w:right w:w="100" w:type="dxa"/>
            </w:tcMar>
            <w:vAlign w:val="center"/>
          </w:tcPr>
          <w:p w14:paraId="2E4B5782" w14:textId="77777777" w:rsidR="00FE2D92" w:rsidRPr="00FE2D92" w:rsidRDefault="00FE2D92" w:rsidP="00FE2D92">
            <w:pPr>
              <w:jc w:val="center"/>
              <w:rPr>
                <w:sz w:val="18"/>
                <w:szCs w:val="18"/>
                <w:lang w:val="es-PE" w:eastAsia="es-ES"/>
              </w:rPr>
            </w:pPr>
            <w:r w:rsidRPr="00FE2D92">
              <w:rPr>
                <w:color w:val="000000"/>
                <w:sz w:val="18"/>
                <w:szCs w:val="18"/>
                <w:lang w:val="es-PE" w:eastAsia="es-ES"/>
              </w:rPr>
              <w:t>41,5</w:t>
            </w:r>
            <w:r w:rsidRPr="00FE2D92">
              <w:rPr>
                <w:sz w:val="18"/>
                <w:szCs w:val="18"/>
                <w:lang w:val="es-PE" w:eastAsia="es-ES"/>
              </w:rPr>
              <w:t xml:space="preserve"> %</w:t>
            </w:r>
          </w:p>
        </w:tc>
      </w:tr>
      <w:tr w:rsidR="00FE2D92" w:rsidRPr="00FE2D92" w14:paraId="5F04C959" w14:textId="77777777" w:rsidTr="00F60ABC">
        <w:trPr>
          <w:jc w:val="center"/>
        </w:trPr>
        <w:tc>
          <w:tcPr>
            <w:tcW w:w="3675" w:type="dxa"/>
            <w:tcMar>
              <w:top w:w="100" w:type="dxa"/>
              <w:left w:w="100" w:type="dxa"/>
              <w:bottom w:w="100" w:type="dxa"/>
              <w:right w:w="100" w:type="dxa"/>
            </w:tcMar>
            <w:vAlign w:val="center"/>
          </w:tcPr>
          <w:p w14:paraId="216D2944" w14:textId="77777777" w:rsidR="00FE2D92" w:rsidRPr="00FE2D92" w:rsidRDefault="00FE2D92" w:rsidP="00FE2D92">
            <w:pPr>
              <w:jc w:val="both"/>
              <w:rPr>
                <w:sz w:val="18"/>
                <w:szCs w:val="18"/>
                <w:lang w:val="es-PE" w:eastAsia="es-ES"/>
              </w:rPr>
            </w:pPr>
            <w:r w:rsidRPr="00FE2D92">
              <w:rPr>
                <w:color w:val="000000"/>
                <w:sz w:val="18"/>
                <w:szCs w:val="18"/>
                <w:lang w:val="es-PE" w:eastAsia="es-ES"/>
              </w:rPr>
              <w:t>El paciente tuvo indicación de pase a UCI</w:t>
            </w:r>
          </w:p>
        </w:tc>
        <w:tc>
          <w:tcPr>
            <w:tcW w:w="1050" w:type="dxa"/>
            <w:tcMar>
              <w:top w:w="100" w:type="dxa"/>
              <w:left w:w="100" w:type="dxa"/>
              <w:bottom w:w="100" w:type="dxa"/>
              <w:right w:w="100" w:type="dxa"/>
            </w:tcMar>
            <w:vAlign w:val="center"/>
          </w:tcPr>
          <w:p w14:paraId="73D4E666" w14:textId="77777777" w:rsidR="00FE2D92" w:rsidRPr="00FE2D92" w:rsidRDefault="00FE2D92" w:rsidP="00FE2D92">
            <w:pPr>
              <w:jc w:val="center"/>
              <w:rPr>
                <w:sz w:val="18"/>
                <w:szCs w:val="18"/>
                <w:lang w:val="es-PE" w:eastAsia="es-ES"/>
              </w:rPr>
            </w:pPr>
            <w:r w:rsidRPr="00FE2D92">
              <w:rPr>
                <w:color w:val="000000"/>
                <w:sz w:val="18"/>
                <w:szCs w:val="18"/>
                <w:lang w:val="es-PE" w:eastAsia="es-ES"/>
              </w:rPr>
              <w:t>159</w:t>
            </w:r>
          </w:p>
        </w:tc>
        <w:tc>
          <w:tcPr>
            <w:tcW w:w="1030" w:type="dxa"/>
            <w:tcMar>
              <w:top w:w="100" w:type="dxa"/>
              <w:left w:w="100" w:type="dxa"/>
              <w:bottom w:w="100" w:type="dxa"/>
              <w:right w:w="100" w:type="dxa"/>
            </w:tcMar>
            <w:vAlign w:val="center"/>
          </w:tcPr>
          <w:p w14:paraId="4997C8F2" w14:textId="77777777" w:rsidR="00FE2D92" w:rsidRPr="00FE2D92" w:rsidRDefault="00FE2D92" w:rsidP="00FE2D92">
            <w:pPr>
              <w:jc w:val="center"/>
              <w:rPr>
                <w:sz w:val="18"/>
                <w:szCs w:val="18"/>
                <w:lang w:val="es-PE" w:eastAsia="es-ES"/>
              </w:rPr>
            </w:pPr>
            <w:r w:rsidRPr="00FE2D92">
              <w:rPr>
                <w:color w:val="000000"/>
                <w:sz w:val="18"/>
                <w:szCs w:val="18"/>
                <w:lang w:val="es-PE" w:eastAsia="es-ES"/>
              </w:rPr>
              <w:t>52,3</w:t>
            </w:r>
            <w:r w:rsidRPr="00FE2D92">
              <w:rPr>
                <w:sz w:val="18"/>
                <w:szCs w:val="18"/>
                <w:lang w:val="es-PE" w:eastAsia="es-ES"/>
              </w:rPr>
              <w:t xml:space="preserve"> %</w:t>
            </w:r>
          </w:p>
        </w:tc>
      </w:tr>
      <w:tr w:rsidR="00FE2D92" w:rsidRPr="00FE2D92" w14:paraId="0D92C9FB" w14:textId="77777777" w:rsidTr="00F60ABC">
        <w:trPr>
          <w:jc w:val="center"/>
        </w:trPr>
        <w:tc>
          <w:tcPr>
            <w:tcW w:w="3675" w:type="dxa"/>
            <w:tcMar>
              <w:top w:w="100" w:type="dxa"/>
              <w:left w:w="100" w:type="dxa"/>
              <w:bottom w:w="100" w:type="dxa"/>
              <w:right w:w="100" w:type="dxa"/>
            </w:tcMar>
            <w:vAlign w:val="center"/>
          </w:tcPr>
          <w:p w14:paraId="55AD4894" w14:textId="77777777" w:rsidR="00FE2D92" w:rsidRPr="00FE2D92" w:rsidRDefault="00FE2D92" w:rsidP="00FE2D92">
            <w:pPr>
              <w:jc w:val="both"/>
              <w:rPr>
                <w:sz w:val="18"/>
                <w:szCs w:val="18"/>
                <w:lang w:val="es-PE" w:eastAsia="es-ES"/>
              </w:rPr>
            </w:pPr>
            <w:r w:rsidRPr="00FE2D92">
              <w:rPr>
                <w:color w:val="000000"/>
                <w:sz w:val="18"/>
                <w:szCs w:val="18"/>
                <w:lang w:val="es-PE" w:eastAsia="es-ES"/>
              </w:rPr>
              <w:t>Tiempo total de hospitalización (días)</w:t>
            </w:r>
          </w:p>
        </w:tc>
        <w:tc>
          <w:tcPr>
            <w:tcW w:w="1050" w:type="dxa"/>
            <w:tcMar>
              <w:top w:w="100" w:type="dxa"/>
              <w:left w:w="100" w:type="dxa"/>
              <w:bottom w:w="100" w:type="dxa"/>
              <w:right w:w="100" w:type="dxa"/>
            </w:tcMar>
            <w:vAlign w:val="center"/>
          </w:tcPr>
          <w:p w14:paraId="73C62928" w14:textId="77777777" w:rsidR="00FE2D92" w:rsidRPr="00FE2D92" w:rsidRDefault="00FE2D92" w:rsidP="00FE2D92">
            <w:pPr>
              <w:jc w:val="center"/>
              <w:rPr>
                <w:sz w:val="18"/>
                <w:szCs w:val="18"/>
                <w:lang w:val="es-PE" w:eastAsia="es-ES"/>
              </w:rPr>
            </w:pPr>
            <w:r w:rsidRPr="00FE2D92">
              <w:rPr>
                <w:color w:val="000000"/>
                <w:sz w:val="18"/>
                <w:szCs w:val="18"/>
                <w:lang w:val="es-PE" w:eastAsia="es-ES"/>
              </w:rPr>
              <w:t>8</w:t>
            </w:r>
          </w:p>
        </w:tc>
        <w:tc>
          <w:tcPr>
            <w:tcW w:w="1030" w:type="dxa"/>
            <w:tcMar>
              <w:top w:w="100" w:type="dxa"/>
              <w:left w:w="100" w:type="dxa"/>
              <w:bottom w:w="100" w:type="dxa"/>
              <w:right w:w="100" w:type="dxa"/>
            </w:tcMar>
            <w:vAlign w:val="center"/>
          </w:tcPr>
          <w:p w14:paraId="1425EA1B" w14:textId="77777777" w:rsidR="00FE2D92" w:rsidRPr="00FE2D92" w:rsidRDefault="00FE2D92" w:rsidP="00FE2D92">
            <w:pPr>
              <w:jc w:val="center"/>
              <w:rPr>
                <w:sz w:val="18"/>
                <w:szCs w:val="18"/>
                <w:lang w:val="es-PE" w:eastAsia="es-ES"/>
              </w:rPr>
            </w:pPr>
            <w:r w:rsidRPr="00FE2D92">
              <w:rPr>
                <w:color w:val="000000"/>
                <w:sz w:val="18"/>
                <w:szCs w:val="18"/>
                <w:lang w:val="es-PE" w:eastAsia="es-ES"/>
              </w:rPr>
              <w:t>5-12</w:t>
            </w:r>
          </w:p>
        </w:tc>
      </w:tr>
      <w:tr w:rsidR="00FE2D92" w:rsidRPr="00FE2D92" w14:paraId="676A1119" w14:textId="77777777" w:rsidTr="00F60ABC">
        <w:trPr>
          <w:jc w:val="center"/>
        </w:trPr>
        <w:tc>
          <w:tcPr>
            <w:tcW w:w="3675" w:type="dxa"/>
            <w:tcMar>
              <w:top w:w="100" w:type="dxa"/>
              <w:left w:w="100" w:type="dxa"/>
              <w:bottom w:w="100" w:type="dxa"/>
              <w:right w:w="100" w:type="dxa"/>
            </w:tcMar>
            <w:vAlign w:val="center"/>
          </w:tcPr>
          <w:p w14:paraId="535B5030" w14:textId="77777777" w:rsidR="00FE2D92" w:rsidRPr="00FE2D92" w:rsidRDefault="00FE2D92" w:rsidP="00FE2D92">
            <w:pPr>
              <w:jc w:val="both"/>
              <w:rPr>
                <w:sz w:val="18"/>
                <w:szCs w:val="18"/>
                <w:lang w:val="es-PE" w:eastAsia="es-ES"/>
              </w:rPr>
            </w:pPr>
            <w:r w:rsidRPr="00FE2D92">
              <w:rPr>
                <w:color w:val="000000"/>
                <w:sz w:val="18"/>
                <w:szCs w:val="18"/>
                <w:lang w:val="es-PE" w:eastAsia="es-ES"/>
              </w:rPr>
              <w:t>Tiempo que requirió oxígeno a alto flujo (días)</w:t>
            </w:r>
          </w:p>
        </w:tc>
        <w:tc>
          <w:tcPr>
            <w:tcW w:w="1050" w:type="dxa"/>
            <w:tcMar>
              <w:top w:w="100" w:type="dxa"/>
              <w:left w:w="100" w:type="dxa"/>
              <w:bottom w:w="100" w:type="dxa"/>
              <w:right w:w="100" w:type="dxa"/>
            </w:tcMar>
            <w:vAlign w:val="center"/>
          </w:tcPr>
          <w:p w14:paraId="71202F81" w14:textId="77777777" w:rsidR="00FE2D92" w:rsidRPr="00FE2D92" w:rsidRDefault="00FE2D92" w:rsidP="00FE2D92">
            <w:pPr>
              <w:jc w:val="center"/>
              <w:rPr>
                <w:sz w:val="18"/>
                <w:szCs w:val="18"/>
                <w:lang w:val="es-PE" w:eastAsia="es-ES"/>
              </w:rPr>
            </w:pPr>
            <w:r w:rsidRPr="00FE2D92">
              <w:rPr>
                <w:color w:val="000000"/>
                <w:sz w:val="18"/>
                <w:szCs w:val="18"/>
                <w:lang w:val="es-PE" w:eastAsia="es-ES"/>
              </w:rPr>
              <w:t>3</w:t>
            </w:r>
          </w:p>
        </w:tc>
        <w:tc>
          <w:tcPr>
            <w:tcW w:w="1030" w:type="dxa"/>
            <w:tcMar>
              <w:top w:w="100" w:type="dxa"/>
              <w:left w:w="100" w:type="dxa"/>
              <w:bottom w:w="100" w:type="dxa"/>
              <w:right w:w="100" w:type="dxa"/>
            </w:tcMar>
            <w:vAlign w:val="center"/>
          </w:tcPr>
          <w:p w14:paraId="7ACB618B" w14:textId="77777777" w:rsidR="00FE2D92" w:rsidRPr="00FE2D92" w:rsidRDefault="00FE2D92" w:rsidP="00FE2D92">
            <w:pPr>
              <w:jc w:val="center"/>
              <w:rPr>
                <w:sz w:val="18"/>
                <w:szCs w:val="18"/>
                <w:lang w:val="es-PE" w:eastAsia="es-ES"/>
              </w:rPr>
            </w:pPr>
            <w:r w:rsidRPr="00FE2D92">
              <w:rPr>
                <w:color w:val="000000"/>
                <w:sz w:val="18"/>
                <w:szCs w:val="18"/>
                <w:lang w:val="es-PE" w:eastAsia="es-ES"/>
              </w:rPr>
              <w:t>0-9,5</w:t>
            </w:r>
          </w:p>
        </w:tc>
      </w:tr>
    </w:tbl>
    <w:p w14:paraId="6B1ED2CE" w14:textId="77777777" w:rsidR="00FE2D92" w:rsidRPr="00FE2D92" w:rsidRDefault="00FE2D92" w:rsidP="00FE2D92">
      <w:pPr>
        <w:spacing w:line="360" w:lineRule="auto"/>
        <w:rPr>
          <w:lang w:val="es-PE" w:eastAsia="es-ES"/>
        </w:rPr>
      </w:pPr>
    </w:p>
    <w:p w14:paraId="188A2A2A" w14:textId="77777777" w:rsidR="00FE2D92" w:rsidRPr="00FE2D92" w:rsidRDefault="00FE2D92" w:rsidP="00FE2D92">
      <w:pPr>
        <w:spacing w:line="360" w:lineRule="auto"/>
        <w:jc w:val="both"/>
        <w:rPr>
          <w:color w:val="000000"/>
          <w:lang w:val="es-PE" w:eastAsia="es-ES"/>
        </w:rPr>
      </w:pPr>
      <w:r w:rsidRPr="00FE2D92">
        <w:rPr>
          <w:color w:val="000000"/>
          <w:lang w:val="es-PE" w:eastAsia="es-ES"/>
        </w:rPr>
        <w:t>En el análisis multivariado, según la mortalidad por la COVID-19, hubo mayor mortalidad a más años de edad (</w:t>
      </w:r>
      <w:proofErr w:type="spellStart"/>
      <w:r w:rsidRPr="00FE2D92">
        <w:rPr>
          <w:color w:val="000000"/>
          <w:lang w:val="es-PE" w:eastAsia="es-ES"/>
        </w:rPr>
        <w:t>RRa</w:t>
      </w:r>
      <w:proofErr w:type="spellEnd"/>
      <w:r w:rsidRPr="00FE2D92">
        <w:rPr>
          <w:color w:val="000000"/>
          <w:lang w:val="es-PE" w:eastAsia="es-ES"/>
        </w:rPr>
        <w:t>: 1,03; IC 95</w:t>
      </w:r>
      <w:r w:rsidRPr="00FE2D92">
        <w:rPr>
          <w:lang w:val="es-PE" w:eastAsia="es-ES"/>
        </w:rPr>
        <w:t> %</w:t>
      </w:r>
      <w:r w:rsidRPr="00FE2D92">
        <w:rPr>
          <w:color w:val="000000"/>
          <w:lang w:val="es-PE" w:eastAsia="es-ES"/>
        </w:rPr>
        <w:t>: 1,02-1,04; valor p&lt; 0,001) y entre quienes padecían de diabetes mellitus (</w:t>
      </w:r>
      <w:proofErr w:type="spellStart"/>
      <w:r w:rsidRPr="00FE2D92">
        <w:rPr>
          <w:color w:val="000000"/>
          <w:lang w:val="es-PE" w:eastAsia="es-ES"/>
        </w:rPr>
        <w:t>RRa</w:t>
      </w:r>
      <w:proofErr w:type="spellEnd"/>
      <w:r w:rsidRPr="00FE2D92">
        <w:rPr>
          <w:color w:val="000000"/>
          <w:lang w:val="es-PE" w:eastAsia="es-ES"/>
        </w:rPr>
        <w:t>: 1,29; IC 95</w:t>
      </w:r>
      <w:r w:rsidRPr="00FE2D92">
        <w:rPr>
          <w:lang w:val="es-PE" w:eastAsia="es-ES"/>
        </w:rPr>
        <w:t> %</w:t>
      </w:r>
      <w:r w:rsidRPr="00FE2D92">
        <w:rPr>
          <w:color w:val="000000"/>
          <w:lang w:val="es-PE" w:eastAsia="es-ES"/>
        </w:rPr>
        <w:t>: 1,01-1,67; valor p= 0,042), ajustado por tener hipertensión arterial, tomar ivermectina antes de hospitalizarse y la cantidad total de ivermectina que tomó (tabla 2).</w:t>
      </w:r>
    </w:p>
    <w:p w14:paraId="07805485" w14:textId="77777777" w:rsidR="00FE2D92" w:rsidRPr="00FE2D92" w:rsidRDefault="00FE2D92" w:rsidP="00FE2D92">
      <w:pPr>
        <w:spacing w:line="360" w:lineRule="auto"/>
        <w:jc w:val="both"/>
        <w:rPr>
          <w:lang w:val="es-PE" w:eastAsia="es-ES"/>
        </w:rPr>
      </w:pPr>
    </w:p>
    <w:p w14:paraId="728C51C7" w14:textId="77777777" w:rsidR="00CA16DE" w:rsidRDefault="00CA16DE">
      <w:pPr>
        <w:rPr>
          <w:b/>
          <w:color w:val="000000"/>
          <w:sz w:val="22"/>
          <w:szCs w:val="22"/>
          <w:lang w:val="es-PE" w:eastAsia="es-ES"/>
        </w:rPr>
      </w:pPr>
      <w:r>
        <w:rPr>
          <w:b/>
          <w:color w:val="000000"/>
          <w:sz w:val="22"/>
          <w:szCs w:val="22"/>
          <w:lang w:val="es-PE" w:eastAsia="es-ES"/>
        </w:rPr>
        <w:br w:type="page"/>
      </w:r>
    </w:p>
    <w:p w14:paraId="61371BD3" w14:textId="228C119C" w:rsidR="00FE2D92" w:rsidRPr="00FE2D92" w:rsidRDefault="00FE2D92" w:rsidP="00FE2D92">
      <w:pPr>
        <w:spacing w:line="360" w:lineRule="auto"/>
        <w:jc w:val="center"/>
        <w:rPr>
          <w:sz w:val="22"/>
          <w:szCs w:val="22"/>
          <w:lang w:val="es-PE" w:eastAsia="es-ES"/>
        </w:rPr>
      </w:pPr>
      <w:r w:rsidRPr="00FE2D92">
        <w:rPr>
          <w:b/>
          <w:color w:val="000000"/>
          <w:sz w:val="22"/>
          <w:szCs w:val="22"/>
          <w:lang w:val="es-PE" w:eastAsia="es-ES"/>
        </w:rPr>
        <w:lastRenderedPageBreak/>
        <w:t>Tabla 2 -</w:t>
      </w:r>
      <w:r w:rsidRPr="00FE2D92">
        <w:rPr>
          <w:color w:val="000000"/>
          <w:sz w:val="22"/>
          <w:szCs w:val="22"/>
          <w:lang w:val="es-PE" w:eastAsia="es-ES"/>
        </w:rPr>
        <w:t xml:space="preserve"> Factores asociados a la mortalidad en pacientes con la COVID-19 en Callao-Perú</w:t>
      </w:r>
    </w:p>
    <w:p w14:paraId="1A335F9F" w14:textId="78AF1B8F" w:rsidR="00FE2D92" w:rsidRPr="00FE2D92" w:rsidRDefault="00FE2D92" w:rsidP="00FE2D92">
      <w:pPr>
        <w:spacing w:line="360" w:lineRule="auto"/>
        <w:jc w:val="center"/>
        <w:rPr>
          <w:color w:val="000000"/>
          <w:sz w:val="16"/>
          <w:szCs w:val="16"/>
          <w:lang w:val="es-PE" w:eastAsia="es-ES"/>
        </w:rPr>
      </w:pPr>
      <w:r w:rsidRPr="00FE2D92">
        <w:rPr>
          <w:noProof/>
          <w:color w:val="000000"/>
          <w:sz w:val="16"/>
          <w:szCs w:val="16"/>
          <w:lang w:val="es-PE" w:eastAsia="es-ES"/>
        </w:rPr>
        <w:drawing>
          <wp:inline distT="0" distB="0" distL="0" distR="0" wp14:anchorId="682712A8" wp14:editId="381AD6CC">
            <wp:extent cx="5400675" cy="3276600"/>
            <wp:effectExtent l="0" t="0" r="0" b="0"/>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675" cy="3276600"/>
                    </a:xfrm>
                    <a:prstGeom prst="rect">
                      <a:avLst/>
                    </a:prstGeom>
                    <a:noFill/>
                    <a:ln>
                      <a:noFill/>
                    </a:ln>
                  </pic:spPr>
                </pic:pic>
              </a:graphicData>
            </a:graphic>
          </wp:inline>
        </w:drawing>
      </w:r>
    </w:p>
    <w:p w14:paraId="3FE814CD" w14:textId="77777777" w:rsidR="00FE2D92" w:rsidRPr="00FE2D92" w:rsidRDefault="00FE2D92" w:rsidP="00FE2D92">
      <w:pPr>
        <w:spacing w:line="360" w:lineRule="auto"/>
        <w:jc w:val="center"/>
        <w:rPr>
          <w:sz w:val="16"/>
          <w:szCs w:val="16"/>
          <w:lang w:val="es-PE" w:eastAsia="es-ES"/>
        </w:rPr>
      </w:pPr>
      <w:r w:rsidRPr="00FE2D92">
        <w:rPr>
          <w:color w:val="000000"/>
          <w:sz w:val="16"/>
          <w:szCs w:val="16"/>
          <w:lang w:val="es-PE" w:eastAsia="es-ES"/>
        </w:rPr>
        <w:t xml:space="preserve">* Variable cuantitativa. Los valores estadísticos fueron obtenidos con los modelos lineales generalizados (familia </w:t>
      </w:r>
      <w:r w:rsidRPr="00FE2D92">
        <w:rPr>
          <w:iCs/>
          <w:color w:val="000000"/>
          <w:sz w:val="16"/>
          <w:szCs w:val="16"/>
          <w:lang w:val="es-PE" w:eastAsia="es-ES"/>
        </w:rPr>
        <w:t>Poisson</w:t>
      </w:r>
      <w:r w:rsidRPr="00FE2D92">
        <w:rPr>
          <w:color w:val="000000"/>
          <w:sz w:val="16"/>
          <w:szCs w:val="16"/>
          <w:lang w:val="es-PE" w:eastAsia="es-ES"/>
        </w:rPr>
        <w:t xml:space="preserve">, función de enlace </w:t>
      </w:r>
      <w:r w:rsidRPr="00FE2D92">
        <w:rPr>
          <w:iCs/>
          <w:color w:val="000000"/>
          <w:sz w:val="16"/>
          <w:szCs w:val="16"/>
          <w:lang w:val="es-PE" w:eastAsia="es-ES"/>
        </w:rPr>
        <w:t>log</w:t>
      </w:r>
      <w:r w:rsidRPr="00FE2D92">
        <w:rPr>
          <w:color w:val="000000"/>
          <w:sz w:val="16"/>
          <w:szCs w:val="16"/>
          <w:lang w:val="es-PE" w:eastAsia="es-ES"/>
        </w:rPr>
        <w:t xml:space="preserve"> y modelos para varianzas robustas).</w:t>
      </w:r>
    </w:p>
    <w:p w14:paraId="4572E599" w14:textId="77777777" w:rsidR="00FE2D92" w:rsidRPr="00FE2D92" w:rsidRDefault="00FE2D92" w:rsidP="00FE2D92">
      <w:pPr>
        <w:spacing w:line="360" w:lineRule="auto"/>
        <w:jc w:val="both"/>
        <w:rPr>
          <w:color w:val="000000"/>
          <w:lang w:val="es-PE" w:eastAsia="es-ES"/>
        </w:rPr>
      </w:pPr>
    </w:p>
    <w:p w14:paraId="63DEF25A" w14:textId="77777777" w:rsidR="00FE2D92" w:rsidRPr="00FE2D92" w:rsidRDefault="00FE2D92" w:rsidP="00FE2D92">
      <w:pPr>
        <w:spacing w:line="360" w:lineRule="auto"/>
        <w:jc w:val="both"/>
        <w:rPr>
          <w:color w:val="000000"/>
          <w:lang w:val="es-PE" w:eastAsia="es-ES"/>
        </w:rPr>
      </w:pPr>
      <w:r w:rsidRPr="00FE2D92">
        <w:rPr>
          <w:color w:val="000000"/>
          <w:lang w:val="es-PE" w:eastAsia="es-ES"/>
        </w:rPr>
        <w:t>En el análisis multivariado, según el paciente con la COVID-19 tuvo indicación de pase a UCI, hubo mayor indicación de pase a UCI a más años de edad (</w:t>
      </w:r>
      <w:proofErr w:type="spellStart"/>
      <w:r w:rsidRPr="00FE2D92">
        <w:rPr>
          <w:color w:val="000000"/>
          <w:lang w:val="es-PE" w:eastAsia="es-ES"/>
        </w:rPr>
        <w:t>RRa</w:t>
      </w:r>
      <w:proofErr w:type="spellEnd"/>
      <w:r w:rsidRPr="00FE2D92">
        <w:rPr>
          <w:color w:val="000000"/>
          <w:lang w:val="es-PE" w:eastAsia="es-ES"/>
        </w:rPr>
        <w:t>: 1,02; IC 95</w:t>
      </w:r>
      <w:r w:rsidRPr="00FE2D92">
        <w:rPr>
          <w:lang w:val="es-PE" w:eastAsia="es-ES"/>
        </w:rPr>
        <w:t> %</w:t>
      </w:r>
      <w:r w:rsidRPr="00FE2D92">
        <w:rPr>
          <w:color w:val="000000"/>
          <w:lang w:val="es-PE" w:eastAsia="es-ES"/>
        </w:rPr>
        <w:t>: 1,01-1,02; valor p&lt; 0,001) y entre quienes tomaron mayor cantidad de dosis de ivermectina (</w:t>
      </w:r>
      <w:proofErr w:type="spellStart"/>
      <w:r w:rsidRPr="00FE2D92">
        <w:rPr>
          <w:color w:val="000000"/>
          <w:lang w:val="es-PE" w:eastAsia="es-ES"/>
        </w:rPr>
        <w:t>RRa</w:t>
      </w:r>
      <w:proofErr w:type="spellEnd"/>
      <w:r w:rsidRPr="00FE2D92">
        <w:rPr>
          <w:color w:val="000000"/>
          <w:lang w:val="es-PE" w:eastAsia="es-ES"/>
        </w:rPr>
        <w:t>: 1,10; IC 95</w:t>
      </w:r>
      <w:r w:rsidRPr="00FE2D92">
        <w:rPr>
          <w:lang w:val="es-PE" w:eastAsia="es-ES"/>
        </w:rPr>
        <w:t> %</w:t>
      </w:r>
      <w:r w:rsidRPr="00FE2D92">
        <w:rPr>
          <w:color w:val="000000"/>
          <w:lang w:val="es-PE" w:eastAsia="es-ES"/>
        </w:rPr>
        <w:t>: 1,01-1,20; valor p= 0,035), ajustado por el tener hipertensión arterial (tabla 3).</w:t>
      </w:r>
    </w:p>
    <w:p w14:paraId="7B044361" w14:textId="77777777" w:rsidR="00FE2D92" w:rsidRPr="00FE2D92" w:rsidRDefault="00FE2D92" w:rsidP="00FE2D92">
      <w:pPr>
        <w:spacing w:line="360" w:lineRule="auto"/>
        <w:jc w:val="both"/>
        <w:rPr>
          <w:lang w:val="es-PE" w:eastAsia="es-ES"/>
        </w:rPr>
      </w:pPr>
    </w:p>
    <w:p w14:paraId="4C769570" w14:textId="77777777" w:rsidR="00CA16DE" w:rsidRDefault="00CA16DE">
      <w:pPr>
        <w:rPr>
          <w:b/>
          <w:color w:val="000000"/>
          <w:sz w:val="22"/>
          <w:szCs w:val="22"/>
          <w:lang w:val="es-PE" w:eastAsia="es-ES"/>
        </w:rPr>
      </w:pPr>
      <w:r>
        <w:rPr>
          <w:b/>
          <w:color w:val="000000"/>
          <w:sz w:val="22"/>
          <w:szCs w:val="22"/>
          <w:lang w:val="es-PE" w:eastAsia="es-ES"/>
        </w:rPr>
        <w:br w:type="page"/>
      </w:r>
    </w:p>
    <w:p w14:paraId="6D99D486" w14:textId="0C2A43C5" w:rsidR="00FE2D92" w:rsidRPr="00FE2D92" w:rsidRDefault="00FE2D92" w:rsidP="00FE2D92">
      <w:pPr>
        <w:spacing w:line="360" w:lineRule="auto"/>
        <w:jc w:val="center"/>
        <w:rPr>
          <w:sz w:val="22"/>
          <w:szCs w:val="22"/>
          <w:lang w:val="es-PE" w:eastAsia="es-ES"/>
        </w:rPr>
      </w:pPr>
      <w:r w:rsidRPr="00FE2D92">
        <w:rPr>
          <w:b/>
          <w:color w:val="000000"/>
          <w:sz w:val="22"/>
          <w:szCs w:val="22"/>
          <w:lang w:val="es-PE" w:eastAsia="es-ES"/>
        </w:rPr>
        <w:lastRenderedPageBreak/>
        <w:t>Tabla 3 -</w:t>
      </w:r>
      <w:r w:rsidRPr="00FE2D92">
        <w:rPr>
          <w:color w:val="000000"/>
          <w:sz w:val="22"/>
          <w:szCs w:val="22"/>
          <w:lang w:val="es-PE" w:eastAsia="es-ES"/>
        </w:rPr>
        <w:t xml:space="preserve"> Factores asociados a la indicación de pase a UCI en pacientes con la COVID-19 en Callao-Perú</w:t>
      </w:r>
    </w:p>
    <w:p w14:paraId="417B1549" w14:textId="17D76A2D" w:rsidR="00FE2D92" w:rsidRPr="00FE2D92" w:rsidRDefault="00FE2D92" w:rsidP="00FE2D92">
      <w:pPr>
        <w:spacing w:line="360" w:lineRule="auto"/>
        <w:jc w:val="center"/>
        <w:rPr>
          <w:color w:val="000000"/>
          <w:sz w:val="16"/>
          <w:szCs w:val="16"/>
          <w:lang w:val="es-PE" w:eastAsia="es-ES"/>
        </w:rPr>
      </w:pPr>
      <w:r w:rsidRPr="00FE2D92">
        <w:rPr>
          <w:noProof/>
          <w:color w:val="000000"/>
          <w:sz w:val="16"/>
          <w:szCs w:val="16"/>
          <w:lang w:val="es-PE" w:eastAsia="es-ES"/>
        </w:rPr>
        <w:drawing>
          <wp:inline distT="0" distB="0" distL="0" distR="0" wp14:anchorId="6A71D68E" wp14:editId="16CB7F18">
            <wp:extent cx="5400675" cy="3714750"/>
            <wp:effectExtent l="0" t="0" r="0" b="0"/>
            <wp:docPr id="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675" cy="3714750"/>
                    </a:xfrm>
                    <a:prstGeom prst="rect">
                      <a:avLst/>
                    </a:prstGeom>
                    <a:noFill/>
                    <a:ln>
                      <a:noFill/>
                    </a:ln>
                  </pic:spPr>
                </pic:pic>
              </a:graphicData>
            </a:graphic>
          </wp:inline>
        </w:drawing>
      </w:r>
    </w:p>
    <w:p w14:paraId="29EC6E0F" w14:textId="77777777" w:rsidR="00FE2D92" w:rsidRPr="00FE2D92" w:rsidRDefault="00FE2D92" w:rsidP="00FE2D92">
      <w:pPr>
        <w:spacing w:line="360" w:lineRule="auto"/>
        <w:jc w:val="center"/>
        <w:rPr>
          <w:sz w:val="16"/>
          <w:szCs w:val="16"/>
          <w:lang w:val="es-PE" w:eastAsia="es-ES"/>
        </w:rPr>
      </w:pPr>
      <w:r w:rsidRPr="00FE2D92">
        <w:rPr>
          <w:color w:val="000000"/>
          <w:sz w:val="16"/>
          <w:szCs w:val="16"/>
          <w:lang w:val="es-PE" w:eastAsia="es-ES"/>
        </w:rPr>
        <w:t xml:space="preserve">* Variable cuantitativa. Los valores estadísticos fueron obtenidos con los modelos lineales generalizados (familia </w:t>
      </w:r>
      <w:r w:rsidRPr="00FE2D92">
        <w:rPr>
          <w:iCs/>
          <w:color w:val="000000"/>
          <w:sz w:val="16"/>
          <w:szCs w:val="16"/>
          <w:lang w:val="es-PE" w:eastAsia="es-ES"/>
        </w:rPr>
        <w:t>Poisson</w:t>
      </w:r>
      <w:r w:rsidRPr="00FE2D92">
        <w:rPr>
          <w:color w:val="000000"/>
          <w:sz w:val="16"/>
          <w:szCs w:val="16"/>
          <w:lang w:val="es-PE" w:eastAsia="es-ES"/>
        </w:rPr>
        <w:t xml:space="preserve">, función de enlace </w:t>
      </w:r>
      <w:r w:rsidRPr="00FE2D92">
        <w:rPr>
          <w:iCs/>
          <w:color w:val="000000"/>
          <w:sz w:val="16"/>
          <w:szCs w:val="16"/>
          <w:lang w:val="es-PE" w:eastAsia="es-ES"/>
        </w:rPr>
        <w:t>log</w:t>
      </w:r>
      <w:r w:rsidRPr="00FE2D92">
        <w:rPr>
          <w:color w:val="000000"/>
          <w:sz w:val="16"/>
          <w:szCs w:val="16"/>
          <w:lang w:val="es-PE" w:eastAsia="es-ES"/>
        </w:rPr>
        <w:t xml:space="preserve"> y modelos para varianzas robustas). </w:t>
      </w:r>
    </w:p>
    <w:p w14:paraId="6E46F56F" w14:textId="77777777" w:rsidR="00FE2D92" w:rsidRPr="00FE2D92" w:rsidRDefault="00FE2D92" w:rsidP="00FE2D92">
      <w:pPr>
        <w:spacing w:line="360" w:lineRule="auto"/>
        <w:jc w:val="both"/>
        <w:rPr>
          <w:color w:val="000000"/>
          <w:lang w:val="es-PE" w:eastAsia="es-ES"/>
        </w:rPr>
      </w:pPr>
    </w:p>
    <w:p w14:paraId="3342A82C" w14:textId="77777777" w:rsidR="00FE2D92" w:rsidRPr="00FE2D92" w:rsidRDefault="00FE2D92" w:rsidP="00FE2D92">
      <w:pPr>
        <w:spacing w:line="360" w:lineRule="auto"/>
        <w:jc w:val="both"/>
        <w:rPr>
          <w:color w:val="000000"/>
          <w:lang w:val="es-PE" w:eastAsia="es-ES"/>
        </w:rPr>
      </w:pPr>
      <w:r w:rsidRPr="00FE2D92">
        <w:rPr>
          <w:color w:val="000000"/>
          <w:lang w:val="es-PE" w:eastAsia="es-ES"/>
        </w:rPr>
        <w:t>En el análisis multivariado según el tiempo total de hospitalización, hubo mayor hospitalización entre quienes tomaron mayor cantidad de dosis de ivermectina (coeficiente: 5,07; IC 95</w:t>
      </w:r>
      <w:r w:rsidRPr="00FE2D92">
        <w:rPr>
          <w:lang w:val="es-PE" w:eastAsia="es-ES"/>
        </w:rPr>
        <w:t> %</w:t>
      </w:r>
      <w:r w:rsidRPr="00FE2D92">
        <w:rPr>
          <w:color w:val="000000"/>
          <w:lang w:val="es-PE" w:eastAsia="es-ES"/>
        </w:rPr>
        <w:t>: 2,15-11,92; valor p&lt; 0,001); en cambio, hubo menos días de hospitalización entre quienes tuvieron hipertensión pulmonar (coeficiente: 0,01; IC 95</w:t>
      </w:r>
      <w:r w:rsidRPr="00FE2D92">
        <w:rPr>
          <w:lang w:val="es-PE" w:eastAsia="es-ES"/>
        </w:rPr>
        <w:t> %</w:t>
      </w:r>
      <w:r w:rsidRPr="00FE2D92">
        <w:rPr>
          <w:color w:val="000000"/>
          <w:lang w:val="es-PE" w:eastAsia="es-ES"/>
        </w:rPr>
        <w:t>: &lt; 0,01-0,03; valor p&lt; 0,001), ajustado por la edad (tabla 4).</w:t>
      </w:r>
    </w:p>
    <w:p w14:paraId="1F3A7BC6" w14:textId="77777777" w:rsidR="00FE2D92" w:rsidRPr="00FE2D92" w:rsidRDefault="00FE2D92" w:rsidP="00FE2D92">
      <w:pPr>
        <w:spacing w:line="360" w:lineRule="auto"/>
        <w:jc w:val="both"/>
        <w:rPr>
          <w:lang w:val="es-PE" w:eastAsia="es-ES"/>
        </w:rPr>
      </w:pPr>
    </w:p>
    <w:p w14:paraId="1A468CA4" w14:textId="77777777" w:rsidR="00CA16DE" w:rsidRDefault="00CA16DE">
      <w:pPr>
        <w:rPr>
          <w:b/>
          <w:color w:val="000000"/>
          <w:sz w:val="22"/>
          <w:szCs w:val="22"/>
          <w:lang w:val="es-PE" w:eastAsia="es-ES"/>
        </w:rPr>
      </w:pPr>
      <w:r>
        <w:rPr>
          <w:b/>
          <w:color w:val="000000"/>
          <w:sz w:val="22"/>
          <w:szCs w:val="22"/>
          <w:lang w:val="es-PE" w:eastAsia="es-ES"/>
        </w:rPr>
        <w:br w:type="page"/>
      </w:r>
    </w:p>
    <w:p w14:paraId="21AB21F7" w14:textId="7C4FBE5A" w:rsidR="00FE2D92" w:rsidRPr="00FE2D92" w:rsidRDefault="00FE2D92" w:rsidP="00FE2D92">
      <w:pPr>
        <w:spacing w:line="360" w:lineRule="auto"/>
        <w:jc w:val="center"/>
        <w:rPr>
          <w:sz w:val="22"/>
          <w:szCs w:val="22"/>
          <w:lang w:val="es-PE" w:eastAsia="es-ES"/>
        </w:rPr>
      </w:pPr>
      <w:r w:rsidRPr="00FE2D92">
        <w:rPr>
          <w:b/>
          <w:color w:val="000000"/>
          <w:sz w:val="22"/>
          <w:szCs w:val="22"/>
          <w:lang w:val="es-PE" w:eastAsia="es-ES"/>
        </w:rPr>
        <w:lastRenderedPageBreak/>
        <w:t>Tabla 4 -</w:t>
      </w:r>
      <w:r w:rsidRPr="00FE2D92">
        <w:rPr>
          <w:color w:val="000000"/>
          <w:sz w:val="22"/>
          <w:szCs w:val="22"/>
          <w:lang w:val="es-PE" w:eastAsia="es-ES"/>
        </w:rPr>
        <w:t xml:space="preserve"> Factores asociados al tiempo total de hospitalización en pacientes con la COVID-19 en Callao-Perú</w:t>
      </w:r>
    </w:p>
    <w:p w14:paraId="3D42BBB3" w14:textId="5D9989F7" w:rsidR="00FE2D92" w:rsidRPr="00FE2D92" w:rsidRDefault="00FE2D92" w:rsidP="00FE2D92">
      <w:pPr>
        <w:spacing w:line="360" w:lineRule="auto"/>
        <w:jc w:val="center"/>
        <w:rPr>
          <w:color w:val="000000"/>
          <w:sz w:val="16"/>
          <w:szCs w:val="16"/>
          <w:lang w:val="es-PE" w:eastAsia="es-ES"/>
        </w:rPr>
      </w:pPr>
      <w:r w:rsidRPr="00FE2D92">
        <w:rPr>
          <w:noProof/>
          <w:color w:val="000000"/>
          <w:sz w:val="16"/>
          <w:szCs w:val="16"/>
          <w:lang w:val="es-PE" w:eastAsia="es-ES"/>
        </w:rPr>
        <w:drawing>
          <wp:inline distT="0" distB="0" distL="0" distR="0" wp14:anchorId="43F34D36" wp14:editId="7385584D">
            <wp:extent cx="4981575" cy="3733800"/>
            <wp:effectExtent l="0" t="0" r="0" b="0"/>
            <wp:docPr id="1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81575" cy="3733800"/>
                    </a:xfrm>
                    <a:prstGeom prst="rect">
                      <a:avLst/>
                    </a:prstGeom>
                    <a:noFill/>
                    <a:ln>
                      <a:noFill/>
                    </a:ln>
                  </pic:spPr>
                </pic:pic>
              </a:graphicData>
            </a:graphic>
          </wp:inline>
        </w:drawing>
      </w:r>
    </w:p>
    <w:p w14:paraId="442799FE" w14:textId="77777777" w:rsidR="00FE2D92" w:rsidRPr="00FE2D92" w:rsidRDefault="00FE2D92" w:rsidP="00FE2D92">
      <w:pPr>
        <w:spacing w:line="360" w:lineRule="auto"/>
        <w:jc w:val="center"/>
        <w:rPr>
          <w:sz w:val="16"/>
          <w:szCs w:val="16"/>
          <w:lang w:val="es-PE" w:eastAsia="es-ES"/>
        </w:rPr>
      </w:pPr>
      <w:r w:rsidRPr="00FE2D92">
        <w:rPr>
          <w:color w:val="000000"/>
          <w:sz w:val="16"/>
          <w:szCs w:val="16"/>
          <w:lang w:val="es-PE" w:eastAsia="es-ES"/>
        </w:rPr>
        <w:t xml:space="preserve">* Variable cuantitativa. Los valores estadísticos fueron obtenidos con los modelos lineales generalizados (familia </w:t>
      </w:r>
      <w:r w:rsidRPr="00FE2D92">
        <w:rPr>
          <w:i/>
          <w:color w:val="000000"/>
          <w:sz w:val="16"/>
          <w:szCs w:val="16"/>
          <w:lang w:val="es-PE" w:eastAsia="es-ES"/>
        </w:rPr>
        <w:t>Gaussian</w:t>
      </w:r>
      <w:r w:rsidRPr="00FE2D92">
        <w:rPr>
          <w:color w:val="000000"/>
          <w:sz w:val="16"/>
          <w:szCs w:val="16"/>
          <w:lang w:val="es-PE" w:eastAsia="es-ES"/>
        </w:rPr>
        <w:t xml:space="preserve">, función de enlace </w:t>
      </w:r>
      <w:proofErr w:type="spellStart"/>
      <w:r w:rsidRPr="00FE2D92">
        <w:rPr>
          <w:i/>
          <w:color w:val="000000"/>
          <w:sz w:val="16"/>
          <w:szCs w:val="16"/>
          <w:lang w:val="es-PE" w:eastAsia="es-ES"/>
        </w:rPr>
        <w:t>identity</w:t>
      </w:r>
      <w:proofErr w:type="spellEnd"/>
      <w:r w:rsidRPr="00FE2D92">
        <w:rPr>
          <w:color w:val="000000"/>
          <w:sz w:val="16"/>
          <w:szCs w:val="16"/>
          <w:lang w:val="es-PE" w:eastAsia="es-ES"/>
        </w:rPr>
        <w:t xml:space="preserve"> y modelos para varianzas robustas).</w:t>
      </w:r>
    </w:p>
    <w:p w14:paraId="3E4B888E" w14:textId="77777777" w:rsidR="00FE2D92" w:rsidRPr="00FE2D92" w:rsidRDefault="00FE2D92" w:rsidP="00FE2D92">
      <w:pPr>
        <w:spacing w:line="360" w:lineRule="auto"/>
        <w:jc w:val="both"/>
        <w:rPr>
          <w:color w:val="000000"/>
          <w:lang w:val="es-PE" w:eastAsia="es-ES"/>
        </w:rPr>
      </w:pPr>
    </w:p>
    <w:p w14:paraId="72C27CE9" w14:textId="77777777" w:rsidR="00FE2D92" w:rsidRPr="00FE2D92" w:rsidRDefault="00FE2D92" w:rsidP="00FE2D92">
      <w:pPr>
        <w:spacing w:line="360" w:lineRule="auto"/>
        <w:jc w:val="both"/>
        <w:rPr>
          <w:color w:val="000000"/>
          <w:lang w:val="es-PE" w:eastAsia="es-ES"/>
        </w:rPr>
      </w:pPr>
      <w:r w:rsidRPr="00FE2D92">
        <w:rPr>
          <w:color w:val="000000"/>
          <w:lang w:val="es-PE" w:eastAsia="es-ES"/>
        </w:rPr>
        <w:t>En el análisis multivariado según el tiempo de hospitalización con oxigenoterapia a alto flujo, hubo mayor requerimiento de oxígeno a alto flujo entre quienes tomaron mayor dosis de ivermectina (coeficiente: 3,33; IC 95</w:t>
      </w:r>
      <w:r w:rsidRPr="00FE2D92">
        <w:rPr>
          <w:lang w:val="es-PE" w:eastAsia="es-ES"/>
        </w:rPr>
        <w:t> %</w:t>
      </w:r>
      <w:r w:rsidRPr="00FE2D92">
        <w:rPr>
          <w:color w:val="000000"/>
          <w:lang w:val="es-PE" w:eastAsia="es-ES"/>
        </w:rPr>
        <w:t>: 1,56-7,09; valor p= 0,002) y a mayor edad (coeficiente: 1,12; IC 95</w:t>
      </w:r>
      <w:r w:rsidRPr="00FE2D92">
        <w:rPr>
          <w:lang w:val="es-PE" w:eastAsia="es-ES"/>
        </w:rPr>
        <w:t> %</w:t>
      </w:r>
      <w:r w:rsidRPr="00FE2D92">
        <w:rPr>
          <w:color w:val="000000"/>
          <w:lang w:val="es-PE" w:eastAsia="es-ES"/>
        </w:rPr>
        <w:t>: 1,05-1,19; valor p&lt; 0,001); en cambio, hubo menos días de hospitalización entre quienes tuvieron hipertensión pulmonar (coeficiente: &lt; 0,01; IC 95</w:t>
      </w:r>
      <w:r w:rsidRPr="00FE2D92">
        <w:rPr>
          <w:lang w:val="es-PE" w:eastAsia="es-ES"/>
        </w:rPr>
        <w:t> %</w:t>
      </w:r>
      <w:r w:rsidRPr="00FE2D92">
        <w:rPr>
          <w:color w:val="000000"/>
          <w:lang w:val="es-PE" w:eastAsia="es-ES"/>
        </w:rPr>
        <w:t>: &lt; 0,01-0,03; valor p&lt; 0,001) (tabla 5).</w:t>
      </w:r>
    </w:p>
    <w:p w14:paraId="2A3EE1DE" w14:textId="77777777" w:rsidR="00FE2D92" w:rsidRPr="00FE2D92" w:rsidRDefault="00FE2D92" w:rsidP="00FE2D92">
      <w:pPr>
        <w:spacing w:line="360" w:lineRule="auto"/>
        <w:jc w:val="both"/>
        <w:rPr>
          <w:lang w:val="es-PE" w:eastAsia="es-ES"/>
        </w:rPr>
      </w:pPr>
    </w:p>
    <w:p w14:paraId="496BD8CA" w14:textId="77777777" w:rsidR="00FE2D92" w:rsidRPr="00FE2D92" w:rsidRDefault="00FE2D92" w:rsidP="00FE2D92">
      <w:pPr>
        <w:spacing w:after="160" w:line="259" w:lineRule="auto"/>
        <w:rPr>
          <w:rFonts w:ascii="Verdana" w:hAnsi="Verdana"/>
          <w:b/>
          <w:color w:val="000000"/>
          <w:sz w:val="20"/>
          <w:szCs w:val="20"/>
          <w:lang w:val="es-PE" w:eastAsia="es-ES"/>
        </w:rPr>
      </w:pPr>
      <w:r w:rsidRPr="00FE2D92">
        <w:rPr>
          <w:rFonts w:ascii="Verdana" w:hAnsi="Verdana"/>
          <w:b/>
          <w:color w:val="000000"/>
          <w:sz w:val="20"/>
          <w:szCs w:val="20"/>
          <w:lang w:val="es-PE" w:eastAsia="es-ES"/>
        </w:rPr>
        <w:br w:type="page"/>
      </w:r>
    </w:p>
    <w:p w14:paraId="4968A0BD" w14:textId="77777777" w:rsidR="00FE2D92" w:rsidRPr="00FE2D92" w:rsidRDefault="00FE2D92" w:rsidP="00FE2D92">
      <w:pPr>
        <w:spacing w:line="360" w:lineRule="auto"/>
        <w:jc w:val="center"/>
        <w:rPr>
          <w:sz w:val="22"/>
          <w:szCs w:val="22"/>
          <w:lang w:val="es-PE" w:eastAsia="es-ES"/>
        </w:rPr>
      </w:pPr>
      <w:r w:rsidRPr="00FE2D92">
        <w:rPr>
          <w:b/>
          <w:color w:val="000000"/>
          <w:sz w:val="22"/>
          <w:szCs w:val="22"/>
          <w:lang w:val="es-PE" w:eastAsia="es-ES"/>
        </w:rPr>
        <w:lastRenderedPageBreak/>
        <w:t>Tabla 5 -</w:t>
      </w:r>
      <w:r w:rsidRPr="00FE2D92">
        <w:rPr>
          <w:color w:val="000000"/>
          <w:sz w:val="22"/>
          <w:szCs w:val="22"/>
          <w:lang w:val="es-PE" w:eastAsia="es-ES"/>
        </w:rPr>
        <w:t xml:space="preserve"> Factores asociados al tiempo de hospitalización con oxigenoterapia a alto flujo en pacientes con la COVID-19 en Callao-Perú</w:t>
      </w:r>
    </w:p>
    <w:p w14:paraId="4DEB46F4" w14:textId="255040FF" w:rsidR="00FE2D92" w:rsidRPr="00FE2D92" w:rsidRDefault="00FE2D92" w:rsidP="00FE2D92">
      <w:pPr>
        <w:spacing w:line="360" w:lineRule="auto"/>
        <w:jc w:val="center"/>
        <w:rPr>
          <w:color w:val="000000"/>
          <w:sz w:val="16"/>
          <w:szCs w:val="16"/>
          <w:lang w:val="es-PE" w:eastAsia="es-ES"/>
        </w:rPr>
      </w:pPr>
      <w:r w:rsidRPr="00FE2D92">
        <w:rPr>
          <w:noProof/>
          <w:color w:val="000000"/>
          <w:sz w:val="16"/>
          <w:szCs w:val="16"/>
          <w:lang w:val="es-PE" w:eastAsia="es-ES"/>
        </w:rPr>
        <w:drawing>
          <wp:inline distT="0" distB="0" distL="0" distR="0" wp14:anchorId="02D18ACC" wp14:editId="7EA89B06">
            <wp:extent cx="5362575" cy="3733800"/>
            <wp:effectExtent l="0" t="0" r="0" b="0"/>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62575" cy="3733800"/>
                    </a:xfrm>
                    <a:prstGeom prst="rect">
                      <a:avLst/>
                    </a:prstGeom>
                    <a:noFill/>
                    <a:ln>
                      <a:noFill/>
                    </a:ln>
                  </pic:spPr>
                </pic:pic>
              </a:graphicData>
            </a:graphic>
          </wp:inline>
        </w:drawing>
      </w:r>
    </w:p>
    <w:p w14:paraId="560DE5BE" w14:textId="77777777" w:rsidR="00FE2D92" w:rsidRPr="00FE2D92" w:rsidRDefault="00FE2D92" w:rsidP="00FE2D92">
      <w:pPr>
        <w:spacing w:line="360" w:lineRule="auto"/>
        <w:jc w:val="center"/>
        <w:rPr>
          <w:color w:val="000000"/>
          <w:sz w:val="16"/>
          <w:szCs w:val="16"/>
          <w:lang w:val="es-PE" w:eastAsia="es-ES"/>
        </w:rPr>
      </w:pPr>
      <w:r w:rsidRPr="00FE2D92">
        <w:rPr>
          <w:color w:val="000000"/>
          <w:sz w:val="16"/>
          <w:szCs w:val="16"/>
          <w:lang w:val="es-PE" w:eastAsia="es-ES"/>
        </w:rPr>
        <w:t xml:space="preserve">* Variable cuantitativa. Los valores estadísticos fueron obtenidos con los modelos lineales generalizados (familia </w:t>
      </w:r>
      <w:r w:rsidRPr="00FE2D92">
        <w:rPr>
          <w:i/>
          <w:color w:val="000000"/>
          <w:sz w:val="16"/>
          <w:szCs w:val="16"/>
          <w:lang w:val="es-PE" w:eastAsia="es-ES"/>
        </w:rPr>
        <w:t>Gaussian</w:t>
      </w:r>
      <w:r w:rsidRPr="00FE2D92">
        <w:rPr>
          <w:color w:val="000000"/>
          <w:sz w:val="16"/>
          <w:szCs w:val="16"/>
          <w:lang w:val="es-PE" w:eastAsia="es-ES"/>
        </w:rPr>
        <w:t xml:space="preserve">, función de enlace </w:t>
      </w:r>
      <w:proofErr w:type="spellStart"/>
      <w:r w:rsidRPr="00FE2D92">
        <w:rPr>
          <w:i/>
          <w:color w:val="000000"/>
          <w:sz w:val="16"/>
          <w:szCs w:val="16"/>
          <w:lang w:val="es-PE" w:eastAsia="es-ES"/>
        </w:rPr>
        <w:t>identity</w:t>
      </w:r>
      <w:proofErr w:type="spellEnd"/>
      <w:r w:rsidRPr="00FE2D92">
        <w:rPr>
          <w:color w:val="000000"/>
          <w:sz w:val="16"/>
          <w:szCs w:val="16"/>
          <w:lang w:val="es-PE" w:eastAsia="es-ES"/>
        </w:rPr>
        <w:t xml:space="preserve"> y modelos para varianzas robustas). </w:t>
      </w:r>
    </w:p>
    <w:p w14:paraId="6E338176" w14:textId="77777777" w:rsidR="00FE2D92" w:rsidRPr="00FE2D92" w:rsidRDefault="00FE2D92" w:rsidP="00FE2D92">
      <w:pPr>
        <w:spacing w:line="360" w:lineRule="auto"/>
        <w:jc w:val="center"/>
        <w:rPr>
          <w:color w:val="000000"/>
          <w:sz w:val="22"/>
          <w:szCs w:val="22"/>
          <w:lang w:val="es-PE" w:eastAsia="es-ES"/>
        </w:rPr>
      </w:pPr>
    </w:p>
    <w:p w14:paraId="48FA8B18" w14:textId="77777777" w:rsidR="00FE2D92" w:rsidRPr="00FE2D92" w:rsidRDefault="00FE2D92" w:rsidP="00FE2D92">
      <w:pPr>
        <w:spacing w:line="360" w:lineRule="auto"/>
        <w:jc w:val="center"/>
        <w:rPr>
          <w:b/>
          <w:color w:val="000000"/>
          <w:sz w:val="32"/>
          <w:szCs w:val="32"/>
          <w:lang w:val="es-PE" w:eastAsia="es-ES"/>
        </w:rPr>
      </w:pPr>
    </w:p>
    <w:p w14:paraId="4EB7020B" w14:textId="77777777" w:rsidR="00FE2D92" w:rsidRPr="00FE2D92" w:rsidRDefault="00FE2D92" w:rsidP="00FE2D92">
      <w:pPr>
        <w:spacing w:line="360" w:lineRule="auto"/>
        <w:jc w:val="center"/>
        <w:rPr>
          <w:sz w:val="32"/>
          <w:szCs w:val="32"/>
          <w:lang w:val="es-PE" w:eastAsia="es-ES"/>
        </w:rPr>
      </w:pPr>
      <w:r w:rsidRPr="00FE2D92">
        <w:rPr>
          <w:b/>
          <w:color w:val="000000"/>
          <w:sz w:val="32"/>
          <w:szCs w:val="32"/>
          <w:lang w:val="es-PE" w:eastAsia="es-ES"/>
        </w:rPr>
        <w:t>DISCUSIÓN</w:t>
      </w:r>
    </w:p>
    <w:p w14:paraId="5DD6302B" w14:textId="146B4934" w:rsidR="00FE2D92" w:rsidRPr="00FE2D92" w:rsidRDefault="00FE2D92" w:rsidP="00FE2D92">
      <w:pPr>
        <w:spacing w:line="360" w:lineRule="auto"/>
        <w:jc w:val="both"/>
        <w:rPr>
          <w:lang w:val="es-PE" w:eastAsia="es-ES"/>
        </w:rPr>
      </w:pPr>
      <w:r w:rsidRPr="00FE2D92">
        <w:rPr>
          <w:lang w:val="es-PE" w:eastAsia="es-ES"/>
        </w:rPr>
        <w:t>Se encontró q</w:t>
      </w:r>
      <w:r w:rsidRPr="00FE2D92">
        <w:rPr>
          <w:color w:val="000000"/>
          <w:lang w:val="es-PE" w:eastAsia="es-ES"/>
        </w:rPr>
        <w:t>ue el 28</w:t>
      </w:r>
      <w:r w:rsidRPr="00FE2D92">
        <w:rPr>
          <w:lang w:val="es-PE" w:eastAsia="es-ES"/>
        </w:rPr>
        <w:t> %</w:t>
      </w:r>
      <w:r w:rsidRPr="00FE2D92">
        <w:rPr>
          <w:color w:val="000000"/>
          <w:lang w:val="es-PE" w:eastAsia="es-ES"/>
        </w:rPr>
        <w:t xml:space="preserve"> de los pacientes recibió ivermectina antes de su hospitalización, es decir, cuando la enfermedad era leve o moderada. Al progresar y requerir hospitalización, no</w:t>
      </w:r>
      <w:r w:rsidRPr="00FE2D92">
        <w:rPr>
          <w:lang w:val="es-PE" w:eastAsia="es-ES"/>
        </w:rPr>
        <w:t xml:space="preserve"> se encontró</w:t>
      </w:r>
      <w:r w:rsidRPr="00FE2D92">
        <w:rPr>
          <w:color w:val="000000"/>
          <w:lang w:val="es-PE" w:eastAsia="es-ES"/>
        </w:rPr>
        <w:t xml:space="preserve"> relación entre la administración de ivermectina antes de la hospitalización y la mortalidad, el pase a UCI, el tiempo de hospitalización o la oxigenoterapia a alto flujo. Estos resultados concuerdan con </w:t>
      </w:r>
      <w:r w:rsidRPr="00FE2D92">
        <w:rPr>
          <w:i/>
          <w:color w:val="000000"/>
          <w:lang w:val="es-PE" w:eastAsia="es-ES"/>
        </w:rPr>
        <w:t>Saha</w:t>
      </w:r>
      <w:r w:rsidRPr="00FE2D92">
        <w:rPr>
          <w:color w:val="000000"/>
          <w:lang w:val="es-PE" w:eastAsia="es-ES"/>
        </w:rPr>
        <w:t xml:space="preserve"> y otros,</w:t>
      </w:r>
      <w:r w:rsidRPr="00FE2D92">
        <w:rPr>
          <w:vertAlign w:val="superscript"/>
          <w:lang w:val="es-PE" w:eastAsia="es-ES"/>
        </w:rPr>
        <w:t>(10)</w:t>
      </w:r>
      <w:r w:rsidRPr="00FE2D92">
        <w:rPr>
          <w:color w:val="000000"/>
          <w:lang w:val="es-PE" w:eastAsia="es-ES"/>
        </w:rPr>
        <w:t xml:space="preserve"> quienes hicieron un ensayo clínico </w:t>
      </w:r>
      <w:r w:rsidR="00803154" w:rsidRPr="00803154">
        <w:rPr>
          <w:color w:val="000000"/>
          <w:lang w:val="es-PE" w:eastAsia="es-ES"/>
        </w:rPr>
        <w:t>usando ivermectina a 0,2 mg/kg en pacientes con cuadro clínico leve o moderado, encontraron diferencia solo en el tiempo de recuperación</w:t>
      </w:r>
      <w:r w:rsidRPr="00FE2D92">
        <w:rPr>
          <w:color w:val="000000"/>
          <w:lang w:val="es-PE" w:eastAsia="es-ES"/>
        </w:rPr>
        <w:t xml:space="preserve"> (p&gt; 0,05); se concluye que la ivermectina no tuvo beneficio en el curso de la enfermedad.</w:t>
      </w:r>
    </w:p>
    <w:p w14:paraId="7D02C918" w14:textId="77777777" w:rsidR="00FE2D92" w:rsidRPr="00FE2D92" w:rsidRDefault="00FE2D92" w:rsidP="00FE2D92">
      <w:pPr>
        <w:spacing w:line="360" w:lineRule="auto"/>
        <w:jc w:val="both"/>
        <w:rPr>
          <w:lang w:val="es-PE" w:eastAsia="es-ES"/>
        </w:rPr>
      </w:pPr>
      <w:r w:rsidRPr="00FE2D92">
        <w:rPr>
          <w:color w:val="000000"/>
          <w:lang w:val="es-PE" w:eastAsia="es-ES"/>
        </w:rPr>
        <w:lastRenderedPageBreak/>
        <w:t>Algunos estudios</w:t>
      </w:r>
      <w:r w:rsidRPr="00FE2D92">
        <w:rPr>
          <w:vertAlign w:val="superscript"/>
          <w:lang w:val="es-PE" w:eastAsia="es-ES"/>
        </w:rPr>
        <w:t>(14,15)</w:t>
      </w:r>
      <w:r w:rsidRPr="00FE2D92">
        <w:rPr>
          <w:color w:val="000000"/>
          <w:lang w:val="es-PE" w:eastAsia="es-ES"/>
        </w:rPr>
        <w:t xml:space="preserve"> sí reportan buenos resultados clínicos con el uso de ivermectina ambulatoria, muchos de los cuales lo comparan con la administración de hidroxicloroquina, cuyo uso se interrumpió por la Organización Mundial de la Salud (OMS). Se comparó también el uso de ivermectina asociada a doxiciclina </w:t>
      </w:r>
      <w:r w:rsidRPr="00FE2D92">
        <w:rPr>
          <w:i/>
          <w:iCs/>
          <w:color w:val="000000"/>
          <w:lang w:val="es-PE" w:eastAsia="es-ES"/>
        </w:rPr>
        <w:t>versus</w:t>
      </w:r>
      <w:r w:rsidRPr="00FE2D92">
        <w:rPr>
          <w:color w:val="000000"/>
          <w:lang w:val="es-PE" w:eastAsia="es-ES"/>
        </w:rPr>
        <w:t xml:space="preserve"> el uso de hidroxicloroquina asociada a doxiciclina, solo se encontraron diferencias en el tiempo de recuperación clínica, pero no fue estadísticamente significativo. </w:t>
      </w:r>
    </w:p>
    <w:p w14:paraId="6EE99800" w14:textId="77777777" w:rsidR="00FE2D92" w:rsidRPr="00FE2D92" w:rsidRDefault="00FE2D92" w:rsidP="00FE2D92">
      <w:pPr>
        <w:spacing w:line="360" w:lineRule="auto"/>
        <w:jc w:val="both"/>
        <w:rPr>
          <w:lang w:val="es-PE" w:eastAsia="es-ES"/>
        </w:rPr>
      </w:pPr>
      <w:r w:rsidRPr="00FE2D92">
        <w:rPr>
          <w:color w:val="000000"/>
          <w:lang w:val="es-PE" w:eastAsia="es-ES"/>
        </w:rPr>
        <w:t>Se han realizado algunos estudios</w:t>
      </w:r>
      <w:r w:rsidRPr="00FE2D92">
        <w:rPr>
          <w:vertAlign w:val="superscript"/>
          <w:lang w:val="es-PE" w:eastAsia="es-ES"/>
        </w:rPr>
        <w:t>(16)</w:t>
      </w:r>
      <w:r w:rsidRPr="00FE2D92">
        <w:rPr>
          <w:color w:val="000000"/>
          <w:lang w:val="es-PE" w:eastAsia="es-ES"/>
        </w:rPr>
        <w:t xml:space="preserve"> sin grupo control, como el retrospectivo</w:t>
      </w:r>
      <w:r w:rsidRPr="00FE2D92">
        <w:rPr>
          <w:lang w:val="es-PE" w:eastAsia="es-ES"/>
        </w:rPr>
        <w:t xml:space="preserve"> en el que</w:t>
      </w:r>
      <w:r w:rsidRPr="00FE2D92">
        <w:rPr>
          <w:color w:val="000000"/>
          <w:lang w:val="es-PE" w:eastAsia="es-ES"/>
        </w:rPr>
        <w:t xml:space="preserve"> 2 706 pacientes ambulatorios recibieron una dosis de ivermectina de 0,4 mg/kg y 411 pacientes hospitalizados recibieron ivermectina 0,3 mg/kg los días 1, 2, 6 y 7; adicionalmente todos recibieron </w:t>
      </w:r>
      <w:r w:rsidRPr="00FE2D92">
        <w:rPr>
          <w:lang w:val="es-PE" w:eastAsia="es-ES"/>
        </w:rPr>
        <w:t>a</w:t>
      </w:r>
      <w:r w:rsidRPr="00FE2D92">
        <w:rPr>
          <w:color w:val="000000"/>
          <w:lang w:val="es-PE" w:eastAsia="es-ES"/>
        </w:rPr>
        <w:t>zitromicina y de los pacientes ambulatorios, solo 0,59</w:t>
      </w:r>
      <w:r w:rsidRPr="00FE2D92">
        <w:rPr>
          <w:lang w:val="es-PE" w:eastAsia="es-ES"/>
        </w:rPr>
        <w:t> %</w:t>
      </w:r>
      <w:r w:rsidRPr="00FE2D92">
        <w:rPr>
          <w:color w:val="000000"/>
          <w:lang w:val="es-PE" w:eastAsia="es-ES"/>
        </w:rPr>
        <w:t xml:space="preserve"> empeoró y requirió hospitalización; uno falleció. Por su parte, </w:t>
      </w:r>
      <w:r w:rsidRPr="00FE2D92">
        <w:rPr>
          <w:i/>
          <w:color w:val="000000"/>
          <w:lang w:val="es-PE" w:eastAsia="es-ES"/>
        </w:rPr>
        <w:t>Alam</w:t>
      </w:r>
      <w:r w:rsidRPr="00FE2D92">
        <w:rPr>
          <w:color w:val="000000"/>
          <w:lang w:val="es-PE" w:eastAsia="es-ES"/>
        </w:rPr>
        <w:t xml:space="preserve"> y otros</w:t>
      </w:r>
      <w:r w:rsidRPr="00FE2D92">
        <w:rPr>
          <w:vertAlign w:val="superscript"/>
          <w:lang w:val="es-PE" w:eastAsia="es-ES"/>
        </w:rPr>
        <w:t>(17)</w:t>
      </w:r>
      <w:r w:rsidRPr="00FE2D92">
        <w:rPr>
          <w:color w:val="000000"/>
          <w:lang w:val="es-PE" w:eastAsia="es-ES"/>
        </w:rPr>
        <w:t xml:space="preserve"> publican un reporte de 100 casos entre leves y moderados, quienes recibieron una dosis de ivermectina de 0,2 mg/kg asociado a doxiciclina; el 50</w:t>
      </w:r>
      <w:r w:rsidRPr="00FE2D92">
        <w:rPr>
          <w:lang w:val="es-PE" w:eastAsia="es-ES"/>
        </w:rPr>
        <w:t> %</w:t>
      </w:r>
      <w:r w:rsidRPr="00FE2D92">
        <w:rPr>
          <w:color w:val="000000"/>
          <w:lang w:val="es-PE" w:eastAsia="es-ES"/>
        </w:rPr>
        <w:t xml:space="preserve"> mejoró entre los días 3ro y 5to, ningún paciente requirió UCI, no se reportaron efectos secundarios y ninguno falleció. </w:t>
      </w:r>
    </w:p>
    <w:p w14:paraId="127922A0" w14:textId="77777777" w:rsidR="00FE2D92" w:rsidRPr="00FE2D92" w:rsidRDefault="00FE2D92" w:rsidP="00FE2D92">
      <w:pPr>
        <w:spacing w:line="360" w:lineRule="auto"/>
        <w:jc w:val="both"/>
        <w:rPr>
          <w:lang w:val="es-PE" w:eastAsia="es-ES"/>
        </w:rPr>
      </w:pPr>
      <w:r w:rsidRPr="00FE2D92">
        <w:rPr>
          <w:color w:val="000000"/>
          <w:lang w:val="es-PE" w:eastAsia="es-ES"/>
        </w:rPr>
        <w:t>La seguridad social peruana (EsSalud)</w:t>
      </w:r>
      <w:r w:rsidRPr="00FE2D92">
        <w:rPr>
          <w:vertAlign w:val="superscript"/>
          <w:lang w:val="es-PE" w:eastAsia="es-ES"/>
        </w:rPr>
        <w:t>(11)</w:t>
      </w:r>
      <w:r w:rsidRPr="00FE2D92">
        <w:rPr>
          <w:color w:val="000000"/>
          <w:lang w:val="es-PE" w:eastAsia="es-ES"/>
        </w:rPr>
        <w:t xml:space="preserve"> realizó un estudio con los pacientes hospitalizados por la COVID-19, sin criterios de gravedad al ingreso, que compara diferentes grupos de tratamiento con el tratamiento estándar (antipiréticos, hidratación y cuidados de soporte básicos). La combinación de azitromicina e ivermectina se asoció al 40</w:t>
      </w:r>
      <w:r w:rsidRPr="00FE2D92">
        <w:rPr>
          <w:lang w:val="es-PE" w:eastAsia="es-ES"/>
        </w:rPr>
        <w:t> %</w:t>
      </w:r>
      <w:r w:rsidRPr="00FE2D92">
        <w:rPr>
          <w:color w:val="000000"/>
          <w:lang w:val="es-PE" w:eastAsia="es-ES"/>
        </w:rPr>
        <w:t xml:space="preserve"> mayor mortalidad que el tratamiento estándar, además, el tratamiento con ivermectina se asoció a menor supervivencia sin transferencia a UCI y el tratamiento con ivermectina solo, se asoció a mayor mortalidad. Concluyen que el uso de ivermectina no fue beneficioso. </w:t>
      </w:r>
    </w:p>
    <w:p w14:paraId="4C3219E2" w14:textId="77777777" w:rsidR="00FE2D92" w:rsidRPr="00FE2D92" w:rsidRDefault="00FE2D92" w:rsidP="00FE2D92">
      <w:pPr>
        <w:spacing w:line="360" w:lineRule="auto"/>
        <w:jc w:val="both"/>
        <w:rPr>
          <w:lang w:val="es-PE" w:eastAsia="es-ES"/>
        </w:rPr>
      </w:pPr>
      <w:r w:rsidRPr="00FE2D92">
        <w:rPr>
          <w:color w:val="000000"/>
          <w:lang w:val="es-PE" w:eastAsia="es-ES"/>
        </w:rPr>
        <w:t>La Organización Panamericana de la Salud</w:t>
      </w:r>
      <w:r w:rsidRPr="00FE2D92">
        <w:rPr>
          <w:vertAlign w:val="superscript"/>
          <w:lang w:val="es-PE" w:eastAsia="es-ES"/>
        </w:rPr>
        <w:t>(18)</w:t>
      </w:r>
      <w:r w:rsidRPr="00FE2D92">
        <w:rPr>
          <w:color w:val="000000"/>
          <w:lang w:val="es-PE" w:eastAsia="es-ES"/>
        </w:rPr>
        <w:t xml:space="preserve"> realizó una revisión de 10 estudios aleatorizados, que incluyeron 1 797 pacientes, con resultados inciertos en cuanto a sus efectos en mortalidad, resolución de síntomas, efectos adversos.</w:t>
      </w:r>
    </w:p>
    <w:p w14:paraId="3917D110" w14:textId="77777777" w:rsidR="00FE2D92" w:rsidRPr="00FE2D92" w:rsidRDefault="00FE2D92" w:rsidP="00FE2D92">
      <w:pPr>
        <w:spacing w:line="360" w:lineRule="auto"/>
        <w:jc w:val="both"/>
        <w:rPr>
          <w:lang w:val="es-PE" w:eastAsia="es-ES"/>
        </w:rPr>
      </w:pPr>
      <w:r w:rsidRPr="00FE2D92">
        <w:rPr>
          <w:color w:val="000000"/>
          <w:lang w:val="es-PE" w:eastAsia="es-ES"/>
        </w:rPr>
        <w:t>En cuanto a la evolución clínica, en este estudio se e</w:t>
      </w:r>
      <w:r w:rsidRPr="00FE2D92">
        <w:rPr>
          <w:lang w:val="es-PE" w:eastAsia="es-ES"/>
        </w:rPr>
        <w:t>ncontró</w:t>
      </w:r>
      <w:r w:rsidRPr="00FE2D92">
        <w:rPr>
          <w:color w:val="000000"/>
          <w:lang w:val="es-PE" w:eastAsia="es-ES"/>
        </w:rPr>
        <w:t xml:space="preserve"> que los pacientes que usaron ivermectina tuvieron mayor tiempo de hospitalización, mayor tiempo de requerimiento de oxigenoterapia a alto flujo y mayor indicación de pase a UCI. Esto coincide con los resultados de </w:t>
      </w:r>
      <w:r w:rsidRPr="00FE2D92">
        <w:rPr>
          <w:i/>
          <w:color w:val="000000"/>
          <w:lang w:val="es-PE" w:eastAsia="es-ES"/>
        </w:rPr>
        <w:t>Camprubí</w:t>
      </w:r>
      <w:r w:rsidRPr="00FE2D92">
        <w:rPr>
          <w:color w:val="000000"/>
          <w:lang w:val="es-PE" w:eastAsia="es-ES"/>
        </w:rPr>
        <w:t xml:space="preserve"> y otros,</w:t>
      </w:r>
      <w:r w:rsidRPr="00FE2D92">
        <w:rPr>
          <w:vertAlign w:val="superscript"/>
          <w:lang w:val="es-PE" w:eastAsia="es-ES"/>
        </w:rPr>
        <w:t>(12)</w:t>
      </w:r>
      <w:r w:rsidRPr="00FE2D92">
        <w:rPr>
          <w:color w:val="000000"/>
          <w:lang w:val="es-PE" w:eastAsia="es-ES"/>
        </w:rPr>
        <w:t xml:space="preserve"> quienes evaluaron a pacientes hospitalizados por la COVID-19, sin encontrar diferencias significativas, pero con mayor proporción de requerimiento de UCI en el grupo de ivermectina. Por otro lado, </w:t>
      </w:r>
      <w:proofErr w:type="spellStart"/>
      <w:r w:rsidRPr="00FE2D92">
        <w:rPr>
          <w:i/>
          <w:color w:val="000000"/>
          <w:lang w:val="es-PE" w:eastAsia="es-ES"/>
        </w:rPr>
        <w:t>Rajter</w:t>
      </w:r>
      <w:proofErr w:type="spellEnd"/>
      <w:r w:rsidRPr="00FE2D92">
        <w:rPr>
          <w:color w:val="000000"/>
          <w:lang w:val="es-PE" w:eastAsia="es-ES"/>
        </w:rPr>
        <w:t xml:space="preserve"> y otros</w:t>
      </w:r>
      <w:r w:rsidRPr="00FE2D92">
        <w:rPr>
          <w:vertAlign w:val="superscript"/>
          <w:lang w:val="es-PE" w:eastAsia="es-ES"/>
        </w:rPr>
        <w:t>(19)</w:t>
      </w:r>
      <w:r w:rsidRPr="00FE2D92">
        <w:rPr>
          <w:color w:val="000000"/>
          <w:lang w:val="es-PE" w:eastAsia="es-ES"/>
        </w:rPr>
        <w:t xml:space="preserve"> no </w:t>
      </w:r>
      <w:r w:rsidRPr="00FE2D92">
        <w:rPr>
          <w:lang w:val="es-PE" w:eastAsia="es-ES"/>
        </w:rPr>
        <w:t>encontraron</w:t>
      </w:r>
      <w:r w:rsidRPr="00FE2D92">
        <w:rPr>
          <w:color w:val="000000"/>
          <w:lang w:val="es-PE" w:eastAsia="es-ES"/>
        </w:rPr>
        <w:t xml:space="preserve"> diferencia en el tiempo de hospitalización o porcentaje de intubación. Otros autores, como </w:t>
      </w:r>
      <w:proofErr w:type="spellStart"/>
      <w:r w:rsidRPr="00FE2D92">
        <w:rPr>
          <w:i/>
          <w:color w:val="000000"/>
          <w:lang w:val="es-PE" w:eastAsia="es-ES"/>
        </w:rPr>
        <w:lastRenderedPageBreak/>
        <w:t>Niaee</w:t>
      </w:r>
      <w:proofErr w:type="spellEnd"/>
      <w:r w:rsidRPr="00FE2D92">
        <w:rPr>
          <w:color w:val="000000"/>
          <w:lang w:val="es-PE" w:eastAsia="es-ES"/>
        </w:rPr>
        <w:t xml:space="preserve"> y otros</w:t>
      </w:r>
      <w:r w:rsidRPr="00FE2D92">
        <w:rPr>
          <w:vertAlign w:val="superscript"/>
          <w:lang w:val="es-PE" w:eastAsia="es-ES"/>
        </w:rPr>
        <w:t>(20)</w:t>
      </w:r>
      <w:r w:rsidRPr="00FE2D92">
        <w:rPr>
          <w:color w:val="000000"/>
          <w:lang w:val="es-PE" w:eastAsia="es-ES"/>
        </w:rPr>
        <w:t xml:space="preserve"> concluyen que la ivermectina disminuye el tiempo de requerimiento de oxigenoterapia y el tiempo de hospitalización, sin reportar efectos adversos. </w:t>
      </w:r>
    </w:p>
    <w:p w14:paraId="61BC241C" w14:textId="77777777" w:rsidR="00FE2D92" w:rsidRPr="00FE2D92" w:rsidRDefault="00FE2D92" w:rsidP="00FE2D92">
      <w:pPr>
        <w:spacing w:line="360" w:lineRule="auto"/>
        <w:jc w:val="both"/>
        <w:rPr>
          <w:lang w:val="es-PE" w:eastAsia="es-ES"/>
        </w:rPr>
      </w:pPr>
      <w:r w:rsidRPr="00FE2D92">
        <w:rPr>
          <w:color w:val="000000"/>
          <w:lang w:val="es-PE" w:eastAsia="es-ES"/>
        </w:rPr>
        <w:t xml:space="preserve">No se encontró relación entre el uso de ivermectina y la mortalidad, su uso no aumentó la mortalidad, pero tampoco la disminuyó. Esto coincide con el estudio de </w:t>
      </w:r>
      <w:proofErr w:type="spellStart"/>
      <w:r w:rsidRPr="00FE2D92">
        <w:rPr>
          <w:i/>
          <w:color w:val="000000"/>
          <w:lang w:val="es-PE" w:eastAsia="es-ES"/>
        </w:rPr>
        <w:t>Spoorthi</w:t>
      </w:r>
      <w:proofErr w:type="spellEnd"/>
      <w:r w:rsidRPr="00FE2D92">
        <w:rPr>
          <w:color w:val="000000"/>
          <w:lang w:val="es-PE" w:eastAsia="es-ES"/>
        </w:rPr>
        <w:t xml:space="preserve"> y </w:t>
      </w:r>
      <w:proofErr w:type="spellStart"/>
      <w:r w:rsidRPr="00FE2D92">
        <w:rPr>
          <w:i/>
          <w:color w:val="000000"/>
          <w:lang w:val="es-PE" w:eastAsia="es-ES"/>
        </w:rPr>
        <w:t>Sasanak</w:t>
      </w:r>
      <w:proofErr w:type="spellEnd"/>
      <w:r w:rsidRPr="00FE2D92">
        <w:rPr>
          <w:i/>
          <w:color w:val="000000"/>
          <w:lang w:val="es-PE" w:eastAsia="es-ES"/>
        </w:rPr>
        <w:t>.</w:t>
      </w:r>
      <w:r w:rsidRPr="00FE2D92">
        <w:rPr>
          <w:color w:val="000000"/>
          <w:vertAlign w:val="superscript"/>
          <w:lang w:val="es-PE" w:eastAsia="es-ES"/>
        </w:rPr>
        <w:t>(13)</w:t>
      </w:r>
      <w:r w:rsidRPr="00FE2D92">
        <w:rPr>
          <w:color w:val="000000"/>
          <w:lang w:val="es-PE" w:eastAsia="es-ES"/>
        </w:rPr>
        <w:t xml:space="preserve"> Algunos autores sí han encontrado una menor mortalidad entre quienes tomaron ivermectina, como </w:t>
      </w:r>
      <w:proofErr w:type="spellStart"/>
      <w:r w:rsidRPr="00FE2D92">
        <w:rPr>
          <w:i/>
          <w:color w:val="000000"/>
          <w:lang w:val="es-PE" w:eastAsia="es-ES"/>
        </w:rPr>
        <w:t>Elgazzar</w:t>
      </w:r>
      <w:proofErr w:type="spellEnd"/>
      <w:r w:rsidRPr="00FE2D92">
        <w:rPr>
          <w:iCs/>
          <w:color w:val="000000"/>
          <w:lang w:val="es-PE" w:eastAsia="es-ES"/>
        </w:rPr>
        <w:t>,</w:t>
      </w:r>
      <w:r w:rsidRPr="00FE2D92">
        <w:rPr>
          <w:color w:val="000000"/>
          <w:vertAlign w:val="superscript"/>
          <w:lang w:val="es-PE" w:eastAsia="es-ES"/>
        </w:rPr>
        <w:t>(21)</w:t>
      </w:r>
      <w:r w:rsidRPr="00FE2D92">
        <w:rPr>
          <w:color w:val="000000"/>
          <w:lang w:val="es-PE" w:eastAsia="es-ES"/>
        </w:rPr>
        <w:t xml:space="preserve"> </w:t>
      </w:r>
      <w:r w:rsidRPr="00FE2D92">
        <w:rPr>
          <w:i/>
          <w:color w:val="000000"/>
          <w:lang w:val="es-PE" w:eastAsia="es-ES"/>
        </w:rPr>
        <w:t>Portman-</w:t>
      </w:r>
      <w:proofErr w:type="spellStart"/>
      <w:r w:rsidRPr="00FE2D92">
        <w:rPr>
          <w:i/>
          <w:color w:val="000000"/>
          <w:lang w:val="es-PE" w:eastAsia="es-ES"/>
        </w:rPr>
        <w:t>Baraco</w:t>
      </w:r>
      <w:proofErr w:type="spellEnd"/>
      <w:r w:rsidRPr="00FE2D92">
        <w:rPr>
          <w:color w:val="000000"/>
          <w:vertAlign w:val="superscript"/>
          <w:lang w:val="es-PE" w:eastAsia="es-ES"/>
        </w:rPr>
        <w:t>(22)</w:t>
      </w:r>
      <w:r w:rsidRPr="00FE2D92">
        <w:rPr>
          <w:color w:val="000000"/>
          <w:lang w:val="es-PE" w:eastAsia="es-ES"/>
        </w:rPr>
        <w:t xml:space="preserve"> y </w:t>
      </w:r>
      <w:proofErr w:type="spellStart"/>
      <w:r w:rsidRPr="00FE2D92">
        <w:rPr>
          <w:i/>
          <w:color w:val="000000"/>
          <w:lang w:val="es-PE" w:eastAsia="es-ES"/>
        </w:rPr>
        <w:t>Rajter</w:t>
      </w:r>
      <w:proofErr w:type="spellEnd"/>
      <w:r w:rsidRPr="00FE2D92">
        <w:rPr>
          <w:iCs/>
          <w:color w:val="000000"/>
          <w:lang w:val="es-PE" w:eastAsia="es-ES"/>
        </w:rPr>
        <w:t>.</w:t>
      </w:r>
      <w:r w:rsidRPr="00FE2D92">
        <w:rPr>
          <w:color w:val="000000"/>
          <w:vertAlign w:val="superscript"/>
          <w:lang w:val="es-PE" w:eastAsia="es-ES"/>
        </w:rPr>
        <w:t>(19)</w:t>
      </w:r>
    </w:p>
    <w:p w14:paraId="09C22316" w14:textId="56C7271F" w:rsidR="00FE2D92" w:rsidRPr="00FE2D92" w:rsidRDefault="00FE2D92" w:rsidP="00FE2D92">
      <w:pPr>
        <w:spacing w:line="360" w:lineRule="auto"/>
        <w:jc w:val="both"/>
        <w:rPr>
          <w:lang w:val="es-PE" w:eastAsia="es-ES"/>
        </w:rPr>
      </w:pPr>
      <w:r w:rsidRPr="00FE2D92">
        <w:rPr>
          <w:color w:val="000000"/>
          <w:lang w:val="es-PE" w:eastAsia="es-ES"/>
        </w:rPr>
        <w:t>Una de las principales limitaciones de este estudio fue que el 52,3</w:t>
      </w:r>
      <w:r w:rsidRPr="00FE2D92">
        <w:rPr>
          <w:lang w:val="es-PE" w:eastAsia="es-ES"/>
        </w:rPr>
        <w:t> %</w:t>
      </w:r>
      <w:r w:rsidRPr="00FE2D92">
        <w:rPr>
          <w:color w:val="000000"/>
          <w:lang w:val="es-PE" w:eastAsia="es-ES"/>
        </w:rPr>
        <w:t xml:space="preserve"> de los pacientes hospitalizados tuvo indicación de pase a UCI, pues el hospital donde se realizó el estudio, no cuenta con servicio de UCI, lo cual conlleva una mayor mortalidad en e</w:t>
      </w:r>
      <w:r w:rsidRPr="00FE2D92">
        <w:rPr>
          <w:lang w:val="es-PE" w:eastAsia="es-ES"/>
        </w:rPr>
        <w:t>sta</w:t>
      </w:r>
      <w:r w:rsidRPr="00FE2D92">
        <w:rPr>
          <w:color w:val="000000"/>
          <w:lang w:val="es-PE" w:eastAsia="es-ES"/>
        </w:rPr>
        <w:t xml:space="preserve"> población. Además, al ser un estudio retrospectivo no se pudo controlar muchos sesgos, por ejemplo, en los pacientes que recibieron ivermectina antes de su hospitalización, no se registró en qué momento de su evolución la recibieron; sin embargo, no era ético el realizar investigación cuando ya la mayor parte de la literatura evidenciaba que la ivermectina </w:t>
      </w:r>
      <w:r w:rsidR="00D36A76" w:rsidRPr="00D36A76">
        <w:rPr>
          <w:color w:val="000000"/>
          <w:lang w:val="es-PE" w:eastAsia="es-ES"/>
        </w:rPr>
        <w:t>no generaba una mejora en el paciente. Por lo que, nuestros resultados ratifican lo que muchos otros estudios en diversas latitudes han confirmado, que la ivermectina no es efectiva contra la COVID-19. Aun así, los resultados son relevantes,</w:t>
      </w:r>
      <w:r w:rsidRPr="00FE2D92">
        <w:rPr>
          <w:color w:val="000000"/>
          <w:lang w:val="es-PE" w:eastAsia="es-ES"/>
        </w:rPr>
        <w:t xml:space="preserve"> ya que muestran a pacientes con síntomas graves o moderados, que aportan evidencias de que el tratamiento con ivermectina no ayuda, por el contrario, muestra resultados negativos en 3 de las variables medidas.</w:t>
      </w:r>
    </w:p>
    <w:p w14:paraId="77C8BF75" w14:textId="77777777" w:rsidR="00FE2D92" w:rsidRPr="00FE2D92" w:rsidRDefault="00FE2D92" w:rsidP="00FE2D92">
      <w:pPr>
        <w:spacing w:line="360" w:lineRule="auto"/>
        <w:jc w:val="both"/>
        <w:rPr>
          <w:color w:val="000000"/>
          <w:lang w:val="es-PE" w:eastAsia="es-ES"/>
        </w:rPr>
      </w:pPr>
      <w:r w:rsidRPr="00FE2D92">
        <w:rPr>
          <w:color w:val="000000"/>
          <w:lang w:val="es-PE" w:eastAsia="es-ES"/>
        </w:rPr>
        <w:t>Este estudio encuentra asociación negativa importante entre el uso de la ivermectina y la indicación de pase a UCI, los días de hospitalización y los días de requerimiento de oxigenoterapia a alto flujo, sin hallar relación con la mortalidad de los pacientes hospitalizados por la COVID-19. La administración de Ivermectina antes o durante la hospitalización no tuvo beneficios.</w:t>
      </w:r>
    </w:p>
    <w:p w14:paraId="6B65DBBF" w14:textId="77777777" w:rsidR="00FE2D92" w:rsidRPr="00FE2D92" w:rsidRDefault="00FE2D92" w:rsidP="00FE2D92">
      <w:pPr>
        <w:spacing w:line="360" w:lineRule="auto"/>
        <w:jc w:val="both"/>
        <w:rPr>
          <w:lang w:val="es-PE" w:eastAsia="es-ES"/>
        </w:rPr>
      </w:pPr>
    </w:p>
    <w:p w14:paraId="3DAC0C1F" w14:textId="77777777" w:rsidR="00FE2D92" w:rsidRPr="00FE2D92" w:rsidRDefault="00FE2D92" w:rsidP="00FE2D92">
      <w:pPr>
        <w:spacing w:line="360" w:lineRule="auto"/>
        <w:rPr>
          <w:lang w:val="es-PE" w:eastAsia="es-ES"/>
        </w:rPr>
      </w:pPr>
    </w:p>
    <w:p w14:paraId="0C59E418" w14:textId="77777777" w:rsidR="00FE2D92" w:rsidRPr="00FE2D92" w:rsidRDefault="00FE2D92" w:rsidP="00FE2D92">
      <w:pPr>
        <w:spacing w:line="360" w:lineRule="auto"/>
        <w:jc w:val="center"/>
        <w:rPr>
          <w:b/>
          <w:color w:val="000000"/>
          <w:sz w:val="32"/>
          <w:szCs w:val="32"/>
          <w:lang w:val="en-US" w:eastAsia="es-ES"/>
        </w:rPr>
      </w:pPr>
      <w:r w:rsidRPr="00FE2D92">
        <w:rPr>
          <w:b/>
          <w:color w:val="000000"/>
          <w:sz w:val="32"/>
          <w:szCs w:val="32"/>
          <w:lang w:val="en-US" w:eastAsia="es-ES"/>
        </w:rPr>
        <w:t>REFERENCIAS BIBLIOGRÁFICAS</w:t>
      </w:r>
    </w:p>
    <w:p w14:paraId="6F903698" w14:textId="77777777" w:rsidR="00FE2D92" w:rsidRPr="00FE2D92" w:rsidRDefault="00FE2D92" w:rsidP="00FE2D92">
      <w:pPr>
        <w:spacing w:line="360" w:lineRule="auto"/>
        <w:rPr>
          <w:lang w:val="es-PE" w:eastAsia="es-ES"/>
        </w:rPr>
      </w:pPr>
      <w:r w:rsidRPr="00FE2D92">
        <w:rPr>
          <w:lang w:val="en-US" w:eastAsia="es-ES"/>
        </w:rPr>
        <w:t xml:space="preserve">1. Hamed MA. An overview on COVID-19: reality and expectation. Bulletin of the National Research Centre. </w:t>
      </w:r>
      <w:r w:rsidRPr="00FE2D92">
        <w:rPr>
          <w:lang w:val="es-PE" w:eastAsia="es-ES"/>
        </w:rPr>
        <w:t xml:space="preserve">2020 [acceso: 05/01/2021]; 44(1):86-96. Disponible en: </w:t>
      </w:r>
      <w:hyperlink r:id="rId14" w:history="1">
        <w:r w:rsidRPr="00FE2D92">
          <w:rPr>
            <w:rFonts w:eastAsia="Calibri"/>
            <w:color w:val="0000FF"/>
            <w:u w:val="single"/>
            <w:lang w:val="es-PE" w:eastAsia="es-ES"/>
          </w:rPr>
          <w:t>https://www.ncbi.nlm.nih.gov/pmc/articles/PMC7266424/</w:t>
        </w:r>
      </w:hyperlink>
      <w:r w:rsidRPr="00FE2D92">
        <w:rPr>
          <w:lang w:val="es-PE" w:eastAsia="es-ES"/>
        </w:rPr>
        <w:t xml:space="preserve"> </w:t>
      </w:r>
    </w:p>
    <w:p w14:paraId="0A8B692C" w14:textId="77777777" w:rsidR="00FE2D92" w:rsidRPr="00FE2D92" w:rsidRDefault="00FE2D92" w:rsidP="00FE2D92">
      <w:pPr>
        <w:spacing w:line="360" w:lineRule="auto"/>
        <w:rPr>
          <w:lang w:val="es-PE" w:eastAsia="es-ES"/>
        </w:rPr>
      </w:pPr>
      <w:r w:rsidRPr="00FE2D92">
        <w:rPr>
          <w:lang w:val="en-US" w:eastAsia="es-ES"/>
        </w:rPr>
        <w:lastRenderedPageBreak/>
        <w:t xml:space="preserve">2. Dixit A, Yadav R, Singh AV. Ivermectin: Potential role as repurposed drug for COVID-19. </w:t>
      </w:r>
      <w:proofErr w:type="spellStart"/>
      <w:r w:rsidRPr="00FE2D92">
        <w:rPr>
          <w:lang w:val="es-PE" w:eastAsia="es-ES"/>
        </w:rPr>
        <w:t>Malays</w:t>
      </w:r>
      <w:proofErr w:type="spellEnd"/>
      <w:r w:rsidRPr="00FE2D92">
        <w:rPr>
          <w:lang w:val="es-PE" w:eastAsia="es-ES"/>
        </w:rPr>
        <w:t xml:space="preserve"> J </w:t>
      </w:r>
      <w:proofErr w:type="spellStart"/>
      <w:r w:rsidRPr="00FE2D92">
        <w:rPr>
          <w:lang w:val="es-PE" w:eastAsia="es-ES"/>
        </w:rPr>
        <w:t>Med</w:t>
      </w:r>
      <w:proofErr w:type="spellEnd"/>
      <w:r w:rsidRPr="00FE2D92">
        <w:rPr>
          <w:lang w:val="es-PE" w:eastAsia="es-ES"/>
        </w:rPr>
        <w:t xml:space="preserve"> </w:t>
      </w:r>
      <w:proofErr w:type="spellStart"/>
      <w:r w:rsidRPr="00FE2D92">
        <w:rPr>
          <w:lang w:val="es-PE" w:eastAsia="es-ES"/>
        </w:rPr>
        <w:t>Sci</w:t>
      </w:r>
      <w:proofErr w:type="spellEnd"/>
      <w:r w:rsidRPr="00FE2D92">
        <w:rPr>
          <w:lang w:val="es-PE" w:eastAsia="es-ES"/>
        </w:rPr>
        <w:t xml:space="preserve">. 2020 [acceso: 07/01/2021]; 27(4):154-8. Disponible en: </w:t>
      </w:r>
      <w:hyperlink r:id="rId15" w:history="1">
        <w:r w:rsidRPr="00FE2D92">
          <w:rPr>
            <w:rFonts w:eastAsia="Calibri"/>
            <w:color w:val="0000FF"/>
            <w:u w:val="single"/>
            <w:lang w:val="es-PE" w:eastAsia="es-ES"/>
          </w:rPr>
          <w:t>https://www.ncbi.nlm.nih.gov/pmc/articles/PMC7444833/</w:t>
        </w:r>
      </w:hyperlink>
      <w:r w:rsidRPr="00FE2D92">
        <w:rPr>
          <w:lang w:val="es-PE" w:eastAsia="es-ES"/>
        </w:rPr>
        <w:t xml:space="preserve"> </w:t>
      </w:r>
    </w:p>
    <w:p w14:paraId="214E6B84" w14:textId="77777777" w:rsidR="00FE2D92" w:rsidRPr="00FE2D92" w:rsidRDefault="00FE2D92" w:rsidP="00FE2D92">
      <w:pPr>
        <w:spacing w:line="360" w:lineRule="auto"/>
        <w:rPr>
          <w:lang w:val="en-US" w:eastAsia="es-ES"/>
        </w:rPr>
      </w:pPr>
      <w:r w:rsidRPr="00FE2D92">
        <w:rPr>
          <w:lang w:val="en-US" w:eastAsia="es-ES"/>
        </w:rPr>
        <w:t xml:space="preserve">3. </w:t>
      </w:r>
      <w:proofErr w:type="spellStart"/>
      <w:r w:rsidRPr="00FE2D92">
        <w:rPr>
          <w:lang w:val="en-US" w:eastAsia="es-ES"/>
        </w:rPr>
        <w:t>Heidary</w:t>
      </w:r>
      <w:proofErr w:type="spellEnd"/>
      <w:r w:rsidRPr="00FE2D92">
        <w:rPr>
          <w:lang w:val="en-US" w:eastAsia="es-ES"/>
        </w:rPr>
        <w:t xml:space="preserve"> F, </w:t>
      </w:r>
      <w:proofErr w:type="spellStart"/>
      <w:r w:rsidRPr="00FE2D92">
        <w:rPr>
          <w:lang w:val="en-US" w:eastAsia="es-ES"/>
        </w:rPr>
        <w:t>Gharebaghi</w:t>
      </w:r>
      <w:proofErr w:type="spellEnd"/>
      <w:r w:rsidRPr="00FE2D92">
        <w:rPr>
          <w:lang w:val="en-US" w:eastAsia="es-ES"/>
        </w:rPr>
        <w:t xml:space="preserve"> R. Ivermectin: a systematic review from antiviral effects to COVID-19 complementary regimen. The Journal of Antibiotics. 2020 [</w:t>
      </w:r>
      <w:proofErr w:type="spellStart"/>
      <w:r w:rsidRPr="00FE2D92">
        <w:rPr>
          <w:lang w:val="en-US" w:eastAsia="es-ES"/>
        </w:rPr>
        <w:t>acceso</w:t>
      </w:r>
      <w:proofErr w:type="spellEnd"/>
      <w:r w:rsidRPr="00FE2D92">
        <w:rPr>
          <w:lang w:val="en-US" w:eastAsia="es-ES"/>
        </w:rPr>
        <w:t xml:space="preserve">: 04/01/2021]; 73(9):593-602. Disponible </w:t>
      </w:r>
      <w:proofErr w:type="spellStart"/>
      <w:r w:rsidRPr="00FE2D92">
        <w:rPr>
          <w:lang w:val="en-US" w:eastAsia="es-ES"/>
        </w:rPr>
        <w:t>en</w:t>
      </w:r>
      <w:proofErr w:type="spellEnd"/>
      <w:r w:rsidRPr="00FE2D92">
        <w:rPr>
          <w:lang w:val="en-US" w:eastAsia="es-ES"/>
        </w:rPr>
        <w:t xml:space="preserve">: </w:t>
      </w:r>
      <w:hyperlink r:id="rId16" w:history="1">
        <w:r w:rsidRPr="00FE2D92">
          <w:rPr>
            <w:rFonts w:eastAsia="Calibri"/>
            <w:color w:val="0000FF"/>
            <w:u w:val="single"/>
            <w:lang w:val="en-US" w:eastAsia="es-ES"/>
          </w:rPr>
          <w:t>https://www.nature.com/articles/s41429-020-0336-z</w:t>
        </w:r>
      </w:hyperlink>
      <w:r w:rsidRPr="00FE2D92">
        <w:rPr>
          <w:lang w:val="en-US" w:eastAsia="es-ES"/>
        </w:rPr>
        <w:t xml:space="preserve"> </w:t>
      </w:r>
    </w:p>
    <w:p w14:paraId="587F7913" w14:textId="77777777" w:rsidR="00FE2D92" w:rsidRPr="00FE2D92" w:rsidRDefault="00FE2D92" w:rsidP="00FE2D92">
      <w:pPr>
        <w:spacing w:line="360" w:lineRule="auto"/>
        <w:rPr>
          <w:lang w:val="es-PE" w:eastAsia="es-ES"/>
        </w:rPr>
      </w:pPr>
      <w:r w:rsidRPr="00FE2D92">
        <w:rPr>
          <w:lang w:val="en-US" w:eastAsia="es-ES"/>
        </w:rPr>
        <w:t xml:space="preserve">4. </w:t>
      </w:r>
      <w:proofErr w:type="spellStart"/>
      <w:r w:rsidRPr="00FE2D92">
        <w:rPr>
          <w:lang w:val="en-US" w:eastAsia="es-ES"/>
        </w:rPr>
        <w:t>Bhimraj</w:t>
      </w:r>
      <w:proofErr w:type="spellEnd"/>
      <w:r w:rsidRPr="00FE2D92">
        <w:rPr>
          <w:lang w:val="en-US" w:eastAsia="es-ES"/>
        </w:rPr>
        <w:t xml:space="preserve"> A, Morgan RL, Shumaker AH, Lavergne V, Baden L, Cheng VC-C, et al. Infectious diseases society of </w:t>
      </w:r>
      <w:proofErr w:type="spellStart"/>
      <w:r w:rsidRPr="00FE2D92">
        <w:rPr>
          <w:lang w:val="en-US" w:eastAsia="es-ES"/>
        </w:rPr>
        <w:t>america</w:t>
      </w:r>
      <w:proofErr w:type="spellEnd"/>
      <w:r w:rsidRPr="00FE2D92">
        <w:rPr>
          <w:lang w:val="en-US" w:eastAsia="es-ES"/>
        </w:rPr>
        <w:t xml:space="preserve"> guidelines on the treatment and management of patients with Coronavirus Disease 2019 (COVID-19). </w:t>
      </w:r>
      <w:proofErr w:type="spellStart"/>
      <w:r w:rsidRPr="00FE2D92">
        <w:rPr>
          <w:lang w:val="es-PE" w:eastAsia="es-ES"/>
        </w:rPr>
        <w:t>Clinical</w:t>
      </w:r>
      <w:proofErr w:type="spellEnd"/>
      <w:r w:rsidRPr="00FE2D92">
        <w:rPr>
          <w:lang w:val="es-PE" w:eastAsia="es-ES"/>
        </w:rPr>
        <w:t xml:space="preserve"> </w:t>
      </w:r>
      <w:proofErr w:type="spellStart"/>
      <w:r w:rsidRPr="00FE2D92">
        <w:rPr>
          <w:lang w:val="es-PE" w:eastAsia="es-ES"/>
        </w:rPr>
        <w:t>Infectious</w:t>
      </w:r>
      <w:proofErr w:type="spellEnd"/>
      <w:r w:rsidRPr="00FE2D92">
        <w:rPr>
          <w:lang w:val="es-PE" w:eastAsia="es-ES"/>
        </w:rPr>
        <w:t xml:space="preserve"> </w:t>
      </w:r>
      <w:proofErr w:type="spellStart"/>
      <w:r w:rsidRPr="00FE2D92">
        <w:rPr>
          <w:lang w:val="es-PE" w:eastAsia="es-ES"/>
        </w:rPr>
        <w:t>Diseases</w:t>
      </w:r>
      <w:proofErr w:type="spellEnd"/>
      <w:r w:rsidRPr="00FE2D92">
        <w:rPr>
          <w:lang w:val="es-PE" w:eastAsia="es-ES"/>
        </w:rPr>
        <w:t xml:space="preserve">. 2020 [acceso: 05/01/2021]; 1(1):1-61. Disponible en: </w:t>
      </w:r>
      <w:hyperlink r:id="rId17" w:history="1">
        <w:r w:rsidRPr="00FE2D92">
          <w:rPr>
            <w:rFonts w:eastAsia="Calibri"/>
            <w:color w:val="0000FF"/>
            <w:u w:val="single"/>
            <w:lang w:val="es-PE" w:eastAsia="es-ES"/>
          </w:rPr>
          <w:t>https://academic.oup.com/cid/advance-article/doi/10.1093/cid/ciaa478/5825667?login=false</w:t>
        </w:r>
      </w:hyperlink>
      <w:r w:rsidRPr="00FE2D92">
        <w:rPr>
          <w:lang w:val="es-PE" w:eastAsia="es-ES"/>
        </w:rPr>
        <w:t xml:space="preserve"> </w:t>
      </w:r>
    </w:p>
    <w:p w14:paraId="2D54AABD" w14:textId="77777777" w:rsidR="00FE2D92" w:rsidRPr="00FE2D92" w:rsidRDefault="00FE2D92" w:rsidP="00FE2D92">
      <w:pPr>
        <w:spacing w:line="360" w:lineRule="auto"/>
        <w:rPr>
          <w:lang w:val="es-PE" w:eastAsia="es-ES"/>
        </w:rPr>
      </w:pPr>
      <w:r w:rsidRPr="00FE2D92">
        <w:rPr>
          <w:lang w:val="es-PE" w:eastAsia="es-ES"/>
        </w:rPr>
        <w:t xml:space="preserve">5. </w:t>
      </w:r>
      <w:proofErr w:type="spellStart"/>
      <w:r w:rsidRPr="00FE2D92">
        <w:rPr>
          <w:lang w:val="es-PE" w:eastAsia="es-ES"/>
        </w:rPr>
        <w:t>Paumgartten</w:t>
      </w:r>
      <w:proofErr w:type="spellEnd"/>
      <w:r w:rsidRPr="00FE2D92">
        <w:rPr>
          <w:lang w:val="es-PE" w:eastAsia="es-ES"/>
        </w:rPr>
        <w:t xml:space="preserve"> FJR, Oliveira ACAX de. </w:t>
      </w:r>
      <w:r w:rsidRPr="00FE2D92">
        <w:rPr>
          <w:lang w:val="en-US" w:eastAsia="es-ES"/>
        </w:rPr>
        <w:t xml:space="preserve">Off label, compassionate and irrational use of medicines in Covid-19 pandemic, health consequences and ethical issues. </w:t>
      </w:r>
      <w:proofErr w:type="spellStart"/>
      <w:r w:rsidRPr="00FE2D92">
        <w:rPr>
          <w:lang w:val="es-PE" w:eastAsia="es-ES"/>
        </w:rPr>
        <w:t>Ciênc</w:t>
      </w:r>
      <w:proofErr w:type="spellEnd"/>
      <w:r w:rsidRPr="00FE2D92">
        <w:rPr>
          <w:lang w:val="es-PE" w:eastAsia="es-ES"/>
        </w:rPr>
        <w:t xml:space="preserve"> </w:t>
      </w:r>
      <w:proofErr w:type="spellStart"/>
      <w:r w:rsidRPr="00FE2D92">
        <w:rPr>
          <w:lang w:val="es-PE" w:eastAsia="es-ES"/>
        </w:rPr>
        <w:t>saúde</w:t>
      </w:r>
      <w:proofErr w:type="spellEnd"/>
      <w:r w:rsidRPr="00FE2D92">
        <w:rPr>
          <w:lang w:val="es-PE" w:eastAsia="es-ES"/>
        </w:rPr>
        <w:t xml:space="preserve"> </w:t>
      </w:r>
      <w:proofErr w:type="spellStart"/>
      <w:r w:rsidRPr="00FE2D92">
        <w:rPr>
          <w:lang w:val="es-PE" w:eastAsia="es-ES"/>
        </w:rPr>
        <w:t>coletiva</w:t>
      </w:r>
      <w:proofErr w:type="spellEnd"/>
      <w:r w:rsidRPr="00FE2D92">
        <w:rPr>
          <w:lang w:val="es-PE" w:eastAsia="es-ES"/>
        </w:rPr>
        <w:t xml:space="preserve">. 2020 [acceso: 07/01/2021]; 25(9): 3413-9. Disponible en: </w:t>
      </w:r>
      <w:hyperlink r:id="rId18" w:history="1">
        <w:r w:rsidRPr="00FE2D92">
          <w:rPr>
            <w:rFonts w:eastAsia="Calibri"/>
            <w:color w:val="0000FF"/>
            <w:u w:val="single"/>
            <w:lang w:val="es-PE" w:eastAsia="es-ES"/>
          </w:rPr>
          <w:t>https://www.scielo.br/j/csc/a/GQwLcBQZmGYp7mK3V6r7tFt/?lang=en</w:t>
        </w:r>
      </w:hyperlink>
      <w:r w:rsidRPr="00FE2D92">
        <w:rPr>
          <w:lang w:val="es-PE" w:eastAsia="es-ES"/>
        </w:rPr>
        <w:t xml:space="preserve"> </w:t>
      </w:r>
    </w:p>
    <w:p w14:paraId="2426F086" w14:textId="77777777" w:rsidR="00FE2D92" w:rsidRPr="00FE2D92" w:rsidRDefault="00FE2D92" w:rsidP="00FE2D92">
      <w:pPr>
        <w:spacing w:line="360" w:lineRule="auto"/>
        <w:rPr>
          <w:lang w:val="es-CU" w:eastAsia="es-ES"/>
        </w:rPr>
      </w:pPr>
      <w:r w:rsidRPr="00FE2D92">
        <w:rPr>
          <w:lang w:val="en-US" w:eastAsia="es-ES"/>
        </w:rPr>
        <w:t xml:space="preserve">6. Rizzo E. Ivermectin, antiviral properties and COVID-19: a possible new mechanism of action. </w:t>
      </w:r>
      <w:proofErr w:type="spellStart"/>
      <w:r w:rsidRPr="00FE2D92">
        <w:rPr>
          <w:lang w:val="es-PE" w:eastAsia="es-ES"/>
        </w:rPr>
        <w:t>Naunyn</w:t>
      </w:r>
      <w:proofErr w:type="spellEnd"/>
      <w:r w:rsidRPr="00FE2D92">
        <w:rPr>
          <w:lang w:val="es-PE" w:eastAsia="es-ES"/>
        </w:rPr>
        <w:t xml:space="preserve"> </w:t>
      </w:r>
      <w:proofErr w:type="spellStart"/>
      <w:r w:rsidRPr="00FE2D92">
        <w:rPr>
          <w:lang w:val="es-PE" w:eastAsia="es-ES"/>
        </w:rPr>
        <w:t>Schmiedebergs</w:t>
      </w:r>
      <w:proofErr w:type="spellEnd"/>
      <w:r w:rsidRPr="00FE2D92">
        <w:rPr>
          <w:lang w:val="es-PE" w:eastAsia="es-ES"/>
        </w:rPr>
        <w:t xml:space="preserve"> </w:t>
      </w:r>
      <w:proofErr w:type="spellStart"/>
      <w:r w:rsidRPr="00FE2D92">
        <w:rPr>
          <w:lang w:val="es-PE" w:eastAsia="es-ES"/>
        </w:rPr>
        <w:t>Arch</w:t>
      </w:r>
      <w:proofErr w:type="spellEnd"/>
      <w:r w:rsidRPr="00FE2D92">
        <w:rPr>
          <w:lang w:val="es-PE" w:eastAsia="es-ES"/>
        </w:rPr>
        <w:t xml:space="preserve"> </w:t>
      </w:r>
      <w:proofErr w:type="spellStart"/>
      <w:r w:rsidRPr="00FE2D92">
        <w:rPr>
          <w:lang w:val="es-PE" w:eastAsia="es-ES"/>
        </w:rPr>
        <w:t>Pharmacol</w:t>
      </w:r>
      <w:proofErr w:type="spellEnd"/>
      <w:r w:rsidRPr="00FE2D92">
        <w:rPr>
          <w:lang w:val="es-PE" w:eastAsia="es-ES"/>
        </w:rPr>
        <w:t xml:space="preserve">. </w:t>
      </w:r>
      <w:r w:rsidRPr="00FE2D92">
        <w:rPr>
          <w:lang w:val="es-CU" w:eastAsia="es-ES"/>
        </w:rPr>
        <w:t xml:space="preserve">2020 [acceso: 04/01/2021]; 1(1):1-4. Disponible en: </w:t>
      </w:r>
      <w:hyperlink r:id="rId19" w:history="1">
        <w:r w:rsidRPr="00FE2D92">
          <w:rPr>
            <w:rFonts w:eastAsia="Calibri"/>
            <w:color w:val="0000FF"/>
            <w:u w:val="single"/>
            <w:lang w:val="es-CU" w:eastAsia="es-ES"/>
          </w:rPr>
          <w:t>https://link.springer.com/article/10.1007/s00210-020-01902-5</w:t>
        </w:r>
      </w:hyperlink>
      <w:r w:rsidRPr="00FE2D92">
        <w:rPr>
          <w:lang w:val="es-CU" w:eastAsia="es-ES"/>
        </w:rPr>
        <w:t xml:space="preserve"> </w:t>
      </w:r>
    </w:p>
    <w:p w14:paraId="04E612AF" w14:textId="77777777" w:rsidR="00FE2D92" w:rsidRPr="00FE2D92" w:rsidRDefault="00FE2D92" w:rsidP="00FE2D92">
      <w:pPr>
        <w:spacing w:line="360" w:lineRule="auto"/>
        <w:rPr>
          <w:lang w:val="en-US" w:eastAsia="es-ES"/>
        </w:rPr>
      </w:pPr>
      <w:r w:rsidRPr="00FE2D92">
        <w:rPr>
          <w:lang w:val="en-US" w:eastAsia="es-ES"/>
        </w:rPr>
        <w:t xml:space="preserve">7. </w:t>
      </w:r>
      <w:proofErr w:type="spellStart"/>
      <w:r w:rsidRPr="00FE2D92">
        <w:rPr>
          <w:lang w:val="en-US" w:eastAsia="es-ES"/>
        </w:rPr>
        <w:t>Elkholy</w:t>
      </w:r>
      <w:proofErr w:type="spellEnd"/>
      <w:r w:rsidRPr="00FE2D92">
        <w:rPr>
          <w:lang w:val="en-US" w:eastAsia="es-ES"/>
        </w:rPr>
        <w:t xml:space="preserve"> KO, </w:t>
      </w:r>
      <w:proofErr w:type="spellStart"/>
      <w:r w:rsidRPr="00FE2D92">
        <w:rPr>
          <w:lang w:val="en-US" w:eastAsia="es-ES"/>
        </w:rPr>
        <w:t>Hegazy</w:t>
      </w:r>
      <w:proofErr w:type="spellEnd"/>
      <w:r w:rsidRPr="00FE2D92">
        <w:rPr>
          <w:lang w:val="en-US" w:eastAsia="es-ES"/>
        </w:rPr>
        <w:t xml:space="preserve"> O, </w:t>
      </w:r>
      <w:proofErr w:type="spellStart"/>
      <w:r w:rsidRPr="00FE2D92">
        <w:rPr>
          <w:lang w:val="en-US" w:eastAsia="es-ES"/>
        </w:rPr>
        <w:t>Erdinc</w:t>
      </w:r>
      <w:proofErr w:type="spellEnd"/>
      <w:r w:rsidRPr="00FE2D92">
        <w:rPr>
          <w:lang w:val="en-US" w:eastAsia="es-ES"/>
        </w:rPr>
        <w:t xml:space="preserve"> B, </w:t>
      </w:r>
      <w:proofErr w:type="spellStart"/>
      <w:r w:rsidRPr="00FE2D92">
        <w:rPr>
          <w:lang w:val="en-US" w:eastAsia="es-ES"/>
        </w:rPr>
        <w:t>Abowali</w:t>
      </w:r>
      <w:proofErr w:type="spellEnd"/>
      <w:r w:rsidRPr="00FE2D92">
        <w:rPr>
          <w:lang w:val="en-US" w:eastAsia="es-ES"/>
        </w:rPr>
        <w:t xml:space="preserve"> H. Ivermectin: A closer look at a potential remedy. </w:t>
      </w:r>
      <w:proofErr w:type="spellStart"/>
      <w:r w:rsidRPr="00FE2D92">
        <w:rPr>
          <w:lang w:val="en-US" w:eastAsia="es-ES"/>
        </w:rPr>
        <w:t>Cureus</w:t>
      </w:r>
      <w:proofErr w:type="spellEnd"/>
      <w:r w:rsidRPr="00FE2D92">
        <w:rPr>
          <w:lang w:val="en-US" w:eastAsia="es-ES"/>
        </w:rPr>
        <w:t>. 2020; 12(9): 10378-85. DOI: 10.7759/cureus.10378</w:t>
      </w:r>
    </w:p>
    <w:p w14:paraId="09677A6D" w14:textId="77777777" w:rsidR="00FE2D92" w:rsidRPr="00FE2D92" w:rsidRDefault="00FE2D92" w:rsidP="00FE2D92">
      <w:pPr>
        <w:spacing w:line="360" w:lineRule="auto"/>
        <w:rPr>
          <w:lang w:val="es-PE" w:eastAsia="es-ES"/>
        </w:rPr>
      </w:pPr>
      <w:r w:rsidRPr="00FE2D92">
        <w:rPr>
          <w:lang w:val="en-US" w:eastAsia="es-ES"/>
        </w:rPr>
        <w:t xml:space="preserve">8. Wagstaff KM, Sivakumaran H, Heaton SM, </w:t>
      </w:r>
      <w:proofErr w:type="spellStart"/>
      <w:r w:rsidRPr="00FE2D92">
        <w:rPr>
          <w:lang w:val="en-US" w:eastAsia="es-ES"/>
        </w:rPr>
        <w:t>Harrich</w:t>
      </w:r>
      <w:proofErr w:type="spellEnd"/>
      <w:r w:rsidRPr="00FE2D92">
        <w:rPr>
          <w:lang w:val="en-US" w:eastAsia="es-ES"/>
        </w:rPr>
        <w:t xml:space="preserve"> D, </w:t>
      </w:r>
      <w:proofErr w:type="spellStart"/>
      <w:r w:rsidRPr="00FE2D92">
        <w:rPr>
          <w:lang w:val="en-US" w:eastAsia="es-ES"/>
        </w:rPr>
        <w:t>Jans</w:t>
      </w:r>
      <w:proofErr w:type="spellEnd"/>
      <w:r w:rsidRPr="00FE2D92">
        <w:rPr>
          <w:lang w:val="en-US" w:eastAsia="es-ES"/>
        </w:rPr>
        <w:t xml:space="preserve"> DA. Ivermectin is a specific inhibitor of importin </w:t>
      </w:r>
      <w:r w:rsidRPr="00FE2D92">
        <w:rPr>
          <w:lang w:val="es-PE" w:eastAsia="es-ES"/>
        </w:rPr>
        <w:t>α</w:t>
      </w:r>
      <w:r w:rsidRPr="00FE2D92">
        <w:rPr>
          <w:lang w:val="en-US" w:eastAsia="es-ES"/>
        </w:rPr>
        <w:t>/</w:t>
      </w:r>
      <w:r w:rsidRPr="00FE2D92">
        <w:rPr>
          <w:lang w:val="es-PE" w:eastAsia="es-ES"/>
        </w:rPr>
        <w:t>β</w:t>
      </w:r>
      <w:r w:rsidRPr="00FE2D92">
        <w:rPr>
          <w:lang w:val="en-US" w:eastAsia="es-ES"/>
        </w:rPr>
        <w:t xml:space="preserve">-mediated nuclear import able to inhibit replication of HIV-1 and dengue virus. </w:t>
      </w:r>
      <w:proofErr w:type="spellStart"/>
      <w:r w:rsidRPr="00FE2D92">
        <w:rPr>
          <w:lang w:val="es-PE" w:eastAsia="es-ES"/>
        </w:rPr>
        <w:t>Biochemical</w:t>
      </w:r>
      <w:proofErr w:type="spellEnd"/>
      <w:r w:rsidRPr="00FE2D92">
        <w:rPr>
          <w:lang w:val="es-PE" w:eastAsia="es-ES"/>
        </w:rPr>
        <w:t xml:space="preserve"> </w:t>
      </w:r>
      <w:proofErr w:type="spellStart"/>
      <w:r w:rsidRPr="00FE2D92">
        <w:rPr>
          <w:lang w:val="es-PE" w:eastAsia="es-ES"/>
        </w:rPr>
        <w:t>Journal</w:t>
      </w:r>
      <w:proofErr w:type="spellEnd"/>
      <w:r w:rsidRPr="00FE2D92">
        <w:rPr>
          <w:lang w:val="es-PE" w:eastAsia="es-ES"/>
        </w:rPr>
        <w:t xml:space="preserve">. 2012 [acceso: 04/01/2021]; 443(3):851-6. Disponible en: </w:t>
      </w:r>
      <w:hyperlink r:id="rId20" w:history="1">
        <w:r w:rsidRPr="00FE2D92">
          <w:rPr>
            <w:rFonts w:eastAsia="Calibri"/>
            <w:color w:val="0000FF"/>
            <w:u w:val="single"/>
            <w:lang w:val="es-PE" w:eastAsia="es-ES"/>
          </w:rPr>
          <w:t>https://www.ncbi.nlm.nih.gov/pmc/articles/PMC3327999/</w:t>
        </w:r>
      </w:hyperlink>
      <w:r w:rsidRPr="00FE2D92">
        <w:rPr>
          <w:lang w:val="es-PE" w:eastAsia="es-ES"/>
        </w:rPr>
        <w:t xml:space="preserve"> </w:t>
      </w:r>
    </w:p>
    <w:p w14:paraId="61D05993" w14:textId="77777777" w:rsidR="00FE2D92" w:rsidRPr="00FE2D92" w:rsidRDefault="00FE2D92" w:rsidP="00FE2D92">
      <w:pPr>
        <w:spacing w:line="360" w:lineRule="auto"/>
        <w:rPr>
          <w:lang w:val="es-PE" w:eastAsia="es-ES"/>
        </w:rPr>
      </w:pPr>
      <w:r w:rsidRPr="00FE2D92">
        <w:rPr>
          <w:lang w:val="es-PE" w:eastAsia="es-ES"/>
        </w:rPr>
        <w:t xml:space="preserve">9. Ministerio de Salud del Perú. Documento Técnico: Prevención, Diagnóstico y Tratamiento de personas afectadas por COVID-19 en el Perú. Resolución Ministerial </w:t>
      </w:r>
      <w:proofErr w:type="spellStart"/>
      <w:r w:rsidRPr="00FE2D92">
        <w:rPr>
          <w:lang w:val="es-PE" w:eastAsia="es-ES"/>
        </w:rPr>
        <w:t>N°</w:t>
      </w:r>
      <w:proofErr w:type="spellEnd"/>
      <w:r w:rsidRPr="00FE2D92">
        <w:rPr>
          <w:lang w:val="es-PE" w:eastAsia="es-ES"/>
        </w:rPr>
        <w:t xml:space="preserve"> 193-2020-MINSA. Lima: MINSA; 2020 [acceso:15/01/2021]. Disponible en: </w:t>
      </w:r>
      <w:hyperlink r:id="rId21" w:history="1">
        <w:r w:rsidRPr="00FE2D92">
          <w:rPr>
            <w:rFonts w:eastAsia="Calibri"/>
            <w:color w:val="0000FF"/>
            <w:u w:val="single"/>
            <w:lang w:val="es-PE" w:eastAsia="es-ES"/>
          </w:rPr>
          <w:t>https://www.gob.pe/institucion/minsa/informes-</w:t>
        </w:r>
        <w:r w:rsidRPr="00FE2D92">
          <w:rPr>
            <w:rFonts w:eastAsia="Calibri"/>
            <w:color w:val="0000FF"/>
            <w:u w:val="single"/>
            <w:lang w:val="es-PE" w:eastAsia="es-ES"/>
          </w:rPr>
          <w:lastRenderedPageBreak/>
          <w:t>publicaciones/473587-prevencion-diagnostico-ytratamiento-de-personas-afectadas-por-covid-19-en-el-peru</w:t>
        </w:r>
      </w:hyperlink>
      <w:r w:rsidRPr="00FE2D92">
        <w:rPr>
          <w:lang w:val="es-PE" w:eastAsia="es-ES"/>
        </w:rPr>
        <w:t xml:space="preserve"> </w:t>
      </w:r>
    </w:p>
    <w:p w14:paraId="11093C2A" w14:textId="77777777" w:rsidR="00FE2D92" w:rsidRPr="00FE2D92" w:rsidRDefault="00FE2D92" w:rsidP="00FE2D92">
      <w:pPr>
        <w:spacing w:line="360" w:lineRule="auto"/>
        <w:rPr>
          <w:lang w:val="en-US" w:eastAsia="es-ES"/>
        </w:rPr>
      </w:pPr>
      <w:r w:rsidRPr="00FE2D92">
        <w:rPr>
          <w:lang w:val="en-US" w:eastAsia="es-ES"/>
        </w:rPr>
        <w:t xml:space="preserve">10. </w:t>
      </w:r>
      <w:proofErr w:type="spellStart"/>
      <w:r w:rsidRPr="00FE2D92">
        <w:rPr>
          <w:lang w:val="en-US" w:eastAsia="es-ES"/>
        </w:rPr>
        <w:t>Saha</w:t>
      </w:r>
      <w:proofErr w:type="spellEnd"/>
      <w:r w:rsidRPr="00FE2D92">
        <w:rPr>
          <w:lang w:val="en-US" w:eastAsia="es-ES"/>
        </w:rPr>
        <w:t xml:space="preserve"> </w:t>
      </w:r>
      <w:proofErr w:type="spellStart"/>
      <w:r w:rsidRPr="00FE2D92">
        <w:rPr>
          <w:lang w:val="en-US" w:eastAsia="es-ES"/>
        </w:rPr>
        <w:t>Podder</w:t>
      </w:r>
      <w:proofErr w:type="spellEnd"/>
      <w:r w:rsidRPr="00FE2D92">
        <w:rPr>
          <w:lang w:val="en-US" w:eastAsia="es-ES"/>
        </w:rPr>
        <w:t xml:space="preserve"> C, Chowdhury N, </w:t>
      </w:r>
      <w:proofErr w:type="spellStart"/>
      <w:r w:rsidRPr="00FE2D92">
        <w:rPr>
          <w:lang w:val="en-US" w:eastAsia="es-ES"/>
        </w:rPr>
        <w:t>Ibne</w:t>
      </w:r>
      <w:proofErr w:type="spellEnd"/>
      <w:r w:rsidRPr="00FE2D92">
        <w:rPr>
          <w:lang w:val="en-US" w:eastAsia="es-ES"/>
        </w:rPr>
        <w:t xml:space="preserve"> </w:t>
      </w:r>
      <w:proofErr w:type="spellStart"/>
      <w:r w:rsidRPr="00FE2D92">
        <w:rPr>
          <w:lang w:val="en-US" w:eastAsia="es-ES"/>
        </w:rPr>
        <w:t>Sina</w:t>
      </w:r>
      <w:proofErr w:type="spellEnd"/>
      <w:r w:rsidRPr="00FE2D92">
        <w:rPr>
          <w:lang w:val="en-US" w:eastAsia="es-ES"/>
        </w:rPr>
        <w:t xml:space="preserve"> M, </w:t>
      </w:r>
      <w:proofErr w:type="spellStart"/>
      <w:r w:rsidRPr="00FE2D92">
        <w:rPr>
          <w:lang w:val="en-US" w:eastAsia="es-ES"/>
        </w:rPr>
        <w:t>Wasin</w:t>
      </w:r>
      <w:proofErr w:type="spellEnd"/>
      <w:r w:rsidRPr="00FE2D92">
        <w:rPr>
          <w:lang w:val="en-US" w:eastAsia="es-ES"/>
        </w:rPr>
        <w:t xml:space="preserve"> </w:t>
      </w:r>
      <w:proofErr w:type="spellStart"/>
      <w:r w:rsidRPr="00FE2D92">
        <w:rPr>
          <w:lang w:val="en-US" w:eastAsia="es-ES"/>
        </w:rPr>
        <w:t>Mohosin</w:t>
      </w:r>
      <w:proofErr w:type="spellEnd"/>
      <w:r w:rsidRPr="00FE2D92">
        <w:rPr>
          <w:lang w:val="en-US" w:eastAsia="es-ES"/>
        </w:rPr>
        <w:t xml:space="preserve"> H. Outcome of ivermectin treated mild to moderate COVID-19 cases: a single-</w:t>
      </w:r>
      <w:proofErr w:type="spellStart"/>
      <w:r w:rsidRPr="00FE2D92">
        <w:rPr>
          <w:lang w:val="en-US" w:eastAsia="es-ES"/>
        </w:rPr>
        <w:t>centre</w:t>
      </w:r>
      <w:proofErr w:type="spellEnd"/>
      <w:r w:rsidRPr="00FE2D92">
        <w:rPr>
          <w:lang w:val="en-US" w:eastAsia="es-ES"/>
        </w:rPr>
        <w:t xml:space="preserve">, open-label, </w:t>
      </w:r>
      <w:proofErr w:type="spellStart"/>
      <w:r w:rsidRPr="00FE2D92">
        <w:rPr>
          <w:lang w:val="en-US" w:eastAsia="es-ES"/>
        </w:rPr>
        <w:t>randomised</w:t>
      </w:r>
      <w:proofErr w:type="spellEnd"/>
      <w:r w:rsidRPr="00FE2D92">
        <w:rPr>
          <w:lang w:val="en-US" w:eastAsia="es-ES"/>
        </w:rPr>
        <w:t xml:space="preserve"> controlled study. IMC Journal of Medical Science. 2020 [</w:t>
      </w:r>
      <w:proofErr w:type="spellStart"/>
      <w:r w:rsidRPr="00FE2D92">
        <w:rPr>
          <w:lang w:val="en-US" w:eastAsia="es-ES"/>
        </w:rPr>
        <w:t>acceso</w:t>
      </w:r>
      <w:proofErr w:type="spellEnd"/>
      <w:r w:rsidRPr="00FE2D92">
        <w:rPr>
          <w:lang w:val="en-US" w:eastAsia="es-ES"/>
        </w:rPr>
        <w:t xml:space="preserve">: 09/01/2021]; 4(2):1-10. Disponible </w:t>
      </w:r>
      <w:proofErr w:type="spellStart"/>
      <w:r w:rsidRPr="00FE2D92">
        <w:rPr>
          <w:lang w:val="en-US" w:eastAsia="es-ES"/>
        </w:rPr>
        <w:t>en</w:t>
      </w:r>
      <w:proofErr w:type="spellEnd"/>
      <w:r w:rsidRPr="00FE2D92">
        <w:rPr>
          <w:lang w:val="en-US" w:eastAsia="es-ES"/>
        </w:rPr>
        <w:t xml:space="preserve">: </w:t>
      </w:r>
      <w:hyperlink r:id="rId22" w:history="1">
        <w:r w:rsidRPr="00FE2D92">
          <w:rPr>
            <w:rFonts w:eastAsia="Calibri"/>
            <w:color w:val="0000FF"/>
            <w:u w:val="single"/>
            <w:lang w:val="en-US" w:eastAsia="es-ES"/>
          </w:rPr>
          <w:t>https://www.banglajol.info/index.php/IMCJMS/article/view/52826</w:t>
        </w:r>
      </w:hyperlink>
      <w:r w:rsidRPr="00FE2D92">
        <w:rPr>
          <w:lang w:val="en-US" w:eastAsia="es-ES"/>
        </w:rPr>
        <w:t xml:space="preserve"> </w:t>
      </w:r>
    </w:p>
    <w:p w14:paraId="2A55CFFB" w14:textId="77777777" w:rsidR="00FE2D92" w:rsidRPr="00FE2D92" w:rsidRDefault="00FE2D92" w:rsidP="00FE2D92">
      <w:pPr>
        <w:spacing w:line="360" w:lineRule="auto"/>
        <w:rPr>
          <w:lang w:val="es-CU" w:eastAsia="es-ES"/>
        </w:rPr>
      </w:pPr>
      <w:r w:rsidRPr="00FE2D92">
        <w:rPr>
          <w:lang w:val="es-PE" w:eastAsia="es-ES"/>
        </w:rPr>
        <w:t xml:space="preserve">11. Soto-Becerra P, </w:t>
      </w:r>
      <w:proofErr w:type="spellStart"/>
      <w:r w:rsidRPr="00FE2D92">
        <w:rPr>
          <w:lang w:val="es-PE" w:eastAsia="es-ES"/>
        </w:rPr>
        <w:t>Culquichicón</w:t>
      </w:r>
      <w:proofErr w:type="spellEnd"/>
      <w:r w:rsidRPr="00FE2D92">
        <w:rPr>
          <w:lang w:val="es-PE" w:eastAsia="es-ES"/>
        </w:rPr>
        <w:t xml:space="preserve"> C, Hurtado-Roca Y, Araujo-Castillo RV. </w:t>
      </w:r>
      <w:r w:rsidRPr="00FE2D92">
        <w:rPr>
          <w:lang w:val="en-US" w:eastAsia="es-ES"/>
        </w:rPr>
        <w:t xml:space="preserve">Real-world effectiveness of Hydroxychloroquine, Azithromycin, and Ivermectin among hospitalized COVID-19 patients: Results of a target trial emulation using observational data from a nationwide healthcare system in Peru. </w:t>
      </w:r>
      <w:proofErr w:type="spellStart"/>
      <w:r w:rsidRPr="00FE2D92">
        <w:rPr>
          <w:lang w:val="es-CU" w:eastAsia="es-ES"/>
        </w:rPr>
        <w:t>MedRxiv</w:t>
      </w:r>
      <w:proofErr w:type="spellEnd"/>
      <w:r w:rsidRPr="00FE2D92">
        <w:rPr>
          <w:lang w:val="es-CU" w:eastAsia="es-ES"/>
        </w:rPr>
        <w:t xml:space="preserve"> [</w:t>
      </w:r>
      <w:proofErr w:type="spellStart"/>
      <w:r w:rsidRPr="00FE2D92">
        <w:rPr>
          <w:lang w:val="es-CU" w:eastAsia="es-ES"/>
        </w:rPr>
        <w:t>preprint</w:t>
      </w:r>
      <w:proofErr w:type="spellEnd"/>
      <w:r w:rsidRPr="00FE2D92">
        <w:rPr>
          <w:lang w:val="es-CU" w:eastAsia="es-ES"/>
        </w:rPr>
        <w:t xml:space="preserve">]. 2020 [acceso: 05/01/2021]: [aprox. 25 p]. Disponible en: </w:t>
      </w:r>
      <w:hyperlink r:id="rId23" w:history="1">
        <w:r w:rsidRPr="00FE2D92">
          <w:rPr>
            <w:rFonts w:eastAsia="Calibri"/>
            <w:color w:val="0000FF"/>
            <w:u w:val="single"/>
            <w:lang w:val="es-CU" w:eastAsia="es-ES"/>
          </w:rPr>
          <w:t>https://www.medrxiv.org/content/10.1101/2020.10.06.20208066v3.full.pdf</w:t>
        </w:r>
      </w:hyperlink>
      <w:r w:rsidRPr="00FE2D92">
        <w:rPr>
          <w:lang w:val="es-CU" w:eastAsia="es-ES"/>
        </w:rPr>
        <w:t xml:space="preserve"> </w:t>
      </w:r>
    </w:p>
    <w:p w14:paraId="391896EB" w14:textId="77777777" w:rsidR="00FE2D92" w:rsidRPr="00FE2D92" w:rsidRDefault="00FE2D92" w:rsidP="00FE2D92">
      <w:pPr>
        <w:spacing w:line="360" w:lineRule="auto"/>
        <w:rPr>
          <w:lang w:val="es-PE" w:eastAsia="es-ES"/>
        </w:rPr>
      </w:pPr>
      <w:r w:rsidRPr="00FE2D92">
        <w:rPr>
          <w:lang w:val="es-PE" w:eastAsia="es-ES"/>
        </w:rPr>
        <w:t xml:space="preserve">12. Camprubí D, </w:t>
      </w:r>
      <w:proofErr w:type="spellStart"/>
      <w:r w:rsidRPr="00FE2D92">
        <w:rPr>
          <w:lang w:val="es-PE" w:eastAsia="es-ES"/>
        </w:rPr>
        <w:t>Almuedo</w:t>
      </w:r>
      <w:proofErr w:type="spellEnd"/>
      <w:r w:rsidRPr="00FE2D92">
        <w:rPr>
          <w:lang w:val="es-PE" w:eastAsia="es-ES"/>
        </w:rPr>
        <w:t xml:space="preserve">-Riera A, Martí-Soler H, Soriano A, Hurtado JC, </w:t>
      </w:r>
      <w:proofErr w:type="spellStart"/>
      <w:r w:rsidRPr="00FE2D92">
        <w:rPr>
          <w:lang w:val="es-PE" w:eastAsia="es-ES"/>
        </w:rPr>
        <w:t>Subirà</w:t>
      </w:r>
      <w:proofErr w:type="spellEnd"/>
      <w:r w:rsidRPr="00FE2D92">
        <w:rPr>
          <w:lang w:val="es-PE" w:eastAsia="es-ES"/>
        </w:rPr>
        <w:t xml:space="preserve"> C, et al. </w:t>
      </w:r>
      <w:r w:rsidRPr="00FE2D92">
        <w:rPr>
          <w:lang w:val="en-US" w:eastAsia="es-ES"/>
        </w:rPr>
        <w:t xml:space="preserve">Lack of efficacy of standard doses of ivermectin in severe COVID-19 patients. </w:t>
      </w:r>
      <w:r w:rsidRPr="00F02833">
        <w:rPr>
          <w:lang w:val="es-CU" w:eastAsia="es-ES"/>
        </w:rPr>
        <w:t xml:space="preserve">PLOS ONE. 2020 [acceso: 09/01/2021]; 15(11):1-6. </w:t>
      </w:r>
      <w:r w:rsidRPr="00FE2D92">
        <w:rPr>
          <w:lang w:val="es-PE" w:eastAsia="es-ES"/>
        </w:rPr>
        <w:t xml:space="preserve">Disponible en: </w:t>
      </w:r>
      <w:hyperlink r:id="rId24" w:history="1">
        <w:r w:rsidRPr="00FE2D92">
          <w:rPr>
            <w:rFonts w:eastAsia="Calibri"/>
            <w:color w:val="0000FF"/>
            <w:u w:val="single"/>
            <w:lang w:val="es-PE" w:eastAsia="es-ES"/>
          </w:rPr>
          <w:t>https://journals.plos.org/plosone/article?id=10.1371/journal.pone.0242184</w:t>
        </w:r>
      </w:hyperlink>
      <w:r w:rsidRPr="00FE2D92">
        <w:rPr>
          <w:lang w:val="es-PE" w:eastAsia="es-ES"/>
        </w:rPr>
        <w:t xml:space="preserve"> </w:t>
      </w:r>
    </w:p>
    <w:p w14:paraId="7F627AD3" w14:textId="77777777" w:rsidR="00FE2D92" w:rsidRPr="00FE2D92" w:rsidRDefault="00FE2D92" w:rsidP="00FE2D92">
      <w:pPr>
        <w:spacing w:line="360" w:lineRule="auto"/>
        <w:rPr>
          <w:lang w:val="es-PE" w:eastAsia="es-ES"/>
        </w:rPr>
      </w:pPr>
      <w:r w:rsidRPr="00FE2D92">
        <w:rPr>
          <w:lang w:val="en-US" w:eastAsia="es-ES"/>
        </w:rPr>
        <w:t xml:space="preserve">13. </w:t>
      </w:r>
      <w:proofErr w:type="spellStart"/>
      <w:r w:rsidRPr="00FE2D92">
        <w:rPr>
          <w:lang w:val="en-US" w:eastAsia="es-ES"/>
        </w:rPr>
        <w:t>Spoorthi</w:t>
      </w:r>
      <w:proofErr w:type="spellEnd"/>
      <w:r w:rsidRPr="00FE2D92">
        <w:rPr>
          <w:lang w:val="en-US" w:eastAsia="es-ES"/>
        </w:rPr>
        <w:t xml:space="preserve"> V, </w:t>
      </w:r>
      <w:proofErr w:type="spellStart"/>
      <w:r w:rsidRPr="00FE2D92">
        <w:rPr>
          <w:lang w:val="en-US" w:eastAsia="es-ES"/>
        </w:rPr>
        <w:t>Sasank</w:t>
      </w:r>
      <w:proofErr w:type="spellEnd"/>
      <w:r w:rsidRPr="00FE2D92">
        <w:rPr>
          <w:lang w:val="en-US" w:eastAsia="es-ES"/>
        </w:rPr>
        <w:t xml:space="preserve"> S. Utility of Ivermectin and Doxycycline combination for the treatment of SARSCoV-2. </w:t>
      </w:r>
      <w:r w:rsidRPr="00FE2D92">
        <w:rPr>
          <w:lang w:val="es-PE" w:eastAsia="es-ES"/>
        </w:rPr>
        <w:t xml:space="preserve">IAIM. 2020 [acceso: 08/01/2021]; 7(10):177-82. Disponible en: </w:t>
      </w:r>
      <w:hyperlink r:id="rId25" w:history="1">
        <w:r w:rsidRPr="00FE2D92">
          <w:rPr>
            <w:rFonts w:eastAsia="Calibri"/>
            <w:color w:val="0000FF"/>
            <w:u w:val="single"/>
            <w:lang w:val="es-PE" w:eastAsia="es-ES"/>
          </w:rPr>
          <w:t>https://iaimjournal.com/wp-content/uploads/2020/10/iaim_2020_0710_23.pdf</w:t>
        </w:r>
      </w:hyperlink>
      <w:r w:rsidRPr="00FE2D92">
        <w:rPr>
          <w:lang w:val="es-PE" w:eastAsia="es-ES"/>
        </w:rPr>
        <w:t xml:space="preserve"> </w:t>
      </w:r>
    </w:p>
    <w:p w14:paraId="000EFF78" w14:textId="77777777" w:rsidR="00FE2D92" w:rsidRPr="00FE2D92" w:rsidRDefault="00FE2D92" w:rsidP="00FE2D92">
      <w:pPr>
        <w:spacing w:line="360" w:lineRule="auto"/>
        <w:rPr>
          <w:lang w:val="es-PE" w:eastAsia="es-ES"/>
        </w:rPr>
      </w:pPr>
      <w:r w:rsidRPr="00FE2D92">
        <w:rPr>
          <w:lang w:val="es-PE" w:eastAsia="es-ES"/>
        </w:rPr>
        <w:t xml:space="preserve">14. OMS. La OMS interrumpe los grupos de tratamiento de la COVID-19 con hidroxicloroquina y con la combinación </w:t>
      </w:r>
      <w:proofErr w:type="spellStart"/>
      <w:r w:rsidRPr="00FE2D92">
        <w:rPr>
          <w:lang w:val="es-PE" w:eastAsia="es-ES"/>
        </w:rPr>
        <w:t>lopinavir</w:t>
      </w:r>
      <w:proofErr w:type="spellEnd"/>
      <w:r w:rsidRPr="00FE2D92">
        <w:rPr>
          <w:lang w:val="es-PE" w:eastAsia="es-ES"/>
        </w:rPr>
        <w:t>/</w:t>
      </w:r>
      <w:proofErr w:type="spellStart"/>
      <w:r w:rsidRPr="00FE2D92">
        <w:rPr>
          <w:lang w:val="es-PE" w:eastAsia="es-ES"/>
        </w:rPr>
        <w:t>ritonavir</w:t>
      </w:r>
      <w:proofErr w:type="spellEnd"/>
      <w:r w:rsidRPr="00FE2D92">
        <w:rPr>
          <w:lang w:val="es-PE" w:eastAsia="es-ES"/>
        </w:rPr>
        <w:t xml:space="preserve">. WHO, Noticias; 2020. [acceso: 07/01/2021]. Disponible en: </w:t>
      </w:r>
      <w:hyperlink r:id="rId26" w:history="1">
        <w:r w:rsidRPr="00FE2D92">
          <w:rPr>
            <w:rFonts w:eastAsia="Calibri"/>
            <w:color w:val="0000FF"/>
            <w:u w:val="single"/>
            <w:lang w:val="es-PE" w:eastAsia="es-ES"/>
          </w:rPr>
          <w:t>https://www.who.int/es/news/item/04-07-2020-who-discontinues-hydroxychloroquine-and-lopinavir-ritonavir-treatment-arms-for-covid-19</w:t>
        </w:r>
      </w:hyperlink>
      <w:r w:rsidRPr="00FE2D92">
        <w:rPr>
          <w:lang w:val="es-PE" w:eastAsia="es-ES"/>
        </w:rPr>
        <w:t xml:space="preserve"> </w:t>
      </w:r>
    </w:p>
    <w:p w14:paraId="5A6B5A29" w14:textId="77777777" w:rsidR="00FE2D92" w:rsidRPr="00FE2D92" w:rsidRDefault="00FE2D92" w:rsidP="00FE2D92">
      <w:pPr>
        <w:spacing w:line="360" w:lineRule="auto"/>
        <w:rPr>
          <w:lang w:val="es-CU" w:eastAsia="es-ES"/>
        </w:rPr>
      </w:pPr>
      <w:r w:rsidRPr="00FE2D92">
        <w:rPr>
          <w:lang w:val="en-US" w:eastAsia="es-ES"/>
        </w:rPr>
        <w:t xml:space="preserve">15. Mohiuddin Chowdhury ATM, Shahbaz M, Karim M, Islam J, Dan G, He S. A comparative study on Ivermectin- Doxycycline and Hydroxychloroquine-Azithromycin therapy on COVID19 patients. </w:t>
      </w:r>
      <w:r w:rsidRPr="00FE2D92">
        <w:rPr>
          <w:lang w:val="es-CU" w:eastAsia="es-ES"/>
        </w:rPr>
        <w:t>EJMO; 2021; 5(1): 63-50. DOI: 10.14744/ejmo.2021.16263</w:t>
      </w:r>
    </w:p>
    <w:p w14:paraId="636EC03E" w14:textId="77777777" w:rsidR="00FE2D92" w:rsidRPr="00FE2D92" w:rsidRDefault="00FE2D92" w:rsidP="00FE2D92">
      <w:pPr>
        <w:spacing w:line="360" w:lineRule="auto"/>
        <w:rPr>
          <w:lang w:val="en-US" w:eastAsia="es-ES"/>
        </w:rPr>
      </w:pPr>
      <w:r w:rsidRPr="00FE2D92">
        <w:rPr>
          <w:lang w:val="es-PE" w:eastAsia="es-ES"/>
        </w:rPr>
        <w:t xml:space="preserve">16. Morgenstern J, Redondo JN, De León A, Canela JM, Torres N, Tavares J, et al. </w:t>
      </w:r>
      <w:r w:rsidRPr="00FE2D92">
        <w:rPr>
          <w:lang w:val="en-US" w:eastAsia="es-ES"/>
        </w:rPr>
        <w:t xml:space="preserve">The use of compassionate Ivermectin in the management of symptomatic outpatients and hospitalized patients with clinical diagnosis of COVID-19 at the Medical Center </w:t>
      </w:r>
      <w:proofErr w:type="spellStart"/>
      <w:r w:rsidRPr="00FE2D92">
        <w:rPr>
          <w:lang w:val="en-US" w:eastAsia="es-ES"/>
        </w:rPr>
        <w:t>Bournigal</w:t>
      </w:r>
      <w:proofErr w:type="spellEnd"/>
      <w:r w:rsidRPr="00FE2D92">
        <w:rPr>
          <w:lang w:val="en-US" w:eastAsia="es-ES"/>
        </w:rPr>
        <w:t xml:space="preserve"> and the Medical Center Punta </w:t>
      </w:r>
      <w:r w:rsidRPr="00FE2D92">
        <w:rPr>
          <w:lang w:val="en-US" w:eastAsia="es-ES"/>
        </w:rPr>
        <w:lastRenderedPageBreak/>
        <w:t xml:space="preserve">Cana, Rescue Group, Dominican Republic, from </w:t>
      </w:r>
      <w:proofErr w:type="spellStart"/>
      <w:r w:rsidRPr="00FE2D92">
        <w:rPr>
          <w:lang w:val="en-US" w:eastAsia="es-ES"/>
        </w:rPr>
        <w:t>may</w:t>
      </w:r>
      <w:proofErr w:type="spellEnd"/>
      <w:r w:rsidRPr="00FE2D92">
        <w:rPr>
          <w:lang w:val="en-US" w:eastAsia="es-ES"/>
        </w:rPr>
        <w:t xml:space="preserve"> 1 to august 10, 2020. </w:t>
      </w:r>
      <w:proofErr w:type="spellStart"/>
      <w:r w:rsidRPr="00FE2D92">
        <w:rPr>
          <w:lang w:val="en-US" w:eastAsia="es-ES"/>
        </w:rPr>
        <w:t>MedRxiv</w:t>
      </w:r>
      <w:proofErr w:type="spellEnd"/>
      <w:r w:rsidRPr="00FE2D92">
        <w:rPr>
          <w:lang w:val="en-US" w:eastAsia="es-ES"/>
        </w:rPr>
        <w:t xml:space="preserve"> [preprint]. 2020 [</w:t>
      </w:r>
      <w:proofErr w:type="spellStart"/>
      <w:r w:rsidRPr="00FE2D92">
        <w:rPr>
          <w:lang w:val="en-US" w:eastAsia="es-ES"/>
        </w:rPr>
        <w:t>acceso</w:t>
      </w:r>
      <w:proofErr w:type="spellEnd"/>
      <w:r w:rsidRPr="00FE2D92">
        <w:rPr>
          <w:lang w:val="en-US" w:eastAsia="es-ES"/>
        </w:rPr>
        <w:t xml:space="preserve">: 08/01/2021]:1-16. DOI: 10.1101/2020.10.29.20222505 </w:t>
      </w:r>
    </w:p>
    <w:p w14:paraId="2AD200D6" w14:textId="77777777" w:rsidR="00FE2D92" w:rsidRPr="00FE2D92" w:rsidRDefault="00FE2D92" w:rsidP="00FE2D92">
      <w:pPr>
        <w:spacing w:line="360" w:lineRule="auto"/>
        <w:rPr>
          <w:lang w:val="es-PE" w:eastAsia="es-ES"/>
        </w:rPr>
      </w:pPr>
      <w:r w:rsidRPr="00FE2D92">
        <w:rPr>
          <w:lang w:val="en-US" w:eastAsia="es-ES"/>
        </w:rPr>
        <w:t xml:space="preserve">17. </w:t>
      </w:r>
      <w:proofErr w:type="spellStart"/>
      <w:r w:rsidRPr="00FE2D92">
        <w:rPr>
          <w:lang w:val="en-US" w:eastAsia="es-ES"/>
        </w:rPr>
        <w:t>Alam</w:t>
      </w:r>
      <w:proofErr w:type="spellEnd"/>
      <w:r w:rsidRPr="00FE2D92">
        <w:rPr>
          <w:lang w:val="en-US" w:eastAsia="es-ES"/>
        </w:rPr>
        <w:t xml:space="preserve"> MT, </w:t>
      </w:r>
      <w:proofErr w:type="spellStart"/>
      <w:r w:rsidRPr="00FE2D92">
        <w:rPr>
          <w:lang w:val="en-US" w:eastAsia="es-ES"/>
        </w:rPr>
        <w:t>Murshed</w:t>
      </w:r>
      <w:proofErr w:type="spellEnd"/>
      <w:r w:rsidRPr="00FE2D92">
        <w:rPr>
          <w:lang w:val="en-US" w:eastAsia="es-ES"/>
        </w:rPr>
        <w:t xml:space="preserve"> R, </w:t>
      </w:r>
      <w:proofErr w:type="spellStart"/>
      <w:r w:rsidRPr="00FE2D92">
        <w:rPr>
          <w:lang w:val="en-US" w:eastAsia="es-ES"/>
        </w:rPr>
        <w:t>Bhiuyan</w:t>
      </w:r>
      <w:proofErr w:type="spellEnd"/>
      <w:r w:rsidRPr="00FE2D92">
        <w:rPr>
          <w:lang w:val="en-US" w:eastAsia="es-ES"/>
        </w:rPr>
        <w:t xml:space="preserve"> E, Saber S, </w:t>
      </w:r>
      <w:proofErr w:type="spellStart"/>
      <w:r w:rsidRPr="00FE2D92">
        <w:rPr>
          <w:lang w:val="en-US" w:eastAsia="es-ES"/>
        </w:rPr>
        <w:t>Alam</w:t>
      </w:r>
      <w:proofErr w:type="spellEnd"/>
      <w:r w:rsidRPr="00FE2D92">
        <w:rPr>
          <w:lang w:val="en-US" w:eastAsia="es-ES"/>
        </w:rPr>
        <w:t xml:space="preserve"> RF, Robin RC. A Case Series of 100 COVID-19 Positive Patients Treated with Combination of Ivermectin and Doxycycline. Journal of Bangladesh College of Physicians and Surgeons. 2020 [</w:t>
      </w:r>
      <w:proofErr w:type="spellStart"/>
      <w:r w:rsidRPr="00FE2D92">
        <w:rPr>
          <w:lang w:val="en-US" w:eastAsia="es-ES"/>
        </w:rPr>
        <w:t>acceso</w:t>
      </w:r>
      <w:proofErr w:type="spellEnd"/>
      <w:r w:rsidRPr="00FE2D92">
        <w:rPr>
          <w:lang w:val="en-US" w:eastAsia="es-ES"/>
        </w:rPr>
        <w:t xml:space="preserve">: 09/01/2021]; 38(Supplement):10-5. </w:t>
      </w:r>
      <w:r w:rsidRPr="00FE2D92">
        <w:rPr>
          <w:lang w:val="es-PE" w:eastAsia="es-ES"/>
        </w:rPr>
        <w:t xml:space="preserve">Disponible en: </w:t>
      </w:r>
      <w:hyperlink r:id="rId27" w:history="1">
        <w:r w:rsidRPr="00FE2D92">
          <w:rPr>
            <w:rFonts w:eastAsia="Calibri"/>
            <w:color w:val="0000FF"/>
            <w:u w:val="single"/>
            <w:lang w:val="es-PE" w:eastAsia="es-ES"/>
          </w:rPr>
          <w:t>https://www.banglajol.info/index.php/JBCPS/article/view/47512</w:t>
        </w:r>
      </w:hyperlink>
      <w:r w:rsidRPr="00FE2D92">
        <w:rPr>
          <w:lang w:val="es-PE" w:eastAsia="es-ES"/>
        </w:rPr>
        <w:t xml:space="preserve"> </w:t>
      </w:r>
    </w:p>
    <w:p w14:paraId="5576E450" w14:textId="77777777" w:rsidR="00FE2D92" w:rsidRPr="00FE2D92" w:rsidRDefault="00FE2D92" w:rsidP="00FE2D92">
      <w:pPr>
        <w:spacing w:line="360" w:lineRule="auto"/>
        <w:rPr>
          <w:lang w:val="en-US" w:eastAsia="es-ES"/>
        </w:rPr>
      </w:pPr>
      <w:r w:rsidRPr="00FE2D92">
        <w:rPr>
          <w:lang w:val="en-US" w:eastAsia="es-ES"/>
        </w:rPr>
        <w:t>18. PAHO/WHO. Ongoing Living Update of Potential COVID-19 Therapeutics: summary of rapid systematic reviews. Pan American Health Organization; 2020. [</w:t>
      </w:r>
      <w:proofErr w:type="spellStart"/>
      <w:r w:rsidRPr="00FE2D92">
        <w:rPr>
          <w:lang w:val="en-US" w:eastAsia="es-ES"/>
        </w:rPr>
        <w:t>acceso</w:t>
      </w:r>
      <w:proofErr w:type="spellEnd"/>
      <w:r w:rsidRPr="00FE2D92">
        <w:rPr>
          <w:lang w:val="en-US" w:eastAsia="es-ES"/>
        </w:rPr>
        <w:t xml:space="preserve">: 15/01/2021]. Disponible </w:t>
      </w:r>
      <w:proofErr w:type="spellStart"/>
      <w:r w:rsidRPr="00FE2D92">
        <w:rPr>
          <w:lang w:val="en-US" w:eastAsia="es-ES"/>
        </w:rPr>
        <w:t>en</w:t>
      </w:r>
      <w:proofErr w:type="spellEnd"/>
      <w:r w:rsidRPr="00FE2D92">
        <w:rPr>
          <w:lang w:val="en-US" w:eastAsia="es-ES"/>
        </w:rPr>
        <w:t xml:space="preserve">: </w:t>
      </w:r>
      <w:hyperlink r:id="rId28" w:history="1">
        <w:r w:rsidRPr="00FE2D92">
          <w:rPr>
            <w:rFonts w:eastAsia="Calibri"/>
            <w:color w:val="0000FF"/>
            <w:u w:val="single"/>
            <w:lang w:val="en-US" w:eastAsia="es-ES"/>
          </w:rPr>
          <w:t>https://www.paho.org/en/documents/ongoing-living-update-potential-covid-19-therapeutics-summary-rapid-systematic-reviews</w:t>
        </w:r>
      </w:hyperlink>
      <w:r w:rsidRPr="00FE2D92">
        <w:rPr>
          <w:lang w:val="en-US" w:eastAsia="es-ES"/>
        </w:rPr>
        <w:t xml:space="preserve"> </w:t>
      </w:r>
    </w:p>
    <w:p w14:paraId="4D21B158" w14:textId="77777777" w:rsidR="00FE2D92" w:rsidRPr="00FE2D92" w:rsidRDefault="00FE2D92" w:rsidP="00FE2D92">
      <w:pPr>
        <w:spacing w:line="360" w:lineRule="auto"/>
        <w:rPr>
          <w:lang w:val="en-US" w:eastAsia="es-ES"/>
        </w:rPr>
      </w:pPr>
      <w:r w:rsidRPr="00FE2D92">
        <w:rPr>
          <w:lang w:val="en-US" w:eastAsia="es-ES"/>
        </w:rPr>
        <w:t xml:space="preserve">19. </w:t>
      </w:r>
      <w:proofErr w:type="spellStart"/>
      <w:r w:rsidRPr="00FE2D92">
        <w:rPr>
          <w:lang w:val="en-US" w:eastAsia="es-ES"/>
        </w:rPr>
        <w:t>Rajter</w:t>
      </w:r>
      <w:proofErr w:type="spellEnd"/>
      <w:r w:rsidRPr="00FE2D92">
        <w:rPr>
          <w:lang w:val="en-US" w:eastAsia="es-ES"/>
        </w:rPr>
        <w:t xml:space="preserve"> JC, Sherman MS, </w:t>
      </w:r>
      <w:proofErr w:type="spellStart"/>
      <w:r w:rsidRPr="00FE2D92">
        <w:rPr>
          <w:lang w:val="en-US" w:eastAsia="es-ES"/>
        </w:rPr>
        <w:t>Fatteh</w:t>
      </w:r>
      <w:proofErr w:type="spellEnd"/>
      <w:r w:rsidRPr="00FE2D92">
        <w:rPr>
          <w:lang w:val="en-US" w:eastAsia="es-ES"/>
        </w:rPr>
        <w:t xml:space="preserve"> N, Vogel F, Sacks J, </w:t>
      </w:r>
      <w:proofErr w:type="spellStart"/>
      <w:r w:rsidRPr="00FE2D92">
        <w:rPr>
          <w:lang w:val="en-US" w:eastAsia="es-ES"/>
        </w:rPr>
        <w:t>Rajter</w:t>
      </w:r>
      <w:proofErr w:type="spellEnd"/>
      <w:r w:rsidRPr="00FE2D92">
        <w:rPr>
          <w:lang w:val="en-US" w:eastAsia="es-ES"/>
        </w:rPr>
        <w:t xml:space="preserve"> J-J. ICON (Ivermectin in COVID Nineteen) study: Use of Ivermectin is associated with lower mortality in hospitalized patients with COVID19. </w:t>
      </w:r>
      <w:proofErr w:type="spellStart"/>
      <w:r w:rsidRPr="00FE2D92">
        <w:rPr>
          <w:lang w:val="en-US" w:eastAsia="es-ES"/>
        </w:rPr>
        <w:t>MedRxiv</w:t>
      </w:r>
      <w:proofErr w:type="spellEnd"/>
      <w:r w:rsidRPr="00FE2D92">
        <w:rPr>
          <w:lang w:val="en-US" w:eastAsia="es-ES"/>
        </w:rPr>
        <w:t xml:space="preserve"> [preprint]. 2020 [</w:t>
      </w:r>
      <w:proofErr w:type="spellStart"/>
      <w:r w:rsidRPr="00FE2D92">
        <w:rPr>
          <w:lang w:val="en-US" w:eastAsia="es-ES"/>
        </w:rPr>
        <w:t>acceso</w:t>
      </w:r>
      <w:proofErr w:type="spellEnd"/>
      <w:r w:rsidRPr="00FE2D92">
        <w:rPr>
          <w:lang w:val="en-US" w:eastAsia="es-ES"/>
        </w:rPr>
        <w:t>: 04/01/2021]:1-18. DOI: 10.1101/2020.06.06.20124461</w:t>
      </w:r>
    </w:p>
    <w:p w14:paraId="209D6678" w14:textId="77777777" w:rsidR="00FE2D92" w:rsidRPr="00FE2D92" w:rsidRDefault="00FE2D92" w:rsidP="00FE2D92">
      <w:pPr>
        <w:spacing w:line="360" w:lineRule="auto"/>
        <w:rPr>
          <w:lang w:val="en-US" w:eastAsia="es-ES"/>
        </w:rPr>
      </w:pPr>
      <w:r w:rsidRPr="00FE2D92">
        <w:rPr>
          <w:lang w:val="en-US" w:eastAsia="es-ES"/>
        </w:rPr>
        <w:t xml:space="preserve">20. </w:t>
      </w:r>
      <w:proofErr w:type="spellStart"/>
      <w:r w:rsidRPr="00FE2D92">
        <w:rPr>
          <w:lang w:val="en-US" w:eastAsia="es-ES"/>
        </w:rPr>
        <w:t>Niaee</w:t>
      </w:r>
      <w:proofErr w:type="spellEnd"/>
      <w:r w:rsidRPr="00FE2D92">
        <w:rPr>
          <w:lang w:val="en-US" w:eastAsia="es-ES"/>
        </w:rPr>
        <w:t xml:space="preserve"> M, </w:t>
      </w:r>
      <w:proofErr w:type="spellStart"/>
      <w:r w:rsidRPr="00FE2D92">
        <w:rPr>
          <w:lang w:val="en-US" w:eastAsia="es-ES"/>
        </w:rPr>
        <w:t>Gheibi</w:t>
      </w:r>
      <w:proofErr w:type="spellEnd"/>
      <w:r w:rsidRPr="00FE2D92">
        <w:rPr>
          <w:lang w:val="en-US" w:eastAsia="es-ES"/>
        </w:rPr>
        <w:t xml:space="preserve"> N, </w:t>
      </w:r>
      <w:proofErr w:type="spellStart"/>
      <w:r w:rsidRPr="00FE2D92">
        <w:rPr>
          <w:lang w:val="en-US" w:eastAsia="es-ES"/>
        </w:rPr>
        <w:t>Namdar</w:t>
      </w:r>
      <w:proofErr w:type="spellEnd"/>
      <w:r w:rsidRPr="00FE2D92">
        <w:rPr>
          <w:lang w:val="en-US" w:eastAsia="es-ES"/>
        </w:rPr>
        <w:t xml:space="preserve"> P, </w:t>
      </w:r>
      <w:proofErr w:type="spellStart"/>
      <w:r w:rsidRPr="00FE2D92">
        <w:rPr>
          <w:lang w:val="en-US" w:eastAsia="es-ES"/>
        </w:rPr>
        <w:t>Allami</w:t>
      </w:r>
      <w:proofErr w:type="spellEnd"/>
      <w:r w:rsidRPr="00FE2D92">
        <w:rPr>
          <w:lang w:val="en-US" w:eastAsia="es-ES"/>
        </w:rPr>
        <w:t xml:space="preserve"> A, </w:t>
      </w:r>
      <w:proofErr w:type="spellStart"/>
      <w:r w:rsidRPr="00FE2D92">
        <w:rPr>
          <w:lang w:val="en-US" w:eastAsia="es-ES"/>
        </w:rPr>
        <w:t>Zolghadr</w:t>
      </w:r>
      <w:proofErr w:type="spellEnd"/>
      <w:r w:rsidRPr="00FE2D92">
        <w:rPr>
          <w:lang w:val="en-US" w:eastAsia="es-ES"/>
        </w:rPr>
        <w:t xml:space="preserve"> L, </w:t>
      </w:r>
      <w:proofErr w:type="spellStart"/>
      <w:r w:rsidRPr="00FE2D92">
        <w:rPr>
          <w:lang w:val="en-US" w:eastAsia="es-ES"/>
        </w:rPr>
        <w:t>Javadi</w:t>
      </w:r>
      <w:proofErr w:type="spellEnd"/>
      <w:r w:rsidRPr="00FE2D92">
        <w:rPr>
          <w:lang w:val="en-US" w:eastAsia="es-ES"/>
        </w:rPr>
        <w:t xml:space="preserve"> A, et al. Ivermectin as an adjunct treatment for hospitalized adult COVID-19 patients: A randomized multi-center clinical trial. </w:t>
      </w:r>
      <w:proofErr w:type="spellStart"/>
      <w:r w:rsidRPr="00FE2D92">
        <w:rPr>
          <w:lang w:val="en-US" w:eastAsia="es-ES"/>
        </w:rPr>
        <w:t>Researsh</w:t>
      </w:r>
      <w:proofErr w:type="spellEnd"/>
      <w:r w:rsidRPr="00FE2D92">
        <w:rPr>
          <w:lang w:val="en-US" w:eastAsia="es-ES"/>
        </w:rPr>
        <w:t xml:space="preserve"> Square [preprint]. 2020 [</w:t>
      </w:r>
      <w:proofErr w:type="spellStart"/>
      <w:r w:rsidRPr="00FE2D92">
        <w:rPr>
          <w:lang w:val="en-US" w:eastAsia="es-ES"/>
        </w:rPr>
        <w:t>acceso</w:t>
      </w:r>
      <w:proofErr w:type="spellEnd"/>
      <w:r w:rsidRPr="00FE2D92">
        <w:rPr>
          <w:lang w:val="en-US" w:eastAsia="es-ES"/>
        </w:rPr>
        <w:t xml:space="preserve">: 12/01/2021]:1-18 Disponible </w:t>
      </w:r>
      <w:proofErr w:type="spellStart"/>
      <w:r w:rsidRPr="00FE2D92">
        <w:rPr>
          <w:lang w:val="en-US" w:eastAsia="es-ES"/>
        </w:rPr>
        <w:t>en</w:t>
      </w:r>
      <w:proofErr w:type="spellEnd"/>
      <w:r w:rsidRPr="00FE2D92">
        <w:rPr>
          <w:lang w:val="en-US" w:eastAsia="es-ES"/>
        </w:rPr>
        <w:t xml:space="preserve">: </w:t>
      </w:r>
      <w:hyperlink r:id="rId29" w:history="1">
        <w:r w:rsidRPr="00FE2D92">
          <w:rPr>
            <w:rFonts w:eastAsia="Calibri"/>
            <w:color w:val="0000FF"/>
            <w:u w:val="single"/>
            <w:lang w:val="en-US" w:eastAsia="es-ES"/>
          </w:rPr>
          <w:t>https://www.apjtm.org/article.asp?issn=1995-7645;year=2021;volume=14;issue=6;spage=266;epage=273;aulast=Shakhsi</w:t>
        </w:r>
      </w:hyperlink>
      <w:r w:rsidRPr="00FE2D92">
        <w:rPr>
          <w:lang w:val="en-US" w:eastAsia="es-ES"/>
        </w:rPr>
        <w:t xml:space="preserve">  </w:t>
      </w:r>
    </w:p>
    <w:p w14:paraId="5170D9D7" w14:textId="77777777" w:rsidR="00FE2D92" w:rsidRPr="00FE2D92" w:rsidRDefault="00FE2D92" w:rsidP="00FE2D92">
      <w:pPr>
        <w:spacing w:line="360" w:lineRule="auto"/>
        <w:rPr>
          <w:lang w:val="en-US" w:eastAsia="es-ES"/>
        </w:rPr>
      </w:pPr>
      <w:r w:rsidRPr="00FE2D92">
        <w:rPr>
          <w:lang w:val="en-US" w:eastAsia="es-ES"/>
        </w:rPr>
        <w:t xml:space="preserve">21. </w:t>
      </w:r>
      <w:proofErr w:type="spellStart"/>
      <w:r w:rsidRPr="00FE2D92">
        <w:rPr>
          <w:lang w:val="en-US" w:eastAsia="es-ES"/>
        </w:rPr>
        <w:t>Elgazzar</w:t>
      </w:r>
      <w:proofErr w:type="spellEnd"/>
      <w:r w:rsidRPr="00FE2D92">
        <w:rPr>
          <w:lang w:val="en-US" w:eastAsia="es-ES"/>
        </w:rPr>
        <w:t xml:space="preserve"> A, </w:t>
      </w:r>
      <w:proofErr w:type="spellStart"/>
      <w:r w:rsidRPr="00FE2D92">
        <w:rPr>
          <w:lang w:val="en-US" w:eastAsia="es-ES"/>
        </w:rPr>
        <w:t>Eltaweel</w:t>
      </w:r>
      <w:proofErr w:type="spellEnd"/>
      <w:r w:rsidRPr="00FE2D92">
        <w:rPr>
          <w:lang w:val="en-US" w:eastAsia="es-ES"/>
        </w:rPr>
        <w:t xml:space="preserve"> A, Youssef S, Hany B, Hafez M, Moussa H. Efficacy and safety of Ivermectin for treatment and prophylaxis of COVID-19 pandemic. </w:t>
      </w:r>
      <w:proofErr w:type="spellStart"/>
      <w:r w:rsidRPr="00FE2D92">
        <w:rPr>
          <w:lang w:val="en-US" w:eastAsia="es-ES"/>
        </w:rPr>
        <w:t>Researsh</w:t>
      </w:r>
      <w:proofErr w:type="spellEnd"/>
      <w:r w:rsidRPr="00FE2D92">
        <w:rPr>
          <w:lang w:val="en-US" w:eastAsia="es-ES"/>
        </w:rPr>
        <w:t xml:space="preserve"> Square [preprint]. 2020: 1-10. DOI: 10.21203/rs.3.rs-100956/v4</w:t>
      </w:r>
    </w:p>
    <w:p w14:paraId="7161FB8C" w14:textId="5ADC70B4" w:rsidR="00FE2D92" w:rsidRPr="00F02833" w:rsidRDefault="00FE2D92" w:rsidP="00FE2D92">
      <w:pPr>
        <w:spacing w:line="360" w:lineRule="auto"/>
        <w:rPr>
          <w:lang w:val="en-US" w:eastAsia="es-ES"/>
        </w:rPr>
      </w:pPr>
      <w:r w:rsidRPr="00FE2D92">
        <w:rPr>
          <w:lang w:val="en-US" w:eastAsia="es-ES"/>
        </w:rPr>
        <w:t xml:space="preserve">22. Kory P, </w:t>
      </w:r>
      <w:proofErr w:type="spellStart"/>
      <w:r w:rsidRPr="00FE2D92">
        <w:rPr>
          <w:lang w:val="en-US" w:eastAsia="es-ES"/>
        </w:rPr>
        <w:t>Meduri</w:t>
      </w:r>
      <w:proofErr w:type="spellEnd"/>
      <w:r w:rsidRPr="00FE2D92">
        <w:rPr>
          <w:lang w:val="en-US" w:eastAsia="es-ES"/>
        </w:rPr>
        <w:t xml:space="preserve"> GU, Iglesias J, </w:t>
      </w:r>
      <w:proofErr w:type="spellStart"/>
      <w:r w:rsidRPr="00FE2D92">
        <w:rPr>
          <w:lang w:val="en-US" w:eastAsia="es-ES"/>
        </w:rPr>
        <w:t>Varon</w:t>
      </w:r>
      <w:proofErr w:type="spellEnd"/>
      <w:r w:rsidRPr="00FE2D92">
        <w:rPr>
          <w:lang w:val="en-US" w:eastAsia="es-ES"/>
        </w:rPr>
        <w:t xml:space="preserve"> J, Berkowitz K, Kornfeld H, et al. Review of the emerging evidence demonstrating the efficacy of Ivermectin in the prophylaxis and treatment of COVID-19. Frontiers in Public Health. 2020 [</w:t>
      </w:r>
      <w:proofErr w:type="spellStart"/>
      <w:r w:rsidRPr="00FE2D92">
        <w:rPr>
          <w:lang w:val="en-US" w:eastAsia="es-ES"/>
        </w:rPr>
        <w:t>acceso</w:t>
      </w:r>
      <w:proofErr w:type="spellEnd"/>
      <w:r w:rsidRPr="00FE2D92">
        <w:rPr>
          <w:lang w:val="en-US" w:eastAsia="es-ES"/>
        </w:rPr>
        <w:t xml:space="preserve">: 10/01/2021]; 1(1):1-31. </w:t>
      </w:r>
      <w:r w:rsidRPr="00F02833">
        <w:rPr>
          <w:lang w:val="en-US" w:eastAsia="es-ES"/>
        </w:rPr>
        <w:t xml:space="preserve">Disponible </w:t>
      </w:r>
      <w:proofErr w:type="spellStart"/>
      <w:r w:rsidRPr="00F02833">
        <w:rPr>
          <w:lang w:val="en-US" w:eastAsia="es-ES"/>
        </w:rPr>
        <w:t>en</w:t>
      </w:r>
      <w:proofErr w:type="spellEnd"/>
      <w:r w:rsidR="00D56DBA" w:rsidRPr="00F02833">
        <w:rPr>
          <w:lang w:val="en-US" w:eastAsia="es-ES"/>
        </w:rPr>
        <w:t>:</w:t>
      </w:r>
      <w:r w:rsidRPr="00F02833">
        <w:rPr>
          <w:lang w:val="en-US" w:eastAsia="es-ES"/>
        </w:rPr>
        <w:t xml:space="preserve"> https://www.ncbi.nlm.nih.gov/pmc/articles/PMC8088823/</w:t>
      </w:r>
      <w:bookmarkStart w:id="1" w:name="_gjdgxs" w:colFirst="0" w:colLast="0"/>
      <w:bookmarkEnd w:id="1"/>
      <w:r w:rsidRPr="00F02833">
        <w:rPr>
          <w:lang w:val="en-US" w:eastAsia="es-ES"/>
        </w:rPr>
        <w:t xml:space="preserve"> </w:t>
      </w:r>
    </w:p>
    <w:p w14:paraId="56FC2005" w14:textId="77777777" w:rsidR="00FE2D92" w:rsidRPr="00F02833" w:rsidRDefault="00FE2D92" w:rsidP="00FE2D92">
      <w:pPr>
        <w:spacing w:line="360" w:lineRule="auto"/>
        <w:rPr>
          <w:lang w:val="en-US" w:eastAsia="es-ES"/>
        </w:rPr>
      </w:pPr>
    </w:p>
    <w:p w14:paraId="21654AE4" w14:textId="77777777" w:rsidR="00FE2D92" w:rsidRPr="00F02833" w:rsidRDefault="00FE2D92" w:rsidP="00FE2D92">
      <w:pPr>
        <w:spacing w:line="360" w:lineRule="auto"/>
        <w:jc w:val="center"/>
        <w:rPr>
          <w:b/>
          <w:lang w:val="en-US" w:eastAsia="es-ES"/>
        </w:rPr>
      </w:pPr>
    </w:p>
    <w:p w14:paraId="45F6D5F5" w14:textId="77777777" w:rsidR="00FE2D92" w:rsidRPr="00FE2D92" w:rsidRDefault="00FE2D92" w:rsidP="00FE2D92">
      <w:pPr>
        <w:spacing w:line="360" w:lineRule="auto"/>
        <w:jc w:val="center"/>
        <w:rPr>
          <w:b/>
          <w:lang w:val="es-PE" w:eastAsia="es-ES"/>
        </w:rPr>
      </w:pPr>
      <w:r w:rsidRPr="00FE2D92">
        <w:rPr>
          <w:b/>
          <w:lang w:val="es-PE" w:eastAsia="es-ES"/>
        </w:rPr>
        <w:t>Conflictos de intereses</w:t>
      </w:r>
    </w:p>
    <w:p w14:paraId="297AFCA2" w14:textId="77777777" w:rsidR="00FE2D92" w:rsidRPr="00FE2D92" w:rsidRDefault="00FE2D92" w:rsidP="00FE2D92">
      <w:pPr>
        <w:spacing w:line="360" w:lineRule="auto"/>
        <w:jc w:val="both"/>
        <w:rPr>
          <w:lang w:val="es-PE" w:eastAsia="es-ES"/>
        </w:rPr>
      </w:pPr>
      <w:r w:rsidRPr="00FE2D92">
        <w:rPr>
          <w:lang w:val="es-PE" w:eastAsia="es-ES"/>
        </w:rPr>
        <w:lastRenderedPageBreak/>
        <w:t>Los autores declaran que no existen conflictos de intereses ni fuentes de financiamiento para el artículo que se presenta.</w:t>
      </w:r>
    </w:p>
    <w:p w14:paraId="6E3AAA84" w14:textId="77777777" w:rsidR="00FE2D92" w:rsidRPr="00FE2D92" w:rsidRDefault="00FE2D92" w:rsidP="00FE2D92">
      <w:pPr>
        <w:spacing w:line="360" w:lineRule="auto"/>
        <w:jc w:val="both"/>
        <w:rPr>
          <w:lang w:val="es-PE" w:eastAsia="es-ES"/>
        </w:rPr>
      </w:pPr>
    </w:p>
    <w:p w14:paraId="0239324A" w14:textId="77777777" w:rsidR="008938C5" w:rsidRDefault="008938C5">
      <w:pPr>
        <w:rPr>
          <w:b/>
          <w:lang w:val="es-PE" w:eastAsia="es-ES"/>
        </w:rPr>
      </w:pPr>
      <w:r>
        <w:rPr>
          <w:b/>
          <w:lang w:val="es-PE" w:eastAsia="es-ES"/>
        </w:rPr>
        <w:br w:type="page"/>
      </w:r>
    </w:p>
    <w:p w14:paraId="5BAC77B9" w14:textId="2A1C160D" w:rsidR="00FE2D92" w:rsidRPr="00FE2D92" w:rsidRDefault="00FE2D92" w:rsidP="00FE2D92">
      <w:pPr>
        <w:spacing w:line="360" w:lineRule="auto"/>
        <w:jc w:val="center"/>
        <w:rPr>
          <w:b/>
          <w:lang w:val="es-PE" w:eastAsia="es-ES"/>
        </w:rPr>
      </w:pPr>
      <w:r w:rsidRPr="00FE2D92">
        <w:rPr>
          <w:b/>
          <w:lang w:val="es-PE" w:eastAsia="es-ES"/>
        </w:rPr>
        <w:lastRenderedPageBreak/>
        <w:t>Contribuci</w:t>
      </w:r>
      <w:r w:rsidR="008938C5">
        <w:rPr>
          <w:b/>
          <w:lang w:val="es-PE" w:eastAsia="es-ES"/>
        </w:rPr>
        <w:t>o</w:t>
      </w:r>
      <w:r w:rsidRPr="00FE2D92">
        <w:rPr>
          <w:b/>
          <w:lang w:val="es-PE" w:eastAsia="es-ES"/>
        </w:rPr>
        <w:t>n</w:t>
      </w:r>
      <w:r w:rsidR="008938C5">
        <w:rPr>
          <w:b/>
          <w:lang w:val="es-PE" w:eastAsia="es-ES"/>
        </w:rPr>
        <w:t>es</w:t>
      </w:r>
      <w:r w:rsidRPr="00FE2D92">
        <w:rPr>
          <w:b/>
          <w:lang w:val="es-PE" w:eastAsia="es-ES"/>
        </w:rPr>
        <w:t xml:space="preserve"> de</w:t>
      </w:r>
      <w:r w:rsidR="008938C5">
        <w:rPr>
          <w:b/>
          <w:lang w:val="es-PE" w:eastAsia="es-ES"/>
        </w:rPr>
        <w:t xml:space="preserve"> los</w:t>
      </w:r>
      <w:r w:rsidRPr="00FE2D92">
        <w:rPr>
          <w:b/>
          <w:lang w:val="es-PE" w:eastAsia="es-ES"/>
        </w:rPr>
        <w:t xml:space="preserve"> autores</w:t>
      </w:r>
    </w:p>
    <w:p w14:paraId="0279D219" w14:textId="77777777" w:rsidR="00FE2D92" w:rsidRPr="00FE2D92" w:rsidRDefault="00FE2D92" w:rsidP="00FE2D92">
      <w:pPr>
        <w:spacing w:line="360" w:lineRule="auto"/>
        <w:jc w:val="both"/>
        <w:rPr>
          <w:rFonts w:eastAsia="Calibri"/>
          <w:color w:val="000000"/>
          <w:sz w:val="22"/>
          <w:szCs w:val="22"/>
          <w:lang w:val="es-PE" w:eastAsia="es-ES"/>
        </w:rPr>
      </w:pPr>
      <w:r w:rsidRPr="00FE2D92">
        <w:rPr>
          <w:rFonts w:eastAsia="Calibri"/>
          <w:color w:val="000000"/>
          <w:sz w:val="22"/>
          <w:szCs w:val="22"/>
          <w:lang w:val="es-PE" w:eastAsia="es-ES"/>
        </w:rPr>
        <w:t xml:space="preserve">Conceptualización: </w:t>
      </w:r>
      <w:r w:rsidRPr="00FE2D92">
        <w:rPr>
          <w:rFonts w:eastAsia="Calibri"/>
          <w:i/>
          <w:sz w:val="22"/>
          <w:szCs w:val="22"/>
          <w:lang w:val="es-PE" w:eastAsia="es-ES"/>
        </w:rPr>
        <w:t>Andrea L. Mujica</w:t>
      </w:r>
      <w:r w:rsidRPr="00FE2D92">
        <w:rPr>
          <w:rFonts w:eastAsia="Calibri"/>
          <w:i/>
          <w:color w:val="000000"/>
          <w:sz w:val="22"/>
          <w:szCs w:val="22"/>
          <w:lang w:val="es-PE" w:eastAsia="es-ES"/>
        </w:rPr>
        <w:t>.</w:t>
      </w:r>
    </w:p>
    <w:p w14:paraId="167DAD0D" w14:textId="77777777" w:rsidR="00FE2D92" w:rsidRPr="00FE2D92" w:rsidRDefault="00FE2D92" w:rsidP="00FE2D92">
      <w:pPr>
        <w:spacing w:line="360" w:lineRule="auto"/>
        <w:jc w:val="both"/>
        <w:rPr>
          <w:rFonts w:eastAsia="Calibri"/>
          <w:color w:val="000000"/>
          <w:sz w:val="22"/>
          <w:szCs w:val="22"/>
          <w:lang w:val="es-PE" w:eastAsia="es-ES"/>
        </w:rPr>
      </w:pPr>
      <w:r w:rsidRPr="00FE2D92">
        <w:rPr>
          <w:rFonts w:eastAsia="Calibri"/>
          <w:color w:val="000000"/>
          <w:sz w:val="22"/>
          <w:szCs w:val="22"/>
          <w:lang w:val="es-PE" w:eastAsia="es-ES"/>
        </w:rPr>
        <w:t xml:space="preserve">Curación de datos: </w:t>
      </w:r>
      <w:r w:rsidRPr="00FE2D92">
        <w:rPr>
          <w:rFonts w:eastAsia="Calibri"/>
          <w:i/>
          <w:sz w:val="22"/>
          <w:szCs w:val="22"/>
          <w:lang w:val="es-PE" w:eastAsia="es-ES"/>
        </w:rPr>
        <w:t xml:space="preserve">Andrea L. Mujica, </w:t>
      </w:r>
      <w:r w:rsidRPr="00FE2D92">
        <w:rPr>
          <w:rFonts w:eastAsia="Calibri"/>
          <w:i/>
          <w:color w:val="000000"/>
          <w:sz w:val="22"/>
          <w:szCs w:val="22"/>
          <w:lang w:val="es-PE" w:eastAsia="es-ES"/>
        </w:rPr>
        <w:t>Christian R. Mejía.</w:t>
      </w:r>
    </w:p>
    <w:p w14:paraId="6E648664" w14:textId="77777777" w:rsidR="00FE2D92" w:rsidRPr="00FE2D92" w:rsidRDefault="00FE2D92" w:rsidP="00FE2D92">
      <w:pPr>
        <w:spacing w:line="360" w:lineRule="auto"/>
        <w:jc w:val="both"/>
        <w:rPr>
          <w:rFonts w:eastAsia="Calibri"/>
          <w:color w:val="000000"/>
          <w:sz w:val="22"/>
          <w:szCs w:val="22"/>
          <w:lang w:val="es-PE" w:eastAsia="es-ES"/>
        </w:rPr>
      </w:pPr>
      <w:r w:rsidRPr="00FE2D92">
        <w:rPr>
          <w:rFonts w:eastAsia="Calibri"/>
          <w:color w:val="000000"/>
          <w:sz w:val="22"/>
          <w:szCs w:val="22"/>
          <w:lang w:val="es-PE" w:eastAsia="es-ES"/>
        </w:rPr>
        <w:t xml:space="preserve">Análisis formal: </w:t>
      </w:r>
      <w:r w:rsidRPr="00FE2D92">
        <w:rPr>
          <w:rFonts w:eastAsia="Calibri"/>
          <w:i/>
          <w:sz w:val="22"/>
          <w:szCs w:val="22"/>
          <w:lang w:val="es-PE" w:eastAsia="es-ES"/>
        </w:rPr>
        <w:t>Andrea L. Mujica, Christian R. Mejía.</w:t>
      </w:r>
    </w:p>
    <w:p w14:paraId="2184A3CA" w14:textId="77777777" w:rsidR="00FE2D92" w:rsidRPr="00FE2D92" w:rsidRDefault="00FE2D92" w:rsidP="00FE2D92">
      <w:pPr>
        <w:spacing w:line="360" w:lineRule="auto"/>
        <w:jc w:val="both"/>
        <w:rPr>
          <w:rFonts w:eastAsia="Calibri"/>
          <w:color w:val="000000"/>
          <w:sz w:val="22"/>
          <w:szCs w:val="22"/>
          <w:lang w:val="es-PE" w:eastAsia="es-ES"/>
        </w:rPr>
      </w:pPr>
      <w:r w:rsidRPr="00FE2D92">
        <w:rPr>
          <w:rFonts w:eastAsia="Calibri"/>
          <w:color w:val="000000"/>
          <w:sz w:val="22"/>
          <w:szCs w:val="22"/>
          <w:lang w:val="es-PE" w:eastAsia="es-ES"/>
        </w:rPr>
        <w:t xml:space="preserve">Investigación: </w:t>
      </w:r>
      <w:r w:rsidRPr="00FE2D92">
        <w:rPr>
          <w:rFonts w:eastAsia="Calibri"/>
          <w:i/>
          <w:sz w:val="22"/>
          <w:szCs w:val="22"/>
          <w:lang w:val="es-PE" w:eastAsia="es-ES"/>
        </w:rPr>
        <w:t>Andrea L. Mujica, Christian R. Mejía.</w:t>
      </w:r>
    </w:p>
    <w:p w14:paraId="788C40CA" w14:textId="77777777" w:rsidR="00FE2D92" w:rsidRPr="00FE2D92" w:rsidRDefault="00FE2D92" w:rsidP="00FE2D92">
      <w:pPr>
        <w:spacing w:line="360" w:lineRule="auto"/>
        <w:jc w:val="both"/>
        <w:rPr>
          <w:rFonts w:eastAsia="Calibri"/>
          <w:color w:val="000000"/>
          <w:sz w:val="22"/>
          <w:szCs w:val="22"/>
          <w:lang w:val="es-PE" w:eastAsia="es-ES"/>
        </w:rPr>
      </w:pPr>
      <w:r w:rsidRPr="00FE2D92">
        <w:rPr>
          <w:rFonts w:eastAsia="Calibri"/>
          <w:color w:val="000000"/>
          <w:sz w:val="22"/>
          <w:szCs w:val="22"/>
          <w:lang w:val="es-PE" w:eastAsia="es-ES"/>
        </w:rPr>
        <w:t xml:space="preserve">Metodología: </w:t>
      </w:r>
      <w:r w:rsidRPr="00FE2D92">
        <w:rPr>
          <w:rFonts w:eastAsia="Calibri"/>
          <w:i/>
          <w:sz w:val="22"/>
          <w:szCs w:val="22"/>
          <w:lang w:val="es-PE" w:eastAsia="es-ES"/>
        </w:rPr>
        <w:t>Andrea L. Mujica, Christian R. Mejía</w:t>
      </w:r>
      <w:r w:rsidRPr="00FE2D92">
        <w:rPr>
          <w:rFonts w:eastAsia="Calibri"/>
          <w:i/>
          <w:color w:val="000000"/>
          <w:sz w:val="22"/>
          <w:szCs w:val="22"/>
          <w:lang w:val="es-PE" w:eastAsia="es-ES"/>
        </w:rPr>
        <w:t>.</w:t>
      </w:r>
    </w:p>
    <w:p w14:paraId="379E7F5E" w14:textId="77777777" w:rsidR="00FE2D92" w:rsidRPr="00FE2D92" w:rsidRDefault="00FE2D92" w:rsidP="00FE2D92">
      <w:pPr>
        <w:spacing w:line="360" w:lineRule="auto"/>
        <w:jc w:val="both"/>
        <w:rPr>
          <w:rFonts w:eastAsia="Calibri"/>
          <w:color w:val="000000"/>
          <w:sz w:val="22"/>
          <w:szCs w:val="22"/>
          <w:lang w:val="es-PE" w:eastAsia="es-ES"/>
        </w:rPr>
      </w:pPr>
      <w:r w:rsidRPr="00FE2D92">
        <w:rPr>
          <w:rFonts w:eastAsia="Calibri"/>
          <w:color w:val="000000"/>
          <w:sz w:val="22"/>
          <w:szCs w:val="22"/>
          <w:lang w:val="es-PE" w:eastAsia="es-ES"/>
        </w:rPr>
        <w:t xml:space="preserve">Administración del proyecto: </w:t>
      </w:r>
      <w:r w:rsidRPr="00FE2D92">
        <w:rPr>
          <w:rFonts w:eastAsia="Calibri"/>
          <w:i/>
          <w:sz w:val="22"/>
          <w:szCs w:val="22"/>
          <w:lang w:val="es-PE" w:eastAsia="es-ES"/>
        </w:rPr>
        <w:t>Andrea L. Mujica, Christian R. Mejía.</w:t>
      </w:r>
    </w:p>
    <w:p w14:paraId="568907E6" w14:textId="77777777" w:rsidR="00FE2D92" w:rsidRPr="00FE2D92" w:rsidRDefault="00FE2D92" w:rsidP="00FE2D92">
      <w:pPr>
        <w:spacing w:line="360" w:lineRule="auto"/>
        <w:jc w:val="both"/>
        <w:rPr>
          <w:rFonts w:eastAsia="Calibri"/>
          <w:i/>
          <w:color w:val="000000"/>
          <w:sz w:val="22"/>
          <w:szCs w:val="22"/>
          <w:lang w:val="es-PE" w:eastAsia="es-ES"/>
        </w:rPr>
      </w:pPr>
      <w:r w:rsidRPr="00FE2D92">
        <w:rPr>
          <w:rFonts w:eastAsia="Calibri"/>
          <w:color w:val="000000"/>
          <w:sz w:val="22"/>
          <w:szCs w:val="22"/>
          <w:lang w:val="es-PE" w:eastAsia="es-ES"/>
        </w:rPr>
        <w:t xml:space="preserve">Supervisión: </w:t>
      </w:r>
      <w:r w:rsidRPr="00FE2D92">
        <w:rPr>
          <w:rFonts w:eastAsia="Calibri"/>
          <w:i/>
          <w:sz w:val="22"/>
          <w:szCs w:val="22"/>
          <w:lang w:val="es-PE" w:eastAsia="es-ES"/>
        </w:rPr>
        <w:t>Andrea L. Mujica, Christian R. Mejía.</w:t>
      </w:r>
    </w:p>
    <w:p w14:paraId="6200D8B8" w14:textId="77777777" w:rsidR="00FE2D92" w:rsidRPr="00FE2D92" w:rsidRDefault="00FE2D92" w:rsidP="00FE2D92">
      <w:pPr>
        <w:spacing w:line="360" w:lineRule="auto"/>
        <w:jc w:val="both"/>
        <w:rPr>
          <w:rFonts w:eastAsia="Calibri"/>
          <w:color w:val="000000"/>
          <w:sz w:val="22"/>
          <w:szCs w:val="22"/>
          <w:lang w:val="es-PE" w:eastAsia="es-ES"/>
        </w:rPr>
      </w:pPr>
      <w:r w:rsidRPr="00FE2D92">
        <w:rPr>
          <w:rFonts w:eastAsia="Calibri"/>
          <w:color w:val="000000"/>
          <w:sz w:val="22"/>
          <w:szCs w:val="22"/>
          <w:lang w:val="es-PE" w:eastAsia="es-ES"/>
        </w:rPr>
        <w:t xml:space="preserve">Visualización: </w:t>
      </w:r>
      <w:r w:rsidRPr="00FE2D92">
        <w:rPr>
          <w:rFonts w:eastAsia="Calibri"/>
          <w:i/>
          <w:sz w:val="22"/>
          <w:szCs w:val="22"/>
          <w:lang w:val="es-PE" w:eastAsia="es-ES"/>
        </w:rPr>
        <w:t>Andrea L. Mujica, Christian R. Mejía.</w:t>
      </w:r>
    </w:p>
    <w:p w14:paraId="558706B3" w14:textId="77777777" w:rsidR="00FE2D92" w:rsidRPr="00FE2D92" w:rsidRDefault="00FE2D92" w:rsidP="00FE2D92">
      <w:pPr>
        <w:spacing w:line="360" w:lineRule="auto"/>
        <w:jc w:val="both"/>
        <w:rPr>
          <w:rFonts w:eastAsia="Calibri"/>
          <w:sz w:val="22"/>
          <w:szCs w:val="22"/>
          <w:lang w:val="es-PE" w:eastAsia="es-ES"/>
        </w:rPr>
      </w:pPr>
      <w:r w:rsidRPr="00FE2D92">
        <w:rPr>
          <w:rFonts w:eastAsia="Calibri"/>
          <w:sz w:val="22"/>
          <w:szCs w:val="22"/>
          <w:lang w:val="es-PE" w:eastAsia="es-ES"/>
        </w:rPr>
        <w:t xml:space="preserve">Redacción – borrador original: </w:t>
      </w:r>
      <w:r w:rsidRPr="00FE2D92">
        <w:rPr>
          <w:rFonts w:eastAsia="Calibri"/>
          <w:i/>
          <w:sz w:val="22"/>
          <w:szCs w:val="22"/>
          <w:lang w:val="es-PE" w:eastAsia="es-ES"/>
        </w:rPr>
        <w:t>Andrea L. Mujica, Christian R. Mejía.</w:t>
      </w:r>
    </w:p>
    <w:p w14:paraId="3818E488" w14:textId="77777777" w:rsidR="00FE2D92" w:rsidRPr="00FE2D92" w:rsidRDefault="00FE2D92" w:rsidP="00FE2D92">
      <w:pPr>
        <w:spacing w:line="360" w:lineRule="auto"/>
        <w:jc w:val="both"/>
        <w:rPr>
          <w:lang w:val="es-PE" w:eastAsia="es-ES"/>
        </w:rPr>
      </w:pPr>
      <w:r w:rsidRPr="00FE2D92">
        <w:rPr>
          <w:rFonts w:eastAsia="Calibri"/>
          <w:sz w:val="22"/>
          <w:szCs w:val="22"/>
          <w:lang w:val="es-PE" w:eastAsia="es-ES"/>
        </w:rPr>
        <w:t xml:space="preserve">Redacción – revisión y edición: </w:t>
      </w:r>
      <w:r w:rsidRPr="00FE2D92">
        <w:rPr>
          <w:rFonts w:eastAsia="Calibri"/>
          <w:i/>
          <w:sz w:val="22"/>
          <w:szCs w:val="22"/>
          <w:lang w:val="es-PE" w:eastAsia="es-ES"/>
        </w:rPr>
        <w:t>Andrea L. Mujica, Christian R. Mejía.</w:t>
      </w:r>
    </w:p>
    <w:p w14:paraId="2994BC8C" w14:textId="77777777" w:rsidR="00675476" w:rsidRPr="00FE2D92" w:rsidRDefault="00675476" w:rsidP="00EA1FEF">
      <w:pPr>
        <w:pStyle w:val="PDFRevista"/>
        <w:rPr>
          <w:lang w:val="es-PE"/>
        </w:rPr>
      </w:pPr>
    </w:p>
    <w:sectPr w:rsidR="00675476" w:rsidRPr="00FE2D92" w:rsidSect="00FD3DF8">
      <w:headerReference w:type="default" r:id="rId30"/>
      <w:footerReference w:type="even" r:id="rId31"/>
      <w:footerReference w:type="default" r:id="rId32"/>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AE238" w14:textId="77777777" w:rsidR="00243278" w:rsidRDefault="00243278">
      <w:r>
        <w:separator/>
      </w:r>
    </w:p>
  </w:endnote>
  <w:endnote w:type="continuationSeparator" w:id="0">
    <w:p w14:paraId="235215FC" w14:textId="77777777" w:rsidR="00243278" w:rsidRDefault="00243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036EB"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8789E6"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7FEB8" w14:textId="2EC61FCD" w:rsidR="000F3690" w:rsidRPr="00AE044C" w:rsidRDefault="00FE2D92"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51712CEE" wp14:editId="7A97DB54">
              <wp:simplePos x="0" y="0"/>
              <wp:positionH relativeFrom="column">
                <wp:posOffset>3810</wp:posOffset>
              </wp:positionH>
              <wp:positionV relativeFrom="paragraph">
                <wp:posOffset>50165</wp:posOffset>
              </wp:positionV>
              <wp:extent cx="6286500" cy="19050"/>
              <wp:effectExtent l="19050" t="1905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5533E6B"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oLZ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MuaLziz0JNFO20V&#10;e0jKDC5UVLCxe59mE6N9djsUvwKzuOnAtiozfDk7apumjuKvlhQER/iH4RtKqoFjxCzT2Pg+QZIA&#10;bMxunO9uqDEyQYeL2XIxL8k0Qbnp53Ke3SqgujU7H+JXhT1Lm5ob4p3B4bQLMZGB6laS7rK41cZk&#10;w41lQ81ny/nDPHcENFqmbKoLvj1sjGcnSG+Gvu02j0aZ12Uej1ZmtE6B/HLdR9Dmsqfbjb0qkkS4&#10;yHlAed77m1JkaqZ5fYDp1byOc/ef32T9Gw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vYKC2ccBAABuAwAADgAAAAAAAAAAAAAA&#10;AAAuAgAAZHJzL2Uyb0RvYy54bWxQSwECLQAUAAYACAAAACEAhoC+k9oAAAAFAQAADwAAAAAAAAAA&#10;AAAAAAAhBAAAZHJzL2Rvd25yZXYueG1sUEsFBgAAAAAEAAQA8wAAACgFAAAAAA==&#10;" strokecolor="blue" strokeweight="2.25pt"/>
          </w:pict>
        </mc:Fallback>
      </mc:AlternateContent>
    </w:r>
  </w:p>
  <w:p w14:paraId="44C3D2AD" w14:textId="77777777" w:rsidR="00675476" w:rsidRPr="00AE044C" w:rsidRDefault="00243278" w:rsidP="00391509">
    <w:pPr>
      <w:pStyle w:val="Piedepgina"/>
      <w:ind w:right="360"/>
      <w:rPr>
        <w:sz w:val="22"/>
        <w:szCs w:val="22"/>
      </w:rPr>
    </w:pPr>
    <w:hyperlink r:id="rId1" w:history="1">
      <w:r w:rsidR="00391509" w:rsidRPr="00AE044C">
        <w:rPr>
          <w:rStyle w:val="Hipervnculo"/>
          <w:sz w:val="22"/>
          <w:szCs w:val="22"/>
        </w:rPr>
        <w:t>http://scielo.sld.cu</w:t>
      </w:r>
    </w:hyperlink>
  </w:p>
  <w:p w14:paraId="27761E07" w14:textId="77777777" w:rsidR="00391509" w:rsidRPr="00AE044C" w:rsidRDefault="00243278"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796AAA96" w14:textId="771F23B0"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00FE2D92" w:rsidRPr="00FE2D92">
      <w:rPr>
        <w:rFonts w:ascii="Verdana" w:hAnsi="Verdana"/>
        <w:noProof/>
        <w:sz w:val="18"/>
        <w:szCs w:val="18"/>
        <w:lang w:val="en-US" w:eastAsia="en-US"/>
      </w:rPr>
      <w:drawing>
        <wp:inline distT="0" distB="0" distL="0" distR="0" wp14:anchorId="7DD58D42" wp14:editId="3D68C375">
          <wp:extent cx="638175" cy="152400"/>
          <wp:effectExtent l="0" t="0" r="0" b="0"/>
          <wp:docPr id="5"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FE91A" w14:textId="77777777" w:rsidR="00243278" w:rsidRDefault="00243278">
      <w:r>
        <w:separator/>
      </w:r>
    </w:p>
  </w:footnote>
  <w:footnote w:type="continuationSeparator" w:id="0">
    <w:p w14:paraId="2A71197C" w14:textId="77777777" w:rsidR="00243278" w:rsidRDefault="00243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271B4" w14:textId="1003431D" w:rsidR="00CC376A" w:rsidRPr="00AE044C" w:rsidRDefault="00FE2D92"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 xml:space="preserve"> 51</w:t>
    </w:r>
    <w:r w:rsidR="007D2D0C" w:rsidRPr="00AE044C">
      <w:rPr>
        <w:sz w:val="22"/>
        <w:szCs w:val="22"/>
      </w:rPr>
      <w:t>(</w:t>
    </w:r>
    <w:r>
      <w:rPr>
        <w:sz w:val="22"/>
        <w:szCs w:val="22"/>
      </w:rPr>
      <w:t>2</w:t>
    </w:r>
    <w:r w:rsidR="007D2D0C" w:rsidRPr="00AE044C">
      <w:rPr>
        <w:sz w:val="22"/>
        <w:szCs w:val="22"/>
      </w:rPr>
      <w:t>):</w:t>
    </w:r>
    <w:r>
      <w:rPr>
        <w:sz w:val="22"/>
        <w:szCs w:val="22"/>
      </w:rPr>
      <w:t xml:space="preserve"> e02201913</w:t>
    </w:r>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338DCE1C" wp14:editId="4DFA2250">
          <wp:simplePos x="0" y="0"/>
          <wp:positionH relativeFrom="column">
            <wp:posOffset>2540</wp:posOffset>
          </wp:positionH>
          <wp:positionV relativeFrom="paragraph">
            <wp:posOffset>-598805</wp:posOffset>
          </wp:positionV>
          <wp:extent cx="6333490" cy="593725"/>
          <wp:effectExtent l="0" t="0" r="0" b="0"/>
          <wp:wrapNone/>
          <wp:docPr id="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60F9C9" w14:textId="3573D30A" w:rsidR="00A477DE" w:rsidRDefault="00FE2D92">
    <w:r>
      <w:rPr>
        <w:noProof/>
      </w:rPr>
      <mc:AlternateContent>
        <mc:Choice Requires="wps">
          <w:drawing>
            <wp:anchor distT="0" distB="0" distL="114300" distR="114300" simplePos="0" relativeHeight="251654144" behindDoc="0" locked="0" layoutInCell="1" allowOverlap="1" wp14:anchorId="6228C742" wp14:editId="50A3C2C5">
              <wp:simplePos x="0" y="0"/>
              <wp:positionH relativeFrom="column">
                <wp:posOffset>635</wp:posOffset>
              </wp:positionH>
              <wp:positionV relativeFrom="paragraph">
                <wp:posOffset>42545</wp:posOffset>
              </wp:positionV>
              <wp:extent cx="6307455" cy="28575"/>
              <wp:effectExtent l="19050" t="19050" r="17145" b="9525"/>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9B67702"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15:restartNumberingAfterBreak="0">
    <w:nsid w:val="794F287C"/>
    <w:multiLevelType w:val="multilevel"/>
    <w:tmpl w:val="9858D0C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D92"/>
    <w:rsid w:val="00057F45"/>
    <w:rsid w:val="000D3958"/>
    <w:rsid w:val="000F3690"/>
    <w:rsid w:val="001043C4"/>
    <w:rsid w:val="001221D1"/>
    <w:rsid w:val="00165CB5"/>
    <w:rsid w:val="00180CE9"/>
    <w:rsid w:val="00230DD5"/>
    <w:rsid w:val="00243278"/>
    <w:rsid w:val="00250AE9"/>
    <w:rsid w:val="00380D64"/>
    <w:rsid w:val="00391509"/>
    <w:rsid w:val="003E03D5"/>
    <w:rsid w:val="00413B9F"/>
    <w:rsid w:val="00486BFA"/>
    <w:rsid w:val="00493701"/>
    <w:rsid w:val="004E2065"/>
    <w:rsid w:val="005053F4"/>
    <w:rsid w:val="005508A2"/>
    <w:rsid w:val="0055115D"/>
    <w:rsid w:val="00566F71"/>
    <w:rsid w:val="005918BD"/>
    <w:rsid w:val="006173A6"/>
    <w:rsid w:val="0064054E"/>
    <w:rsid w:val="00675476"/>
    <w:rsid w:val="007C430F"/>
    <w:rsid w:val="007D2D0C"/>
    <w:rsid w:val="007D614D"/>
    <w:rsid w:val="00803154"/>
    <w:rsid w:val="008938C5"/>
    <w:rsid w:val="00941C48"/>
    <w:rsid w:val="00960D6A"/>
    <w:rsid w:val="009A0560"/>
    <w:rsid w:val="009B0917"/>
    <w:rsid w:val="009F0F96"/>
    <w:rsid w:val="00A23C0C"/>
    <w:rsid w:val="00A477DE"/>
    <w:rsid w:val="00A71E65"/>
    <w:rsid w:val="00AE044C"/>
    <w:rsid w:val="00B31971"/>
    <w:rsid w:val="00B4380A"/>
    <w:rsid w:val="00B66ECB"/>
    <w:rsid w:val="00C7523A"/>
    <w:rsid w:val="00CA16DE"/>
    <w:rsid w:val="00CC1B6E"/>
    <w:rsid w:val="00CC376A"/>
    <w:rsid w:val="00CC48A1"/>
    <w:rsid w:val="00CF50E0"/>
    <w:rsid w:val="00D36A76"/>
    <w:rsid w:val="00D56DBA"/>
    <w:rsid w:val="00D85951"/>
    <w:rsid w:val="00E62606"/>
    <w:rsid w:val="00EA1FEF"/>
    <w:rsid w:val="00EC5A6B"/>
    <w:rsid w:val="00EE301D"/>
    <w:rsid w:val="00F02833"/>
    <w:rsid w:val="00FA7CC1"/>
    <w:rsid w:val="00FD3DF8"/>
    <w:rsid w:val="00FE2D92"/>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37B17F"/>
  <w15:docId w15:val="{D58E617A-2AA4-44E2-A084-D90BA156A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rsid w:val="00FE2D92"/>
    <w:pPr>
      <w:keepNext/>
      <w:keepLines/>
      <w:spacing w:before="480" w:after="120" w:line="259" w:lineRule="auto"/>
      <w:outlineLvl w:val="0"/>
    </w:pPr>
    <w:rPr>
      <w:rFonts w:ascii="Calibri" w:eastAsia="Calibri" w:hAnsi="Calibri" w:cs="Calibri"/>
      <w:b/>
      <w:sz w:val="48"/>
      <w:szCs w:val="48"/>
      <w:lang w:val="es-PE" w:eastAsia="es-ES"/>
    </w:rPr>
  </w:style>
  <w:style w:type="paragraph" w:styleId="Ttulo2">
    <w:name w:val="heading 2"/>
    <w:basedOn w:val="Normal"/>
    <w:next w:val="Normal"/>
    <w:link w:val="Ttulo2Car"/>
    <w:rsid w:val="00FE2D92"/>
    <w:pPr>
      <w:keepNext/>
      <w:keepLines/>
      <w:spacing w:before="360" w:after="80" w:line="259" w:lineRule="auto"/>
      <w:outlineLvl w:val="1"/>
    </w:pPr>
    <w:rPr>
      <w:rFonts w:ascii="Calibri" w:eastAsia="Calibri" w:hAnsi="Calibri" w:cs="Calibri"/>
      <w:b/>
      <w:sz w:val="36"/>
      <w:szCs w:val="36"/>
      <w:lang w:val="es-PE" w:eastAsia="es-ES"/>
    </w:rPr>
  </w:style>
  <w:style w:type="paragraph" w:styleId="Ttulo3">
    <w:name w:val="heading 3"/>
    <w:basedOn w:val="Normal"/>
    <w:next w:val="Normal"/>
    <w:link w:val="Ttulo3Car"/>
    <w:rsid w:val="00FE2D92"/>
    <w:pPr>
      <w:keepNext/>
      <w:keepLines/>
      <w:spacing w:before="280" w:after="80" w:line="259" w:lineRule="auto"/>
      <w:outlineLvl w:val="2"/>
    </w:pPr>
    <w:rPr>
      <w:rFonts w:ascii="Calibri" w:eastAsia="Calibri" w:hAnsi="Calibri" w:cs="Calibri"/>
      <w:b/>
      <w:sz w:val="28"/>
      <w:szCs w:val="28"/>
      <w:lang w:val="es-PE" w:eastAsia="es-ES"/>
    </w:rPr>
  </w:style>
  <w:style w:type="paragraph" w:styleId="Ttulo4">
    <w:name w:val="heading 4"/>
    <w:basedOn w:val="Normal"/>
    <w:next w:val="Normal"/>
    <w:link w:val="Ttulo4Car"/>
    <w:rsid w:val="00FE2D92"/>
    <w:pPr>
      <w:keepNext/>
      <w:keepLines/>
      <w:spacing w:before="240" w:after="40" w:line="259" w:lineRule="auto"/>
      <w:outlineLvl w:val="3"/>
    </w:pPr>
    <w:rPr>
      <w:rFonts w:ascii="Calibri" w:eastAsia="Calibri" w:hAnsi="Calibri" w:cs="Calibri"/>
      <w:b/>
      <w:lang w:val="es-PE" w:eastAsia="es-ES"/>
    </w:rPr>
  </w:style>
  <w:style w:type="paragraph" w:styleId="Ttulo5">
    <w:name w:val="heading 5"/>
    <w:basedOn w:val="Normal"/>
    <w:next w:val="Normal"/>
    <w:link w:val="Ttulo5Car"/>
    <w:rsid w:val="00FE2D92"/>
    <w:pPr>
      <w:keepNext/>
      <w:keepLines/>
      <w:spacing w:before="220" w:after="40" w:line="259" w:lineRule="auto"/>
      <w:outlineLvl w:val="4"/>
    </w:pPr>
    <w:rPr>
      <w:rFonts w:ascii="Calibri" w:eastAsia="Calibri" w:hAnsi="Calibri" w:cs="Calibri"/>
      <w:b/>
      <w:sz w:val="22"/>
      <w:szCs w:val="22"/>
      <w:lang w:val="es-PE" w:eastAsia="es-ES"/>
    </w:rPr>
  </w:style>
  <w:style w:type="paragraph" w:styleId="Ttulo6">
    <w:name w:val="heading 6"/>
    <w:basedOn w:val="Normal"/>
    <w:next w:val="Normal"/>
    <w:link w:val="Ttulo6Car"/>
    <w:rsid w:val="00FE2D92"/>
    <w:pPr>
      <w:keepNext/>
      <w:keepLines/>
      <w:spacing w:before="200" w:after="40" w:line="259" w:lineRule="auto"/>
      <w:outlineLvl w:val="5"/>
    </w:pPr>
    <w:rPr>
      <w:rFonts w:ascii="Calibri" w:eastAsia="Calibri" w:hAnsi="Calibri" w:cs="Calibri"/>
      <w:b/>
      <w:sz w:val="20"/>
      <w:szCs w:val="20"/>
      <w:lang w:val="es-P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customStyle="1" w:styleId="Ttulo1Car">
    <w:name w:val="Título 1 Car"/>
    <w:basedOn w:val="Fuentedeprrafopredeter"/>
    <w:link w:val="Ttulo1"/>
    <w:rsid w:val="00FE2D92"/>
    <w:rPr>
      <w:rFonts w:ascii="Calibri" w:eastAsia="Calibri" w:hAnsi="Calibri" w:cs="Calibri"/>
      <w:b/>
      <w:sz w:val="48"/>
      <w:szCs w:val="48"/>
      <w:lang w:val="es-PE" w:eastAsia="es-ES"/>
    </w:rPr>
  </w:style>
  <w:style w:type="character" w:customStyle="1" w:styleId="Ttulo2Car">
    <w:name w:val="Título 2 Car"/>
    <w:basedOn w:val="Fuentedeprrafopredeter"/>
    <w:link w:val="Ttulo2"/>
    <w:rsid w:val="00FE2D92"/>
    <w:rPr>
      <w:rFonts w:ascii="Calibri" w:eastAsia="Calibri" w:hAnsi="Calibri" w:cs="Calibri"/>
      <w:b/>
      <w:sz w:val="36"/>
      <w:szCs w:val="36"/>
      <w:lang w:val="es-PE" w:eastAsia="es-ES"/>
    </w:rPr>
  </w:style>
  <w:style w:type="character" w:customStyle="1" w:styleId="Ttulo3Car">
    <w:name w:val="Título 3 Car"/>
    <w:basedOn w:val="Fuentedeprrafopredeter"/>
    <w:link w:val="Ttulo3"/>
    <w:rsid w:val="00FE2D92"/>
    <w:rPr>
      <w:rFonts w:ascii="Calibri" w:eastAsia="Calibri" w:hAnsi="Calibri" w:cs="Calibri"/>
      <w:b/>
      <w:sz w:val="28"/>
      <w:szCs w:val="28"/>
      <w:lang w:val="es-PE" w:eastAsia="es-ES"/>
    </w:rPr>
  </w:style>
  <w:style w:type="character" w:customStyle="1" w:styleId="Ttulo4Car">
    <w:name w:val="Título 4 Car"/>
    <w:basedOn w:val="Fuentedeprrafopredeter"/>
    <w:link w:val="Ttulo4"/>
    <w:rsid w:val="00FE2D92"/>
    <w:rPr>
      <w:rFonts w:ascii="Calibri" w:eastAsia="Calibri" w:hAnsi="Calibri" w:cs="Calibri"/>
      <w:b/>
      <w:sz w:val="24"/>
      <w:szCs w:val="24"/>
      <w:lang w:val="es-PE" w:eastAsia="es-ES"/>
    </w:rPr>
  </w:style>
  <w:style w:type="character" w:customStyle="1" w:styleId="Ttulo5Car">
    <w:name w:val="Título 5 Car"/>
    <w:basedOn w:val="Fuentedeprrafopredeter"/>
    <w:link w:val="Ttulo5"/>
    <w:rsid w:val="00FE2D92"/>
    <w:rPr>
      <w:rFonts w:ascii="Calibri" w:eastAsia="Calibri" w:hAnsi="Calibri" w:cs="Calibri"/>
      <w:b/>
      <w:sz w:val="22"/>
      <w:szCs w:val="22"/>
      <w:lang w:val="es-PE" w:eastAsia="es-ES"/>
    </w:rPr>
  </w:style>
  <w:style w:type="character" w:customStyle="1" w:styleId="Ttulo6Car">
    <w:name w:val="Título 6 Car"/>
    <w:basedOn w:val="Fuentedeprrafopredeter"/>
    <w:link w:val="Ttulo6"/>
    <w:rsid w:val="00FE2D92"/>
    <w:rPr>
      <w:rFonts w:ascii="Calibri" w:eastAsia="Calibri" w:hAnsi="Calibri" w:cs="Calibri"/>
      <w:b/>
      <w:lang w:val="es-PE" w:eastAsia="es-ES"/>
    </w:rPr>
  </w:style>
  <w:style w:type="numbering" w:customStyle="1" w:styleId="Sinlista1">
    <w:name w:val="Sin lista1"/>
    <w:next w:val="Sinlista"/>
    <w:uiPriority w:val="99"/>
    <w:semiHidden/>
    <w:unhideWhenUsed/>
    <w:rsid w:val="00FE2D92"/>
  </w:style>
  <w:style w:type="table" w:customStyle="1" w:styleId="TableNormal">
    <w:name w:val="Table Normal"/>
    <w:rsid w:val="00FE2D92"/>
    <w:pPr>
      <w:spacing w:after="160" w:line="259" w:lineRule="auto"/>
    </w:pPr>
    <w:rPr>
      <w:rFonts w:ascii="Calibri" w:eastAsia="Calibri" w:hAnsi="Calibri" w:cs="Calibri"/>
      <w:sz w:val="22"/>
      <w:szCs w:val="22"/>
      <w:lang w:val="es-PE" w:eastAsia="es-ES"/>
    </w:rPr>
    <w:tblPr>
      <w:tblCellMar>
        <w:top w:w="0" w:type="dxa"/>
        <w:left w:w="0" w:type="dxa"/>
        <w:bottom w:w="0" w:type="dxa"/>
        <w:right w:w="0" w:type="dxa"/>
      </w:tblCellMar>
    </w:tblPr>
  </w:style>
  <w:style w:type="paragraph" w:styleId="Ttulo">
    <w:name w:val="Title"/>
    <w:basedOn w:val="Normal"/>
    <w:next w:val="Normal"/>
    <w:link w:val="TtuloCar"/>
    <w:rsid w:val="00FE2D92"/>
    <w:pPr>
      <w:keepNext/>
      <w:keepLines/>
      <w:spacing w:before="480" w:after="120" w:line="259" w:lineRule="auto"/>
    </w:pPr>
    <w:rPr>
      <w:rFonts w:ascii="Calibri" w:eastAsia="Calibri" w:hAnsi="Calibri" w:cs="Calibri"/>
      <w:b/>
      <w:sz w:val="72"/>
      <w:szCs w:val="72"/>
      <w:lang w:val="es-PE" w:eastAsia="es-ES"/>
    </w:rPr>
  </w:style>
  <w:style w:type="character" w:customStyle="1" w:styleId="TtuloCar">
    <w:name w:val="Título Car"/>
    <w:basedOn w:val="Fuentedeprrafopredeter"/>
    <w:link w:val="Ttulo"/>
    <w:rsid w:val="00FE2D92"/>
    <w:rPr>
      <w:rFonts w:ascii="Calibri" w:eastAsia="Calibri" w:hAnsi="Calibri" w:cs="Calibri"/>
      <w:b/>
      <w:sz w:val="72"/>
      <w:szCs w:val="72"/>
      <w:lang w:val="es-PE" w:eastAsia="es-ES"/>
    </w:rPr>
  </w:style>
  <w:style w:type="paragraph" w:styleId="Subttulo">
    <w:name w:val="Subtitle"/>
    <w:basedOn w:val="Normal"/>
    <w:next w:val="Normal"/>
    <w:link w:val="SubttuloCar"/>
    <w:rsid w:val="00FE2D92"/>
    <w:pPr>
      <w:keepNext/>
      <w:keepLines/>
      <w:spacing w:before="360" w:after="80" w:line="259" w:lineRule="auto"/>
    </w:pPr>
    <w:rPr>
      <w:rFonts w:ascii="Georgia" w:eastAsia="Georgia" w:hAnsi="Georgia" w:cs="Georgia"/>
      <w:i/>
      <w:color w:val="666666"/>
      <w:sz w:val="48"/>
      <w:szCs w:val="48"/>
      <w:lang w:val="es-PE" w:eastAsia="es-ES"/>
    </w:rPr>
  </w:style>
  <w:style w:type="character" w:customStyle="1" w:styleId="SubttuloCar">
    <w:name w:val="Subtítulo Car"/>
    <w:basedOn w:val="Fuentedeprrafopredeter"/>
    <w:link w:val="Subttulo"/>
    <w:rsid w:val="00FE2D92"/>
    <w:rPr>
      <w:rFonts w:ascii="Georgia" w:eastAsia="Georgia" w:hAnsi="Georgia" w:cs="Georgia"/>
      <w:i/>
      <w:color w:val="666666"/>
      <w:sz w:val="48"/>
      <w:szCs w:val="48"/>
      <w:lang w:val="es-PE" w:eastAsia="es-ES"/>
    </w:rPr>
  </w:style>
  <w:style w:type="character" w:styleId="Mencinsinresolver">
    <w:name w:val="Unresolved Mention"/>
    <w:uiPriority w:val="99"/>
    <w:semiHidden/>
    <w:unhideWhenUsed/>
    <w:rsid w:val="00FE2D92"/>
    <w:rPr>
      <w:color w:val="605E5C"/>
      <w:shd w:val="clear" w:color="auto" w:fill="E1DFDD"/>
    </w:rPr>
  </w:style>
  <w:style w:type="paragraph" w:styleId="Prrafodelista">
    <w:name w:val="List Paragraph"/>
    <w:basedOn w:val="Normal"/>
    <w:uiPriority w:val="34"/>
    <w:qFormat/>
    <w:rsid w:val="00FE2D92"/>
    <w:pPr>
      <w:spacing w:after="160" w:line="259" w:lineRule="auto"/>
      <w:ind w:left="720"/>
      <w:contextualSpacing/>
    </w:pPr>
    <w:rPr>
      <w:rFonts w:ascii="Calibri" w:eastAsia="Calibri" w:hAnsi="Calibri" w:cs="Calibri"/>
      <w:sz w:val="22"/>
      <w:szCs w:val="22"/>
      <w:lang w:val="es-P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5940-7281" TargetMode="External"/><Relationship Id="rId13" Type="http://schemas.openxmlformats.org/officeDocument/2006/relationships/image" Target="media/image4.gif"/><Relationship Id="rId18" Type="http://schemas.openxmlformats.org/officeDocument/2006/relationships/hyperlink" Target="https://www.scielo.br/j/csc/a/GQwLcBQZmGYp7mK3V6r7tFt/?lang=en" TargetMode="External"/><Relationship Id="rId26" Type="http://schemas.openxmlformats.org/officeDocument/2006/relationships/hyperlink" Target="https://www.who.int/es/news/item/04-07-2020-who-discontinues-hydroxychloroquine-and-lopinavir-ritonavir-treatment-arms-for-covid-19" TargetMode="External"/><Relationship Id="rId3" Type="http://schemas.openxmlformats.org/officeDocument/2006/relationships/settings" Target="settings.xml"/><Relationship Id="rId21" Type="http://schemas.openxmlformats.org/officeDocument/2006/relationships/hyperlink" Target="https://www.gob.pe/institucion/minsa/informes-publicaciones/473587-prevencion-diagnostico-ytratamiento-de-personas-afectadas-por-covid-19-en-el-peru" TargetMode="External"/><Relationship Id="rId34" Type="http://schemas.openxmlformats.org/officeDocument/2006/relationships/theme" Target="theme/theme1.xml"/><Relationship Id="rId7" Type="http://schemas.openxmlformats.org/officeDocument/2006/relationships/hyperlink" Target="https://orcid.org/0000-0001-6529-5805" TargetMode="External"/><Relationship Id="rId12" Type="http://schemas.openxmlformats.org/officeDocument/2006/relationships/image" Target="media/image3.gif"/><Relationship Id="rId17" Type="http://schemas.openxmlformats.org/officeDocument/2006/relationships/hyperlink" Target="https://academic.oup.com/cid/advance-article/doi/10.1093/cid/ciaa478/5825667?login=false" TargetMode="External"/><Relationship Id="rId25" Type="http://schemas.openxmlformats.org/officeDocument/2006/relationships/hyperlink" Target="https://iaimjournal.com/wp-content/uploads/2020/10/iaim_2020_0710_23.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ature.com/articles/s41429-020-0336-z" TargetMode="External"/><Relationship Id="rId20" Type="http://schemas.openxmlformats.org/officeDocument/2006/relationships/hyperlink" Target="https://www.ncbi.nlm.nih.gov/pmc/articles/PMC3327999/" TargetMode="External"/><Relationship Id="rId29" Type="http://schemas.openxmlformats.org/officeDocument/2006/relationships/hyperlink" Target="https://www.apjtm.org/article.asp?issn=1995-7645;year=2021;volume=14;issue=6;spage=266;epage=273;aulast=Shakhs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gif"/><Relationship Id="rId24" Type="http://schemas.openxmlformats.org/officeDocument/2006/relationships/hyperlink" Target="https://journals.plos.org/plosone/article?id=10.1371/journal.pone.0242184"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ncbi.nlm.nih.gov/pmc/articles/PMC7444833/" TargetMode="External"/><Relationship Id="rId23" Type="http://schemas.openxmlformats.org/officeDocument/2006/relationships/hyperlink" Target="https://www.medrxiv.org/content/10.1101/2020.10.06.20208066v3.full.pdf" TargetMode="External"/><Relationship Id="rId28" Type="http://schemas.openxmlformats.org/officeDocument/2006/relationships/hyperlink" Target="https://www.paho.org/en/documents/ongoing-living-update-potential-covid-19-therapeutics-summary-rapid-systematic-reviews" TargetMode="External"/><Relationship Id="rId10" Type="http://schemas.openxmlformats.org/officeDocument/2006/relationships/image" Target="media/image1.gif"/><Relationship Id="rId19" Type="http://schemas.openxmlformats.org/officeDocument/2006/relationships/hyperlink" Target="https://link.springer.com/article/10.1007/s00210-020-01902-5"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ndrealma@gmail.com" TargetMode="External"/><Relationship Id="rId14" Type="http://schemas.openxmlformats.org/officeDocument/2006/relationships/hyperlink" Target="https://www.ncbi.nlm.nih.gov/pmc/articles/PMC7266424/" TargetMode="External"/><Relationship Id="rId22" Type="http://schemas.openxmlformats.org/officeDocument/2006/relationships/hyperlink" Target="https://www.banglajol.info/index.php/IMCJMS/article/view/52826" TargetMode="External"/><Relationship Id="rId27" Type="http://schemas.openxmlformats.org/officeDocument/2006/relationships/hyperlink" Target="https://www.banglajol.info/index.php/JBCPS/article/view/47512" TargetMode="External"/><Relationship Id="rId30"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20</TotalTime>
  <Pages>17</Pages>
  <Words>4192</Words>
  <Characters>23056</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27194</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11</cp:revision>
  <cp:lastPrinted>2022-04-30T00:41:00Z</cp:lastPrinted>
  <dcterms:created xsi:type="dcterms:W3CDTF">2022-04-30T00:37:00Z</dcterms:created>
  <dcterms:modified xsi:type="dcterms:W3CDTF">2022-05-09T23:10:00Z</dcterms:modified>
</cp:coreProperties>
</file>