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4D867" w14:textId="77777777" w:rsidR="0080088A" w:rsidRPr="0080088A" w:rsidRDefault="0080088A" w:rsidP="0080088A">
      <w:pPr>
        <w:suppressAutoHyphens/>
        <w:spacing w:line="360" w:lineRule="auto"/>
        <w:jc w:val="right"/>
        <w:rPr>
          <w:sz w:val="20"/>
          <w:szCs w:val="20"/>
          <w:lang w:val="en-US" w:eastAsia="en-US"/>
        </w:rPr>
      </w:pPr>
      <w:r w:rsidRPr="0080088A">
        <w:rPr>
          <w:sz w:val="20"/>
          <w:szCs w:val="20"/>
          <w:lang w:val="en-US" w:eastAsia="en-US"/>
        </w:rPr>
        <w:t>Short Communication</w:t>
      </w:r>
    </w:p>
    <w:p w14:paraId="3BAE9BA5" w14:textId="77777777" w:rsidR="0080088A" w:rsidRPr="0080088A" w:rsidRDefault="0080088A" w:rsidP="0080088A">
      <w:pPr>
        <w:suppressAutoHyphens/>
        <w:spacing w:line="360" w:lineRule="auto"/>
        <w:jc w:val="both"/>
        <w:rPr>
          <w:b/>
          <w:lang w:val="en-US" w:eastAsia="en-US"/>
        </w:rPr>
      </w:pPr>
    </w:p>
    <w:p w14:paraId="3495D392" w14:textId="77777777" w:rsidR="0080088A" w:rsidRPr="0080088A" w:rsidRDefault="0080088A" w:rsidP="0080088A">
      <w:pPr>
        <w:suppressAutoHyphens/>
        <w:spacing w:line="360" w:lineRule="auto"/>
        <w:jc w:val="center"/>
        <w:rPr>
          <w:b/>
          <w:sz w:val="28"/>
          <w:szCs w:val="28"/>
          <w:lang w:val="en-US" w:eastAsia="en-US"/>
        </w:rPr>
      </w:pPr>
      <w:r w:rsidRPr="0080088A">
        <w:rPr>
          <w:b/>
          <w:sz w:val="28"/>
          <w:szCs w:val="28"/>
          <w:lang w:val="en-US" w:eastAsia="en-US"/>
        </w:rPr>
        <w:t>Influence of implant length on implant primary and secondary stability</w:t>
      </w:r>
    </w:p>
    <w:p w14:paraId="72E25E94" w14:textId="77777777" w:rsidR="0080088A" w:rsidRPr="0080088A" w:rsidRDefault="0080088A" w:rsidP="0080088A">
      <w:pPr>
        <w:suppressAutoHyphens/>
        <w:spacing w:line="360" w:lineRule="auto"/>
        <w:jc w:val="center"/>
        <w:rPr>
          <w:sz w:val="28"/>
          <w:szCs w:val="28"/>
          <w:lang w:val="es-CL" w:eastAsia="en-US"/>
        </w:rPr>
      </w:pPr>
      <w:r w:rsidRPr="0080088A">
        <w:rPr>
          <w:sz w:val="28"/>
          <w:szCs w:val="28"/>
          <w:lang w:val="es-CL" w:eastAsia="en-US"/>
        </w:rPr>
        <w:t>Influencia del largo del implante sobre la estabilidad primaria y secundaria</w:t>
      </w:r>
    </w:p>
    <w:p w14:paraId="71534C19" w14:textId="77777777" w:rsidR="0080088A" w:rsidRPr="0080088A" w:rsidRDefault="0080088A" w:rsidP="0080088A">
      <w:pPr>
        <w:suppressAutoHyphens/>
        <w:autoSpaceDE w:val="0"/>
        <w:autoSpaceDN w:val="0"/>
        <w:adjustRightInd w:val="0"/>
        <w:spacing w:line="360" w:lineRule="auto"/>
        <w:jc w:val="both"/>
        <w:rPr>
          <w:color w:val="000000"/>
          <w:lang w:val="es-ES" w:eastAsia="en-US"/>
        </w:rPr>
      </w:pPr>
    </w:p>
    <w:p w14:paraId="239B507F" w14:textId="77777777" w:rsidR="0080088A" w:rsidRPr="0080088A" w:rsidRDefault="0080088A" w:rsidP="0080088A">
      <w:pPr>
        <w:suppressAutoHyphens/>
        <w:autoSpaceDE w:val="0"/>
        <w:autoSpaceDN w:val="0"/>
        <w:adjustRightInd w:val="0"/>
        <w:spacing w:line="360" w:lineRule="auto"/>
        <w:jc w:val="both"/>
        <w:rPr>
          <w:lang w:val="es-ES" w:eastAsia="en-US"/>
        </w:rPr>
      </w:pPr>
      <w:r w:rsidRPr="0080088A">
        <w:rPr>
          <w:color w:val="000000"/>
          <w:lang w:val="es-ES" w:eastAsia="en-US"/>
        </w:rPr>
        <w:t>Mauricio Toro</w:t>
      </w:r>
      <w:r w:rsidRPr="0080088A">
        <w:rPr>
          <w:color w:val="000000"/>
          <w:vertAlign w:val="superscript"/>
          <w:lang w:val="es-ES" w:eastAsia="en-US"/>
        </w:rPr>
        <w:t>1</w:t>
      </w:r>
      <w:r w:rsidRPr="0080088A">
        <w:rPr>
          <w:color w:val="000000"/>
          <w:lang w:val="es-ES" w:eastAsia="en-US"/>
        </w:rPr>
        <w:t xml:space="preserve">* </w:t>
      </w:r>
      <w:hyperlink r:id="rId7" w:history="1">
        <w:r w:rsidRPr="0080088A">
          <w:rPr>
            <w:color w:val="0563C1"/>
            <w:u w:val="single"/>
            <w:lang w:val="es-ES" w:eastAsia="en-US"/>
          </w:rPr>
          <w:t>https://orcid.org/0000-0001-5333-3640</w:t>
        </w:r>
      </w:hyperlink>
      <w:r w:rsidRPr="0080088A">
        <w:rPr>
          <w:color w:val="0563C1"/>
          <w:u w:val="single"/>
          <w:lang w:val="es-ES" w:eastAsia="en-US"/>
        </w:rPr>
        <w:t xml:space="preserve"> </w:t>
      </w:r>
    </w:p>
    <w:p w14:paraId="186BE3E4" w14:textId="77777777" w:rsidR="0080088A" w:rsidRPr="0080088A" w:rsidRDefault="0080088A" w:rsidP="0080088A">
      <w:pPr>
        <w:suppressAutoHyphens/>
        <w:autoSpaceDE w:val="0"/>
        <w:autoSpaceDN w:val="0"/>
        <w:adjustRightInd w:val="0"/>
        <w:spacing w:line="360" w:lineRule="auto"/>
        <w:jc w:val="both"/>
        <w:rPr>
          <w:color w:val="000000"/>
          <w:lang w:val="pt-BR" w:eastAsia="en-US"/>
        </w:rPr>
      </w:pPr>
      <w:proofErr w:type="spellStart"/>
      <w:r w:rsidRPr="0080088A">
        <w:rPr>
          <w:color w:val="000000"/>
          <w:lang w:val="pt-BR" w:eastAsia="en-US"/>
        </w:rPr>
        <w:t>Javiera</w:t>
      </w:r>
      <w:proofErr w:type="spellEnd"/>
      <w:r w:rsidRPr="0080088A">
        <w:rPr>
          <w:color w:val="000000"/>
          <w:lang w:val="pt-BR" w:eastAsia="en-US"/>
        </w:rPr>
        <w:t xml:space="preserve"> Leitao</w:t>
      </w:r>
      <w:r w:rsidRPr="0080088A">
        <w:rPr>
          <w:color w:val="000000"/>
          <w:vertAlign w:val="superscript"/>
          <w:lang w:val="pt-BR" w:eastAsia="en-US"/>
        </w:rPr>
        <w:t>1</w:t>
      </w:r>
      <w:r w:rsidRPr="0080088A">
        <w:rPr>
          <w:color w:val="000000"/>
          <w:lang w:val="pt-BR" w:eastAsia="en-US"/>
        </w:rPr>
        <w:t xml:space="preserve"> </w:t>
      </w:r>
      <w:hyperlink r:id="rId8" w:history="1">
        <w:r w:rsidRPr="0080088A">
          <w:rPr>
            <w:color w:val="0000FF"/>
            <w:u w:val="single"/>
            <w:lang w:val="pt-BR" w:eastAsia="en-US"/>
          </w:rPr>
          <w:t>https://orcid.org/0000-0002-8791-239X</w:t>
        </w:r>
      </w:hyperlink>
      <w:r w:rsidRPr="0080088A">
        <w:rPr>
          <w:color w:val="000000"/>
          <w:lang w:val="pt-BR" w:eastAsia="en-US"/>
        </w:rPr>
        <w:t xml:space="preserve"> </w:t>
      </w:r>
    </w:p>
    <w:p w14:paraId="7E126DCD" w14:textId="77777777" w:rsidR="0080088A" w:rsidRPr="0080088A" w:rsidRDefault="0080088A" w:rsidP="0080088A">
      <w:pPr>
        <w:suppressAutoHyphens/>
        <w:autoSpaceDE w:val="0"/>
        <w:autoSpaceDN w:val="0"/>
        <w:adjustRightInd w:val="0"/>
        <w:spacing w:line="360" w:lineRule="auto"/>
        <w:jc w:val="both"/>
        <w:rPr>
          <w:color w:val="000000"/>
          <w:lang w:val="es-CL" w:eastAsia="en-US"/>
        </w:rPr>
      </w:pPr>
      <w:r w:rsidRPr="0080088A">
        <w:rPr>
          <w:color w:val="000000"/>
          <w:lang w:val="es-CL" w:eastAsia="en-US"/>
        </w:rPr>
        <w:t>Tomás Yoma</w:t>
      </w:r>
      <w:r w:rsidRPr="0080088A">
        <w:rPr>
          <w:color w:val="000000"/>
          <w:vertAlign w:val="superscript"/>
          <w:lang w:val="es-CL" w:eastAsia="en-US"/>
        </w:rPr>
        <w:t>1</w:t>
      </w:r>
      <w:r w:rsidRPr="0080088A">
        <w:rPr>
          <w:color w:val="000000"/>
          <w:lang w:val="es-CL" w:eastAsia="en-US"/>
        </w:rPr>
        <w:t xml:space="preserve"> </w:t>
      </w:r>
      <w:hyperlink r:id="rId9" w:history="1">
        <w:r w:rsidRPr="0080088A">
          <w:rPr>
            <w:color w:val="0000FF"/>
            <w:u w:val="single"/>
            <w:lang w:val="es-CL" w:eastAsia="en-US"/>
          </w:rPr>
          <w:t>https://orcid.org/0000-0003-4617-0040</w:t>
        </w:r>
      </w:hyperlink>
      <w:r w:rsidRPr="0080088A">
        <w:rPr>
          <w:color w:val="000000"/>
          <w:lang w:val="es-CL" w:eastAsia="en-US"/>
        </w:rPr>
        <w:t xml:space="preserve"> </w:t>
      </w:r>
    </w:p>
    <w:p w14:paraId="240B58B8" w14:textId="77777777" w:rsidR="0080088A" w:rsidRPr="0080088A" w:rsidRDefault="0080088A" w:rsidP="0080088A">
      <w:pPr>
        <w:suppressAutoHyphens/>
        <w:autoSpaceDE w:val="0"/>
        <w:autoSpaceDN w:val="0"/>
        <w:adjustRightInd w:val="0"/>
        <w:spacing w:line="360" w:lineRule="auto"/>
        <w:jc w:val="both"/>
        <w:rPr>
          <w:color w:val="000000"/>
          <w:lang w:val="fr-FR" w:eastAsia="en-US"/>
        </w:rPr>
      </w:pPr>
      <w:r w:rsidRPr="0080088A">
        <w:rPr>
          <w:color w:val="000000"/>
          <w:lang w:val="fr-FR" w:eastAsia="en-US"/>
        </w:rPr>
        <w:t xml:space="preserve">Alain </w:t>
      </w:r>
      <w:proofErr w:type="spellStart"/>
      <w:r w:rsidRPr="0080088A">
        <w:rPr>
          <w:color w:val="000000"/>
          <w:lang w:val="fr-FR" w:eastAsia="en-US"/>
        </w:rPr>
        <w:t>Chaple</w:t>
      </w:r>
      <w:proofErr w:type="spellEnd"/>
      <w:r w:rsidRPr="0080088A">
        <w:rPr>
          <w:color w:val="000000"/>
          <w:lang w:val="fr-FR" w:eastAsia="en-US"/>
        </w:rPr>
        <w:t xml:space="preserve"> Gil</w:t>
      </w:r>
      <w:r w:rsidRPr="0080088A">
        <w:rPr>
          <w:color w:val="000000"/>
          <w:vertAlign w:val="superscript"/>
          <w:lang w:val="fr-FR" w:eastAsia="en-US"/>
        </w:rPr>
        <w:t xml:space="preserve">2,3 </w:t>
      </w:r>
      <w:hyperlink r:id="rId10" w:history="1">
        <w:r w:rsidRPr="0080088A">
          <w:rPr>
            <w:color w:val="0000FF"/>
            <w:u w:val="single"/>
            <w:lang w:val="fr-FR" w:eastAsia="en-US"/>
          </w:rPr>
          <w:t>https://orcid.org/0000-0002-8571-4429</w:t>
        </w:r>
      </w:hyperlink>
      <w:r w:rsidRPr="0080088A">
        <w:rPr>
          <w:color w:val="000000"/>
          <w:lang w:val="fr-FR" w:eastAsia="en-US"/>
        </w:rPr>
        <w:t xml:space="preserve"> </w:t>
      </w:r>
    </w:p>
    <w:p w14:paraId="62575F70" w14:textId="77777777" w:rsidR="0080088A" w:rsidRPr="0080088A" w:rsidRDefault="0080088A" w:rsidP="0080088A">
      <w:pPr>
        <w:suppressAutoHyphens/>
        <w:autoSpaceDE w:val="0"/>
        <w:autoSpaceDN w:val="0"/>
        <w:adjustRightInd w:val="0"/>
        <w:spacing w:line="360" w:lineRule="auto"/>
        <w:jc w:val="both"/>
        <w:rPr>
          <w:color w:val="000000"/>
          <w:lang w:val="pt-BR" w:eastAsia="en-US"/>
        </w:rPr>
      </w:pPr>
      <w:r w:rsidRPr="0080088A">
        <w:rPr>
          <w:color w:val="000000"/>
          <w:lang w:val="pt-BR" w:eastAsia="en-US"/>
        </w:rPr>
        <w:t>Eduardo Fernández</w:t>
      </w:r>
      <w:r w:rsidRPr="0080088A">
        <w:rPr>
          <w:color w:val="000000"/>
          <w:vertAlign w:val="superscript"/>
          <w:lang w:val="pt-BR" w:eastAsia="en-US"/>
        </w:rPr>
        <w:t xml:space="preserve">4,5 </w:t>
      </w:r>
      <w:hyperlink r:id="rId11" w:history="1">
        <w:r w:rsidRPr="0080088A">
          <w:rPr>
            <w:color w:val="0000FF"/>
            <w:u w:val="single"/>
            <w:lang w:val="pt-BR" w:eastAsia="en-US"/>
          </w:rPr>
          <w:t>https://orcid.org/0000-0002-2616-1510</w:t>
        </w:r>
      </w:hyperlink>
      <w:r w:rsidRPr="0080088A">
        <w:rPr>
          <w:color w:val="000000"/>
          <w:lang w:val="pt-BR" w:eastAsia="en-US"/>
        </w:rPr>
        <w:t xml:space="preserve"> </w:t>
      </w:r>
    </w:p>
    <w:p w14:paraId="4CF5284C" w14:textId="77777777" w:rsidR="0080088A" w:rsidRPr="0080088A" w:rsidRDefault="0080088A" w:rsidP="0080088A">
      <w:pPr>
        <w:suppressAutoHyphens/>
        <w:autoSpaceDE w:val="0"/>
        <w:autoSpaceDN w:val="0"/>
        <w:adjustRightInd w:val="0"/>
        <w:spacing w:line="360" w:lineRule="auto"/>
        <w:jc w:val="both"/>
        <w:rPr>
          <w:color w:val="000000"/>
          <w:lang w:val="pt-BR" w:eastAsia="en-US"/>
        </w:rPr>
      </w:pPr>
    </w:p>
    <w:p w14:paraId="7417D8ED" w14:textId="77777777" w:rsidR="0080088A" w:rsidRPr="0080088A" w:rsidRDefault="0080088A" w:rsidP="0080088A">
      <w:pPr>
        <w:suppressAutoHyphens/>
        <w:autoSpaceDE w:val="0"/>
        <w:autoSpaceDN w:val="0"/>
        <w:adjustRightInd w:val="0"/>
        <w:spacing w:line="360" w:lineRule="auto"/>
        <w:jc w:val="both"/>
        <w:rPr>
          <w:color w:val="000000"/>
          <w:lang w:val="es-ES" w:eastAsia="en-US"/>
        </w:rPr>
      </w:pPr>
      <w:r w:rsidRPr="0080088A">
        <w:rPr>
          <w:color w:val="000000"/>
          <w:vertAlign w:val="superscript"/>
          <w:lang w:val="es-ES" w:eastAsia="en-US"/>
        </w:rPr>
        <w:t>1</w:t>
      </w:r>
      <w:r w:rsidRPr="0080088A">
        <w:rPr>
          <w:color w:val="000000"/>
          <w:lang w:val="es-ES" w:eastAsia="en-US"/>
        </w:rPr>
        <w:t>Departamento de Prótesis, Facultad de Odontología, Universidad de Chile. Santiago, Chile.</w:t>
      </w:r>
    </w:p>
    <w:p w14:paraId="51E9FCD3" w14:textId="77777777" w:rsidR="0080088A" w:rsidRPr="0080088A" w:rsidRDefault="0080088A" w:rsidP="0080088A">
      <w:pPr>
        <w:suppressAutoHyphens/>
        <w:autoSpaceDE w:val="0"/>
        <w:autoSpaceDN w:val="0"/>
        <w:adjustRightInd w:val="0"/>
        <w:spacing w:line="360" w:lineRule="auto"/>
        <w:jc w:val="both"/>
        <w:rPr>
          <w:color w:val="000000"/>
          <w:lang w:val="es-ES" w:eastAsia="en-US"/>
        </w:rPr>
      </w:pPr>
      <w:r w:rsidRPr="0080088A">
        <w:rPr>
          <w:color w:val="000000"/>
          <w:vertAlign w:val="superscript"/>
          <w:lang w:val="es-ES" w:eastAsia="en-US"/>
        </w:rPr>
        <w:t>2</w:t>
      </w:r>
      <w:r w:rsidRPr="0080088A">
        <w:rPr>
          <w:color w:val="000000"/>
          <w:lang w:val="es-ES" w:eastAsia="en-US"/>
        </w:rPr>
        <w:t>Universidad Ciencias Médicas de La Habana. Facultad de Ciencias Médicas Victoria de Girón. Departamento Carrera de Estomatología. La Habana, Cuba.</w:t>
      </w:r>
    </w:p>
    <w:p w14:paraId="189506E4" w14:textId="77777777" w:rsidR="0080088A" w:rsidRPr="0080088A" w:rsidRDefault="0080088A" w:rsidP="0080088A">
      <w:pPr>
        <w:suppressAutoHyphens/>
        <w:autoSpaceDE w:val="0"/>
        <w:autoSpaceDN w:val="0"/>
        <w:adjustRightInd w:val="0"/>
        <w:spacing w:line="360" w:lineRule="auto"/>
        <w:jc w:val="both"/>
        <w:rPr>
          <w:color w:val="000000"/>
          <w:lang w:val="es-ES" w:eastAsia="en-US"/>
        </w:rPr>
      </w:pPr>
      <w:r w:rsidRPr="0080088A">
        <w:rPr>
          <w:color w:val="000000"/>
          <w:vertAlign w:val="superscript"/>
          <w:lang w:val="es-ES" w:eastAsia="en-US"/>
        </w:rPr>
        <w:t>3</w:t>
      </w:r>
      <w:r w:rsidRPr="0080088A">
        <w:rPr>
          <w:color w:val="000000"/>
          <w:lang w:val="es-ES" w:eastAsia="en-US"/>
        </w:rPr>
        <w:t>Universidad Autónoma de Chile. Facultad de Ciencias de la Salud. Temuco, Chile.</w:t>
      </w:r>
    </w:p>
    <w:p w14:paraId="2836234F" w14:textId="77777777" w:rsidR="0080088A" w:rsidRPr="0080088A" w:rsidRDefault="0080088A" w:rsidP="0080088A">
      <w:pPr>
        <w:suppressAutoHyphens/>
        <w:autoSpaceDE w:val="0"/>
        <w:autoSpaceDN w:val="0"/>
        <w:adjustRightInd w:val="0"/>
        <w:spacing w:line="360" w:lineRule="auto"/>
        <w:jc w:val="both"/>
        <w:rPr>
          <w:color w:val="000000"/>
          <w:lang w:val="es-ES" w:eastAsia="en-US"/>
        </w:rPr>
      </w:pPr>
      <w:r w:rsidRPr="0080088A">
        <w:rPr>
          <w:color w:val="000000"/>
          <w:vertAlign w:val="superscript"/>
          <w:lang w:val="es-ES" w:eastAsia="en-US"/>
        </w:rPr>
        <w:t>4</w:t>
      </w:r>
      <w:r w:rsidRPr="0080088A">
        <w:rPr>
          <w:color w:val="000000"/>
          <w:lang w:val="es-ES" w:eastAsia="en-US"/>
        </w:rPr>
        <w:t>Universidad de Chile. Facultad de Odontología. Departamento de Odontología Restauradora. Santiago de Chile, Chile.</w:t>
      </w:r>
    </w:p>
    <w:p w14:paraId="3FF5564E" w14:textId="77777777" w:rsidR="0080088A" w:rsidRPr="0080088A" w:rsidRDefault="0080088A" w:rsidP="0080088A">
      <w:pPr>
        <w:suppressAutoHyphens/>
        <w:autoSpaceDE w:val="0"/>
        <w:autoSpaceDN w:val="0"/>
        <w:adjustRightInd w:val="0"/>
        <w:spacing w:line="360" w:lineRule="auto"/>
        <w:jc w:val="both"/>
        <w:rPr>
          <w:color w:val="000000"/>
          <w:lang w:val="en-US" w:eastAsia="en-US"/>
        </w:rPr>
      </w:pPr>
      <w:r w:rsidRPr="0080088A">
        <w:rPr>
          <w:color w:val="000000"/>
          <w:vertAlign w:val="superscript"/>
          <w:lang w:val="es-ES" w:eastAsia="en-US"/>
        </w:rPr>
        <w:t>5</w:t>
      </w:r>
      <w:r w:rsidRPr="0080088A">
        <w:rPr>
          <w:color w:val="000000"/>
          <w:lang w:val="es-ES" w:eastAsia="en-US"/>
        </w:rPr>
        <w:t xml:space="preserve">Universidad Autónoma de Chile. Instituto de Ciencias Biomédicas. </w:t>
      </w:r>
      <w:r w:rsidRPr="0080088A">
        <w:rPr>
          <w:color w:val="000000"/>
          <w:lang w:val="en-US" w:eastAsia="en-US"/>
        </w:rPr>
        <w:t>Santiago de Chile, Chile.</w:t>
      </w:r>
    </w:p>
    <w:p w14:paraId="41FCC88D" w14:textId="77777777" w:rsidR="0080088A" w:rsidRPr="0080088A" w:rsidRDefault="0080088A" w:rsidP="0080088A">
      <w:pPr>
        <w:suppressAutoHyphens/>
        <w:autoSpaceDE w:val="0"/>
        <w:autoSpaceDN w:val="0"/>
        <w:adjustRightInd w:val="0"/>
        <w:spacing w:line="360" w:lineRule="auto"/>
        <w:jc w:val="both"/>
        <w:rPr>
          <w:color w:val="000000"/>
          <w:lang w:val="en-US" w:eastAsia="en-US"/>
        </w:rPr>
      </w:pPr>
    </w:p>
    <w:p w14:paraId="19A69760" w14:textId="77777777" w:rsidR="0080088A" w:rsidRPr="0080088A" w:rsidRDefault="0080088A" w:rsidP="0080088A">
      <w:pPr>
        <w:suppressAutoHyphens/>
        <w:autoSpaceDE w:val="0"/>
        <w:autoSpaceDN w:val="0"/>
        <w:adjustRightInd w:val="0"/>
        <w:spacing w:line="360" w:lineRule="auto"/>
        <w:jc w:val="both"/>
        <w:rPr>
          <w:color w:val="000000"/>
          <w:lang w:val="en-US" w:eastAsia="en-US"/>
        </w:rPr>
      </w:pPr>
      <w:r w:rsidRPr="0080088A">
        <w:rPr>
          <w:color w:val="000000"/>
          <w:lang w:val="en-US" w:eastAsia="en-US"/>
        </w:rPr>
        <w:t xml:space="preserve">*Author for correspondence. Email: </w:t>
      </w:r>
      <w:hyperlink r:id="rId12" w:history="1">
        <w:r w:rsidRPr="0080088A">
          <w:rPr>
            <w:color w:val="0000FF"/>
            <w:u w:val="single"/>
            <w:lang w:val="en-US" w:eastAsia="en-US"/>
          </w:rPr>
          <w:t>drmauriciotoro@gmail.com</w:t>
        </w:r>
      </w:hyperlink>
    </w:p>
    <w:p w14:paraId="270A02A9" w14:textId="77777777" w:rsidR="0080088A" w:rsidRPr="0080088A" w:rsidRDefault="0080088A" w:rsidP="0080088A">
      <w:pPr>
        <w:suppressAutoHyphens/>
        <w:autoSpaceDE w:val="0"/>
        <w:autoSpaceDN w:val="0"/>
        <w:adjustRightInd w:val="0"/>
        <w:spacing w:line="360" w:lineRule="auto"/>
        <w:jc w:val="both"/>
        <w:rPr>
          <w:color w:val="000000"/>
          <w:lang w:val="en-US" w:eastAsia="en-US"/>
        </w:rPr>
      </w:pPr>
    </w:p>
    <w:p w14:paraId="4614DD7E" w14:textId="77777777" w:rsidR="0080088A" w:rsidRPr="0080088A" w:rsidRDefault="0080088A" w:rsidP="0080088A">
      <w:pPr>
        <w:suppressAutoHyphens/>
        <w:spacing w:line="360" w:lineRule="auto"/>
        <w:jc w:val="both"/>
        <w:rPr>
          <w:rFonts w:eastAsia="Calibri"/>
          <w:b/>
          <w:bCs/>
          <w:lang w:val="en-US" w:eastAsia="en-US"/>
        </w:rPr>
      </w:pPr>
      <w:r w:rsidRPr="0080088A">
        <w:rPr>
          <w:rFonts w:eastAsia="Calibri"/>
          <w:b/>
          <w:bCs/>
          <w:lang w:val="en-US" w:eastAsia="en-US"/>
        </w:rPr>
        <w:t>ABSTRACT</w:t>
      </w:r>
    </w:p>
    <w:p w14:paraId="29820B48" w14:textId="77777777" w:rsidR="0080088A" w:rsidRPr="0080088A" w:rsidRDefault="0080088A" w:rsidP="0080088A">
      <w:pPr>
        <w:suppressAutoHyphens/>
        <w:spacing w:line="360" w:lineRule="auto"/>
        <w:jc w:val="both"/>
        <w:rPr>
          <w:rFonts w:eastAsia="Calibri"/>
          <w:lang w:val="en-US" w:eastAsia="en-US"/>
        </w:rPr>
      </w:pPr>
      <w:bookmarkStart w:id="0" w:name="_Hlk100519746"/>
      <w:r w:rsidRPr="0080088A">
        <w:rPr>
          <w:rFonts w:eastAsia="Calibri"/>
          <w:b/>
          <w:bCs/>
          <w:lang w:val="en-US" w:eastAsia="en-US"/>
        </w:rPr>
        <w:t>Introduction</w:t>
      </w:r>
      <w:r w:rsidRPr="0080088A">
        <w:rPr>
          <w:rFonts w:eastAsia="Calibri"/>
          <w:lang w:val="en-US" w:eastAsia="en-US"/>
        </w:rPr>
        <w:t xml:space="preserve">: </w:t>
      </w:r>
      <w:bookmarkStart w:id="1" w:name="_Hlk100519913"/>
      <w:r w:rsidRPr="0080088A">
        <w:rPr>
          <w:rFonts w:eastAsia="Calibri"/>
          <w:lang w:val="en-US" w:eastAsia="en-US"/>
        </w:rPr>
        <w:t>Implant stability can be measured at the moment of implant placement or once the osseointegration process is in progress.</w:t>
      </w:r>
      <w:r w:rsidRPr="0080088A">
        <w:rPr>
          <w:rFonts w:eastAsia="Calibri"/>
          <w:lang w:val="en-GB" w:eastAsia="en-US"/>
        </w:rPr>
        <w:t xml:space="preserve"> Many factors should be considered, including bone quality, osteotomy preparation, implant design, implant surface enhancement, and implant length and diameter.</w:t>
      </w:r>
      <w:bookmarkEnd w:id="1"/>
    </w:p>
    <w:bookmarkEnd w:id="0"/>
    <w:p w14:paraId="7CF7A132" w14:textId="77777777" w:rsidR="0080088A" w:rsidRPr="0080088A" w:rsidRDefault="0080088A" w:rsidP="0080088A">
      <w:pPr>
        <w:suppressAutoHyphens/>
        <w:spacing w:line="360" w:lineRule="auto"/>
        <w:jc w:val="both"/>
        <w:rPr>
          <w:rFonts w:eastAsia="Calibri"/>
          <w:lang w:val="en-US" w:eastAsia="en-US"/>
        </w:rPr>
      </w:pPr>
      <w:r w:rsidRPr="0080088A">
        <w:rPr>
          <w:rFonts w:eastAsia="Calibri"/>
          <w:b/>
          <w:bCs/>
          <w:lang w:val="en-US" w:eastAsia="en-US"/>
        </w:rPr>
        <w:t xml:space="preserve">Objective: </w:t>
      </w:r>
      <w:r w:rsidRPr="0080088A">
        <w:rPr>
          <w:rFonts w:eastAsia="Calibri"/>
          <w:lang w:val="en-US" w:eastAsia="en-US"/>
        </w:rPr>
        <w:t xml:space="preserve">Determine the influence of implant length on primary and secondary stability in type II and type III bones using resonance frequency analysis method. </w:t>
      </w:r>
    </w:p>
    <w:p w14:paraId="42EFE56A" w14:textId="77777777" w:rsidR="0080088A" w:rsidRPr="0080088A" w:rsidRDefault="0080088A" w:rsidP="0080088A">
      <w:pPr>
        <w:suppressAutoHyphens/>
        <w:spacing w:line="360" w:lineRule="auto"/>
        <w:jc w:val="both"/>
        <w:rPr>
          <w:rFonts w:eastAsia="Calibri"/>
          <w:lang w:val="en-US" w:eastAsia="en-US"/>
        </w:rPr>
      </w:pPr>
      <w:r w:rsidRPr="0080088A">
        <w:rPr>
          <w:rFonts w:eastAsia="Calibri"/>
          <w:b/>
          <w:bCs/>
          <w:lang w:val="en-US" w:eastAsia="en-US"/>
        </w:rPr>
        <w:lastRenderedPageBreak/>
        <w:t>Methods:</w:t>
      </w:r>
      <w:r w:rsidRPr="0080088A">
        <w:rPr>
          <w:rFonts w:eastAsia="Calibri"/>
          <w:lang w:val="en-US" w:eastAsia="en-US"/>
        </w:rPr>
        <w:t xml:space="preserve"> A prospective study was conducted in the department of Oral maxillofacial Implantology at the School of Dentistry of the University of Chile between April 2006 and June 2007. 38 screw type implants were placed in the maxilla and mandible, in type II and type III bones. 21 implants had an average contact area of 237 mm</w:t>
      </w:r>
      <w:r w:rsidRPr="0080088A">
        <w:rPr>
          <w:rFonts w:eastAsia="Calibri"/>
          <w:vertAlign w:val="superscript"/>
          <w:lang w:val="en-US" w:eastAsia="en-US"/>
        </w:rPr>
        <w:t>2</w:t>
      </w:r>
      <w:r w:rsidRPr="0080088A">
        <w:rPr>
          <w:rFonts w:eastAsia="Calibri"/>
          <w:lang w:val="en-US" w:eastAsia="en-US"/>
        </w:rPr>
        <w:t xml:space="preserve"> including 2 sizes (3.75mm and a length of 13mm and 15mm) and 17 implants had an average contact area of </w:t>
      </w:r>
      <w:r w:rsidRPr="0080088A">
        <w:rPr>
          <w:rFonts w:eastAsia="Calibri"/>
          <w:lang w:val="en-GB" w:eastAsia="en-US"/>
        </w:rPr>
        <w:t>129 mm</w:t>
      </w:r>
      <w:r w:rsidRPr="0080088A">
        <w:rPr>
          <w:rFonts w:eastAsia="Calibri"/>
          <w:vertAlign w:val="superscript"/>
          <w:lang w:val="en-US" w:eastAsia="en-US"/>
        </w:rPr>
        <w:t>2</w:t>
      </w:r>
      <w:r w:rsidRPr="0080088A">
        <w:rPr>
          <w:rFonts w:eastAsia="Calibri"/>
          <w:lang w:val="en-GB" w:eastAsia="en-US"/>
        </w:rPr>
        <w:t xml:space="preserve"> (diameter of 3.75mm and a length of 7mm)</w:t>
      </w:r>
      <w:r w:rsidRPr="0080088A">
        <w:rPr>
          <w:rFonts w:eastAsia="Calibri"/>
          <w:lang w:val="en-US" w:eastAsia="en-US"/>
        </w:rPr>
        <w:t xml:space="preserve">. Implant primary stability was measured by the Implant Stability Quotient value. Resonance frequency measurements were recorded using </w:t>
      </w:r>
      <w:proofErr w:type="spellStart"/>
      <w:r w:rsidRPr="0080088A">
        <w:rPr>
          <w:rFonts w:eastAsia="Calibri"/>
          <w:lang w:val="en-US" w:eastAsia="en-US"/>
        </w:rPr>
        <w:t>Osstell</w:t>
      </w:r>
      <w:proofErr w:type="spellEnd"/>
      <w:r w:rsidRPr="0080088A">
        <w:rPr>
          <w:rFonts w:eastAsia="Calibri"/>
          <w:lang w:val="en-US" w:eastAsia="en-US"/>
        </w:rPr>
        <w:t>™ Mentor</w:t>
      </w:r>
      <w:r w:rsidRPr="0080088A">
        <w:rPr>
          <w:rFonts w:eastAsia="Calibri"/>
          <w:i/>
          <w:lang w:val="en-US" w:eastAsia="en-US"/>
        </w:rPr>
        <w:t>.</w:t>
      </w:r>
      <w:r w:rsidRPr="0080088A">
        <w:rPr>
          <w:rFonts w:eastAsia="Calibri"/>
          <w:lang w:val="en-US" w:eastAsia="en-US"/>
        </w:rPr>
        <w:t xml:space="preserve"> Secondary implant stability was recorded between 4 to 6 months after the implant placement. </w:t>
      </w:r>
    </w:p>
    <w:p w14:paraId="0840DCDE" w14:textId="77777777" w:rsidR="0080088A" w:rsidRPr="0080088A" w:rsidRDefault="0080088A" w:rsidP="0080088A">
      <w:pPr>
        <w:suppressAutoHyphens/>
        <w:spacing w:line="360" w:lineRule="auto"/>
        <w:jc w:val="both"/>
        <w:rPr>
          <w:rFonts w:eastAsia="Calibri"/>
          <w:lang w:val="en-US" w:eastAsia="en-US"/>
        </w:rPr>
      </w:pPr>
      <w:r w:rsidRPr="0080088A">
        <w:rPr>
          <w:rFonts w:eastAsia="Calibri"/>
          <w:b/>
          <w:bCs/>
          <w:lang w:val="en-US" w:eastAsia="en-US"/>
        </w:rPr>
        <w:t xml:space="preserve">Results: </w:t>
      </w:r>
      <w:r w:rsidRPr="0080088A">
        <w:rPr>
          <w:rFonts w:eastAsia="Calibri"/>
          <w:lang w:val="en-US" w:eastAsia="en-US"/>
        </w:rPr>
        <w:t>For implants with an average contact area of 237 mm</w:t>
      </w:r>
      <w:r w:rsidRPr="0080088A">
        <w:rPr>
          <w:rFonts w:eastAsia="Calibri"/>
          <w:vertAlign w:val="superscript"/>
          <w:lang w:val="en-US" w:eastAsia="en-US"/>
        </w:rPr>
        <w:t xml:space="preserve">2 </w:t>
      </w:r>
      <w:r w:rsidRPr="0080088A">
        <w:rPr>
          <w:rFonts w:eastAsia="Calibri"/>
          <w:lang w:val="en-US" w:eastAsia="en-US"/>
        </w:rPr>
        <w:t>the stability 1 average value was 71,37 and the stability 2 average value was 66,6. For implants with an average contact area of 129 mm</w:t>
      </w:r>
      <w:r w:rsidRPr="0080088A">
        <w:rPr>
          <w:rFonts w:eastAsia="Calibri"/>
          <w:vertAlign w:val="superscript"/>
          <w:lang w:val="en-US" w:eastAsia="en-US"/>
        </w:rPr>
        <w:t>2</w:t>
      </w:r>
      <w:r w:rsidRPr="0080088A">
        <w:rPr>
          <w:rFonts w:eastAsia="Calibri"/>
          <w:lang w:val="en-US" w:eastAsia="en-US"/>
        </w:rPr>
        <w:t xml:space="preserve"> the stability 1 average value was 67,47 and the stability 2 average value was 68,08. </w:t>
      </w:r>
    </w:p>
    <w:p w14:paraId="3B65DD75" w14:textId="77777777" w:rsidR="0080088A" w:rsidRPr="0080088A" w:rsidRDefault="0080088A" w:rsidP="0080088A">
      <w:pPr>
        <w:suppressAutoHyphens/>
        <w:spacing w:line="360" w:lineRule="auto"/>
        <w:jc w:val="both"/>
        <w:rPr>
          <w:rFonts w:eastAsia="Calibri"/>
          <w:lang w:val="en-US" w:eastAsia="en-US"/>
        </w:rPr>
      </w:pPr>
      <w:r w:rsidRPr="0080088A">
        <w:rPr>
          <w:rFonts w:eastAsia="Calibri"/>
          <w:b/>
          <w:bCs/>
          <w:lang w:val="en-US" w:eastAsia="en-US"/>
        </w:rPr>
        <w:t xml:space="preserve">Conclusion: </w:t>
      </w:r>
      <w:r w:rsidRPr="0080088A">
        <w:rPr>
          <w:rFonts w:eastAsia="Calibri"/>
          <w:lang w:val="en-US" w:eastAsia="en-US"/>
        </w:rPr>
        <w:t>Implant length does not influence primary and secondary stability in type II and type III bones.</w:t>
      </w:r>
    </w:p>
    <w:p w14:paraId="4DED9CCE" w14:textId="77777777" w:rsidR="0080088A" w:rsidRPr="0080088A" w:rsidRDefault="0080088A" w:rsidP="0080088A">
      <w:pPr>
        <w:suppressAutoHyphens/>
        <w:spacing w:line="360" w:lineRule="auto"/>
        <w:jc w:val="both"/>
        <w:rPr>
          <w:rFonts w:eastAsia="Calibri"/>
          <w:i/>
          <w:lang w:val="en-US" w:eastAsia="en-US"/>
        </w:rPr>
      </w:pPr>
      <w:r w:rsidRPr="0080088A">
        <w:rPr>
          <w:rFonts w:eastAsia="Calibri"/>
          <w:b/>
          <w:bCs/>
          <w:lang w:val="en-US" w:eastAsia="en-US"/>
        </w:rPr>
        <w:t>Keywords</w:t>
      </w:r>
      <w:r w:rsidRPr="0080088A">
        <w:rPr>
          <w:rFonts w:eastAsia="Calibri"/>
          <w:lang w:val="en-US" w:eastAsia="en-US"/>
        </w:rPr>
        <w:t>: dental implants; primary stability; implant length.</w:t>
      </w:r>
    </w:p>
    <w:p w14:paraId="2FA579BB" w14:textId="77777777" w:rsidR="0080088A" w:rsidRPr="0080088A" w:rsidRDefault="0080088A" w:rsidP="0080088A">
      <w:pPr>
        <w:suppressAutoHyphens/>
        <w:spacing w:line="360" w:lineRule="auto"/>
        <w:jc w:val="both"/>
        <w:rPr>
          <w:rFonts w:eastAsia="Calibri"/>
          <w:lang w:val="en-US" w:eastAsia="en-US"/>
        </w:rPr>
      </w:pPr>
    </w:p>
    <w:p w14:paraId="7A3BCE2D" w14:textId="77777777" w:rsidR="0080088A" w:rsidRPr="0080088A" w:rsidRDefault="0080088A" w:rsidP="0080088A">
      <w:pPr>
        <w:suppressAutoHyphens/>
        <w:spacing w:line="360" w:lineRule="auto"/>
        <w:jc w:val="both"/>
        <w:rPr>
          <w:rFonts w:eastAsia="Calibri"/>
          <w:b/>
          <w:lang w:val="es-CL" w:eastAsia="en-US"/>
        </w:rPr>
      </w:pPr>
      <w:r w:rsidRPr="0080088A">
        <w:rPr>
          <w:rFonts w:eastAsia="Calibri"/>
          <w:b/>
          <w:lang w:val="es-CL" w:eastAsia="en-US"/>
        </w:rPr>
        <w:t>RESUMEN</w:t>
      </w:r>
    </w:p>
    <w:p w14:paraId="63618CFB" w14:textId="77777777" w:rsidR="0080088A" w:rsidRPr="0080088A" w:rsidRDefault="0080088A" w:rsidP="0080088A">
      <w:pPr>
        <w:suppressAutoHyphens/>
        <w:spacing w:line="360" w:lineRule="auto"/>
        <w:jc w:val="both"/>
        <w:rPr>
          <w:rFonts w:eastAsia="Calibri"/>
          <w:lang w:val="es-ES" w:eastAsia="en-US"/>
        </w:rPr>
      </w:pPr>
      <w:r w:rsidRPr="0080088A">
        <w:rPr>
          <w:rFonts w:eastAsia="Calibri"/>
          <w:b/>
          <w:bCs/>
          <w:lang w:val="es-CL" w:eastAsia="en-US"/>
        </w:rPr>
        <w:t>Introducción:</w:t>
      </w:r>
      <w:r w:rsidRPr="0080088A">
        <w:rPr>
          <w:rFonts w:ascii="Segoe UI" w:hAnsi="Segoe UI" w:cs="Segoe UI"/>
          <w:sz w:val="21"/>
          <w:szCs w:val="21"/>
          <w:lang w:val="es-ES" w:eastAsia="es-CL"/>
        </w:rPr>
        <w:t xml:space="preserve"> </w:t>
      </w:r>
      <w:r w:rsidRPr="0080088A">
        <w:rPr>
          <w:rFonts w:eastAsia="Calibri"/>
          <w:lang w:val="es-ES" w:eastAsia="en-US"/>
        </w:rPr>
        <w:t>La estabilidad del implante se puede medir al momento de colocarlo o una vez que el proceso de osteointegración está en curso. Se deben considerar muchos factores, incluida la calidad ósea, la superficie y diseño del implante, la longitud y el diámetro.</w:t>
      </w:r>
    </w:p>
    <w:p w14:paraId="306A641C" w14:textId="77777777" w:rsidR="0080088A" w:rsidRPr="0080088A" w:rsidRDefault="0080088A" w:rsidP="0080088A">
      <w:pPr>
        <w:suppressAutoHyphens/>
        <w:spacing w:line="360" w:lineRule="auto"/>
        <w:jc w:val="both"/>
        <w:rPr>
          <w:rFonts w:eastAsia="Calibri"/>
          <w:lang w:val="es-CL" w:eastAsia="en-US"/>
        </w:rPr>
      </w:pPr>
      <w:r w:rsidRPr="0080088A">
        <w:rPr>
          <w:rFonts w:eastAsia="Calibri"/>
          <w:b/>
          <w:lang w:val="es-CL" w:eastAsia="en-US"/>
        </w:rPr>
        <w:t>Objetivo:</w:t>
      </w:r>
      <w:r w:rsidRPr="0080088A">
        <w:rPr>
          <w:rFonts w:eastAsia="Calibri"/>
          <w:lang w:val="es-CL" w:eastAsia="en-US"/>
        </w:rPr>
        <w:t xml:space="preserve"> Determinar la influencia de la longitud del implante en la estabilidad primaria y secundaria en huesos tipo II y tipo III mediante el método de análisis de frecuencia de resonancia. </w:t>
      </w:r>
    </w:p>
    <w:p w14:paraId="7C8F415D" w14:textId="77777777" w:rsidR="0080088A" w:rsidRPr="0080088A" w:rsidRDefault="0080088A" w:rsidP="0080088A">
      <w:pPr>
        <w:suppressAutoHyphens/>
        <w:spacing w:line="360" w:lineRule="auto"/>
        <w:jc w:val="both"/>
        <w:rPr>
          <w:rFonts w:eastAsia="Calibri"/>
          <w:lang w:val="es-CL" w:eastAsia="en-US"/>
        </w:rPr>
      </w:pPr>
      <w:r w:rsidRPr="0080088A">
        <w:rPr>
          <w:rFonts w:eastAsia="Calibri"/>
          <w:b/>
          <w:lang w:val="es-CL" w:eastAsia="en-US"/>
        </w:rPr>
        <w:t xml:space="preserve">Métodos: </w:t>
      </w:r>
      <w:r w:rsidRPr="0080088A">
        <w:rPr>
          <w:rFonts w:eastAsia="Calibri"/>
          <w:bCs/>
          <w:lang w:val="es-CL" w:eastAsia="en-US"/>
        </w:rPr>
        <w:t>E</w:t>
      </w:r>
      <w:r w:rsidRPr="0080088A">
        <w:rPr>
          <w:rFonts w:eastAsia="Calibri"/>
          <w:lang w:val="es-CL" w:eastAsia="en-US"/>
        </w:rPr>
        <w:t>studio prospectivo en el departamento de Implantología Oral maxilofacial de la Facultad de Odontología de la Universidad de Chile, entre abril 2006 y junio 2007. Se colocaron 38 implantes tipo tornillo en maxilar y mandíbula, en huesos tipo II y tipo III. 21 implantes tenían un área de contacto promedio de 237 mm</w:t>
      </w:r>
      <w:r w:rsidRPr="0080088A">
        <w:rPr>
          <w:rFonts w:eastAsia="Calibri"/>
          <w:vertAlign w:val="superscript"/>
          <w:lang w:val="es-CL" w:eastAsia="en-US"/>
        </w:rPr>
        <w:t>2</w:t>
      </w:r>
      <w:r w:rsidRPr="0080088A">
        <w:rPr>
          <w:rFonts w:eastAsia="Calibri"/>
          <w:lang w:val="es-CL" w:eastAsia="en-US"/>
        </w:rPr>
        <w:t>, incluidos 2 tamaños (3,75 mm y una longitud de 13 mm y 15 mm) y 17 implantes tenían un área de contacto promedio de 129 mm</w:t>
      </w:r>
      <w:r w:rsidRPr="0080088A">
        <w:rPr>
          <w:rFonts w:eastAsia="Calibri"/>
          <w:vertAlign w:val="superscript"/>
          <w:lang w:val="es-CL" w:eastAsia="en-US"/>
        </w:rPr>
        <w:t>2</w:t>
      </w:r>
      <w:r w:rsidRPr="0080088A">
        <w:rPr>
          <w:rFonts w:eastAsia="Calibri"/>
          <w:lang w:val="es-CL" w:eastAsia="en-US"/>
        </w:rPr>
        <w:t xml:space="preserve"> (diámetro de 3,75 mm y una longitud de 7 mm). La estabilidad primaria del implante se midió mediante el valor cociente de estabilidad del implante y la estabilidad secundaria.</w:t>
      </w:r>
    </w:p>
    <w:p w14:paraId="1ECB79A9" w14:textId="77777777" w:rsidR="0080088A" w:rsidRPr="0080088A" w:rsidRDefault="0080088A" w:rsidP="0080088A">
      <w:pPr>
        <w:suppressAutoHyphens/>
        <w:spacing w:line="360" w:lineRule="auto"/>
        <w:jc w:val="both"/>
        <w:rPr>
          <w:rFonts w:eastAsia="Calibri"/>
          <w:lang w:val="es-CL" w:eastAsia="en-US"/>
        </w:rPr>
      </w:pPr>
      <w:r w:rsidRPr="0080088A">
        <w:rPr>
          <w:rFonts w:eastAsia="Calibri"/>
          <w:b/>
          <w:lang w:val="es-CL" w:eastAsia="en-US"/>
        </w:rPr>
        <w:lastRenderedPageBreak/>
        <w:t>Resultados:</w:t>
      </w:r>
      <w:r w:rsidRPr="0080088A">
        <w:rPr>
          <w:rFonts w:eastAsia="Calibri"/>
          <w:lang w:val="es-CL" w:eastAsia="en-US"/>
        </w:rPr>
        <w:t xml:space="preserve"> Para implantes con un área de contacto promedio de 237 mm</w:t>
      </w:r>
      <w:r w:rsidRPr="0080088A">
        <w:rPr>
          <w:rFonts w:eastAsia="Calibri"/>
          <w:vertAlign w:val="superscript"/>
          <w:lang w:val="es-CL" w:eastAsia="en-US"/>
        </w:rPr>
        <w:t>2</w:t>
      </w:r>
      <w:r w:rsidRPr="0080088A">
        <w:rPr>
          <w:rFonts w:eastAsia="Calibri"/>
          <w:lang w:val="es-CL" w:eastAsia="en-US"/>
        </w:rPr>
        <w:t>, la estabilidad 1 fue de 71,37 y la estabilidad 2 fue de 66,6. Para implantes con un área de contacto promedio de 129 mm</w:t>
      </w:r>
      <w:r w:rsidRPr="0080088A">
        <w:rPr>
          <w:rFonts w:eastAsia="Calibri"/>
          <w:vertAlign w:val="superscript"/>
          <w:lang w:val="es-CL" w:eastAsia="en-US"/>
        </w:rPr>
        <w:t>2</w:t>
      </w:r>
      <w:r w:rsidRPr="0080088A">
        <w:rPr>
          <w:rFonts w:eastAsia="Calibri"/>
          <w:lang w:val="es-CL" w:eastAsia="en-US"/>
        </w:rPr>
        <w:t xml:space="preserve">, la estabilidad 1 fue de 67,47 y la estabilidad 2 fue de 68,08. </w:t>
      </w:r>
    </w:p>
    <w:p w14:paraId="7F06F905" w14:textId="77777777" w:rsidR="0080088A" w:rsidRPr="0080088A" w:rsidRDefault="0080088A" w:rsidP="0080088A">
      <w:pPr>
        <w:suppressAutoHyphens/>
        <w:spacing w:line="360" w:lineRule="auto"/>
        <w:jc w:val="both"/>
        <w:rPr>
          <w:rFonts w:eastAsia="Calibri"/>
          <w:lang w:val="es-CL" w:eastAsia="en-US"/>
        </w:rPr>
      </w:pPr>
      <w:r w:rsidRPr="0080088A">
        <w:rPr>
          <w:rFonts w:eastAsia="Calibri"/>
          <w:b/>
          <w:bCs/>
          <w:lang w:val="es-CL" w:eastAsia="en-US"/>
        </w:rPr>
        <w:t>Conclusión</w:t>
      </w:r>
      <w:r w:rsidRPr="0080088A">
        <w:rPr>
          <w:rFonts w:eastAsia="Calibri"/>
          <w:lang w:val="es-CL" w:eastAsia="en-US"/>
        </w:rPr>
        <w:t>: La longitud del implante no influye en la estabilidad primaria y secundaria en los huesos tipo II y tipo III.</w:t>
      </w:r>
    </w:p>
    <w:p w14:paraId="498C3099" w14:textId="77777777" w:rsidR="0080088A" w:rsidRPr="0080088A" w:rsidRDefault="0080088A" w:rsidP="0080088A">
      <w:pPr>
        <w:suppressAutoHyphens/>
        <w:spacing w:line="360" w:lineRule="auto"/>
        <w:jc w:val="both"/>
        <w:rPr>
          <w:rFonts w:eastAsia="Calibri"/>
          <w:bCs/>
          <w:lang w:val="es-CL" w:eastAsia="en-US"/>
        </w:rPr>
      </w:pPr>
      <w:r w:rsidRPr="0080088A">
        <w:rPr>
          <w:rFonts w:eastAsia="Calibri"/>
          <w:b/>
          <w:bCs/>
          <w:lang w:val="es-CL" w:eastAsia="en-US"/>
        </w:rPr>
        <w:t xml:space="preserve">Palabras clave: </w:t>
      </w:r>
      <w:r w:rsidRPr="0080088A">
        <w:rPr>
          <w:rFonts w:eastAsia="Calibri"/>
          <w:bCs/>
          <w:lang w:val="es-CL" w:eastAsia="en-US"/>
        </w:rPr>
        <w:t>implante dental; estabilidad primaria; largo del implante.</w:t>
      </w:r>
    </w:p>
    <w:p w14:paraId="22313A1F" w14:textId="77777777" w:rsidR="0080088A" w:rsidRPr="0080088A" w:rsidRDefault="0080088A" w:rsidP="0080088A">
      <w:pPr>
        <w:suppressAutoHyphens/>
        <w:spacing w:line="360" w:lineRule="auto"/>
        <w:jc w:val="both"/>
        <w:rPr>
          <w:rFonts w:eastAsia="Calibri"/>
          <w:bCs/>
          <w:lang w:val="es-CL" w:eastAsia="en-US"/>
        </w:rPr>
      </w:pPr>
    </w:p>
    <w:p w14:paraId="558F7740" w14:textId="77777777" w:rsidR="0080088A" w:rsidRPr="0080088A" w:rsidRDefault="0080088A" w:rsidP="0080088A">
      <w:pPr>
        <w:suppressAutoHyphens/>
        <w:spacing w:line="360" w:lineRule="auto"/>
        <w:jc w:val="both"/>
        <w:rPr>
          <w:rFonts w:eastAsia="Calibri"/>
          <w:bCs/>
          <w:lang w:val="es-CU" w:eastAsia="en-US"/>
        </w:rPr>
      </w:pPr>
    </w:p>
    <w:p w14:paraId="7BDEB0BB" w14:textId="77777777" w:rsidR="0080088A" w:rsidRPr="0080088A" w:rsidRDefault="0080088A" w:rsidP="0080088A">
      <w:pPr>
        <w:suppressAutoHyphens/>
        <w:spacing w:line="360" w:lineRule="auto"/>
        <w:jc w:val="both"/>
        <w:rPr>
          <w:rFonts w:eastAsia="Calibri"/>
          <w:bCs/>
          <w:lang w:val="en-US" w:eastAsia="en-US"/>
        </w:rPr>
      </w:pPr>
      <w:proofErr w:type="spellStart"/>
      <w:r w:rsidRPr="0080088A">
        <w:rPr>
          <w:rFonts w:eastAsia="Calibri"/>
          <w:bCs/>
          <w:lang w:val="en-US" w:eastAsia="en-US"/>
        </w:rPr>
        <w:t>Recibido</w:t>
      </w:r>
      <w:proofErr w:type="spellEnd"/>
      <w:r w:rsidRPr="0080088A">
        <w:rPr>
          <w:rFonts w:eastAsia="Calibri"/>
          <w:bCs/>
          <w:lang w:val="en-US" w:eastAsia="en-US"/>
        </w:rPr>
        <w:t>: 24/02/2022</w:t>
      </w:r>
    </w:p>
    <w:p w14:paraId="292EF803" w14:textId="77777777" w:rsidR="0080088A" w:rsidRPr="0080088A" w:rsidRDefault="0080088A" w:rsidP="0080088A">
      <w:pPr>
        <w:suppressAutoHyphens/>
        <w:spacing w:line="360" w:lineRule="auto"/>
        <w:jc w:val="both"/>
        <w:rPr>
          <w:rFonts w:eastAsia="Calibri"/>
          <w:bCs/>
          <w:lang w:val="en-US" w:eastAsia="en-US"/>
        </w:rPr>
      </w:pPr>
      <w:proofErr w:type="spellStart"/>
      <w:r w:rsidRPr="0080088A">
        <w:rPr>
          <w:rFonts w:eastAsia="Calibri"/>
          <w:bCs/>
          <w:lang w:val="en-US" w:eastAsia="en-US"/>
        </w:rPr>
        <w:t>Aprobado</w:t>
      </w:r>
      <w:proofErr w:type="spellEnd"/>
      <w:r w:rsidRPr="0080088A">
        <w:rPr>
          <w:rFonts w:eastAsia="Calibri"/>
          <w:bCs/>
          <w:lang w:val="en-US" w:eastAsia="en-US"/>
        </w:rPr>
        <w:t>: 27/04/2022</w:t>
      </w:r>
    </w:p>
    <w:p w14:paraId="09ED4B28" w14:textId="77777777" w:rsidR="0080088A" w:rsidRPr="0080088A" w:rsidRDefault="0080088A" w:rsidP="0080088A">
      <w:pPr>
        <w:suppressAutoHyphens/>
        <w:spacing w:line="360" w:lineRule="auto"/>
        <w:jc w:val="both"/>
        <w:rPr>
          <w:rFonts w:eastAsia="Calibri"/>
          <w:b/>
          <w:bCs/>
          <w:lang w:val="en-US" w:eastAsia="en-US"/>
        </w:rPr>
      </w:pPr>
    </w:p>
    <w:p w14:paraId="6F68FC9E" w14:textId="77777777" w:rsidR="0080088A" w:rsidRPr="0080088A" w:rsidRDefault="0080088A" w:rsidP="0080088A">
      <w:pPr>
        <w:suppressAutoHyphens/>
        <w:spacing w:line="360" w:lineRule="auto"/>
        <w:jc w:val="center"/>
        <w:rPr>
          <w:rFonts w:eastAsia="Calibri"/>
          <w:b/>
          <w:bCs/>
          <w:sz w:val="32"/>
          <w:szCs w:val="32"/>
          <w:lang w:val="en-US" w:eastAsia="en-US"/>
        </w:rPr>
      </w:pPr>
    </w:p>
    <w:p w14:paraId="29B0375B" w14:textId="77777777" w:rsidR="0080088A" w:rsidRPr="0080088A" w:rsidRDefault="0080088A" w:rsidP="0080088A">
      <w:pPr>
        <w:suppressAutoHyphens/>
        <w:spacing w:line="360" w:lineRule="auto"/>
        <w:jc w:val="center"/>
        <w:rPr>
          <w:rFonts w:eastAsia="Calibri"/>
          <w:b/>
          <w:bCs/>
          <w:sz w:val="32"/>
          <w:szCs w:val="32"/>
          <w:lang w:val="en-US" w:eastAsia="en-US"/>
        </w:rPr>
      </w:pPr>
      <w:r w:rsidRPr="0080088A">
        <w:rPr>
          <w:rFonts w:eastAsia="Calibri"/>
          <w:b/>
          <w:bCs/>
          <w:sz w:val="32"/>
          <w:szCs w:val="32"/>
          <w:lang w:val="en-US" w:eastAsia="en-US"/>
        </w:rPr>
        <w:t>INTRODUCTION</w:t>
      </w:r>
    </w:p>
    <w:p w14:paraId="68485E92" w14:textId="77777777" w:rsidR="0080088A" w:rsidRPr="0080088A" w:rsidRDefault="0080088A" w:rsidP="0080088A">
      <w:pPr>
        <w:suppressAutoHyphens/>
        <w:spacing w:line="360" w:lineRule="auto"/>
        <w:jc w:val="both"/>
        <w:rPr>
          <w:rFonts w:eastAsia="Calibri"/>
          <w:lang w:val="en-US" w:eastAsia="en-US"/>
        </w:rPr>
      </w:pPr>
      <w:bookmarkStart w:id="2" w:name="_Hlk100518965"/>
      <w:r w:rsidRPr="0080088A">
        <w:rPr>
          <w:rFonts w:eastAsia="Calibri"/>
          <w:lang w:val="en-US" w:eastAsia="en-US"/>
        </w:rPr>
        <w:t>Implant stability is defined as the absence of movement at the moment of measurement.</w:t>
      </w:r>
      <w:r w:rsidRPr="0080088A">
        <w:rPr>
          <w:rFonts w:eastAsia="Calibri"/>
          <w:vertAlign w:val="superscript"/>
          <w:lang w:val="en-US" w:eastAsia="en-US"/>
        </w:rPr>
        <w:t xml:space="preserve">(1)  </w:t>
      </w:r>
      <w:r w:rsidRPr="0080088A">
        <w:rPr>
          <w:rFonts w:eastAsia="Calibri"/>
          <w:lang w:val="en-US" w:eastAsia="en-US"/>
        </w:rPr>
        <w:t>This factor can be measured at the moment of implant placement (primary stability) or once the osseointegration process is in progress (secondary stability</w:t>
      </w:r>
      <w:bookmarkEnd w:id="2"/>
      <w:r w:rsidRPr="0080088A">
        <w:rPr>
          <w:rFonts w:eastAsia="Calibri"/>
          <w:lang w:val="en-US" w:eastAsia="en-US"/>
        </w:rPr>
        <w:t>).</w:t>
      </w:r>
      <w:r w:rsidRPr="0080088A">
        <w:rPr>
          <w:rFonts w:eastAsia="Calibri"/>
          <w:vertAlign w:val="superscript"/>
          <w:lang w:val="en-US" w:eastAsia="en-US"/>
        </w:rPr>
        <w:t xml:space="preserve">(2)  </w:t>
      </w:r>
      <w:r w:rsidRPr="0080088A">
        <w:rPr>
          <w:rFonts w:eastAsia="Calibri"/>
          <w:lang w:val="en-US" w:eastAsia="en-US"/>
        </w:rPr>
        <w:t>Primary stability includes the mechanical attachment of an implant in the surrounding bone at the insertion, whereas secondary implant stability is the tissue response to the implant and subsequent bone remodeling processes.</w:t>
      </w:r>
      <w:r w:rsidRPr="0080088A">
        <w:rPr>
          <w:rFonts w:eastAsia="Calibri"/>
          <w:vertAlign w:val="superscript"/>
          <w:lang w:val="en-US" w:eastAsia="en-US"/>
        </w:rPr>
        <w:t>(2)</w:t>
      </w:r>
      <w:r w:rsidRPr="0080088A">
        <w:rPr>
          <w:rFonts w:eastAsia="Calibri"/>
          <w:lang w:val="en-US" w:eastAsia="en-US"/>
        </w:rPr>
        <w:t xml:space="preserve"> Some researchers</w:t>
      </w:r>
      <w:r w:rsidRPr="0080088A">
        <w:rPr>
          <w:rFonts w:eastAsia="Calibri"/>
          <w:vertAlign w:val="superscript"/>
          <w:lang w:val="en-US" w:eastAsia="en-US"/>
        </w:rPr>
        <w:t xml:space="preserve"> </w:t>
      </w:r>
      <w:r w:rsidRPr="0080088A">
        <w:rPr>
          <w:rFonts w:eastAsia="Calibri"/>
          <w:lang w:val="en-US" w:eastAsia="en-US"/>
        </w:rPr>
        <w:t>have reported that early failure may be caused by poor implant stability, thus, primary and secondary implant stability are considered key factors for treatment success.</w:t>
      </w:r>
      <w:r w:rsidRPr="0080088A">
        <w:rPr>
          <w:rFonts w:eastAsia="Calibri"/>
          <w:vertAlign w:val="superscript"/>
          <w:lang w:val="en-US" w:eastAsia="en-US"/>
        </w:rPr>
        <w:t xml:space="preserve">(2,3) </w:t>
      </w:r>
      <w:r w:rsidRPr="0080088A">
        <w:rPr>
          <w:rFonts w:eastAsia="Calibri"/>
          <w:lang w:val="en-US" w:eastAsia="en-US"/>
        </w:rPr>
        <w:t xml:space="preserve"> </w:t>
      </w:r>
    </w:p>
    <w:p w14:paraId="3B60EFF0" w14:textId="77777777" w:rsidR="0080088A" w:rsidRPr="0080088A" w:rsidRDefault="0080088A" w:rsidP="0080088A">
      <w:pPr>
        <w:suppressAutoHyphens/>
        <w:spacing w:line="360" w:lineRule="auto"/>
        <w:jc w:val="both"/>
        <w:rPr>
          <w:rFonts w:eastAsia="Calibri"/>
          <w:lang w:val="en-US" w:eastAsia="en-US"/>
        </w:rPr>
      </w:pPr>
      <w:r w:rsidRPr="0080088A">
        <w:rPr>
          <w:rFonts w:eastAsia="Calibri"/>
          <w:lang w:val="en-US" w:eastAsia="en-US"/>
        </w:rPr>
        <w:t xml:space="preserve">Several methods have been used to examine implant stability at insertion and during the osseointegration </w:t>
      </w:r>
      <w:proofErr w:type="gramStart"/>
      <w:r w:rsidRPr="0080088A">
        <w:rPr>
          <w:rFonts w:eastAsia="Calibri"/>
          <w:lang w:val="en-US" w:eastAsia="en-US"/>
        </w:rPr>
        <w:t>period.</w:t>
      </w:r>
      <w:r w:rsidRPr="0080088A">
        <w:rPr>
          <w:rFonts w:eastAsia="Calibri"/>
          <w:vertAlign w:val="superscript"/>
          <w:lang w:val="en-US" w:eastAsia="en-US"/>
        </w:rPr>
        <w:t>(</w:t>
      </w:r>
      <w:proofErr w:type="gramEnd"/>
      <w:r w:rsidRPr="0080088A">
        <w:rPr>
          <w:rFonts w:eastAsia="Calibri"/>
          <w:vertAlign w:val="superscript"/>
          <w:lang w:val="en-US" w:eastAsia="en-US"/>
        </w:rPr>
        <w:t xml:space="preserve">1,2,3) </w:t>
      </w:r>
      <w:r w:rsidRPr="0080088A">
        <w:rPr>
          <w:rFonts w:eastAsia="Calibri"/>
          <w:lang w:val="en-US" w:eastAsia="en-US"/>
        </w:rPr>
        <w:t xml:space="preserve"> Despite the availability of a wide variety of stability quantifiers, only some of these have been validated. Currently, insertion torque and resonance frequency analysis (RFA) are seen as the gold standard for evaluating in vivo implant primary </w:t>
      </w:r>
      <w:proofErr w:type="gramStart"/>
      <w:r w:rsidRPr="0080088A">
        <w:rPr>
          <w:rFonts w:eastAsia="Calibri"/>
          <w:lang w:val="en-US" w:eastAsia="en-US"/>
        </w:rPr>
        <w:t>stability.</w:t>
      </w:r>
      <w:r w:rsidRPr="0080088A">
        <w:rPr>
          <w:rFonts w:eastAsia="Calibri"/>
          <w:vertAlign w:val="superscript"/>
          <w:lang w:val="en-US" w:eastAsia="en-US"/>
        </w:rPr>
        <w:t>(</w:t>
      </w:r>
      <w:proofErr w:type="gramEnd"/>
      <w:r w:rsidRPr="0080088A">
        <w:rPr>
          <w:rFonts w:eastAsia="Calibri"/>
          <w:vertAlign w:val="superscript"/>
          <w:lang w:val="en-US" w:eastAsia="en-US"/>
        </w:rPr>
        <w:t>3)</w:t>
      </w:r>
      <w:r w:rsidRPr="0080088A">
        <w:rPr>
          <w:rFonts w:eastAsia="Calibri"/>
          <w:lang w:val="en-US" w:eastAsia="en-US"/>
        </w:rPr>
        <w:t xml:space="preserve"> Insertion torque is a mechanical parameter influenced by surgical procedure, implant design, and bone quality. A high insertion torque means that the implant is firmly embedded into the bone and that is mechanically stable. Some authors have found that insertion torque values above 32 </w:t>
      </w:r>
      <w:proofErr w:type="spellStart"/>
      <w:r w:rsidRPr="0080088A">
        <w:rPr>
          <w:rFonts w:eastAsia="Calibri"/>
          <w:lang w:val="en-US" w:eastAsia="en-US"/>
        </w:rPr>
        <w:t>Ncm</w:t>
      </w:r>
      <w:proofErr w:type="spellEnd"/>
      <w:r w:rsidRPr="0080088A">
        <w:rPr>
          <w:rFonts w:eastAsia="Calibri"/>
          <w:lang w:val="en-US" w:eastAsia="en-US"/>
        </w:rPr>
        <w:t xml:space="preserve"> are an indication of adequate primary </w:t>
      </w:r>
      <w:proofErr w:type="gramStart"/>
      <w:r w:rsidRPr="0080088A">
        <w:rPr>
          <w:rFonts w:eastAsia="Calibri"/>
          <w:lang w:val="en-US" w:eastAsia="en-US"/>
        </w:rPr>
        <w:t>stability.</w:t>
      </w:r>
      <w:r w:rsidRPr="0080088A">
        <w:rPr>
          <w:rFonts w:eastAsia="Calibri"/>
          <w:vertAlign w:val="superscript"/>
          <w:lang w:val="en-US" w:eastAsia="en-US"/>
        </w:rPr>
        <w:t>(</w:t>
      </w:r>
      <w:proofErr w:type="gramEnd"/>
      <w:r w:rsidRPr="0080088A">
        <w:rPr>
          <w:rFonts w:eastAsia="Calibri"/>
          <w:vertAlign w:val="superscript"/>
          <w:lang w:val="en-US" w:eastAsia="en-US"/>
        </w:rPr>
        <w:t xml:space="preserve">3) </w:t>
      </w:r>
      <w:r w:rsidRPr="0080088A">
        <w:rPr>
          <w:rFonts w:eastAsia="Calibri"/>
          <w:lang w:val="en-US" w:eastAsia="en-US"/>
        </w:rPr>
        <w:t xml:space="preserve"> </w:t>
      </w:r>
    </w:p>
    <w:p w14:paraId="10E1AF6B" w14:textId="77777777" w:rsidR="0080088A" w:rsidRPr="0080088A" w:rsidRDefault="0080088A" w:rsidP="0080088A">
      <w:pPr>
        <w:suppressAutoHyphens/>
        <w:spacing w:line="360" w:lineRule="auto"/>
        <w:jc w:val="both"/>
        <w:rPr>
          <w:rFonts w:eastAsia="Calibri"/>
          <w:lang w:val="en-US" w:eastAsia="en-US"/>
        </w:rPr>
      </w:pPr>
      <w:r w:rsidRPr="0080088A">
        <w:rPr>
          <w:rFonts w:eastAsia="Calibri"/>
          <w:lang w:val="en-US" w:eastAsia="en-US"/>
        </w:rPr>
        <w:lastRenderedPageBreak/>
        <w:t>RFA is a method used to determine implant stability, which consists on sending magnetic pulses to a small metal rod temporarily attached to the implant. As the rod vibrates, the probe reads its resonance frequency and translates it into an ISQ value (implant stability quotient value</w:t>
      </w:r>
      <w:proofErr w:type="gramStart"/>
      <w:r w:rsidRPr="0080088A">
        <w:rPr>
          <w:rFonts w:eastAsia="Calibri"/>
          <w:lang w:val="en-US" w:eastAsia="en-US"/>
        </w:rPr>
        <w:t>).</w:t>
      </w:r>
      <w:r w:rsidRPr="0080088A">
        <w:rPr>
          <w:rFonts w:eastAsia="Calibri"/>
          <w:vertAlign w:val="superscript"/>
          <w:lang w:val="en-US" w:eastAsia="en-US"/>
        </w:rPr>
        <w:t>(</w:t>
      </w:r>
      <w:proofErr w:type="gramEnd"/>
      <w:r w:rsidRPr="0080088A">
        <w:rPr>
          <w:rFonts w:eastAsia="Calibri"/>
          <w:vertAlign w:val="superscript"/>
          <w:lang w:val="en-US" w:eastAsia="en-US"/>
        </w:rPr>
        <w:t>4)</w:t>
      </w:r>
      <w:r w:rsidRPr="0080088A">
        <w:rPr>
          <w:rFonts w:eastAsia="Calibri"/>
          <w:lang w:val="en-US" w:eastAsia="en-US"/>
        </w:rPr>
        <w:t xml:space="preserve"> The value obtained is a combination of bone implant contact and bone density around the implants.</w:t>
      </w:r>
      <w:r w:rsidRPr="0080088A">
        <w:rPr>
          <w:rFonts w:eastAsia="Calibri"/>
          <w:vertAlign w:val="superscript"/>
          <w:lang w:val="en-US" w:eastAsia="en-US"/>
        </w:rPr>
        <w:t>(4)</w:t>
      </w:r>
      <w:r w:rsidRPr="0080088A">
        <w:rPr>
          <w:rFonts w:eastAsia="Calibri"/>
          <w:lang w:val="en-US" w:eastAsia="en-US"/>
        </w:rPr>
        <w:t xml:space="preserve"> RFA instruments perform a quick and simple measurement, which results in a value called ISQ. The ISQ ranges from 1 (low stability) to 100 (high stability</w:t>
      </w:r>
      <w:proofErr w:type="gramStart"/>
      <w:r w:rsidRPr="0080088A">
        <w:rPr>
          <w:rFonts w:eastAsia="Calibri"/>
          <w:lang w:val="en-US" w:eastAsia="en-US"/>
        </w:rPr>
        <w:t>).</w:t>
      </w:r>
      <w:r w:rsidRPr="0080088A">
        <w:rPr>
          <w:rFonts w:eastAsia="Calibri"/>
          <w:vertAlign w:val="superscript"/>
          <w:lang w:val="en-US" w:eastAsia="en-US"/>
        </w:rPr>
        <w:t>(</w:t>
      </w:r>
      <w:proofErr w:type="gramEnd"/>
      <w:r w:rsidRPr="0080088A">
        <w:rPr>
          <w:rFonts w:eastAsia="Calibri"/>
          <w:vertAlign w:val="superscript"/>
          <w:lang w:val="en-US" w:eastAsia="en-US"/>
        </w:rPr>
        <w:t>4,5)</w:t>
      </w:r>
      <w:r w:rsidRPr="0080088A">
        <w:rPr>
          <w:rFonts w:eastAsia="Calibri"/>
          <w:lang w:val="en-US" w:eastAsia="en-US"/>
        </w:rPr>
        <w:t xml:space="preserve"> It has been reported that ISQ values at implant insertion should be ≥ 60 to achieve sufficient implant stability.</w:t>
      </w:r>
      <w:r w:rsidRPr="0080088A">
        <w:rPr>
          <w:rFonts w:eastAsia="Calibri"/>
          <w:vertAlign w:val="superscript"/>
          <w:lang w:val="en-US" w:eastAsia="en-US"/>
        </w:rPr>
        <w:t>(5)</w:t>
      </w:r>
      <w:r w:rsidRPr="0080088A">
        <w:rPr>
          <w:rFonts w:eastAsia="Calibri"/>
          <w:lang w:val="en-US" w:eastAsia="en-US"/>
        </w:rPr>
        <w:t xml:space="preserve">  </w:t>
      </w:r>
    </w:p>
    <w:p w14:paraId="3D135E8F" w14:textId="77777777" w:rsidR="0080088A" w:rsidRPr="0080088A" w:rsidRDefault="0080088A" w:rsidP="0080088A">
      <w:pPr>
        <w:suppressAutoHyphens/>
        <w:spacing w:line="360" w:lineRule="auto"/>
        <w:jc w:val="both"/>
        <w:rPr>
          <w:rFonts w:eastAsia="Calibri"/>
          <w:lang w:val="en-US" w:eastAsia="en-US"/>
        </w:rPr>
      </w:pPr>
      <w:r w:rsidRPr="0080088A">
        <w:rPr>
          <w:rFonts w:eastAsia="Calibri"/>
          <w:lang w:val="en-US" w:eastAsia="en-US"/>
        </w:rPr>
        <w:t xml:space="preserve">RFA measurements are used to assess the implant stability immediately after placement, as well as to measure the stability during the healing </w:t>
      </w:r>
      <w:proofErr w:type="gramStart"/>
      <w:r w:rsidRPr="0080088A">
        <w:rPr>
          <w:rFonts w:eastAsia="Calibri"/>
          <w:lang w:val="en-US" w:eastAsia="en-US"/>
        </w:rPr>
        <w:t>time.</w:t>
      </w:r>
      <w:r w:rsidRPr="0080088A">
        <w:rPr>
          <w:rFonts w:eastAsia="Calibri"/>
          <w:vertAlign w:val="superscript"/>
          <w:lang w:val="en-US" w:eastAsia="en-US"/>
        </w:rPr>
        <w:t>(</w:t>
      </w:r>
      <w:proofErr w:type="gramEnd"/>
      <w:r w:rsidRPr="0080088A">
        <w:rPr>
          <w:rFonts w:eastAsia="Calibri"/>
          <w:vertAlign w:val="superscript"/>
          <w:lang w:val="en-US" w:eastAsia="en-US"/>
        </w:rPr>
        <w:t>5,6)</w:t>
      </w:r>
      <w:r w:rsidRPr="0080088A">
        <w:rPr>
          <w:rFonts w:eastAsia="Calibri"/>
          <w:lang w:val="en-US" w:eastAsia="en-US"/>
        </w:rPr>
        <w:t xml:space="preserve">  This helps the dentist to determine whether more healing time (</w:t>
      </w:r>
      <w:hyperlink r:id="rId13" w:tgtFrame="Osseointegration">
        <w:r w:rsidRPr="0080088A">
          <w:rPr>
            <w:rFonts w:eastAsia="Calibri"/>
            <w:lang w:val="en-US" w:eastAsia="en-US"/>
          </w:rPr>
          <w:t>osseointegration</w:t>
        </w:r>
      </w:hyperlink>
      <w:r w:rsidRPr="0080088A">
        <w:rPr>
          <w:rFonts w:eastAsia="Calibri"/>
          <w:lang w:val="en-US" w:eastAsia="en-US"/>
        </w:rPr>
        <w:t>) is needed before the placement of the prosthetic tooth, as well as to identify patients with compromised bone tissue, or other risk factors.</w:t>
      </w:r>
      <w:r w:rsidRPr="0080088A">
        <w:rPr>
          <w:rFonts w:eastAsia="Calibri"/>
          <w:vertAlign w:val="superscript"/>
          <w:lang w:val="en-US" w:eastAsia="en-US"/>
        </w:rPr>
        <w:t>(6)</w:t>
      </w:r>
    </w:p>
    <w:p w14:paraId="2B1F60C1" w14:textId="77777777" w:rsidR="0080088A" w:rsidRPr="0080088A" w:rsidRDefault="0080088A" w:rsidP="0080088A">
      <w:pPr>
        <w:suppressAutoHyphens/>
        <w:spacing w:line="360" w:lineRule="auto"/>
        <w:jc w:val="both"/>
        <w:rPr>
          <w:rFonts w:eastAsia="Calibri"/>
          <w:lang w:val="en-GB" w:eastAsia="en-US"/>
        </w:rPr>
      </w:pPr>
      <w:bookmarkStart w:id="3" w:name="_Hlk100519137"/>
      <w:r w:rsidRPr="0080088A">
        <w:rPr>
          <w:rFonts w:eastAsia="Calibri"/>
          <w:lang w:val="en-GB" w:eastAsia="en-US"/>
        </w:rPr>
        <w:t>Many factors should be considered when attempting to achieve primary stability, including bone quality, osteotomy preparation, implant design, implant surface enhancement, and implant length and diameter</w:t>
      </w:r>
      <w:bookmarkEnd w:id="3"/>
      <w:r w:rsidRPr="0080088A">
        <w:rPr>
          <w:rFonts w:eastAsia="Calibri"/>
          <w:lang w:val="en-US" w:eastAsia="en-US"/>
        </w:rPr>
        <w:t>.</w:t>
      </w:r>
      <w:r w:rsidRPr="0080088A">
        <w:rPr>
          <w:rFonts w:eastAsia="Calibri"/>
          <w:vertAlign w:val="superscript"/>
          <w:lang w:val="en-US" w:eastAsia="en-US"/>
        </w:rPr>
        <w:t>(7,8)</w:t>
      </w:r>
      <w:r w:rsidRPr="0080088A">
        <w:rPr>
          <w:rFonts w:eastAsia="Calibri"/>
          <w:lang w:val="en-US" w:eastAsia="en-US"/>
        </w:rPr>
        <w:t xml:space="preserve"> </w:t>
      </w:r>
      <w:r w:rsidRPr="0080088A">
        <w:rPr>
          <w:rFonts w:eastAsia="Calibri"/>
          <w:lang w:val="en-GB" w:eastAsia="en-US"/>
        </w:rPr>
        <w:t xml:space="preserve"> Several surgical techniques have been used effectively for bone augmentation in height and width</w:t>
      </w:r>
      <w:r w:rsidRPr="0080088A">
        <w:rPr>
          <w:rFonts w:eastAsia="Calibri"/>
          <w:lang w:val="en-US" w:eastAsia="en-US"/>
        </w:rPr>
        <w:t>.</w:t>
      </w:r>
      <w:r w:rsidRPr="0080088A">
        <w:rPr>
          <w:rFonts w:eastAsia="Calibri"/>
          <w:vertAlign w:val="superscript"/>
          <w:lang w:val="en-US" w:eastAsia="en-US"/>
        </w:rPr>
        <w:t>(9)</w:t>
      </w:r>
      <w:r w:rsidRPr="0080088A">
        <w:rPr>
          <w:rFonts w:eastAsia="Calibri"/>
          <w:lang w:val="en-GB" w:eastAsia="en-US"/>
        </w:rPr>
        <w:t xml:space="preserve"> However, because of postoperative complications, longer treatment duration and high treatment costs, it is sometimes difficult for the patient to accept these procedures</w:t>
      </w:r>
      <w:r w:rsidRPr="0080088A">
        <w:rPr>
          <w:rFonts w:eastAsia="Calibri"/>
          <w:lang w:val="en-US" w:eastAsia="en-US"/>
        </w:rPr>
        <w:t>.</w:t>
      </w:r>
      <w:r w:rsidRPr="0080088A">
        <w:rPr>
          <w:rFonts w:eastAsia="Calibri"/>
          <w:vertAlign w:val="superscript"/>
          <w:lang w:val="en-US" w:eastAsia="en-US"/>
        </w:rPr>
        <w:t>(9,10)</w:t>
      </w:r>
      <w:r w:rsidRPr="0080088A">
        <w:rPr>
          <w:rFonts w:eastAsia="Calibri"/>
          <w:lang w:val="en-US" w:eastAsia="en-US"/>
        </w:rPr>
        <w:t xml:space="preserve"> </w:t>
      </w:r>
      <w:r w:rsidRPr="0080088A">
        <w:rPr>
          <w:rFonts w:eastAsia="Calibri"/>
          <w:lang w:val="en-GB" w:eastAsia="en-US"/>
        </w:rPr>
        <w:t>As an alternative to more complicated augmentation procedures, short dental implants have been increasingly used in case of vertical alveolar bone height deficiencies</w:t>
      </w:r>
      <w:r w:rsidRPr="0080088A">
        <w:rPr>
          <w:rFonts w:eastAsia="Calibri"/>
          <w:lang w:val="en-US" w:eastAsia="en-US"/>
        </w:rPr>
        <w:t>.</w:t>
      </w:r>
      <w:r w:rsidRPr="0080088A">
        <w:rPr>
          <w:rFonts w:eastAsia="Calibri"/>
          <w:vertAlign w:val="superscript"/>
          <w:lang w:val="en-US" w:eastAsia="en-US"/>
        </w:rPr>
        <w:t>(10)</w:t>
      </w:r>
      <w:r w:rsidRPr="0080088A">
        <w:rPr>
          <w:rFonts w:eastAsia="Calibri"/>
          <w:lang w:val="en-US" w:eastAsia="en-US"/>
        </w:rPr>
        <w:t xml:space="preserve"> </w:t>
      </w:r>
      <w:r w:rsidRPr="0080088A">
        <w:rPr>
          <w:rFonts w:eastAsia="Calibri"/>
          <w:shd w:val="clear" w:color="auto" w:fill="FFFFFF"/>
          <w:lang w:val="en-GB" w:eastAsia="en-US"/>
        </w:rPr>
        <w:t>Recent studies have reported equivalent success rates for rough-surfaced short implants when comparing to standard length implants</w:t>
      </w:r>
      <w:r w:rsidRPr="0080088A">
        <w:rPr>
          <w:rFonts w:eastAsia="Calibri"/>
          <w:lang w:val="en-US" w:eastAsia="en-US"/>
        </w:rPr>
        <w:t>.</w:t>
      </w:r>
      <w:r w:rsidRPr="0080088A">
        <w:rPr>
          <w:rFonts w:eastAsia="Calibri"/>
          <w:vertAlign w:val="superscript"/>
          <w:lang w:val="en-US" w:eastAsia="en-US"/>
        </w:rPr>
        <w:t>(11,12)</w:t>
      </w:r>
      <w:r w:rsidRPr="0080088A">
        <w:rPr>
          <w:rFonts w:eastAsia="Calibri"/>
          <w:lang w:val="en-US" w:eastAsia="en-US"/>
        </w:rPr>
        <w:t xml:space="preserve"> </w:t>
      </w:r>
      <w:r w:rsidRPr="0080088A">
        <w:rPr>
          <w:rFonts w:eastAsia="Calibri"/>
          <w:shd w:val="clear" w:color="auto" w:fill="FFFFFF"/>
          <w:lang w:val="en-GB" w:eastAsia="en-US"/>
        </w:rPr>
        <w:t>Although success and survival of short implants have been extensively investigated, studies on midterm and long-term outcomes are limited.</w:t>
      </w:r>
    </w:p>
    <w:p w14:paraId="6DCF868E" w14:textId="77777777" w:rsidR="0080088A" w:rsidRPr="0080088A" w:rsidRDefault="0080088A" w:rsidP="0080088A">
      <w:pPr>
        <w:suppressAutoHyphens/>
        <w:spacing w:line="360" w:lineRule="auto"/>
        <w:jc w:val="both"/>
        <w:rPr>
          <w:rFonts w:eastAsia="Calibri"/>
          <w:lang w:val="en-US" w:eastAsia="en-US"/>
        </w:rPr>
      </w:pPr>
      <w:r w:rsidRPr="0080088A">
        <w:rPr>
          <w:rFonts w:eastAsia="Calibri"/>
          <w:lang w:val="en-US" w:eastAsia="en-US"/>
        </w:rPr>
        <w:t xml:space="preserve">This study aimed to determine the influence </w:t>
      </w:r>
      <w:bookmarkStart w:id="4" w:name="_Hlk70365528"/>
      <w:r w:rsidRPr="0080088A">
        <w:rPr>
          <w:rFonts w:eastAsia="Calibri"/>
          <w:lang w:val="en-US" w:eastAsia="en-US"/>
        </w:rPr>
        <w:t xml:space="preserve">of implant length </w:t>
      </w:r>
      <w:bookmarkEnd w:id="4"/>
      <w:r w:rsidRPr="0080088A">
        <w:rPr>
          <w:rFonts w:eastAsia="Calibri"/>
          <w:lang w:val="en-US" w:eastAsia="en-US"/>
        </w:rPr>
        <w:t>on primary and secondary stability in type II and type III bones using resonance frequency analysis method.</w:t>
      </w:r>
    </w:p>
    <w:p w14:paraId="4D69E980" w14:textId="77777777" w:rsidR="0080088A" w:rsidRPr="0080088A" w:rsidRDefault="0080088A" w:rsidP="0080088A">
      <w:pPr>
        <w:suppressAutoHyphens/>
        <w:spacing w:line="360" w:lineRule="auto"/>
        <w:jc w:val="both"/>
        <w:rPr>
          <w:rFonts w:eastAsia="Calibri"/>
          <w:lang w:val="en-US" w:eastAsia="en-US"/>
        </w:rPr>
      </w:pPr>
    </w:p>
    <w:p w14:paraId="732FAD56" w14:textId="77777777" w:rsidR="0080088A" w:rsidRPr="0080088A" w:rsidRDefault="0080088A" w:rsidP="0080088A">
      <w:pPr>
        <w:suppressAutoHyphens/>
        <w:spacing w:line="360" w:lineRule="auto"/>
        <w:jc w:val="center"/>
        <w:rPr>
          <w:rFonts w:eastAsia="Calibri"/>
          <w:b/>
          <w:bCs/>
          <w:sz w:val="32"/>
          <w:szCs w:val="32"/>
          <w:lang w:val="en-US" w:eastAsia="en-US"/>
        </w:rPr>
      </w:pPr>
    </w:p>
    <w:p w14:paraId="7A56227B" w14:textId="77777777" w:rsidR="00E132BC" w:rsidRDefault="00E132BC">
      <w:pPr>
        <w:rPr>
          <w:rFonts w:eastAsia="Calibri"/>
          <w:b/>
          <w:bCs/>
          <w:sz w:val="32"/>
          <w:szCs w:val="32"/>
          <w:lang w:val="en-US" w:eastAsia="en-US"/>
        </w:rPr>
      </w:pPr>
      <w:r>
        <w:rPr>
          <w:rFonts w:eastAsia="Calibri"/>
          <w:b/>
          <w:bCs/>
          <w:sz w:val="32"/>
          <w:szCs w:val="32"/>
          <w:lang w:val="en-US" w:eastAsia="en-US"/>
        </w:rPr>
        <w:br w:type="page"/>
      </w:r>
    </w:p>
    <w:p w14:paraId="0719B448" w14:textId="06A17019" w:rsidR="0080088A" w:rsidRPr="0080088A" w:rsidRDefault="0080088A" w:rsidP="0080088A">
      <w:pPr>
        <w:suppressAutoHyphens/>
        <w:spacing w:line="360" w:lineRule="auto"/>
        <w:jc w:val="center"/>
        <w:rPr>
          <w:rFonts w:eastAsia="Calibri"/>
          <w:b/>
          <w:bCs/>
          <w:sz w:val="32"/>
          <w:szCs w:val="32"/>
          <w:lang w:val="en-US" w:eastAsia="en-US"/>
        </w:rPr>
      </w:pPr>
      <w:r w:rsidRPr="0080088A">
        <w:rPr>
          <w:rFonts w:eastAsia="Calibri"/>
          <w:b/>
          <w:bCs/>
          <w:sz w:val="32"/>
          <w:szCs w:val="32"/>
          <w:lang w:val="en-US" w:eastAsia="en-US"/>
        </w:rPr>
        <w:lastRenderedPageBreak/>
        <w:t>METHODS</w:t>
      </w:r>
    </w:p>
    <w:p w14:paraId="0025E156" w14:textId="77777777" w:rsidR="0080088A" w:rsidRPr="0080088A" w:rsidRDefault="0080088A" w:rsidP="0080088A">
      <w:pPr>
        <w:suppressAutoHyphens/>
        <w:spacing w:line="360" w:lineRule="auto"/>
        <w:jc w:val="both"/>
        <w:rPr>
          <w:rFonts w:eastAsia="Calibri"/>
          <w:lang w:val="en-US" w:eastAsia="en-US"/>
        </w:rPr>
      </w:pPr>
      <w:r w:rsidRPr="0080088A">
        <w:rPr>
          <w:rFonts w:eastAsia="Calibri"/>
          <w:lang w:val="en-US" w:eastAsia="en-US"/>
        </w:rPr>
        <w:t xml:space="preserve">A prospective study was conducted in the department of Oral maxillofacial Implantology at the School of Dentistry of the University of Chile between April 2006 and June 2007. All patients gave their informed consent in writing to take part in the study. </w:t>
      </w:r>
    </w:p>
    <w:p w14:paraId="4842560A" w14:textId="77777777" w:rsidR="0080088A" w:rsidRPr="0080088A" w:rsidRDefault="0080088A" w:rsidP="0080088A">
      <w:pPr>
        <w:suppressAutoHyphens/>
        <w:spacing w:line="360" w:lineRule="auto"/>
        <w:jc w:val="both"/>
        <w:rPr>
          <w:rFonts w:eastAsia="Calibri"/>
          <w:lang w:val="en-US" w:eastAsia="en-US"/>
        </w:rPr>
      </w:pPr>
      <w:r w:rsidRPr="0080088A">
        <w:rPr>
          <w:rFonts w:eastAsia="Calibri"/>
          <w:lang w:val="en-US" w:eastAsia="en-US"/>
        </w:rPr>
        <w:t xml:space="preserve">The present study included 16 patients (4 males and 14 females) with a mean age of 46 years (maximum age 72 years and minimum age of 26 years). A total of 38 screw type implants were placed in the maxilla and mandible, in type II and type III bones according to </w:t>
      </w:r>
      <w:proofErr w:type="spellStart"/>
      <w:r w:rsidRPr="0080088A">
        <w:rPr>
          <w:rFonts w:eastAsia="Calibri"/>
          <w:lang w:val="en-US" w:eastAsia="en-US"/>
        </w:rPr>
        <w:t>Leckholm</w:t>
      </w:r>
      <w:proofErr w:type="spellEnd"/>
      <w:r w:rsidRPr="0080088A">
        <w:rPr>
          <w:rFonts w:eastAsia="Calibri"/>
          <w:lang w:val="en-US" w:eastAsia="en-US"/>
        </w:rPr>
        <w:t xml:space="preserve"> y </w:t>
      </w:r>
      <w:proofErr w:type="spellStart"/>
      <w:r w:rsidRPr="0080088A">
        <w:rPr>
          <w:rFonts w:eastAsia="Calibri"/>
          <w:lang w:val="en-US" w:eastAsia="en-US"/>
        </w:rPr>
        <w:t>Zarb</w:t>
      </w:r>
      <w:proofErr w:type="spellEnd"/>
      <w:r w:rsidRPr="0080088A">
        <w:rPr>
          <w:rFonts w:eastAsia="Calibri"/>
          <w:lang w:val="en-US" w:eastAsia="en-US"/>
        </w:rPr>
        <w:t xml:space="preserve"> classification. The following implant trademarks were included in this study: </w:t>
      </w:r>
      <w:proofErr w:type="spellStart"/>
      <w:r w:rsidRPr="0080088A">
        <w:rPr>
          <w:rFonts w:eastAsia="Calibri"/>
          <w:lang w:val="en-US" w:eastAsia="en-US"/>
        </w:rPr>
        <w:t>Brånemark</w:t>
      </w:r>
      <w:proofErr w:type="spellEnd"/>
      <w:r w:rsidRPr="0080088A">
        <w:rPr>
          <w:rFonts w:eastAsia="Calibri"/>
          <w:lang w:val="en-US" w:eastAsia="en-US"/>
        </w:rPr>
        <w:t xml:space="preserve"> System® MK III, OSSEOTITE® Implant System, LTX 3i, Restore®, B&amp;W®.</w:t>
      </w:r>
    </w:p>
    <w:p w14:paraId="33EBA782" w14:textId="77777777" w:rsidR="0080088A" w:rsidRPr="0080088A" w:rsidRDefault="0080088A" w:rsidP="0080088A">
      <w:pPr>
        <w:suppressAutoHyphens/>
        <w:spacing w:line="360" w:lineRule="auto"/>
        <w:jc w:val="both"/>
        <w:rPr>
          <w:rFonts w:eastAsia="Calibri"/>
          <w:lang w:val="en-US" w:eastAsia="en-US"/>
        </w:rPr>
      </w:pPr>
      <w:r w:rsidRPr="0080088A">
        <w:rPr>
          <w:rFonts w:eastAsia="Calibri"/>
          <w:lang w:val="en-US" w:eastAsia="en-US"/>
        </w:rPr>
        <w:t>Inclusion criteria were: (1) Smokers consuming less than 5 cigarettes per day; (2) Systemic diseases outlined accord with the American Society of Anesthesiologists (ASA) classification (ASA I and ASA II); (3) Minimum bone availability of 15 mm in height and 5 mm in width; and (4) Periodontal health and adequate oral hygiene.</w:t>
      </w:r>
    </w:p>
    <w:p w14:paraId="72860156" w14:textId="77777777" w:rsidR="0080088A" w:rsidRPr="0080088A" w:rsidRDefault="0080088A" w:rsidP="0080088A">
      <w:pPr>
        <w:suppressAutoHyphens/>
        <w:spacing w:line="360" w:lineRule="auto"/>
        <w:jc w:val="both"/>
        <w:rPr>
          <w:rFonts w:eastAsia="Calibri"/>
          <w:lang w:val="en-US" w:eastAsia="en-US"/>
        </w:rPr>
      </w:pPr>
      <w:r w:rsidRPr="0080088A">
        <w:rPr>
          <w:rFonts w:eastAsia="Calibri"/>
          <w:lang w:val="en-US" w:eastAsia="en-US"/>
        </w:rPr>
        <w:t>Exclusion criteria were: (1) Presence of active infection or inflammation; (2) Presence of pathological lesions in the maxilla or mandible; (3) Patients with previous history of head and neck radiotherapy treatment.</w:t>
      </w:r>
    </w:p>
    <w:p w14:paraId="19EE3BA7" w14:textId="77777777" w:rsidR="0080088A" w:rsidRPr="0080088A" w:rsidRDefault="0080088A" w:rsidP="0080088A">
      <w:pPr>
        <w:suppressAutoHyphens/>
        <w:spacing w:line="360" w:lineRule="auto"/>
        <w:jc w:val="both"/>
        <w:rPr>
          <w:rFonts w:eastAsia="Calibri"/>
          <w:lang w:val="en-US" w:eastAsia="en-US"/>
        </w:rPr>
      </w:pPr>
      <w:r w:rsidRPr="0080088A">
        <w:rPr>
          <w:rFonts w:eastAsia="Calibri"/>
          <w:lang w:val="en-US" w:eastAsia="en-US"/>
        </w:rPr>
        <w:t xml:space="preserve">The patient’s medical charts were completed registering personal data, medical health, and </w:t>
      </w:r>
      <w:proofErr w:type="spellStart"/>
      <w:r w:rsidRPr="0080088A">
        <w:rPr>
          <w:rFonts w:eastAsia="Calibri"/>
          <w:lang w:val="en-US" w:eastAsia="en-US"/>
        </w:rPr>
        <w:t>bucco</w:t>
      </w:r>
      <w:proofErr w:type="spellEnd"/>
      <w:r w:rsidRPr="0080088A">
        <w:rPr>
          <w:rFonts w:eastAsia="Calibri"/>
          <w:lang w:val="en-US" w:eastAsia="en-US"/>
        </w:rPr>
        <w:t xml:space="preserve">-dental status. Extra-oral and intraoral pictures and periapical and panoramic radiographs were taken. Sites with inadequate bone volume were evaluated clinically and with Cone-beam computed tomography (CBCT) before surgery. All surgeries were performed by lifting a full-thickness flap and performing the full sequence of surgical drills. </w:t>
      </w:r>
      <w:bookmarkStart w:id="5" w:name="_Hlk72599744"/>
      <w:r w:rsidRPr="0080088A">
        <w:rPr>
          <w:rFonts w:eastAsia="Calibri"/>
          <w:lang w:val="en-US" w:eastAsia="en-US"/>
        </w:rPr>
        <w:t xml:space="preserve">21 implants had </w:t>
      </w:r>
      <w:bookmarkStart w:id="6" w:name="_Hlk70362343"/>
      <w:r w:rsidRPr="0080088A">
        <w:rPr>
          <w:rFonts w:eastAsia="Calibri"/>
          <w:lang w:val="en-US" w:eastAsia="en-US"/>
        </w:rPr>
        <w:t>an average contact area of 237 mm</w:t>
      </w:r>
      <w:r w:rsidRPr="0080088A">
        <w:rPr>
          <w:rFonts w:eastAsia="Calibri"/>
          <w:vertAlign w:val="superscript"/>
          <w:lang w:val="en-US" w:eastAsia="en-US"/>
        </w:rPr>
        <w:t>2</w:t>
      </w:r>
      <w:r w:rsidRPr="0080088A">
        <w:rPr>
          <w:rFonts w:eastAsia="Calibri"/>
          <w:lang w:val="en-US" w:eastAsia="en-US"/>
        </w:rPr>
        <w:t xml:space="preserve"> including 2 sizes (diameter of 3.75mm and a length of 13mm and 15mm)</w:t>
      </w:r>
      <w:bookmarkEnd w:id="6"/>
      <w:r w:rsidRPr="0080088A">
        <w:rPr>
          <w:rFonts w:eastAsia="Calibri"/>
          <w:lang w:val="en-US" w:eastAsia="en-US"/>
        </w:rPr>
        <w:t xml:space="preserve"> and seventeen implants had an average contact area of </w:t>
      </w:r>
      <w:r w:rsidRPr="0080088A">
        <w:rPr>
          <w:rFonts w:eastAsia="Calibri"/>
          <w:lang w:val="en-GB" w:eastAsia="en-US"/>
        </w:rPr>
        <w:t>129 mm</w:t>
      </w:r>
      <w:r w:rsidRPr="0080088A">
        <w:rPr>
          <w:rFonts w:eastAsia="Calibri"/>
          <w:vertAlign w:val="superscript"/>
          <w:lang w:val="en-US" w:eastAsia="en-US"/>
        </w:rPr>
        <w:t>2</w:t>
      </w:r>
      <w:r w:rsidRPr="0080088A">
        <w:rPr>
          <w:rFonts w:eastAsia="Calibri"/>
          <w:lang w:val="en-GB" w:eastAsia="en-US"/>
        </w:rPr>
        <w:t xml:space="preserve"> (diameter of 3.75 mm and a length of 7 mm)</w:t>
      </w:r>
      <w:r w:rsidRPr="0080088A">
        <w:rPr>
          <w:rFonts w:eastAsia="Calibri"/>
          <w:lang w:val="en-US" w:eastAsia="en-US"/>
        </w:rPr>
        <w:t xml:space="preserve">. </w:t>
      </w:r>
      <w:bookmarkEnd w:id="5"/>
      <w:r w:rsidRPr="0080088A">
        <w:rPr>
          <w:rFonts w:eastAsia="Calibri"/>
          <w:lang w:val="en-US" w:eastAsia="en-US"/>
        </w:rPr>
        <w:t xml:space="preserve">The contact area was quantified through a simplified </w:t>
      </w:r>
      <w:proofErr w:type="gramStart"/>
      <w:r w:rsidRPr="0080088A">
        <w:rPr>
          <w:rFonts w:eastAsia="Calibri"/>
          <w:lang w:val="en-US" w:eastAsia="en-US"/>
        </w:rPr>
        <w:t>method.</w:t>
      </w:r>
      <w:r w:rsidRPr="0080088A">
        <w:rPr>
          <w:rFonts w:eastAsia="Calibri"/>
          <w:vertAlign w:val="superscript"/>
          <w:lang w:val="en-US" w:eastAsia="en-US"/>
        </w:rPr>
        <w:t>(</w:t>
      </w:r>
      <w:proofErr w:type="gramEnd"/>
      <w:r w:rsidRPr="0080088A">
        <w:rPr>
          <w:rFonts w:eastAsia="Calibri"/>
          <w:vertAlign w:val="superscript"/>
          <w:lang w:val="en-US" w:eastAsia="en-US"/>
        </w:rPr>
        <w:t>13)</w:t>
      </w:r>
    </w:p>
    <w:p w14:paraId="63732F70" w14:textId="77777777" w:rsidR="0080088A" w:rsidRPr="0080088A" w:rsidRDefault="0080088A" w:rsidP="0080088A">
      <w:pPr>
        <w:suppressAutoHyphens/>
        <w:spacing w:line="360" w:lineRule="auto"/>
        <w:jc w:val="both"/>
        <w:rPr>
          <w:rFonts w:eastAsia="Calibri"/>
          <w:i/>
          <w:lang w:val="en-US" w:eastAsia="en-US"/>
        </w:rPr>
      </w:pPr>
      <w:r w:rsidRPr="0080088A">
        <w:rPr>
          <w:rFonts w:eastAsia="Calibri"/>
          <w:lang w:val="en-US" w:eastAsia="en-US"/>
        </w:rPr>
        <w:t xml:space="preserve">After implant placement, primary implant stability was measured by the ISQ value (ISQ1). RFA measurements were recorded using </w:t>
      </w:r>
      <w:proofErr w:type="spellStart"/>
      <w:r w:rsidRPr="0080088A">
        <w:rPr>
          <w:rFonts w:eastAsia="Calibri"/>
          <w:lang w:val="en-US" w:eastAsia="en-US"/>
        </w:rPr>
        <w:t>Osstell</w:t>
      </w:r>
      <w:proofErr w:type="spellEnd"/>
      <w:r w:rsidRPr="0080088A">
        <w:rPr>
          <w:rFonts w:eastAsia="Calibri"/>
          <w:lang w:val="en-US" w:eastAsia="en-US"/>
        </w:rPr>
        <w:t xml:space="preserve">™ Mentor, using a transducer screwed to the implant called </w:t>
      </w:r>
      <w:proofErr w:type="spellStart"/>
      <w:r w:rsidRPr="0080088A">
        <w:rPr>
          <w:rFonts w:eastAsia="Calibri"/>
          <w:lang w:val="en-US" w:eastAsia="en-US"/>
        </w:rPr>
        <w:t>Smartpeg</w:t>
      </w:r>
      <w:proofErr w:type="spellEnd"/>
      <w:r w:rsidRPr="0080088A">
        <w:rPr>
          <w:rFonts w:eastAsia="Calibri"/>
          <w:lang w:val="en-US" w:eastAsia="en-US"/>
        </w:rPr>
        <w:t xml:space="preserve">®, which is connected wirelessly to a minicomputer that transforms the RFA records into ISQ units. Each implant was measured from two different angles, around 90 degrees apart and parallel to the </w:t>
      </w:r>
      <w:r w:rsidRPr="0080088A">
        <w:rPr>
          <w:rFonts w:eastAsia="Calibri"/>
          <w:lang w:val="en-US" w:eastAsia="en-US"/>
        </w:rPr>
        <w:lastRenderedPageBreak/>
        <w:t>crestal line</w:t>
      </w:r>
      <w:r w:rsidRPr="0080088A">
        <w:rPr>
          <w:rFonts w:eastAsia="Calibri"/>
          <w:i/>
          <w:lang w:val="en-US" w:eastAsia="en-US"/>
        </w:rPr>
        <w:t>.</w:t>
      </w:r>
      <w:r w:rsidRPr="0080088A">
        <w:rPr>
          <w:rFonts w:eastAsia="Calibri"/>
          <w:lang w:val="en-US" w:eastAsia="en-US"/>
        </w:rPr>
        <w:t xml:space="preserve"> Secondary implant stability (ISQ2) was recorded at the moment of implant connection, between 4 to 6 months after the implant placement. </w:t>
      </w:r>
    </w:p>
    <w:p w14:paraId="54EFB740" w14:textId="77777777" w:rsidR="0080088A" w:rsidRPr="0080088A" w:rsidRDefault="0080088A" w:rsidP="0080088A">
      <w:pPr>
        <w:suppressAutoHyphens/>
        <w:spacing w:line="360" w:lineRule="auto"/>
        <w:jc w:val="both"/>
        <w:rPr>
          <w:rFonts w:eastAsia="Calibri"/>
          <w:lang w:val="en-US" w:eastAsia="en-US"/>
        </w:rPr>
      </w:pPr>
      <w:r w:rsidRPr="0080088A">
        <w:rPr>
          <w:rFonts w:eastAsia="Calibri"/>
          <w:lang w:val="en-US" w:eastAsia="en-US"/>
        </w:rPr>
        <w:t>Statistical analysis: the normality of data was assessed by Shapiro-Wilk. The implant length data was compared with the primary and secondary stability ISQ values using the unpaired T-test. The alpha value considered was 0.05, and software used was SPSS v. 11.0 (IBM, NY, USA).</w:t>
      </w:r>
    </w:p>
    <w:p w14:paraId="0B55EABE" w14:textId="77777777" w:rsidR="0080088A" w:rsidRPr="0080088A" w:rsidRDefault="0080088A" w:rsidP="0080088A">
      <w:pPr>
        <w:suppressAutoHyphens/>
        <w:spacing w:line="360" w:lineRule="auto"/>
        <w:jc w:val="both"/>
        <w:rPr>
          <w:rFonts w:eastAsia="Calibri"/>
          <w:lang w:val="en-US" w:eastAsia="en-US"/>
        </w:rPr>
      </w:pPr>
    </w:p>
    <w:p w14:paraId="7A1B425A" w14:textId="77777777" w:rsidR="0080088A" w:rsidRPr="0080088A" w:rsidRDefault="0080088A" w:rsidP="0080088A">
      <w:pPr>
        <w:suppressAutoHyphens/>
        <w:spacing w:line="360" w:lineRule="auto"/>
        <w:jc w:val="center"/>
        <w:rPr>
          <w:rFonts w:eastAsia="Calibri"/>
          <w:b/>
          <w:bCs/>
          <w:sz w:val="32"/>
          <w:szCs w:val="32"/>
          <w:lang w:val="en-US" w:eastAsia="en-US"/>
        </w:rPr>
      </w:pPr>
    </w:p>
    <w:p w14:paraId="02CD73E8" w14:textId="77777777" w:rsidR="0080088A" w:rsidRPr="0080088A" w:rsidRDefault="0080088A" w:rsidP="0080088A">
      <w:pPr>
        <w:suppressAutoHyphens/>
        <w:spacing w:line="360" w:lineRule="auto"/>
        <w:jc w:val="center"/>
        <w:rPr>
          <w:rFonts w:eastAsia="Calibri"/>
          <w:b/>
          <w:bCs/>
          <w:sz w:val="32"/>
          <w:szCs w:val="32"/>
          <w:lang w:val="en-US" w:eastAsia="en-US"/>
        </w:rPr>
      </w:pPr>
      <w:r w:rsidRPr="0080088A">
        <w:rPr>
          <w:rFonts w:eastAsia="Calibri"/>
          <w:b/>
          <w:bCs/>
          <w:sz w:val="32"/>
          <w:szCs w:val="32"/>
          <w:lang w:val="en-US" w:eastAsia="en-US"/>
        </w:rPr>
        <w:t>RESULTS</w:t>
      </w:r>
    </w:p>
    <w:p w14:paraId="1EE42C7A" w14:textId="77777777" w:rsidR="0080088A" w:rsidRPr="0080088A" w:rsidRDefault="0080088A" w:rsidP="0080088A">
      <w:pPr>
        <w:suppressAutoHyphens/>
        <w:spacing w:line="360" w:lineRule="auto"/>
        <w:jc w:val="both"/>
        <w:rPr>
          <w:rFonts w:eastAsia="Calibri"/>
          <w:lang w:val="en-US" w:eastAsia="en-US"/>
        </w:rPr>
      </w:pPr>
      <w:bookmarkStart w:id="7" w:name="_Hlk70979016"/>
      <w:r w:rsidRPr="0080088A">
        <w:rPr>
          <w:rFonts w:eastAsia="Calibri"/>
          <w:lang w:val="en-US" w:eastAsia="en-US"/>
        </w:rPr>
        <w:t xml:space="preserve">For implants with an </w:t>
      </w:r>
      <w:bookmarkStart w:id="8" w:name="_Hlk70362888"/>
      <w:r w:rsidRPr="0080088A">
        <w:rPr>
          <w:rFonts w:eastAsia="Calibri"/>
          <w:lang w:val="en-US" w:eastAsia="en-US"/>
        </w:rPr>
        <w:t xml:space="preserve">average contact area of 237 </w:t>
      </w:r>
      <w:bookmarkStart w:id="9" w:name="_Hlk70975094"/>
      <w:r w:rsidRPr="0080088A">
        <w:rPr>
          <w:rFonts w:eastAsia="Calibri"/>
          <w:lang w:val="en-US" w:eastAsia="en-US"/>
        </w:rPr>
        <w:t>mm</w:t>
      </w:r>
      <w:r w:rsidRPr="0080088A">
        <w:rPr>
          <w:rFonts w:eastAsia="Calibri"/>
          <w:vertAlign w:val="superscript"/>
          <w:lang w:val="en-US" w:eastAsia="en-US"/>
        </w:rPr>
        <w:t>2</w:t>
      </w:r>
      <w:bookmarkEnd w:id="8"/>
      <w:bookmarkEnd w:id="9"/>
      <w:r w:rsidRPr="0080088A">
        <w:rPr>
          <w:rFonts w:eastAsia="Calibri"/>
          <w:vertAlign w:val="superscript"/>
          <w:lang w:val="en-US" w:eastAsia="en-US"/>
        </w:rPr>
        <w:t xml:space="preserve"> </w:t>
      </w:r>
      <w:r w:rsidRPr="0080088A">
        <w:rPr>
          <w:rFonts w:eastAsia="Calibri"/>
          <w:lang w:val="en-US" w:eastAsia="en-US"/>
        </w:rPr>
        <w:t>including 2 sizes (3.75 mm/13 mm and 3.75 mm/15 mm)</w:t>
      </w:r>
      <w:bookmarkEnd w:id="7"/>
      <w:r w:rsidRPr="0080088A">
        <w:rPr>
          <w:rFonts w:eastAsia="Calibri"/>
          <w:lang w:val="en-US" w:eastAsia="en-US"/>
        </w:rPr>
        <w:t xml:space="preserve"> the ISQ1 average value was 71.37 and the ISQ2 average value was 66.6. For implants </w:t>
      </w:r>
      <w:bookmarkStart w:id="10" w:name="_Hlk70362928"/>
      <w:r w:rsidRPr="0080088A">
        <w:rPr>
          <w:rFonts w:eastAsia="Calibri"/>
          <w:lang w:val="en-US" w:eastAsia="en-US"/>
        </w:rPr>
        <w:t>with an average contact area of 129 mm</w:t>
      </w:r>
      <w:r w:rsidRPr="0080088A">
        <w:rPr>
          <w:rFonts w:eastAsia="Calibri"/>
          <w:vertAlign w:val="superscript"/>
          <w:lang w:val="en-US" w:eastAsia="en-US"/>
        </w:rPr>
        <w:t>2</w:t>
      </w:r>
      <w:r w:rsidRPr="0080088A">
        <w:rPr>
          <w:rFonts w:eastAsia="Calibri"/>
          <w:lang w:val="en-US" w:eastAsia="en-US"/>
        </w:rPr>
        <w:t xml:space="preserve"> </w:t>
      </w:r>
      <w:bookmarkEnd w:id="10"/>
      <w:r w:rsidRPr="0080088A">
        <w:rPr>
          <w:rFonts w:eastAsia="Calibri"/>
          <w:lang w:val="en-US" w:eastAsia="en-US"/>
        </w:rPr>
        <w:t xml:space="preserve">(3.75 mm/7 mm) the ISQ1 average value was 67.47 and the ISQ2 average value was 68.08. </w:t>
      </w:r>
      <w:bookmarkStart w:id="11" w:name="_Hlk70365635"/>
      <w:r w:rsidRPr="0080088A">
        <w:rPr>
          <w:rFonts w:eastAsia="Calibri"/>
          <w:lang w:val="en-US" w:eastAsia="en-US"/>
        </w:rPr>
        <w:t>When comparing the implants with an average contact area of 237 mm</w:t>
      </w:r>
      <w:bookmarkStart w:id="12" w:name="_Hlk70363079"/>
      <w:r w:rsidRPr="0080088A">
        <w:rPr>
          <w:rFonts w:eastAsia="Calibri"/>
          <w:vertAlign w:val="superscript"/>
          <w:lang w:val="en-US" w:eastAsia="en-US"/>
        </w:rPr>
        <w:t>2</w:t>
      </w:r>
      <w:bookmarkEnd w:id="12"/>
      <w:r w:rsidRPr="0080088A">
        <w:rPr>
          <w:rFonts w:eastAsia="Calibri"/>
          <w:lang w:val="en-US" w:eastAsia="en-US"/>
        </w:rPr>
        <w:t xml:space="preserve"> and with an average contact area of 129 mm</w:t>
      </w:r>
      <w:r w:rsidRPr="0080088A">
        <w:rPr>
          <w:rFonts w:eastAsia="Calibri"/>
          <w:vertAlign w:val="superscript"/>
          <w:lang w:val="en-US" w:eastAsia="en-US"/>
        </w:rPr>
        <w:t>2</w:t>
      </w:r>
      <w:bookmarkStart w:id="13" w:name="_Hlk70979230"/>
      <w:r w:rsidRPr="0080088A">
        <w:rPr>
          <w:rFonts w:eastAsia="Calibri"/>
          <w:vertAlign w:val="superscript"/>
          <w:lang w:val="en-US" w:eastAsia="en-US"/>
        </w:rPr>
        <w:t xml:space="preserve"> </w:t>
      </w:r>
      <w:r w:rsidRPr="0080088A">
        <w:rPr>
          <w:rFonts w:eastAsia="Calibri"/>
          <w:lang w:val="en-US" w:eastAsia="en-US"/>
        </w:rPr>
        <w:t>no significant differences were found in terms of ISQ1 and ISQ2 average values</w:t>
      </w:r>
      <w:bookmarkEnd w:id="11"/>
      <w:bookmarkEnd w:id="13"/>
      <w:r w:rsidRPr="0080088A">
        <w:rPr>
          <w:rFonts w:eastAsia="Calibri"/>
          <w:lang w:val="en-US" w:eastAsia="en-US"/>
        </w:rPr>
        <w:t>. Average ISQ1: p = 0.6172 and average ISQ2: p = 0.5174 with Wilcoxon Test (Fig. 1 and Fig. 2).</w:t>
      </w:r>
    </w:p>
    <w:p w14:paraId="328B09B5" w14:textId="77777777" w:rsidR="0080088A" w:rsidRPr="0080088A" w:rsidRDefault="0080088A" w:rsidP="0080088A">
      <w:pPr>
        <w:suppressAutoHyphens/>
        <w:spacing w:line="360" w:lineRule="auto"/>
        <w:jc w:val="both"/>
        <w:rPr>
          <w:rFonts w:eastAsia="Calibri"/>
          <w:lang w:val="en-US" w:eastAsia="en-US"/>
        </w:rPr>
      </w:pPr>
    </w:p>
    <w:p w14:paraId="1B0036E1" w14:textId="5D7D8C57" w:rsidR="0080088A" w:rsidRPr="0080088A" w:rsidRDefault="0080088A" w:rsidP="0080088A">
      <w:pPr>
        <w:suppressAutoHyphens/>
        <w:spacing w:line="360" w:lineRule="auto"/>
        <w:jc w:val="center"/>
        <w:rPr>
          <w:rFonts w:ascii="Calibri" w:eastAsia="Calibri" w:hAnsi="Calibri"/>
          <w:noProof/>
          <w:sz w:val="22"/>
          <w:szCs w:val="22"/>
          <w:lang w:val="es-ES" w:eastAsia="es-ES"/>
        </w:rPr>
      </w:pPr>
      <w:r w:rsidRPr="0080088A">
        <w:rPr>
          <w:rFonts w:ascii="Calibri" w:eastAsia="Calibri" w:hAnsi="Calibri"/>
          <w:noProof/>
          <w:sz w:val="22"/>
          <w:szCs w:val="22"/>
          <w:lang w:val="es-ES" w:eastAsia="es-ES"/>
        </w:rPr>
        <w:drawing>
          <wp:inline distT="0" distB="0" distL="0" distR="0" wp14:anchorId="5367A3A4" wp14:editId="766D630B">
            <wp:extent cx="3467100" cy="2514600"/>
            <wp:effectExtent l="0" t="0" r="0" b="0"/>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7100" cy="2514600"/>
                    </a:xfrm>
                    <a:prstGeom prst="rect">
                      <a:avLst/>
                    </a:prstGeom>
                    <a:noFill/>
                    <a:ln>
                      <a:noFill/>
                    </a:ln>
                  </pic:spPr>
                </pic:pic>
              </a:graphicData>
            </a:graphic>
          </wp:inline>
        </w:drawing>
      </w:r>
    </w:p>
    <w:p w14:paraId="72460C35" w14:textId="77777777" w:rsidR="0080088A" w:rsidRPr="0080088A" w:rsidRDefault="0080088A" w:rsidP="0080088A">
      <w:pPr>
        <w:suppressAutoHyphens/>
        <w:spacing w:line="360" w:lineRule="auto"/>
        <w:jc w:val="center"/>
        <w:rPr>
          <w:rFonts w:eastAsia="Calibri"/>
          <w:sz w:val="22"/>
          <w:szCs w:val="22"/>
          <w:lang w:val="en-US" w:eastAsia="en-US"/>
        </w:rPr>
      </w:pPr>
      <w:r w:rsidRPr="0080088A">
        <w:rPr>
          <w:rFonts w:eastAsia="Calibri"/>
          <w:b/>
          <w:sz w:val="22"/>
          <w:szCs w:val="22"/>
          <w:lang w:val="en-US" w:eastAsia="en-US"/>
        </w:rPr>
        <w:t>Fig. 1 -</w:t>
      </w:r>
      <w:r w:rsidRPr="0080088A">
        <w:rPr>
          <w:rFonts w:eastAsia="Calibri"/>
          <w:sz w:val="22"/>
          <w:szCs w:val="22"/>
          <w:lang w:val="en-US" w:eastAsia="en-US"/>
        </w:rPr>
        <w:t xml:space="preserve"> Primary implant stability of both groups in mm</w:t>
      </w:r>
      <w:r w:rsidRPr="0080088A">
        <w:rPr>
          <w:rFonts w:eastAsia="Calibri"/>
          <w:sz w:val="22"/>
          <w:szCs w:val="22"/>
          <w:vertAlign w:val="superscript"/>
          <w:lang w:val="en-US" w:eastAsia="en-US"/>
        </w:rPr>
        <w:t>2</w:t>
      </w:r>
      <w:r w:rsidRPr="0080088A">
        <w:rPr>
          <w:rFonts w:eastAsia="Calibri"/>
          <w:sz w:val="22"/>
          <w:szCs w:val="22"/>
          <w:lang w:val="en-US" w:eastAsia="en-US"/>
        </w:rPr>
        <w:t>.</w:t>
      </w:r>
    </w:p>
    <w:p w14:paraId="044F4F7C" w14:textId="77777777" w:rsidR="0080088A" w:rsidRPr="0080088A" w:rsidRDefault="0080088A" w:rsidP="0080088A">
      <w:pPr>
        <w:suppressAutoHyphens/>
        <w:spacing w:line="360" w:lineRule="auto"/>
        <w:rPr>
          <w:rFonts w:eastAsia="Calibri"/>
          <w:lang w:val="en-US" w:eastAsia="en-US"/>
        </w:rPr>
      </w:pPr>
    </w:p>
    <w:p w14:paraId="71A8EFD5" w14:textId="0E45AACF" w:rsidR="0080088A" w:rsidRPr="0080088A" w:rsidRDefault="0080088A" w:rsidP="0080088A">
      <w:pPr>
        <w:tabs>
          <w:tab w:val="left" w:pos="6096"/>
        </w:tabs>
        <w:suppressAutoHyphens/>
        <w:spacing w:line="360" w:lineRule="auto"/>
        <w:jc w:val="center"/>
        <w:rPr>
          <w:rFonts w:eastAsia="Calibri"/>
          <w:color w:val="4472C4"/>
          <w:lang w:val="en-US" w:eastAsia="es-CL"/>
        </w:rPr>
      </w:pPr>
      <w:r w:rsidRPr="0080088A">
        <w:rPr>
          <w:rFonts w:eastAsia="Calibri"/>
          <w:noProof/>
          <w:color w:val="4472C4"/>
          <w:lang w:val="en-US" w:eastAsia="es-CL"/>
        </w:rPr>
        <w:lastRenderedPageBreak/>
        <w:drawing>
          <wp:inline distT="0" distB="0" distL="0" distR="0" wp14:anchorId="618C2137" wp14:editId="5192F81F">
            <wp:extent cx="3686175" cy="3476625"/>
            <wp:effectExtent l="0" t="0" r="0" b="0"/>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86175" cy="3476625"/>
                    </a:xfrm>
                    <a:prstGeom prst="rect">
                      <a:avLst/>
                    </a:prstGeom>
                    <a:noFill/>
                    <a:ln>
                      <a:noFill/>
                    </a:ln>
                  </pic:spPr>
                </pic:pic>
              </a:graphicData>
            </a:graphic>
          </wp:inline>
        </w:drawing>
      </w:r>
    </w:p>
    <w:p w14:paraId="7905A986" w14:textId="77777777" w:rsidR="0080088A" w:rsidRPr="0080088A" w:rsidRDefault="0080088A" w:rsidP="0080088A">
      <w:pPr>
        <w:suppressAutoHyphens/>
        <w:spacing w:line="360" w:lineRule="auto"/>
        <w:jc w:val="center"/>
        <w:rPr>
          <w:rFonts w:eastAsia="Calibri"/>
          <w:sz w:val="22"/>
          <w:szCs w:val="22"/>
          <w:lang w:val="en-US" w:eastAsia="en-US"/>
        </w:rPr>
      </w:pPr>
      <w:r w:rsidRPr="0080088A">
        <w:rPr>
          <w:rFonts w:eastAsia="Calibri"/>
          <w:b/>
          <w:sz w:val="22"/>
          <w:szCs w:val="22"/>
          <w:lang w:val="en-US" w:eastAsia="en-US"/>
        </w:rPr>
        <w:t xml:space="preserve">Fig. 2 - </w:t>
      </w:r>
      <w:r w:rsidRPr="0080088A">
        <w:rPr>
          <w:rFonts w:eastAsia="Calibri"/>
          <w:sz w:val="22"/>
          <w:szCs w:val="22"/>
          <w:lang w:val="en-US" w:eastAsia="en-US"/>
        </w:rPr>
        <w:t>Secondary implant stability of both groups in mm</w:t>
      </w:r>
      <w:r w:rsidRPr="0080088A">
        <w:rPr>
          <w:rFonts w:eastAsia="Calibri"/>
          <w:sz w:val="22"/>
          <w:szCs w:val="22"/>
          <w:vertAlign w:val="superscript"/>
          <w:lang w:val="en-US" w:eastAsia="en-US"/>
        </w:rPr>
        <w:t>2</w:t>
      </w:r>
      <w:r w:rsidRPr="0080088A">
        <w:rPr>
          <w:rFonts w:eastAsia="Calibri"/>
          <w:sz w:val="22"/>
          <w:szCs w:val="22"/>
          <w:lang w:val="en-US" w:eastAsia="en-US"/>
        </w:rPr>
        <w:t>.</w:t>
      </w:r>
    </w:p>
    <w:p w14:paraId="6945704A" w14:textId="77777777" w:rsidR="0080088A" w:rsidRPr="0080088A" w:rsidRDefault="0080088A" w:rsidP="0080088A">
      <w:pPr>
        <w:suppressAutoHyphens/>
        <w:spacing w:line="360" w:lineRule="auto"/>
        <w:jc w:val="both"/>
        <w:rPr>
          <w:rFonts w:eastAsia="Calibri"/>
          <w:color w:val="4472C4"/>
          <w:lang w:val="en-US" w:eastAsia="en-US"/>
        </w:rPr>
      </w:pPr>
    </w:p>
    <w:p w14:paraId="27F1B567" w14:textId="77777777" w:rsidR="0080088A" w:rsidRPr="0080088A" w:rsidRDefault="0080088A" w:rsidP="0080088A">
      <w:pPr>
        <w:suppressAutoHyphens/>
        <w:spacing w:line="360" w:lineRule="auto"/>
        <w:jc w:val="both"/>
        <w:rPr>
          <w:rFonts w:eastAsia="Calibri"/>
          <w:i/>
          <w:iCs/>
          <w:highlight w:val="yellow"/>
          <w:lang w:val="en-US" w:eastAsia="en-US"/>
        </w:rPr>
      </w:pPr>
      <w:r w:rsidRPr="0080088A">
        <w:rPr>
          <w:rFonts w:eastAsia="Calibri"/>
          <w:lang w:val="en-US" w:eastAsia="en-US"/>
        </w:rPr>
        <w:t>In the present study, no significant differences were found in terms of ISQ1 and ISQ2 values,</w:t>
      </w:r>
      <w:r w:rsidRPr="0080088A">
        <w:rPr>
          <w:rFonts w:eastAsia="Calibri"/>
          <w:lang w:val="en-GB" w:eastAsia="en-US"/>
        </w:rPr>
        <w:t xml:space="preserve"> when</w:t>
      </w:r>
      <w:r w:rsidRPr="0080088A">
        <w:rPr>
          <w:rFonts w:eastAsia="Calibri"/>
          <w:lang w:val="en-US" w:eastAsia="en-US"/>
        </w:rPr>
        <w:t xml:space="preserve"> comparing implants with different lengths. Similarly, to our results, </w:t>
      </w:r>
      <w:r w:rsidRPr="0080088A">
        <w:rPr>
          <w:rFonts w:eastAsia="Calibri"/>
          <w:i/>
          <w:iCs/>
          <w:lang w:val="en-US" w:eastAsia="en-US"/>
        </w:rPr>
        <w:t xml:space="preserve">Bischof </w:t>
      </w:r>
      <w:r w:rsidRPr="0080088A">
        <w:rPr>
          <w:rFonts w:eastAsia="Calibri"/>
          <w:lang w:val="en-GB" w:eastAsia="en-US"/>
        </w:rPr>
        <w:t xml:space="preserve">et </w:t>
      </w:r>
      <w:proofErr w:type="gramStart"/>
      <w:r w:rsidRPr="0080088A">
        <w:rPr>
          <w:rFonts w:eastAsia="Calibri"/>
          <w:lang w:val="en-GB" w:eastAsia="en-US"/>
        </w:rPr>
        <w:t>al</w:t>
      </w:r>
      <w:r w:rsidRPr="0080088A">
        <w:rPr>
          <w:rFonts w:eastAsia="Calibri"/>
          <w:vertAlign w:val="superscript"/>
          <w:lang w:val="en-US" w:eastAsia="en-US"/>
        </w:rPr>
        <w:t>(</w:t>
      </w:r>
      <w:proofErr w:type="gramEnd"/>
      <w:r w:rsidRPr="0080088A">
        <w:rPr>
          <w:rFonts w:eastAsia="Calibri"/>
          <w:vertAlign w:val="superscript"/>
          <w:lang w:val="en-US" w:eastAsia="en-US"/>
        </w:rPr>
        <w:t>14)</w:t>
      </w:r>
      <w:r w:rsidRPr="0080088A">
        <w:rPr>
          <w:rFonts w:eastAsia="Calibri"/>
          <w:lang w:val="en-US" w:eastAsia="en-US"/>
        </w:rPr>
        <w:t xml:space="preserve"> did not find that the length or diameter of the implants had a significant influence on the primary stability for both immediate and delayed loading implants. This corroborates our study findings when comparing the primary and secondary stability of short (129 mm</w:t>
      </w:r>
      <w:r w:rsidRPr="0080088A">
        <w:rPr>
          <w:rFonts w:eastAsia="Calibri"/>
          <w:vertAlign w:val="superscript"/>
          <w:lang w:val="en-US" w:eastAsia="en-US"/>
        </w:rPr>
        <w:t>2</w:t>
      </w:r>
      <w:r w:rsidRPr="0080088A">
        <w:rPr>
          <w:rFonts w:eastAsia="Calibri"/>
          <w:lang w:val="en-US" w:eastAsia="en-US"/>
        </w:rPr>
        <w:t>) versus long (237 mm</w:t>
      </w:r>
      <w:r w:rsidRPr="0080088A">
        <w:rPr>
          <w:rFonts w:eastAsia="Calibri"/>
          <w:vertAlign w:val="superscript"/>
          <w:lang w:val="en-US" w:eastAsia="en-US"/>
        </w:rPr>
        <w:t>2</w:t>
      </w:r>
      <w:r w:rsidRPr="0080088A">
        <w:rPr>
          <w:rFonts w:eastAsia="Calibri"/>
          <w:lang w:val="en-US" w:eastAsia="en-US"/>
        </w:rPr>
        <w:t>) implants of the same macro-design.</w:t>
      </w:r>
      <w:r w:rsidRPr="0080088A">
        <w:rPr>
          <w:rFonts w:eastAsia="Calibri"/>
          <w:lang w:val="en-GB" w:eastAsia="en-US"/>
        </w:rPr>
        <w:t xml:space="preserve"> Correspondingly t</w:t>
      </w:r>
      <w:r w:rsidRPr="0080088A">
        <w:rPr>
          <w:rFonts w:eastAsia="Calibri"/>
          <w:lang w:val="en-US" w:eastAsia="en-US"/>
        </w:rPr>
        <w:t xml:space="preserve">o our results, </w:t>
      </w:r>
      <w:proofErr w:type="spellStart"/>
      <w:r w:rsidRPr="0080088A">
        <w:rPr>
          <w:rFonts w:eastAsia="Calibri"/>
          <w:i/>
          <w:iCs/>
          <w:lang w:val="en-GB" w:eastAsia="en-US"/>
        </w:rPr>
        <w:t>Barikani</w:t>
      </w:r>
      <w:proofErr w:type="spellEnd"/>
      <w:r w:rsidRPr="0080088A">
        <w:rPr>
          <w:rFonts w:eastAsia="Calibri"/>
          <w:i/>
          <w:iCs/>
          <w:lang w:val="en-GB" w:eastAsia="en-US"/>
        </w:rPr>
        <w:t xml:space="preserve"> </w:t>
      </w:r>
      <w:r w:rsidRPr="0080088A">
        <w:rPr>
          <w:rFonts w:eastAsia="Calibri"/>
          <w:lang w:val="en-GB" w:eastAsia="en-US"/>
        </w:rPr>
        <w:t xml:space="preserve">et </w:t>
      </w:r>
      <w:proofErr w:type="gramStart"/>
      <w:r w:rsidRPr="0080088A">
        <w:rPr>
          <w:rFonts w:eastAsia="Calibri"/>
          <w:lang w:val="en-GB" w:eastAsia="en-US"/>
        </w:rPr>
        <w:t>al</w:t>
      </w:r>
      <w:r w:rsidRPr="0080088A">
        <w:rPr>
          <w:rFonts w:eastAsia="Calibri"/>
          <w:vertAlign w:val="superscript"/>
          <w:lang w:val="en-US" w:eastAsia="en-US"/>
        </w:rPr>
        <w:t>(</w:t>
      </w:r>
      <w:proofErr w:type="gramEnd"/>
      <w:r w:rsidRPr="0080088A">
        <w:rPr>
          <w:rFonts w:eastAsia="Calibri"/>
          <w:vertAlign w:val="superscript"/>
          <w:lang w:val="en-US" w:eastAsia="en-US"/>
        </w:rPr>
        <w:t xml:space="preserve">15) </w:t>
      </w:r>
      <w:r w:rsidRPr="0080088A">
        <w:rPr>
          <w:rFonts w:eastAsia="Calibri"/>
          <w:lang w:val="en-GB" w:eastAsia="en-US"/>
        </w:rPr>
        <w:t xml:space="preserve">found that the difference was not significant between implants of 15 mm and 13 mm long, neither in narrow platform nor in regular platform implants. Other studies also reported that implant length and diameter, when considered as single parameters, did not have any effect on </w:t>
      </w:r>
      <w:proofErr w:type="gramStart"/>
      <w:r w:rsidRPr="0080088A">
        <w:rPr>
          <w:rFonts w:eastAsia="Calibri"/>
          <w:lang w:val="en-GB" w:eastAsia="en-US"/>
        </w:rPr>
        <w:t>stability</w:t>
      </w:r>
      <w:r w:rsidRPr="0080088A">
        <w:rPr>
          <w:rFonts w:eastAsia="Calibri"/>
          <w:lang w:val="en-US" w:eastAsia="en-US"/>
        </w:rPr>
        <w:t>.</w:t>
      </w:r>
      <w:r w:rsidRPr="0080088A">
        <w:rPr>
          <w:rFonts w:eastAsia="Calibri"/>
          <w:vertAlign w:val="superscript"/>
          <w:lang w:val="en-US" w:eastAsia="en-US"/>
        </w:rPr>
        <w:t>(</w:t>
      </w:r>
      <w:proofErr w:type="gramEnd"/>
      <w:r w:rsidRPr="0080088A">
        <w:rPr>
          <w:rFonts w:eastAsia="Calibri"/>
          <w:vertAlign w:val="superscript"/>
          <w:lang w:val="en-US" w:eastAsia="en-US"/>
        </w:rPr>
        <w:t>16,17)</w:t>
      </w:r>
    </w:p>
    <w:p w14:paraId="7EC9072E" w14:textId="77777777" w:rsidR="0080088A" w:rsidRPr="0080088A" w:rsidRDefault="0080088A" w:rsidP="0080088A">
      <w:pPr>
        <w:suppressAutoHyphens/>
        <w:spacing w:line="360" w:lineRule="auto"/>
        <w:jc w:val="both"/>
        <w:rPr>
          <w:rFonts w:eastAsia="Calibri"/>
          <w:lang w:val="en-US" w:eastAsia="en-US"/>
        </w:rPr>
      </w:pPr>
      <w:r w:rsidRPr="0080088A">
        <w:rPr>
          <w:rFonts w:eastAsia="Calibri"/>
          <w:i/>
          <w:iCs/>
          <w:lang w:val="en-US" w:eastAsia="en-US"/>
        </w:rPr>
        <w:t xml:space="preserve">Das Neves </w:t>
      </w:r>
      <w:r w:rsidRPr="0080088A">
        <w:rPr>
          <w:rFonts w:eastAsia="Calibri"/>
          <w:lang w:val="en-GB" w:eastAsia="en-US"/>
        </w:rPr>
        <w:t xml:space="preserve">et </w:t>
      </w:r>
      <w:proofErr w:type="gramStart"/>
      <w:r w:rsidRPr="0080088A">
        <w:rPr>
          <w:rFonts w:eastAsia="Calibri"/>
          <w:lang w:val="en-GB" w:eastAsia="en-US"/>
        </w:rPr>
        <w:t>al</w:t>
      </w:r>
      <w:r w:rsidRPr="0080088A">
        <w:rPr>
          <w:rFonts w:eastAsia="Calibri"/>
          <w:vertAlign w:val="superscript"/>
          <w:lang w:val="en-US" w:eastAsia="en-US"/>
        </w:rPr>
        <w:t>(</w:t>
      </w:r>
      <w:proofErr w:type="gramEnd"/>
      <w:r w:rsidRPr="0080088A">
        <w:rPr>
          <w:rFonts w:eastAsia="Calibri"/>
          <w:vertAlign w:val="superscript"/>
          <w:lang w:val="en-US" w:eastAsia="en-US"/>
        </w:rPr>
        <w:t>18)</w:t>
      </w:r>
      <w:r w:rsidRPr="0080088A">
        <w:rPr>
          <w:rFonts w:eastAsia="Calibri"/>
          <w:lang w:val="en-US" w:eastAsia="en-US"/>
        </w:rPr>
        <w:t xml:space="preserve"> in 2006 carried out a systematic review of longitudinal studies between 1980 and 2004 on the use of short implants. The researchers reported that implant failure was associated with a series of factors, which become influential when two or more of them act together. These factors include poor bone quality, short implants, small diameter, parafunction, gender, infection and location of the </w:t>
      </w:r>
      <w:r w:rsidRPr="0080088A">
        <w:rPr>
          <w:rFonts w:eastAsia="Calibri"/>
          <w:lang w:val="en-US" w:eastAsia="en-US"/>
        </w:rPr>
        <w:lastRenderedPageBreak/>
        <w:t>implanted area. It was concluded that short implants without other risk factors do not compromise clinical success.</w:t>
      </w:r>
    </w:p>
    <w:p w14:paraId="01257CF4" w14:textId="77777777" w:rsidR="0080088A" w:rsidRPr="0080088A" w:rsidRDefault="0080088A" w:rsidP="0080088A">
      <w:pPr>
        <w:suppressAutoHyphens/>
        <w:spacing w:line="360" w:lineRule="auto"/>
        <w:jc w:val="both"/>
        <w:rPr>
          <w:rFonts w:eastAsia="Calibri"/>
          <w:lang w:val="en-US" w:eastAsia="en-US"/>
        </w:rPr>
      </w:pPr>
      <w:r w:rsidRPr="0080088A">
        <w:rPr>
          <w:rFonts w:eastAsia="Calibri"/>
          <w:lang w:val="en-GB" w:eastAsia="en-US"/>
        </w:rPr>
        <w:t xml:space="preserve">As in the present study, </w:t>
      </w:r>
      <w:r w:rsidRPr="0080088A">
        <w:rPr>
          <w:rFonts w:eastAsia="Calibri"/>
          <w:i/>
          <w:iCs/>
          <w:lang w:val="en-GB" w:eastAsia="en-US"/>
        </w:rPr>
        <w:t xml:space="preserve">Rossi </w:t>
      </w:r>
      <w:r w:rsidRPr="0080088A">
        <w:rPr>
          <w:rFonts w:eastAsia="Calibri"/>
          <w:lang w:val="en-GB" w:eastAsia="en-US"/>
        </w:rPr>
        <w:t xml:space="preserve">et </w:t>
      </w:r>
      <w:proofErr w:type="gramStart"/>
      <w:r w:rsidRPr="0080088A">
        <w:rPr>
          <w:rFonts w:eastAsia="Calibri"/>
          <w:lang w:val="en-GB" w:eastAsia="en-US"/>
        </w:rPr>
        <w:t>al</w:t>
      </w:r>
      <w:r w:rsidRPr="0080088A">
        <w:rPr>
          <w:rFonts w:eastAsia="Calibri"/>
          <w:vertAlign w:val="superscript"/>
          <w:lang w:val="en-US" w:eastAsia="en-US"/>
        </w:rPr>
        <w:t>(</w:t>
      </w:r>
      <w:proofErr w:type="gramEnd"/>
      <w:r w:rsidRPr="0080088A">
        <w:rPr>
          <w:rFonts w:eastAsia="Calibri"/>
          <w:vertAlign w:val="superscript"/>
          <w:lang w:val="en-US" w:eastAsia="en-US"/>
        </w:rPr>
        <w:t>19)</w:t>
      </w:r>
      <w:r w:rsidRPr="0080088A">
        <w:rPr>
          <w:rFonts w:eastAsia="Calibri"/>
          <w:lang w:val="en-GB" w:eastAsia="en-US"/>
        </w:rPr>
        <w:t xml:space="preserve"> found an average ISQ value of 70.2 ± 9 at implant insertion for 6 mm long implants. In a later study, </w:t>
      </w:r>
      <w:r w:rsidRPr="0080088A">
        <w:rPr>
          <w:rFonts w:eastAsia="Calibri"/>
          <w:i/>
          <w:iCs/>
          <w:lang w:val="en-GB" w:eastAsia="en-US"/>
        </w:rPr>
        <w:t xml:space="preserve">Queiroz </w:t>
      </w:r>
      <w:r w:rsidRPr="0080088A">
        <w:rPr>
          <w:rFonts w:eastAsia="Calibri"/>
          <w:lang w:val="en-GB" w:eastAsia="en-US"/>
        </w:rPr>
        <w:t xml:space="preserve">et </w:t>
      </w:r>
      <w:proofErr w:type="gramStart"/>
      <w:r w:rsidRPr="0080088A">
        <w:rPr>
          <w:rFonts w:eastAsia="Calibri"/>
          <w:lang w:val="en-GB" w:eastAsia="en-US"/>
        </w:rPr>
        <w:t>al</w:t>
      </w:r>
      <w:r w:rsidRPr="0080088A">
        <w:rPr>
          <w:rFonts w:eastAsia="Calibri"/>
          <w:vertAlign w:val="superscript"/>
          <w:lang w:val="en-US" w:eastAsia="en-US"/>
        </w:rPr>
        <w:t>(</w:t>
      </w:r>
      <w:proofErr w:type="gramEnd"/>
      <w:r w:rsidRPr="0080088A">
        <w:rPr>
          <w:rFonts w:eastAsia="Calibri"/>
          <w:vertAlign w:val="superscript"/>
          <w:lang w:val="en-US" w:eastAsia="en-US"/>
        </w:rPr>
        <w:t xml:space="preserve">20) </w:t>
      </w:r>
      <w:r w:rsidRPr="0080088A">
        <w:rPr>
          <w:rFonts w:eastAsia="Calibri"/>
          <w:lang w:val="en-GB" w:eastAsia="en-US"/>
        </w:rPr>
        <w:t>compared the mechanical stability of short implants versus standard implants placed in the edentulous posterior mandible by means of RFA. It was reported that the mean ISQ value at implant placement was 68 for standard implants and 72 for short implants. However, no significant difference was found between the short and standard implants in the observation periods.</w:t>
      </w:r>
    </w:p>
    <w:p w14:paraId="16375F41" w14:textId="77777777" w:rsidR="0080088A" w:rsidRPr="0080088A" w:rsidRDefault="0080088A" w:rsidP="0080088A">
      <w:pPr>
        <w:suppressAutoHyphens/>
        <w:spacing w:line="360" w:lineRule="auto"/>
        <w:jc w:val="both"/>
        <w:rPr>
          <w:rFonts w:eastAsia="Calibri"/>
          <w:lang w:val="en-US" w:eastAsia="en-US"/>
        </w:rPr>
      </w:pPr>
      <w:r w:rsidRPr="0080088A">
        <w:rPr>
          <w:rFonts w:eastAsia="Calibri"/>
          <w:lang w:val="en-US" w:eastAsia="en-US"/>
        </w:rPr>
        <w:t xml:space="preserve">Results demonstrate that </w:t>
      </w:r>
      <w:bookmarkStart w:id="14" w:name="_Hlk72600220"/>
      <w:r w:rsidRPr="0080088A">
        <w:rPr>
          <w:rFonts w:eastAsia="Calibri"/>
          <w:lang w:val="en-US" w:eastAsia="en-US"/>
        </w:rPr>
        <w:t>implant length does not influence primary and secondary stability in type II and type III bones</w:t>
      </w:r>
      <w:bookmarkEnd w:id="14"/>
      <w:r w:rsidRPr="0080088A">
        <w:rPr>
          <w:rFonts w:eastAsia="Calibri"/>
          <w:lang w:val="en-US" w:eastAsia="en-US"/>
        </w:rPr>
        <w:t>. Furthermore, implants with an average contact area of 237 mm</w:t>
      </w:r>
      <w:bookmarkStart w:id="15" w:name="_Hlk70979398"/>
      <w:r w:rsidRPr="0080088A">
        <w:rPr>
          <w:rFonts w:eastAsia="Calibri"/>
          <w:vertAlign w:val="superscript"/>
          <w:lang w:val="en-US" w:eastAsia="en-US"/>
        </w:rPr>
        <w:t>2</w:t>
      </w:r>
      <w:bookmarkEnd w:id="15"/>
      <w:r w:rsidRPr="0080088A">
        <w:rPr>
          <w:rFonts w:eastAsia="Calibri"/>
          <w:lang w:val="en-US" w:eastAsia="en-US"/>
        </w:rPr>
        <w:t xml:space="preserve"> (13 mm and 15 mm length) compared with implants with an average contact area of 129 mm</w:t>
      </w:r>
      <w:r w:rsidRPr="0080088A">
        <w:rPr>
          <w:rFonts w:eastAsia="Calibri"/>
          <w:vertAlign w:val="superscript"/>
          <w:lang w:val="en-US" w:eastAsia="en-US"/>
        </w:rPr>
        <w:t xml:space="preserve">2 </w:t>
      </w:r>
      <w:r w:rsidRPr="0080088A">
        <w:rPr>
          <w:rFonts w:eastAsia="Calibri"/>
          <w:lang w:val="en-US" w:eastAsia="en-US"/>
        </w:rPr>
        <w:t>(7 mm length) show no significant differences in terms of ISQ1 and ISQ2 average values.</w:t>
      </w:r>
    </w:p>
    <w:p w14:paraId="654E0672" w14:textId="77777777" w:rsidR="0080088A" w:rsidRPr="0080088A" w:rsidRDefault="0080088A" w:rsidP="0080088A">
      <w:pPr>
        <w:suppressAutoHyphens/>
        <w:spacing w:line="360" w:lineRule="auto"/>
        <w:jc w:val="both"/>
        <w:rPr>
          <w:rFonts w:eastAsia="Calibri"/>
          <w:lang w:val="en-GB" w:eastAsia="en-US"/>
        </w:rPr>
      </w:pPr>
    </w:p>
    <w:p w14:paraId="7D5A33D7" w14:textId="77777777" w:rsidR="0080088A" w:rsidRPr="0080088A" w:rsidRDefault="0080088A" w:rsidP="0080088A">
      <w:pPr>
        <w:suppressAutoHyphens/>
        <w:spacing w:line="360" w:lineRule="auto"/>
        <w:jc w:val="center"/>
        <w:rPr>
          <w:rFonts w:eastAsia="Calibri"/>
          <w:b/>
          <w:bCs/>
          <w:sz w:val="32"/>
          <w:szCs w:val="32"/>
          <w:lang w:val="en-US" w:eastAsia="en-US"/>
        </w:rPr>
      </w:pPr>
    </w:p>
    <w:p w14:paraId="0883C156" w14:textId="77777777" w:rsidR="0080088A" w:rsidRPr="0080088A" w:rsidRDefault="0080088A" w:rsidP="0080088A">
      <w:pPr>
        <w:suppressAutoHyphens/>
        <w:spacing w:line="360" w:lineRule="auto"/>
        <w:jc w:val="center"/>
        <w:rPr>
          <w:rFonts w:eastAsia="Calibri"/>
          <w:b/>
          <w:bCs/>
          <w:sz w:val="32"/>
          <w:szCs w:val="32"/>
          <w:lang w:val="en-US" w:eastAsia="en-US"/>
        </w:rPr>
      </w:pPr>
      <w:r w:rsidRPr="0080088A">
        <w:rPr>
          <w:rFonts w:eastAsia="Calibri"/>
          <w:b/>
          <w:bCs/>
          <w:sz w:val="32"/>
          <w:szCs w:val="32"/>
          <w:lang w:val="en-US" w:eastAsia="en-US"/>
        </w:rPr>
        <w:t>BIBLIOGRAPHIC REFERENCES</w:t>
      </w:r>
    </w:p>
    <w:p w14:paraId="419CA808" w14:textId="77777777" w:rsidR="0080088A" w:rsidRPr="0080088A" w:rsidRDefault="0080088A" w:rsidP="0080088A">
      <w:pPr>
        <w:suppressAutoHyphens/>
        <w:spacing w:line="360" w:lineRule="auto"/>
        <w:rPr>
          <w:color w:val="212121"/>
          <w:shd w:val="clear" w:color="auto" w:fill="FFFFFF"/>
          <w:lang w:val="en-US" w:eastAsia="es-MX"/>
        </w:rPr>
      </w:pPr>
      <w:r w:rsidRPr="0080088A">
        <w:rPr>
          <w:color w:val="212121"/>
          <w:shd w:val="clear" w:color="auto" w:fill="FFFFFF"/>
          <w:lang w:val="en-US" w:eastAsia="es-MX"/>
        </w:rPr>
        <w:t>1.  Lozano-</w:t>
      </w:r>
      <w:proofErr w:type="spellStart"/>
      <w:r w:rsidRPr="0080088A">
        <w:rPr>
          <w:color w:val="212121"/>
          <w:shd w:val="clear" w:color="auto" w:fill="FFFFFF"/>
          <w:lang w:val="en-US" w:eastAsia="es-MX"/>
        </w:rPr>
        <w:t>Carrascal</w:t>
      </w:r>
      <w:proofErr w:type="spellEnd"/>
      <w:r w:rsidRPr="0080088A">
        <w:rPr>
          <w:color w:val="212121"/>
          <w:shd w:val="clear" w:color="auto" w:fill="FFFFFF"/>
          <w:lang w:val="en-US" w:eastAsia="es-MX"/>
        </w:rPr>
        <w:t xml:space="preserve"> N, </w:t>
      </w:r>
      <w:proofErr w:type="spellStart"/>
      <w:r w:rsidRPr="0080088A">
        <w:rPr>
          <w:color w:val="212121"/>
          <w:shd w:val="clear" w:color="auto" w:fill="FFFFFF"/>
          <w:lang w:val="en-US" w:eastAsia="es-MX"/>
        </w:rPr>
        <w:t>Salomó</w:t>
      </w:r>
      <w:proofErr w:type="spellEnd"/>
      <w:r w:rsidRPr="0080088A">
        <w:rPr>
          <w:color w:val="212121"/>
          <w:shd w:val="clear" w:color="auto" w:fill="FFFFFF"/>
          <w:lang w:val="en-US" w:eastAsia="es-MX"/>
        </w:rPr>
        <w:t xml:space="preserve">-Coll O, </w:t>
      </w:r>
      <w:proofErr w:type="spellStart"/>
      <w:r w:rsidRPr="0080088A">
        <w:rPr>
          <w:color w:val="212121"/>
          <w:shd w:val="clear" w:color="auto" w:fill="FFFFFF"/>
          <w:lang w:val="en-US" w:eastAsia="es-MX"/>
        </w:rPr>
        <w:t>Gilabert-Cerdà</w:t>
      </w:r>
      <w:proofErr w:type="spellEnd"/>
      <w:r w:rsidRPr="0080088A">
        <w:rPr>
          <w:color w:val="212121"/>
          <w:shd w:val="clear" w:color="auto" w:fill="FFFFFF"/>
          <w:lang w:val="en-US" w:eastAsia="es-MX"/>
        </w:rPr>
        <w:t xml:space="preserve"> M, </w:t>
      </w:r>
      <w:proofErr w:type="spellStart"/>
      <w:r w:rsidRPr="0080088A">
        <w:rPr>
          <w:color w:val="212121"/>
          <w:shd w:val="clear" w:color="auto" w:fill="FFFFFF"/>
          <w:lang w:val="en-US" w:eastAsia="es-MX"/>
        </w:rPr>
        <w:t>Farré-Pagés</w:t>
      </w:r>
      <w:proofErr w:type="spellEnd"/>
      <w:r w:rsidRPr="0080088A">
        <w:rPr>
          <w:color w:val="212121"/>
          <w:shd w:val="clear" w:color="auto" w:fill="FFFFFF"/>
          <w:lang w:val="en-US" w:eastAsia="es-MX"/>
        </w:rPr>
        <w:t xml:space="preserve"> N, </w:t>
      </w:r>
      <w:proofErr w:type="spellStart"/>
      <w:r w:rsidRPr="0080088A">
        <w:rPr>
          <w:color w:val="212121"/>
          <w:shd w:val="clear" w:color="auto" w:fill="FFFFFF"/>
          <w:lang w:val="en-US" w:eastAsia="es-MX"/>
        </w:rPr>
        <w:t>Gargallo-Albiol</w:t>
      </w:r>
      <w:proofErr w:type="spellEnd"/>
      <w:r w:rsidRPr="0080088A">
        <w:rPr>
          <w:color w:val="212121"/>
          <w:shd w:val="clear" w:color="auto" w:fill="FFFFFF"/>
          <w:lang w:val="en-US" w:eastAsia="es-MX"/>
        </w:rPr>
        <w:t xml:space="preserve"> J, Hernández-Alfaro F. Effect of implant macro-design on primary stability: A prospective clinical study. Med Oral </w:t>
      </w:r>
      <w:proofErr w:type="spellStart"/>
      <w:r w:rsidRPr="0080088A">
        <w:rPr>
          <w:color w:val="212121"/>
          <w:shd w:val="clear" w:color="auto" w:fill="FFFFFF"/>
          <w:lang w:val="en-US" w:eastAsia="es-MX"/>
        </w:rPr>
        <w:t>Patol</w:t>
      </w:r>
      <w:proofErr w:type="spellEnd"/>
      <w:r w:rsidRPr="0080088A">
        <w:rPr>
          <w:color w:val="212121"/>
          <w:shd w:val="clear" w:color="auto" w:fill="FFFFFF"/>
          <w:lang w:val="en-US" w:eastAsia="es-MX"/>
        </w:rPr>
        <w:t xml:space="preserve"> Oral Cir </w:t>
      </w:r>
      <w:proofErr w:type="spellStart"/>
      <w:r w:rsidRPr="0080088A">
        <w:rPr>
          <w:color w:val="212121"/>
          <w:shd w:val="clear" w:color="auto" w:fill="FFFFFF"/>
          <w:lang w:val="en-US" w:eastAsia="es-MX"/>
        </w:rPr>
        <w:t>Bucal</w:t>
      </w:r>
      <w:proofErr w:type="spellEnd"/>
      <w:r w:rsidRPr="0080088A">
        <w:rPr>
          <w:color w:val="212121"/>
          <w:shd w:val="clear" w:color="auto" w:fill="FFFFFF"/>
          <w:lang w:val="en-US" w:eastAsia="es-MX"/>
        </w:rPr>
        <w:t>. 2016; 21(2</w:t>
      </w:r>
      <w:proofErr w:type="gramStart"/>
      <w:r w:rsidRPr="0080088A">
        <w:rPr>
          <w:color w:val="212121"/>
          <w:shd w:val="clear" w:color="auto" w:fill="FFFFFF"/>
          <w:lang w:val="en-US" w:eastAsia="es-MX"/>
        </w:rPr>
        <w:t>):e</w:t>
      </w:r>
      <w:proofErr w:type="gramEnd"/>
      <w:r w:rsidRPr="0080088A">
        <w:rPr>
          <w:color w:val="212121"/>
          <w:shd w:val="clear" w:color="auto" w:fill="FFFFFF"/>
          <w:lang w:val="en-US" w:eastAsia="es-MX"/>
        </w:rPr>
        <w:t>214-21. DOI: 10.4317/medoral.21024</w:t>
      </w:r>
    </w:p>
    <w:p w14:paraId="31E6FFB1" w14:textId="77777777" w:rsidR="0080088A" w:rsidRPr="0080088A" w:rsidRDefault="0080088A" w:rsidP="0080088A">
      <w:pPr>
        <w:suppressAutoHyphens/>
        <w:spacing w:line="360" w:lineRule="auto"/>
        <w:rPr>
          <w:color w:val="212121"/>
          <w:shd w:val="clear" w:color="auto" w:fill="FFFFFF"/>
          <w:lang w:val="en-US" w:eastAsia="es-MX"/>
        </w:rPr>
      </w:pPr>
      <w:r w:rsidRPr="0080088A">
        <w:rPr>
          <w:color w:val="212121"/>
          <w:shd w:val="clear" w:color="auto" w:fill="FFFFFF"/>
          <w:lang w:val="en-US" w:eastAsia="es-MX"/>
        </w:rPr>
        <w:t xml:space="preserve">2. Vollmer A, </w:t>
      </w:r>
      <w:proofErr w:type="spellStart"/>
      <w:r w:rsidRPr="0080088A">
        <w:rPr>
          <w:color w:val="212121"/>
          <w:shd w:val="clear" w:color="auto" w:fill="FFFFFF"/>
          <w:lang w:val="en-US" w:eastAsia="es-MX"/>
        </w:rPr>
        <w:t>Saravi</w:t>
      </w:r>
      <w:proofErr w:type="spellEnd"/>
      <w:r w:rsidRPr="0080088A">
        <w:rPr>
          <w:color w:val="212121"/>
          <w:shd w:val="clear" w:color="auto" w:fill="FFFFFF"/>
          <w:lang w:val="en-US" w:eastAsia="es-MX"/>
        </w:rPr>
        <w:t xml:space="preserve"> B, Lang G, </w:t>
      </w:r>
      <w:proofErr w:type="spellStart"/>
      <w:r w:rsidRPr="0080088A">
        <w:rPr>
          <w:color w:val="212121"/>
          <w:shd w:val="clear" w:color="auto" w:fill="FFFFFF"/>
          <w:lang w:val="en-US" w:eastAsia="es-MX"/>
        </w:rPr>
        <w:t>Adolphs</w:t>
      </w:r>
      <w:proofErr w:type="spellEnd"/>
      <w:r w:rsidRPr="0080088A">
        <w:rPr>
          <w:color w:val="212121"/>
          <w:shd w:val="clear" w:color="auto" w:fill="FFFFFF"/>
          <w:lang w:val="en-US" w:eastAsia="es-MX"/>
        </w:rPr>
        <w:t xml:space="preserve"> N, Hazard D, </w:t>
      </w:r>
      <w:proofErr w:type="spellStart"/>
      <w:r w:rsidRPr="0080088A">
        <w:rPr>
          <w:color w:val="212121"/>
          <w:shd w:val="clear" w:color="auto" w:fill="FFFFFF"/>
          <w:lang w:val="en-US" w:eastAsia="es-MX"/>
        </w:rPr>
        <w:t>Giers</w:t>
      </w:r>
      <w:proofErr w:type="spellEnd"/>
      <w:r w:rsidRPr="0080088A">
        <w:rPr>
          <w:color w:val="212121"/>
          <w:shd w:val="clear" w:color="auto" w:fill="FFFFFF"/>
          <w:lang w:val="en-US" w:eastAsia="es-MX"/>
        </w:rPr>
        <w:t xml:space="preserve"> V, Stoll P. Factors Influencing Primary and Secondary Implant Stability—A Retrospective Cohort Study with 582 Implants in 272 Patients. Appl. Sci. 2020; 10(22): 8084. DOI: 10.3390/app10228084</w:t>
      </w:r>
    </w:p>
    <w:p w14:paraId="05EBF967" w14:textId="77777777" w:rsidR="0080088A" w:rsidRPr="0080088A" w:rsidRDefault="0080088A" w:rsidP="0080088A">
      <w:pPr>
        <w:suppressAutoHyphens/>
        <w:spacing w:line="360" w:lineRule="auto"/>
        <w:rPr>
          <w:color w:val="212121"/>
          <w:shd w:val="clear" w:color="auto" w:fill="FFFFFF"/>
          <w:lang w:val="en-US" w:eastAsia="es-MX"/>
        </w:rPr>
      </w:pPr>
      <w:r w:rsidRPr="0080088A">
        <w:rPr>
          <w:color w:val="212121"/>
          <w:shd w:val="clear" w:color="auto" w:fill="FFFFFF"/>
          <w:lang w:val="en-US" w:eastAsia="es-MX"/>
        </w:rPr>
        <w:t>3. Kim HM, Cho J, Ryu J. Evaluation of implant stability using different implant drilling sequences. J Dent Sci. 2019; 14(2): 152-6. DOI: 10.1016/j.jds.2019.03.006</w:t>
      </w:r>
    </w:p>
    <w:p w14:paraId="48CB9E90" w14:textId="77777777" w:rsidR="0080088A" w:rsidRPr="0080088A" w:rsidRDefault="0080088A" w:rsidP="0080088A">
      <w:pPr>
        <w:suppressAutoHyphens/>
        <w:spacing w:line="360" w:lineRule="auto"/>
        <w:rPr>
          <w:color w:val="212121"/>
          <w:shd w:val="clear" w:color="auto" w:fill="FFFFFF"/>
          <w:lang w:val="en-US" w:eastAsia="es-MX"/>
        </w:rPr>
      </w:pPr>
      <w:r w:rsidRPr="0080088A">
        <w:rPr>
          <w:color w:val="212121"/>
          <w:shd w:val="clear" w:color="auto" w:fill="FFFFFF"/>
          <w:lang w:val="en-US" w:eastAsia="es-MX"/>
        </w:rPr>
        <w:t xml:space="preserve">4. </w:t>
      </w:r>
      <w:proofErr w:type="spellStart"/>
      <w:r w:rsidRPr="0080088A">
        <w:rPr>
          <w:color w:val="212121"/>
          <w:shd w:val="clear" w:color="auto" w:fill="FFFFFF"/>
          <w:lang w:val="en-US" w:eastAsia="es-MX"/>
        </w:rPr>
        <w:t>Sargolzaie</w:t>
      </w:r>
      <w:proofErr w:type="spellEnd"/>
      <w:r w:rsidRPr="0080088A">
        <w:rPr>
          <w:color w:val="212121"/>
          <w:shd w:val="clear" w:color="auto" w:fill="FFFFFF"/>
          <w:lang w:val="en-US" w:eastAsia="es-MX"/>
        </w:rPr>
        <w:t xml:space="preserve"> N, </w:t>
      </w:r>
      <w:proofErr w:type="spellStart"/>
      <w:r w:rsidRPr="0080088A">
        <w:rPr>
          <w:color w:val="212121"/>
          <w:shd w:val="clear" w:color="auto" w:fill="FFFFFF"/>
          <w:lang w:val="en-US" w:eastAsia="es-MX"/>
        </w:rPr>
        <w:t>Samizade</w:t>
      </w:r>
      <w:proofErr w:type="spellEnd"/>
      <w:r w:rsidRPr="0080088A">
        <w:rPr>
          <w:color w:val="212121"/>
          <w:shd w:val="clear" w:color="auto" w:fill="FFFFFF"/>
          <w:lang w:val="en-US" w:eastAsia="es-MX"/>
        </w:rPr>
        <w:t xml:space="preserve"> S, Arab H, </w:t>
      </w:r>
      <w:proofErr w:type="spellStart"/>
      <w:r w:rsidRPr="0080088A">
        <w:rPr>
          <w:color w:val="212121"/>
          <w:shd w:val="clear" w:color="auto" w:fill="FFFFFF"/>
          <w:lang w:val="en-US" w:eastAsia="es-MX"/>
        </w:rPr>
        <w:t>Ghanbari</w:t>
      </w:r>
      <w:proofErr w:type="spellEnd"/>
      <w:r w:rsidRPr="0080088A">
        <w:rPr>
          <w:color w:val="212121"/>
          <w:shd w:val="clear" w:color="auto" w:fill="FFFFFF"/>
          <w:lang w:val="en-US" w:eastAsia="es-MX"/>
        </w:rPr>
        <w:t xml:space="preserve"> H, </w:t>
      </w:r>
      <w:proofErr w:type="spellStart"/>
      <w:r w:rsidRPr="0080088A">
        <w:rPr>
          <w:color w:val="212121"/>
          <w:shd w:val="clear" w:color="auto" w:fill="FFFFFF"/>
          <w:lang w:val="en-US" w:eastAsia="es-MX"/>
        </w:rPr>
        <w:t>Khodadadifard</w:t>
      </w:r>
      <w:proofErr w:type="spellEnd"/>
      <w:r w:rsidRPr="0080088A">
        <w:rPr>
          <w:color w:val="212121"/>
          <w:shd w:val="clear" w:color="auto" w:fill="FFFFFF"/>
          <w:lang w:val="en-US" w:eastAsia="es-MX"/>
        </w:rPr>
        <w:t xml:space="preserve"> L, </w:t>
      </w:r>
      <w:proofErr w:type="spellStart"/>
      <w:r w:rsidRPr="0080088A">
        <w:rPr>
          <w:color w:val="212121"/>
          <w:shd w:val="clear" w:color="auto" w:fill="FFFFFF"/>
          <w:lang w:val="en-US" w:eastAsia="es-MX"/>
        </w:rPr>
        <w:t>Khajavi</w:t>
      </w:r>
      <w:proofErr w:type="spellEnd"/>
      <w:r w:rsidRPr="0080088A">
        <w:rPr>
          <w:color w:val="212121"/>
          <w:shd w:val="clear" w:color="auto" w:fill="FFFFFF"/>
          <w:lang w:val="en-US" w:eastAsia="es-MX"/>
        </w:rPr>
        <w:t xml:space="preserve"> A.  The evaluation of implant stability measured by resonance frequency analysis in different bone types. J Korean Assoc Oral </w:t>
      </w:r>
      <w:proofErr w:type="spellStart"/>
      <w:r w:rsidRPr="0080088A">
        <w:rPr>
          <w:color w:val="212121"/>
          <w:shd w:val="clear" w:color="auto" w:fill="FFFFFF"/>
          <w:lang w:val="en-US" w:eastAsia="es-MX"/>
        </w:rPr>
        <w:t>Maxillofac</w:t>
      </w:r>
      <w:proofErr w:type="spellEnd"/>
      <w:r w:rsidRPr="0080088A">
        <w:rPr>
          <w:color w:val="212121"/>
          <w:shd w:val="clear" w:color="auto" w:fill="FFFFFF"/>
          <w:lang w:val="en-US" w:eastAsia="es-MX"/>
        </w:rPr>
        <w:t xml:space="preserve"> Surg. 2019; 45(1): 29-33. DOI: 10.5125/jkaoms.2019.45.1.29</w:t>
      </w:r>
    </w:p>
    <w:p w14:paraId="468ED25A" w14:textId="77777777" w:rsidR="0080088A" w:rsidRPr="0080088A" w:rsidRDefault="0080088A" w:rsidP="0080088A">
      <w:pPr>
        <w:suppressAutoHyphens/>
        <w:spacing w:line="360" w:lineRule="auto"/>
        <w:rPr>
          <w:color w:val="212121"/>
          <w:shd w:val="clear" w:color="auto" w:fill="FFFFFF"/>
          <w:lang w:val="en-US" w:eastAsia="es-MX"/>
        </w:rPr>
      </w:pPr>
      <w:r w:rsidRPr="0080088A">
        <w:rPr>
          <w:color w:val="212121"/>
          <w:shd w:val="clear" w:color="auto" w:fill="FFFFFF"/>
          <w:lang w:val="en-US" w:eastAsia="es-MX"/>
        </w:rPr>
        <w:lastRenderedPageBreak/>
        <w:t xml:space="preserve">5. Miri R, </w:t>
      </w:r>
      <w:proofErr w:type="spellStart"/>
      <w:r w:rsidRPr="0080088A">
        <w:rPr>
          <w:color w:val="212121"/>
          <w:shd w:val="clear" w:color="auto" w:fill="FFFFFF"/>
          <w:lang w:val="en-US" w:eastAsia="es-MX"/>
        </w:rPr>
        <w:t>Shirzadeh</w:t>
      </w:r>
      <w:proofErr w:type="spellEnd"/>
      <w:r w:rsidRPr="0080088A">
        <w:rPr>
          <w:color w:val="212121"/>
          <w:shd w:val="clear" w:color="auto" w:fill="FFFFFF"/>
          <w:lang w:val="en-US" w:eastAsia="es-MX"/>
        </w:rPr>
        <w:t xml:space="preserve"> A, </w:t>
      </w:r>
      <w:proofErr w:type="spellStart"/>
      <w:r w:rsidRPr="0080088A">
        <w:rPr>
          <w:color w:val="212121"/>
          <w:shd w:val="clear" w:color="auto" w:fill="FFFFFF"/>
          <w:lang w:val="en-US" w:eastAsia="es-MX"/>
        </w:rPr>
        <w:t>Kermani</w:t>
      </w:r>
      <w:proofErr w:type="spellEnd"/>
      <w:r w:rsidRPr="0080088A">
        <w:rPr>
          <w:color w:val="212121"/>
          <w:shd w:val="clear" w:color="auto" w:fill="FFFFFF"/>
          <w:lang w:val="en-US" w:eastAsia="es-MX"/>
        </w:rPr>
        <w:t xml:space="preserve"> H, </w:t>
      </w:r>
      <w:proofErr w:type="spellStart"/>
      <w:r w:rsidRPr="0080088A">
        <w:rPr>
          <w:color w:val="212121"/>
          <w:shd w:val="clear" w:color="auto" w:fill="FFFFFF"/>
          <w:lang w:val="en-US" w:eastAsia="es-MX"/>
        </w:rPr>
        <w:t>Khajavi</w:t>
      </w:r>
      <w:proofErr w:type="spellEnd"/>
      <w:r w:rsidRPr="0080088A">
        <w:rPr>
          <w:color w:val="212121"/>
          <w:shd w:val="clear" w:color="auto" w:fill="FFFFFF"/>
          <w:lang w:val="en-US" w:eastAsia="es-MX"/>
        </w:rPr>
        <w:t xml:space="preserve"> A. Relationship and changes of primary and secondary stability in dental implants: A review. Int J </w:t>
      </w:r>
      <w:proofErr w:type="spellStart"/>
      <w:r w:rsidRPr="0080088A">
        <w:rPr>
          <w:color w:val="212121"/>
          <w:shd w:val="clear" w:color="auto" w:fill="FFFFFF"/>
          <w:lang w:val="en-US" w:eastAsia="es-MX"/>
        </w:rPr>
        <w:t>Contemp</w:t>
      </w:r>
      <w:proofErr w:type="spellEnd"/>
      <w:r w:rsidRPr="0080088A">
        <w:rPr>
          <w:color w:val="212121"/>
          <w:shd w:val="clear" w:color="auto" w:fill="FFFFFF"/>
          <w:lang w:val="en-US" w:eastAsia="es-MX"/>
        </w:rPr>
        <w:t xml:space="preserve"> Dent Med Rev. 2017; 2017: 03011. DOI: 10.15713/ins.ijcdmr.112 </w:t>
      </w:r>
    </w:p>
    <w:p w14:paraId="7028B0F1" w14:textId="77777777" w:rsidR="0080088A" w:rsidRPr="0080088A" w:rsidRDefault="0080088A" w:rsidP="0080088A">
      <w:pPr>
        <w:suppressAutoHyphens/>
        <w:spacing w:line="360" w:lineRule="auto"/>
        <w:rPr>
          <w:color w:val="212121"/>
          <w:shd w:val="clear" w:color="auto" w:fill="FFFFFF"/>
          <w:lang w:val="en-US" w:eastAsia="es-MX"/>
        </w:rPr>
      </w:pPr>
      <w:r w:rsidRPr="0080088A">
        <w:rPr>
          <w:color w:val="212121"/>
          <w:shd w:val="clear" w:color="auto" w:fill="FFFFFF"/>
          <w:lang w:val="en-US" w:eastAsia="es-MX"/>
        </w:rPr>
        <w:t xml:space="preserve">6.  Valderrama P, Oates TW, Jones AA, Simpson J, </w:t>
      </w:r>
      <w:proofErr w:type="spellStart"/>
      <w:r w:rsidRPr="0080088A">
        <w:rPr>
          <w:color w:val="212121"/>
          <w:shd w:val="clear" w:color="auto" w:fill="FFFFFF"/>
          <w:lang w:val="en-US" w:eastAsia="es-MX"/>
        </w:rPr>
        <w:t>Schoolfield</w:t>
      </w:r>
      <w:proofErr w:type="spellEnd"/>
      <w:r w:rsidRPr="0080088A">
        <w:rPr>
          <w:color w:val="212121"/>
          <w:shd w:val="clear" w:color="auto" w:fill="FFFFFF"/>
          <w:lang w:val="en-US" w:eastAsia="es-MX"/>
        </w:rPr>
        <w:t xml:space="preserve"> JD, Cochran DL. Evaluation of Two Different Resonance Frequency Devices to Detect Implant Stability: A Clinical Trial. J </w:t>
      </w:r>
      <w:proofErr w:type="spellStart"/>
      <w:r w:rsidRPr="0080088A">
        <w:rPr>
          <w:color w:val="212121"/>
          <w:shd w:val="clear" w:color="auto" w:fill="FFFFFF"/>
          <w:lang w:val="en-US" w:eastAsia="es-MX"/>
        </w:rPr>
        <w:t>Periodontol</w:t>
      </w:r>
      <w:proofErr w:type="spellEnd"/>
      <w:r w:rsidRPr="0080088A">
        <w:rPr>
          <w:color w:val="212121"/>
          <w:shd w:val="clear" w:color="auto" w:fill="FFFFFF"/>
          <w:lang w:val="en-US" w:eastAsia="es-MX"/>
        </w:rPr>
        <w:t>. 2007;78(2): 262-72. DOI: 10.1902/jop.2007.060143</w:t>
      </w:r>
    </w:p>
    <w:p w14:paraId="6418FD1E" w14:textId="77777777" w:rsidR="0080088A" w:rsidRPr="0080088A" w:rsidRDefault="0080088A" w:rsidP="0080088A">
      <w:pPr>
        <w:suppressAutoHyphens/>
        <w:spacing w:line="360" w:lineRule="auto"/>
        <w:rPr>
          <w:color w:val="212121"/>
          <w:shd w:val="clear" w:color="auto" w:fill="FFFFFF"/>
          <w:lang w:val="es-CU" w:eastAsia="es-MX"/>
        </w:rPr>
      </w:pPr>
      <w:r w:rsidRPr="0080088A">
        <w:rPr>
          <w:color w:val="212121"/>
          <w:shd w:val="clear" w:color="auto" w:fill="FFFFFF"/>
          <w:lang w:val="en-US" w:eastAsia="es-MX"/>
        </w:rPr>
        <w:t xml:space="preserve">7. </w:t>
      </w:r>
      <w:proofErr w:type="spellStart"/>
      <w:r w:rsidRPr="0080088A">
        <w:rPr>
          <w:color w:val="212121"/>
          <w:shd w:val="clear" w:color="auto" w:fill="FFFFFF"/>
          <w:lang w:val="en-US" w:eastAsia="es-MX"/>
        </w:rPr>
        <w:t>Brunski</w:t>
      </w:r>
      <w:proofErr w:type="spellEnd"/>
      <w:r w:rsidRPr="0080088A">
        <w:rPr>
          <w:color w:val="212121"/>
          <w:shd w:val="clear" w:color="auto" w:fill="FFFFFF"/>
          <w:lang w:val="en-US" w:eastAsia="es-MX"/>
        </w:rPr>
        <w:t xml:space="preserve"> JB, Puleo DA, </w:t>
      </w:r>
      <w:proofErr w:type="spellStart"/>
      <w:r w:rsidRPr="0080088A">
        <w:rPr>
          <w:color w:val="212121"/>
          <w:shd w:val="clear" w:color="auto" w:fill="FFFFFF"/>
          <w:lang w:val="en-US" w:eastAsia="es-MX"/>
        </w:rPr>
        <w:t>Nanci</w:t>
      </w:r>
      <w:proofErr w:type="spellEnd"/>
      <w:r w:rsidRPr="0080088A">
        <w:rPr>
          <w:color w:val="212121"/>
          <w:shd w:val="clear" w:color="auto" w:fill="FFFFFF"/>
          <w:lang w:val="en-US" w:eastAsia="es-MX"/>
        </w:rPr>
        <w:t xml:space="preserve"> A. Biomaterial and biomechanics of oral and maxillofacial implants: current status and future developments. </w:t>
      </w:r>
      <w:proofErr w:type="spellStart"/>
      <w:r w:rsidRPr="0080088A">
        <w:rPr>
          <w:color w:val="212121"/>
          <w:shd w:val="clear" w:color="auto" w:fill="FFFFFF"/>
          <w:lang w:val="es-CU" w:eastAsia="es-MX"/>
        </w:rPr>
        <w:t>Int</w:t>
      </w:r>
      <w:proofErr w:type="spellEnd"/>
      <w:r w:rsidRPr="0080088A">
        <w:rPr>
          <w:color w:val="212121"/>
          <w:shd w:val="clear" w:color="auto" w:fill="FFFFFF"/>
          <w:lang w:val="es-CU" w:eastAsia="es-MX"/>
        </w:rPr>
        <w:t xml:space="preserve"> J Oral </w:t>
      </w:r>
      <w:proofErr w:type="spellStart"/>
      <w:r w:rsidRPr="0080088A">
        <w:rPr>
          <w:color w:val="212121"/>
          <w:shd w:val="clear" w:color="auto" w:fill="FFFFFF"/>
          <w:lang w:val="es-CU" w:eastAsia="es-MX"/>
        </w:rPr>
        <w:t>Maxillofac</w:t>
      </w:r>
      <w:proofErr w:type="spellEnd"/>
      <w:r w:rsidRPr="0080088A">
        <w:rPr>
          <w:color w:val="212121"/>
          <w:shd w:val="clear" w:color="auto" w:fill="FFFFFF"/>
          <w:lang w:val="es-CU" w:eastAsia="es-MX"/>
        </w:rPr>
        <w:t xml:space="preserve"> </w:t>
      </w:r>
      <w:proofErr w:type="spellStart"/>
      <w:r w:rsidRPr="0080088A">
        <w:rPr>
          <w:color w:val="212121"/>
          <w:shd w:val="clear" w:color="auto" w:fill="FFFFFF"/>
          <w:lang w:val="es-CU" w:eastAsia="es-MX"/>
        </w:rPr>
        <w:t>Implants</w:t>
      </w:r>
      <w:proofErr w:type="spellEnd"/>
      <w:r w:rsidRPr="0080088A">
        <w:rPr>
          <w:color w:val="212121"/>
          <w:shd w:val="clear" w:color="auto" w:fill="FFFFFF"/>
          <w:lang w:val="es-CU" w:eastAsia="es-MX"/>
        </w:rPr>
        <w:t xml:space="preserve">. 2000 [acceso: 12/04/2022]; 15(1):15-46. Disponible en: </w:t>
      </w:r>
      <w:hyperlink r:id="rId16" w:history="1">
        <w:r w:rsidRPr="0080088A">
          <w:rPr>
            <w:color w:val="0000FF"/>
            <w:u w:val="single"/>
            <w:shd w:val="clear" w:color="auto" w:fill="FFFFFF"/>
            <w:lang w:val="es-CU" w:eastAsia="es-MX"/>
          </w:rPr>
          <w:t>http://medlib.yu.ac.kr/eur_j_oph/ijom/IJOMI/ijomi_15_15.pdf</w:t>
        </w:r>
      </w:hyperlink>
      <w:r w:rsidRPr="0080088A">
        <w:rPr>
          <w:color w:val="212121"/>
          <w:shd w:val="clear" w:color="auto" w:fill="FFFFFF"/>
          <w:lang w:val="es-CU" w:eastAsia="es-MX"/>
        </w:rPr>
        <w:t xml:space="preserve"> </w:t>
      </w:r>
    </w:p>
    <w:p w14:paraId="2DB35392" w14:textId="77777777" w:rsidR="0080088A" w:rsidRPr="0080088A" w:rsidRDefault="0080088A" w:rsidP="0080088A">
      <w:pPr>
        <w:suppressAutoHyphens/>
        <w:spacing w:line="360" w:lineRule="auto"/>
        <w:rPr>
          <w:color w:val="212121"/>
          <w:shd w:val="clear" w:color="auto" w:fill="FFFFFF"/>
          <w:lang w:val="en-US" w:eastAsia="es-MX"/>
        </w:rPr>
      </w:pPr>
      <w:r w:rsidRPr="0080088A">
        <w:rPr>
          <w:color w:val="212121"/>
          <w:shd w:val="clear" w:color="auto" w:fill="FFFFFF"/>
          <w:lang w:val="en-US" w:eastAsia="es-MX"/>
        </w:rPr>
        <w:t xml:space="preserve">8. </w:t>
      </w:r>
      <w:proofErr w:type="spellStart"/>
      <w:r w:rsidRPr="0080088A">
        <w:rPr>
          <w:color w:val="212121"/>
          <w:shd w:val="clear" w:color="auto" w:fill="FFFFFF"/>
          <w:lang w:val="en-US" w:eastAsia="es-MX"/>
        </w:rPr>
        <w:t>Baftijari</w:t>
      </w:r>
      <w:proofErr w:type="spellEnd"/>
      <w:r w:rsidRPr="0080088A">
        <w:rPr>
          <w:color w:val="212121"/>
          <w:shd w:val="clear" w:color="auto" w:fill="FFFFFF"/>
          <w:lang w:val="en-US" w:eastAsia="es-MX"/>
        </w:rPr>
        <w:t xml:space="preserve"> D, Benedetti A, </w:t>
      </w:r>
      <w:proofErr w:type="spellStart"/>
      <w:r w:rsidRPr="0080088A">
        <w:rPr>
          <w:color w:val="212121"/>
          <w:shd w:val="clear" w:color="auto" w:fill="FFFFFF"/>
          <w:lang w:val="en-US" w:eastAsia="es-MX"/>
        </w:rPr>
        <w:t>Kirkov</w:t>
      </w:r>
      <w:proofErr w:type="spellEnd"/>
      <w:r w:rsidRPr="0080088A">
        <w:rPr>
          <w:color w:val="212121"/>
          <w:shd w:val="clear" w:color="auto" w:fill="FFFFFF"/>
          <w:lang w:val="en-US" w:eastAsia="es-MX"/>
        </w:rPr>
        <w:t xml:space="preserve"> A, </w:t>
      </w:r>
      <w:proofErr w:type="spellStart"/>
      <w:r w:rsidRPr="0080088A">
        <w:rPr>
          <w:color w:val="212121"/>
          <w:shd w:val="clear" w:color="auto" w:fill="FFFFFF"/>
          <w:lang w:val="en-US" w:eastAsia="es-MX"/>
        </w:rPr>
        <w:t>Iliev</w:t>
      </w:r>
      <w:proofErr w:type="spellEnd"/>
      <w:r w:rsidRPr="0080088A">
        <w:rPr>
          <w:color w:val="212121"/>
          <w:shd w:val="clear" w:color="auto" w:fill="FFFFFF"/>
          <w:lang w:val="en-US" w:eastAsia="es-MX"/>
        </w:rPr>
        <w:t xml:space="preserve"> A, </w:t>
      </w:r>
      <w:proofErr w:type="spellStart"/>
      <w:r w:rsidRPr="0080088A">
        <w:rPr>
          <w:color w:val="212121"/>
          <w:shd w:val="clear" w:color="auto" w:fill="FFFFFF"/>
          <w:lang w:val="en-US" w:eastAsia="es-MX"/>
        </w:rPr>
        <w:t>Stamatoski</w:t>
      </w:r>
      <w:proofErr w:type="spellEnd"/>
      <w:r w:rsidRPr="0080088A">
        <w:rPr>
          <w:color w:val="212121"/>
          <w:shd w:val="clear" w:color="auto" w:fill="FFFFFF"/>
          <w:lang w:val="en-US" w:eastAsia="es-MX"/>
        </w:rPr>
        <w:t xml:space="preserve"> A, </w:t>
      </w:r>
      <w:proofErr w:type="spellStart"/>
      <w:r w:rsidRPr="0080088A">
        <w:rPr>
          <w:color w:val="212121"/>
          <w:shd w:val="clear" w:color="auto" w:fill="FFFFFF"/>
          <w:lang w:val="en-US" w:eastAsia="es-MX"/>
        </w:rPr>
        <w:t>Baftijari</w:t>
      </w:r>
      <w:proofErr w:type="spellEnd"/>
      <w:r w:rsidRPr="0080088A">
        <w:rPr>
          <w:color w:val="212121"/>
          <w:shd w:val="clear" w:color="auto" w:fill="FFFFFF"/>
          <w:lang w:val="en-US" w:eastAsia="es-MX"/>
        </w:rPr>
        <w:t xml:space="preserve"> F, et al. Assessment of Primary and Secondary Implant Stability by Resonance Frequency Analysis in Anterior and Posterior Segments of Maxillary Edentulous Ridges. J of IMAB. 2018;24(2): 2058-64. DOI: 10.5272/jimab.2018242.2058</w:t>
      </w:r>
    </w:p>
    <w:p w14:paraId="5399E28D" w14:textId="77777777" w:rsidR="0080088A" w:rsidRPr="0080088A" w:rsidRDefault="0080088A" w:rsidP="0080088A">
      <w:pPr>
        <w:suppressAutoHyphens/>
        <w:spacing w:line="360" w:lineRule="auto"/>
        <w:rPr>
          <w:color w:val="212121"/>
          <w:shd w:val="clear" w:color="auto" w:fill="FFFFFF"/>
          <w:lang w:val="en-US" w:eastAsia="es-MX"/>
        </w:rPr>
      </w:pPr>
      <w:r w:rsidRPr="0080088A">
        <w:rPr>
          <w:color w:val="212121"/>
          <w:shd w:val="clear" w:color="auto" w:fill="FFFFFF"/>
          <w:lang w:val="en-US" w:eastAsia="es-MX"/>
        </w:rPr>
        <w:t xml:space="preserve">9. Han J, Zhang X, Tang Z, Zhang L, Shi D, Meng H. A prospective, multicenter study assessing the DENTSPLY Implants, </w:t>
      </w:r>
      <w:proofErr w:type="spellStart"/>
      <w:r w:rsidRPr="0080088A">
        <w:rPr>
          <w:color w:val="212121"/>
          <w:shd w:val="clear" w:color="auto" w:fill="FFFFFF"/>
          <w:lang w:val="en-US" w:eastAsia="es-MX"/>
        </w:rPr>
        <w:t>OsseoSpeed</w:t>
      </w:r>
      <w:proofErr w:type="spellEnd"/>
      <w:r w:rsidRPr="0080088A">
        <w:rPr>
          <w:color w:val="212121"/>
          <w:shd w:val="clear" w:color="auto" w:fill="FFFFFF"/>
          <w:lang w:val="en-US" w:eastAsia="es-MX"/>
        </w:rPr>
        <w:t xml:space="preserve"> (TM) TX, length 6 mm in the posterior maxilla and mandible: a 1-year follow-up study. Clin Oral Implants Res. 2016; 27(4): 452–7. DOI: 10.1111/clr.12587</w:t>
      </w:r>
    </w:p>
    <w:p w14:paraId="5195253F" w14:textId="77777777" w:rsidR="0080088A" w:rsidRPr="0080088A" w:rsidRDefault="0080088A" w:rsidP="0080088A">
      <w:pPr>
        <w:suppressAutoHyphens/>
        <w:spacing w:line="360" w:lineRule="auto"/>
        <w:rPr>
          <w:color w:val="212121"/>
          <w:shd w:val="clear" w:color="auto" w:fill="FFFFFF"/>
          <w:lang w:val="en-US" w:eastAsia="es-MX"/>
        </w:rPr>
      </w:pPr>
      <w:r w:rsidRPr="0080088A">
        <w:rPr>
          <w:color w:val="212121"/>
          <w:shd w:val="clear" w:color="auto" w:fill="FFFFFF"/>
          <w:lang w:val="en-US" w:eastAsia="es-MX"/>
        </w:rPr>
        <w:t xml:space="preserve">10. </w:t>
      </w:r>
      <w:proofErr w:type="spellStart"/>
      <w:r w:rsidRPr="0080088A">
        <w:rPr>
          <w:color w:val="212121"/>
          <w:shd w:val="clear" w:color="auto" w:fill="FFFFFF"/>
          <w:lang w:val="en-US" w:eastAsia="es-MX"/>
        </w:rPr>
        <w:t>Kastala</w:t>
      </w:r>
      <w:proofErr w:type="spellEnd"/>
      <w:r w:rsidRPr="0080088A">
        <w:rPr>
          <w:color w:val="212121"/>
          <w:shd w:val="clear" w:color="auto" w:fill="FFFFFF"/>
          <w:lang w:val="en-US" w:eastAsia="es-MX"/>
        </w:rPr>
        <w:t xml:space="preserve"> VH, </w:t>
      </w:r>
      <w:proofErr w:type="spellStart"/>
      <w:r w:rsidRPr="0080088A">
        <w:rPr>
          <w:color w:val="212121"/>
          <w:shd w:val="clear" w:color="auto" w:fill="FFFFFF"/>
          <w:lang w:val="en-US" w:eastAsia="es-MX"/>
        </w:rPr>
        <w:t>Ramoji</w:t>
      </w:r>
      <w:proofErr w:type="spellEnd"/>
      <w:r w:rsidRPr="0080088A">
        <w:rPr>
          <w:color w:val="212121"/>
          <w:shd w:val="clear" w:color="auto" w:fill="FFFFFF"/>
          <w:lang w:val="en-US" w:eastAsia="es-MX"/>
        </w:rPr>
        <w:t xml:space="preserve"> Rao MV. Comparative evaluation of implant stability in two different implant systems at baseline and 3–4 months intervals using RFA device (OSSTELL SQ). Indian J Dent Res. 2019; 30(5): 678-86. DOI: 10.4103/ijdr.IJDR_446_17</w:t>
      </w:r>
    </w:p>
    <w:p w14:paraId="61C2BC8C" w14:textId="77777777" w:rsidR="0080088A" w:rsidRPr="0080088A" w:rsidRDefault="0080088A" w:rsidP="0080088A">
      <w:pPr>
        <w:suppressAutoHyphens/>
        <w:spacing w:line="360" w:lineRule="auto"/>
        <w:rPr>
          <w:color w:val="212121"/>
          <w:shd w:val="clear" w:color="auto" w:fill="FFFFFF"/>
          <w:lang w:val="en-US" w:eastAsia="es-MX"/>
        </w:rPr>
      </w:pPr>
      <w:r w:rsidRPr="0080088A">
        <w:rPr>
          <w:color w:val="212121"/>
          <w:shd w:val="clear" w:color="auto" w:fill="FFFFFF"/>
          <w:lang w:val="en-US" w:eastAsia="es-MX"/>
        </w:rPr>
        <w:t xml:space="preserve">11. </w:t>
      </w:r>
      <w:proofErr w:type="spellStart"/>
      <w:r w:rsidRPr="0080088A">
        <w:rPr>
          <w:color w:val="212121"/>
          <w:shd w:val="clear" w:color="auto" w:fill="FFFFFF"/>
          <w:lang w:val="en-US" w:eastAsia="es-MX"/>
        </w:rPr>
        <w:t>Gulje</w:t>
      </w:r>
      <w:proofErr w:type="spellEnd"/>
      <w:r w:rsidRPr="0080088A">
        <w:rPr>
          <w:color w:val="212121"/>
          <w:shd w:val="clear" w:color="auto" w:fill="FFFFFF"/>
          <w:lang w:val="en-US" w:eastAsia="es-MX"/>
        </w:rPr>
        <w:t xml:space="preserve"> F, </w:t>
      </w:r>
      <w:proofErr w:type="spellStart"/>
      <w:r w:rsidRPr="0080088A">
        <w:rPr>
          <w:color w:val="212121"/>
          <w:shd w:val="clear" w:color="auto" w:fill="FFFFFF"/>
          <w:lang w:val="en-US" w:eastAsia="es-MX"/>
        </w:rPr>
        <w:t>Abrahamsson</w:t>
      </w:r>
      <w:proofErr w:type="spellEnd"/>
      <w:r w:rsidRPr="0080088A">
        <w:rPr>
          <w:color w:val="212121"/>
          <w:shd w:val="clear" w:color="auto" w:fill="FFFFFF"/>
          <w:lang w:val="en-US" w:eastAsia="es-MX"/>
        </w:rPr>
        <w:t xml:space="preserve"> I, Chen S, Stanford C, Zadeh H, Palmer R. Implants of 6 mm vs. 11 mm lengths in the posterior maxilla and mandible: A 1-year multicenter randomized controlled trial. Clin Oral Implants Res. 2013; 24(12): 1325–31. DOI: 10.1111/clr.12001</w:t>
      </w:r>
    </w:p>
    <w:p w14:paraId="06C83ED3" w14:textId="77777777" w:rsidR="0080088A" w:rsidRPr="0080088A" w:rsidRDefault="0080088A" w:rsidP="0080088A">
      <w:pPr>
        <w:suppressAutoHyphens/>
        <w:spacing w:line="360" w:lineRule="auto"/>
        <w:rPr>
          <w:color w:val="212121"/>
          <w:shd w:val="clear" w:color="auto" w:fill="FFFFFF"/>
          <w:lang w:val="es-CU" w:eastAsia="es-MX"/>
        </w:rPr>
      </w:pPr>
      <w:r w:rsidRPr="0080088A">
        <w:rPr>
          <w:color w:val="212121"/>
          <w:shd w:val="clear" w:color="auto" w:fill="FFFFFF"/>
          <w:lang w:val="en-US" w:eastAsia="es-MX"/>
        </w:rPr>
        <w:t xml:space="preserve">12. </w:t>
      </w:r>
      <w:proofErr w:type="spellStart"/>
      <w:r w:rsidRPr="0080088A">
        <w:rPr>
          <w:color w:val="212121"/>
          <w:shd w:val="clear" w:color="auto" w:fill="FFFFFF"/>
          <w:lang w:val="en-US" w:eastAsia="es-MX"/>
        </w:rPr>
        <w:t>Lemos</w:t>
      </w:r>
      <w:proofErr w:type="spellEnd"/>
      <w:r w:rsidRPr="0080088A">
        <w:rPr>
          <w:color w:val="212121"/>
          <w:shd w:val="clear" w:color="auto" w:fill="FFFFFF"/>
          <w:lang w:val="en-US" w:eastAsia="es-MX"/>
        </w:rPr>
        <w:t xml:space="preserve"> CA, Ferro-Alves ML, Okamoto R, </w:t>
      </w:r>
      <w:proofErr w:type="spellStart"/>
      <w:r w:rsidRPr="0080088A">
        <w:rPr>
          <w:color w:val="212121"/>
          <w:shd w:val="clear" w:color="auto" w:fill="FFFFFF"/>
          <w:lang w:val="en-US" w:eastAsia="es-MX"/>
        </w:rPr>
        <w:t>Mendoca</w:t>
      </w:r>
      <w:proofErr w:type="spellEnd"/>
      <w:r w:rsidRPr="0080088A">
        <w:rPr>
          <w:color w:val="212121"/>
          <w:shd w:val="clear" w:color="auto" w:fill="FFFFFF"/>
          <w:lang w:val="en-US" w:eastAsia="es-MX"/>
        </w:rPr>
        <w:t xml:space="preserve"> MR, </w:t>
      </w:r>
      <w:proofErr w:type="spellStart"/>
      <w:r w:rsidRPr="0080088A">
        <w:rPr>
          <w:color w:val="212121"/>
          <w:shd w:val="clear" w:color="auto" w:fill="FFFFFF"/>
          <w:lang w:val="en-US" w:eastAsia="es-MX"/>
        </w:rPr>
        <w:t>Pellizzer</w:t>
      </w:r>
      <w:proofErr w:type="spellEnd"/>
      <w:r w:rsidRPr="0080088A">
        <w:rPr>
          <w:color w:val="212121"/>
          <w:shd w:val="clear" w:color="auto" w:fill="FFFFFF"/>
          <w:lang w:val="en-US" w:eastAsia="es-MX"/>
        </w:rPr>
        <w:t xml:space="preserve"> EP. Short dental implants versus standard dental implants placed in the posterior jaws: A systematic review and meta-analysis. </w:t>
      </w:r>
      <w:r w:rsidRPr="0080088A">
        <w:rPr>
          <w:color w:val="212121"/>
          <w:shd w:val="clear" w:color="auto" w:fill="FFFFFF"/>
          <w:lang w:val="es-CU" w:eastAsia="es-MX"/>
        </w:rPr>
        <w:t xml:space="preserve">J </w:t>
      </w:r>
      <w:proofErr w:type="spellStart"/>
      <w:r w:rsidRPr="0080088A">
        <w:rPr>
          <w:color w:val="212121"/>
          <w:shd w:val="clear" w:color="auto" w:fill="FFFFFF"/>
          <w:lang w:val="es-CU" w:eastAsia="es-MX"/>
        </w:rPr>
        <w:t>Dent</w:t>
      </w:r>
      <w:proofErr w:type="spellEnd"/>
      <w:r w:rsidRPr="0080088A">
        <w:rPr>
          <w:color w:val="212121"/>
          <w:shd w:val="clear" w:color="auto" w:fill="FFFFFF"/>
          <w:lang w:val="es-CU" w:eastAsia="es-MX"/>
        </w:rPr>
        <w:t>. 2016; 47: 8–17. DOI: 10.1016/j.jdent.2016.01.005</w:t>
      </w:r>
    </w:p>
    <w:p w14:paraId="4B1ED0B6" w14:textId="77777777" w:rsidR="0080088A" w:rsidRPr="0080088A" w:rsidRDefault="0080088A" w:rsidP="0080088A">
      <w:pPr>
        <w:suppressAutoHyphens/>
        <w:spacing w:line="360" w:lineRule="auto"/>
        <w:rPr>
          <w:color w:val="212121"/>
          <w:shd w:val="clear" w:color="auto" w:fill="FFFFFF"/>
          <w:lang w:val="es-CU" w:eastAsia="es-MX"/>
        </w:rPr>
      </w:pPr>
      <w:r w:rsidRPr="0080088A">
        <w:rPr>
          <w:color w:val="212121"/>
          <w:shd w:val="clear" w:color="auto" w:fill="FFFFFF"/>
          <w:lang w:val="es-CU" w:eastAsia="es-MX"/>
        </w:rPr>
        <w:t xml:space="preserve">13. Toro M, </w:t>
      </w:r>
      <w:proofErr w:type="spellStart"/>
      <w:r w:rsidRPr="0080088A">
        <w:rPr>
          <w:color w:val="212121"/>
          <w:shd w:val="clear" w:color="auto" w:fill="FFFFFF"/>
          <w:lang w:val="es-CU" w:eastAsia="es-MX"/>
        </w:rPr>
        <w:t>Leitao</w:t>
      </w:r>
      <w:proofErr w:type="spellEnd"/>
      <w:r w:rsidRPr="0080088A">
        <w:rPr>
          <w:color w:val="212121"/>
          <w:shd w:val="clear" w:color="auto" w:fill="FFFFFF"/>
          <w:lang w:val="es-CU" w:eastAsia="es-MX"/>
        </w:rPr>
        <w:t xml:space="preserve"> J, Sánchez G, Díaz L, Chaple Gil A, Fernández E. Método simplificado para cuantificar el área </w:t>
      </w:r>
      <w:proofErr w:type="spellStart"/>
      <w:r w:rsidRPr="0080088A">
        <w:rPr>
          <w:color w:val="212121"/>
          <w:shd w:val="clear" w:color="auto" w:fill="FFFFFF"/>
          <w:lang w:val="es-CU" w:eastAsia="es-MX"/>
        </w:rPr>
        <w:t>oseointegrable</w:t>
      </w:r>
      <w:proofErr w:type="spellEnd"/>
      <w:r w:rsidRPr="0080088A">
        <w:rPr>
          <w:color w:val="212121"/>
          <w:shd w:val="clear" w:color="auto" w:fill="FFFFFF"/>
          <w:lang w:val="es-CU" w:eastAsia="es-MX"/>
        </w:rPr>
        <w:t xml:space="preserve"> de implantes dentales. </w:t>
      </w:r>
      <w:proofErr w:type="spellStart"/>
      <w:r w:rsidRPr="0080088A">
        <w:rPr>
          <w:color w:val="212121"/>
          <w:shd w:val="clear" w:color="auto" w:fill="FFFFFF"/>
          <w:lang w:val="es-CU" w:eastAsia="es-MX"/>
        </w:rPr>
        <w:t>Rev</w:t>
      </w:r>
      <w:proofErr w:type="spellEnd"/>
      <w:r w:rsidRPr="0080088A">
        <w:rPr>
          <w:color w:val="212121"/>
          <w:shd w:val="clear" w:color="auto" w:fill="FFFFFF"/>
          <w:lang w:val="es-CU" w:eastAsia="es-MX"/>
        </w:rPr>
        <w:t xml:space="preserve"> </w:t>
      </w:r>
      <w:proofErr w:type="gramStart"/>
      <w:r w:rsidRPr="0080088A">
        <w:rPr>
          <w:color w:val="212121"/>
          <w:shd w:val="clear" w:color="auto" w:fill="FFFFFF"/>
          <w:lang w:val="es-CU" w:eastAsia="es-MX"/>
        </w:rPr>
        <w:t>Cubana</w:t>
      </w:r>
      <w:proofErr w:type="gramEnd"/>
      <w:r w:rsidRPr="0080088A">
        <w:rPr>
          <w:color w:val="212121"/>
          <w:shd w:val="clear" w:color="auto" w:fill="FFFFFF"/>
          <w:lang w:val="es-CU" w:eastAsia="es-MX"/>
        </w:rPr>
        <w:t xml:space="preserve"> </w:t>
      </w:r>
      <w:proofErr w:type="spellStart"/>
      <w:r w:rsidRPr="0080088A">
        <w:rPr>
          <w:color w:val="212121"/>
          <w:shd w:val="clear" w:color="auto" w:fill="FFFFFF"/>
          <w:lang w:val="es-CU" w:eastAsia="es-MX"/>
        </w:rPr>
        <w:t>Invest</w:t>
      </w:r>
      <w:proofErr w:type="spellEnd"/>
      <w:r w:rsidRPr="0080088A">
        <w:rPr>
          <w:color w:val="212121"/>
          <w:shd w:val="clear" w:color="auto" w:fill="FFFFFF"/>
          <w:lang w:val="es-CU" w:eastAsia="es-MX"/>
        </w:rPr>
        <w:t xml:space="preserve"> </w:t>
      </w:r>
      <w:proofErr w:type="spellStart"/>
      <w:r w:rsidRPr="0080088A">
        <w:rPr>
          <w:color w:val="212121"/>
          <w:shd w:val="clear" w:color="auto" w:fill="FFFFFF"/>
          <w:lang w:val="es-CU" w:eastAsia="es-MX"/>
        </w:rPr>
        <w:t>Bioméd</w:t>
      </w:r>
      <w:proofErr w:type="spellEnd"/>
      <w:r w:rsidRPr="0080088A">
        <w:rPr>
          <w:color w:val="212121"/>
          <w:shd w:val="clear" w:color="auto" w:fill="FFFFFF"/>
          <w:lang w:val="es-CU" w:eastAsia="es-MX"/>
        </w:rPr>
        <w:t xml:space="preserve">. 2020 [acceso: 12/04/2022]; 39(3): e651. Disponible en: </w:t>
      </w:r>
      <w:hyperlink r:id="rId17" w:history="1">
        <w:r w:rsidRPr="0080088A">
          <w:rPr>
            <w:color w:val="0000FF"/>
            <w:u w:val="single"/>
            <w:shd w:val="clear" w:color="auto" w:fill="FFFFFF"/>
            <w:lang w:val="es-CU" w:eastAsia="es-MX"/>
          </w:rPr>
          <w:t>http://www.revibiomedica.sld.cu/index.php/ibi/article/view/651/750</w:t>
        </w:r>
      </w:hyperlink>
      <w:r w:rsidRPr="0080088A">
        <w:rPr>
          <w:color w:val="212121"/>
          <w:shd w:val="clear" w:color="auto" w:fill="FFFFFF"/>
          <w:lang w:val="es-CU" w:eastAsia="es-MX"/>
        </w:rPr>
        <w:t xml:space="preserve"> </w:t>
      </w:r>
    </w:p>
    <w:p w14:paraId="7839A876" w14:textId="77777777" w:rsidR="0080088A" w:rsidRPr="0080088A" w:rsidRDefault="0080088A" w:rsidP="0080088A">
      <w:pPr>
        <w:suppressAutoHyphens/>
        <w:spacing w:line="360" w:lineRule="auto"/>
        <w:rPr>
          <w:color w:val="212121"/>
          <w:shd w:val="clear" w:color="auto" w:fill="FFFFFF"/>
          <w:lang w:val="en-US" w:eastAsia="es-MX"/>
        </w:rPr>
      </w:pPr>
      <w:r w:rsidRPr="0080088A">
        <w:rPr>
          <w:color w:val="212121"/>
          <w:shd w:val="clear" w:color="auto" w:fill="FFFFFF"/>
          <w:lang w:val="en-US" w:eastAsia="es-MX"/>
        </w:rPr>
        <w:lastRenderedPageBreak/>
        <w:t xml:space="preserve">14. Bischof M, </w:t>
      </w:r>
      <w:proofErr w:type="spellStart"/>
      <w:r w:rsidRPr="0080088A">
        <w:rPr>
          <w:color w:val="212121"/>
          <w:shd w:val="clear" w:color="auto" w:fill="FFFFFF"/>
          <w:lang w:val="en-US" w:eastAsia="es-MX"/>
        </w:rPr>
        <w:t>Nedir</w:t>
      </w:r>
      <w:proofErr w:type="spellEnd"/>
      <w:r w:rsidRPr="0080088A">
        <w:rPr>
          <w:color w:val="212121"/>
          <w:shd w:val="clear" w:color="auto" w:fill="FFFFFF"/>
          <w:lang w:val="en-US" w:eastAsia="es-MX"/>
        </w:rPr>
        <w:t xml:space="preserve"> R, </w:t>
      </w:r>
      <w:proofErr w:type="spellStart"/>
      <w:r w:rsidRPr="0080088A">
        <w:rPr>
          <w:color w:val="212121"/>
          <w:shd w:val="clear" w:color="auto" w:fill="FFFFFF"/>
          <w:lang w:val="en-US" w:eastAsia="es-MX"/>
        </w:rPr>
        <w:t>Szmukler-Moncler</w:t>
      </w:r>
      <w:proofErr w:type="spellEnd"/>
      <w:r w:rsidRPr="0080088A">
        <w:rPr>
          <w:color w:val="212121"/>
          <w:shd w:val="clear" w:color="auto" w:fill="FFFFFF"/>
          <w:lang w:val="en-US" w:eastAsia="es-MX"/>
        </w:rPr>
        <w:t xml:space="preserve"> S, Bernard JP, Samson J. Implant stability measurement of delayed and immediately loaded implants during healing. Clin Oral Implants Res. 2004; 15(5): 529-39. DOI: 10.1111/j.1600-0501.</w:t>
      </w:r>
      <w:proofErr w:type="gramStart"/>
      <w:r w:rsidRPr="0080088A">
        <w:rPr>
          <w:color w:val="212121"/>
          <w:shd w:val="clear" w:color="auto" w:fill="FFFFFF"/>
          <w:lang w:val="en-US" w:eastAsia="es-MX"/>
        </w:rPr>
        <w:t>2004.01042.x</w:t>
      </w:r>
      <w:proofErr w:type="gramEnd"/>
    </w:p>
    <w:p w14:paraId="5700A89B" w14:textId="77777777" w:rsidR="0080088A" w:rsidRPr="0080088A" w:rsidRDefault="0080088A" w:rsidP="0080088A">
      <w:pPr>
        <w:suppressAutoHyphens/>
        <w:spacing w:line="360" w:lineRule="auto"/>
        <w:rPr>
          <w:color w:val="212121"/>
          <w:shd w:val="clear" w:color="auto" w:fill="FFFFFF"/>
          <w:lang w:val="en-US" w:eastAsia="es-MX"/>
        </w:rPr>
      </w:pPr>
      <w:r w:rsidRPr="0080088A">
        <w:rPr>
          <w:color w:val="212121"/>
          <w:shd w:val="clear" w:color="auto" w:fill="FFFFFF"/>
          <w:lang w:val="en-US" w:eastAsia="es-MX"/>
        </w:rPr>
        <w:t xml:space="preserve">15. </w:t>
      </w:r>
      <w:proofErr w:type="spellStart"/>
      <w:r w:rsidRPr="0080088A">
        <w:rPr>
          <w:color w:val="212121"/>
          <w:shd w:val="clear" w:color="auto" w:fill="FFFFFF"/>
          <w:lang w:val="en-US" w:eastAsia="es-MX"/>
        </w:rPr>
        <w:t>Barikani</w:t>
      </w:r>
      <w:proofErr w:type="spellEnd"/>
      <w:r w:rsidRPr="0080088A">
        <w:rPr>
          <w:color w:val="212121"/>
          <w:shd w:val="clear" w:color="auto" w:fill="FFFFFF"/>
          <w:lang w:val="en-US" w:eastAsia="es-MX"/>
        </w:rPr>
        <w:t xml:space="preserve"> H, </w:t>
      </w:r>
      <w:proofErr w:type="spellStart"/>
      <w:r w:rsidRPr="0080088A">
        <w:rPr>
          <w:color w:val="212121"/>
          <w:shd w:val="clear" w:color="auto" w:fill="FFFFFF"/>
          <w:lang w:val="en-US" w:eastAsia="es-MX"/>
        </w:rPr>
        <w:t>Rashtak</w:t>
      </w:r>
      <w:proofErr w:type="spellEnd"/>
      <w:r w:rsidRPr="0080088A">
        <w:rPr>
          <w:color w:val="212121"/>
          <w:shd w:val="clear" w:color="auto" w:fill="FFFFFF"/>
          <w:lang w:val="en-US" w:eastAsia="es-MX"/>
        </w:rPr>
        <w:t xml:space="preserve"> S, Akbari S, </w:t>
      </w:r>
      <w:proofErr w:type="spellStart"/>
      <w:r w:rsidRPr="0080088A">
        <w:rPr>
          <w:color w:val="212121"/>
          <w:shd w:val="clear" w:color="auto" w:fill="FFFFFF"/>
          <w:lang w:val="en-US" w:eastAsia="es-MX"/>
        </w:rPr>
        <w:t>Fard</w:t>
      </w:r>
      <w:proofErr w:type="spellEnd"/>
      <w:r w:rsidRPr="0080088A">
        <w:rPr>
          <w:color w:val="212121"/>
          <w:shd w:val="clear" w:color="auto" w:fill="FFFFFF"/>
          <w:lang w:val="en-US" w:eastAsia="es-MX"/>
        </w:rPr>
        <w:t xml:space="preserve"> MK, </w:t>
      </w:r>
      <w:proofErr w:type="spellStart"/>
      <w:r w:rsidRPr="0080088A">
        <w:rPr>
          <w:color w:val="212121"/>
          <w:shd w:val="clear" w:color="auto" w:fill="FFFFFF"/>
          <w:lang w:val="en-US" w:eastAsia="es-MX"/>
        </w:rPr>
        <w:t>Rokn</w:t>
      </w:r>
      <w:proofErr w:type="spellEnd"/>
      <w:r w:rsidRPr="0080088A">
        <w:rPr>
          <w:color w:val="212121"/>
          <w:shd w:val="clear" w:color="auto" w:fill="FFFFFF"/>
          <w:lang w:val="en-US" w:eastAsia="es-MX"/>
        </w:rPr>
        <w:t xml:space="preserve"> A. The effect of shape, length and diameter of implants on primary stability based on resonance frequency analysis. Dent Res J. 2014; 11: 87-91. DOI: 10.4103/1735-3327.127195</w:t>
      </w:r>
    </w:p>
    <w:p w14:paraId="4F513852" w14:textId="77777777" w:rsidR="0080088A" w:rsidRPr="0080088A" w:rsidRDefault="0080088A" w:rsidP="0080088A">
      <w:pPr>
        <w:suppressAutoHyphens/>
        <w:spacing w:line="360" w:lineRule="auto"/>
        <w:rPr>
          <w:color w:val="212121"/>
          <w:shd w:val="clear" w:color="auto" w:fill="FFFFFF"/>
          <w:lang w:val="en-US" w:eastAsia="es-MX"/>
        </w:rPr>
      </w:pPr>
      <w:r w:rsidRPr="0080088A">
        <w:rPr>
          <w:color w:val="212121"/>
          <w:shd w:val="clear" w:color="auto" w:fill="FFFFFF"/>
          <w:lang w:val="en-US" w:eastAsia="es-MX"/>
        </w:rPr>
        <w:t xml:space="preserve">16. </w:t>
      </w:r>
      <w:proofErr w:type="spellStart"/>
      <w:r w:rsidRPr="0080088A">
        <w:rPr>
          <w:color w:val="212121"/>
          <w:shd w:val="clear" w:color="auto" w:fill="FFFFFF"/>
          <w:lang w:val="en-US" w:eastAsia="es-MX"/>
        </w:rPr>
        <w:t>Merheb</w:t>
      </w:r>
      <w:proofErr w:type="spellEnd"/>
      <w:r w:rsidRPr="0080088A">
        <w:rPr>
          <w:color w:val="212121"/>
          <w:shd w:val="clear" w:color="auto" w:fill="FFFFFF"/>
          <w:lang w:val="en-US" w:eastAsia="es-MX"/>
        </w:rPr>
        <w:t xml:space="preserve"> J, Van </w:t>
      </w:r>
      <w:proofErr w:type="spellStart"/>
      <w:r w:rsidRPr="0080088A">
        <w:rPr>
          <w:color w:val="212121"/>
          <w:shd w:val="clear" w:color="auto" w:fill="FFFFFF"/>
          <w:lang w:val="en-US" w:eastAsia="es-MX"/>
        </w:rPr>
        <w:t>Assche</w:t>
      </w:r>
      <w:proofErr w:type="spellEnd"/>
      <w:r w:rsidRPr="0080088A">
        <w:rPr>
          <w:color w:val="212121"/>
          <w:shd w:val="clear" w:color="auto" w:fill="FFFFFF"/>
          <w:lang w:val="en-US" w:eastAsia="es-MX"/>
        </w:rPr>
        <w:t xml:space="preserve"> N, </w:t>
      </w:r>
      <w:proofErr w:type="spellStart"/>
      <w:r w:rsidRPr="0080088A">
        <w:rPr>
          <w:color w:val="212121"/>
          <w:shd w:val="clear" w:color="auto" w:fill="FFFFFF"/>
          <w:lang w:val="en-US" w:eastAsia="es-MX"/>
        </w:rPr>
        <w:t>Coucke</w:t>
      </w:r>
      <w:proofErr w:type="spellEnd"/>
      <w:r w:rsidRPr="0080088A">
        <w:rPr>
          <w:color w:val="212121"/>
          <w:shd w:val="clear" w:color="auto" w:fill="FFFFFF"/>
          <w:lang w:val="en-US" w:eastAsia="es-MX"/>
        </w:rPr>
        <w:t xml:space="preserve"> W, Jacobs R, </w:t>
      </w:r>
      <w:proofErr w:type="spellStart"/>
      <w:r w:rsidRPr="0080088A">
        <w:rPr>
          <w:color w:val="212121"/>
          <w:shd w:val="clear" w:color="auto" w:fill="FFFFFF"/>
          <w:lang w:val="en-US" w:eastAsia="es-MX"/>
        </w:rPr>
        <w:t>Naert</w:t>
      </w:r>
      <w:proofErr w:type="spellEnd"/>
      <w:r w:rsidRPr="0080088A">
        <w:rPr>
          <w:color w:val="212121"/>
          <w:shd w:val="clear" w:color="auto" w:fill="FFFFFF"/>
          <w:lang w:val="en-US" w:eastAsia="es-MX"/>
        </w:rPr>
        <w:t xml:space="preserve"> I, </w:t>
      </w:r>
      <w:proofErr w:type="spellStart"/>
      <w:r w:rsidRPr="0080088A">
        <w:rPr>
          <w:color w:val="212121"/>
          <w:shd w:val="clear" w:color="auto" w:fill="FFFFFF"/>
          <w:lang w:val="en-US" w:eastAsia="es-MX"/>
        </w:rPr>
        <w:t>Quirynen</w:t>
      </w:r>
      <w:proofErr w:type="spellEnd"/>
      <w:r w:rsidRPr="0080088A">
        <w:rPr>
          <w:color w:val="212121"/>
          <w:shd w:val="clear" w:color="auto" w:fill="FFFFFF"/>
          <w:lang w:val="en-US" w:eastAsia="es-MX"/>
        </w:rPr>
        <w:t xml:space="preserve"> M. Relationship between cortical bone thickness or computerized tomography-derived bone density values and implant stability. Clin Oral Implants Res. 2010; 21(6): 612-7. DOI: 10.1111/j.1600-0501.</w:t>
      </w:r>
      <w:proofErr w:type="gramStart"/>
      <w:r w:rsidRPr="0080088A">
        <w:rPr>
          <w:color w:val="212121"/>
          <w:shd w:val="clear" w:color="auto" w:fill="FFFFFF"/>
          <w:lang w:val="en-US" w:eastAsia="es-MX"/>
        </w:rPr>
        <w:t>2009.01880.x</w:t>
      </w:r>
      <w:proofErr w:type="gramEnd"/>
    </w:p>
    <w:p w14:paraId="79EA7ED9" w14:textId="77777777" w:rsidR="0080088A" w:rsidRPr="0080088A" w:rsidRDefault="0080088A" w:rsidP="0080088A">
      <w:pPr>
        <w:suppressAutoHyphens/>
        <w:spacing w:line="360" w:lineRule="auto"/>
        <w:rPr>
          <w:color w:val="212121"/>
          <w:shd w:val="clear" w:color="auto" w:fill="FFFFFF"/>
          <w:lang w:val="en-US" w:eastAsia="es-MX"/>
        </w:rPr>
      </w:pPr>
      <w:r w:rsidRPr="0080088A">
        <w:rPr>
          <w:color w:val="212121"/>
          <w:shd w:val="clear" w:color="auto" w:fill="FFFFFF"/>
          <w:lang w:val="en-US" w:eastAsia="es-MX"/>
        </w:rPr>
        <w:t xml:space="preserve">17. Gómez-Polo M, Ortega R, Gómez-Polo C, Martín C, </w:t>
      </w:r>
      <w:proofErr w:type="spellStart"/>
      <w:r w:rsidRPr="0080088A">
        <w:rPr>
          <w:color w:val="212121"/>
          <w:shd w:val="clear" w:color="auto" w:fill="FFFFFF"/>
          <w:lang w:val="en-US" w:eastAsia="es-MX"/>
        </w:rPr>
        <w:t>Celemín</w:t>
      </w:r>
      <w:proofErr w:type="spellEnd"/>
      <w:r w:rsidRPr="0080088A">
        <w:rPr>
          <w:color w:val="212121"/>
          <w:shd w:val="clear" w:color="auto" w:fill="FFFFFF"/>
          <w:lang w:val="en-US" w:eastAsia="es-MX"/>
        </w:rPr>
        <w:t xml:space="preserve"> A, del Río J. Does length, diameter, or bone quality affect primary and secondary stability in self-tapping dental implants? J Oral </w:t>
      </w:r>
      <w:proofErr w:type="spellStart"/>
      <w:r w:rsidRPr="0080088A">
        <w:rPr>
          <w:color w:val="212121"/>
          <w:shd w:val="clear" w:color="auto" w:fill="FFFFFF"/>
          <w:lang w:val="en-US" w:eastAsia="es-MX"/>
        </w:rPr>
        <w:t>Maxillofac</w:t>
      </w:r>
      <w:proofErr w:type="spellEnd"/>
      <w:r w:rsidRPr="0080088A">
        <w:rPr>
          <w:color w:val="212121"/>
          <w:shd w:val="clear" w:color="auto" w:fill="FFFFFF"/>
          <w:lang w:val="en-US" w:eastAsia="es-MX"/>
        </w:rPr>
        <w:t xml:space="preserve"> Surg. 2016; 74(7): 1344-53. DOI: 10.1016/j.joms.2016.03.011</w:t>
      </w:r>
    </w:p>
    <w:p w14:paraId="34113B9A" w14:textId="77777777" w:rsidR="0080088A" w:rsidRPr="0080088A" w:rsidRDefault="0080088A" w:rsidP="0080088A">
      <w:pPr>
        <w:suppressAutoHyphens/>
        <w:spacing w:line="360" w:lineRule="auto"/>
        <w:rPr>
          <w:color w:val="212121"/>
          <w:shd w:val="clear" w:color="auto" w:fill="FFFFFF"/>
          <w:lang w:val="en-US" w:eastAsia="es-MX"/>
        </w:rPr>
      </w:pPr>
      <w:r w:rsidRPr="0080088A">
        <w:rPr>
          <w:color w:val="212121"/>
          <w:shd w:val="clear" w:color="auto" w:fill="FFFFFF"/>
          <w:lang w:val="en-US" w:eastAsia="es-MX"/>
        </w:rPr>
        <w:t xml:space="preserve">18. Das Neves FD, </w:t>
      </w:r>
      <w:proofErr w:type="spellStart"/>
      <w:r w:rsidRPr="0080088A">
        <w:rPr>
          <w:color w:val="212121"/>
          <w:shd w:val="clear" w:color="auto" w:fill="FFFFFF"/>
          <w:lang w:val="en-US" w:eastAsia="es-MX"/>
        </w:rPr>
        <w:t>Fones</w:t>
      </w:r>
      <w:proofErr w:type="spellEnd"/>
      <w:r w:rsidRPr="0080088A">
        <w:rPr>
          <w:color w:val="212121"/>
          <w:shd w:val="clear" w:color="auto" w:fill="FFFFFF"/>
          <w:lang w:val="en-US" w:eastAsia="es-MX"/>
        </w:rPr>
        <w:t xml:space="preserve"> D, </w:t>
      </w:r>
      <w:proofErr w:type="spellStart"/>
      <w:r w:rsidRPr="0080088A">
        <w:rPr>
          <w:color w:val="212121"/>
          <w:shd w:val="clear" w:color="auto" w:fill="FFFFFF"/>
          <w:lang w:val="en-US" w:eastAsia="es-MX"/>
        </w:rPr>
        <w:t>Bernardes</w:t>
      </w:r>
      <w:proofErr w:type="spellEnd"/>
      <w:r w:rsidRPr="0080088A">
        <w:rPr>
          <w:color w:val="212121"/>
          <w:shd w:val="clear" w:color="auto" w:fill="FFFFFF"/>
          <w:lang w:val="en-US" w:eastAsia="es-MX"/>
        </w:rPr>
        <w:t xml:space="preserve"> SR, do Prado CJ, Neto AJ. Short implants--an analysis of longitudinal studies. Int J Oral </w:t>
      </w:r>
      <w:proofErr w:type="spellStart"/>
      <w:r w:rsidRPr="0080088A">
        <w:rPr>
          <w:color w:val="212121"/>
          <w:shd w:val="clear" w:color="auto" w:fill="FFFFFF"/>
          <w:lang w:val="en-US" w:eastAsia="es-MX"/>
        </w:rPr>
        <w:t>Maxillofac</w:t>
      </w:r>
      <w:proofErr w:type="spellEnd"/>
      <w:r w:rsidRPr="0080088A">
        <w:rPr>
          <w:color w:val="212121"/>
          <w:shd w:val="clear" w:color="auto" w:fill="FFFFFF"/>
          <w:lang w:val="en-US" w:eastAsia="es-MX"/>
        </w:rPr>
        <w:t xml:space="preserve"> Implants. 2006; 21(1): 86-93.</w:t>
      </w:r>
    </w:p>
    <w:p w14:paraId="142844A9" w14:textId="77777777" w:rsidR="0080088A" w:rsidRPr="0080088A" w:rsidRDefault="0080088A" w:rsidP="0080088A">
      <w:pPr>
        <w:suppressAutoHyphens/>
        <w:spacing w:line="360" w:lineRule="auto"/>
        <w:rPr>
          <w:color w:val="212121"/>
          <w:shd w:val="clear" w:color="auto" w:fill="FFFFFF"/>
          <w:lang w:val="es-CU" w:eastAsia="es-MX"/>
        </w:rPr>
      </w:pPr>
      <w:r w:rsidRPr="0080088A">
        <w:rPr>
          <w:color w:val="212121"/>
          <w:shd w:val="clear" w:color="auto" w:fill="FFFFFF"/>
          <w:lang w:val="en-US" w:eastAsia="es-MX"/>
        </w:rPr>
        <w:t xml:space="preserve">19. Rossi F, Ricci E, Marchetti C, Lang NP, Botticelli D. Early loading of single crowns supported by 6-mm-long implants with a moderately rough surface: a prospective 2-year follow-up cohort study. </w:t>
      </w:r>
      <w:r w:rsidRPr="0080088A">
        <w:rPr>
          <w:color w:val="212121"/>
          <w:shd w:val="clear" w:color="auto" w:fill="FFFFFF"/>
          <w:lang w:val="es-CU" w:eastAsia="es-MX"/>
        </w:rPr>
        <w:t xml:space="preserve">Clin Oral </w:t>
      </w:r>
      <w:proofErr w:type="spellStart"/>
      <w:r w:rsidRPr="0080088A">
        <w:rPr>
          <w:color w:val="212121"/>
          <w:shd w:val="clear" w:color="auto" w:fill="FFFFFF"/>
          <w:lang w:val="es-CU" w:eastAsia="es-MX"/>
        </w:rPr>
        <w:t>Implants</w:t>
      </w:r>
      <w:proofErr w:type="spellEnd"/>
      <w:r w:rsidRPr="0080088A">
        <w:rPr>
          <w:color w:val="212121"/>
          <w:shd w:val="clear" w:color="auto" w:fill="FFFFFF"/>
          <w:lang w:val="es-CU" w:eastAsia="es-MX"/>
        </w:rPr>
        <w:t xml:space="preserve"> Res. 2010; 21(9): 937–43. DOI: 10.1111/j.1600-0501.</w:t>
      </w:r>
      <w:proofErr w:type="gramStart"/>
      <w:r w:rsidRPr="0080088A">
        <w:rPr>
          <w:color w:val="212121"/>
          <w:shd w:val="clear" w:color="auto" w:fill="FFFFFF"/>
          <w:lang w:val="es-CU" w:eastAsia="es-MX"/>
        </w:rPr>
        <w:t>2010.01942.x</w:t>
      </w:r>
      <w:proofErr w:type="gramEnd"/>
    </w:p>
    <w:p w14:paraId="67DEC655" w14:textId="77777777" w:rsidR="0080088A" w:rsidRPr="0080088A" w:rsidRDefault="0080088A" w:rsidP="0080088A">
      <w:pPr>
        <w:suppressAutoHyphens/>
        <w:spacing w:line="360" w:lineRule="auto"/>
        <w:rPr>
          <w:color w:val="212121"/>
          <w:shd w:val="clear" w:color="auto" w:fill="FFFFFF"/>
          <w:lang w:val="en-US" w:eastAsia="es-MX"/>
        </w:rPr>
      </w:pPr>
      <w:r w:rsidRPr="0080088A">
        <w:rPr>
          <w:color w:val="212121"/>
          <w:shd w:val="clear" w:color="auto" w:fill="FFFFFF"/>
          <w:lang w:val="es-CU" w:eastAsia="es-MX"/>
        </w:rPr>
        <w:t xml:space="preserve">20. Queiroz TP, Aguiar SC, </w:t>
      </w:r>
      <w:proofErr w:type="spellStart"/>
      <w:r w:rsidRPr="0080088A">
        <w:rPr>
          <w:color w:val="212121"/>
          <w:shd w:val="clear" w:color="auto" w:fill="FFFFFF"/>
          <w:lang w:val="es-CU" w:eastAsia="es-MX"/>
        </w:rPr>
        <w:t>Margonar</w:t>
      </w:r>
      <w:proofErr w:type="spellEnd"/>
      <w:r w:rsidRPr="0080088A">
        <w:rPr>
          <w:color w:val="212121"/>
          <w:shd w:val="clear" w:color="auto" w:fill="FFFFFF"/>
          <w:lang w:val="es-CU" w:eastAsia="es-MX"/>
        </w:rPr>
        <w:t xml:space="preserve"> R, de Souza </w:t>
      </w:r>
      <w:proofErr w:type="spellStart"/>
      <w:r w:rsidRPr="0080088A">
        <w:rPr>
          <w:color w:val="212121"/>
          <w:shd w:val="clear" w:color="auto" w:fill="FFFFFF"/>
          <w:lang w:val="es-CU" w:eastAsia="es-MX"/>
        </w:rPr>
        <w:t>Faloni</w:t>
      </w:r>
      <w:proofErr w:type="spellEnd"/>
      <w:r w:rsidRPr="0080088A">
        <w:rPr>
          <w:color w:val="212121"/>
          <w:shd w:val="clear" w:color="auto" w:fill="FFFFFF"/>
          <w:lang w:val="es-CU" w:eastAsia="es-MX"/>
        </w:rPr>
        <w:t xml:space="preserve"> AP, </w:t>
      </w:r>
      <w:proofErr w:type="spellStart"/>
      <w:r w:rsidRPr="0080088A">
        <w:rPr>
          <w:color w:val="212121"/>
          <w:shd w:val="clear" w:color="auto" w:fill="FFFFFF"/>
          <w:lang w:val="es-CU" w:eastAsia="es-MX"/>
        </w:rPr>
        <w:t>Gruber</w:t>
      </w:r>
      <w:proofErr w:type="spellEnd"/>
      <w:r w:rsidRPr="0080088A">
        <w:rPr>
          <w:color w:val="212121"/>
          <w:shd w:val="clear" w:color="auto" w:fill="FFFFFF"/>
          <w:lang w:val="es-CU" w:eastAsia="es-MX"/>
        </w:rPr>
        <w:t xml:space="preserve"> R, </w:t>
      </w:r>
      <w:proofErr w:type="spellStart"/>
      <w:r w:rsidRPr="0080088A">
        <w:rPr>
          <w:color w:val="212121"/>
          <w:shd w:val="clear" w:color="auto" w:fill="FFFFFF"/>
          <w:lang w:val="es-CU" w:eastAsia="es-MX"/>
        </w:rPr>
        <w:t>Luvizuto</w:t>
      </w:r>
      <w:proofErr w:type="spellEnd"/>
      <w:r w:rsidRPr="0080088A">
        <w:rPr>
          <w:color w:val="212121"/>
          <w:shd w:val="clear" w:color="auto" w:fill="FFFFFF"/>
          <w:lang w:val="es-CU" w:eastAsia="es-MX"/>
        </w:rPr>
        <w:t xml:space="preserve"> ER. </w:t>
      </w:r>
      <w:r w:rsidRPr="0080088A">
        <w:rPr>
          <w:color w:val="212121"/>
          <w:shd w:val="clear" w:color="auto" w:fill="FFFFFF"/>
          <w:lang w:val="en-US" w:eastAsia="es-MX"/>
        </w:rPr>
        <w:t>Clinical study on survival rate of short implants placed in the posterior mandibular region: resonance frequency analysis. Clin Oral Implants Res. 2015; 26(9): 1036–42. DOI: 10.1111/clr.12394</w:t>
      </w:r>
    </w:p>
    <w:p w14:paraId="686B9AE5" w14:textId="77777777" w:rsidR="0080088A" w:rsidRPr="0080088A" w:rsidRDefault="0080088A" w:rsidP="0080088A">
      <w:pPr>
        <w:suppressAutoHyphens/>
        <w:spacing w:line="360" w:lineRule="auto"/>
        <w:rPr>
          <w:color w:val="212121"/>
          <w:shd w:val="clear" w:color="auto" w:fill="FFFFFF"/>
          <w:lang w:val="en-US" w:eastAsia="es-MX"/>
        </w:rPr>
      </w:pPr>
    </w:p>
    <w:p w14:paraId="0322323D" w14:textId="77777777" w:rsidR="0080088A" w:rsidRPr="0080088A" w:rsidRDefault="0080088A" w:rsidP="0080088A">
      <w:pPr>
        <w:suppressAutoHyphens/>
        <w:spacing w:line="360" w:lineRule="auto"/>
        <w:rPr>
          <w:color w:val="212121"/>
          <w:shd w:val="clear" w:color="auto" w:fill="FFFFFF"/>
          <w:lang w:val="en-US" w:eastAsia="es-MX"/>
        </w:rPr>
      </w:pPr>
    </w:p>
    <w:p w14:paraId="51EE08FA" w14:textId="77777777" w:rsidR="0080088A" w:rsidRPr="0080088A" w:rsidRDefault="0080088A" w:rsidP="0080088A">
      <w:pPr>
        <w:suppressAutoHyphens/>
        <w:spacing w:line="360" w:lineRule="auto"/>
        <w:jc w:val="center"/>
        <w:rPr>
          <w:b/>
          <w:bCs/>
          <w:color w:val="000000"/>
          <w:lang w:val="en-US" w:eastAsia="en-US"/>
        </w:rPr>
      </w:pPr>
      <w:r w:rsidRPr="0080088A">
        <w:rPr>
          <w:b/>
          <w:bCs/>
          <w:color w:val="000000"/>
          <w:lang w:val="en-US" w:eastAsia="en-US"/>
        </w:rPr>
        <w:t>Conflict of interest</w:t>
      </w:r>
    </w:p>
    <w:p w14:paraId="33DB4F37" w14:textId="77777777" w:rsidR="0080088A" w:rsidRPr="0080088A" w:rsidRDefault="0080088A" w:rsidP="0080088A">
      <w:pPr>
        <w:suppressAutoHyphens/>
        <w:spacing w:line="360" w:lineRule="auto"/>
        <w:rPr>
          <w:lang w:val="en-US" w:eastAsia="es-MX"/>
        </w:rPr>
      </w:pPr>
      <w:r w:rsidRPr="0080088A">
        <w:rPr>
          <w:color w:val="000000"/>
          <w:lang w:val="en-US" w:eastAsia="en-US"/>
        </w:rPr>
        <w:t xml:space="preserve"> </w:t>
      </w:r>
      <w:r w:rsidRPr="0080088A">
        <w:rPr>
          <w:color w:val="000000"/>
          <w:lang w:val="en-US" w:eastAsia="en-US"/>
        </w:rPr>
        <w:t>The authors declare that there are no conflicts of interest.</w:t>
      </w:r>
      <w:r w:rsidRPr="0080088A" w:rsidDel="00DF3C10">
        <w:rPr>
          <w:color w:val="000000"/>
          <w:lang w:val="en-US" w:eastAsia="en-US"/>
        </w:rPr>
        <w:t xml:space="preserve"> </w:t>
      </w:r>
    </w:p>
    <w:p w14:paraId="7F7ACD24" w14:textId="77777777" w:rsidR="0080088A" w:rsidRPr="0080088A" w:rsidRDefault="0080088A" w:rsidP="0080088A">
      <w:pPr>
        <w:suppressAutoHyphens/>
        <w:spacing w:line="360" w:lineRule="auto"/>
        <w:jc w:val="center"/>
        <w:rPr>
          <w:b/>
          <w:bCs/>
          <w:color w:val="000000"/>
          <w:lang w:val="en-US" w:eastAsia="en-US"/>
        </w:rPr>
      </w:pPr>
    </w:p>
    <w:p w14:paraId="251CC7F4" w14:textId="77777777" w:rsidR="0080088A" w:rsidRPr="0080088A" w:rsidRDefault="0080088A" w:rsidP="0080088A">
      <w:pPr>
        <w:suppressAutoHyphens/>
        <w:spacing w:line="360" w:lineRule="auto"/>
        <w:jc w:val="center"/>
        <w:rPr>
          <w:color w:val="000000"/>
          <w:lang w:val="es-CU" w:eastAsia="en-US"/>
        </w:rPr>
      </w:pPr>
      <w:proofErr w:type="spellStart"/>
      <w:r w:rsidRPr="0080088A">
        <w:rPr>
          <w:b/>
          <w:bCs/>
          <w:color w:val="000000"/>
          <w:lang w:val="es-CU" w:eastAsia="en-US"/>
        </w:rPr>
        <w:t>Authorship</w:t>
      </w:r>
      <w:proofErr w:type="spellEnd"/>
      <w:r w:rsidRPr="0080088A">
        <w:rPr>
          <w:b/>
          <w:bCs/>
          <w:color w:val="000000"/>
          <w:lang w:val="es-CU" w:eastAsia="en-US"/>
        </w:rPr>
        <w:t xml:space="preserve"> </w:t>
      </w:r>
      <w:proofErr w:type="spellStart"/>
      <w:r w:rsidRPr="0080088A">
        <w:rPr>
          <w:b/>
          <w:bCs/>
          <w:color w:val="000000"/>
          <w:lang w:val="es-CU" w:eastAsia="en-US"/>
        </w:rPr>
        <w:t>contribution</w:t>
      </w:r>
      <w:proofErr w:type="spellEnd"/>
    </w:p>
    <w:p w14:paraId="5C2FA871" w14:textId="77777777" w:rsidR="0080088A" w:rsidRPr="0080088A" w:rsidRDefault="0080088A" w:rsidP="0080088A">
      <w:pPr>
        <w:suppressAutoHyphens/>
        <w:spacing w:line="360" w:lineRule="auto"/>
        <w:rPr>
          <w:rFonts w:eastAsia="Calibri"/>
          <w:i/>
          <w:iCs/>
          <w:lang w:val="es-CL" w:eastAsia="en-US"/>
        </w:rPr>
      </w:pPr>
      <w:proofErr w:type="spellStart"/>
      <w:r w:rsidRPr="0080088A">
        <w:rPr>
          <w:rFonts w:eastAsia="Calibri"/>
          <w:lang w:val="es-CL" w:eastAsia="en-US"/>
        </w:rPr>
        <w:t>Conceptualization</w:t>
      </w:r>
      <w:proofErr w:type="spellEnd"/>
      <w:r w:rsidRPr="0080088A">
        <w:rPr>
          <w:rFonts w:eastAsia="Calibri"/>
          <w:lang w:val="es-CL" w:eastAsia="en-US"/>
        </w:rPr>
        <w:t xml:space="preserve">: </w:t>
      </w:r>
      <w:r w:rsidRPr="0080088A">
        <w:rPr>
          <w:rFonts w:eastAsia="Calibri"/>
          <w:i/>
          <w:iCs/>
          <w:lang w:val="es-CL" w:eastAsia="en-US"/>
        </w:rPr>
        <w:t xml:space="preserve">Mauricio Toro, Javiera </w:t>
      </w:r>
      <w:proofErr w:type="spellStart"/>
      <w:r w:rsidRPr="0080088A">
        <w:rPr>
          <w:rFonts w:eastAsia="Calibri"/>
          <w:i/>
          <w:iCs/>
          <w:lang w:val="es-CL" w:eastAsia="en-US"/>
        </w:rPr>
        <w:t>Leitao</w:t>
      </w:r>
      <w:proofErr w:type="spellEnd"/>
      <w:r w:rsidRPr="0080088A">
        <w:rPr>
          <w:rFonts w:eastAsia="Calibri"/>
          <w:i/>
          <w:iCs/>
          <w:lang w:val="es-CL" w:eastAsia="en-US"/>
        </w:rPr>
        <w:t>.</w:t>
      </w:r>
    </w:p>
    <w:p w14:paraId="2B5DD7DC" w14:textId="77777777" w:rsidR="0080088A" w:rsidRPr="0080088A" w:rsidRDefault="0080088A" w:rsidP="0080088A">
      <w:pPr>
        <w:suppressAutoHyphens/>
        <w:spacing w:line="360" w:lineRule="auto"/>
        <w:rPr>
          <w:rFonts w:eastAsia="Calibri"/>
          <w:i/>
          <w:iCs/>
          <w:lang w:val="es-CL" w:eastAsia="en-US"/>
        </w:rPr>
      </w:pPr>
      <w:r w:rsidRPr="0080088A">
        <w:rPr>
          <w:rFonts w:eastAsia="Calibri"/>
          <w:lang w:val="es-CL" w:eastAsia="en-US"/>
        </w:rPr>
        <w:t xml:space="preserve">Data </w:t>
      </w:r>
      <w:proofErr w:type="spellStart"/>
      <w:r w:rsidRPr="0080088A">
        <w:rPr>
          <w:rFonts w:eastAsia="Calibri"/>
          <w:lang w:val="es-CL" w:eastAsia="en-US"/>
        </w:rPr>
        <w:t>curation</w:t>
      </w:r>
      <w:proofErr w:type="spellEnd"/>
      <w:r w:rsidRPr="0080088A">
        <w:rPr>
          <w:rFonts w:eastAsia="Calibri"/>
          <w:lang w:val="es-CL" w:eastAsia="en-US"/>
        </w:rPr>
        <w:t xml:space="preserve">: </w:t>
      </w:r>
      <w:r w:rsidRPr="0080088A">
        <w:rPr>
          <w:rFonts w:eastAsia="Calibri"/>
          <w:i/>
          <w:iCs/>
          <w:lang w:val="es-CL" w:eastAsia="en-US"/>
        </w:rPr>
        <w:t xml:space="preserve">Mauricio Toro, Javiera </w:t>
      </w:r>
      <w:proofErr w:type="spellStart"/>
      <w:r w:rsidRPr="0080088A">
        <w:rPr>
          <w:rFonts w:eastAsia="Calibri"/>
          <w:i/>
          <w:iCs/>
          <w:lang w:val="es-CL" w:eastAsia="en-US"/>
        </w:rPr>
        <w:t>Leitao</w:t>
      </w:r>
      <w:proofErr w:type="spellEnd"/>
      <w:r w:rsidRPr="0080088A">
        <w:rPr>
          <w:rFonts w:eastAsia="Calibri"/>
          <w:i/>
          <w:iCs/>
          <w:lang w:val="es-CL" w:eastAsia="en-US"/>
        </w:rPr>
        <w:t>.</w:t>
      </w:r>
    </w:p>
    <w:p w14:paraId="4A2EE079" w14:textId="77777777" w:rsidR="0080088A" w:rsidRPr="0080088A" w:rsidRDefault="0080088A" w:rsidP="0080088A">
      <w:pPr>
        <w:suppressAutoHyphens/>
        <w:spacing w:line="360" w:lineRule="auto"/>
        <w:rPr>
          <w:rFonts w:eastAsia="Calibri"/>
          <w:i/>
          <w:iCs/>
          <w:lang w:val="es-CL" w:eastAsia="en-US"/>
        </w:rPr>
      </w:pPr>
      <w:r w:rsidRPr="0080088A">
        <w:rPr>
          <w:rFonts w:eastAsia="Calibri"/>
          <w:lang w:val="es-CL" w:eastAsia="en-US"/>
        </w:rPr>
        <w:lastRenderedPageBreak/>
        <w:t xml:space="preserve">Formal </w:t>
      </w:r>
      <w:proofErr w:type="spellStart"/>
      <w:r w:rsidRPr="0080088A">
        <w:rPr>
          <w:rFonts w:eastAsia="Calibri"/>
          <w:lang w:val="es-CL" w:eastAsia="en-US"/>
        </w:rPr>
        <w:t>analysis</w:t>
      </w:r>
      <w:proofErr w:type="spellEnd"/>
      <w:r w:rsidRPr="0080088A">
        <w:rPr>
          <w:rFonts w:eastAsia="Calibri"/>
          <w:lang w:val="es-CL" w:eastAsia="en-US"/>
        </w:rPr>
        <w:t xml:space="preserve">: </w:t>
      </w:r>
      <w:r w:rsidRPr="0080088A">
        <w:rPr>
          <w:rFonts w:eastAsia="Calibri"/>
          <w:i/>
          <w:iCs/>
          <w:lang w:val="es-CL" w:eastAsia="en-US"/>
        </w:rPr>
        <w:t xml:space="preserve">Mauricio Toro, Javiera </w:t>
      </w:r>
      <w:proofErr w:type="spellStart"/>
      <w:r w:rsidRPr="0080088A">
        <w:rPr>
          <w:rFonts w:eastAsia="Calibri"/>
          <w:i/>
          <w:iCs/>
          <w:lang w:val="es-CL" w:eastAsia="en-US"/>
        </w:rPr>
        <w:t>Leitao</w:t>
      </w:r>
      <w:proofErr w:type="spellEnd"/>
      <w:r w:rsidRPr="0080088A">
        <w:rPr>
          <w:rFonts w:eastAsia="Calibri"/>
          <w:i/>
          <w:iCs/>
          <w:lang w:val="es-CL" w:eastAsia="en-US"/>
        </w:rPr>
        <w:t>, Tomás Yoma, Alain Chaple, Eduardo Fernández.</w:t>
      </w:r>
    </w:p>
    <w:p w14:paraId="03665BBA" w14:textId="77777777" w:rsidR="0080088A" w:rsidRPr="0080088A" w:rsidRDefault="0080088A" w:rsidP="0080088A">
      <w:pPr>
        <w:suppressAutoHyphens/>
        <w:spacing w:line="360" w:lineRule="auto"/>
        <w:rPr>
          <w:rFonts w:eastAsia="Calibri"/>
          <w:lang w:val="es-CL" w:eastAsia="en-US"/>
        </w:rPr>
      </w:pPr>
      <w:proofErr w:type="spellStart"/>
      <w:r w:rsidRPr="0080088A">
        <w:rPr>
          <w:rFonts w:eastAsia="Calibri"/>
          <w:lang w:val="es-CL" w:eastAsia="en-US"/>
        </w:rPr>
        <w:t>Research</w:t>
      </w:r>
      <w:proofErr w:type="spellEnd"/>
      <w:r w:rsidRPr="0080088A">
        <w:rPr>
          <w:rFonts w:eastAsia="Calibri"/>
          <w:lang w:val="es-CL" w:eastAsia="en-US"/>
        </w:rPr>
        <w:t xml:space="preserve">: </w:t>
      </w:r>
      <w:r w:rsidRPr="0080088A">
        <w:rPr>
          <w:rFonts w:eastAsia="Calibri"/>
          <w:i/>
          <w:iCs/>
          <w:lang w:val="es-CL" w:eastAsia="en-US"/>
        </w:rPr>
        <w:t xml:space="preserve">Mauricio Toro, Javiera </w:t>
      </w:r>
      <w:proofErr w:type="spellStart"/>
      <w:r w:rsidRPr="0080088A">
        <w:rPr>
          <w:rFonts w:eastAsia="Calibri"/>
          <w:i/>
          <w:iCs/>
          <w:lang w:val="es-CL" w:eastAsia="en-US"/>
        </w:rPr>
        <w:t>Leitao</w:t>
      </w:r>
      <w:proofErr w:type="spellEnd"/>
      <w:r w:rsidRPr="0080088A">
        <w:rPr>
          <w:rFonts w:eastAsia="Calibri"/>
          <w:i/>
          <w:iCs/>
          <w:lang w:val="es-CL" w:eastAsia="en-US"/>
        </w:rPr>
        <w:t>, Tomás Yoma, Alain Chaple, Eduardo Fernández.</w:t>
      </w:r>
    </w:p>
    <w:p w14:paraId="08D992EA" w14:textId="77777777" w:rsidR="0080088A" w:rsidRPr="0080088A" w:rsidRDefault="0080088A" w:rsidP="0080088A">
      <w:pPr>
        <w:suppressAutoHyphens/>
        <w:spacing w:line="360" w:lineRule="auto"/>
        <w:rPr>
          <w:rFonts w:eastAsia="Calibri"/>
          <w:lang w:val="es-CL" w:eastAsia="en-US"/>
        </w:rPr>
      </w:pPr>
      <w:proofErr w:type="spellStart"/>
      <w:r w:rsidRPr="0080088A">
        <w:rPr>
          <w:rFonts w:eastAsia="Calibri"/>
          <w:lang w:val="es-CL" w:eastAsia="en-US"/>
        </w:rPr>
        <w:t>Methodology</w:t>
      </w:r>
      <w:proofErr w:type="spellEnd"/>
      <w:r w:rsidRPr="0080088A">
        <w:rPr>
          <w:rFonts w:eastAsia="Calibri"/>
          <w:lang w:val="es-CL" w:eastAsia="en-US"/>
        </w:rPr>
        <w:t xml:space="preserve">: </w:t>
      </w:r>
      <w:r w:rsidRPr="0080088A">
        <w:rPr>
          <w:rFonts w:eastAsia="Calibri"/>
          <w:i/>
          <w:iCs/>
          <w:lang w:val="es-CL" w:eastAsia="en-US"/>
        </w:rPr>
        <w:t xml:space="preserve">Mauricio Toro, Javiera </w:t>
      </w:r>
      <w:proofErr w:type="spellStart"/>
      <w:r w:rsidRPr="0080088A">
        <w:rPr>
          <w:rFonts w:eastAsia="Calibri"/>
          <w:i/>
          <w:iCs/>
          <w:lang w:val="es-CL" w:eastAsia="en-US"/>
        </w:rPr>
        <w:t>Leitao</w:t>
      </w:r>
      <w:proofErr w:type="spellEnd"/>
      <w:r w:rsidRPr="0080088A">
        <w:rPr>
          <w:rFonts w:eastAsia="Calibri"/>
          <w:i/>
          <w:iCs/>
          <w:lang w:val="es-CL" w:eastAsia="en-US"/>
        </w:rPr>
        <w:t>, Tomás Yoma, Alain Chaple, Eduardo Fernández.</w:t>
      </w:r>
    </w:p>
    <w:p w14:paraId="1DE5D228" w14:textId="77777777" w:rsidR="0080088A" w:rsidRPr="0080088A" w:rsidRDefault="0080088A" w:rsidP="0080088A">
      <w:pPr>
        <w:suppressAutoHyphens/>
        <w:spacing w:line="360" w:lineRule="auto"/>
        <w:rPr>
          <w:rFonts w:eastAsia="Calibri"/>
          <w:i/>
          <w:iCs/>
          <w:lang w:val="es-CL" w:eastAsia="en-US"/>
        </w:rPr>
      </w:pPr>
      <w:r w:rsidRPr="0080088A">
        <w:rPr>
          <w:rFonts w:eastAsia="Calibri"/>
          <w:lang w:val="es-CL" w:eastAsia="en-US"/>
        </w:rPr>
        <w:t xml:space="preserve">Project </w:t>
      </w:r>
      <w:proofErr w:type="spellStart"/>
      <w:r w:rsidRPr="0080088A">
        <w:rPr>
          <w:rFonts w:eastAsia="Calibri"/>
          <w:lang w:val="es-CL" w:eastAsia="en-US"/>
        </w:rPr>
        <w:t>administration</w:t>
      </w:r>
      <w:proofErr w:type="spellEnd"/>
      <w:r w:rsidRPr="0080088A">
        <w:rPr>
          <w:rFonts w:eastAsia="Calibri"/>
          <w:lang w:val="es-CL" w:eastAsia="en-US"/>
        </w:rPr>
        <w:t xml:space="preserve">: </w:t>
      </w:r>
      <w:r w:rsidRPr="0080088A">
        <w:rPr>
          <w:rFonts w:eastAsia="Calibri"/>
          <w:i/>
          <w:iCs/>
          <w:lang w:val="es-CL" w:eastAsia="en-US"/>
        </w:rPr>
        <w:t xml:space="preserve">Mauricio Toro, Javiera </w:t>
      </w:r>
      <w:proofErr w:type="spellStart"/>
      <w:r w:rsidRPr="0080088A">
        <w:rPr>
          <w:rFonts w:eastAsia="Calibri"/>
          <w:i/>
          <w:iCs/>
          <w:lang w:val="es-CL" w:eastAsia="en-US"/>
        </w:rPr>
        <w:t>Leitao</w:t>
      </w:r>
      <w:proofErr w:type="spellEnd"/>
      <w:r w:rsidRPr="0080088A">
        <w:rPr>
          <w:rFonts w:eastAsia="Calibri"/>
          <w:i/>
          <w:iCs/>
          <w:lang w:val="es-CL" w:eastAsia="en-US"/>
        </w:rPr>
        <w:t>.</w:t>
      </w:r>
    </w:p>
    <w:p w14:paraId="14BC1662" w14:textId="77777777" w:rsidR="0080088A" w:rsidRPr="0080088A" w:rsidRDefault="0080088A" w:rsidP="0080088A">
      <w:pPr>
        <w:suppressAutoHyphens/>
        <w:spacing w:line="360" w:lineRule="auto"/>
        <w:rPr>
          <w:rFonts w:eastAsia="Calibri"/>
          <w:i/>
          <w:iCs/>
          <w:lang w:val="es-CL" w:eastAsia="en-US"/>
        </w:rPr>
      </w:pPr>
      <w:proofErr w:type="spellStart"/>
      <w:r w:rsidRPr="0080088A">
        <w:rPr>
          <w:rFonts w:eastAsia="Calibri"/>
          <w:lang w:val="es-CL" w:eastAsia="en-US"/>
        </w:rPr>
        <w:t>Resources</w:t>
      </w:r>
      <w:proofErr w:type="spellEnd"/>
      <w:r w:rsidRPr="0080088A">
        <w:rPr>
          <w:rFonts w:eastAsia="Calibri"/>
          <w:lang w:val="es-CL" w:eastAsia="en-US"/>
        </w:rPr>
        <w:t xml:space="preserve">: </w:t>
      </w:r>
      <w:r w:rsidRPr="0080088A">
        <w:rPr>
          <w:rFonts w:eastAsia="Calibri"/>
          <w:i/>
          <w:iCs/>
          <w:lang w:val="es-CL" w:eastAsia="en-US"/>
        </w:rPr>
        <w:t xml:space="preserve">Mauricio Toro, Javiera </w:t>
      </w:r>
      <w:proofErr w:type="spellStart"/>
      <w:r w:rsidRPr="0080088A">
        <w:rPr>
          <w:rFonts w:eastAsia="Calibri"/>
          <w:i/>
          <w:iCs/>
          <w:lang w:val="es-CL" w:eastAsia="en-US"/>
        </w:rPr>
        <w:t>Leitao</w:t>
      </w:r>
      <w:proofErr w:type="spellEnd"/>
      <w:r w:rsidRPr="0080088A">
        <w:rPr>
          <w:rFonts w:eastAsia="Calibri"/>
          <w:i/>
          <w:iCs/>
          <w:lang w:val="es-CL" w:eastAsia="en-US"/>
        </w:rPr>
        <w:t>.</w:t>
      </w:r>
    </w:p>
    <w:p w14:paraId="0EB37CE1" w14:textId="77777777" w:rsidR="0080088A" w:rsidRPr="0080088A" w:rsidRDefault="0080088A" w:rsidP="0080088A">
      <w:pPr>
        <w:suppressAutoHyphens/>
        <w:spacing w:line="360" w:lineRule="auto"/>
        <w:rPr>
          <w:rFonts w:eastAsia="Calibri"/>
          <w:lang w:val="es-CL" w:eastAsia="en-US"/>
        </w:rPr>
      </w:pPr>
      <w:proofErr w:type="spellStart"/>
      <w:r w:rsidRPr="0080088A">
        <w:rPr>
          <w:rFonts w:eastAsia="Calibri"/>
          <w:lang w:val="es-CL" w:eastAsia="en-US"/>
        </w:rPr>
        <w:t>Supervision</w:t>
      </w:r>
      <w:proofErr w:type="spellEnd"/>
      <w:r w:rsidRPr="0080088A">
        <w:rPr>
          <w:rFonts w:eastAsia="Calibri"/>
          <w:lang w:val="es-CL" w:eastAsia="en-US"/>
        </w:rPr>
        <w:t xml:space="preserve">: </w:t>
      </w:r>
      <w:r w:rsidRPr="0080088A">
        <w:rPr>
          <w:rFonts w:eastAsia="Calibri"/>
          <w:i/>
          <w:iCs/>
          <w:lang w:val="es-CL" w:eastAsia="en-US"/>
        </w:rPr>
        <w:t xml:space="preserve">Mauricio Toro, Javiera </w:t>
      </w:r>
      <w:proofErr w:type="spellStart"/>
      <w:r w:rsidRPr="0080088A">
        <w:rPr>
          <w:rFonts w:eastAsia="Calibri"/>
          <w:i/>
          <w:iCs/>
          <w:lang w:val="es-CL" w:eastAsia="en-US"/>
        </w:rPr>
        <w:t>Leitao</w:t>
      </w:r>
      <w:proofErr w:type="spellEnd"/>
      <w:r w:rsidRPr="0080088A">
        <w:rPr>
          <w:rFonts w:eastAsia="Calibri"/>
          <w:i/>
          <w:iCs/>
          <w:lang w:val="es-CL" w:eastAsia="en-US"/>
        </w:rPr>
        <w:t>, Tomás Yoma, Alain Chaple, Eduardo Fernández.</w:t>
      </w:r>
    </w:p>
    <w:p w14:paraId="16CA7DF6" w14:textId="77777777" w:rsidR="0080088A" w:rsidRPr="0080088A" w:rsidRDefault="0080088A" w:rsidP="0080088A">
      <w:pPr>
        <w:suppressAutoHyphens/>
        <w:spacing w:line="360" w:lineRule="auto"/>
        <w:rPr>
          <w:rFonts w:eastAsia="Calibri"/>
          <w:lang w:val="es-CL" w:eastAsia="en-US"/>
        </w:rPr>
      </w:pPr>
      <w:proofErr w:type="spellStart"/>
      <w:r w:rsidRPr="0080088A">
        <w:rPr>
          <w:rFonts w:eastAsia="Calibri"/>
          <w:lang w:val="es-CL" w:eastAsia="en-US"/>
        </w:rPr>
        <w:t>Display</w:t>
      </w:r>
      <w:proofErr w:type="spellEnd"/>
      <w:r w:rsidRPr="0080088A">
        <w:rPr>
          <w:rFonts w:eastAsia="Calibri"/>
          <w:lang w:val="es-CL" w:eastAsia="en-US"/>
        </w:rPr>
        <w:t xml:space="preserve">: </w:t>
      </w:r>
      <w:r w:rsidRPr="0080088A">
        <w:rPr>
          <w:rFonts w:eastAsia="Calibri"/>
          <w:i/>
          <w:iCs/>
          <w:lang w:val="es-CL" w:eastAsia="en-US"/>
        </w:rPr>
        <w:t xml:space="preserve">Mauricio Toro, Javiera </w:t>
      </w:r>
      <w:proofErr w:type="spellStart"/>
      <w:r w:rsidRPr="0080088A">
        <w:rPr>
          <w:rFonts w:eastAsia="Calibri"/>
          <w:i/>
          <w:iCs/>
          <w:lang w:val="es-CL" w:eastAsia="en-US"/>
        </w:rPr>
        <w:t>Leitao</w:t>
      </w:r>
      <w:proofErr w:type="spellEnd"/>
      <w:r w:rsidRPr="0080088A">
        <w:rPr>
          <w:rFonts w:eastAsia="Calibri"/>
          <w:i/>
          <w:iCs/>
          <w:lang w:val="es-CL" w:eastAsia="en-US"/>
        </w:rPr>
        <w:t>, Tomás Yoma, Alain Chaple, Eduardo Fernández.</w:t>
      </w:r>
    </w:p>
    <w:p w14:paraId="714EFF03" w14:textId="77777777" w:rsidR="0080088A" w:rsidRPr="0080088A" w:rsidRDefault="0080088A" w:rsidP="0080088A">
      <w:pPr>
        <w:suppressAutoHyphens/>
        <w:spacing w:line="360" w:lineRule="auto"/>
        <w:rPr>
          <w:rFonts w:eastAsia="Calibri"/>
          <w:lang w:val="es-CL" w:eastAsia="en-US"/>
        </w:rPr>
      </w:pPr>
      <w:proofErr w:type="spellStart"/>
      <w:r w:rsidRPr="0080088A">
        <w:rPr>
          <w:rFonts w:eastAsia="Calibri"/>
          <w:lang w:val="es-CL" w:eastAsia="en-US"/>
        </w:rPr>
        <w:t>Drafting</w:t>
      </w:r>
      <w:proofErr w:type="spellEnd"/>
      <w:r w:rsidRPr="0080088A">
        <w:rPr>
          <w:rFonts w:eastAsia="Calibri"/>
          <w:lang w:val="es-CL" w:eastAsia="en-US"/>
        </w:rPr>
        <w:t xml:space="preserve"> – original draft: </w:t>
      </w:r>
      <w:r w:rsidRPr="0080088A">
        <w:rPr>
          <w:rFonts w:eastAsia="Calibri"/>
          <w:i/>
          <w:iCs/>
          <w:lang w:val="es-CL" w:eastAsia="en-US"/>
        </w:rPr>
        <w:t xml:space="preserve">Mauricio Toro, Javiera </w:t>
      </w:r>
      <w:proofErr w:type="spellStart"/>
      <w:r w:rsidRPr="0080088A">
        <w:rPr>
          <w:rFonts w:eastAsia="Calibri"/>
          <w:i/>
          <w:iCs/>
          <w:lang w:val="es-CL" w:eastAsia="en-US"/>
        </w:rPr>
        <w:t>Leitao</w:t>
      </w:r>
      <w:proofErr w:type="spellEnd"/>
      <w:r w:rsidRPr="0080088A">
        <w:rPr>
          <w:rFonts w:eastAsia="Calibri"/>
          <w:i/>
          <w:iCs/>
          <w:lang w:val="es-CL" w:eastAsia="en-US"/>
        </w:rPr>
        <w:t>, Tomás Yoma, Alain Chaple, Eduardo Fernández.</w:t>
      </w:r>
    </w:p>
    <w:p w14:paraId="7E99FC37" w14:textId="77777777" w:rsidR="0080088A" w:rsidRPr="0080088A" w:rsidRDefault="0080088A" w:rsidP="0080088A">
      <w:pPr>
        <w:suppressAutoHyphens/>
        <w:spacing w:line="360" w:lineRule="auto"/>
        <w:rPr>
          <w:rFonts w:eastAsia="Calibri"/>
          <w:i/>
          <w:iCs/>
          <w:lang w:val="es-CL" w:eastAsia="en-US"/>
        </w:rPr>
      </w:pPr>
      <w:proofErr w:type="spellStart"/>
      <w:r w:rsidRPr="0080088A">
        <w:rPr>
          <w:rFonts w:eastAsia="Calibri"/>
          <w:lang w:val="es-CL" w:eastAsia="en-US"/>
        </w:rPr>
        <w:t>Drafting</w:t>
      </w:r>
      <w:proofErr w:type="spellEnd"/>
      <w:r w:rsidRPr="0080088A">
        <w:rPr>
          <w:rFonts w:eastAsia="Calibri"/>
          <w:lang w:val="es-CL" w:eastAsia="en-US"/>
        </w:rPr>
        <w:t xml:space="preserve"> – </w:t>
      </w:r>
      <w:proofErr w:type="spellStart"/>
      <w:r w:rsidRPr="0080088A">
        <w:rPr>
          <w:rFonts w:eastAsia="Calibri"/>
          <w:lang w:val="es-CL" w:eastAsia="en-US"/>
        </w:rPr>
        <w:t>revision</w:t>
      </w:r>
      <w:proofErr w:type="spellEnd"/>
      <w:r w:rsidRPr="0080088A">
        <w:rPr>
          <w:rFonts w:eastAsia="Calibri"/>
          <w:lang w:val="es-CL" w:eastAsia="en-US"/>
        </w:rPr>
        <w:t xml:space="preserve"> and </w:t>
      </w:r>
      <w:proofErr w:type="spellStart"/>
      <w:r w:rsidRPr="0080088A">
        <w:rPr>
          <w:rFonts w:eastAsia="Calibri"/>
          <w:lang w:val="es-CL" w:eastAsia="en-US"/>
        </w:rPr>
        <w:t>editing</w:t>
      </w:r>
      <w:proofErr w:type="spellEnd"/>
      <w:r w:rsidRPr="0080088A">
        <w:rPr>
          <w:rFonts w:eastAsia="Calibri"/>
          <w:lang w:val="es-CL" w:eastAsia="en-US"/>
        </w:rPr>
        <w:t xml:space="preserve">: </w:t>
      </w:r>
      <w:bookmarkStart w:id="16" w:name="_Hlk100658734"/>
      <w:r w:rsidRPr="0080088A">
        <w:rPr>
          <w:rFonts w:eastAsia="Calibri"/>
          <w:i/>
          <w:iCs/>
          <w:lang w:val="es-CL" w:eastAsia="en-US"/>
        </w:rPr>
        <w:t xml:space="preserve">Mauricio Toro, Javiera </w:t>
      </w:r>
      <w:proofErr w:type="spellStart"/>
      <w:r w:rsidRPr="0080088A">
        <w:rPr>
          <w:rFonts w:eastAsia="Calibri"/>
          <w:i/>
          <w:iCs/>
          <w:lang w:val="es-CL" w:eastAsia="en-US"/>
        </w:rPr>
        <w:t>Leitao</w:t>
      </w:r>
      <w:proofErr w:type="spellEnd"/>
      <w:r w:rsidRPr="0080088A">
        <w:rPr>
          <w:rFonts w:eastAsia="Calibri"/>
          <w:i/>
          <w:iCs/>
          <w:lang w:val="es-CL" w:eastAsia="en-US"/>
        </w:rPr>
        <w:t>, Tomás Yoma, Alain Chaple, Eduardo Fernández</w:t>
      </w:r>
      <w:bookmarkEnd w:id="16"/>
      <w:r w:rsidRPr="0080088A">
        <w:rPr>
          <w:rFonts w:eastAsia="Calibri"/>
          <w:i/>
          <w:iCs/>
          <w:lang w:val="es-CL" w:eastAsia="en-US"/>
        </w:rPr>
        <w:t>.</w:t>
      </w:r>
    </w:p>
    <w:p w14:paraId="6CE703D4" w14:textId="77777777" w:rsidR="00675476" w:rsidRPr="0055115D" w:rsidRDefault="00675476" w:rsidP="00EA1FEF">
      <w:pPr>
        <w:pStyle w:val="PDFRevista"/>
      </w:pPr>
    </w:p>
    <w:sectPr w:rsidR="00675476" w:rsidRPr="0055115D" w:rsidSect="00FD3DF8">
      <w:headerReference w:type="default" r:id="rId18"/>
      <w:footerReference w:type="even" r:id="rId19"/>
      <w:footerReference w:type="default" r:id="rId2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7CD32" w14:textId="77777777" w:rsidR="006533A1" w:rsidRDefault="006533A1">
      <w:r>
        <w:separator/>
      </w:r>
    </w:p>
  </w:endnote>
  <w:endnote w:type="continuationSeparator" w:id="0">
    <w:p w14:paraId="122A8286" w14:textId="77777777" w:rsidR="006533A1" w:rsidRDefault="0065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D823"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C0955A"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B5B5E" w14:textId="68217628" w:rsidR="000F3690" w:rsidRPr="00AE044C" w:rsidRDefault="0080088A"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E7A8AE0" wp14:editId="0CA319CD">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847EF2"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7EFD0B6C" w14:textId="77777777" w:rsidR="00675476" w:rsidRPr="00AE044C" w:rsidRDefault="006533A1" w:rsidP="00391509">
    <w:pPr>
      <w:pStyle w:val="Piedepgina"/>
      <w:ind w:right="360"/>
      <w:rPr>
        <w:sz w:val="22"/>
        <w:szCs w:val="22"/>
      </w:rPr>
    </w:pPr>
    <w:hyperlink r:id="rId1" w:history="1">
      <w:r w:rsidR="00391509" w:rsidRPr="00AE044C">
        <w:rPr>
          <w:rStyle w:val="Hipervnculo"/>
          <w:sz w:val="22"/>
          <w:szCs w:val="22"/>
        </w:rPr>
        <w:t>http://scielo.sld.cu</w:t>
      </w:r>
    </w:hyperlink>
  </w:p>
  <w:p w14:paraId="4CAC2C30" w14:textId="77777777" w:rsidR="00391509" w:rsidRPr="00AE044C" w:rsidRDefault="006533A1"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4281451" w14:textId="04378CCA"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80088A" w:rsidRPr="0080088A">
      <w:rPr>
        <w:rFonts w:ascii="Verdana" w:hAnsi="Verdana"/>
        <w:noProof/>
        <w:sz w:val="18"/>
        <w:szCs w:val="18"/>
        <w:lang w:val="en-US" w:eastAsia="en-US"/>
      </w:rPr>
      <w:drawing>
        <wp:inline distT="0" distB="0" distL="0" distR="0" wp14:anchorId="3E2EAB56" wp14:editId="0D97662D">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B1F97" w14:textId="77777777" w:rsidR="006533A1" w:rsidRDefault="006533A1">
      <w:r>
        <w:separator/>
      </w:r>
    </w:p>
  </w:footnote>
  <w:footnote w:type="continuationSeparator" w:id="0">
    <w:p w14:paraId="2A35A80B" w14:textId="77777777" w:rsidR="006533A1" w:rsidRDefault="00653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60C3" w14:textId="09C080B8" w:rsidR="00CC376A" w:rsidRPr="00AE044C" w:rsidRDefault="0080088A"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Pr>
        <w:noProof/>
      </w:rPr>
      <w:drawing>
        <wp:anchor distT="0" distB="0" distL="114300" distR="114300" simplePos="0" relativeHeight="251663360" behindDoc="1" locked="0" layoutInCell="1" allowOverlap="1" wp14:anchorId="1937D842" wp14:editId="0961D8A2">
          <wp:simplePos x="0" y="0"/>
          <wp:positionH relativeFrom="column">
            <wp:posOffset>2540</wp:posOffset>
          </wp:positionH>
          <wp:positionV relativeFrom="paragraph">
            <wp:posOffset>-598805</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 xml:space="preserve"> e02201917</w:t>
    </w:r>
  </w:p>
  <w:p w14:paraId="71A1EB7C" w14:textId="7DB72770" w:rsidR="00A477DE" w:rsidRDefault="0080088A">
    <w:r>
      <w:rPr>
        <w:noProof/>
      </w:rPr>
      <mc:AlternateContent>
        <mc:Choice Requires="wps">
          <w:drawing>
            <wp:anchor distT="0" distB="0" distL="114300" distR="114300" simplePos="0" relativeHeight="251654144" behindDoc="0" locked="0" layoutInCell="1" allowOverlap="1" wp14:anchorId="0E701FA4" wp14:editId="43F734F3">
              <wp:simplePos x="0" y="0"/>
              <wp:positionH relativeFrom="column">
                <wp:posOffset>635</wp:posOffset>
              </wp:positionH>
              <wp:positionV relativeFrom="paragraph">
                <wp:posOffset>42545</wp:posOffset>
              </wp:positionV>
              <wp:extent cx="6307455" cy="28575"/>
              <wp:effectExtent l="19050" t="19050" r="1714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2C50F6"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8A"/>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533A1"/>
    <w:rsid w:val="00675476"/>
    <w:rsid w:val="007C430F"/>
    <w:rsid w:val="007D2D0C"/>
    <w:rsid w:val="007D614D"/>
    <w:rsid w:val="0080088A"/>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0781F"/>
    <w:rsid w:val="00D85951"/>
    <w:rsid w:val="00E132BC"/>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412FFA"/>
  <w15:docId w15:val="{B5533517-F1D1-4384-AC88-8C4D7774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791-239X" TargetMode="External"/><Relationship Id="rId13" Type="http://schemas.openxmlformats.org/officeDocument/2006/relationships/hyperlink" Target="about:blan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http://www.revibiomedica.sld.cu/index.php/ibi/article/view/651/750" TargetMode="External"/><Relationship Id="rId2" Type="http://schemas.openxmlformats.org/officeDocument/2006/relationships/styles" Target="styles.xml"/><Relationship Id="rId16" Type="http://schemas.openxmlformats.org/officeDocument/2006/relationships/hyperlink" Target="http://medlib.yu.ac.kr/eur_j_oph/ijom/IJOMI/ijomi_15_15.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2616-1510"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orcid.org/0000-0002-8571-442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3-4617-0040" TargetMode="External"/><Relationship Id="rId14" Type="http://schemas.openxmlformats.org/officeDocument/2006/relationships/image" Target="media/image1.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11</Pages>
  <Words>3106</Words>
  <Characters>17085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20151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3</cp:revision>
  <cp:lastPrinted>2022-04-30T01:38:00Z</cp:lastPrinted>
  <dcterms:created xsi:type="dcterms:W3CDTF">2022-04-30T01:37:00Z</dcterms:created>
  <dcterms:modified xsi:type="dcterms:W3CDTF">2022-04-30T01:38:00Z</dcterms:modified>
</cp:coreProperties>
</file>