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A4F5" w14:textId="77777777" w:rsidR="00B72A2C" w:rsidRPr="00B72A2C" w:rsidRDefault="00B72A2C" w:rsidP="00B72A2C">
      <w:pPr>
        <w:spacing w:line="360" w:lineRule="auto"/>
        <w:jc w:val="right"/>
        <w:rPr>
          <w:rFonts w:eastAsia="Calibri"/>
          <w:sz w:val="20"/>
          <w:szCs w:val="20"/>
          <w:lang w:val="es-MX" w:eastAsia="en-US"/>
        </w:rPr>
      </w:pPr>
      <w:r w:rsidRPr="00B72A2C">
        <w:rPr>
          <w:rFonts w:eastAsia="Calibri"/>
          <w:sz w:val="20"/>
          <w:szCs w:val="20"/>
          <w:lang w:val="es-MX" w:eastAsia="en-US"/>
        </w:rPr>
        <w:t>Artículo de investigación</w:t>
      </w:r>
    </w:p>
    <w:p w14:paraId="6A63188D" w14:textId="77777777" w:rsidR="00B72A2C" w:rsidRPr="00B72A2C" w:rsidRDefault="00B72A2C" w:rsidP="00B72A2C">
      <w:pPr>
        <w:spacing w:line="360" w:lineRule="auto"/>
        <w:rPr>
          <w:rFonts w:ascii="Calibri" w:eastAsia="Calibri" w:hAnsi="Calibri"/>
          <w:sz w:val="22"/>
          <w:szCs w:val="22"/>
          <w:lang w:val="es-ES" w:eastAsia="en-US"/>
        </w:rPr>
      </w:pPr>
    </w:p>
    <w:p w14:paraId="76B1D959" w14:textId="77777777" w:rsidR="00B72A2C" w:rsidRPr="00B72A2C" w:rsidRDefault="00B72A2C" w:rsidP="00B72A2C">
      <w:pPr>
        <w:spacing w:line="360" w:lineRule="auto"/>
        <w:jc w:val="center"/>
        <w:rPr>
          <w:rFonts w:eastAsia="Calibri"/>
          <w:b/>
          <w:sz w:val="28"/>
          <w:szCs w:val="28"/>
          <w:lang w:val="es-ES" w:eastAsia="en-US"/>
        </w:rPr>
      </w:pPr>
      <w:r w:rsidRPr="00B72A2C">
        <w:rPr>
          <w:rFonts w:eastAsia="Calibri"/>
          <w:b/>
          <w:sz w:val="28"/>
          <w:szCs w:val="28"/>
          <w:lang w:val="es-ES" w:eastAsia="en-US"/>
        </w:rPr>
        <w:t xml:space="preserve">Características clínicas y ecocardiográficas de cardiotoxicidad precoz en pacientes con cáncer de mama tratadas con quimioterapia </w:t>
      </w:r>
    </w:p>
    <w:p w14:paraId="1FEC1C67" w14:textId="77777777" w:rsidR="00B72A2C" w:rsidRPr="00B72A2C" w:rsidRDefault="00B72A2C" w:rsidP="00B72A2C">
      <w:pPr>
        <w:spacing w:line="360" w:lineRule="auto"/>
        <w:jc w:val="center"/>
        <w:rPr>
          <w:rFonts w:eastAsia="Calibri"/>
          <w:sz w:val="28"/>
          <w:szCs w:val="28"/>
          <w:lang w:val="en-US" w:eastAsia="en-US"/>
        </w:rPr>
      </w:pPr>
      <w:r w:rsidRPr="00B72A2C">
        <w:rPr>
          <w:rFonts w:eastAsia="Calibri"/>
          <w:sz w:val="28"/>
          <w:szCs w:val="28"/>
          <w:lang w:val="en-US" w:eastAsia="en-US"/>
        </w:rPr>
        <w:t xml:space="preserve">Clinical and echocardiographic characteristics of early cardiotoxicity in patients with breast cancer treated with chemotherapy </w:t>
      </w:r>
    </w:p>
    <w:p w14:paraId="400A52A4" w14:textId="77777777" w:rsidR="00B72A2C" w:rsidRPr="00B72A2C" w:rsidRDefault="00B72A2C" w:rsidP="00B72A2C">
      <w:pPr>
        <w:spacing w:line="360" w:lineRule="auto"/>
        <w:rPr>
          <w:rFonts w:ascii="Calibri" w:eastAsia="Calibri" w:hAnsi="Calibri"/>
          <w:sz w:val="22"/>
          <w:szCs w:val="22"/>
          <w:lang w:val="en-US" w:eastAsia="en-US"/>
        </w:rPr>
      </w:pPr>
    </w:p>
    <w:p w14:paraId="67113265"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Julio Alberto Pérez Domínguez</w:t>
      </w:r>
      <w:r w:rsidRPr="00B72A2C">
        <w:rPr>
          <w:rFonts w:eastAsia="Calibri"/>
          <w:vertAlign w:val="superscript"/>
          <w:lang w:val="es-ES" w:eastAsia="en-US"/>
        </w:rPr>
        <w:t>1</w:t>
      </w:r>
      <w:r w:rsidRPr="00B72A2C">
        <w:rPr>
          <w:rFonts w:eastAsia="Calibri"/>
          <w:lang w:val="es-ES" w:eastAsia="en-US"/>
        </w:rPr>
        <w:t xml:space="preserve">* </w:t>
      </w:r>
      <w:hyperlink r:id="rId7" w:history="1">
        <w:r w:rsidRPr="00B72A2C">
          <w:rPr>
            <w:color w:val="0000FF"/>
            <w:u w:val="single"/>
            <w:lang w:val="es-ES" w:eastAsia="es-ES"/>
          </w:rPr>
          <w:t>https://orcid.org/0000-0002-6626-0484</w:t>
        </w:r>
      </w:hyperlink>
    </w:p>
    <w:p w14:paraId="19C73E36"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Marian Maité Rodríguez Peña</w:t>
      </w:r>
      <w:r w:rsidRPr="00B72A2C">
        <w:rPr>
          <w:rFonts w:eastAsia="Calibri"/>
          <w:vertAlign w:val="superscript"/>
          <w:lang w:val="es-ES" w:eastAsia="en-US"/>
        </w:rPr>
        <w:t xml:space="preserve">1 </w:t>
      </w:r>
      <w:hyperlink r:id="rId8" w:history="1">
        <w:r w:rsidRPr="00B72A2C">
          <w:rPr>
            <w:color w:val="0000FF"/>
            <w:u w:val="single"/>
            <w:lang w:val="es-ES" w:eastAsia="es-ES"/>
          </w:rPr>
          <w:t>https://orcid.org/0000-0003-0819-0657</w:t>
        </w:r>
      </w:hyperlink>
    </w:p>
    <w:p w14:paraId="0BAA5837"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Orlando Santiago Aguilar Almaguer</w:t>
      </w:r>
      <w:r w:rsidRPr="00B72A2C">
        <w:rPr>
          <w:rFonts w:eastAsia="Calibri"/>
          <w:vertAlign w:val="superscript"/>
          <w:lang w:val="es-ES" w:eastAsia="en-US"/>
        </w:rPr>
        <w:t xml:space="preserve">1 </w:t>
      </w:r>
      <w:hyperlink r:id="rId9" w:history="1">
        <w:r w:rsidRPr="00B72A2C">
          <w:rPr>
            <w:color w:val="0000FF"/>
            <w:u w:val="single"/>
            <w:lang w:val="es-ES" w:eastAsia="es-ES"/>
          </w:rPr>
          <w:t>https://orcid.org/0000-0002-0264-0971</w:t>
        </w:r>
      </w:hyperlink>
    </w:p>
    <w:p w14:paraId="2106EB1B"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Maidelín Rodríguez Reyes</w:t>
      </w:r>
      <w:r w:rsidRPr="00B72A2C">
        <w:rPr>
          <w:rFonts w:eastAsia="Calibri"/>
          <w:vertAlign w:val="superscript"/>
          <w:lang w:val="es-ES" w:eastAsia="en-US"/>
        </w:rPr>
        <w:t xml:space="preserve">1 </w:t>
      </w:r>
      <w:hyperlink r:id="rId10" w:history="1">
        <w:r w:rsidRPr="00B72A2C">
          <w:rPr>
            <w:rFonts w:eastAsia="Calibri"/>
            <w:color w:val="0000FF"/>
            <w:u w:val="single"/>
            <w:lang w:val="es-ES" w:eastAsia="en-US"/>
          </w:rPr>
          <w:t>https://orcid.org/0000-0002-7888-1704</w:t>
        </w:r>
      </w:hyperlink>
    </w:p>
    <w:p w14:paraId="21763C55" w14:textId="77777777" w:rsidR="00B72A2C" w:rsidRPr="00B72A2C" w:rsidRDefault="00B72A2C" w:rsidP="00B72A2C">
      <w:pPr>
        <w:spacing w:line="360" w:lineRule="auto"/>
        <w:jc w:val="both"/>
        <w:rPr>
          <w:rFonts w:eastAsia="Calibri"/>
          <w:lang w:val="en-US" w:eastAsia="en-US"/>
        </w:rPr>
      </w:pPr>
      <w:r w:rsidRPr="00B72A2C">
        <w:rPr>
          <w:rFonts w:eastAsia="Calibri"/>
          <w:lang w:val="en-US" w:eastAsia="en-US"/>
        </w:rPr>
        <w:t>Lisett Leblanch Pérez</w:t>
      </w:r>
      <w:r w:rsidRPr="00B72A2C">
        <w:rPr>
          <w:rFonts w:eastAsia="Calibri"/>
          <w:vertAlign w:val="superscript"/>
          <w:lang w:val="en-US" w:eastAsia="en-US"/>
        </w:rPr>
        <w:t xml:space="preserve">1 </w:t>
      </w:r>
      <w:hyperlink r:id="rId11" w:history="1">
        <w:r w:rsidRPr="00B72A2C">
          <w:rPr>
            <w:color w:val="0000FF"/>
            <w:u w:val="single"/>
            <w:lang w:val="en-US" w:eastAsia="es-ES"/>
          </w:rPr>
          <w:t>https://orcid.org/0000-0002-8749-5688</w:t>
        </w:r>
      </w:hyperlink>
    </w:p>
    <w:p w14:paraId="4FF55455" w14:textId="77777777" w:rsidR="00B72A2C" w:rsidRPr="00B72A2C" w:rsidRDefault="00B72A2C" w:rsidP="00B72A2C">
      <w:pPr>
        <w:spacing w:line="360" w:lineRule="auto"/>
        <w:jc w:val="both"/>
        <w:rPr>
          <w:rFonts w:eastAsia="Calibri"/>
          <w:lang w:val="es-ES" w:eastAsia="es-ES"/>
        </w:rPr>
      </w:pPr>
      <w:r w:rsidRPr="00B72A2C">
        <w:rPr>
          <w:rFonts w:eastAsia="Calibri"/>
          <w:lang w:val="es-ES" w:eastAsia="en-US"/>
        </w:rPr>
        <w:t>Alberto Pérez Oliva</w:t>
      </w:r>
      <w:r w:rsidRPr="00B72A2C">
        <w:rPr>
          <w:rFonts w:eastAsia="Calibri"/>
          <w:vertAlign w:val="superscript"/>
          <w:lang w:val="es-ES" w:eastAsia="en-US"/>
        </w:rPr>
        <w:t xml:space="preserve">1 </w:t>
      </w:r>
      <w:hyperlink r:id="rId12" w:history="1">
        <w:r w:rsidRPr="00B72A2C">
          <w:rPr>
            <w:color w:val="0000FF"/>
            <w:u w:val="single"/>
            <w:lang w:val="es-ES" w:eastAsia="es-ES"/>
          </w:rPr>
          <w:t>https://orcid.org/0000-0002-4686-0474</w:t>
        </w:r>
      </w:hyperlink>
    </w:p>
    <w:p w14:paraId="11B11759" w14:textId="77777777" w:rsidR="00B72A2C" w:rsidRPr="00B72A2C" w:rsidRDefault="00B72A2C" w:rsidP="00B72A2C">
      <w:pPr>
        <w:spacing w:line="360" w:lineRule="auto"/>
        <w:rPr>
          <w:rFonts w:ascii="Calibri" w:eastAsia="Calibri" w:hAnsi="Calibri"/>
          <w:sz w:val="22"/>
          <w:szCs w:val="22"/>
          <w:lang w:val="es-ES" w:eastAsia="en-US"/>
        </w:rPr>
      </w:pPr>
      <w:r w:rsidRPr="00B72A2C">
        <w:rPr>
          <w:rFonts w:ascii="Calibri" w:eastAsia="Calibri" w:hAnsi="Calibri"/>
          <w:sz w:val="22"/>
          <w:szCs w:val="22"/>
          <w:lang w:val="es-ES" w:eastAsia="en-US"/>
        </w:rPr>
        <w:tab/>
      </w:r>
    </w:p>
    <w:p w14:paraId="51D97C56" w14:textId="77777777" w:rsidR="00B72A2C" w:rsidRPr="00B72A2C" w:rsidRDefault="00B72A2C" w:rsidP="00B72A2C">
      <w:pPr>
        <w:spacing w:line="360" w:lineRule="auto"/>
        <w:jc w:val="both"/>
        <w:rPr>
          <w:rFonts w:eastAsia="Calibri"/>
          <w:lang w:val="es-ES" w:eastAsia="en-US"/>
        </w:rPr>
      </w:pPr>
      <w:r w:rsidRPr="00B72A2C">
        <w:rPr>
          <w:rFonts w:eastAsia="Calibri"/>
          <w:vertAlign w:val="superscript"/>
          <w:lang w:val="es-ES" w:eastAsia="en-US"/>
        </w:rPr>
        <w:t>1</w:t>
      </w:r>
      <w:r w:rsidRPr="00B72A2C">
        <w:rPr>
          <w:rFonts w:eastAsia="Calibri"/>
          <w:lang w:val="es-ES" w:eastAsia="en-US"/>
        </w:rPr>
        <w:t>Universidad de Ciencias Médicas de Granma. Hospital Provincial General “Carlos Manuel de Céspedes”. Bayamo, Granma, Cuba.</w:t>
      </w:r>
    </w:p>
    <w:p w14:paraId="1F83C244" w14:textId="77777777" w:rsidR="00B72A2C" w:rsidRPr="00B72A2C" w:rsidRDefault="00B72A2C" w:rsidP="00B72A2C">
      <w:pPr>
        <w:spacing w:line="360" w:lineRule="auto"/>
        <w:rPr>
          <w:rFonts w:ascii="Calibri" w:eastAsia="Calibri" w:hAnsi="Calibri"/>
          <w:sz w:val="22"/>
          <w:szCs w:val="22"/>
          <w:lang w:val="es-ES" w:eastAsia="en-US"/>
        </w:rPr>
      </w:pPr>
    </w:p>
    <w:p w14:paraId="1CC06812" w14:textId="77777777" w:rsidR="00B72A2C" w:rsidRPr="00B72A2C" w:rsidRDefault="00B72A2C" w:rsidP="00B72A2C">
      <w:pPr>
        <w:spacing w:line="360" w:lineRule="auto"/>
        <w:rPr>
          <w:rFonts w:eastAsia="Calibri"/>
          <w:lang w:val="es-ES" w:eastAsia="en-US"/>
        </w:rPr>
      </w:pPr>
      <w:r w:rsidRPr="00B72A2C">
        <w:rPr>
          <w:rFonts w:eastAsia="Calibri"/>
          <w:lang w:val="es-ES" w:eastAsia="en-US"/>
        </w:rPr>
        <w:t xml:space="preserve">*Autor para la correspondencia. Correo electrónico: </w:t>
      </w:r>
      <w:hyperlink r:id="rId13" w:history="1">
        <w:r w:rsidRPr="00B72A2C">
          <w:rPr>
            <w:rFonts w:eastAsia="Calibri"/>
            <w:color w:val="0000FF"/>
            <w:u w:val="single"/>
            <w:lang w:val="es-ES" w:eastAsia="en-US"/>
          </w:rPr>
          <w:t>jualped.grm@infomed.sld.cu</w:t>
        </w:r>
      </w:hyperlink>
    </w:p>
    <w:p w14:paraId="1C654B50" w14:textId="77777777" w:rsidR="00B72A2C" w:rsidRPr="00B72A2C" w:rsidRDefault="00B72A2C" w:rsidP="00B72A2C">
      <w:pPr>
        <w:spacing w:line="360" w:lineRule="auto"/>
        <w:rPr>
          <w:rFonts w:ascii="Calibri" w:eastAsia="Calibri" w:hAnsi="Calibri"/>
          <w:sz w:val="22"/>
          <w:szCs w:val="22"/>
          <w:lang w:val="es-ES" w:eastAsia="en-US"/>
        </w:rPr>
      </w:pPr>
    </w:p>
    <w:p w14:paraId="75070E8E" w14:textId="77777777" w:rsidR="00B72A2C" w:rsidRPr="00B72A2C" w:rsidRDefault="00B72A2C" w:rsidP="00B72A2C">
      <w:pPr>
        <w:spacing w:line="360" w:lineRule="auto"/>
        <w:jc w:val="both"/>
        <w:rPr>
          <w:rFonts w:eastAsia="Calibri"/>
          <w:b/>
          <w:lang w:val="es-ES" w:eastAsia="en-US"/>
        </w:rPr>
      </w:pPr>
      <w:r w:rsidRPr="00B72A2C">
        <w:rPr>
          <w:rFonts w:eastAsia="Calibri"/>
          <w:b/>
          <w:lang w:val="es-ES" w:eastAsia="en-US"/>
        </w:rPr>
        <w:t>RESUMEN</w:t>
      </w:r>
      <w:r w:rsidRPr="00B72A2C">
        <w:rPr>
          <w:rFonts w:eastAsia="Calibri"/>
          <w:b/>
          <w:lang w:val="es-ES" w:eastAsia="en-US"/>
        </w:rPr>
        <w:tab/>
      </w:r>
    </w:p>
    <w:p w14:paraId="2AC65D44" w14:textId="77777777" w:rsidR="00B72A2C" w:rsidRPr="00B72A2C" w:rsidRDefault="00B72A2C" w:rsidP="00B72A2C">
      <w:pPr>
        <w:suppressAutoHyphens/>
        <w:spacing w:line="360" w:lineRule="auto"/>
        <w:jc w:val="both"/>
        <w:rPr>
          <w:rFonts w:eastAsia="Noto Serif CJK SC"/>
          <w:kern w:val="2"/>
          <w:lang w:val="es-ES" w:eastAsia="zh-CN" w:bidi="hi-IN"/>
        </w:rPr>
      </w:pPr>
      <w:r w:rsidRPr="00B72A2C">
        <w:rPr>
          <w:rFonts w:eastAsia="Noto Serif CJK SC"/>
          <w:b/>
          <w:kern w:val="2"/>
          <w:lang w:val="es-ES" w:eastAsia="zh-CN" w:bidi="hi-IN"/>
        </w:rPr>
        <w:t>Introducción</w:t>
      </w:r>
      <w:r w:rsidRPr="00B72A2C">
        <w:rPr>
          <w:rFonts w:eastAsia="Noto Serif CJK SC"/>
          <w:b/>
          <w:bCs/>
          <w:kern w:val="2"/>
          <w:lang w:val="es-ES" w:eastAsia="zh-CN" w:bidi="hi-IN"/>
        </w:rPr>
        <w:t xml:space="preserve">: </w:t>
      </w:r>
      <w:r w:rsidRPr="00B72A2C">
        <w:rPr>
          <w:rFonts w:eastAsia="Noto Serif CJK SC"/>
          <w:kern w:val="2"/>
          <w:lang w:val="es-ES" w:eastAsia="zh-CN" w:bidi="hi-IN"/>
        </w:rPr>
        <w:t>Las complicaciones cardiovasculares son la causa principal de mortalidad en supervivientes al cáncer.</w:t>
      </w:r>
    </w:p>
    <w:p w14:paraId="16F4C0F6" w14:textId="77777777" w:rsidR="00B72A2C" w:rsidRPr="00B72A2C" w:rsidRDefault="00B72A2C" w:rsidP="00B72A2C">
      <w:pPr>
        <w:suppressAutoHyphens/>
        <w:spacing w:line="360" w:lineRule="auto"/>
        <w:jc w:val="both"/>
        <w:rPr>
          <w:rFonts w:eastAsia="Batang"/>
          <w:kern w:val="2"/>
          <w:lang w:val="es-ES" w:eastAsia="de-DE" w:bidi="hi-IN"/>
        </w:rPr>
      </w:pPr>
      <w:r w:rsidRPr="00B72A2C">
        <w:rPr>
          <w:rFonts w:eastAsia="Noto Serif CJK SC"/>
          <w:b/>
          <w:kern w:val="2"/>
          <w:lang w:val="es-ES" w:eastAsia="zh-CN" w:bidi="hi-IN"/>
        </w:rPr>
        <w:t>Objetivos</w:t>
      </w:r>
      <w:r w:rsidRPr="00B72A2C">
        <w:rPr>
          <w:rFonts w:eastAsia="Noto Serif CJK SC"/>
          <w:b/>
          <w:bCs/>
          <w:kern w:val="2"/>
          <w:lang w:val="es-ES" w:eastAsia="zh-CN" w:bidi="hi-IN"/>
        </w:rPr>
        <w:t xml:space="preserve">: </w:t>
      </w:r>
      <w:r w:rsidRPr="00B72A2C">
        <w:rPr>
          <w:rFonts w:eastAsia="Noto Serif CJK SC"/>
          <w:bCs/>
          <w:kern w:val="2"/>
          <w:lang w:val="es-ES" w:eastAsia="zh-CN" w:bidi="hi-IN"/>
        </w:rPr>
        <w:t xml:space="preserve">Identificar las características clínicas y ecocardiográficas de cardiotoxicidad en pacientes con cáncer de mama tratadas con quimioterapia. </w:t>
      </w:r>
    </w:p>
    <w:p w14:paraId="469B6D3E" w14:textId="77777777" w:rsidR="00B72A2C" w:rsidRPr="00B72A2C" w:rsidRDefault="00B72A2C" w:rsidP="00B72A2C">
      <w:pPr>
        <w:spacing w:line="360" w:lineRule="auto"/>
        <w:jc w:val="both"/>
        <w:rPr>
          <w:rFonts w:eastAsia="Calibri"/>
          <w:lang w:val="es-ES" w:eastAsia="en-US"/>
        </w:rPr>
      </w:pPr>
      <w:r w:rsidRPr="00B72A2C">
        <w:rPr>
          <w:rFonts w:eastAsia="Batang"/>
          <w:b/>
          <w:lang w:val="es-ES" w:eastAsia="de-DE"/>
        </w:rPr>
        <w:t>Método</w:t>
      </w:r>
      <w:r w:rsidRPr="00B72A2C">
        <w:rPr>
          <w:rFonts w:eastAsia="Batang"/>
          <w:b/>
          <w:bCs/>
          <w:lang w:val="es-ES" w:eastAsia="de-DE"/>
        </w:rPr>
        <w:t xml:space="preserve">: </w:t>
      </w:r>
      <w:r w:rsidRPr="00B72A2C">
        <w:rPr>
          <w:rFonts w:eastAsia="Batang"/>
          <w:bCs/>
          <w:lang w:val="es-ES" w:eastAsia="de-DE"/>
        </w:rPr>
        <w:t>E</w:t>
      </w:r>
      <w:r w:rsidRPr="00B72A2C">
        <w:rPr>
          <w:rFonts w:eastAsia="Batang"/>
          <w:lang w:val="es-ES" w:eastAsia="de-DE"/>
        </w:rPr>
        <w:t xml:space="preserve">studio </w:t>
      </w:r>
      <w:r w:rsidRPr="00B72A2C">
        <w:rPr>
          <w:rFonts w:eastAsia="Calibri"/>
          <w:lang w:val="es-ES" w:eastAsia="en-US"/>
        </w:rPr>
        <w:t xml:space="preserve">transversal en 451 pacientes con cáncer de mama. A cada paciente se le realizó interrogatorio, examen físico, hemoquímica, electrocardiograma y ecocardiograma (este último, antes de la quimioterapia, a los 3, 6 y 12 meses. Para las variables cualitativas se obtuvieron las frecuencias y se compararon proporciones mediante el estadístico z; para las variables cuantitativas se estimó la media, </w:t>
      </w:r>
      <w:r w:rsidRPr="00B72A2C">
        <w:rPr>
          <w:rFonts w:eastAsia="Calibri"/>
          <w:lang w:val="es-ES" w:eastAsia="en-US"/>
        </w:rPr>
        <w:lastRenderedPageBreak/>
        <w:t xml:space="preserve">desviación estándar, valor mínimo y máximo. Se calcularon las diferencias de medias con la t de </w:t>
      </w:r>
      <w:r w:rsidRPr="00B72A2C">
        <w:rPr>
          <w:rFonts w:eastAsia="Calibri"/>
          <w:iCs/>
          <w:lang w:val="es-ES" w:eastAsia="en-US"/>
        </w:rPr>
        <w:t>Student</w:t>
      </w:r>
      <w:r w:rsidRPr="00B72A2C">
        <w:rPr>
          <w:rFonts w:eastAsia="Calibri"/>
          <w:i/>
          <w:lang w:val="es-ES" w:eastAsia="en-US"/>
        </w:rPr>
        <w:t xml:space="preserve">, </w:t>
      </w:r>
      <w:r w:rsidRPr="00B72A2C">
        <w:rPr>
          <w:rFonts w:eastAsia="Calibri"/>
          <w:iCs/>
          <w:lang w:val="es-ES" w:eastAsia="en-US"/>
        </w:rPr>
        <w:t xml:space="preserve">previa </w:t>
      </w:r>
      <w:r w:rsidRPr="00B72A2C">
        <w:rPr>
          <w:rFonts w:eastAsia="Calibri"/>
          <w:lang w:val="es-ES" w:eastAsia="en-US"/>
        </w:rPr>
        <w:t>determinación de la distribución. Para todos los análisis el nivel de significación se fijó en p&lt; 0,05.</w:t>
      </w:r>
    </w:p>
    <w:p w14:paraId="53BAAF20" w14:textId="77777777" w:rsidR="00B72A2C" w:rsidRPr="00B72A2C" w:rsidRDefault="00B72A2C" w:rsidP="00B72A2C">
      <w:pPr>
        <w:spacing w:line="360" w:lineRule="auto"/>
        <w:jc w:val="both"/>
        <w:rPr>
          <w:rFonts w:eastAsia="Calibri"/>
          <w:lang w:val="es-ES" w:eastAsia="en-US"/>
        </w:rPr>
      </w:pPr>
      <w:r w:rsidRPr="00B72A2C">
        <w:rPr>
          <w:rFonts w:eastAsia="Calibri"/>
          <w:b/>
          <w:lang w:val="es-ES" w:eastAsia="en-US"/>
        </w:rPr>
        <w:t>Resultados</w:t>
      </w:r>
      <w:r w:rsidRPr="00B72A2C">
        <w:rPr>
          <w:rFonts w:eastAsia="Calibri"/>
          <w:b/>
          <w:bCs/>
          <w:lang w:val="es-ES" w:eastAsia="en-US"/>
        </w:rPr>
        <w:t>:</w:t>
      </w:r>
      <w:r w:rsidRPr="00B72A2C">
        <w:rPr>
          <w:rFonts w:eastAsia="Calibri"/>
          <w:lang w:val="es-ES" w:eastAsia="en-US"/>
        </w:rPr>
        <w:t xml:space="preserve"> La frecuencia de cardiotoxicidad fue 15,9 %. La edad media fue 60,1 ± 12,6 años. Se identificó hipertensión arterial en 60,1 % de los pacientes, hipertrofia ventricular izquierda en 48,6 % y cardiopatía hipertensiva en 35,7 %. La fracción de eyección ventricular izquierda y el diámetro auricular izquierdo, mostraron mayores diferencias (p= 0,000 en ambos casos) después del tratamiento. </w:t>
      </w:r>
    </w:p>
    <w:p w14:paraId="3BDD4308" w14:textId="77777777" w:rsidR="00B72A2C" w:rsidRPr="00B72A2C" w:rsidRDefault="00B72A2C" w:rsidP="00B72A2C">
      <w:pPr>
        <w:spacing w:line="360" w:lineRule="auto"/>
        <w:jc w:val="both"/>
        <w:rPr>
          <w:rFonts w:eastAsia="Calibri"/>
          <w:lang w:val="es-ES" w:eastAsia="en-US"/>
        </w:rPr>
      </w:pPr>
      <w:r w:rsidRPr="00B72A2C">
        <w:rPr>
          <w:rFonts w:eastAsia="Calibri"/>
          <w:b/>
          <w:lang w:val="es-ES" w:eastAsia="en-US"/>
        </w:rPr>
        <w:t>Conclusiones</w:t>
      </w:r>
      <w:r w:rsidRPr="00B72A2C">
        <w:rPr>
          <w:rFonts w:eastAsia="Calibri"/>
          <w:b/>
          <w:bCs/>
          <w:lang w:val="es-ES" w:eastAsia="en-US"/>
        </w:rPr>
        <w:t xml:space="preserve">: </w:t>
      </w:r>
      <w:r w:rsidRPr="00B72A2C">
        <w:rPr>
          <w:rFonts w:eastAsia="Calibri"/>
          <w:lang w:val="es-ES" w:eastAsia="en-US"/>
        </w:rPr>
        <w:t xml:space="preserve">Las características de pacientes con cardiotoxicidad son: edad mayor de 60 años, tabaquismo, reducción del filtrado glomerular, cardiopatía hipertensiva, prolongación del intervalo Q-Tc, incremento del diámetro de la aurícula izquierda, disfunción diastólica y depresión de la fracción de eyección ventricular izquierda. </w:t>
      </w:r>
    </w:p>
    <w:p w14:paraId="32614CAB" w14:textId="77777777" w:rsidR="00B72A2C" w:rsidRPr="00B72A2C" w:rsidRDefault="00B72A2C" w:rsidP="00B72A2C">
      <w:pPr>
        <w:suppressAutoHyphens/>
        <w:spacing w:line="360" w:lineRule="auto"/>
        <w:jc w:val="both"/>
        <w:rPr>
          <w:rFonts w:ascii="Arial Rounded MT Bold" w:eastAsia="Noto Serif CJK SC" w:hAnsi="Arial Rounded MT Bold" w:cs="Lucida Sans"/>
          <w:i/>
          <w:iCs/>
          <w:color w:val="404040"/>
          <w:kern w:val="2"/>
          <w:sz w:val="17"/>
          <w:szCs w:val="17"/>
          <w:shd w:val="clear" w:color="auto" w:fill="FFFFFF"/>
          <w:lang w:val="es-ES" w:eastAsia="zh-CN" w:bidi="hi-IN"/>
        </w:rPr>
      </w:pPr>
      <w:r w:rsidRPr="00B72A2C">
        <w:rPr>
          <w:rFonts w:eastAsia="Noto Serif CJK SC"/>
          <w:b/>
          <w:kern w:val="2"/>
          <w:lang w:val="es-ES" w:eastAsia="zh-CN" w:bidi="hi-IN"/>
        </w:rPr>
        <w:t>Palabras clave</w:t>
      </w:r>
      <w:r w:rsidRPr="00B72A2C">
        <w:rPr>
          <w:rFonts w:eastAsia="Noto Serif CJK SC"/>
          <w:b/>
          <w:bCs/>
          <w:kern w:val="2"/>
          <w:lang w:val="es-ES" w:eastAsia="zh-CN" w:bidi="hi-IN"/>
        </w:rPr>
        <w:t>:</w:t>
      </w:r>
      <w:r w:rsidRPr="00B72A2C">
        <w:rPr>
          <w:rFonts w:eastAsia="Noto Serif CJK SC"/>
          <w:kern w:val="2"/>
          <w:lang w:val="es-ES" w:eastAsia="zh-CN" w:bidi="hi-IN"/>
        </w:rPr>
        <w:t xml:space="preserve"> cáncer; cardiotoxicidad; quimioterapia; cardio-oncología.</w:t>
      </w:r>
    </w:p>
    <w:p w14:paraId="59C70FE4" w14:textId="77777777" w:rsidR="00B72A2C" w:rsidRPr="00B72A2C" w:rsidRDefault="00B72A2C" w:rsidP="00B72A2C">
      <w:pPr>
        <w:spacing w:line="360" w:lineRule="auto"/>
        <w:rPr>
          <w:rFonts w:ascii="Calibri" w:eastAsia="Calibri" w:hAnsi="Calibri"/>
          <w:sz w:val="22"/>
          <w:lang w:val="es-ES" w:eastAsia="en-US"/>
        </w:rPr>
      </w:pPr>
    </w:p>
    <w:p w14:paraId="44B97A84" w14:textId="77777777" w:rsidR="00B72A2C" w:rsidRPr="00B72A2C" w:rsidRDefault="00B72A2C" w:rsidP="00B72A2C">
      <w:pPr>
        <w:spacing w:line="360" w:lineRule="auto"/>
        <w:jc w:val="both"/>
        <w:rPr>
          <w:rFonts w:eastAsia="Calibri"/>
          <w:lang w:val="en-US" w:eastAsia="en-US"/>
        </w:rPr>
      </w:pPr>
      <w:r w:rsidRPr="00B72A2C">
        <w:rPr>
          <w:rFonts w:eastAsia="Calibri"/>
          <w:b/>
          <w:lang w:val="en-US" w:eastAsia="en-US"/>
        </w:rPr>
        <w:t>ABSTRACT</w:t>
      </w:r>
    </w:p>
    <w:p w14:paraId="1A9DE7E2" w14:textId="77777777" w:rsidR="00B72A2C" w:rsidRPr="00B72A2C" w:rsidRDefault="00B72A2C" w:rsidP="00B72A2C">
      <w:pPr>
        <w:spacing w:line="360" w:lineRule="auto"/>
        <w:jc w:val="both"/>
        <w:rPr>
          <w:rFonts w:eastAsia="Calibri"/>
          <w:bCs/>
          <w:lang w:val="en-US" w:eastAsia="en-US"/>
        </w:rPr>
      </w:pPr>
      <w:r w:rsidRPr="00B72A2C">
        <w:rPr>
          <w:rFonts w:eastAsia="Calibri"/>
          <w:b/>
          <w:lang w:val="en-US" w:eastAsia="en-US"/>
        </w:rPr>
        <w:t xml:space="preserve">Introduction: </w:t>
      </w:r>
      <w:r w:rsidRPr="00B72A2C">
        <w:rPr>
          <w:rFonts w:eastAsia="Calibri"/>
          <w:bCs/>
          <w:lang w:val="en-US" w:eastAsia="en-US"/>
        </w:rPr>
        <w:t>Cardiovascular complications are the main cause of mortality in cancer survivors.</w:t>
      </w:r>
    </w:p>
    <w:p w14:paraId="36D578FB" w14:textId="77777777" w:rsidR="00B72A2C" w:rsidRPr="00B72A2C" w:rsidRDefault="00B72A2C" w:rsidP="00B72A2C">
      <w:pPr>
        <w:spacing w:line="360" w:lineRule="auto"/>
        <w:jc w:val="both"/>
        <w:rPr>
          <w:rFonts w:eastAsia="Calibri"/>
          <w:bCs/>
          <w:lang w:val="en-US" w:eastAsia="en-US"/>
        </w:rPr>
      </w:pPr>
      <w:r w:rsidRPr="00B72A2C">
        <w:rPr>
          <w:rFonts w:eastAsia="Calibri"/>
          <w:b/>
          <w:lang w:val="en-US" w:eastAsia="en-US"/>
        </w:rPr>
        <w:t>Objectives:</w:t>
      </w:r>
      <w:r w:rsidRPr="00B72A2C">
        <w:rPr>
          <w:rFonts w:eastAsia="Calibri"/>
          <w:bCs/>
          <w:lang w:val="en-US" w:eastAsia="en-US"/>
        </w:rPr>
        <w:t xml:space="preserve"> To identify the clinical and echocardiographic characteristics of cardiotoxicity in patients with breast cancer treated with chemotherapy.</w:t>
      </w:r>
    </w:p>
    <w:p w14:paraId="368F11A5" w14:textId="77777777" w:rsidR="00B72A2C" w:rsidRPr="00B72A2C" w:rsidRDefault="00B72A2C" w:rsidP="00B72A2C">
      <w:pPr>
        <w:spacing w:line="360" w:lineRule="auto"/>
        <w:jc w:val="both"/>
        <w:rPr>
          <w:rFonts w:eastAsia="Calibri"/>
          <w:bCs/>
          <w:lang w:val="en-US" w:eastAsia="en-US"/>
        </w:rPr>
      </w:pPr>
      <w:r w:rsidRPr="00B72A2C">
        <w:rPr>
          <w:rFonts w:eastAsia="Calibri"/>
          <w:b/>
          <w:lang w:val="en-US" w:eastAsia="en-US"/>
        </w:rPr>
        <w:t>Methods:</w:t>
      </w:r>
      <w:r w:rsidRPr="00B72A2C">
        <w:rPr>
          <w:rFonts w:eastAsia="Calibri"/>
          <w:bCs/>
          <w:lang w:val="en-US" w:eastAsia="en-US"/>
        </w:rPr>
        <w:t xml:space="preserve"> Cross-sectional study in 451 patients with breast cancer. Each patient underwent an interrogation, physical examination, hemochemistry, electrocardiogram, and echocardiogram (the latter, before chemotherapy, at 3, 6, and 12 months. Frequencies were obtained for qualitative variables and proportions were compared using the z statistic; for the quantitative variables, the mean, standard deviation, minimum and maximum value were estimated. Mean differences were calculated with Student's t-test, after determining the distribution. For all analyses, the level of significance was set at p&lt; 0.05.</w:t>
      </w:r>
    </w:p>
    <w:p w14:paraId="29A4C654" w14:textId="77777777" w:rsidR="00B72A2C" w:rsidRPr="00B72A2C" w:rsidRDefault="00B72A2C" w:rsidP="00B72A2C">
      <w:pPr>
        <w:spacing w:line="360" w:lineRule="auto"/>
        <w:jc w:val="both"/>
        <w:rPr>
          <w:rFonts w:eastAsia="Calibri"/>
          <w:bCs/>
          <w:lang w:val="en-US" w:eastAsia="en-US"/>
        </w:rPr>
      </w:pPr>
      <w:r w:rsidRPr="00B72A2C">
        <w:rPr>
          <w:rFonts w:eastAsia="Calibri"/>
          <w:b/>
          <w:lang w:val="en-US" w:eastAsia="en-US"/>
        </w:rPr>
        <w:t xml:space="preserve">Results: </w:t>
      </w:r>
      <w:r w:rsidRPr="00B72A2C">
        <w:rPr>
          <w:rFonts w:eastAsia="Calibri"/>
          <w:bCs/>
          <w:lang w:val="en-US" w:eastAsia="en-US"/>
        </w:rPr>
        <w:t>The frequency of cardiotoxicity was 15.9 %. The mean age was 60.1 ± 12.6 years. Arterial hypertension was identified in 60.1 % of the patients, left ventricular hypertrophy in 48.6 %, and hypertensive heart disease in 35.7 %. Left ventricular ejection fraction and left atrial diameter showed greater differences (p= 0.000 in both cases) after treatment.</w:t>
      </w:r>
    </w:p>
    <w:p w14:paraId="315940C2" w14:textId="77777777" w:rsidR="00B72A2C" w:rsidRPr="00B72A2C" w:rsidRDefault="00B72A2C" w:rsidP="00B72A2C">
      <w:pPr>
        <w:spacing w:line="360" w:lineRule="auto"/>
        <w:jc w:val="both"/>
        <w:rPr>
          <w:rFonts w:ascii="Calibri" w:eastAsia="Calibri" w:hAnsi="Calibri"/>
          <w:bCs/>
          <w:sz w:val="22"/>
          <w:lang w:val="en-US" w:eastAsia="en-US"/>
        </w:rPr>
      </w:pPr>
      <w:r w:rsidRPr="00B72A2C">
        <w:rPr>
          <w:rFonts w:eastAsia="Calibri"/>
          <w:b/>
          <w:lang w:val="en-US" w:eastAsia="en-US"/>
        </w:rPr>
        <w:lastRenderedPageBreak/>
        <w:t>Conclusions:</w:t>
      </w:r>
      <w:r w:rsidRPr="00B72A2C">
        <w:rPr>
          <w:rFonts w:eastAsia="Calibri"/>
          <w:bCs/>
          <w:lang w:val="en-US" w:eastAsia="en-US"/>
        </w:rPr>
        <w:t xml:space="preserve"> The characteristics of patients with cardiotoxicity are: age over 60 years, smoking, reduced glomerular filtration rate, hypertensive heart disease, prolongation of the Q-Tc interval, increased diameter of the left atrium, diastolic dysfunction and depression left ventricular ejection fraction.</w:t>
      </w:r>
    </w:p>
    <w:p w14:paraId="48162DD0" w14:textId="77777777" w:rsidR="00B72A2C" w:rsidRPr="00B72A2C" w:rsidRDefault="00B72A2C" w:rsidP="00B72A2C">
      <w:pPr>
        <w:spacing w:line="360" w:lineRule="auto"/>
        <w:rPr>
          <w:rFonts w:eastAsia="Calibri"/>
          <w:color w:val="202124"/>
          <w:lang w:val="en-US" w:eastAsia="en-US"/>
        </w:rPr>
      </w:pPr>
      <w:r w:rsidRPr="00B72A2C">
        <w:rPr>
          <w:rFonts w:eastAsia="Calibri"/>
          <w:b/>
          <w:color w:val="202124"/>
          <w:lang w:val="en-US" w:eastAsia="en-US"/>
        </w:rPr>
        <w:t>Keywords</w:t>
      </w:r>
      <w:r w:rsidRPr="00B72A2C">
        <w:rPr>
          <w:rFonts w:eastAsia="Calibri"/>
          <w:b/>
          <w:bCs/>
          <w:color w:val="202124"/>
          <w:lang w:val="en-US" w:eastAsia="en-US"/>
        </w:rPr>
        <w:t>:</w:t>
      </w:r>
      <w:r w:rsidRPr="00B72A2C">
        <w:rPr>
          <w:rFonts w:eastAsia="Calibri"/>
          <w:color w:val="202124"/>
          <w:lang w:val="en-US" w:eastAsia="en-US"/>
        </w:rPr>
        <w:t xml:space="preserve"> cancer; cardiotoxicity; chemotherapy; cardio-oncology.</w:t>
      </w:r>
    </w:p>
    <w:p w14:paraId="15E86E84" w14:textId="77777777" w:rsidR="00B72A2C" w:rsidRPr="00B72A2C" w:rsidRDefault="00B72A2C" w:rsidP="00B72A2C">
      <w:pPr>
        <w:spacing w:line="360" w:lineRule="auto"/>
        <w:jc w:val="both"/>
        <w:rPr>
          <w:rFonts w:eastAsia="Calibri"/>
          <w:color w:val="202124"/>
          <w:lang w:val="en-US" w:eastAsia="en-US"/>
        </w:rPr>
      </w:pPr>
    </w:p>
    <w:p w14:paraId="10E46B4A" w14:textId="77777777" w:rsidR="00B72A2C" w:rsidRPr="00B72A2C" w:rsidRDefault="00B72A2C" w:rsidP="00B72A2C">
      <w:pPr>
        <w:spacing w:line="360" w:lineRule="auto"/>
        <w:jc w:val="both"/>
        <w:rPr>
          <w:rFonts w:eastAsia="Calibri"/>
          <w:color w:val="202124"/>
          <w:lang w:val="en-US" w:eastAsia="en-US"/>
        </w:rPr>
      </w:pPr>
    </w:p>
    <w:p w14:paraId="25F4A53D" w14:textId="77777777" w:rsidR="00B72A2C" w:rsidRPr="00B72A2C" w:rsidRDefault="00B72A2C" w:rsidP="00B72A2C">
      <w:pPr>
        <w:spacing w:line="360" w:lineRule="auto"/>
        <w:jc w:val="both"/>
        <w:rPr>
          <w:rFonts w:eastAsia="Calibri"/>
          <w:color w:val="202124"/>
          <w:lang w:val="es-ES" w:eastAsia="en-US"/>
        </w:rPr>
      </w:pPr>
      <w:r w:rsidRPr="00B72A2C">
        <w:rPr>
          <w:rFonts w:eastAsia="Calibri"/>
          <w:color w:val="202124"/>
          <w:lang w:val="es-ES" w:eastAsia="en-US"/>
        </w:rPr>
        <w:t>Recibido: 08/02/2022</w:t>
      </w:r>
    </w:p>
    <w:p w14:paraId="3573E735" w14:textId="77777777" w:rsidR="00B72A2C" w:rsidRPr="00B72A2C" w:rsidRDefault="00B72A2C" w:rsidP="00B72A2C">
      <w:pPr>
        <w:tabs>
          <w:tab w:val="center" w:pos="4702"/>
        </w:tabs>
        <w:spacing w:line="360" w:lineRule="auto"/>
        <w:jc w:val="both"/>
        <w:rPr>
          <w:rFonts w:eastAsia="Calibri"/>
          <w:color w:val="202124"/>
          <w:lang w:val="es-ES" w:eastAsia="en-US"/>
        </w:rPr>
      </w:pPr>
      <w:r w:rsidRPr="00B72A2C">
        <w:rPr>
          <w:rFonts w:eastAsia="Calibri"/>
          <w:color w:val="202124"/>
          <w:lang w:val="es-ES" w:eastAsia="en-US"/>
        </w:rPr>
        <w:t>Aprobado: 03/08/2022</w:t>
      </w:r>
    </w:p>
    <w:p w14:paraId="3A79B21F" w14:textId="77777777" w:rsidR="00B72A2C" w:rsidRPr="00B72A2C" w:rsidRDefault="00B72A2C" w:rsidP="00B72A2C">
      <w:pPr>
        <w:spacing w:line="360" w:lineRule="auto"/>
        <w:jc w:val="both"/>
        <w:rPr>
          <w:rFonts w:eastAsia="Calibri"/>
          <w:lang w:val="es-ES" w:eastAsia="en-US"/>
        </w:rPr>
      </w:pPr>
    </w:p>
    <w:p w14:paraId="69B32F3E" w14:textId="77777777" w:rsidR="00B72A2C" w:rsidRPr="00B72A2C" w:rsidRDefault="00B72A2C" w:rsidP="00B72A2C">
      <w:pPr>
        <w:spacing w:line="360" w:lineRule="auto"/>
        <w:jc w:val="center"/>
        <w:rPr>
          <w:rFonts w:eastAsia="Calibri"/>
          <w:b/>
          <w:sz w:val="32"/>
          <w:szCs w:val="32"/>
          <w:lang w:val="es-ES" w:eastAsia="en-US"/>
        </w:rPr>
      </w:pPr>
    </w:p>
    <w:p w14:paraId="1A285184" w14:textId="77777777" w:rsidR="00B72A2C" w:rsidRPr="00B72A2C" w:rsidRDefault="00B72A2C" w:rsidP="00B72A2C">
      <w:pPr>
        <w:spacing w:line="360" w:lineRule="auto"/>
        <w:jc w:val="center"/>
        <w:rPr>
          <w:rFonts w:eastAsia="Calibri"/>
          <w:sz w:val="32"/>
          <w:szCs w:val="32"/>
          <w:lang w:val="es-ES" w:eastAsia="en-US"/>
        </w:rPr>
      </w:pPr>
      <w:r w:rsidRPr="00B72A2C">
        <w:rPr>
          <w:rFonts w:eastAsia="Calibri"/>
          <w:b/>
          <w:sz w:val="32"/>
          <w:szCs w:val="32"/>
          <w:lang w:val="es-ES" w:eastAsia="en-US"/>
        </w:rPr>
        <w:t>INTRODUCCIÓN</w:t>
      </w:r>
    </w:p>
    <w:p w14:paraId="17CBEF53" w14:textId="77777777" w:rsidR="00B72A2C" w:rsidRPr="00B72A2C" w:rsidRDefault="00B72A2C" w:rsidP="00B72A2C">
      <w:pPr>
        <w:spacing w:line="360" w:lineRule="auto"/>
        <w:jc w:val="both"/>
        <w:rPr>
          <w:rFonts w:eastAsia="Calibri"/>
          <w:b/>
          <w:color w:val="FF0000"/>
          <w:vertAlign w:val="superscript"/>
          <w:lang w:val="es-ES" w:eastAsia="en-US"/>
        </w:rPr>
      </w:pPr>
      <w:r w:rsidRPr="00B72A2C">
        <w:rPr>
          <w:rFonts w:eastAsia="Calibri"/>
          <w:lang w:val="es-ES" w:eastAsia="en-US"/>
        </w:rPr>
        <w:t>Las enfermedades cardiovasculares y el cáncer comparten múltiples factores de riesgo. Son las dos principales causas de mortalidad y aportan el 46,1 % de las muertes a nivel mundial, por lo que el tratamiento integrado de ambas enfermedades plantea un enorme reto.</w:t>
      </w:r>
      <w:r w:rsidRPr="00B72A2C">
        <w:rPr>
          <w:rFonts w:eastAsia="Calibri"/>
          <w:vertAlign w:val="superscript"/>
          <w:lang w:val="es-ES" w:eastAsia="en-US"/>
        </w:rPr>
        <w:t xml:space="preserve">(1,2,3) </w:t>
      </w:r>
      <w:r w:rsidRPr="00B72A2C">
        <w:rPr>
          <w:rFonts w:eastAsia="Calibri"/>
          <w:lang w:val="es-ES" w:eastAsia="en-US"/>
        </w:rPr>
        <w:t>Las complicaciones cardiacas representan la segunda causa de mortalidad entre los supervivientes al cáncer y en dependencia del tipo de neoplasia, hasta un 30 % fallecen por esas causas.</w:t>
      </w:r>
      <w:r w:rsidRPr="00B72A2C">
        <w:rPr>
          <w:rFonts w:eastAsia="Calibri"/>
          <w:vertAlign w:val="superscript"/>
          <w:lang w:val="es-ES" w:eastAsia="en-US"/>
        </w:rPr>
        <w:t>(4,5)</w:t>
      </w:r>
    </w:p>
    <w:p w14:paraId="05A909BD" w14:textId="77777777" w:rsidR="00B72A2C" w:rsidRPr="00B72A2C" w:rsidRDefault="00B72A2C" w:rsidP="00B72A2C">
      <w:pPr>
        <w:spacing w:line="360" w:lineRule="auto"/>
        <w:jc w:val="both"/>
        <w:rPr>
          <w:rFonts w:eastAsia="Calibri"/>
          <w:vertAlign w:val="superscript"/>
          <w:lang w:val="es-ES" w:eastAsia="en-US"/>
        </w:rPr>
      </w:pPr>
      <w:r w:rsidRPr="00B72A2C">
        <w:rPr>
          <w:rFonts w:eastAsia="Calibri"/>
          <w:lang w:val="es-ES" w:eastAsia="en-US"/>
        </w:rPr>
        <w:t>Las antraciclinas constituyen un pilar fundamental en el arsenal terapéutico, pero pueden inducir cardiotoxicidad (CTx) de forma frecuente. Cuando se usan en combinación con otros antineoplásicos pueden provocar insuficiencia cardíaca en 27 % al 48 % de los pacientes, en especial, mujeres mayores de 60 años, con factores de riesgo cardiovascular concomitantes y dosis elevadas.</w:t>
      </w:r>
      <w:r w:rsidRPr="00B72A2C">
        <w:rPr>
          <w:rFonts w:eastAsia="Calibri"/>
          <w:vertAlign w:val="superscript"/>
          <w:lang w:val="es-ES" w:eastAsia="en-US"/>
        </w:rPr>
        <w:t>(6,7,8)</w:t>
      </w:r>
    </w:p>
    <w:p w14:paraId="40E74F2F"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Si bien es una complicación reconocida y esperada, su frecuencia es variable y depende de varios aspectos: tipo de fármaco, dosis inicial y acumulada, asociación con irradiación mediastinal y factores de riesgo propios del paciente para la CTx (edad, sexo y enfermedad cardiovascular previa).</w:t>
      </w:r>
      <w:r w:rsidRPr="00B72A2C">
        <w:rPr>
          <w:rFonts w:eastAsia="Calibri"/>
          <w:vertAlign w:val="superscript"/>
          <w:lang w:val="es-ES" w:eastAsia="en-US"/>
        </w:rPr>
        <w:t>(9,10,11)</w:t>
      </w:r>
    </w:p>
    <w:p w14:paraId="04D58868"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 xml:space="preserve">Existentes muchas investigaciones sobre el tema, pero enfocan su atención en aspectos específicos, como el diagnóstico precoz y reversibilidad de la CTx, lo cual requiere de medios enzimáticos y hemoquímicos, así como modernas y costosas técnicas de imágenes, no disponibles en Cuba. </w:t>
      </w:r>
    </w:p>
    <w:p w14:paraId="0EDEB874" w14:textId="77777777" w:rsidR="00B72A2C" w:rsidRPr="00B72A2C" w:rsidRDefault="00B72A2C" w:rsidP="00B72A2C">
      <w:pPr>
        <w:spacing w:line="360" w:lineRule="auto"/>
        <w:jc w:val="both"/>
        <w:rPr>
          <w:rFonts w:eastAsia="Calibri"/>
          <w:lang w:val="es-ES" w:eastAsia="en-US"/>
        </w:rPr>
      </w:pPr>
      <w:r w:rsidRPr="00B72A2C">
        <w:rPr>
          <w:rFonts w:eastAsia="Batang"/>
          <w:lang w:val="es-ES" w:eastAsia="de-DE"/>
        </w:rPr>
        <w:lastRenderedPageBreak/>
        <w:t xml:space="preserve">Se dispone de </w:t>
      </w:r>
      <w:r w:rsidRPr="00B72A2C">
        <w:rPr>
          <w:rFonts w:eastAsia="Calibri"/>
          <w:lang w:val="es-ES" w:eastAsia="en-US"/>
        </w:rPr>
        <w:t>datos insuficientes en cuanto a la incidencia y la evolución natural de la CTx por quimioterapia a corto plazo. La mayoría de los datos disponibles proceden de registros retrospectivos y revelan características variables, en función de la definición de CTx empleada, la edad de los pacientes y los fármacos utilizados. Su conocimiento permite una adecuada provisión de recursos, la comparación de datos entre diferentes unidades y el diseño de políticas de prevención y mitigación de falla cardiaca.</w:t>
      </w:r>
    </w:p>
    <w:p w14:paraId="1156F63C" w14:textId="77777777" w:rsidR="00B72A2C" w:rsidRPr="00B72A2C" w:rsidRDefault="00B72A2C" w:rsidP="00B72A2C">
      <w:pPr>
        <w:suppressAutoHyphens/>
        <w:spacing w:line="360" w:lineRule="auto"/>
        <w:jc w:val="both"/>
        <w:rPr>
          <w:rFonts w:eastAsia="Batang"/>
          <w:kern w:val="2"/>
          <w:lang w:val="es-ES" w:eastAsia="de-DE" w:bidi="hi-IN"/>
        </w:rPr>
      </w:pPr>
      <w:r w:rsidRPr="00B72A2C">
        <w:rPr>
          <w:rFonts w:eastAsia="Batang"/>
          <w:kern w:val="2"/>
          <w:lang w:val="es-ES" w:eastAsia="de-DE" w:bidi="hi-IN"/>
        </w:rPr>
        <w:t>El objetivo de este estudio es i</w:t>
      </w:r>
      <w:r w:rsidRPr="00B72A2C">
        <w:rPr>
          <w:rFonts w:eastAsia="Noto Serif CJK SC"/>
          <w:bCs/>
          <w:kern w:val="2"/>
          <w:lang w:val="es-ES" w:eastAsia="zh-CN" w:bidi="hi-IN"/>
        </w:rPr>
        <w:t xml:space="preserve">dentificar las características clínicas y ecocardiográficas de cardiotoxicidad en pacientes con cáncer de mama tratadas con quimioterapia. </w:t>
      </w:r>
    </w:p>
    <w:p w14:paraId="50312932" w14:textId="77777777" w:rsidR="00B72A2C" w:rsidRPr="00B72A2C" w:rsidRDefault="00B72A2C" w:rsidP="00B72A2C">
      <w:pPr>
        <w:spacing w:line="360" w:lineRule="auto"/>
        <w:rPr>
          <w:rFonts w:ascii="Calibri" w:eastAsia="Calibri" w:hAnsi="Calibri"/>
          <w:sz w:val="22"/>
          <w:szCs w:val="22"/>
          <w:lang w:val="es-ES" w:eastAsia="en-US"/>
        </w:rPr>
      </w:pPr>
    </w:p>
    <w:p w14:paraId="0906555C" w14:textId="77777777" w:rsidR="00B72A2C" w:rsidRPr="00B72A2C" w:rsidRDefault="00B72A2C" w:rsidP="00B72A2C">
      <w:pPr>
        <w:spacing w:line="360" w:lineRule="auto"/>
        <w:jc w:val="center"/>
        <w:rPr>
          <w:rFonts w:eastAsia="Calibri"/>
          <w:b/>
          <w:sz w:val="32"/>
          <w:szCs w:val="32"/>
          <w:lang w:val="es-ES" w:eastAsia="en-US"/>
        </w:rPr>
      </w:pPr>
    </w:p>
    <w:p w14:paraId="53055701" w14:textId="77777777" w:rsidR="00B72A2C" w:rsidRPr="00B72A2C" w:rsidRDefault="00B72A2C" w:rsidP="00B72A2C">
      <w:pPr>
        <w:spacing w:line="360" w:lineRule="auto"/>
        <w:jc w:val="center"/>
        <w:rPr>
          <w:rFonts w:eastAsia="Calibri"/>
          <w:b/>
          <w:sz w:val="32"/>
          <w:szCs w:val="32"/>
          <w:lang w:val="es-ES" w:eastAsia="en-US"/>
        </w:rPr>
      </w:pPr>
      <w:r w:rsidRPr="00B72A2C">
        <w:rPr>
          <w:rFonts w:eastAsia="Calibri"/>
          <w:b/>
          <w:sz w:val="32"/>
          <w:szCs w:val="32"/>
          <w:lang w:val="es-ES" w:eastAsia="en-US"/>
        </w:rPr>
        <w:t>MÉTODOS</w:t>
      </w:r>
    </w:p>
    <w:p w14:paraId="0EE79E21"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 xml:space="preserve">Se realizó un estudio observacional, descriptivo de corte transversal en pacientes con cáncer de mama, con quimioterapia, seguidas en consulta de cardio-oncología </w:t>
      </w:r>
      <w:r w:rsidRPr="00B72A2C">
        <w:rPr>
          <w:rFonts w:eastAsia="Calibri"/>
          <w:lang w:val="es-DO" w:eastAsia="en-US"/>
        </w:rPr>
        <w:t xml:space="preserve">del </w:t>
      </w:r>
      <w:r w:rsidRPr="00B72A2C">
        <w:rPr>
          <w:rFonts w:eastAsia="Calibri"/>
          <w:lang w:val="es-ES" w:eastAsia="en-US"/>
        </w:rPr>
        <w:t xml:space="preserve">Hospital Provincial General “Carlos Manuel de Céspedes” de Bayamo, Cuba, en el periodo comprendido entre el 15 de enero de 2019 al 16 de abril de 2022. </w:t>
      </w:r>
      <w:r w:rsidRPr="00B72A2C">
        <w:rPr>
          <w:lang w:val="es-ES" w:eastAsia="es-ES"/>
        </w:rPr>
        <w:t>El universo estuvo constituido por 519 mujeres, del cual se obtuvo una muestra de 451, seleccionada de acuerdo con los siguientes criterios.</w:t>
      </w:r>
    </w:p>
    <w:p w14:paraId="66AA0684" w14:textId="77777777" w:rsidR="00B72A2C" w:rsidRPr="00B72A2C" w:rsidRDefault="00B72A2C" w:rsidP="00B72A2C">
      <w:pPr>
        <w:spacing w:line="360" w:lineRule="auto"/>
        <w:jc w:val="center"/>
        <w:rPr>
          <w:rFonts w:eastAsia="Calibri"/>
          <w:b/>
          <w:sz w:val="28"/>
          <w:szCs w:val="28"/>
          <w:lang w:val="es-ES" w:eastAsia="en-US"/>
        </w:rPr>
      </w:pPr>
      <w:r w:rsidRPr="00B72A2C">
        <w:rPr>
          <w:rFonts w:eastAsia="Calibri"/>
          <w:b/>
          <w:sz w:val="28"/>
          <w:szCs w:val="28"/>
          <w:lang w:val="es-ES" w:eastAsia="en-US"/>
        </w:rPr>
        <w:t>Criterios de inclusión</w:t>
      </w:r>
    </w:p>
    <w:p w14:paraId="23C8EE71"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s-ES"/>
        </w:rPr>
        <w:t xml:space="preserve">Mujeres </w:t>
      </w:r>
      <w:r w:rsidRPr="00B72A2C">
        <w:rPr>
          <w:rFonts w:eastAsia="Calibri"/>
          <w:lang w:val="es-ES" w:eastAsia="en-US"/>
        </w:rPr>
        <w:t xml:space="preserve">de 18 años de edad o más, con cáncer de mama no terminal, sometidas a tratamiento con citostáticos cardiotóxicos - antraciclinas (doxorribicina) + taxanos (paclitaxel o docetaxel) -, que dieron su consentimiento para participar en el estudio </w:t>
      </w:r>
      <w:r w:rsidRPr="00B72A2C">
        <w:rPr>
          <w:lang w:val="es-ES" w:eastAsia="en-US"/>
        </w:rPr>
        <w:t>según el protocolo de actuación del servicio de oncología, aprobado por el Comité de Ética de la Investigación del hospital</w:t>
      </w:r>
      <w:r w:rsidRPr="00B72A2C">
        <w:rPr>
          <w:rFonts w:eastAsia="Calibri"/>
          <w:lang w:val="es-ES" w:eastAsia="en-US"/>
        </w:rPr>
        <w:t>.</w:t>
      </w:r>
      <w:r w:rsidRPr="00B72A2C">
        <w:rPr>
          <w:rFonts w:eastAsia="Calibri"/>
          <w:vertAlign w:val="superscript"/>
          <w:lang w:val="es-ES" w:eastAsia="en-US"/>
        </w:rPr>
        <w:t>(12)</w:t>
      </w:r>
    </w:p>
    <w:p w14:paraId="6E701B85" w14:textId="77777777" w:rsidR="00B72A2C" w:rsidRPr="00B72A2C" w:rsidRDefault="00B72A2C" w:rsidP="00B72A2C">
      <w:pPr>
        <w:spacing w:line="360" w:lineRule="auto"/>
        <w:jc w:val="center"/>
        <w:rPr>
          <w:rFonts w:eastAsia="Calibri"/>
          <w:b/>
          <w:sz w:val="28"/>
          <w:szCs w:val="28"/>
          <w:lang w:val="es-ES" w:eastAsia="en-US"/>
        </w:rPr>
      </w:pPr>
      <w:r w:rsidRPr="00B72A2C">
        <w:rPr>
          <w:rFonts w:eastAsia="Calibri"/>
          <w:b/>
          <w:sz w:val="28"/>
          <w:szCs w:val="28"/>
          <w:lang w:val="es-ES" w:eastAsia="en-US"/>
        </w:rPr>
        <w:t>Criterios de exclusión</w:t>
      </w:r>
    </w:p>
    <w:p w14:paraId="5DDCBF8A"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 xml:space="preserve">Pacientes con antecedentes de cardiopatía congénita, valvular, isquémica o hipertensiva grado III o IV; enfermedades sistémicas que por su evolución natural o por el empleo de diversos fármacos en su tratamiento pudieran ocasionar cardiopatía estructural (enfermedades tiroideas, enfermedades inflamatorias crónicas intestinales, del colágeno o cualquier otra que por sus características pudieran ocasionar cardiopatía) y pacientes con antecedentes de quimioterapia previa. </w:t>
      </w:r>
    </w:p>
    <w:p w14:paraId="5C7AA6F7" w14:textId="77777777" w:rsidR="00452500" w:rsidRDefault="00452500">
      <w:pPr>
        <w:rPr>
          <w:rFonts w:eastAsia="Calibri"/>
          <w:b/>
          <w:sz w:val="28"/>
          <w:szCs w:val="28"/>
          <w:lang w:val="es-ES" w:eastAsia="en-US"/>
        </w:rPr>
      </w:pPr>
      <w:r>
        <w:rPr>
          <w:rFonts w:eastAsia="Calibri"/>
          <w:b/>
          <w:sz w:val="28"/>
          <w:szCs w:val="28"/>
          <w:lang w:val="es-ES" w:eastAsia="en-US"/>
        </w:rPr>
        <w:br w:type="page"/>
      </w:r>
    </w:p>
    <w:p w14:paraId="78AD05A5" w14:textId="21BCA109" w:rsidR="00B72A2C" w:rsidRPr="00B72A2C" w:rsidRDefault="00B72A2C" w:rsidP="00B72A2C">
      <w:pPr>
        <w:spacing w:line="360" w:lineRule="auto"/>
        <w:jc w:val="center"/>
        <w:rPr>
          <w:rFonts w:eastAsia="Calibri"/>
          <w:b/>
          <w:sz w:val="28"/>
          <w:szCs w:val="28"/>
          <w:lang w:val="es-ES" w:eastAsia="en-US"/>
        </w:rPr>
      </w:pPr>
      <w:r w:rsidRPr="00B72A2C">
        <w:rPr>
          <w:rFonts w:eastAsia="Calibri"/>
          <w:b/>
          <w:sz w:val="28"/>
          <w:szCs w:val="28"/>
          <w:lang w:val="es-ES" w:eastAsia="en-US"/>
        </w:rPr>
        <w:lastRenderedPageBreak/>
        <w:t>Variables</w:t>
      </w:r>
    </w:p>
    <w:p w14:paraId="20BE7617" w14:textId="77777777" w:rsidR="00B72A2C" w:rsidRPr="00B72A2C" w:rsidRDefault="00B72A2C" w:rsidP="00B72A2C">
      <w:pPr>
        <w:numPr>
          <w:ilvl w:val="0"/>
          <w:numId w:val="29"/>
        </w:numPr>
        <w:suppressAutoHyphens/>
        <w:spacing w:line="360" w:lineRule="auto"/>
        <w:ind w:left="284" w:hanging="284"/>
        <w:jc w:val="both"/>
        <w:rPr>
          <w:rFonts w:eastAsia="Calibri"/>
          <w:lang w:val="es-ES"/>
        </w:rPr>
      </w:pPr>
      <w:r w:rsidRPr="00B72A2C">
        <w:rPr>
          <w:rFonts w:eastAsia="Calibri"/>
          <w:bCs/>
          <w:lang w:val="es-ES" w:eastAsia="en-US"/>
        </w:rPr>
        <w:t>CTx:</w:t>
      </w:r>
      <w:r w:rsidRPr="00B72A2C">
        <w:rPr>
          <w:rFonts w:eastAsia="Calibri"/>
          <w:lang w:val="es-ES" w:eastAsia="en-US"/>
        </w:rPr>
        <w:t xml:space="preserve"> pacientes que cumplieran con el siguiente criterio diagnóstico: f</w:t>
      </w:r>
      <w:r w:rsidRPr="00B72A2C">
        <w:rPr>
          <w:rFonts w:eastAsia="Calibri"/>
          <w:lang w:val="es-ES"/>
        </w:rPr>
        <w:t xml:space="preserve">alla cardiaca por CTx según criterio del </w:t>
      </w:r>
      <w:r w:rsidRPr="00B72A2C">
        <w:rPr>
          <w:rFonts w:eastAsia="Calibri"/>
          <w:i/>
          <w:lang w:val="es-ES" w:eastAsia="en-US"/>
        </w:rPr>
        <w:t>Cardiac Review and Evaluation Committee</w:t>
      </w:r>
      <w:r w:rsidRPr="00B72A2C">
        <w:rPr>
          <w:rFonts w:eastAsia="Calibri"/>
          <w:vertAlign w:val="superscript"/>
          <w:lang w:val="es-ES"/>
        </w:rPr>
        <w:t>(13)</w:t>
      </w:r>
      <w:r w:rsidRPr="00B72A2C">
        <w:rPr>
          <w:rFonts w:eastAsia="Calibri"/>
          <w:lang w:val="es-ES"/>
        </w:rPr>
        <w:t xml:space="preserve"> diagnosticada por ecocardiografía transtorácica por el método de Simpson modificado: </w:t>
      </w:r>
    </w:p>
    <w:p w14:paraId="45C5209B" w14:textId="77777777" w:rsidR="00B72A2C" w:rsidRPr="00B72A2C" w:rsidRDefault="00B72A2C" w:rsidP="00B72A2C">
      <w:pPr>
        <w:numPr>
          <w:ilvl w:val="0"/>
          <w:numId w:val="38"/>
        </w:numPr>
        <w:suppressAutoHyphens/>
        <w:spacing w:line="360" w:lineRule="auto"/>
        <w:jc w:val="both"/>
        <w:rPr>
          <w:rFonts w:eastAsia="Calibri"/>
          <w:lang w:val="es-ES" w:eastAsia="en-US"/>
        </w:rPr>
      </w:pPr>
      <w:r w:rsidRPr="00B72A2C">
        <w:rPr>
          <w:rFonts w:eastAsia="Calibri"/>
          <w:lang w:val="es-VE" w:eastAsia="en-US"/>
        </w:rPr>
        <w:t>Disminución de al menos el 5 % de la fracción de eyección ventricular izquierda (FEVI) con valores menores al 55 %, con signos o síntomas de falla cardiaca.</w:t>
      </w:r>
    </w:p>
    <w:p w14:paraId="3680A264" w14:textId="77777777" w:rsidR="00B72A2C" w:rsidRPr="00B72A2C" w:rsidRDefault="00B72A2C" w:rsidP="00B72A2C">
      <w:pPr>
        <w:numPr>
          <w:ilvl w:val="0"/>
          <w:numId w:val="38"/>
        </w:numPr>
        <w:suppressAutoHyphens/>
        <w:spacing w:line="360" w:lineRule="auto"/>
        <w:jc w:val="both"/>
        <w:rPr>
          <w:rFonts w:eastAsia="Calibri"/>
          <w:lang w:val="es-ES" w:eastAsia="en-US"/>
        </w:rPr>
      </w:pPr>
      <w:r w:rsidRPr="00B72A2C">
        <w:rPr>
          <w:rFonts w:eastAsia="Calibri"/>
          <w:lang w:val="es-VE" w:eastAsia="en-US"/>
        </w:rPr>
        <w:t>Disminución de al menos el 10 % en la FEVI con valores menores del 55 %, sin la presencia de signos o síntomas.</w:t>
      </w:r>
    </w:p>
    <w:p w14:paraId="7FE2A620" w14:textId="77777777" w:rsidR="00B72A2C" w:rsidRPr="00B72A2C" w:rsidRDefault="00B72A2C" w:rsidP="00B72A2C">
      <w:pPr>
        <w:numPr>
          <w:ilvl w:val="0"/>
          <w:numId w:val="31"/>
        </w:numPr>
        <w:suppressAutoHyphens/>
        <w:spacing w:line="360" w:lineRule="auto"/>
        <w:ind w:left="284" w:hanging="284"/>
        <w:jc w:val="both"/>
        <w:rPr>
          <w:rFonts w:eastAsia="Calibri"/>
          <w:lang w:val="es-ES" w:eastAsia="en-US"/>
        </w:rPr>
      </w:pPr>
      <w:r w:rsidRPr="00B72A2C">
        <w:rPr>
          <w:rFonts w:eastAsia="Calibri"/>
          <w:bCs/>
          <w:lang w:val="es-ES" w:eastAsia="en-US"/>
        </w:rPr>
        <w:t xml:space="preserve">CTx precoz: </w:t>
      </w:r>
      <w:r w:rsidRPr="00B72A2C">
        <w:rPr>
          <w:rFonts w:eastAsia="Calibri"/>
          <w:lang w:val="es-ES" w:eastAsia="en-US"/>
        </w:rPr>
        <w:t xml:space="preserve">falla cardiaca que aparece hasta el primer año después de aplicada quimioterapia. </w:t>
      </w:r>
    </w:p>
    <w:p w14:paraId="350C04A0" w14:textId="77777777" w:rsidR="00B72A2C" w:rsidRPr="00B72A2C" w:rsidRDefault="00B72A2C" w:rsidP="00B72A2C">
      <w:pPr>
        <w:numPr>
          <w:ilvl w:val="0"/>
          <w:numId w:val="30"/>
        </w:numPr>
        <w:suppressAutoHyphens/>
        <w:spacing w:line="360" w:lineRule="auto"/>
        <w:ind w:left="284" w:hanging="284"/>
        <w:jc w:val="both"/>
        <w:rPr>
          <w:rFonts w:eastAsia="Calibri"/>
          <w:lang w:val="es-ES" w:eastAsia="en-US"/>
        </w:rPr>
      </w:pPr>
      <w:r w:rsidRPr="00B72A2C">
        <w:rPr>
          <w:rFonts w:eastAsia="Calibri"/>
          <w:bCs/>
          <w:lang w:val="es-ES" w:eastAsia="en-US"/>
        </w:rPr>
        <w:t>E</w:t>
      </w:r>
      <w:r w:rsidRPr="00B72A2C">
        <w:rPr>
          <w:rFonts w:eastAsia="Calibri"/>
          <w:lang w:val="es-ES" w:eastAsia="en-US"/>
        </w:rPr>
        <w:t>dad en años cumplidos.</w:t>
      </w:r>
    </w:p>
    <w:p w14:paraId="291A304A" w14:textId="77777777" w:rsidR="00B72A2C" w:rsidRPr="00B72A2C" w:rsidRDefault="00B72A2C" w:rsidP="00B72A2C">
      <w:pPr>
        <w:numPr>
          <w:ilvl w:val="0"/>
          <w:numId w:val="30"/>
        </w:numPr>
        <w:suppressAutoHyphens/>
        <w:spacing w:line="360" w:lineRule="auto"/>
        <w:ind w:left="284" w:hanging="284"/>
        <w:jc w:val="both"/>
        <w:rPr>
          <w:rFonts w:eastAsia="Calibri"/>
          <w:lang w:val="es-ES" w:eastAsia="en-US"/>
        </w:rPr>
      </w:pPr>
      <w:r w:rsidRPr="00B72A2C">
        <w:rPr>
          <w:rFonts w:eastAsia="Calibri"/>
          <w:lang w:val="es-ES" w:eastAsia="en-US"/>
        </w:rPr>
        <w:t>Antecedentes: de hipertensión arterial (HTA),diabetes mellitus (DM), obesidad (índice de masa corporal &gt; 29,9 kg/m</w:t>
      </w:r>
      <w:r w:rsidRPr="00B72A2C">
        <w:rPr>
          <w:rFonts w:eastAsia="Calibri"/>
          <w:vertAlign w:val="superscript"/>
          <w:lang w:val="es-ES" w:eastAsia="en-US"/>
        </w:rPr>
        <w:t>2</w:t>
      </w:r>
      <w:r w:rsidRPr="00B72A2C">
        <w:rPr>
          <w:rFonts w:eastAsia="Calibri"/>
          <w:lang w:val="es-ES" w:eastAsia="en-US"/>
        </w:rPr>
        <w:t xml:space="preserve"> y circunferencia abdominal &gt; de 88 cm), dislipidemia (hipercolesterolemia-colesterol total &gt; 5,5 mmol/L- o hipertrigliceridemia- triglicéridos &gt; 1,8 mmol/L),</w:t>
      </w:r>
      <w:r w:rsidRPr="00B72A2C">
        <w:rPr>
          <w:rFonts w:eastAsia="Calibri"/>
          <w:lang w:val="es-ES"/>
        </w:rPr>
        <w:t>tabaquismo (</w:t>
      </w:r>
      <w:r w:rsidRPr="00B72A2C">
        <w:rPr>
          <w:rFonts w:eastAsia="Calibri"/>
          <w:lang w:val="es-ES" w:eastAsia="en-US"/>
        </w:rPr>
        <w:t>fumador si consume diariamente o exfumador si dejó de fumar hace menos de 1 año).</w:t>
      </w:r>
      <w:r w:rsidRPr="00B72A2C">
        <w:rPr>
          <w:rFonts w:eastAsia="Calibri"/>
          <w:vertAlign w:val="superscript"/>
          <w:lang w:val="es-ES" w:eastAsia="en-US"/>
        </w:rPr>
        <w:t xml:space="preserve">(14) </w:t>
      </w:r>
    </w:p>
    <w:p w14:paraId="6CBB4944" w14:textId="77777777" w:rsidR="00B72A2C" w:rsidRPr="00B72A2C" w:rsidRDefault="00B72A2C" w:rsidP="00B72A2C">
      <w:pPr>
        <w:numPr>
          <w:ilvl w:val="0"/>
          <w:numId w:val="30"/>
        </w:numPr>
        <w:suppressAutoHyphens/>
        <w:spacing w:line="360" w:lineRule="auto"/>
        <w:ind w:left="284" w:hanging="284"/>
        <w:jc w:val="both"/>
        <w:rPr>
          <w:rFonts w:eastAsia="Calibri"/>
          <w:lang w:val="es-ES" w:eastAsia="en-US"/>
        </w:rPr>
      </w:pPr>
      <w:r w:rsidRPr="00B72A2C">
        <w:rPr>
          <w:rFonts w:eastAsia="Calibri"/>
          <w:lang w:val="es-ES" w:eastAsia="en-US"/>
        </w:rPr>
        <w:t xml:space="preserve">Filtrado glomerular (FG): para estimarlo se aplicó la ecuación </w:t>
      </w:r>
      <w:r w:rsidRPr="00B72A2C">
        <w:rPr>
          <w:rFonts w:eastAsia="Calibri"/>
          <w:i/>
          <w:iCs/>
          <w:color w:val="212121"/>
          <w:shd w:val="clear" w:color="auto" w:fill="FFFFFF"/>
          <w:lang w:val="es-ES" w:eastAsia="en-US"/>
        </w:rPr>
        <w:t xml:space="preserve">Modification of Diet in Renal Disease </w:t>
      </w:r>
      <w:r w:rsidRPr="00B72A2C">
        <w:rPr>
          <w:rFonts w:eastAsia="Calibri"/>
          <w:color w:val="212121"/>
          <w:shd w:val="clear" w:color="auto" w:fill="FFFFFF"/>
          <w:lang w:val="es-ES" w:eastAsia="en-US"/>
        </w:rPr>
        <w:t>(</w:t>
      </w:r>
      <w:r w:rsidRPr="00B72A2C">
        <w:rPr>
          <w:rFonts w:eastAsia="Calibri"/>
          <w:lang w:val="es-ES" w:eastAsia="en-US"/>
        </w:rPr>
        <w:t>MDRD) modificada:</w:t>
      </w:r>
      <w:r w:rsidRPr="00B72A2C">
        <w:rPr>
          <w:rFonts w:eastAsia="Calibri"/>
          <w:vertAlign w:val="superscript"/>
          <w:lang w:val="es-ES" w:eastAsia="en-US"/>
        </w:rPr>
        <w:t>(15)</w:t>
      </w:r>
    </w:p>
    <w:p w14:paraId="67F6B35B" w14:textId="77777777" w:rsidR="00B72A2C" w:rsidRPr="00B72A2C" w:rsidRDefault="00B72A2C" w:rsidP="00B72A2C">
      <w:pPr>
        <w:spacing w:line="360" w:lineRule="auto"/>
        <w:ind w:left="284"/>
        <w:jc w:val="both"/>
        <w:rPr>
          <w:rFonts w:eastAsia="Calibri"/>
          <w:lang w:val="es-ES" w:eastAsia="en-US"/>
        </w:rPr>
      </w:pPr>
      <w:r w:rsidRPr="00B72A2C">
        <w:rPr>
          <w:rFonts w:eastAsia="Calibri"/>
          <w:lang w:val="es-ES" w:eastAsia="en-US"/>
        </w:rPr>
        <w:t>FG (mL/min/1,73 m</w:t>
      </w:r>
      <w:r w:rsidRPr="00B72A2C">
        <w:rPr>
          <w:rFonts w:eastAsia="Calibri"/>
          <w:vertAlign w:val="superscript"/>
          <w:lang w:val="es-ES" w:eastAsia="en-US"/>
        </w:rPr>
        <w:t>2</w:t>
      </w:r>
      <w:r w:rsidRPr="00B72A2C">
        <w:rPr>
          <w:rFonts w:eastAsia="Calibri"/>
          <w:lang w:val="es-ES" w:eastAsia="en-US"/>
        </w:rPr>
        <w:t xml:space="preserve">)= 186 x [creatinina plasmática (mg/dl)] </w:t>
      </w:r>
      <w:r w:rsidRPr="00B72A2C">
        <w:rPr>
          <w:rFonts w:eastAsia="Calibri"/>
          <w:vertAlign w:val="superscript"/>
          <w:lang w:val="es-ES" w:eastAsia="en-US"/>
        </w:rPr>
        <w:t>-1,154</w:t>
      </w:r>
      <w:r w:rsidRPr="00B72A2C">
        <w:rPr>
          <w:rFonts w:eastAsia="Calibri"/>
          <w:lang w:val="es-ES" w:eastAsia="en-US"/>
        </w:rPr>
        <w:t xml:space="preserve"> x (edad)-</w:t>
      </w:r>
      <w:r w:rsidRPr="00B72A2C">
        <w:rPr>
          <w:rFonts w:eastAsia="Calibri"/>
          <w:vertAlign w:val="superscript"/>
          <w:lang w:val="es-ES" w:eastAsia="en-US"/>
        </w:rPr>
        <w:t>0,203</w:t>
      </w:r>
      <w:r w:rsidRPr="00B72A2C">
        <w:rPr>
          <w:rFonts w:eastAsia="Calibri"/>
          <w:lang w:val="es-ES" w:eastAsia="en-US"/>
        </w:rPr>
        <w:t xml:space="preserve"> x (0,742 si mujer) x (1,212 si color de la piel negra)</w:t>
      </w:r>
    </w:p>
    <w:p w14:paraId="696481D3" w14:textId="77777777" w:rsidR="00A61385" w:rsidRDefault="00B72A2C" w:rsidP="00A61385">
      <w:pPr>
        <w:numPr>
          <w:ilvl w:val="0"/>
          <w:numId w:val="34"/>
        </w:numPr>
        <w:suppressAutoHyphens/>
        <w:spacing w:line="360" w:lineRule="auto"/>
        <w:ind w:left="284" w:hanging="284"/>
        <w:jc w:val="both"/>
        <w:rPr>
          <w:rFonts w:eastAsia="Calibri"/>
          <w:lang w:val="es-ES" w:eastAsia="en-US"/>
        </w:rPr>
      </w:pPr>
      <w:r w:rsidRPr="00B72A2C">
        <w:rPr>
          <w:rFonts w:eastAsia="Calibri"/>
          <w:lang w:val="es-ES" w:eastAsia="en-US"/>
        </w:rPr>
        <w:t>Síndrome metabólico (SM): 3 o más criterios del III panel de tratamiento del adulto (ATP III) del Programa Nacional de Educación en Colesterol (NCEP) de los EE.UU.</w:t>
      </w:r>
      <w:r w:rsidRPr="00B72A2C">
        <w:rPr>
          <w:rFonts w:eastAsia="Calibri"/>
          <w:vertAlign w:val="superscript"/>
          <w:lang w:val="es-ES" w:eastAsia="en-US"/>
        </w:rPr>
        <w:t>(16)</w:t>
      </w:r>
      <w:r w:rsidR="00A61385">
        <w:rPr>
          <w:rFonts w:eastAsia="Calibri"/>
          <w:lang w:val="es-ES" w:eastAsia="en-US"/>
        </w:rPr>
        <w:t xml:space="preserve"> ll</w:t>
      </w:r>
    </w:p>
    <w:p w14:paraId="6023BB8A" w14:textId="77777777" w:rsidR="00A61385" w:rsidRDefault="00B72A2C" w:rsidP="00A61385">
      <w:pPr>
        <w:numPr>
          <w:ilvl w:val="0"/>
          <w:numId w:val="34"/>
        </w:numPr>
        <w:suppressAutoHyphens/>
        <w:spacing w:line="360" w:lineRule="auto"/>
        <w:ind w:left="284" w:hanging="284"/>
        <w:jc w:val="both"/>
        <w:rPr>
          <w:rFonts w:eastAsia="Calibri"/>
          <w:lang w:val="es-ES" w:eastAsia="en-US"/>
        </w:rPr>
      </w:pPr>
      <w:r w:rsidRPr="00B72A2C">
        <w:rPr>
          <w:rFonts w:eastAsia="Calibri"/>
          <w:bCs/>
          <w:lang w:val="es-ES" w:eastAsia="en-US"/>
        </w:rPr>
        <w:t xml:space="preserve">Variables electrocardiográficas: </w:t>
      </w:r>
      <w:r w:rsidRPr="00B72A2C">
        <w:rPr>
          <w:rFonts w:eastAsia="Calibri"/>
          <w:lang w:val="es-ES" w:eastAsia="en-US"/>
        </w:rPr>
        <w:t xml:space="preserve">relación del intervalo Q-T/Q-Tc </w:t>
      </w:r>
      <w:r w:rsidRPr="00B72A2C">
        <w:rPr>
          <w:rFonts w:eastAsia="Calibri"/>
          <w:iCs/>
          <w:lang w:val="es-ES" w:eastAsia="en-US"/>
        </w:rPr>
        <w:t>(Bazett Q-Tc=Q-T/√R-R)</w:t>
      </w:r>
      <w:r w:rsidRPr="00B72A2C">
        <w:rPr>
          <w:rFonts w:eastAsia="Calibri"/>
          <w:vertAlign w:val="superscript"/>
          <w:lang w:val="es-ES" w:eastAsia="en-US"/>
        </w:rPr>
        <w:t xml:space="preserve"> (17) </w:t>
      </w:r>
      <w:r w:rsidRPr="00B72A2C">
        <w:rPr>
          <w:rFonts w:eastAsia="Calibri"/>
          <w:lang w:val="es-ES" w:eastAsia="en-US"/>
        </w:rPr>
        <w:t>y fibrilación auricular.</w:t>
      </w:r>
    </w:p>
    <w:p w14:paraId="6877CC20" w14:textId="2D6393A4" w:rsidR="00B72A2C" w:rsidRPr="00B72A2C" w:rsidRDefault="00B72A2C" w:rsidP="00A61385">
      <w:pPr>
        <w:numPr>
          <w:ilvl w:val="0"/>
          <w:numId w:val="34"/>
        </w:numPr>
        <w:suppressAutoHyphens/>
        <w:spacing w:line="360" w:lineRule="auto"/>
        <w:ind w:left="284" w:hanging="284"/>
        <w:jc w:val="both"/>
        <w:rPr>
          <w:rFonts w:eastAsia="Calibri"/>
          <w:lang w:val="es-ES" w:eastAsia="en-US"/>
        </w:rPr>
      </w:pPr>
      <w:r w:rsidRPr="00B72A2C">
        <w:rPr>
          <w:rFonts w:eastAsia="Calibri"/>
          <w:bCs/>
          <w:lang w:val="es-ES" w:eastAsia="en-US"/>
        </w:rPr>
        <w:t>Variables ecocardiográficas:</w:t>
      </w:r>
    </w:p>
    <w:p w14:paraId="56DEDEC3" w14:textId="77777777" w:rsidR="00B72A2C" w:rsidRPr="00B72A2C" w:rsidRDefault="00B72A2C" w:rsidP="00B72A2C">
      <w:pPr>
        <w:numPr>
          <w:ilvl w:val="0"/>
          <w:numId w:val="33"/>
        </w:numPr>
        <w:suppressAutoHyphens/>
        <w:spacing w:line="360" w:lineRule="auto"/>
        <w:ind w:left="567" w:hanging="283"/>
        <w:jc w:val="both"/>
        <w:rPr>
          <w:rFonts w:eastAsia="Calibri"/>
          <w:lang w:val="es-ES" w:eastAsia="en-US"/>
        </w:rPr>
      </w:pPr>
      <w:r w:rsidRPr="00B72A2C">
        <w:rPr>
          <w:rFonts w:eastAsia="Calibri"/>
          <w:lang w:val="es-ES" w:eastAsia="en-US"/>
        </w:rPr>
        <w:t>Función sistólica del ventrículo izquierdo (Vi): FEVI mediante el método de Simpson modificado; volumen diastólico final del ventrículo izquierdo (VDFVI) (67-155 mL), volumen sistólico (VS) (&gt; 50 mL).</w:t>
      </w:r>
    </w:p>
    <w:p w14:paraId="3F14B156" w14:textId="77777777" w:rsidR="00B72A2C" w:rsidRPr="00B72A2C" w:rsidRDefault="00B72A2C" w:rsidP="00B72A2C">
      <w:pPr>
        <w:numPr>
          <w:ilvl w:val="0"/>
          <w:numId w:val="33"/>
        </w:numPr>
        <w:suppressAutoHyphens/>
        <w:spacing w:line="360" w:lineRule="auto"/>
        <w:ind w:left="567" w:hanging="283"/>
        <w:jc w:val="both"/>
        <w:rPr>
          <w:rFonts w:eastAsia="Calibri"/>
          <w:lang w:val="es-ES" w:eastAsia="en-US"/>
        </w:rPr>
      </w:pPr>
      <w:r w:rsidRPr="00B72A2C">
        <w:rPr>
          <w:rFonts w:eastAsia="Calibri"/>
          <w:lang w:val="es-ES" w:eastAsia="en-US"/>
        </w:rPr>
        <w:t>Función diastólica del Vi: Se obtuvo mediante el patrón de distensibilidad o de relajación del ventrículo izquierdo medido a través del flujograma mitral en proyección de 4 cámaras apical:</w:t>
      </w:r>
    </w:p>
    <w:p w14:paraId="17E4098F" w14:textId="77777777" w:rsidR="00B72A2C" w:rsidRPr="00B72A2C" w:rsidRDefault="00B72A2C" w:rsidP="00B72A2C">
      <w:pPr>
        <w:numPr>
          <w:ilvl w:val="1"/>
          <w:numId w:val="37"/>
        </w:numPr>
        <w:suppressAutoHyphens/>
        <w:spacing w:line="360" w:lineRule="auto"/>
        <w:jc w:val="both"/>
        <w:rPr>
          <w:rFonts w:eastAsia="Calibri"/>
          <w:lang w:val="es-ES" w:eastAsia="en-US"/>
        </w:rPr>
      </w:pPr>
      <w:r w:rsidRPr="00B72A2C">
        <w:rPr>
          <w:rFonts w:eastAsia="Calibri"/>
          <w:lang w:val="es-ES" w:eastAsia="en-US"/>
        </w:rPr>
        <w:lastRenderedPageBreak/>
        <w:t>Función diastólica normal (patrón de relajación normal)</w:t>
      </w:r>
    </w:p>
    <w:p w14:paraId="224F7A35" w14:textId="77777777" w:rsidR="00B72A2C" w:rsidRPr="00B72A2C" w:rsidRDefault="00B72A2C" w:rsidP="00B72A2C">
      <w:pPr>
        <w:numPr>
          <w:ilvl w:val="1"/>
          <w:numId w:val="37"/>
        </w:numPr>
        <w:suppressAutoHyphens/>
        <w:spacing w:line="360" w:lineRule="auto"/>
        <w:jc w:val="both"/>
        <w:rPr>
          <w:rFonts w:eastAsia="Calibri"/>
          <w:lang w:val="es-ES" w:eastAsia="en-US"/>
        </w:rPr>
      </w:pPr>
      <w:r w:rsidRPr="00B72A2C">
        <w:rPr>
          <w:rFonts w:eastAsia="Calibri"/>
          <w:lang w:val="es-ES" w:eastAsia="en-US"/>
        </w:rPr>
        <w:t>Disfunción diastólica tipo I (ligera) patrón de relajación prolongado</w:t>
      </w:r>
    </w:p>
    <w:p w14:paraId="5E101320" w14:textId="77777777" w:rsidR="00B72A2C" w:rsidRPr="00B72A2C" w:rsidRDefault="00B72A2C" w:rsidP="00B72A2C">
      <w:pPr>
        <w:numPr>
          <w:ilvl w:val="1"/>
          <w:numId w:val="37"/>
        </w:numPr>
        <w:suppressAutoHyphens/>
        <w:spacing w:line="360" w:lineRule="auto"/>
        <w:jc w:val="both"/>
        <w:rPr>
          <w:rFonts w:eastAsia="Calibri"/>
          <w:lang w:val="es-ES" w:eastAsia="en-US"/>
        </w:rPr>
      </w:pPr>
      <w:r w:rsidRPr="00B72A2C">
        <w:rPr>
          <w:rFonts w:eastAsia="Calibri"/>
          <w:lang w:val="es-ES" w:eastAsia="en-US"/>
        </w:rPr>
        <w:t>Disfunción diastólica tipo II (moderada) patrón de relajación pseudonormal</w:t>
      </w:r>
    </w:p>
    <w:p w14:paraId="29BAA498" w14:textId="77777777" w:rsidR="00B72A2C" w:rsidRPr="00B72A2C" w:rsidRDefault="00B72A2C" w:rsidP="00B72A2C">
      <w:pPr>
        <w:numPr>
          <w:ilvl w:val="1"/>
          <w:numId w:val="37"/>
        </w:numPr>
        <w:suppressAutoHyphens/>
        <w:spacing w:line="360" w:lineRule="auto"/>
        <w:jc w:val="both"/>
        <w:rPr>
          <w:rFonts w:eastAsia="Calibri"/>
          <w:lang w:val="es-ES" w:eastAsia="en-US"/>
        </w:rPr>
      </w:pPr>
      <w:r w:rsidRPr="00B72A2C">
        <w:rPr>
          <w:rFonts w:eastAsia="Calibri"/>
          <w:lang w:val="es-ES" w:eastAsia="en-US"/>
        </w:rPr>
        <w:t>Disfunción diastólica tipo III (grave) patrón de relajación restrictivo reversible</w:t>
      </w:r>
    </w:p>
    <w:p w14:paraId="78491942" w14:textId="77777777" w:rsidR="00B72A2C" w:rsidRPr="00B72A2C" w:rsidRDefault="00B72A2C" w:rsidP="00B72A2C">
      <w:pPr>
        <w:numPr>
          <w:ilvl w:val="1"/>
          <w:numId w:val="37"/>
        </w:numPr>
        <w:suppressAutoHyphens/>
        <w:spacing w:line="360" w:lineRule="auto"/>
        <w:jc w:val="both"/>
        <w:rPr>
          <w:rFonts w:eastAsia="Calibri"/>
          <w:lang w:val="es-ES" w:eastAsia="en-US"/>
        </w:rPr>
      </w:pPr>
      <w:r w:rsidRPr="00B72A2C">
        <w:rPr>
          <w:rFonts w:eastAsia="Calibri"/>
          <w:lang w:val="es-ES" w:eastAsia="en-US"/>
        </w:rPr>
        <w:t>Disfunción diastólica tipo IV (grave) patrón de relajación restrictivo irreversible</w:t>
      </w:r>
    </w:p>
    <w:p w14:paraId="275AE21A" w14:textId="77777777" w:rsidR="00B72A2C" w:rsidRPr="00B72A2C" w:rsidRDefault="00B72A2C" w:rsidP="00B72A2C">
      <w:pPr>
        <w:numPr>
          <w:ilvl w:val="0"/>
          <w:numId w:val="36"/>
        </w:numPr>
        <w:suppressAutoHyphens/>
        <w:spacing w:line="360" w:lineRule="auto"/>
        <w:ind w:left="567" w:hanging="283"/>
        <w:jc w:val="both"/>
        <w:rPr>
          <w:rFonts w:eastAsia="Calibri"/>
          <w:lang w:val="es-ES" w:eastAsia="en-US"/>
        </w:rPr>
      </w:pPr>
      <w:r w:rsidRPr="00B72A2C">
        <w:rPr>
          <w:rFonts w:eastAsia="Calibri"/>
          <w:lang w:val="es-ES" w:eastAsia="en-US"/>
        </w:rPr>
        <w:t>Dilatación de la aurícula izquierda (AI): diámetro de la AI&gt; 36 mm o área de AI&gt; 30,0 cm</w:t>
      </w:r>
      <w:r w:rsidRPr="00B72A2C">
        <w:rPr>
          <w:rFonts w:eastAsia="Calibri"/>
          <w:vertAlign w:val="superscript"/>
          <w:lang w:val="es-ES" w:eastAsia="en-US"/>
        </w:rPr>
        <w:t>2</w:t>
      </w:r>
    </w:p>
    <w:p w14:paraId="64A0D34A" w14:textId="77777777" w:rsidR="00B72A2C" w:rsidRPr="00B72A2C" w:rsidRDefault="00B72A2C" w:rsidP="00B72A2C">
      <w:pPr>
        <w:numPr>
          <w:ilvl w:val="0"/>
          <w:numId w:val="36"/>
        </w:numPr>
        <w:tabs>
          <w:tab w:val="left" w:pos="3680"/>
        </w:tabs>
        <w:suppressAutoHyphens/>
        <w:spacing w:line="360" w:lineRule="auto"/>
        <w:ind w:left="567" w:hanging="283"/>
        <w:jc w:val="both"/>
        <w:rPr>
          <w:rFonts w:eastAsia="Calibri"/>
          <w:lang w:val="es-ES" w:eastAsia="en-US"/>
        </w:rPr>
      </w:pPr>
      <w:r w:rsidRPr="00B72A2C">
        <w:rPr>
          <w:rFonts w:eastAsia="Calibri"/>
          <w:lang w:val="es-ES" w:eastAsia="en-US"/>
        </w:rPr>
        <w:t xml:space="preserve">Hipertrofia ventricular izquierda (HVI): grosor parietal relativo (GPR) del VI, según la Asociación Americana de Ecocardiografía, modificada por </w:t>
      </w:r>
      <w:r w:rsidRPr="00B72A2C">
        <w:rPr>
          <w:rFonts w:eastAsia="Calibri"/>
          <w:i/>
          <w:iCs/>
          <w:lang w:val="es-ES" w:eastAsia="en-US"/>
        </w:rPr>
        <w:t>Devereux</w:t>
      </w:r>
      <w:r w:rsidRPr="00B72A2C">
        <w:rPr>
          <w:rFonts w:eastAsia="Calibri"/>
          <w:lang w:val="es-ES" w:eastAsia="en-US"/>
        </w:rPr>
        <w:t>y otros en 1986:</w:t>
      </w:r>
      <w:r w:rsidRPr="00B72A2C">
        <w:rPr>
          <w:rFonts w:eastAsia="Calibri"/>
          <w:vertAlign w:val="superscript"/>
          <w:lang w:val="es-ES" w:eastAsia="en-US"/>
        </w:rPr>
        <w:t xml:space="preserve">(18) </w:t>
      </w:r>
      <w:r w:rsidRPr="00B72A2C">
        <w:rPr>
          <w:rFonts w:eastAsia="Calibri"/>
          <w:lang w:val="es-ES" w:eastAsia="en-US"/>
        </w:rPr>
        <w:t xml:space="preserve">GPR= 2 x pared posterior del VI (PPVI)/ diámetro telediastólico del VI (DtdVI).  Luego la HVI fue confirmada mediante el cálculo del índice de masa ventricular izquierda (IMVi); donde </w:t>
      </w:r>
      <w:r w:rsidRPr="00B72A2C">
        <w:rPr>
          <w:rFonts w:eastAsia="Calibri"/>
          <w:bCs/>
          <w:lang w:val="es-ES" w:eastAsia="en-US"/>
        </w:rPr>
        <w:t xml:space="preserve">masa VI </w:t>
      </w:r>
      <w:r w:rsidRPr="00B72A2C">
        <w:rPr>
          <w:rFonts w:eastAsia="Calibri"/>
          <w:lang w:val="es-ES" w:eastAsia="en-US"/>
        </w:rPr>
        <w:t>(Mvi)= 0,8 x {1,04 [(DtdVI + SIV + PP</w:t>
      </w:r>
      <w:r w:rsidRPr="00B72A2C">
        <w:rPr>
          <w:rFonts w:eastAsia="Calibri"/>
          <w:vertAlign w:val="subscript"/>
          <w:lang w:val="es-ES" w:eastAsia="en-US"/>
        </w:rPr>
        <w:t>VI</w:t>
      </w:r>
      <w:r w:rsidRPr="00B72A2C">
        <w:rPr>
          <w:rFonts w:eastAsia="Calibri"/>
          <w:lang w:val="es-ES" w:eastAsia="en-US"/>
        </w:rPr>
        <w:t>)</w:t>
      </w:r>
      <w:r w:rsidRPr="00B72A2C">
        <w:rPr>
          <w:rFonts w:eastAsia="Calibri"/>
          <w:vertAlign w:val="superscript"/>
          <w:lang w:val="es-ES" w:eastAsia="en-US"/>
        </w:rPr>
        <w:t>3</w:t>
      </w:r>
      <w:r w:rsidRPr="00B72A2C">
        <w:rPr>
          <w:rFonts w:eastAsia="Calibri"/>
          <w:lang w:val="es-ES" w:eastAsia="en-US"/>
        </w:rPr>
        <w:t xml:space="preserve"> – (DtdVI</w:t>
      </w:r>
      <w:r w:rsidRPr="00B72A2C">
        <w:rPr>
          <w:rFonts w:eastAsia="Calibri"/>
          <w:vertAlign w:val="superscript"/>
          <w:lang w:val="es-ES" w:eastAsia="en-US"/>
        </w:rPr>
        <w:t>3</w:t>
      </w:r>
      <w:r w:rsidRPr="00B72A2C">
        <w:rPr>
          <w:rFonts w:eastAsia="Calibri"/>
          <w:lang w:val="es-ES" w:eastAsia="en-US"/>
        </w:rPr>
        <w:t xml:space="preserve">)]} + 0,6 g. Luego se realizó el cálculo del </w:t>
      </w:r>
      <w:r w:rsidRPr="00B72A2C">
        <w:rPr>
          <w:rFonts w:eastAsia="Calibri"/>
          <w:bCs/>
          <w:lang w:val="es-ES" w:eastAsia="en-US"/>
        </w:rPr>
        <w:t>índice de masa VI= Mvi/m</w:t>
      </w:r>
      <w:r w:rsidRPr="00B72A2C">
        <w:rPr>
          <w:rFonts w:eastAsia="Calibri"/>
          <w:bCs/>
          <w:vertAlign w:val="superscript"/>
          <w:lang w:val="es-ES" w:eastAsia="en-US"/>
        </w:rPr>
        <w:t xml:space="preserve">2 </w:t>
      </w:r>
      <w:r w:rsidRPr="00B72A2C">
        <w:rPr>
          <w:rFonts w:eastAsia="Calibri"/>
          <w:bCs/>
          <w:lang w:val="es-ES" w:eastAsia="en-US"/>
        </w:rPr>
        <w:t>de superficie corporal</w:t>
      </w:r>
      <w:r w:rsidRPr="00B72A2C">
        <w:rPr>
          <w:rFonts w:eastAsia="Calibri"/>
          <w:bCs/>
          <w:vertAlign w:val="superscript"/>
          <w:lang w:val="es-ES" w:eastAsia="en-US"/>
        </w:rPr>
        <w:t xml:space="preserve"> </w:t>
      </w:r>
      <w:r w:rsidRPr="00B72A2C">
        <w:rPr>
          <w:rFonts w:eastAsia="Calibri"/>
          <w:bCs/>
          <w:lang w:val="es-ES" w:eastAsia="en-US"/>
        </w:rPr>
        <w:t>(</w:t>
      </w:r>
      <w:r w:rsidRPr="00B72A2C">
        <w:rPr>
          <w:rFonts w:eastAsia="Calibri"/>
          <w:lang w:val="es-ES" w:eastAsia="en-US"/>
        </w:rPr>
        <w:t>SC) expresado en g/m</w:t>
      </w:r>
      <w:r w:rsidRPr="00B72A2C">
        <w:rPr>
          <w:rFonts w:eastAsia="Calibri"/>
          <w:vertAlign w:val="superscript"/>
          <w:lang w:val="es-ES" w:eastAsia="en-US"/>
        </w:rPr>
        <w:t>2</w:t>
      </w:r>
      <w:r w:rsidRPr="00B72A2C">
        <w:rPr>
          <w:rFonts w:eastAsia="Calibri"/>
          <w:lang w:val="es-ES" w:eastAsia="en-US"/>
        </w:rPr>
        <w:t xml:space="preserve"> SC. Valor de referencia: hombres: &lt; 115 g/m</w:t>
      </w:r>
      <w:r w:rsidRPr="00B72A2C">
        <w:rPr>
          <w:rFonts w:eastAsia="Calibri"/>
          <w:vertAlign w:val="superscript"/>
          <w:lang w:val="es-ES" w:eastAsia="en-US"/>
        </w:rPr>
        <w:t>2</w:t>
      </w:r>
      <w:r w:rsidRPr="00B72A2C">
        <w:rPr>
          <w:rFonts w:eastAsia="Calibri"/>
          <w:lang w:val="es-ES" w:eastAsia="en-US"/>
        </w:rPr>
        <w:t>; mujeres: &lt; 95 g/m</w:t>
      </w:r>
      <w:r w:rsidRPr="00B72A2C">
        <w:rPr>
          <w:rFonts w:eastAsia="Calibri"/>
          <w:vertAlign w:val="superscript"/>
          <w:lang w:val="es-ES" w:eastAsia="en-US"/>
        </w:rPr>
        <w:t>2</w:t>
      </w:r>
    </w:p>
    <w:p w14:paraId="08D6A18B" w14:textId="77777777" w:rsidR="00B72A2C" w:rsidRPr="00B72A2C" w:rsidRDefault="00B72A2C" w:rsidP="00B72A2C">
      <w:pPr>
        <w:numPr>
          <w:ilvl w:val="0"/>
          <w:numId w:val="33"/>
        </w:numPr>
        <w:suppressAutoHyphens/>
        <w:spacing w:line="360" w:lineRule="auto"/>
        <w:ind w:left="567" w:hanging="283"/>
        <w:jc w:val="both"/>
        <w:rPr>
          <w:rFonts w:eastAsia="Calibri"/>
          <w:lang w:val="es-ES" w:eastAsia="en-US"/>
        </w:rPr>
      </w:pPr>
      <w:r w:rsidRPr="00B72A2C">
        <w:rPr>
          <w:rFonts w:eastAsia="Calibri"/>
          <w:lang w:val="es-ES" w:eastAsia="en-US"/>
        </w:rPr>
        <w:t xml:space="preserve">Cardiopatía hipertensiva: grado 1 - disfunción diastólica tipo I (ligera); grado 2a (disfunción diastólica ligera más HVI) y grado 2b (disfunción diastólica moderada más HVI). </w:t>
      </w:r>
      <w:r w:rsidRPr="00B72A2C">
        <w:rPr>
          <w:rFonts w:eastAsia="Calibri"/>
          <w:lang w:val="es-ES"/>
        </w:rPr>
        <w:t>Se consideró CTx si progresa después de la quimioterapia a grado III (disfunción diastólica grave más HVI) o grado IV (disfunción diastólica grave, HVI, dilatación de cavidades cardiacas y disfunción sistólica del VI); con respecto al ecocardiograma basal.</w:t>
      </w:r>
    </w:p>
    <w:p w14:paraId="2CFFF4F0" w14:textId="77777777" w:rsidR="00B72A2C" w:rsidRPr="00B72A2C" w:rsidRDefault="00B72A2C" w:rsidP="00B72A2C">
      <w:pPr>
        <w:numPr>
          <w:ilvl w:val="0"/>
          <w:numId w:val="33"/>
        </w:numPr>
        <w:suppressAutoHyphens/>
        <w:spacing w:line="360" w:lineRule="auto"/>
        <w:ind w:left="567" w:hanging="283"/>
        <w:jc w:val="both"/>
        <w:rPr>
          <w:rFonts w:eastAsia="Calibri"/>
          <w:lang w:val="es-ES" w:eastAsia="en-US"/>
        </w:rPr>
      </w:pPr>
      <w:r w:rsidRPr="00B72A2C">
        <w:rPr>
          <w:rFonts w:eastAsia="Calibri"/>
          <w:lang w:val="es-ES" w:eastAsia="en-US"/>
        </w:rPr>
        <w:t>Grosor de la grasa epicárdica: medición ecocardiográfica (proyección de eje paraesternal largo en modo bidimensional) del espacio entre la pared externa del miocardio y la capa visceral del pericardio, perpendicularmente sobre la pared libre del ventrículo derecho al final de la sístole tomando el promedio de 3 ciclos cardiacos. Valor de referencia 6 mm.</w:t>
      </w:r>
    </w:p>
    <w:p w14:paraId="726471CD" w14:textId="77777777" w:rsidR="00B72A2C" w:rsidRPr="00B72A2C" w:rsidRDefault="00B72A2C" w:rsidP="00B72A2C">
      <w:pPr>
        <w:spacing w:line="360" w:lineRule="auto"/>
        <w:rPr>
          <w:rFonts w:ascii="Calibri" w:eastAsia="Calibri" w:hAnsi="Calibri"/>
          <w:sz w:val="22"/>
          <w:szCs w:val="22"/>
          <w:lang w:val="es-ES" w:eastAsia="en-US"/>
        </w:rPr>
      </w:pPr>
      <w:r w:rsidRPr="00B72A2C">
        <w:rPr>
          <w:rFonts w:ascii="Calibri" w:eastAsia="Calibri" w:hAnsi="Calibri"/>
          <w:sz w:val="22"/>
          <w:szCs w:val="22"/>
          <w:lang w:val="es-ES" w:eastAsia="en-US"/>
        </w:rPr>
        <w:tab/>
      </w:r>
    </w:p>
    <w:p w14:paraId="126EC4C7" w14:textId="77777777" w:rsidR="00B72A2C" w:rsidRPr="00B72A2C" w:rsidRDefault="00B72A2C" w:rsidP="00B72A2C">
      <w:pPr>
        <w:spacing w:line="360" w:lineRule="auto"/>
        <w:jc w:val="center"/>
        <w:rPr>
          <w:rFonts w:eastAsia="Calibri"/>
          <w:b/>
          <w:sz w:val="28"/>
          <w:szCs w:val="28"/>
          <w:lang w:val="es-ES" w:eastAsia="en-US"/>
        </w:rPr>
      </w:pPr>
      <w:r w:rsidRPr="00B72A2C">
        <w:rPr>
          <w:rFonts w:eastAsia="Calibri"/>
          <w:b/>
          <w:sz w:val="28"/>
          <w:szCs w:val="28"/>
          <w:lang w:val="es-ES" w:eastAsia="en-US"/>
        </w:rPr>
        <w:t>Análisis estadístico</w:t>
      </w:r>
    </w:p>
    <w:p w14:paraId="3E7FD126"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 xml:space="preserve">Se realizó una descripción de todas las variables. Para las variables cualitativas (antecedentes) se obtuvieron las frecuencias absolutas y relativas. Se compararon las proporciones para muestras independientes mediante el estadístico z. Para las variables cuantitativas (edad, valores de hemoquímica, </w:t>
      </w:r>
      <w:r w:rsidRPr="00B72A2C">
        <w:rPr>
          <w:rFonts w:eastAsia="Calibri"/>
          <w:lang w:val="es-ES" w:eastAsia="en-US"/>
        </w:rPr>
        <w:lastRenderedPageBreak/>
        <w:t>índice de masa corporal, grosor de la grasa epicárdica, filtrado glomerular, intervalo Q-Tc y variables ecocardiográficas) se obtuvieron las medias, desviación estándar, valores mínimos y máximos.</w:t>
      </w:r>
    </w:p>
    <w:p w14:paraId="488763E3" w14:textId="77777777" w:rsidR="00B72A2C" w:rsidRPr="00B72A2C" w:rsidRDefault="00B72A2C" w:rsidP="00B72A2C">
      <w:pPr>
        <w:spacing w:line="360" w:lineRule="auto"/>
        <w:jc w:val="both"/>
        <w:rPr>
          <w:rFonts w:eastAsia="TimesNewRoman"/>
          <w:lang w:val="es-ES" w:eastAsia="en-US"/>
        </w:rPr>
      </w:pPr>
      <w:r w:rsidRPr="00B72A2C">
        <w:rPr>
          <w:rFonts w:eastAsia="Calibri"/>
          <w:lang w:val="es-ES" w:eastAsia="en-US"/>
        </w:rPr>
        <w:t xml:space="preserve">Para las variables ecocardiográficas y el intervalo Q-Tc se calcularon las diferencias de las medias mediante el estadígrafo t de </w:t>
      </w:r>
      <w:r w:rsidRPr="00B72A2C">
        <w:rPr>
          <w:rFonts w:eastAsia="Calibri"/>
          <w:i/>
          <w:lang w:val="es-ES" w:eastAsia="en-US"/>
        </w:rPr>
        <w:t>Student</w:t>
      </w:r>
      <w:r w:rsidRPr="00B72A2C">
        <w:rPr>
          <w:rFonts w:eastAsia="Calibri"/>
          <w:lang w:val="es-ES" w:eastAsia="en-US"/>
        </w:rPr>
        <w:t xml:space="preserve">, previa comprobación de normalidad. Se asumió para todos los análisis un nivel de significación p&lt; 0,05. </w:t>
      </w:r>
      <w:r w:rsidRPr="00B72A2C">
        <w:rPr>
          <w:rFonts w:eastAsia="TimesNewRoman"/>
          <w:lang w:val="es-ES" w:eastAsia="en-US"/>
        </w:rPr>
        <w:t>El procesamiento estadístico se realizó mediante el programa SPSS v. 25.0 para Windows.</w:t>
      </w:r>
    </w:p>
    <w:p w14:paraId="0D0FE771" w14:textId="77777777" w:rsidR="00B72A2C" w:rsidRPr="00B72A2C" w:rsidRDefault="00B72A2C" w:rsidP="00B72A2C">
      <w:pPr>
        <w:spacing w:line="360" w:lineRule="auto"/>
        <w:jc w:val="center"/>
        <w:rPr>
          <w:rFonts w:eastAsia="Calibri"/>
          <w:b/>
          <w:sz w:val="28"/>
          <w:szCs w:val="28"/>
          <w:lang w:val="es-ES" w:eastAsia="en-US"/>
        </w:rPr>
      </w:pPr>
      <w:r w:rsidRPr="00B72A2C">
        <w:rPr>
          <w:rFonts w:eastAsia="Calibri"/>
          <w:b/>
          <w:sz w:val="28"/>
          <w:szCs w:val="28"/>
          <w:lang w:val="es-ES" w:eastAsia="en-US"/>
        </w:rPr>
        <w:t>Consideraciones éticas</w:t>
      </w:r>
    </w:p>
    <w:p w14:paraId="362E83B6"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 xml:space="preserve">Se cumplieron los preceptos éticos básicos de la investigación clínica-epidemiológica observacional. La dirección del hospital, el consejo científico y el comité de ética del Hospital General Provincial “Carlos Manuel de Céspedes” aprobaron. Se informó a los pacientes potencialmente elegibles y se les solicitó consentimiento informado para la participación voluntaria en el estudio. Se les aseguró que sus datos de identidad personal no serían revelados. Los pacientes recibieron además el tratamiento para su enfermedad durante todo el tiempo que duró el estudio. </w:t>
      </w:r>
    </w:p>
    <w:p w14:paraId="317FB6A8" w14:textId="77777777" w:rsidR="00B72A2C" w:rsidRPr="00B72A2C" w:rsidRDefault="00B72A2C" w:rsidP="00B72A2C">
      <w:pPr>
        <w:spacing w:line="360" w:lineRule="auto"/>
        <w:jc w:val="both"/>
        <w:rPr>
          <w:rFonts w:eastAsia="Calibri"/>
          <w:lang w:val="es-ES" w:eastAsia="en-US"/>
        </w:rPr>
      </w:pPr>
    </w:p>
    <w:p w14:paraId="0B8F2732" w14:textId="77777777" w:rsidR="00B72A2C" w:rsidRPr="00B72A2C" w:rsidRDefault="00B72A2C" w:rsidP="00B72A2C">
      <w:pPr>
        <w:spacing w:line="360" w:lineRule="auto"/>
        <w:jc w:val="center"/>
        <w:rPr>
          <w:rFonts w:eastAsia="Noto Serif CJK SC"/>
          <w:b/>
          <w:kern w:val="2"/>
          <w:sz w:val="32"/>
          <w:szCs w:val="32"/>
          <w:lang w:val="es-ES" w:eastAsia="zh-CN" w:bidi="hi-IN"/>
        </w:rPr>
      </w:pPr>
    </w:p>
    <w:p w14:paraId="0DDF6CAE" w14:textId="77777777" w:rsidR="00B72A2C" w:rsidRPr="00B72A2C" w:rsidRDefault="00B72A2C" w:rsidP="00B72A2C">
      <w:pPr>
        <w:spacing w:line="360" w:lineRule="auto"/>
        <w:jc w:val="center"/>
        <w:rPr>
          <w:rFonts w:eastAsia="Noto Serif CJK SC"/>
          <w:b/>
          <w:kern w:val="2"/>
          <w:sz w:val="32"/>
          <w:szCs w:val="32"/>
          <w:lang w:val="es-ES" w:eastAsia="zh-CN" w:bidi="hi-IN"/>
        </w:rPr>
      </w:pPr>
      <w:r w:rsidRPr="00B72A2C">
        <w:rPr>
          <w:rFonts w:eastAsia="Noto Serif CJK SC"/>
          <w:b/>
          <w:kern w:val="2"/>
          <w:sz w:val="32"/>
          <w:szCs w:val="32"/>
          <w:lang w:val="es-ES" w:eastAsia="zh-CN" w:bidi="hi-IN"/>
        </w:rPr>
        <w:t>RESULTADOS</w:t>
      </w:r>
    </w:p>
    <w:p w14:paraId="4F58F593"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La prevalencia de cardiotoxicidad precoz por quimioterapia para cáncer de mama al año de seguimiento fue 15,9 %. Las características generales de las pacientes se muestran en la tabla 1; la edad media fue de 60,1 años (± 12,6) y mediana de 61 años, afectación de la mama izquierda en el 57,4 %; HTA en el 60,1 %, hipertrofia ventricular izquierda en el 48,6 % y cardiopatía hipertensiva en el 35,7 %.</w:t>
      </w:r>
    </w:p>
    <w:p w14:paraId="22D1E23E" w14:textId="77777777" w:rsidR="00B72A2C" w:rsidRPr="00B72A2C" w:rsidRDefault="00B72A2C" w:rsidP="00B72A2C">
      <w:pPr>
        <w:spacing w:line="360" w:lineRule="auto"/>
        <w:jc w:val="both"/>
        <w:rPr>
          <w:rFonts w:eastAsia="Calibri"/>
          <w:lang w:val="es-ES" w:eastAsia="en-US"/>
        </w:rPr>
      </w:pPr>
    </w:p>
    <w:p w14:paraId="02A1B544" w14:textId="77777777" w:rsidR="00452500" w:rsidRDefault="00452500">
      <w:pPr>
        <w:rPr>
          <w:rFonts w:eastAsia="Calibri"/>
          <w:b/>
          <w:sz w:val="22"/>
          <w:szCs w:val="22"/>
          <w:lang w:val="es-ES" w:eastAsia="en-US"/>
        </w:rPr>
      </w:pPr>
      <w:r>
        <w:rPr>
          <w:rFonts w:eastAsia="Calibri"/>
          <w:b/>
          <w:sz w:val="22"/>
          <w:szCs w:val="22"/>
          <w:lang w:val="es-ES" w:eastAsia="en-US"/>
        </w:rPr>
        <w:br w:type="page"/>
      </w:r>
    </w:p>
    <w:p w14:paraId="68E13631" w14:textId="6E45B0EF" w:rsidR="00B72A2C" w:rsidRPr="00B72A2C" w:rsidRDefault="00B72A2C" w:rsidP="00B72A2C">
      <w:pPr>
        <w:spacing w:line="360" w:lineRule="auto"/>
        <w:jc w:val="center"/>
        <w:rPr>
          <w:rFonts w:eastAsia="Calibri"/>
          <w:sz w:val="22"/>
          <w:szCs w:val="22"/>
          <w:lang w:val="es-ES" w:eastAsia="en-US"/>
        </w:rPr>
      </w:pPr>
      <w:r w:rsidRPr="00B72A2C">
        <w:rPr>
          <w:rFonts w:eastAsia="Calibri"/>
          <w:b/>
          <w:sz w:val="22"/>
          <w:szCs w:val="22"/>
          <w:lang w:val="es-ES" w:eastAsia="en-US"/>
        </w:rPr>
        <w:lastRenderedPageBreak/>
        <w:t xml:space="preserve">Tabla 1 - </w:t>
      </w:r>
      <w:r w:rsidRPr="00B72A2C">
        <w:rPr>
          <w:rFonts w:eastAsia="Calibri"/>
          <w:sz w:val="22"/>
          <w:szCs w:val="22"/>
          <w:lang w:val="es-ES" w:eastAsia="en-US"/>
        </w:rPr>
        <w:t>Características generales de las pacientes estudiadas</w:t>
      </w:r>
    </w:p>
    <w:p w14:paraId="22E8F58E" w14:textId="5B1FFEAC" w:rsidR="00B72A2C" w:rsidRPr="00B72A2C" w:rsidRDefault="00B72A2C" w:rsidP="00B72A2C">
      <w:pPr>
        <w:spacing w:line="360" w:lineRule="auto"/>
        <w:jc w:val="center"/>
        <w:rPr>
          <w:rFonts w:eastAsia="Calibri"/>
          <w:lang w:val="es-ES" w:eastAsia="en-US"/>
        </w:rPr>
      </w:pPr>
      <w:r w:rsidRPr="00B72A2C">
        <w:rPr>
          <w:rFonts w:eastAsia="Calibri"/>
          <w:noProof/>
          <w:lang w:val="es-ES" w:eastAsia="en-US"/>
        </w:rPr>
        <w:drawing>
          <wp:inline distT="0" distB="0" distL="0" distR="0" wp14:anchorId="3EA53E23" wp14:editId="6E5F5A81">
            <wp:extent cx="3914775" cy="377190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4775" cy="3771900"/>
                    </a:xfrm>
                    <a:prstGeom prst="rect">
                      <a:avLst/>
                    </a:prstGeom>
                    <a:noFill/>
                    <a:ln>
                      <a:noFill/>
                    </a:ln>
                  </pic:spPr>
                </pic:pic>
              </a:graphicData>
            </a:graphic>
          </wp:inline>
        </w:drawing>
      </w:r>
    </w:p>
    <w:p w14:paraId="5E2116CF" w14:textId="77777777" w:rsidR="00B72A2C" w:rsidRPr="00B72A2C" w:rsidRDefault="00B72A2C" w:rsidP="00B72A2C">
      <w:pPr>
        <w:spacing w:line="360" w:lineRule="auto"/>
        <w:rPr>
          <w:rFonts w:eastAsia="Calibri"/>
          <w:lang w:val="es-ES" w:eastAsia="en-US"/>
        </w:rPr>
      </w:pPr>
    </w:p>
    <w:p w14:paraId="3674F551"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La tabla 2 expone los valores promedios de las variables ácido úrico 276,2 µmol/L ± 97,0; hemoglobina 122,8 g/L ± 19,7 y creatinina 83,6 µmol/L ± 19,4.</w:t>
      </w:r>
    </w:p>
    <w:p w14:paraId="3FF3F067" w14:textId="77777777" w:rsidR="00B72A2C" w:rsidRPr="00B72A2C" w:rsidRDefault="00B72A2C" w:rsidP="00B72A2C">
      <w:pPr>
        <w:spacing w:line="360" w:lineRule="auto"/>
        <w:rPr>
          <w:rFonts w:eastAsia="Calibri"/>
          <w:b/>
          <w:lang w:val="es-ES" w:eastAsia="en-US"/>
        </w:rPr>
      </w:pPr>
    </w:p>
    <w:p w14:paraId="0C5A804E" w14:textId="77777777" w:rsidR="00B72A2C" w:rsidRPr="00B72A2C" w:rsidRDefault="00B72A2C" w:rsidP="00B72A2C">
      <w:pPr>
        <w:spacing w:line="360" w:lineRule="auto"/>
        <w:jc w:val="center"/>
        <w:rPr>
          <w:rFonts w:eastAsia="Calibri"/>
          <w:sz w:val="22"/>
          <w:szCs w:val="22"/>
          <w:lang w:val="es-ES" w:eastAsia="en-US"/>
        </w:rPr>
      </w:pPr>
      <w:r w:rsidRPr="00B72A2C">
        <w:rPr>
          <w:rFonts w:eastAsia="Calibri"/>
          <w:b/>
          <w:sz w:val="22"/>
          <w:szCs w:val="22"/>
          <w:lang w:val="es-ES" w:eastAsia="en-US"/>
        </w:rPr>
        <w:t xml:space="preserve">Tabla 2 - </w:t>
      </w:r>
      <w:r w:rsidRPr="00B72A2C">
        <w:rPr>
          <w:rFonts w:eastAsia="Calibri"/>
          <w:sz w:val="22"/>
          <w:szCs w:val="22"/>
          <w:lang w:val="es-ES" w:eastAsia="en-US"/>
        </w:rPr>
        <w:t>Caracterización de las pacientes en variables cuantitativas (n= 451)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21"/>
        <w:gridCol w:w="1040"/>
        <w:gridCol w:w="856"/>
        <w:gridCol w:w="881"/>
        <w:gridCol w:w="1392"/>
      </w:tblGrid>
      <w:tr w:rsidR="00B72A2C" w:rsidRPr="00B72A2C" w14:paraId="2C172534" w14:textId="77777777" w:rsidTr="00B81080">
        <w:trPr>
          <w:trHeight w:val="205"/>
          <w:jc w:val="center"/>
        </w:trPr>
        <w:tc>
          <w:tcPr>
            <w:tcW w:w="2221" w:type="dxa"/>
            <w:shd w:val="clear" w:color="auto" w:fill="auto"/>
            <w:vAlign w:val="center"/>
          </w:tcPr>
          <w:p w14:paraId="06F8DE7F" w14:textId="77777777" w:rsidR="00B72A2C" w:rsidRPr="00B72A2C" w:rsidRDefault="00B72A2C" w:rsidP="00B72A2C">
            <w:pPr>
              <w:spacing w:line="360" w:lineRule="auto"/>
              <w:rPr>
                <w:rFonts w:eastAsia="Calibri"/>
                <w:b/>
                <w:bCs/>
                <w:sz w:val="18"/>
                <w:szCs w:val="18"/>
                <w:lang w:val="es-ES" w:eastAsia="en-US"/>
              </w:rPr>
            </w:pPr>
            <w:r w:rsidRPr="00B72A2C">
              <w:rPr>
                <w:rFonts w:eastAsia="Calibri"/>
                <w:b/>
                <w:bCs/>
                <w:sz w:val="18"/>
                <w:szCs w:val="18"/>
                <w:lang w:val="es-ES" w:eastAsia="en-US"/>
              </w:rPr>
              <w:t>Variables</w:t>
            </w:r>
          </w:p>
        </w:tc>
        <w:tc>
          <w:tcPr>
            <w:tcW w:w="1040" w:type="dxa"/>
            <w:shd w:val="clear" w:color="auto" w:fill="auto"/>
            <w:vAlign w:val="center"/>
          </w:tcPr>
          <w:p w14:paraId="147C5D6B"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Mínimo</w:t>
            </w:r>
          </w:p>
        </w:tc>
        <w:tc>
          <w:tcPr>
            <w:tcW w:w="0" w:type="auto"/>
            <w:shd w:val="clear" w:color="auto" w:fill="auto"/>
            <w:vAlign w:val="center"/>
          </w:tcPr>
          <w:p w14:paraId="02189CF4"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Máximo</w:t>
            </w:r>
          </w:p>
        </w:tc>
        <w:tc>
          <w:tcPr>
            <w:tcW w:w="881" w:type="dxa"/>
            <w:shd w:val="clear" w:color="auto" w:fill="auto"/>
            <w:vAlign w:val="center"/>
          </w:tcPr>
          <w:p w14:paraId="0549F045"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Media</w:t>
            </w:r>
          </w:p>
        </w:tc>
        <w:tc>
          <w:tcPr>
            <w:tcW w:w="1392" w:type="dxa"/>
            <w:shd w:val="clear" w:color="auto" w:fill="auto"/>
            <w:vAlign w:val="center"/>
          </w:tcPr>
          <w:p w14:paraId="00934051"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Desviación estándar</w:t>
            </w:r>
          </w:p>
        </w:tc>
      </w:tr>
      <w:tr w:rsidR="00B72A2C" w:rsidRPr="00B72A2C" w14:paraId="5EEDC367" w14:textId="77777777" w:rsidTr="00B81080">
        <w:trPr>
          <w:trHeight w:val="56"/>
          <w:jc w:val="center"/>
        </w:trPr>
        <w:tc>
          <w:tcPr>
            <w:tcW w:w="2221" w:type="dxa"/>
            <w:shd w:val="clear" w:color="auto" w:fill="auto"/>
            <w:vAlign w:val="center"/>
          </w:tcPr>
          <w:p w14:paraId="0EFB18E9"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Hemoglobina (g/L)</w:t>
            </w:r>
          </w:p>
        </w:tc>
        <w:tc>
          <w:tcPr>
            <w:tcW w:w="1040" w:type="dxa"/>
            <w:shd w:val="clear" w:color="auto" w:fill="auto"/>
            <w:vAlign w:val="center"/>
          </w:tcPr>
          <w:p w14:paraId="51F752A3"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101</w:t>
            </w:r>
          </w:p>
        </w:tc>
        <w:tc>
          <w:tcPr>
            <w:tcW w:w="0" w:type="auto"/>
            <w:shd w:val="clear" w:color="auto" w:fill="auto"/>
            <w:vAlign w:val="center"/>
          </w:tcPr>
          <w:p w14:paraId="182A0AF3"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166,6</w:t>
            </w:r>
          </w:p>
        </w:tc>
        <w:tc>
          <w:tcPr>
            <w:tcW w:w="881" w:type="dxa"/>
            <w:shd w:val="clear" w:color="auto" w:fill="auto"/>
            <w:vAlign w:val="center"/>
          </w:tcPr>
          <w:p w14:paraId="1FF2D243"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122,4</w:t>
            </w:r>
          </w:p>
        </w:tc>
        <w:tc>
          <w:tcPr>
            <w:tcW w:w="1392" w:type="dxa"/>
            <w:shd w:val="clear" w:color="auto" w:fill="auto"/>
            <w:vAlign w:val="center"/>
          </w:tcPr>
          <w:p w14:paraId="417920D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19,7</w:t>
            </w:r>
          </w:p>
        </w:tc>
      </w:tr>
      <w:tr w:rsidR="00B72A2C" w:rsidRPr="00B72A2C" w14:paraId="623AECDD" w14:textId="77777777" w:rsidTr="00B81080">
        <w:trPr>
          <w:trHeight w:val="56"/>
          <w:jc w:val="center"/>
        </w:trPr>
        <w:tc>
          <w:tcPr>
            <w:tcW w:w="2221" w:type="dxa"/>
            <w:shd w:val="clear" w:color="auto" w:fill="auto"/>
            <w:vAlign w:val="center"/>
          </w:tcPr>
          <w:p w14:paraId="626E2474"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Glucemia (mmol/L)</w:t>
            </w:r>
          </w:p>
        </w:tc>
        <w:tc>
          <w:tcPr>
            <w:tcW w:w="1040" w:type="dxa"/>
            <w:shd w:val="clear" w:color="auto" w:fill="auto"/>
            <w:vAlign w:val="center"/>
          </w:tcPr>
          <w:p w14:paraId="36794E6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2,5</w:t>
            </w:r>
          </w:p>
        </w:tc>
        <w:tc>
          <w:tcPr>
            <w:tcW w:w="0" w:type="auto"/>
            <w:shd w:val="clear" w:color="auto" w:fill="auto"/>
            <w:vAlign w:val="center"/>
          </w:tcPr>
          <w:p w14:paraId="66C1C49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25</w:t>
            </w:r>
          </w:p>
        </w:tc>
        <w:tc>
          <w:tcPr>
            <w:tcW w:w="881" w:type="dxa"/>
            <w:shd w:val="clear" w:color="auto" w:fill="auto"/>
            <w:vAlign w:val="center"/>
          </w:tcPr>
          <w:p w14:paraId="329EF83F"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5,53</w:t>
            </w:r>
          </w:p>
        </w:tc>
        <w:tc>
          <w:tcPr>
            <w:tcW w:w="1392" w:type="dxa"/>
            <w:shd w:val="clear" w:color="auto" w:fill="auto"/>
            <w:vAlign w:val="center"/>
          </w:tcPr>
          <w:p w14:paraId="17A64F3F"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2,4</w:t>
            </w:r>
          </w:p>
        </w:tc>
      </w:tr>
      <w:tr w:rsidR="00B72A2C" w:rsidRPr="00B72A2C" w14:paraId="0E220CA9" w14:textId="77777777" w:rsidTr="00B81080">
        <w:trPr>
          <w:trHeight w:val="106"/>
          <w:jc w:val="center"/>
        </w:trPr>
        <w:tc>
          <w:tcPr>
            <w:tcW w:w="2221" w:type="dxa"/>
            <w:shd w:val="clear" w:color="auto" w:fill="auto"/>
            <w:vAlign w:val="center"/>
          </w:tcPr>
          <w:p w14:paraId="099DD758"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Creatinina (µmol/L)</w:t>
            </w:r>
          </w:p>
        </w:tc>
        <w:tc>
          <w:tcPr>
            <w:tcW w:w="1040" w:type="dxa"/>
            <w:shd w:val="clear" w:color="auto" w:fill="auto"/>
            <w:vAlign w:val="center"/>
          </w:tcPr>
          <w:p w14:paraId="075B048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45,5</w:t>
            </w:r>
          </w:p>
        </w:tc>
        <w:tc>
          <w:tcPr>
            <w:tcW w:w="0" w:type="auto"/>
            <w:shd w:val="clear" w:color="auto" w:fill="auto"/>
            <w:vAlign w:val="center"/>
          </w:tcPr>
          <w:p w14:paraId="49C9029C"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295</w:t>
            </w:r>
          </w:p>
        </w:tc>
        <w:tc>
          <w:tcPr>
            <w:tcW w:w="881" w:type="dxa"/>
            <w:shd w:val="clear" w:color="auto" w:fill="auto"/>
            <w:vAlign w:val="center"/>
          </w:tcPr>
          <w:p w14:paraId="3F75FF87"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83,6</w:t>
            </w:r>
          </w:p>
        </w:tc>
        <w:tc>
          <w:tcPr>
            <w:tcW w:w="1392" w:type="dxa"/>
            <w:shd w:val="clear" w:color="auto" w:fill="auto"/>
            <w:vAlign w:val="center"/>
          </w:tcPr>
          <w:p w14:paraId="2CD8A441"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19,4</w:t>
            </w:r>
          </w:p>
        </w:tc>
      </w:tr>
      <w:tr w:rsidR="00B72A2C" w:rsidRPr="00B72A2C" w14:paraId="396B0718" w14:textId="77777777" w:rsidTr="00B81080">
        <w:trPr>
          <w:trHeight w:val="67"/>
          <w:jc w:val="center"/>
        </w:trPr>
        <w:tc>
          <w:tcPr>
            <w:tcW w:w="2221" w:type="dxa"/>
            <w:shd w:val="clear" w:color="auto" w:fill="auto"/>
            <w:vAlign w:val="center"/>
          </w:tcPr>
          <w:p w14:paraId="4B4C67F7"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Colesterol total (mmol/L)</w:t>
            </w:r>
          </w:p>
        </w:tc>
        <w:tc>
          <w:tcPr>
            <w:tcW w:w="1040" w:type="dxa"/>
            <w:shd w:val="clear" w:color="auto" w:fill="auto"/>
            <w:vAlign w:val="center"/>
          </w:tcPr>
          <w:p w14:paraId="4D3D4DE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2,5</w:t>
            </w:r>
          </w:p>
        </w:tc>
        <w:tc>
          <w:tcPr>
            <w:tcW w:w="0" w:type="auto"/>
            <w:shd w:val="clear" w:color="auto" w:fill="auto"/>
            <w:vAlign w:val="center"/>
          </w:tcPr>
          <w:p w14:paraId="43E1F187"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8,0</w:t>
            </w:r>
          </w:p>
        </w:tc>
        <w:tc>
          <w:tcPr>
            <w:tcW w:w="881" w:type="dxa"/>
            <w:shd w:val="clear" w:color="auto" w:fill="auto"/>
            <w:vAlign w:val="center"/>
          </w:tcPr>
          <w:p w14:paraId="4DFBAFBE"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5,03</w:t>
            </w:r>
          </w:p>
        </w:tc>
        <w:tc>
          <w:tcPr>
            <w:tcW w:w="1392" w:type="dxa"/>
            <w:shd w:val="clear" w:color="auto" w:fill="auto"/>
            <w:vAlign w:val="center"/>
          </w:tcPr>
          <w:p w14:paraId="4B91F4D9"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1,1</w:t>
            </w:r>
          </w:p>
        </w:tc>
      </w:tr>
      <w:tr w:rsidR="00B72A2C" w:rsidRPr="00B72A2C" w14:paraId="0A965429" w14:textId="77777777" w:rsidTr="00B81080">
        <w:trPr>
          <w:trHeight w:val="56"/>
          <w:jc w:val="center"/>
        </w:trPr>
        <w:tc>
          <w:tcPr>
            <w:tcW w:w="2221" w:type="dxa"/>
            <w:shd w:val="clear" w:color="auto" w:fill="auto"/>
            <w:vAlign w:val="center"/>
          </w:tcPr>
          <w:p w14:paraId="59FBEA86"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Triglicéridos (mmol/L)</w:t>
            </w:r>
          </w:p>
        </w:tc>
        <w:tc>
          <w:tcPr>
            <w:tcW w:w="1040" w:type="dxa"/>
            <w:shd w:val="clear" w:color="auto" w:fill="auto"/>
            <w:vAlign w:val="center"/>
          </w:tcPr>
          <w:p w14:paraId="30610979"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0,60</w:t>
            </w:r>
          </w:p>
        </w:tc>
        <w:tc>
          <w:tcPr>
            <w:tcW w:w="0" w:type="auto"/>
            <w:shd w:val="clear" w:color="auto" w:fill="auto"/>
            <w:vAlign w:val="center"/>
          </w:tcPr>
          <w:p w14:paraId="15B524ED"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10,4</w:t>
            </w:r>
          </w:p>
        </w:tc>
        <w:tc>
          <w:tcPr>
            <w:tcW w:w="881" w:type="dxa"/>
            <w:shd w:val="clear" w:color="auto" w:fill="auto"/>
            <w:vAlign w:val="center"/>
          </w:tcPr>
          <w:p w14:paraId="615653E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1,85</w:t>
            </w:r>
          </w:p>
        </w:tc>
        <w:tc>
          <w:tcPr>
            <w:tcW w:w="1392" w:type="dxa"/>
            <w:shd w:val="clear" w:color="auto" w:fill="auto"/>
            <w:vAlign w:val="center"/>
          </w:tcPr>
          <w:p w14:paraId="47DD29B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1,1</w:t>
            </w:r>
          </w:p>
        </w:tc>
      </w:tr>
      <w:tr w:rsidR="00B72A2C" w:rsidRPr="00B72A2C" w14:paraId="1876F76F" w14:textId="77777777" w:rsidTr="00B81080">
        <w:trPr>
          <w:trHeight w:val="56"/>
          <w:jc w:val="center"/>
        </w:trPr>
        <w:tc>
          <w:tcPr>
            <w:tcW w:w="2221" w:type="dxa"/>
            <w:shd w:val="clear" w:color="auto" w:fill="auto"/>
            <w:vAlign w:val="center"/>
          </w:tcPr>
          <w:p w14:paraId="442753FA"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Ácido úrico (µmol/L)</w:t>
            </w:r>
          </w:p>
        </w:tc>
        <w:tc>
          <w:tcPr>
            <w:tcW w:w="1040" w:type="dxa"/>
            <w:shd w:val="clear" w:color="auto" w:fill="auto"/>
            <w:vAlign w:val="center"/>
          </w:tcPr>
          <w:p w14:paraId="33CD88AB"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115,5</w:t>
            </w:r>
          </w:p>
        </w:tc>
        <w:tc>
          <w:tcPr>
            <w:tcW w:w="0" w:type="auto"/>
            <w:shd w:val="clear" w:color="auto" w:fill="auto"/>
            <w:vAlign w:val="center"/>
          </w:tcPr>
          <w:p w14:paraId="6F00E2B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662</w:t>
            </w:r>
          </w:p>
        </w:tc>
        <w:tc>
          <w:tcPr>
            <w:tcW w:w="881" w:type="dxa"/>
            <w:shd w:val="clear" w:color="auto" w:fill="auto"/>
            <w:vAlign w:val="center"/>
          </w:tcPr>
          <w:p w14:paraId="10062AC0"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276,2</w:t>
            </w:r>
          </w:p>
        </w:tc>
        <w:tc>
          <w:tcPr>
            <w:tcW w:w="1392" w:type="dxa"/>
            <w:shd w:val="clear" w:color="auto" w:fill="auto"/>
            <w:vAlign w:val="center"/>
          </w:tcPr>
          <w:p w14:paraId="57A2B7EE"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97,0</w:t>
            </w:r>
          </w:p>
        </w:tc>
      </w:tr>
    </w:tbl>
    <w:p w14:paraId="26FF2C3A" w14:textId="77777777" w:rsidR="00B72A2C" w:rsidRPr="00B72A2C" w:rsidRDefault="00B72A2C" w:rsidP="00B72A2C">
      <w:pPr>
        <w:widowControl w:val="0"/>
        <w:suppressAutoHyphens/>
        <w:autoSpaceDE w:val="0"/>
        <w:autoSpaceDN w:val="0"/>
        <w:spacing w:line="360" w:lineRule="auto"/>
        <w:ind w:left="142" w:right="757" w:hanging="142"/>
        <w:rPr>
          <w:rFonts w:eastAsia="Arial"/>
          <w:i/>
          <w:color w:val="0070C0"/>
          <w:kern w:val="2"/>
          <w:sz w:val="18"/>
          <w:szCs w:val="18"/>
          <w:lang w:val="es-ES" w:eastAsia="zh-CN" w:bidi="hi-IN"/>
        </w:rPr>
      </w:pPr>
    </w:p>
    <w:p w14:paraId="26506AD0"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lastRenderedPageBreak/>
        <w:t>La tabla 3 expone los valores promedios de las variables intervalo Q-Tc máximo 383,9 ± 45,4 seguido del índice de masa ventricular izquierda 121,3 ± 36,0 y filtrado glomerular 68,7 ± 16,4.</w:t>
      </w:r>
    </w:p>
    <w:p w14:paraId="761E7AD0" w14:textId="77777777" w:rsidR="00B72A2C" w:rsidRPr="00B72A2C" w:rsidRDefault="00B72A2C" w:rsidP="00B72A2C">
      <w:pPr>
        <w:spacing w:line="360" w:lineRule="auto"/>
        <w:rPr>
          <w:rFonts w:ascii="Calibri" w:eastAsia="Calibri" w:hAnsi="Calibri"/>
          <w:sz w:val="22"/>
          <w:szCs w:val="22"/>
          <w:lang w:val="es-ES" w:eastAsia="en-US"/>
        </w:rPr>
      </w:pPr>
    </w:p>
    <w:p w14:paraId="0A5A61D2" w14:textId="77777777" w:rsidR="00B72A2C" w:rsidRPr="00B72A2C" w:rsidRDefault="00B72A2C" w:rsidP="00B72A2C">
      <w:pPr>
        <w:spacing w:line="360" w:lineRule="auto"/>
        <w:jc w:val="center"/>
        <w:rPr>
          <w:rFonts w:eastAsia="Calibri"/>
          <w:sz w:val="22"/>
          <w:szCs w:val="22"/>
          <w:lang w:val="es-ES" w:eastAsia="en-US"/>
        </w:rPr>
      </w:pPr>
      <w:r w:rsidRPr="00B72A2C">
        <w:rPr>
          <w:rFonts w:eastAsia="Calibri"/>
          <w:b/>
          <w:sz w:val="22"/>
          <w:szCs w:val="22"/>
          <w:lang w:val="es-ES" w:eastAsia="en-US"/>
        </w:rPr>
        <w:t xml:space="preserve">Tabla 3 - </w:t>
      </w:r>
      <w:r w:rsidRPr="00B72A2C">
        <w:rPr>
          <w:rFonts w:eastAsia="Calibri"/>
          <w:sz w:val="22"/>
          <w:szCs w:val="22"/>
          <w:lang w:val="es-ES" w:eastAsia="en-US"/>
        </w:rPr>
        <w:t>Caracterización de las pacientes en otras variables cuantitativas (n= 451)</w:t>
      </w:r>
    </w:p>
    <w:tbl>
      <w:tblPr>
        <w:tblW w:w="7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411"/>
        <w:gridCol w:w="1034"/>
        <w:gridCol w:w="1091"/>
        <w:gridCol w:w="926"/>
        <w:gridCol w:w="1322"/>
      </w:tblGrid>
      <w:tr w:rsidR="00B72A2C" w:rsidRPr="00B72A2C" w14:paraId="773D1C95" w14:textId="77777777" w:rsidTr="00B81080">
        <w:trPr>
          <w:trHeight w:val="614"/>
          <w:jc w:val="center"/>
        </w:trPr>
        <w:tc>
          <w:tcPr>
            <w:tcW w:w="3411" w:type="dxa"/>
            <w:shd w:val="clear" w:color="auto" w:fill="auto"/>
            <w:vAlign w:val="center"/>
          </w:tcPr>
          <w:p w14:paraId="48676A43"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Variables</w:t>
            </w:r>
          </w:p>
        </w:tc>
        <w:tc>
          <w:tcPr>
            <w:tcW w:w="1034" w:type="dxa"/>
            <w:shd w:val="clear" w:color="auto" w:fill="auto"/>
            <w:vAlign w:val="center"/>
          </w:tcPr>
          <w:p w14:paraId="4264764A"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Mínimo</w:t>
            </w:r>
          </w:p>
        </w:tc>
        <w:tc>
          <w:tcPr>
            <w:tcW w:w="1091" w:type="dxa"/>
            <w:shd w:val="clear" w:color="auto" w:fill="auto"/>
            <w:vAlign w:val="center"/>
          </w:tcPr>
          <w:p w14:paraId="231AC894"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Máximo</w:t>
            </w:r>
          </w:p>
        </w:tc>
        <w:tc>
          <w:tcPr>
            <w:tcW w:w="926" w:type="dxa"/>
            <w:shd w:val="clear" w:color="auto" w:fill="auto"/>
            <w:vAlign w:val="center"/>
          </w:tcPr>
          <w:p w14:paraId="558DAB7C"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Media</w:t>
            </w:r>
          </w:p>
        </w:tc>
        <w:tc>
          <w:tcPr>
            <w:tcW w:w="1322" w:type="dxa"/>
            <w:shd w:val="clear" w:color="auto" w:fill="auto"/>
            <w:vAlign w:val="center"/>
          </w:tcPr>
          <w:p w14:paraId="36F88618"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Desviación estándar</w:t>
            </w:r>
          </w:p>
        </w:tc>
      </w:tr>
      <w:tr w:rsidR="00B72A2C" w:rsidRPr="00B72A2C" w14:paraId="682BC598" w14:textId="77777777" w:rsidTr="00B81080">
        <w:trPr>
          <w:trHeight w:val="231"/>
          <w:jc w:val="center"/>
        </w:trPr>
        <w:tc>
          <w:tcPr>
            <w:tcW w:w="3411" w:type="dxa"/>
            <w:shd w:val="clear" w:color="auto" w:fill="auto"/>
            <w:vAlign w:val="center"/>
          </w:tcPr>
          <w:p w14:paraId="7E7E8679"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Índice de masa corporal (kg/m</w:t>
            </w:r>
            <w:r w:rsidRPr="00B72A2C">
              <w:rPr>
                <w:rFonts w:eastAsia="Calibri"/>
                <w:sz w:val="18"/>
                <w:szCs w:val="18"/>
                <w:vertAlign w:val="superscript"/>
                <w:lang w:val="es-ES" w:eastAsia="en-US"/>
              </w:rPr>
              <w:t>2</w:t>
            </w:r>
            <w:r w:rsidRPr="00B72A2C">
              <w:rPr>
                <w:rFonts w:eastAsia="Calibri"/>
                <w:sz w:val="18"/>
                <w:szCs w:val="18"/>
                <w:lang w:val="es-ES" w:eastAsia="en-US"/>
              </w:rPr>
              <w:t>)</w:t>
            </w:r>
          </w:p>
        </w:tc>
        <w:tc>
          <w:tcPr>
            <w:tcW w:w="1034" w:type="dxa"/>
            <w:shd w:val="clear" w:color="auto" w:fill="auto"/>
            <w:vAlign w:val="center"/>
          </w:tcPr>
          <w:p w14:paraId="56F9C40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16,0</w:t>
            </w:r>
          </w:p>
        </w:tc>
        <w:tc>
          <w:tcPr>
            <w:tcW w:w="1091" w:type="dxa"/>
            <w:shd w:val="clear" w:color="auto" w:fill="auto"/>
            <w:vAlign w:val="center"/>
          </w:tcPr>
          <w:p w14:paraId="46E1DB9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46,7</w:t>
            </w:r>
          </w:p>
        </w:tc>
        <w:tc>
          <w:tcPr>
            <w:tcW w:w="926" w:type="dxa"/>
            <w:shd w:val="clear" w:color="auto" w:fill="auto"/>
            <w:vAlign w:val="center"/>
          </w:tcPr>
          <w:p w14:paraId="61B21FA6"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27,3</w:t>
            </w:r>
          </w:p>
        </w:tc>
        <w:tc>
          <w:tcPr>
            <w:tcW w:w="1322" w:type="dxa"/>
            <w:shd w:val="clear" w:color="auto" w:fill="auto"/>
            <w:vAlign w:val="center"/>
          </w:tcPr>
          <w:p w14:paraId="0974FD7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5,4</w:t>
            </w:r>
          </w:p>
        </w:tc>
      </w:tr>
      <w:tr w:rsidR="00B72A2C" w:rsidRPr="00B72A2C" w14:paraId="66661022" w14:textId="77777777" w:rsidTr="00B81080">
        <w:trPr>
          <w:trHeight w:val="151"/>
          <w:jc w:val="center"/>
        </w:trPr>
        <w:tc>
          <w:tcPr>
            <w:tcW w:w="3411" w:type="dxa"/>
            <w:shd w:val="clear" w:color="auto" w:fill="auto"/>
            <w:vAlign w:val="center"/>
          </w:tcPr>
          <w:p w14:paraId="7248477C"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Superficie corporal (m</w:t>
            </w:r>
            <w:r w:rsidRPr="00B72A2C">
              <w:rPr>
                <w:rFonts w:eastAsia="Calibri"/>
                <w:sz w:val="18"/>
                <w:szCs w:val="18"/>
                <w:vertAlign w:val="superscript"/>
                <w:lang w:val="es-ES" w:eastAsia="en-US"/>
              </w:rPr>
              <w:t>2</w:t>
            </w:r>
            <w:r w:rsidRPr="00B72A2C">
              <w:rPr>
                <w:rFonts w:eastAsia="Calibri"/>
                <w:sz w:val="18"/>
                <w:szCs w:val="18"/>
                <w:lang w:val="es-ES" w:eastAsia="en-US"/>
              </w:rPr>
              <w:t>)</w:t>
            </w:r>
          </w:p>
        </w:tc>
        <w:tc>
          <w:tcPr>
            <w:tcW w:w="1034" w:type="dxa"/>
            <w:shd w:val="clear" w:color="auto" w:fill="auto"/>
            <w:vAlign w:val="center"/>
          </w:tcPr>
          <w:p w14:paraId="59EB562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0,9</w:t>
            </w:r>
          </w:p>
        </w:tc>
        <w:tc>
          <w:tcPr>
            <w:tcW w:w="1091" w:type="dxa"/>
            <w:shd w:val="clear" w:color="auto" w:fill="auto"/>
            <w:vAlign w:val="center"/>
          </w:tcPr>
          <w:p w14:paraId="34543A6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3,1</w:t>
            </w:r>
          </w:p>
        </w:tc>
        <w:tc>
          <w:tcPr>
            <w:tcW w:w="926" w:type="dxa"/>
            <w:shd w:val="clear" w:color="auto" w:fill="auto"/>
            <w:vAlign w:val="center"/>
          </w:tcPr>
          <w:p w14:paraId="1E5087E3"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1,81</w:t>
            </w:r>
          </w:p>
        </w:tc>
        <w:tc>
          <w:tcPr>
            <w:tcW w:w="1322" w:type="dxa"/>
            <w:shd w:val="clear" w:color="auto" w:fill="auto"/>
            <w:vAlign w:val="center"/>
          </w:tcPr>
          <w:p w14:paraId="1279D17B"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0,3</w:t>
            </w:r>
          </w:p>
        </w:tc>
      </w:tr>
      <w:tr w:rsidR="00B72A2C" w:rsidRPr="00B72A2C" w14:paraId="6B0F35BC" w14:textId="77777777" w:rsidTr="00B81080">
        <w:trPr>
          <w:trHeight w:val="213"/>
          <w:jc w:val="center"/>
        </w:trPr>
        <w:tc>
          <w:tcPr>
            <w:tcW w:w="3411" w:type="dxa"/>
            <w:shd w:val="clear" w:color="auto" w:fill="auto"/>
            <w:vAlign w:val="center"/>
          </w:tcPr>
          <w:p w14:paraId="7485C7E2"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Grosor de la grasa epicárdica (mm)</w:t>
            </w:r>
          </w:p>
        </w:tc>
        <w:tc>
          <w:tcPr>
            <w:tcW w:w="1034" w:type="dxa"/>
            <w:shd w:val="clear" w:color="auto" w:fill="auto"/>
            <w:vAlign w:val="center"/>
          </w:tcPr>
          <w:p w14:paraId="4B5219A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2,0</w:t>
            </w:r>
          </w:p>
        </w:tc>
        <w:tc>
          <w:tcPr>
            <w:tcW w:w="1091" w:type="dxa"/>
            <w:shd w:val="clear" w:color="auto" w:fill="auto"/>
            <w:vAlign w:val="center"/>
          </w:tcPr>
          <w:p w14:paraId="27AEA230"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18</w:t>
            </w:r>
          </w:p>
        </w:tc>
        <w:tc>
          <w:tcPr>
            <w:tcW w:w="926" w:type="dxa"/>
            <w:shd w:val="clear" w:color="auto" w:fill="auto"/>
            <w:vAlign w:val="center"/>
          </w:tcPr>
          <w:p w14:paraId="7190DDB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6,9</w:t>
            </w:r>
          </w:p>
        </w:tc>
        <w:tc>
          <w:tcPr>
            <w:tcW w:w="1322" w:type="dxa"/>
            <w:shd w:val="clear" w:color="auto" w:fill="auto"/>
            <w:vAlign w:val="center"/>
          </w:tcPr>
          <w:p w14:paraId="5D965386"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3,0</w:t>
            </w:r>
          </w:p>
        </w:tc>
      </w:tr>
      <w:tr w:rsidR="00B72A2C" w:rsidRPr="00B72A2C" w14:paraId="48BBF4A6" w14:textId="77777777" w:rsidTr="00B81080">
        <w:trPr>
          <w:trHeight w:val="133"/>
          <w:jc w:val="center"/>
        </w:trPr>
        <w:tc>
          <w:tcPr>
            <w:tcW w:w="3411" w:type="dxa"/>
            <w:shd w:val="clear" w:color="auto" w:fill="auto"/>
            <w:vAlign w:val="center"/>
          </w:tcPr>
          <w:p w14:paraId="418D6961"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Filtrado glomerular (mL/min/1,73 m</w:t>
            </w:r>
            <w:r w:rsidRPr="00B72A2C">
              <w:rPr>
                <w:rFonts w:eastAsia="Calibri"/>
                <w:sz w:val="18"/>
                <w:szCs w:val="18"/>
                <w:vertAlign w:val="superscript"/>
                <w:lang w:val="es-ES" w:eastAsia="en-US"/>
              </w:rPr>
              <w:t>2</w:t>
            </w:r>
            <w:r w:rsidRPr="00B72A2C">
              <w:rPr>
                <w:rFonts w:eastAsia="Calibri"/>
                <w:sz w:val="18"/>
                <w:szCs w:val="18"/>
                <w:lang w:val="es-ES" w:eastAsia="en-US"/>
              </w:rPr>
              <w:t>)</w:t>
            </w:r>
          </w:p>
        </w:tc>
        <w:tc>
          <w:tcPr>
            <w:tcW w:w="1034" w:type="dxa"/>
            <w:shd w:val="clear" w:color="auto" w:fill="auto"/>
            <w:vAlign w:val="center"/>
          </w:tcPr>
          <w:p w14:paraId="6910804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14,0</w:t>
            </w:r>
          </w:p>
        </w:tc>
        <w:tc>
          <w:tcPr>
            <w:tcW w:w="1091" w:type="dxa"/>
            <w:shd w:val="clear" w:color="auto" w:fill="auto"/>
            <w:vAlign w:val="center"/>
          </w:tcPr>
          <w:p w14:paraId="39164663"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124</w:t>
            </w:r>
          </w:p>
        </w:tc>
        <w:tc>
          <w:tcPr>
            <w:tcW w:w="926" w:type="dxa"/>
            <w:shd w:val="clear" w:color="auto" w:fill="auto"/>
            <w:vAlign w:val="center"/>
          </w:tcPr>
          <w:p w14:paraId="269723F3"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68,7</w:t>
            </w:r>
          </w:p>
        </w:tc>
        <w:tc>
          <w:tcPr>
            <w:tcW w:w="1322" w:type="dxa"/>
            <w:shd w:val="clear" w:color="auto" w:fill="auto"/>
            <w:vAlign w:val="center"/>
          </w:tcPr>
          <w:p w14:paraId="0F4AEEE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16,4</w:t>
            </w:r>
          </w:p>
        </w:tc>
      </w:tr>
      <w:tr w:rsidR="00B72A2C" w:rsidRPr="00B72A2C" w14:paraId="422CA87F" w14:textId="77777777" w:rsidTr="00B81080">
        <w:trPr>
          <w:trHeight w:val="195"/>
          <w:jc w:val="center"/>
        </w:trPr>
        <w:tc>
          <w:tcPr>
            <w:tcW w:w="3411" w:type="dxa"/>
            <w:shd w:val="clear" w:color="auto" w:fill="auto"/>
            <w:vAlign w:val="center"/>
          </w:tcPr>
          <w:p w14:paraId="6DA5713F"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Aclaramiento de creatinina (mL/min)</w:t>
            </w:r>
          </w:p>
        </w:tc>
        <w:tc>
          <w:tcPr>
            <w:tcW w:w="1034" w:type="dxa"/>
            <w:shd w:val="clear" w:color="auto" w:fill="auto"/>
            <w:vAlign w:val="center"/>
          </w:tcPr>
          <w:p w14:paraId="7EF6822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19</w:t>
            </w:r>
          </w:p>
        </w:tc>
        <w:tc>
          <w:tcPr>
            <w:tcW w:w="1091" w:type="dxa"/>
            <w:shd w:val="clear" w:color="auto" w:fill="auto"/>
            <w:vAlign w:val="center"/>
          </w:tcPr>
          <w:p w14:paraId="51EB431E"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161</w:t>
            </w:r>
          </w:p>
        </w:tc>
        <w:tc>
          <w:tcPr>
            <w:tcW w:w="926" w:type="dxa"/>
            <w:shd w:val="clear" w:color="auto" w:fill="auto"/>
            <w:vAlign w:val="center"/>
          </w:tcPr>
          <w:p w14:paraId="497ABDF9"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72,2</w:t>
            </w:r>
          </w:p>
        </w:tc>
        <w:tc>
          <w:tcPr>
            <w:tcW w:w="1322" w:type="dxa"/>
            <w:shd w:val="clear" w:color="auto" w:fill="auto"/>
            <w:vAlign w:val="center"/>
          </w:tcPr>
          <w:p w14:paraId="04D6DEC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24,8</w:t>
            </w:r>
          </w:p>
        </w:tc>
      </w:tr>
      <w:tr w:rsidR="00B72A2C" w:rsidRPr="00B72A2C" w14:paraId="39224FE0" w14:textId="77777777" w:rsidTr="00B81080">
        <w:trPr>
          <w:trHeight w:val="116"/>
          <w:jc w:val="center"/>
        </w:trPr>
        <w:tc>
          <w:tcPr>
            <w:tcW w:w="3411" w:type="dxa"/>
            <w:shd w:val="clear" w:color="auto" w:fill="auto"/>
            <w:vAlign w:val="center"/>
          </w:tcPr>
          <w:p w14:paraId="4648D8D1"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Diámetro de aurícula izquierda (mm)</w:t>
            </w:r>
          </w:p>
        </w:tc>
        <w:tc>
          <w:tcPr>
            <w:tcW w:w="1034" w:type="dxa"/>
            <w:shd w:val="clear" w:color="auto" w:fill="auto"/>
            <w:vAlign w:val="center"/>
          </w:tcPr>
          <w:p w14:paraId="73B2AB1B"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17</w:t>
            </w:r>
          </w:p>
        </w:tc>
        <w:tc>
          <w:tcPr>
            <w:tcW w:w="1091" w:type="dxa"/>
            <w:shd w:val="clear" w:color="auto" w:fill="auto"/>
            <w:vAlign w:val="center"/>
          </w:tcPr>
          <w:p w14:paraId="285B1B3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46</w:t>
            </w:r>
          </w:p>
        </w:tc>
        <w:tc>
          <w:tcPr>
            <w:tcW w:w="926" w:type="dxa"/>
            <w:shd w:val="clear" w:color="auto" w:fill="auto"/>
            <w:vAlign w:val="center"/>
          </w:tcPr>
          <w:p w14:paraId="4A2F5F0D"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27,7</w:t>
            </w:r>
          </w:p>
        </w:tc>
        <w:tc>
          <w:tcPr>
            <w:tcW w:w="1322" w:type="dxa"/>
            <w:shd w:val="clear" w:color="auto" w:fill="auto"/>
            <w:vAlign w:val="center"/>
          </w:tcPr>
          <w:p w14:paraId="165E424D"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4,3</w:t>
            </w:r>
          </w:p>
        </w:tc>
      </w:tr>
      <w:tr w:rsidR="00B72A2C" w:rsidRPr="00B72A2C" w14:paraId="41C0CD3C" w14:textId="77777777" w:rsidTr="00B81080">
        <w:trPr>
          <w:trHeight w:val="56"/>
          <w:jc w:val="center"/>
        </w:trPr>
        <w:tc>
          <w:tcPr>
            <w:tcW w:w="3411" w:type="dxa"/>
            <w:shd w:val="clear" w:color="auto" w:fill="auto"/>
            <w:vAlign w:val="center"/>
          </w:tcPr>
          <w:p w14:paraId="745F1E49"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FEVI %</w:t>
            </w:r>
          </w:p>
        </w:tc>
        <w:tc>
          <w:tcPr>
            <w:tcW w:w="1034" w:type="dxa"/>
            <w:shd w:val="clear" w:color="auto" w:fill="auto"/>
            <w:vAlign w:val="center"/>
          </w:tcPr>
          <w:p w14:paraId="0019D587"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28</w:t>
            </w:r>
          </w:p>
        </w:tc>
        <w:tc>
          <w:tcPr>
            <w:tcW w:w="1091" w:type="dxa"/>
            <w:shd w:val="clear" w:color="auto" w:fill="auto"/>
            <w:vAlign w:val="center"/>
          </w:tcPr>
          <w:p w14:paraId="7A214B0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86</w:t>
            </w:r>
          </w:p>
        </w:tc>
        <w:tc>
          <w:tcPr>
            <w:tcW w:w="926" w:type="dxa"/>
            <w:shd w:val="clear" w:color="auto" w:fill="auto"/>
            <w:vAlign w:val="center"/>
          </w:tcPr>
          <w:p w14:paraId="6A47FABF"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67,8</w:t>
            </w:r>
          </w:p>
        </w:tc>
        <w:tc>
          <w:tcPr>
            <w:tcW w:w="1322" w:type="dxa"/>
            <w:shd w:val="clear" w:color="auto" w:fill="auto"/>
            <w:vAlign w:val="center"/>
          </w:tcPr>
          <w:p w14:paraId="666B69A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8,9</w:t>
            </w:r>
          </w:p>
        </w:tc>
      </w:tr>
      <w:tr w:rsidR="00B72A2C" w:rsidRPr="00B72A2C" w14:paraId="4ED07DF1" w14:textId="77777777" w:rsidTr="00B81080">
        <w:trPr>
          <w:trHeight w:val="107"/>
          <w:jc w:val="center"/>
        </w:trPr>
        <w:tc>
          <w:tcPr>
            <w:tcW w:w="3411" w:type="dxa"/>
            <w:shd w:val="clear" w:color="auto" w:fill="auto"/>
            <w:vAlign w:val="center"/>
          </w:tcPr>
          <w:p w14:paraId="1C8E5F06"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Patrón diastólico VI (cociente E/A)</w:t>
            </w:r>
          </w:p>
        </w:tc>
        <w:tc>
          <w:tcPr>
            <w:tcW w:w="1034" w:type="dxa"/>
            <w:shd w:val="clear" w:color="auto" w:fill="auto"/>
            <w:vAlign w:val="center"/>
          </w:tcPr>
          <w:p w14:paraId="1CE0360F"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0,30</w:t>
            </w:r>
          </w:p>
        </w:tc>
        <w:tc>
          <w:tcPr>
            <w:tcW w:w="1091" w:type="dxa"/>
            <w:shd w:val="clear" w:color="auto" w:fill="auto"/>
            <w:vAlign w:val="center"/>
          </w:tcPr>
          <w:p w14:paraId="60869EDC"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8,60</w:t>
            </w:r>
          </w:p>
        </w:tc>
        <w:tc>
          <w:tcPr>
            <w:tcW w:w="926" w:type="dxa"/>
            <w:shd w:val="clear" w:color="auto" w:fill="auto"/>
            <w:vAlign w:val="center"/>
          </w:tcPr>
          <w:p w14:paraId="27894DB7"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1,10</w:t>
            </w:r>
          </w:p>
        </w:tc>
        <w:tc>
          <w:tcPr>
            <w:tcW w:w="1322" w:type="dxa"/>
            <w:shd w:val="clear" w:color="auto" w:fill="auto"/>
            <w:vAlign w:val="center"/>
          </w:tcPr>
          <w:p w14:paraId="59773F9E"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0,82</w:t>
            </w:r>
          </w:p>
        </w:tc>
      </w:tr>
      <w:tr w:rsidR="00B72A2C" w:rsidRPr="00B72A2C" w14:paraId="748177D3" w14:textId="77777777" w:rsidTr="00B81080">
        <w:trPr>
          <w:trHeight w:val="169"/>
          <w:jc w:val="center"/>
        </w:trPr>
        <w:tc>
          <w:tcPr>
            <w:tcW w:w="3411" w:type="dxa"/>
            <w:shd w:val="clear" w:color="auto" w:fill="auto"/>
            <w:vAlign w:val="center"/>
          </w:tcPr>
          <w:p w14:paraId="2F7C75D2"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Presión pulmonar media (mmHg)</w:t>
            </w:r>
          </w:p>
        </w:tc>
        <w:tc>
          <w:tcPr>
            <w:tcW w:w="1034" w:type="dxa"/>
            <w:shd w:val="clear" w:color="auto" w:fill="auto"/>
            <w:vAlign w:val="center"/>
          </w:tcPr>
          <w:p w14:paraId="54C0C903"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0,25</w:t>
            </w:r>
          </w:p>
        </w:tc>
        <w:tc>
          <w:tcPr>
            <w:tcW w:w="1091" w:type="dxa"/>
            <w:shd w:val="clear" w:color="auto" w:fill="auto"/>
            <w:vAlign w:val="center"/>
          </w:tcPr>
          <w:p w14:paraId="02EC5C20"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49,7</w:t>
            </w:r>
          </w:p>
        </w:tc>
        <w:tc>
          <w:tcPr>
            <w:tcW w:w="926" w:type="dxa"/>
            <w:shd w:val="clear" w:color="auto" w:fill="auto"/>
            <w:vAlign w:val="center"/>
          </w:tcPr>
          <w:p w14:paraId="4096D78B"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18,9</w:t>
            </w:r>
          </w:p>
        </w:tc>
        <w:tc>
          <w:tcPr>
            <w:tcW w:w="1322" w:type="dxa"/>
            <w:shd w:val="clear" w:color="auto" w:fill="auto"/>
            <w:vAlign w:val="center"/>
          </w:tcPr>
          <w:p w14:paraId="75D7D7DF"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9,31</w:t>
            </w:r>
          </w:p>
        </w:tc>
      </w:tr>
      <w:tr w:rsidR="00B72A2C" w:rsidRPr="00B72A2C" w14:paraId="341F83E4" w14:textId="77777777" w:rsidTr="00B81080">
        <w:trPr>
          <w:trHeight w:val="90"/>
          <w:jc w:val="center"/>
        </w:trPr>
        <w:tc>
          <w:tcPr>
            <w:tcW w:w="3411" w:type="dxa"/>
            <w:shd w:val="clear" w:color="auto" w:fill="auto"/>
            <w:vAlign w:val="center"/>
          </w:tcPr>
          <w:p w14:paraId="25DED68F"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Índice de masa VI (g/m</w:t>
            </w:r>
            <w:r w:rsidRPr="00B72A2C">
              <w:rPr>
                <w:rFonts w:eastAsia="Calibri"/>
                <w:sz w:val="18"/>
                <w:szCs w:val="18"/>
                <w:vertAlign w:val="superscript"/>
                <w:lang w:val="es-ES" w:eastAsia="en-US"/>
              </w:rPr>
              <w:t>2</w:t>
            </w:r>
            <w:r w:rsidRPr="00B72A2C">
              <w:rPr>
                <w:rFonts w:eastAsia="Calibri"/>
                <w:sz w:val="18"/>
                <w:szCs w:val="18"/>
                <w:lang w:val="es-ES" w:eastAsia="en-US"/>
              </w:rPr>
              <w:t>)</w:t>
            </w:r>
          </w:p>
        </w:tc>
        <w:tc>
          <w:tcPr>
            <w:tcW w:w="1034" w:type="dxa"/>
            <w:shd w:val="clear" w:color="auto" w:fill="auto"/>
            <w:vAlign w:val="center"/>
          </w:tcPr>
          <w:p w14:paraId="70D9FDFE"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31,5</w:t>
            </w:r>
          </w:p>
        </w:tc>
        <w:tc>
          <w:tcPr>
            <w:tcW w:w="1091" w:type="dxa"/>
            <w:shd w:val="clear" w:color="auto" w:fill="auto"/>
            <w:vAlign w:val="center"/>
          </w:tcPr>
          <w:p w14:paraId="75F1F580"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285,4</w:t>
            </w:r>
          </w:p>
        </w:tc>
        <w:tc>
          <w:tcPr>
            <w:tcW w:w="926" w:type="dxa"/>
            <w:shd w:val="clear" w:color="auto" w:fill="auto"/>
            <w:vAlign w:val="center"/>
          </w:tcPr>
          <w:p w14:paraId="5E6435FF"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121,3</w:t>
            </w:r>
          </w:p>
        </w:tc>
        <w:tc>
          <w:tcPr>
            <w:tcW w:w="1322" w:type="dxa"/>
            <w:shd w:val="clear" w:color="auto" w:fill="auto"/>
            <w:vAlign w:val="center"/>
          </w:tcPr>
          <w:p w14:paraId="45785346"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36,0</w:t>
            </w:r>
          </w:p>
        </w:tc>
      </w:tr>
      <w:tr w:rsidR="00B72A2C" w:rsidRPr="00B72A2C" w14:paraId="7E6BB891" w14:textId="77777777" w:rsidTr="00B81080">
        <w:trPr>
          <w:trHeight w:val="135"/>
          <w:jc w:val="center"/>
        </w:trPr>
        <w:tc>
          <w:tcPr>
            <w:tcW w:w="3411" w:type="dxa"/>
            <w:shd w:val="clear" w:color="auto" w:fill="auto"/>
            <w:vAlign w:val="center"/>
          </w:tcPr>
          <w:p w14:paraId="3813850A"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Intervalo Q-Tc máximo (milisegundo)</w:t>
            </w:r>
          </w:p>
        </w:tc>
        <w:tc>
          <w:tcPr>
            <w:tcW w:w="1034" w:type="dxa"/>
            <w:shd w:val="clear" w:color="auto" w:fill="auto"/>
            <w:vAlign w:val="center"/>
          </w:tcPr>
          <w:p w14:paraId="5FE3A7D9"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218</w:t>
            </w:r>
          </w:p>
        </w:tc>
        <w:tc>
          <w:tcPr>
            <w:tcW w:w="1091" w:type="dxa"/>
            <w:shd w:val="clear" w:color="auto" w:fill="auto"/>
            <w:vAlign w:val="center"/>
          </w:tcPr>
          <w:p w14:paraId="3BAB1A2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556</w:t>
            </w:r>
          </w:p>
        </w:tc>
        <w:tc>
          <w:tcPr>
            <w:tcW w:w="926" w:type="dxa"/>
            <w:shd w:val="clear" w:color="auto" w:fill="auto"/>
            <w:vAlign w:val="center"/>
          </w:tcPr>
          <w:p w14:paraId="2E1740B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383,9</w:t>
            </w:r>
          </w:p>
        </w:tc>
        <w:tc>
          <w:tcPr>
            <w:tcW w:w="1322" w:type="dxa"/>
            <w:shd w:val="clear" w:color="auto" w:fill="auto"/>
            <w:vAlign w:val="center"/>
          </w:tcPr>
          <w:p w14:paraId="4D1A20DE"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45,4</w:t>
            </w:r>
          </w:p>
        </w:tc>
      </w:tr>
    </w:tbl>
    <w:p w14:paraId="05947D4D" w14:textId="77777777" w:rsidR="00B72A2C" w:rsidRPr="00B72A2C" w:rsidRDefault="00B72A2C" w:rsidP="00B72A2C">
      <w:pPr>
        <w:spacing w:line="360" w:lineRule="auto"/>
        <w:jc w:val="center"/>
        <w:rPr>
          <w:rFonts w:eastAsia="Calibri"/>
          <w:bCs/>
          <w:sz w:val="16"/>
          <w:szCs w:val="16"/>
          <w:lang w:val="es-ES" w:eastAsia="en-US"/>
        </w:rPr>
      </w:pPr>
      <w:r w:rsidRPr="00B72A2C">
        <w:rPr>
          <w:rFonts w:eastAsia="Calibri"/>
          <w:bCs/>
          <w:sz w:val="16"/>
          <w:szCs w:val="16"/>
          <w:lang w:val="es-ES" w:eastAsia="en-US"/>
        </w:rPr>
        <w:t>FEVI: fracción de eyección ventricular izquierda; VI ventrículo izquierdo.</w:t>
      </w:r>
    </w:p>
    <w:p w14:paraId="2C97B8BB" w14:textId="77777777" w:rsidR="00B72A2C" w:rsidRPr="00B72A2C" w:rsidRDefault="00B72A2C" w:rsidP="00B72A2C">
      <w:pPr>
        <w:spacing w:line="360" w:lineRule="auto"/>
        <w:jc w:val="both"/>
        <w:rPr>
          <w:rFonts w:eastAsia="Calibri"/>
          <w:lang w:val="es-ES" w:eastAsia="en-US"/>
        </w:rPr>
      </w:pPr>
    </w:p>
    <w:p w14:paraId="5396BBE5"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La tabla 4 muestra la frecuencia de los factores de riesgo de CTx: dosis acumuladas de antraciclinas mayor a 400 mg/m</w:t>
      </w:r>
      <w:r w:rsidRPr="00B72A2C">
        <w:rPr>
          <w:rFonts w:eastAsia="Calibri"/>
          <w:vertAlign w:val="superscript"/>
          <w:lang w:val="es-ES" w:eastAsia="en-US"/>
        </w:rPr>
        <w:t>2</w:t>
      </w:r>
      <w:r w:rsidRPr="00B72A2C">
        <w:rPr>
          <w:rFonts w:eastAsia="Calibri"/>
          <w:lang w:val="es-ES" w:eastAsia="en-US"/>
        </w:rPr>
        <w:t xml:space="preserve"> (z= 6,20; p= 0,000); fibrilación auricular (z= 6,06; p= 0,000); intervalo Q-Tc &gt; 460 milisegundos (z= 5,04; p= 0,000) y síndrome metabólico (z= 4,51; p= 0,000). </w:t>
      </w:r>
    </w:p>
    <w:p w14:paraId="58B3117D" w14:textId="77777777" w:rsidR="00B72A2C" w:rsidRPr="00B72A2C" w:rsidRDefault="00B72A2C" w:rsidP="00B72A2C">
      <w:pPr>
        <w:spacing w:line="360" w:lineRule="auto"/>
        <w:rPr>
          <w:rFonts w:ascii="Calibri" w:eastAsia="Calibri" w:hAnsi="Calibri"/>
          <w:sz w:val="22"/>
          <w:szCs w:val="22"/>
          <w:lang w:val="es-ES" w:eastAsia="en-US"/>
        </w:rPr>
      </w:pPr>
    </w:p>
    <w:p w14:paraId="68B2C552" w14:textId="77777777" w:rsidR="00B72A2C" w:rsidRPr="00B72A2C" w:rsidRDefault="00B72A2C" w:rsidP="00B72A2C">
      <w:pPr>
        <w:spacing w:after="200" w:line="276" w:lineRule="auto"/>
        <w:rPr>
          <w:rFonts w:eastAsia="Calibri"/>
          <w:b/>
          <w:sz w:val="22"/>
          <w:szCs w:val="22"/>
          <w:lang w:val="es-ES" w:eastAsia="en-US"/>
        </w:rPr>
      </w:pPr>
      <w:r w:rsidRPr="00B72A2C">
        <w:rPr>
          <w:rFonts w:eastAsia="Noto Serif CJK SC" w:cs="Lucida Sans"/>
          <w:b/>
          <w:kern w:val="2"/>
          <w:lang w:val="es-ES" w:eastAsia="zh-CN" w:bidi="hi-IN"/>
        </w:rPr>
        <w:br w:type="page"/>
      </w:r>
    </w:p>
    <w:p w14:paraId="2D48BD9F" w14:textId="77777777" w:rsidR="00B72A2C" w:rsidRPr="00B72A2C" w:rsidRDefault="00B72A2C" w:rsidP="00B72A2C">
      <w:pPr>
        <w:spacing w:line="360" w:lineRule="auto"/>
        <w:jc w:val="center"/>
        <w:rPr>
          <w:rFonts w:eastAsia="Calibri"/>
          <w:sz w:val="22"/>
          <w:szCs w:val="22"/>
          <w:lang w:val="es-ES" w:eastAsia="en-US"/>
        </w:rPr>
      </w:pPr>
      <w:r w:rsidRPr="00B72A2C">
        <w:rPr>
          <w:rFonts w:eastAsia="Calibri"/>
          <w:b/>
          <w:sz w:val="22"/>
          <w:szCs w:val="22"/>
          <w:lang w:val="es-ES" w:eastAsia="en-US"/>
        </w:rPr>
        <w:lastRenderedPageBreak/>
        <w:t>Tabla 4 -</w:t>
      </w:r>
      <w:r w:rsidRPr="00B72A2C">
        <w:rPr>
          <w:rFonts w:eastAsia="Calibri"/>
          <w:sz w:val="22"/>
          <w:szCs w:val="22"/>
          <w:lang w:val="es-ES" w:eastAsia="en-US"/>
        </w:rPr>
        <w:t xml:space="preserve"> Distribución porcentual de los factores de riesgo de CTx por quimioterapia en las pacientes estudiadas (n= 451)</w:t>
      </w:r>
    </w:p>
    <w:p w14:paraId="5A9F46A4" w14:textId="656B3909" w:rsidR="00B72A2C" w:rsidRPr="00B72A2C" w:rsidRDefault="00B72A2C" w:rsidP="00B72A2C">
      <w:pPr>
        <w:spacing w:line="360" w:lineRule="auto"/>
        <w:jc w:val="center"/>
        <w:rPr>
          <w:rFonts w:eastAsia="Calibri"/>
          <w:bCs/>
          <w:sz w:val="16"/>
          <w:szCs w:val="16"/>
          <w:lang w:val="es-ES" w:eastAsia="en-US"/>
        </w:rPr>
      </w:pPr>
      <w:r w:rsidRPr="00B72A2C">
        <w:rPr>
          <w:rFonts w:eastAsia="Calibri"/>
          <w:noProof/>
          <w:sz w:val="16"/>
          <w:szCs w:val="16"/>
          <w:lang w:val="es-ES" w:eastAsia="en-US"/>
        </w:rPr>
        <w:drawing>
          <wp:inline distT="0" distB="0" distL="0" distR="0" wp14:anchorId="55055B61" wp14:editId="28266E89">
            <wp:extent cx="5238750" cy="4467225"/>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4467225"/>
                    </a:xfrm>
                    <a:prstGeom prst="rect">
                      <a:avLst/>
                    </a:prstGeom>
                    <a:noFill/>
                    <a:ln>
                      <a:noFill/>
                    </a:ln>
                  </pic:spPr>
                </pic:pic>
              </a:graphicData>
            </a:graphic>
          </wp:inline>
        </w:drawing>
      </w:r>
    </w:p>
    <w:p w14:paraId="2B65DF2A" w14:textId="77777777" w:rsidR="00B72A2C" w:rsidRPr="00B72A2C" w:rsidRDefault="00B72A2C" w:rsidP="00B72A2C">
      <w:pPr>
        <w:spacing w:line="360" w:lineRule="auto"/>
        <w:jc w:val="center"/>
        <w:rPr>
          <w:rFonts w:eastAsia="Calibri"/>
          <w:bCs/>
          <w:sz w:val="16"/>
          <w:szCs w:val="16"/>
          <w:lang w:val="es-ES" w:eastAsia="en-US"/>
        </w:rPr>
      </w:pPr>
      <w:r w:rsidRPr="00B72A2C">
        <w:rPr>
          <w:rFonts w:eastAsia="Calibri"/>
          <w:bCs/>
          <w:sz w:val="16"/>
          <w:szCs w:val="16"/>
          <w:lang w:val="es-ES" w:eastAsia="en-US"/>
        </w:rPr>
        <w:t xml:space="preserve">CTx: cardiotoxicidad; FG: filtrado glomerular; HVI: hipertrofia ventricular izquierda; Q-Tc: intervalo </w:t>
      </w:r>
      <w:r w:rsidRPr="00B72A2C">
        <w:rPr>
          <w:rFonts w:eastAsia="Calibri"/>
          <w:bCs/>
          <w:sz w:val="16"/>
          <w:szCs w:val="16"/>
          <w:lang w:val="es-ES" w:eastAsia="en-US"/>
        </w:rPr>
        <w:br/>
        <w:t>Q-T corregido.</w:t>
      </w:r>
    </w:p>
    <w:p w14:paraId="7E2F2313" w14:textId="77777777" w:rsidR="00B72A2C" w:rsidRPr="00B72A2C" w:rsidRDefault="00B72A2C" w:rsidP="00B72A2C">
      <w:pPr>
        <w:spacing w:line="360" w:lineRule="auto"/>
        <w:jc w:val="center"/>
        <w:rPr>
          <w:rFonts w:eastAsia="Calibri"/>
          <w:sz w:val="16"/>
          <w:szCs w:val="16"/>
          <w:lang w:val="es-ES" w:eastAsia="en-US"/>
        </w:rPr>
      </w:pPr>
    </w:p>
    <w:p w14:paraId="7161816B"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La tabla 5 muestra los valores medios de las variables ecocardiográficas y el intervalo Q-Tc, analizados a los 12 meses tras la aplicación de quimioterapia. Se comprobaron las modificaciones de los diámetros y volúmenes cardiacos que confirman CTx: la fracción de eyección ventricular izquierda, el diámetro de la aurícula izquierda mayor de 36 mm y el diámetro telediastólico del ventrículo izquierdo mostraron las mayores diferencias significativas (p= 0,000).</w:t>
      </w:r>
    </w:p>
    <w:p w14:paraId="44AEC6E7" w14:textId="77777777" w:rsidR="00B72A2C" w:rsidRPr="00B72A2C" w:rsidRDefault="00B72A2C" w:rsidP="00B72A2C">
      <w:pPr>
        <w:spacing w:line="360" w:lineRule="auto"/>
        <w:rPr>
          <w:rFonts w:eastAsia="Calibri"/>
          <w:b/>
          <w:lang w:val="es-ES" w:eastAsia="en-US"/>
        </w:rPr>
      </w:pPr>
    </w:p>
    <w:p w14:paraId="00116E74" w14:textId="77777777" w:rsidR="00B72A2C" w:rsidRPr="00B72A2C" w:rsidRDefault="00B72A2C" w:rsidP="00B72A2C">
      <w:pPr>
        <w:spacing w:after="200" w:line="276" w:lineRule="auto"/>
        <w:rPr>
          <w:rFonts w:eastAsia="Calibri"/>
          <w:b/>
          <w:sz w:val="22"/>
          <w:szCs w:val="22"/>
          <w:lang w:val="es-ES" w:eastAsia="en-US"/>
        </w:rPr>
      </w:pPr>
      <w:r w:rsidRPr="00B72A2C">
        <w:rPr>
          <w:rFonts w:eastAsia="Noto Serif CJK SC" w:cs="Lucida Sans"/>
          <w:b/>
          <w:kern w:val="2"/>
          <w:lang w:val="es-ES" w:eastAsia="zh-CN" w:bidi="hi-IN"/>
        </w:rPr>
        <w:br w:type="page"/>
      </w:r>
    </w:p>
    <w:p w14:paraId="37C70626" w14:textId="77777777" w:rsidR="00B72A2C" w:rsidRPr="00B72A2C" w:rsidRDefault="00B72A2C" w:rsidP="00B72A2C">
      <w:pPr>
        <w:spacing w:line="360" w:lineRule="auto"/>
        <w:jc w:val="center"/>
        <w:rPr>
          <w:rFonts w:eastAsia="Calibri"/>
          <w:sz w:val="22"/>
          <w:szCs w:val="22"/>
          <w:lang w:val="es-ES" w:eastAsia="en-US"/>
        </w:rPr>
      </w:pPr>
      <w:r w:rsidRPr="00B72A2C">
        <w:rPr>
          <w:rFonts w:eastAsia="Calibri"/>
          <w:b/>
          <w:sz w:val="22"/>
          <w:szCs w:val="22"/>
          <w:lang w:val="es-ES" w:eastAsia="en-US"/>
        </w:rPr>
        <w:lastRenderedPageBreak/>
        <w:t>Tabla 5 -</w:t>
      </w:r>
      <w:r w:rsidRPr="00B72A2C">
        <w:rPr>
          <w:rFonts w:eastAsia="Calibri"/>
          <w:sz w:val="22"/>
          <w:szCs w:val="22"/>
          <w:lang w:val="es-ES" w:eastAsia="en-US"/>
        </w:rPr>
        <w:t xml:space="preserve"> Valor medio y desviación estándar de las variables ecocardiográficas e intervalo Q-Tc en las pacientes estudiadas (n= 451)</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450"/>
        <w:gridCol w:w="1558"/>
        <w:gridCol w:w="727"/>
        <w:gridCol w:w="1654"/>
        <w:gridCol w:w="671"/>
        <w:gridCol w:w="798"/>
        <w:gridCol w:w="865"/>
      </w:tblGrid>
      <w:tr w:rsidR="00B72A2C" w:rsidRPr="00B72A2C" w14:paraId="6F53498C" w14:textId="77777777" w:rsidTr="00B81080">
        <w:trPr>
          <w:trHeight w:val="386"/>
          <w:jc w:val="center"/>
        </w:trPr>
        <w:tc>
          <w:tcPr>
            <w:tcW w:w="3450" w:type="dxa"/>
            <w:shd w:val="clear" w:color="auto" w:fill="auto"/>
            <w:vAlign w:val="center"/>
          </w:tcPr>
          <w:p w14:paraId="6943A783"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Variables</w:t>
            </w:r>
          </w:p>
        </w:tc>
        <w:tc>
          <w:tcPr>
            <w:tcW w:w="1558" w:type="dxa"/>
            <w:shd w:val="clear" w:color="auto" w:fill="auto"/>
            <w:vAlign w:val="center"/>
          </w:tcPr>
          <w:p w14:paraId="637E2D8C"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 xml:space="preserve">Con CTx  </w:t>
            </w:r>
          </w:p>
          <w:p w14:paraId="7AA62F58"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(n= 72)</w:t>
            </w:r>
          </w:p>
          <w:p w14:paraId="54733ADA"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Media</w:t>
            </w:r>
          </w:p>
        </w:tc>
        <w:tc>
          <w:tcPr>
            <w:tcW w:w="727" w:type="dxa"/>
            <w:shd w:val="clear" w:color="auto" w:fill="auto"/>
            <w:vAlign w:val="center"/>
          </w:tcPr>
          <w:p w14:paraId="63A5AF02"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DE</w:t>
            </w:r>
          </w:p>
        </w:tc>
        <w:tc>
          <w:tcPr>
            <w:tcW w:w="1654" w:type="dxa"/>
            <w:shd w:val="clear" w:color="auto" w:fill="auto"/>
            <w:vAlign w:val="center"/>
          </w:tcPr>
          <w:p w14:paraId="6637DC8E"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Sin CTx (n= 379)</w:t>
            </w:r>
          </w:p>
          <w:p w14:paraId="081524F5"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Media</w:t>
            </w:r>
          </w:p>
        </w:tc>
        <w:tc>
          <w:tcPr>
            <w:tcW w:w="671" w:type="dxa"/>
            <w:shd w:val="clear" w:color="auto" w:fill="auto"/>
            <w:vAlign w:val="center"/>
          </w:tcPr>
          <w:p w14:paraId="2E3777AA"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DE</w:t>
            </w:r>
          </w:p>
        </w:tc>
        <w:tc>
          <w:tcPr>
            <w:tcW w:w="798" w:type="dxa"/>
            <w:shd w:val="clear" w:color="auto" w:fill="auto"/>
            <w:vAlign w:val="center"/>
          </w:tcPr>
          <w:p w14:paraId="20F67220"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t</w:t>
            </w:r>
          </w:p>
        </w:tc>
        <w:tc>
          <w:tcPr>
            <w:tcW w:w="865" w:type="dxa"/>
            <w:shd w:val="clear" w:color="auto" w:fill="auto"/>
            <w:vAlign w:val="center"/>
          </w:tcPr>
          <w:p w14:paraId="29850666" w14:textId="77777777" w:rsidR="00B72A2C" w:rsidRPr="00B72A2C" w:rsidRDefault="00B72A2C" w:rsidP="00B72A2C">
            <w:pPr>
              <w:spacing w:line="360" w:lineRule="auto"/>
              <w:jc w:val="center"/>
              <w:rPr>
                <w:rFonts w:eastAsia="Calibri"/>
                <w:b/>
                <w:bCs/>
                <w:sz w:val="18"/>
                <w:szCs w:val="18"/>
                <w:lang w:val="es-ES" w:eastAsia="en-US"/>
              </w:rPr>
            </w:pPr>
            <w:r w:rsidRPr="00B72A2C">
              <w:rPr>
                <w:rFonts w:eastAsia="Calibri"/>
                <w:b/>
                <w:bCs/>
                <w:sz w:val="18"/>
                <w:szCs w:val="18"/>
                <w:lang w:val="es-ES" w:eastAsia="en-US"/>
              </w:rPr>
              <w:t>p</w:t>
            </w:r>
          </w:p>
        </w:tc>
      </w:tr>
      <w:tr w:rsidR="00B72A2C" w:rsidRPr="00B72A2C" w14:paraId="44BEE442" w14:textId="77777777" w:rsidTr="00B81080">
        <w:trPr>
          <w:trHeight w:val="386"/>
          <w:jc w:val="center"/>
        </w:trPr>
        <w:tc>
          <w:tcPr>
            <w:tcW w:w="3450" w:type="dxa"/>
            <w:shd w:val="clear" w:color="auto" w:fill="auto"/>
            <w:vAlign w:val="center"/>
          </w:tcPr>
          <w:p w14:paraId="69397F89"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Diámetro de AI (mm)</w:t>
            </w:r>
          </w:p>
        </w:tc>
        <w:tc>
          <w:tcPr>
            <w:tcW w:w="1558" w:type="dxa"/>
            <w:shd w:val="clear" w:color="auto" w:fill="auto"/>
            <w:vAlign w:val="center"/>
          </w:tcPr>
          <w:p w14:paraId="5DDE9863"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38,8</w:t>
            </w:r>
          </w:p>
        </w:tc>
        <w:tc>
          <w:tcPr>
            <w:tcW w:w="727" w:type="dxa"/>
            <w:shd w:val="clear" w:color="auto" w:fill="auto"/>
            <w:vAlign w:val="center"/>
          </w:tcPr>
          <w:p w14:paraId="3F89043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5,2</w:t>
            </w:r>
          </w:p>
        </w:tc>
        <w:tc>
          <w:tcPr>
            <w:tcW w:w="1654" w:type="dxa"/>
            <w:shd w:val="clear" w:color="auto" w:fill="auto"/>
            <w:vAlign w:val="center"/>
          </w:tcPr>
          <w:p w14:paraId="06730A7F"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27,3</w:t>
            </w:r>
          </w:p>
        </w:tc>
        <w:tc>
          <w:tcPr>
            <w:tcW w:w="671" w:type="dxa"/>
            <w:shd w:val="clear" w:color="auto" w:fill="auto"/>
            <w:vAlign w:val="center"/>
          </w:tcPr>
          <w:p w14:paraId="0666682E"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4,2</w:t>
            </w:r>
          </w:p>
        </w:tc>
        <w:tc>
          <w:tcPr>
            <w:tcW w:w="798" w:type="dxa"/>
            <w:shd w:val="clear" w:color="auto" w:fill="auto"/>
            <w:vAlign w:val="center"/>
          </w:tcPr>
          <w:p w14:paraId="21B76F79"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20,45</w:t>
            </w:r>
          </w:p>
        </w:tc>
        <w:tc>
          <w:tcPr>
            <w:tcW w:w="865" w:type="dxa"/>
            <w:shd w:val="clear" w:color="auto" w:fill="auto"/>
            <w:vAlign w:val="center"/>
          </w:tcPr>
          <w:p w14:paraId="153C48BB"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0,000</w:t>
            </w:r>
          </w:p>
        </w:tc>
      </w:tr>
      <w:tr w:rsidR="00B72A2C" w:rsidRPr="00B72A2C" w14:paraId="52A7850C" w14:textId="77777777" w:rsidTr="00B81080">
        <w:trPr>
          <w:trHeight w:val="386"/>
          <w:jc w:val="center"/>
        </w:trPr>
        <w:tc>
          <w:tcPr>
            <w:tcW w:w="3450" w:type="dxa"/>
            <w:shd w:val="clear" w:color="auto" w:fill="auto"/>
            <w:vAlign w:val="center"/>
          </w:tcPr>
          <w:p w14:paraId="6A4785E6"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DtdVI (mm)</w:t>
            </w:r>
          </w:p>
        </w:tc>
        <w:tc>
          <w:tcPr>
            <w:tcW w:w="1558" w:type="dxa"/>
            <w:shd w:val="clear" w:color="auto" w:fill="auto"/>
            <w:vAlign w:val="center"/>
          </w:tcPr>
          <w:p w14:paraId="54E8C529"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55,3</w:t>
            </w:r>
          </w:p>
        </w:tc>
        <w:tc>
          <w:tcPr>
            <w:tcW w:w="727" w:type="dxa"/>
            <w:shd w:val="clear" w:color="auto" w:fill="auto"/>
            <w:vAlign w:val="center"/>
          </w:tcPr>
          <w:p w14:paraId="00E0925C"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8,6</w:t>
            </w:r>
          </w:p>
        </w:tc>
        <w:tc>
          <w:tcPr>
            <w:tcW w:w="1654" w:type="dxa"/>
            <w:shd w:val="clear" w:color="auto" w:fill="auto"/>
            <w:vAlign w:val="center"/>
          </w:tcPr>
          <w:p w14:paraId="425B8C71"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43,0</w:t>
            </w:r>
          </w:p>
        </w:tc>
        <w:tc>
          <w:tcPr>
            <w:tcW w:w="671" w:type="dxa"/>
            <w:shd w:val="clear" w:color="auto" w:fill="auto"/>
            <w:vAlign w:val="center"/>
          </w:tcPr>
          <w:p w14:paraId="4D27ADA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5,0</w:t>
            </w:r>
          </w:p>
        </w:tc>
        <w:tc>
          <w:tcPr>
            <w:tcW w:w="798" w:type="dxa"/>
            <w:shd w:val="clear" w:color="auto" w:fill="auto"/>
            <w:vAlign w:val="center"/>
          </w:tcPr>
          <w:p w14:paraId="063DECD6"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16,72</w:t>
            </w:r>
          </w:p>
        </w:tc>
        <w:tc>
          <w:tcPr>
            <w:tcW w:w="865" w:type="dxa"/>
            <w:shd w:val="clear" w:color="auto" w:fill="auto"/>
            <w:vAlign w:val="center"/>
          </w:tcPr>
          <w:p w14:paraId="10B38950"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0,000</w:t>
            </w:r>
          </w:p>
        </w:tc>
      </w:tr>
      <w:tr w:rsidR="00B72A2C" w:rsidRPr="00B72A2C" w14:paraId="0140C7BD" w14:textId="77777777" w:rsidTr="00B81080">
        <w:trPr>
          <w:trHeight w:val="386"/>
          <w:jc w:val="center"/>
        </w:trPr>
        <w:tc>
          <w:tcPr>
            <w:tcW w:w="3450" w:type="dxa"/>
            <w:shd w:val="clear" w:color="auto" w:fill="auto"/>
            <w:vAlign w:val="center"/>
          </w:tcPr>
          <w:p w14:paraId="7FA80608"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VDfVI (mL)</w:t>
            </w:r>
          </w:p>
        </w:tc>
        <w:tc>
          <w:tcPr>
            <w:tcW w:w="1558" w:type="dxa"/>
            <w:shd w:val="clear" w:color="auto" w:fill="auto"/>
            <w:vAlign w:val="center"/>
          </w:tcPr>
          <w:p w14:paraId="6BFC5797"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137</w:t>
            </w:r>
          </w:p>
        </w:tc>
        <w:tc>
          <w:tcPr>
            <w:tcW w:w="727" w:type="dxa"/>
            <w:shd w:val="clear" w:color="auto" w:fill="auto"/>
            <w:vAlign w:val="center"/>
          </w:tcPr>
          <w:p w14:paraId="4AB9314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29,2</w:t>
            </w:r>
          </w:p>
        </w:tc>
        <w:tc>
          <w:tcPr>
            <w:tcW w:w="1654" w:type="dxa"/>
            <w:shd w:val="clear" w:color="auto" w:fill="auto"/>
            <w:vAlign w:val="center"/>
          </w:tcPr>
          <w:p w14:paraId="3DA3EFD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93,1</w:t>
            </w:r>
          </w:p>
        </w:tc>
        <w:tc>
          <w:tcPr>
            <w:tcW w:w="671" w:type="dxa"/>
            <w:shd w:val="clear" w:color="auto" w:fill="auto"/>
            <w:vAlign w:val="center"/>
          </w:tcPr>
          <w:p w14:paraId="5534174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19,2</w:t>
            </w:r>
          </w:p>
        </w:tc>
        <w:tc>
          <w:tcPr>
            <w:tcW w:w="798" w:type="dxa"/>
            <w:shd w:val="clear" w:color="auto" w:fill="auto"/>
            <w:vAlign w:val="center"/>
          </w:tcPr>
          <w:p w14:paraId="4A6D6C96"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16,18</w:t>
            </w:r>
          </w:p>
        </w:tc>
        <w:tc>
          <w:tcPr>
            <w:tcW w:w="865" w:type="dxa"/>
            <w:shd w:val="clear" w:color="auto" w:fill="auto"/>
            <w:vAlign w:val="center"/>
          </w:tcPr>
          <w:p w14:paraId="62EB8B0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0,000</w:t>
            </w:r>
          </w:p>
        </w:tc>
      </w:tr>
      <w:tr w:rsidR="00B72A2C" w:rsidRPr="00B72A2C" w14:paraId="54538C71" w14:textId="77777777" w:rsidTr="00B81080">
        <w:trPr>
          <w:trHeight w:val="386"/>
          <w:jc w:val="center"/>
        </w:trPr>
        <w:tc>
          <w:tcPr>
            <w:tcW w:w="3450" w:type="dxa"/>
            <w:shd w:val="clear" w:color="auto" w:fill="auto"/>
            <w:vAlign w:val="center"/>
          </w:tcPr>
          <w:p w14:paraId="2D3B4260"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VS (mL)</w:t>
            </w:r>
          </w:p>
        </w:tc>
        <w:tc>
          <w:tcPr>
            <w:tcW w:w="1558" w:type="dxa"/>
            <w:shd w:val="clear" w:color="auto" w:fill="auto"/>
            <w:vAlign w:val="center"/>
          </w:tcPr>
          <w:p w14:paraId="556E36DD"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56,3</w:t>
            </w:r>
          </w:p>
        </w:tc>
        <w:tc>
          <w:tcPr>
            <w:tcW w:w="727" w:type="dxa"/>
            <w:shd w:val="clear" w:color="auto" w:fill="auto"/>
            <w:vAlign w:val="center"/>
          </w:tcPr>
          <w:p w14:paraId="003BA766"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13,0</w:t>
            </w:r>
          </w:p>
        </w:tc>
        <w:tc>
          <w:tcPr>
            <w:tcW w:w="1654" w:type="dxa"/>
            <w:shd w:val="clear" w:color="auto" w:fill="auto"/>
            <w:vAlign w:val="center"/>
          </w:tcPr>
          <w:p w14:paraId="0B91AD7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65,6</w:t>
            </w:r>
          </w:p>
        </w:tc>
        <w:tc>
          <w:tcPr>
            <w:tcW w:w="671" w:type="dxa"/>
            <w:shd w:val="clear" w:color="auto" w:fill="auto"/>
            <w:vAlign w:val="center"/>
          </w:tcPr>
          <w:p w14:paraId="6EB7F3DC"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13,5</w:t>
            </w:r>
          </w:p>
        </w:tc>
        <w:tc>
          <w:tcPr>
            <w:tcW w:w="798" w:type="dxa"/>
            <w:shd w:val="clear" w:color="auto" w:fill="auto"/>
            <w:vAlign w:val="center"/>
          </w:tcPr>
          <w:p w14:paraId="22133A66"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5,39</w:t>
            </w:r>
          </w:p>
        </w:tc>
        <w:tc>
          <w:tcPr>
            <w:tcW w:w="865" w:type="dxa"/>
            <w:shd w:val="clear" w:color="auto" w:fill="auto"/>
            <w:vAlign w:val="center"/>
          </w:tcPr>
          <w:p w14:paraId="56B40C9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0,000</w:t>
            </w:r>
          </w:p>
        </w:tc>
      </w:tr>
      <w:tr w:rsidR="00B72A2C" w:rsidRPr="00B72A2C" w14:paraId="0475D2C4" w14:textId="77777777" w:rsidTr="00B81080">
        <w:trPr>
          <w:trHeight w:val="386"/>
          <w:jc w:val="center"/>
        </w:trPr>
        <w:tc>
          <w:tcPr>
            <w:tcW w:w="3450" w:type="dxa"/>
            <w:shd w:val="clear" w:color="auto" w:fill="auto"/>
            <w:vAlign w:val="center"/>
          </w:tcPr>
          <w:p w14:paraId="243F9C80"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FEVI (%)</w:t>
            </w:r>
          </w:p>
        </w:tc>
        <w:tc>
          <w:tcPr>
            <w:tcW w:w="1558" w:type="dxa"/>
            <w:shd w:val="clear" w:color="auto" w:fill="auto"/>
            <w:vAlign w:val="center"/>
          </w:tcPr>
          <w:p w14:paraId="37639EFC"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44,5</w:t>
            </w:r>
          </w:p>
        </w:tc>
        <w:tc>
          <w:tcPr>
            <w:tcW w:w="727" w:type="dxa"/>
            <w:shd w:val="clear" w:color="auto" w:fill="auto"/>
            <w:vAlign w:val="center"/>
          </w:tcPr>
          <w:p w14:paraId="03D7042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8,6</w:t>
            </w:r>
          </w:p>
        </w:tc>
        <w:tc>
          <w:tcPr>
            <w:tcW w:w="1654" w:type="dxa"/>
            <w:shd w:val="clear" w:color="auto" w:fill="auto"/>
            <w:vAlign w:val="center"/>
          </w:tcPr>
          <w:p w14:paraId="6AC67D57"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69,8</w:t>
            </w:r>
          </w:p>
        </w:tc>
        <w:tc>
          <w:tcPr>
            <w:tcW w:w="671" w:type="dxa"/>
            <w:shd w:val="clear" w:color="auto" w:fill="auto"/>
            <w:vAlign w:val="center"/>
          </w:tcPr>
          <w:p w14:paraId="5BC36F8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6,57</w:t>
            </w:r>
          </w:p>
        </w:tc>
        <w:tc>
          <w:tcPr>
            <w:tcW w:w="798" w:type="dxa"/>
            <w:shd w:val="clear" w:color="auto" w:fill="auto"/>
            <w:vAlign w:val="center"/>
          </w:tcPr>
          <w:p w14:paraId="7399C6A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28,39</w:t>
            </w:r>
          </w:p>
        </w:tc>
        <w:tc>
          <w:tcPr>
            <w:tcW w:w="865" w:type="dxa"/>
            <w:shd w:val="clear" w:color="auto" w:fill="auto"/>
            <w:vAlign w:val="center"/>
          </w:tcPr>
          <w:p w14:paraId="6D66311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0,000</w:t>
            </w:r>
          </w:p>
        </w:tc>
      </w:tr>
      <w:tr w:rsidR="00B72A2C" w:rsidRPr="00B72A2C" w14:paraId="07E8AFD6" w14:textId="77777777" w:rsidTr="00B81080">
        <w:trPr>
          <w:trHeight w:val="386"/>
          <w:jc w:val="center"/>
        </w:trPr>
        <w:tc>
          <w:tcPr>
            <w:tcW w:w="3450" w:type="dxa"/>
            <w:shd w:val="clear" w:color="auto" w:fill="auto"/>
            <w:vAlign w:val="center"/>
          </w:tcPr>
          <w:p w14:paraId="37235E7A"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PPM (mmHg)</w:t>
            </w:r>
          </w:p>
        </w:tc>
        <w:tc>
          <w:tcPr>
            <w:tcW w:w="1558" w:type="dxa"/>
            <w:shd w:val="clear" w:color="auto" w:fill="auto"/>
            <w:vAlign w:val="center"/>
          </w:tcPr>
          <w:p w14:paraId="62EC4DC7"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37</w:t>
            </w:r>
          </w:p>
        </w:tc>
        <w:tc>
          <w:tcPr>
            <w:tcW w:w="727" w:type="dxa"/>
            <w:shd w:val="clear" w:color="auto" w:fill="auto"/>
            <w:vAlign w:val="center"/>
          </w:tcPr>
          <w:p w14:paraId="1E70B4DF"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8,1</w:t>
            </w:r>
          </w:p>
        </w:tc>
        <w:tc>
          <w:tcPr>
            <w:tcW w:w="1654" w:type="dxa"/>
            <w:shd w:val="clear" w:color="auto" w:fill="auto"/>
            <w:vAlign w:val="center"/>
          </w:tcPr>
          <w:p w14:paraId="64D77FDD"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19,6</w:t>
            </w:r>
          </w:p>
        </w:tc>
        <w:tc>
          <w:tcPr>
            <w:tcW w:w="671" w:type="dxa"/>
            <w:shd w:val="clear" w:color="auto" w:fill="auto"/>
            <w:vAlign w:val="center"/>
          </w:tcPr>
          <w:p w14:paraId="3A512B9C"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8,15</w:t>
            </w:r>
          </w:p>
        </w:tc>
        <w:tc>
          <w:tcPr>
            <w:tcW w:w="798" w:type="dxa"/>
            <w:shd w:val="clear" w:color="auto" w:fill="auto"/>
            <w:vAlign w:val="center"/>
          </w:tcPr>
          <w:p w14:paraId="5702CFD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16,62</w:t>
            </w:r>
          </w:p>
        </w:tc>
        <w:tc>
          <w:tcPr>
            <w:tcW w:w="865" w:type="dxa"/>
            <w:shd w:val="clear" w:color="auto" w:fill="auto"/>
            <w:vAlign w:val="center"/>
          </w:tcPr>
          <w:p w14:paraId="21EC78F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0,000</w:t>
            </w:r>
          </w:p>
        </w:tc>
      </w:tr>
      <w:tr w:rsidR="00B72A2C" w:rsidRPr="00B72A2C" w14:paraId="4B2E00C6" w14:textId="77777777" w:rsidTr="00B81080">
        <w:trPr>
          <w:trHeight w:val="386"/>
          <w:jc w:val="center"/>
        </w:trPr>
        <w:tc>
          <w:tcPr>
            <w:tcW w:w="3450" w:type="dxa"/>
            <w:shd w:val="clear" w:color="auto" w:fill="auto"/>
            <w:vAlign w:val="center"/>
          </w:tcPr>
          <w:p w14:paraId="04AE6901"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MVi (g)</w:t>
            </w:r>
          </w:p>
        </w:tc>
        <w:tc>
          <w:tcPr>
            <w:tcW w:w="1558" w:type="dxa"/>
            <w:shd w:val="clear" w:color="auto" w:fill="auto"/>
            <w:vAlign w:val="center"/>
          </w:tcPr>
          <w:p w14:paraId="31FF110C"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211</w:t>
            </w:r>
          </w:p>
        </w:tc>
        <w:tc>
          <w:tcPr>
            <w:tcW w:w="727" w:type="dxa"/>
            <w:shd w:val="clear" w:color="auto" w:fill="auto"/>
            <w:vAlign w:val="center"/>
          </w:tcPr>
          <w:p w14:paraId="213DD05A"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19,3</w:t>
            </w:r>
          </w:p>
        </w:tc>
        <w:tc>
          <w:tcPr>
            <w:tcW w:w="1654" w:type="dxa"/>
            <w:shd w:val="clear" w:color="auto" w:fill="auto"/>
            <w:vAlign w:val="center"/>
          </w:tcPr>
          <w:p w14:paraId="5B6EE21D"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216,7</w:t>
            </w:r>
          </w:p>
        </w:tc>
        <w:tc>
          <w:tcPr>
            <w:tcW w:w="671" w:type="dxa"/>
            <w:shd w:val="clear" w:color="auto" w:fill="auto"/>
            <w:vAlign w:val="center"/>
          </w:tcPr>
          <w:p w14:paraId="47E54F1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65,0</w:t>
            </w:r>
          </w:p>
        </w:tc>
        <w:tc>
          <w:tcPr>
            <w:tcW w:w="798" w:type="dxa"/>
            <w:shd w:val="clear" w:color="auto" w:fill="auto"/>
            <w:vAlign w:val="center"/>
          </w:tcPr>
          <w:p w14:paraId="43174BE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0,74</w:t>
            </w:r>
          </w:p>
        </w:tc>
        <w:tc>
          <w:tcPr>
            <w:tcW w:w="865" w:type="dxa"/>
            <w:shd w:val="clear" w:color="auto" w:fill="auto"/>
            <w:vAlign w:val="center"/>
          </w:tcPr>
          <w:p w14:paraId="6FC7484F"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0,461</w:t>
            </w:r>
          </w:p>
        </w:tc>
      </w:tr>
      <w:tr w:rsidR="00B72A2C" w:rsidRPr="00B72A2C" w14:paraId="7D6C6CA5" w14:textId="77777777" w:rsidTr="00B81080">
        <w:trPr>
          <w:trHeight w:val="386"/>
          <w:jc w:val="center"/>
        </w:trPr>
        <w:tc>
          <w:tcPr>
            <w:tcW w:w="3450" w:type="dxa"/>
            <w:shd w:val="clear" w:color="auto" w:fill="auto"/>
            <w:vAlign w:val="center"/>
          </w:tcPr>
          <w:p w14:paraId="3EE0925B"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IMVi (g/m</w:t>
            </w:r>
            <w:r w:rsidRPr="00B72A2C">
              <w:rPr>
                <w:rFonts w:eastAsia="Calibri"/>
                <w:sz w:val="18"/>
                <w:szCs w:val="18"/>
                <w:vertAlign w:val="superscript"/>
                <w:lang w:val="es-ES" w:eastAsia="en-US"/>
              </w:rPr>
              <w:t xml:space="preserve">2 </w:t>
            </w:r>
            <w:r w:rsidRPr="00B72A2C">
              <w:rPr>
                <w:rFonts w:eastAsia="Calibri"/>
                <w:sz w:val="18"/>
                <w:szCs w:val="18"/>
                <w:lang w:val="es-ES" w:eastAsia="en-US"/>
              </w:rPr>
              <w:t>SC)</w:t>
            </w:r>
          </w:p>
        </w:tc>
        <w:tc>
          <w:tcPr>
            <w:tcW w:w="1558" w:type="dxa"/>
            <w:shd w:val="clear" w:color="auto" w:fill="auto"/>
            <w:vAlign w:val="center"/>
          </w:tcPr>
          <w:p w14:paraId="485B9283"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121,6</w:t>
            </w:r>
          </w:p>
        </w:tc>
        <w:tc>
          <w:tcPr>
            <w:tcW w:w="727" w:type="dxa"/>
            <w:shd w:val="clear" w:color="auto" w:fill="auto"/>
            <w:vAlign w:val="center"/>
          </w:tcPr>
          <w:p w14:paraId="7C10832D"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36,3</w:t>
            </w:r>
          </w:p>
        </w:tc>
        <w:tc>
          <w:tcPr>
            <w:tcW w:w="1654" w:type="dxa"/>
            <w:shd w:val="clear" w:color="auto" w:fill="auto"/>
            <w:vAlign w:val="center"/>
          </w:tcPr>
          <w:p w14:paraId="2085628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123,1</w:t>
            </w:r>
          </w:p>
        </w:tc>
        <w:tc>
          <w:tcPr>
            <w:tcW w:w="671" w:type="dxa"/>
            <w:shd w:val="clear" w:color="auto" w:fill="auto"/>
            <w:vAlign w:val="center"/>
          </w:tcPr>
          <w:p w14:paraId="38211D86"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33,8</w:t>
            </w:r>
          </w:p>
        </w:tc>
        <w:tc>
          <w:tcPr>
            <w:tcW w:w="798" w:type="dxa"/>
            <w:shd w:val="clear" w:color="auto" w:fill="auto"/>
            <w:vAlign w:val="center"/>
          </w:tcPr>
          <w:p w14:paraId="697660AA"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0,34</w:t>
            </w:r>
          </w:p>
        </w:tc>
        <w:tc>
          <w:tcPr>
            <w:tcW w:w="865" w:type="dxa"/>
            <w:shd w:val="clear" w:color="auto" w:fill="auto"/>
            <w:vAlign w:val="center"/>
          </w:tcPr>
          <w:p w14:paraId="7D67426E"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0,733</w:t>
            </w:r>
          </w:p>
        </w:tc>
      </w:tr>
      <w:tr w:rsidR="00B72A2C" w:rsidRPr="00B72A2C" w14:paraId="628D44AB" w14:textId="77777777" w:rsidTr="00B81080">
        <w:trPr>
          <w:trHeight w:val="386"/>
          <w:jc w:val="center"/>
        </w:trPr>
        <w:tc>
          <w:tcPr>
            <w:tcW w:w="3450" w:type="dxa"/>
            <w:shd w:val="clear" w:color="auto" w:fill="auto"/>
            <w:vAlign w:val="center"/>
          </w:tcPr>
          <w:p w14:paraId="4390EB5B"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Patrón diastólico VI cociente E/A (cm/s)</w:t>
            </w:r>
          </w:p>
        </w:tc>
        <w:tc>
          <w:tcPr>
            <w:tcW w:w="1558" w:type="dxa"/>
            <w:shd w:val="clear" w:color="auto" w:fill="auto"/>
            <w:vAlign w:val="center"/>
          </w:tcPr>
          <w:p w14:paraId="29A1CDD0"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1,981</w:t>
            </w:r>
          </w:p>
        </w:tc>
        <w:tc>
          <w:tcPr>
            <w:tcW w:w="727" w:type="dxa"/>
            <w:shd w:val="clear" w:color="auto" w:fill="auto"/>
            <w:vAlign w:val="center"/>
          </w:tcPr>
          <w:p w14:paraId="3F61708A"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1,7</w:t>
            </w:r>
          </w:p>
        </w:tc>
        <w:tc>
          <w:tcPr>
            <w:tcW w:w="1654" w:type="dxa"/>
            <w:shd w:val="clear" w:color="auto" w:fill="auto"/>
            <w:vAlign w:val="center"/>
          </w:tcPr>
          <w:p w14:paraId="18273F0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1,12</w:t>
            </w:r>
          </w:p>
        </w:tc>
        <w:tc>
          <w:tcPr>
            <w:tcW w:w="671" w:type="dxa"/>
            <w:shd w:val="clear" w:color="auto" w:fill="auto"/>
            <w:vAlign w:val="center"/>
          </w:tcPr>
          <w:p w14:paraId="34A950F9"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0,68</w:t>
            </w:r>
          </w:p>
        </w:tc>
        <w:tc>
          <w:tcPr>
            <w:tcW w:w="798" w:type="dxa"/>
            <w:shd w:val="clear" w:color="auto" w:fill="auto"/>
            <w:vAlign w:val="center"/>
          </w:tcPr>
          <w:p w14:paraId="5E943619"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7,28</w:t>
            </w:r>
          </w:p>
        </w:tc>
        <w:tc>
          <w:tcPr>
            <w:tcW w:w="865" w:type="dxa"/>
            <w:shd w:val="clear" w:color="auto" w:fill="auto"/>
            <w:vAlign w:val="center"/>
          </w:tcPr>
          <w:p w14:paraId="76EC4E85"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0,000</w:t>
            </w:r>
          </w:p>
        </w:tc>
      </w:tr>
      <w:tr w:rsidR="00B72A2C" w:rsidRPr="00B72A2C" w14:paraId="03B98C97" w14:textId="77777777" w:rsidTr="00B81080">
        <w:trPr>
          <w:trHeight w:val="386"/>
          <w:jc w:val="center"/>
        </w:trPr>
        <w:tc>
          <w:tcPr>
            <w:tcW w:w="3450" w:type="dxa"/>
            <w:shd w:val="clear" w:color="auto" w:fill="auto"/>
            <w:vAlign w:val="center"/>
          </w:tcPr>
          <w:p w14:paraId="609033CE" w14:textId="77777777" w:rsidR="00B72A2C" w:rsidRPr="00B72A2C" w:rsidRDefault="00B72A2C" w:rsidP="00B72A2C">
            <w:pPr>
              <w:spacing w:line="360" w:lineRule="auto"/>
              <w:rPr>
                <w:rFonts w:eastAsia="Calibri"/>
                <w:sz w:val="18"/>
                <w:szCs w:val="18"/>
                <w:lang w:val="es-ES" w:eastAsia="en-US"/>
              </w:rPr>
            </w:pPr>
            <w:r w:rsidRPr="00B72A2C">
              <w:rPr>
                <w:rFonts w:eastAsia="Calibri"/>
                <w:sz w:val="18"/>
                <w:szCs w:val="18"/>
                <w:lang w:val="es-ES" w:eastAsia="en-US"/>
              </w:rPr>
              <w:t>Intervalo Q-Tc máximo (milisegundos)</w:t>
            </w:r>
          </w:p>
        </w:tc>
        <w:tc>
          <w:tcPr>
            <w:tcW w:w="1558" w:type="dxa"/>
            <w:shd w:val="clear" w:color="auto" w:fill="auto"/>
            <w:vAlign w:val="center"/>
          </w:tcPr>
          <w:p w14:paraId="17203DF4"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402,3</w:t>
            </w:r>
          </w:p>
        </w:tc>
        <w:tc>
          <w:tcPr>
            <w:tcW w:w="727" w:type="dxa"/>
            <w:shd w:val="clear" w:color="auto" w:fill="auto"/>
            <w:vAlign w:val="center"/>
          </w:tcPr>
          <w:p w14:paraId="4AF5847E"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35,0</w:t>
            </w:r>
          </w:p>
        </w:tc>
        <w:tc>
          <w:tcPr>
            <w:tcW w:w="1654" w:type="dxa"/>
            <w:shd w:val="clear" w:color="auto" w:fill="auto"/>
            <w:vAlign w:val="center"/>
          </w:tcPr>
          <w:p w14:paraId="47E8C138"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381,1</w:t>
            </w:r>
          </w:p>
        </w:tc>
        <w:tc>
          <w:tcPr>
            <w:tcW w:w="671" w:type="dxa"/>
            <w:shd w:val="clear" w:color="auto" w:fill="auto"/>
            <w:vAlign w:val="center"/>
          </w:tcPr>
          <w:p w14:paraId="47496D51"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49,7</w:t>
            </w:r>
          </w:p>
        </w:tc>
        <w:tc>
          <w:tcPr>
            <w:tcW w:w="798" w:type="dxa"/>
            <w:shd w:val="clear" w:color="auto" w:fill="auto"/>
            <w:vAlign w:val="center"/>
          </w:tcPr>
          <w:p w14:paraId="66F38C7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3,46</w:t>
            </w:r>
          </w:p>
        </w:tc>
        <w:tc>
          <w:tcPr>
            <w:tcW w:w="865" w:type="dxa"/>
            <w:shd w:val="clear" w:color="auto" w:fill="auto"/>
            <w:vAlign w:val="center"/>
          </w:tcPr>
          <w:p w14:paraId="285FF152" w14:textId="77777777" w:rsidR="00B72A2C" w:rsidRPr="00B72A2C" w:rsidRDefault="00B72A2C" w:rsidP="00B72A2C">
            <w:pPr>
              <w:spacing w:line="360" w:lineRule="auto"/>
              <w:jc w:val="center"/>
              <w:rPr>
                <w:rFonts w:eastAsia="Calibri"/>
                <w:sz w:val="18"/>
                <w:szCs w:val="18"/>
                <w:lang w:val="es-ES" w:eastAsia="en-US"/>
              </w:rPr>
            </w:pPr>
            <w:r w:rsidRPr="00B72A2C">
              <w:rPr>
                <w:rFonts w:eastAsia="Calibri"/>
                <w:sz w:val="18"/>
                <w:szCs w:val="18"/>
                <w:lang w:val="es-ES" w:eastAsia="en-US"/>
              </w:rPr>
              <w:t>0,000</w:t>
            </w:r>
          </w:p>
        </w:tc>
      </w:tr>
    </w:tbl>
    <w:p w14:paraId="0053405F" w14:textId="77777777" w:rsidR="00B72A2C" w:rsidRPr="00B72A2C" w:rsidRDefault="00B72A2C" w:rsidP="00B72A2C">
      <w:pPr>
        <w:spacing w:line="360" w:lineRule="auto"/>
        <w:jc w:val="center"/>
        <w:rPr>
          <w:rFonts w:eastAsia="Calibri"/>
          <w:bCs/>
          <w:sz w:val="16"/>
          <w:szCs w:val="16"/>
          <w:lang w:val="es-ES" w:eastAsia="en-US"/>
        </w:rPr>
      </w:pPr>
      <w:r w:rsidRPr="00B72A2C">
        <w:rPr>
          <w:rFonts w:eastAsia="Calibri"/>
          <w:bCs/>
          <w:sz w:val="16"/>
          <w:szCs w:val="16"/>
          <w:lang w:val="es-ES" w:eastAsia="en-US"/>
        </w:rPr>
        <w:t>CTx: cardiotoxicidad; DE: desviación estándar; AI: aurícula izquierda; DtdVI: diámetro telediastólico del ventrículo izquierdo; VDfVI: volumen diastólico final del ventrículo izquierdo; VS: volumen sistólico; FEVI: fracción de eyección ventricular izquierda; PPM: presión pulmonar media; MVi: masa ventricular izquierda; IMVi: índice de masa ventricular izquierda; VI ventrículo izquierdo.</w:t>
      </w:r>
    </w:p>
    <w:p w14:paraId="14D922E1" w14:textId="77777777" w:rsidR="00B72A2C" w:rsidRPr="00B72A2C" w:rsidRDefault="00B72A2C" w:rsidP="00B72A2C">
      <w:pPr>
        <w:tabs>
          <w:tab w:val="left" w:pos="892"/>
        </w:tabs>
        <w:spacing w:line="360" w:lineRule="auto"/>
        <w:rPr>
          <w:rFonts w:eastAsia="Calibri"/>
          <w:iCs/>
          <w:color w:val="0070C0"/>
          <w:lang w:val="es-ES" w:eastAsia="en-US"/>
        </w:rPr>
      </w:pPr>
    </w:p>
    <w:p w14:paraId="691BC537" w14:textId="77777777" w:rsidR="00B72A2C" w:rsidRPr="00B72A2C" w:rsidRDefault="00B72A2C" w:rsidP="00B72A2C">
      <w:pPr>
        <w:tabs>
          <w:tab w:val="left" w:pos="892"/>
        </w:tabs>
        <w:spacing w:line="360" w:lineRule="auto"/>
        <w:rPr>
          <w:rFonts w:eastAsia="Calibri"/>
          <w:iCs/>
          <w:color w:val="0070C0"/>
          <w:lang w:val="es-ES" w:eastAsia="en-US"/>
        </w:rPr>
      </w:pPr>
    </w:p>
    <w:p w14:paraId="6969AF05" w14:textId="77777777" w:rsidR="00B72A2C" w:rsidRPr="00B72A2C" w:rsidRDefault="00B72A2C" w:rsidP="00B72A2C">
      <w:pPr>
        <w:suppressAutoHyphens/>
        <w:spacing w:line="360" w:lineRule="auto"/>
        <w:jc w:val="center"/>
        <w:rPr>
          <w:b/>
          <w:kern w:val="2"/>
          <w:sz w:val="32"/>
          <w:szCs w:val="32"/>
          <w:lang w:val="es-ES" w:eastAsia="es-ES" w:bidi="hi-IN"/>
        </w:rPr>
      </w:pPr>
      <w:r w:rsidRPr="00B72A2C">
        <w:rPr>
          <w:b/>
          <w:kern w:val="2"/>
          <w:sz w:val="32"/>
          <w:szCs w:val="32"/>
          <w:lang w:val="es-ES" w:eastAsia="es-ES" w:bidi="hi-IN"/>
        </w:rPr>
        <w:t>DISCUSIÓN</w:t>
      </w:r>
    </w:p>
    <w:p w14:paraId="166C2F48"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El cáncer de mama es el de mayor incidencia y mortalidad por cáncer en la mujer adulta en el mundo. Con el advenimiento de nuevas técnicas diagnósticas, unido a una amplia variedad de opciones de tratamiento, se ha logrado incrementar la supervivencia; sin embargo, una proporción significativa de pacientes experimenta un deterioro precoz asintomático en la fracción de eyección del ventrículo izquierdo (FEVI) (5,1 - 18,6 %).</w:t>
      </w:r>
      <w:r w:rsidRPr="00B72A2C">
        <w:rPr>
          <w:rFonts w:eastAsia="Calibri"/>
          <w:vertAlign w:val="superscript"/>
          <w:lang w:val="es-ES" w:eastAsia="en-US"/>
        </w:rPr>
        <w:t>(19)</w:t>
      </w:r>
    </w:p>
    <w:p w14:paraId="4F5E962D"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La edad mayor de 65 años, unida a factores de riesgo cardiovasculares tradicionales y la dosis acumulada progresiva de quimioterápicos específicos, también se ha asociado con mayor tasa de falla cardíaca; del orden del 8,9 % a los 5 años.</w:t>
      </w:r>
      <w:r w:rsidRPr="00B72A2C">
        <w:rPr>
          <w:rFonts w:eastAsia="Calibri"/>
          <w:vertAlign w:val="superscript"/>
          <w:lang w:val="es-ES" w:eastAsia="en-US"/>
        </w:rPr>
        <w:t xml:space="preserve">(20) </w:t>
      </w:r>
      <w:r w:rsidRPr="00B72A2C">
        <w:rPr>
          <w:rFonts w:eastAsia="Calibri"/>
          <w:lang w:val="es-ES" w:eastAsia="en-US"/>
        </w:rPr>
        <w:t>La mortalidad por todas las causas aumenta 3,8 veces en los sobrevivientes de cáncer, que desarrollan CTx, en comparación con quienes no lo padecen.</w:t>
      </w:r>
      <w:r w:rsidRPr="00B72A2C">
        <w:rPr>
          <w:rFonts w:eastAsia="Calibri"/>
          <w:vertAlign w:val="superscript"/>
          <w:lang w:val="es-ES" w:eastAsia="en-US"/>
        </w:rPr>
        <w:t>(21)</w:t>
      </w:r>
    </w:p>
    <w:p w14:paraId="7AB41EF3" w14:textId="77777777" w:rsidR="00B72A2C" w:rsidRPr="00B72A2C" w:rsidRDefault="00B72A2C" w:rsidP="00B72A2C">
      <w:pPr>
        <w:suppressAutoHyphens/>
        <w:spacing w:line="360" w:lineRule="auto"/>
        <w:jc w:val="both"/>
        <w:rPr>
          <w:rFonts w:eastAsia="Noto Serif CJK SC"/>
          <w:kern w:val="2"/>
          <w:lang w:val="es-ES" w:eastAsia="zh-CN" w:bidi="hi-IN"/>
        </w:rPr>
      </w:pPr>
      <w:r w:rsidRPr="00B72A2C">
        <w:rPr>
          <w:rFonts w:eastAsia="Noto Serif CJK SC"/>
          <w:kern w:val="2"/>
          <w:lang w:val="es-ES" w:eastAsia="zh-CN" w:bidi="hi-IN"/>
        </w:rPr>
        <w:lastRenderedPageBreak/>
        <w:t xml:space="preserve">La </w:t>
      </w:r>
      <w:r w:rsidRPr="00B72A2C">
        <w:rPr>
          <w:rFonts w:eastAsia="Noto Serif CJK SC"/>
          <w:i/>
          <w:iCs/>
          <w:kern w:val="2"/>
          <w:lang w:val="es-ES" w:eastAsia="zh-CN" w:bidi="hi-IN"/>
        </w:rPr>
        <w:t>American Society of Clinical Oncology</w:t>
      </w:r>
      <w:r w:rsidRPr="00B72A2C">
        <w:rPr>
          <w:rFonts w:eastAsia="Noto Serif CJK SC"/>
          <w:kern w:val="2"/>
          <w:vertAlign w:val="superscript"/>
          <w:lang w:val="es-ES" w:eastAsia="zh-CN" w:bidi="hi-IN"/>
        </w:rPr>
        <w:t>(22)</w:t>
      </w:r>
      <w:r w:rsidRPr="00B72A2C">
        <w:rPr>
          <w:rFonts w:eastAsia="Noto Serif CJK SC"/>
          <w:kern w:val="2"/>
          <w:lang w:val="es-ES" w:eastAsia="zh-CN" w:bidi="hi-IN"/>
        </w:rPr>
        <w:t xml:space="preserve"> estableció en su guía de 2017, las recomendaciones dirigidas a la prevención, mitigación y supervisión de la función cardiaca durante y postratamiento. Las guías de la Sociedad Europea de Cardiología de 2016</w:t>
      </w:r>
      <w:r w:rsidRPr="00B72A2C">
        <w:rPr>
          <w:rFonts w:eastAsia="Noto Serif CJK SC"/>
          <w:kern w:val="2"/>
          <w:vertAlign w:val="superscript"/>
          <w:lang w:val="es-ES" w:eastAsia="zh-CN" w:bidi="hi-IN"/>
        </w:rPr>
        <w:t xml:space="preserve">(23) </w:t>
      </w:r>
      <w:r w:rsidRPr="00B72A2C">
        <w:rPr>
          <w:rFonts w:eastAsia="Noto Serif CJK SC"/>
          <w:kern w:val="2"/>
          <w:lang w:val="es-ES" w:eastAsia="zh-CN" w:bidi="hi-IN"/>
        </w:rPr>
        <w:t>dividen las complicaciones de la terapia del cáncer en categorías principales, pertenecientes al sistema cardíaco o vascular y comprenden: falla cardiaca, enfermedad coronaria, valvulopatías, arritmias y pericarditis. Las complicaciones vasculares incluyen: HTA de debut, eventos tromboembólicos, enfermedad vascular periférica, accidentes cerebrovasculares e hipertensión pulmonar.</w:t>
      </w:r>
    </w:p>
    <w:p w14:paraId="6B1451FA" w14:textId="77777777" w:rsidR="00B72A2C" w:rsidRPr="00B72A2C" w:rsidRDefault="00B72A2C" w:rsidP="00B72A2C">
      <w:pPr>
        <w:suppressAutoHyphens/>
        <w:spacing w:line="360" w:lineRule="auto"/>
        <w:jc w:val="both"/>
        <w:rPr>
          <w:rFonts w:eastAsia="Noto Serif CJK SC"/>
          <w:kern w:val="2"/>
          <w:lang w:val="es-ES" w:eastAsia="zh-CN" w:bidi="hi-IN"/>
        </w:rPr>
      </w:pPr>
      <w:r w:rsidRPr="00B72A2C">
        <w:rPr>
          <w:rFonts w:eastAsia="Noto Serif CJK SC"/>
          <w:kern w:val="2"/>
          <w:lang w:val="es-ES" w:eastAsia="zh-CN" w:bidi="hi-IN"/>
        </w:rPr>
        <w:t xml:space="preserve">Los autores coinciden con </w:t>
      </w:r>
      <w:r w:rsidRPr="00B72A2C">
        <w:rPr>
          <w:rFonts w:eastAsia="Noto Serif CJK SC"/>
          <w:i/>
          <w:kern w:val="2"/>
          <w:lang w:val="es-ES" w:eastAsia="zh-CN" w:bidi="hi-IN"/>
        </w:rPr>
        <w:t>Swain SM</w:t>
      </w:r>
      <w:r w:rsidRPr="00B72A2C">
        <w:rPr>
          <w:rFonts w:eastAsia="Noto Serif CJK SC"/>
          <w:kern w:val="2"/>
          <w:lang w:val="es-ES" w:eastAsia="zh-CN" w:bidi="hi-IN"/>
        </w:rPr>
        <w:t xml:space="preserve"> y otros,</w:t>
      </w:r>
      <w:r w:rsidRPr="00B72A2C">
        <w:rPr>
          <w:rFonts w:eastAsia="Noto Serif CJK SC"/>
          <w:kern w:val="2"/>
          <w:vertAlign w:val="superscript"/>
          <w:lang w:val="es-ES" w:eastAsia="zh-CN" w:bidi="hi-IN"/>
        </w:rPr>
        <w:t>(24)</w:t>
      </w:r>
      <w:r w:rsidRPr="00B72A2C">
        <w:rPr>
          <w:rFonts w:eastAsia="Noto Serif CJK SC"/>
          <w:kern w:val="2"/>
          <w:lang w:val="es-ES" w:eastAsia="zh-CN" w:bidi="hi-IN"/>
        </w:rPr>
        <w:t xml:space="preserve"> en el estudio BERENICE, realizado con 199 pacientes, con una edad media de 53,4 años ± 12,6. El 15 % presentó insuficiencia cardiaca clínica y el 6,5 % mostró reducción significativa de la FEVI. </w:t>
      </w:r>
      <w:r w:rsidRPr="00B72A2C">
        <w:rPr>
          <w:rFonts w:eastAsia="Noto Serif CJK SC"/>
          <w:i/>
          <w:kern w:val="2"/>
          <w:lang w:val="es-ES" w:eastAsia="zh-CN" w:bidi="he-IL"/>
        </w:rPr>
        <w:t xml:space="preserve">Cardinale D </w:t>
      </w:r>
      <w:r w:rsidRPr="00B72A2C">
        <w:rPr>
          <w:rFonts w:eastAsia="Noto Serif CJK SC"/>
          <w:kern w:val="2"/>
          <w:lang w:val="es-ES" w:eastAsia="zh-CN" w:bidi="he-IL"/>
        </w:rPr>
        <w:t>y otros</w:t>
      </w:r>
      <w:r w:rsidRPr="00B72A2C">
        <w:rPr>
          <w:rFonts w:eastAsia="Noto Serif CJK SC"/>
          <w:kern w:val="2"/>
          <w:vertAlign w:val="superscript"/>
          <w:lang w:val="es-ES" w:eastAsia="zh-CN" w:bidi="hi-IN"/>
        </w:rPr>
        <w:t>(</w:t>
      </w:r>
      <w:r w:rsidRPr="00B72A2C">
        <w:rPr>
          <w:rFonts w:eastAsia="Noto Serif CJK SC"/>
          <w:kern w:val="2"/>
          <w:vertAlign w:val="superscript"/>
          <w:lang w:val="es-ES" w:eastAsia="zh-CN" w:bidi="he-IL"/>
        </w:rPr>
        <w:t xml:space="preserve">25) </w:t>
      </w:r>
      <w:r w:rsidRPr="00B72A2C">
        <w:rPr>
          <w:rFonts w:eastAsia="Noto Serif CJK SC"/>
          <w:kern w:val="2"/>
          <w:lang w:val="es-ES" w:eastAsia="zh-CN" w:bidi="hi-IN"/>
        </w:rPr>
        <w:t>encontraron una incidencia de falla cardiaca del 43 %.</w:t>
      </w:r>
    </w:p>
    <w:p w14:paraId="0599CDD9" w14:textId="77777777" w:rsidR="00B72A2C" w:rsidRPr="00B72A2C" w:rsidRDefault="00B72A2C" w:rsidP="00B72A2C">
      <w:pPr>
        <w:suppressAutoHyphens/>
        <w:spacing w:line="360" w:lineRule="auto"/>
        <w:jc w:val="both"/>
        <w:rPr>
          <w:rFonts w:eastAsia="Noto Serif CJK SC"/>
          <w:kern w:val="2"/>
          <w:vertAlign w:val="superscript"/>
          <w:lang w:val="es-ES" w:eastAsia="zh-CN" w:bidi="hi-IN"/>
        </w:rPr>
      </w:pPr>
      <w:r w:rsidRPr="00B72A2C">
        <w:rPr>
          <w:rFonts w:eastAsia="Noto Serif CJK SC"/>
          <w:kern w:val="2"/>
          <w:lang w:val="es-ES" w:eastAsia="zh-CN" w:bidi="hi-IN"/>
        </w:rPr>
        <w:t xml:space="preserve">El estudio </w:t>
      </w:r>
      <w:r w:rsidRPr="00B72A2C">
        <w:rPr>
          <w:rFonts w:eastAsia="Noto Serif CJK SC"/>
          <w:iCs/>
          <w:kern w:val="2"/>
          <w:lang w:val="es-ES" w:eastAsia="zh-CN" w:bidi="hi-IN"/>
        </w:rPr>
        <w:t>BACCARAT</w:t>
      </w:r>
      <w:r w:rsidRPr="00B72A2C">
        <w:rPr>
          <w:rFonts w:eastAsia="Noto Serif CJK SC"/>
          <w:iCs/>
          <w:kern w:val="2"/>
          <w:vertAlign w:val="superscript"/>
          <w:lang w:val="es-ES" w:eastAsia="zh-CN" w:bidi="hi-IN"/>
        </w:rPr>
        <w:t>(</w:t>
      </w:r>
      <w:r w:rsidRPr="00B72A2C">
        <w:rPr>
          <w:rFonts w:eastAsia="Noto Serif CJK SC"/>
          <w:kern w:val="2"/>
          <w:vertAlign w:val="superscript"/>
          <w:lang w:val="es-ES" w:eastAsia="zh-CN" w:bidi="hi-IN"/>
        </w:rPr>
        <w:t xml:space="preserve">26) </w:t>
      </w:r>
      <w:r w:rsidRPr="00B72A2C">
        <w:rPr>
          <w:rFonts w:eastAsia="Noto Serif CJK SC"/>
          <w:kern w:val="2"/>
          <w:lang w:val="es-ES" w:eastAsia="zh-CN" w:bidi="hi-IN"/>
        </w:rPr>
        <w:t>incluyó 120 mujeres, entre 50 y 70 años, seguidas por 2 años y muestra un incremento del riesgo significativo para cardiopatía isquémica e insuficiencia cardiaca, con un rango de 1,2 a 3,5 tras la quimioterapia.</w:t>
      </w:r>
    </w:p>
    <w:p w14:paraId="787AB234" w14:textId="77777777" w:rsidR="00B72A2C" w:rsidRPr="00B72A2C" w:rsidRDefault="00B72A2C" w:rsidP="00B72A2C">
      <w:pPr>
        <w:suppressAutoHyphens/>
        <w:spacing w:line="360" w:lineRule="auto"/>
        <w:jc w:val="both"/>
        <w:rPr>
          <w:rFonts w:eastAsia="Noto Serif CJK SC" w:cs="Lucida Sans"/>
          <w:kern w:val="2"/>
          <w:vertAlign w:val="superscript"/>
          <w:lang w:val="es-ES" w:eastAsia="zh-CN" w:bidi="hi-IN"/>
        </w:rPr>
      </w:pPr>
      <w:r w:rsidRPr="00B72A2C">
        <w:rPr>
          <w:rFonts w:eastAsia="Noto Serif CJK SC" w:cs="Lucida Sans"/>
          <w:i/>
          <w:kern w:val="2"/>
          <w:lang w:val="es-ES" w:eastAsia="zh-CN" w:bidi="hi-IN"/>
        </w:rPr>
        <w:t>Doan Ngo</w:t>
      </w:r>
      <w:r w:rsidRPr="00B72A2C">
        <w:rPr>
          <w:rFonts w:eastAsia="Noto Serif CJK SC" w:cs="Lucida Sans"/>
          <w:kern w:val="2"/>
          <w:lang w:val="es-ES" w:eastAsia="zh-CN" w:bidi="hi-IN"/>
        </w:rPr>
        <w:t xml:space="preserve"> y otros</w:t>
      </w:r>
      <w:r w:rsidRPr="00B72A2C">
        <w:rPr>
          <w:rFonts w:eastAsia="Noto Serif CJK SC" w:cs="Lucida Sans"/>
          <w:kern w:val="2"/>
          <w:vertAlign w:val="superscript"/>
          <w:lang w:val="es-ES" w:eastAsia="zh-CN" w:bidi="hi-IN"/>
        </w:rPr>
        <w:t xml:space="preserve">(27) </w:t>
      </w:r>
      <w:r w:rsidRPr="00B72A2C">
        <w:rPr>
          <w:rFonts w:eastAsia="Noto Serif CJK SC" w:cs="Lucida Sans"/>
          <w:kern w:val="2"/>
          <w:lang w:val="es-ES" w:eastAsia="zh-CN" w:bidi="hi-IN"/>
        </w:rPr>
        <w:t>en un estudio transversal con 320 pacientes reportan una edad media de 65,3 ± 13,3 años y 64 % de complicaciones cardiovasculares. Las características de los factores de riesgo fueron: índice de masa corporal 30,0 ± 8,5 kg/m</w:t>
      </w:r>
      <w:r w:rsidRPr="00B72A2C">
        <w:rPr>
          <w:rFonts w:eastAsia="Noto Serif CJK SC" w:cs="Lucida Sans"/>
          <w:kern w:val="2"/>
          <w:vertAlign w:val="superscript"/>
          <w:lang w:val="es-ES" w:eastAsia="zh-CN" w:bidi="hi-IN"/>
        </w:rPr>
        <w:t>2</w:t>
      </w:r>
      <w:r w:rsidRPr="00B72A2C">
        <w:rPr>
          <w:rFonts w:eastAsia="Noto Serif CJK SC" w:cs="Lucida Sans"/>
          <w:kern w:val="2"/>
          <w:lang w:val="es-ES" w:eastAsia="zh-CN" w:bidi="hi-IN"/>
        </w:rPr>
        <w:t>, HTA 52,2 %, DM 26,1 %, dislipidemia 29,0 % y fibrilación auricular 27,5 %. Sugieren que se debe hacer especial énfasis en la gestión de los factores de riesgo cardiovasculares y que el desarrollo de modelos de prevención basados en ellos resulta la estrategia clave, que influiría en la supervivencia temprana y en la calidad de vida de los pacientes.</w:t>
      </w:r>
    </w:p>
    <w:p w14:paraId="161373D2"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 xml:space="preserve">Los resultados son coincidentes con </w:t>
      </w:r>
      <w:r w:rsidRPr="00B72A2C">
        <w:rPr>
          <w:rFonts w:eastAsia="Calibri"/>
          <w:i/>
          <w:lang w:val="es-ES" w:eastAsia="en-US"/>
        </w:rPr>
        <w:t>Matos Erika</w:t>
      </w:r>
      <w:r w:rsidRPr="00B72A2C">
        <w:rPr>
          <w:rFonts w:eastAsia="Calibri"/>
          <w:lang w:val="es-ES" w:eastAsia="en-US"/>
        </w:rPr>
        <w:t xml:space="preserve"> y otros,</w:t>
      </w:r>
      <w:r w:rsidRPr="00B72A2C">
        <w:rPr>
          <w:rFonts w:eastAsia="Calibri"/>
          <w:vertAlign w:val="superscript"/>
          <w:lang w:val="es-ES" w:eastAsia="en-US"/>
        </w:rPr>
        <w:t>(28)</w:t>
      </w:r>
      <w:r w:rsidRPr="00B72A2C">
        <w:rPr>
          <w:rFonts w:eastAsia="Calibri"/>
          <w:lang w:val="es-ES" w:eastAsia="en-US"/>
        </w:rPr>
        <w:t xml:space="preserve"> en una cohorte prospectiva con 92 pacientes con cáncer de mama. Entre sus resultados fundamentales muestran una edad media de </w:t>
      </w:r>
      <w:r w:rsidRPr="00B72A2C">
        <w:rPr>
          <w:rFonts w:eastAsia="Calibri"/>
          <w:bCs/>
          <w:lang w:val="es-ES" w:eastAsia="en-US"/>
        </w:rPr>
        <w:t xml:space="preserve">53,6 ± 9,0; </w:t>
      </w:r>
      <w:r w:rsidRPr="00B72A2C">
        <w:rPr>
          <w:rFonts w:eastAsia="Calibri"/>
          <w:lang w:val="es-ES" w:eastAsia="en-US"/>
        </w:rPr>
        <w:t xml:space="preserve">índice de masa corporal 26,1 ± 4,9; HTA 29,3 %, DM 4,3 %, dislipidemia 9,8 %. La incidencia de CTx  fue 20, 6 %. </w:t>
      </w:r>
    </w:p>
    <w:p w14:paraId="034F0DBE"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El estudio CARDIOTOX</w:t>
      </w:r>
      <w:r w:rsidRPr="00B72A2C">
        <w:rPr>
          <w:rFonts w:eastAsia="Calibri"/>
          <w:vertAlign w:val="superscript"/>
          <w:lang w:val="es-ES" w:eastAsia="en-US"/>
        </w:rPr>
        <w:t xml:space="preserve">(29) </w:t>
      </w:r>
      <w:r w:rsidRPr="00B72A2C">
        <w:rPr>
          <w:rFonts w:eastAsia="Calibri"/>
          <w:lang w:val="es-ES" w:eastAsia="en-US"/>
        </w:rPr>
        <w:t xml:space="preserve">fue un estudio prospectivo, multicéntrico que  involucró 1324 pacientes de 7 hospitales europeos con el </w:t>
      </w:r>
      <w:r w:rsidRPr="00B72A2C">
        <w:rPr>
          <w:rFonts w:eastAsia="Calibri"/>
          <w:lang w:val="es-ES" w:eastAsia="es-ES"/>
        </w:rPr>
        <w:t xml:space="preserve">objetivo principal de identificar los factores relacionados con el riesgo de toxicidad cardiovascular por quimioterapia y entre sus principales resultados </w:t>
      </w:r>
      <w:r w:rsidRPr="00B72A2C">
        <w:rPr>
          <w:rFonts w:eastAsia="Calibri"/>
          <w:lang w:val="es-ES" w:eastAsia="en-US"/>
        </w:rPr>
        <w:t xml:space="preserve">mostró una incidencia de CTx de 37,5 % y el comportamiento de los factores de riesgo en pacientes con CTX fue: tabaquismo </w:t>
      </w:r>
      <w:r w:rsidRPr="00B72A2C">
        <w:rPr>
          <w:rFonts w:eastAsia="Calibri"/>
          <w:lang w:val="es-ES" w:eastAsia="en-US"/>
        </w:rPr>
        <w:lastRenderedPageBreak/>
        <w:t xml:space="preserve">38,9 %, HTA 28,1 %, dislipidemia 34,4 %, DM  28,6 %,  infarto  agudo  de miocardio 27,3 %, fibrilación auricular 35,7 % y falla cardiaca en 39 %. </w:t>
      </w:r>
    </w:p>
    <w:p w14:paraId="0ACEEC52" w14:textId="77777777" w:rsidR="00B72A2C" w:rsidRPr="00B72A2C" w:rsidRDefault="00B72A2C" w:rsidP="00B72A2C">
      <w:pPr>
        <w:suppressAutoHyphens/>
        <w:spacing w:line="360" w:lineRule="auto"/>
        <w:jc w:val="both"/>
        <w:rPr>
          <w:rFonts w:eastAsia="Noto Serif CJK SC"/>
          <w:kern w:val="2"/>
          <w:vertAlign w:val="superscript"/>
          <w:lang w:val="es-ES" w:eastAsia="zh-CN" w:bidi="hi-IN"/>
        </w:rPr>
      </w:pPr>
      <w:r w:rsidRPr="00B72A2C">
        <w:rPr>
          <w:rFonts w:eastAsia="Noto Serif CJK SC"/>
          <w:kern w:val="2"/>
          <w:lang w:val="es-ES" w:eastAsia="zh-CN" w:bidi="hi-IN"/>
        </w:rPr>
        <w:t xml:space="preserve">Los pacientes sometidos a quimioterapia deben tener una evaluación clínica y ecocardiográficas periódicas, que incluya estratificación del riesgo cardiovascular, pues los resultados pueden mejorar la predicción y prevención de potenciales lesiones cardiacas y mejorar la calidad de vida de las pacientes oncológicas. </w:t>
      </w:r>
    </w:p>
    <w:p w14:paraId="3F4CC568"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 xml:space="preserve">Las características de pacientes con cardiotoxicidad son: edad mayor de 60 años, tabaquismo, reducción del filtrado glomerular, cardiopatía hipertensiva, prolongación del intervalo Q-Tc, incremento del diámetro de la aurícula izquierda, disfunción diastólica y depresión de la fracción de eyección ventricular izquierda. </w:t>
      </w:r>
    </w:p>
    <w:p w14:paraId="7F3DF96A"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 xml:space="preserve"> </w:t>
      </w:r>
    </w:p>
    <w:p w14:paraId="079655D7" w14:textId="77777777" w:rsidR="00B72A2C" w:rsidRPr="00B72A2C" w:rsidRDefault="00B72A2C" w:rsidP="00B72A2C">
      <w:pPr>
        <w:spacing w:line="360" w:lineRule="auto"/>
        <w:jc w:val="center"/>
        <w:rPr>
          <w:rFonts w:eastAsia="Calibri"/>
          <w:b/>
          <w:sz w:val="32"/>
          <w:szCs w:val="32"/>
          <w:lang w:val="es-ES" w:eastAsia="en-US"/>
        </w:rPr>
      </w:pPr>
    </w:p>
    <w:p w14:paraId="2D67D62C" w14:textId="77777777" w:rsidR="00B72A2C" w:rsidRPr="00B72A2C" w:rsidRDefault="00B72A2C" w:rsidP="00B72A2C">
      <w:pPr>
        <w:spacing w:line="360" w:lineRule="auto"/>
        <w:jc w:val="center"/>
        <w:rPr>
          <w:rFonts w:eastAsia="Calibri"/>
          <w:b/>
          <w:sz w:val="32"/>
          <w:szCs w:val="32"/>
          <w:lang w:val="es-ES" w:eastAsia="en-US"/>
        </w:rPr>
      </w:pPr>
      <w:r w:rsidRPr="00B72A2C">
        <w:rPr>
          <w:rFonts w:eastAsia="Calibri"/>
          <w:b/>
          <w:sz w:val="32"/>
          <w:szCs w:val="32"/>
          <w:lang w:val="es-ES" w:eastAsia="en-US"/>
        </w:rPr>
        <w:t>REFERENCIAS BIBLIOGRÁFICAS</w:t>
      </w:r>
    </w:p>
    <w:p w14:paraId="03903140"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s-CU" w:eastAsia="en-US"/>
        </w:rPr>
        <w:t xml:space="preserve">1. Siegel RL, Miller KD, Jemal A. Cancer statistics, 2015. </w:t>
      </w:r>
      <w:r w:rsidRPr="00B72A2C">
        <w:rPr>
          <w:rFonts w:eastAsia="Calibri"/>
          <w:shd w:val="clear" w:color="auto" w:fill="FFFFFF"/>
          <w:lang w:val="en-US" w:eastAsia="en-US"/>
        </w:rPr>
        <w:t>CA Cancer J Clin. 2015; 65(1):5-29. DOI:10.3322/caac.21254</w:t>
      </w:r>
    </w:p>
    <w:p w14:paraId="4DBE20DE"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n-US" w:eastAsia="en-US"/>
        </w:rPr>
        <w:t>2. Gavila J, Seguí MA, Calvo L, López T, Alonso J, Farto M, Sánchez de la Rosa R. Evaluation and management of chemotherapy-induced cardiotoxicity in breast cancer: a Delphi study. Clin Transl Oncol. 2017; 19:91–104. DOI: 10.1007/s12094-016-1508-y</w:t>
      </w:r>
    </w:p>
    <w:p w14:paraId="11FFBC78"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n-US" w:eastAsia="en-US"/>
        </w:rPr>
        <w:t xml:space="preserve">3. Johnson CB, Davis MK, Law A, Sulpher J. Shared Risk Factors for Cardiovascular Disease and Cancer: Implications for Preventive Health and Clinical Care in Oncology Patients. </w:t>
      </w:r>
      <w:r w:rsidRPr="00B72A2C">
        <w:rPr>
          <w:rFonts w:eastAsia="Calibri"/>
          <w:shd w:val="clear" w:color="auto" w:fill="FFFFFF"/>
          <w:lang w:val="es-CU" w:eastAsia="en-US"/>
        </w:rPr>
        <w:t>Can J Cardiol. 2016; 32(7):900-907. DOI: 10.1016/j.cjca.2016.04.008</w:t>
      </w:r>
    </w:p>
    <w:p w14:paraId="1AEDF694"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s-CU" w:eastAsia="en-US"/>
        </w:rPr>
        <w:t xml:space="preserve">4. Ministerio de Salud Pública. Anuario Estadístico de Cuba 2019. La Habana: Minsap; 2020. [acceso: 08/03/2021]. Disponible en: </w:t>
      </w:r>
      <w:hyperlink r:id="rId16" w:history="1">
        <w:r w:rsidRPr="00B72A2C">
          <w:rPr>
            <w:rFonts w:eastAsia="Calibri"/>
            <w:color w:val="0000FF"/>
            <w:u w:val="single"/>
            <w:lang w:val="es-CU" w:eastAsia="en-US"/>
          </w:rPr>
          <w:t>https://files.sld.cu/bvscuba/files/2020/05/Anuario-Electr%C3%B3nico-Espa%C3%B1ol-2019-ed-2020.pdf</w:t>
        </w:r>
      </w:hyperlink>
      <w:r w:rsidRPr="00B72A2C">
        <w:rPr>
          <w:rFonts w:eastAsia="Calibri"/>
          <w:shd w:val="clear" w:color="auto" w:fill="FFFFFF"/>
          <w:lang w:val="es-CU" w:eastAsia="en-US"/>
        </w:rPr>
        <w:t xml:space="preserve"> </w:t>
      </w:r>
    </w:p>
    <w:p w14:paraId="36193AF9"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n-US" w:eastAsia="en-US"/>
        </w:rPr>
        <w:t>5. Agunbiade TA, Zaghlol RY, Barac A. Heart Failure in Relation to Anthracyclines and Other Chemotherapies. Methodist Debakey Cardiovasc J. 2019; 15(4):243-9. DOI: 10.14797/mdcj-15-4-243</w:t>
      </w:r>
    </w:p>
    <w:p w14:paraId="00F82692"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n-US" w:eastAsia="en-US"/>
        </w:rPr>
        <w:lastRenderedPageBreak/>
        <w:t xml:space="preserve">6.  Shien T, Iwata H. Adjuvant and neoadjuvant therapy for breast cancer. </w:t>
      </w:r>
      <w:r w:rsidRPr="00B72A2C">
        <w:rPr>
          <w:rFonts w:eastAsia="Calibri"/>
          <w:shd w:val="clear" w:color="auto" w:fill="FFFFFF"/>
          <w:lang w:val="es-CU" w:eastAsia="en-US"/>
        </w:rPr>
        <w:t>Jpn J Clin Oncol. 2020; 50(3):225-29. DOI: 10.1093/jjco/hyz213</w:t>
      </w:r>
    </w:p>
    <w:p w14:paraId="4AEC66C9"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s-CU" w:eastAsia="en-US"/>
        </w:rPr>
        <w:t>7. Hameau R, Gabrielli L, Garrido M, Guzmán AM, Retamal I, Vacarezza MJ, et al. Cardiotoxicidad inducida por tratamientos oncológicos. Fundamentos para la implementación de equipos de Cardio-Oncología. Rev. méd. Chile. 2018; 146(1): 68-77. DOI: 10.4067/s0034-98872018000100068</w:t>
      </w:r>
    </w:p>
    <w:p w14:paraId="6A300C41"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s-CU" w:eastAsia="en-US"/>
        </w:rPr>
        <w:t xml:space="preserve">8. Fardales-Rodríguez R, Rodríguez-Ramos M, Castellanos-Gallo L. Cardio-oncología, una ciencia necesaria. Revista Cubana de Cardiología y Cirugía Cardiovascular. 2020 [acceso:19/01/2022]; 27(1):e1098. Disponible en: </w:t>
      </w:r>
    </w:p>
    <w:p w14:paraId="5052F9BF" w14:textId="77777777" w:rsidR="00B72A2C" w:rsidRPr="00B72A2C" w:rsidRDefault="00B72A2C" w:rsidP="00B72A2C">
      <w:pPr>
        <w:spacing w:line="360" w:lineRule="auto"/>
        <w:rPr>
          <w:rFonts w:eastAsia="Calibri"/>
          <w:shd w:val="clear" w:color="auto" w:fill="FFFFFF"/>
          <w:lang w:val="es-CU" w:eastAsia="en-US"/>
        </w:rPr>
      </w:pPr>
      <w:hyperlink r:id="rId17" w:history="1">
        <w:r w:rsidRPr="00B72A2C">
          <w:rPr>
            <w:rFonts w:eastAsia="Calibri"/>
            <w:color w:val="0000FF"/>
            <w:u w:val="single"/>
            <w:lang w:val="es-CU" w:eastAsia="en-US"/>
          </w:rPr>
          <w:t>http://revcardiologia.sld.cu/index.php/revcardiologia/article/view/1098</w:t>
        </w:r>
      </w:hyperlink>
      <w:r w:rsidRPr="00B72A2C">
        <w:rPr>
          <w:rFonts w:eastAsia="Calibri"/>
          <w:shd w:val="clear" w:color="auto" w:fill="FFFFFF"/>
          <w:lang w:val="es-CU" w:eastAsia="en-US"/>
        </w:rPr>
        <w:t xml:space="preserve"> </w:t>
      </w:r>
    </w:p>
    <w:p w14:paraId="1A43EFF4"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s-CU" w:eastAsia="en-US"/>
        </w:rPr>
        <w:t xml:space="preserve">9. Rodríguez Ramos, M. Estratificación del riesgo de cardiotoxicidad inducida por quimioterapia. Cor Salud. 2018 [acceso: 11/07/ 2021]; 10(4):341-2. Disponible en: </w:t>
      </w:r>
      <w:hyperlink r:id="rId18" w:history="1">
        <w:r w:rsidRPr="00B72A2C">
          <w:rPr>
            <w:rFonts w:eastAsia="Calibri"/>
            <w:color w:val="0000FF"/>
            <w:u w:val="single"/>
            <w:lang w:val="es-CU" w:eastAsia="en-US"/>
          </w:rPr>
          <w:t>http://www.revcorsalud.sld.cu/index.php/cors/article/view/392/797</w:t>
        </w:r>
      </w:hyperlink>
      <w:r w:rsidRPr="00B72A2C">
        <w:rPr>
          <w:rFonts w:eastAsia="Calibri"/>
          <w:shd w:val="clear" w:color="auto" w:fill="FFFFFF"/>
          <w:lang w:val="es-CU" w:eastAsia="en-US"/>
        </w:rPr>
        <w:t xml:space="preserve"> </w:t>
      </w:r>
    </w:p>
    <w:p w14:paraId="3B5915C5"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s-CU" w:eastAsia="en-US"/>
        </w:rPr>
        <w:t xml:space="preserve">10. Serrano C, Cortés J, De Mattos-Arruda L, Bellet M, Gómez P, Saura C, et al. </w:t>
      </w:r>
      <w:r w:rsidRPr="00B72A2C">
        <w:rPr>
          <w:rFonts w:eastAsia="Calibri"/>
          <w:shd w:val="clear" w:color="auto" w:fill="FFFFFF"/>
          <w:lang w:val="en-US" w:eastAsia="en-US"/>
        </w:rPr>
        <w:t>Trastuzumab-related cardiotoxicity in the elderly: a role for cardiovascular risk factors. Ann Oncol. 2019; 30(7):1178. DOI:10.1093/annonc/mdy534</w:t>
      </w:r>
    </w:p>
    <w:p w14:paraId="63A4EDE5"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n-US" w:eastAsia="en-US"/>
        </w:rPr>
        <w:t>11. Parent S, Pituskin E, Paterson DI. The Cardio-oncology Program: A multidisciplinary approach to the care of cancer patients with cardiovascular disease. Can J Cardiol. 2016; 32(7): 847-851. DOI: 10.1016/j.cjca.2016.04.014</w:t>
      </w:r>
    </w:p>
    <w:p w14:paraId="49476765"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n-US" w:eastAsia="en-US"/>
        </w:rPr>
        <w:t xml:space="preserve">12. Zaheed M, Wilcken N, Willson ML, O'Connell DL, Goodwin A. Sequencing of anthracyclines and taxanes in neoadjuvant and adjuvant therapy for early breast cancer. </w:t>
      </w:r>
      <w:r w:rsidRPr="00B72A2C">
        <w:rPr>
          <w:rFonts w:eastAsia="Calibri"/>
          <w:shd w:val="clear" w:color="auto" w:fill="FFFFFF"/>
          <w:lang w:val="es-CU" w:eastAsia="en-US"/>
        </w:rPr>
        <w:t>Cochrane Database of Systematic Reviews. 2019; (2):CD012873. DOI: 10.1002/14651858.CD012873.pub2</w:t>
      </w:r>
    </w:p>
    <w:p w14:paraId="53567B89"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s-CU" w:eastAsia="en-US"/>
        </w:rPr>
        <w:t xml:space="preserve">13. Morales Yera RA, Sierra Pérez L, Triana Díaz A. Cardiotoxicidad inducida por quimioterapia. CorSalud. 2018 [acceso: 19/01/2022]; 10(1): 68-77 Disponible en: </w:t>
      </w:r>
      <w:hyperlink r:id="rId19" w:history="1">
        <w:r w:rsidRPr="00B72A2C">
          <w:rPr>
            <w:rFonts w:eastAsia="Calibri"/>
            <w:color w:val="0000FF"/>
            <w:u w:val="single"/>
            <w:lang w:val="es-CU" w:eastAsia="en-US"/>
          </w:rPr>
          <w:t>http://www.revcorsalud.sld.cu/index.php/cors/article/view/295/635</w:t>
        </w:r>
      </w:hyperlink>
      <w:r w:rsidRPr="00B72A2C">
        <w:rPr>
          <w:rFonts w:eastAsia="Calibri"/>
          <w:shd w:val="clear" w:color="auto" w:fill="FFFFFF"/>
          <w:lang w:val="es-CU" w:eastAsia="en-US"/>
        </w:rPr>
        <w:t xml:space="preserve"> </w:t>
      </w:r>
    </w:p>
    <w:p w14:paraId="37CE1B8D"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s-CU" w:eastAsia="en-US"/>
        </w:rPr>
        <w:t xml:space="preserve">14. Fernández-González EM, Figueroa-Oliva DA. Tabaquismo y su relación con las enfermedades cardiovasculares. Rev haban cienc méd. 2018 [acceso: 05/05/2022]; 17(2): 225-35. Disponible en: </w:t>
      </w:r>
      <w:hyperlink r:id="rId20" w:history="1">
        <w:r w:rsidRPr="00B72A2C">
          <w:rPr>
            <w:rFonts w:eastAsia="Calibri"/>
            <w:color w:val="0000FF"/>
            <w:u w:val="single"/>
            <w:lang w:val="es-CU" w:eastAsia="en-US"/>
          </w:rPr>
          <w:t>http://scielo.sld.cu/scielo.php?script=sci_arttext&amp;pid=S1729-519X2018000200008&amp;lng=es</w:t>
        </w:r>
      </w:hyperlink>
      <w:r w:rsidRPr="00B72A2C">
        <w:rPr>
          <w:rFonts w:eastAsia="Calibri"/>
          <w:shd w:val="clear" w:color="auto" w:fill="FFFFFF"/>
          <w:lang w:val="es-CU" w:eastAsia="en-US"/>
        </w:rPr>
        <w:t xml:space="preserve"> </w:t>
      </w:r>
    </w:p>
    <w:p w14:paraId="7903AF75"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n-US" w:eastAsia="en-US"/>
        </w:rPr>
        <w:lastRenderedPageBreak/>
        <w:t xml:space="preserve">15. Levey A, Stevens L, Schmid CH, Lucy Zhang Y, Castro A, Feldman H, et al. A new equation to estimate glomerular filtration rate. Ann Intern Med. 2009; 150(9):604-12. </w:t>
      </w:r>
      <w:r w:rsidRPr="00B72A2C">
        <w:rPr>
          <w:rFonts w:eastAsia="Calibri"/>
          <w:shd w:val="clear" w:color="auto" w:fill="FFFFFF"/>
          <w:lang w:val="es-CU" w:eastAsia="en-US"/>
        </w:rPr>
        <w:t>DOI:10.7326/0003-4819-150-9-200905050-00006</w:t>
      </w:r>
    </w:p>
    <w:p w14:paraId="1D6F2766"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s-CU" w:eastAsia="en-US"/>
        </w:rPr>
        <w:t xml:space="preserve">16. Rubio M, Moreno C, Cabrerizo L. Guías para el tratamiento de las dislipemias en el adulto: Adult Treatment Panel III (ATP-III). </w:t>
      </w:r>
      <w:r w:rsidRPr="00B72A2C">
        <w:rPr>
          <w:rFonts w:eastAsia="Calibri"/>
          <w:shd w:val="clear" w:color="auto" w:fill="FFFFFF"/>
          <w:lang w:val="en-US" w:eastAsia="en-US"/>
        </w:rPr>
        <w:t>Endocrinología y Nutrición. 2004; 51(5):254–65. DOI: 10.1016/S1575-0922(04)74614-8</w:t>
      </w:r>
    </w:p>
    <w:p w14:paraId="4C472C53"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n-US" w:eastAsia="en-US"/>
        </w:rPr>
        <w:t>17. Bazett HC. An Analysis of the time-relations of electrocardiograms. Annals of Noninvasive Electrocardiology. 2006; 2(2): 177-194. DOI: 10.1111/1.1542-474x.1997.tb00325.x</w:t>
      </w:r>
    </w:p>
    <w:p w14:paraId="617C55CD"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n-US" w:eastAsia="en-US"/>
        </w:rPr>
        <w:t xml:space="preserve">18. Devereux RB, Alonso DR, Lutas EM, Gottlieb GJ, Campo E, Sachs I, et al. Echocardiographic assessment of left ventricular hypertrophy: comparison to necropsy findings. </w:t>
      </w:r>
      <w:r w:rsidRPr="00B72A2C">
        <w:rPr>
          <w:rFonts w:eastAsia="Calibri"/>
          <w:shd w:val="clear" w:color="auto" w:fill="FFFFFF"/>
          <w:lang w:val="es-CU" w:eastAsia="en-US"/>
        </w:rPr>
        <w:t>Am J Cardiol. 1986; 57(6): 450-8. DOI: 10.1016/0002-9149(86)90771-x</w:t>
      </w:r>
    </w:p>
    <w:p w14:paraId="79F477A8"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s-CU" w:eastAsia="en-US"/>
        </w:rPr>
        <w:t xml:space="preserve">19. Cairo-Sáez G, Batista-Hernández N, Peñate-Tamayo F, de-la-Torre-Santos A. Evaluación cardiaca de pacientes con cáncer de mama tratadas con antraciclinas. Revista Cubana de Cardiología y Cirugía Cardiovascular. 2017 [acceso: 19/01/2022]; 23(1): 266-71: [aprox. 5 p.]. Disponible en: </w:t>
      </w:r>
      <w:hyperlink r:id="rId21" w:history="1">
        <w:r w:rsidRPr="00B72A2C">
          <w:rPr>
            <w:rFonts w:eastAsia="Calibri"/>
            <w:color w:val="0000FF"/>
            <w:u w:val="single"/>
            <w:lang w:val="es-CU" w:eastAsia="en-US"/>
          </w:rPr>
          <w:t>http://www.revcardiologia.sld.cu/index.php/revcardiologia/article/view/679</w:t>
        </w:r>
      </w:hyperlink>
      <w:r w:rsidRPr="00B72A2C">
        <w:rPr>
          <w:rFonts w:eastAsia="Calibri"/>
          <w:shd w:val="clear" w:color="auto" w:fill="FFFFFF"/>
          <w:lang w:val="es-CU" w:eastAsia="en-US"/>
        </w:rPr>
        <w:t xml:space="preserve">   </w:t>
      </w:r>
    </w:p>
    <w:p w14:paraId="329F4E3C"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s-CU" w:eastAsia="en-US"/>
        </w:rPr>
        <w:t xml:space="preserve">20. Mata Caballero R. Incidencia y predictores de cardiotoxicidad a largo plazo en pacientes con cáncer de mama tratados con antraciclinas [Tesis doctoral]. Madrid: Universidad Autónoma de Madrid, Facultad de Medicina, Departamento de Medicina; 2020. </w:t>
      </w:r>
      <w:r w:rsidRPr="00B72A2C">
        <w:rPr>
          <w:rFonts w:eastAsia="Calibri"/>
          <w:shd w:val="clear" w:color="auto" w:fill="FFFFFF"/>
          <w:lang w:val="en-US" w:eastAsia="en-US"/>
        </w:rPr>
        <w:t xml:space="preserve">[acceso: 14/12/2021]. Disponible en: </w:t>
      </w:r>
      <w:hyperlink r:id="rId22" w:history="1">
        <w:r w:rsidRPr="00B72A2C">
          <w:rPr>
            <w:rFonts w:eastAsia="Calibri"/>
            <w:color w:val="0000FF"/>
            <w:u w:val="single"/>
            <w:lang w:val="en-US" w:eastAsia="en-US"/>
          </w:rPr>
          <w:t>http://hdl.handle.net/10486/692393</w:t>
        </w:r>
      </w:hyperlink>
      <w:r w:rsidRPr="00B72A2C">
        <w:rPr>
          <w:rFonts w:eastAsia="Calibri"/>
          <w:shd w:val="clear" w:color="auto" w:fill="FFFFFF"/>
          <w:lang w:val="en-US" w:eastAsia="en-US"/>
        </w:rPr>
        <w:t xml:space="preserve">  </w:t>
      </w:r>
    </w:p>
    <w:p w14:paraId="24892459"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n-US" w:eastAsia="en-US"/>
        </w:rPr>
        <w:t>21. Menna P, Salvatorelli E. Primary Prevention Strategies for Anthracycline Cardiotoxicity: A Brief Overview. Chemotherapy. 2017; 62(3):159-68. DOI: 10.1159/000455823</w:t>
      </w:r>
    </w:p>
    <w:p w14:paraId="3C4427EC"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n-US" w:eastAsia="en-US"/>
        </w:rPr>
        <w:t xml:space="preserve">22. Armenian SH, Lacchetti C, Barac A, Carver J, Constine LS, Dendulur N, et al. Prevention and Monitoring of Cardiac Dysfunction in Survivors of Adult Cancers: American Society of Clinical Oncology Clinical Practice Guideline. </w:t>
      </w:r>
      <w:r w:rsidRPr="00B72A2C">
        <w:rPr>
          <w:rFonts w:eastAsia="Calibri"/>
          <w:shd w:val="clear" w:color="auto" w:fill="FFFFFF"/>
          <w:lang w:val="es-CU" w:eastAsia="en-US"/>
        </w:rPr>
        <w:t>J Clin Oncol. 2017; 35(8):893-911. DOI: 10.1200/JCO.2016.70.5400</w:t>
      </w:r>
    </w:p>
    <w:p w14:paraId="1DBC6E6A"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s-CU" w:eastAsia="en-US"/>
        </w:rPr>
        <w:t xml:space="preserve">23. Zamora P. El tratamiento oncológico triplica el riesgo de complicaciones cardiovasculares. Madrid: Sociedad Española de Cardiología; 2015 [acceso: 11/09/2021]. Disponible en: </w:t>
      </w:r>
      <w:hyperlink r:id="rId23" w:history="1">
        <w:r w:rsidRPr="00B72A2C">
          <w:rPr>
            <w:rFonts w:eastAsia="Calibri"/>
            <w:color w:val="0000FF"/>
            <w:u w:val="single"/>
            <w:lang w:val="es-CU" w:eastAsia="en-US"/>
          </w:rPr>
          <w:t>https://secardiologia.es/comunicacion/notas-de-prensa/notas-de-prensa-sec/6502-tratamiento-oncologico-triplica-riesgo-de-complicaciones-cardiovasculares</w:t>
        </w:r>
      </w:hyperlink>
      <w:r w:rsidRPr="00B72A2C">
        <w:rPr>
          <w:rFonts w:eastAsia="Calibri"/>
          <w:shd w:val="clear" w:color="auto" w:fill="FFFFFF"/>
          <w:lang w:val="es-CU" w:eastAsia="en-US"/>
        </w:rPr>
        <w:t xml:space="preserve"> </w:t>
      </w:r>
    </w:p>
    <w:p w14:paraId="60E49EA4"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n-US" w:eastAsia="en-US"/>
        </w:rPr>
        <w:t>24. Swain SM, Ewer MS, Viale G, Delaloge S, Ferrero JM, Verrill M, et al. Pertuzumab, trastuzumab, and standard anthracycline and taxane based chemotherapy for the neoadjuvant treatment of patients with HER2-positive localized breast cancer (BERENICE): a phase II, open-label and multicenter, multinational cardiac safety study. Ann Oncol. 2018; 29(3):646-53. DOI: 10.1093/annonc/mdx773</w:t>
      </w:r>
    </w:p>
    <w:p w14:paraId="3DA6D404"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n-US" w:eastAsia="en-US"/>
        </w:rPr>
        <w:t>25. Cardinale D, Ciceri F, Latini R, Franzosi MG. Anthracycline-induced cardiotoxicity: A multicenter randomised trial comparing two strategies for guiding prevention with enalapril: The International Cardio Oncology Society-one trial. Eur J Cancer. 2018; 94:126-137. DOI: 10.1016/j.ejca.2018.02.005</w:t>
      </w:r>
    </w:p>
    <w:p w14:paraId="44208082"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n-US" w:eastAsia="en-US"/>
        </w:rPr>
        <w:t>26. Jacob S, Pathak A, Franck D, Latorzeff I, Jimenez G, Fondard O, et al. Early detection and prediction of cardiotoxicity after radiation therapy for breast cancer: the BACCARAT prospective cohort study. Radiat Oncol. 2016; 11:54. DOI: 10.1186/s13014-016-0627-5</w:t>
      </w:r>
    </w:p>
    <w:p w14:paraId="2DEEDA03" w14:textId="77777777" w:rsidR="00B72A2C" w:rsidRPr="00B72A2C" w:rsidRDefault="00B72A2C" w:rsidP="00B72A2C">
      <w:pPr>
        <w:spacing w:line="360" w:lineRule="auto"/>
        <w:rPr>
          <w:rFonts w:eastAsia="Calibri"/>
          <w:shd w:val="clear" w:color="auto" w:fill="FFFFFF"/>
          <w:lang w:val="en-US" w:eastAsia="en-US"/>
        </w:rPr>
      </w:pPr>
      <w:r w:rsidRPr="00B72A2C">
        <w:rPr>
          <w:rFonts w:eastAsia="Calibri"/>
          <w:shd w:val="clear" w:color="auto" w:fill="FFFFFF"/>
          <w:lang w:val="en-US" w:eastAsia="en-US"/>
        </w:rPr>
        <w:t>27. Doan Ngo, Untaru R, Chen D, May A, Collins NJ, Leitch J, et al. Suboptimal Use of Cardioprotective Medications in Patients With a History of Cáncer. J Am Coll Cardiol Cardio Onc. 2020; 2(2):312-15. DOI: 10.1016/j.jaccao.2020.05.010</w:t>
      </w:r>
    </w:p>
    <w:p w14:paraId="3F2E7650"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n-US" w:eastAsia="en-US"/>
        </w:rPr>
        <w:t xml:space="preserve">28. Matos E, Jug B, Blagus R, Zakotnik B. A Prospective Cohort Study on Cardiotoxicity of Adjuvant Trastuzumab Therapy in Breast Cancer Patients. </w:t>
      </w:r>
      <w:r w:rsidRPr="00B72A2C">
        <w:rPr>
          <w:rFonts w:eastAsia="Calibri"/>
          <w:shd w:val="clear" w:color="auto" w:fill="FFFFFF"/>
          <w:lang w:val="es-CU" w:eastAsia="en-US"/>
        </w:rPr>
        <w:t>Arq Bras Cardiol. 2016; 107(1):40-47. DOI: 10.5935/abc.20160084</w:t>
      </w:r>
    </w:p>
    <w:p w14:paraId="747DB101" w14:textId="77777777" w:rsidR="00B72A2C" w:rsidRPr="00B72A2C" w:rsidRDefault="00B72A2C" w:rsidP="00B72A2C">
      <w:pPr>
        <w:spacing w:line="360" w:lineRule="auto"/>
        <w:rPr>
          <w:rFonts w:eastAsia="Calibri"/>
          <w:shd w:val="clear" w:color="auto" w:fill="FFFFFF"/>
          <w:lang w:val="es-CU" w:eastAsia="en-US"/>
        </w:rPr>
      </w:pPr>
      <w:r w:rsidRPr="00B72A2C">
        <w:rPr>
          <w:rFonts w:eastAsia="Calibri"/>
          <w:shd w:val="clear" w:color="auto" w:fill="FFFFFF"/>
          <w:lang w:val="es-CU" w:eastAsia="en-US"/>
        </w:rPr>
        <w:t xml:space="preserve">29. López-Sendón J, Álvarez-Ortega C, Zamora-Auñon P, Buño-Soto A, Lyon AR, Farmakis D, et al. </w:t>
      </w:r>
      <w:r w:rsidRPr="00B72A2C">
        <w:rPr>
          <w:rFonts w:eastAsia="Calibri"/>
          <w:shd w:val="clear" w:color="auto" w:fill="FFFFFF"/>
          <w:lang w:val="en-US" w:eastAsia="en-US"/>
        </w:rPr>
        <w:t xml:space="preserve">Classification, prevalence, and outcomes of anticancer therapy-induced cardiotoxicity: the CARDIOTOX registry. </w:t>
      </w:r>
      <w:r w:rsidRPr="00B72A2C">
        <w:rPr>
          <w:rFonts w:eastAsia="Calibri"/>
          <w:shd w:val="clear" w:color="auto" w:fill="FFFFFF"/>
          <w:lang w:val="es-CU" w:eastAsia="en-US"/>
        </w:rPr>
        <w:t>Eur Heart J. 2020; 41(18):1720-9. DOI: 10.1093/eurheartj/ehaa006</w:t>
      </w:r>
    </w:p>
    <w:p w14:paraId="14FC5A51" w14:textId="77777777" w:rsidR="00B72A2C" w:rsidRPr="00B72A2C" w:rsidRDefault="00B72A2C" w:rsidP="00B72A2C">
      <w:pPr>
        <w:spacing w:line="360" w:lineRule="auto"/>
        <w:rPr>
          <w:rFonts w:eastAsia="Calibri"/>
          <w:sz w:val="22"/>
          <w:lang w:val="es-ES" w:eastAsia="en-US"/>
        </w:rPr>
      </w:pPr>
    </w:p>
    <w:p w14:paraId="30219F15" w14:textId="77777777" w:rsidR="00B72A2C" w:rsidRPr="00B72A2C" w:rsidRDefault="00B72A2C" w:rsidP="00B72A2C">
      <w:pPr>
        <w:spacing w:line="360" w:lineRule="auto"/>
        <w:jc w:val="both"/>
        <w:rPr>
          <w:rFonts w:eastAsia="Calibri"/>
          <w:b/>
          <w:lang w:val="es-ES" w:eastAsia="en-US"/>
        </w:rPr>
      </w:pPr>
    </w:p>
    <w:p w14:paraId="14E0B150" w14:textId="2C7089C1" w:rsidR="00B72A2C" w:rsidRPr="00B72A2C" w:rsidRDefault="00B72A2C" w:rsidP="00B72A2C">
      <w:pPr>
        <w:spacing w:line="360" w:lineRule="auto"/>
        <w:jc w:val="center"/>
        <w:rPr>
          <w:rFonts w:eastAsia="Calibri"/>
          <w:b/>
          <w:lang w:val="es-ES" w:eastAsia="en-US"/>
        </w:rPr>
      </w:pPr>
      <w:r w:rsidRPr="00B72A2C">
        <w:rPr>
          <w:rFonts w:eastAsia="Calibri"/>
          <w:b/>
          <w:lang w:val="es-ES" w:eastAsia="en-US"/>
        </w:rPr>
        <w:t>Conflicto</w:t>
      </w:r>
      <w:r w:rsidR="00984E26">
        <w:rPr>
          <w:rFonts w:eastAsia="Calibri"/>
          <w:b/>
          <w:lang w:val="es-ES" w:eastAsia="en-US"/>
        </w:rPr>
        <w:t>s</w:t>
      </w:r>
      <w:r w:rsidRPr="00B72A2C">
        <w:rPr>
          <w:rFonts w:eastAsia="Calibri"/>
          <w:b/>
          <w:lang w:val="es-ES" w:eastAsia="en-US"/>
        </w:rPr>
        <w:t xml:space="preserve"> de inter</w:t>
      </w:r>
      <w:r w:rsidR="00984E26">
        <w:rPr>
          <w:rFonts w:eastAsia="Calibri"/>
          <w:b/>
          <w:lang w:val="es-ES" w:eastAsia="en-US"/>
        </w:rPr>
        <w:t>és</w:t>
      </w:r>
    </w:p>
    <w:p w14:paraId="0AFF04E3"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 xml:space="preserve">Los autores declaran la no existencia de conflictos de intereses relacionados con el estudio. </w:t>
      </w:r>
    </w:p>
    <w:p w14:paraId="746B1C21" w14:textId="77777777" w:rsidR="00B72A2C" w:rsidRPr="00B72A2C" w:rsidRDefault="00B72A2C" w:rsidP="00B72A2C">
      <w:pPr>
        <w:spacing w:line="360" w:lineRule="auto"/>
        <w:jc w:val="both"/>
        <w:rPr>
          <w:rFonts w:eastAsia="Calibri"/>
          <w:lang w:val="es-ES" w:eastAsia="en-US"/>
        </w:rPr>
      </w:pPr>
      <w:r w:rsidRPr="00B72A2C">
        <w:rPr>
          <w:rFonts w:eastAsia="Calibri"/>
          <w:lang w:val="es-ES" w:eastAsia="en-US"/>
        </w:rPr>
        <w:t>El estudio fue financiado por el Hospital General Provincial “Carlos Manuel de Céspedes”. Bayamo. Granma. Cuba.</w:t>
      </w:r>
    </w:p>
    <w:p w14:paraId="4C230983" w14:textId="77777777" w:rsidR="00B72A2C" w:rsidRPr="00B72A2C" w:rsidRDefault="00B72A2C" w:rsidP="00B72A2C">
      <w:pPr>
        <w:spacing w:line="360" w:lineRule="auto"/>
        <w:jc w:val="both"/>
        <w:rPr>
          <w:rFonts w:eastAsia="Calibri"/>
          <w:lang w:val="es-ES" w:eastAsia="en-US"/>
        </w:rPr>
      </w:pPr>
    </w:p>
    <w:p w14:paraId="7730B33D" w14:textId="77777777" w:rsidR="00B72A2C" w:rsidRPr="00B72A2C" w:rsidRDefault="00B72A2C" w:rsidP="00B72A2C">
      <w:pPr>
        <w:spacing w:line="360" w:lineRule="auto"/>
        <w:jc w:val="center"/>
        <w:rPr>
          <w:rFonts w:eastAsia="Calibri"/>
          <w:b/>
          <w:lang w:val="es-ES" w:eastAsia="en-US"/>
        </w:rPr>
      </w:pPr>
      <w:r w:rsidRPr="00B72A2C">
        <w:rPr>
          <w:rFonts w:eastAsia="Calibri"/>
          <w:b/>
          <w:lang w:val="es-ES" w:eastAsia="en-US"/>
        </w:rPr>
        <w:lastRenderedPageBreak/>
        <w:t>Contribuciones de los autores</w:t>
      </w:r>
    </w:p>
    <w:p w14:paraId="22592465" w14:textId="77777777" w:rsidR="00B72A2C" w:rsidRPr="00B72A2C" w:rsidRDefault="00B72A2C" w:rsidP="00B72A2C">
      <w:pPr>
        <w:spacing w:line="360" w:lineRule="auto"/>
        <w:rPr>
          <w:rFonts w:eastAsia="Calibri"/>
          <w:lang w:val="es-ES" w:eastAsia="en-US"/>
        </w:rPr>
      </w:pPr>
      <w:r w:rsidRPr="00B72A2C">
        <w:rPr>
          <w:rFonts w:eastAsia="Calibri"/>
          <w:lang w:val="es-ES" w:eastAsia="en-US"/>
        </w:rPr>
        <w:t xml:space="preserve">Conceptualización: </w:t>
      </w:r>
      <w:r w:rsidRPr="00B72A2C">
        <w:rPr>
          <w:rFonts w:eastAsia="Calibri"/>
          <w:i/>
          <w:lang w:val="es-ES" w:eastAsia="en-US"/>
        </w:rPr>
        <w:t>Julio Alberto Pérez Domínguez.</w:t>
      </w:r>
    </w:p>
    <w:p w14:paraId="50D60CA2" w14:textId="77777777" w:rsidR="00B72A2C" w:rsidRPr="00B72A2C" w:rsidRDefault="00B72A2C" w:rsidP="00B72A2C">
      <w:pPr>
        <w:spacing w:line="360" w:lineRule="auto"/>
        <w:rPr>
          <w:rFonts w:eastAsia="Calibri"/>
          <w:lang w:val="es-ES" w:eastAsia="en-US"/>
        </w:rPr>
      </w:pPr>
      <w:r w:rsidRPr="00B72A2C">
        <w:rPr>
          <w:rFonts w:eastAsia="Calibri"/>
          <w:lang w:val="es-ES" w:eastAsia="en-US"/>
        </w:rPr>
        <w:t xml:space="preserve">Curación de datos: </w:t>
      </w:r>
      <w:r w:rsidRPr="00B72A2C">
        <w:rPr>
          <w:rFonts w:eastAsia="Calibri"/>
          <w:i/>
          <w:lang w:val="es-ES" w:eastAsia="en-US"/>
        </w:rPr>
        <w:t>Julio Alberto Pérez Domínguez, Marian Maité Rodríguez Peña.</w:t>
      </w:r>
    </w:p>
    <w:p w14:paraId="3EAF89CE" w14:textId="77777777" w:rsidR="00B72A2C" w:rsidRPr="00B72A2C" w:rsidRDefault="00B72A2C" w:rsidP="00B72A2C">
      <w:pPr>
        <w:spacing w:line="360" w:lineRule="auto"/>
        <w:rPr>
          <w:rFonts w:eastAsia="Calibri"/>
          <w:i/>
          <w:lang w:val="es-ES" w:eastAsia="en-US"/>
        </w:rPr>
      </w:pPr>
      <w:r w:rsidRPr="00B72A2C">
        <w:rPr>
          <w:rFonts w:eastAsia="Calibri"/>
          <w:lang w:val="es-ES" w:eastAsia="en-US"/>
        </w:rPr>
        <w:t xml:space="preserve">Análisis formal: </w:t>
      </w:r>
      <w:r w:rsidRPr="00B72A2C">
        <w:rPr>
          <w:rFonts w:eastAsia="Calibri"/>
          <w:i/>
          <w:lang w:val="es-ES" w:eastAsia="en-US"/>
        </w:rPr>
        <w:t>Julio Alberto Pérez Domínguez.</w:t>
      </w:r>
    </w:p>
    <w:p w14:paraId="6F466D57" w14:textId="77777777" w:rsidR="00B72A2C" w:rsidRPr="00B72A2C" w:rsidRDefault="00B72A2C" w:rsidP="00B72A2C">
      <w:pPr>
        <w:spacing w:line="360" w:lineRule="auto"/>
        <w:rPr>
          <w:rFonts w:eastAsia="Calibri"/>
          <w:i/>
          <w:lang w:val="es-ES" w:eastAsia="en-US"/>
        </w:rPr>
      </w:pPr>
      <w:r w:rsidRPr="00B72A2C">
        <w:rPr>
          <w:rFonts w:eastAsia="Calibri"/>
          <w:lang w:val="es-ES" w:eastAsia="en-US"/>
        </w:rPr>
        <w:t xml:space="preserve">Investigación: </w:t>
      </w:r>
      <w:r w:rsidRPr="00B72A2C">
        <w:rPr>
          <w:rFonts w:eastAsia="Calibri"/>
          <w:i/>
          <w:lang w:val="es-ES" w:eastAsia="en-US"/>
        </w:rPr>
        <w:t>Julio Alberto Pérez Domínguez, Marian Maité Rodríguez Peña, Orlando Santiago Aguilar Almaguer.</w:t>
      </w:r>
    </w:p>
    <w:p w14:paraId="7BDD83B6" w14:textId="77777777" w:rsidR="00B72A2C" w:rsidRPr="00B72A2C" w:rsidRDefault="00B72A2C" w:rsidP="00B72A2C">
      <w:pPr>
        <w:spacing w:line="360" w:lineRule="auto"/>
        <w:rPr>
          <w:rFonts w:eastAsia="Calibri"/>
          <w:lang w:val="es-ES" w:eastAsia="en-US"/>
        </w:rPr>
      </w:pPr>
      <w:r w:rsidRPr="00B72A2C">
        <w:rPr>
          <w:rFonts w:eastAsia="Calibri"/>
          <w:lang w:val="es-ES" w:eastAsia="en-US"/>
        </w:rPr>
        <w:t xml:space="preserve">Metodología: </w:t>
      </w:r>
      <w:r w:rsidRPr="00B72A2C">
        <w:rPr>
          <w:rFonts w:eastAsia="Calibri"/>
          <w:i/>
          <w:lang w:val="es-ES" w:eastAsia="en-US"/>
        </w:rPr>
        <w:t>Julio Alberto Pérez Domínguez.</w:t>
      </w:r>
    </w:p>
    <w:p w14:paraId="7C12C68A" w14:textId="77777777" w:rsidR="00B72A2C" w:rsidRPr="00B72A2C" w:rsidRDefault="00B72A2C" w:rsidP="00B72A2C">
      <w:pPr>
        <w:spacing w:line="360" w:lineRule="auto"/>
        <w:rPr>
          <w:rFonts w:eastAsia="Calibri"/>
          <w:lang w:val="es-ES" w:eastAsia="en-US"/>
        </w:rPr>
      </w:pPr>
      <w:r w:rsidRPr="00B72A2C">
        <w:rPr>
          <w:rFonts w:eastAsia="Calibri"/>
          <w:lang w:val="es-ES" w:eastAsia="en-US"/>
        </w:rPr>
        <w:t xml:space="preserve">Administración del proyecto: Julio Alberto Pérez Domínguez. </w:t>
      </w:r>
    </w:p>
    <w:p w14:paraId="77578BD9" w14:textId="77777777" w:rsidR="00B72A2C" w:rsidRPr="00B72A2C" w:rsidRDefault="00B72A2C" w:rsidP="00B72A2C">
      <w:pPr>
        <w:spacing w:line="360" w:lineRule="auto"/>
        <w:rPr>
          <w:rFonts w:eastAsia="Calibri"/>
          <w:i/>
          <w:lang w:val="es-ES" w:eastAsia="en-US"/>
        </w:rPr>
      </w:pPr>
      <w:r w:rsidRPr="00B72A2C">
        <w:rPr>
          <w:rFonts w:eastAsia="Calibri"/>
          <w:lang w:val="es-ES" w:eastAsia="en-US"/>
        </w:rPr>
        <w:t xml:space="preserve">Validación: </w:t>
      </w:r>
      <w:r w:rsidRPr="00B72A2C">
        <w:rPr>
          <w:rFonts w:eastAsia="Calibri"/>
          <w:i/>
          <w:lang w:val="es-ES" w:eastAsia="en-US"/>
        </w:rPr>
        <w:t>Julio Alberto Pérez Domínguez.</w:t>
      </w:r>
    </w:p>
    <w:p w14:paraId="749CFD70" w14:textId="77777777" w:rsidR="00B72A2C" w:rsidRPr="00B72A2C" w:rsidRDefault="00B72A2C" w:rsidP="00B72A2C">
      <w:pPr>
        <w:spacing w:line="360" w:lineRule="auto"/>
        <w:rPr>
          <w:rFonts w:eastAsia="Calibri"/>
          <w:i/>
          <w:lang w:val="es-ES" w:eastAsia="en-US"/>
        </w:rPr>
      </w:pPr>
      <w:r w:rsidRPr="00B72A2C">
        <w:rPr>
          <w:rFonts w:eastAsia="Calibri"/>
          <w:lang w:val="es-ES" w:eastAsia="en-US"/>
        </w:rPr>
        <w:t xml:space="preserve">Visualización: </w:t>
      </w:r>
      <w:r w:rsidRPr="00B72A2C">
        <w:rPr>
          <w:rFonts w:eastAsia="Calibri"/>
          <w:i/>
          <w:lang w:val="es-ES" w:eastAsia="en-US"/>
        </w:rPr>
        <w:t>Julio Alberto Pérez Domínguez.</w:t>
      </w:r>
    </w:p>
    <w:p w14:paraId="45B3AA66" w14:textId="77777777" w:rsidR="00B72A2C" w:rsidRPr="00B72A2C" w:rsidRDefault="00B72A2C" w:rsidP="00B72A2C">
      <w:pPr>
        <w:spacing w:line="360" w:lineRule="auto"/>
        <w:rPr>
          <w:rFonts w:eastAsia="Calibri"/>
          <w:i/>
          <w:lang w:val="es-ES" w:eastAsia="en-US"/>
        </w:rPr>
      </w:pPr>
      <w:r w:rsidRPr="00B72A2C">
        <w:rPr>
          <w:rFonts w:eastAsia="Calibri"/>
          <w:lang w:val="es-ES" w:eastAsia="en-US"/>
        </w:rPr>
        <w:t xml:space="preserve">Redacción – </w:t>
      </w:r>
      <w:r w:rsidRPr="00B72A2C">
        <w:rPr>
          <w:rFonts w:eastAsia="Calibri"/>
          <w:iCs/>
          <w:lang w:val="es-ES" w:eastAsia="en-US"/>
        </w:rPr>
        <w:t>borrador original:</w:t>
      </w:r>
      <w:r w:rsidRPr="00B72A2C">
        <w:rPr>
          <w:rFonts w:eastAsia="Calibri"/>
          <w:i/>
          <w:lang w:val="es-ES" w:eastAsia="en-US"/>
        </w:rPr>
        <w:t xml:space="preserve"> Julio Alberto Pérez Domínguez, Marian Maité Rodríguez Peña, Orlando Santiago Aguilar Almaguer, Maidelín Rodríguez Reyes, Lisett Leblanch Pérez, Alberto Pérez Oliva. </w:t>
      </w:r>
    </w:p>
    <w:p w14:paraId="189CD683" w14:textId="77777777" w:rsidR="00B72A2C" w:rsidRPr="00B72A2C" w:rsidRDefault="00B72A2C" w:rsidP="00B72A2C">
      <w:pPr>
        <w:spacing w:line="360" w:lineRule="auto"/>
        <w:rPr>
          <w:rFonts w:eastAsia="Calibri"/>
          <w:sz w:val="22"/>
          <w:szCs w:val="22"/>
          <w:lang w:val="es-ES" w:eastAsia="en-US"/>
        </w:rPr>
      </w:pPr>
      <w:r w:rsidRPr="00B72A2C">
        <w:rPr>
          <w:rFonts w:eastAsia="Calibri"/>
          <w:lang w:val="es-ES" w:eastAsia="en-US"/>
        </w:rPr>
        <w:t xml:space="preserve">Redacción – revisión y edición: </w:t>
      </w:r>
      <w:r w:rsidRPr="00B72A2C">
        <w:rPr>
          <w:rFonts w:eastAsia="Calibri"/>
          <w:i/>
          <w:lang w:val="es-ES" w:eastAsia="en-US"/>
        </w:rPr>
        <w:t xml:space="preserve">Julio Alberto Pérez Domínguez, Marian Maité Rodríguez Peña, Orlando Santiago Aguilar Almaguer, Maidelín Rodríguez Reyes, Lisett Leblanch Pérez, Alberto Pérez Oliva. </w:t>
      </w:r>
    </w:p>
    <w:p w14:paraId="2FE529AB" w14:textId="77777777" w:rsidR="00675476" w:rsidRPr="00B72A2C" w:rsidRDefault="00675476" w:rsidP="00EA1FEF">
      <w:pPr>
        <w:pStyle w:val="PDFRevista"/>
        <w:rPr>
          <w:lang w:val="es-ES"/>
        </w:rPr>
      </w:pPr>
    </w:p>
    <w:sectPr w:rsidR="00675476" w:rsidRPr="00B72A2C"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3376" w14:textId="77777777" w:rsidR="004C11DC" w:rsidRDefault="004C11DC">
      <w:r>
        <w:separator/>
      </w:r>
    </w:p>
  </w:endnote>
  <w:endnote w:type="continuationSeparator" w:id="0">
    <w:p w14:paraId="20A5A2CE" w14:textId="77777777" w:rsidR="004C11DC" w:rsidRDefault="004C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ucida Sans">
    <w:panose1 w:val="020B0602030504020204"/>
    <w:charset w:val="00"/>
    <w:family w:val="swiss"/>
    <w:pitch w:val="variable"/>
    <w:sig w:usb0="01002A87" w:usb1="00000000" w:usb2="00000000" w:usb3="00000000" w:csb0="000100FF" w:csb1="00000000"/>
  </w:font>
  <w:font w:name="Liberation Serif">
    <w:panose1 w:val="02020603050405020304"/>
    <w:charset w:val="00"/>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ZapfHumnst BT">
    <w:charset w:val="00"/>
    <w:family w:val="roman"/>
    <w:pitch w:val="variable"/>
  </w:font>
  <w:font w:name="Frutiger-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TimesNewRoman">
    <w:altName w:val="MS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67C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6947B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D9B7" w14:textId="2073B1F1" w:rsidR="000F3690" w:rsidRPr="00AE044C" w:rsidRDefault="00B72A2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6AF6E81" wp14:editId="718F45BF">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C846A4"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07E42A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6D0069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598B2DC" w14:textId="74F4B8C8"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B72A2C" w:rsidRPr="00B72A2C">
      <w:rPr>
        <w:rFonts w:ascii="Verdana" w:hAnsi="Verdana"/>
        <w:noProof/>
        <w:sz w:val="18"/>
        <w:szCs w:val="18"/>
        <w:lang w:val="en-US" w:eastAsia="en-US"/>
      </w:rPr>
      <w:drawing>
        <wp:inline distT="0" distB="0" distL="0" distR="0" wp14:anchorId="232F3A82" wp14:editId="6DFBEE60">
          <wp:extent cx="638175" cy="152400"/>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79B7" w14:textId="77777777" w:rsidR="004C11DC" w:rsidRDefault="004C11DC">
      <w:r>
        <w:separator/>
      </w:r>
    </w:p>
  </w:footnote>
  <w:footnote w:type="continuationSeparator" w:id="0">
    <w:p w14:paraId="6A86621C" w14:textId="77777777" w:rsidR="004C11DC" w:rsidRDefault="004C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3760" w14:textId="159E4CFE" w:rsidR="00CC376A" w:rsidRPr="00AE044C" w:rsidRDefault="00E26892"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sidR="00B72A2C">
      <w:rPr>
        <w:noProof/>
      </w:rPr>
      <w:drawing>
        <wp:anchor distT="0" distB="0" distL="114300" distR="114300" simplePos="0" relativeHeight="251663360" behindDoc="1" locked="0" layoutInCell="1" allowOverlap="1" wp14:anchorId="3E3F8516" wp14:editId="7C037CE8">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e02201931</w:t>
    </w:r>
  </w:p>
  <w:p w14:paraId="6805250E" w14:textId="5998E07B" w:rsidR="00A477DE" w:rsidRDefault="00B72A2C">
    <w:r>
      <w:rPr>
        <w:noProof/>
      </w:rPr>
      <mc:AlternateContent>
        <mc:Choice Requires="wps">
          <w:drawing>
            <wp:anchor distT="0" distB="0" distL="114300" distR="114300" simplePos="0" relativeHeight="251654144" behindDoc="0" locked="0" layoutInCell="1" allowOverlap="1" wp14:anchorId="25E17E1A" wp14:editId="2BCFAFD2">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B8B6B5"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5" type="#_x0000_t75" style="width:11.25pt;height:11.25pt" o:bullet="t">
        <v:imagedata r:id="rId1" o:title="msoF736"/>
      </v:shape>
    </w:pict>
  </w:numPicBullet>
  <w:abstractNum w:abstractNumId="0" w15:restartNumberingAfterBreak="0">
    <w:nsid w:val="050253EE"/>
    <w:multiLevelType w:val="hybridMultilevel"/>
    <w:tmpl w:val="0EE6E820"/>
    <w:lvl w:ilvl="0" w:tplc="5C0A0003">
      <w:start w:val="1"/>
      <w:numFmt w:val="bullet"/>
      <w:lvlText w:val="o"/>
      <w:lvlJc w:val="left"/>
      <w:pPr>
        <w:ind w:left="1287" w:hanging="360"/>
      </w:pPr>
      <w:rPr>
        <w:rFonts w:ascii="Courier New" w:hAnsi="Courier New" w:cs="Courier New"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083511E2"/>
    <w:multiLevelType w:val="hybridMultilevel"/>
    <w:tmpl w:val="5D5C28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CE04B8"/>
    <w:multiLevelType w:val="hybridMultilevel"/>
    <w:tmpl w:val="9CB42EDE"/>
    <w:lvl w:ilvl="0" w:tplc="28E418FE">
      <w:start w:val="1"/>
      <w:numFmt w:val="decimal"/>
      <w:lvlText w:val="%1."/>
      <w:lvlJc w:val="left"/>
      <w:pPr>
        <w:ind w:left="720" w:hanging="360"/>
      </w:pPr>
      <w:rPr>
        <w:rFonts w:ascii="Arial" w:hAnsi="Arial" w:cs="Arial"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1B1F43"/>
    <w:multiLevelType w:val="hybridMultilevel"/>
    <w:tmpl w:val="38EC14E8"/>
    <w:lvl w:ilvl="0" w:tplc="FFFFFFFF">
      <w:start w:val="1"/>
      <w:numFmt w:val="bullet"/>
      <w:lvlText w:val="o"/>
      <w:lvlJc w:val="left"/>
      <w:pPr>
        <w:ind w:left="720" w:hanging="360"/>
      </w:pPr>
      <w:rPr>
        <w:rFonts w:ascii="Courier New" w:hAnsi="Courier New" w:cs="Courier New" w:hint="default"/>
      </w:rPr>
    </w:lvl>
    <w:lvl w:ilvl="1" w:tplc="5C0A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210836"/>
    <w:multiLevelType w:val="hybridMultilevel"/>
    <w:tmpl w:val="80269F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E34575"/>
    <w:multiLevelType w:val="hybridMultilevel"/>
    <w:tmpl w:val="DB608ADC"/>
    <w:lvl w:ilvl="0" w:tplc="5C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BC57FB3"/>
    <w:multiLevelType w:val="hybridMultilevel"/>
    <w:tmpl w:val="FFCE3CEE"/>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FE24E6"/>
    <w:multiLevelType w:val="hybridMultilevel"/>
    <w:tmpl w:val="184EF14A"/>
    <w:lvl w:ilvl="0" w:tplc="B13E1AB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D65FC2"/>
    <w:multiLevelType w:val="hybridMultilevel"/>
    <w:tmpl w:val="B7FA9E0A"/>
    <w:lvl w:ilvl="0" w:tplc="5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1DEC2294"/>
    <w:multiLevelType w:val="hybridMultilevel"/>
    <w:tmpl w:val="6E1CA8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561BAC"/>
    <w:multiLevelType w:val="hybridMultilevel"/>
    <w:tmpl w:val="9C2E0468"/>
    <w:lvl w:ilvl="0" w:tplc="B13E1AB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68292E"/>
    <w:multiLevelType w:val="hybridMultilevel"/>
    <w:tmpl w:val="16D42864"/>
    <w:lvl w:ilvl="0" w:tplc="F2D6A4D0">
      <w:start w:val="1"/>
      <w:numFmt w:val="bullet"/>
      <w:lvlText w:val=""/>
      <w:lvlJc w:val="left"/>
      <w:pPr>
        <w:ind w:left="720" w:hanging="360"/>
      </w:pPr>
      <w:rPr>
        <w:rFonts w:ascii="Symbol" w:hAnsi="Symbo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872D76"/>
    <w:multiLevelType w:val="hybridMultilevel"/>
    <w:tmpl w:val="7CBCBBF0"/>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EA24034"/>
    <w:multiLevelType w:val="hybridMultilevel"/>
    <w:tmpl w:val="9D483E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6F5421"/>
    <w:multiLevelType w:val="hybridMultilevel"/>
    <w:tmpl w:val="662ADB4C"/>
    <w:lvl w:ilvl="0" w:tplc="9C7A714E">
      <w:start w:val="1"/>
      <w:numFmt w:val="bullet"/>
      <w:lvlText w:val=""/>
      <w:lvlJc w:val="left"/>
      <w:pPr>
        <w:tabs>
          <w:tab w:val="num" w:pos="720"/>
        </w:tabs>
        <w:ind w:left="720" w:hanging="360"/>
      </w:pPr>
      <w:rPr>
        <w:rFonts w:ascii="Wingdings" w:hAnsi="Wingdings" w:hint="default"/>
      </w:rPr>
    </w:lvl>
    <w:lvl w:ilvl="1" w:tplc="3DD81C32" w:tentative="1">
      <w:start w:val="1"/>
      <w:numFmt w:val="bullet"/>
      <w:lvlText w:val=""/>
      <w:lvlJc w:val="left"/>
      <w:pPr>
        <w:tabs>
          <w:tab w:val="num" w:pos="1440"/>
        </w:tabs>
        <w:ind w:left="1440" w:hanging="360"/>
      </w:pPr>
      <w:rPr>
        <w:rFonts w:ascii="Wingdings" w:hAnsi="Wingdings" w:hint="default"/>
      </w:rPr>
    </w:lvl>
    <w:lvl w:ilvl="2" w:tplc="2B6E8434" w:tentative="1">
      <w:start w:val="1"/>
      <w:numFmt w:val="bullet"/>
      <w:lvlText w:val=""/>
      <w:lvlJc w:val="left"/>
      <w:pPr>
        <w:tabs>
          <w:tab w:val="num" w:pos="2160"/>
        </w:tabs>
        <w:ind w:left="2160" w:hanging="360"/>
      </w:pPr>
      <w:rPr>
        <w:rFonts w:ascii="Wingdings" w:hAnsi="Wingdings" w:hint="default"/>
      </w:rPr>
    </w:lvl>
    <w:lvl w:ilvl="3" w:tplc="57AE1FF4" w:tentative="1">
      <w:start w:val="1"/>
      <w:numFmt w:val="bullet"/>
      <w:lvlText w:val=""/>
      <w:lvlJc w:val="left"/>
      <w:pPr>
        <w:tabs>
          <w:tab w:val="num" w:pos="2880"/>
        </w:tabs>
        <w:ind w:left="2880" w:hanging="360"/>
      </w:pPr>
      <w:rPr>
        <w:rFonts w:ascii="Wingdings" w:hAnsi="Wingdings" w:hint="default"/>
      </w:rPr>
    </w:lvl>
    <w:lvl w:ilvl="4" w:tplc="4CBE668A" w:tentative="1">
      <w:start w:val="1"/>
      <w:numFmt w:val="bullet"/>
      <w:lvlText w:val=""/>
      <w:lvlJc w:val="left"/>
      <w:pPr>
        <w:tabs>
          <w:tab w:val="num" w:pos="3600"/>
        </w:tabs>
        <w:ind w:left="3600" w:hanging="360"/>
      </w:pPr>
      <w:rPr>
        <w:rFonts w:ascii="Wingdings" w:hAnsi="Wingdings" w:hint="default"/>
      </w:rPr>
    </w:lvl>
    <w:lvl w:ilvl="5" w:tplc="3DD208DE" w:tentative="1">
      <w:start w:val="1"/>
      <w:numFmt w:val="bullet"/>
      <w:lvlText w:val=""/>
      <w:lvlJc w:val="left"/>
      <w:pPr>
        <w:tabs>
          <w:tab w:val="num" w:pos="4320"/>
        </w:tabs>
        <w:ind w:left="4320" w:hanging="360"/>
      </w:pPr>
      <w:rPr>
        <w:rFonts w:ascii="Wingdings" w:hAnsi="Wingdings" w:hint="default"/>
      </w:rPr>
    </w:lvl>
    <w:lvl w:ilvl="6" w:tplc="7F241DC0" w:tentative="1">
      <w:start w:val="1"/>
      <w:numFmt w:val="bullet"/>
      <w:lvlText w:val=""/>
      <w:lvlJc w:val="left"/>
      <w:pPr>
        <w:tabs>
          <w:tab w:val="num" w:pos="5040"/>
        </w:tabs>
        <w:ind w:left="5040" w:hanging="360"/>
      </w:pPr>
      <w:rPr>
        <w:rFonts w:ascii="Wingdings" w:hAnsi="Wingdings" w:hint="default"/>
      </w:rPr>
    </w:lvl>
    <w:lvl w:ilvl="7" w:tplc="C3D412FA" w:tentative="1">
      <w:start w:val="1"/>
      <w:numFmt w:val="bullet"/>
      <w:lvlText w:val=""/>
      <w:lvlJc w:val="left"/>
      <w:pPr>
        <w:tabs>
          <w:tab w:val="num" w:pos="5760"/>
        </w:tabs>
        <w:ind w:left="5760" w:hanging="360"/>
      </w:pPr>
      <w:rPr>
        <w:rFonts w:ascii="Wingdings" w:hAnsi="Wingdings" w:hint="default"/>
      </w:rPr>
    </w:lvl>
    <w:lvl w:ilvl="8" w:tplc="4C7207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95739F"/>
    <w:multiLevelType w:val="hybridMultilevel"/>
    <w:tmpl w:val="DF880CC4"/>
    <w:lvl w:ilvl="0" w:tplc="F2D6A4D0">
      <w:start w:val="1"/>
      <w:numFmt w:val="bullet"/>
      <w:lvlText w:val=""/>
      <w:lvlJc w:val="left"/>
      <w:pPr>
        <w:ind w:left="720" w:hanging="360"/>
      </w:pPr>
      <w:rPr>
        <w:rFonts w:ascii="Symbol" w:hAnsi="Symbo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0835F2"/>
    <w:multiLevelType w:val="hybridMultilevel"/>
    <w:tmpl w:val="88686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7912A5"/>
    <w:multiLevelType w:val="hybridMultilevel"/>
    <w:tmpl w:val="F69AF5F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8" w15:restartNumberingAfterBreak="0">
    <w:nsid w:val="3F6533EA"/>
    <w:multiLevelType w:val="hybridMultilevel"/>
    <w:tmpl w:val="8A4ACE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8106FC"/>
    <w:multiLevelType w:val="hybridMultilevel"/>
    <w:tmpl w:val="4016E450"/>
    <w:lvl w:ilvl="0" w:tplc="5C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68C2E0E"/>
    <w:multiLevelType w:val="hybridMultilevel"/>
    <w:tmpl w:val="1BA03852"/>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21" w15:restartNumberingAfterBreak="0">
    <w:nsid w:val="4AC24B25"/>
    <w:multiLevelType w:val="hybridMultilevel"/>
    <w:tmpl w:val="F6049B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3" w15:restartNumberingAfterBreak="0">
    <w:nsid w:val="4B95465C"/>
    <w:multiLevelType w:val="hybridMultilevel"/>
    <w:tmpl w:val="F5DC8F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CA495C"/>
    <w:multiLevelType w:val="hybridMultilevel"/>
    <w:tmpl w:val="00168AE2"/>
    <w:lvl w:ilvl="0" w:tplc="0C0A0005">
      <w:start w:val="1"/>
      <w:numFmt w:val="bullet"/>
      <w:lvlText w:val=""/>
      <w:lvlJc w:val="left"/>
      <w:pPr>
        <w:ind w:left="720" w:hanging="360"/>
      </w:pPr>
      <w:rPr>
        <w:rFonts w:ascii="Wingdings" w:hAnsi="Wingding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825BB6"/>
    <w:multiLevelType w:val="hybridMultilevel"/>
    <w:tmpl w:val="1E58718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6" w15:restartNumberingAfterBreak="0">
    <w:nsid w:val="5C2F41D8"/>
    <w:multiLevelType w:val="hybridMultilevel"/>
    <w:tmpl w:val="8EE67B1E"/>
    <w:lvl w:ilvl="0" w:tplc="5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6F4255"/>
    <w:multiLevelType w:val="hybridMultilevel"/>
    <w:tmpl w:val="F13AC86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8C23B2C"/>
    <w:multiLevelType w:val="hybridMultilevel"/>
    <w:tmpl w:val="8FB826A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F0099E"/>
    <w:multiLevelType w:val="hybridMultilevel"/>
    <w:tmpl w:val="27FA2FD6"/>
    <w:lvl w:ilvl="0" w:tplc="B13E1AB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F4742E"/>
    <w:multiLevelType w:val="hybridMultilevel"/>
    <w:tmpl w:val="9E8A7D8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D174CF"/>
    <w:multiLevelType w:val="hybridMultilevel"/>
    <w:tmpl w:val="3D403046"/>
    <w:lvl w:ilvl="0" w:tplc="5C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644621E"/>
    <w:multiLevelType w:val="hybridMultilevel"/>
    <w:tmpl w:val="E38024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6CD6552"/>
    <w:multiLevelType w:val="hybridMultilevel"/>
    <w:tmpl w:val="8B4ECC76"/>
    <w:lvl w:ilvl="0" w:tplc="B13E1AB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C64102"/>
    <w:multiLevelType w:val="hybridMultilevel"/>
    <w:tmpl w:val="7CC6275A"/>
    <w:lvl w:ilvl="0" w:tplc="156E9C2E">
      <w:start w:val="1"/>
      <w:numFmt w:val="bullet"/>
      <w:lvlText w:val="-"/>
      <w:lvlJc w:val="left"/>
      <w:pPr>
        <w:ind w:left="1287" w:hanging="360"/>
      </w:pPr>
      <w:rPr>
        <w:rFonts w:ascii="Calibri" w:hAnsi="Calibr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5" w15:restartNumberingAfterBreak="0">
    <w:nsid w:val="7B110306"/>
    <w:multiLevelType w:val="hybridMultilevel"/>
    <w:tmpl w:val="7B24A7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CC567F4"/>
    <w:multiLevelType w:val="hybridMultilevel"/>
    <w:tmpl w:val="7806FB2C"/>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EB5746"/>
    <w:multiLevelType w:val="hybridMultilevel"/>
    <w:tmpl w:val="9D6A649E"/>
    <w:lvl w:ilvl="0" w:tplc="F2D6A4D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23684400">
    <w:abstractNumId w:val="22"/>
  </w:num>
  <w:num w:numId="2" w16cid:durableId="1910534100">
    <w:abstractNumId w:val="12"/>
  </w:num>
  <w:num w:numId="3" w16cid:durableId="1682120276">
    <w:abstractNumId w:val="6"/>
  </w:num>
  <w:num w:numId="4" w16cid:durableId="888493037">
    <w:abstractNumId w:val="14"/>
  </w:num>
  <w:num w:numId="5" w16cid:durableId="1823695205">
    <w:abstractNumId w:val="24"/>
  </w:num>
  <w:num w:numId="6" w16cid:durableId="652682729">
    <w:abstractNumId w:val="16"/>
  </w:num>
  <w:num w:numId="7" w16cid:durableId="65109590">
    <w:abstractNumId w:val="30"/>
  </w:num>
  <w:num w:numId="8" w16cid:durableId="494077630">
    <w:abstractNumId w:val="1"/>
  </w:num>
  <w:num w:numId="9" w16cid:durableId="1391615298">
    <w:abstractNumId w:val="4"/>
  </w:num>
  <w:num w:numId="10" w16cid:durableId="146168217">
    <w:abstractNumId w:val="11"/>
  </w:num>
  <w:num w:numId="11" w16cid:durableId="2128893663">
    <w:abstractNumId w:val="35"/>
  </w:num>
  <w:num w:numId="12" w16cid:durableId="33579088">
    <w:abstractNumId w:val="28"/>
  </w:num>
  <w:num w:numId="13" w16cid:durableId="977344862">
    <w:abstractNumId w:val="37"/>
  </w:num>
  <w:num w:numId="14" w16cid:durableId="1691758628">
    <w:abstractNumId w:val="33"/>
  </w:num>
  <w:num w:numId="15" w16cid:durableId="458571542">
    <w:abstractNumId w:val="32"/>
  </w:num>
  <w:num w:numId="16" w16cid:durableId="2138521486">
    <w:abstractNumId w:val="27"/>
  </w:num>
  <w:num w:numId="17" w16cid:durableId="1833644162">
    <w:abstractNumId w:val="10"/>
  </w:num>
  <w:num w:numId="18" w16cid:durableId="886839048">
    <w:abstractNumId w:val="7"/>
  </w:num>
  <w:num w:numId="19" w16cid:durableId="1444112927">
    <w:abstractNumId w:val="29"/>
  </w:num>
  <w:num w:numId="20" w16cid:durableId="1813866984">
    <w:abstractNumId w:val="36"/>
  </w:num>
  <w:num w:numId="21" w16cid:durableId="788939405">
    <w:abstractNumId w:val="21"/>
  </w:num>
  <w:num w:numId="22" w16cid:durableId="1313407091">
    <w:abstractNumId w:val="15"/>
  </w:num>
  <w:num w:numId="23" w16cid:durableId="1958903186">
    <w:abstractNumId w:val="13"/>
  </w:num>
  <w:num w:numId="24" w16cid:durableId="227543433">
    <w:abstractNumId w:val="23"/>
  </w:num>
  <w:num w:numId="25" w16cid:durableId="2117093957">
    <w:abstractNumId w:val="18"/>
  </w:num>
  <w:num w:numId="26" w16cid:durableId="1848204152">
    <w:abstractNumId w:val="9"/>
  </w:num>
  <w:num w:numId="27" w16cid:durableId="1251813152">
    <w:abstractNumId w:val="2"/>
  </w:num>
  <w:num w:numId="28" w16cid:durableId="1079521241">
    <w:abstractNumId w:val="20"/>
  </w:num>
  <w:num w:numId="29" w16cid:durableId="1651518055">
    <w:abstractNumId w:val="17"/>
  </w:num>
  <w:num w:numId="30" w16cid:durableId="1821114982">
    <w:abstractNumId w:val="31"/>
  </w:num>
  <w:num w:numId="31" w16cid:durableId="1024868978">
    <w:abstractNumId w:val="5"/>
  </w:num>
  <w:num w:numId="32" w16cid:durableId="1662465237">
    <w:abstractNumId w:val="25"/>
  </w:num>
  <w:num w:numId="33" w16cid:durableId="140734482">
    <w:abstractNumId w:val="26"/>
  </w:num>
  <w:num w:numId="34" w16cid:durableId="630407935">
    <w:abstractNumId w:val="8"/>
  </w:num>
  <w:num w:numId="35" w16cid:durableId="1952398468">
    <w:abstractNumId w:val="34"/>
  </w:num>
  <w:num w:numId="36" w16cid:durableId="1479885810">
    <w:abstractNumId w:val="0"/>
  </w:num>
  <w:num w:numId="37" w16cid:durableId="1678193950">
    <w:abstractNumId w:val="3"/>
  </w:num>
  <w:num w:numId="38" w16cid:durableId="785997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2C"/>
    <w:rsid w:val="00057F45"/>
    <w:rsid w:val="000D3958"/>
    <w:rsid w:val="000F3690"/>
    <w:rsid w:val="001221D1"/>
    <w:rsid w:val="00165CB5"/>
    <w:rsid w:val="00180CE9"/>
    <w:rsid w:val="00230DD5"/>
    <w:rsid w:val="00250AE9"/>
    <w:rsid w:val="00380D64"/>
    <w:rsid w:val="00391509"/>
    <w:rsid w:val="003E03D5"/>
    <w:rsid w:val="00452500"/>
    <w:rsid w:val="00486BFA"/>
    <w:rsid w:val="00493701"/>
    <w:rsid w:val="004C11DC"/>
    <w:rsid w:val="004E2065"/>
    <w:rsid w:val="005508A2"/>
    <w:rsid w:val="0055115D"/>
    <w:rsid w:val="00566F71"/>
    <w:rsid w:val="005918BD"/>
    <w:rsid w:val="00597038"/>
    <w:rsid w:val="006173A6"/>
    <w:rsid w:val="00675476"/>
    <w:rsid w:val="007C430F"/>
    <w:rsid w:val="007D2D0C"/>
    <w:rsid w:val="007D614D"/>
    <w:rsid w:val="00960D6A"/>
    <w:rsid w:val="00984E26"/>
    <w:rsid w:val="009A0560"/>
    <w:rsid w:val="009B0917"/>
    <w:rsid w:val="009F0F96"/>
    <w:rsid w:val="00A23C0C"/>
    <w:rsid w:val="00A477DE"/>
    <w:rsid w:val="00A61385"/>
    <w:rsid w:val="00A71E65"/>
    <w:rsid w:val="00AE044C"/>
    <w:rsid w:val="00B31971"/>
    <w:rsid w:val="00B4380A"/>
    <w:rsid w:val="00B66ECB"/>
    <w:rsid w:val="00B72A2C"/>
    <w:rsid w:val="00C7523A"/>
    <w:rsid w:val="00CC1B6E"/>
    <w:rsid w:val="00CC376A"/>
    <w:rsid w:val="00CC48A1"/>
    <w:rsid w:val="00CF50E0"/>
    <w:rsid w:val="00D85951"/>
    <w:rsid w:val="00E26892"/>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7A064"/>
  <w15:docId w15:val="{63B70547-F0BD-4109-AF8F-0546B0E9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5">
    <w:name w:val="heading 5"/>
    <w:basedOn w:val="Normal"/>
    <w:link w:val="Ttulo5Car"/>
    <w:uiPriority w:val="9"/>
    <w:qFormat/>
    <w:rsid w:val="00B72A2C"/>
    <w:pPr>
      <w:spacing w:before="100" w:beforeAutospacing="1" w:after="100" w:afterAutospacing="1"/>
      <w:outlineLvl w:val="4"/>
    </w:pPr>
    <w:rPr>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5Car">
    <w:name w:val="Título 5 Car"/>
    <w:basedOn w:val="Fuentedeprrafopredeter"/>
    <w:link w:val="Ttulo5"/>
    <w:uiPriority w:val="9"/>
    <w:rsid w:val="00B72A2C"/>
    <w:rPr>
      <w:b/>
      <w:bCs/>
      <w:lang w:val="es-ES" w:eastAsia="es-ES"/>
    </w:rPr>
  </w:style>
  <w:style w:type="numbering" w:customStyle="1" w:styleId="Sinlista1">
    <w:name w:val="Sin lista1"/>
    <w:next w:val="Sinlista"/>
    <w:uiPriority w:val="99"/>
    <w:semiHidden/>
    <w:unhideWhenUsed/>
    <w:rsid w:val="00B72A2C"/>
  </w:style>
  <w:style w:type="paragraph" w:customStyle="1" w:styleId="Ttulo1">
    <w:name w:val="Título1"/>
    <w:basedOn w:val="Normal"/>
    <w:next w:val="Textoindependiente"/>
    <w:rsid w:val="00B72A2C"/>
    <w:pPr>
      <w:keepNext/>
      <w:suppressAutoHyphens/>
      <w:spacing w:before="240" w:after="120"/>
    </w:pPr>
    <w:rPr>
      <w:rFonts w:ascii="Liberation Sans" w:eastAsia="Noto Sans CJK SC" w:hAnsi="Liberation Sans" w:cs="Lucida Sans"/>
      <w:kern w:val="2"/>
      <w:sz w:val="28"/>
      <w:szCs w:val="28"/>
      <w:lang w:val="es-ES" w:eastAsia="zh-CN" w:bidi="hi-IN"/>
    </w:rPr>
  </w:style>
  <w:style w:type="paragraph" w:styleId="Textoindependiente">
    <w:name w:val="Body Text"/>
    <w:basedOn w:val="Normal"/>
    <w:link w:val="TextoindependienteCar"/>
    <w:rsid w:val="00B72A2C"/>
    <w:pPr>
      <w:suppressAutoHyphens/>
      <w:spacing w:after="140" w:line="276" w:lineRule="auto"/>
    </w:pPr>
    <w:rPr>
      <w:rFonts w:ascii="Liberation Serif" w:eastAsia="Noto Serif CJK SC" w:hAnsi="Liberation Serif" w:cs="Lucida Sans"/>
      <w:kern w:val="2"/>
      <w:lang w:val="es-ES" w:eastAsia="zh-CN" w:bidi="hi-IN"/>
    </w:rPr>
  </w:style>
  <w:style w:type="character" w:customStyle="1" w:styleId="TextoindependienteCar">
    <w:name w:val="Texto independiente Car"/>
    <w:basedOn w:val="Fuentedeprrafopredeter"/>
    <w:link w:val="Textoindependiente"/>
    <w:rsid w:val="00B72A2C"/>
    <w:rPr>
      <w:rFonts w:ascii="Liberation Serif" w:eastAsia="Noto Serif CJK SC" w:hAnsi="Liberation Serif" w:cs="Lucida Sans"/>
      <w:kern w:val="2"/>
      <w:sz w:val="24"/>
      <w:szCs w:val="24"/>
      <w:lang w:val="es-ES" w:eastAsia="zh-CN" w:bidi="hi-IN"/>
    </w:rPr>
  </w:style>
  <w:style w:type="paragraph" w:styleId="Lista">
    <w:name w:val="List"/>
    <w:basedOn w:val="Textoindependiente"/>
    <w:rsid w:val="00B72A2C"/>
  </w:style>
  <w:style w:type="paragraph" w:styleId="Descripcin">
    <w:name w:val="caption"/>
    <w:basedOn w:val="Normal"/>
    <w:qFormat/>
    <w:rsid w:val="00B72A2C"/>
    <w:pPr>
      <w:suppressLineNumbers/>
      <w:suppressAutoHyphens/>
      <w:spacing w:before="120" w:after="120"/>
    </w:pPr>
    <w:rPr>
      <w:rFonts w:ascii="Liberation Serif" w:eastAsia="Noto Serif CJK SC" w:hAnsi="Liberation Serif" w:cs="Lucida Sans"/>
      <w:i/>
      <w:iCs/>
      <w:kern w:val="2"/>
      <w:lang w:val="es-ES" w:eastAsia="zh-CN" w:bidi="hi-IN"/>
    </w:rPr>
  </w:style>
  <w:style w:type="paragraph" w:customStyle="1" w:styleId="ndice">
    <w:name w:val="Índice"/>
    <w:basedOn w:val="Normal"/>
    <w:rsid w:val="00B72A2C"/>
    <w:pPr>
      <w:suppressLineNumbers/>
      <w:suppressAutoHyphens/>
    </w:pPr>
    <w:rPr>
      <w:rFonts w:ascii="Liberation Serif" w:eastAsia="Noto Serif CJK SC" w:hAnsi="Liberation Serif" w:cs="Lucida Sans"/>
      <w:kern w:val="2"/>
      <w:lang w:val="es-ES" w:eastAsia="zh-CN" w:bidi="hi-IN"/>
    </w:rPr>
  </w:style>
  <w:style w:type="paragraph" w:customStyle="1" w:styleId="Sinespaciado1">
    <w:name w:val="Sin espaciado1"/>
    <w:rsid w:val="00B72A2C"/>
    <w:pPr>
      <w:suppressAutoHyphens/>
    </w:pPr>
    <w:rPr>
      <w:kern w:val="2"/>
      <w:sz w:val="24"/>
      <w:szCs w:val="24"/>
      <w:lang w:val="es-ES" w:eastAsia="es-ES" w:bidi="hi-IN"/>
    </w:rPr>
  </w:style>
  <w:style w:type="paragraph" w:styleId="Sinespaciado">
    <w:name w:val="No Spacing"/>
    <w:uiPriority w:val="1"/>
    <w:qFormat/>
    <w:rsid w:val="00B72A2C"/>
    <w:rPr>
      <w:rFonts w:ascii="Calibri" w:eastAsia="Calibri" w:hAnsi="Calibri"/>
      <w:sz w:val="22"/>
      <w:szCs w:val="22"/>
      <w:lang w:val="es-ES" w:eastAsia="en-US"/>
    </w:rPr>
  </w:style>
  <w:style w:type="paragraph" w:styleId="Prrafodelista">
    <w:name w:val="List Paragraph"/>
    <w:basedOn w:val="Normal"/>
    <w:uiPriority w:val="34"/>
    <w:qFormat/>
    <w:rsid w:val="00B72A2C"/>
    <w:pPr>
      <w:spacing w:after="200" w:line="276" w:lineRule="auto"/>
      <w:ind w:left="720"/>
      <w:contextualSpacing/>
    </w:pPr>
    <w:rPr>
      <w:rFonts w:ascii="Calibri" w:eastAsia="Calibri" w:hAnsi="Calibri"/>
      <w:sz w:val="22"/>
      <w:szCs w:val="22"/>
      <w:lang w:val="es-ES" w:eastAsia="en-US"/>
    </w:rPr>
  </w:style>
  <w:style w:type="paragraph" w:styleId="HTMLconformatoprevio">
    <w:name w:val="HTML Preformatted"/>
    <w:basedOn w:val="Normal"/>
    <w:link w:val="HTMLconformatoprevioCar"/>
    <w:uiPriority w:val="99"/>
    <w:unhideWhenUsed/>
    <w:rsid w:val="00B72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B72A2C"/>
    <w:rPr>
      <w:rFonts w:ascii="Courier New" w:hAnsi="Courier New" w:cs="Courier New"/>
      <w:lang w:val="es-ES" w:eastAsia="es-ES"/>
    </w:rPr>
  </w:style>
  <w:style w:type="character" w:customStyle="1" w:styleId="y2iqfc">
    <w:name w:val="y2iqfc"/>
    <w:basedOn w:val="Fuentedeprrafopredeter"/>
    <w:rsid w:val="00B72A2C"/>
  </w:style>
  <w:style w:type="character" w:customStyle="1" w:styleId="orcid-id">
    <w:name w:val="orcid-id"/>
    <w:basedOn w:val="Fuentedeprrafopredeter"/>
    <w:rsid w:val="00B72A2C"/>
  </w:style>
  <w:style w:type="table" w:styleId="Listaclara-nfasis3">
    <w:name w:val="Light List Accent 3"/>
    <w:basedOn w:val="Tablanormal"/>
    <w:uiPriority w:val="61"/>
    <w:rsid w:val="00B72A2C"/>
    <w:rPr>
      <w:rFonts w:ascii="Calibri" w:hAnsi="Calibri"/>
      <w:sz w:val="22"/>
      <w:szCs w:val="22"/>
      <w:lang w:val="es-E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Refdecomentario">
    <w:name w:val="annotation reference"/>
    <w:uiPriority w:val="99"/>
    <w:semiHidden/>
    <w:unhideWhenUsed/>
    <w:rsid w:val="00B72A2C"/>
    <w:rPr>
      <w:sz w:val="16"/>
      <w:szCs w:val="16"/>
    </w:rPr>
  </w:style>
  <w:style w:type="paragraph" w:styleId="Textocomentario">
    <w:name w:val="annotation text"/>
    <w:basedOn w:val="Normal"/>
    <w:link w:val="TextocomentarioCar"/>
    <w:uiPriority w:val="99"/>
    <w:unhideWhenUsed/>
    <w:rsid w:val="00B72A2C"/>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B72A2C"/>
    <w:rPr>
      <w:rFonts w:ascii="Calibri" w:eastAsia="Calibri" w:hAnsi="Calibri"/>
      <w:lang w:val="es-ES" w:eastAsia="en-US"/>
    </w:rPr>
  </w:style>
  <w:style w:type="character" w:customStyle="1" w:styleId="nlmstring-name">
    <w:name w:val="nlm_string-name"/>
    <w:basedOn w:val="Fuentedeprrafopredeter"/>
    <w:rsid w:val="00B72A2C"/>
  </w:style>
  <w:style w:type="paragraph" w:customStyle="1" w:styleId="Default">
    <w:name w:val="Default"/>
    <w:rsid w:val="00B72A2C"/>
    <w:pPr>
      <w:autoSpaceDE w:val="0"/>
      <w:autoSpaceDN w:val="0"/>
      <w:adjustRightInd w:val="0"/>
    </w:pPr>
    <w:rPr>
      <w:rFonts w:eastAsia="Calibri"/>
      <w:color w:val="000000"/>
      <w:sz w:val="24"/>
      <w:szCs w:val="24"/>
      <w:lang w:val="es-VE" w:eastAsia="en-US"/>
    </w:rPr>
  </w:style>
  <w:style w:type="paragraph" w:styleId="Asuntodelcomentario">
    <w:name w:val="annotation subject"/>
    <w:basedOn w:val="Textocomentario"/>
    <w:next w:val="Textocomentario"/>
    <w:link w:val="AsuntodelcomentarioCar"/>
    <w:uiPriority w:val="99"/>
    <w:semiHidden/>
    <w:unhideWhenUsed/>
    <w:rsid w:val="00B72A2C"/>
    <w:pPr>
      <w:suppressAutoHyphens/>
      <w:spacing w:after="0"/>
    </w:pPr>
    <w:rPr>
      <w:rFonts w:ascii="Liberation Serif" w:eastAsia="Noto Serif CJK SC" w:hAnsi="Liberation Serif" w:cs="Mangal"/>
      <w:b/>
      <w:bCs/>
      <w:kern w:val="2"/>
      <w:szCs w:val="18"/>
      <w:lang w:eastAsia="zh-CN" w:bidi="hi-IN"/>
    </w:rPr>
  </w:style>
  <w:style w:type="character" w:customStyle="1" w:styleId="AsuntodelcomentarioCar">
    <w:name w:val="Asunto del comentario Car"/>
    <w:basedOn w:val="TextocomentarioCar"/>
    <w:link w:val="Asuntodelcomentario"/>
    <w:uiPriority w:val="99"/>
    <w:semiHidden/>
    <w:rsid w:val="00B72A2C"/>
    <w:rPr>
      <w:rFonts w:ascii="Liberation Serif" w:eastAsia="Noto Serif CJK SC" w:hAnsi="Liberation Serif" w:cs="Mangal"/>
      <w:b/>
      <w:bCs/>
      <w:kern w:val="2"/>
      <w:szCs w:val="18"/>
      <w:lang w:val="es-ES" w:eastAsia="zh-CN" w:bidi="hi-IN"/>
    </w:rPr>
  </w:style>
  <w:style w:type="character" w:styleId="Textoennegrita">
    <w:name w:val="Strong"/>
    <w:uiPriority w:val="22"/>
    <w:qFormat/>
    <w:rsid w:val="00B72A2C"/>
    <w:rPr>
      <w:b/>
      <w:bCs/>
    </w:rPr>
  </w:style>
  <w:style w:type="character" w:customStyle="1" w:styleId="docsum-authors">
    <w:name w:val="docsum-authors"/>
    <w:basedOn w:val="Fuentedeprrafopredeter"/>
    <w:rsid w:val="00B72A2C"/>
  </w:style>
  <w:style w:type="character" w:customStyle="1" w:styleId="docsum-journal-citation">
    <w:name w:val="docsum-journal-citation"/>
    <w:basedOn w:val="Fuentedeprrafopredeter"/>
    <w:rsid w:val="00B72A2C"/>
  </w:style>
  <w:style w:type="character" w:customStyle="1" w:styleId="id-label">
    <w:name w:val="id-label"/>
    <w:basedOn w:val="Fuentedeprrafopredeter"/>
    <w:rsid w:val="00B72A2C"/>
  </w:style>
  <w:style w:type="character" w:customStyle="1" w:styleId="A3">
    <w:name w:val="A3"/>
    <w:uiPriority w:val="99"/>
    <w:rsid w:val="00B72A2C"/>
    <w:rPr>
      <w:rFonts w:ascii="ZapfHumnst BT" w:hAnsi="ZapfHumnst BT" w:cs="ZapfHumnst BT"/>
      <w:i/>
      <w:iCs/>
      <w:color w:val="000000"/>
      <w:sz w:val="11"/>
      <w:szCs w:val="11"/>
    </w:rPr>
  </w:style>
  <w:style w:type="character" w:customStyle="1" w:styleId="A12">
    <w:name w:val="A12"/>
    <w:uiPriority w:val="99"/>
    <w:rsid w:val="00B72A2C"/>
    <w:rPr>
      <w:rFonts w:cs="Frutiger-Roman"/>
      <w:color w:val="000000"/>
      <w:sz w:val="12"/>
      <w:szCs w:val="12"/>
    </w:rPr>
  </w:style>
  <w:style w:type="character" w:customStyle="1" w:styleId="journalname">
    <w:name w:val="journalname"/>
    <w:basedOn w:val="Fuentedeprrafopredeter"/>
    <w:rsid w:val="00B72A2C"/>
  </w:style>
  <w:style w:type="character" w:customStyle="1" w:styleId="year">
    <w:name w:val="year"/>
    <w:basedOn w:val="Fuentedeprrafopredeter"/>
    <w:rsid w:val="00B72A2C"/>
  </w:style>
  <w:style w:type="character" w:customStyle="1" w:styleId="volume">
    <w:name w:val="volume"/>
    <w:basedOn w:val="Fuentedeprrafopredeter"/>
    <w:rsid w:val="00B72A2C"/>
  </w:style>
  <w:style w:type="character" w:customStyle="1" w:styleId="issue">
    <w:name w:val="issue"/>
    <w:basedOn w:val="Fuentedeprrafopredeter"/>
    <w:rsid w:val="00B72A2C"/>
  </w:style>
  <w:style w:type="character" w:customStyle="1" w:styleId="page">
    <w:name w:val="page"/>
    <w:basedOn w:val="Fuentedeprrafopredeter"/>
    <w:rsid w:val="00B72A2C"/>
  </w:style>
  <w:style w:type="character" w:customStyle="1" w:styleId="doi">
    <w:name w:val="doi"/>
    <w:basedOn w:val="Fuentedeprrafopredeter"/>
    <w:rsid w:val="00B72A2C"/>
  </w:style>
  <w:style w:type="character" w:customStyle="1" w:styleId="markedcontent">
    <w:name w:val="markedcontent"/>
    <w:basedOn w:val="Fuentedeprrafopredeter"/>
    <w:rsid w:val="00B72A2C"/>
  </w:style>
  <w:style w:type="character" w:styleId="nfasis">
    <w:name w:val="Emphasis"/>
    <w:uiPriority w:val="20"/>
    <w:qFormat/>
    <w:rsid w:val="00B72A2C"/>
    <w:rPr>
      <w:i/>
      <w:iCs/>
    </w:rPr>
  </w:style>
  <w:style w:type="character" w:customStyle="1" w:styleId="authors-list-item">
    <w:name w:val="authors-list-item"/>
    <w:basedOn w:val="Fuentedeprrafopredeter"/>
    <w:rsid w:val="00B72A2C"/>
  </w:style>
  <w:style w:type="character" w:customStyle="1" w:styleId="comma">
    <w:name w:val="comma"/>
    <w:basedOn w:val="Fuentedeprrafopredeter"/>
    <w:rsid w:val="00B72A2C"/>
  </w:style>
  <w:style w:type="character" w:customStyle="1" w:styleId="author-sup-separator">
    <w:name w:val="author-sup-separator"/>
    <w:basedOn w:val="Fuentedeprrafopredeter"/>
    <w:rsid w:val="00B72A2C"/>
  </w:style>
  <w:style w:type="character" w:styleId="CitaHTML">
    <w:name w:val="HTML Cite"/>
    <w:uiPriority w:val="99"/>
    <w:semiHidden/>
    <w:unhideWhenUsed/>
    <w:rsid w:val="00B72A2C"/>
    <w:rPr>
      <w:i/>
      <w:iCs/>
    </w:rPr>
  </w:style>
  <w:style w:type="table" w:customStyle="1" w:styleId="Sombreadoclaro-nfasis11">
    <w:name w:val="Sombreado claro - Énfasis 11"/>
    <w:basedOn w:val="Tablanormal"/>
    <w:uiPriority w:val="60"/>
    <w:rsid w:val="00B72A2C"/>
    <w:rPr>
      <w:rFonts w:ascii="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ncinsinresolver1">
    <w:name w:val="Mención sin resolver1"/>
    <w:uiPriority w:val="99"/>
    <w:semiHidden/>
    <w:unhideWhenUsed/>
    <w:rsid w:val="00B72A2C"/>
    <w:rPr>
      <w:color w:val="605E5C"/>
      <w:shd w:val="clear" w:color="auto" w:fill="E1DFDD"/>
    </w:rPr>
  </w:style>
  <w:style w:type="character" w:customStyle="1" w:styleId="Hipervnculovisitado1">
    <w:name w:val="Hipervínculo visitado1"/>
    <w:uiPriority w:val="99"/>
    <w:semiHidden/>
    <w:unhideWhenUsed/>
    <w:rsid w:val="00B72A2C"/>
    <w:rPr>
      <w:color w:val="800080"/>
      <w:u w:val="single"/>
    </w:rPr>
  </w:style>
  <w:style w:type="character" w:customStyle="1" w:styleId="Mencinsinresolver2">
    <w:name w:val="Mención sin resolver2"/>
    <w:uiPriority w:val="99"/>
    <w:semiHidden/>
    <w:unhideWhenUsed/>
    <w:rsid w:val="00B72A2C"/>
    <w:rPr>
      <w:color w:val="605E5C"/>
      <w:shd w:val="clear" w:color="auto" w:fill="E1DFDD"/>
    </w:rPr>
  </w:style>
  <w:style w:type="paragraph" w:styleId="Revisin">
    <w:name w:val="Revision"/>
    <w:hidden/>
    <w:uiPriority w:val="99"/>
    <w:semiHidden/>
    <w:rsid w:val="00B72A2C"/>
    <w:rPr>
      <w:rFonts w:ascii="Liberation Serif" w:eastAsia="Noto Serif CJK SC" w:hAnsi="Liberation Serif" w:cs="Mangal"/>
      <w:kern w:val="2"/>
      <w:sz w:val="24"/>
      <w:szCs w:val="21"/>
      <w:lang w:val="es-ES" w:eastAsia="zh-CN" w:bidi="hi-IN"/>
    </w:rPr>
  </w:style>
  <w:style w:type="character" w:styleId="Textodelmarcadordeposicin">
    <w:name w:val="Placeholder Text"/>
    <w:uiPriority w:val="99"/>
    <w:semiHidden/>
    <w:rsid w:val="00B72A2C"/>
    <w:rPr>
      <w:color w:val="808080"/>
    </w:rPr>
  </w:style>
  <w:style w:type="character" w:styleId="Mencinsinresolver">
    <w:name w:val="Unresolved Mention"/>
    <w:uiPriority w:val="99"/>
    <w:semiHidden/>
    <w:unhideWhenUsed/>
    <w:rsid w:val="00B72A2C"/>
    <w:rPr>
      <w:color w:val="605E5C"/>
      <w:shd w:val="clear" w:color="auto" w:fill="E1DFDD"/>
    </w:rPr>
  </w:style>
  <w:style w:type="character" w:styleId="Hipervnculovisitado">
    <w:name w:val="FollowedHyperlink"/>
    <w:basedOn w:val="Fuentedeprrafopredeter"/>
    <w:semiHidden/>
    <w:unhideWhenUsed/>
    <w:rsid w:val="00B72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819-0657" TargetMode="External"/><Relationship Id="rId13" Type="http://schemas.openxmlformats.org/officeDocument/2006/relationships/hyperlink" Target="mailto:jualped.grm@infomed.sld.cu" TargetMode="External"/><Relationship Id="rId18" Type="http://schemas.openxmlformats.org/officeDocument/2006/relationships/hyperlink" Target="http://www.revcorsalud.sld.cu/index.php/cors/article/view/392/79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revcardiologia.sld.cu/index.php/revcardiologia/article/view/679" TargetMode="External"/><Relationship Id="rId7" Type="http://schemas.openxmlformats.org/officeDocument/2006/relationships/hyperlink" Target="https://orcid.org/0000-0002-6626-0484" TargetMode="External"/><Relationship Id="rId12" Type="http://schemas.openxmlformats.org/officeDocument/2006/relationships/hyperlink" Target="https://orcid.org/0000-0002-4686-0474" TargetMode="External"/><Relationship Id="rId17" Type="http://schemas.openxmlformats.org/officeDocument/2006/relationships/hyperlink" Target="http://revcardiologia.sld.cu/index.php/revcardiologia/article/view/109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iles.sld.cu/bvscuba/files/2020/05/Anuario-Electr%C3%B3nico-Espa%C3%B1ol-2019-ed-2020.pdf" TargetMode="External"/><Relationship Id="rId20" Type="http://schemas.openxmlformats.org/officeDocument/2006/relationships/hyperlink" Target="http://scielo.sld.cu/scielo.php?script=sci_arttext&amp;pid=S1729-519X2018000200008&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749-568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secardiologia.es/comunicacion/notas-de-prensa/notas-de-prensa-sec/6502-tratamiento-oncologico-triplica-riesgo-de-complicaciones-cardiovasculares" TargetMode="External"/><Relationship Id="rId28" Type="http://schemas.openxmlformats.org/officeDocument/2006/relationships/theme" Target="theme/theme1.xml"/><Relationship Id="rId10" Type="http://schemas.openxmlformats.org/officeDocument/2006/relationships/hyperlink" Target="https://orcid.org/0000-0002-7888-1704" TargetMode="External"/><Relationship Id="rId19" Type="http://schemas.openxmlformats.org/officeDocument/2006/relationships/hyperlink" Target="http://www.revcorsalud.sld.cu/index.php/cors/article/view/295/635" TargetMode="External"/><Relationship Id="rId4" Type="http://schemas.openxmlformats.org/officeDocument/2006/relationships/webSettings" Target="webSettings.xml"/><Relationship Id="rId9" Type="http://schemas.openxmlformats.org/officeDocument/2006/relationships/hyperlink" Target="https://orcid.org/0000-0002-0264-0971" TargetMode="External"/><Relationship Id="rId14" Type="http://schemas.openxmlformats.org/officeDocument/2006/relationships/image" Target="media/image2.png"/><Relationship Id="rId22" Type="http://schemas.openxmlformats.org/officeDocument/2006/relationships/hyperlink" Target="http://hdl.handle.net/10486/692393"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17</Pages>
  <Words>4722</Words>
  <Characters>25977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30638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2022-08-15T20:03:00Z</cp:lastPrinted>
  <dcterms:created xsi:type="dcterms:W3CDTF">2022-08-15T19:54:00Z</dcterms:created>
  <dcterms:modified xsi:type="dcterms:W3CDTF">2022-08-15T20:04:00Z</dcterms:modified>
</cp:coreProperties>
</file>