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B66C" w14:textId="77777777" w:rsidR="000E4BEA" w:rsidRPr="000E4BEA" w:rsidRDefault="000E4BEA" w:rsidP="000E4BEA">
      <w:pPr>
        <w:spacing w:line="360" w:lineRule="auto"/>
        <w:contextualSpacing/>
        <w:jc w:val="right"/>
        <w:rPr>
          <w:rFonts w:eastAsia="Calibri"/>
          <w:sz w:val="20"/>
          <w:szCs w:val="20"/>
          <w:lang w:val="en-US" w:eastAsia="en-US"/>
        </w:rPr>
      </w:pPr>
      <w:r w:rsidRPr="000E4BEA">
        <w:rPr>
          <w:rFonts w:eastAsia="Calibri"/>
          <w:sz w:val="20"/>
          <w:szCs w:val="20"/>
          <w:lang w:val="en-US" w:eastAsia="en-US"/>
        </w:rPr>
        <w:t>Research Article</w:t>
      </w:r>
    </w:p>
    <w:p w14:paraId="3AD92281" w14:textId="77777777" w:rsidR="000E4BEA" w:rsidRPr="000E4BEA" w:rsidRDefault="000E4BEA" w:rsidP="000E4BEA">
      <w:pPr>
        <w:spacing w:line="360" w:lineRule="auto"/>
        <w:contextualSpacing/>
        <w:jc w:val="center"/>
        <w:rPr>
          <w:rFonts w:eastAsia="Calibri"/>
          <w:b/>
          <w:sz w:val="28"/>
          <w:szCs w:val="28"/>
          <w:lang w:val="en-US" w:eastAsia="en-US"/>
        </w:rPr>
      </w:pPr>
    </w:p>
    <w:p w14:paraId="370D7D77" w14:textId="77777777" w:rsidR="000E4BEA" w:rsidRPr="000E4BEA" w:rsidRDefault="000E4BEA" w:rsidP="000E4BEA">
      <w:pPr>
        <w:spacing w:line="360" w:lineRule="auto"/>
        <w:contextualSpacing/>
        <w:jc w:val="center"/>
        <w:rPr>
          <w:rFonts w:eastAsia="Calibri"/>
          <w:b/>
          <w:sz w:val="28"/>
          <w:szCs w:val="28"/>
          <w:lang w:val="en-US" w:eastAsia="en-US"/>
        </w:rPr>
      </w:pPr>
      <w:r w:rsidRPr="000E4BEA">
        <w:rPr>
          <w:rFonts w:eastAsia="Calibri"/>
          <w:b/>
          <w:sz w:val="28"/>
          <w:szCs w:val="28"/>
          <w:lang w:val="en-US" w:eastAsia="en-US"/>
        </w:rPr>
        <w:t>Evaluation of anthropometric indices as predictors of metabolic syndrome: 3-year cohort in Ecuadorian military personnel</w:t>
      </w:r>
    </w:p>
    <w:p w14:paraId="1B930677" w14:textId="77777777" w:rsidR="000E4BEA" w:rsidRPr="000E4BEA" w:rsidRDefault="000E4BEA" w:rsidP="000E4BEA">
      <w:pPr>
        <w:spacing w:line="360" w:lineRule="auto"/>
        <w:contextualSpacing/>
        <w:jc w:val="center"/>
        <w:rPr>
          <w:rFonts w:eastAsia="Calibri"/>
          <w:sz w:val="28"/>
          <w:szCs w:val="28"/>
          <w:lang w:val="es-EC" w:eastAsia="en-US"/>
        </w:rPr>
      </w:pPr>
      <w:r w:rsidRPr="000E4BEA">
        <w:rPr>
          <w:rFonts w:eastAsia="Calibri"/>
          <w:sz w:val="28"/>
          <w:szCs w:val="28"/>
          <w:lang w:val="es-EC" w:eastAsia="en-US"/>
        </w:rPr>
        <w:t>Evaluación de índices antropométricos como predictores de síndrome metabólico: cohorte de 3 años en personal militar ecuatoriano</w:t>
      </w:r>
    </w:p>
    <w:p w14:paraId="726BBA9A" w14:textId="77777777" w:rsidR="000E4BEA" w:rsidRPr="000E4BEA" w:rsidRDefault="000E4BEA" w:rsidP="000E4BEA">
      <w:pPr>
        <w:spacing w:line="360" w:lineRule="auto"/>
        <w:contextualSpacing/>
        <w:jc w:val="center"/>
        <w:rPr>
          <w:rFonts w:eastAsia="Calibri"/>
          <w:lang w:val="es-EC" w:eastAsia="en-US"/>
        </w:rPr>
      </w:pPr>
    </w:p>
    <w:p w14:paraId="29E288B4" w14:textId="77777777" w:rsidR="000E4BEA" w:rsidRPr="000E4BEA" w:rsidRDefault="000E4BEA" w:rsidP="000E4BEA">
      <w:pPr>
        <w:spacing w:line="360" w:lineRule="auto"/>
        <w:contextualSpacing/>
        <w:rPr>
          <w:rFonts w:eastAsia="Calibri"/>
          <w:lang w:val="en-US" w:eastAsia="en-US"/>
        </w:rPr>
      </w:pPr>
      <w:r w:rsidRPr="000E4BEA">
        <w:rPr>
          <w:rFonts w:eastAsia="Calibri"/>
          <w:lang w:val="en-US" w:eastAsia="en-US"/>
        </w:rPr>
        <w:t xml:space="preserve">German </w:t>
      </w:r>
      <w:proofErr w:type="spellStart"/>
      <w:r w:rsidRPr="000E4BEA">
        <w:rPr>
          <w:rFonts w:eastAsia="Calibri"/>
          <w:lang w:val="en-US" w:eastAsia="en-US"/>
        </w:rPr>
        <w:t>Geovanny</w:t>
      </w:r>
      <w:proofErr w:type="spellEnd"/>
      <w:r w:rsidRPr="000E4BEA">
        <w:rPr>
          <w:rFonts w:eastAsia="Calibri"/>
          <w:lang w:val="en-US" w:eastAsia="en-US"/>
        </w:rPr>
        <w:t xml:space="preserve"> Muñoz Gualán</w:t>
      </w:r>
      <w:r w:rsidRPr="000E4BEA">
        <w:rPr>
          <w:rFonts w:eastAsia="Calibri"/>
          <w:vertAlign w:val="superscript"/>
          <w:lang w:val="en-US" w:eastAsia="en-US"/>
        </w:rPr>
        <w:t>1</w:t>
      </w:r>
      <w:r w:rsidRPr="000E4BEA">
        <w:rPr>
          <w:rFonts w:eastAsia="Calibri"/>
          <w:lang w:val="en-US" w:eastAsia="en-US"/>
        </w:rPr>
        <w:t xml:space="preserve">* </w:t>
      </w:r>
      <w:hyperlink r:id="rId7" w:tgtFrame="_blank" w:history="1">
        <w:r w:rsidRPr="000E4BEA">
          <w:rPr>
            <w:rFonts w:eastAsia="Calibri"/>
            <w:color w:val="0000FF"/>
            <w:u w:val="single"/>
            <w:lang w:val="en-US" w:eastAsia="en-US"/>
          </w:rPr>
          <w:t>https://orcid.org/0000-0002-2217-1412</w:t>
        </w:r>
      </w:hyperlink>
    </w:p>
    <w:p w14:paraId="72A32473" w14:textId="77777777" w:rsidR="000E4BEA" w:rsidRPr="000E4BEA" w:rsidRDefault="000E4BEA" w:rsidP="000E4BEA">
      <w:pPr>
        <w:spacing w:line="360" w:lineRule="auto"/>
        <w:rPr>
          <w:rFonts w:eastAsia="Calibri"/>
          <w:lang w:val="es-ES" w:eastAsia="en-US"/>
        </w:rPr>
      </w:pPr>
      <w:r w:rsidRPr="000E4BEA">
        <w:rPr>
          <w:lang w:val="es-ES" w:eastAsia="es-ES"/>
        </w:rPr>
        <w:t>Alberth Patricio Muñoz Gualán</w:t>
      </w:r>
      <w:r w:rsidRPr="000E4BEA">
        <w:rPr>
          <w:vertAlign w:val="superscript"/>
          <w:lang w:val="es-ES" w:eastAsia="es-ES"/>
        </w:rPr>
        <w:t>2</w:t>
      </w:r>
      <w:r w:rsidRPr="000E4BEA">
        <w:rPr>
          <w:lang w:val="es-ES" w:eastAsia="es-ES"/>
        </w:rPr>
        <w:t xml:space="preserve"> </w:t>
      </w:r>
      <w:hyperlink r:id="rId8" w:tgtFrame="_blank" w:history="1">
        <w:r w:rsidRPr="000E4BEA">
          <w:rPr>
            <w:color w:val="0000FF"/>
            <w:u w:val="single"/>
            <w:lang w:val="es-ES" w:eastAsia="es-ES"/>
          </w:rPr>
          <w:t>https://orcid.org/0000-0002-3822-6326</w:t>
        </w:r>
      </w:hyperlink>
    </w:p>
    <w:p w14:paraId="77BA3F6B" w14:textId="77777777" w:rsidR="000E4BEA" w:rsidRPr="000E4BEA" w:rsidRDefault="000E4BEA" w:rsidP="000E4BEA">
      <w:pPr>
        <w:spacing w:line="360" w:lineRule="auto"/>
        <w:contextualSpacing/>
        <w:rPr>
          <w:rFonts w:eastAsia="Calibri"/>
          <w:vertAlign w:val="superscript"/>
          <w:lang w:val="es-CU" w:eastAsia="en-US"/>
        </w:rPr>
      </w:pPr>
    </w:p>
    <w:p w14:paraId="3F1FDE96" w14:textId="77777777" w:rsidR="000E4BEA" w:rsidRPr="000E4BEA" w:rsidRDefault="000E4BEA" w:rsidP="000E4BEA">
      <w:pPr>
        <w:spacing w:line="360" w:lineRule="auto"/>
        <w:contextualSpacing/>
        <w:rPr>
          <w:rFonts w:eastAsia="Calibri"/>
          <w:lang w:val="en-US" w:eastAsia="en-US"/>
        </w:rPr>
      </w:pPr>
      <w:r w:rsidRPr="000E4BEA">
        <w:rPr>
          <w:rFonts w:eastAsia="Calibri"/>
          <w:vertAlign w:val="superscript"/>
          <w:lang w:val="es-CU" w:eastAsia="en-US"/>
        </w:rPr>
        <w:t>1</w:t>
      </w:r>
      <w:r w:rsidRPr="000E4BEA">
        <w:rPr>
          <w:rFonts w:eastAsia="Calibri"/>
          <w:lang w:val="es-CU" w:eastAsia="en-US"/>
        </w:rPr>
        <w:t xml:space="preserve">Universidad de las Fuerzas Armadas de Ecuador – ESPE. </w:t>
      </w:r>
      <w:proofErr w:type="spellStart"/>
      <w:r w:rsidRPr="000E4BEA">
        <w:rPr>
          <w:rFonts w:eastAsia="Calibri"/>
          <w:lang w:val="en-US" w:eastAsia="en-US"/>
        </w:rPr>
        <w:t>Salgolquí</w:t>
      </w:r>
      <w:proofErr w:type="spellEnd"/>
      <w:r w:rsidRPr="000E4BEA">
        <w:rPr>
          <w:rFonts w:eastAsia="Calibri"/>
          <w:lang w:val="en-US" w:eastAsia="en-US"/>
        </w:rPr>
        <w:t>, Ecuador.</w:t>
      </w:r>
    </w:p>
    <w:p w14:paraId="44AAFDEE" w14:textId="77777777" w:rsidR="000E4BEA" w:rsidRPr="000E4BEA" w:rsidRDefault="000E4BEA" w:rsidP="000E4BEA">
      <w:pPr>
        <w:spacing w:line="360" w:lineRule="auto"/>
        <w:contextualSpacing/>
        <w:rPr>
          <w:rFonts w:eastAsia="Calibri"/>
          <w:lang w:val="en-US" w:eastAsia="en-US"/>
        </w:rPr>
      </w:pPr>
      <w:r w:rsidRPr="000E4BEA">
        <w:rPr>
          <w:rFonts w:eastAsia="Calibri"/>
          <w:vertAlign w:val="superscript"/>
          <w:lang w:val="en-US" w:eastAsia="en-US"/>
        </w:rPr>
        <w:t>2</w:t>
      </w:r>
      <w:r w:rsidRPr="000E4BEA">
        <w:rPr>
          <w:rFonts w:eastAsia="Calibri"/>
          <w:lang w:val="en-US" w:eastAsia="en-US"/>
        </w:rPr>
        <w:t>Peoples’ Friendship University of Russia. Moscow, Russia.</w:t>
      </w:r>
    </w:p>
    <w:p w14:paraId="6EDC5A57" w14:textId="77777777" w:rsidR="000E4BEA" w:rsidRPr="000E4BEA" w:rsidRDefault="000E4BEA" w:rsidP="000E4BEA">
      <w:pPr>
        <w:spacing w:line="360" w:lineRule="auto"/>
        <w:contextualSpacing/>
        <w:rPr>
          <w:rFonts w:eastAsia="Calibri"/>
          <w:lang w:val="en-US" w:eastAsia="en-US"/>
        </w:rPr>
      </w:pPr>
    </w:p>
    <w:p w14:paraId="1682B55E" w14:textId="77777777" w:rsidR="000E4BEA" w:rsidRPr="000E4BEA" w:rsidRDefault="000E4BEA" w:rsidP="000E4BEA">
      <w:pPr>
        <w:spacing w:line="360" w:lineRule="auto"/>
        <w:contextualSpacing/>
        <w:rPr>
          <w:rFonts w:eastAsia="Calibri"/>
          <w:lang w:val="en-US" w:eastAsia="en-US"/>
        </w:rPr>
      </w:pPr>
      <w:r w:rsidRPr="000E4BEA">
        <w:rPr>
          <w:rFonts w:eastAsia="Calibri"/>
          <w:lang w:val="en-US" w:eastAsia="en-US"/>
        </w:rPr>
        <w:t xml:space="preserve">*Author for correspondence. Email: </w:t>
      </w:r>
      <w:hyperlink r:id="rId9" w:history="1">
        <w:r w:rsidRPr="000E4BEA">
          <w:rPr>
            <w:rFonts w:eastAsia="Calibri"/>
            <w:color w:val="0000FF"/>
            <w:u w:val="single"/>
            <w:lang w:val="en-US" w:eastAsia="en-US"/>
          </w:rPr>
          <w:t>gergeomunoz1988@gmail.com</w:t>
        </w:r>
      </w:hyperlink>
    </w:p>
    <w:p w14:paraId="2F749112" w14:textId="77777777" w:rsidR="000E4BEA" w:rsidRPr="000E4BEA" w:rsidRDefault="000E4BEA" w:rsidP="000E4BEA">
      <w:pPr>
        <w:spacing w:line="360" w:lineRule="auto"/>
        <w:contextualSpacing/>
        <w:rPr>
          <w:rFonts w:eastAsia="Calibri"/>
          <w:sz w:val="28"/>
          <w:szCs w:val="28"/>
          <w:vertAlign w:val="superscript"/>
          <w:lang w:val="en-US" w:eastAsia="en-US"/>
        </w:rPr>
      </w:pPr>
    </w:p>
    <w:p w14:paraId="25EE22AD" w14:textId="77777777" w:rsidR="000E4BEA" w:rsidRPr="000E4BEA" w:rsidRDefault="000E4BEA" w:rsidP="000E4BEA">
      <w:pPr>
        <w:spacing w:line="360" w:lineRule="auto"/>
        <w:contextualSpacing/>
        <w:jc w:val="both"/>
        <w:rPr>
          <w:rFonts w:eastAsia="Calibri"/>
          <w:b/>
          <w:lang w:val="en-US" w:eastAsia="en-US"/>
        </w:rPr>
      </w:pPr>
      <w:r w:rsidRPr="000E4BEA">
        <w:rPr>
          <w:rFonts w:eastAsia="Calibri"/>
          <w:b/>
          <w:lang w:val="en-US" w:eastAsia="en-US"/>
        </w:rPr>
        <w:t>ABSTRACT</w:t>
      </w:r>
    </w:p>
    <w:p w14:paraId="3BB51719" w14:textId="77777777" w:rsidR="000E4BEA" w:rsidRPr="000E4BEA" w:rsidRDefault="000E4BEA" w:rsidP="000E4BEA">
      <w:pPr>
        <w:spacing w:line="360" w:lineRule="auto"/>
        <w:contextualSpacing/>
        <w:jc w:val="both"/>
        <w:rPr>
          <w:rFonts w:eastAsia="Calibri"/>
          <w:lang w:val="en-US" w:eastAsia="en-US"/>
        </w:rPr>
      </w:pPr>
      <w:r w:rsidRPr="000E4BEA">
        <w:rPr>
          <w:rFonts w:eastAsia="Calibri"/>
          <w:b/>
          <w:lang w:val="en-US" w:eastAsia="en-US"/>
        </w:rPr>
        <w:t xml:space="preserve">Introduction: </w:t>
      </w:r>
      <w:r w:rsidRPr="000E4BEA">
        <w:rPr>
          <w:rFonts w:eastAsia="Calibri"/>
          <w:lang w:val="en-US" w:eastAsia="en-US"/>
        </w:rPr>
        <w:t xml:space="preserve">The metabolic syndrome is a condition that predisposes to the development of cardiovascular and metabolic diseases, where the presence of altered blood pressure, insulin resistance, hyperglycemia, dyslipidemia and abdominal obesity is evaluated in order to know the risk of developing this disease. </w:t>
      </w:r>
    </w:p>
    <w:p w14:paraId="2D43E22A" w14:textId="77777777" w:rsidR="000E4BEA" w:rsidRPr="000E4BEA" w:rsidRDefault="000E4BEA" w:rsidP="000E4BEA">
      <w:pPr>
        <w:spacing w:line="360" w:lineRule="auto"/>
        <w:contextualSpacing/>
        <w:jc w:val="both"/>
        <w:rPr>
          <w:rFonts w:eastAsia="Calibri"/>
          <w:lang w:val="en-US" w:eastAsia="en-US"/>
        </w:rPr>
      </w:pPr>
      <w:r w:rsidRPr="000E4BEA">
        <w:rPr>
          <w:rFonts w:eastAsia="Calibri"/>
          <w:b/>
          <w:lang w:val="en-US" w:eastAsia="en-US"/>
        </w:rPr>
        <w:t>Objective:</w:t>
      </w:r>
      <w:r w:rsidRPr="000E4BEA">
        <w:rPr>
          <w:rFonts w:eastAsia="Calibri"/>
          <w:lang w:val="en-US" w:eastAsia="en-US"/>
        </w:rPr>
        <w:t xml:space="preserve"> To evaluate the anthropometric indices that predict the presence of developing metabolic syndrome in Ecuadorian military personnel. </w:t>
      </w:r>
    </w:p>
    <w:p w14:paraId="2048350F" w14:textId="77777777" w:rsidR="000E4BEA" w:rsidRPr="000E4BEA" w:rsidRDefault="000E4BEA" w:rsidP="000E4BEA">
      <w:pPr>
        <w:spacing w:line="360" w:lineRule="auto"/>
        <w:contextualSpacing/>
        <w:jc w:val="both"/>
        <w:rPr>
          <w:rFonts w:eastAsia="Calibri"/>
          <w:b/>
          <w:lang w:val="en-US" w:eastAsia="en-US"/>
        </w:rPr>
      </w:pPr>
      <w:r w:rsidRPr="000E4BEA">
        <w:rPr>
          <w:rFonts w:eastAsia="Calibri"/>
          <w:b/>
          <w:lang w:val="en-US" w:eastAsia="en-US"/>
        </w:rPr>
        <w:t>Methods:</w:t>
      </w:r>
      <w:r w:rsidRPr="000E4BEA">
        <w:rPr>
          <w:rFonts w:eastAsia="Calibri"/>
          <w:lang w:val="en-US" w:eastAsia="en-US"/>
        </w:rPr>
        <w:t xml:space="preserve"> The research work is quantitative, observational and longitudinal with a correlational scope, it was made analyzing the annual medical records of preventive medicine, in the military personnel of the Army Soldiers Training School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xml:space="preserve">", during a 3-year cohort from 2019 to 2021. </w:t>
      </w:r>
    </w:p>
    <w:p w14:paraId="0D284516" w14:textId="77777777" w:rsidR="000E4BEA" w:rsidRPr="000E4BEA" w:rsidRDefault="000E4BEA" w:rsidP="000E4BEA">
      <w:pPr>
        <w:spacing w:line="360" w:lineRule="auto"/>
        <w:contextualSpacing/>
        <w:jc w:val="both"/>
        <w:rPr>
          <w:rFonts w:eastAsia="Calibri"/>
          <w:lang w:val="en-US" w:eastAsia="en-US"/>
        </w:rPr>
      </w:pPr>
      <w:r w:rsidRPr="000E4BEA">
        <w:rPr>
          <w:rFonts w:eastAsia="Calibri"/>
          <w:b/>
          <w:lang w:val="en-US" w:eastAsia="en-US"/>
        </w:rPr>
        <w:t>Results:</w:t>
      </w:r>
      <w:r w:rsidRPr="000E4BEA">
        <w:rPr>
          <w:rFonts w:eastAsia="Calibri"/>
          <w:lang w:val="en-US" w:eastAsia="en-US"/>
        </w:rPr>
        <w:t xml:space="preserve"> The study shows an overweight military population, with a prevalence of metabolic syndrome: according to </w:t>
      </w:r>
      <w:proofErr w:type="spellStart"/>
      <w:r w:rsidRPr="000E4BEA">
        <w:rPr>
          <w:rFonts w:eastAsia="Calibri"/>
          <w:lang w:val="en-US" w:eastAsia="en-US"/>
        </w:rPr>
        <w:t>Asociación</w:t>
      </w:r>
      <w:proofErr w:type="spellEnd"/>
      <w:r w:rsidRPr="000E4BEA">
        <w:rPr>
          <w:rFonts w:eastAsia="Calibri"/>
          <w:lang w:val="en-US" w:eastAsia="en-US"/>
        </w:rPr>
        <w:t xml:space="preserve"> </w:t>
      </w:r>
      <w:proofErr w:type="spellStart"/>
      <w:r w:rsidRPr="000E4BEA">
        <w:rPr>
          <w:rFonts w:eastAsia="Calibri"/>
          <w:lang w:val="en-US" w:eastAsia="en-US"/>
        </w:rPr>
        <w:t>Latinoamericana</w:t>
      </w:r>
      <w:proofErr w:type="spellEnd"/>
      <w:r w:rsidRPr="000E4BEA">
        <w:rPr>
          <w:rFonts w:eastAsia="Calibri"/>
          <w:lang w:val="en-US" w:eastAsia="en-US"/>
        </w:rPr>
        <w:t xml:space="preserve"> de Diabetes</w:t>
      </w:r>
      <w:r w:rsidRPr="000E4BEA" w:rsidDel="008F3F13">
        <w:rPr>
          <w:rFonts w:eastAsia="Calibri"/>
          <w:lang w:val="en-US" w:eastAsia="en-US"/>
        </w:rPr>
        <w:t xml:space="preserve"> </w:t>
      </w:r>
      <w:r w:rsidRPr="000E4BEA">
        <w:rPr>
          <w:rFonts w:eastAsia="Calibri"/>
          <w:lang w:val="en-US" w:eastAsia="en-US"/>
        </w:rPr>
        <w:t xml:space="preserve">criteria of 1 %, 1.66 % and 0.76 %, in the years </w:t>
      </w:r>
      <w:r w:rsidRPr="000E4BEA">
        <w:rPr>
          <w:rFonts w:eastAsia="Calibri"/>
          <w:lang w:val="en-US" w:eastAsia="en-US"/>
        </w:rPr>
        <w:lastRenderedPageBreak/>
        <w:t>2019, 2020 and 2021 respectively; in contrast, according to Adult Treatment Panel III</w:t>
      </w:r>
      <w:r w:rsidRPr="000E4BEA" w:rsidDel="008F3F13">
        <w:rPr>
          <w:rFonts w:eastAsia="Calibri"/>
          <w:lang w:val="en-US" w:eastAsia="en-US"/>
        </w:rPr>
        <w:t xml:space="preserve"> </w:t>
      </w:r>
      <w:r w:rsidRPr="000E4BEA">
        <w:rPr>
          <w:rFonts w:eastAsia="Calibri"/>
          <w:lang w:val="en-US" w:eastAsia="en-US"/>
        </w:rPr>
        <w:t xml:space="preserve">criteria, with a prevalence of 6.67 %, 6.31 % and 5.70 % in the years 2019, 2020 and 2021 respectively. </w:t>
      </w:r>
    </w:p>
    <w:p w14:paraId="5CEF1F27" w14:textId="77777777" w:rsidR="000E4BEA" w:rsidRPr="000E4BEA" w:rsidRDefault="000E4BEA" w:rsidP="000E4BEA">
      <w:pPr>
        <w:spacing w:line="360" w:lineRule="auto"/>
        <w:contextualSpacing/>
        <w:jc w:val="both"/>
        <w:rPr>
          <w:rFonts w:eastAsia="Calibri"/>
          <w:lang w:val="en-US" w:eastAsia="en-US"/>
        </w:rPr>
      </w:pPr>
      <w:r w:rsidRPr="000E4BEA">
        <w:rPr>
          <w:rFonts w:eastAsia="Calibri"/>
          <w:b/>
          <w:lang w:val="en-US" w:eastAsia="en-US"/>
        </w:rPr>
        <w:t>Conclusions:</w:t>
      </w:r>
      <w:r w:rsidRPr="000E4BEA">
        <w:rPr>
          <w:rFonts w:eastAsia="Calibri"/>
          <w:lang w:val="en-US" w:eastAsia="en-US"/>
        </w:rPr>
        <w:t xml:space="preserve"> The anthropometric indices, such as the waist-height index, abdominal perimeter and body mass index significantly predict the development of metabolic syndrome in 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w:t>
      </w:r>
    </w:p>
    <w:p w14:paraId="5C8B03EB" w14:textId="77777777" w:rsidR="000E4BEA" w:rsidRPr="000E4BEA" w:rsidRDefault="000E4BEA" w:rsidP="000E4BEA">
      <w:pPr>
        <w:spacing w:line="360" w:lineRule="auto"/>
        <w:contextualSpacing/>
        <w:jc w:val="both"/>
        <w:rPr>
          <w:rFonts w:eastAsia="Calibri"/>
          <w:lang w:val="en-US" w:eastAsia="en-US"/>
        </w:rPr>
      </w:pPr>
      <w:r w:rsidRPr="000E4BEA">
        <w:rPr>
          <w:rFonts w:eastAsia="Calibri"/>
          <w:b/>
          <w:iCs/>
          <w:lang w:val="en-US" w:eastAsia="en-US"/>
        </w:rPr>
        <w:t xml:space="preserve">Keywords: </w:t>
      </w:r>
      <w:r w:rsidRPr="000E4BEA">
        <w:rPr>
          <w:rFonts w:eastAsia="Calibri"/>
          <w:lang w:val="en-US" w:eastAsia="en-US"/>
        </w:rPr>
        <w:t>metabolic syndrome; military personnel; anthropometric indices.</w:t>
      </w:r>
    </w:p>
    <w:p w14:paraId="5C2225A9" w14:textId="77777777" w:rsidR="000E4BEA" w:rsidRPr="000E4BEA" w:rsidRDefault="000E4BEA" w:rsidP="000E4BEA">
      <w:pPr>
        <w:spacing w:line="360" w:lineRule="auto"/>
        <w:contextualSpacing/>
        <w:jc w:val="both"/>
        <w:rPr>
          <w:rFonts w:eastAsia="Calibri"/>
          <w:b/>
          <w:highlight w:val="white"/>
          <w:lang w:val="en-US" w:eastAsia="en-US"/>
        </w:rPr>
      </w:pPr>
      <w:bookmarkStart w:id="0" w:name="_Toc93167353"/>
    </w:p>
    <w:p w14:paraId="250BB5B0" w14:textId="77777777" w:rsidR="000E4BEA" w:rsidRPr="000E4BEA" w:rsidRDefault="000E4BEA" w:rsidP="000E4BEA">
      <w:pPr>
        <w:spacing w:line="360" w:lineRule="auto"/>
        <w:contextualSpacing/>
        <w:jc w:val="both"/>
        <w:rPr>
          <w:rFonts w:eastAsia="Calibri"/>
          <w:b/>
          <w:lang w:val="es-EC" w:eastAsia="en-US"/>
        </w:rPr>
      </w:pPr>
      <w:r w:rsidRPr="000E4BEA">
        <w:rPr>
          <w:rFonts w:eastAsia="Calibri"/>
          <w:b/>
          <w:lang w:val="es-EC" w:eastAsia="en-US"/>
        </w:rPr>
        <w:t>RESUMEN</w:t>
      </w:r>
    </w:p>
    <w:p w14:paraId="4D45ECFD"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Introducción:</w:t>
      </w:r>
      <w:r w:rsidRPr="000E4BEA">
        <w:rPr>
          <w:rFonts w:eastAsia="Calibri"/>
          <w:bCs/>
          <w:lang w:val="es-EC" w:eastAsia="en-US"/>
        </w:rPr>
        <w:t xml:space="preserve"> El síndrome metabólico predispone al desarrollo de enfermedades cardiovasculares y metabólicas; en este se evalúa la presencia de presión arterial alterada, resistencia a la insulina, hiperglucemia, dislipidemia y obesidad abdominal, para conocer el riesgo de desarrollar esta enfermedad.</w:t>
      </w:r>
    </w:p>
    <w:p w14:paraId="0EA18DC4"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Objetivo:</w:t>
      </w:r>
      <w:r w:rsidRPr="000E4BEA">
        <w:rPr>
          <w:rFonts w:eastAsia="Calibri"/>
          <w:bCs/>
          <w:lang w:val="es-EC" w:eastAsia="en-US"/>
        </w:rPr>
        <w:t xml:space="preserve"> Evaluar los índices antropométricos que predicen la presencia de síndrome metabólico en desarrollo, en militares ecuatorianos.</w:t>
      </w:r>
    </w:p>
    <w:p w14:paraId="66C8423C"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Métodos:</w:t>
      </w:r>
      <w:r w:rsidRPr="000E4BEA">
        <w:rPr>
          <w:rFonts w:eastAsia="Calibri"/>
          <w:bCs/>
          <w:lang w:val="es-EC" w:eastAsia="en-US"/>
        </w:rPr>
        <w:t xml:space="preserve"> El trabajo de investigación es cuantitativo, observacional y longitudinal con alcance correlacional, se realizó analizando las historias clínicas anuales de medicina preventiva, en el personal militar de la Escuela de Formación de Soldados del Ejército “Vencedores del Cenepa”, en una cohorte de 3 años, de 2019 a 2021.</w:t>
      </w:r>
    </w:p>
    <w:p w14:paraId="2BA1F42E"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Resultados:</w:t>
      </w:r>
      <w:r w:rsidRPr="000E4BEA">
        <w:rPr>
          <w:rFonts w:eastAsia="Calibri"/>
          <w:bCs/>
          <w:lang w:val="es-EC" w:eastAsia="en-US"/>
        </w:rPr>
        <w:t xml:space="preserve"> El estudio muestra una población militar con sobrepeso, con la siguiente prevalencia de síndrome metabólico: según criterios de la Asociación </w:t>
      </w:r>
      <w:proofErr w:type="spellStart"/>
      <w:r w:rsidRPr="000E4BEA">
        <w:rPr>
          <w:rFonts w:eastAsia="Calibri"/>
          <w:bCs/>
          <w:lang w:val="es-EC" w:eastAsia="en-US"/>
        </w:rPr>
        <w:t>Lationoamericana</w:t>
      </w:r>
      <w:proofErr w:type="spellEnd"/>
      <w:r w:rsidRPr="000E4BEA">
        <w:rPr>
          <w:rFonts w:eastAsia="Calibri"/>
          <w:bCs/>
          <w:lang w:val="es-EC" w:eastAsia="en-US"/>
        </w:rPr>
        <w:t xml:space="preserve"> de Diabetes, de 1 %, 1,66 % y 0,76 %, en los años 2019, 2020 y 2021 respectivamente; en cambio, según criterios del </w:t>
      </w:r>
      <w:proofErr w:type="spellStart"/>
      <w:r w:rsidRPr="000E4BEA">
        <w:rPr>
          <w:rFonts w:eastAsia="Calibri"/>
          <w:bCs/>
          <w:i/>
          <w:iCs/>
          <w:lang w:val="es-EC" w:eastAsia="en-US"/>
        </w:rPr>
        <w:t>Adult</w:t>
      </w:r>
      <w:proofErr w:type="spellEnd"/>
      <w:r w:rsidRPr="000E4BEA">
        <w:rPr>
          <w:rFonts w:eastAsia="Calibri"/>
          <w:bCs/>
          <w:i/>
          <w:iCs/>
          <w:lang w:val="es-EC" w:eastAsia="en-US"/>
        </w:rPr>
        <w:t xml:space="preserve"> </w:t>
      </w:r>
      <w:proofErr w:type="spellStart"/>
      <w:r w:rsidRPr="000E4BEA">
        <w:rPr>
          <w:rFonts w:eastAsia="Calibri"/>
          <w:bCs/>
          <w:i/>
          <w:iCs/>
          <w:lang w:val="es-EC" w:eastAsia="en-US"/>
        </w:rPr>
        <w:t>Treatment</w:t>
      </w:r>
      <w:proofErr w:type="spellEnd"/>
      <w:r w:rsidRPr="000E4BEA">
        <w:rPr>
          <w:rFonts w:eastAsia="Calibri"/>
          <w:bCs/>
          <w:i/>
          <w:iCs/>
          <w:lang w:val="es-EC" w:eastAsia="en-US"/>
        </w:rPr>
        <w:t xml:space="preserve"> Panel III</w:t>
      </w:r>
      <w:r w:rsidRPr="000E4BEA">
        <w:rPr>
          <w:rFonts w:eastAsia="Calibri"/>
          <w:bCs/>
          <w:lang w:val="es-EC" w:eastAsia="en-US"/>
        </w:rPr>
        <w:t>, 6,67 %, 6,31 % y 5,70 % en los años 2019, 2020 y 2021 respectivamente.</w:t>
      </w:r>
    </w:p>
    <w:p w14:paraId="7F215044"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Conclusiones:</w:t>
      </w:r>
      <w:r w:rsidRPr="000E4BEA">
        <w:rPr>
          <w:rFonts w:eastAsia="Calibri"/>
          <w:bCs/>
          <w:lang w:val="es-EC" w:eastAsia="en-US"/>
        </w:rPr>
        <w:t xml:space="preserve"> Los índices antropométricos, como el cintura-altura, perímetro abdominal e índice de masa corporal predicen significativamente el desarrollo del síndrome metabólico en el personal militar de la Escuela de Formación de Soldados del Ejército "Vencedores del Cenepa".</w:t>
      </w:r>
    </w:p>
    <w:p w14:paraId="3C112C73" w14:textId="77777777" w:rsidR="000E4BEA" w:rsidRPr="000E4BEA" w:rsidRDefault="000E4BEA" w:rsidP="000E4BEA">
      <w:pPr>
        <w:spacing w:line="360" w:lineRule="auto"/>
        <w:contextualSpacing/>
        <w:jc w:val="both"/>
        <w:rPr>
          <w:rFonts w:eastAsia="Calibri"/>
          <w:bCs/>
          <w:lang w:val="es-EC" w:eastAsia="en-US"/>
        </w:rPr>
      </w:pPr>
      <w:r w:rsidRPr="000E4BEA">
        <w:rPr>
          <w:rFonts w:eastAsia="Calibri"/>
          <w:b/>
          <w:lang w:val="es-EC" w:eastAsia="en-US"/>
        </w:rPr>
        <w:t>Palabras clave:</w:t>
      </w:r>
      <w:r w:rsidRPr="000E4BEA">
        <w:rPr>
          <w:rFonts w:eastAsia="Calibri"/>
          <w:bCs/>
          <w:lang w:val="es-EC" w:eastAsia="en-US"/>
        </w:rPr>
        <w:t xml:space="preserve"> síndrome metabólico; personal militar; índices antropométricos.</w:t>
      </w:r>
    </w:p>
    <w:p w14:paraId="79E31968" w14:textId="77777777" w:rsidR="000E4BEA" w:rsidRPr="000E4BEA" w:rsidRDefault="000E4BEA" w:rsidP="000E4BEA">
      <w:pPr>
        <w:spacing w:line="360" w:lineRule="auto"/>
        <w:contextualSpacing/>
        <w:jc w:val="both"/>
        <w:rPr>
          <w:rFonts w:eastAsia="Calibri"/>
          <w:bCs/>
          <w:lang w:val="es-EC" w:eastAsia="en-US"/>
        </w:rPr>
      </w:pPr>
    </w:p>
    <w:p w14:paraId="18529EA0" w14:textId="77777777" w:rsidR="000E4BEA" w:rsidRPr="000E4BEA" w:rsidRDefault="000E4BEA" w:rsidP="000E4BEA">
      <w:pPr>
        <w:spacing w:line="360" w:lineRule="auto"/>
        <w:contextualSpacing/>
        <w:jc w:val="both"/>
        <w:rPr>
          <w:rFonts w:eastAsia="Calibri"/>
          <w:bCs/>
          <w:lang w:val="es-EC" w:eastAsia="en-US"/>
        </w:rPr>
      </w:pPr>
    </w:p>
    <w:p w14:paraId="18A71304" w14:textId="77777777" w:rsidR="005221FD" w:rsidRDefault="005221FD">
      <w:pPr>
        <w:rPr>
          <w:rFonts w:eastAsia="Calibri"/>
          <w:bCs/>
          <w:lang w:val="en-US" w:eastAsia="en-US"/>
        </w:rPr>
      </w:pPr>
      <w:r>
        <w:rPr>
          <w:rFonts w:eastAsia="Calibri"/>
          <w:bCs/>
          <w:lang w:val="en-US" w:eastAsia="en-US"/>
        </w:rPr>
        <w:br w:type="page"/>
      </w:r>
    </w:p>
    <w:p w14:paraId="349C0CB5" w14:textId="63C1B0C3" w:rsidR="000E4BEA" w:rsidRPr="000E4BEA" w:rsidRDefault="000E4BEA" w:rsidP="000E4BEA">
      <w:pPr>
        <w:spacing w:line="360" w:lineRule="auto"/>
        <w:contextualSpacing/>
        <w:jc w:val="both"/>
        <w:rPr>
          <w:rFonts w:eastAsia="Calibri"/>
          <w:bCs/>
          <w:lang w:val="en-US" w:eastAsia="en-US"/>
        </w:rPr>
      </w:pPr>
      <w:proofErr w:type="spellStart"/>
      <w:r w:rsidRPr="000E4BEA">
        <w:rPr>
          <w:rFonts w:eastAsia="Calibri"/>
          <w:bCs/>
          <w:lang w:val="en-US" w:eastAsia="en-US"/>
        </w:rPr>
        <w:lastRenderedPageBreak/>
        <w:t>Recibido</w:t>
      </w:r>
      <w:proofErr w:type="spellEnd"/>
      <w:r w:rsidRPr="000E4BEA">
        <w:rPr>
          <w:rFonts w:eastAsia="Calibri"/>
          <w:bCs/>
          <w:lang w:val="en-US" w:eastAsia="en-US"/>
        </w:rPr>
        <w:t>: 10/03/2022</w:t>
      </w:r>
    </w:p>
    <w:p w14:paraId="61A05883" w14:textId="77777777" w:rsidR="000E4BEA" w:rsidRPr="000E4BEA" w:rsidRDefault="000E4BEA" w:rsidP="000E4BEA">
      <w:pPr>
        <w:spacing w:line="360" w:lineRule="auto"/>
        <w:contextualSpacing/>
        <w:jc w:val="both"/>
        <w:rPr>
          <w:rFonts w:eastAsia="Calibri"/>
          <w:bCs/>
          <w:lang w:val="en-US" w:eastAsia="en-US"/>
        </w:rPr>
      </w:pPr>
      <w:proofErr w:type="spellStart"/>
      <w:r w:rsidRPr="000E4BEA">
        <w:rPr>
          <w:rFonts w:eastAsia="Calibri"/>
          <w:bCs/>
          <w:lang w:val="en-US" w:eastAsia="en-US"/>
        </w:rPr>
        <w:t>Aprobado</w:t>
      </w:r>
      <w:proofErr w:type="spellEnd"/>
      <w:r w:rsidRPr="000E4BEA">
        <w:rPr>
          <w:rFonts w:eastAsia="Calibri"/>
          <w:bCs/>
          <w:lang w:val="en-US" w:eastAsia="en-US"/>
        </w:rPr>
        <w:t>: 17/05/2022</w:t>
      </w:r>
    </w:p>
    <w:p w14:paraId="5F7094D8" w14:textId="77777777" w:rsidR="000E4BEA" w:rsidRPr="000E4BEA" w:rsidRDefault="000E4BEA" w:rsidP="000E4BEA">
      <w:pPr>
        <w:spacing w:line="360" w:lineRule="auto"/>
        <w:contextualSpacing/>
        <w:jc w:val="both"/>
        <w:rPr>
          <w:rFonts w:eastAsia="Calibri"/>
          <w:bCs/>
          <w:lang w:val="en-US" w:eastAsia="en-US"/>
        </w:rPr>
      </w:pPr>
    </w:p>
    <w:p w14:paraId="7D0B1AF3" w14:textId="77777777" w:rsidR="000E4BEA" w:rsidRPr="000E4BEA" w:rsidRDefault="000E4BEA" w:rsidP="000E4BEA">
      <w:pPr>
        <w:spacing w:line="360" w:lineRule="auto"/>
        <w:contextualSpacing/>
        <w:jc w:val="both"/>
        <w:rPr>
          <w:rFonts w:eastAsia="Calibri"/>
          <w:bCs/>
          <w:highlight w:val="white"/>
          <w:lang w:val="en-US" w:eastAsia="en-US"/>
        </w:rPr>
      </w:pPr>
    </w:p>
    <w:bookmarkEnd w:id="0"/>
    <w:p w14:paraId="2E15DF7A" w14:textId="77777777" w:rsidR="000E4BEA" w:rsidRPr="000E4BEA" w:rsidRDefault="000E4BEA" w:rsidP="000E4BEA">
      <w:pPr>
        <w:spacing w:line="360" w:lineRule="auto"/>
        <w:contextualSpacing/>
        <w:jc w:val="center"/>
        <w:rPr>
          <w:rFonts w:eastAsia="Calibri"/>
          <w:b/>
          <w:sz w:val="32"/>
          <w:szCs w:val="32"/>
          <w:lang w:val="en-US" w:eastAsia="en-US"/>
        </w:rPr>
      </w:pPr>
      <w:r w:rsidRPr="000E4BEA">
        <w:rPr>
          <w:rFonts w:eastAsia="Calibri"/>
          <w:b/>
          <w:sz w:val="32"/>
          <w:szCs w:val="32"/>
          <w:lang w:val="en-US" w:eastAsia="en-US"/>
        </w:rPr>
        <w:t>INTRODUCTION</w:t>
      </w:r>
    </w:p>
    <w:p w14:paraId="182B2743"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Cardiovascular diseases cause a significant mortality rate worldwide, they are the cause of 31 % of the deaths and 71 % of them occur in low to middle-income countries.</w:t>
      </w:r>
      <w:r w:rsidRPr="000E4BEA">
        <w:rPr>
          <w:rFonts w:eastAsia="Calibri"/>
          <w:vertAlign w:val="superscript"/>
          <w:lang w:val="en-US" w:eastAsia="en-US"/>
        </w:rPr>
        <w:t xml:space="preserve">(1) </w:t>
      </w:r>
      <w:r w:rsidRPr="000E4BEA">
        <w:rPr>
          <w:rFonts w:eastAsia="Calibri"/>
          <w:lang w:val="en-US" w:eastAsia="en-US"/>
        </w:rPr>
        <w:t>Furthermore, 85 % of all disabilities are caused directly or secondary by cardiovascular diseases.</w:t>
      </w:r>
      <w:r w:rsidRPr="000E4BEA">
        <w:rPr>
          <w:rFonts w:eastAsia="Calibri"/>
          <w:vertAlign w:val="superscript"/>
          <w:lang w:val="en-US" w:eastAsia="en-US"/>
        </w:rPr>
        <w:t>(2)</w:t>
      </w:r>
    </w:p>
    <w:p w14:paraId="4A8DE3F2"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Metabolic syndrome is a condition that predisposes to the development of cardiovascular and metabolic diseases, in these diseases the presence of altered blood pressure, insulin resistance, hyperglycemia, dyslipidemia and abdominal obesity are evaluated.</w:t>
      </w:r>
      <w:r w:rsidRPr="000E4BEA">
        <w:rPr>
          <w:rFonts w:eastAsia="Calibri"/>
          <w:vertAlign w:val="superscript"/>
          <w:lang w:val="en-US" w:eastAsia="en-US"/>
        </w:rPr>
        <w:t>(3)</w:t>
      </w:r>
      <w:r w:rsidRPr="000E4BEA">
        <w:rPr>
          <w:rFonts w:eastAsia="Calibri"/>
          <w:lang w:val="en-US" w:eastAsia="en-US"/>
        </w:rPr>
        <w:t xml:space="preserve"> The prevalence of metabolic syndrome in military personnel is 21 %.</w:t>
      </w:r>
      <w:r w:rsidRPr="000E4BEA">
        <w:rPr>
          <w:rFonts w:eastAsia="Calibri"/>
          <w:vertAlign w:val="superscript"/>
          <w:lang w:val="en-US" w:eastAsia="en-US"/>
        </w:rPr>
        <w:t>(4)</w:t>
      </w:r>
    </w:p>
    <w:p w14:paraId="406E9401"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Worldwide, the prevalence of metabolic syndrome in military personnel in Asian countries is 11.1 % in Iran and 15 % in Taiwan.</w:t>
      </w:r>
      <w:r w:rsidRPr="000E4BEA">
        <w:rPr>
          <w:rFonts w:eastAsia="Calibri"/>
          <w:vertAlign w:val="superscript"/>
          <w:lang w:val="en-US" w:eastAsia="en-US"/>
        </w:rPr>
        <w:t>(5,6)</w:t>
      </w:r>
      <w:r w:rsidRPr="000E4BEA">
        <w:rPr>
          <w:rFonts w:eastAsia="Calibri"/>
          <w:lang w:val="en-US" w:eastAsia="en-US"/>
        </w:rPr>
        <w:t xml:space="preserve"> In addition, in Latin America the prevalence is 38.54 % in Brazil.</w:t>
      </w:r>
      <w:r w:rsidRPr="000E4BEA">
        <w:rPr>
          <w:rFonts w:eastAsia="Calibri"/>
          <w:vertAlign w:val="superscript"/>
          <w:lang w:val="en-US" w:eastAsia="en-US"/>
        </w:rPr>
        <w:t>(7)</w:t>
      </w:r>
    </w:p>
    <w:p w14:paraId="6D30C313"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estimate prevalence of metabolic syndrome in Latin America and Ecuador are scarce; however, this condition has been found in 31.2 % of the general population, and in 8 % of military personnel.</w:t>
      </w:r>
      <w:r w:rsidRPr="000E4BEA">
        <w:rPr>
          <w:rFonts w:eastAsia="Calibri"/>
          <w:vertAlign w:val="superscript"/>
          <w:lang w:val="en-US" w:eastAsia="en-US"/>
        </w:rPr>
        <w:t>(8,9,10)</w:t>
      </w:r>
    </w:p>
    <w:p w14:paraId="02B8B282"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In Ecuador, to this date there is no consensus about the anthropometric cut-off value that can be used to predict the development of cardiovascular or metabolic disease.</w:t>
      </w:r>
      <w:r w:rsidRPr="000E4BEA">
        <w:rPr>
          <w:rFonts w:eastAsia="Calibri"/>
          <w:vertAlign w:val="superscript"/>
          <w:lang w:val="en-US" w:eastAsia="en-US"/>
        </w:rPr>
        <w:t>(9)</w:t>
      </w:r>
    </w:p>
    <w:p w14:paraId="02A4C96C"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To know the prevalence of metabolic syndrome, as well as the anthropometric indices that predict it, in 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Soldier Training School, provides a guideline to understand and characterize this medical condition in the military context, both in the country and in the region, to finally correlate it with the information obtained in the general population, and thus, establish preventive measures in the short, medium and long term,  in order to avoid cardiovascular and metabolic diseases in this population group in particular.</w:t>
      </w:r>
    </w:p>
    <w:p w14:paraId="06CFDD73"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 xml:space="preserve">The following general objective has been proposed: To evaluate the anthropometric indices that predict the presence of developing metabolic syndrome in Ecuadorian military personnel. </w:t>
      </w:r>
    </w:p>
    <w:p w14:paraId="6F6F4B81" w14:textId="77777777" w:rsidR="000E4BEA" w:rsidRPr="000E4BEA" w:rsidRDefault="000E4BEA" w:rsidP="000E4BEA">
      <w:pPr>
        <w:spacing w:line="360" w:lineRule="auto"/>
        <w:contextualSpacing/>
        <w:jc w:val="both"/>
        <w:rPr>
          <w:rFonts w:eastAsia="Calibri"/>
          <w:lang w:val="en-US" w:eastAsia="en-US"/>
        </w:rPr>
      </w:pPr>
    </w:p>
    <w:p w14:paraId="1BB07810" w14:textId="77777777" w:rsidR="000E4BEA" w:rsidRPr="000E4BEA" w:rsidRDefault="000E4BEA" w:rsidP="000E4BEA">
      <w:pPr>
        <w:spacing w:line="360" w:lineRule="auto"/>
        <w:contextualSpacing/>
        <w:jc w:val="both"/>
        <w:rPr>
          <w:rFonts w:eastAsia="Calibri"/>
          <w:b/>
          <w:lang w:val="en-US" w:eastAsia="en-US"/>
        </w:rPr>
      </w:pPr>
    </w:p>
    <w:p w14:paraId="5BFACA50" w14:textId="77777777" w:rsidR="000E4BEA" w:rsidRPr="000E4BEA" w:rsidRDefault="000E4BEA" w:rsidP="000E4BEA">
      <w:pPr>
        <w:spacing w:line="360" w:lineRule="auto"/>
        <w:contextualSpacing/>
        <w:jc w:val="center"/>
        <w:rPr>
          <w:rFonts w:eastAsia="Calibri"/>
          <w:b/>
          <w:sz w:val="32"/>
          <w:szCs w:val="32"/>
          <w:lang w:val="en-US" w:eastAsia="en-US"/>
        </w:rPr>
      </w:pPr>
      <w:r w:rsidRPr="000E4BEA">
        <w:rPr>
          <w:rFonts w:eastAsia="Calibri"/>
          <w:b/>
          <w:sz w:val="32"/>
          <w:szCs w:val="32"/>
          <w:lang w:val="en-US" w:eastAsia="en-US"/>
        </w:rPr>
        <w:lastRenderedPageBreak/>
        <w:t>METHODS</w:t>
      </w:r>
    </w:p>
    <w:p w14:paraId="3F304A5C"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This study was quantitative, observational and longitudinal with a correlational scope. It was carried out in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 during a 3-year cohort from 2019 to 2021.</w:t>
      </w:r>
    </w:p>
    <w:p w14:paraId="3AA18975"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study population was 366 instructors, with a sample of 300, 301 and 263 soldiers in 2019, 2020 and 2021 respectively, which corresponds to a confidence level of 95 %, margin of error of 5 % and 50 % heterogeneity.</w:t>
      </w:r>
    </w:p>
    <w:p w14:paraId="622325C5"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pre-established inclusion criterion was being military personnel from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 In contrast, military personnel with incomplete annual medical records were excluded.</w:t>
      </w:r>
    </w:p>
    <w:p w14:paraId="796CCF5A"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development of this study was carried out in three phases, which are detailed below:</w:t>
      </w:r>
    </w:p>
    <w:p w14:paraId="5E5BB943"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Phase I: collect the measurements of the anthropometric indices: a) abdominal perimeter, b) body mass index, c) waist height index, d) waist weight index and e) percentage of body fat, and put them in the pre-established chart. Additionally, it was collected the biochemical profile from the annual medical records corresponding to: a) triglycerides, b) blood glucose, c) blood pressure and d) proteinuria. The high density lipoprotein – cholesterol (HDL-C) test was not evaluated in this research, because it is not considered as a routine lipid test at the institution.</w:t>
      </w:r>
    </w:p>
    <w:p w14:paraId="7FDF2C0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Phase II: perform the results analysis of the anthropometric records and annual medical records, in order to classify military personnel as a patient with metabolic syndrome or as a healthy patient, according to the ATP III and ALAD diagnostic criteria.</w:t>
      </w:r>
    </w:p>
    <w:p w14:paraId="2FAA2ACB"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Phase III: to carry out a statistical analysis of the anthropometric indices that predict the metabolic syndrome in 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w:t>
      </w:r>
    </w:p>
    <w:p w14:paraId="2E388497"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information collection instrument was the annual clinical history, carried out during the months of October 2019, November 2020 and September 2021, which is a document that collects the variables studied, detailed in phase 1 of the established methodology.</w:t>
      </w:r>
    </w:p>
    <w:p w14:paraId="49435C56"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information was obtained with the prior authorization of the Institute’s director and the informed consent of the participating military personnel.</w:t>
      </w:r>
    </w:p>
    <w:p w14:paraId="383A3406" w14:textId="77777777" w:rsidR="000E4BEA" w:rsidRPr="000E4BEA" w:rsidRDefault="000E4BEA" w:rsidP="000E4BEA">
      <w:pPr>
        <w:spacing w:line="360" w:lineRule="auto"/>
        <w:contextualSpacing/>
        <w:jc w:val="both"/>
        <w:rPr>
          <w:rFonts w:eastAsia="Calibri"/>
          <w:b/>
          <w:lang w:val="en-US" w:eastAsia="en-US"/>
        </w:rPr>
      </w:pPr>
      <w:r w:rsidRPr="000E4BEA">
        <w:rPr>
          <w:rFonts w:eastAsia="Calibri"/>
          <w:lang w:val="en-US" w:eastAsia="en-US"/>
        </w:rPr>
        <w:lastRenderedPageBreak/>
        <w:t xml:space="preserve">Statistical analysis was performed with SPSS (version 28) and </w:t>
      </w:r>
      <w:proofErr w:type="spellStart"/>
      <w:r w:rsidRPr="000E4BEA">
        <w:rPr>
          <w:rFonts w:eastAsia="Calibri"/>
          <w:lang w:val="en-US" w:eastAsia="en-US"/>
        </w:rPr>
        <w:t>MedCalc</w:t>
      </w:r>
      <w:proofErr w:type="spellEnd"/>
      <w:r w:rsidRPr="000E4BEA">
        <w:rPr>
          <w:rFonts w:eastAsia="Calibri"/>
          <w:lang w:val="en-US" w:eastAsia="en-US"/>
        </w:rPr>
        <w:t>. Continuous variables are expressed as mean ± SD (</w:t>
      </w:r>
      <w:proofErr w:type="spellStart"/>
      <w:r w:rsidRPr="000E4BEA">
        <w:rPr>
          <w:rFonts w:eastAsia="Calibri"/>
          <w:lang w:val="en-US" w:eastAsia="en-US"/>
        </w:rPr>
        <w:t>Tg</w:t>
      </w:r>
      <w:proofErr w:type="spellEnd"/>
      <w:r w:rsidRPr="000E4BEA">
        <w:rPr>
          <w:rFonts w:eastAsia="Calibri"/>
          <w:lang w:val="en-US" w:eastAsia="en-US"/>
        </w:rPr>
        <w:t xml:space="preserve">: triglycerides, </w:t>
      </w:r>
      <w:proofErr w:type="spellStart"/>
      <w:r w:rsidRPr="000E4BEA">
        <w:rPr>
          <w:rFonts w:eastAsia="Calibri"/>
          <w:lang w:val="en-US" w:eastAsia="en-US"/>
        </w:rPr>
        <w:t>Gl</w:t>
      </w:r>
      <w:proofErr w:type="spellEnd"/>
      <w:r w:rsidRPr="000E4BEA">
        <w:rPr>
          <w:rFonts w:eastAsia="Calibri"/>
          <w:lang w:val="en-US" w:eastAsia="en-US"/>
        </w:rPr>
        <w:t xml:space="preserve">: Glucose, </w:t>
      </w:r>
      <w:proofErr w:type="spellStart"/>
      <w:r w:rsidRPr="000E4BEA">
        <w:rPr>
          <w:rFonts w:eastAsia="Calibri"/>
          <w:lang w:val="en-US" w:eastAsia="en-US"/>
        </w:rPr>
        <w:t>Sp</w:t>
      </w:r>
      <w:proofErr w:type="spellEnd"/>
      <w:r w:rsidRPr="000E4BEA">
        <w:rPr>
          <w:rFonts w:eastAsia="Calibri"/>
          <w:lang w:val="en-US" w:eastAsia="en-US"/>
        </w:rPr>
        <w:t xml:space="preserve">: Systolic pressure, </w:t>
      </w:r>
      <w:proofErr w:type="spellStart"/>
      <w:r w:rsidRPr="000E4BEA">
        <w:rPr>
          <w:rFonts w:eastAsia="Calibri"/>
          <w:lang w:val="en-US" w:eastAsia="en-US"/>
        </w:rPr>
        <w:t>Dp</w:t>
      </w:r>
      <w:proofErr w:type="spellEnd"/>
      <w:r w:rsidRPr="000E4BEA">
        <w:rPr>
          <w:rFonts w:eastAsia="Calibri"/>
          <w:lang w:val="en-US" w:eastAsia="en-US"/>
        </w:rPr>
        <w:t xml:space="preserve">: Diastolic pressure, BMI: body mass index, WHR: waist-hip ratio, </w:t>
      </w:r>
      <w:proofErr w:type="spellStart"/>
      <w:r w:rsidRPr="000E4BEA">
        <w:rPr>
          <w:rFonts w:eastAsia="Calibri"/>
          <w:lang w:val="en-US" w:eastAsia="en-US"/>
        </w:rPr>
        <w:t>WHtR</w:t>
      </w:r>
      <w:proofErr w:type="spellEnd"/>
      <w:r w:rsidRPr="000E4BEA">
        <w:rPr>
          <w:rFonts w:eastAsia="Calibri"/>
          <w:lang w:val="en-US" w:eastAsia="en-US"/>
        </w:rPr>
        <w:t xml:space="preserve">: waist to height ratio, WWR: weight-to-waist ratio). In addition, the analysis of the Receiver Operating Characteristic (ROC) curve using the Youden index was considered statistically significant (&lt; 0.0001) to determine the optimal cut-off point for the anthropometric indices (BMI: body mass index, WHR: waist- hip ratio, </w:t>
      </w:r>
      <w:proofErr w:type="spellStart"/>
      <w:r w:rsidRPr="000E4BEA">
        <w:rPr>
          <w:rFonts w:eastAsia="Calibri"/>
          <w:lang w:val="en-US" w:eastAsia="en-US"/>
        </w:rPr>
        <w:t>WHtR</w:t>
      </w:r>
      <w:proofErr w:type="spellEnd"/>
      <w:r w:rsidRPr="000E4BEA">
        <w:rPr>
          <w:rFonts w:eastAsia="Calibri"/>
          <w:lang w:val="en-US" w:eastAsia="en-US"/>
        </w:rPr>
        <w:t>: waist to height ratio, WWR: weight to waist ratio) in the diagnosis of metabolic syndrome (according to ATP III and ALAD criteria).</w:t>
      </w:r>
    </w:p>
    <w:p w14:paraId="2BEA896C" w14:textId="77777777" w:rsidR="000E4BEA" w:rsidRPr="000E4BEA" w:rsidRDefault="000E4BEA" w:rsidP="000E4BEA">
      <w:pPr>
        <w:spacing w:line="360" w:lineRule="auto"/>
        <w:contextualSpacing/>
        <w:jc w:val="both"/>
        <w:rPr>
          <w:rFonts w:eastAsia="Calibri"/>
          <w:b/>
          <w:lang w:val="en-US" w:eastAsia="en-US"/>
        </w:rPr>
      </w:pPr>
    </w:p>
    <w:p w14:paraId="5FA6B366" w14:textId="77777777" w:rsidR="000E4BEA" w:rsidRPr="000E4BEA" w:rsidRDefault="000E4BEA" w:rsidP="000E4BEA">
      <w:pPr>
        <w:spacing w:line="360" w:lineRule="auto"/>
        <w:contextualSpacing/>
        <w:jc w:val="both"/>
        <w:rPr>
          <w:rFonts w:eastAsia="Calibri"/>
          <w:b/>
          <w:lang w:val="en-US" w:eastAsia="en-US"/>
        </w:rPr>
      </w:pPr>
    </w:p>
    <w:p w14:paraId="193D2E9E" w14:textId="77777777" w:rsidR="000E4BEA" w:rsidRPr="000E4BEA" w:rsidRDefault="000E4BEA" w:rsidP="000E4BEA">
      <w:pPr>
        <w:spacing w:line="360" w:lineRule="auto"/>
        <w:contextualSpacing/>
        <w:jc w:val="center"/>
        <w:rPr>
          <w:rFonts w:eastAsia="Calibri"/>
          <w:b/>
          <w:sz w:val="32"/>
          <w:szCs w:val="32"/>
          <w:lang w:val="en-US" w:eastAsia="en-US"/>
        </w:rPr>
      </w:pPr>
      <w:r w:rsidRPr="000E4BEA">
        <w:rPr>
          <w:rFonts w:eastAsia="Calibri"/>
          <w:b/>
          <w:sz w:val="32"/>
          <w:szCs w:val="32"/>
          <w:lang w:val="en-US" w:eastAsia="en-US"/>
        </w:rPr>
        <w:t>RESULTS</w:t>
      </w:r>
    </w:p>
    <w:p w14:paraId="5B321FB7"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prevalence of metabolic syndrome in military personnel, according to ALAD criteria, was 1 % (n= 3), 1.66 % (n= 5) and 0.76 % (n= 2), in the year 2019, 2020 and 2021 respectively. Likewise, according to the ATP III criteria, the prevalence of metabolic syndrome was 6.67 % (n= 20), 6.31 % (n= 19) and 5.70 % (n= 15) in 2019, 2020 and 2021 respectively (table 1, table 2 and table 3).</w:t>
      </w:r>
    </w:p>
    <w:p w14:paraId="2CF791CA"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When analyzing the population that presented metabolic syndrome, according to ALAD criteria, during the year 2019, it was evidenced an average waist circumference of 101.33 cm, hip circumference of 101.33 cm, body mass index of 29.51 kg/m</w:t>
      </w:r>
      <w:r w:rsidRPr="000E4BEA">
        <w:rPr>
          <w:rFonts w:eastAsia="Calibri"/>
          <w:vertAlign w:val="superscript"/>
          <w:lang w:val="en-US" w:eastAsia="en-US"/>
        </w:rPr>
        <w:t>2</w:t>
      </w:r>
      <w:r w:rsidRPr="000E4BEA">
        <w:rPr>
          <w:rFonts w:eastAsia="Calibri"/>
          <w:lang w:val="en-US" w:eastAsia="en-US"/>
        </w:rPr>
        <w:t>, waist-hip ratio of 1.00, waist-height ratio of 0.62, fat percentage of 28.87 and waist-weight ratio of 0.80 (table 1).</w:t>
      </w:r>
    </w:p>
    <w:p w14:paraId="30A0B1D9" w14:textId="77777777" w:rsidR="000E4BEA" w:rsidRPr="000E4BEA" w:rsidRDefault="000E4BEA" w:rsidP="000E4BEA">
      <w:pPr>
        <w:spacing w:line="360" w:lineRule="auto"/>
        <w:contextualSpacing/>
        <w:jc w:val="both"/>
        <w:rPr>
          <w:b/>
          <w:bCs/>
          <w:color w:val="000000"/>
          <w:lang w:val="en-US" w:eastAsia="en-US"/>
        </w:rPr>
      </w:pPr>
    </w:p>
    <w:p w14:paraId="4F26B61F" w14:textId="77777777" w:rsidR="00477B51" w:rsidRDefault="00477B51">
      <w:pPr>
        <w:rPr>
          <w:b/>
          <w:bCs/>
          <w:color w:val="000000"/>
          <w:sz w:val="22"/>
          <w:szCs w:val="22"/>
          <w:lang w:val="en-US" w:eastAsia="en-US"/>
        </w:rPr>
      </w:pPr>
      <w:r>
        <w:rPr>
          <w:b/>
          <w:bCs/>
          <w:color w:val="000000"/>
          <w:sz w:val="22"/>
          <w:szCs w:val="22"/>
          <w:lang w:val="en-US" w:eastAsia="en-US"/>
        </w:rPr>
        <w:br w:type="page"/>
      </w:r>
    </w:p>
    <w:p w14:paraId="1FD3A5E7" w14:textId="4EDB53B2" w:rsidR="000E4BEA" w:rsidRPr="000E4BEA" w:rsidRDefault="000E4BEA" w:rsidP="000E4BEA">
      <w:pPr>
        <w:spacing w:line="360" w:lineRule="auto"/>
        <w:contextualSpacing/>
        <w:jc w:val="center"/>
        <w:rPr>
          <w:rFonts w:eastAsia="Calibri"/>
          <w:lang w:val="en-US" w:eastAsia="en-US"/>
        </w:rPr>
      </w:pPr>
      <w:r w:rsidRPr="000E4BEA">
        <w:rPr>
          <w:b/>
          <w:bCs/>
          <w:color w:val="000000"/>
          <w:sz w:val="22"/>
          <w:szCs w:val="22"/>
          <w:lang w:val="en-US" w:eastAsia="en-US"/>
        </w:rPr>
        <w:lastRenderedPageBreak/>
        <w:t>Table 1 -</w:t>
      </w:r>
      <w:r w:rsidRPr="000E4BEA">
        <w:rPr>
          <w:color w:val="000000"/>
          <w:sz w:val="22"/>
          <w:szCs w:val="22"/>
          <w:lang w:val="en-US" w:eastAsia="en-US"/>
        </w:rPr>
        <w:t xml:space="preserve"> Characteristics of the population variables in 2019</w:t>
      </w:r>
    </w:p>
    <w:p w14:paraId="5BE7480A" w14:textId="33D47367" w:rsidR="00477B51" w:rsidRDefault="00477B51" w:rsidP="000E4BEA">
      <w:pPr>
        <w:spacing w:line="360" w:lineRule="auto"/>
        <w:contextualSpacing/>
        <w:jc w:val="center"/>
        <w:rPr>
          <w:color w:val="000000"/>
          <w:sz w:val="16"/>
          <w:szCs w:val="16"/>
          <w:lang w:val="en-US" w:eastAsia="en-US"/>
        </w:rPr>
      </w:pPr>
      <w:r>
        <w:rPr>
          <w:noProof/>
          <w:color w:val="000000"/>
          <w:sz w:val="16"/>
          <w:szCs w:val="16"/>
          <w:lang w:val="en-US" w:eastAsia="en-US"/>
        </w:rPr>
        <w:drawing>
          <wp:inline distT="0" distB="0" distL="0" distR="0" wp14:anchorId="785C052A" wp14:editId="32FA7EB2">
            <wp:extent cx="6086475" cy="34861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6086475" cy="3486150"/>
                    </a:xfrm>
                    <a:prstGeom prst="rect">
                      <a:avLst/>
                    </a:prstGeom>
                  </pic:spPr>
                </pic:pic>
              </a:graphicData>
            </a:graphic>
          </wp:inline>
        </w:drawing>
      </w:r>
    </w:p>
    <w:p w14:paraId="4E6B6BE1" w14:textId="0E405C9A" w:rsidR="000E4BEA" w:rsidRPr="000E4BEA" w:rsidRDefault="000E4BEA" w:rsidP="000E4BEA">
      <w:pPr>
        <w:spacing w:line="360" w:lineRule="auto"/>
        <w:contextualSpacing/>
        <w:jc w:val="center"/>
        <w:rPr>
          <w:color w:val="000000"/>
          <w:sz w:val="16"/>
          <w:szCs w:val="16"/>
          <w:lang w:val="en-US" w:eastAsia="en-US"/>
        </w:rPr>
      </w:pPr>
      <w:proofErr w:type="spellStart"/>
      <w:r w:rsidRPr="000E4BEA">
        <w:rPr>
          <w:color w:val="000000"/>
          <w:sz w:val="16"/>
          <w:szCs w:val="16"/>
          <w:lang w:val="en-US" w:eastAsia="en-US"/>
        </w:rPr>
        <w:t>Tg</w:t>
      </w:r>
      <w:proofErr w:type="spellEnd"/>
      <w:r w:rsidRPr="000E4BEA">
        <w:rPr>
          <w:color w:val="000000"/>
          <w:sz w:val="16"/>
          <w:szCs w:val="16"/>
          <w:lang w:val="en-US" w:eastAsia="en-US"/>
        </w:rPr>
        <w:t xml:space="preserve">: triglycerides, </w:t>
      </w:r>
      <w:proofErr w:type="spellStart"/>
      <w:r w:rsidRPr="000E4BEA">
        <w:rPr>
          <w:color w:val="000000"/>
          <w:sz w:val="16"/>
          <w:szCs w:val="16"/>
          <w:lang w:val="en-US" w:eastAsia="en-US"/>
        </w:rPr>
        <w:t>Gl</w:t>
      </w:r>
      <w:proofErr w:type="spellEnd"/>
      <w:r w:rsidRPr="000E4BEA">
        <w:rPr>
          <w:color w:val="000000"/>
          <w:sz w:val="16"/>
          <w:szCs w:val="16"/>
          <w:lang w:val="en-US" w:eastAsia="en-US"/>
        </w:rPr>
        <w:t xml:space="preserve">: Glucose, </w:t>
      </w:r>
      <w:proofErr w:type="spellStart"/>
      <w:r w:rsidRPr="000E4BEA">
        <w:rPr>
          <w:color w:val="000000"/>
          <w:sz w:val="16"/>
          <w:szCs w:val="16"/>
          <w:lang w:val="en-US" w:eastAsia="en-US"/>
        </w:rPr>
        <w:t>Sp</w:t>
      </w:r>
      <w:proofErr w:type="spellEnd"/>
      <w:r w:rsidRPr="000E4BEA">
        <w:rPr>
          <w:color w:val="000000"/>
          <w:sz w:val="16"/>
          <w:szCs w:val="16"/>
          <w:lang w:val="en-US" w:eastAsia="en-US"/>
        </w:rPr>
        <w:t xml:space="preserve">: </w:t>
      </w:r>
      <w:r w:rsidR="00D85B61" w:rsidRPr="000E4BEA">
        <w:rPr>
          <w:color w:val="000000"/>
          <w:sz w:val="16"/>
          <w:szCs w:val="16"/>
          <w:lang w:val="en-US" w:eastAsia="en-US"/>
        </w:rPr>
        <w:t>Systolic</w:t>
      </w:r>
      <w:r w:rsidRPr="000E4BEA">
        <w:rPr>
          <w:color w:val="000000"/>
          <w:sz w:val="16"/>
          <w:szCs w:val="16"/>
          <w:lang w:val="en-US" w:eastAsia="en-US"/>
        </w:rPr>
        <w:t xml:space="preserve"> pressure, </w:t>
      </w:r>
      <w:proofErr w:type="spellStart"/>
      <w:r w:rsidRPr="000E4BEA">
        <w:rPr>
          <w:color w:val="000000"/>
          <w:sz w:val="16"/>
          <w:szCs w:val="16"/>
          <w:lang w:val="en-US" w:eastAsia="en-US"/>
        </w:rPr>
        <w:t>Dp</w:t>
      </w:r>
      <w:proofErr w:type="spellEnd"/>
      <w:r w:rsidRPr="000E4BEA">
        <w:rPr>
          <w:color w:val="000000"/>
          <w:sz w:val="16"/>
          <w:szCs w:val="16"/>
          <w:lang w:val="en-US" w:eastAsia="en-US"/>
        </w:rPr>
        <w:t xml:space="preserve">: Diastolic pressure, BMI: body mass index, WHR: waist-hip ratio, </w:t>
      </w:r>
      <w:proofErr w:type="spellStart"/>
      <w:r w:rsidRPr="000E4BEA">
        <w:rPr>
          <w:color w:val="000000"/>
          <w:sz w:val="16"/>
          <w:szCs w:val="16"/>
          <w:lang w:val="en-US" w:eastAsia="en-US"/>
        </w:rPr>
        <w:t>WHtR</w:t>
      </w:r>
      <w:proofErr w:type="spellEnd"/>
      <w:r w:rsidRPr="000E4BEA">
        <w:rPr>
          <w:color w:val="000000"/>
          <w:sz w:val="16"/>
          <w:szCs w:val="16"/>
          <w:lang w:val="en-US" w:eastAsia="en-US"/>
        </w:rPr>
        <w:t xml:space="preserve">: waist to height ratio, WWR: weight to waist ratio, Min: minimum, Max: maximum, Med: median, Num: number, SE: standard error, SD: standard deviation, </w:t>
      </w:r>
      <w:proofErr w:type="spellStart"/>
      <w:r w:rsidRPr="000E4BEA">
        <w:rPr>
          <w:color w:val="000000"/>
          <w:sz w:val="16"/>
          <w:szCs w:val="16"/>
          <w:lang w:val="en-US" w:eastAsia="en-US"/>
        </w:rPr>
        <w:t>MetSyn</w:t>
      </w:r>
      <w:proofErr w:type="spellEnd"/>
      <w:r w:rsidRPr="000E4BEA">
        <w:rPr>
          <w:color w:val="000000"/>
          <w:sz w:val="16"/>
          <w:szCs w:val="16"/>
          <w:lang w:val="en-US" w:eastAsia="en-US"/>
        </w:rPr>
        <w:t xml:space="preserve">: metabolic syndrome, </w:t>
      </w:r>
      <w:proofErr w:type="spellStart"/>
      <w:r w:rsidRPr="000E4BEA">
        <w:rPr>
          <w:color w:val="000000"/>
          <w:sz w:val="16"/>
          <w:szCs w:val="16"/>
          <w:lang w:val="en-US" w:eastAsia="en-US"/>
        </w:rPr>
        <w:t>No_MetSyn</w:t>
      </w:r>
      <w:proofErr w:type="spellEnd"/>
      <w:r w:rsidRPr="000E4BEA">
        <w:rPr>
          <w:color w:val="000000"/>
          <w:sz w:val="16"/>
          <w:szCs w:val="16"/>
          <w:lang w:val="en-US" w:eastAsia="en-US"/>
        </w:rPr>
        <w:t>: No metabolic syndrome.</w:t>
      </w:r>
    </w:p>
    <w:p w14:paraId="0A167560" w14:textId="77777777" w:rsidR="000E4BEA" w:rsidRPr="000E4BEA" w:rsidRDefault="000E4BEA" w:rsidP="000E4BEA">
      <w:pPr>
        <w:spacing w:line="360" w:lineRule="auto"/>
        <w:contextualSpacing/>
        <w:jc w:val="center"/>
        <w:rPr>
          <w:b/>
          <w:bCs/>
          <w:color w:val="000000"/>
          <w:sz w:val="22"/>
          <w:szCs w:val="22"/>
          <w:lang w:val="en-US" w:eastAsia="en-US"/>
        </w:rPr>
      </w:pPr>
    </w:p>
    <w:p w14:paraId="741C1F56" w14:textId="77777777" w:rsidR="00477B51" w:rsidRDefault="00477B51">
      <w:pPr>
        <w:rPr>
          <w:b/>
          <w:bCs/>
          <w:color w:val="000000"/>
          <w:sz w:val="22"/>
          <w:szCs w:val="22"/>
          <w:lang w:val="en-US" w:eastAsia="en-US"/>
        </w:rPr>
      </w:pPr>
      <w:r>
        <w:rPr>
          <w:b/>
          <w:bCs/>
          <w:color w:val="000000"/>
          <w:sz w:val="22"/>
          <w:szCs w:val="22"/>
          <w:lang w:val="en-US" w:eastAsia="en-US"/>
        </w:rPr>
        <w:br w:type="page"/>
      </w:r>
    </w:p>
    <w:p w14:paraId="1AA1A72A" w14:textId="4D4F3E76" w:rsidR="000E4BEA" w:rsidRPr="000E4BEA" w:rsidRDefault="000E4BEA" w:rsidP="000E4BEA">
      <w:pPr>
        <w:spacing w:line="360" w:lineRule="auto"/>
        <w:contextualSpacing/>
        <w:jc w:val="center"/>
        <w:rPr>
          <w:rFonts w:eastAsia="Calibri"/>
          <w:sz w:val="22"/>
          <w:szCs w:val="22"/>
          <w:lang w:val="en-US" w:eastAsia="en-US"/>
        </w:rPr>
      </w:pPr>
      <w:r w:rsidRPr="000E4BEA">
        <w:rPr>
          <w:b/>
          <w:bCs/>
          <w:color w:val="000000"/>
          <w:sz w:val="22"/>
          <w:szCs w:val="22"/>
          <w:lang w:val="en-US" w:eastAsia="en-US"/>
        </w:rPr>
        <w:lastRenderedPageBreak/>
        <w:t xml:space="preserve">Table 2 - </w:t>
      </w:r>
      <w:r w:rsidRPr="000E4BEA">
        <w:rPr>
          <w:color w:val="000000"/>
          <w:sz w:val="22"/>
          <w:szCs w:val="22"/>
          <w:lang w:val="en-US" w:eastAsia="en-US"/>
        </w:rPr>
        <w:t>Characteristics of the population variables in 2020</w:t>
      </w:r>
    </w:p>
    <w:p w14:paraId="1534398B" w14:textId="2E3D4E93" w:rsidR="00477B51" w:rsidRDefault="00477B51" w:rsidP="000E4BEA">
      <w:pPr>
        <w:tabs>
          <w:tab w:val="left" w:pos="5214"/>
        </w:tabs>
        <w:spacing w:line="360" w:lineRule="auto"/>
        <w:jc w:val="center"/>
        <w:rPr>
          <w:color w:val="000000"/>
          <w:sz w:val="16"/>
          <w:szCs w:val="16"/>
          <w:lang w:val="en-US" w:eastAsia="en-US"/>
        </w:rPr>
      </w:pPr>
      <w:r>
        <w:rPr>
          <w:noProof/>
          <w:color w:val="000000"/>
          <w:sz w:val="16"/>
          <w:szCs w:val="16"/>
          <w:lang w:val="en-US" w:eastAsia="en-US"/>
        </w:rPr>
        <w:drawing>
          <wp:inline distT="0" distB="0" distL="0" distR="0" wp14:anchorId="00FC2EB4" wp14:editId="5E611428">
            <wp:extent cx="5781675" cy="34861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81675" cy="3486150"/>
                    </a:xfrm>
                    <a:prstGeom prst="rect">
                      <a:avLst/>
                    </a:prstGeom>
                  </pic:spPr>
                </pic:pic>
              </a:graphicData>
            </a:graphic>
          </wp:inline>
        </w:drawing>
      </w:r>
    </w:p>
    <w:p w14:paraId="09C0A346" w14:textId="0503DF03" w:rsidR="000E4BEA" w:rsidRPr="000E4BEA" w:rsidRDefault="000E4BEA" w:rsidP="000E4BEA">
      <w:pPr>
        <w:tabs>
          <w:tab w:val="left" w:pos="5214"/>
        </w:tabs>
        <w:spacing w:line="360" w:lineRule="auto"/>
        <w:jc w:val="center"/>
        <w:rPr>
          <w:rFonts w:eastAsia="Calibri"/>
          <w:sz w:val="16"/>
          <w:szCs w:val="16"/>
          <w:lang w:val="en-US" w:eastAsia="en-US"/>
        </w:rPr>
      </w:pPr>
      <w:proofErr w:type="spellStart"/>
      <w:r w:rsidRPr="000E4BEA">
        <w:rPr>
          <w:color w:val="000000"/>
          <w:sz w:val="16"/>
          <w:szCs w:val="16"/>
          <w:lang w:val="en-US" w:eastAsia="en-US"/>
        </w:rPr>
        <w:t>Tg</w:t>
      </w:r>
      <w:proofErr w:type="spellEnd"/>
      <w:r w:rsidRPr="000E4BEA">
        <w:rPr>
          <w:color w:val="000000"/>
          <w:sz w:val="16"/>
          <w:szCs w:val="16"/>
          <w:lang w:val="en-US" w:eastAsia="en-US"/>
        </w:rPr>
        <w:t xml:space="preserve">: triglycerides, </w:t>
      </w:r>
      <w:proofErr w:type="spellStart"/>
      <w:r w:rsidRPr="000E4BEA">
        <w:rPr>
          <w:color w:val="000000"/>
          <w:sz w:val="16"/>
          <w:szCs w:val="16"/>
          <w:lang w:val="en-US" w:eastAsia="en-US"/>
        </w:rPr>
        <w:t>Gl</w:t>
      </w:r>
      <w:proofErr w:type="spellEnd"/>
      <w:r w:rsidRPr="000E4BEA">
        <w:rPr>
          <w:color w:val="000000"/>
          <w:sz w:val="16"/>
          <w:szCs w:val="16"/>
          <w:lang w:val="en-US" w:eastAsia="en-US"/>
        </w:rPr>
        <w:t xml:space="preserve">: Glucose, </w:t>
      </w:r>
      <w:proofErr w:type="spellStart"/>
      <w:r w:rsidRPr="000E4BEA">
        <w:rPr>
          <w:color w:val="000000"/>
          <w:sz w:val="16"/>
          <w:szCs w:val="16"/>
          <w:lang w:val="en-US" w:eastAsia="en-US"/>
        </w:rPr>
        <w:t>Sp</w:t>
      </w:r>
      <w:proofErr w:type="spellEnd"/>
      <w:r w:rsidRPr="000E4BEA">
        <w:rPr>
          <w:color w:val="000000"/>
          <w:sz w:val="16"/>
          <w:szCs w:val="16"/>
          <w:lang w:val="en-US" w:eastAsia="en-US"/>
        </w:rPr>
        <w:t xml:space="preserve">: </w:t>
      </w:r>
      <w:r w:rsidR="00D85B61" w:rsidRPr="000E4BEA">
        <w:rPr>
          <w:color w:val="000000"/>
          <w:sz w:val="16"/>
          <w:szCs w:val="16"/>
          <w:lang w:val="en-US" w:eastAsia="en-US"/>
        </w:rPr>
        <w:t>Systolic</w:t>
      </w:r>
      <w:r w:rsidRPr="000E4BEA">
        <w:rPr>
          <w:color w:val="000000"/>
          <w:sz w:val="16"/>
          <w:szCs w:val="16"/>
          <w:lang w:val="en-US" w:eastAsia="en-US"/>
        </w:rPr>
        <w:t xml:space="preserve"> pressure, </w:t>
      </w:r>
      <w:proofErr w:type="spellStart"/>
      <w:r w:rsidRPr="000E4BEA">
        <w:rPr>
          <w:color w:val="000000"/>
          <w:sz w:val="16"/>
          <w:szCs w:val="16"/>
          <w:lang w:val="en-US" w:eastAsia="en-US"/>
        </w:rPr>
        <w:t>Dp</w:t>
      </w:r>
      <w:proofErr w:type="spellEnd"/>
      <w:r w:rsidRPr="000E4BEA">
        <w:rPr>
          <w:color w:val="000000"/>
          <w:sz w:val="16"/>
          <w:szCs w:val="16"/>
          <w:lang w:val="en-US" w:eastAsia="en-US"/>
        </w:rPr>
        <w:t xml:space="preserve">: Diastolic pressure, BMI: body mass index, WHR: waist-hip ratio, </w:t>
      </w:r>
      <w:proofErr w:type="spellStart"/>
      <w:r w:rsidRPr="000E4BEA">
        <w:rPr>
          <w:color w:val="000000"/>
          <w:sz w:val="16"/>
          <w:szCs w:val="16"/>
          <w:lang w:val="en-US" w:eastAsia="en-US"/>
        </w:rPr>
        <w:t>WHtR</w:t>
      </w:r>
      <w:proofErr w:type="spellEnd"/>
      <w:r w:rsidRPr="000E4BEA">
        <w:rPr>
          <w:color w:val="000000"/>
          <w:sz w:val="16"/>
          <w:szCs w:val="16"/>
          <w:lang w:val="en-US" w:eastAsia="en-US"/>
        </w:rPr>
        <w:t xml:space="preserve">: waist to height ratio, WWR: weight to waist ratio, Min: minimum, Max: maximum, Med: median, Num: number, SE: standard error, SD: standard deviation, </w:t>
      </w:r>
      <w:proofErr w:type="spellStart"/>
      <w:r w:rsidRPr="000E4BEA">
        <w:rPr>
          <w:color w:val="000000"/>
          <w:sz w:val="16"/>
          <w:szCs w:val="16"/>
          <w:lang w:val="en-US" w:eastAsia="en-US"/>
        </w:rPr>
        <w:t>MetSyn</w:t>
      </w:r>
      <w:proofErr w:type="spellEnd"/>
      <w:r w:rsidRPr="000E4BEA">
        <w:rPr>
          <w:color w:val="000000"/>
          <w:sz w:val="16"/>
          <w:szCs w:val="16"/>
          <w:lang w:val="en-US" w:eastAsia="en-US"/>
        </w:rPr>
        <w:t xml:space="preserve">: metabolic syndrome, </w:t>
      </w:r>
      <w:proofErr w:type="spellStart"/>
      <w:r w:rsidRPr="000E4BEA">
        <w:rPr>
          <w:color w:val="000000"/>
          <w:sz w:val="16"/>
          <w:szCs w:val="16"/>
          <w:lang w:val="en-US" w:eastAsia="en-US"/>
        </w:rPr>
        <w:t>No_MetSyn</w:t>
      </w:r>
      <w:proofErr w:type="spellEnd"/>
      <w:r w:rsidRPr="000E4BEA">
        <w:rPr>
          <w:color w:val="000000"/>
          <w:sz w:val="16"/>
          <w:szCs w:val="16"/>
          <w:lang w:val="en-US" w:eastAsia="en-US"/>
        </w:rPr>
        <w:t>: No metabolic syndrome.</w:t>
      </w:r>
    </w:p>
    <w:p w14:paraId="3E446668" w14:textId="77777777" w:rsidR="000E4BEA" w:rsidRPr="000E4BEA" w:rsidRDefault="000E4BEA" w:rsidP="000E4BEA">
      <w:pPr>
        <w:tabs>
          <w:tab w:val="left" w:pos="5214"/>
        </w:tabs>
        <w:spacing w:line="360" w:lineRule="auto"/>
        <w:rPr>
          <w:rFonts w:eastAsia="Calibri"/>
          <w:sz w:val="22"/>
          <w:szCs w:val="22"/>
          <w:lang w:val="en-US" w:eastAsia="en-US"/>
        </w:rPr>
      </w:pPr>
    </w:p>
    <w:p w14:paraId="119BD1B0" w14:textId="77777777" w:rsidR="003F4EDC" w:rsidRDefault="003F4EDC">
      <w:pPr>
        <w:rPr>
          <w:b/>
          <w:bCs/>
          <w:color w:val="000000"/>
          <w:sz w:val="22"/>
          <w:szCs w:val="22"/>
          <w:lang w:val="en-US" w:eastAsia="en-US"/>
        </w:rPr>
      </w:pPr>
      <w:r>
        <w:rPr>
          <w:b/>
          <w:bCs/>
          <w:color w:val="000000"/>
          <w:sz w:val="22"/>
          <w:szCs w:val="22"/>
          <w:lang w:val="en-US" w:eastAsia="en-US"/>
        </w:rPr>
        <w:br w:type="page"/>
      </w:r>
    </w:p>
    <w:p w14:paraId="6119838A" w14:textId="70B602F1" w:rsidR="000E4BEA" w:rsidRPr="000E4BEA" w:rsidRDefault="000E4BEA" w:rsidP="000E4BEA">
      <w:pPr>
        <w:tabs>
          <w:tab w:val="left" w:pos="5214"/>
        </w:tabs>
        <w:spacing w:line="360" w:lineRule="auto"/>
        <w:jc w:val="center"/>
        <w:rPr>
          <w:rFonts w:eastAsia="Calibri"/>
          <w:sz w:val="22"/>
          <w:szCs w:val="22"/>
          <w:lang w:val="en-US" w:eastAsia="en-US"/>
        </w:rPr>
      </w:pPr>
      <w:r w:rsidRPr="000E4BEA">
        <w:rPr>
          <w:b/>
          <w:bCs/>
          <w:color w:val="000000"/>
          <w:sz w:val="22"/>
          <w:szCs w:val="22"/>
          <w:lang w:val="en-US" w:eastAsia="en-US"/>
        </w:rPr>
        <w:lastRenderedPageBreak/>
        <w:t xml:space="preserve">Table 3 - </w:t>
      </w:r>
      <w:r w:rsidRPr="000E4BEA">
        <w:rPr>
          <w:color w:val="000000"/>
          <w:sz w:val="22"/>
          <w:szCs w:val="22"/>
          <w:lang w:val="en-US" w:eastAsia="en-US"/>
        </w:rPr>
        <w:t>Characteristics of the population variables in 2021</w:t>
      </w:r>
    </w:p>
    <w:p w14:paraId="2ADA9F13" w14:textId="6E75F82E" w:rsidR="003F4EDC" w:rsidRDefault="003F4EDC" w:rsidP="000E4BEA">
      <w:pPr>
        <w:tabs>
          <w:tab w:val="left" w:pos="5214"/>
        </w:tabs>
        <w:spacing w:line="360" w:lineRule="auto"/>
        <w:jc w:val="center"/>
        <w:rPr>
          <w:color w:val="000000"/>
          <w:sz w:val="16"/>
          <w:szCs w:val="16"/>
          <w:lang w:val="en-US" w:eastAsia="en-US"/>
        </w:rPr>
      </w:pPr>
      <w:r>
        <w:rPr>
          <w:noProof/>
          <w:color w:val="000000"/>
          <w:sz w:val="16"/>
          <w:szCs w:val="16"/>
          <w:lang w:val="en-US" w:eastAsia="en-US"/>
        </w:rPr>
        <w:drawing>
          <wp:inline distT="0" distB="0" distL="0" distR="0" wp14:anchorId="3EBEFAAA" wp14:editId="3DB1FFFB">
            <wp:extent cx="4981575" cy="3486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4981575" cy="3486150"/>
                    </a:xfrm>
                    <a:prstGeom prst="rect">
                      <a:avLst/>
                    </a:prstGeom>
                  </pic:spPr>
                </pic:pic>
              </a:graphicData>
            </a:graphic>
          </wp:inline>
        </w:drawing>
      </w:r>
    </w:p>
    <w:p w14:paraId="54131499" w14:textId="2CFABD7A" w:rsidR="000E4BEA" w:rsidRPr="000E4BEA" w:rsidRDefault="000E4BEA" w:rsidP="000E4BEA">
      <w:pPr>
        <w:tabs>
          <w:tab w:val="left" w:pos="5214"/>
        </w:tabs>
        <w:spacing w:line="360" w:lineRule="auto"/>
        <w:jc w:val="center"/>
        <w:rPr>
          <w:color w:val="000000"/>
          <w:sz w:val="16"/>
          <w:szCs w:val="16"/>
          <w:lang w:val="en-US" w:eastAsia="en-US"/>
        </w:rPr>
      </w:pPr>
      <w:proofErr w:type="spellStart"/>
      <w:r w:rsidRPr="000E4BEA">
        <w:rPr>
          <w:color w:val="000000"/>
          <w:sz w:val="16"/>
          <w:szCs w:val="16"/>
          <w:lang w:val="en-US" w:eastAsia="en-US"/>
        </w:rPr>
        <w:t>Tg</w:t>
      </w:r>
      <w:proofErr w:type="spellEnd"/>
      <w:r w:rsidRPr="000E4BEA">
        <w:rPr>
          <w:color w:val="000000"/>
          <w:sz w:val="16"/>
          <w:szCs w:val="16"/>
          <w:lang w:val="en-US" w:eastAsia="en-US"/>
        </w:rPr>
        <w:t xml:space="preserve">: triglycerides, </w:t>
      </w:r>
      <w:proofErr w:type="spellStart"/>
      <w:r w:rsidRPr="000E4BEA">
        <w:rPr>
          <w:color w:val="000000"/>
          <w:sz w:val="16"/>
          <w:szCs w:val="16"/>
          <w:lang w:val="en-US" w:eastAsia="en-US"/>
        </w:rPr>
        <w:t>Gl</w:t>
      </w:r>
      <w:proofErr w:type="spellEnd"/>
      <w:r w:rsidRPr="000E4BEA">
        <w:rPr>
          <w:color w:val="000000"/>
          <w:sz w:val="16"/>
          <w:szCs w:val="16"/>
          <w:lang w:val="en-US" w:eastAsia="en-US"/>
        </w:rPr>
        <w:t xml:space="preserve">: Glucose, </w:t>
      </w:r>
      <w:proofErr w:type="spellStart"/>
      <w:r w:rsidRPr="000E4BEA">
        <w:rPr>
          <w:color w:val="000000"/>
          <w:sz w:val="16"/>
          <w:szCs w:val="16"/>
          <w:lang w:val="en-US" w:eastAsia="en-US"/>
        </w:rPr>
        <w:t>Sp</w:t>
      </w:r>
      <w:proofErr w:type="spellEnd"/>
      <w:r w:rsidRPr="000E4BEA">
        <w:rPr>
          <w:color w:val="000000"/>
          <w:sz w:val="16"/>
          <w:szCs w:val="16"/>
          <w:lang w:val="en-US" w:eastAsia="en-US"/>
        </w:rPr>
        <w:t xml:space="preserve">: </w:t>
      </w:r>
      <w:r w:rsidR="00D85B61" w:rsidRPr="000E4BEA">
        <w:rPr>
          <w:color w:val="000000"/>
          <w:sz w:val="16"/>
          <w:szCs w:val="16"/>
          <w:lang w:val="en-US" w:eastAsia="en-US"/>
        </w:rPr>
        <w:t>Systolic</w:t>
      </w:r>
      <w:r w:rsidRPr="000E4BEA">
        <w:rPr>
          <w:color w:val="000000"/>
          <w:sz w:val="16"/>
          <w:szCs w:val="16"/>
          <w:lang w:val="en-US" w:eastAsia="en-US"/>
        </w:rPr>
        <w:t xml:space="preserve"> pressure, </w:t>
      </w:r>
      <w:proofErr w:type="spellStart"/>
      <w:r w:rsidRPr="000E4BEA">
        <w:rPr>
          <w:color w:val="000000"/>
          <w:sz w:val="16"/>
          <w:szCs w:val="16"/>
          <w:lang w:val="en-US" w:eastAsia="en-US"/>
        </w:rPr>
        <w:t>Dp</w:t>
      </w:r>
      <w:proofErr w:type="spellEnd"/>
      <w:r w:rsidRPr="000E4BEA">
        <w:rPr>
          <w:color w:val="000000"/>
          <w:sz w:val="16"/>
          <w:szCs w:val="16"/>
          <w:lang w:val="en-US" w:eastAsia="en-US"/>
        </w:rPr>
        <w:t xml:space="preserve">: Diastolic pressure, BMI: body mass index, WHR: waist-hip ratio, </w:t>
      </w:r>
      <w:proofErr w:type="spellStart"/>
      <w:r w:rsidRPr="000E4BEA">
        <w:rPr>
          <w:color w:val="000000"/>
          <w:sz w:val="16"/>
          <w:szCs w:val="16"/>
          <w:lang w:val="en-US" w:eastAsia="en-US"/>
        </w:rPr>
        <w:t>WHtR</w:t>
      </w:r>
      <w:proofErr w:type="spellEnd"/>
      <w:r w:rsidRPr="000E4BEA">
        <w:rPr>
          <w:color w:val="000000"/>
          <w:sz w:val="16"/>
          <w:szCs w:val="16"/>
          <w:lang w:val="en-US" w:eastAsia="en-US"/>
        </w:rPr>
        <w:t xml:space="preserve">: waist to height ratio, WWR: weight to waist ratio, Min: minimum, Max: maximum, Med: median, Num: number, SE: standard error, SD: standard deviation, </w:t>
      </w:r>
      <w:proofErr w:type="spellStart"/>
      <w:r w:rsidRPr="000E4BEA">
        <w:rPr>
          <w:color w:val="000000"/>
          <w:sz w:val="16"/>
          <w:szCs w:val="16"/>
          <w:lang w:val="en-US" w:eastAsia="en-US"/>
        </w:rPr>
        <w:t>MetSyn</w:t>
      </w:r>
      <w:proofErr w:type="spellEnd"/>
      <w:r w:rsidRPr="000E4BEA">
        <w:rPr>
          <w:color w:val="000000"/>
          <w:sz w:val="16"/>
          <w:szCs w:val="16"/>
          <w:lang w:val="en-US" w:eastAsia="en-US"/>
        </w:rPr>
        <w:t xml:space="preserve">: metabolic syndrome, </w:t>
      </w:r>
      <w:proofErr w:type="spellStart"/>
      <w:r w:rsidRPr="000E4BEA">
        <w:rPr>
          <w:color w:val="000000"/>
          <w:sz w:val="16"/>
          <w:szCs w:val="16"/>
          <w:lang w:val="en-US" w:eastAsia="en-US"/>
        </w:rPr>
        <w:t>No_MetSyn</w:t>
      </w:r>
      <w:proofErr w:type="spellEnd"/>
      <w:r w:rsidRPr="000E4BEA">
        <w:rPr>
          <w:color w:val="000000"/>
          <w:sz w:val="16"/>
          <w:szCs w:val="16"/>
          <w:lang w:val="en-US" w:eastAsia="en-US"/>
        </w:rPr>
        <w:t>: No metabolic syndrome.</w:t>
      </w:r>
    </w:p>
    <w:p w14:paraId="7B0A1EC0" w14:textId="77777777" w:rsidR="000E4BEA" w:rsidRPr="000E4BEA" w:rsidRDefault="000E4BEA" w:rsidP="000E4BEA">
      <w:pPr>
        <w:tabs>
          <w:tab w:val="left" w:pos="5214"/>
        </w:tabs>
        <w:spacing w:line="360" w:lineRule="auto"/>
        <w:rPr>
          <w:rFonts w:eastAsia="Calibri"/>
          <w:sz w:val="16"/>
          <w:szCs w:val="16"/>
          <w:lang w:val="en-US" w:eastAsia="en-US"/>
        </w:rPr>
      </w:pPr>
    </w:p>
    <w:p w14:paraId="4E4A9E8A"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In addition, when analyzing the population that developed metabolic syndrome, according to ATP III criteria, during the year 2019, an average waist circumference of 97.05 cm was evidenced, as well as an average hip circumference of 99.90 cm, body mass index of 27.68 kg/m</w:t>
      </w:r>
      <w:r w:rsidRPr="000E4BEA">
        <w:rPr>
          <w:rFonts w:eastAsia="Calibri"/>
          <w:vertAlign w:val="superscript"/>
          <w:lang w:val="en-US" w:eastAsia="en-US"/>
        </w:rPr>
        <w:t>2</w:t>
      </w:r>
      <w:r w:rsidRPr="000E4BEA">
        <w:rPr>
          <w:rFonts w:eastAsia="Calibri"/>
          <w:lang w:val="en-US" w:eastAsia="en-US"/>
        </w:rPr>
        <w:t>, waist-hip ratio of 0.97, waist-height ratio of 0.58, fat percentage of 26.22 and weight-to-waist ratio of 0.81 (table 1).</w:t>
      </w:r>
    </w:p>
    <w:p w14:paraId="1FB0F877"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In the population diagnosed with metabolic syndrome in the year 2020, according to ALAD criteria, there is evidence of an average waist circumference of 99.25 cm, as well as an average hip circumference of 100.75 cm, body mass index of 28.77 kg/m</w:t>
      </w:r>
      <w:r w:rsidRPr="000E4BEA">
        <w:rPr>
          <w:rFonts w:eastAsia="Calibri"/>
          <w:vertAlign w:val="superscript"/>
          <w:lang w:val="en-US" w:eastAsia="en-US"/>
        </w:rPr>
        <w:t>2</w:t>
      </w:r>
      <w:r w:rsidRPr="000E4BEA">
        <w:rPr>
          <w:rFonts w:eastAsia="Calibri"/>
          <w:lang w:val="en-US" w:eastAsia="en-US"/>
        </w:rPr>
        <w:t>, waist-hip ratio of 0.99, waist-height ratio of 0.60, fat percentage of 30.92 and waist-weight ratio of 0.80 (table 2).</w:t>
      </w:r>
    </w:p>
    <w:p w14:paraId="6338A905"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 xml:space="preserve">Likewise, in the population with metabolic syndrome, according to ATP III criteria, the average waist circumference of 95.89 cm, as well as an average hip circumference of 98.67 cm, body mass index of </w:t>
      </w:r>
      <w:r w:rsidRPr="000E4BEA">
        <w:rPr>
          <w:rFonts w:eastAsia="Calibri"/>
          <w:lang w:val="en-US" w:eastAsia="en-US"/>
        </w:rPr>
        <w:lastRenderedPageBreak/>
        <w:t>27.96 kg/m</w:t>
      </w:r>
      <w:r w:rsidRPr="000E4BEA">
        <w:rPr>
          <w:rFonts w:eastAsia="Calibri"/>
          <w:vertAlign w:val="superscript"/>
          <w:lang w:val="en-US" w:eastAsia="en-US"/>
        </w:rPr>
        <w:t>2</w:t>
      </w:r>
      <w:r w:rsidRPr="000E4BEA">
        <w:rPr>
          <w:rFonts w:eastAsia="Calibri"/>
          <w:lang w:val="en-US" w:eastAsia="en-US"/>
        </w:rPr>
        <w:t>, waist-hip ratio of 0.97, waist-height ratio of 0.57, fat percentage of 29.18 and weight-to-waist ratio of 0.82 (table 2).</w:t>
      </w:r>
    </w:p>
    <w:p w14:paraId="0FB92313"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Finally, in 2021, in the population with metabolic syndrome, according to ALAD criteria, a mean waist circumference of 96.50 cm, in addition, a mean hip circumference of 100 cm, a body mass index of 28.20 kg/m</w:t>
      </w:r>
      <w:r w:rsidRPr="000E4BEA">
        <w:rPr>
          <w:rFonts w:eastAsia="Calibri"/>
          <w:vertAlign w:val="superscript"/>
          <w:lang w:val="en-US" w:eastAsia="en-US"/>
        </w:rPr>
        <w:t>2</w:t>
      </w:r>
      <w:r w:rsidRPr="000E4BEA">
        <w:rPr>
          <w:rFonts w:eastAsia="Calibri"/>
          <w:lang w:val="en-US" w:eastAsia="en-US"/>
        </w:rPr>
        <w:t>, waist-hip ratio of 0.97, waist-height ratio of 0.58, fat percentage of 28.56 and weight-to-waist ratio of 0.83 (table 3).</w:t>
      </w:r>
    </w:p>
    <w:p w14:paraId="4C8345DA"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Likewise, in the population with metabolic syndrome, according to ATP III criteria, there is evidence of an average waist circumference of 93.87 cm, as well as an average hip circumference of 98.40 cm, body mass index of 28.69 kg/m</w:t>
      </w:r>
      <w:r w:rsidRPr="000E4BEA">
        <w:rPr>
          <w:rFonts w:eastAsia="Calibri"/>
          <w:vertAlign w:val="superscript"/>
          <w:lang w:val="en-US" w:eastAsia="en-US"/>
        </w:rPr>
        <w:t>2</w:t>
      </w:r>
      <w:r w:rsidRPr="000E4BEA">
        <w:rPr>
          <w:rFonts w:eastAsia="Calibri"/>
          <w:lang w:val="en-US" w:eastAsia="en-US"/>
        </w:rPr>
        <w:t>, waist-hip ratio of 0.96, waist-height ratio of 0.56, fat percentage of 28.30 and weight-to-waist ratio of 0.83 (table 3).</w:t>
      </w:r>
    </w:p>
    <w:p w14:paraId="631B8DA4"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When analyzing the results of the optimal cut-off points of anthropometric indices that predict the diagnosis of metabolic syndrome, according to the ALAD diagnostic criteria, in 2019, the waist-height ratio (&gt; 0.57) and the waist circumference (&gt; 96) have a bigger area under the curve (AUC: 0.937 and 0.942, respectively), presenting a p-value of &lt; 0.0001 (table 4).</w:t>
      </w:r>
    </w:p>
    <w:p w14:paraId="3315B76D"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Likewise, in 2020, the waist-to-height ratio (&gt;0,54) and the waist circumference (&gt; 96.5) have a larger area under the curve (AUC: 0.854 and 0.901, respectively), presenting a p-value of &lt; 0.0001 (table 4).</w:t>
      </w:r>
    </w:p>
    <w:p w14:paraId="632AAB2F" w14:textId="77777777" w:rsidR="000E4BEA" w:rsidRPr="000E4BEA" w:rsidRDefault="000E4BEA" w:rsidP="000E4BEA">
      <w:pPr>
        <w:spacing w:line="360" w:lineRule="auto"/>
        <w:contextualSpacing/>
        <w:jc w:val="both"/>
        <w:rPr>
          <w:rFonts w:eastAsia="Calibri"/>
          <w:lang w:val="en-US" w:eastAsia="en-US"/>
        </w:rPr>
      </w:pPr>
    </w:p>
    <w:p w14:paraId="6D3C1EF4" w14:textId="77777777" w:rsidR="007F4441" w:rsidRDefault="007F4441">
      <w:pPr>
        <w:rPr>
          <w:b/>
          <w:bCs/>
          <w:color w:val="000000"/>
          <w:sz w:val="22"/>
          <w:szCs w:val="22"/>
          <w:lang w:val="en-US" w:eastAsia="en-US"/>
        </w:rPr>
      </w:pPr>
      <w:r>
        <w:rPr>
          <w:b/>
          <w:bCs/>
          <w:color w:val="000000"/>
          <w:sz w:val="22"/>
          <w:szCs w:val="22"/>
          <w:lang w:val="en-US" w:eastAsia="en-US"/>
        </w:rPr>
        <w:br w:type="page"/>
      </w:r>
    </w:p>
    <w:p w14:paraId="76F61B10" w14:textId="35DFFEBB" w:rsidR="000E4BEA" w:rsidRPr="000E4BEA" w:rsidRDefault="000E4BEA" w:rsidP="000E4BEA">
      <w:pPr>
        <w:spacing w:line="360" w:lineRule="auto"/>
        <w:contextualSpacing/>
        <w:jc w:val="center"/>
        <w:rPr>
          <w:rFonts w:eastAsia="Calibri"/>
          <w:lang w:val="en-US" w:eastAsia="en-US"/>
        </w:rPr>
      </w:pPr>
      <w:r w:rsidRPr="000E4BEA">
        <w:rPr>
          <w:b/>
          <w:bCs/>
          <w:color w:val="000000"/>
          <w:sz w:val="22"/>
          <w:szCs w:val="22"/>
          <w:lang w:val="en-US" w:eastAsia="en-US"/>
        </w:rPr>
        <w:lastRenderedPageBreak/>
        <w:t>Table 4 -</w:t>
      </w:r>
      <w:r w:rsidRPr="000E4BEA">
        <w:rPr>
          <w:color w:val="000000"/>
          <w:sz w:val="22"/>
          <w:szCs w:val="22"/>
          <w:lang w:val="en-US" w:eastAsia="en-US"/>
        </w:rPr>
        <w:t xml:space="preserve"> Optimal cohort of the anthropometric indices for prediction of metabolic syndrome, according to ALAD criteria, in military personnel.</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976"/>
        <w:gridCol w:w="698"/>
        <w:gridCol w:w="932"/>
        <w:gridCol w:w="698"/>
        <w:gridCol w:w="698"/>
        <w:gridCol w:w="2104"/>
        <w:gridCol w:w="1001"/>
      </w:tblGrid>
      <w:tr w:rsidR="000E4BEA" w:rsidRPr="000E4BEA" w14:paraId="2F492F93" w14:textId="77777777" w:rsidTr="007F4441">
        <w:trPr>
          <w:trHeight w:val="123"/>
          <w:jc w:val="center"/>
        </w:trPr>
        <w:tc>
          <w:tcPr>
            <w:tcW w:w="2160" w:type="dxa"/>
            <w:shd w:val="clear" w:color="auto" w:fill="auto"/>
            <w:noWrap/>
            <w:vAlign w:val="center"/>
            <w:hideMark/>
          </w:tcPr>
          <w:p w14:paraId="5A7931B7"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Variable</w:t>
            </w:r>
          </w:p>
        </w:tc>
        <w:tc>
          <w:tcPr>
            <w:tcW w:w="976" w:type="dxa"/>
            <w:shd w:val="clear" w:color="auto" w:fill="auto"/>
            <w:noWrap/>
            <w:vAlign w:val="center"/>
            <w:hideMark/>
          </w:tcPr>
          <w:p w14:paraId="767531E3"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Criteria</w:t>
            </w:r>
          </w:p>
        </w:tc>
        <w:tc>
          <w:tcPr>
            <w:tcW w:w="698" w:type="dxa"/>
            <w:shd w:val="clear" w:color="auto" w:fill="auto"/>
            <w:noWrap/>
            <w:vAlign w:val="center"/>
            <w:hideMark/>
          </w:tcPr>
          <w:p w14:paraId="0907CDB3"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AUC</w:t>
            </w:r>
          </w:p>
        </w:tc>
        <w:tc>
          <w:tcPr>
            <w:tcW w:w="932" w:type="dxa"/>
            <w:shd w:val="clear" w:color="auto" w:fill="auto"/>
            <w:noWrap/>
            <w:vAlign w:val="center"/>
            <w:hideMark/>
          </w:tcPr>
          <w:p w14:paraId="0B6B05CD"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SE</w:t>
            </w:r>
          </w:p>
        </w:tc>
        <w:tc>
          <w:tcPr>
            <w:tcW w:w="698" w:type="dxa"/>
            <w:shd w:val="clear" w:color="auto" w:fill="auto"/>
            <w:noWrap/>
            <w:vAlign w:val="center"/>
            <w:hideMark/>
          </w:tcPr>
          <w:p w14:paraId="23CA3EAC"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Se</w:t>
            </w:r>
          </w:p>
        </w:tc>
        <w:tc>
          <w:tcPr>
            <w:tcW w:w="698" w:type="dxa"/>
            <w:shd w:val="clear" w:color="auto" w:fill="auto"/>
            <w:noWrap/>
            <w:vAlign w:val="center"/>
            <w:hideMark/>
          </w:tcPr>
          <w:p w14:paraId="20D324FA"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w:t>
            </w:r>
          </w:p>
        </w:tc>
        <w:tc>
          <w:tcPr>
            <w:tcW w:w="2104" w:type="dxa"/>
            <w:shd w:val="clear" w:color="auto" w:fill="auto"/>
            <w:vAlign w:val="center"/>
            <w:hideMark/>
          </w:tcPr>
          <w:p w14:paraId="5F3E5227"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Confidence Interval</w:t>
            </w:r>
          </w:p>
        </w:tc>
        <w:tc>
          <w:tcPr>
            <w:tcW w:w="1001" w:type="dxa"/>
            <w:shd w:val="clear" w:color="auto" w:fill="auto"/>
            <w:noWrap/>
            <w:vAlign w:val="center"/>
            <w:hideMark/>
          </w:tcPr>
          <w:p w14:paraId="74E27902"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p</w:t>
            </w:r>
          </w:p>
        </w:tc>
      </w:tr>
      <w:tr w:rsidR="000E4BEA" w:rsidRPr="000E4BEA" w14:paraId="45B1A4A9" w14:textId="77777777" w:rsidTr="0076141F">
        <w:trPr>
          <w:trHeight w:val="262"/>
          <w:jc w:val="center"/>
        </w:trPr>
        <w:tc>
          <w:tcPr>
            <w:tcW w:w="2160" w:type="dxa"/>
            <w:shd w:val="clear" w:color="auto" w:fill="auto"/>
            <w:noWrap/>
            <w:vAlign w:val="center"/>
            <w:hideMark/>
          </w:tcPr>
          <w:p w14:paraId="25B2D8F8"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Waist_2019</w:t>
            </w:r>
          </w:p>
        </w:tc>
        <w:tc>
          <w:tcPr>
            <w:tcW w:w="976" w:type="dxa"/>
            <w:shd w:val="clear" w:color="auto" w:fill="auto"/>
            <w:noWrap/>
            <w:vAlign w:val="center"/>
            <w:hideMark/>
          </w:tcPr>
          <w:p w14:paraId="593A6F4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97</w:t>
            </w:r>
          </w:p>
        </w:tc>
        <w:tc>
          <w:tcPr>
            <w:tcW w:w="698" w:type="dxa"/>
            <w:shd w:val="clear" w:color="auto" w:fill="auto"/>
            <w:noWrap/>
            <w:vAlign w:val="center"/>
            <w:hideMark/>
          </w:tcPr>
          <w:p w14:paraId="31CB875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0.835</w:t>
            </w:r>
          </w:p>
        </w:tc>
        <w:tc>
          <w:tcPr>
            <w:tcW w:w="932" w:type="dxa"/>
            <w:shd w:val="clear" w:color="auto" w:fill="auto"/>
            <w:noWrap/>
            <w:vAlign w:val="center"/>
            <w:hideMark/>
          </w:tcPr>
          <w:p w14:paraId="6814670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0.0803</w:t>
            </w:r>
          </w:p>
        </w:tc>
        <w:tc>
          <w:tcPr>
            <w:tcW w:w="698" w:type="dxa"/>
            <w:shd w:val="clear" w:color="auto" w:fill="auto"/>
            <w:noWrap/>
            <w:vAlign w:val="center"/>
            <w:hideMark/>
          </w:tcPr>
          <w:p w14:paraId="71C06CF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auto" w:fill="auto"/>
            <w:noWrap/>
            <w:vAlign w:val="center"/>
            <w:hideMark/>
          </w:tcPr>
          <w:p w14:paraId="7E22787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65.99</w:t>
            </w:r>
          </w:p>
        </w:tc>
        <w:tc>
          <w:tcPr>
            <w:tcW w:w="2104" w:type="dxa"/>
            <w:shd w:val="clear" w:color="auto" w:fill="auto"/>
            <w:noWrap/>
            <w:vAlign w:val="center"/>
            <w:hideMark/>
          </w:tcPr>
          <w:p w14:paraId="0B740A3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0.788 – 0.875</w:t>
            </w:r>
          </w:p>
        </w:tc>
        <w:tc>
          <w:tcPr>
            <w:tcW w:w="1001" w:type="dxa"/>
            <w:shd w:val="clear" w:color="auto" w:fill="auto"/>
            <w:noWrap/>
            <w:vAlign w:val="center"/>
            <w:hideMark/>
          </w:tcPr>
          <w:p w14:paraId="7DB9384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712D635" w14:textId="77777777" w:rsidTr="0076141F">
        <w:trPr>
          <w:trHeight w:val="262"/>
          <w:jc w:val="center"/>
        </w:trPr>
        <w:tc>
          <w:tcPr>
            <w:tcW w:w="2160" w:type="dxa"/>
            <w:shd w:val="clear" w:color="000000" w:fill="FFFFFF"/>
            <w:noWrap/>
            <w:vAlign w:val="center"/>
            <w:hideMark/>
          </w:tcPr>
          <w:p w14:paraId="4B06B458"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Hip_2019</w:t>
            </w:r>
          </w:p>
        </w:tc>
        <w:tc>
          <w:tcPr>
            <w:tcW w:w="976" w:type="dxa"/>
            <w:shd w:val="clear" w:color="000000" w:fill="FFFFFF"/>
            <w:noWrap/>
            <w:vAlign w:val="center"/>
            <w:hideMark/>
          </w:tcPr>
          <w:p w14:paraId="5B4182B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96</w:t>
            </w:r>
          </w:p>
        </w:tc>
        <w:tc>
          <w:tcPr>
            <w:tcW w:w="698" w:type="dxa"/>
            <w:shd w:val="clear" w:color="000000" w:fill="FFFFFF"/>
            <w:noWrap/>
            <w:vAlign w:val="center"/>
            <w:hideMark/>
          </w:tcPr>
          <w:p w14:paraId="7B406BC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0.937</w:t>
            </w:r>
          </w:p>
        </w:tc>
        <w:tc>
          <w:tcPr>
            <w:tcW w:w="932" w:type="dxa"/>
            <w:shd w:val="clear" w:color="000000" w:fill="FFFFFF"/>
            <w:noWrap/>
            <w:vAlign w:val="center"/>
            <w:hideMark/>
          </w:tcPr>
          <w:p w14:paraId="7173FEE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0.0391</w:t>
            </w:r>
          </w:p>
        </w:tc>
        <w:tc>
          <w:tcPr>
            <w:tcW w:w="698" w:type="dxa"/>
            <w:shd w:val="clear" w:color="000000" w:fill="FFFFFF"/>
            <w:noWrap/>
            <w:vAlign w:val="center"/>
            <w:hideMark/>
          </w:tcPr>
          <w:p w14:paraId="0A06813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3697F5B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84.18</w:t>
            </w:r>
          </w:p>
        </w:tc>
        <w:tc>
          <w:tcPr>
            <w:tcW w:w="2104" w:type="dxa"/>
            <w:shd w:val="clear" w:color="000000" w:fill="FFFFFF"/>
            <w:noWrap/>
            <w:vAlign w:val="center"/>
            <w:hideMark/>
          </w:tcPr>
          <w:p w14:paraId="7EBA6C6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0.903 – 0.962</w:t>
            </w:r>
          </w:p>
        </w:tc>
        <w:tc>
          <w:tcPr>
            <w:tcW w:w="1001" w:type="dxa"/>
            <w:shd w:val="clear" w:color="000000" w:fill="FFFFFF"/>
            <w:noWrap/>
            <w:vAlign w:val="center"/>
            <w:hideMark/>
          </w:tcPr>
          <w:p w14:paraId="50DDC67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4CF4A9D" w14:textId="77777777" w:rsidTr="0076141F">
        <w:trPr>
          <w:trHeight w:val="262"/>
          <w:jc w:val="center"/>
        </w:trPr>
        <w:tc>
          <w:tcPr>
            <w:tcW w:w="2160" w:type="dxa"/>
            <w:shd w:val="clear" w:color="000000" w:fill="FFFFFF"/>
            <w:noWrap/>
            <w:vAlign w:val="center"/>
            <w:hideMark/>
          </w:tcPr>
          <w:p w14:paraId="58B0A471"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_2019</w:t>
            </w:r>
          </w:p>
        </w:tc>
        <w:tc>
          <w:tcPr>
            <w:tcW w:w="976" w:type="dxa"/>
            <w:shd w:val="clear" w:color="000000" w:fill="FFFFFF"/>
            <w:noWrap/>
            <w:vAlign w:val="center"/>
            <w:hideMark/>
          </w:tcPr>
          <w:p w14:paraId="0BA1603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26.81</w:t>
            </w:r>
          </w:p>
        </w:tc>
        <w:tc>
          <w:tcPr>
            <w:tcW w:w="698" w:type="dxa"/>
            <w:shd w:val="clear" w:color="000000" w:fill="FFFFFF"/>
            <w:noWrap/>
            <w:vAlign w:val="center"/>
            <w:hideMark/>
          </w:tcPr>
          <w:p w14:paraId="48F3E2C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0.917</w:t>
            </w:r>
          </w:p>
        </w:tc>
        <w:tc>
          <w:tcPr>
            <w:tcW w:w="932" w:type="dxa"/>
            <w:shd w:val="clear" w:color="000000" w:fill="FFFFFF"/>
            <w:noWrap/>
            <w:vAlign w:val="center"/>
            <w:hideMark/>
          </w:tcPr>
          <w:p w14:paraId="4F51031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w:t>
            </w:r>
          </w:p>
        </w:tc>
        <w:tc>
          <w:tcPr>
            <w:tcW w:w="698" w:type="dxa"/>
            <w:shd w:val="clear" w:color="000000" w:fill="FFFFFF"/>
            <w:noWrap/>
            <w:vAlign w:val="center"/>
            <w:hideMark/>
          </w:tcPr>
          <w:p w14:paraId="71EFF4F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1D95E51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84.85</w:t>
            </w:r>
          </w:p>
        </w:tc>
        <w:tc>
          <w:tcPr>
            <w:tcW w:w="2104" w:type="dxa"/>
            <w:shd w:val="clear" w:color="000000" w:fill="FFFFFF"/>
            <w:noWrap/>
            <w:vAlign w:val="center"/>
            <w:hideMark/>
          </w:tcPr>
          <w:p w14:paraId="1A81E40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0.880 – 0.946</w:t>
            </w:r>
          </w:p>
        </w:tc>
        <w:tc>
          <w:tcPr>
            <w:tcW w:w="1001" w:type="dxa"/>
            <w:shd w:val="clear" w:color="000000" w:fill="FFFFFF"/>
            <w:noWrap/>
            <w:vAlign w:val="center"/>
            <w:hideMark/>
          </w:tcPr>
          <w:p w14:paraId="0416412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720FC2D" w14:textId="77777777" w:rsidTr="0076141F">
        <w:trPr>
          <w:trHeight w:val="262"/>
          <w:jc w:val="center"/>
        </w:trPr>
        <w:tc>
          <w:tcPr>
            <w:tcW w:w="2160" w:type="dxa"/>
            <w:shd w:val="clear" w:color="000000" w:fill="FFFFFF"/>
            <w:noWrap/>
            <w:vAlign w:val="center"/>
            <w:hideMark/>
          </w:tcPr>
          <w:p w14:paraId="7F6E5F1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WHR_2019</w:t>
            </w:r>
          </w:p>
        </w:tc>
        <w:tc>
          <w:tcPr>
            <w:tcW w:w="976" w:type="dxa"/>
            <w:shd w:val="clear" w:color="000000" w:fill="FFFFFF"/>
            <w:noWrap/>
            <w:vAlign w:val="center"/>
            <w:hideMark/>
          </w:tcPr>
          <w:p w14:paraId="48440C4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0.96</w:t>
            </w:r>
          </w:p>
        </w:tc>
        <w:tc>
          <w:tcPr>
            <w:tcW w:w="698" w:type="dxa"/>
            <w:shd w:val="clear" w:color="000000" w:fill="FFFFFF"/>
            <w:noWrap/>
            <w:vAlign w:val="center"/>
            <w:hideMark/>
          </w:tcPr>
          <w:p w14:paraId="75985F9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0.831</w:t>
            </w:r>
          </w:p>
        </w:tc>
        <w:tc>
          <w:tcPr>
            <w:tcW w:w="932" w:type="dxa"/>
            <w:shd w:val="clear" w:color="000000" w:fill="FFFFFF"/>
            <w:noWrap/>
            <w:vAlign w:val="center"/>
            <w:hideMark/>
          </w:tcPr>
          <w:p w14:paraId="7198864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0.0826</w:t>
            </w:r>
          </w:p>
        </w:tc>
        <w:tc>
          <w:tcPr>
            <w:tcW w:w="698" w:type="dxa"/>
            <w:shd w:val="clear" w:color="000000" w:fill="FFFFFF"/>
            <w:noWrap/>
            <w:vAlign w:val="center"/>
            <w:hideMark/>
          </w:tcPr>
          <w:p w14:paraId="03649BB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45B6F62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67</w:t>
            </w:r>
          </w:p>
        </w:tc>
        <w:tc>
          <w:tcPr>
            <w:tcW w:w="2104" w:type="dxa"/>
            <w:shd w:val="clear" w:color="000000" w:fill="FFFFFF"/>
            <w:noWrap/>
            <w:vAlign w:val="center"/>
            <w:hideMark/>
          </w:tcPr>
          <w:p w14:paraId="170D156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0.784 – 0.872</w:t>
            </w:r>
          </w:p>
        </w:tc>
        <w:tc>
          <w:tcPr>
            <w:tcW w:w="1001" w:type="dxa"/>
            <w:shd w:val="clear" w:color="000000" w:fill="FFFFFF"/>
            <w:noWrap/>
            <w:vAlign w:val="center"/>
            <w:hideMark/>
          </w:tcPr>
          <w:p w14:paraId="6BF9BEF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0.0001</w:t>
            </w:r>
          </w:p>
        </w:tc>
      </w:tr>
      <w:tr w:rsidR="000E4BEA" w:rsidRPr="000E4BEA" w14:paraId="60F76634" w14:textId="77777777" w:rsidTr="0076141F">
        <w:trPr>
          <w:trHeight w:val="262"/>
          <w:jc w:val="center"/>
        </w:trPr>
        <w:tc>
          <w:tcPr>
            <w:tcW w:w="2160" w:type="dxa"/>
            <w:shd w:val="clear" w:color="000000" w:fill="FFFFFF"/>
            <w:noWrap/>
            <w:vAlign w:val="center"/>
            <w:hideMark/>
          </w:tcPr>
          <w:p w14:paraId="7777256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WHtR_2019</w:t>
            </w:r>
          </w:p>
        </w:tc>
        <w:tc>
          <w:tcPr>
            <w:tcW w:w="976" w:type="dxa"/>
            <w:shd w:val="clear" w:color="000000" w:fill="FFFFFF"/>
            <w:noWrap/>
            <w:vAlign w:val="center"/>
            <w:hideMark/>
          </w:tcPr>
          <w:p w14:paraId="30E2150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0.57</w:t>
            </w:r>
          </w:p>
        </w:tc>
        <w:tc>
          <w:tcPr>
            <w:tcW w:w="698" w:type="dxa"/>
            <w:shd w:val="clear" w:color="000000" w:fill="FFFFFF"/>
            <w:noWrap/>
            <w:vAlign w:val="center"/>
            <w:hideMark/>
          </w:tcPr>
          <w:p w14:paraId="6C4E04F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0.942</w:t>
            </w:r>
          </w:p>
        </w:tc>
        <w:tc>
          <w:tcPr>
            <w:tcW w:w="932" w:type="dxa"/>
            <w:shd w:val="clear" w:color="000000" w:fill="FFFFFF"/>
            <w:noWrap/>
            <w:vAlign w:val="center"/>
            <w:hideMark/>
          </w:tcPr>
          <w:p w14:paraId="0821338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0.0444</w:t>
            </w:r>
          </w:p>
        </w:tc>
        <w:tc>
          <w:tcPr>
            <w:tcW w:w="698" w:type="dxa"/>
            <w:shd w:val="clear" w:color="000000" w:fill="FFFFFF"/>
            <w:noWrap/>
            <w:vAlign w:val="center"/>
            <w:hideMark/>
          </w:tcPr>
          <w:p w14:paraId="7CC273B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4ADE441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82.15</w:t>
            </w:r>
          </w:p>
        </w:tc>
        <w:tc>
          <w:tcPr>
            <w:tcW w:w="2104" w:type="dxa"/>
            <w:shd w:val="clear" w:color="000000" w:fill="FFFFFF"/>
            <w:noWrap/>
            <w:vAlign w:val="center"/>
            <w:hideMark/>
          </w:tcPr>
          <w:p w14:paraId="4BE7161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0.909 – 0.966</w:t>
            </w:r>
          </w:p>
        </w:tc>
        <w:tc>
          <w:tcPr>
            <w:tcW w:w="1001" w:type="dxa"/>
            <w:shd w:val="clear" w:color="000000" w:fill="FFFFFF"/>
            <w:noWrap/>
            <w:vAlign w:val="center"/>
            <w:hideMark/>
          </w:tcPr>
          <w:p w14:paraId="7B46AA1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40B91705" w14:textId="77777777" w:rsidTr="0076141F">
        <w:trPr>
          <w:trHeight w:val="262"/>
          <w:jc w:val="center"/>
        </w:trPr>
        <w:tc>
          <w:tcPr>
            <w:tcW w:w="2160" w:type="dxa"/>
            <w:shd w:val="clear" w:color="auto" w:fill="auto"/>
            <w:noWrap/>
            <w:vAlign w:val="center"/>
            <w:hideMark/>
          </w:tcPr>
          <w:p w14:paraId="0E18C7DD"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BMI_2019</w:t>
            </w:r>
          </w:p>
        </w:tc>
        <w:tc>
          <w:tcPr>
            <w:tcW w:w="976" w:type="dxa"/>
            <w:shd w:val="clear" w:color="auto" w:fill="auto"/>
            <w:noWrap/>
            <w:vAlign w:val="center"/>
            <w:hideMark/>
          </w:tcPr>
          <w:p w14:paraId="67B81D2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27.97</w:t>
            </w:r>
          </w:p>
        </w:tc>
        <w:tc>
          <w:tcPr>
            <w:tcW w:w="698" w:type="dxa"/>
            <w:shd w:val="clear" w:color="auto" w:fill="auto"/>
            <w:noWrap/>
            <w:vAlign w:val="center"/>
            <w:hideMark/>
          </w:tcPr>
          <w:p w14:paraId="1D4295D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0.891</w:t>
            </w:r>
          </w:p>
        </w:tc>
        <w:tc>
          <w:tcPr>
            <w:tcW w:w="932" w:type="dxa"/>
            <w:shd w:val="clear" w:color="auto" w:fill="auto"/>
            <w:noWrap/>
            <w:vAlign w:val="center"/>
            <w:hideMark/>
          </w:tcPr>
          <w:p w14:paraId="1E7C2A6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0.052</w:t>
            </w:r>
          </w:p>
        </w:tc>
        <w:tc>
          <w:tcPr>
            <w:tcW w:w="698" w:type="dxa"/>
            <w:shd w:val="clear" w:color="auto" w:fill="auto"/>
            <w:noWrap/>
            <w:vAlign w:val="center"/>
            <w:hideMark/>
          </w:tcPr>
          <w:p w14:paraId="1C74B46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auto" w:fill="auto"/>
            <w:noWrap/>
            <w:vAlign w:val="center"/>
            <w:hideMark/>
          </w:tcPr>
          <w:p w14:paraId="443A73B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82.83</w:t>
            </w:r>
          </w:p>
        </w:tc>
        <w:tc>
          <w:tcPr>
            <w:tcW w:w="2104" w:type="dxa"/>
            <w:shd w:val="clear" w:color="auto" w:fill="auto"/>
            <w:noWrap/>
            <w:vAlign w:val="center"/>
            <w:hideMark/>
          </w:tcPr>
          <w:p w14:paraId="1177181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0.850 – 0.924</w:t>
            </w:r>
          </w:p>
        </w:tc>
        <w:tc>
          <w:tcPr>
            <w:tcW w:w="1001" w:type="dxa"/>
            <w:shd w:val="clear" w:color="auto" w:fill="auto"/>
            <w:noWrap/>
            <w:vAlign w:val="center"/>
            <w:hideMark/>
          </w:tcPr>
          <w:p w14:paraId="20E3081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3FE387AE" w14:textId="77777777" w:rsidTr="0076141F">
        <w:trPr>
          <w:trHeight w:val="262"/>
          <w:jc w:val="center"/>
        </w:trPr>
        <w:tc>
          <w:tcPr>
            <w:tcW w:w="2160" w:type="dxa"/>
            <w:shd w:val="clear" w:color="auto" w:fill="auto"/>
            <w:noWrap/>
            <w:vAlign w:val="center"/>
            <w:hideMark/>
          </w:tcPr>
          <w:p w14:paraId="17B4E00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WWR_2019</w:t>
            </w:r>
          </w:p>
        </w:tc>
        <w:tc>
          <w:tcPr>
            <w:tcW w:w="976" w:type="dxa"/>
            <w:shd w:val="clear" w:color="auto" w:fill="auto"/>
            <w:noWrap/>
            <w:vAlign w:val="center"/>
            <w:hideMark/>
          </w:tcPr>
          <w:p w14:paraId="1104264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0.81</w:t>
            </w:r>
          </w:p>
        </w:tc>
        <w:tc>
          <w:tcPr>
            <w:tcW w:w="698" w:type="dxa"/>
            <w:shd w:val="clear" w:color="auto" w:fill="auto"/>
            <w:noWrap/>
            <w:vAlign w:val="center"/>
            <w:hideMark/>
          </w:tcPr>
          <w:p w14:paraId="673CECD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0.504</w:t>
            </w:r>
          </w:p>
        </w:tc>
        <w:tc>
          <w:tcPr>
            <w:tcW w:w="932" w:type="dxa"/>
            <w:shd w:val="clear" w:color="auto" w:fill="auto"/>
            <w:noWrap/>
            <w:vAlign w:val="center"/>
            <w:hideMark/>
          </w:tcPr>
          <w:p w14:paraId="27571B1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0.203</w:t>
            </w:r>
          </w:p>
        </w:tc>
        <w:tc>
          <w:tcPr>
            <w:tcW w:w="698" w:type="dxa"/>
            <w:shd w:val="clear" w:color="auto" w:fill="auto"/>
            <w:noWrap/>
            <w:vAlign w:val="center"/>
            <w:hideMark/>
          </w:tcPr>
          <w:p w14:paraId="53B8496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66.67</w:t>
            </w:r>
          </w:p>
        </w:tc>
        <w:tc>
          <w:tcPr>
            <w:tcW w:w="698" w:type="dxa"/>
            <w:shd w:val="clear" w:color="auto" w:fill="auto"/>
            <w:noWrap/>
            <w:vAlign w:val="center"/>
            <w:hideMark/>
          </w:tcPr>
          <w:p w14:paraId="5FE3F54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60.27</w:t>
            </w:r>
          </w:p>
        </w:tc>
        <w:tc>
          <w:tcPr>
            <w:tcW w:w="2104" w:type="dxa"/>
            <w:shd w:val="clear" w:color="auto" w:fill="auto"/>
            <w:noWrap/>
            <w:vAlign w:val="center"/>
            <w:hideMark/>
          </w:tcPr>
          <w:p w14:paraId="4745022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0.446 – 0.562</w:t>
            </w:r>
          </w:p>
        </w:tc>
        <w:tc>
          <w:tcPr>
            <w:tcW w:w="1001" w:type="dxa"/>
            <w:shd w:val="clear" w:color="auto" w:fill="auto"/>
            <w:noWrap/>
            <w:vAlign w:val="center"/>
            <w:hideMark/>
          </w:tcPr>
          <w:p w14:paraId="3D71555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0.9845</w:t>
            </w:r>
          </w:p>
        </w:tc>
      </w:tr>
      <w:tr w:rsidR="000E4BEA" w:rsidRPr="000E4BEA" w14:paraId="2C110AA7" w14:textId="77777777" w:rsidTr="0076141F">
        <w:trPr>
          <w:trHeight w:val="262"/>
          <w:jc w:val="center"/>
        </w:trPr>
        <w:tc>
          <w:tcPr>
            <w:tcW w:w="2160" w:type="dxa"/>
            <w:shd w:val="clear" w:color="auto" w:fill="auto"/>
            <w:noWrap/>
            <w:vAlign w:val="center"/>
            <w:hideMark/>
          </w:tcPr>
          <w:p w14:paraId="16D8E3F9"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Waist_2020</w:t>
            </w:r>
          </w:p>
        </w:tc>
        <w:tc>
          <w:tcPr>
            <w:tcW w:w="976" w:type="dxa"/>
            <w:shd w:val="clear" w:color="000000" w:fill="FFFFFF"/>
            <w:noWrap/>
            <w:vAlign w:val="center"/>
            <w:hideMark/>
          </w:tcPr>
          <w:p w14:paraId="19AE7F0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95</w:t>
            </w:r>
          </w:p>
        </w:tc>
        <w:tc>
          <w:tcPr>
            <w:tcW w:w="698" w:type="dxa"/>
            <w:shd w:val="clear" w:color="000000" w:fill="FFFFFF"/>
            <w:noWrap/>
            <w:vAlign w:val="center"/>
            <w:hideMark/>
          </w:tcPr>
          <w:p w14:paraId="564D0D6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0.823</w:t>
            </w:r>
          </w:p>
        </w:tc>
        <w:tc>
          <w:tcPr>
            <w:tcW w:w="932" w:type="dxa"/>
            <w:shd w:val="clear" w:color="000000" w:fill="FFFFFF"/>
            <w:noWrap/>
            <w:vAlign w:val="center"/>
            <w:hideMark/>
          </w:tcPr>
          <w:p w14:paraId="6507458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0.0308</w:t>
            </w:r>
          </w:p>
        </w:tc>
        <w:tc>
          <w:tcPr>
            <w:tcW w:w="698" w:type="dxa"/>
            <w:shd w:val="clear" w:color="000000" w:fill="FFFFFF"/>
            <w:noWrap/>
            <w:vAlign w:val="center"/>
            <w:hideMark/>
          </w:tcPr>
          <w:p w14:paraId="6302956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752B1A1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65.88</w:t>
            </w:r>
          </w:p>
        </w:tc>
        <w:tc>
          <w:tcPr>
            <w:tcW w:w="2104" w:type="dxa"/>
            <w:shd w:val="clear" w:color="000000" w:fill="FFFFFF"/>
            <w:noWrap/>
            <w:vAlign w:val="center"/>
            <w:hideMark/>
          </w:tcPr>
          <w:p w14:paraId="1195A82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0.861 – 0.932</w:t>
            </w:r>
          </w:p>
        </w:tc>
        <w:tc>
          <w:tcPr>
            <w:tcW w:w="1001" w:type="dxa"/>
            <w:shd w:val="clear" w:color="000000" w:fill="FFFFFF"/>
            <w:noWrap/>
            <w:vAlign w:val="center"/>
            <w:hideMark/>
          </w:tcPr>
          <w:p w14:paraId="355F822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20427019" w14:textId="77777777" w:rsidTr="0076141F">
        <w:trPr>
          <w:trHeight w:val="262"/>
          <w:jc w:val="center"/>
        </w:trPr>
        <w:tc>
          <w:tcPr>
            <w:tcW w:w="2160" w:type="dxa"/>
            <w:shd w:val="clear" w:color="000000" w:fill="FFFFFF"/>
            <w:noWrap/>
            <w:vAlign w:val="center"/>
            <w:hideMark/>
          </w:tcPr>
          <w:p w14:paraId="24D2858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Hip_2020</w:t>
            </w:r>
          </w:p>
        </w:tc>
        <w:tc>
          <w:tcPr>
            <w:tcW w:w="976" w:type="dxa"/>
            <w:shd w:val="clear" w:color="000000" w:fill="FFFFFF"/>
            <w:noWrap/>
            <w:vAlign w:val="center"/>
            <w:hideMark/>
          </w:tcPr>
          <w:p w14:paraId="3B5881B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96.5</w:t>
            </w:r>
          </w:p>
        </w:tc>
        <w:tc>
          <w:tcPr>
            <w:tcW w:w="698" w:type="dxa"/>
            <w:shd w:val="clear" w:color="000000" w:fill="FFFFFF"/>
            <w:noWrap/>
            <w:vAlign w:val="center"/>
            <w:hideMark/>
          </w:tcPr>
          <w:p w14:paraId="4D758A9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0.901</w:t>
            </w:r>
          </w:p>
        </w:tc>
        <w:tc>
          <w:tcPr>
            <w:tcW w:w="932" w:type="dxa"/>
            <w:shd w:val="clear" w:color="000000" w:fill="FFFFFF"/>
            <w:noWrap/>
            <w:vAlign w:val="center"/>
            <w:hideMark/>
          </w:tcPr>
          <w:p w14:paraId="3151E04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0.0548</w:t>
            </w:r>
          </w:p>
        </w:tc>
        <w:tc>
          <w:tcPr>
            <w:tcW w:w="698" w:type="dxa"/>
            <w:shd w:val="clear" w:color="000000" w:fill="FFFFFF"/>
            <w:noWrap/>
            <w:vAlign w:val="center"/>
            <w:hideMark/>
          </w:tcPr>
          <w:p w14:paraId="2D14CF9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126CB39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82.09</w:t>
            </w:r>
          </w:p>
        </w:tc>
        <w:tc>
          <w:tcPr>
            <w:tcW w:w="2104" w:type="dxa"/>
            <w:shd w:val="clear" w:color="000000" w:fill="FFFFFF"/>
            <w:noWrap/>
            <w:vAlign w:val="center"/>
            <w:hideMark/>
          </w:tcPr>
          <w:p w14:paraId="6F336D1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0.775 – 0.864</w:t>
            </w:r>
          </w:p>
        </w:tc>
        <w:tc>
          <w:tcPr>
            <w:tcW w:w="1001" w:type="dxa"/>
            <w:shd w:val="clear" w:color="000000" w:fill="FFFFFF"/>
            <w:noWrap/>
            <w:vAlign w:val="center"/>
            <w:hideMark/>
          </w:tcPr>
          <w:p w14:paraId="22EE04F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110ED358" w14:textId="77777777" w:rsidTr="0076141F">
        <w:trPr>
          <w:trHeight w:val="262"/>
          <w:jc w:val="center"/>
        </w:trPr>
        <w:tc>
          <w:tcPr>
            <w:tcW w:w="2160" w:type="dxa"/>
            <w:shd w:val="clear" w:color="000000" w:fill="FFFFFF"/>
            <w:noWrap/>
            <w:vAlign w:val="center"/>
            <w:hideMark/>
          </w:tcPr>
          <w:p w14:paraId="2FD3312C"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_2020</w:t>
            </w:r>
          </w:p>
        </w:tc>
        <w:tc>
          <w:tcPr>
            <w:tcW w:w="976" w:type="dxa"/>
            <w:shd w:val="clear" w:color="000000" w:fill="FFFFFF"/>
            <w:noWrap/>
            <w:vAlign w:val="center"/>
            <w:hideMark/>
          </w:tcPr>
          <w:p w14:paraId="5412206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26.95</w:t>
            </w:r>
          </w:p>
        </w:tc>
        <w:tc>
          <w:tcPr>
            <w:tcW w:w="698" w:type="dxa"/>
            <w:shd w:val="clear" w:color="000000" w:fill="FFFFFF"/>
            <w:noWrap/>
            <w:vAlign w:val="center"/>
            <w:hideMark/>
          </w:tcPr>
          <w:p w14:paraId="5671EAD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0.662</w:t>
            </w:r>
          </w:p>
        </w:tc>
        <w:tc>
          <w:tcPr>
            <w:tcW w:w="932" w:type="dxa"/>
            <w:shd w:val="clear" w:color="000000" w:fill="FFFFFF"/>
            <w:noWrap/>
            <w:vAlign w:val="center"/>
            <w:hideMark/>
          </w:tcPr>
          <w:p w14:paraId="6B4AB7E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0.116</w:t>
            </w:r>
          </w:p>
        </w:tc>
        <w:tc>
          <w:tcPr>
            <w:tcW w:w="698" w:type="dxa"/>
            <w:shd w:val="clear" w:color="000000" w:fill="FFFFFF"/>
            <w:noWrap/>
            <w:vAlign w:val="center"/>
            <w:hideMark/>
          </w:tcPr>
          <w:p w14:paraId="2C7F1B6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w:t>
            </w:r>
          </w:p>
        </w:tc>
        <w:tc>
          <w:tcPr>
            <w:tcW w:w="698" w:type="dxa"/>
            <w:shd w:val="clear" w:color="000000" w:fill="FFFFFF"/>
            <w:noWrap/>
            <w:vAlign w:val="center"/>
            <w:hideMark/>
          </w:tcPr>
          <w:p w14:paraId="234AEE4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61.82</w:t>
            </w:r>
          </w:p>
        </w:tc>
        <w:tc>
          <w:tcPr>
            <w:tcW w:w="2104" w:type="dxa"/>
            <w:shd w:val="clear" w:color="000000" w:fill="FFFFFF"/>
            <w:noWrap/>
            <w:vAlign w:val="center"/>
            <w:hideMark/>
          </w:tcPr>
          <w:p w14:paraId="0CA4B61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0.606 – 0.715</w:t>
            </w:r>
          </w:p>
        </w:tc>
        <w:tc>
          <w:tcPr>
            <w:tcW w:w="1001" w:type="dxa"/>
            <w:shd w:val="clear" w:color="000000" w:fill="FFFFFF"/>
            <w:noWrap/>
            <w:vAlign w:val="center"/>
            <w:hideMark/>
          </w:tcPr>
          <w:p w14:paraId="25E9AFE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0.1631</w:t>
            </w:r>
          </w:p>
        </w:tc>
      </w:tr>
      <w:tr w:rsidR="000E4BEA" w:rsidRPr="000E4BEA" w14:paraId="39E79085" w14:textId="77777777" w:rsidTr="0076141F">
        <w:trPr>
          <w:trHeight w:val="262"/>
          <w:jc w:val="center"/>
        </w:trPr>
        <w:tc>
          <w:tcPr>
            <w:tcW w:w="2160" w:type="dxa"/>
            <w:shd w:val="clear" w:color="000000" w:fill="FFFFFF"/>
            <w:noWrap/>
            <w:vAlign w:val="center"/>
            <w:hideMark/>
          </w:tcPr>
          <w:p w14:paraId="00CE8BF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WHR_2020</w:t>
            </w:r>
          </w:p>
        </w:tc>
        <w:tc>
          <w:tcPr>
            <w:tcW w:w="976" w:type="dxa"/>
            <w:shd w:val="clear" w:color="000000" w:fill="FFFFFF"/>
            <w:noWrap/>
            <w:vAlign w:val="center"/>
            <w:hideMark/>
          </w:tcPr>
          <w:p w14:paraId="0EDB868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0.95</w:t>
            </w:r>
          </w:p>
        </w:tc>
        <w:tc>
          <w:tcPr>
            <w:tcW w:w="698" w:type="dxa"/>
            <w:shd w:val="clear" w:color="000000" w:fill="FFFFFF"/>
            <w:noWrap/>
            <w:vAlign w:val="center"/>
            <w:hideMark/>
          </w:tcPr>
          <w:p w14:paraId="16C3B03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0.792</w:t>
            </w:r>
          </w:p>
        </w:tc>
        <w:tc>
          <w:tcPr>
            <w:tcW w:w="932" w:type="dxa"/>
            <w:shd w:val="clear" w:color="000000" w:fill="FFFFFF"/>
            <w:noWrap/>
            <w:vAlign w:val="center"/>
            <w:hideMark/>
          </w:tcPr>
          <w:p w14:paraId="6C4B4F6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0.0658</w:t>
            </w:r>
          </w:p>
        </w:tc>
        <w:tc>
          <w:tcPr>
            <w:tcW w:w="698" w:type="dxa"/>
            <w:shd w:val="clear" w:color="000000" w:fill="FFFFFF"/>
            <w:noWrap/>
            <w:vAlign w:val="center"/>
            <w:hideMark/>
          </w:tcPr>
          <w:p w14:paraId="2031434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1CEF910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63.51</w:t>
            </w:r>
          </w:p>
        </w:tc>
        <w:tc>
          <w:tcPr>
            <w:tcW w:w="2104" w:type="dxa"/>
            <w:shd w:val="clear" w:color="000000" w:fill="FFFFFF"/>
            <w:noWrap/>
            <w:vAlign w:val="center"/>
            <w:hideMark/>
          </w:tcPr>
          <w:p w14:paraId="2D9A976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0.742 – 0.836</w:t>
            </w:r>
          </w:p>
        </w:tc>
        <w:tc>
          <w:tcPr>
            <w:tcW w:w="1001" w:type="dxa"/>
            <w:shd w:val="clear" w:color="000000" w:fill="FFFFFF"/>
            <w:noWrap/>
            <w:vAlign w:val="center"/>
            <w:hideMark/>
          </w:tcPr>
          <w:p w14:paraId="1EAEFB3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7D2C287C" w14:textId="77777777" w:rsidTr="0076141F">
        <w:trPr>
          <w:trHeight w:val="262"/>
          <w:jc w:val="center"/>
        </w:trPr>
        <w:tc>
          <w:tcPr>
            <w:tcW w:w="2160" w:type="dxa"/>
            <w:shd w:val="clear" w:color="000000" w:fill="FFFFFF"/>
            <w:noWrap/>
            <w:vAlign w:val="center"/>
            <w:hideMark/>
          </w:tcPr>
          <w:p w14:paraId="03A0129D"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WHtR_2020</w:t>
            </w:r>
          </w:p>
        </w:tc>
        <w:tc>
          <w:tcPr>
            <w:tcW w:w="976" w:type="dxa"/>
            <w:shd w:val="clear" w:color="000000" w:fill="FFFFFF"/>
            <w:noWrap/>
            <w:vAlign w:val="center"/>
            <w:hideMark/>
          </w:tcPr>
          <w:p w14:paraId="2EF6D1C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0.54</w:t>
            </w:r>
          </w:p>
        </w:tc>
        <w:tc>
          <w:tcPr>
            <w:tcW w:w="698" w:type="dxa"/>
            <w:shd w:val="clear" w:color="000000" w:fill="FFFFFF"/>
            <w:noWrap/>
            <w:vAlign w:val="center"/>
            <w:hideMark/>
          </w:tcPr>
          <w:p w14:paraId="4DDA705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0.854</w:t>
            </w:r>
          </w:p>
        </w:tc>
        <w:tc>
          <w:tcPr>
            <w:tcW w:w="932" w:type="dxa"/>
            <w:shd w:val="clear" w:color="000000" w:fill="FFFFFF"/>
            <w:noWrap/>
            <w:vAlign w:val="center"/>
            <w:hideMark/>
          </w:tcPr>
          <w:p w14:paraId="5015C56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0.0649</w:t>
            </w:r>
          </w:p>
        </w:tc>
        <w:tc>
          <w:tcPr>
            <w:tcW w:w="698" w:type="dxa"/>
            <w:shd w:val="clear" w:color="000000" w:fill="FFFFFF"/>
            <w:noWrap/>
            <w:vAlign w:val="center"/>
            <w:hideMark/>
          </w:tcPr>
          <w:p w14:paraId="6E41DE0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6FF05AF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59.46</w:t>
            </w:r>
          </w:p>
        </w:tc>
        <w:tc>
          <w:tcPr>
            <w:tcW w:w="2104" w:type="dxa"/>
            <w:shd w:val="clear" w:color="000000" w:fill="FFFFFF"/>
            <w:noWrap/>
            <w:vAlign w:val="center"/>
            <w:hideMark/>
          </w:tcPr>
          <w:p w14:paraId="72DE58B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0.809 – 0.892</w:t>
            </w:r>
          </w:p>
        </w:tc>
        <w:tc>
          <w:tcPr>
            <w:tcW w:w="1001" w:type="dxa"/>
            <w:shd w:val="clear" w:color="000000" w:fill="FFFFFF"/>
            <w:noWrap/>
            <w:vAlign w:val="center"/>
            <w:hideMark/>
          </w:tcPr>
          <w:p w14:paraId="56FE847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0C7B448B" w14:textId="77777777" w:rsidTr="0076141F">
        <w:trPr>
          <w:trHeight w:val="262"/>
          <w:jc w:val="center"/>
        </w:trPr>
        <w:tc>
          <w:tcPr>
            <w:tcW w:w="2160" w:type="dxa"/>
            <w:shd w:val="clear" w:color="auto" w:fill="auto"/>
            <w:noWrap/>
            <w:vAlign w:val="center"/>
            <w:hideMark/>
          </w:tcPr>
          <w:p w14:paraId="221A0ECA"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BMI_2020</w:t>
            </w:r>
          </w:p>
        </w:tc>
        <w:tc>
          <w:tcPr>
            <w:tcW w:w="976" w:type="dxa"/>
            <w:shd w:val="clear" w:color="000000" w:fill="FFFFFF"/>
            <w:noWrap/>
            <w:vAlign w:val="center"/>
            <w:hideMark/>
          </w:tcPr>
          <w:p w14:paraId="5CB62B0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26.35</w:t>
            </w:r>
          </w:p>
        </w:tc>
        <w:tc>
          <w:tcPr>
            <w:tcW w:w="698" w:type="dxa"/>
            <w:shd w:val="clear" w:color="000000" w:fill="FFFFFF"/>
            <w:noWrap/>
            <w:vAlign w:val="center"/>
            <w:hideMark/>
          </w:tcPr>
          <w:p w14:paraId="539DAEF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0.774</w:t>
            </w:r>
          </w:p>
        </w:tc>
        <w:tc>
          <w:tcPr>
            <w:tcW w:w="932" w:type="dxa"/>
            <w:shd w:val="clear" w:color="000000" w:fill="FFFFFF"/>
            <w:noWrap/>
            <w:vAlign w:val="center"/>
            <w:hideMark/>
          </w:tcPr>
          <w:p w14:paraId="634E2A7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0.0755</w:t>
            </w:r>
          </w:p>
        </w:tc>
        <w:tc>
          <w:tcPr>
            <w:tcW w:w="698" w:type="dxa"/>
            <w:shd w:val="clear" w:color="000000" w:fill="FFFFFF"/>
            <w:noWrap/>
            <w:vAlign w:val="center"/>
            <w:hideMark/>
          </w:tcPr>
          <w:p w14:paraId="48C1322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36AD470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58.45</w:t>
            </w:r>
          </w:p>
        </w:tc>
        <w:tc>
          <w:tcPr>
            <w:tcW w:w="2104" w:type="dxa"/>
            <w:shd w:val="clear" w:color="000000" w:fill="FFFFFF"/>
            <w:noWrap/>
            <w:vAlign w:val="center"/>
            <w:hideMark/>
          </w:tcPr>
          <w:p w14:paraId="308B8B8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0.722 – 0.820</w:t>
            </w:r>
          </w:p>
        </w:tc>
        <w:tc>
          <w:tcPr>
            <w:tcW w:w="1001" w:type="dxa"/>
            <w:shd w:val="clear" w:color="000000" w:fill="FFFFFF"/>
            <w:noWrap/>
            <w:vAlign w:val="center"/>
            <w:hideMark/>
          </w:tcPr>
          <w:p w14:paraId="747375C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0.0003</w:t>
            </w:r>
          </w:p>
        </w:tc>
      </w:tr>
      <w:tr w:rsidR="000E4BEA" w:rsidRPr="000E4BEA" w14:paraId="3FC5D5CD" w14:textId="77777777" w:rsidTr="0076141F">
        <w:trPr>
          <w:trHeight w:val="262"/>
          <w:jc w:val="center"/>
        </w:trPr>
        <w:tc>
          <w:tcPr>
            <w:tcW w:w="2160" w:type="dxa"/>
            <w:shd w:val="clear" w:color="auto" w:fill="auto"/>
            <w:noWrap/>
            <w:vAlign w:val="center"/>
            <w:hideMark/>
          </w:tcPr>
          <w:p w14:paraId="700140C4"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WWR_2020</w:t>
            </w:r>
          </w:p>
        </w:tc>
        <w:tc>
          <w:tcPr>
            <w:tcW w:w="976" w:type="dxa"/>
            <w:shd w:val="clear" w:color="000000" w:fill="FFFFFF"/>
            <w:noWrap/>
            <w:vAlign w:val="center"/>
            <w:hideMark/>
          </w:tcPr>
          <w:p w14:paraId="7B1E88D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 0.86</w:t>
            </w:r>
          </w:p>
        </w:tc>
        <w:tc>
          <w:tcPr>
            <w:tcW w:w="698" w:type="dxa"/>
            <w:shd w:val="clear" w:color="000000" w:fill="FFFFFF"/>
            <w:noWrap/>
            <w:vAlign w:val="center"/>
            <w:hideMark/>
          </w:tcPr>
          <w:p w14:paraId="5D74F18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0.529</w:t>
            </w:r>
          </w:p>
        </w:tc>
        <w:tc>
          <w:tcPr>
            <w:tcW w:w="932" w:type="dxa"/>
            <w:shd w:val="clear" w:color="000000" w:fill="FFFFFF"/>
            <w:noWrap/>
            <w:vAlign w:val="center"/>
            <w:hideMark/>
          </w:tcPr>
          <w:p w14:paraId="6A62BC4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0.139</w:t>
            </w:r>
          </w:p>
        </w:tc>
        <w:tc>
          <w:tcPr>
            <w:tcW w:w="698" w:type="dxa"/>
            <w:shd w:val="clear" w:color="000000" w:fill="FFFFFF"/>
            <w:noWrap/>
            <w:vAlign w:val="center"/>
            <w:hideMark/>
          </w:tcPr>
          <w:p w14:paraId="68DCFF4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01391AD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19.93</w:t>
            </w:r>
          </w:p>
        </w:tc>
        <w:tc>
          <w:tcPr>
            <w:tcW w:w="2104" w:type="dxa"/>
            <w:shd w:val="clear" w:color="000000" w:fill="FFFFFF"/>
            <w:noWrap/>
            <w:vAlign w:val="center"/>
            <w:hideMark/>
          </w:tcPr>
          <w:p w14:paraId="06C73C6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0.471 – 0.587</w:t>
            </w:r>
          </w:p>
        </w:tc>
        <w:tc>
          <w:tcPr>
            <w:tcW w:w="1001" w:type="dxa"/>
            <w:shd w:val="clear" w:color="000000" w:fill="FFFFFF"/>
            <w:noWrap/>
            <w:vAlign w:val="center"/>
            <w:hideMark/>
          </w:tcPr>
          <w:p w14:paraId="2464881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0.8331</w:t>
            </w:r>
          </w:p>
        </w:tc>
      </w:tr>
      <w:tr w:rsidR="000E4BEA" w:rsidRPr="000E4BEA" w14:paraId="016DAD0D" w14:textId="77777777" w:rsidTr="0076141F">
        <w:trPr>
          <w:trHeight w:val="262"/>
          <w:jc w:val="center"/>
        </w:trPr>
        <w:tc>
          <w:tcPr>
            <w:tcW w:w="2160" w:type="dxa"/>
            <w:shd w:val="clear" w:color="auto" w:fill="auto"/>
            <w:noWrap/>
            <w:vAlign w:val="center"/>
            <w:hideMark/>
          </w:tcPr>
          <w:p w14:paraId="23A7E9D6"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Waist_2021</w:t>
            </w:r>
          </w:p>
        </w:tc>
        <w:tc>
          <w:tcPr>
            <w:tcW w:w="976" w:type="dxa"/>
            <w:shd w:val="clear" w:color="000000" w:fill="FFFFFF"/>
            <w:noWrap/>
            <w:vAlign w:val="center"/>
            <w:hideMark/>
          </w:tcPr>
          <w:p w14:paraId="7BC2762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99</w:t>
            </w:r>
          </w:p>
        </w:tc>
        <w:tc>
          <w:tcPr>
            <w:tcW w:w="698" w:type="dxa"/>
            <w:shd w:val="clear" w:color="000000" w:fill="FFFFFF"/>
            <w:noWrap/>
            <w:vAlign w:val="center"/>
            <w:hideMark/>
          </w:tcPr>
          <w:p w14:paraId="6E3AC37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0.818</w:t>
            </w:r>
          </w:p>
        </w:tc>
        <w:tc>
          <w:tcPr>
            <w:tcW w:w="932" w:type="dxa"/>
            <w:shd w:val="clear" w:color="000000" w:fill="FFFFFF"/>
            <w:noWrap/>
            <w:vAlign w:val="center"/>
            <w:hideMark/>
          </w:tcPr>
          <w:p w14:paraId="5F690F8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0.0226</w:t>
            </w:r>
          </w:p>
        </w:tc>
        <w:tc>
          <w:tcPr>
            <w:tcW w:w="698" w:type="dxa"/>
            <w:shd w:val="clear" w:color="000000" w:fill="FFFFFF"/>
            <w:noWrap/>
            <w:vAlign w:val="center"/>
            <w:hideMark/>
          </w:tcPr>
          <w:p w14:paraId="5C85BEE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11F89BD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78.54</w:t>
            </w:r>
          </w:p>
        </w:tc>
        <w:tc>
          <w:tcPr>
            <w:tcW w:w="2104" w:type="dxa"/>
            <w:shd w:val="clear" w:color="000000" w:fill="FFFFFF"/>
            <w:noWrap/>
            <w:vAlign w:val="center"/>
            <w:hideMark/>
          </w:tcPr>
          <w:p w14:paraId="097FB31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0.766 – 0.863</w:t>
            </w:r>
          </w:p>
        </w:tc>
        <w:tc>
          <w:tcPr>
            <w:tcW w:w="1001" w:type="dxa"/>
            <w:shd w:val="clear" w:color="000000" w:fill="FFFFFF"/>
            <w:noWrap/>
            <w:vAlign w:val="center"/>
            <w:hideMark/>
          </w:tcPr>
          <w:p w14:paraId="030567D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7E51F76D" w14:textId="77777777" w:rsidTr="0076141F">
        <w:trPr>
          <w:trHeight w:val="262"/>
          <w:jc w:val="center"/>
        </w:trPr>
        <w:tc>
          <w:tcPr>
            <w:tcW w:w="2160" w:type="dxa"/>
            <w:shd w:val="clear" w:color="000000" w:fill="FFFFFF"/>
            <w:noWrap/>
            <w:vAlign w:val="center"/>
            <w:hideMark/>
          </w:tcPr>
          <w:p w14:paraId="67948E8F"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Hip_2021</w:t>
            </w:r>
          </w:p>
        </w:tc>
        <w:tc>
          <w:tcPr>
            <w:tcW w:w="976" w:type="dxa"/>
            <w:shd w:val="clear" w:color="000000" w:fill="FFFFFF"/>
            <w:noWrap/>
            <w:vAlign w:val="center"/>
            <w:hideMark/>
          </w:tcPr>
          <w:p w14:paraId="492DF5A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95</w:t>
            </w:r>
          </w:p>
        </w:tc>
        <w:tc>
          <w:tcPr>
            <w:tcW w:w="698" w:type="dxa"/>
            <w:shd w:val="clear" w:color="000000" w:fill="FFFFFF"/>
            <w:noWrap/>
            <w:vAlign w:val="center"/>
            <w:hideMark/>
          </w:tcPr>
          <w:p w14:paraId="03371D5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0.841</w:t>
            </w:r>
          </w:p>
        </w:tc>
        <w:tc>
          <w:tcPr>
            <w:tcW w:w="932" w:type="dxa"/>
            <w:shd w:val="clear" w:color="000000" w:fill="FFFFFF"/>
            <w:noWrap/>
            <w:vAlign w:val="center"/>
            <w:hideMark/>
          </w:tcPr>
          <w:p w14:paraId="746D08C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0.0276</w:t>
            </w:r>
          </w:p>
        </w:tc>
        <w:tc>
          <w:tcPr>
            <w:tcW w:w="698" w:type="dxa"/>
            <w:shd w:val="clear" w:color="000000" w:fill="FFFFFF"/>
            <w:noWrap/>
            <w:vAlign w:val="center"/>
            <w:hideMark/>
          </w:tcPr>
          <w:p w14:paraId="15F70F1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420AD0E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80.84</w:t>
            </w:r>
          </w:p>
        </w:tc>
        <w:tc>
          <w:tcPr>
            <w:tcW w:w="2104" w:type="dxa"/>
            <w:shd w:val="clear" w:color="000000" w:fill="FFFFFF"/>
            <w:noWrap/>
            <w:vAlign w:val="center"/>
            <w:hideMark/>
          </w:tcPr>
          <w:p w14:paraId="33FC145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0.791 – 0.883</w:t>
            </w:r>
          </w:p>
        </w:tc>
        <w:tc>
          <w:tcPr>
            <w:tcW w:w="1001" w:type="dxa"/>
            <w:shd w:val="clear" w:color="000000" w:fill="FFFFFF"/>
            <w:noWrap/>
            <w:vAlign w:val="center"/>
            <w:hideMark/>
          </w:tcPr>
          <w:p w14:paraId="68A4335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4B774E0" w14:textId="77777777" w:rsidTr="0076141F">
        <w:trPr>
          <w:trHeight w:val="262"/>
          <w:jc w:val="center"/>
        </w:trPr>
        <w:tc>
          <w:tcPr>
            <w:tcW w:w="2160" w:type="dxa"/>
            <w:shd w:val="clear" w:color="000000" w:fill="FFFFFF"/>
            <w:noWrap/>
            <w:vAlign w:val="center"/>
            <w:hideMark/>
          </w:tcPr>
          <w:p w14:paraId="298E0F9A"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_2021</w:t>
            </w:r>
          </w:p>
        </w:tc>
        <w:tc>
          <w:tcPr>
            <w:tcW w:w="976" w:type="dxa"/>
            <w:shd w:val="clear" w:color="000000" w:fill="FFFFFF"/>
            <w:noWrap/>
            <w:vAlign w:val="center"/>
            <w:hideMark/>
          </w:tcPr>
          <w:p w14:paraId="49F95C4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28.14</w:t>
            </w:r>
          </w:p>
        </w:tc>
        <w:tc>
          <w:tcPr>
            <w:tcW w:w="698" w:type="dxa"/>
            <w:shd w:val="clear" w:color="000000" w:fill="FFFFFF"/>
            <w:noWrap/>
            <w:vAlign w:val="center"/>
            <w:hideMark/>
          </w:tcPr>
          <w:p w14:paraId="7E56587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0.826</w:t>
            </w:r>
          </w:p>
        </w:tc>
        <w:tc>
          <w:tcPr>
            <w:tcW w:w="932" w:type="dxa"/>
            <w:shd w:val="clear" w:color="000000" w:fill="FFFFFF"/>
            <w:noWrap/>
            <w:vAlign w:val="center"/>
            <w:hideMark/>
          </w:tcPr>
          <w:p w14:paraId="518C1E4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0.0286</w:t>
            </w:r>
          </w:p>
        </w:tc>
        <w:tc>
          <w:tcPr>
            <w:tcW w:w="698" w:type="dxa"/>
            <w:shd w:val="clear" w:color="000000" w:fill="FFFFFF"/>
            <w:noWrap/>
            <w:vAlign w:val="center"/>
            <w:hideMark/>
          </w:tcPr>
          <w:p w14:paraId="07715B7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22CD978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80.84</w:t>
            </w:r>
          </w:p>
        </w:tc>
        <w:tc>
          <w:tcPr>
            <w:tcW w:w="2104" w:type="dxa"/>
            <w:shd w:val="clear" w:color="000000" w:fill="FFFFFF"/>
            <w:noWrap/>
            <w:vAlign w:val="center"/>
            <w:hideMark/>
          </w:tcPr>
          <w:p w14:paraId="443AE69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0.774 – 0.870</w:t>
            </w:r>
          </w:p>
        </w:tc>
        <w:tc>
          <w:tcPr>
            <w:tcW w:w="1001" w:type="dxa"/>
            <w:shd w:val="clear" w:color="000000" w:fill="FFFFFF"/>
            <w:noWrap/>
            <w:vAlign w:val="center"/>
            <w:hideMark/>
          </w:tcPr>
          <w:p w14:paraId="22AD12D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2C1BC4BC" w14:textId="77777777" w:rsidTr="0076141F">
        <w:trPr>
          <w:trHeight w:val="262"/>
          <w:jc w:val="center"/>
        </w:trPr>
        <w:tc>
          <w:tcPr>
            <w:tcW w:w="2160" w:type="dxa"/>
            <w:shd w:val="clear" w:color="000000" w:fill="FFFFFF"/>
            <w:noWrap/>
            <w:vAlign w:val="center"/>
            <w:hideMark/>
          </w:tcPr>
          <w:p w14:paraId="6D0BA1D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WHR_2021</w:t>
            </w:r>
          </w:p>
        </w:tc>
        <w:tc>
          <w:tcPr>
            <w:tcW w:w="976" w:type="dxa"/>
            <w:shd w:val="clear" w:color="000000" w:fill="FFFFFF"/>
            <w:noWrap/>
            <w:vAlign w:val="center"/>
            <w:hideMark/>
          </w:tcPr>
          <w:p w14:paraId="724DC27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0.95</w:t>
            </w:r>
          </w:p>
        </w:tc>
        <w:tc>
          <w:tcPr>
            <w:tcW w:w="698" w:type="dxa"/>
            <w:shd w:val="clear" w:color="000000" w:fill="FFFFFF"/>
            <w:noWrap/>
            <w:vAlign w:val="center"/>
            <w:hideMark/>
          </w:tcPr>
          <w:p w14:paraId="2C2998E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0.733</w:t>
            </w:r>
          </w:p>
        </w:tc>
        <w:tc>
          <w:tcPr>
            <w:tcW w:w="932" w:type="dxa"/>
            <w:shd w:val="clear" w:color="000000" w:fill="FFFFFF"/>
            <w:noWrap/>
            <w:vAlign w:val="center"/>
            <w:hideMark/>
          </w:tcPr>
          <w:p w14:paraId="52DBE21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0.0437</w:t>
            </w:r>
          </w:p>
        </w:tc>
        <w:tc>
          <w:tcPr>
            <w:tcW w:w="698" w:type="dxa"/>
            <w:shd w:val="clear" w:color="000000" w:fill="FFFFFF"/>
            <w:noWrap/>
            <w:vAlign w:val="center"/>
            <w:hideMark/>
          </w:tcPr>
          <w:p w14:paraId="587E203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79A7BCB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65.52</w:t>
            </w:r>
          </w:p>
        </w:tc>
        <w:tc>
          <w:tcPr>
            <w:tcW w:w="2104" w:type="dxa"/>
            <w:shd w:val="clear" w:color="000000" w:fill="FFFFFF"/>
            <w:noWrap/>
            <w:vAlign w:val="center"/>
            <w:hideMark/>
          </w:tcPr>
          <w:p w14:paraId="32FFC2A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0.675 – 0.785</w:t>
            </w:r>
          </w:p>
        </w:tc>
        <w:tc>
          <w:tcPr>
            <w:tcW w:w="1001" w:type="dxa"/>
            <w:shd w:val="clear" w:color="000000" w:fill="FFFFFF"/>
            <w:noWrap/>
            <w:vAlign w:val="center"/>
            <w:hideMark/>
          </w:tcPr>
          <w:p w14:paraId="18DB320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0F6C2B1E" w14:textId="77777777" w:rsidTr="0076141F">
        <w:trPr>
          <w:trHeight w:val="262"/>
          <w:jc w:val="center"/>
        </w:trPr>
        <w:tc>
          <w:tcPr>
            <w:tcW w:w="2160" w:type="dxa"/>
            <w:shd w:val="clear" w:color="000000" w:fill="FFFFFF"/>
            <w:noWrap/>
            <w:vAlign w:val="center"/>
            <w:hideMark/>
          </w:tcPr>
          <w:p w14:paraId="405739FD"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WHtR_2021</w:t>
            </w:r>
          </w:p>
        </w:tc>
        <w:tc>
          <w:tcPr>
            <w:tcW w:w="976" w:type="dxa"/>
            <w:shd w:val="clear" w:color="000000" w:fill="FFFFFF"/>
            <w:noWrap/>
            <w:vAlign w:val="center"/>
            <w:hideMark/>
          </w:tcPr>
          <w:p w14:paraId="6D5862A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0.56</w:t>
            </w:r>
          </w:p>
        </w:tc>
        <w:tc>
          <w:tcPr>
            <w:tcW w:w="698" w:type="dxa"/>
            <w:shd w:val="clear" w:color="000000" w:fill="FFFFFF"/>
            <w:noWrap/>
            <w:vAlign w:val="center"/>
            <w:hideMark/>
          </w:tcPr>
          <w:p w14:paraId="72CD359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0.81</w:t>
            </w:r>
          </w:p>
        </w:tc>
        <w:tc>
          <w:tcPr>
            <w:tcW w:w="932" w:type="dxa"/>
            <w:shd w:val="clear" w:color="000000" w:fill="FFFFFF"/>
            <w:noWrap/>
            <w:vAlign w:val="center"/>
            <w:hideMark/>
          </w:tcPr>
          <w:p w14:paraId="458D15F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0.038</w:t>
            </w:r>
          </w:p>
        </w:tc>
        <w:tc>
          <w:tcPr>
            <w:tcW w:w="698" w:type="dxa"/>
            <w:shd w:val="clear" w:color="000000" w:fill="FFFFFF"/>
            <w:noWrap/>
            <w:vAlign w:val="center"/>
            <w:hideMark/>
          </w:tcPr>
          <w:p w14:paraId="50900B7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41153F5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74.33</w:t>
            </w:r>
          </w:p>
        </w:tc>
        <w:tc>
          <w:tcPr>
            <w:tcW w:w="2104" w:type="dxa"/>
            <w:shd w:val="clear" w:color="000000" w:fill="FFFFFF"/>
            <w:noWrap/>
            <w:vAlign w:val="center"/>
            <w:hideMark/>
          </w:tcPr>
          <w:p w14:paraId="672C5F7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0.758 – 0.856</w:t>
            </w:r>
          </w:p>
        </w:tc>
        <w:tc>
          <w:tcPr>
            <w:tcW w:w="1001" w:type="dxa"/>
            <w:shd w:val="clear" w:color="000000" w:fill="FFFFFF"/>
            <w:noWrap/>
            <w:vAlign w:val="center"/>
            <w:hideMark/>
          </w:tcPr>
          <w:p w14:paraId="2C568D0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12BEF9B1" w14:textId="77777777" w:rsidTr="0076141F">
        <w:trPr>
          <w:trHeight w:val="262"/>
          <w:jc w:val="center"/>
        </w:trPr>
        <w:tc>
          <w:tcPr>
            <w:tcW w:w="2160" w:type="dxa"/>
            <w:shd w:val="clear" w:color="auto" w:fill="auto"/>
            <w:noWrap/>
            <w:vAlign w:val="center"/>
            <w:hideMark/>
          </w:tcPr>
          <w:p w14:paraId="43BEE9E0"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BMI_2021</w:t>
            </w:r>
          </w:p>
        </w:tc>
        <w:tc>
          <w:tcPr>
            <w:tcW w:w="976" w:type="dxa"/>
            <w:shd w:val="clear" w:color="000000" w:fill="FFFFFF"/>
            <w:noWrap/>
            <w:vAlign w:val="center"/>
            <w:hideMark/>
          </w:tcPr>
          <w:p w14:paraId="0E1F174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28.01</w:t>
            </w:r>
          </w:p>
        </w:tc>
        <w:tc>
          <w:tcPr>
            <w:tcW w:w="698" w:type="dxa"/>
            <w:shd w:val="clear" w:color="000000" w:fill="FFFFFF"/>
            <w:noWrap/>
            <w:vAlign w:val="center"/>
            <w:hideMark/>
          </w:tcPr>
          <w:p w14:paraId="59CC137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w:t>
            </w:r>
          </w:p>
        </w:tc>
        <w:tc>
          <w:tcPr>
            <w:tcW w:w="932" w:type="dxa"/>
            <w:shd w:val="clear" w:color="000000" w:fill="FFFFFF"/>
            <w:noWrap/>
            <w:vAlign w:val="center"/>
            <w:hideMark/>
          </w:tcPr>
          <w:p w14:paraId="0514C4C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0.0248</w:t>
            </w:r>
          </w:p>
        </w:tc>
        <w:tc>
          <w:tcPr>
            <w:tcW w:w="698" w:type="dxa"/>
            <w:shd w:val="clear" w:color="000000" w:fill="FFFFFF"/>
            <w:noWrap/>
            <w:vAlign w:val="center"/>
            <w:hideMark/>
          </w:tcPr>
          <w:p w14:paraId="08CDF7B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60A5C14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81.99</w:t>
            </w:r>
          </w:p>
        </w:tc>
        <w:tc>
          <w:tcPr>
            <w:tcW w:w="2104" w:type="dxa"/>
            <w:shd w:val="clear" w:color="000000" w:fill="FFFFFF"/>
            <w:noWrap/>
            <w:vAlign w:val="center"/>
            <w:hideMark/>
          </w:tcPr>
          <w:p w14:paraId="51F4ED2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0.778 – 0.873</w:t>
            </w:r>
          </w:p>
        </w:tc>
        <w:tc>
          <w:tcPr>
            <w:tcW w:w="1001" w:type="dxa"/>
            <w:shd w:val="clear" w:color="000000" w:fill="FFFFFF"/>
            <w:noWrap/>
            <w:vAlign w:val="center"/>
            <w:hideMark/>
          </w:tcPr>
          <w:p w14:paraId="3C39DC2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3874D2D2" w14:textId="77777777" w:rsidTr="0076141F">
        <w:trPr>
          <w:trHeight w:val="262"/>
          <w:jc w:val="center"/>
        </w:trPr>
        <w:tc>
          <w:tcPr>
            <w:tcW w:w="2160" w:type="dxa"/>
            <w:shd w:val="clear" w:color="auto" w:fill="auto"/>
            <w:noWrap/>
            <w:vAlign w:val="center"/>
            <w:hideMark/>
          </w:tcPr>
          <w:p w14:paraId="437DC003"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WWR_2021</w:t>
            </w:r>
          </w:p>
        </w:tc>
        <w:tc>
          <w:tcPr>
            <w:tcW w:w="976" w:type="dxa"/>
            <w:shd w:val="clear" w:color="000000" w:fill="FFFFFF"/>
            <w:noWrap/>
            <w:vAlign w:val="center"/>
            <w:hideMark/>
          </w:tcPr>
          <w:p w14:paraId="4A3BFC3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0.81</w:t>
            </w:r>
          </w:p>
        </w:tc>
        <w:tc>
          <w:tcPr>
            <w:tcW w:w="698" w:type="dxa"/>
            <w:shd w:val="clear" w:color="000000" w:fill="FFFFFF"/>
            <w:noWrap/>
            <w:vAlign w:val="center"/>
            <w:hideMark/>
          </w:tcPr>
          <w:p w14:paraId="7A47D4F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0.658</w:t>
            </w:r>
          </w:p>
        </w:tc>
        <w:tc>
          <w:tcPr>
            <w:tcW w:w="932" w:type="dxa"/>
            <w:shd w:val="clear" w:color="000000" w:fill="FFFFFF"/>
            <w:noWrap/>
            <w:vAlign w:val="center"/>
            <w:hideMark/>
          </w:tcPr>
          <w:p w14:paraId="30C22C2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0.0576</w:t>
            </w:r>
          </w:p>
        </w:tc>
        <w:tc>
          <w:tcPr>
            <w:tcW w:w="698" w:type="dxa"/>
            <w:shd w:val="clear" w:color="000000" w:fill="FFFFFF"/>
            <w:noWrap/>
            <w:vAlign w:val="center"/>
            <w:hideMark/>
          </w:tcPr>
          <w:p w14:paraId="24238F2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100</w:t>
            </w:r>
          </w:p>
        </w:tc>
        <w:tc>
          <w:tcPr>
            <w:tcW w:w="698" w:type="dxa"/>
            <w:shd w:val="clear" w:color="000000" w:fill="FFFFFF"/>
            <w:noWrap/>
            <w:vAlign w:val="center"/>
            <w:hideMark/>
          </w:tcPr>
          <w:p w14:paraId="0338C37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57.85</w:t>
            </w:r>
          </w:p>
        </w:tc>
        <w:tc>
          <w:tcPr>
            <w:tcW w:w="2104" w:type="dxa"/>
            <w:shd w:val="clear" w:color="000000" w:fill="FFFFFF"/>
            <w:noWrap/>
            <w:vAlign w:val="center"/>
            <w:hideMark/>
          </w:tcPr>
          <w:p w14:paraId="33AF40F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0.597 – 0.715</w:t>
            </w:r>
          </w:p>
        </w:tc>
        <w:tc>
          <w:tcPr>
            <w:tcW w:w="1001" w:type="dxa"/>
            <w:shd w:val="clear" w:color="000000" w:fill="FFFFFF"/>
            <w:noWrap/>
            <w:vAlign w:val="center"/>
            <w:hideMark/>
          </w:tcPr>
          <w:p w14:paraId="655CE97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0.0061</w:t>
            </w:r>
          </w:p>
        </w:tc>
      </w:tr>
    </w:tbl>
    <w:p w14:paraId="74C8874C" w14:textId="77777777" w:rsidR="000E4BEA" w:rsidRPr="000E4BEA" w:rsidRDefault="000E4BEA" w:rsidP="000E4BEA">
      <w:pPr>
        <w:spacing w:line="360" w:lineRule="auto"/>
        <w:contextualSpacing/>
        <w:jc w:val="center"/>
        <w:rPr>
          <w:rFonts w:eastAsia="Calibri"/>
          <w:lang w:val="en-US" w:eastAsia="en-US"/>
        </w:rPr>
      </w:pPr>
      <w:r w:rsidRPr="000E4BEA">
        <w:rPr>
          <w:color w:val="000000"/>
          <w:sz w:val="16"/>
          <w:szCs w:val="16"/>
          <w:lang w:val="en-US" w:eastAsia="en-US"/>
        </w:rPr>
        <w:t xml:space="preserve">BMI: body mass index, WHR: waist-hip ratio, </w:t>
      </w:r>
      <w:proofErr w:type="spellStart"/>
      <w:r w:rsidRPr="000E4BEA">
        <w:rPr>
          <w:color w:val="000000"/>
          <w:sz w:val="16"/>
          <w:szCs w:val="16"/>
          <w:lang w:val="en-US" w:eastAsia="en-US"/>
        </w:rPr>
        <w:t>WHtR</w:t>
      </w:r>
      <w:proofErr w:type="spellEnd"/>
      <w:r w:rsidRPr="000E4BEA">
        <w:rPr>
          <w:color w:val="000000"/>
          <w:sz w:val="16"/>
          <w:szCs w:val="16"/>
          <w:lang w:val="en-US" w:eastAsia="en-US"/>
        </w:rPr>
        <w:t>: waist to height ratio, WWR: weight to waist ratio, SE: standard error, Se: Sensitivity, S: Specificity, AUC: area under the curve.</w:t>
      </w:r>
    </w:p>
    <w:p w14:paraId="4BFB539D" w14:textId="77777777" w:rsidR="000E4BEA" w:rsidRPr="000E4BEA" w:rsidRDefault="000E4BEA" w:rsidP="000E4BEA">
      <w:pPr>
        <w:spacing w:line="360" w:lineRule="auto"/>
        <w:contextualSpacing/>
        <w:jc w:val="both"/>
        <w:rPr>
          <w:rFonts w:eastAsia="Calibri"/>
          <w:lang w:val="en-US" w:eastAsia="en-US"/>
        </w:rPr>
      </w:pPr>
    </w:p>
    <w:p w14:paraId="03C3822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Finally, in 2021, the body mass index (&gt; 28.01) and the waist circumference (&gt; 95) have a wider area under the curve (AUC: 0.83 and 0.841, respectively), presenting a p-value of &lt; 0.0001 (table 4)</w:t>
      </w:r>
    </w:p>
    <w:p w14:paraId="7E65F7D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When analyzing the results of the optimal cut-off points of anthropometric indices that predict the diagnosis of metabolic syndrome, according to the ATP III criteria, in the year 2019, the waist-height index (&gt; 0,55) and the waist circumference (&gt; 93) have a larger area under the curve (AUC: 0,767 and 0,836, respectively), presenting a p-value of &lt; 0,0001 (table 5).</w:t>
      </w:r>
    </w:p>
    <w:p w14:paraId="28E32C0F" w14:textId="77777777" w:rsidR="000E4BEA" w:rsidRPr="000E4BEA" w:rsidRDefault="000E4BEA" w:rsidP="000E4BEA">
      <w:pPr>
        <w:spacing w:line="360" w:lineRule="auto"/>
        <w:contextualSpacing/>
        <w:jc w:val="both"/>
        <w:rPr>
          <w:rFonts w:eastAsia="Calibri"/>
          <w:lang w:val="en-US" w:eastAsia="en-US"/>
        </w:rPr>
      </w:pPr>
    </w:p>
    <w:p w14:paraId="2E1E13A4" w14:textId="77777777" w:rsidR="000E4BEA" w:rsidRPr="000E4BEA" w:rsidRDefault="000E4BEA" w:rsidP="000E4BEA">
      <w:pPr>
        <w:spacing w:line="360" w:lineRule="auto"/>
        <w:contextualSpacing/>
        <w:jc w:val="center"/>
        <w:rPr>
          <w:rFonts w:eastAsia="Calibri"/>
          <w:lang w:val="en-US" w:eastAsia="en-US"/>
        </w:rPr>
      </w:pPr>
      <w:r w:rsidRPr="000E4BEA">
        <w:rPr>
          <w:b/>
          <w:bCs/>
          <w:color w:val="000000"/>
          <w:sz w:val="22"/>
          <w:szCs w:val="22"/>
          <w:lang w:val="en-US" w:eastAsia="en-US"/>
        </w:rPr>
        <w:lastRenderedPageBreak/>
        <w:t xml:space="preserve">Table 5 - </w:t>
      </w:r>
      <w:r w:rsidRPr="000E4BEA">
        <w:rPr>
          <w:color w:val="000000"/>
          <w:sz w:val="22"/>
          <w:szCs w:val="22"/>
          <w:lang w:val="en-US" w:eastAsia="en-US"/>
        </w:rPr>
        <w:t>Optimal cohort of the anthropometric indices for prediction of metabolic syndrome, according to ATP III criteria, in military personnel.</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974"/>
        <w:gridCol w:w="697"/>
        <w:gridCol w:w="931"/>
        <w:gridCol w:w="697"/>
        <w:gridCol w:w="697"/>
        <w:gridCol w:w="1447"/>
        <w:gridCol w:w="1006"/>
      </w:tblGrid>
      <w:tr w:rsidR="000E4BEA" w:rsidRPr="000E4BEA" w14:paraId="5CDDEEB8" w14:textId="77777777" w:rsidTr="0076141F">
        <w:trPr>
          <w:trHeight w:val="465"/>
          <w:jc w:val="center"/>
        </w:trPr>
        <w:tc>
          <w:tcPr>
            <w:tcW w:w="1418" w:type="dxa"/>
            <w:shd w:val="clear" w:color="auto" w:fill="auto"/>
            <w:noWrap/>
            <w:vAlign w:val="center"/>
            <w:hideMark/>
          </w:tcPr>
          <w:p w14:paraId="52E44C66"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Variable</w:t>
            </w:r>
          </w:p>
        </w:tc>
        <w:tc>
          <w:tcPr>
            <w:tcW w:w="974" w:type="dxa"/>
            <w:shd w:val="clear" w:color="auto" w:fill="auto"/>
            <w:noWrap/>
            <w:vAlign w:val="center"/>
            <w:hideMark/>
          </w:tcPr>
          <w:p w14:paraId="1B53CC62" w14:textId="0BB1DBDA"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Criteri</w:t>
            </w:r>
            <w:r w:rsidR="00B523B0">
              <w:rPr>
                <w:b/>
                <w:bCs/>
                <w:sz w:val="18"/>
                <w:szCs w:val="18"/>
                <w:lang w:val="en-US" w:eastAsia="en-US"/>
              </w:rPr>
              <w:t>a</w:t>
            </w:r>
          </w:p>
        </w:tc>
        <w:tc>
          <w:tcPr>
            <w:tcW w:w="697" w:type="dxa"/>
            <w:shd w:val="clear" w:color="auto" w:fill="auto"/>
            <w:noWrap/>
            <w:vAlign w:val="center"/>
            <w:hideMark/>
          </w:tcPr>
          <w:p w14:paraId="78D49195"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AUC</w:t>
            </w:r>
          </w:p>
        </w:tc>
        <w:tc>
          <w:tcPr>
            <w:tcW w:w="931" w:type="dxa"/>
            <w:shd w:val="clear" w:color="auto" w:fill="auto"/>
            <w:noWrap/>
            <w:vAlign w:val="center"/>
            <w:hideMark/>
          </w:tcPr>
          <w:p w14:paraId="0DE1F3FF"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SE</w:t>
            </w:r>
          </w:p>
        </w:tc>
        <w:tc>
          <w:tcPr>
            <w:tcW w:w="697" w:type="dxa"/>
            <w:shd w:val="clear" w:color="auto" w:fill="auto"/>
            <w:noWrap/>
            <w:vAlign w:val="center"/>
            <w:hideMark/>
          </w:tcPr>
          <w:p w14:paraId="305A42A6"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Se</w:t>
            </w:r>
          </w:p>
        </w:tc>
        <w:tc>
          <w:tcPr>
            <w:tcW w:w="697" w:type="dxa"/>
            <w:shd w:val="clear" w:color="auto" w:fill="auto"/>
            <w:noWrap/>
            <w:vAlign w:val="center"/>
            <w:hideMark/>
          </w:tcPr>
          <w:p w14:paraId="11BB98F3"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S</w:t>
            </w:r>
          </w:p>
        </w:tc>
        <w:tc>
          <w:tcPr>
            <w:tcW w:w="1447" w:type="dxa"/>
            <w:shd w:val="clear" w:color="auto" w:fill="auto"/>
            <w:vAlign w:val="center"/>
            <w:hideMark/>
          </w:tcPr>
          <w:p w14:paraId="64E7500E"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Confidence Interval</w:t>
            </w:r>
          </w:p>
        </w:tc>
        <w:tc>
          <w:tcPr>
            <w:tcW w:w="1006" w:type="dxa"/>
            <w:shd w:val="clear" w:color="auto" w:fill="auto"/>
            <w:noWrap/>
            <w:vAlign w:val="center"/>
            <w:hideMark/>
          </w:tcPr>
          <w:p w14:paraId="18F7289E" w14:textId="77777777" w:rsidR="000E4BEA" w:rsidRPr="000E4BEA" w:rsidRDefault="000E4BEA" w:rsidP="000E4BEA">
            <w:pPr>
              <w:spacing w:line="360" w:lineRule="auto"/>
              <w:contextualSpacing/>
              <w:jc w:val="center"/>
              <w:rPr>
                <w:b/>
                <w:bCs/>
                <w:sz w:val="18"/>
                <w:szCs w:val="18"/>
                <w:lang w:val="en-US" w:eastAsia="en-US"/>
              </w:rPr>
            </w:pPr>
            <w:r w:rsidRPr="000E4BEA">
              <w:rPr>
                <w:b/>
                <w:bCs/>
                <w:sz w:val="18"/>
                <w:szCs w:val="18"/>
                <w:lang w:val="en-US" w:eastAsia="en-US"/>
              </w:rPr>
              <w:t>p</w:t>
            </w:r>
          </w:p>
        </w:tc>
      </w:tr>
      <w:tr w:rsidR="000E4BEA" w:rsidRPr="000E4BEA" w14:paraId="45F72E80" w14:textId="77777777" w:rsidTr="0076141F">
        <w:trPr>
          <w:trHeight w:val="267"/>
          <w:jc w:val="center"/>
        </w:trPr>
        <w:tc>
          <w:tcPr>
            <w:tcW w:w="1418" w:type="dxa"/>
            <w:shd w:val="clear" w:color="auto" w:fill="auto"/>
            <w:noWrap/>
            <w:vAlign w:val="center"/>
            <w:hideMark/>
          </w:tcPr>
          <w:p w14:paraId="491BE0F6"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Waist_2019</w:t>
            </w:r>
          </w:p>
        </w:tc>
        <w:tc>
          <w:tcPr>
            <w:tcW w:w="974" w:type="dxa"/>
            <w:shd w:val="clear" w:color="auto" w:fill="auto"/>
            <w:noWrap/>
            <w:vAlign w:val="center"/>
            <w:hideMark/>
          </w:tcPr>
          <w:p w14:paraId="4D92083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97</w:t>
            </w:r>
          </w:p>
        </w:tc>
        <w:tc>
          <w:tcPr>
            <w:tcW w:w="697" w:type="dxa"/>
            <w:shd w:val="clear" w:color="auto" w:fill="auto"/>
            <w:noWrap/>
            <w:vAlign w:val="center"/>
            <w:hideMark/>
          </w:tcPr>
          <w:p w14:paraId="765237C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0.78</w:t>
            </w:r>
          </w:p>
        </w:tc>
        <w:tc>
          <w:tcPr>
            <w:tcW w:w="931" w:type="dxa"/>
            <w:shd w:val="clear" w:color="auto" w:fill="auto"/>
            <w:noWrap/>
            <w:vAlign w:val="center"/>
            <w:hideMark/>
          </w:tcPr>
          <w:p w14:paraId="4B332C5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0.0413</w:t>
            </w:r>
          </w:p>
        </w:tc>
        <w:tc>
          <w:tcPr>
            <w:tcW w:w="697" w:type="dxa"/>
            <w:shd w:val="clear" w:color="auto" w:fill="auto"/>
            <w:noWrap/>
            <w:vAlign w:val="center"/>
            <w:hideMark/>
          </w:tcPr>
          <w:p w14:paraId="05396F2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w:t>
            </w:r>
          </w:p>
        </w:tc>
        <w:tc>
          <w:tcPr>
            <w:tcW w:w="697" w:type="dxa"/>
            <w:shd w:val="clear" w:color="auto" w:fill="auto"/>
            <w:noWrap/>
            <w:vAlign w:val="center"/>
            <w:hideMark/>
          </w:tcPr>
          <w:p w14:paraId="076A320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68.57</w:t>
            </w:r>
          </w:p>
        </w:tc>
        <w:tc>
          <w:tcPr>
            <w:tcW w:w="1447" w:type="dxa"/>
            <w:shd w:val="clear" w:color="auto" w:fill="auto"/>
            <w:noWrap/>
            <w:vAlign w:val="center"/>
            <w:hideMark/>
          </w:tcPr>
          <w:p w14:paraId="100E81A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0.729 – 0.825</w:t>
            </w:r>
          </w:p>
        </w:tc>
        <w:tc>
          <w:tcPr>
            <w:tcW w:w="1006" w:type="dxa"/>
            <w:shd w:val="clear" w:color="auto" w:fill="auto"/>
            <w:noWrap/>
            <w:vAlign w:val="center"/>
            <w:hideMark/>
          </w:tcPr>
          <w:p w14:paraId="17918DB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7947251C" w14:textId="77777777" w:rsidTr="0076141F">
        <w:trPr>
          <w:trHeight w:val="267"/>
          <w:jc w:val="center"/>
        </w:trPr>
        <w:tc>
          <w:tcPr>
            <w:tcW w:w="1418" w:type="dxa"/>
            <w:shd w:val="clear" w:color="auto" w:fill="auto"/>
            <w:noWrap/>
            <w:vAlign w:val="center"/>
            <w:hideMark/>
          </w:tcPr>
          <w:p w14:paraId="36BFD019"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Hip_2019</w:t>
            </w:r>
          </w:p>
        </w:tc>
        <w:tc>
          <w:tcPr>
            <w:tcW w:w="974" w:type="dxa"/>
            <w:shd w:val="clear" w:color="auto" w:fill="auto"/>
            <w:noWrap/>
            <w:vAlign w:val="center"/>
            <w:hideMark/>
          </w:tcPr>
          <w:p w14:paraId="779F22A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93</w:t>
            </w:r>
          </w:p>
        </w:tc>
        <w:tc>
          <w:tcPr>
            <w:tcW w:w="697" w:type="dxa"/>
            <w:shd w:val="clear" w:color="auto" w:fill="auto"/>
            <w:noWrap/>
            <w:vAlign w:val="center"/>
            <w:hideMark/>
          </w:tcPr>
          <w:p w14:paraId="2F00424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0.836</w:t>
            </w:r>
          </w:p>
        </w:tc>
        <w:tc>
          <w:tcPr>
            <w:tcW w:w="931" w:type="dxa"/>
            <w:shd w:val="clear" w:color="auto" w:fill="auto"/>
            <w:noWrap/>
            <w:vAlign w:val="center"/>
            <w:hideMark/>
          </w:tcPr>
          <w:p w14:paraId="37FB2B8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0.0347</w:t>
            </w:r>
          </w:p>
        </w:tc>
        <w:tc>
          <w:tcPr>
            <w:tcW w:w="697" w:type="dxa"/>
            <w:shd w:val="clear" w:color="auto" w:fill="auto"/>
            <w:noWrap/>
            <w:vAlign w:val="center"/>
            <w:hideMark/>
          </w:tcPr>
          <w:p w14:paraId="39C0D6E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90</w:t>
            </w:r>
          </w:p>
        </w:tc>
        <w:tc>
          <w:tcPr>
            <w:tcW w:w="697" w:type="dxa"/>
            <w:shd w:val="clear" w:color="auto" w:fill="auto"/>
            <w:noWrap/>
            <w:vAlign w:val="center"/>
            <w:hideMark/>
          </w:tcPr>
          <w:p w14:paraId="3601D42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72.86</w:t>
            </w:r>
          </w:p>
        </w:tc>
        <w:tc>
          <w:tcPr>
            <w:tcW w:w="1447" w:type="dxa"/>
            <w:shd w:val="clear" w:color="auto" w:fill="auto"/>
            <w:noWrap/>
            <w:vAlign w:val="center"/>
            <w:hideMark/>
          </w:tcPr>
          <w:p w14:paraId="7F34D3C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0.789 – 0.876</w:t>
            </w:r>
          </w:p>
        </w:tc>
        <w:tc>
          <w:tcPr>
            <w:tcW w:w="1006" w:type="dxa"/>
            <w:shd w:val="clear" w:color="auto" w:fill="auto"/>
            <w:noWrap/>
            <w:vAlign w:val="center"/>
            <w:hideMark/>
          </w:tcPr>
          <w:p w14:paraId="28AC690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1734A8EB" w14:textId="77777777" w:rsidTr="0076141F">
        <w:trPr>
          <w:trHeight w:val="267"/>
          <w:jc w:val="center"/>
        </w:trPr>
        <w:tc>
          <w:tcPr>
            <w:tcW w:w="1418" w:type="dxa"/>
            <w:shd w:val="clear" w:color="auto" w:fill="auto"/>
            <w:noWrap/>
            <w:vAlign w:val="center"/>
            <w:hideMark/>
          </w:tcPr>
          <w:p w14:paraId="39679A0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2019</w:t>
            </w:r>
          </w:p>
        </w:tc>
        <w:tc>
          <w:tcPr>
            <w:tcW w:w="974" w:type="dxa"/>
            <w:shd w:val="clear" w:color="auto" w:fill="auto"/>
            <w:noWrap/>
            <w:vAlign w:val="center"/>
            <w:hideMark/>
          </w:tcPr>
          <w:p w14:paraId="568C1BD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24.89</w:t>
            </w:r>
          </w:p>
        </w:tc>
        <w:tc>
          <w:tcPr>
            <w:tcW w:w="697" w:type="dxa"/>
            <w:shd w:val="clear" w:color="auto" w:fill="auto"/>
            <w:noWrap/>
            <w:vAlign w:val="center"/>
            <w:hideMark/>
          </w:tcPr>
          <w:p w14:paraId="5815BEA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0.735</w:t>
            </w:r>
          </w:p>
        </w:tc>
        <w:tc>
          <w:tcPr>
            <w:tcW w:w="931" w:type="dxa"/>
            <w:shd w:val="clear" w:color="auto" w:fill="auto"/>
            <w:noWrap/>
            <w:vAlign w:val="center"/>
            <w:hideMark/>
          </w:tcPr>
          <w:p w14:paraId="554016E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0.0506</w:t>
            </w:r>
          </w:p>
        </w:tc>
        <w:tc>
          <w:tcPr>
            <w:tcW w:w="697" w:type="dxa"/>
            <w:shd w:val="clear" w:color="auto" w:fill="auto"/>
            <w:noWrap/>
            <w:vAlign w:val="center"/>
            <w:hideMark/>
          </w:tcPr>
          <w:p w14:paraId="16BBC75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70</w:t>
            </w:r>
          </w:p>
        </w:tc>
        <w:tc>
          <w:tcPr>
            <w:tcW w:w="697" w:type="dxa"/>
            <w:shd w:val="clear" w:color="auto" w:fill="auto"/>
            <w:noWrap/>
            <w:vAlign w:val="center"/>
            <w:hideMark/>
          </w:tcPr>
          <w:p w14:paraId="3CDBB85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68.21</w:t>
            </w:r>
          </w:p>
        </w:tc>
        <w:tc>
          <w:tcPr>
            <w:tcW w:w="1447" w:type="dxa"/>
            <w:shd w:val="clear" w:color="auto" w:fill="auto"/>
            <w:noWrap/>
            <w:vAlign w:val="center"/>
            <w:hideMark/>
          </w:tcPr>
          <w:p w14:paraId="543AAF2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0.681 – 0.784</w:t>
            </w:r>
          </w:p>
        </w:tc>
        <w:tc>
          <w:tcPr>
            <w:tcW w:w="1006" w:type="dxa"/>
            <w:shd w:val="clear" w:color="auto" w:fill="auto"/>
            <w:noWrap/>
            <w:vAlign w:val="center"/>
            <w:hideMark/>
          </w:tcPr>
          <w:p w14:paraId="6A5D453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1C8B93A3" w14:textId="77777777" w:rsidTr="0076141F">
        <w:trPr>
          <w:trHeight w:val="267"/>
          <w:jc w:val="center"/>
        </w:trPr>
        <w:tc>
          <w:tcPr>
            <w:tcW w:w="1418" w:type="dxa"/>
            <w:shd w:val="clear" w:color="auto" w:fill="auto"/>
            <w:noWrap/>
            <w:vAlign w:val="center"/>
            <w:hideMark/>
          </w:tcPr>
          <w:p w14:paraId="5A410EB8"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WHR_2019</w:t>
            </w:r>
          </w:p>
        </w:tc>
        <w:tc>
          <w:tcPr>
            <w:tcW w:w="974" w:type="dxa"/>
            <w:shd w:val="clear" w:color="auto" w:fill="auto"/>
            <w:noWrap/>
            <w:vAlign w:val="center"/>
            <w:hideMark/>
          </w:tcPr>
          <w:p w14:paraId="0CDE906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0.93</w:t>
            </w:r>
          </w:p>
        </w:tc>
        <w:tc>
          <w:tcPr>
            <w:tcW w:w="697" w:type="dxa"/>
            <w:shd w:val="clear" w:color="auto" w:fill="auto"/>
            <w:noWrap/>
            <w:vAlign w:val="center"/>
            <w:hideMark/>
          </w:tcPr>
          <w:p w14:paraId="51564D9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0.709</w:t>
            </w:r>
          </w:p>
        </w:tc>
        <w:tc>
          <w:tcPr>
            <w:tcW w:w="931" w:type="dxa"/>
            <w:shd w:val="clear" w:color="auto" w:fill="auto"/>
            <w:noWrap/>
            <w:vAlign w:val="center"/>
            <w:hideMark/>
          </w:tcPr>
          <w:p w14:paraId="76EB0D4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0.055</w:t>
            </w:r>
          </w:p>
        </w:tc>
        <w:tc>
          <w:tcPr>
            <w:tcW w:w="697" w:type="dxa"/>
            <w:shd w:val="clear" w:color="auto" w:fill="auto"/>
            <w:noWrap/>
            <w:vAlign w:val="center"/>
            <w:hideMark/>
          </w:tcPr>
          <w:p w14:paraId="3268D62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90</w:t>
            </w:r>
          </w:p>
        </w:tc>
        <w:tc>
          <w:tcPr>
            <w:tcW w:w="697" w:type="dxa"/>
            <w:shd w:val="clear" w:color="auto" w:fill="auto"/>
            <w:noWrap/>
            <w:vAlign w:val="center"/>
            <w:hideMark/>
          </w:tcPr>
          <w:p w14:paraId="7AEB5D2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44.29</w:t>
            </w:r>
          </w:p>
        </w:tc>
        <w:tc>
          <w:tcPr>
            <w:tcW w:w="1447" w:type="dxa"/>
            <w:shd w:val="clear" w:color="auto" w:fill="auto"/>
            <w:noWrap/>
            <w:vAlign w:val="center"/>
            <w:hideMark/>
          </w:tcPr>
          <w:p w14:paraId="326228C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0.654 – 0.760</w:t>
            </w:r>
          </w:p>
        </w:tc>
        <w:tc>
          <w:tcPr>
            <w:tcW w:w="1006" w:type="dxa"/>
            <w:shd w:val="clear" w:color="auto" w:fill="auto"/>
            <w:noWrap/>
            <w:vAlign w:val="center"/>
            <w:hideMark/>
          </w:tcPr>
          <w:p w14:paraId="7AC2C1A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0.0001</w:t>
            </w:r>
          </w:p>
        </w:tc>
      </w:tr>
      <w:tr w:rsidR="000E4BEA" w:rsidRPr="000E4BEA" w14:paraId="799E7CFD" w14:textId="77777777" w:rsidTr="0076141F">
        <w:trPr>
          <w:trHeight w:val="267"/>
          <w:jc w:val="center"/>
        </w:trPr>
        <w:tc>
          <w:tcPr>
            <w:tcW w:w="1418" w:type="dxa"/>
            <w:shd w:val="clear" w:color="auto" w:fill="auto"/>
            <w:noWrap/>
            <w:vAlign w:val="center"/>
            <w:hideMark/>
          </w:tcPr>
          <w:p w14:paraId="31AB8CC9"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WHtR_2019</w:t>
            </w:r>
          </w:p>
        </w:tc>
        <w:tc>
          <w:tcPr>
            <w:tcW w:w="974" w:type="dxa"/>
            <w:shd w:val="clear" w:color="auto" w:fill="auto"/>
            <w:noWrap/>
            <w:vAlign w:val="center"/>
            <w:hideMark/>
          </w:tcPr>
          <w:p w14:paraId="1D44DA2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0.55</w:t>
            </w:r>
          </w:p>
        </w:tc>
        <w:tc>
          <w:tcPr>
            <w:tcW w:w="697" w:type="dxa"/>
            <w:shd w:val="clear" w:color="auto" w:fill="auto"/>
            <w:noWrap/>
            <w:vAlign w:val="center"/>
            <w:hideMark/>
          </w:tcPr>
          <w:p w14:paraId="7572E46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0.767</w:t>
            </w:r>
          </w:p>
        </w:tc>
        <w:tc>
          <w:tcPr>
            <w:tcW w:w="931" w:type="dxa"/>
            <w:shd w:val="clear" w:color="auto" w:fill="auto"/>
            <w:noWrap/>
            <w:vAlign w:val="center"/>
            <w:hideMark/>
          </w:tcPr>
          <w:p w14:paraId="53B177D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0.0478</w:t>
            </w:r>
          </w:p>
        </w:tc>
        <w:tc>
          <w:tcPr>
            <w:tcW w:w="697" w:type="dxa"/>
            <w:shd w:val="clear" w:color="auto" w:fill="auto"/>
            <w:noWrap/>
            <w:vAlign w:val="center"/>
            <w:hideMark/>
          </w:tcPr>
          <w:p w14:paraId="5A4F824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75</w:t>
            </w:r>
          </w:p>
        </w:tc>
        <w:tc>
          <w:tcPr>
            <w:tcW w:w="697" w:type="dxa"/>
            <w:shd w:val="clear" w:color="auto" w:fill="auto"/>
            <w:noWrap/>
            <w:vAlign w:val="center"/>
            <w:hideMark/>
          </w:tcPr>
          <w:p w14:paraId="3746558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65.36</w:t>
            </w:r>
          </w:p>
        </w:tc>
        <w:tc>
          <w:tcPr>
            <w:tcW w:w="1447" w:type="dxa"/>
            <w:shd w:val="clear" w:color="auto" w:fill="auto"/>
            <w:noWrap/>
            <w:vAlign w:val="center"/>
            <w:hideMark/>
          </w:tcPr>
          <w:p w14:paraId="204B230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0.715 – 0.813</w:t>
            </w:r>
          </w:p>
        </w:tc>
        <w:tc>
          <w:tcPr>
            <w:tcW w:w="1006" w:type="dxa"/>
            <w:shd w:val="clear" w:color="auto" w:fill="auto"/>
            <w:noWrap/>
            <w:vAlign w:val="center"/>
            <w:hideMark/>
          </w:tcPr>
          <w:p w14:paraId="7D8BDCB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29643B05" w14:textId="77777777" w:rsidTr="0076141F">
        <w:trPr>
          <w:trHeight w:val="267"/>
          <w:jc w:val="center"/>
        </w:trPr>
        <w:tc>
          <w:tcPr>
            <w:tcW w:w="1418" w:type="dxa"/>
            <w:shd w:val="clear" w:color="auto" w:fill="auto"/>
            <w:noWrap/>
            <w:vAlign w:val="center"/>
            <w:hideMark/>
          </w:tcPr>
          <w:p w14:paraId="502DFE81"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BMI_2019</w:t>
            </w:r>
          </w:p>
        </w:tc>
        <w:tc>
          <w:tcPr>
            <w:tcW w:w="974" w:type="dxa"/>
            <w:shd w:val="clear" w:color="auto" w:fill="auto"/>
            <w:noWrap/>
            <w:vAlign w:val="center"/>
            <w:hideMark/>
          </w:tcPr>
          <w:p w14:paraId="0F8979C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27.66</w:t>
            </w:r>
          </w:p>
        </w:tc>
        <w:tc>
          <w:tcPr>
            <w:tcW w:w="697" w:type="dxa"/>
            <w:shd w:val="clear" w:color="auto" w:fill="auto"/>
            <w:noWrap/>
            <w:vAlign w:val="center"/>
            <w:hideMark/>
          </w:tcPr>
          <w:p w14:paraId="2812664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0.711</w:t>
            </w:r>
          </w:p>
        </w:tc>
        <w:tc>
          <w:tcPr>
            <w:tcW w:w="931" w:type="dxa"/>
            <w:shd w:val="clear" w:color="auto" w:fill="auto"/>
            <w:noWrap/>
            <w:vAlign w:val="center"/>
            <w:hideMark/>
          </w:tcPr>
          <w:p w14:paraId="64EA32C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0.0594</w:t>
            </w:r>
          </w:p>
        </w:tc>
        <w:tc>
          <w:tcPr>
            <w:tcW w:w="697" w:type="dxa"/>
            <w:shd w:val="clear" w:color="auto" w:fill="auto"/>
            <w:noWrap/>
            <w:vAlign w:val="center"/>
            <w:hideMark/>
          </w:tcPr>
          <w:p w14:paraId="07AA70E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60</w:t>
            </w:r>
          </w:p>
        </w:tc>
        <w:tc>
          <w:tcPr>
            <w:tcW w:w="697" w:type="dxa"/>
            <w:shd w:val="clear" w:color="auto" w:fill="auto"/>
            <w:noWrap/>
            <w:vAlign w:val="center"/>
            <w:hideMark/>
          </w:tcPr>
          <w:p w14:paraId="30BA36B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80.36</w:t>
            </w:r>
          </w:p>
        </w:tc>
        <w:tc>
          <w:tcPr>
            <w:tcW w:w="1447" w:type="dxa"/>
            <w:shd w:val="clear" w:color="auto" w:fill="auto"/>
            <w:noWrap/>
            <w:vAlign w:val="center"/>
            <w:hideMark/>
          </w:tcPr>
          <w:p w14:paraId="72D2F54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0.656 – 0.762</w:t>
            </w:r>
          </w:p>
        </w:tc>
        <w:tc>
          <w:tcPr>
            <w:tcW w:w="1006" w:type="dxa"/>
            <w:shd w:val="clear" w:color="auto" w:fill="auto"/>
            <w:noWrap/>
            <w:vAlign w:val="center"/>
            <w:hideMark/>
          </w:tcPr>
          <w:p w14:paraId="2218B85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0.0004</w:t>
            </w:r>
          </w:p>
        </w:tc>
      </w:tr>
      <w:tr w:rsidR="000E4BEA" w:rsidRPr="000E4BEA" w14:paraId="342D0A4D" w14:textId="77777777" w:rsidTr="0076141F">
        <w:trPr>
          <w:trHeight w:val="267"/>
          <w:jc w:val="center"/>
        </w:trPr>
        <w:tc>
          <w:tcPr>
            <w:tcW w:w="1418" w:type="dxa"/>
            <w:shd w:val="clear" w:color="auto" w:fill="auto"/>
            <w:noWrap/>
            <w:vAlign w:val="center"/>
            <w:hideMark/>
          </w:tcPr>
          <w:p w14:paraId="0538F3C1"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WWR_2019</w:t>
            </w:r>
          </w:p>
        </w:tc>
        <w:tc>
          <w:tcPr>
            <w:tcW w:w="974" w:type="dxa"/>
            <w:shd w:val="clear" w:color="auto" w:fill="auto"/>
            <w:noWrap/>
            <w:vAlign w:val="center"/>
            <w:hideMark/>
          </w:tcPr>
          <w:p w14:paraId="74EBEAC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0.82</w:t>
            </w:r>
          </w:p>
        </w:tc>
        <w:tc>
          <w:tcPr>
            <w:tcW w:w="697" w:type="dxa"/>
            <w:shd w:val="clear" w:color="auto" w:fill="auto"/>
            <w:noWrap/>
            <w:vAlign w:val="center"/>
            <w:hideMark/>
          </w:tcPr>
          <w:p w14:paraId="199AF94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0.544</w:t>
            </w:r>
          </w:p>
        </w:tc>
        <w:tc>
          <w:tcPr>
            <w:tcW w:w="931" w:type="dxa"/>
            <w:shd w:val="clear" w:color="auto" w:fill="auto"/>
            <w:noWrap/>
            <w:vAlign w:val="center"/>
            <w:hideMark/>
          </w:tcPr>
          <w:p w14:paraId="695A3E7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0.0683</w:t>
            </w:r>
          </w:p>
        </w:tc>
        <w:tc>
          <w:tcPr>
            <w:tcW w:w="697" w:type="dxa"/>
            <w:shd w:val="clear" w:color="auto" w:fill="auto"/>
            <w:noWrap/>
            <w:vAlign w:val="center"/>
            <w:hideMark/>
          </w:tcPr>
          <w:p w14:paraId="461AFFA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50</w:t>
            </w:r>
          </w:p>
        </w:tc>
        <w:tc>
          <w:tcPr>
            <w:tcW w:w="697" w:type="dxa"/>
            <w:shd w:val="clear" w:color="auto" w:fill="auto"/>
            <w:noWrap/>
            <w:vAlign w:val="center"/>
            <w:hideMark/>
          </w:tcPr>
          <w:p w14:paraId="14CE416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67.86</w:t>
            </w:r>
          </w:p>
        </w:tc>
        <w:tc>
          <w:tcPr>
            <w:tcW w:w="1447" w:type="dxa"/>
            <w:shd w:val="clear" w:color="auto" w:fill="auto"/>
            <w:noWrap/>
            <w:vAlign w:val="center"/>
            <w:hideMark/>
          </w:tcPr>
          <w:p w14:paraId="47B095F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0.485 – 0.601</w:t>
            </w:r>
          </w:p>
        </w:tc>
        <w:tc>
          <w:tcPr>
            <w:tcW w:w="1006" w:type="dxa"/>
            <w:shd w:val="clear" w:color="auto" w:fill="auto"/>
            <w:noWrap/>
            <w:vAlign w:val="center"/>
            <w:hideMark/>
          </w:tcPr>
          <w:p w14:paraId="5C75F46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0.5238</w:t>
            </w:r>
          </w:p>
        </w:tc>
      </w:tr>
      <w:tr w:rsidR="000E4BEA" w:rsidRPr="000E4BEA" w14:paraId="7B1601E1" w14:textId="77777777" w:rsidTr="0076141F">
        <w:trPr>
          <w:trHeight w:val="267"/>
          <w:jc w:val="center"/>
        </w:trPr>
        <w:tc>
          <w:tcPr>
            <w:tcW w:w="1418" w:type="dxa"/>
            <w:shd w:val="clear" w:color="auto" w:fill="auto"/>
            <w:noWrap/>
            <w:vAlign w:val="center"/>
            <w:hideMark/>
          </w:tcPr>
          <w:p w14:paraId="3EF0F660"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Waist_2020</w:t>
            </w:r>
          </w:p>
        </w:tc>
        <w:tc>
          <w:tcPr>
            <w:tcW w:w="974" w:type="dxa"/>
            <w:shd w:val="clear" w:color="auto" w:fill="auto"/>
            <w:noWrap/>
            <w:vAlign w:val="center"/>
            <w:hideMark/>
          </w:tcPr>
          <w:p w14:paraId="3D28A8E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95</w:t>
            </w:r>
          </w:p>
        </w:tc>
        <w:tc>
          <w:tcPr>
            <w:tcW w:w="697" w:type="dxa"/>
            <w:shd w:val="clear" w:color="auto" w:fill="auto"/>
            <w:noWrap/>
            <w:vAlign w:val="center"/>
            <w:hideMark/>
          </w:tcPr>
          <w:p w14:paraId="5BE377B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0.737</w:t>
            </w:r>
          </w:p>
        </w:tc>
        <w:tc>
          <w:tcPr>
            <w:tcW w:w="931" w:type="dxa"/>
            <w:shd w:val="clear" w:color="auto" w:fill="auto"/>
            <w:noWrap/>
            <w:vAlign w:val="center"/>
            <w:hideMark/>
          </w:tcPr>
          <w:p w14:paraId="40744EE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0.0516</w:t>
            </w:r>
          </w:p>
        </w:tc>
        <w:tc>
          <w:tcPr>
            <w:tcW w:w="697" w:type="dxa"/>
            <w:shd w:val="clear" w:color="auto" w:fill="auto"/>
            <w:noWrap/>
            <w:vAlign w:val="center"/>
            <w:hideMark/>
          </w:tcPr>
          <w:p w14:paraId="49036F7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78.95</w:t>
            </w:r>
          </w:p>
        </w:tc>
        <w:tc>
          <w:tcPr>
            <w:tcW w:w="697" w:type="dxa"/>
            <w:shd w:val="clear" w:color="auto" w:fill="auto"/>
            <w:noWrap/>
            <w:vAlign w:val="center"/>
            <w:hideMark/>
          </w:tcPr>
          <w:p w14:paraId="23D93FD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57.8</w:t>
            </w:r>
          </w:p>
        </w:tc>
        <w:tc>
          <w:tcPr>
            <w:tcW w:w="1447" w:type="dxa"/>
            <w:shd w:val="clear" w:color="auto" w:fill="auto"/>
            <w:noWrap/>
            <w:vAlign w:val="center"/>
            <w:hideMark/>
          </w:tcPr>
          <w:p w14:paraId="6072F9B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0.684 – 0.786</w:t>
            </w:r>
          </w:p>
        </w:tc>
        <w:tc>
          <w:tcPr>
            <w:tcW w:w="1006" w:type="dxa"/>
            <w:shd w:val="clear" w:color="auto" w:fill="auto"/>
            <w:noWrap/>
            <w:vAlign w:val="center"/>
            <w:hideMark/>
          </w:tcPr>
          <w:p w14:paraId="35E3B14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3C9F64A2" w14:textId="77777777" w:rsidTr="0076141F">
        <w:trPr>
          <w:trHeight w:val="267"/>
          <w:jc w:val="center"/>
        </w:trPr>
        <w:tc>
          <w:tcPr>
            <w:tcW w:w="1418" w:type="dxa"/>
            <w:shd w:val="clear" w:color="000000" w:fill="FFFFFF"/>
            <w:noWrap/>
            <w:vAlign w:val="center"/>
            <w:hideMark/>
          </w:tcPr>
          <w:p w14:paraId="1653214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Hip_2020</w:t>
            </w:r>
          </w:p>
        </w:tc>
        <w:tc>
          <w:tcPr>
            <w:tcW w:w="974" w:type="dxa"/>
            <w:shd w:val="clear" w:color="auto" w:fill="auto"/>
            <w:noWrap/>
            <w:vAlign w:val="center"/>
            <w:hideMark/>
          </w:tcPr>
          <w:p w14:paraId="0E317DE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92</w:t>
            </w:r>
          </w:p>
        </w:tc>
        <w:tc>
          <w:tcPr>
            <w:tcW w:w="697" w:type="dxa"/>
            <w:shd w:val="clear" w:color="auto" w:fill="auto"/>
            <w:noWrap/>
            <w:vAlign w:val="center"/>
            <w:hideMark/>
          </w:tcPr>
          <w:p w14:paraId="1BB72B0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0.812</w:t>
            </w:r>
          </w:p>
        </w:tc>
        <w:tc>
          <w:tcPr>
            <w:tcW w:w="931" w:type="dxa"/>
            <w:shd w:val="clear" w:color="auto" w:fill="auto"/>
            <w:noWrap/>
            <w:vAlign w:val="center"/>
            <w:hideMark/>
          </w:tcPr>
          <w:p w14:paraId="5CFB9DC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0.0384</w:t>
            </w:r>
          </w:p>
        </w:tc>
        <w:tc>
          <w:tcPr>
            <w:tcW w:w="697" w:type="dxa"/>
            <w:shd w:val="clear" w:color="auto" w:fill="auto"/>
            <w:noWrap/>
            <w:vAlign w:val="center"/>
            <w:hideMark/>
          </w:tcPr>
          <w:p w14:paraId="3BE02E5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78.95</w:t>
            </w:r>
          </w:p>
        </w:tc>
        <w:tc>
          <w:tcPr>
            <w:tcW w:w="697" w:type="dxa"/>
            <w:shd w:val="clear" w:color="auto" w:fill="auto"/>
            <w:noWrap/>
            <w:vAlign w:val="center"/>
            <w:hideMark/>
          </w:tcPr>
          <w:p w14:paraId="225E73A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72.34</w:t>
            </w:r>
          </w:p>
        </w:tc>
        <w:tc>
          <w:tcPr>
            <w:tcW w:w="1447" w:type="dxa"/>
            <w:shd w:val="clear" w:color="auto" w:fill="auto"/>
            <w:noWrap/>
            <w:vAlign w:val="center"/>
            <w:hideMark/>
          </w:tcPr>
          <w:p w14:paraId="1C88BD4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0.764 – 0.855</w:t>
            </w:r>
          </w:p>
        </w:tc>
        <w:tc>
          <w:tcPr>
            <w:tcW w:w="1006" w:type="dxa"/>
            <w:shd w:val="clear" w:color="auto" w:fill="auto"/>
            <w:noWrap/>
            <w:vAlign w:val="center"/>
            <w:hideMark/>
          </w:tcPr>
          <w:p w14:paraId="44D1B87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36D7D241" w14:textId="77777777" w:rsidTr="0076141F">
        <w:trPr>
          <w:trHeight w:val="267"/>
          <w:jc w:val="center"/>
        </w:trPr>
        <w:tc>
          <w:tcPr>
            <w:tcW w:w="1418" w:type="dxa"/>
            <w:shd w:val="clear" w:color="000000" w:fill="FFFFFF"/>
            <w:noWrap/>
            <w:vAlign w:val="center"/>
            <w:hideMark/>
          </w:tcPr>
          <w:p w14:paraId="49E470CB"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_2020</w:t>
            </w:r>
          </w:p>
        </w:tc>
        <w:tc>
          <w:tcPr>
            <w:tcW w:w="974" w:type="dxa"/>
            <w:shd w:val="clear" w:color="auto" w:fill="auto"/>
            <w:noWrap/>
            <w:vAlign w:val="center"/>
            <w:hideMark/>
          </w:tcPr>
          <w:p w14:paraId="5BC802B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26.21</w:t>
            </w:r>
          </w:p>
        </w:tc>
        <w:tc>
          <w:tcPr>
            <w:tcW w:w="697" w:type="dxa"/>
            <w:shd w:val="clear" w:color="auto" w:fill="auto"/>
            <w:noWrap/>
            <w:vAlign w:val="center"/>
            <w:hideMark/>
          </w:tcPr>
          <w:p w14:paraId="231C568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w:t>
            </w:r>
          </w:p>
        </w:tc>
        <w:tc>
          <w:tcPr>
            <w:tcW w:w="931" w:type="dxa"/>
            <w:shd w:val="clear" w:color="auto" w:fill="auto"/>
            <w:noWrap/>
            <w:vAlign w:val="center"/>
            <w:hideMark/>
          </w:tcPr>
          <w:p w14:paraId="1130808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0.052</w:t>
            </w:r>
          </w:p>
        </w:tc>
        <w:tc>
          <w:tcPr>
            <w:tcW w:w="697" w:type="dxa"/>
            <w:shd w:val="clear" w:color="auto" w:fill="auto"/>
            <w:noWrap/>
            <w:vAlign w:val="center"/>
            <w:hideMark/>
          </w:tcPr>
          <w:p w14:paraId="0CBF0B0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73.68</w:t>
            </w:r>
          </w:p>
        </w:tc>
        <w:tc>
          <w:tcPr>
            <w:tcW w:w="697" w:type="dxa"/>
            <w:shd w:val="clear" w:color="auto" w:fill="auto"/>
            <w:noWrap/>
            <w:vAlign w:val="center"/>
            <w:hideMark/>
          </w:tcPr>
          <w:p w14:paraId="181661B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59.93</w:t>
            </w:r>
          </w:p>
        </w:tc>
        <w:tc>
          <w:tcPr>
            <w:tcW w:w="1447" w:type="dxa"/>
            <w:shd w:val="clear" w:color="auto" w:fill="auto"/>
            <w:noWrap/>
            <w:vAlign w:val="center"/>
            <w:hideMark/>
          </w:tcPr>
          <w:p w14:paraId="2DB0358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0.593 – 0.704</w:t>
            </w:r>
          </w:p>
        </w:tc>
        <w:tc>
          <w:tcPr>
            <w:tcW w:w="1006" w:type="dxa"/>
            <w:shd w:val="clear" w:color="auto" w:fill="auto"/>
            <w:noWrap/>
            <w:vAlign w:val="center"/>
            <w:hideMark/>
          </w:tcPr>
          <w:p w14:paraId="5C013EE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0.004</w:t>
            </w:r>
          </w:p>
        </w:tc>
      </w:tr>
      <w:tr w:rsidR="000E4BEA" w:rsidRPr="000E4BEA" w14:paraId="458EA0AB" w14:textId="77777777" w:rsidTr="0076141F">
        <w:trPr>
          <w:trHeight w:val="267"/>
          <w:jc w:val="center"/>
        </w:trPr>
        <w:tc>
          <w:tcPr>
            <w:tcW w:w="1418" w:type="dxa"/>
            <w:shd w:val="clear" w:color="000000" w:fill="FFFFFF"/>
            <w:noWrap/>
            <w:vAlign w:val="center"/>
            <w:hideMark/>
          </w:tcPr>
          <w:p w14:paraId="10A9DE6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WHR_2020</w:t>
            </w:r>
          </w:p>
        </w:tc>
        <w:tc>
          <w:tcPr>
            <w:tcW w:w="974" w:type="dxa"/>
            <w:shd w:val="clear" w:color="auto" w:fill="auto"/>
            <w:noWrap/>
            <w:vAlign w:val="center"/>
            <w:hideMark/>
          </w:tcPr>
          <w:p w14:paraId="5FC5161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0.93</w:t>
            </w:r>
          </w:p>
        </w:tc>
        <w:tc>
          <w:tcPr>
            <w:tcW w:w="697" w:type="dxa"/>
            <w:shd w:val="clear" w:color="auto" w:fill="auto"/>
            <w:noWrap/>
            <w:vAlign w:val="center"/>
            <w:hideMark/>
          </w:tcPr>
          <w:p w14:paraId="26EE3F7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0.752</w:t>
            </w:r>
          </w:p>
        </w:tc>
        <w:tc>
          <w:tcPr>
            <w:tcW w:w="931" w:type="dxa"/>
            <w:shd w:val="clear" w:color="auto" w:fill="auto"/>
            <w:noWrap/>
            <w:vAlign w:val="center"/>
            <w:hideMark/>
          </w:tcPr>
          <w:p w14:paraId="1D046A8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0.044</w:t>
            </w:r>
          </w:p>
        </w:tc>
        <w:tc>
          <w:tcPr>
            <w:tcW w:w="697" w:type="dxa"/>
            <w:shd w:val="clear" w:color="auto" w:fill="auto"/>
            <w:noWrap/>
            <w:vAlign w:val="center"/>
            <w:hideMark/>
          </w:tcPr>
          <w:p w14:paraId="4D788C4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94.74</w:t>
            </w:r>
          </w:p>
        </w:tc>
        <w:tc>
          <w:tcPr>
            <w:tcW w:w="697" w:type="dxa"/>
            <w:shd w:val="clear" w:color="auto" w:fill="auto"/>
            <w:noWrap/>
            <w:vAlign w:val="center"/>
            <w:hideMark/>
          </w:tcPr>
          <w:p w14:paraId="24AA263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52.48</w:t>
            </w:r>
          </w:p>
        </w:tc>
        <w:tc>
          <w:tcPr>
            <w:tcW w:w="1447" w:type="dxa"/>
            <w:shd w:val="clear" w:color="auto" w:fill="auto"/>
            <w:noWrap/>
            <w:vAlign w:val="center"/>
            <w:hideMark/>
          </w:tcPr>
          <w:p w14:paraId="2E89863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0.699 – 0.800</w:t>
            </w:r>
          </w:p>
        </w:tc>
        <w:tc>
          <w:tcPr>
            <w:tcW w:w="1006" w:type="dxa"/>
            <w:shd w:val="clear" w:color="auto" w:fill="auto"/>
            <w:noWrap/>
            <w:vAlign w:val="center"/>
            <w:hideMark/>
          </w:tcPr>
          <w:p w14:paraId="6CEFC61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E21E379" w14:textId="77777777" w:rsidTr="0076141F">
        <w:trPr>
          <w:trHeight w:val="267"/>
          <w:jc w:val="center"/>
        </w:trPr>
        <w:tc>
          <w:tcPr>
            <w:tcW w:w="1418" w:type="dxa"/>
            <w:shd w:val="clear" w:color="000000" w:fill="FFFFFF"/>
            <w:noWrap/>
            <w:vAlign w:val="center"/>
            <w:hideMark/>
          </w:tcPr>
          <w:p w14:paraId="0BB68AFA"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WHtR_2020</w:t>
            </w:r>
          </w:p>
        </w:tc>
        <w:tc>
          <w:tcPr>
            <w:tcW w:w="974" w:type="dxa"/>
            <w:shd w:val="clear" w:color="auto" w:fill="auto"/>
            <w:noWrap/>
            <w:vAlign w:val="center"/>
            <w:hideMark/>
          </w:tcPr>
          <w:p w14:paraId="74FE5DE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0.56</w:t>
            </w:r>
          </w:p>
        </w:tc>
        <w:tc>
          <w:tcPr>
            <w:tcW w:w="697" w:type="dxa"/>
            <w:shd w:val="clear" w:color="auto" w:fill="auto"/>
            <w:noWrap/>
            <w:vAlign w:val="center"/>
            <w:hideMark/>
          </w:tcPr>
          <w:p w14:paraId="5D6552E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0.767</w:t>
            </w:r>
          </w:p>
        </w:tc>
        <w:tc>
          <w:tcPr>
            <w:tcW w:w="931" w:type="dxa"/>
            <w:shd w:val="clear" w:color="auto" w:fill="auto"/>
            <w:noWrap/>
            <w:vAlign w:val="center"/>
            <w:hideMark/>
          </w:tcPr>
          <w:p w14:paraId="1329C4E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0.0472</w:t>
            </w:r>
          </w:p>
        </w:tc>
        <w:tc>
          <w:tcPr>
            <w:tcW w:w="697" w:type="dxa"/>
            <w:shd w:val="clear" w:color="auto" w:fill="auto"/>
            <w:noWrap/>
            <w:vAlign w:val="center"/>
            <w:hideMark/>
          </w:tcPr>
          <w:p w14:paraId="4474989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63.16</w:t>
            </w:r>
          </w:p>
        </w:tc>
        <w:tc>
          <w:tcPr>
            <w:tcW w:w="697" w:type="dxa"/>
            <w:shd w:val="clear" w:color="auto" w:fill="auto"/>
            <w:noWrap/>
            <w:vAlign w:val="center"/>
            <w:hideMark/>
          </w:tcPr>
          <w:p w14:paraId="480F4A5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77.66</w:t>
            </w:r>
          </w:p>
        </w:tc>
        <w:tc>
          <w:tcPr>
            <w:tcW w:w="1447" w:type="dxa"/>
            <w:shd w:val="clear" w:color="auto" w:fill="auto"/>
            <w:noWrap/>
            <w:vAlign w:val="center"/>
            <w:hideMark/>
          </w:tcPr>
          <w:p w14:paraId="0DA4229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0.715 – 0.814</w:t>
            </w:r>
          </w:p>
        </w:tc>
        <w:tc>
          <w:tcPr>
            <w:tcW w:w="1006" w:type="dxa"/>
            <w:shd w:val="clear" w:color="auto" w:fill="auto"/>
            <w:noWrap/>
            <w:vAlign w:val="center"/>
            <w:hideMark/>
          </w:tcPr>
          <w:p w14:paraId="6CCF775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3F952614" w14:textId="77777777" w:rsidTr="0076141F">
        <w:trPr>
          <w:trHeight w:val="267"/>
          <w:jc w:val="center"/>
        </w:trPr>
        <w:tc>
          <w:tcPr>
            <w:tcW w:w="1418" w:type="dxa"/>
            <w:shd w:val="clear" w:color="auto" w:fill="auto"/>
            <w:noWrap/>
            <w:vAlign w:val="center"/>
            <w:hideMark/>
          </w:tcPr>
          <w:p w14:paraId="252092D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BMI_2020</w:t>
            </w:r>
          </w:p>
        </w:tc>
        <w:tc>
          <w:tcPr>
            <w:tcW w:w="974" w:type="dxa"/>
            <w:shd w:val="clear" w:color="auto" w:fill="auto"/>
            <w:noWrap/>
            <w:vAlign w:val="center"/>
            <w:hideMark/>
          </w:tcPr>
          <w:p w14:paraId="6DAF168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26.22</w:t>
            </w:r>
          </w:p>
        </w:tc>
        <w:tc>
          <w:tcPr>
            <w:tcW w:w="697" w:type="dxa"/>
            <w:shd w:val="clear" w:color="auto" w:fill="auto"/>
            <w:noWrap/>
            <w:vAlign w:val="center"/>
            <w:hideMark/>
          </w:tcPr>
          <w:p w14:paraId="70FF341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0.729</w:t>
            </w:r>
          </w:p>
        </w:tc>
        <w:tc>
          <w:tcPr>
            <w:tcW w:w="931" w:type="dxa"/>
            <w:shd w:val="clear" w:color="auto" w:fill="auto"/>
            <w:noWrap/>
            <w:vAlign w:val="center"/>
            <w:hideMark/>
          </w:tcPr>
          <w:p w14:paraId="097F5A6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0.0498</w:t>
            </w:r>
          </w:p>
        </w:tc>
        <w:tc>
          <w:tcPr>
            <w:tcW w:w="697" w:type="dxa"/>
            <w:shd w:val="clear" w:color="auto" w:fill="auto"/>
            <w:noWrap/>
            <w:vAlign w:val="center"/>
            <w:hideMark/>
          </w:tcPr>
          <w:p w14:paraId="75BC3D3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84.21</w:t>
            </w:r>
          </w:p>
        </w:tc>
        <w:tc>
          <w:tcPr>
            <w:tcW w:w="697" w:type="dxa"/>
            <w:shd w:val="clear" w:color="auto" w:fill="auto"/>
            <w:noWrap/>
            <w:vAlign w:val="center"/>
            <w:hideMark/>
          </w:tcPr>
          <w:p w14:paraId="518472D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58.87</w:t>
            </w:r>
          </w:p>
        </w:tc>
        <w:tc>
          <w:tcPr>
            <w:tcW w:w="1447" w:type="dxa"/>
            <w:shd w:val="clear" w:color="auto" w:fill="auto"/>
            <w:noWrap/>
            <w:vAlign w:val="center"/>
            <w:hideMark/>
          </w:tcPr>
          <w:p w14:paraId="61368DA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0.675 – 0.779</w:t>
            </w:r>
          </w:p>
        </w:tc>
        <w:tc>
          <w:tcPr>
            <w:tcW w:w="1006" w:type="dxa"/>
            <w:shd w:val="clear" w:color="auto" w:fill="auto"/>
            <w:noWrap/>
            <w:vAlign w:val="center"/>
            <w:hideMark/>
          </w:tcPr>
          <w:p w14:paraId="04E4261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66548A33" w14:textId="77777777" w:rsidTr="0076141F">
        <w:trPr>
          <w:trHeight w:val="267"/>
          <w:jc w:val="center"/>
        </w:trPr>
        <w:tc>
          <w:tcPr>
            <w:tcW w:w="1418" w:type="dxa"/>
            <w:shd w:val="clear" w:color="auto" w:fill="auto"/>
            <w:noWrap/>
            <w:vAlign w:val="center"/>
            <w:hideMark/>
          </w:tcPr>
          <w:p w14:paraId="57E2A72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WWR_2020</w:t>
            </w:r>
          </w:p>
        </w:tc>
        <w:tc>
          <w:tcPr>
            <w:tcW w:w="974" w:type="dxa"/>
            <w:shd w:val="clear" w:color="auto" w:fill="auto"/>
            <w:noWrap/>
            <w:vAlign w:val="center"/>
            <w:hideMark/>
          </w:tcPr>
          <w:p w14:paraId="2D34685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0.82</w:t>
            </w:r>
          </w:p>
        </w:tc>
        <w:tc>
          <w:tcPr>
            <w:tcW w:w="697" w:type="dxa"/>
            <w:shd w:val="clear" w:color="auto" w:fill="auto"/>
            <w:noWrap/>
            <w:vAlign w:val="center"/>
            <w:hideMark/>
          </w:tcPr>
          <w:p w14:paraId="4E9419F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0.514</w:t>
            </w:r>
          </w:p>
        </w:tc>
        <w:tc>
          <w:tcPr>
            <w:tcW w:w="931" w:type="dxa"/>
            <w:shd w:val="clear" w:color="auto" w:fill="auto"/>
            <w:noWrap/>
            <w:vAlign w:val="center"/>
            <w:hideMark/>
          </w:tcPr>
          <w:p w14:paraId="22B4E75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0.066</w:t>
            </w:r>
          </w:p>
        </w:tc>
        <w:tc>
          <w:tcPr>
            <w:tcW w:w="697" w:type="dxa"/>
            <w:shd w:val="clear" w:color="auto" w:fill="auto"/>
            <w:noWrap/>
            <w:vAlign w:val="center"/>
            <w:hideMark/>
          </w:tcPr>
          <w:p w14:paraId="111B701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47.37</w:t>
            </w:r>
          </w:p>
        </w:tc>
        <w:tc>
          <w:tcPr>
            <w:tcW w:w="697" w:type="dxa"/>
            <w:shd w:val="clear" w:color="auto" w:fill="auto"/>
            <w:noWrap/>
            <w:vAlign w:val="center"/>
            <w:hideMark/>
          </w:tcPr>
          <w:p w14:paraId="64A8BFE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63.48</w:t>
            </w:r>
          </w:p>
        </w:tc>
        <w:tc>
          <w:tcPr>
            <w:tcW w:w="1447" w:type="dxa"/>
            <w:shd w:val="clear" w:color="auto" w:fill="auto"/>
            <w:noWrap/>
            <w:vAlign w:val="center"/>
            <w:hideMark/>
          </w:tcPr>
          <w:p w14:paraId="38D70A0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0.456 – 0.572</w:t>
            </w:r>
          </w:p>
        </w:tc>
        <w:tc>
          <w:tcPr>
            <w:tcW w:w="1006" w:type="dxa"/>
            <w:shd w:val="clear" w:color="auto" w:fill="auto"/>
            <w:noWrap/>
            <w:vAlign w:val="center"/>
            <w:hideMark/>
          </w:tcPr>
          <w:p w14:paraId="2CA8E48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0.8321</w:t>
            </w:r>
          </w:p>
        </w:tc>
      </w:tr>
      <w:tr w:rsidR="000E4BEA" w:rsidRPr="000E4BEA" w14:paraId="081DE697" w14:textId="77777777" w:rsidTr="0076141F">
        <w:trPr>
          <w:trHeight w:val="267"/>
          <w:jc w:val="center"/>
        </w:trPr>
        <w:tc>
          <w:tcPr>
            <w:tcW w:w="1418" w:type="dxa"/>
            <w:shd w:val="clear" w:color="auto" w:fill="auto"/>
            <w:noWrap/>
            <w:vAlign w:val="center"/>
            <w:hideMark/>
          </w:tcPr>
          <w:p w14:paraId="5446C155"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Waist_2021</w:t>
            </w:r>
          </w:p>
        </w:tc>
        <w:tc>
          <w:tcPr>
            <w:tcW w:w="974" w:type="dxa"/>
            <w:shd w:val="clear" w:color="auto" w:fill="auto"/>
            <w:noWrap/>
            <w:vAlign w:val="center"/>
            <w:hideMark/>
          </w:tcPr>
          <w:p w14:paraId="3973CEE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93</w:t>
            </w:r>
          </w:p>
        </w:tc>
        <w:tc>
          <w:tcPr>
            <w:tcW w:w="697" w:type="dxa"/>
            <w:shd w:val="clear" w:color="auto" w:fill="auto"/>
            <w:noWrap/>
            <w:vAlign w:val="center"/>
            <w:hideMark/>
          </w:tcPr>
          <w:p w14:paraId="2AD5DC9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0.657</w:t>
            </w:r>
          </w:p>
        </w:tc>
        <w:tc>
          <w:tcPr>
            <w:tcW w:w="931" w:type="dxa"/>
            <w:shd w:val="clear" w:color="auto" w:fill="auto"/>
            <w:noWrap/>
            <w:vAlign w:val="center"/>
            <w:hideMark/>
          </w:tcPr>
          <w:p w14:paraId="697BA6A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0.0697</w:t>
            </w:r>
          </w:p>
        </w:tc>
        <w:tc>
          <w:tcPr>
            <w:tcW w:w="697" w:type="dxa"/>
            <w:shd w:val="clear" w:color="auto" w:fill="auto"/>
            <w:noWrap/>
            <w:vAlign w:val="center"/>
            <w:hideMark/>
          </w:tcPr>
          <w:p w14:paraId="47B537C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93.33</w:t>
            </w:r>
          </w:p>
        </w:tc>
        <w:tc>
          <w:tcPr>
            <w:tcW w:w="697" w:type="dxa"/>
            <w:shd w:val="clear" w:color="auto" w:fill="auto"/>
            <w:noWrap/>
            <w:vAlign w:val="center"/>
            <w:hideMark/>
          </w:tcPr>
          <w:p w14:paraId="0E2A72D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33.06</w:t>
            </w:r>
          </w:p>
        </w:tc>
        <w:tc>
          <w:tcPr>
            <w:tcW w:w="1447" w:type="dxa"/>
            <w:shd w:val="clear" w:color="auto" w:fill="auto"/>
            <w:noWrap/>
            <w:vAlign w:val="center"/>
            <w:hideMark/>
          </w:tcPr>
          <w:p w14:paraId="0D85556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0.596 – 0.714</w:t>
            </w:r>
          </w:p>
        </w:tc>
        <w:tc>
          <w:tcPr>
            <w:tcW w:w="1006" w:type="dxa"/>
            <w:shd w:val="clear" w:color="auto" w:fill="auto"/>
            <w:noWrap/>
            <w:vAlign w:val="center"/>
            <w:hideMark/>
          </w:tcPr>
          <w:p w14:paraId="4F298D4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0.0244</w:t>
            </w:r>
          </w:p>
        </w:tc>
      </w:tr>
      <w:tr w:rsidR="000E4BEA" w:rsidRPr="000E4BEA" w14:paraId="4E1AA232" w14:textId="77777777" w:rsidTr="0076141F">
        <w:trPr>
          <w:trHeight w:val="267"/>
          <w:jc w:val="center"/>
        </w:trPr>
        <w:tc>
          <w:tcPr>
            <w:tcW w:w="1418" w:type="dxa"/>
            <w:shd w:val="clear" w:color="000000" w:fill="FFFFFF"/>
            <w:noWrap/>
            <w:vAlign w:val="center"/>
            <w:hideMark/>
          </w:tcPr>
          <w:p w14:paraId="7E23E3C0"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Hip_2021</w:t>
            </w:r>
          </w:p>
        </w:tc>
        <w:tc>
          <w:tcPr>
            <w:tcW w:w="974" w:type="dxa"/>
            <w:shd w:val="clear" w:color="auto" w:fill="auto"/>
            <w:noWrap/>
            <w:vAlign w:val="center"/>
            <w:hideMark/>
          </w:tcPr>
          <w:p w14:paraId="41E5461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89</w:t>
            </w:r>
          </w:p>
        </w:tc>
        <w:tc>
          <w:tcPr>
            <w:tcW w:w="697" w:type="dxa"/>
            <w:shd w:val="clear" w:color="auto" w:fill="auto"/>
            <w:noWrap/>
            <w:vAlign w:val="center"/>
            <w:hideMark/>
          </w:tcPr>
          <w:p w14:paraId="13BEDE9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0.717</w:t>
            </w:r>
          </w:p>
        </w:tc>
        <w:tc>
          <w:tcPr>
            <w:tcW w:w="931" w:type="dxa"/>
            <w:shd w:val="clear" w:color="auto" w:fill="auto"/>
            <w:noWrap/>
            <w:vAlign w:val="center"/>
            <w:hideMark/>
          </w:tcPr>
          <w:p w14:paraId="1C6EE2FC"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0.0529</w:t>
            </w:r>
          </w:p>
        </w:tc>
        <w:tc>
          <w:tcPr>
            <w:tcW w:w="697" w:type="dxa"/>
            <w:shd w:val="clear" w:color="auto" w:fill="auto"/>
            <w:noWrap/>
            <w:vAlign w:val="center"/>
            <w:hideMark/>
          </w:tcPr>
          <w:p w14:paraId="6506AEF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86.67</w:t>
            </w:r>
          </w:p>
        </w:tc>
        <w:tc>
          <w:tcPr>
            <w:tcW w:w="697" w:type="dxa"/>
            <w:shd w:val="clear" w:color="auto" w:fill="auto"/>
            <w:noWrap/>
            <w:vAlign w:val="center"/>
            <w:hideMark/>
          </w:tcPr>
          <w:p w14:paraId="4C74311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50</w:t>
            </w:r>
          </w:p>
        </w:tc>
        <w:tc>
          <w:tcPr>
            <w:tcW w:w="1447" w:type="dxa"/>
            <w:shd w:val="clear" w:color="auto" w:fill="auto"/>
            <w:noWrap/>
            <w:vAlign w:val="center"/>
            <w:hideMark/>
          </w:tcPr>
          <w:p w14:paraId="208D4CD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0.649 – 0.762</w:t>
            </w:r>
          </w:p>
        </w:tc>
        <w:tc>
          <w:tcPr>
            <w:tcW w:w="1006" w:type="dxa"/>
            <w:shd w:val="clear" w:color="auto" w:fill="auto"/>
            <w:noWrap/>
            <w:vAlign w:val="center"/>
            <w:hideMark/>
          </w:tcPr>
          <w:p w14:paraId="67CA11D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0.0001</w:t>
            </w:r>
          </w:p>
        </w:tc>
      </w:tr>
      <w:tr w:rsidR="000E4BEA" w:rsidRPr="000E4BEA" w14:paraId="3D9B8E70" w14:textId="77777777" w:rsidTr="0076141F">
        <w:trPr>
          <w:trHeight w:val="267"/>
          <w:jc w:val="center"/>
        </w:trPr>
        <w:tc>
          <w:tcPr>
            <w:tcW w:w="1418" w:type="dxa"/>
            <w:shd w:val="clear" w:color="000000" w:fill="FFFFFF"/>
            <w:noWrap/>
            <w:vAlign w:val="center"/>
            <w:hideMark/>
          </w:tcPr>
          <w:p w14:paraId="6ECD2A22"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Fat % 2021</w:t>
            </w:r>
          </w:p>
        </w:tc>
        <w:tc>
          <w:tcPr>
            <w:tcW w:w="974" w:type="dxa"/>
            <w:shd w:val="clear" w:color="auto" w:fill="auto"/>
            <w:noWrap/>
            <w:vAlign w:val="center"/>
            <w:hideMark/>
          </w:tcPr>
          <w:p w14:paraId="4FD64F9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24.69</w:t>
            </w:r>
          </w:p>
        </w:tc>
        <w:tc>
          <w:tcPr>
            <w:tcW w:w="697" w:type="dxa"/>
            <w:shd w:val="clear" w:color="auto" w:fill="auto"/>
            <w:noWrap/>
            <w:vAlign w:val="center"/>
            <w:hideMark/>
          </w:tcPr>
          <w:p w14:paraId="6BB91E3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0.708</w:t>
            </w:r>
          </w:p>
        </w:tc>
        <w:tc>
          <w:tcPr>
            <w:tcW w:w="931" w:type="dxa"/>
            <w:shd w:val="clear" w:color="auto" w:fill="auto"/>
            <w:noWrap/>
            <w:vAlign w:val="center"/>
            <w:hideMark/>
          </w:tcPr>
          <w:p w14:paraId="37C8F83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0.0554</w:t>
            </w:r>
          </w:p>
        </w:tc>
        <w:tc>
          <w:tcPr>
            <w:tcW w:w="697" w:type="dxa"/>
            <w:shd w:val="clear" w:color="auto" w:fill="auto"/>
            <w:noWrap/>
            <w:vAlign w:val="center"/>
            <w:hideMark/>
          </w:tcPr>
          <w:p w14:paraId="33E69CA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86.67</w:t>
            </w:r>
          </w:p>
        </w:tc>
        <w:tc>
          <w:tcPr>
            <w:tcW w:w="697" w:type="dxa"/>
            <w:shd w:val="clear" w:color="auto" w:fill="auto"/>
            <w:noWrap/>
            <w:vAlign w:val="center"/>
            <w:hideMark/>
          </w:tcPr>
          <w:p w14:paraId="3114DAF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54.44</w:t>
            </w:r>
          </w:p>
        </w:tc>
        <w:tc>
          <w:tcPr>
            <w:tcW w:w="1447" w:type="dxa"/>
            <w:shd w:val="clear" w:color="auto" w:fill="auto"/>
            <w:noWrap/>
            <w:vAlign w:val="center"/>
            <w:hideMark/>
          </w:tcPr>
          <w:p w14:paraId="0820C17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0.658 – 0.770</w:t>
            </w:r>
          </w:p>
        </w:tc>
        <w:tc>
          <w:tcPr>
            <w:tcW w:w="1006" w:type="dxa"/>
            <w:shd w:val="clear" w:color="auto" w:fill="auto"/>
            <w:noWrap/>
            <w:vAlign w:val="center"/>
            <w:hideMark/>
          </w:tcPr>
          <w:p w14:paraId="6BABEC7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0.0001</w:t>
            </w:r>
          </w:p>
        </w:tc>
      </w:tr>
      <w:tr w:rsidR="000E4BEA" w:rsidRPr="000E4BEA" w14:paraId="648F7DE6" w14:textId="77777777" w:rsidTr="0076141F">
        <w:trPr>
          <w:trHeight w:val="267"/>
          <w:jc w:val="center"/>
        </w:trPr>
        <w:tc>
          <w:tcPr>
            <w:tcW w:w="1418" w:type="dxa"/>
            <w:shd w:val="clear" w:color="000000" w:fill="FFFFFF"/>
            <w:noWrap/>
            <w:vAlign w:val="center"/>
            <w:hideMark/>
          </w:tcPr>
          <w:p w14:paraId="13B4263F"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WHR_2021</w:t>
            </w:r>
          </w:p>
        </w:tc>
        <w:tc>
          <w:tcPr>
            <w:tcW w:w="974" w:type="dxa"/>
            <w:shd w:val="clear" w:color="auto" w:fill="auto"/>
            <w:noWrap/>
            <w:vAlign w:val="center"/>
            <w:hideMark/>
          </w:tcPr>
          <w:p w14:paraId="012C044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0.93</w:t>
            </w:r>
          </w:p>
        </w:tc>
        <w:tc>
          <w:tcPr>
            <w:tcW w:w="697" w:type="dxa"/>
            <w:shd w:val="clear" w:color="auto" w:fill="auto"/>
            <w:noWrap/>
            <w:vAlign w:val="center"/>
            <w:hideMark/>
          </w:tcPr>
          <w:p w14:paraId="10ACAC8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0.633</w:t>
            </w:r>
          </w:p>
        </w:tc>
        <w:tc>
          <w:tcPr>
            <w:tcW w:w="931" w:type="dxa"/>
            <w:shd w:val="clear" w:color="auto" w:fill="auto"/>
            <w:noWrap/>
            <w:vAlign w:val="center"/>
            <w:hideMark/>
          </w:tcPr>
          <w:p w14:paraId="4B645CC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0.0709</w:t>
            </w:r>
          </w:p>
        </w:tc>
        <w:tc>
          <w:tcPr>
            <w:tcW w:w="697" w:type="dxa"/>
            <w:shd w:val="clear" w:color="auto" w:fill="auto"/>
            <w:noWrap/>
            <w:vAlign w:val="center"/>
            <w:hideMark/>
          </w:tcPr>
          <w:p w14:paraId="64478B6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73.33</w:t>
            </w:r>
          </w:p>
        </w:tc>
        <w:tc>
          <w:tcPr>
            <w:tcW w:w="697" w:type="dxa"/>
            <w:shd w:val="clear" w:color="auto" w:fill="auto"/>
            <w:noWrap/>
            <w:vAlign w:val="center"/>
            <w:hideMark/>
          </w:tcPr>
          <w:p w14:paraId="27BAE50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49.19</w:t>
            </w:r>
          </w:p>
        </w:tc>
        <w:tc>
          <w:tcPr>
            <w:tcW w:w="1447" w:type="dxa"/>
            <w:shd w:val="clear" w:color="auto" w:fill="auto"/>
            <w:noWrap/>
            <w:vAlign w:val="center"/>
            <w:hideMark/>
          </w:tcPr>
          <w:p w14:paraId="47F005E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0.572 – 0.692</w:t>
            </w:r>
          </w:p>
        </w:tc>
        <w:tc>
          <w:tcPr>
            <w:tcW w:w="1006" w:type="dxa"/>
            <w:shd w:val="clear" w:color="auto" w:fill="auto"/>
            <w:noWrap/>
            <w:vAlign w:val="center"/>
            <w:hideMark/>
          </w:tcPr>
          <w:p w14:paraId="5E1EF45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0.0599</w:t>
            </w:r>
          </w:p>
        </w:tc>
      </w:tr>
      <w:tr w:rsidR="000E4BEA" w:rsidRPr="000E4BEA" w14:paraId="760C82D7" w14:textId="77777777" w:rsidTr="0076141F">
        <w:trPr>
          <w:trHeight w:val="267"/>
          <w:jc w:val="center"/>
        </w:trPr>
        <w:tc>
          <w:tcPr>
            <w:tcW w:w="1418" w:type="dxa"/>
            <w:shd w:val="clear" w:color="000000" w:fill="FFFFFF"/>
            <w:noWrap/>
            <w:vAlign w:val="center"/>
            <w:hideMark/>
          </w:tcPr>
          <w:p w14:paraId="6FDDBC6A"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WHtR_2021</w:t>
            </w:r>
          </w:p>
        </w:tc>
        <w:tc>
          <w:tcPr>
            <w:tcW w:w="974" w:type="dxa"/>
            <w:shd w:val="clear" w:color="auto" w:fill="auto"/>
            <w:noWrap/>
            <w:vAlign w:val="center"/>
            <w:hideMark/>
          </w:tcPr>
          <w:p w14:paraId="289222E0"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0.54</w:t>
            </w:r>
          </w:p>
        </w:tc>
        <w:tc>
          <w:tcPr>
            <w:tcW w:w="697" w:type="dxa"/>
            <w:shd w:val="clear" w:color="auto" w:fill="auto"/>
            <w:noWrap/>
            <w:vAlign w:val="center"/>
            <w:hideMark/>
          </w:tcPr>
          <w:p w14:paraId="0950A24D"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0.65</w:t>
            </w:r>
          </w:p>
        </w:tc>
        <w:tc>
          <w:tcPr>
            <w:tcW w:w="931" w:type="dxa"/>
            <w:shd w:val="clear" w:color="auto" w:fill="auto"/>
            <w:noWrap/>
            <w:vAlign w:val="center"/>
            <w:hideMark/>
          </w:tcPr>
          <w:p w14:paraId="756F1CE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0.0617</w:t>
            </w:r>
          </w:p>
        </w:tc>
        <w:tc>
          <w:tcPr>
            <w:tcW w:w="697" w:type="dxa"/>
            <w:shd w:val="clear" w:color="auto" w:fill="auto"/>
            <w:noWrap/>
            <w:vAlign w:val="center"/>
            <w:hideMark/>
          </w:tcPr>
          <w:p w14:paraId="42B53F02"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80</w:t>
            </w:r>
          </w:p>
        </w:tc>
        <w:tc>
          <w:tcPr>
            <w:tcW w:w="697" w:type="dxa"/>
            <w:shd w:val="clear" w:color="auto" w:fill="auto"/>
            <w:noWrap/>
            <w:vAlign w:val="center"/>
            <w:hideMark/>
          </w:tcPr>
          <w:p w14:paraId="3E3F0F4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57.66</w:t>
            </w:r>
          </w:p>
        </w:tc>
        <w:tc>
          <w:tcPr>
            <w:tcW w:w="1447" w:type="dxa"/>
            <w:shd w:val="clear" w:color="auto" w:fill="auto"/>
            <w:noWrap/>
            <w:vAlign w:val="center"/>
            <w:hideMark/>
          </w:tcPr>
          <w:p w14:paraId="1439478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0.589 – 0.708</w:t>
            </w:r>
          </w:p>
        </w:tc>
        <w:tc>
          <w:tcPr>
            <w:tcW w:w="1006" w:type="dxa"/>
            <w:shd w:val="clear" w:color="auto" w:fill="auto"/>
            <w:noWrap/>
            <w:vAlign w:val="center"/>
            <w:hideMark/>
          </w:tcPr>
          <w:p w14:paraId="74798C6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0.0149</w:t>
            </w:r>
          </w:p>
        </w:tc>
      </w:tr>
      <w:tr w:rsidR="000E4BEA" w:rsidRPr="000E4BEA" w14:paraId="03F200B1" w14:textId="77777777" w:rsidTr="0076141F">
        <w:trPr>
          <w:trHeight w:val="267"/>
          <w:jc w:val="center"/>
        </w:trPr>
        <w:tc>
          <w:tcPr>
            <w:tcW w:w="1418" w:type="dxa"/>
            <w:shd w:val="clear" w:color="auto" w:fill="auto"/>
            <w:noWrap/>
            <w:vAlign w:val="center"/>
            <w:hideMark/>
          </w:tcPr>
          <w:p w14:paraId="5904651F"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BMI_2021</w:t>
            </w:r>
          </w:p>
        </w:tc>
        <w:tc>
          <w:tcPr>
            <w:tcW w:w="974" w:type="dxa"/>
            <w:shd w:val="clear" w:color="auto" w:fill="auto"/>
            <w:noWrap/>
            <w:vAlign w:val="center"/>
            <w:hideMark/>
          </w:tcPr>
          <w:p w14:paraId="18A82936"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26.21</w:t>
            </w:r>
          </w:p>
        </w:tc>
        <w:tc>
          <w:tcPr>
            <w:tcW w:w="697" w:type="dxa"/>
            <w:shd w:val="clear" w:color="auto" w:fill="auto"/>
            <w:noWrap/>
            <w:vAlign w:val="center"/>
            <w:hideMark/>
          </w:tcPr>
          <w:p w14:paraId="0641B305"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0.738</w:t>
            </w:r>
          </w:p>
        </w:tc>
        <w:tc>
          <w:tcPr>
            <w:tcW w:w="931" w:type="dxa"/>
            <w:shd w:val="clear" w:color="auto" w:fill="auto"/>
            <w:noWrap/>
            <w:vAlign w:val="center"/>
            <w:hideMark/>
          </w:tcPr>
          <w:p w14:paraId="217D7559"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0.057</w:t>
            </w:r>
          </w:p>
        </w:tc>
        <w:tc>
          <w:tcPr>
            <w:tcW w:w="697" w:type="dxa"/>
            <w:shd w:val="clear" w:color="auto" w:fill="auto"/>
            <w:noWrap/>
            <w:vAlign w:val="center"/>
            <w:hideMark/>
          </w:tcPr>
          <w:p w14:paraId="650BA974"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93.33</w:t>
            </w:r>
          </w:p>
        </w:tc>
        <w:tc>
          <w:tcPr>
            <w:tcW w:w="697" w:type="dxa"/>
            <w:shd w:val="clear" w:color="auto" w:fill="auto"/>
            <w:noWrap/>
            <w:vAlign w:val="center"/>
            <w:hideMark/>
          </w:tcPr>
          <w:p w14:paraId="0B70A3FB"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56.05</w:t>
            </w:r>
          </w:p>
        </w:tc>
        <w:tc>
          <w:tcPr>
            <w:tcW w:w="1447" w:type="dxa"/>
            <w:shd w:val="clear" w:color="auto" w:fill="auto"/>
            <w:noWrap/>
            <w:vAlign w:val="center"/>
            <w:hideMark/>
          </w:tcPr>
          <w:p w14:paraId="7B4F89A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0.680 – 0.790</w:t>
            </w:r>
          </w:p>
        </w:tc>
        <w:tc>
          <w:tcPr>
            <w:tcW w:w="1006" w:type="dxa"/>
            <w:shd w:val="clear" w:color="auto" w:fill="auto"/>
            <w:noWrap/>
            <w:vAlign w:val="center"/>
            <w:hideMark/>
          </w:tcPr>
          <w:p w14:paraId="3561CC93"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&lt; 0.0001</w:t>
            </w:r>
          </w:p>
        </w:tc>
      </w:tr>
      <w:tr w:rsidR="000E4BEA" w:rsidRPr="000E4BEA" w14:paraId="57AD9A2D" w14:textId="77777777" w:rsidTr="0076141F">
        <w:trPr>
          <w:trHeight w:val="267"/>
          <w:jc w:val="center"/>
        </w:trPr>
        <w:tc>
          <w:tcPr>
            <w:tcW w:w="1418" w:type="dxa"/>
            <w:shd w:val="clear" w:color="auto" w:fill="auto"/>
            <w:noWrap/>
            <w:vAlign w:val="center"/>
            <w:hideMark/>
          </w:tcPr>
          <w:p w14:paraId="76113F3E" w14:textId="77777777" w:rsidR="000E4BEA" w:rsidRPr="000E4BEA" w:rsidRDefault="000E4BEA" w:rsidP="000E4BEA">
            <w:pPr>
              <w:spacing w:line="360" w:lineRule="auto"/>
              <w:contextualSpacing/>
              <w:rPr>
                <w:sz w:val="18"/>
                <w:szCs w:val="18"/>
                <w:lang w:val="en-US" w:eastAsia="en-US"/>
              </w:rPr>
            </w:pPr>
            <w:r w:rsidRPr="000E4BEA">
              <w:rPr>
                <w:sz w:val="18"/>
                <w:szCs w:val="18"/>
                <w:lang w:val="en-US" w:eastAsia="en-US"/>
              </w:rPr>
              <w:t>WWR_2021</w:t>
            </w:r>
          </w:p>
        </w:tc>
        <w:tc>
          <w:tcPr>
            <w:tcW w:w="974" w:type="dxa"/>
            <w:shd w:val="clear" w:color="auto" w:fill="auto"/>
            <w:noWrap/>
            <w:vAlign w:val="center"/>
            <w:hideMark/>
          </w:tcPr>
          <w:p w14:paraId="0EB42F8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&gt; 0.81</w:t>
            </w:r>
          </w:p>
        </w:tc>
        <w:tc>
          <w:tcPr>
            <w:tcW w:w="697" w:type="dxa"/>
            <w:shd w:val="clear" w:color="auto" w:fill="auto"/>
            <w:noWrap/>
            <w:vAlign w:val="center"/>
            <w:hideMark/>
          </w:tcPr>
          <w:p w14:paraId="31900737"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0.601</w:t>
            </w:r>
          </w:p>
        </w:tc>
        <w:tc>
          <w:tcPr>
            <w:tcW w:w="931" w:type="dxa"/>
            <w:shd w:val="clear" w:color="auto" w:fill="auto"/>
            <w:noWrap/>
            <w:vAlign w:val="center"/>
            <w:hideMark/>
          </w:tcPr>
          <w:p w14:paraId="7D719328"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0.0747</w:t>
            </w:r>
          </w:p>
        </w:tc>
        <w:tc>
          <w:tcPr>
            <w:tcW w:w="697" w:type="dxa"/>
            <w:shd w:val="clear" w:color="auto" w:fill="auto"/>
            <w:noWrap/>
            <w:vAlign w:val="center"/>
            <w:hideMark/>
          </w:tcPr>
          <w:p w14:paraId="09275EFE"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73.33</w:t>
            </w:r>
          </w:p>
        </w:tc>
        <w:tc>
          <w:tcPr>
            <w:tcW w:w="697" w:type="dxa"/>
            <w:shd w:val="clear" w:color="auto" w:fill="auto"/>
            <w:noWrap/>
            <w:vAlign w:val="center"/>
            <w:hideMark/>
          </w:tcPr>
          <w:p w14:paraId="4673FAAF"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59.27</w:t>
            </w:r>
          </w:p>
        </w:tc>
        <w:tc>
          <w:tcPr>
            <w:tcW w:w="1447" w:type="dxa"/>
            <w:shd w:val="clear" w:color="auto" w:fill="auto"/>
            <w:noWrap/>
            <w:vAlign w:val="center"/>
            <w:hideMark/>
          </w:tcPr>
          <w:p w14:paraId="6A64DF31"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0.540 – 0.661</w:t>
            </w:r>
          </w:p>
        </w:tc>
        <w:tc>
          <w:tcPr>
            <w:tcW w:w="1006" w:type="dxa"/>
            <w:shd w:val="clear" w:color="auto" w:fill="auto"/>
            <w:noWrap/>
            <w:vAlign w:val="center"/>
            <w:hideMark/>
          </w:tcPr>
          <w:p w14:paraId="3AD34FEA" w14:textId="77777777" w:rsidR="000E4BEA" w:rsidRPr="000E4BEA" w:rsidRDefault="000E4BEA" w:rsidP="000E4BEA">
            <w:pPr>
              <w:spacing w:line="360" w:lineRule="auto"/>
              <w:contextualSpacing/>
              <w:jc w:val="center"/>
              <w:rPr>
                <w:sz w:val="18"/>
                <w:szCs w:val="18"/>
                <w:lang w:val="en-US" w:eastAsia="en-US"/>
              </w:rPr>
            </w:pPr>
            <w:r w:rsidRPr="000E4BEA">
              <w:rPr>
                <w:sz w:val="18"/>
                <w:szCs w:val="18"/>
                <w:lang w:val="en-US" w:eastAsia="en-US"/>
              </w:rPr>
              <w:t>0.1741</w:t>
            </w:r>
          </w:p>
        </w:tc>
      </w:tr>
    </w:tbl>
    <w:p w14:paraId="3A0085D7" w14:textId="77777777" w:rsidR="000E4BEA" w:rsidRPr="000E4BEA" w:rsidRDefault="000E4BEA" w:rsidP="000E4BEA">
      <w:pPr>
        <w:spacing w:line="360" w:lineRule="auto"/>
        <w:jc w:val="center"/>
        <w:rPr>
          <w:rFonts w:eastAsia="Calibri"/>
          <w:sz w:val="16"/>
          <w:szCs w:val="16"/>
          <w:lang w:val="en-US" w:eastAsia="en-US"/>
        </w:rPr>
      </w:pPr>
      <w:r w:rsidRPr="000E4BEA">
        <w:rPr>
          <w:color w:val="000000"/>
          <w:sz w:val="18"/>
          <w:szCs w:val="18"/>
          <w:lang w:val="en-US" w:eastAsia="en-US"/>
        </w:rPr>
        <w:t xml:space="preserve">BMI: body mass index, WHR: waist-hip ratio, </w:t>
      </w:r>
      <w:proofErr w:type="spellStart"/>
      <w:r w:rsidRPr="000E4BEA">
        <w:rPr>
          <w:color w:val="000000"/>
          <w:sz w:val="18"/>
          <w:szCs w:val="18"/>
          <w:lang w:val="en-US" w:eastAsia="en-US"/>
        </w:rPr>
        <w:t>WHtR</w:t>
      </w:r>
      <w:proofErr w:type="spellEnd"/>
      <w:r w:rsidRPr="000E4BEA">
        <w:rPr>
          <w:color w:val="000000"/>
          <w:sz w:val="18"/>
          <w:szCs w:val="18"/>
          <w:lang w:val="en-US" w:eastAsia="en-US"/>
        </w:rPr>
        <w:t>: waist to height ratio, WWR: weight to waist ratio, SE: standard error, Se: Sensitivity, S: Specificity, AUC: area under the curve.</w:t>
      </w:r>
    </w:p>
    <w:p w14:paraId="411B6C9C" w14:textId="77777777" w:rsidR="000E4BEA" w:rsidRPr="000E4BEA" w:rsidRDefault="000E4BEA" w:rsidP="000E4BEA">
      <w:pPr>
        <w:spacing w:line="360" w:lineRule="auto"/>
        <w:contextualSpacing/>
        <w:jc w:val="both"/>
        <w:rPr>
          <w:rFonts w:eastAsia="Calibri"/>
          <w:lang w:val="en-US" w:eastAsia="en-US"/>
        </w:rPr>
      </w:pPr>
    </w:p>
    <w:p w14:paraId="54227EE7"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Likewise, it is evident, according to the 2020 sample, that the waist-height ratio (&gt; 0,56) and the waist circumference (&gt; 92) have a larger area under the curve (AUC: 0.767 and 0.812, respectively), with a p-value of &lt; 0.0001 (table 5).</w:t>
      </w:r>
    </w:p>
    <w:p w14:paraId="4A6B42C7" w14:textId="77777777" w:rsidR="000E4BEA" w:rsidRPr="000E4BEA" w:rsidRDefault="000E4BEA" w:rsidP="000E4BEA">
      <w:pPr>
        <w:spacing w:line="360" w:lineRule="auto"/>
        <w:contextualSpacing/>
        <w:jc w:val="both"/>
        <w:rPr>
          <w:rFonts w:eastAsia="Calibri"/>
          <w:b/>
          <w:lang w:val="en-US" w:eastAsia="en-US"/>
        </w:rPr>
      </w:pPr>
      <w:r w:rsidRPr="000E4BEA">
        <w:rPr>
          <w:rFonts w:eastAsia="Calibri"/>
          <w:lang w:val="en-US" w:eastAsia="en-US"/>
        </w:rPr>
        <w:t>Finally, in the year 2021, the body mass index (&gt; 26.21) and the waist circumference (&gt; 89) have a wider area under the curve (AUC: 0.738 and 0.717 respectively), however, it presents a p-value of &lt; 0.0001 only in the body mass index, (table 5).</w:t>
      </w:r>
    </w:p>
    <w:p w14:paraId="0FEDA47D" w14:textId="77777777" w:rsidR="000E4BEA" w:rsidRPr="000E4BEA" w:rsidRDefault="000E4BEA" w:rsidP="000E4BEA">
      <w:pPr>
        <w:spacing w:line="360" w:lineRule="auto"/>
        <w:contextualSpacing/>
        <w:jc w:val="both"/>
        <w:rPr>
          <w:rFonts w:eastAsia="Calibri"/>
          <w:b/>
          <w:lang w:val="en-US" w:eastAsia="en-US"/>
        </w:rPr>
      </w:pPr>
    </w:p>
    <w:p w14:paraId="2ACBFADF" w14:textId="77777777" w:rsidR="000E4BEA" w:rsidRPr="000E4BEA" w:rsidRDefault="000E4BEA" w:rsidP="000E4BEA">
      <w:pPr>
        <w:spacing w:line="360" w:lineRule="auto"/>
        <w:contextualSpacing/>
        <w:jc w:val="center"/>
        <w:rPr>
          <w:rFonts w:eastAsia="Calibri"/>
          <w:b/>
          <w:sz w:val="32"/>
          <w:szCs w:val="32"/>
          <w:lang w:val="en-US" w:eastAsia="en-US"/>
        </w:rPr>
      </w:pPr>
      <w:r w:rsidRPr="000E4BEA">
        <w:rPr>
          <w:rFonts w:eastAsia="Calibri"/>
          <w:b/>
          <w:sz w:val="32"/>
          <w:szCs w:val="32"/>
          <w:lang w:val="en-US" w:eastAsia="en-US"/>
        </w:rPr>
        <w:t>DISCUSSION</w:t>
      </w:r>
    </w:p>
    <w:p w14:paraId="6E63FDF9"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It is necessary to mention that there is little information about metabolic syndrome in Latin America, however, in recent years there has been an effort to estimate the prevalence of this condition in Ecuador.</w:t>
      </w:r>
      <w:r w:rsidRPr="000E4BEA">
        <w:rPr>
          <w:rFonts w:eastAsia="Calibri"/>
          <w:vertAlign w:val="superscript"/>
          <w:lang w:val="en-US" w:eastAsia="en-US"/>
        </w:rPr>
        <w:t>(8,9)</w:t>
      </w:r>
    </w:p>
    <w:p w14:paraId="0D1325C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In this study, the average prevalence of metabolic syndrome in the cohort, according to ALAD criteria, was 1.14 %, and according to ATP III criteria, 6.23 %. A similar situation was observed in military personnel from Ambato - Ecuador, where, according to ATP III criteria, 8 % presented metabolic syndrome.</w:t>
      </w:r>
      <w:r w:rsidRPr="000E4BEA">
        <w:rPr>
          <w:rFonts w:eastAsia="Calibri"/>
          <w:vertAlign w:val="superscript"/>
          <w:lang w:val="en-US" w:eastAsia="en-US"/>
        </w:rPr>
        <w:t>(9)</w:t>
      </w:r>
      <w:r w:rsidRPr="000E4BEA">
        <w:rPr>
          <w:rFonts w:eastAsia="Calibri"/>
          <w:lang w:val="en-US" w:eastAsia="en-US"/>
        </w:rPr>
        <w:t xml:space="preserve"> However, the prevalence is low compared to the 31.2 % observed in the general population in Ecuador.</w:t>
      </w:r>
      <w:r w:rsidRPr="000E4BEA">
        <w:rPr>
          <w:rFonts w:eastAsia="Calibri"/>
          <w:vertAlign w:val="superscript"/>
          <w:lang w:val="en-US" w:eastAsia="en-US"/>
        </w:rPr>
        <w:t>(8)</w:t>
      </w:r>
    </w:p>
    <w:p w14:paraId="329E1C7D"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It is necessary to mention that according to some studies in the general population, the prevalence of metabolic syndrome in our study is low, a situation evidenced in works from countries such as the United States of America, with a 34.7 % prevalence, Mexico with 50 %, Australia 33.5 %, India 34.32 %, Japan 28.5 %, China 33.2 % and Taiwan 15 % presented this condition.</w:t>
      </w:r>
      <w:r w:rsidRPr="000E4BEA">
        <w:rPr>
          <w:rFonts w:eastAsia="Calibri"/>
          <w:vertAlign w:val="superscript"/>
          <w:lang w:val="en-US" w:eastAsia="en-US"/>
        </w:rPr>
        <w:t>(8,11,12)</w:t>
      </w:r>
    </w:p>
    <w:p w14:paraId="76B7BA47"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 xml:space="preserve">In relation to research in foreign military populations, the prevalence of metabolic syndrome obtained in this study is similar to that evidenced in a meta-analysis carried out by </w:t>
      </w:r>
      <w:proofErr w:type="spellStart"/>
      <w:r w:rsidRPr="000E4BEA">
        <w:rPr>
          <w:rFonts w:eastAsia="Calibri"/>
          <w:i/>
          <w:iCs/>
          <w:lang w:val="en-US" w:eastAsia="en-US"/>
        </w:rPr>
        <w:t>Hosein</w:t>
      </w:r>
      <w:proofErr w:type="spellEnd"/>
      <w:r w:rsidRPr="000E4BEA">
        <w:rPr>
          <w:rFonts w:eastAsia="Calibri"/>
          <w:i/>
          <w:iCs/>
          <w:lang w:val="en-US" w:eastAsia="en-US"/>
        </w:rPr>
        <w:t xml:space="preserve"> </w:t>
      </w:r>
      <w:r w:rsidRPr="000E4BEA">
        <w:rPr>
          <w:rFonts w:eastAsia="Calibri"/>
          <w:lang w:val="en-US" w:eastAsia="en-US"/>
        </w:rPr>
        <w:t>et al</w:t>
      </w:r>
      <w:r w:rsidRPr="000E4BEA">
        <w:rPr>
          <w:rFonts w:eastAsia="Calibri"/>
          <w:vertAlign w:val="superscript"/>
          <w:lang w:val="en-US" w:eastAsia="en-US"/>
        </w:rPr>
        <w:t>(1</w:t>
      </w:r>
      <w:r w:rsidRPr="000E4BEA">
        <w:rPr>
          <w:rFonts w:eastAsia="Calibri"/>
          <w:i/>
          <w:iCs/>
          <w:vertAlign w:val="superscript"/>
          <w:lang w:val="en-US" w:eastAsia="en-US"/>
        </w:rPr>
        <w:t xml:space="preserve">3) </w:t>
      </w:r>
      <w:r w:rsidRPr="000E4BEA">
        <w:rPr>
          <w:rFonts w:eastAsia="Calibri"/>
          <w:iCs/>
          <w:lang w:val="en-US" w:eastAsia="en-US"/>
        </w:rPr>
        <w:t>i</w:t>
      </w:r>
      <w:r w:rsidRPr="000E4BEA">
        <w:rPr>
          <w:rFonts w:eastAsia="Calibri"/>
          <w:lang w:val="en-US" w:eastAsia="en-US"/>
        </w:rPr>
        <w:t>n which the military personnel presented metabolic syndrome in 8.3 %, and according to APT III criteria in 8 %. Likewise, the prevalence of metabolic syndrome, according to ATP III criteria, in a military population of Iran was 11.1 %.</w:t>
      </w:r>
      <w:r w:rsidRPr="000E4BEA">
        <w:rPr>
          <w:rFonts w:eastAsia="Calibri"/>
          <w:vertAlign w:val="superscript"/>
          <w:lang w:val="en-US" w:eastAsia="en-US"/>
        </w:rPr>
        <w:t>(6)</w:t>
      </w:r>
      <w:r w:rsidRPr="000E4BEA">
        <w:rPr>
          <w:rFonts w:eastAsia="Calibri"/>
          <w:lang w:val="en-US" w:eastAsia="en-US"/>
        </w:rPr>
        <w:t xml:space="preserve"> However, in another meta-analysis, carried out by </w:t>
      </w:r>
      <w:proofErr w:type="spellStart"/>
      <w:r w:rsidRPr="000E4BEA">
        <w:rPr>
          <w:rFonts w:eastAsia="Calibri"/>
          <w:i/>
          <w:iCs/>
          <w:lang w:val="en-US" w:eastAsia="en-US"/>
        </w:rPr>
        <w:t>Baygi</w:t>
      </w:r>
      <w:proofErr w:type="spellEnd"/>
      <w:r w:rsidRPr="000E4BEA">
        <w:rPr>
          <w:rFonts w:eastAsia="Calibri"/>
          <w:i/>
          <w:iCs/>
          <w:lang w:val="en-US" w:eastAsia="en-US"/>
        </w:rPr>
        <w:t xml:space="preserve"> </w:t>
      </w:r>
      <w:r w:rsidRPr="000E4BEA">
        <w:rPr>
          <w:rFonts w:eastAsia="Calibri"/>
          <w:lang w:val="en-US" w:eastAsia="en-US"/>
        </w:rPr>
        <w:t>et al</w:t>
      </w:r>
      <w:r w:rsidRPr="000E4BEA">
        <w:rPr>
          <w:rFonts w:eastAsia="Calibri"/>
          <w:vertAlign w:val="superscript"/>
          <w:lang w:val="en-US" w:eastAsia="en-US"/>
        </w:rPr>
        <w:t>(4</w:t>
      </w:r>
      <w:r w:rsidRPr="000E4BEA">
        <w:rPr>
          <w:rFonts w:eastAsia="Calibri"/>
          <w:i/>
          <w:iCs/>
          <w:vertAlign w:val="superscript"/>
          <w:lang w:val="en-US" w:eastAsia="en-US"/>
        </w:rPr>
        <w:t>)</w:t>
      </w:r>
      <w:r w:rsidRPr="000E4BEA">
        <w:rPr>
          <w:rFonts w:eastAsia="Calibri"/>
          <w:lang w:val="en-US" w:eastAsia="en-US"/>
        </w:rPr>
        <w:t xml:space="preserve"> the prevalence of metabolic syndrome in military personnel is generally 21 %.</w:t>
      </w:r>
    </w:p>
    <w:p w14:paraId="017231F4"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Finally, according to this study, the optimal cut-off points for anthropometric indices that predict the diagnosis of metabolic syndrome, according to the ALAD diagnostic criteria, are the waist-to-height ratio (&gt; 0.57, AUC: 0.937) and the waist circumference (&gt; 96, AUC: 0.942) in 2019, waist-for-height ratio (&gt; 0.54, AUC: 0.854) and waist circumference (&gt; 96.5, AUC: 0.901) in 2020, and body mass (&gt; 28.01, AUC: 0.83) and waist circumference (&gt; 95, AUC: 0.841) in the year 2021.</w:t>
      </w:r>
    </w:p>
    <w:p w14:paraId="14F3105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 xml:space="preserve">Likewise, the optimal cut-off points of anthropometric indices that predict the diagnosis of metabolic syndrome, according to the ATP III diagnostic criteria, the waist-to-height ratio (&gt; 0.55, AUC: 0.767) and waist circumference (&gt; 93, AUC: 0.836) in 2019, waist-to-height ratio (&gt; 0.56, AUC: 0.767) and </w:t>
      </w:r>
      <w:r w:rsidRPr="000E4BEA">
        <w:rPr>
          <w:rFonts w:eastAsia="Calibri"/>
          <w:lang w:val="en-US" w:eastAsia="en-US"/>
        </w:rPr>
        <w:lastRenderedPageBreak/>
        <w:t>waist circumference (&gt; 92, AUC: 0.812) in 2020, and body mass index (&gt; 26.21, AUC: 0.738) and waist circumference (&gt; 89, AUC: 0.717) in the year 2021.</w:t>
      </w:r>
    </w:p>
    <w:p w14:paraId="4BC7BEDD"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values ​​of this study are very similar to those observed in a military population in Ecuador, where the optimal cut-off points for waist circumference were 92 cm and for the waist-height index 0.93.</w:t>
      </w:r>
      <w:r w:rsidRPr="000E4BEA">
        <w:rPr>
          <w:rFonts w:eastAsia="Calibri"/>
          <w:vertAlign w:val="superscript"/>
          <w:lang w:val="en-US" w:eastAsia="en-US"/>
        </w:rPr>
        <w:t>(9,10)</w:t>
      </w:r>
    </w:p>
    <w:p w14:paraId="48F20C06"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Thus, the values are ​​very similar to those observed in the general population of Asia and Africa, where it is observed that in a population of China, the cut-off point for the waist-to-height ratio was 0.50 in men and the perimeter abdominal was 85 cm.</w:t>
      </w:r>
      <w:r w:rsidRPr="000E4BEA">
        <w:rPr>
          <w:rFonts w:eastAsia="Calibri"/>
          <w:vertAlign w:val="superscript"/>
          <w:lang w:val="en-US" w:eastAsia="en-US"/>
        </w:rPr>
        <w:t>(14)</w:t>
      </w:r>
      <w:r w:rsidRPr="000E4BEA">
        <w:rPr>
          <w:rFonts w:eastAsia="Calibri"/>
          <w:lang w:val="en-US" w:eastAsia="en-US"/>
        </w:rPr>
        <w:t xml:space="preserve"> Furthermore, in a Cape Town population, the optimal cut-off points for waist circumference were 83.9 cm, waist-for-length ratio 0.50, and body mass index 24.1 kg/m</w:t>
      </w:r>
      <w:r w:rsidRPr="000E4BEA">
        <w:rPr>
          <w:rFonts w:eastAsia="Calibri"/>
          <w:vertAlign w:val="superscript"/>
          <w:lang w:val="en-US" w:eastAsia="en-US"/>
        </w:rPr>
        <w:t>2</w:t>
      </w:r>
      <w:r w:rsidRPr="000E4BEA">
        <w:rPr>
          <w:rFonts w:eastAsia="Calibri"/>
          <w:lang w:val="en-US" w:eastAsia="en-US"/>
        </w:rPr>
        <w:t>.</w:t>
      </w:r>
      <w:r w:rsidRPr="000E4BEA">
        <w:rPr>
          <w:rFonts w:eastAsia="Calibri"/>
          <w:vertAlign w:val="superscript"/>
          <w:lang w:val="en-US" w:eastAsia="en-US"/>
        </w:rPr>
        <w:t>(15)</w:t>
      </w:r>
      <w:r w:rsidRPr="000E4BEA">
        <w:rPr>
          <w:rFonts w:eastAsia="Calibri"/>
          <w:lang w:val="en-US" w:eastAsia="en-US"/>
        </w:rPr>
        <w:t xml:space="preserve"> However, these values ​​differ from those observed in Arab populations, where it is observed in a Saudi Arabian population, the cut-off point for abdominal perimeter was 106 cm, waist-height ratio of 0.55 and BMI of 28 kg/m</w:t>
      </w:r>
      <w:r w:rsidRPr="000E4BEA">
        <w:rPr>
          <w:rFonts w:eastAsia="Calibri"/>
          <w:vertAlign w:val="superscript"/>
          <w:lang w:val="en-US" w:eastAsia="en-US"/>
        </w:rPr>
        <w:t>2</w:t>
      </w:r>
      <w:r w:rsidRPr="000E4BEA">
        <w:rPr>
          <w:rFonts w:eastAsia="Calibri"/>
          <w:lang w:val="en-US" w:eastAsia="en-US"/>
        </w:rPr>
        <w:t>.</w:t>
      </w:r>
      <w:r w:rsidRPr="000E4BEA">
        <w:rPr>
          <w:rFonts w:eastAsia="Calibri"/>
          <w:vertAlign w:val="superscript"/>
          <w:lang w:val="en-US" w:eastAsia="en-US"/>
        </w:rPr>
        <w:t>(11)</w:t>
      </w:r>
    </w:p>
    <w:p w14:paraId="08C41B59"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anthropometric indices in a general way significantly predict the development of metabolic syndrome in 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w:t>
      </w:r>
    </w:p>
    <w:p w14:paraId="6659DEA6"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Soldiers Training School, considering the period from 2019 to 2021, is an overweight population, according to the body mass index, however, it presents an abdominal perimeter, triglyceride levels, glucose and blood pressure controls within normal parameters, which explains the low prevalence of metabolic syndrome in this population group.</w:t>
      </w:r>
    </w:p>
    <w:p w14:paraId="20BF84C9" w14:textId="77777777" w:rsidR="000E4BEA" w:rsidRPr="000E4BEA" w:rsidRDefault="000E4BEA" w:rsidP="000E4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ourier New"/>
          <w:lang w:val="en-US" w:eastAsia="es-ES"/>
        </w:rPr>
      </w:pPr>
      <w:r w:rsidRPr="000E4BEA">
        <w:rPr>
          <w:rFonts w:cs="Courier New"/>
          <w:lang w:val="en-US" w:eastAsia="es-ES"/>
        </w:rPr>
        <w:t>The prevalence of metabolic syndrome in the military personnel of the "</w:t>
      </w:r>
      <w:proofErr w:type="spellStart"/>
      <w:r w:rsidRPr="000E4BEA">
        <w:rPr>
          <w:rFonts w:cs="Courier New"/>
          <w:lang w:val="en-US" w:eastAsia="es-ES"/>
        </w:rPr>
        <w:t>Vencedores</w:t>
      </w:r>
      <w:proofErr w:type="spellEnd"/>
      <w:r w:rsidRPr="000E4BEA">
        <w:rPr>
          <w:rFonts w:cs="Courier New"/>
          <w:lang w:val="en-US" w:eastAsia="es-ES"/>
        </w:rPr>
        <w:t xml:space="preserve"> del </w:t>
      </w:r>
      <w:proofErr w:type="spellStart"/>
      <w:r w:rsidRPr="000E4BEA">
        <w:rPr>
          <w:rFonts w:cs="Courier New"/>
          <w:lang w:val="en-US" w:eastAsia="es-ES"/>
        </w:rPr>
        <w:t>Cenepa</w:t>
      </w:r>
      <w:proofErr w:type="spellEnd"/>
      <w:r w:rsidRPr="000E4BEA">
        <w:rPr>
          <w:rFonts w:cs="Courier New"/>
          <w:lang w:val="en-US" w:eastAsia="es-ES"/>
        </w:rPr>
        <w:t xml:space="preserve">" Army Soldier Training School, considering the period from 2019 to 2021, according to the ALAD criteria was 1.14 % and according to the ATP III criteria of the 6.23 %, which is obviously lower compared to the </w:t>
      </w:r>
      <w:proofErr w:type="spellStart"/>
      <w:r w:rsidRPr="000E4BEA">
        <w:rPr>
          <w:rFonts w:cs="Courier New"/>
          <w:lang w:val="en-US" w:eastAsia="es-ES"/>
        </w:rPr>
        <w:t>ecuadorian</w:t>
      </w:r>
      <w:proofErr w:type="spellEnd"/>
      <w:r w:rsidRPr="000E4BEA">
        <w:rPr>
          <w:rFonts w:cs="Courier New"/>
          <w:lang w:val="en-US" w:eastAsia="es-ES"/>
        </w:rPr>
        <w:t xml:space="preserve"> general population.</w:t>
      </w:r>
    </w:p>
    <w:p w14:paraId="6E55DDDF" w14:textId="77777777" w:rsidR="000E4BEA" w:rsidRPr="000E4BEA" w:rsidRDefault="000E4BEA" w:rsidP="000E4BEA">
      <w:pPr>
        <w:spacing w:line="360" w:lineRule="auto"/>
        <w:contextualSpacing/>
        <w:jc w:val="both"/>
        <w:rPr>
          <w:rFonts w:eastAsia="Calibri"/>
          <w:lang w:val="en-US" w:eastAsia="en-US"/>
        </w:rPr>
      </w:pPr>
      <w:r w:rsidRPr="000E4BEA">
        <w:rPr>
          <w:rFonts w:eastAsia="Calibri"/>
          <w:lang w:val="en-US" w:eastAsia="en-US"/>
        </w:rPr>
        <w:t>The anthropometric indices that significantly predict the development of metabolic syndrome in the military personnel of the "</w:t>
      </w:r>
      <w:proofErr w:type="spellStart"/>
      <w:r w:rsidRPr="000E4BEA">
        <w:rPr>
          <w:rFonts w:eastAsia="Calibri"/>
          <w:lang w:val="en-US" w:eastAsia="en-US"/>
        </w:rPr>
        <w:t>Vencedores</w:t>
      </w:r>
      <w:proofErr w:type="spellEnd"/>
      <w:r w:rsidRPr="000E4BEA">
        <w:rPr>
          <w:rFonts w:eastAsia="Calibri"/>
          <w:lang w:val="en-US" w:eastAsia="en-US"/>
        </w:rPr>
        <w:t xml:space="preserve"> del </w:t>
      </w:r>
      <w:proofErr w:type="spellStart"/>
      <w:r w:rsidRPr="000E4BEA">
        <w:rPr>
          <w:rFonts w:eastAsia="Calibri"/>
          <w:lang w:val="en-US" w:eastAsia="en-US"/>
        </w:rPr>
        <w:t>Cenepa</w:t>
      </w:r>
      <w:proofErr w:type="spellEnd"/>
      <w:r w:rsidRPr="000E4BEA">
        <w:rPr>
          <w:rFonts w:eastAsia="Calibri"/>
          <w:lang w:val="en-US" w:eastAsia="en-US"/>
        </w:rPr>
        <w:t>" Army Soldier Training School, considering the period from 2019 to 2021, according to the ALAD and ATP III criteria, are the perimeter waist, waist-to-size ratio, and body mass index.</w:t>
      </w:r>
    </w:p>
    <w:p w14:paraId="6F2D9F75" w14:textId="77777777" w:rsidR="000E4BEA" w:rsidRPr="000E4BEA" w:rsidRDefault="000E4BEA" w:rsidP="000E4BEA">
      <w:pPr>
        <w:spacing w:line="360" w:lineRule="auto"/>
        <w:contextualSpacing/>
        <w:jc w:val="both"/>
        <w:rPr>
          <w:rFonts w:eastAsia="Calibri"/>
          <w:lang w:val="en-US" w:eastAsia="en-US"/>
        </w:rPr>
      </w:pPr>
    </w:p>
    <w:p w14:paraId="444B37A0" w14:textId="77777777" w:rsidR="000E4BEA" w:rsidRPr="000E4BEA" w:rsidRDefault="000E4BEA" w:rsidP="000E4BEA">
      <w:pPr>
        <w:spacing w:line="360" w:lineRule="auto"/>
        <w:contextualSpacing/>
        <w:jc w:val="center"/>
        <w:rPr>
          <w:rFonts w:eastAsia="Calibri"/>
          <w:b/>
          <w:sz w:val="32"/>
          <w:szCs w:val="32"/>
          <w:lang w:val="en-US" w:eastAsia="en-US"/>
        </w:rPr>
      </w:pPr>
    </w:p>
    <w:p w14:paraId="2ACFD1A7" w14:textId="77777777" w:rsidR="00D824EF" w:rsidRDefault="00D824EF">
      <w:pPr>
        <w:rPr>
          <w:rFonts w:eastAsia="Calibri"/>
          <w:b/>
          <w:sz w:val="32"/>
          <w:szCs w:val="32"/>
          <w:lang w:val="en-US" w:eastAsia="en-US"/>
        </w:rPr>
      </w:pPr>
      <w:r>
        <w:rPr>
          <w:rFonts w:eastAsia="Calibri"/>
          <w:b/>
          <w:sz w:val="32"/>
          <w:szCs w:val="32"/>
          <w:lang w:val="en-US" w:eastAsia="en-US"/>
        </w:rPr>
        <w:br w:type="page"/>
      </w:r>
    </w:p>
    <w:p w14:paraId="14A1D32A" w14:textId="16DCAC6F" w:rsidR="000E4BEA" w:rsidRPr="000E4BEA" w:rsidRDefault="000E4BEA" w:rsidP="000E4BEA">
      <w:pPr>
        <w:spacing w:line="360" w:lineRule="auto"/>
        <w:contextualSpacing/>
        <w:jc w:val="center"/>
        <w:rPr>
          <w:rFonts w:eastAsia="Calibri"/>
          <w:b/>
          <w:sz w:val="32"/>
          <w:szCs w:val="32"/>
          <w:lang w:val="en-US" w:eastAsia="en-US"/>
        </w:rPr>
      </w:pPr>
      <w:r w:rsidRPr="000E4BEA">
        <w:rPr>
          <w:rFonts w:eastAsia="Calibri"/>
          <w:b/>
          <w:sz w:val="32"/>
          <w:szCs w:val="32"/>
          <w:lang w:val="en-US" w:eastAsia="en-US"/>
        </w:rPr>
        <w:lastRenderedPageBreak/>
        <w:t>BIBLIOGRAPHIC REFERENCES</w:t>
      </w:r>
    </w:p>
    <w:p w14:paraId="1F2EA42A" w14:textId="5E727789" w:rsidR="000E4BEA" w:rsidRPr="000E4BEA" w:rsidRDefault="000E4BEA" w:rsidP="000E4BEA">
      <w:pPr>
        <w:spacing w:line="360" w:lineRule="auto"/>
        <w:contextualSpacing/>
        <w:rPr>
          <w:rFonts w:eastAsia="Calibri"/>
          <w:bCs/>
          <w:lang w:val="es-CU" w:eastAsia="en-US"/>
        </w:rPr>
      </w:pPr>
      <w:r w:rsidRPr="000E4BEA">
        <w:rPr>
          <w:rFonts w:eastAsia="Calibri"/>
          <w:bCs/>
          <w:lang w:val="en-US" w:eastAsia="en-US"/>
        </w:rPr>
        <w:t xml:space="preserve">1. </w:t>
      </w:r>
      <w:r w:rsidR="003D098B" w:rsidRPr="003D098B">
        <w:rPr>
          <w:rFonts w:eastAsia="Calibri"/>
          <w:bCs/>
          <w:lang w:val="en-US" w:eastAsia="en-US"/>
        </w:rPr>
        <w:t xml:space="preserve">1. World Health Organization. Noncommunicable diseases. Progress monitor 2020. Switzerland: WHO; 2020. </w:t>
      </w:r>
      <w:r w:rsidR="003D098B" w:rsidRPr="003D098B">
        <w:rPr>
          <w:rFonts w:eastAsia="Calibri"/>
          <w:bCs/>
          <w:lang w:val="es-CU" w:eastAsia="en-US"/>
        </w:rPr>
        <w:t xml:space="preserve">2020. [acceso: 16/04/2022]. Disponible en: </w:t>
      </w:r>
      <w:hyperlink r:id="rId13" w:history="1">
        <w:r w:rsidR="003D098B" w:rsidRPr="008A67F9">
          <w:rPr>
            <w:rStyle w:val="Hipervnculo"/>
            <w:rFonts w:eastAsia="Calibri"/>
            <w:bCs/>
            <w:lang w:val="es-CU" w:eastAsia="en-US"/>
          </w:rPr>
          <w:t>https://apps.who.int/iris/rest/bitstreams/1267930/retrieve</w:t>
        </w:r>
      </w:hyperlink>
      <w:r w:rsidR="003D098B">
        <w:rPr>
          <w:rFonts w:eastAsia="Calibri"/>
          <w:bCs/>
          <w:lang w:val="es-CU" w:eastAsia="en-US"/>
        </w:rPr>
        <w:t xml:space="preserve"> </w:t>
      </w:r>
      <w:r w:rsidRPr="000E4BEA">
        <w:rPr>
          <w:rFonts w:eastAsia="Calibri"/>
          <w:bCs/>
          <w:lang w:val="es-CU" w:eastAsia="en-US"/>
        </w:rPr>
        <w:t xml:space="preserve">  </w:t>
      </w:r>
    </w:p>
    <w:p w14:paraId="5B5C91AF"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2. Hussain M, Oldenburg B, Wang Y, </w:t>
      </w:r>
      <w:proofErr w:type="spellStart"/>
      <w:r w:rsidRPr="000E4BEA">
        <w:rPr>
          <w:rFonts w:eastAsia="Calibri"/>
          <w:bCs/>
          <w:lang w:val="en-US" w:eastAsia="en-US"/>
        </w:rPr>
        <w:t>Zoungas</w:t>
      </w:r>
      <w:proofErr w:type="spellEnd"/>
      <w:r w:rsidRPr="000E4BEA">
        <w:rPr>
          <w:rFonts w:eastAsia="Calibri"/>
          <w:bCs/>
          <w:lang w:val="en-US" w:eastAsia="en-US"/>
        </w:rPr>
        <w:t xml:space="preserve"> S, Tonkin A. Assessment of Cardiovascular Disease Risk in South Asian Populations. Int J </w:t>
      </w:r>
      <w:proofErr w:type="spellStart"/>
      <w:r w:rsidRPr="000E4BEA">
        <w:rPr>
          <w:rFonts w:eastAsia="Calibri"/>
          <w:bCs/>
          <w:lang w:val="en-US" w:eastAsia="en-US"/>
        </w:rPr>
        <w:t>Vasc</w:t>
      </w:r>
      <w:proofErr w:type="spellEnd"/>
      <w:r w:rsidRPr="000E4BEA">
        <w:rPr>
          <w:rFonts w:eastAsia="Calibri"/>
          <w:bCs/>
          <w:lang w:val="en-US" w:eastAsia="en-US"/>
        </w:rPr>
        <w:t xml:space="preserve"> Med.  2013. [</w:t>
      </w:r>
      <w:proofErr w:type="spellStart"/>
      <w:r w:rsidRPr="000E4BEA">
        <w:rPr>
          <w:rFonts w:eastAsia="Calibri"/>
          <w:bCs/>
          <w:lang w:val="en-US" w:eastAsia="en-US"/>
        </w:rPr>
        <w:t>acceso</w:t>
      </w:r>
      <w:proofErr w:type="spellEnd"/>
      <w:r w:rsidRPr="000E4BEA">
        <w:rPr>
          <w:rFonts w:eastAsia="Calibri"/>
          <w:bCs/>
          <w:lang w:val="en-US" w:eastAsia="en-US"/>
        </w:rPr>
        <w:t>: 16/04/2022]. 2013: 786801. DOI: 10.1155/2013/786801</w:t>
      </w:r>
    </w:p>
    <w:p w14:paraId="094DC9C8"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3. Communication S. American Medical Association. Executive Summary of the Third Report (NCEP) Expert Panel on Detection, Evaluation and Treatment of High Blood Cholesterol in Adults (Adult Treatment Panel III). J Am Med Assoc. 2001; 285(19):2486–97. DOI: 10.1001/jama.285.19.2486</w:t>
      </w:r>
    </w:p>
    <w:p w14:paraId="0842C405"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4. </w:t>
      </w:r>
      <w:proofErr w:type="spellStart"/>
      <w:r w:rsidRPr="000E4BEA">
        <w:rPr>
          <w:rFonts w:eastAsia="Calibri"/>
          <w:bCs/>
          <w:lang w:val="en-US" w:eastAsia="en-US"/>
        </w:rPr>
        <w:t>Baygi</w:t>
      </w:r>
      <w:proofErr w:type="spellEnd"/>
      <w:r w:rsidRPr="000E4BEA">
        <w:rPr>
          <w:rFonts w:eastAsia="Calibri"/>
          <w:bCs/>
          <w:lang w:val="en-US" w:eastAsia="en-US"/>
        </w:rPr>
        <w:t xml:space="preserve"> F, </w:t>
      </w:r>
      <w:proofErr w:type="spellStart"/>
      <w:r w:rsidRPr="000E4BEA">
        <w:rPr>
          <w:rFonts w:eastAsia="Calibri"/>
          <w:bCs/>
          <w:lang w:val="en-US" w:eastAsia="en-US"/>
        </w:rPr>
        <w:t>Herttua</w:t>
      </w:r>
      <w:proofErr w:type="spellEnd"/>
      <w:r w:rsidRPr="000E4BEA">
        <w:rPr>
          <w:rFonts w:eastAsia="Calibri"/>
          <w:bCs/>
          <w:lang w:val="en-US" w:eastAsia="en-US"/>
        </w:rPr>
        <w:t xml:space="preserve"> K, Jensen O, </w:t>
      </w:r>
      <w:proofErr w:type="spellStart"/>
      <w:r w:rsidRPr="000E4BEA">
        <w:rPr>
          <w:rFonts w:eastAsia="Calibri"/>
          <w:bCs/>
          <w:lang w:val="en-US" w:eastAsia="en-US"/>
        </w:rPr>
        <w:t>Djalalinia</w:t>
      </w:r>
      <w:proofErr w:type="spellEnd"/>
      <w:r w:rsidRPr="000E4BEA">
        <w:rPr>
          <w:rFonts w:eastAsia="Calibri"/>
          <w:bCs/>
          <w:lang w:val="en-US" w:eastAsia="en-US"/>
        </w:rPr>
        <w:t xml:space="preserve"> S, </w:t>
      </w:r>
      <w:proofErr w:type="spellStart"/>
      <w:r w:rsidRPr="000E4BEA">
        <w:rPr>
          <w:rFonts w:eastAsia="Calibri"/>
          <w:bCs/>
          <w:lang w:val="en-US" w:eastAsia="en-US"/>
        </w:rPr>
        <w:t>Ghorabi</w:t>
      </w:r>
      <w:proofErr w:type="spellEnd"/>
      <w:r w:rsidRPr="000E4BEA">
        <w:rPr>
          <w:rFonts w:eastAsia="Calibri"/>
          <w:bCs/>
          <w:lang w:val="en-US" w:eastAsia="en-US"/>
        </w:rPr>
        <w:t xml:space="preserve"> A, </w:t>
      </w:r>
      <w:proofErr w:type="spellStart"/>
      <w:r w:rsidRPr="000E4BEA">
        <w:rPr>
          <w:rFonts w:eastAsia="Calibri"/>
          <w:bCs/>
          <w:lang w:val="en-US" w:eastAsia="en-US"/>
        </w:rPr>
        <w:t>Asayesh</w:t>
      </w:r>
      <w:proofErr w:type="spellEnd"/>
      <w:r w:rsidRPr="000E4BEA">
        <w:rPr>
          <w:rFonts w:eastAsia="Calibri"/>
          <w:bCs/>
          <w:lang w:val="en-US" w:eastAsia="en-US"/>
        </w:rPr>
        <w:t xml:space="preserve"> H, et al. Global prevalence of cardiometabolic risk factors in the military population: a systematic review and meta-analysis. BMC Endocrine </w:t>
      </w:r>
      <w:proofErr w:type="spellStart"/>
      <w:r w:rsidRPr="000E4BEA">
        <w:rPr>
          <w:rFonts w:eastAsia="Calibri"/>
          <w:bCs/>
          <w:lang w:val="en-US" w:eastAsia="en-US"/>
        </w:rPr>
        <w:t>Disord</w:t>
      </w:r>
      <w:proofErr w:type="spellEnd"/>
      <w:r w:rsidRPr="000E4BEA">
        <w:rPr>
          <w:rFonts w:eastAsia="Calibri"/>
          <w:bCs/>
          <w:lang w:val="en-US" w:eastAsia="en-US"/>
        </w:rPr>
        <w:t>. 2020;20(8):1–17. DOI: 10.1186/s12902-020-0489-6</w:t>
      </w:r>
    </w:p>
    <w:p w14:paraId="04669670" w14:textId="77777777" w:rsidR="000E4BEA" w:rsidRPr="000E4BEA" w:rsidRDefault="000E4BEA" w:rsidP="000E4BEA">
      <w:pPr>
        <w:spacing w:line="360" w:lineRule="auto"/>
        <w:contextualSpacing/>
        <w:rPr>
          <w:rFonts w:eastAsia="Calibri"/>
          <w:bCs/>
          <w:lang w:val="es-CU" w:eastAsia="en-US"/>
        </w:rPr>
      </w:pPr>
      <w:r w:rsidRPr="000E4BEA">
        <w:rPr>
          <w:rFonts w:eastAsia="Calibri"/>
          <w:bCs/>
          <w:lang w:val="en-US" w:eastAsia="en-US"/>
        </w:rPr>
        <w:t xml:space="preserve">5. Cheng L, Chang L, Lee E. Hyperuricemia is Associated with a higher prevalence of metabolic syndrome in military individuals. </w:t>
      </w:r>
      <w:r w:rsidRPr="000E4BEA">
        <w:rPr>
          <w:rFonts w:eastAsia="Calibri"/>
          <w:bCs/>
          <w:lang w:val="es-CU" w:eastAsia="en-US"/>
        </w:rPr>
        <w:t xml:space="preserve">Mil </w:t>
      </w:r>
      <w:proofErr w:type="spellStart"/>
      <w:r w:rsidRPr="000E4BEA">
        <w:rPr>
          <w:rFonts w:eastAsia="Calibri"/>
          <w:bCs/>
          <w:lang w:val="es-CU" w:eastAsia="en-US"/>
        </w:rPr>
        <w:t>Med</w:t>
      </w:r>
      <w:proofErr w:type="spellEnd"/>
      <w:r w:rsidRPr="000E4BEA">
        <w:rPr>
          <w:rFonts w:eastAsia="Calibri"/>
          <w:bCs/>
          <w:lang w:val="es-CU" w:eastAsia="en-US"/>
        </w:rPr>
        <w:t xml:space="preserve">. 2018 [acceso: 16/04/2022];183(11-12): e391–e395. Disponible en: </w:t>
      </w:r>
      <w:hyperlink r:id="rId14" w:history="1">
        <w:r w:rsidRPr="000E4BEA">
          <w:rPr>
            <w:rFonts w:eastAsia="Calibri"/>
            <w:bCs/>
            <w:u w:val="single"/>
            <w:lang w:val="es-CU" w:eastAsia="en-US"/>
          </w:rPr>
          <w:t>https://academic.oup.com/milmed/article/183/11-12/e391/4994620</w:t>
        </w:r>
      </w:hyperlink>
      <w:r w:rsidRPr="000E4BEA">
        <w:rPr>
          <w:rFonts w:eastAsia="Calibri"/>
          <w:bCs/>
          <w:lang w:val="es-CU" w:eastAsia="en-US"/>
        </w:rPr>
        <w:t xml:space="preserve"> </w:t>
      </w:r>
    </w:p>
    <w:p w14:paraId="6EA5F704"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6. </w:t>
      </w:r>
      <w:proofErr w:type="spellStart"/>
      <w:r w:rsidRPr="000E4BEA">
        <w:rPr>
          <w:rFonts w:eastAsia="Calibri"/>
          <w:bCs/>
          <w:lang w:val="en-US" w:eastAsia="en-US"/>
        </w:rPr>
        <w:t>Payab</w:t>
      </w:r>
      <w:proofErr w:type="spellEnd"/>
      <w:r w:rsidRPr="000E4BEA">
        <w:rPr>
          <w:rFonts w:eastAsia="Calibri"/>
          <w:bCs/>
          <w:lang w:val="en-US" w:eastAsia="en-US"/>
        </w:rPr>
        <w:t xml:space="preserve"> M, </w:t>
      </w:r>
      <w:proofErr w:type="spellStart"/>
      <w:r w:rsidRPr="000E4BEA">
        <w:rPr>
          <w:rFonts w:eastAsia="Calibri"/>
          <w:bCs/>
          <w:lang w:val="en-US" w:eastAsia="en-US"/>
        </w:rPr>
        <w:t>Hassani</w:t>
      </w:r>
      <w:proofErr w:type="spellEnd"/>
      <w:r w:rsidRPr="000E4BEA">
        <w:rPr>
          <w:rFonts w:eastAsia="Calibri"/>
          <w:bCs/>
          <w:lang w:val="en-US" w:eastAsia="en-US"/>
        </w:rPr>
        <w:t xml:space="preserve"> R, </w:t>
      </w:r>
      <w:proofErr w:type="spellStart"/>
      <w:r w:rsidRPr="000E4BEA">
        <w:rPr>
          <w:rFonts w:eastAsia="Calibri"/>
          <w:bCs/>
          <w:lang w:val="en-US" w:eastAsia="en-US"/>
        </w:rPr>
        <w:t>Merati</w:t>
      </w:r>
      <w:proofErr w:type="spellEnd"/>
      <w:r w:rsidRPr="000E4BEA">
        <w:rPr>
          <w:rFonts w:eastAsia="Calibri"/>
          <w:bCs/>
          <w:lang w:val="en-US" w:eastAsia="en-US"/>
        </w:rPr>
        <w:t xml:space="preserve"> Y, </w:t>
      </w:r>
      <w:proofErr w:type="spellStart"/>
      <w:r w:rsidRPr="000E4BEA">
        <w:rPr>
          <w:rFonts w:eastAsia="Calibri"/>
          <w:bCs/>
          <w:lang w:val="en-US" w:eastAsia="en-US"/>
        </w:rPr>
        <w:t>Esteghamati</w:t>
      </w:r>
      <w:proofErr w:type="spellEnd"/>
      <w:r w:rsidRPr="000E4BEA">
        <w:rPr>
          <w:rFonts w:eastAsia="Calibri"/>
          <w:bCs/>
          <w:lang w:val="en-US" w:eastAsia="en-US"/>
        </w:rPr>
        <w:t xml:space="preserve"> A, </w:t>
      </w:r>
      <w:proofErr w:type="spellStart"/>
      <w:r w:rsidRPr="000E4BEA">
        <w:rPr>
          <w:rFonts w:eastAsia="Calibri"/>
          <w:bCs/>
          <w:lang w:val="en-US" w:eastAsia="en-US"/>
        </w:rPr>
        <w:t>Qorbani</w:t>
      </w:r>
      <w:proofErr w:type="spellEnd"/>
      <w:r w:rsidRPr="000E4BEA">
        <w:rPr>
          <w:rFonts w:eastAsia="Calibri"/>
          <w:bCs/>
          <w:lang w:val="en-US" w:eastAsia="en-US"/>
        </w:rPr>
        <w:t xml:space="preserve"> M, </w:t>
      </w:r>
      <w:proofErr w:type="spellStart"/>
      <w:r w:rsidRPr="000E4BEA">
        <w:rPr>
          <w:rFonts w:eastAsia="Calibri"/>
          <w:bCs/>
          <w:lang w:val="en-US" w:eastAsia="en-US"/>
        </w:rPr>
        <w:t>Hematabadi</w:t>
      </w:r>
      <w:proofErr w:type="spellEnd"/>
      <w:r w:rsidRPr="000E4BEA">
        <w:rPr>
          <w:rFonts w:eastAsia="Calibri"/>
          <w:bCs/>
          <w:lang w:val="en-US" w:eastAsia="en-US"/>
        </w:rPr>
        <w:t xml:space="preserve"> M. The prevalence of metabolic syndrome and different obesity phenotype in Iranian male military personnel. Am J </w:t>
      </w:r>
      <w:proofErr w:type="spellStart"/>
      <w:r w:rsidRPr="000E4BEA">
        <w:rPr>
          <w:rFonts w:eastAsia="Calibri"/>
          <w:bCs/>
          <w:lang w:val="en-US" w:eastAsia="en-US"/>
        </w:rPr>
        <w:t>Mens</w:t>
      </w:r>
      <w:proofErr w:type="spellEnd"/>
      <w:r w:rsidRPr="000E4BEA">
        <w:rPr>
          <w:rFonts w:eastAsia="Calibri"/>
          <w:bCs/>
          <w:lang w:val="en-US" w:eastAsia="en-US"/>
        </w:rPr>
        <w:t xml:space="preserve"> Health. 2017; 11(2): 404–13. DOI: 10.1177/1557988316683120</w:t>
      </w:r>
    </w:p>
    <w:p w14:paraId="7002345C"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7.  Filho R, </w:t>
      </w:r>
      <w:proofErr w:type="spellStart"/>
      <w:r w:rsidRPr="000E4BEA">
        <w:rPr>
          <w:rFonts w:eastAsia="Calibri"/>
          <w:bCs/>
          <w:lang w:val="en-US" w:eastAsia="en-US"/>
        </w:rPr>
        <w:t>D’Oliveira</w:t>
      </w:r>
      <w:proofErr w:type="spellEnd"/>
      <w:r w:rsidRPr="000E4BEA">
        <w:rPr>
          <w:rFonts w:eastAsia="Calibri"/>
          <w:bCs/>
          <w:lang w:val="en-US" w:eastAsia="en-US"/>
        </w:rPr>
        <w:t xml:space="preserve"> A. The prevalence of metabolic syndrome among soldiers of the military personnel. Am J </w:t>
      </w:r>
      <w:proofErr w:type="spellStart"/>
      <w:r w:rsidRPr="000E4BEA">
        <w:rPr>
          <w:rFonts w:eastAsia="Calibri"/>
          <w:bCs/>
          <w:lang w:val="en-US" w:eastAsia="en-US"/>
        </w:rPr>
        <w:t>Mens</w:t>
      </w:r>
      <w:proofErr w:type="spellEnd"/>
      <w:r w:rsidRPr="000E4BEA">
        <w:rPr>
          <w:rFonts w:eastAsia="Calibri"/>
          <w:bCs/>
          <w:lang w:val="en-US" w:eastAsia="en-US"/>
        </w:rPr>
        <w:t xml:space="preserve"> Health. 2014; 8(4): 310–5. DOI: 10.1177/1557988313510928</w:t>
      </w:r>
    </w:p>
    <w:p w14:paraId="1F9F9A72"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8. Perez J, </w:t>
      </w:r>
      <w:proofErr w:type="spellStart"/>
      <w:r w:rsidRPr="000E4BEA">
        <w:rPr>
          <w:rFonts w:eastAsia="Calibri"/>
          <w:bCs/>
          <w:lang w:val="en-US" w:eastAsia="en-US"/>
        </w:rPr>
        <w:t>Baldeon</w:t>
      </w:r>
      <w:proofErr w:type="spellEnd"/>
      <w:r w:rsidRPr="000E4BEA">
        <w:rPr>
          <w:rFonts w:eastAsia="Calibri"/>
          <w:bCs/>
          <w:lang w:val="en-US" w:eastAsia="en-US"/>
        </w:rPr>
        <w:t xml:space="preserve"> L, Franco O, </w:t>
      </w:r>
      <w:proofErr w:type="spellStart"/>
      <w:r w:rsidRPr="000E4BEA">
        <w:rPr>
          <w:rFonts w:eastAsia="Calibri"/>
          <w:bCs/>
          <w:lang w:val="en-US" w:eastAsia="en-US"/>
        </w:rPr>
        <w:t>Muka</w:t>
      </w:r>
      <w:proofErr w:type="spellEnd"/>
      <w:r w:rsidRPr="000E4BEA">
        <w:rPr>
          <w:rFonts w:eastAsia="Calibri"/>
          <w:bCs/>
          <w:lang w:val="en-US" w:eastAsia="en-US"/>
        </w:rPr>
        <w:t xml:space="preserve"> T, </w:t>
      </w:r>
      <w:proofErr w:type="spellStart"/>
      <w:r w:rsidRPr="000E4BEA">
        <w:rPr>
          <w:rFonts w:eastAsia="Calibri"/>
          <w:bCs/>
          <w:lang w:val="en-US" w:eastAsia="en-US"/>
        </w:rPr>
        <w:t>Drexhage</w:t>
      </w:r>
      <w:proofErr w:type="spellEnd"/>
      <w:r w:rsidRPr="000E4BEA">
        <w:rPr>
          <w:rFonts w:eastAsia="Calibri"/>
          <w:bCs/>
          <w:lang w:val="en-US" w:eastAsia="en-US"/>
        </w:rPr>
        <w:t xml:space="preserve"> H, Voortman T. Prevalence of overweight and metabolic syndrome, and associated sociodemographic factors among adult Ecuadorian populations: the ENSANUT-ECU study. J Endocrinol Invest. 2021; 44(1): 63–74. DOI: 10.1007/s40618-020-01267-9</w:t>
      </w:r>
    </w:p>
    <w:p w14:paraId="48F4C5FB" w14:textId="77777777" w:rsidR="000E4BEA" w:rsidRPr="000E4BEA" w:rsidRDefault="000E4BEA" w:rsidP="000E4BEA">
      <w:pPr>
        <w:spacing w:line="360" w:lineRule="auto"/>
        <w:contextualSpacing/>
        <w:rPr>
          <w:rFonts w:eastAsia="Calibri"/>
          <w:bCs/>
          <w:lang w:val="es-CU" w:eastAsia="en-US"/>
        </w:rPr>
      </w:pPr>
      <w:r w:rsidRPr="000E4BEA">
        <w:rPr>
          <w:rFonts w:eastAsia="Calibri"/>
          <w:bCs/>
          <w:lang w:val="en-US" w:eastAsia="en-US"/>
        </w:rPr>
        <w:t xml:space="preserve">9. Muñoz G, Muñoz A. Evaluation of anthropometric indices as metabolic syndrome predictors in Ecuadorian military personnel. </w:t>
      </w:r>
      <w:proofErr w:type="spellStart"/>
      <w:r w:rsidRPr="000E4BEA">
        <w:rPr>
          <w:rFonts w:eastAsia="Calibri"/>
          <w:bCs/>
          <w:lang w:val="es-CU" w:eastAsia="en-US"/>
        </w:rPr>
        <w:t>Rev</w:t>
      </w:r>
      <w:proofErr w:type="spellEnd"/>
      <w:r w:rsidRPr="000E4BEA">
        <w:rPr>
          <w:rFonts w:eastAsia="Calibri"/>
          <w:bCs/>
          <w:lang w:val="es-CU" w:eastAsia="en-US"/>
        </w:rPr>
        <w:t xml:space="preserve"> </w:t>
      </w:r>
      <w:proofErr w:type="spellStart"/>
      <w:r w:rsidRPr="000E4BEA">
        <w:rPr>
          <w:rFonts w:eastAsia="Calibri"/>
          <w:bCs/>
          <w:lang w:val="es-CU" w:eastAsia="en-US"/>
        </w:rPr>
        <w:t>Ecuat</w:t>
      </w:r>
      <w:proofErr w:type="spellEnd"/>
      <w:r w:rsidRPr="000E4BEA">
        <w:rPr>
          <w:rFonts w:eastAsia="Calibri"/>
          <w:bCs/>
          <w:lang w:val="es-CU" w:eastAsia="en-US"/>
        </w:rPr>
        <w:t xml:space="preserve"> </w:t>
      </w:r>
      <w:proofErr w:type="spellStart"/>
      <w:r w:rsidRPr="000E4BEA">
        <w:rPr>
          <w:rFonts w:eastAsia="Calibri"/>
          <w:bCs/>
          <w:lang w:val="es-CU" w:eastAsia="en-US"/>
        </w:rPr>
        <w:t>Med</w:t>
      </w:r>
      <w:proofErr w:type="spellEnd"/>
      <w:r w:rsidRPr="000E4BEA">
        <w:rPr>
          <w:rFonts w:eastAsia="Calibri"/>
          <w:bCs/>
          <w:lang w:val="es-CU" w:eastAsia="en-US"/>
        </w:rPr>
        <w:t xml:space="preserve"> </w:t>
      </w:r>
      <w:proofErr w:type="spellStart"/>
      <w:r w:rsidRPr="000E4BEA">
        <w:rPr>
          <w:rFonts w:eastAsia="Calibri"/>
          <w:bCs/>
          <w:lang w:val="es-CU" w:eastAsia="en-US"/>
        </w:rPr>
        <w:t>Cienc</w:t>
      </w:r>
      <w:proofErr w:type="spellEnd"/>
      <w:r w:rsidRPr="000E4BEA">
        <w:rPr>
          <w:rFonts w:eastAsia="Calibri"/>
          <w:bCs/>
          <w:lang w:val="es-CU" w:eastAsia="en-US"/>
        </w:rPr>
        <w:t xml:space="preserve"> Biol. 2020; 41(2): 141–7. DOI: 10.26807/REMCB.V41I2.872 </w:t>
      </w:r>
    </w:p>
    <w:p w14:paraId="715BFB5B"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s-CU" w:eastAsia="en-US"/>
        </w:rPr>
        <w:lastRenderedPageBreak/>
        <w:t xml:space="preserve">10. Muñoz A, Muñoz G. Cuantificación del riesgo de enfermedad cardiovascular, según el score Framingham, en el personal militar durante el año 2015. </w:t>
      </w:r>
      <w:r w:rsidRPr="000E4BEA">
        <w:rPr>
          <w:rFonts w:eastAsia="Calibri"/>
          <w:bCs/>
          <w:lang w:val="en-US" w:eastAsia="en-US"/>
        </w:rPr>
        <w:t xml:space="preserve">Rev </w:t>
      </w:r>
      <w:proofErr w:type="spellStart"/>
      <w:r w:rsidRPr="000E4BEA">
        <w:rPr>
          <w:rFonts w:eastAsia="Calibri"/>
          <w:bCs/>
          <w:lang w:val="en-US" w:eastAsia="en-US"/>
        </w:rPr>
        <w:t>Ecuat</w:t>
      </w:r>
      <w:proofErr w:type="spellEnd"/>
      <w:r w:rsidRPr="000E4BEA">
        <w:rPr>
          <w:rFonts w:eastAsia="Calibri"/>
          <w:bCs/>
          <w:lang w:val="en-US" w:eastAsia="en-US"/>
        </w:rPr>
        <w:t xml:space="preserve"> Med </w:t>
      </w:r>
      <w:proofErr w:type="spellStart"/>
      <w:r w:rsidRPr="000E4BEA">
        <w:rPr>
          <w:rFonts w:eastAsia="Calibri"/>
          <w:bCs/>
          <w:lang w:val="en-US" w:eastAsia="en-US"/>
        </w:rPr>
        <w:t>Cienc</w:t>
      </w:r>
      <w:proofErr w:type="spellEnd"/>
      <w:r w:rsidRPr="000E4BEA">
        <w:rPr>
          <w:rFonts w:eastAsia="Calibri"/>
          <w:bCs/>
          <w:lang w:val="en-US" w:eastAsia="en-US"/>
        </w:rPr>
        <w:t xml:space="preserve"> Biol. 2018; 39(1): 31-7. DOI: 10.26807/remcb.v39i1.560 </w:t>
      </w:r>
    </w:p>
    <w:p w14:paraId="70C6D5B4"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11. </w:t>
      </w:r>
      <w:proofErr w:type="spellStart"/>
      <w:r w:rsidRPr="000E4BEA">
        <w:rPr>
          <w:rFonts w:eastAsia="Calibri"/>
          <w:bCs/>
          <w:lang w:val="en-US" w:eastAsia="en-US"/>
        </w:rPr>
        <w:t>Oguoma</w:t>
      </w:r>
      <w:proofErr w:type="spellEnd"/>
      <w:r w:rsidRPr="000E4BEA">
        <w:rPr>
          <w:rFonts w:eastAsia="Calibri"/>
          <w:bCs/>
          <w:lang w:val="en-US" w:eastAsia="en-US"/>
        </w:rPr>
        <w:t xml:space="preserve"> V, </w:t>
      </w:r>
      <w:proofErr w:type="spellStart"/>
      <w:r w:rsidRPr="000E4BEA">
        <w:rPr>
          <w:rFonts w:eastAsia="Calibri"/>
          <w:bCs/>
          <w:lang w:val="en-US" w:eastAsia="en-US"/>
        </w:rPr>
        <w:t>Coffe</w:t>
      </w:r>
      <w:proofErr w:type="spellEnd"/>
      <w:r w:rsidRPr="000E4BEA">
        <w:rPr>
          <w:rFonts w:eastAsia="Calibri"/>
          <w:bCs/>
          <w:lang w:val="en-US" w:eastAsia="en-US"/>
        </w:rPr>
        <w:t xml:space="preserve"> N, </w:t>
      </w:r>
      <w:proofErr w:type="spellStart"/>
      <w:r w:rsidRPr="000E4BEA">
        <w:rPr>
          <w:rFonts w:eastAsia="Calibri"/>
          <w:bCs/>
          <w:lang w:val="en-US" w:eastAsia="en-US"/>
        </w:rPr>
        <w:t>Alsharrah</w:t>
      </w:r>
      <w:proofErr w:type="spellEnd"/>
      <w:r w:rsidRPr="000E4BEA">
        <w:rPr>
          <w:rFonts w:eastAsia="Calibri"/>
          <w:bCs/>
          <w:lang w:val="en-US" w:eastAsia="en-US"/>
        </w:rPr>
        <w:t xml:space="preserve"> S, Abu M, Al-</w:t>
      </w:r>
      <w:proofErr w:type="spellStart"/>
      <w:r w:rsidRPr="000E4BEA">
        <w:rPr>
          <w:rFonts w:eastAsia="Calibri"/>
          <w:bCs/>
          <w:lang w:val="en-US" w:eastAsia="en-US"/>
        </w:rPr>
        <w:t>Refaei</w:t>
      </w:r>
      <w:proofErr w:type="spellEnd"/>
      <w:r w:rsidRPr="000E4BEA">
        <w:rPr>
          <w:rFonts w:eastAsia="Calibri"/>
          <w:bCs/>
          <w:lang w:val="en-US" w:eastAsia="en-US"/>
        </w:rPr>
        <w:t xml:space="preserve"> F, </w:t>
      </w:r>
      <w:proofErr w:type="spellStart"/>
      <w:r w:rsidRPr="000E4BEA">
        <w:rPr>
          <w:rFonts w:eastAsia="Calibri"/>
          <w:bCs/>
          <w:lang w:val="en-US" w:eastAsia="en-US"/>
        </w:rPr>
        <w:t>Alkandari</w:t>
      </w:r>
      <w:proofErr w:type="spellEnd"/>
      <w:r w:rsidRPr="000E4BEA">
        <w:rPr>
          <w:rFonts w:eastAsia="Calibri"/>
          <w:bCs/>
          <w:lang w:val="en-US" w:eastAsia="en-US"/>
        </w:rPr>
        <w:t xml:space="preserve"> A. Anthropometric cut-points for discriminating diabetes and metabolic syndrome among Arabs and Asians: The Kuwait Diabetes Epidemiology Program. Br J </w:t>
      </w:r>
      <w:proofErr w:type="spellStart"/>
      <w:r w:rsidRPr="000E4BEA">
        <w:rPr>
          <w:rFonts w:eastAsia="Calibri"/>
          <w:bCs/>
          <w:lang w:val="en-US" w:eastAsia="en-US"/>
        </w:rPr>
        <w:t>Nutr</w:t>
      </w:r>
      <w:proofErr w:type="spellEnd"/>
      <w:r w:rsidRPr="000E4BEA">
        <w:rPr>
          <w:rFonts w:eastAsia="Calibri"/>
          <w:bCs/>
          <w:lang w:val="en-US" w:eastAsia="en-US"/>
        </w:rPr>
        <w:t xml:space="preserve">. 2021; 127(1): 92–102. DOI: 10.1017/S0007114521000751 </w:t>
      </w:r>
    </w:p>
    <w:p w14:paraId="17016024"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12. Joshi H, Shak K, Patel P, Prajapati J, Parmar M, Doshi D. Novel indexes for diagnosing metabolic syndrome in apparently healthy Gujarati Asian Indians: A cross-sectional study. </w:t>
      </w:r>
      <w:proofErr w:type="spellStart"/>
      <w:r w:rsidRPr="000E4BEA">
        <w:rPr>
          <w:rFonts w:eastAsia="Calibri"/>
          <w:bCs/>
          <w:lang w:val="en-US" w:eastAsia="en-US"/>
        </w:rPr>
        <w:t>Qjm</w:t>
      </w:r>
      <w:proofErr w:type="spellEnd"/>
      <w:r w:rsidRPr="000E4BEA">
        <w:rPr>
          <w:rFonts w:eastAsia="Calibri"/>
          <w:bCs/>
          <w:lang w:val="en-US" w:eastAsia="en-US"/>
        </w:rPr>
        <w:t>. 2016; 109(11):717–22.  DOI: 10.1093/</w:t>
      </w:r>
      <w:proofErr w:type="spellStart"/>
      <w:r w:rsidRPr="000E4BEA">
        <w:rPr>
          <w:rFonts w:eastAsia="Calibri"/>
          <w:bCs/>
          <w:lang w:val="en-US" w:eastAsia="en-US"/>
        </w:rPr>
        <w:t>qjmed</w:t>
      </w:r>
      <w:proofErr w:type="spellEnd"/>
      <w:r w:rsidRPr="000E4BEA">
        <w:rPr>
          <w:rFonts w:eastAsia="Calibri"/>
          <w:bCs/>
          <w:lang w:val="en-US" w:eastAsia="en-US"/>
        </w:rPr>
        <w:t xml:space="preserve">/hcw056 </w:t>
      </w:r>
    </w:p>
    <w:p w14:paraId="2AD20166"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13. </w:t>
      </w:r>
      <w:proofErr w:type="spellStart"/>
      <w:r w:rsidRPr="000E4BEA">
        <w:rPr>
          <w:rFonts w:eastAsia="Calibri"/>
          <w:bCs/>
          <w:lang w:val="en-US" w:eastAsia="en-US"/>
        </w:rPr>
        <w:t>Hosein</w:t>
      </w:r>
      <w:proofErr w:type="spellEnd"/>
      <w:r w:rsidRPr="000E4BEA">
        <w:rPr>
          <w:rFonts w:eastAsia="Calibri"/>
          <w:bCs/>
          <w:lang w:val="en-US" w:eastAsia="en-US"/>
        </w:rPr>
        <w:t xml:space="preserve"> R, Hamid R, Hamid R, </w:t>
      </w:r>
      <w:proofErr w:type="spellStart"/>
      <w:r w:rsidRPr="000E4BEA">
        <w:rPr>
          <w:rFonts w:eastAsia="Calibri"/>
          <w:bCs/>
          <w:lang w:val="en-US" w:eastAsia="en-US"/>
        </w:rPr>
        <w:t>Tavakoli</w:t>
      </w:r>
      <w:proofErr w:type="spellEnd"/>
      <w:r w:rsidRPr="000E4BEA">
        <w:rPr>
          <w:rFonts w:eastAsia="Calibri"/>
          <w:bCs/>
          <w:lang w:val="en-US" w:eastAsia="en-US"/>
        </w:rPr>
        <w:t xml:space="preserve"> M, Hossein R. Mohammad M. Metabolic syndrome prevalence among armed forces personnel: a systematic review and meta-analysis. Mil Med. 2019; 184(9–10): 417–25. DOI: 10.1093/</w:t>
      </w:r>
      <w:proofErr w:type="spellStart"/>
      <w:r w:rsidRPr="000E4BEA">
        <w:rPr>
          <w:rFonts w:eastAsia="Calibri"/>
          <w:bCs/>
          <w:lang w:val="en-US" w:eastAsia="en-US"/>
        </w:rPr>
        <w:t>milmed</w:t>
      </w:r>
      <w:proofErr w:type="spellEnd"/>
      <w:r w:rsidRPr="000E4BEA">
        <w:rPr>
          <w:rFonts w:eastAsia="Calibri"/>
          <w:bCs/>
          <w:lang w:val="en-US" w:eastAsia="en-US"/>
        </w:rPr>
        <w:t xml:space="preserve">/usz144 </w:t>
      </w:r>
    </w:p>
    <w:p w14:paraId="558C61FF" w14:textId="77777777" w:rsidR="000E4BEA" w:rsidRPr="000E4BEA" w:rsidRDefault="000E4BEA" w:rsidP="000E4BEA">
      <w:pPr>
        <w:spacing w:line="360" w:lineRule="auto"/>
        <w:contextualSpacing/>
        <w:rPr>
          <w:rFonts w:eastAsia="Calibri"/>
          <w:bCs/>
          <w:lang w:val="en-US" w:eastAsia="en-US"/>
        </w:rPr>
      </w:pPr>
      <w:r w:rsidRPr="000E4BEA">
        <w:rPr>
          <w:rFonts w:eastAsia="Calibri"/>
          <w:bCs/>
          <w:lang w:val="en-US" w:eastAsia="en-US"/>
        </w:rPr>
        <w:t xml:space="preserve">14. Guan X, Sun G, Zheng L, Hu W, Li W, Sun Y. Associations between metabolic risk factors and body mass index, waist circumferences, waist-to-height ratio and waist-to-hip ratio in a Chinese rural populations. J Diabetes </w:t>
      </w:r>
      <w:proofErr w:type="spellStart"/>
      <w:r w:rsidRPr="000E4BEA">
        <w:rPr>
          <w:rFonts w:eastAsia="Calibri"/>
          <w:bCs/>
          <w:lang w:val="en-US" w:eastAsia="en-US"/>
        </w:rPr>
        <w:t>Investig</w:t>
      </w:r>
      <w:proofErr w:type="spellEnd"/>
      <w:r w:rsidRPr="000E4BEA">
        <w:rPr>
          <w:rFonts w:eastAsia="Calibri"/>
          <w:bCs/>
          <w:lang w:val="en-US" w:eastAsia="en-US"/>
        </w:rPr>
        <w:t xml:space="preserve">. 2016; 7(4):601–6. DOI: 10.1111/jdi.12442 </w:t>
      </w:r>
    </w:p>
    <w:p w14:paraId="05985978" w14:textId="77777777" w:rsidR="000E4BEA" w:rsidRPr="000E4BEA" w:rsidRDefault="000E4BEA" w:rsidP="000E4BEA">
      <w:pPr>
        <w:spacing w:line="360" w:lineRule="auto"/>
        <w:contextualSpacing/>
        <w:rPr>
          <w:rFonts w:eastAsia="Calibri"/>
          <w:bCs/>
          <w:color w:val="000000"/>
          <w:lang w:val="es-CU" w:eastAsia="en-US"/>
        </w:rPr>
      </w:pPr>
      <w:r w:rsidRPr="000E4BEA">
        <w:rPr>
          <w:rFonts w:eastAsia="Calibri"/>
          <w:bCs/>
          <w:lang w:val="en-US" w:eastAsia="en-US"/>
        </w:rPr>
        <w:t xml:space="preserve">15. Peer N, Steyn K, Levitt N. Differential obesity indices identify the metabolic syndrome in black men and women in Cape Town: the CRIBSA study. </w:t>
      </w:r>
      <w:r w:rsidRPr="000E4BEA">
        <w:rPr>
          <w:rFonts w:eastAsia="Calibri"/>
          <w:bCs/>
          <w:lang w:val="es-CU" w:eastAsia="en-US"/>
        </w:rPr>
        <w:t xml:space="preserve">J </w:t>
      </w:r>
      <w:proofErr w:type="spellStart"/>
      <w:r w:rsidRPr="000E4BEA">
        <w:rPr>
          <w:rFonts w:eastAsia="Calibri"/>
          <w:bCs/>
          <w:lang w:val="es-CU" w:eastAsia="en-US"/>
        </w:rPr>
        <w:t>Public</w:t>
      </w:r>
      <w:proofErr w:type="spellEnd"/>
      <w:r w:rsidRPr="000E4BEA">
        <w:rPr>
          <w:rFonts w:eastAsia="Calibri"/>
          <w:bCs/>
          <w:lang w:val="es-CU" w:eastAsia="en-US"/>
        </w:rPr>
        <w:t xml:space="preserve"> </w:t>
      </w:r>
      <w:proofErr w:type="spellStart"/>
      <w:r w:rsidRPr="000E4BEA">
        <w:rPr>
          <w:rFonts w:eastAsia="Calibri"/>
          <w:bCs/>
          <w:lang w:val="es-CU" w:eastAsia="en-US"/>
        </w:rPr>
        <w:t>Heal</w:t>
      </w:r>
      <w:proofErr w:type="spellEnd"/>
      <w:r w:rsidRPr="000E4BEA">
        <w:rPr>
          <w:rFonts w:eastAsia="Calibri"/>
          <w:bCs/>
          <w:lang w:val="es-CU" w:eastAsia="en-US"/>
        </w:rPr>
        <w:t xml:space="preserve"> (</w:t>
      </w:r>
      <w:proofErr w:type="spellStart"/>
      <w:r w:rsidRPr="000E4BEA">
        <w:rPr>
          <w:rFonts w:eastAsia="Calibri"/>
          <w:bCs/>
          <w:lang w:val="es-CU" w:eastAsia="en-US"/>
        </w:rPr>
        <w:t>United</w:t>
      </w:r>
      <w:proofErr w:type="spellEnd"/>
      <w:r w:rsidRPr="000E4BEA">
        <w:rPr>
          <w:rFonts w:eastAsia="Calibri"/>
          <w:bCs/>
          <w:lang w:val="es-CU" w:eastAsia="en-US"/>
        </w:rPr>
        <w:t xml:space="preserve"> </w:t>
      </w:r>
      <w:proofErr w:type="spellStart"/>
      <w:r w:rsidRPr="000E4BEA">
        <w:rPr>
          <w:rFonts w:eastAsia="Calibri"/>
          <w:bCs/>
          <w:lang w:val="es-CU" w:eastAsia="en-US"/>
        </w:rPr>
        <w:t>Kingdom</w:t>
      </w:r>
      <w:proofErr w:type="spellEnd"/>
      <w:r w:rsidRPr="000E4BEA">
        <w:rPr>
          <w:rFonts w:eastAsia="Calibri"/>
          <w:bCs/>
          <w:lang w:val="es-CU" w:eastAsia="en-US"/>
        </w:rPr>
        <w:t>). 2016; 38(1):175–82. [acceso:16/04/2022]. DOI: 10.1093/</w:t>
      </w:r>
      <w:proofErr w:type="spellStart"/>
      <w:r w:rsidRPr="000E4BEA">
        <w:rPr>
          <w:rFonts w:eastAsia="Calibri"/>
          <w:bCs/>
          <w:lang w:val="es-CU" w:eastAsia="en-US"/>
        </w:rPr>
        <w:t>pubmed</w:t>
      </w:r>
      <w:proofErr w:type="spellEnd"/>
      <w:r w:rsidRPr="000E4BEA">
        <w:rPr>
          <w:rFonts w:eastAsia="Calibri"/>
          <w:bCs/>
          <w:lang w:val="es-CU" w:eastAsia="en-US"/>
        </w:rPr>
        <w:t>/fdu115</w:t>
      </w:r>
      <w:r w:rsidRPr="000E4BEA">
        <w:rPr>
          <w:rFonts w:eastAsia="Calibri"/>
          <w:noProof/>
          <w:color w:val="000000"/>
          <w:lang w:val="es-CU" w:eastAsia="en-US"/>
        </w:rPr>
        <w:t xml:space="preserve"> </w:t>
      </w:r>
    </w:p>
    <w:p w14:paraId="40ACFE4D"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CU" w:eastAsia="en-US"/>
        </w:rPr>
      </w:pPr>
      <w:r w:rsidRPr="000E4BEA">
        <w:rPr>
          <w:rFonts w:eastAsia="Calibri"/>
          <w:noProof/>
          <w:lang w:val="es-CU" w:eastAsia="en-US"/>
        </w:rPr>
        <w:t xml:space="preserve"> </w:t>
      </w:r>
    </w:p>
    <w:p w14:paraId="47A4A22B" w14:textId="77777777" w:rsidR="000E4BEA" w:rsidRPr="000E4BEA" w:rsidRDefault="000E4BEA" w:rsidP="000E4BEA">
      <w:pPr>
        <w:widowControl w:val="0"/>
        <w:autoSpaceDE w:val="0"/>
        <w:autoSpaceDN w:val="0"/>
        <w:adjustRightInd w:val="0"/>
        <w:spacing w:line="360" w:lineRule="auto"/>
        <w:contextualSpacing/>
        <w:jc w:val="center"/>
        <w:rPr>
          <w:rFonts w:eastAsia="Calibri"/>
          <w:noProof/>
          <w:lang w:val="es-CU" w:eastAsia="en-US"/>
        </w:rPr>
      </w:pPr>
      <w:r w:rsidRPr="000E4BEA">
        <w:rPr>
          <w:rFonts w:eastAsia="Calibri"/>
          <w:b/>
          <w:bCs/>
          <w:noProof/>
          <w:lang w:val="es-CU" w:eastAsia="en-US"/>
        </w:rPr>
        <w:t>Conflictos de interés</w:t>
      </w:r>
    </w:p>
    <w:p w14:paraId="11EE2F6E"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t>Los autores declaran que no existen conflictos de intereses en relacion con el trabajo.</w:t>
      </w:r>
    </w:p>
    <w:p w14:paraId="799E4056"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p>
    <w:p w14:paraId="471717FB" w14:textId="77777777" w:rsidR="000E4BEA" w:rsidRPr="000E4BEA" w:rsidRDefault="000E4BEA" w:rsidP="000E4BEA">
      <w:pPr>
        <w:widowControl w:val="0"/>
        <w:autoSpaceDE w:val="0"/>
        <w:autoSpaceDN w:val="0"/>
        <w:adjustRightInd w:val="0"/>
        <w:spacing w:line="360" w:lineRule="auto"/>
        <w:contextualSpacing/>
        <w:jc w:val="center"/>
        <w:rPr>
          <w:rFonts w:eastAsia="Calibri"/>
          <w:b/>
          <w:bCs/>
          <w:noProof/>
          <w:lang w:val="es-EC" w:eastAsia="en-US"/>
        </w:rPr>
      </w:pPr>
      <w:r w:rsidRPr="000E4BEA">
        <w:rPr>
          <w:rFonts w:eastAsia="Calibri"/>
          <w:b/>
          <w:bCs/>
          <w:noProof/>
          <w:lang w:val="es-EC" w:eastAsia="en-US"/>
        </w:rPr>
        <w:t>Contribuciones de los autores</w:t>
      </w:r>
    </w:p>
    <w:p w14:paraId="5BFFD205" w14:textId="77777777" w:rsidR="000E4BEA" w:rsidRPr="000E4BEA" w:rsidRDefault="000E4BEA" w:rsidP="000E4BEA">
      <w:pPr>
        <w:widowControl w:val="0"/>
        <w:autoSpaceDE w:val="0"/>
        <w:autoSpaceDN w:val="0"/>
        <w:adjustRightInd w:val="0"/>
        <w:spacing w:line="360" w:lineRule="auto"/>
        <w:contextualSpacing/>
        <w:jc w:val="both"/>
        <w:rPr>
          <w:rFonts w:eastAsia="Calibri"/>
          <w:i/>
          <w:iCs/>
          <w:noProof/>
          <w:lang w:val="es-EC" w:eastAsia="en-US"/>
        </w:rPr>
      </w:pPr>
      <w:r w:rsidRPr="000E4BEA">
        <w:rPr>
          <w:rFonts w:eastAsia="Calibri"/>
          <w:noProof/>
          <w:lang w:val="es-EC" w:eastAsia="en-US"/>
        </w:rPr>
        <w:t xml:space="preserve">Conceptualizacion: </w:t>
      </w:r>
      <w:r w:rsidRPr="000E4BEA">
        <w:rPr>
          <w:rFonts w:eastAsia="Calibri"/>
          <w:i/>
          <w:iCs/>
          <w:noProof/>
          <w:lang w:val="es-EC" w:eastAsia="en-US"/>
        </w:rPr>
        <w:t xml:space="preserve">German Geovanny Muñoz Gualan. </w:t>
      </w:r>
    </w:p>
    <w:p w14:paraId="002901DB" w14:textId="77777777" w:rsidR="000E4BEA" w:rsidRPr="000E4BEA" w:rsidRDefault="000E4BEA" w:rsidP="000E4BEA">
      <w:pPr>
        <w:widowControl w:val="0"/>
        <w:autoSpaceDE w:val="0"/>
        <w:autoSpaceDN w:val="0"/>
        <w:adjustRightInd w:val="0"/>
        <w:spacing w:line="360" w:lineRule="auto"/>
        <w:contextualSpacing/>
        <w:jc w:val="both"/>
        <w:rPr>
          <w:rFonts w:eastAsia="Calibri"/>
          <w:i/>
          <w:iCs/>
          <w:noProof/>
          <w:lang w:val="es-EC" w:eastAsia="en-US"/>
        </w:rPr>
      </w:pPr>
      <w:r w:rsidRPr="000E4BEA">
        <w:rPr>
          <w:rFonts w:eastAsia="Calibri"/>
          <w:noProof/>
          <w:lang w:val="es-EC" w:eastAsia="en-US"/>
        </w:rPr>
        <w:t xml:space="preserve">Curación de datos: </w:t>
      </w:r>
      <w:r w:rsidRPr="000E4BEA">
        <w:rPr>
          <w:rFonts w:eastAsia="Calibri"/>
          <w:i/>
          <w:iCs/>
          <w:noProof/>
          <w:lang w:val="es-EC" w:eastAsia="en-US"/>
        </w:rPr>
        <w:t>German Geovanny Muñoz Gualan.</w:t>
      </w:r>
    </w:p>
    <w:p w14:paraId="4038E196"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t xml:space="preserve">Análisis formal: </w:t>
      </w:r>
      <w:r w:rsidRPr="000E4BEA">
        <w:rPr>
          <w:rFonts w:eastAsia="Calibri"/>
          <w:i/>
          <w:iCs/>
          <w:noProof/>
          <w:lang w:val="es-EC" w:eastAsia="en-US"/>
        </w:rPr>
        <w:t>German Geovanny Muñoz Gualan; Alberth Patricio Muñoz Gualan.</w:t>
      </w:r>
    </w:p>
    <w:p w14:paraId="613305B8"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t xml:space="preserve">Investigación: </w:t>
      </w:r>
      <w:r w:rsidRPr="000E4BEA">
        <w:rPr>
          <w:rFonts w:eastAsia="Calibri"/>
          <w:i/>
          <w:iCs/>
          <w:noProof/>
          <w:lang w:val="es-EC" w:eastAsia="en-US"/>
        </w:rPr>
        <w:t>German Geovanny Muñoz Gualan; Alberth Patricio Muñoz Gualan.</w:t>
      </w:r>
    </w:p>
    <w:p w14:paraId="7D6F3DFB"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t xml:space="preserve">Metodología: </w:t>
      </w:r>
      <w:r w:rsidRPr="000E4BEA">
        <w:rPr>
          <w:rFonts w:eastAsia="Calibri"/>
          <w:i/>
          <w:iCs/>
          <w:noProof/>
          <w:lang w:val="es-EC" w:eastAsia="en-US"/>
        </w:rPr>
        <w:t>German Geovanny Muñoz Gualan; Alberth Patricio Muñoz Gualan.</w:t>
      </w:r>
    </w:p>
    <w:p w14:paraId="2FA9B3BB"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lastRenderedPageBreak/>
        <w:t xml:space="preserve">Administración del proyecto: </w:t>
      </w:r>
      <w:r w:rsidRPr="000E4BEA">
        <w:rPr>
          <w:rFonts w:eastAsia="Calibri"/>
          <w:i/>
          <w:iCs/>
          <w:noProof/>
          <w:lang w:val="es-EC" w:eastAsia="en-US"/>
        </w:rPr>
        <w:t>German Geovanny Muñoz Gualan; Alberth Patricio Muñoz Gualan.</w:t>
      </w:r>
    </w:p>
    <w:p w14:paraId="1C60D5FE" w14:textId="77777777" w:rsidR="000E4BEA" w:rsidRPr="000E4BEA" w:rsidRDefault="000E4BEA" w:rsidP="000E4BEA">
      <w:pPr>
        <w:widowControl w:val="0"/>
        <w:autoSpaceDE w:val="0"/>
        <w:autoSpaceDN w:val="0"/>
        <w:adjustRightInd w:val="0"/>
        <w:spacing w:line="360" w:lineRule="auto"/>
        <w:contextualSpacing/>
        <w:jc w:val="both"/>
        <w:rPr>
          <w:rFonts w:eastAsia="Calibri"/>
          <w:i/>
          <w:iCs/>
          <w:noProof/>
          <w:lang w:val="es-EC" w:eastAsia="en-US"/>
        </w:rPr>
      </w:pPr>
      <w:r w:rsidRPr="000E4BEA">
        <w:rPr>
          <w:rFonts w:eastAsia="Calibri"/>
          <w:noProof/>
          <w:lang w:val="es-EC" w:eastAsia="en-US"/>
        </w:rPr>
        <w:t xml:space="preserve">Recursos materiales: </w:t>
      </w:r>
      <w:r w:rsidRPr="000E4BEA">
        <w:rPr>
          <w:rFonts w:eastAsia="Calibri"/>
          <w:i/>
          <w:iCs/>
          <w:noProof/>
          <w:lang w:val="es-EC" w:eastAsia="en-US"/>
        </w:rPr>
        <w:t>German Geovanny Muñoz Gualan.</w:t>
      </w:r>
    </w:p>
    <w:p w14:paraId="49FE2892" w14:textId="77777777" w:rsidR="000E4BEA" w:rsidRPr="000E4BEA" w:rsidRDefault="000E4BEA" w:rsidP="000E4BEA">
      <w:pPr>
        <w:widowControl w:val="0"/>
        <w:autoSpaceDE w:val="0"/>
        <w:autoSpaceDN w:val="0"/>
        <w:adjustRightInd w:val="0"/>
        <w:spacing w:line="360" w:lineRule="auto"/>
        <w:contextualSpacing/>
        <w:jc w:val="both"/>
        <w:rPr>
          <w:rFonts w:eastAsia="Calibri"/>
          <w:i/>
          <w:iCs/>
          <w:noProof/>
          <w:lang w:val="es-EC" w:eastAsia="en-US"/>
        </w:rPr>
      </w:pPr>
      <w:r w:rsidRPr="000E4BEA">
        <w:rPr>
          <w:rFonts w:eastAsia="Calibri"/>
          <w:noProof/>
          <w:lang w:val="es-EC" w:eastAsia="en-US"/>
        </w:rPr>
        <w:t xml:space="preserve">Vizualización: </w:t>
      </w:r>
      <w:r w:rsidRPr="000E4BEA">
        <w:rPr>
          <w:rFonts w:eastAsia="Calibri"/>
          <w:i/>
          <w:iCs/>
          <w:noProof/>
          <w:lang w:val="es-EC" w:eastAsia="en-US"/>
        </w:rPr>
        <w:t>German Geovanny Muñoz Gualan; Alberth Patricio Muñoz Gualan.</w:t>
      </w:r>
    </w:p>
    <w:p w14:paraId="366744D4" w14:textId="77777777" w:rsidR="000E4BEA"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i/>
          <w:iCs/>
          <w:noProof/>
          <w:lang w:val="es-EC" w:eastAsia="en-US"/>
        </w:rPr>
        <w:t>Supervisón: German Geovanny Muñoz Gualan.</w:t>
      </w:r>
    </w:p>
    <w:p w14:paraId="32C8400C" w14:textId="77777777" w:rsidR="000E4BEA" w:rsidRPr="000E4BEA" w:rsidRDefault="000E4BEA" w:rsidP="000E4BEA">
      <w:pPr>
        <w:widowControl w:val="0"/>
        <w:autoSpaceDE w:val="0"/>
        <w:autoSpaceDN w:val="0"/>
        <w:adjustRightInd w:val="0"/>
        <w:spacing w:line="360" w:lineRule="auto"/>
        <w:contextualSpacing/>
        <w:jc w:val="both"/>
        <w:rPr>
          <w:rFonts w:eastAsia="Calibri"/>
          <w:i/>
          <w:iCs/>
          <w:noProof/>
          <w:lang w:val="es-EC" w:eastAsia="en-US"/>
        </w:rPr>
      </w:pPr>
      <w:r w:rsidRPr="000E4BEA">
        <w:rPr>
          <w:rFonts w:eastAsia="Calibri"/>
          <w:noProof/>
          <w:lang w:val="es-EC" w:eastAsia="en-US"/>
        </w:rPr>
        <w:t xml:space="preserve">Redacción – borrador original: </w:t>
      </w:r>
      <w:r w:rsidRPr="000E4BEA">
        <w:rPr>
          <w:rFonts w:eastAsia="Calibri"/>
          <w:i/>
          <w:iCs/>
          <w:noProof/>
          <w:lang w:val="es-EC" w:eastAsia="en-US"/>
        </w:rPr>
        <w:t>German Geovanny Muñoz Gualan.</w:t>
      </w:r>
    </w:p>
    <w:p w14:paraId="191E00B3" w14:textId="59178564" w:rsidR="00675476" w:rsidRPr="000E4BEA" w:rsidRDefault="000E4BEA" w:rsidP="000E4BEA">
      <w:pPr>
        <w:widowControl w:val="0"/>
        <w:autoSpaceDE w:val="0"/>
        <w:autoSpaceDN w:val="0"/>
        <w:adjustRightInd w:val="0"/>
        <w:spacing w:line="360" w:lineRule="auto"/>
        <w:contextualSpacing/>
        <w:jc w:val="both"/>
        <w:rPr>
          <w:rFonts w:eastAsia="Calibri"/>
          <w:noProof/>
          <w:lang w:val="es-EC" w:eastAsia="en-US"/>
        </w:rPr>
      </w:pPr>
      <w:r w:rsidRPr="000E4BEA">
        <w:rPr>
          <w:rFonts w:eastAsia="Calibri"/>
          <w:noProof/>
          <w:lang w:val="es-EC" w:eastAsia="en-US"/>
        </w:rPr>
        <w:t xml:space="preserve">Redacción – revisión y edición: </w:t>
      </w:r>
      <w:r w:rsidRPr="000E4BEA">
        <w:rPr>
          <w:rFonts w:eastAsia="Calibri"/>
          <w:i/>
          <w:iCs/>
          <w:noProof/>
          <w:lang w:val="es-EC" w:eastAsia="en-US"/>
        </w:rPr>
        <w:t>German Geovanny Muñoz Gualan; Alberth Patricio Muñoz Gualan.</w:t>
      </w:r>
    </w:p>
    <w:sectPr w:rsidR="00675476" w:rsidRPr="000E4BEA"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835F" w14:textId="77777777" w:rsidR="00244CFD" w:rsidRDefault="00244CFD">
      <w:r>
        <w:separator/>
      </w:r>
    </w:p>
  </w:endnote>
  <w:endnote w:type="continuationSeparator" w:id="0">
    <w:p w14:paraId="3F8EE70D" w14:textId="77777777" w:rsidR="00244CFD" w:rsidRDefault="0024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56B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16B09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70B7" w14:textId="000D5B1E" w:rsidR="000F3690" w:rsidRPr="00AE044C" w:rsidRDefault="000E4BE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1CDE336" wp14:editId="5E0850B7">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95871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4C3E8E8" w14:textId="77777777" w:rsidR="00675476" w:rsidRPr="00AE044C" w:rsidRDefault="00244CFD" w:rsidP="00391509">
    <w:pPr>
      <w:pStyle w:val="Piedepgina"/>
      <w:ind w:right="360"/>
      <w:rPr>
        <w:sz w:val="22"/>
        <w:szCs w:val="22"/>
      </w:rPr>
    </w:pPr>
    <w:hyperlink r:id="rId1" w:history="1">
      <w:r w:rsidR="00391509" w:rsidRPr="00AE044C">
        <w:rPr>
          <w:rStyle w:val="Hipervnculo"/>
          <w:sz w:val="22"/>
          <w:szCs w:val="22"/>
        </w:rPr>
        <w:t>http://scielo.sld.cu</w:t>
      </w:r>
    </w:hyperlink>
  </w:p>
  <w:p w14:paraId="7ACAF09B" w14:textId="77777777" w:rsidR="00391509" w:rsidRPr="00AE044C" w:rsidRDefault="00244CF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67D72D4" w14:textId="6AA1421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0E4BEA" w:rsidRPr="000E4BEA">
      <w:rPr>
        <w:rFonts w:ascii="Verdana" w:hAnsi="Verdana"/>
        <w:noProof/>
        <w:sz w:val="18"/>
        <w:szCs w:val="18"/>
        <w:lang w:val="en-US" w:eastAsia="en-US"/>
      </w:rPr>
      <w:drawing>
        <wp:inline distT="0" distB="0" distL="0" distR="0" wp14:anchorId="12925B92" wp14:editId="4CE0E44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FC85" w14:textId="77777777" w:rsidR="00244CFD" w:rsidRDefault="00244CFD">
      <w:r>
        <w:separator/>
      </w:r>
    </w:p>
  </w:footnote>
  <w:footnote w:type="continuationSeparator" w:id="0">
    <w:p w14:paraId="77FCE986" w14:textId="77777777" w:rsidR="00244CFD" w:rsidRDefault="0024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6DB1" w14:textId="13B6B8DF" w:rsidR="00CC376A" w:rsidRPr="00AE044C" w:rsidRDefault="000E4BE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6490B1CB" wp14:editId="4C9BE54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e02201953</w:t>
    </w:r>
  </w:p>
  <w:p w14:paraId="7B59E43B" w14:textId="32751908" w:rsidR="00A477DE" w:rsidRDefault="000E4BEA">
    <w:r>
      <w:rPr>
        <w:noProof/>
      </w:rPr>
      <mc:AlternateContent>
        <mc:Choice Requires="wps">
          <w:drawing>
            <wp:anchor distT="0" distB="0" distL="114300" distR="114300" simplePos="0" relativeHeight="251654144" behindDoc="0" locked="0" layoutInCell="1" allowOverlap="1" wp14:anchorId="1E01B01C" wp14:editId="5673C5B8">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E3FBE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66B20B0B"/>
    <w:multiLevelType w:val="hybridMultilevel"/>
    <w:tmpl w:val="075A4EC0"/>
    <w:lvl w:ilvl="0" w:tplc="2F588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F08F1"/>
    <w:multiLevelType w:val="hybridMultilevel"/>
    <w:tmpl w:val="1CA40CF8"/>
    <w:lvl w:ilvl="0" w:tplc="3F2CD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EA"/>
    <w:rsid w:val="00057F45"/>
    <w:rsid w:val="000D3958"/>
    <w:rsid w:val="000E4BEA"/>
    <w:rsid w:val="000F3690"/>
    <w:rsid w:val="001221D1"/>
    <w:rsid w:val="00165CB5"/>
    <w:rsid w:val="00180CE9"/>
    <w:rsid w:val="00230DD5"/>
    <w:rsid w:val="00244CFD"/>
    <w:rsid w:val="00250AE9"/>
    <w:rsid w:val="00380D64"/>
    <w:rsid w:val="00391509"/>
    <w:rsid w:val="003D098B"/>
    <w:rsid w:val="003E03D5"/>
    <w:rsid w:val="003F4EDC"/>
    <w:rsid w:val="00477B51"/>
    <w:rsid w:val="00486BFA"/>
    <w:rsid w:val="00493701"/>
    <w:rsid w:val="004E2065"/>
    <w:rsid w:val="005221FD"/>
    <w:rsid w:val="005508A2"/>
    <w:rsid w:val="0055115D"/>
    <w:rsid w:val="00566F71"/>
    <w:rsid w:val="005918BD"/>
    <w:rsid w:val="006173A6"/>
    <w:rsid w:val="00675476"/>
    <w:rsid w:val="006F2637"/>
    <w:rsid w:val="007C430F"/>
    <w:rsid w:val="007D2D0C"/>
    <w:rsid w:val="007D614D"/>
    <w:rsid w:val="007F4441"/>
    <w:rsid w:val="00960D6A"/>
    <w:rsid w:val="009A0560"/>
    <w:rsid w:val="009B0917"/>
    <w:rsid w:val="009F0F96"/>
    <w:rsid w:val="00A23C0C"/>
    <w:rsid w:val="00A477DE"/>
    <w:rsid w:val="00A71E65"/>
    <w:rsid w:val="00AE044C"/>
    <w:rsid w:val="00B31971"/>
    <w:rsid w:val="00B4380A"/>
    <w:rsid w:val="00B523B0"/>
    <w:rsid w:val="00B66ECB"/>
    <w:rsid w:val="00C7523A"/>
    <w:rsid w:val="00CC1B6E"/>
    <w:rsid w:val="00CC376A"/>
    <w:rsid w:val="00CC48A1"/>
    <w:rsid w:val="00CF50E0"/>
    <w:rsid w:val="00D824EF"/>
    <w:rsid w:val="00D85951"/>
    <w:rsid w:val="00D85B6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2CC8C"/>
  <w15:docId w15:val="{A64F0FB8-5507-4E73-AC55-05C0E83E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0E4BEA"/>
  </w:style>
  <w:style w:type="character" w:styleId="Refdecomentario">
    <w:name w:val="annotation reference"/>
    <w:uiPriority w:val="99"/>
    <w:semiHidden/>
    <w:unhideWhenUsed/>
    <w:rsid w:val="000E4BEA"/>
    <w:rPr>
      <w:sz w:val="16"/>
      <w:szCs w:val="16"/>
    </w:rPr>
  </w:style>
  <w:style w:type="paragraph" w:styleId="Textocomentario">
    <w:name w:val="annotation text"/>
    <w:basedOn w:val="Normal"/>
    <w:link w:val="TextocomentarioCar"/>
    <w:uiPriority w:val="99"/>
    <w:unhideWhenUsed/>
    <w:rsid w:val="000E4BEA"/>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0E4BEA"/>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0E4BEA"/>
    <w:rPr>
      <w:b/>
      <w:bCs/>
    </w:rPr>
  </w:style>
  <w:style w:type="character" w:customStyle="1" w:styleId="AsuntodelcomentarioCar">
    <w:name w:val="Asunto del comentario Car"/>
    <w:basedOn w:val="TextocomentarioCar"/>
    <w:link w:val="Asuntodelcomentario"/>
    <w:uiPriority w:val="99"/>
    <w:semiHidden/>
    <w:rsid w:val="000E4BEA"/>
    <w:rPr>
      <w:rFonts w:ascii="Calibri" w:eastAsia="Calibri" w:hAnsi="Calibri"/>
      <w:b/>
      <w:bCs/>
      <w:lang w:val="es-ES" w:eastAsia="en-US"/>
    </w:rPr>
  </w:style>
  <w:style w:type="character" w:styleId="Mencinsinresolver">
    <w:name w:val="Unresolved Mention"/>
    <w:uiPriority w:val="99"/>
    <w:semiHidden/>
    <w:unhideWhenUsed/>
    <w:rsid w:val="000E4BEA"/>
    <w:rPr>
      <w:color w:val="605E5C"/>
      <w:shd w:val="clear" w:color="auto" w:fill="E1DFDD"/>
    </w:rPr>
  </w:style>
  <w:style w:type="table" w:customStyle="1" w:styleId="Tablaconcuadrcula1">
    <w:name w:val="Tabla con cuadrícula1"/>
    <w:basedOn w:val="Tablanormal"/>
    <w:next w:val="Tablaconcuadrcula"/>
    <w:uiPriority w:val="39"/>
    <w:rsid w:val="000E4BE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0E4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0E4BEA"/>
    <w:rPr>
      <w:rFonts w:ascii="Courier New" w:hAnsi="Courier New" w:cs="Courier New"/>
      <w:lang w:val="es-ES" w:eastAsia="es-ES"/>
    </w:rPr>
  </w:style>
  <w:style w:type="character" w:customStyle="1" w:styleId="y2iqfc">
    <w:name w:val="y2iqfc"/>
    <w:rsid w:val="000E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22-6326" TargetMode="External"/><Relationship Id="rId13" Type="http://schemas.openxmlformats.org/officeDocument/2006/relationships/hyperlink" Target="https://apps.who.int/iris/rest/bitstreams/1267930/retrie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2217-1412"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rgeomunoz1988@gmail.com" TargetMode="External"/><Relationship Id="rId14" Type="http://schemas.openxmlformats.org/officeDocument/2006/relationships/hyperlink" Target="https://academic.oup.com/milmed/article/183/11-12/e391/499462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47</TotalTime>
  <Pages>16</Pages>
  <Words>4135</Words>
  <Characters>22743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26825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2022-05-19T18:21:00Z</cp:lastPrinted>
  <dcterms:created xsi:type="dcterms:W3CDTF">2022-05-19T18:16:00Z</dcterms:created>
  <dcterms:modified xsi:type="dcterms:W3CDTF">2022-05-19T19:04:00Z</dcterms:modified>
</cp:coreProperties>
</file>