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F2AC" w14:textId="77777777" w:rsidR="00CB7C69" w:rsidRPr="00CB7C69" w:rsidRDefault="00CB7C69" w:rsidP="00CB7C69">
      <w:pPr>
        <w:suppressAutoHyphens/>
        <w:spacing w:line="360" w:lineRule="auto"/>
        <w:jc w:val="right"/>
        <w:rPr>
          <w:rFonts w:eastAsia="Calibri"/>
          <w:sz w:val="20"/>
          <w:szCs w:val="20"/>
          <w:lang w:val="es-PE" w:eastAsia="es-PE"/>
        </w:rPr>
      </w:pPr>
      <w:r w:rsidRPr="00CB7C69">
        <w:rPr>
          <w:sz w:val="20"/>
          <w:szCs w:val="20"/>
          <w:lang w:val="es-PE" w:eastAsia="es-PE"/>
        </w:rPr>
        <w:t>Artículo de investigación</w:t>
      </w:r>
    </w:p>
    <w:p w14:paraId="0F0C6743" w14:textId="77777777" w:rsidR="00CB7C69" w:rsidRPr="00CB7C69" w:rsidRDefault="00CB7C69" w:rsidP="00CB7C69">
      <w:pPr>
        <w:suppressAutoHyphens/>
        <w:spacing w:line="360" w:lineRule="auto"/>
        <w:jc w:val="right"/>
        <w:rPr>
          <w:lang w:val="es-PE" w:eastAsia="es-PE"/>
        </w:rPr>
      </w:pPr>
    </w:p>
    <w:p w14:paraId="69E22059" w14:textId="77777777" w:rsidR="00CB7C69" w:rsidRPr="00CB7C69" w:rsidRDefault="00CB7C69" w:rsidP="00CB7C69">
      <w:pPr>
        <w:suppressAutoHyphens/>
        <w:spacing w:line="360" w:lineRule="auto"/>
        <w:jc w:val="center"/>
        <w:rPr>
          <w:rFonts w:eastAsia="Calibri"/>
          <w:sz w:val="28"/>
          <w:szCs w:val="28"/>
          <w:lang w:val="es-PE" w:eastAsia="es-PE"/>
        </w:rPr>
      </w:pPr>
      <w:r w:rsidRPr="00CB7C69">
        <w:rPr>
          <w:b/>
          <w:sz w:val="28"/>
          <w:szCs w:val="28"/>
          <w:lang w:val="es-PE" w:eastAsia="es-PE"/>
        </w:rPr>
        <w:t xml:space="preserve">Factores asociados al bloqueo de rama derecha en adultos mayores </w:t>
      </w:r>
    </w:p>
    <w:p w14:paraId="22FFDA37" w14:textId="77777777" w:rsidR="00CB7C69" w:rsidRPr="00CB7C69" w:rsidRDefault="00CB7C69" w:rsidP="00CB7C69">
      <w:pPr>
        <w:suppressAutoHyphens/>
        <w:spacing w:line="360" w:lineRule="auto"/>
        <w:jc w:val="center"/>
        <w:rPr>
          <w:rFonts w:eastAsia="Calibri"/>
          <w:sz w:val="28"/>
          <w:szCs w:val="28"/>
          <w:lang w:val="en-US" w:eastAsia="es-PE"/>
        </w:rPr>
      </w:pPr>
      <w:r w:rsidRPr="00CB7C69">
        <w:rPr>
          <w:rFonts w:eastAsia="Calibri"/>
          <w:sz w:val="28"/>
          <w:szCs w:val="28"/>
          <w:lang w:val="en-US" w:eastAsia="es-PE"/>
        </w:rPr>
        <w:t xml:space="preserve">Factors associated with right bundle branch block in older adults </w:t>
      </w:r>
    </w:p>
    <w:p w14:paraId="4C632853" w14:textId="77777777" w:rsidR="00CB7C69" w:rsidRPr="00CB7C69" w:rsidRDefault="00CB7C69" w:rsidP="00CB7C69">
      <w:pPr>
        <w:suppressAutoHyphens/>
        <w:spacing w:line="360" w:lineRule="auto"/>
        <w:jc w:val="center"/>
        <w:rPr>
          <w:rFonts w:eastAsia="Calibri"/>
          <w:lang w:val="en-US" w:eastAsia="es-PE"/>
        </w:rPr>
      </w:pPr>
    </w:p>
    <w:p w14:paraId="130EE8C6" w14:textId="77777777" w:rsidR="00CB7C69" w:rsidRPr="00CB7C69" w:rsidRDefault="00CB7C69" w:rsidP="00CB7C69">
      <w:pPr>
        <w:suppressAutoHyphens/>
        <w:spacing w:line="360" w:lineRule="auto"/>
        <w:rPr>
          <w:rFonts w:eastAsia="Calibri"/>
          <w:sz w:val="22"/>
          <w:szCs w:val="22"/>
          <w:lang w:val="es-PE" w:eastAsia="es-PE"/>
        </w:rPr>
      </w:pPr>
      <w:r w:rsidRPr="00CB7C69">
        <w:rPr>
          <w:lang w:val="es-PE" w:eastAsia="es-PE"/>
        </w:rPr>
        <w:t>María José Rentería-Cabrejos</w:t>
      </w:r>
      <w:r w:rsidRPr="00CB7C69">
        <w:rPr>
          <w:vertAlign w:val="superscript"/>
          <w:lang w:val="es-PE" w:eastAsia="es-PE"/>
        </w:rPr>
        <w:t xml:space="preserve">1 </w:t>
      </w:r>
      <w:hyperlink r:id="rId7">
        <w:r w:rsidRPr="00CB7C69">
          <w:rPr>
            <w:color w:val="0563C1"/>
            <w:u w:val="single"/>
            <w:lang w:val="es-PE" w:eastAsia="es-PE"/>
          </w:rPr>
          <w:t>https://orcid.org/0000-0003-4299-1722</w:t>
        </w:r>
      </w:hyperlink>
      <w:r w:rsidRPr="00CB7C69">
        <w:rPr>
          <w:lang w:val="es-PE" w:eastAsia="es-PE"/>
        </w:rPr>
        <w:t xml:space="preserve"> </w:t>
      </w:r>
    </w:p>
    <w:p w14:paraId="3E04A7A1" w14:textId="77777777" w:rsidR="00CB7C69" w:rsidRPr="00CB7C69" w:rsidRDefault="00CB7C69" w:rsidP="00CB7C69">
      <w:pPr>
        <w:suppressAutoHyphens/>
        <w:spacing w:line="360" w:lineRule="auto"/>
        <w:rPr>
          <w:rFonts w:eastAsia="Calibri"/>
          <w:sz w:val="22"/>
          <w:szCs w:val="22"/>
          <w:lang w:val="es-PE" w:eastAsia="es-PE"/>
        </w:rPr>
      </w:pPr>
      <w:r w:rsidRPr="00CB7C69">
        <w:rPr>
          <w:lang w:val="es-PE" w:eastAsia="es-PE"/>
        </w:rPr>
        <w:t>Cinthia Karina Picón-Reátegui</w:t>
      </w:r>
      <w:r w:rsidRPr="00CB7C69">
        <w:rPr>
          <w:vertAlign w:val="superscript"/>
          <w:lang w:val="es-PE" w:eastAsia="es-PE"/>
        </w:rPr>
        <w:t xml:space="preserve">1 </w:t>
      </w:r>
      <w:hyperlink r:id="rId8">
        <w:r w:rsidRPr="00CB7C69">
          <w:rPr>
            <w:color w:val="0563C1"/>
            <w:u w:val="single"/>
            <w:lang w:val="es-PE" w:eastAsia="es-PE"/>
          </w:rPr>
          <w:t>https://orcid.org/0000-0003-0913-5588</w:t>
        </w:r>
      </w:hyperlink>
      <w:r w:rsidRPr="00CB7C69">
        <w:rPr>
          <w:lang w:val="es-PE" w:eastAsia="es-PE"/>
        </w:rPr>
        <w:t xml:space="preserve"> </w:t>
      </w:r>
    </w:p>
    <w:p w14:paraId="539FB210" w14:textId="77777777" w:rsidR="00CB7C69" w:rsidRPr="00CB7C69" w:rsidRDefault="00CB7C69" w:rsidP="00CB7C69">
      <w:pPr>
        <w:suppressAutoHyphens/>
        <w:spacing w:line="360" w:lineRule="auto"/>
        <w:rPr>
          <w:rFonts w:eastAsia="Calibri"/>
          <w:sz w:val="22"/>
          <w:szCs w:val="22"/>
          <w:lang w:val="es-PE" w:eastAsia="es-PE"/>
        </w:rPr>
      </w:pPr>
      <w:r w:rsidRPr="00CB7C69">
        <w:rPr>
          <w:lang w:val="es-PE" w:eastAsia="es-PE"/>
        </w:rPr>
        <w:t>Annel B. Rojas-Alvarado</w:t>
      </w:r>
      <w:r w:rsidRPr="00CB7C69">
        <w:rPr>
          <w:vertAlign w:val="superscript"/>
          <w:lang w:val="es-PE" w:eastAsia="es-PE"/>
        </w:rPr>
        <w:t xml:space="preserve">2 </w:t>
      </w:r>
      <w:hyperlink r:id="rId9">
        <w:r w:rsidRPr="00CB7C69">
          <w:rPr>
            <w:color w:val="0563C1"/>
            <w:u w:val="single"/>
            <w:lang w:val="es-PE" w:eastAsia="es-PE"/>
          </w:rPr>
          <w:t>https://orcid.org/0000-0001-7105-2180</w:t>
        </w:r>
      </w:hyperlink>
      <w:r w:rsidRPr="00CB7C69">
        <w:rPr>
          <w:lang w:val="es-PE" w:eastAsia="es-PE"/>
        </w:rPr>
        <w:t xml:space="preserve"> </w:t>
      </w:r>
    </w:p>
    <w:p w14:paraId="307F0334" w14:textId="77777777" w:rsidR="00CB7C69" w:rsidRPr="00CB7C69" w:rsidRDefault="00CB7C69" w:rsidP="00CB7C69">
      <w:pPr>
        <w:suppressAutoHyphens/>
        <w:spacing w:line="360" w:lineRule="auto"/>
        <w:rPr>
          <w:rFonts w:eastAsia="Calibri"/>
          <w:sz w:val="22"/>
          <w:szCs w:val="22"/>
          <w:lang w:val="es-PE" w:eastAsia="es-PE"/>
        </w:rPr>
      </w:pPr>
      <w:r w:rsidRPr="00CB7C69">
        <w:rPr>
          <w:lang w:val="es-PE" w:eastAsia="es-PE"/>
        </w:rPr>
        <w:t>Sandy P Bulnes-Alvarez</w:t>
      </w:r>
      <w:r w:rsidRPr="00CB7C69">
        <w:rPr>
          <w:vertAlign w:val="superscript"/>
          <w:lang w:val="es-PE" w:eastAsia="es-PE"/>
        </w:rPr>
        <w:t xml:space="preserve">3 </w:t>
      </w:r>
      <w:hyperlink r:id="rId10">
        <w:r w:rsidRPr="00CB7C69">
          <w:rPr>
            <w:color w:val="0563C1"/>
            <w:u w:val="single"/>
            <w:lang w:val="es-PE" w:eastAsia="es-PE"/>
          </w:rPr>
          <w:t>https://orcid.org/0000-0002-2287-1267</w:t>
        </w:r>
      </w:hyperlink>
      <w:r w:rsidRPr="00CB7C69">
        <w:rPr>
          <w:lang w:val="es-PE" w:eastAsia="es-PE"/>
        </w:rPr>
        <w:t xml:space="preserve"> </w:t>
      </w:r>
    </w:p>
    <w:p w14:paraId="13AAB13E" w14:textId="77777777" w:rsidR="00CB7C69" w:rsidRPr="00CB7C69" w:rsidRDefault="00CB7C69" w:rsidP="00CB7C69">
      <w:pPr>
        <w:suppressAutoHyphens/>
        <w:spacing w:line="360" w:lineRule="auto"/>
        <w:rPr>
          <w:rFonts w:eastAsia="Calibri"/>
          <w:sz w:val="22"/>
          <w:szCs w:val="22"/>
          <w:lang w:val="es-PE" w:eastAsia="es-PE"/>
        </w:rPr>
      </w:pPr>
      <w:r w:rsidRPr="00CB7C69">
        <w:rPr>
          <w:lang w:val="es-PE" w:eastAsia="es-PE"/>
        </w:rPr>
        <w:t>César Johan Pereira-Victorio</w:t>
      </w:r>
      <w:r w:rsidRPr="00CB7C69">
        <w:rPr>
          <w:vertAlign w:val="superscript"/>
          <w:lang w:val="es-PE" w:eastAsia="es-PE"/>
        </w:rPr>
        <w:t xml:space="preserve">4 </w:t>
      </w:r>
      <w:hyperlink r:id="rId11">
        <w:r w:rsidRPr="00CB7C69">
          <w:rPr>
            <w:color w:val="0563C1"/>
            <w:u w:val="single"/>
            <w:lang w:val="es-PE" w:eastAsia="es-PE"/>
          </w:rPr>
          <w:t>https://orcid.org/0000-0003-1700-2638</w:t>
        </w:r>
      </w:hyperlink>
      <w:r w:rsidRPr="00CB7C69">
        <w:rPr>
          <w:lang w:val="es-PE" w:eastAsia="es-PE"/>
        </w:rPr>
        <w:t xml:space="preserve"> </w:t>
      </w:r>
    </w:p>
    <w:p w14:paraId="165E58B7" w14:textId="77777777" w:rsidR="00CB7C69" w:rsidRPr="00CB7C69" w:rsidRDefault="00CB7C69" w:rsidP="00CB7C69">
      <w:pPr>
        <w:suppressAutoHyphens/>
        <w:spacing w:line="360" w:lineRule="auto"/>
        <w:rPr>
          <w:rFonts w:eastAsia="Calibri"/>
          <w:sz w:val="22"/>
          <w:szCs w:val="22"/>
          <w:lang w:val="es-PE" w:eastAsia="es-PE"/>
        </w:rPr>
      </w:pPr>
      <w:r w:rsidRPr="00CB7C69">
        <w:rPr>
          <w:lang w:val="es-PE" w:eastAsia="es-PE"/>
        </w:rPr>
        <w:t>Mario J. Valladares-Garrido</w:t>
      </w:r>
      <w:r w:rsidRPr="00CB7C69">
        <w:rPr>
          <w:vertAlign w:val="superscript"/>
          <w:lang w:val="es-PE" w:eastAsia="es-PE"/>
        </w:rPr>
        <w:t>5,6 *</w:t>
      </w:r>
      <w:hyperlink r:id="rId12">
        <w:r w:rsidRPr="00CB7C69">
          <w:rPr>
            <w:rFonts w:eastAsia="MS Gothic"/>
            <w:bCs/>
            <w:color w:val="0563C1"/>
            <w:u w:val="single"/>
            <w:lang w:val="es-CO" w:eastAsia="ar-SA"/>
          </w:rPr>
          <w:t>https://orcid.org/0000-0003-0839-2419</w:t>
        </w:r>
      </w:hyperlink>
      <w:r w:rsidRPr="00CB7C69">
        <w:rPr>
          <w:rFonts w:eastAsia="MS Gothic"/>
          <w:bCs/>
          <w:color w:val="0563C1"/>
          <w:u w:val="single"/>
          <w:lang w:val="es-CO" w:eastAsia="ar-SA"/>
        </w:rPr>
        <w:t xml:space="preserve"> </w:t>
      </w:r>
    </w:p>
    <w:p w14:paraId="3C7E1901" w14:textId="77777777" w:rsidR="00CB7C69" w:rsidRPr="00CB7C69" w:rsidRDefault="00CB7C69" w:rsidP="00CB7C69">
      <w:pPr>
        <w:suppressAutoHyphens/>
        <w:spacing w:line="360" w:lineRule="auto"/>
        <w:rPr>
          <w:vertAlign w:val="superscript"/>
          <w:lang w:val="es-PE" w:eastAsia="es-PE"/>
        </w:rPr>
      </w:pPr>
    </w:p>
    <w:p w14:paraId="4C9221DD" w14:textId="77777777" w:rsidR="00CB7C69" w:rsidRPr="00CB7C69" w:rsidRDefault="00CB7C69" w:rsidP="00CB7C69">
      <w:pPr>
        <w:suppressAutoHyphens/>
        <w:spacing w:line="360" w:lineRule="auto"/>
        <w:rPr>
          <w:rFonts w:eastAsia="Calibri"/>
          <w:sz w:val="22"/>
          <w:szCs w:val="22"/>
          <w:lang w:val="es-PE" w:eastAsia="es-PE"/>
        </w:rPr>
      </w:pPr>
      <w:r w:rsidRPr="00CB7C69">
        <w:rPr>
          <w:vertAlign w:val="superscript"/>
          <w:lang w:val="es-PE" w:eastAsia="es-PE"/>
        </w:rPr>
        <w:t>1</w:t>
      </w:r>
      <w:r w:rsidRPr="00CB7C69">
        <w:rPr>
          <w:lang w:val="es-PE" w:eastAsia="es-PE"/>
        </w:rPr>
        <w:t xml:space="preserve">Universidad de San Martín de Porres. Facultad de Medicina Humana. Chiclayo, Perú. </w:t>
      </w:r>
    </w:p>
    <w:p w14:paraId="1D2A07B5" w14:textId="77777777" w:rsidR="00CB7C69" w:rsidRPr="00CB7C69" w:rsidRDefault="00CB7C69" w:rsidP="00CB7C69">
      <w:pPr>
        <w:suppressAutoHyphens/>
        <w:spacing w:line="360" w:lineRule="auto"/>
        <w:rPr>
          <w:rFonts w:eastAsia="Calibri"/>
          <w:sz w:val="22"/>
          <w:szCs w:val="22"/>
          <w:lang w:val="es-PE" w:eastAsia="es-PE"/>
        </w:rPr>
      </w:pPr>
      <w:r w:rsidRPr="00CB7C69">
        <w:rPr>
          <w:vertAlign w:val="superscript"/>
          <w:lang w:val="es-PE" w:eastAsia="es-PE"/>
        </w:rPr>
        <w:t>2</w:t>
      </w:r>
      <w:r w:rsidRPr="00CB7C69">
        <w:rPr>
          <w:lang w:val="es-PE" w:eastAsia="es-PE"/>
        </w:rPr>
        <w:t>Escuela de Medicina. Universidad Privada Antenor Orrego. Piura, Perú.</w:t>
      </w:r>
    </w:p>
    <w:p w14:paraId="70767E39" w14:textId="77777777" w:rsidR="00CB7C69" w:rsidRPr="00CB7C69" w:rsidRDefault="00CB7C69" w:rsidP="00CB7C69">
      <w:pPr>
        <w:suppressAutoHyphens/>
        <w:spacing w:line="360" w:lineRule="auto"/>
        <w:rPr>
          <w:rFonts w:eastAsia="Calibri"/>
          <w:sz w:val="22"/>
          <w:szCs w:val="22"/>
          <w:lang w:val="es-PE" w:eastAsia="es-PE"/>
        </w:rPr>
      </w:pPr>
      <w:r w:rsidRPr="00CB7C69">
        <w:rPr>
          <w:vertAlign w:val="superscript"/>
          <w:lang w:val="es-PE" w:eastAsia="es-PE"/>
        </w:rPr>
        <w:t>3</w:t>
      </w:r>
      <w:r w:rsidRPr="00CB7C69">
        <w:rPr>
          <w:lang w:val="es-PE" w:eastAsia="es-PE"/>
        </w:rPr>
        <w:t>Escuela de Medicina. Universidad César Vallejo. Piura, Perú.</w:t>
      </w:r>
    </w:p>
    <w:p w14:paraId="0CD537E3" w14:textId="77777777" w:rsidR="00CB7C69" w:rsidRPr="00CB7C69" w:rsidRDefault="00CB7C69" w:rsidP="00CB7C69">
      <w:pPr>
        <w:suppressAutoHyphens/>
        <w:spacing w:line="360" w:lineRule="auto"/>
        <w:rPr>
          <w:rFonts w:eastAsia="Calibri"/>
          <w:sz w:val="22"/>
          <w:szCs w:val="22"/>
          <w:lang w:val="es-PE" w:eastAsia="es-PE"/>
        </w:rPr>
      </w:pPr>
      <w:r w:rsidRPr="00CB7C69">
        <w:rPr>
          <w:vertAlign w:val="superscript"/>
          <w:lang w:val="es-PE" w:eastAsia="es-PE"/>
        </w:rPr>
        <w:t>4</w:t>
      </w:r>
      <w:r w:rsidRPr="00CB7C69">
        <w:rPr>
          <w:rFonts w:eastAsia="Calibri"/>
          <w:color w:val="000000"/>
          <w:shd w:val="clear" w:color="auto" w:fill="FFFFFF"/>
          <w:lang w:val="es-PE" w:eastAsia="es-PE"/>
        </w:rPr>
        <w:t>Universidad Continental. Lima, Perú.</w:t>
      </w:r>
    </w:p>
    <w:p w14:paraId="6ACDB795" w14:textId="77777777" w:rsidR="00CB7C69" w:rsidRPr="00CB7C69" w:rsidRDefault="00CB7C69" w:rsidP="00CB7C69">
      <w:pPr>
        <w:suppressAutoHyphens/>
        <w:spacing w:line="360" w:lineRule="auto"/>
        <w:rPr>
          <w:lang w:val="es-PE" w:eastAsia="es-PE"/>
        </w:rPr>
      </w:pPr>
      <w:r w:rsidRPr="00CB7C69">
        <w:rPr>
          <w:vertAlign w:val="superscript"/>
          <w:lang w:val="es-PE" w:eastAsia="es-PE"/>
        </w:rPr>
        <w:t>5</w:t>
      </w:r>
      <w:r w:rsidRPr="00CB7C69">
        <w:rPr>
          <w:lang w:val="es-PE" w:eastAsia="es-PE"/>
        </w:rPr>
        <w:t>Vicerrectorado de Investigación. Universidad Norbert Wiener. Lima, Perú.</w:t>
      </w:r>
    </w:p>
    <w:p w14:paraId="7108D134" w14:textId="77777777" w:rsidR="00CB7C69" w:rsidRPr="00CB7C69" w:rsidRDefault="00CB7C69" w:rsidP="00CB7C69">
      <w:pPr>
        <w:suppressAutoHyphens/>
        <w:spacing w:line="360" w:lineRule="auto"/>
        <w:rPr>
          <w:rFonts w:eastAsia="Calibri"/>
          <w:sz w:val="22"/>
          <w:szCs w:val="22"/>
          <w:lang w:val="es-PE" w:eastAsia="es-PE"/>
        </w:rPr>
      </w:pPr>
      <w:r w:rsidRPr="00CB7C69">
        <w:rPr>
          <w:vertAlign w:val="superscript"/>
          <w:lang w:val="es-PE" w:eastAsia="es-PE"/>
        </w:rPr>
        <w:t>6</w:t>
      </w:r>
      <w:r w:rsidRPr="00CB7C69">
        <w:rPr>
          <w:rFonts w:ascii="Calibri" w:eastAsia="Calibri" w:hAnsi="Calibri" w:cs="Calibri"/>
          <w:sz w:val="22"/>
          <w:szCs w:val="22"/>
          <w:lang w:val="es-PE" w:eastAsia="es-PE"/>
        </w:rPr>
        <w:t xml:space="preserve"> </w:t>
      </w:r>
      <w:proofErr w:type="gramStart"/>
      <w:r w:rsidRPr="00CB7C69">
        <w:rPr>
          <w:lang w:val="es-PE" w:eastAsia="es-PE"/>
        </w:rPr>
        <w:t>Instituto</w:t>
      </w:r>
      <w:proofErr w:type="gramEnd"/>
      <w:r w:rsidRPr="00CB7C69">
        <w:rPr>
          <w:lang w:val="es-PE" w:eastAsia="es-PE"/>
        </w:rPr>
        <w:t xml:space="preserve"> de Evaluación de Tecnologías en Salud e Investigación-IETSI. EsSalud. Lima, Perú.</w:t>
      </w:r>
    </w:p>
    <w:p w14:paraId="7A4E9E50" w14:textId="77777777" w:rsidR="00CB7C69" w:rsidRPr="00CB7C69" w:rsidRDefault="00CB7C69" w:rsidP="00CB7C69">
      <w:pPr>
        <w:suppressAutoHyphens/>
        <w:spacing w:line="360" w:lineRule="auto"/>
        <w:rPr>
          <w:rFonts w:eastAsia="Calibri"/>
          <w:b/>
          <w:lang w:val="es-PE" w:eastAsia="es-PE"/>
        </w:rPr>
      </w:pPr>
    </w:p>
    <w:p w14:paraId="351C6EF4" w14:textId="77777777" w:rsidR="00CB7C69" w:rsidRPr="00CB7C69" w:rsidRDefault="00CB7C69" w:rsidP="00CB7C69">
      <w:pPr>
        <w:suppressAutoHyphens/>
        <w:spacing w:line="360" w:lineRule="auto"/>
        <w:rPr>
          <w:rFonts w:eastAsia="Calibri"/>
          <w:bCs/>
          <w:lang w:val="es-ES" w:eastAsia="es-PE"/>
        </w:rPr>
      </w:pPr>
      <w:r w:rsidRPr="00CB7C69">
        <w:rPr>
          <w:rFonts w:eastAsia="Calibri"/>
          <w:bCs/>
          <w:lang w:val="es-PE" w:eastAsia="es-PE"/>
        </w:rPr>
        <w:t xml:space="preserve">*Autor para la correspondencia. Correo electrónico: </w:t>
      </w:r>
      <w:hyperlink r:id="rId13" w:history="1">
        <w:r w:rsidRPr="00CB7C69">
          <w:rPr>
            <w:rFonts w:eastAsia="Calibri"/>
            <w:bCs/>
            <w:color w:val="0563C1"/>
            <w:u w:val="single"/>
            <w:lang w:val="es-ES" w:eastAsia="es-PE"/>
          </w:rPr>
          <w:t>mario.valladares@uwiener.edu.pe</w:t>
        </w:r>
      </w:hyperlink>
      <w:r w:rsidRPr="00CB7C69">
        <w:rPr>
          <w:rFonts w:eastAsia="Calibri"/>
          <w:bCs/>
          <w:lang w:val="es-ES" w:eastAsia="es-PE"/>
        </w:rPr>
        <w:t xml:space="preserve"> </w:t>
      </w:r>
    </w:p>
    <w:p w14:paraId="1ED96547" w14:textId="77777777" w:rsidR="00CB7C69" w:rsidRPr="00CB7C69" w:rsidRDefault="00CB7C69" w:rsidP="00CB7C69">
      <w:pPr>
        <w:suppressAutoHyphens/>
        <w:spacing w:line="360" w:lineRule="auto"/>
        <w:rPr>
          <w:rFonts w:eastAsia="Calibri"/>
          <w:sz w:val="22"/>
          <w:szCs w:val="22"/>
          <w:lang w:val="es-ES" w:eastAsia="es-PE"/>
        </w:rPr>
      </w:pPr>
    </w:p>
    <w:p w14:paraId="150F1815" w14:textId="13179D1D"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b/>
          <w:lang w:val="es-PE" w:eastAsia="es-PE"/>
        </w:rPr>
        <w:t>RESUMEN</w:t>
      </w:r>
    </w:p>
    <w:p w14:paraId="7F1B9572" w14:textId="77777777" w:rsidR="00CB7C69" w:rsidRPr="00CB7C69" w:rsidRDefault="00CB7C69" w:rsidP="00CB7C69">
      <w:pPr>
        <w:suppressAutoHyphens/>
        <w:spacing w:line="360" w:lineRule="auto"/>
        <w:jc w:val="both"/>
        <w:rPr>
          <w:rFonts w:eastAsia="Calibri"/>
          <w:sz w:val="22"/>
          <w:szCs w:val="22"/>
          <w:lang w:val="es-PE" w:eastAsia="es-PE"/>
        </w:rPr>
      </w:pPr>
      <w:r w:rsidRPr="00CB7C69">
        <w:rPr>
          <w:b/>
          <w:lang w:val="es-PE" w:eastAsia="es-PE"/>
        </w:rPr>
        <w:t xml:space="preserve">Introducción: </w:t>
      </w:r>
      <w:r w:rsidRPr="00CB7C69">
        <w:rPr>
          <w:rFonts w:eastAsia="Calibri"/>
          <w:lang w:val="es-PE" w:eastAsia="es-PE"/>
        </w:rPr>
        <w:t xml:space="preserve">Existe poca literatura sobre la asociación entre el </w:t>
      </w:r>
      <w:r w:rsidRPr="00CB7C69">
        <w:rPr>
          <w:lang w:val="es-PE" w:eastAsia="es-PE"/>
        </w:rPr>
        <w:t xml:space="preserve">bloqueo de rama derecha </w:t>
      </w:r>
      <w:r w:rsidRPr="00CB7C69">
        <w:rPr>
          <w:rFonts w:eastAsia="Calibri"/>
          <w:lang w:val="es-PE" w:eastAsia="es-PE"/>
        </w:rPr>
        <w:t>y factores de riesgo como la hipertensión y la diabetes en pacientes de Latinoamérica y Perú.</w:t>
      </w:r>
    </w:p>
    <w:p w14:paraId="604142FA" w14:textId="77777777" w:rsidR="00CB7C69" w:rsidRPr="00CB7C69" w:rsidRDefault="00CB7C69" w:rsidP="00CB7C69">
      <w:pPr>
        <w:suppressAutoHyphens/>
        <w:spacing w:line="360" w:lineRule="auto"/>
        <w:jc w:val="both"/>
        <w:rPr>
          <w:rFonts w:eastAsia="Calibri"/>
          <w:sz w:val="22"/>
          <w:szCs w:val="22"/>
          <w:lang w:val="es-PE" w:eastAsia="es-PE"/>
        </w:rPr>
      </w:pPr>
      <w:r w:rsidRPr="00CB7C69">
        <w:rPr>
          <w:b/>
          <w:lang w:val="es-PE" w:eastAsia="es-PE"/>
        </w:rPr>
        <w:t>Objetivo:</w:t>
      </w:r>
      <w:r w:rsidRPr="00CB7C69">
        <w:rPr>
          <w:lang w:val="es-PE" w:eastAsia="es-PE"/>
        </w:rPr>
        <w:t xml:space="preserve"> Determinar los factores asociados al bloqueo de rama derecha en adultos mayores.</w:t>
      </w:r>
    </w:p>
    <w:p w14:paraId="42B367BB" w14:textId="77777777" w:rsidR="00CB7C69" w:rsidRPr="00CB7C69" w:rsidRDefault="00CB7C69" w:rsidP="00CB7C69">
      <w:pPr>
        <w:suppressAutoHyphens/>
        <w:spacing w:line="360" w:lineRule="auto"/>
        <w:jc w:val="both"/>
        <w:rPr>
          <w:rFonts w:eastAsia="Calibri"/>
          <w:sz w:val="22"/>
          <w:szCs w:val="22"/>
          <w:lang w:val="es-PE" w:eastAsia="es-PE"/>
        </w:rPr>
      </w:pPr>
      <w:r w:rsidRPr="00CB7C69">
        <w:rPr>
          <w:b/>
          <w:lang w:val="es-PE" w:eastAsia="es-PE"/>
        </w:rPr>
        <w:t xml:space="preserve">Métodos: </w:t>
      </w:r>
      <w:r w:rsidRPr="00CB7C69">
        <w:rPr>
          <w:lang w:val="es-PE" w:eastAsia="es-PE"/>
        </w:rPr>
        <w:t xml:space="preserve">Estudio transversal que incluyó 376 pacientes adultos mayores atendidos en el </w:t>
      </w:r>
      <w:r w:rsidRPr="00CB7C69">
        <w:rPr>
          <w:rFonts w:eastAsia="Calibri"/>
          <w:lang w:val="es-PE" w:eastAsia="es-PE"/>
        </w:rPr>
        <w:t>Hospital Almanzor Aguinaga Asenjo, Lambayeque-Perú</w:t>
      </w:r>
      <w:r w:rsidRPr="00CB7C69">
        <w:rPr>
          <w:lang w:val="es-PE" w:eastAsia="es-PE"/>
        </w:rPr>
        <w:t xml:space="preserve">. La variable dependiente fue la presencia de bloqueo de </w:t>
      </w:r>
      <w:r w:rsidRPr="00CB7C69">
        <w:rPr>
          <w:lang w:val="es-PE" w:eastAsia="es-PE"/>
        </w:rPr>
        <w:lastRenderedPageBreak/>
        <w:t xml:space="preserve">rama derecha y las variables independientes fueron edad, sexo, antecedente de hipertensión arterial y diabetes. Se estimaron razones de prevalencia e intervalos de confianza al 95 %.  </w:t>
      </w:r>
    </w:p>
    <w:p w14:paraId="779F54E3" w14:textId="77777777" w:rsidR="00CB7C69" w:rsidRPr="00CB7C69" w:rsidRDefault="00CB7C69" w:rsidP="00CB7C69">
      <w:pPr>
        <w:suppressAutoHyphens/>
        <w:spacing w:line="360" w:lineRule="auto"/>
        <w:jc w:val="both"/>
        <w:rPr>
          <w:rFonts w:eastAsia="Calibri"/>
          <w:sz w:val="22"/>
          <w:szCs w:val="22"/>
          <w:lang w:val="es-PE" w:eastAsia="es-PE"/>
        </w:rPr>
      </w:pPr>
      <w:r w:rsidRPr="00CB7C69">
        <w:rPr>
          <w:b/>
          <w:lang w:val="es-PE" w:eastAsia="es-PE"/>
        </w:rPr>
        <w:t>Resultados:</w:t>
      </w:r>
      <w:r w:rsidRPr="00CB7C69">
        <w:rPr>
          <w:lang w:val="es-PE" w:eastAsia="es-PE"/>
        </w:rPr>
        <w:t xml:space="preserve"> De 376 pacientes, la mayoría eran varones (55,9 %), la edad media fue de 75,6 años, el 11,4 % tuvo antecedente de hipertensión y el 9 % era diabético. El 41 % tuvo diagnóstico de bloqueo de rama derecha</w:t>
      </w:r>
      <w:r w:rsidRPr="00CB7C69">
        <w:rPr>
          <w:rFonts w:eastAsia="Calibri"/>
          <w:lang w:val="es-PE" w:eastAsia="es-PE"/>
        </w:rPr>
        <w:t>. En la regresión múltiple; el sexo femenino (RP=1,53, IC 95 %: 1,21 – 1,95), antecedente de hipertensión (RP=1,55; IC 95 %: 1,21 – 2,00) y diabetes mellitus (RP=1,49, IC 95 %: 1,12 – 2,00) se asociaron de forma positiva a presentar</w:t>
      </w:r>
      <w:r w:rsidRPr="00CB7C69">
        <w:rPr>
          <w:lang w:val="es-PE" w:eastAsia="es-PE"/>
        </w:rPr>
        <w:t xml:space="preserve"> bloqueo de rama derecha</w:t>
      </w:r>
      <w:r w:rsidRPr="00CB7C69">
        <w:rPr>
          <w:rFonts w:eastAsia="Calibri"/>
          <w:lang w:val="es-PE" w:eastAsia="es-PE"/>
        </w:rPr>
        <w:t xml:space="preserve">. El modelo anidado seleccionó las variables: sexo femenino (RP=1,54, IC 95 %: 1,21 – 1,96) y antecedente de hipertensión arterial (RP=1,61, IC 95 %: 1,25 – 2,08). </w:t>
      </w:r>
    </w:p>
    <w:p w14:paraId="36886E25" w14:textId="77777777" w:rsidR="00CB7C69" w:rsidRPr="00CB7C69" w:rsidRDefault="00CB7C69" w:rsidP="00CB7C69">
      <w:pPr>
        <w:suppressAutoHyphens/>
        <w:spacing w:line="360" w:lineRule="auto"/>
        <w:jc w:val="both"/>
        <w:rPr>
          <w:rFonts w:eastAsia="Calibri"/>
          <w:sz w:val="22"/>
          <w:szCs w:val="22"/>
          <w:lang w:val="es-PE" w:eastAsia="es-PE"/>
        </w:rPr>
      </w:pPr>
      <w:r w:rsidRPr="00CB7C69">
        <w:rPr>
          <w:b/>
          <w:lang w:val="es-PE" w:eastAsia="es-PE"/>
        </w:rPr>
        <w:t>Conclusión</w:t>
      </w:r>
      <w:r w:rsidRPr="00CB7C69">
        <w:rPr>
          <w:lang w:val="es-PE" w:eastAsia="es-PE"/>
        </w:rPr>
        <w:t xml:space="preserve">: </w:t>
      </w:r>
      <w:r w:rsidRPr="00CB7C69">
        <w:rPr>
          <w:rFonts w:eastAsia="Calibri"/>
          <w:lang w:val="es-PE" w:eastAsia="es-PE"/>
        </w:rPr>
        <w:t xml:space="preserve">El sexo femenino, antecedente de hipertensión arterial y de diabetes mellitus se asocian positivamente a presentar </w:t>
      </w:r>
      <w:r w:rsidRPr="00CB7C69">
        <w:rPr>
          <w:lang w:val="es-PE" w:eastAsia="es-PE"/>
        </w:rPr>
        <w:t>bloqueo de rama derecha</w:t>
      </w:r>
      <w:r w:rsidRPr="00CB7C69">
        <w:rPr>
          <w:rFonts w:eastAsia="Calibri"/>
          <w:lang w:val="es-PE" w:eastAsia="es-PE"/>
        </w:rPr>
        <w:t>.</w:t>
      </w:r>
    </w:p>
    <w:p w14:paraId="2AF647A7"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b/>
          <w:lang w:val="es-PE" w:eastAsia="es-PE"/>
        </w:rPr>
        <w:t>Palabras clave:</w:t>
      </w:r>
      <w:r w:rsidRPr="00CB7C69">
        <w:rPr>
          <w:rFonts w:eastAsia="Calibri"/>
          <w:lang w:val="es-PE" w:eastAsia="es-PE"/>
        </w:rPr>
        <w:t xml:space="preserve"> bloqueo de rama derecha; factores de riesgo; hipertensión arterial; diabetes mellitus.</w:t>
      </w:r>
    </w:p>
    <w:p w14:paraId="45278CB6" w14:textId="77777777" w:rsidR="00CB7C69" w:rsidRPr="00CB7C69" w:rsidRDefault="00CB7C69" w:rsidP="00CB7C69">
      <w:pPr>
        <w:suppressAutoHyphens/>
        <w:spacing w:line="360" w:lineRule="auto"/>
        <w:rPr>
          <w:rFonts w:eastAsia="Calibri"/>
          <w:b/>
          <w:lang w:val="es-PE" w:eastAsia="es-PE"/>
        </w:rPr>
      </w:pPr>
    </w:p>
    <w:p w14:paraId="194E010E" w14:textId="77777777" w:rsidR="00CB7C69" w:rsidRPr="00CB7C69" w:rsidRDefault="00CB7C69" w:rsidP="00CB7C69">
      <w:pPr>
        <w:suppressAutoHyphens/>
        <w:spacing w:line="360" w:lineRule="auto"/>
        <w:rPr>
          <w:rFonts w:eastAsia="Calibri"/>
          <w:sz w:val="22"/>
          <w:szCs w:val="22"/>
          <w:shd w:val="clear" w:color="auto" w:fill="FFFF00"/>
          <w:lang w:val="en-US" w:eastAsia="es-PE"/>
        </w:rPr>
      </w:pPr>
      <w:r w:rsidRPr="00CB7C69">
        <w:rPr>
          <w:rFonts w:eastAsia="Calibri"/>
          <w:b/>
          <w:lang w:val="en-US" w:eastAsia="es-PE"/>
        </w:rPr>
        <w:t>ABSTRACT</w:t>
      </w:r>
    </w:p>
    <w:p w14:paraId="608B2EE1" w14:textId="77777777" w:rsidR="00CB7C69" w:rsidRPr="00CB7C69" w:rsidRDefault="00CB7C69" w:rsidP="00CB7C69">
      <w:pPr>
        <w:suppressAutoHyphens/>
        <w:spacing w:line="360" w:lineRule="auto"/>
        <w:jc w:val="both"/>
        <w:rPr>
          <w:rFonts w:eastAsia="Calibri"/>
          <w:sz w:val="22"/>
          <w:szCs w:val="22"/>
          <w:lang w:val="en-US" w:eastAsia="es-PE"/>
        </w:rPr>
      </w:pPr>
      <w:r w:rsidRPr="00CB7C69">
        <w:rPr>
          <w:rFonts w:eastAsia="Calibri"/>
          <w:b/>
          <w:lang w:val="en-US" w:eastAsia="es-PE"/>
        </w:rPr>
        <w:t>Introduction:</w:t>
      </w:r>
      <w:r w:rsidRPr="00CB7C69">
        <w:rPr>
          <w:rFonts w:eastAsia="Calibri"/>
          <w:lang w:val="en-US" w:eastAsia="es-PE"/>
        </w:rPr>
        <w:t xml:space="preserve"> There is little literature on the association between right bundle branch block and risk factors such as hypertension and diabetes in patients in Latin America and Peru.</w:t>
      </w:r>
    </w:p>
    <w:p w14:paraId="569261CD" w14:textId="77777777" w:rsidR="00CB7C69" w:rsidRPr="00CB7C69" w:rsidRDefault="00CB7C69" w:rsidP="00CB7C69">
      <w:pPr>
        <w:suppressAutoHyphens/>
        <w:spacing w:line="360" w:lineRule="auto"/>
        <w:jc w:val="both"/>
        <w:rPr>
          <w:rFonts w:eastAsia="Calibri"/>
          <w:sz w:val="22"/>
          <w:szCs w:val="22"/>
          <w:lang w:val="en-US" w:eastAsia="es-PE"/>
        </w:rPr>
      </w:pPr>
      <w:r w:rsidRPr="00CB7C69">
        <w:rPr>
          <w:rFonts w:eastAsia="Calibri"/>
          <w:b/>
          <w:lang w:val="en-US" w:eastAsia="es-PE"/>
        </w:rPr>
        <w:t>Objective:</w:t>
      </w:r>
      <w:r w:rsidRPr="00CB7C69">
        <w:rPr>
          <w:rFonts w:eastAsia="Calibri"/>
          <w:lang w:val="en-US" w:eastAsia="es-PE"/>
        </w:rPr>
        <w:t xml:space="preserve"> To determine the factors associated with right bundle branch block in older adults.</w:t>
      </w:r>
    </w:p>
    <w:p w14:paraId="48BEDD2C" w14:textId="77777777" w:rsidR="00CB7C69" w:rsidRPr="00CB7C69" w:rsidRDefault="00CB7C69" w:rsidP="00CB7C69">
      <w:pPr>
        <w:suppressAutoHyphens/>
        <w:spacing w:line="360" w:lineRule="auto"/>
        <w:jc w:val="both"/>
        <w:rPr>
          <w:rFonts w:eastAsia="Calibri"/>
          <w:sz w:val="22"/>
          <w:szCs w:val="22"/>
          <w:lang w:val="en-US" w:eastAsia="es-PE"/>
        </w:rPr>
      </w:pPr>
      <w:r w:rsidRPr="00CB7C69">
        <w:rPr>
          <w:rFonts w:eastAsia="Calibri"/>
          <w:b/>
          <w:lang w:val="en-US" w:eastAsia="es-PE"/>
        </w:rPr>
        <w:t>Methods:</w:t>
      </w:r>
      <w:r w:rsidRPr="00CB7C69">
        <w:rPr>
          <w:rFonts w:eastAsia="Calibri"/>
          <w:lang w:val="en-US" w:eastAsia="es-PE"/>
        </w:rPr>
        <w:t xml:space="preserve"> Analytical cross-sectional study completed by 376 elderly patients treated at </w:t>
      </w:r>
      <w:proofErr w:type="spellStart"/>
      <w:r w:rsidRPr="00CB7C69">
        <w:rPr>
          <w:rFonts w:eastAsia="Calibri"/>
          <w:lang w:val="en-US" w:eastAsia="es-PE"/>
        </w:rPr>
        <w:t>Almanzor</w:t>
      </w:r>
      <w:proofErr w:type="spellEnd"/>
      <w:r w:rsidRPr="00CB7C69">
        <w:rPr>
          <w:rFonts w:eastAsia="Calibri"/>
          <w:lang w:val="en-US" w:eastAsia="es-PE"/>
        </w:rPr>
        <w:t xml:space="preserve"> </w:t>
      </w:r>
      <w:proofErr w:type="spellStart"/>
      <w:r w:rsidRPr="00CB7C69">
        <w:rPr>
          <w:rFonts w:eastAsia="Calibri"/>
          <w:lang w:val="en-US" w:eastAsia="es-PE"/>
        </w:rPr>
        <w:t>Aguinaga</w:t>
      </w:r>
      <w:proofErr w:type="spellEnd"/>
      <w:r w:rsidRPr="00CB7C69">
        <w:rPr>
          <w:rFonts w:eastAsia="Calibri"/>
          <w:lang w:val="en-US" w:eastAsia="es-PE"/>
        </w:rPr>
        <w:t xml:space="preserve"> </w:t>
      </w:r>
      <w:proofErr w:type="spellStart"/>
      <w:r w:rsidRPr="00CB7C69">
        <w:rPr>
          <w:rFonts w:eastAsia="Calibri"/>
          <w:lang w:val="en-US" w:eastAsia="es-PE"/>
        </w:rPr>
        <w:t>Asenjo</w:t>
      </w:r>
      <w:proofErr w:type="spellEnd"/>
      <w:r w:rsidRPr="00CB7C69">
        <w:rPr>
          <w:rFonts w:eastAsia="Calibri"/>
          <w:lang w:val="en-US" w:eastAsia="es-PE"/>
        </w:rPr>
        <w:t xml:space="preserve"> Hospital, Lambayeque-Peru. The dependent variable was the presence of right bundle branch block, and the independent variables were age, sex, history of hypertension, and diabetes. Prevalence ratios and 95 % confidence intervals were estimated.</w:t>
      </w:r>
    </w:p>
    <w:p w14:paraId="5D37C9CF" w14:textId="77777777" w:rsidR="00CB7C69" w:rsidRPr="00CB7C69" w:rsidRDefault="00CB7C69" w:rsidP="00CB7C69">
      <w:pPr>
        <w:suppressAutoHyphens/>
        <w:spacing w:line="360" w:lineRule="auto"/>
        <w:jc w:val="both"/>
        <w:rPr>
          <w:rFonts w:eastAsia="Calibri"/>
          <w:sz w:val="22"/>
          <w:szCs w:val="22"/>
          <w:lang w:val="en-US" w:eastAsia="es-PE"/>
        </w:rPr>
      </w:pPr>
      <w:r w:rsidRPr="00CB7C69">
        <w:rPr>
          <w:rFonts w:eastAsia="Calibri"/>
          <w:b/>
          <w:lang w:val="en-US" w:eastAsia="es-PE"/>
        </w:rPr>
        <w:t>Results:</w:t>
      </w:r>
      <w:r w:rsidRPr="00CB7C69">
        <w:rPr>
          <w:rFonts w:eastAsia="Calibri"/>
          <w:lang w:val="en-US" w:eastAsia="es-PE"/>
        </w:rPr>
        <w:t xml:space="preserve"> Of 376 patients, the majority were male (55,9 %), the mean age was 75,6 years, 11,4 % had a history of hypertension and 9 % were diabetic; 41 % had a diagnosis of right bundle branch block. In simple regression, the frequency of right bundle branch block was 56 % (PR= 1,56; 95 % CI: 1,22-1,99), 65 % (PR=1,65; 95 % CI: 1,26 – 2,15) and 59 % (PR= 1,59; CI 95 %: 1,18 – 2,14) higher in women, hypertensive and diabetics; respectively. In the multiple regression; female sex (PR= 1,53; 95 % CI: 1,21 – 1,95), history of hypertension (PR= 1,55; 95 % CI: 1,21 – 2,00) and diabetes mellitus (PR= 1,49; 95 % CI: 1,12 – 2,00) were positively associated with right bundle branch block. The nested model selected </w:t>
      </w:r>
      <w:r w:rsidRPr="00CB7C69">
        <w:rPr>
          <w:rFonts w:eastAsia="Calibri"/>
          <w:lang w:val="en-US" w:eastAsia="es-PE"/>
        </w:rPr>
        <w:lastRenderedPageBreak/>
        <w:t>the variables: female sex (PR= 1,54; 95 % CI: 1,21 – 1,96) and history of arterial hypertension (PR= 1,61; 95 % CI: 1,25 – 2,08).</w:t>
      </w:r>
    </w:p>
    <w:p w14:paraId="4045E876" w14:textId="77777777" w:rsidR="00CB7C69" w:rsidRPr="00CB7C69" w:rsidRDefault="00CB7C69" w:rsidP="00CB7C69">
      <w:pPr>
        <w:suppressAutoHyphens/>
        <w:spacing w:line="360" w:lineRule="auto"/>
        <w:jc w:val="both"/>
        <w:rPr>
          <w:rFonts w:eastAsia="Calibri"/>
          <w:sz w:val="22"/>
          <w:szCs w:val="22"/>
          <w:lang w:val="en-US" w:eastAsia="es-PE"/>
        </w:rPr>
      </w:pPr>
      <w:r w:rsidRPr="00CB7C69">
        <w:rPr>
          <w:rFonts w:eastAsia="Calibri"/>
          <w:b/>
          <w:lang w:val="en-US" w:eastAsia="es-PE"/>
        </w:rPr>
        <w:t>Conclusion:</w:t>
      </w:r>
      <w:r w:rsidRPr="00CB7C69">
        <w:rPr>
          <w:rFonts w:eastAsia="Calibri"/>
          <w:lang w:val="en-US" w:eastAsia="es-PE"/>
        </w:rPr>
        <w:t xml:space="preserve"> Female sex, history of arterial hypertension and diabetes mellitus were positively associated with presenting right bundle branch block in older adults.</w:t>
      </w:r>
    </w:p>
    <w:p w14:paraId="54F3BDAC" w14:textId="77777777" w:rsidR="00CB7C69" w:rsidRPr="00CB7C69" w:rsidRDefault="00CB7C69" w:rsidP="00CB7C69">
      <w:pPr>
        <w:suppressAutoHyphens/>
        <w:spacing w:line="360" w:lineRule="auto"/>
        <w:jc w:val="both"/>
        <w:rPr>
          <w:rFonts w:eastAsia="Calibri"/>
          <w:lang w:val="en-US" w:eastAsia="es-PE"/>
        </w:rPr>
      </w:pPr>
      <w:r w:rsidRPr="00CB7C69">
        <w:rPr>
          <w:rFonts w:eastAsia="Calibri"/>
          <w:b/>
          <w:lang w:val="en-US" w:eastAsia="es-PE"/>
        </w:rPr>
        <w:t>Keywords:</w:t>
      </w:r>
      <w:r w:rsidRPr="00CB7C69">
        <w:rPr>
          <w:rFonts w:eastAsia="Calibri"/>
          <w:lang w:val="en-US" w:eastAsia="es-PE"/>
        </w:rPr>
        <w:t xml:space="preserve"> right bundle branch block; risk factors; arterial hypertension, diabetes mellitus.</w:t>
      </w:r>
    </w:p>
    <w:p w14:paraId="25C06247" w14:textId="77777777" w:rsidR="00CB7C69" w:rsidRPr="00CB7C69" w:rsidRDefault="00CB7C69" w:rsidP="00CB7C69">
      <w:pPr>
        <w:suppressAutoHyphens/>
        <w:spacing w:line="360" w:lineRule="auto"/>
        <w:jc w:val="both"/>
        <w:rPr>
          <w:rFonts w:eastAsia="Calibri"/>
          <w:lang w:val="en-US" w:eastAsia="es-PE"/>
        </w:rPr>
      </w:pPr>
    </w:p>
    <w:p w14:paraId="6086FBC2" w14:textId="77777777" w:rsidR="00CB7C69" w:rsidRPr="00CB7C69" w:rsidRDefault="00CB7C69" w:rsidP="00CB7C69">
      <w:pPr>
        <w:suppressAutoHyphens/>
        <w:spacing w:line="360" w:lineRule="auto"/>
        <w:jc w:val="both"/>
        <w:rPr>
          <w:rFonts w:eastAsia="Calibri"/>
          <w:lang w:val="en-US" w:eastAsia="es-PE"/>
        </w:rPr>
      </w:pPr>
    </w:p>
    <w:p w14:paraId="357523A2" w14:textId="77777777" w:rsidR="00CB7C69" w:rsidRPr="00CB7C69" w:rsidRDefault="00CB7C69" w:rsidP="00CB7C69">
      <w:pPr>
        <w:suppressAutoHyphens/>
        <w:spacing w:line="360" w:lineRule="auto"/>
        <w:jc w:val="both"/>
        <w:rPr>
          <w:rFonts w:eastAsia="Calibri"/>
          <w:lang w:val="es-CU" w:eastAsia="es-PE"/>
        </w:rPr>
      </w:pPr>
      <w:r w:rsidRPr="00CB7C69">
        <w:rPr>
          <w:rFonts w:eastAsia="Calibri"/>
          <w:lang w:val="es-CU" w:eastAsia="es-PE"/>
        </w:rPr>
        <w:t>Recibido: 24/03/2022</w:t>
      </w:r>
    </w:p>
    <w:p w14:paraId="69E4D5BD" w14:textId="77777777" w:rsidR="00CB7C69" w:rsidRPr="00CB7C69" w:rsidRDefault="00CB7C69" w:rsidP="00CB7C69">
      <w:pPr>
        <w:suppressAutoHyphens/>
        <w:spacing w:line="360" w:lineRule="auto"/>
        <w:jc w:val="both"/>
        <w:rPr>
          <w:rFonts w:eastAsia="Calibri"/>
          <w:lang w:val="es-CU" w:eastAsia="es-PE"/>
        </w:rPr>
      </w:pPr>
      <w:r w:rsidRPr="00CB7C69">
        <w:rPr>
          <w:rFonts w:eastAsia="Calibri"/>
          <w:lang w:val="es-CU" w:eastAsia="es-PE"/>
        </w:rPr>
        <w:t>Aprobado: 24/05/2022</w:t>
      </w:r>
    </w:p>
    <w:p w14:paraId="0AE8B657" w14:textId="77777777" w:rsidR="00CB7C69" w:rsidRPr="00CB7C69" w:rsidRDefault="00CB7C69" w:rsidP="00CB7C69">
      <w:pPr>
        <w:suppressAutoHyphens/>
        <w:spacing w:line="360" w:lineRule="auto"/>
        <w:jc w:val="center"/>
        <w:rPr>
          <w:rFonts w:eastAsia="Calibri"/>
          <w:b/>
          <w:sz w:val="32"/>
          <w:szCs w:val="32"/>
          <w:lang w:val="es-PE" w:eastAsia="es-PE"/>
        </w:rPr>
      </w:pPr>
    </w:p>
    <w:p w14:paraId="1CA7D2B1" w14:textId="77777777" w:rsidR="00CB7C69" w:rsidRPr="00CB7C69" w:rsidRDefault="00CB7C69" w:rsidP="00CB7C69">
      <w:pPr>
        <w:suppressAutoHyphens/>
        <w:spacing w:line="360" w:lineRule="auto"/>
        <w:jc w:val="center"/>
        <w:rPr>
          <w:rFonts w:eastAsia="Calibri"/>
          <w:b/>
          <w:sz w:val="32"/>
          <w:szCs w:val="32"/>
          <w:lang w:val="es-PE" w:eastAsia="es-PE"/>
        </w:rPr>
      </w:pPr>
    </w:p>
    <w:p w14:paraId="6D4A94C8" w14:textId="77777777" w:rsidR="00CB7C69" w:rsidRPr="00CB7C69" w:rsidRDefault="00CB7C69" w:rsidP="00CB7C69">
      <w:pPr>
        <w:suppressAutoHyphens/>
        <w:spacing w:line="360" w:lineRule="auto"/>
        <w:jc w:val="center"/>
        <w:rPr>
          <w:rFonts w:eastAsia="Calibri"/>
          <w:sz w:val="32"/>
          <w:szCs w:val="32"/>
          <w:lang w:val="es-PE" w:eastAsia="es-PE"/>
        </w:rPr>
      </w:pPr>
      <w:r w:rsidRPr="00CB7C69">
        <w:rPr>
          <w:rFonts w:eastAsia="Calibri"/>
          <w:b/>
          <w:sz w:val="32"/>
          <w:szCs w:val="32"/>
          <w:lang w:val="es-PE" w:eastAsia="es-PE"/>
        </w:rPr>
        <w:t>INTRODUCCIÓN</w:t>
      </w:r>
    </w:p>
    <w:p w14:paraId="613ABD9B"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El bloqueo de rama derecha (BRD) se define como la deficiencia caracterizada por el bloqueo total o parcial de la conducción hacia la rama derecha del haz de </w:t>
      </w:r>
      <w:proofErr w:type="spellStart"/>
      <w:r w:rsidRPr="00CB7C69">
        <w:rPr>
          <w:rFonts w:eastAsia="Calibri"/>
          <w:lang w:val="es-PE" w:eastAsia="es-PE"/>
        </w:rPr>
        <w:t>His</w:t>
      </w:r>
      <w:proofErr w:type="spellEnd"/>
      <w:r w:rsidRPr="00CB7C69">
        <w:rPr>
          <w:rFonts w:eastAsia="Calibri"/>
          <w:lang w:val="es-PE" w:eastAsia="es-PE"/>
        </w:rPr>
        <w:t>, que puede ser diagnosticada mediante un electrocardiograma (ECG</w:t>
      </w:r>
      <w:proofErr w:type="gramStart"/>
      <w:r w:rsidRPr="00CB7C69">
        <w:rPr>
          <w:rFonts w:eastAsia="Calibri"/>
          <w:lang w:val="es-PE" w:eastAsia="es-PE"/>
        </w:rPr>
        <w:t>).</w:t>
      </w:r>
      <w:r w:rsidRPr="00CB7C69">
        <w:rPr>
          <w:rFonts w:eastAsia="Calibri"/>
          <w:vertAlign w:val="superscript"/>
          <w:lang w:val="es-PE" w:eastAsia="es-PE"/>
        </w:rPr>
        <w:t>(</w:t>
      </w:r>
      <w:proofErr w:type="gramEnd"/>
      <w:r w:rsidRPr="00CB7C69">
        <w:rPr>
          <w:rFonts w:eastAsia="Calibri"/>
          <w:vertAlign w:val="superscript"/>
          <w:lang w:val="es-PE" w:eastAsia="es-PE"/>
        </w:rPr>
        <w:t xml:space="preserve">1) </w:t>
      </w:r>
      <w:r w:rsidRPr="00CB7C69">
        <w:rPr>
          <w:rFonts w:eastAsia="Calibri"/>
          <w:lang w:val="es-PE" w:eastAsia="es-PE"/>
        </w:rPr>
        <w:t xml:space="preserve">Cuando se origina un BRD, una rama retarda la conducción del impulso eléctrico y el ventrículo se activa por la transmisión miocárdica de la actividad eléctrica del otro ventrículo. De esta manera el ventrículo dañado se despolariza de forma errada y más pausada por medio de una vía alternativa. Esto se puede verificar en el ECG, ya que se presenta con una ampliación del complejo QRS (&gt; 120 ms) y un cambio en el patrón, que va a tener una variación dependiendo de la rama </w:t>
      </w:r>
      <w:proofErr w:type="gramStart"/>
      <w:r w:rsidRPr="00CB7C69">
        <w:rPr>
          <w:rFonts w:eastAsia="Calibri"/>
          <w:lang w:val="es-PE" w:eastAsia="es-PE"/>
        </w:rPr>
        <w:t>afectada.</w:t>
      </w:r>
      <w:r w:rsidRPr="00CB7C69">
        <w:rPr>
          <w:rFonts w:eastAsia="Roboto"/>
          <w:vertAlign w:val="superscript"/>
          <w:lang w:val="es-PE" w:eastAsia="es-PE"/>
        </w:rPr>
        <w:t>(</w:t>
      </w:r>
      <w:proofErr w:type="gramEnd"/>
      <w:r w:rsidRPr="00CB7C69">
        <w:rPr>
          <w:rFonts w:eastAsia="Roboto"/>
          <w:vertAlign w:val="superscript"/>
          <w:lang w:val="es-PE" w:eastAsia="es-PE"/>
        </w:rPr>
        <w:t>2)</w:t>
      </w:r>
    </w:p>
    <w:p w14:paraId="2588D461"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El BRD se presenta en el 0,2 % y 1,3 % de la población en </w:t>
      </w:r>
      <w:proofErr w:type="gramStart"/>
      <w:r w:rsidRPr="00CB7C69">
        <w:rPr>
          <w:rFonts w:eastAsia="Calibri"/>
          <w:lang w:val="es-PE" w:eastAsia="es-PE"/>
        </w:rPr>
        <w:t>general.</w:t>
      </w:r>
      <w:r w:rsidRPr="00CB7C69">
        <w:rPr>
          <w:rFonts w:eastAsia="Calibri"/>
          <w:vertAlign w:val="superscript"/>
          <w:lang w:val="es-PE" w:eastAsia="es-PE"/>
        </w:rPr>
        <w:t>(</w:t>
      </w:r>
      <w:proofErr w:type="gramEnd"/>
      <w:r w:rsidRPr="00CB7C69">
        <w:rPr>
          <w:rFonts w:eastAsia="Calibri"/>
          <w:vertAlign w:val="superscript"/>
          <w:lang w:val="es-PE" w:eastAsia="es-PE"/>
        </w:rPr>
        <w:t xml:space="preserve">3) </w:t>
      </w:r>
      <w:r w:rsidRPr="00CB7C69">
        <w:rPr>
          <w:rFonts w:eastAsia="Calibri"/>
          <w:lang w:val="es-PE" w:eastAsia="es-PE"/>
        </w:rPr>
        <w:t>Su incidencia en varones menores de 65 años es de 2,9 %</w:t>
      </w:r>
      <w:r w:rsidRPr="00CB7C69">
        <w:rPr>
          <w:rFonts w:eastAsia="Calibri"/>
          <w:vertAlign w:val="superscript"/>
          <w:lang w:val="es-PE" w:eastAsia="es-PE"/>
        </w:rPr>
        <w:t>(4)</w:t>
      </w:r>
      <w:r w:rsidRPr="00CB7C69">
        <w:rPr>
          <w:rFonts w:eastAsia="Calibri"/>
          <w:lang w:val="es-PE" w:eastAsia="es-PE"/>
        </w:rPr>
        <w:t xml:space="preserve"> y esto aumenta con la edad hasta el 11,3 % en personas de 80 años.</w:t>
      </w:r>
      <w:r w:rsidRPr="00CB7C69">
        <w:rPr>
          <w:rFonts w:eastAsia="Calibri"/>
          <w:vertAlign w:val="superscript"/>
          <w:lang w:val="es-PE" w:eastAsia="es-PE"/>
        </w:rPr>
        <w:t xml:space="preserve">(5) </w:t>
      </w:r>
      <w:r w:rsidRPr="00CB7C69">
        <w:rPr>
          <w:rFonts w:eastAsia="Calibri"/>
          <w:lang w:val="es-PE" w:eastAsia="es-PE"/>
        </w:rPr>
        <w:t>Otros estudios</w:t>
      </w:r>
      <w:r w:rsidRPr="00CB7C69">
        <w:rPr>
          <w:rFonts w:eastAsia="Calibri"/>
          <w:vertAlign w:val="superscript"/>
          <w:lang w:val="es-PE" w:eastAsia="es-PE"/>
        </w:rPr>
        <w:t>(6)</w:t>
      </w:r>
      <w:r w:rsidRPr="00CB7C69">
        <w:rPr>
          <w:rFonts w:eastAsia="Calibri"/>
          <w:lang w:val="es-PE" w:eastAsia="es-PE"/>
        </w:rPr>
        <w:t xml:space="preserve"> confirman que el BRD tiene el doble de prevalencia en hombres 1,4 % que en mujeres 0,5 %. </w:t>
      </w:r>
    </w:p>
    <w:p w14:paraId="0D484464"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Adicionalmente, múltiples </w:t>
      </w:r>
      <w:proofErr w:type="gramStart"/>
      <w:r w:rsidRPr="00CB7C69">
        <w:rPr>
          <w:rFonts w:eastAsia="Calibri"/>
          <w:lang w:val="es-PE" w:eastAsia="es-PE"/>
        </w:rPr>
        <w:t>estudios</w:t>
      </w:r>
      <w:r w:rsidRPr="00CB7C69">
        <w:rPr>
          <w:rFonts w:eastAsia="Calibri"/>
          <w:vertAlign w:val="superscript"/>
          <w:lang w:val="es-PE" w:eastAsia="es-PE"/>
        </w:rPr>
        <w:t>(</w:t>
      </w:r>
      <w:proofErr w:type="gramEnd"/>
      <w:r w:rsidRPr="00CB7C69">
        <w:rPr>
          <w:rFonts w:eastAsia="Calibri"/>
          <w:vertAlign w:val="superscript"/>
          <w:lang w:val="es-PE" w:eastAsia="es-PE"/>
        </w:rPr>
        <w:t xml:space="preserve">6,7,8) </w:t>
      </w:r>
      <w:r w:rsidRPr="00CB7C69">
        <w:rPr>
          <w:rFonts w:eastAsia="Calibri"/>
          <w:lang w:val="es-PE" w:eastAsia="es-PE"/>
        </w:rPr>
        <w:t xml:space="preserve">sugieren que existe una asociación positiva entre el presentar BRD con antecedentes de hipertensión (HTA), diabetes y enfermedades cardiacas. En una cohorte retrospectiva de 105 pacientes con presencia de infarto agudo de miocardio (IAM) en Colombia, se documentó que la presencia de BRD se asocia positivamente con el aumento de mortalidad </w:t>
      </w:r>
      <w:proofErr w:type="gramStart"/>
      <w:r w:rsidRPr="00CB7C69">
        <w:rPr>
          <w:rFonts w:eastAsia="Calibri"/>
          <w:lang w:val="es-PE" w:eastAsia="es-PE"/>
        </w:rPr>
        <w:t xml:space="preserve">hospitalaria  </w:t>
      </w:r>
      <w:r w:rsidRPr="00CB7C69">
        <w:rPr>
          <w:rFonts w:eastAsia="Calibri"/>
          <w:lang w:val="es-PE" w:eastAsia="es-PE"/>
        </w:rPr>
        <w:lastRenderedPageBreak/>
        <w:t>con</w:t>
      </w:r>
      <w:proofErr w:type="gramEnd"/>
      <w:r w:rsidRPr="00CB7C69">
        <w:rPr>
          <w:rFonts w:eastAsia="Calibri"/>
          <w:lang w:val="es-PE" w:eastAsia="es-PE"/>
        </w:rPr>
        <w:t xml:space="preserve"> el 8,6 % en pacientes con BRD en comparación con el 3,7 % en pacientes sin BRD.</w:t>
      </w:r>
      <w:r w:rsidRPr="00CB7C69">
        <w:rPr>
          <w:rFonts w:eastAsia="Calibri"/>
          <w:vertAlign w:val="superscript"/>
          <w:lang w:val="es-PE" w:eastAsia="es-PE"/>
        </w:rPr>
        <w:t xml:space="preserve">(9) </w:t>
      </w:r>
      <w:r w:rsidRPr="00CB7C69">
        <w:rPr>
          <w:rFonts w:eastAsia="Calibri"/>
          <w:lang w:val="es-PE" w:eastAsia="es-PE"/>
        </w:rPr>
        <w:t xml:space="preserve">En un artículo de revisión se señala al género femenino como factor protector de presentar BRD, además sugiere un aumento de morbimortalidad en pacientes que padecen dicho bloqueo. </w:t>
      </w:r>
    </w:p>
    <w:p w14:paraId="287457D1"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Si bien varios estudios han documentado que los factores que influyen son una edad media mayor a 65 años, sexo </w:t>
      </w:r>
      <w:proofErr w:type="gramStart"/>
      <w:r w:rsidRPr="00CB7C69">
        <w:rPr>
          <w:rFonts w:eastAsia="Calibri"/>
          <w:lang w:val="es-PE" w:eastAsia="es-PE"/>
        </w:rPr>
        <w:t>masculino</w:t>
      </w:r>
      <w:r w:rsidRPr="00CB7C69">
        <w:rPr>
          <w:rFonts w:eastAsia="Calibri"/>
          <w:vertAlign w:val="superscript"/>
          <w:lang w:val="es-PE" w:eastAsia="es-PE"/>
        </w:rPr>
        <w:t>(</w:t>
      </w:r>
      <w:proofErr w:type="gramEnd"/>
      <w:r w:rsidRPr="00CB7C69">
        <w:rPr>
          <w:rFonts w:eastAsia="Calibri"/>
          <w:vertAlign w:val="superscript"/>
          <w:lang w:val="es-PE" w:eastAsia="es-PE"/>
        </w:rPr>
        <w:t>4,10)</w:t>
      </w:r>
      <w:r w:rsidRPr="00CB7C69">
        <w:rPr>
          <w:rFonts w:eastAsia="Calibri"/>
          <w:lang w:val="es-PE" w:eastAsia="es-PE"/>
        </w:rPr>
        <w:t xml:space="preserve"> y antecedentes de diabetes y HTA, no existe suficiente evidencia concluyente sobre los posibles factores. Esto debido a la presencia de ciertos sesgos metodológicos como el muestreo por </w:t>
      </w:r>
      <w:proofErr w:type="gramStart"/>
      <w:r w:rsidRPr="00CB7C69">
        <w:rPr>
          <w:rFonts w:eastAsia="Calibri"/>
          <w:lang w:val="es-PE" w:eastAsia="es-PE"/>
        </w:rPr>
        <w:t>conveniencia,</w:t>
      </w:r>
      <w:r w:rsidRPr="00CB7C69">
        <w:rPr>
          <w:rFonts w:eastAsia="Calibri"/>
          <w:vertAlign w:val="superscript"/>
          <w:lang w:val="es-PE" w:eastAsia="es-PE"/>
        </w:rPr>
        <w:t>(</w:t>
      </w:r>
      <w:proofErr w:type="gramEnd"/>
      <w:r w:rsidRPr="00CB7C69">
        <w:rPr>
          <w:rFonts w:eastAsia="Calibri"/>
          <w:vertAlign w:val="superscript"/>
          <w:lang w:val="es-PE" w:eastAsia="es-PE"/>
        </w:rPr>
        <w:t>9)</w:t>
      </w:r>
      <w:r w:rsidRPr="00CB7C69">
        <w:rPr>
          <w:rFonts w:eastAsia="Calibri"/>
          <w:lang w:val="es-PE" w:eastAsia="es-PE"/>
        </w:rPr>
        <w:t xml:space="preserve"> inclusión de métodos diagnósticos de baja especificidad,</w:t>
      </w:r>
      <w:r w:rsidRPr="00CB7C69">
        <w:rPr>
          <w:rFonts w:eastAsia="Calibri"/>
          <w:vertAlign w:val="superscript"/>
          <w:lang w:val="es-PE" w:eastAsia="es-PE"/>
        </w:rPr>
        <w:t>(11)</w:t>
      </w:r>
      <w:r w:rsidRPr="00CB7C69">
        <w:rPr>
          <w:rFonts w:eastAsia="Calibri"/>
          <w:lang w:val="es-PE" w:eastAsia="es-PE"/>
        </w:rPr>
        <w:t xml:space="preserve"> con poder estadístico limitado</w:t>
      </w:r>
      <w:r w:rsidRPr="00CB7C69">
        <w:rPr>
          <w:rFonts w:eastAsia="Calibri"/>
          <w:vertAlign w:val="superscript"/>
          <w:lang w:val="es-PE" w:eastAsia="es-PE"/>
        </w:rPr>
        <w:t>(12)</w:t>
      </w:r>
      <w:r w:rsidRPr="00CB7C69">
        <w:rPr>
          <w:rFonts w:eastAsia="Calibri"/>
          <w:lang w:val="es-PE" w:eastAsia="es-PE"/>
        </w:rPr>
        <w:t xml:space="preserve"> e insuficiente rigurosidad en métodos bioestadísticos.</w:t>
      </w:r>
      <w:r w:rsidRPr="00CB7C69">
        <w:rPr>
          <w:rFonts w:eastAsia="Calibri"/>
          <w:vertAlign w:val="superscript"/>
          <w:lang w:val="es-PE" w:eastAsia="es-PE"/>
        </w:rPr>
        <w:t>(13)</w:t>
      </w:r>
      <w:r w:rsidRPr="00CB7C69">
        <w:rPr>
          <w:rFonts w:eastAsia="Calibri"/>
          <w:lang w:val="es-PE" w:eastAsia="es-PE"/>
        </w:rPr>
        <w:t xml:space="preserve"> Además, existe poca literatura sobre la asociación de BRD a factores de riesgo como HTA y diabetes en pacientes de Latinoamérica, mucho menos en el Perú. El presente estudio pretende buscar asociación entre los factores descritos por otros autores y el BRD. Puesto que es uno de los primeros estudios realizados en edad adulta a nivel nacional, permitirá orientar a futuros estudios a que potencialmente mejoren las políticas públicas. </w:t>
      </w:r>
    </w:p>
    <w:p w14:paraId="1259BC34"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PE" w:eastAsia="es-PE"/>
        </w:rPr>
        <w:t>Este estudio que tiene como objetivo determinar los factores asociados a BRD en adultos mayores atendidos en un hospital del seguro social del norte peruano.</w:t>
      </w:r>
    </w:p>
    <w:p w14:paraId="1795D11D" w14:textId="77777777" w:rsidR="00CB7C69" w:rsidRPr="00CB7C69" w:rsidRDefault="00CB7C69" w:rsidP="00CB7C69">
      <w:pPr>
        <w:suppressAutoHyphens/>
        <w:spacing w:line="360" w:lineRule="auto"/>
        <w:jc w:val="both"/>
        <w:rPr>
          <w:rFonts w:eastAsia="Calibri"/>
          <w:sz w:val="22"/>
          <w:szCs w:val="22"/>
          <w:lang w:val="es-PE" w:eastAsia="es-PE"/>
        </w:rPr>
      </w:pPr>
    </w:p>
    <w:p w14:paraId="6983FE2E" w14:textId="77777777" w:rsidR="00CB7C69" w:rsidRPr="00CB7C69" w:rsidRDefault="00CB7C69" w:rsidP="00CB7C69">
      <w:pPr>
        <w:suppressAutoHyphens/>
        <w:spacing w:line="360" w:lineRule="auto"/>
        <w:jc w:val="both"/>
        <w:rPr>
          <w:rFonts w:eastAsia="Calibri"/>
          <w:lang w:val="es-PE" w:eastAsia="es-PE"/>
        </w:rPr>
      </w:pPr>
    </w:p>
    <w:p w14:paraId="07BB10D8" w14:textId="77777777" w:rsidR="00CB7C69" w:rsidRPr="00CB7C69" w:rsidRDefault="00CB7C69" w:rsidP="00CB7C69">
      <w:pPr>
        <w:suppressAutoHyphens/>
        <w:spacing w:line="360" w:lineRule="auto"/>
        <w:jc w:val="center"/>
        <w:rPr>
          <w:rFonts w:eastAsia="Calibri"/>
          <w:sz w:val="32"/>
          <w:szCs w:val="32"/>
          <w:lang w:val="es-PE" w:eastAsia="es-PE"/>
        </w:rPr>
      </w:pPr>
      <w:r w:rsidRPr="00CB7C69">
        <w:rPr>
          <w:rFonts w:eastAsia="Calibri"/>
          <w:b/>
          <w:sz w:val="32"/>
          <w:szCs w:val="32"/>
          <w:lang w:val="es-PE" w:eastAsia="es-PE"/>
        </w:rPr>
        <w:t>MÉTODOS</w:t>
      </w:r>
    </w:p>
    <w:p w14:paraId="2E81D1B0" w14:textId="77777777" w:rsidR="00CB7C69" w:rsidRPr="00CB7C69" w:rsidRDefault="00CB7C69" w:rsidP="00CB7C69">
      <w:pPr>
        <w:widowControl w:val="0"/>
        <w:suppressAutoHyphens/>
        <w:spacing w:line="360" w:lineRule="auto"/>
        <w:jc w:val="center"/>
        <w:rPr>
          <w:rFonts w:eastAsia="Calibri"/>
          <w:sz w:val="28"/>
          <w:szCs w:val="28"/>
          <w:lang w:val="es-PE" w:eastAsia="es-PE"/>
        </w:rPr>
      </w:pPr>
      <w:r w:rsidRPr="00CB7C69">
        <w:rPr>
          <w:rFonts w:eastAsia="Calibri"/>
          <w:b/>
          <w:sz w:val="28"/>
          <w:szCs w:val="28"/>
          <w:lang w:val="es-PE" w:eastAsia="es-PE"/>
        </w:rPr>
        <w:t>Diseño, población y muestra</w:t>
      </w:r>
      <w:r w:rsidRPr="00CB7C69" w:rsidDel="00C37E6C">
        <w:rPr>
          <w:rFonts w:eastAsia="Calibri"/>
          <w:b/>
          <w:sz w:val="28"/>
          <w:szCs w:val="28"/>
          <w:lang w:val="es-PE" w:eastAsia="es-PE"/>
        </w:rPr>
        <w:t xml:space="preserve"> </w:t>
      </w:r>
    </w:p>
    <w:p w14:paraId="45560EA6"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 xml:space="preserve">Estudio transversal con empleo de técnicas analíticas, en adultos mayores atendidos en el Hospital Nacional Almanzor Aguinaga Asenjo durante 2014 - 2018. </w:t>
      </w:r>
      <w:bookmarkStart w:id="0" w:name="_heading=h.gjdgxs"/>
      <w:bookmarkEnd w:id="0"/>
    </w:p>
    <w:p w14:paraId="117CDB9C"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La muestra estuvo constituida por 376 pacientes, quienes padecían de alguna de las siguientes enfermedades cardiacas (IAM, insuficiencia cardiaca, cardiomiopatía) y que hayan sido atendidos en servicio de consultorio externo de la especialidad cardiología. Se excluyeron a pacientes cuyas historias clínicas se encontraron incompletas en las variables de interés o presentaban letra no legible. El muestreo fue no probabilístico por conveniencia. Se incluyeron 376 pacientes.</w:t>
      </w:r>
    </w:p>
    <w:p w14:paraId="7E01B953" w14:textId="77777777" w:rsidR="00CB7C69" w:rsidRPr="00CB7C69" w:rsidRDefault="00CB7C69" w:rsidP="00CB7C69">
      <w:pPr>
        <w:widowControl w:val="0"/>
        <w:suppressAutoHyphens/>
        <w:spacing w:line="360" w:lineRule="auto"/>
        <w:jc w:val="center"/>
        <w:rPr>
          <w:rFonts w:eastAsia="Calibri"/>
          <w:sz w:val="28"/>
          <w:szCs w:val="28"/>
          <w:lang w:val="es-PE" w:eastAsia="es-PE"/>
        </w:rPr>
      </w:pPr>
      <w:r w:rsidRPr="00CB7C69">
        <w:rPr>
          <w:rFonts w:eastAsia="Calibri"/>
          <w:b/>
          <w:sz w:val="28"/>
          <w:szCs w:val="28"/>
          <w:lang w:val="es-PE" w:eastAsia="es-PE"/>
        </w:rPr>
        <w:t>Procedimientos de estudio</w:t>
      </w:r>
    </w:p>
    <w:p w14:paraId="232F9433"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 xml:space="preserve">Se construyó una ficha de recolección de datos. Se revisaron las historias clínicas de los pacientes y se procedió a llenar su respectiva ficha de datos. Posteriormente, se ingresaron los datos en el programa </w:t>
      </w:r>
      <w:r w:rsidRPr="00CB7C69">
        <w:rPr>
          <w:rFonts w:eastAsia="Calibri"/>
          <w:lang w:val="es-PE" w:eastAsia="es-PE"/>
        </w:rPr>
        <w:lastRenderedPageBreak/>
        <w:t xml:space="preserve">Microsoft Excel 2013. </w:t>
      </w:r>
    </w:p>
    <w:p w14:paraId="7355237E" w14:textId="77777777" w:rsidR="00CB7C69" w:rsidRPr="00CB7C69" w:rsidRDefault="00CB7C69" w:rsidP="00CB7C69">
      <w:pPr>
        <w:widowControl w:val="0"/>
        <w:suppressAutoHyphens/>
        <w:spacing w:line="360" w:lineRule="auto"/>
        <w:jc w:val="center"/>
        <w:rPr>
          <w:rFonts w:eastAsia="Calibri"/>
          <w:sz w:val="28"/>
          <w:szCs w:val="28"/>
          <w:lang w:val="es-PE" w:eastAsia="es-PE"/>
        </w:rPr>
      </w:pPr>
      <w:r w:rsidRPr="00CB7C69">
        <w:rPr>
          <w:rFonts w:eastAsia="Calibri"/>
          <w:b/>
          <w:sz w:val="28"/>
          <w:szCs w:val="28"/>
          <w:lang w:val="es-PE" w:eastAsia="es-PE"/>
        </w:rPr>
        <w:t>Instrumentos y variables</w:t>
      </w:r>
    </w:p>
    <w:p w14:paraId="243F971B"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La ficha de recolección de datos estuvo compuesta por tres secciones: 1) código anonimizado de paciente y número de historia clínica, 2) datos epidemiológicos (edad y sexo), y 3) datos clínicos (antecedente de diabetes, HTA y diagnóstico de BRD).</w:t>
      </w:r>
    </w:p>
    <w:p w14:paraId="3694A3E0"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 xml:space="preserve">La variable dependiente fue BRD, definida operativamente como el registro de diagnóstico de BRD consignado en la historia clínica del participante, validado con el electrocardiograma, en la cual se constate una </w:t>
      </w:r>
      <w:r w:rsidRPr="00CB7C69">
        <w:rPr>
          <w:rFonts w:eastAsia="Roboto"/>
          <w:lang w:val="es-PE" w:eastAsia="es-PE"/>
        </w:rPr>
        <w:t>ampliación del complejo QRS (&gt; 120 ms)</w:t>
      </w:r>
      <w:r w:rsidRPr="00CB7C69">
        <w:rPr>
          <w:rFonts w:eastAsia="Calibri"/>
          <w:lang w:val="es-PE" w:eastAsia="es-PE"/>
        </w:rPr>
        <w:t xml:space="preserve"> debido al bloqueo total o parcial de la conducción hacia la rama derecha del haz de </w:t>
      </w:r>
      <w:proofErr w:type="spellStart"/>
      <w:r w:rsidRPr="00CB7C69">
        <w:rPr>
          <w:rFonts w:eastAsia="Calibri"/>
          <w:lang w:val="es-PE" w:eastAsia="es-PE"/>
        </w:rPr>
        <w:t>His</w:t>
      </w:r>
      <w:proofErr w:type="spellEnd"/>
      <w:r w:rsidRPr="00CB7C69">
        <w:rPr>
          <w:rFonts w:eastAsia="Calibri"/>
          <w:lang w:val="es-PE" w:eastAsia="es-PE"/>
        </w:rPr>
        <w:t xml:space="preserve">. </w:t>
      </w:r>
    </w:p>
    <w:p w14:paraId="7F5FA3A2"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 xml:space="preserve">Las variables independientes fueron sexo (masculino, femenino), edad en años, presencia de HTA (no, sí) y diabetes mellitus (no, sí). </w:t>
      </w:r>
    </w:p>
    <w:p w14:paraId="13158733" w14:textId="77777777" w:rsidR="00CB7C69" w:rsidRPr="00CB7C69" w:rsidRDefault="00CB7C69" w:rsidP="00CB7C69">
      <w:pPr>
        <w:widowControl w:val="0"/>
        <w:suppressAutoHyphens/>
        <w:spacing w:line="360" w:lineRule="auto"/>
        <w:jc w:val="center"/>
        <w:rPr>
          <w:rFonts w:eastAsia="Calibri"/>
          <w:sz w:val="28"/>
          <w:szCs w:val="28"/>
          <w:lang w:val="es-PE" w:eastAsia="es-PE"/>
        </w:rPr>
      </w:pPr>
      <w:r w:rsidRPr="00CB7C69">
        <w:rPr>
          <w:rFonts w:eastAsia="Calibri"/>
          <w:b/>
          <w:sz w:val="28"/>
          <w:szCs w:val="28"/>
          <w:lang w:val="es-PE" w:eastAsia="es-PE"/>
        </w:rPr>
        <w:t>Análisis estadístico</w:t>
      </w:r>
    </w:p>
    <w:p w14:paraId="3BF0610E"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Se utilizó el programa Stata v. 17.0; se realizó un análisis descriptivo de las variables categóricas, mediante la estimación de frecuencias absolutas y relativas. En el caso de las variables numéricas, se estimó la media y desviación estándar, previa evaluación de distribución normal.</w:t>
      </w:r>
    </w:p>
    <w:p w14:paraId="0FC83267"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 xml:space="preserve">En el análisis bivariado de las variables categóricas, se utilizó la prueba </w:t>
      </w:r>
      <w:r w:rsidRPr="00CB7C69">
        <w:rPr>
          <w:rFonts w:eastAsia="Calibri"/>
          <w:i/>
          <w:iCs/>
          <w:lang w:val="es-PE" w:eastAsia="es-PE"/>
        </w:rPr>
        <w:t>ji</w:t>
      </w:r>
      <w:r w:rsidRPr="00CB7C69">
        <w:rPr>
          <w:rFonts w:eastAsia="Calibri"/>
          <w:lang w:val="es-PE" w:eastAsia="es-PE"/>
        </w:rPr>
        <w:t xml:space="preserve"> cuadrado, para identificar los factores asociados a BRD. En el caso de la variable numérica (edad), se utilizó la prueba t de </w:t>
      </w:r>
      <w:proofErr w:type="spellStart"/>
      <w:r w:rsidRPr="00CB7C69">
        <w:rPr>
          <w:rFonts w:eastAsia="Calibri"/>
          <w:lang w:val="es-PE" w:eastAsia="es-PE"/>
        </w:rPr>
        <w:t>Student</w:t>
      </w:r>
      <w:proofErr w:type="spellEnd"/>
      <w:r w:rsidRPr="00CB7C69">
        <w:rPr>
          <w:rFonts w:eastAsia="Calibri"/>
          <w:lang w:val="es-PE" w:eastAsia="es-PE"/>
        </w:rPr>
        <w:t xml:space="preserve"> para varianzas constantes; previa evaluación de supuesto de distribución normal. Se trabajó con un nivel de significación del 5 %. </w:t>
      </w:r>
    </w:p>
    <w:p w14:paraId="0E424481" w14:textId="77777777" w:rsidR="00CB7C69" w:rsidRPr="00CB7C69" w:rsidRDefault="00CB7C69" w:rsidP="00CB7C69">
      <w:pPr>
        <w:widowControl w:val="0"/>
        <w:suppressAutoHyphens/>
        <w:spacing w:line="360" w:lineRule="auto"/>
        <w:jc w:val="both"/>
        <w:rPr>
          <w:rFonts w:eastAsia="Calibri"/>
          <w:sz w:val="22"/>
          <w:szCs w:val="22"/>
          <w:lang w:val="es-PE" w:eastAsia="es-PE"/>
        </w:rPr>
      </w:pPr>
      <w:r w:rsidRPr="00CB7C69">
        <w:rPr>
          <w:rFonts w:eastAsia="Calibri"/>
          <w:lang w:val="es-PE" w:eastAsia="es-PE"/>
        </w:rPr>
        <w:t xml:space="preserve">Se realizó un análisis de regresión simple y múltiple, para estimar razones de prevalencia (RP) e intervalos de confianza al 95 % (IC 95 %). Se utilizaron modelos lineales generalizados, familia de distribución Poisson y función de enlace log, con varianza robusta. Adicionalmente, se construyó un modelo anidado, haciendo uso de </w:t>
      </w:r>
      <w:r w:rsidRPr="00CB7C69">
        <w:rPr>
          <w:rFonts w:eastAsia="Calibri"/>
          <w:i/>
          <w:lang w:val="es-PE" w:eastAsia="es-PE"/>
        </w:rPr>
        <w:t xml:space="preserve">log </w:t>
      </w:r>
      <w:proofErr w:type="spellStart"/>
      <w:r w:rsidRPr="00CB7C69">
        <w:rPr>
          <w:rFonts w:eastAsia="Calibri"/>
          <w:i/>
          <w:lang w:val="es-PE" w:eastAsia="es-PE"/>
        </w:rPr>
        <w:t>likelihood</w:t>
      </w:r>
      <w:proofErr w:type="spellEnd"/>
      <w:r w:rsidRPr="00CB7C69">
        <w:rPr>
          <w:rFonts w:eastAsia="Calibri"/>
          <w:i/>
          <w:lang w:val="es-PE" w:eastAsia="es-PE"/>
        </w:rPr>
        <w:t xml:space="preserve"> ratio test</w:t>
      </w:r>
      <w:r w:rsidRPr="00CB7C69">
        <w:rPr>
          <w:rFonts w:eastAsia="Calibri"/>
          <w:lang w:val="es-PE" w:eastAsia="es-PE"/>
        </w:rPr>
        <w:t xml:space="preserve"> para evaluar la inclusión de cada variable en el modelo parsimónico final. </w:t>
      </w:r>
    </w:p>
    <w:p w14:paraId="1F4ACD5A" w14:textId="77777777" w:rsidR="00CB7C69" w:rsidRPr="00CB7C69" w:rsidRDefault="00CB7C69" w:rsidP="00CB7C69">
      <w:pPr>
        <w:widowControl w:val="0"/>
        <w:suppressAutoHyphens/>
        <w:spacing w:line="360" w:lineRule="auto"/>
        <w:jc w:val="center"/>
        <w:rPr>
          <w:rFonts w:eastAsia="Calibri"/>
          <w:sz w:val="28"/>
          <w:szCs w:val="28"/>
          <w:lang w:val="es-PE" w:eastAsia="es-PE"/>
        </w:rPr>
      </w:pPr>
      <w:r w:rsidRPr="00CB7C69">
        <w:rPr>
          <w:rFonts w:eastAsia="Calibri"/>
          <w:b/>
          <w:sz w:val="28"/>
          <w:szCs w:val="28"/>
          <w:lang w:val="es-PE" w:eastAsia="es-PE"/>
        </w:rPr>
        <w:t>Aspectos éticos</w:t>
      </w:r>
    </w:p>
    <w:p w14:paraId="13B4A9EC"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La presente investigación fue aprobada por el Comité de Ética de la Universidad San Martín de Porres. Se preservó la confidencialidad de los datos clínicos de los participantes, mediante el uso de códigos anonimizados en las fichas de recolección de datos.  </w:t>
      </w:r>
    </w:p>
    <w:p w14:paraId="14E78D5E" w14:textId="77777777" w:rsidR="00CB7C69" w:rsidRPr="00CB7C69" w:rsidRDefault="00CB7C69" w:rsidP="00CB7C69">
      <w:pPr>
        <w:suppressAutoHyphens/>
        <w:spacing w:line="360" w:lineRule="auto"/>
        <w:jc w:val="center"/>
        <w:rPr>
          <w:rFonts w:eastAsia="Calibri"/>
          <w:b/>
          <w:lang w:val="es-PE" w:eastAsia="es-PE"/>
        </w:rPr>
      </w:pPr>
    </w:p>
    <w:p w14:paraId="1226FF55" w14:textId="77777777" w:rsidR="00CB7C69" w:rsidRPr="00CB7C69" w:rsidRDefault="00CB7C69" w:rsidP="00CB7C69">
      <w:pPr>
        <w:suppressAutoHyphens/>
        <w:spacing w:line="360" w:lineRule="auto"/>
        <w:jc w:val="center"/>
        <w:rPr>
          <w:rFonts w:eastAsia="Calibri"/>
          <w:b/>
          <w:lang w:val="es-PE" w:eastAsia="es-PE"/>
        </w:rPr>
      </w:pPr>
    </w:p>
    <w:p w14:paraId="7D1E0B7C" w14:textId="77777777" w:rsidR="00CB7C69" w:rsidRPr="00CB7C69" w:rsidRDefault="00CB7C69" w:rsidP="00CB7C69">
      <w:pPr>
        <w:suppressAutoHyphens/>
        <w:spacing w:line="360" w:lineRule="auto"/>
        <w:jc w:val="center"/>
        <w:rPr>
          <w:rFonts w:eastAsia="Calibri"/>
          <w:sz w:val="32"/>
          <w:szCs w:val="32"/>
          <w:lang w:val="es-PE" w:eastAsia="es-PE"/>
        </w:rPr>
      </w:pPr>
      <w:r w:rsidRPr="00CB7C69">
        <w:rPr>
          <w:rFonts w:eastAsia="Calibri"/>
          <w:b/>
          <w:sz w:val="32"/>
          <w:szCs w:val="32"/>
          <w:lang w:val="es-PE" w:eastAsia="es-PE"/>
        </w:rPr>
        <w:t>RESULTADOS</w:t>
      </w:r>
    </w:p>
    <w:p w14:paraId="04AB8950"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PE" w:eastAsia="es-PE"/>
        </w:rPr>
        <w:t>De los 376 pacientes, el 11,4 % y 9 % presentó antecedente de HTA y diabetes mellitus respectivamente. El 41 % tuvo diagnóstico de BRD (tabla 1).</w:t>
      </w:r>
    </w:p>
    <w:p w14:paraId="43BF7FE1" w14:textId="77777777" w:rsidR="00CB7C69" w:rsidRPr="00CB7C69" w:rsidRDefault="00CB7C69" w:rsidP="00CB7C69">
      <w:pPr>
        <w:suppressAutoHyphens/>
        <w:spacing w:line="360" w:lineRule="auto"/>
        <w:jc w:val="both"/>
        <w:rPr>
          <w:rFonts w:eastAsia="Calibri"/>
          <w:sz w:val="22"/>
          <w:szCs w:val="22"/>
          <w:lang w:val="es-PE" w:eastAsia="es-PE"/>
        </w:rPr>
      </w:pPr>
    </w:p>
    <w:p w14:paraId="36D9CD23" w14:textId="77777777"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b/>
          <w:bCs/>
          <w:sz w:val="22"/>
          <w:szCs w:val="22"/>
          <w:lang w:val="es-PE" w:eastAsia="es-PE"/>
        </w:rPr>
        <w:t>Tabla 1</w:t>
      </w:r>
      <w:r w:rsidRPr="00CB7C69">
        <w:rPr>
          <w:rFonts w:eastAsia="Calibri"/>
          <w:sz w:val="22"/>
          <w:szCs w:val="22"/>
          <w:lang w:val="es-PE" w:eastAsia="es-PE"/>
        </w:rPr>
        <w:t xml:space="preserve">- Características de pacientes atendidos en un hospital de Lambayeque, Perú </w:t>
      </w:r>
    </w:p>
    <w:p w14:paraId="5C9F9347" w14:textId="6C16C6DB"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noProof/>
          <w:sz w:val="16"/>
          <w:szCs w:val="16"/>
          <w:lang w:val="es-PE" w:eastAsia="es-PE"/>
        </w:rPr>
        <w:drawing>
          <wp:inline distT="0" distB="0" distL="0" distR="0" wp14:anchorId="5FB4BD3C" wp14:editId="5DE317D9">
            <wp:extent cx="2200275" cy="3771900"/>
            <wp:effectExtent l="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3771900"/>
                    </a:xfrm>
                    <a:prstGeom prst="rect">
                      <a:avLst/>
                    </a:prstGeom>
                    <a:noFill/>
                    <a:ln>
                      <a:noFill/>
                    </a:ln>
                  </pic:spPr>
                </pic:pic>
              </a:graphicData>
            </a:graphic>
          </wp:inline>
        </w:drawing>
      </w:r>
    </w:p>
    <w:p w14:paraId="70E1E348" w14:textId="77777777"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sz w:val="16"/>
          <w:szCs w:val="16"/>
          <w:lang w:val="es-PE" w:eastAsia="es-PE"/>
        </w:rPr>
        <w:t>* Media ± desviación estándar.</w:t>
      </w:r>
    </w:p>
    <w:p w14:paraId="24D92EDA" w14:textId="77777777"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sz w:val="16"/>
          <w:szCs w:val="16"/>
          <w:lang w:val="es-PE" w:eastAsia="es-PE"/>
        </w:rPr>
        <w:t>BRD: bloqueo de rama derecha.</w:t>
      </w:r>
    </w:p>
    <w:p w14:paraId="3AE7380A" w14:textId="77777777" w:rsidR="00CB7C69" w:rsidRPr="00CB7C69" w:rsidRDefault="00CB7C69" w:rsidP="00CB7C69">
      <w:pPr>
        <w:suppressAutoHyphens/>
        <w:spacing w:line="360" w:lineRule="auto"/>
        <w:jc w:val="center"/>
        <w:rPr>
          <w:rFonts w:eastAsia="Calibri"/>
          <w:sz w:val="16"/>
          <w:szCs w:val="16"/>
          <w:lang w:val="es-PE" w:eastAsia="es-PE"/>
        </w:rPr>
      </w:pPr>
    </w:p>
    <w:p w14:paraId="535D9F1D"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PE" w:eastAsia="es-PE"/>
        </w:rPr>
        <w:t>La frecuencia de presentar BRD en mujeres era 18,3 % mayor que en hombres (51,2 % vs. 32,9 %; p&lt; 0,001). Adicionalmente, se evidenciaron diferencias en la frecuencia de BRD entre hipertensos y no hipertensos (62,8 % vs. 38,1 %; p= 0,02). También, se encontró que la frecuencia de BRD en diabéticos es 22,9 % mayor respecto a no diabéticos (61,8 % vs. 38,9 %; p= 0,010) (tabla 2).</w:t>
      </w:r>
    </w:p>
    <w:p w14:paraId="49AE0050" w14:textId="77777777" w:rsidR="00CB7C69" w:rsidRPr="00CB7C69" w:rsidRDefault="00CB7C69" w:rsidP="00CB7C69">
      <w:pPr>
        <w:suppressAutoHyphens/>
        <w:rPr>
          <w:rFonts w:eastAsia="Calibri"/>
          <w:b/>
          <w:bCs/>
          <w:sz w:val="22"/>
          <w:szCs w:val="22"/>
          <w:lang w:val="es-PE" w:eastAsia="es-PE"/>
        </w:rPr>
      </w:pPr>
    </w:p>
    <w:p w14:paraId="745A7948" w14:textId="77777777" w:rsidR="00CB7C69" w:rsidRPr="00CB7C69" w:rsidRDefault="00CB7C69" w:rsidP="00CB7C69">
      <w:pPr>
        <w:suppressAutoHyphens/>
        <w:jc w:val="center"/>
        <w:rPr>
          <w:rFonts w:eastAsia="Calibri"/>
          <w:sz w:val="22"/>
          <w:szCs w:val="22"/>
          <w:lang w:val="es-PE" w:eastAsia="es-PE"/>
        </w:rPr>
      </w:pPr>
      <w:r w:rsidRPr="00CB7C69">
        <w:rPr>
          <w:rFonts w:eastAsia="Calibri"/>
          <w:b/>
          <w:bCs/>
          <w:sz w:val="22"/>
          <w:szCs w:val="22"/>
          <w:lang w:val="es-PE" w:eastAsia="es-PE"/>
        </w:rPr>
        <w:t xml:space="preserve">Tabla 2 </w:t>
      </w:r>
      <w:r w:rsidRPr="00CB7C69">
        <w:rPr>
          <w:rFonts w:eastAsia="Calibri"/>
          <w:sz w:val="22"/>
          <w:szCs w:val="22"/>
          <w:lang w:val="es-PE" w:eastAsia="es-PE"/>
        </w:rPr>
        <w:t>- Factores asociados a BRD en pacientes atendidos en un hospital de Lambayeque, Perú en el análisis bivariado</w:t>
      </w:r>
    </w:p>
    <w:p w14:paraId="4DEBC414" w14:textId="1FA159B4"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noProof/>
          <w:sz w:val="16"/>
          <w:szCs w:val="16"/>
          <w:lang w:val="es-PE" w:eastAsia="es-PE"/>
        </w:rPr>
        <w:drawing>
          <wp:inline distT="0" distB="0" distL="0" distR="0" wp14:anchorId="780DD4D8" wp14:editId="729D826C">
            <wp:extent cx="3286125" cy="2667000"/>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2667000"/>
                    </a:xfrm>
                    <a:prstGeom prst="rect">
                      <a:avLst/>
                    </a:prstGeom>
                    <a:noFill/>
                    <a:ln>
                      <a:noFill/>
                    </a:ln>
                  </pic:spPr>
                </pic:pic>
              </a:graphicData>
            </a:graphic>
          </wp:inline>
        </w:drawing>
      </w:r>
    </w:p>
    <w:p w14:paraId="68CE1618" w14:textId="77777777"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sz w:val="16"/>
          <w:szCs w:val="16"/>
          <w:lang w:val="es-PE" w:eastAsia="es-PE"/>
        </w:rPr>
        <w:t>‡ Media ± desviación estándar.</w:t>
      </w:r>
    </w:p>
    <w:p w14:paraId="453286F6" w14:textId="77777777"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sz w:val="16"/>
          <w:szCs w:val="16"/>
          <w:lang w:val="es-PE" w:eastAsia="es-PE"/>
        </w:rPr>
        <w:t xml:space="preserve">* Valores p calculados con la prueba </w:t>
      </w:r>
      <w:r w:rsidRPr="00CB7C69">
        <w:rPr>
          <w:rFonts w:eastAsia="Calibri"/>
          <w:i/>
          <w:iCs/>
          <w:sz w:val="16"/>
          <w:szCs w:val="16"/>
          <w:lang w:val="es-PE" w:eastAsia="es-PE"/>
        </w:rPr>
        <w:t>ji</w:t>
      </w:r>
      <w:r w:rsidRPr="00CB7C69">
        <w:rPr>
          <w:rFonts w:eastAsia="Calibri"/>
          <w:sz w:val="16"/>
          <w:szCs w:val="16"/>
          <w:lang w:val="es-PE" w:eastAsia="es-PE"/>
        </w:rPr>
        <w:t xml:space="preserve"> cuadrado de independencia.</w:t>
      </w:r>
    </w:p>
    <w:p w14:paraId="3E7068F4" w14:textId="77777777"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sz w:val="16"/>
          <w:szCs w:val="16"/>
          <w:lang w:val="es-PE" w:eastAsia="es-PE"/>
        </w:rPr>
        <w:t xml:space="preserve">** Valores p calculados con la prueba t de </w:t>
      </w:r>
      <w:proofErr w:type="spellStart"/>
      <w:r w:rsidRPr="00CB7C69">
        <w:rPr>
          <w:rFonts w:eastAsia="Calibri"/>
          <w:sz w:val="16"/>
          <w:szCs w:val="16"/>
          <w:lang w:val="es-PE" w:eastAsia="es-PE"/>
        </w:rPr>
        <w:t>Student</w:t>
      </w:r>
      <w:proofErr w:type="spellEnd"/>
      <w:r w:rsidRPr="00CB7C69">
        <w:rPr>
          <w:rFonts w:eastAsia="Calibri"/>
          <w:sz w:val="16"/>
          <w:szCs w:val="16"/>
          <w:lang w:val="es-PE" w:eastAsia="es-PE"/>
        </w:rPr>
        <w:t xml:space="preserve"> para varianzas constantes.</w:t>
      </w:r>
    </w:p>
    <w:p w14:paraId="79772D75" w14:textId="77777777" w:rsidR="00CB7C69" w:rsidRPr="00CB7C69" w:rsidRDefault="00CB7C69" w:rsidP="00CB7C69">
      <w:pPr>
        <w:suppressAutoHyphens/>
        <w:spacing w:line="360" w:lineRule="auto"/>
        <w:jc w:val="center"/>
        <w:rPr>
          <w:rFonts w:eastAsia="Calibri"/>
          <w:lang w:val="es-PE" w:eastAsia="es-PE"/>
        </w:rPr>
      </w:pPr>
      <w:r w:rsidRPr="00CB7C69">
        <w:rPr>
          <w:rFonts w:eastAsia="Calibri"/>
          <w:sz w:val="16"/>
          <w:szCs w:val="16"/>
          <w:lang w:val="es-PE" w:eastAsia="es-PE"/>
        </w:rPr>
        <w:t>BRD: bloqueo rama derecha.</w:t>
      </w:r>
    </w:p>
    <w:p w14:paraId="6C17D305" w14:textId="77777777" w:rsidR="00CB7C69" w:rsidRPr="00CB7C69" w:rsidRDefault="00CB7C69" w:rsidP="00CB7C69">
      <w:pPr>
        <w:suppressAutoHyphens/>
        <w:spacing w:line="360" w:lineRule="auto"/>
        <w:jc w:val="both"/>
        <w:rPr>
          <w:rFonts w:eastAsia="Calibri"/>
          <w:lang w:val="es-PE" w:eastAsia="es-PE"/>
        </w:rPr>
      </w:pPr>
    </w:p>
    <w:p w14:paraId="690747D9"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PE" w:eastAsia="es-PE"/>
        </w:rPr>
        <w:t>En la regresión simple, la frecuencia de BRD fue 56 % (RP= 1,56), 65 % (RP= 1,65) y 59 % (RP= 1,59) superior en mujeres, hipertensos y diabéticos; respectivamente. Estas diferencias encontradas, se mantuvieron en términos de dirección y magnitud en la regresión múltiple; dado que el sexo femenino (RP= 1,53), antecedente de HTA (RP= 1,55) y diabetes mellitus (RP= 1,49) se asociaron de forma positiva a presentar BRD (tabla 3).</w:t>
      </w:r>
    </w:p>
    <w:p w14:paraId="575C325D" w14:textId="77777777" w:rsidR="00CB7C69" w:rsidRPr="00CB7C69" w:rsidRDefault="00CB7C69" w:rsidP="00CB7C69">
      <w:pPr>
        <w:suppressAutoHyphens/>
        <w:spacing w:line="360" w:lineRule="auto"/>
        <w:jc w:val="both"/>
        <w:rPr>
          <w:rFonts w:eastAsia="Calibri"/>
          <w:sz w:val="22"/>
          <w:szCs w:val="22"/>
          <w:lang w:val="es-PE" w:eastAsia="es-PE"/>
        </w:rPr>
      </w:pPr>
    </w:p>
    <w:p w14:paraId="0704EE29" w14:textId="77777777" w:rsidR="00CB7C69" w:rsidRPr="00CB7C69" w:rsidRDefault="00CB7C69" w:rsidP="00CB7C69">
      <w:pPr>
        <w:suppressAutoHyphens/>
        <w:rPr>
          <w:rFonts w:eastAsia="Calibri"/>
          <w:b/>
          <w:sz w:val="22"/>
          <w:szCs w:val="22"/>
          <w:lang w:val="es-PE" w:eastAsia="es-PE"/>
        </w:rPr>
      </w:pPr>
      <w:r w:rsidRPr="00CB7C69">
        <w:rPr>
          <w:rFonts w:eastAsia="Calibri"/>
          <w:b/>
          <w:sz w:val="22"/>
          <w:szCs w:val="22"/>
          <w:lang w:val="es-PE" w:eastAsia="es-PE"/>
        </w:rPr>
        <w:br w:type="page"/>
      </w:r>
    </w:p>
    <w:p w14:paraId="63313C3C" w14:textId="77777777"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b/>
          <w:sz w:val="22"/>
          <w:szCs w:val="22"/>
          <w:lang w:val="es-PE" w:eastAsia="es-PE"/>
        </w:rPr>
        <w:lastRenderedPageBreak/>
        <w:t>Tabla 3 -</w:t>
      </w:r>
      <w:r w:rsidRPr="00CB7C69">
        <w:rPr>
          <w:rFonts w:eastAsia="Calibri"/>
          <w:sz w:val="22"/>
          <w:szCs w:val="22"/>
          <w:lang w:val="es-PE" w:eastAsia="es-PE"/>
        </w:rPr>
        <w:t xml:space="preserve"> Factores asociados a BRD en pacientes atendidos en un hospital de Lambayeque, Perú; en el análisis de regresión simple y múltiple (n= 376).</w:t>
      </w:r>
    </w:p>
    <w:p w14:paraId="72E0C37A" w14:textId="232FE722"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noProof/>
          <w:sz w:val="16"/>
          <w:szCs w:val="16"/>
          <w:lang w:val="es-PE" w:eastAsia="es-PE"/>
        </w:rPr>
        <w:drawing>
          <wp:inline distT="0" distB="0" distL="0" distR="0" wp14:anchorId="6D30D0AB" wp14:editId="41743C08">
            <wp:extent cx="5153025" cy="2466975"/>
            <wp:effectExtent l="0" t="0" r="0"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3025" cy="2466975"/>
                    </a:xfrm>
                    <a:prstGeom prst="rect">
                      <a:avLst/>
                    </a:prstGeom>
                    <a:noFill/>
                    <a:ln>
                      <a:noFill/>
                    </a:ln>
                  </pic:spPr>
                </pic:pic>
              </a:graphicData>
            </a:graphic>
          </wp:inline>
        </w:drawing>
      </w:r>
    </w:p>
    <w:p w14:paraId="33B81EED" w14:textId="77777777" w:rsidR="00CB7C69" w:rsidRPr="00CB7C69" w:rsidRDefault="00CB7C69" w:rsidP="00CB7C69">
      <w:pPr>
        <w:suppressAutoHyphens/>
        <w:spacing w:line="360" w:lineRule="auto"/>
        <w:jc w:val="center"/>
        <w:rPr>
          <w:rFonts w:eastAsia="Calibri"/>
          <w:sz w:val="16"/>
          <w:szCs w:val="16"/>
          <w:lang w:val="es-PE" w:eastAsia="es-PE"/>
        </w:rPr>
      </w:pPr>
      <w:r w:rsidRPr="00CB7C69">
        <w:rPr>
          <w:rFonts w:eastAsia="Calibri"/>
          <w:sz w:val="16"/>
          <w:szCs w:val="16"/>
          <w:lang w:val="es-PE" w:eastAsia="es-PE"/>
        </w:rPr>
        <w:t>**Valores p obtenidos con modelos lineales generalizados (GLM), familia Poisson, función de enlace log, varianza robusta.</w:t>
      </w:r>
    </w:p>
    <w:p w14:paraId="39872A76" w14:textId="77777777" w:rsidR="00CB7C69" w:rsidRPr="00CB7C69" w:rsidRDefault="00CB7C69" w:rsidP="00CB7C69">
      <w:pPr>
        <w:suppressAutoHyphens/>
        <w:spacing w:line="360" w:lineRule="auto"/>
        <w:jc w:val="both"/>
        <w:rPr>
          <w:rFonts w:eastAsia="Calibri"/>
          <w:lang w:val="es-PE" w:eastAsia="es-PE"/>
        </w:rPr>
      </w:pPr>
    </w:p>
    <w:p w14:paraId="1174CBD5"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PE" w:eastAsia="es-PE"/>
        </w:rPr>
        <w:t>El modelo anidado seleccionó progresivamente las siguientes covariables: sexo y antecedente de HTA. La prevalencia de BRD fue 54 % (RP= 1,54) y 61 % (RP= 1,61) mayor en mujeres e hipertensos (tabla 4).</w:t>
      </w:r>
    </w:p>
    <w:p w14:paraId="48BC717C" w14:textId="77777777" w:rsidR="00CB7C69" w:rsidRPr="00CB7C69" w:rsidRDefault="00CB7C69" w:rsidP="00CB7C69">
      <w:pPr>
        <w:suppressAutoHyphens/>
        <w:spacing w:line="360" w:lineRule="auto"/>
        <w:jc w:val="both"/>
        <w:rPr>
          <w:rFonts w:eastAsia="Calibri"/>
          <w:sz w:val="22"/>
          <w:szCs w:val="22"/>
          <w:lang w:val="es-PE" w:eastAsia="es-PE"/>
        </w:rPr>
      </w:pPr>
    </w:p>
    <w:p w14:paraId="005A8A5A" w14:textId="77777777"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b/>
          <w:bCs/>
          <w:sz w:val="22"/>
          <w:szCs w:val="22"/>
          <w:lang w:val="es-PE" w:eastAsia="es-PE"/>
        </w:rPr>
        <w:t>Tabla 4 -</w:t>
      </w:r>
      <w:r w:rsidRPr="00CB7C69">
        <w:rPr>
          <w:rFonts w:eastAsia="Calibri"/>
          <w:sz w:val="22"/>
          <w:szCs w:val="22"/>
          <w:lang w:val="es-PE" w:eastAsia="es-PE"/>
        </w:rPr>
        <w:t xml:space="preserve"> Factores asociados a BRD en pacientes atendidos en un hospital de Lambayeque, Perú; en el análisis anidado (n= 376)</w:t>
      </w:r>
    </w:p>
    <w:p w14:paraId="2C7A4C2E" w14:textId="5772438D" w:rsidR="00CB7C69" w:rsidRPr="00CB7C69" w:rsidRDefault="00CB7C69" w:rsidP="00CB7C69">
      <w:pPr>
        <w:suppressAutoHyphens/>
        <w:spacing w:line="360" w:lineRule="auto"/>
        <w:jc w:val="center"/>
        <w:rPr>
          <w:rFonts w:eastAsia="Calibri"/>
          <w:lang w:val="es-PE" w:eastAsia="es-PE"/>
        </w:rPr>
      </w:pPr>
      <w:r w:rsidRPr="00CB7C69">
        <w:rPr>
          <w:rFonts w:eastAsia="Calibri"/>
          <w:noProof/>
          <w:lang w:val="es-PE" w:eastAsia="es-PE"/>
        </w:rPr>
        <w:drawing>
          <wp:inline distT="0" distB="0" distL="0" distR="0" wp14:anchorId="030B95F4" wp14:editId="6CC4DD7F">
            <wp:extent cx="3686175" cy="2466975"/>
            <wp:effectExtent l="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6175" cy="2466975"/>
                    </a:xfrm>
                    <a:prstGeom prst="rect">
                      <a:avLst/>
                    </a:prstGeom>
                    <a:noFill/>
                    <a:ln>
                      <a:noFill/>
                    </a:ln>
                  </pic:spPr>
                </pic:pic>
              </a:graphicData>
            </a:graphic>
          </wp:inline>
        </w:drawing>
      </w:r>
    </w:p>
    <w:p w14:paraId="6AC93E00" w14:textId="77777777" w:rsidR="00CB7C69" w:rsidRPr="00CB7C69" w:rsidRDefault="00CB7C69" w:rsidP="00CB7C69">
      <w:pPr>
        <w:suppressAutoHyphens/>
        <w:spacing w:line="360" w:lineRule="auto"/>
        <w:jc w:val="both"/>
        <w:rPr>
          <w:rFonts w:eastAsia="Calibri"/>
          <w:lang w:val="es-PE" w:eastAsia="es-PE"/>
        </w:rPr>
      </w:pPr>
    </w:p>
    <w:p w14:paraId="455C848E"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PE" w:eastAsia="es-PE"/>
        </w:rPr>
        <w:t xml:space="preserve">Se observa que la prevalencia de BRD fue mayor en pacientes hipertensos, en comparación con no hipertensos (Fig. 1). </w:t>
      </w:r>
    </w:p>
    <w:p w14:paraId="09560D7C" w14:textId="77777777" w:rsidR="00CB7C69" w:rsidRPr="00CB7C69" w:rsidRDefault="00CB7C69" w:rsidP="00CB7C69">
      <w:pPr>
        <w:suppressAutoHyphens/>
        <w:spacing w:line="360" w:lineRule="auto"/>
        <w:jc w:val="both"/>
        <w:rPr>
          <w:rFonts w:eastAsia="Calibri"/>
          <w:sz w:val="22"/>
          <w:szCs w:val="22"/>
          <w:lang w:val="es-PE" w:eastAsia="es-PE"/>
        </w:rPr>
      </w:pPr>
    </w:p>
    <w:p w14:paraId="455015FA" w14:textId="24A1B3E6"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noProof/>
          <w:sz w:val="22"/>
          <w:szCs w:val="22"/>
          <w:lang w:val="es-PE" w:eastAsia="es-PE"/>
        </w:rPr>
        <w:drawing>
          <wp:inline distT="0" distB="0" distL="0" distR="0" wp14:anchorId="6BE3A1CE" wp14:editId="40F8D21F">
            <wp:extent cx="4238625" cy="272415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8625" cy="2724150"/>
                    </a:xfrm>
                    <a:prstGeom prst="rect">
                      <a:avLst/>
                    </a:prstGeom>
                    <a:noFill/>
                    <a:ln>
                      <a:noFill/>
                    </a:ln>
                  </pic:spPr>
                </pic:pic>
              </a:graphicData>
            </a:graphic>
          </wp:inline>
        </w:drawing>
      </w:r>
    </w:p>
    <w:p w14:paraId="2C68000C" w14:textId="77777777"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b/>
          <w:bCs/>
          <w:sz w:val="22"/>
          <w:szCs w:val="22"/>
          <w:lang w:val="es-PE" w:eastAsia="es-PE"/>
        </w:rPr>
        <w:t>Fig. 1</w:t>
      </w:r>
      <w:r w:rsidRPr="00CB7C69">
        <w:rPr>
          <w:rFonts w:eastAsia="Calibri"/>
          <w:sz w:val="22"/>
          <w:szCs w:val="22"/>
          <w:lang w:val="es-PE" w:eastAsia="es-PE"/>
        </w:rPr>
        <w:t xml:space="preserve"> - Prevalencia de BRD según hipertensión arterial.</w:t>
      </w:r>
    </w:p>
    <w:p w14:paraId="2CD6993D" w14:textId="77777777" w:rsidR="00CB7C69" w:rsidRPr="00CB7C69" w:rsidRDefault="00CB7C69" w:rsidP="00CB7C69">
      <w:pPr>
        <w:suppressAutoHyphens/>
        <w:spacing w:line="360" w:lineRule="auto"/>
        <w:jc w:val="both"/>
        <w:rPr>
          <w:rFonts w:eastAsia="Calibri"/>
          <w:lang w:val="es-PE" w:eastAsia="es-PE"/>
        </w:rPr>
      </w:pPr>
    </w:p>
    <w:p w14:paraId="3FC17A93" w14:textId="77777777" w:rsidR="00CB7C69" w:rsidRPr="00CB7C69" w:rsidRDefault="00CB7C69" w:rsidP="00CB7C69">
      <w:pPr>
        <w:suppressAutoHyphens/>
        <w:spacing w:line="360" w:lineRule="auto"/>
        <w:jc w:val="center"/>
        <w:rPr>
          <w:rFonts w:eastAsia="Calibri"/>
          <w:b/>
          <w:sz w:val="32"/>
          <w:szCs w:val="32"/>
          <w:lang w:val="es-PE" w:eastAsia="es-PE"/>
        </w:rPr>
      </w:pPr>
    </w:p>
    <w:p w14:paraId="7C8822D4" w14:textId="77777777" w:rsidR="00CB7C69" w:rsidRPr="00CB7C69" w:rsidRDefault="00CB7C69" w:rsidP="00CB7C69">
      <w:pPr>
        <w:suppressAutoHyphens/>
        <w:spacing w:line="360" w:lineRule="auto"/>
        <w:jc w:val="center"/>
        <w:rPr>
          <w:rFonts w:eastAsia="Calibri"/>
          <w:sz w:val="32"/>
          <w:szCs w:val="32"/>
          <w:lang w:val="es-PE" w:eastAsia="es-PE"/>
        </w:rPr>
      </w:pPr>
      <w:r w:rsidRPr="00CB7C69">
        <w:rPr>
          <w:rFonts w:eastAsia="Calibri"/>
          <w:b/>
          <w:sz w:val="32"/>
          <w:szCs w:val="32"/>
          <w:lang w:val="es-PE" w:eastAsia="es-PE"/>
        </w:rPr>
        <w:t>DISCUSIÓN</w:t>
      </w:r>
    </w:p>
    <w:p w14:paraId="0DAD1F85" w14:textId="77777777" w:rsidR="00CB7C69" w:rsidRPr="00CB7C69" w:rsidRDefault="00CB7C69" w:rsidP="00CB7C69">
      <w:pPr>
        <w:suppressAutoHyphens/>
        <w:spacing w:line="360" w:lineRule="auto"/>
        <w:jc w:val="center"/>
        <w:rPr>
          <w:rFonts w:eastAsia="Calibri"/>
          <w:sz w:val="28"/>
          <w:szCs w:val="28"/>
          <w:lang w:val="es-PE" w:eastAsia="es-PE"/>
        </w:rPr>
      </w:pPr>
      <w:r w:rsidRPr="00CB7C69">
        <w:rPr>
          <w:rFonts w:eastAsia="Calibri"/>
          <w:b/>
          <w:iCs/>
          <w:sz w:val="28"/>
          <w:szCs w:val="28"/>
          <w:lang w:val="es-PE" w:eastAsia="es-PE"/>
        </w:rPr>
        <w:t>Prevalencia de BRD</w:t>
      </w:r>
    </w:p>
    <w:p w14:paraId="459EF893"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shd w:val="clear" w:color="auto" w:fill="FFFFFF"/>
          <w:lang w:val="es-PE" w:eastAsia="es-PE"/>
        </w:rPr>
        <w:t xml:space="preserve">En esta investigación se encontró una prevalencia de 41 % de BRD. Este hallazgo estuvo muy por encima de lo reportado en otros </w:t>
      </w:r>
      <w:proofErr w:type="gramStart"/>
      <w:r w:rsidRPr="00CB7C69">
        <w:rPr>
          <w:rFonts w:eastAsia="Calibri"/>
          <w:shd w:val="clear" w:color="auto" w:fill="FFFFFF"/>
          <w:lang w:val="es-PE" w:eastAsia="es-PE"/>
        </w:rPr>
        <w:t>estudios.</w:t>
      </w:r>
      <w:r w:rsidRPr="00CB7C69">
        <w:rPr>
          <w:rFonts w:eastAsia="Calibri"/>
          <w:shd w:val="clear" w:color="auto" w:fill="FFFFFF"/>
          <w:vertAlign w:val="superscript"/>
          <w:lang w:val="es-PE" w:eastAsia="es-PE"/>
        </w:rPr>
        <w:t>(</w:t>
      </w:r>
      <w:proofErr w:type="gramEnd"/>
      <w:r w:rsidRPr="00CB7C69">
        <w:rPr>
          <w:rFonts w:eastAsia="Calibri"/>
          <w:shd w:val="clear" w:color="auto" w:fill="FFFFFF"/>
          <w:vertAlign w:val="superscript"/>
          <w:lang w:val="es-PE" w:eastAsia="es-PE"/>
        </w:rPr>
        <w:t>2,3)</w:t>
      </w:r>
      <w:r w:rsidRPr="00CB7C69">
        <w:rPr>
          <w:rFonts w:eastAsia="Calibri"/>
          <w:shd w:val="clear" w:color="auto" w:fill="FFFFFF"/>
          <w:lang w:val="es-PE" w:eastAsia="es-PE"/>
        </w:rPr>
        <w:t xml:space="preserve"> </w:t>
      </w:r>
      <w:proofErr w:type="spellStart"/>
      <w:r w:rsidRPr="00CB7C69">
        <w:rPr>
          <w:rFonts w:eastAsia="Calibri"/>
          <w:i/>
          <w:iCs/>
          <w:lang w:val="es-CU" w:eastAsia="es-PE"/>
        </w:rPr>
        <w:t>Yeh</w:t>
      </w:r>
      <w:proofErr w:type="spellEnd"/>
      <w:r w:rsidRPr="00CB7C69">
        <w:rPr>
          <w:rFonts w:eastAsia="Calibri"/>
          <w:i/>
          <w:iCs/>
          <w:lang w:val="es-CU" w:eastAsia="es-PE"/>
        </w:rPr>
        <w:t xml:space="preserve"> SS-F</w:t>
      </w:r>
      <w:r w:rsidRPr="00CB7C69">
        <w:rPr>
          <w:rFonts w:eastAsia="Calibri"/>
          <w:lang w:val="es-CU" w:eastAsia="es-PE"/>
        </w:rPr>
        <w:t xml:space="preserve"> y otros</w:t>
      </w:r>
      <w:r w:rsidRPr="00CB7C69">
        <w:rPr>
          <w:rFonts w:eastAsia="Calibri"/>
          <w:shd w:val="clear" w:color="auto" w:fill="FFFFFF"/>
          <w:vertAlign w:val="superscript"/>
          <w:lang w:val="es-PE" w:eastAsia="es-PE"/>
        </w:rPr>
        <w:t>(3)</w:t>
      </w:r>
      <w:r w:rsidRPr="00CB7C69">
        <w:rPr>
          <w:rFonts w:eastAsia="Calibri"/>
          <w:shd w:val="clear" w:color="auto" w:fill="FFFFFF"/>
          <w:lang w:val="es-PE" w:eastAsia="es-PE"/>
        </w:rPr>
        <w:t xml:space="preserve"> investigaron prospectivamente la prevalencia de BRD en personas mayores de 65 años, en Taiwán;</w:t>
      </w:r>
      <w:r w:rsidRPr="00CB7C69">
        <w:rPr>
          <w:rFonts w:eastAsia="Calibri"/>
          <w:lang w:val="es-PE" w:eastAsia="es-PE"/>
        </w:rPr>
        <w:t xml:space="preserve"> determinaron una prevalencia de 5,05 %. En una cohorte de población mediterránea se observó una prevalencia del 3,2 </w:t>
      </w:r>
      <w:proofErr w:type="gramStart"/>
      <w:r w:rsidRPr="00CB7C69">
        <w:rPr>
          <w:rFonts w:eastAsia="Calibri"/>
          <w:lang w:val="es-PE" w:eastAsia="es-PE"/>
        </w:rPr>
        <w:t>%,</w:t>
      </w:r>
      <w:r w:rsidRPr="00CB7C69">
        <w:rPr>
          <w:rFonts w:eastAsia="Calibri"/>
          <w:vertAlign w:val="superscript"/>
          <w:lang w:val="es-PE" w:eastAsia="es-PE"/>
        </w:rPr>
        <w:t>(</w:t>
      </w:r>
      <w:proofErr w:type="gramEnd"/>
      <w:r w:rsidRPr="00CB7C69">
        <w:rPr>
          <w:rFonts w:eastAsia="Calibri"/>
          <w:vertAlign w:val="superscript"/>
          <w:lang w:val="es-PE" w:eastAsia="es-PE"/>
        </w:rPr>
        <w:t>2)</w:t>
      </w:r>
      <w:r w:rsidRPr="00CB7C69">
        <w:rPr>
          <w:rFonts w:eastAsia="Calibri"/>
          <w:lang w:val="es-PE" w:eastAsia="es-PE"/>
        </w:rPr>
        <w:t xml:space="preserve"> y otros estudios</w:t>
      </w:r>
      <w:r w:rsidRPr="00CB7C69">
        <w:rPr>
          <w:rFonts w:eastAsia="Calibri"/>
          <w:vertAlign w:val="superscript"/>
          <w:lang w:val="es-PE" w:eastAsia="es-PE"/>
        </w:rPr>
        <w:t>(14,6,15)</w:t>
      </w:r>
      <w:r w:rsidRPr="00CB7C69">
        <w:rPr>
          <w:rFonts w:eastAsia="Calibri"/>
          <w:lang w:val="es-PE" w:eastAsia="es-PE"/>
        </w:rPr>
        <w:t xml:space="preserve"> muestran prevalencias aún</w:t>
      </w:r>
      <w:r w:rsidRPr="00CB7C69">
        <w:rPr>
          <w:rFonts w:eastAsia="Calibri"/>
          <w:sz w:val="22"/>
          <w:szCs w:val="22"/>
          <w:lang w:val="es-PE" w:eastAsia="es-PE"/>
        </w:rPr>
        <w:t xml:space="preserve"> </w:t>
      </w:r>
      <w:r w:rsidRPr="00CB7C69">
        <w:rPr>
          <w:rFonts w:eastAsia="Calibri"/>
          <w:lang w:val="es-PE" w:eastAsia="es-PE"/>
        </w:rPr>
        <w:t xml:space="preserve">menores, de 1,8 %, 1,9 % y 1,25 %. Esto pudo ocurrir debido a que los participantes de este estudio eran mayores de 65 años, mientras otros </w:t>
      </w:r>
      <w:proofErr w:type="gramStart"/>
      <w:r w:rsidRPr="00CB7C69">
        <w:rPr>
          <w:rFonts w:eastAsia="Calibri"/>
          <w:lang w:val="es-PE" w:eastAsia="es-PE"/>
        </w:rPr>
        <w:t>estudios</w:t>
      </w:r>
      <w:r w:rsidRPr="00CB7C69">
        <w:rPr>
          <w:rFonts w:eastAsia="Calibri"/>
          <w:vertAlign w:val="superscript"/>
          <w:lang w:val="es-PE" w:eastAsia="es-PE"/>
        </w:rPr>
        <w:t>(</w:t>
      </w:r>
      <w:proofErr w:type="gramEnd"/>
      <w:r w:rsidRPr="00CB7C69">
        <w:rPr>
          <w:rFonts w:eastAsia="Calibri"/>
          <w:vertAlign w:val="superscript"/>
          <w:lang w:val="es-PE" w:eastAsia="es-PE"/>
        </w:rPr>
        <w:t xml:space="preserve">2,3,6) </w:t>
      </w:r>
      <w:r w:rsidRPr="00CB7C69">
        <w:rPr>
          <w:rFonts w:eastAsia="Calibri"/>
          <w:lang w:val="es-PE" w:eastAsia="es-PE"/>
        </w:rPr>
        <w:t>han evaluado pacientes jóvenes y adultos.</w:t>
      </w:r>
      <w:r w:rsidRPr="00CB7C69">
        <w:rPr>
          <w:rFonts w:eastAsia="Calibri"/>
          <w:vertAlign w:val="superscript"/>
          <w:lang w:val="es-PE" w:eastAsia="es-PE"/>
        </w:rPr>
        <w:t xml:space="preserve"> </w:t>
      </w:r>
      <w:r w:rsidRPr="00CB7C69">
        <w:rPr>
          <w:rFonts w:eastAsia="Calibri"/>
          <w:lang w:val="es-PE" w:eastAsia="es-PE"/>
        </w:rPr>
        <w:t xml:space="preserve">Adicionalmente, esto podría deberse a que la prevalencia de BRD aumenta con la edad, según lo reportado en múltiples estudios </w:t>
      </w:r>
      <w:proofErr w:type="gramStart"/>
      <w:r w:rsidRPr="00CB7C69">
        <w:rPr>
          <w:rFonts w:eastAsia="Calibri"/>
          <w:lang w:val="es-PE" w:eastAsia="es-PE"/>
        </w:rPr>
        <w:t>similares.</w:t>
      </w:r>
      <w:r w:rsidRPr="00CB7C69">
        <w:rPr>
          <w:rFonts w:eastAsia="Calibri"/>
          <w:vertAlign w:val="superscript"/>
          <w:lang w:val="es-PE" w:eastAsia="es-PE"/>
        </w:rPr>
        <w:t>(</w:t>
      </w:r>
      <w:proofErr w:type="gramEnd"/>
      <w:r w:rsidRPr="00CB7C69">
        <w:rPr>
          <w:rFonts w:eastAsia="Calibri"/>
          <w:vertAlign w:val="superscript"/>
          <w:lang w:val="es-PE" w:eastAsia="es-PE"/>
        </w:rPr>
        <w:t>14,15)</w:t>
      </w:r>
    </w:p>
    <w:p w14:paraId="7EB2EF46" w14:textId="77777777" w:rsidR="00CB7C69" w:rsidRPr="00CB7C69" w:rsidRDefault="00CB7C69" w:rsidP="00CB7C69">
      <w:pPr>
        <w:suppressAutoHyphens/>
        <w:spacing w:line="360" w:lineRule="auto"/>
        <w:jc w:val="center"/>
        <w:rPr>
          <w:rFonts w:eastAsia="Calibri"/>
          <w:sz w:val="28"/>
          <w:szCs w:val="28"/>
          <w:lang w:val="es-PE" w:eastAsia="es-PE"/>
        </w:rPr>
      </w:pPr>
      <w:r w:rsidRPr="00CB7C69">
        <w:rPr>
          <w:rFonts w:eastAsia="Calibri"/>
          <w:b/>
          <w:sz w:val="28"/>
          <w:szCs w:val="28"/>
          <w:lang w:val="es-PE" w:eastAsia="es-PE"/>
        </w:rPr>
        <w:lastRenderedPageBreak/>
        <w:t>Factores asociados a BRD</w:t>
      </w:r>
    </w:p>
    <w:p w14:paraId="31924266"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La prevalencia de BRD fue 54 % mayor en mujeres. Esto se contrapone con lo descrito por </w:t>
      </w:r>
      <w:proofErr w:type="spellStart"/>
      <w:r w:rsidRPr="00CB7C69">
        <w:rPr>
          <w:rFonts w:eastAsia="Calibri"/>
          <w:i/>
          <w:lang w:val="es-PE" w:eastAsia="es-PE"/>
        </w:rPr>
        <w:t>Alventosa-Zaidin</w:t>
      </w:r>
      <w:proofErr w:type="spellEnd"/>
      <w:r w:rsidRPr="00CB7C69">
        <w:rPr>
          <w:rFonts w:eastAsia="Calibri"/>
          <w:iCs/>
          <w:lang w:val="es-PE" w:eastAsia="es-PE"/>
        </w:rPr>
        <w:t xml:space="preserve"> y </w:t>
      </w:r>
      <w:proofErr w:type="gramStart"/>
      <w:r w:rsidRPr="00CB7C69">
        <w:rPr>
          <w:rFonts w:eastAsia="Calibri"/>
          <w:iCs/>
          <w:lang w:val="es-PE" w:eastAsia="es-PE"/>
        </w:rPr>
        <w:t>otros</w:t>
      </w:r>
      <w:r w:rsidRPr="00CB7C69">
        <w:rPr>
          <w:rFonts w:eastAsia="Calibri"/>
          <w:lang w:val="es-PE" w:eastAsia="es-PE"/>
        </w:rPr>
        <w:t>,</w:t>
      </w:r>
      <w:r w:rsidRPr="00CB7C69">
        <w:rPr>
          <w:rFonts w:eastAsia="Calibri"/>
          <w:vertAlign w:val="superscript"/>
          <w:lang w:val="es-PE" w:eastAsia="es-PE"/>
        </w:rPr>
        <w:t>(</w:t>
      </w:r>
      <w:proofErr w:type="gramEnd"/>
      <w:r w:rsidRPr="00CB7C69">
        <w:rPr>
          <w:rFonts w:eastAsia="Calibri"/>
          <w:vertAlign w:val="superscript"/>
          <w:lang w:val="es-PE" w:eastAsia="es-PE"/>
        </w:rPr>
        <w:t>2)</w:t>
      </w:r>
      <w:r w:rsidRPr="00CB7C69">
        <w:rPr>
          <w:rFonts w:eastAsia="Calibri"/>
          <w:lang w:val="es-PE" w:eastAsia="es-PE"/>
        </w:rPr>
        <w:t xml:space="preserve"> en el que el sexo masculino se asoció significativamente a una mayor probabilidad de presentar BRD (OR: 3,85). De igual manera, otros </w:t>
      </w:r>
      <w:proofErr w:type="gramStart"/>
      <w:r w:rsidRPr="00CB7C69">
        <w:rPr>
          <w:rFonts w:eastAsia="Calibri"/>
          <w:lang w:val="es-PE" w:eastAsia="es-PE"/>
        </w:rPr>
        <w:t>estudios</w:t>
      </w:r>
      <w:r w:rsidRPr="00CB7C69">
        <w:rPr>
          <w:rFonts w:eastAsia="Calibri"/>
          <w:vertAlign w:val="superscript"/>
          <w:lang w:val="es-PE" w:eastAsia="es-PE"/>
        </w:rPr>
        <w:t>(</w:t>
      </w:r>
      <w:proofErr w:type="gramEnd"/>
      <w:r w:rsidRPr="00CB7C69">
        <w:rPr>
          <w:rFonts w:eastAsia="Calibri"/>
          <w:vertAlign w:val="superscript"/>
          <w:lang w:val="es-PE" w:eastAsia="es-PE"/>
        </w:rPr>
        <w:t>16,17,18,19,20)</w:t>
      </w:r>
      <w:r w:rsidRPr="00CB7C69">
        <w:rPr>
          <w:rFonts w:eastAsia="Calibri"/>
          <w:lang w:val="es-PE" w:eastAsia="es-PE"/>
        </w:rPr>
        <w:t xml:space="preserve"> previos hallan una prevalencia de BRD 2 veces mayor en hombres que en mujeres.</w:t>
      </w:r>
    </w:p>
    <w:p w14:paraId="530A012B"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La prevalencia de BRD fue 61 % mayor en hipertensos. Esto es consistente con lo reportado por </w:t>
      </w:r>
      <w:r w:rsidRPr="00CB7C69">
        <w:rPr>
          <w:rFonts w:eastAsia="Calibri"/>
          <w:i/>
          <w:lang w:val="es-PE" w:eastAsia="es-PE"/>
        </w:rPr>
        <w:t xml:space="preserve">Gaba </w:t>
      </w:r>
      <w:r w:rsidRPr="00CB7C69">
        <w:rPr>
          <w:rFonts w:eastAsia="Calibri"/>
          <w:iCs/>
          <w:lang w:val="es-PE" w:eastAsia="es-PE"/>
        </w:rPr>
        <w:t xml:space="preserve">y </w:t>
      </w:r>
      <w:proofErr w:type="gramStart"/>
      <w:r w:rsidRPr="00CB7C69">
        <w:rPr>
          <w:rFonts w:eastAsia="Calibri"/>
          <w:iCs/>
          <w:lang w:val="es-PE" w:eastAsia="es-PE"/>
        </w:rPr>
        <w:t>otros</w:t>
      </w:r>
      <w:r w:rsidRPr="00CB7C69">
        <w:rPr>
          <w:rFonts w:eastAsia="Calibri"/>
          <w:lang w:val="es-PE" w:eastAsia="es-PE"/>
        </w:rPr>
        <w:t>,</w:t>
      </w:r>
      <w:r w:rsidRPr="00CB7C69">
        <w:rPr>
          <w:rFonts w:eastAsia="Calibri"/>
          <w:vertAlign w:val="superscript"/>
          <w:lang w:val="es-PE" w:eastAsia="es-PE"/>
        </w:rPr>
        <w:t>(</w:t>
      </w:r>
      <w:proofErr w:type="gramEnd"/>
      <w:r w:rsidRPr="00CB7C69">
        <w:rPr>
          <w:rFonts w:eastAsia="Calibri"/>
          <w:vertAlign w:val="superscript"/>
          <w:lang w:val="es-PE" w:eastAsia="es-PE"/>
        </w:rPr>
        <w:t>21)</w:t>
      </w:r>
      <w:r w:rsidRPr="00CB7C69">
        <w:rPr>
          <w:rFonts w:eastAsia="Calibri"/>
          <w:lang w:val="es-PE" w:eastAsia="es-PE"/>
        </w:rPr>
        <w:t xml:space="preserve"> que observaron una prevalencia 11 % mayor en hipertensos (34,1 % versus 23,7 %, p&lt; 0,0003). Sin embargo, se contrapone con lo descrito por </w:t>
      </w:r>
      <w:proofErr w:type="spellStart"/>
      <w:r w:rsidRPr="00CB7C69">
        <w:rPr>
          <w:rFonts w:eastAsia="Calibri"/>
          <w:i/>
          <w:lang w:val="es-PE" w:eastAsia="es-PE"/>
        </w:rPr>
        <w:t>Haataja</w:t>
      </w:r>
      <w:proofErr w:type="spellEnd"/>
      <w:r w:rsidRPr="00CB7C69">
        <w:rPr>
          <w:rFonts w:eastAsia="Calibri"/>
          <w:i/>
          <w:lang w:val="es-PE" w:eastAsia="es-PE"/>
        </w:rPr>
        <w:t xml:space="preserve"> </w:t>
      </w:r>
      <w:r w:rsidRPr="00CB7C69">
        <w:rPr>
          <w:rFonts w:eastAsia="Calibri"/>
          <w:iCs/>
          <w:lang w:val="es-PE" w:eastAsia="es-PE"/>
        </w:rPr>
        <w:t xml:space="preserve">y </w:t>
      </w:r>
      <w:proofErr w:type="gramStart"/>
      <w:r w:rsidRPr="00CB7C69">
        <w:rPr>
          <w:rFonts w:eastAsia="Calibri"/>
          <w:iCs/>
          <w:lang w:val="es-PE" w:eastAsia="es-PE"/>
        </w:rPr>
        <w:t>otros</w:t>
      </w:r>
      <w:r w:rsidRPr="00CB7C69">
        <w:rPr>
          <w:rFonts w:eastAsia="Calibri"/>
          <w:lang w:val="es-PE" w:eastAsia="es-PE"/>
        </w:rPr>
        <w:t>,</w:t>
      </w:r>
      <w:r w:rsidRPr="00CB7C69">
        <w:rPr>
          <w:rFonts w:eastAsia="Calibri"/>
          <w:vertAlign w:val="superscript"/>
          <w:lang w:val="es-PE" w:eastAsia="es-PE"/>
        </w:rPr>
        <w:t>(</w:t>
      </w:r>
      <w:proofErr w:type="gramEnd"/>
      <w:r w:rsidRPr="00CB7C69">
        <w:rPr>
          <w:rFonts w:eastAsia="Calibri"/>
          <w:vertAlign w:val="superscript"/>
          <w:lang w:val="es-PE" w:eastAsia="es-PE"/>
        </w:rPr>
        <w:t>14)</w:t>
      </w:r>
      <w:r w:rsidRPr="00CB7C69">
        <w:rPr>
          <w:rFonts w:eastAsia="Calibri"/>
          <w:lang w:val="es-PE" w:eastAsia="es-PE"/>
        </w:rPr>
        <w:t xml:space="preserve"> en el cual las diferencias fueron menores y solo estadísticamente significativas en mujeres (36,8 % versus 30,3 %, p= 0,028). Asimismo, el estudio de </w:t>
      </w:r>
      <w:proofErr w:type="spellStart"/>
      <w:proofErr w:type="gramStart"/>
      <w:r w:rsidRPr="00CB7C69">
        <w:rPr>
          <w:rFonts w:eastAsia="Calibri"/>
          <w:lang w:val="es-PE" w:eastAsia="es-PE"/>
        </w:rPr>
        <w:t>Reykjavik</w:t>
      </w:r>
      <w:proofErr w:type="spellEnd"/>
      <w:r w:rsidRPr="00CB7C69">
        <w:rPr>
          <w:rFonts w:eastAsia="Calibri"/>
          <w:vertAlign w:val="superscript"/>
          <w:lang w:val="es-PE" w:eastAsia="es-PE"/>
        </w:rPr>
        <w:t>(</w:t>
      </w:r>
      <w:proofErr w:type="gramEnd"/>
      <w:r w:rsidRPr="00CB7C69">
        <w:rPr>
          <w:rFonts w:eastAsia="Calibri"/>
          <w:vertAlign w:val="superscript"/>
          <w:lang w:val="es-PE" w:eastAsia="es-PE"/>
        </w:rPr>
        <w:t>7)</w:t>
      </w:r>
      <w:r w:rsidRPr="00CB7C69">
        <w:rPr>
          <w:rFonts w:eastAsia="Calibri"/>
          <w:lang w:val="es-PE" w:eastAsia="es-PE"/>
        </w:rPr>
        <w:t xml:space="preserve"> reporta que en personas menores de 60 años, la hipertensión se asocia a una mayor prevalencia de BRD . Esta asociación podría deberse a que el BRD está asociado a enfermedad cardiovascular preexistente incluida la </w:t>
      </w:r>
      <w:proofErr w:type="gramStart"/>
      <w:r w:rsidRPr="00CB7C69">
        <w:rPr>
          <w:rFonts w:eastAsia="Calibri"/>
          <w:lang w:val="es-PE" w:eastAsia="es-PE"/>
        </w:rPr>
        <w:t>hipertensión.</w:t>
      </w:r>
      <w:r w:rsidRPr="00CB7C69">
        <w:rPr>
          <w:rFonts w:eastAsia="Calibri"/>
          <w:vertAlign w:val="superscript"/>
          <w:lang w:val="es-PE" w:eastAsia="es-PE"/>
        </w:rPr>
        <w:t>(</w:t>
      </w:r>
      <w:proofErr w:type="gramEnd"/>
      <w:r w:rsidRPr="00CB7C69">
        <w:rPr>
          <w:rFonts w:eastAsia="Calibri"/>
          <w:vertAlign w:val="superscript"/>
          <w:lang w:val="es-PE" w:eastAsia="es-PE"/>
        </w:rPr>
        <w:t>22)</w:t>
      </w:r>
    </w:p>
    <w:p w14:paraId="41DBBEB7"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Tener diabetes mellitus incrementa 49 % la prevalencia de BRD. Esto es consistente con lo reportado por</w:t>
      </w:r>
      <w:r w:rsidRPr="00CB7C69">
        <w:rPr>
          <w:rFonts w:eastAsia="Calibri"/>
          <w:i/>
          <w:lang w:val="es-PE" w:eastAsia="es-PE"/>
        </w:rPr>
        <w:t xml:space="preserve"> </w:t>
      </w:r>
      <w:proofErr w:type="spellStart"/>
      <w:r w:rsidRPr="00CB7C69">
        <w:rPr>
          <w:rFonts w:eastAsia="Calibri"/>
          <w:i/>
          <w:lang w:val="es-PE" w:eastAsia="es-PE"/>
        </w:rPr>
        <w:t>Jeong</w:t>
      </w:r>
      <w:proofErr w:type="spellEnd"/>
      <w:r w:rsidRPr="00CB7C69">
        <w:rPr>
          <w:rFonts w:eastAsia="Calibri"/>
          <w:i/>
          <w:lang w:val="es-PE" w:eastAsia="es-PE"/>
        </w:rPr>
        <w:t xml:space="preserve"> </w:t>
      </w:r>
      <w:r w:rsidRPr="00CB7C69">
        <w:rPr>
          <w:rFonts w:eastAsia="Calibri"/>
          <w:iCs/>
          <w:lang w:val="es-PE" w:eastAsia="es-PE"/>
        </w:rPr>
        <w:t xml:space="preserve">y </w:t>
      </w:r>
      <w:proofErr w:type="gramStart"/>
      <w:r w:rsidRPr="00CB7C69">
        <w:rPr>
          <w:rFonts w:eastAsia="Calibri"/>
          <w:iCs/>
          <w:lang w:val="es-PE" w:eastAsia="es-PE"/>
        </w:rPr>
        <w:t>otros</w:t>
      </w:r>
      <w:r w:rsidRPr="00CB7C69">
        <w:rPr>
          <w:rFonts w:eastAsia="Calibri"/>
          <w:vertAlign w:val="superscript"/>
          <w:lang w:val="es-PE" w:eastAsia="es-PE"/>
        </w:rPr>
        <w:t>(</w:t>
      </w:r>
      <w:proofErr w:type="gramEnd"/>
      <w:r w:rsidRPr="00CB7C69">
        <w:rPr>
          <w:rFonts w:eastAsia="Calibri"/>
          <w:vertAlign w:val="superscript"/>
          <w:lang w:val="es-PE" w:eastAsia="es-PE"/>
        </w:rPr>
        <w:t>4)</w:t>
      </w:r>
      <w:r w:rsidRPr="00CB7C69">
        <w:rPr>
          <w:rFonts w:eastAsia="Calibri"/>
          <w:i/>
          <w:lang w:val="es-PE" w:eastAsia="es-PE"/>
        </w:rPr>
        <w:t xml:space="preserve"> </w:t>
      </w:r>
      <w:r w:rsidRPr="00CB7C69">
        <w:rPr>
          <w:rFonts w:eastAsia="Calibri"/>
          <w:lang w:val="es-PE" w:eastAsia="es-PE"/>
        </w:rPr>
        <w:t xml:space="preserve">que al evaluar a 14 540 adultos coreanos; la edad, el sexo, la hipertensión y la diabetes resultaron asociados positivamente a BRD. Asimismo, en un </w:t>
      </w:r>
      <w:proofErr w:type="gramStart"/>
      <w:r w:rsidRPr="00CB7C69">
        <w:rPr>
          <w:rFonts w:eastAsia="Calibri"/>
          <w:lang w:val="es-PE" w:eastAsia="es-PE"/>
        </w:rPr>
        <w:t>estudio</w:t>
      </w:r>
      <w:r w:rsidRPr="00CB7C69">
        <w:rPr>
          <w:rFonts w:eastAsia="Calibri"/>
          <w:vertAlign w:val="superscript"/>
          <w:lang w:val="es-PE" w:eastAsia="es-PE"/>
        </w:rPr>
        <w:t>(</w:t>
      </w:r>
      <w:proofErr w:type="gramEnd"/>
      <w:r w:rsidRPr="00CB7C69">
        <w:rPr>
          <w:rFonts w:eastAsia="Calibri"/>
          <w:vertAlign w:val="superscript"/>
          <w:lang w:val="es-PE" w:eastAsia="es-PE"/>
        </w:rPr>
        <w:t>23)</w:t>
      </w:r>
      <w:r w:rsidRPr="00CB7C69">
        <w:rPr>
          <w:rFonts w:eastAsia="Calibri"/>
          <w:lang w:val="es-PE" w:eastAsia="es-PE"/>
        </w:rPr>
        <w:t xml:space="preserve"> realizado a 855 varones de Suecia, se encontró que la diabetes fue más frecuente en aquellos pacientes con bloqueo de rama del haz de </w:t>
      </w:r>
      <w:proofErr w:type="spellStart"/>
      <w:r w:rsidRPr="00CB7C69">
        <w:rPr>
          <w:rFonts w:eastAsia="Calibri"/>
          <w:lang w:val="es-PE" w:eastAsia="es-PE"/>
        </w:rPr>
        <w:t>His</w:t>
      </w:r>
      <w:proofErr w:type="spellEnd"/>
      <w:r w:rsidRPr="00CB7C69">
        <w:rPr>
          <w:rFonts w:eastAsia="Calibri"/>
          <w:lang w:val="es-PE" w:eastAsia="es-PE"/>
        </w:rPr>
        <w:t xml:space="preserve">, lo cual apoya la teoría de que el bloqueo de rama es una enfermedad degenerativa progresiva, que afecta no solo al sistema de conducción, sino también al miocardio. Esta asociación se debe a que la neuropatía autonómica podría explicar las anomalías de la conducción cardíaca en los pacientes con </w:t>
      </w:r>
      <w:proofErr w:type="gramStart"/>
      <w:r w:rsidRPr="00CB7C69">
        <w:rPr>
          <w:rFonts w:eastAsia="Calibri"/>
          <w:lang w:val="es-PE" w:eastAsia="es-PE"/>
        </w:rPr>
        <w:t>diabetes.</w:t>
      </w:r>
      <w:r w:rsidRPr="00CB7C69">
        <w:rPr>
          <w:rFonts w:eastAsia="Calibri"/>
          <w:vertAlign w:val="superscript"/>
          <w:lang w:val="es-PE" w:eastAsia="es-PE"/>
        </w:rPr>
        <w:t>(</w:t>
      </w:r>
      <w:proofErr w:type="gramEnd"/>
      <w:r w:rsidRPr="00CB7C69">
        <w:rPr>
          <w:rFonts w:eastAsia="Calibri"/>
          <w:vertAlign w:val="superscript"/>
          <w:lang w:val="es-PE" w:eastAsia="es-PE"/>
        </w:rPr>
        <w:t>8)</w:t>
      </w:r>
      <w:r w:rsidRPr="00CB7C69">
        <w:rPr>
          <w:rFonts w:eastAsia="Calibri"/>
          <w:lang w:val="es-PE" w:eastAsia="es-PE"/>
        </w:rPr>
        <w:t xml:space="preserve"> A pesar de ello, no existe suficiente evidencia disponible que evalúe una asociación directa entre la neuropatía autonómica y las anomalías de la conducción cardíaca. Otro mecanismo posible es la </w:t>
      </w:r>
      <w:proofErr w:type="spellStart"/>
      <w:r w:rsidRPr="00CB7C69">
        <w:rPr>
          <w:rFonts w:eastAsia="Calibri"/>
          <w:lang w:val="es-PE" w:eastAsia="es-PE"/>
        </w:rPr>
        <w:t>hipercalemia</w:t>
      </w:r>
      <w:proofErr w:type="spellEnd"/>
      <w:r w:rsidRPr="00CB7C69">
        <w:rPr>
          <w:rFonts w:eastAsia="Calibri"/>
          <w:lang w:val="es-PE" w:eastAsia="es-PE"/>
        </w:rPr>
        <w:t xml:space="preserve"> que ha sido descrita en pacientes con diabetes y </w:t>
      </w:r>
      <w:proofErr w:type="gramStart"/>
      <w:r w:rsidRPr="00CB7C69">
        <w:rPr>
          <w:rFonts w:eastAsia="Calibri"/>
          <w:lang w:val="es-PE" w:eastAsia="es-PE"/>
        </w:rPr>
        <w:t>BRD.</w:t>
      </w:r>
      <w:r w:rsidRPr="00CB7C69">
        <w:rPr>
          <w:rFonts w:eastAsia="Calibri"/>
          <w:vertAlign w:val="superscript"/>
          <w:lang w:val="es-PE" w:eastAsia="es-PE"/>
        </w:rPr>
        <w:t>(</w:t>
      </w:r>
      <w:proofErr w:type="gramEnd"/>
      <w:r w:rsidRPr="00CB7C69">
        <w:rPr>
          <w:rFonts w:eastAsia="Calibri"/>
          <w:vertAlign w:val="superscript"/>
          <w:lang w:val="es-PE" w:eastAsia="es-PE"/>
        </w:rPr>
        <w:t xml:space="preserve">24) </w:t>
      </w:r>
      <w:r w:rsidRPr="00CB7C69">
        <w:rPr>
          <w:rFonts w:eastAsia="Calibri"/>
          <w:lang w:val="es-PE" w:eastAsia="es-PE"/>
        </w:rPr>
        <w:t xml:space="preserve">No obstante, este hallazgo se contrapone con lo descrito por </w:t>
      </w:r>
      <w:r w:rsidRPr="00CB7C69">
        <w:rPr>
          <w:rFonts w:eastAsia="Calibri"/>
          <w:i/>
          <w:iCs/>
          <w:lang w:val="es-PE" w:eastAsia="es-PE"/>
        </w:rPr>
        <w:t>Ruiz de Castroviejo</w:t>
      </w:r>
      <w:r w:rsidRPr="00CB7C69">
        <w:rPr>
          <w:rFonts w:eastAsia="Calibri"/>
          <w:lang w:val="es-PE" w:eastAsia="es-PE"/>
        </w:rPr>
        <w:t xml:space="preserve"> </w:t>
      </w:r>
      <w:r w:rsidRPr="00CB7C69">
        <w:rPr>
          <w:rFonts w:eastAsia="Calibri"/>
          <w:iCs/>
          <w:lang w:val="es-PE" w:eastAsia="es-PE"/>
        </w:rPr>
        <w:t>y otros</w:t>
      </w:r>
      <w:r w:rsidRPr="00CB7C69">
        <w:rPr>
          <w:rFonts w:eastAsia="Calibri"/>
          <w:lang w:val="es-PE" w:eastAsia="es-PE"/>
        </w:rPr>
        <w:t>,</w:t>
      </w:r>
      <w:r w:rsidRPr="00CB7C69">
        <w:rPr>
          <w:rFonts w:eastAsia="Calibri"/>
          <w:vertAlign w:val="superscript"/>
          <w:lang w:val="es-PE" w:eastAsia="es-PE"/>
        </w:rPr>
        <w:t>(25)</w:t>
      </w:r>
      <w:r w:rsidRPr="00CB7C69">
        <w:rPr>
          <w:rFonts w:eastAsia="Calibri"/>
          <w:lang w:val="es-PE" w:eastAsia="es-PE"/>
        </w:rPr>
        <w:t xml:space="preserve"> en el que hubo un mayor porcentaje de sujetos diabéticos entre los pacientes con bloqueo </w:t>
      </w:r>
      <w:proofErr w:type="spellStart"/>
      <w:r w:rsidRPr="00CB7C69">
        <w:rPr>
          <w:rFonts w:eastAsia="Calibri"/>
          <w:lang w:val="es-PE" w:eastAsia="es-PE"/>
        </w:rPr>
        <w:t>bifascicular</w:t>
      </w:r>
      <w:proofErr w:type="spellEnd"/>
      <w:r w:rsidRPr="00CB7C69">
        <w:rPr>
          <w:rFonts w:eastAsia="Calibri"/>
          <w:lang w:val="es-PE" w:eastAsia="es-PE"/>
        </w:rPr>
        <w:t xml:space="preserve"> que entre aquellos con BRD o bloqueo de rama izquierda solo.</w:t>
      </w:r>
    </w:p>
    <w:p w14:paraId="26304222" w14:textId="77777777" w:rsidR="00CB7C69" w:rsidRPr="00CB7C69" w:rsidRDefault="00CB7C69" w:rsidP="00CB7C69">
      <w:pPr>
        <w:suppressAutoHyphens/>
        <w:spacing w:line="360" w:lineRule="auto"/>
        <w:jc w:val="center"/>
        <w:rPr>
          <w:rFonts w:eastAsia="Calibri"/>
          <w:sz w:val="28"/>
          <w:szCs w:val="28"/>
          <w:lang w:val="es-PE" w:eastAsia="es-PE"/>
        </w:rPr>
      </w:pPr>
      <w:r w:rsidRPr="00CB7C69">
        <w:rPr>
          <w:rFonts w:eastAsia="Calibri"/>
          <w:b/>
          <w:sz w:val="28"/>
          <w:szCs w:val="28"/>
          <w:lang w:val="es-PE" w:eastAsia="es-PE"/>
        </w:rPr>
        <w:t>Implicaciones de los hallazgos para la salud pública</w:t>
      </w:r>
    </w:p>
    <w:p w14:paraId="2465C90D"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Estos resultados permiten reconocer la importancia de esta enfermedad, que según la literatura es una alteración muy poco frecuente. Esto exige a profesionales de la salud, a capacitarse en la detección </w:t>
      </w:r>
      <w:r w:rsidRPr="00CB7C69">
        <w:rPr>
          <w:rFonts w:eastAsia="Calibri"/>
          <w:lang w:val="es-PE" w:eastAsia="es-PE"/>
        </w:rPr>
        <w:lastRenderedPageBreak/>
        <w:t xml:space="preserve">temprana de esta alteración de conducción. Dichas acciones de prevención cobran relevancia al revisar datos que demuestran que el BRD se asocia con mayor riesgo cardiovascular y mortalidad por todas las causas en pacientes sin enfermedad cardiovascular conocida, incluso después de ajustar por </w:t>
      </w:r>
      <w:proofErr w:type="gramStart"/>
      <w:r w:rsidRPr="00CB7C69">
        <w:rPr>
          <w:rFonts w:eastAsia="Calibri"/>
          <w:lang w:val="es-PE" w:eastAsia="es-PE"/>
        </w:rPr>
        <w:t>comorbilidades.</w:t>
      </w:r>
      <w:r w:rsidRPr="00CB7C69">
        <w:rPr>
          <w:rFonts w:eastAsia="Calibri"/>
          <w:vertAlign w:val="superscript"/>
          <w:lang w:val="es-PE" w:eastAsia="es-PE"/>
        </w:rPr>
        <w:t>(</w:t>
      </w:r>
      <w:proofErr w:type="gramEnd"/>
      <w:r w:rsidRPr="00CB7C69">
        <w:rPr>
          <w:rFonts w:eastAsia="Calibri"/>
          <w:vertAlign w:val="superscript"/>
          <w:lang w:val="es-PE" w:eastAsia="es-PE"/>
        </w:rPr>
        <w:t>15,21,26)</w:t>
      </w:r>
    </w:p>
    <w:p w14:paraId="6FDEC220"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De la misma forma, el BRD se asocia con mayor frecuencia de HTA y diabetes mellitus, enfermedades con alta frecuencia en la población peruana y cuyos reportes van al alza en los últimos </w:t>
      </w:r>
      <w:proofErr w:type="gramStart"/>
      <w:r w:rsidRPr="00CB7C69">
        <w:rPr>
          <w:rFonts w:eastAsia="Calibri"/>
          <w:lang w:val="es-PE" w:eastAsia="es-PE"/>
        </w:rPr>
        <w:t>años.</w:t>
      </w:r>
      <w:r w:rsidRPr="00CB7C69">
        <w:rPr>
          <w:rFonts w:eastAsia="Calibri"/>
          <w:vertAlign w:val="superscript"/>
          <w:lang w:val="es-PE" w:eastAsia="es-PE"/>
        </w:rPr>
        <w:t>(</w:t>
      </w:r>
      <w:proofErr w:type="gramEnd"/>
      <w:r w:rsidRPr="00CB7C69">
        <w:rPr>
          <w:rFonts w:eastAsia="Calibri"/>
          <w:vertAlign w:val="superscript"/>
          <w:lang w:val="es-PE" w:eastAsia="es-PE"/>
        </w:rPr>
        <w:t>27,28,29)</w:t>
      </w:r>
    </w:p>
    <w:p w14:paraId="1A453176" w14:textId="77777777" w:rsidR="00CB7C69" w:rsidRPr="00CB7C69" w:rsidRDefault="00CB7C69" w:rsidP="00CB7C69">
      <w:pPr>
        <w:suppressAutoHyphens/>
        <w:spacing w:line="360" w:lineRule="auto"/>
        <w:jc w:val="center"/>
        <w:rPr>
          <w:rFonts w:eastAsia="Calibri"/>
          <w:sz w:val="28"/>
          <w:szCs w:val="28"/>
          <w:lang w:val="es-PE" w:eastAsia="es-PE"/>
        </w:rPr>
      </w:pPr>
      <w:r w:rsidRPr="00CB7C69">
        <w:rPr>
          <w:rFonts w:eastAsia="Calibri"/>
          <w:b/>
          <w:sz w:val="28"/>
          <w:szCs w:val="28"/>
          <w:lang w:val="es-PE" w:eastAsia="es-PE"/>
        </w:rPr>
        <w:t>Limitaciones y fortalezas</w:t>
      </w:r>
    </w:p>
    <w:p w14:paraId="6B8749A4"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Esta investigación presenta algunas limitaciones. Primero, el potencial sesgo de selección, debido a que la prevalencia de BRD no representa la prevalencia de la población general, ya que el estudio primario solo incluyó un hospital. Asimismo, solo se incluyeron pacientes mayores de 65 años, con una edad media de 75 años, lo cual dificulta la extrapolación de los resultados de prevalencia a nivel de la población general. Sin embargo, la prevalencia de BRD en grupos etarios menores es usualmente menor al 5 %. Existe un potencial sesgo de medición debido a que se revisó historias clínicas de forma retrospectiva que pudieron contener errores. Adicionalmente, podría existir sesgo de información, dado que no fue posible medir algunas variables como antecedente de IAM, obesidad, historia de consumo de tabaco o uso de fármacos que reducen la frecuencia cardiaca, que probablemente influyan en la prevalencia de </w:t>
      </w:r>
      <w:proofErr w:type="gramStart"/>
      <w:r w:rsidRPr="00CB7C69">
        <w:rPr>
          <w:rFonts w:eastAsia="Calibri"/>
          <w:lang w:val="es-PE" w:eastAsia="es-PE"/>
        </w:rPr>
        <w:t>BRD.</w:t>
      </w:r>
      <w:r w:rsidRPr="00CB7C69">
        <w:rPr>
          <w:rFonts w:eastAsia="Calibri"/>
          <w:vertAlign w:val="superscript"/>
          <w:lang w:val="es-PE" w:eastAsia="es-PE"/>
        </w:rPr>
        <w:t>(</w:t>
      </w:r>
      <w:proofErr w:type="gramEnd"/>
      <w:r w:rsidRPr="00CB7C69">
        <w:rPr>
          <w:rFonts w:eastAsia="Calibri"/>
          <w:vertAlign w:val="superscript"/>
          <w:lang w:val="es-PE" w:eastAsia="es-PE"/>
        </w:rPr>
        <w:t>30,31)</w:t>
      </w:r>
    </w:p>
    <w:p w14:paraId="4021073F"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 xml:space="preserve">A pesar de las limitaciones, este es el primer estudio a nivel nacional que explora los factores asociados a una mayor prevalencia de BRD en Perú. Además, tiene gran implicación clínica para profesionales de salud, </w:t>
      </w:r>
      <w:proofErr w:type="gramStart"/>
      <w:r w:rsidRPr="00CB7C69">
        <w:rPr>
          <w:rFonts w:eastAsia="Calibri"/>
          <w:lang w:val="es-PE" w:eastAsia="es-PE"/>
        </w:rPr>
        <w:t>que</w:t>
      </w:r>
      <w:proofErr w:type="gramEnd"/>
      <w:r w:rsidRPr="00CB7C69">
        <w:rPr>
          <w:rFonts w:eastAsia="Calibri"/>
          <w:lang w:val="es-PE" w:eastAsia="es-PE"/>
        </w:rPr>
        <w:t xml:space="preserve"> de ser hallada en individuos asintomáticos, contrariamente a la percepción común, debería alertar a médicos sobre el riesgo cardiovascular y el manejo de comorbilidades subyacentes.</w:t>
      </w:r>
    </w:p>
    <w:p w14:paraId="4E1FE0AA" w14:textId="77777777" w:rsidR="00CB7C69" w:rsidRPr="00CB7C69" w:rsidRDefault="00CB7C69" w:rsidP="00CB7C69">
      <w:pPr>
        <w:suppressAutoHyphens/>
        <w:spacing w:line="360" w:lineRule="auto"/>
        <w:jc w:val="both"/>
        <w:rPr>
          <w:rFonts w:eastAsia="Calibri"/>
          <w:sz w:val="22"/>
          <w:szCs w:val="22"/>
          <w:lang w:val="es-PE" w:eastAsia="es-PE"/>
        </w:rPr>
      </w:pPr>
      <w:r w:rsidRPr="00CB7C69">
        <w:rPr>
          <w:rFonts w:eastAsia="Calibri"/>
          <w:lang w:val="es-PE" w:eastAsia="es-PE"/>
        </w:rPr>
        <w:t>El sexo femenino, antecedente de HTA y diabetes mellitus se asocian de forma positiva a presentar BRD en adultos mayores.</w:t>
      </w:r>
    </w:p>
    <w:p w14:paraId="37FABF5D" w14:textId="77777777" w:rsidR="00CB7C69" w:rsidRPr="00CB7C69" w:rsidRDefault="00CB7C69" w:rsidP="00CB7C69">
      <w:pPr>
        <w:suppressAutoHyphens/>
        <w:spacing w:line="360" w:lineRule="auto"/>
        <w:jc w:val="center"/>
        <w:rPr>
          <w:rFonts w:eastAsia="Calibri"/>
          <w:lang w:val="es-PE" w:eastAsia="es-PE"/>
        </w:rPr>
      </w:pPr>
    </w:p>
    <w:p w14:paraId="298C11F4" w14:textId="77777777" w:rsidR="00CB7C69" w:rsidRPr="00CB7C69" w:rsidRDefault="00CB7C69" w:rsidP="00CB7C69">
      <w:pPr>
        <w:suppressAutoHyphens/>
        <w:spacing w:line="360" w:lineRule="auto"/>
        <w:jc w:val="center"/>
        <w:rPr>
          <w:rFonts w:eastAsia="Calibri"/>
          <w:b/>
          <w:sz w:val="32"/>
          <w:szCs w:val="32"/>
          <w:lang w:val="es-PE" w:eastAsia="es-PE"/>
        </w:rPr>
      </w:pPr>
    </w:p>
    <w:p w14:paraId="2197EC06" w14:textId="77777777" w:rsidR="00EB7608" w:rsidRDefault="00EB7608">
      <w:pPr>
        <w:rPr>
          <w:rFonts w:eastAsia="Calibri"/>
          <w:b/>
          <w:sz w:val="32"/>
          <w:szCs w:val="32"/>
          <w:lang w:val="es-PE" w:eastAsia="es-PE"/>
        </w:rPr>
      </w:pPr>
      <w:r>
        <w:rPr>
          <w:rFonts w:eastAsia="Calibri"/>
          <w:b/>
          <w:sz w:val="32"/>
          <w:szCs w:val="32"/>
          <w:lang w:val="es-PE" w:eastAsia="es-PE"/>
        </w:rPr>
        <w:br w:type="page"/>
      </w:r>
    </w:p>
    <w:p w14:paraId="7D9975D5" w14:textId="5D4455AE" w:rsidR="00CB7C69" w:rsidRPr="00CB7C69" w:rsidRDefault="00CB7C69" w:rsidP="00CB7C69">
      <w:pPr>
        <w:suppressAutoHyphens/>
        <w:spacing w:line="360" w:lineRule="auto"/>
        <w:jc w:val="center"/>
        <w:rPr>
          <w:rFonts w:eastAsia="Calibri"/>
          <w:sz w:val="32"/>
          <w:szCs w:val="32"/>
          <w:lang w:val="es-PE" w:eastAsia="es-PE"/>
        </w:rPr>
      </w:pPr>
      <w:r w:rsidRPr="00CB7C69">
        <w:rPr>
          <w:rFonts w:eastAsia="Calibri"/>
          <w:b/>
          <w:sz w:val="32"/>
          <w:szCs w:val="32"/>
          <w:lang w:val="es-PE" w:eastAsia="es-PE"/>
        </w:rPr>
        <w:lastRenderedPageBreak/>
        <w:t>REFERENCIAS BIBLIOGRÁFICAS</w:t>
      </w:r>
    </w:p>
    <w:p w14:paraId="034A756D"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s-CU" w:eastAsia="es-PE"/>
        </w:rPr>
        <w:t xml:space="preserve">1. </w:t>
      </w:r>
      <w:proofErr w:type="spellStart"/>
      <w:r w:rsidRPr="00CB7C69">
        <w:rPr>
          <w:rFonts w:eastAsia="Calibri"/>
          <w:lang w:val="es-CU" w:eastAsia="es-PE"/>
        </w:rPr>
        <w:t>Fauci</w:t>
      </w:r>
      <w:proofErr w:type="spellEnd"/>
      <w:r w:rsidRPr="00CB7C69">
        <w:rPr>
          <w:rFonts w:eastAsia="Calibri"/>
          <w:lang w:val="es-CU" w:eastAsia="es-PE"/>
        </w:rPr>
        <w:t xml:space="preserve"> AS, </w:t>
      </w:r>
      <w:proofErr w:type="spellStart"/>
      <w:r w:rsidRPr="00CB7C69">
        <w:rPr>
          <w:rFonts w:eastAsia="Calibri"/>
          <w:lang w:val="es-CU" w:eastAsia="es-PE"/>
        </w:rPr>
        <w:t>Kasper</w:t>
      </w:r>
      <w:proofErr w:type="spellEnd"/>
      <w:r w:rsidRPr="00CB7C69">
        <w:rPr>
          <w:rFonts w:eastAsia="Calibri"/>
          <w:lang w:val="es-CU" w:eastAsia="es-PE"/>
        </w:rPr>
        <w:t xml:space="preserve"> DL, </w:t>
      </w:r>
      <w:proofErr w:type="spellStart"/>
      <w:r w:rsidRPr="00CB7C69">
        <w:rPr>
          <w:rFonts w:eastAsia="Calibri"/>
          <w:lang w:val="es-CU" w:eastAsia="es-PE"/>
        </w:rPr>
        <w:t>Braunwald</w:t>
      </w:r>
      <w:proofErr w:type="spellEnd"/>
      <w:r w:rsidRPr="00CB7C69">
        <w:rPr>
          <w:rFonts w:eastAsia="Calibri"/>
          <w:lang w:val="es-CU" w:eastAsia="es-PE"/>
        </w:rPr>
        <w:t xml:space="preserve"> E, Hauser SL, Longo DL, Jameson JL, et al. </w:t>
      </w:r>
      <w:r w:rsidRPr="00CB7C69">
        <w:rPr>
          <w:rFonts w:eastAsia="Calibri"/>
          <w:lang w:val="es-PE" w:eastAsia="es-PE"/>
        </w:rPr>
        <w:t xml:space="preserve">Harrison-Principios de Medicina Interna. </w:t>
      </w:r>
      <w:r w:rsidRPr="00CB7C69">
        <w:rPr>
          <w:rFonts w:eastAsia="Calibri"/>
          <w:lang w:val="en-US" w:eastAsia="es-PE"/>
        </w:rPr>
        <w:t xml:space="preserve">14ª </w:t>
      </w:r>
      <w:proofErr w:type="spellStart"/>
      <w:r w:rsidRPr="00CB7C69">
        <w:rPr>
          <w:rFonts w:eastAsia="Calibri"/>
          <w:lang w:val="en-US" w:eastAsia="es-PE"/>
        </w:rPr>
        <w:t>edición</w:t>
      </w:r>
      <w:proofErr w:type="spellEnd"/>
      <w:r w:rsidRPr="00CB7C69">
        <w:rPr>
          <w:rFonts w:eastAsia="Calibri"/>
          <w:lang w:val="en-US" w:eastAsia="es-PE"/>
        </w:rPr>
        <w:t>. New York: McGraw-Hill; 1998.</w:t>
      </w:r>
    </w:p>
    <w:p w14:paraId="5A87929D"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 xml:space="preserve">2. </w:t>
      </w:r>
      <w:proofErr w:type="spellStart"/>
      <w:r w:rsidRPr="00CB7C69">
        <w:rPr>
          <w:rFonts w:eastAsia="Calibri"/>
          <w:lang w:val="en-US" w:eastAsia="es-PE"/>
        </w:rPr>
        <w:t>Alventosa-Zaidin</w:t>
      </w:r>
      <w:proofErr w:type="spellEnd"/>
      <w:r w:rsidRPr="00CB7C69">
        <w:rPr>
          <w:rFonts w:eastAsia="Calibri"/>
          <w:lang w:val="en-US" w:eastAsia="es-PE"/>
        </w:rPr>
        <w:t xml:space="preserve"> M, Font LG, Camps MB, </w:t>
      </w:r>
      <w:proofErr w:type="spellStart"/>
      <w:r w:rsidRPr="00CB7C69">
        <w:rPr>
          <w:rFonts w:eastAsia="Calibri"/>
          <w:lang w:val="en-US" w:eastAsia="es-PE"/>
        </w:rPr>
        <w:t>Saumell</w:t>
      </w:r>
      <w:proofErr w:type="spellEnd"/>
      <w:r w:rsidRPr="00CB7C69">
        <w:rPr>
          <w:rFonts w:eastAsia="Calibri"/>
          <w:lang w:val="en-US" w:eastAsia="es-PE"/>
        </w:rPr>
        <w:t xml:space="preserve"> CR, </w:t>
      </w:r>
      <w:proofErr w:type="spellStart"/>
      <w:r w:rsidRPr="00CB7C69">
        <w:rPr>
          <w:rFonts w:eastAsia="Calibri"/>
          <w:lang w:val="en-US" w:eastAsia="es-PE"/>
        </w:rPr>
        <w:t>Pera</w:t>
      </w:r>
      <w:proofErr w:type="spellEnd"/>
      <w:r w:rsidRPr="00CB7C69">
        <w:rPr>
          <w:rFonts w:eastAsia="Calibri"/>
          <w:lang w:val="en-US" w:eastAsia="es-PE"/>
        </w:rPr>
        <w:t xml:space="preserve"> G, </w:t>
      </w:r>
      <w:proofErr w:type="spellStart"/>
      <w:r w:rsidRPr="00CB7C69">
        <w:rPr>
          <w:rFonts w:eastAsia="Calibri"/>
          <w:lang w:val="en-US" w:eastAsia="es-PE"/>
        </w:rPr>
        <w:t>Sas</w:t>
      </w:r>
      <w:proofErr w:type="spellEnd"/>
      <w:r w:rsidRPr="00CB7C69">
        <w:rPr>
          <w:rFonts w:eastAsia="Calibri"/>
          <w:lang w:val="en-US" w:eastAsia="es-PE"/>
        </w:rPr>
        <w:t xml:space="preserve"> MTA, et al. Right bundle branch block: Prevalence, incidence, and cardiovascular morbidity and mortality in the general population. The European Journal of General Practice. 2019 [</w:t>
      </w:r>
      <w:proofErr w:type="spellStart"/>
      <w:r w:rsidRPr="00CB7C69">
        <w:rPr>
          <w:rFonts w:eastAsia="Calibri"/>
          <w:lang w:val="en-US" w:eastAsia="es-PE"/>
        </w:rPr>
        <w:t>acceso</w:t>
      </w:r>
      <w:proofErr w:type="spellEnd"/>
      <w:r w:rsidRPr="00CB7C69">
        <w:rPr>
          <w:rFonts w:eastAsia="Calibri"/>
          <w:lang w:val="en-US" w:eastAsia="es-PE"/>
        </w:rPr>
        <w:t xml:space="preserve">: 15/01/2022] 25(3):109-15.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19">
        <w:r w:rsidRPr="00CB7C69">
          <w:rPr>
            <w:rFonts w:eastAsia="Calibri"/>
            <w:color w:val="0563C1"/>
            <w:u w:val="single"/>
            <w:lang w:val="en-US" w:eastAsia="es-PE"/>
          </w:rPr>
          <w:t>https://pubmed.ncbi.nlm.nih.gov/31339387/</w:t>
        </w:r>
      </w:hyperlink>
    </w:p>
    <w:p w14:paraId="1E107DD6"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3. Yeh SS-F, Chen C-YJ, Wu I-C, Hsu C-C, Chen T-Y, Tseng W-T, et al. Prognostic value and prevalence of complete right bundle branch block in an elderly population: a community-based 10-year prospective study. </w:t>
      </w:r>
      <w:proofErr w:type="spellStart"/>
      <w:r w:rsidRPr="00CB7C69">
        <w:rPr>
          <w:rFonts w:eastAsia="Calibri"/>
          <w:lang w:val="es-CU" w:eastAsia="es-PE"/>
        </w:rPr>
        <w:t>Aging</w:t>
      </w:r>
      <w:proofErr w:type="spellEnd"/>
      <w:r w:rsidRPr="00CB7C69">
        <w:rPr>
          <w:rFonts w:eastAsia="Calibri"/>
          <w:lang w:val="es-CU" w:eastAsia="es-PE"/>
        </w:rPr>
        <w:t xml:space="preserve"> (Albany NY). 2020 [acceso: 15/01/2022];12(19): 19073-82. </w:t>
      </w:r>
      <w:r w:rsidRPr="00CB7C69">
        <w:rPr>
          <w:rFonts w:eastAsia="Calibri"/>
          <w:lang w:val="es-PE" w:eastAsia="es-PE"/>
        </w:rPr>
        <w:t xml:space="preserve">Disponible en: </w:t>
      </w:r>
      <w:hyperlink r:id="rId20">
        <w:r w:rsidRPr="00CB7C69">
          <w:rPr>
            <w:rFonts w:eastAsia="Calibri"/>
            <w:color w:val="0563C1"/>
            <w:u w:val="single"/>
            <w:lang w:val="es-PE" w:eastAsia="es-PE"/>
          </w:rPr>
          <w:t>https://www.ncbi.nlm.nih.gov/labs/pmc/articles/PMC7732323/</w:t>
        </w:r>
      </w:hyperlink>
    </w:p>
    <w:p w14:paraId="79B83B54" w14:textId="77777777" w:rsidR="00CB7C69" w:rsidRPr="00CB7C69" w:rsidRDefault="00CB7C69" w:rsidP="00CB7C69">
      <w:pPr>
        <w:suppressAutoHyphens/>
        <w:spacing w:line="360" w:lineRule="auto"/>
        <w:rPr>
          <w:rFonts w:eastAsia="Calibri"/>
          <w:sz w:val="22"/>
          <w:szCs w:val="22"/>
          <w:lang w:val="es-CU" w:eastAsia="es-PE"/>
        </w:rPr>
      </w:pPr>
      <w:r w:rsidRPr="00CB7C69">
        <w:rPr>
          <w:rFonts w:eastAsia="Calibri"/>
          <w:lang w:val="en-US" w:eastAsia="es-PE"/>
        </w:rPr>
        <w:t xml:space="preserve">4. </w:t>
      </w:r>
      <w:proofErr w:type="spellStart"/>
      <w:r w:rsidRPr="00CB7C69">
        <w:rPr>
          <w:rFonts w:eastAsia="Calibri"/>
          <w:lang w:val="en-US" w:eastAsia="es-PE"/>
        </w:rPr>
        <w:t>Jeong</w:t>
      </w:r>
      <w:proofErr w:type="spellEnd"/>
      <w:r w:rsidRPr="00CB7C69">
        <w:rPr>
          <w:rFonts w:eastAsia="Calibri"/>
          <w:lang w:val="en-US" w:eastAsia="es-PE"/>
        </w:rPr>
        <w:t xml:space="preserve"> JH, Kim JH, Park YH, Han DC, Hwang KW, Lee DW, et al. Incidence of and risk factors for bundle branch block in adults older than 40 years. </w:t>
      </w:r>
      <w:proofErr w:type="spellStart"/>
      <w:r w:rsidRPr="00CB7C69">
        <w:rPr>
          <w:rFonts w:eastAsia="Calibri"/>
          <w:lang w:val="es-CU" w:eastAsia="es-PE"/>
        </w:rPr>
        <w:t>Korean</w:t>
      </w:r>
      <w:proofErr w:type="spellEnd"/>
      <w:r w:rsidRPr="00CB7C69">
        <w:rPr>
          <w:rFonts w:eastAsia="Calibri"/>
          <w:lang w:val="es-CU" w:eastAsia="es-PE"/>
        </w:rPr>
        <w:t xml:space="preserve"> J </w:t>
      </w:r>
      <w:proofErr w:type="spellStart"/>
      <w:r w:rsidRPr="00CB7C69">
        <w:rPr>
          <w:rFonts w:eastAsia="Calibri"/>
          <w:lang w:val="es-CU" w:eastAsia="es-PE"/>
        </w:rPr>
        <w:t>Intern</w:t>
      </w:r>
      <w:proofErr w:type="spellEnd"/>
      <w:r w:rsidRPr="00CB7C69">
        <w:rPr>
          <w:rFonts w:eastAsia="Calibri"/>
          <w:lang w:val="es-CU" w:eastAsia="es-PE"/>
        </w:rPr>
        <w:t xml:space="preserve"> </w:t>
      </w:r>
      <w:proofErr w:type="spellStart"/>
      <w:r w:rsidRPr="00CB7C69">
        <w:rPr>
          <w:rFonts w:eastAsia="Calibri"/>
          <w:lang w:val="es-CU" w:eastAsia="es-PE"/>
        </w:rPr>
        <w:t>Med</w:t>
      </w:r>
      <w:proofErr w:type="spellEnd"/>
      <w:r w:rsidRPr="00CB7C69">
        <w:rPr>
          <w:rFonts w:eastAsia="Calibri"/>
          <w:lang w:val="es-CU" w:eastAsia="es-PE"/>
        </w:rPr>
        <w:t xml:space="preserve">. 2004 [acceso: 15/01/2022]; 19(3): 171-8. Disponible en: </w:t>
      </w:r>
      <w:hyperlink r:id="rId21">
        <w:r w:rsidRPr="00CB7C69">
          <w:rPr>
            <w:rFonts w:eastAsia="Calibri"/>
            <w:color w:val="0563C1"/>
            <w:u w:val="single"/>
            <w:lang w:val="es-CU" w:eastAsia="es-PE"/>
          </w:rPr>
          <w:t>https://pubmed.ncbi.nlm.nih.gov/15481609/</w:t>
        </w:r>
      </w:hyperlink>
    </w:p>
    <w:p w14:paraId="2BC8F563"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5. </w:t>
      </w:r>
      <w:proofErr w:type="spellStart"/>
      <w:r w:rsidRPr="00CB7C69">
        <w:rPr>
          <w:rFonts w:eastAsia="Calibri"/>
          <w:lang w:val="en-US" w:eastAsia="es-PE"/>
        </w:rPr>
        <w:t>Alventosa-Zaidin</w:t>
      </w:r>
      <w:proofErr w:type="spellEnd"/>
      <w:r w:rsidRPr="00CB7C69">
        <w:rPr>
          <w:rFonts w:eastAsia="Calibri"/>
          <w:lang w:val="en-US" w:eastAsia="es-PE"/>
        </w:rPr>
        <w:t xml:space="preserve"> M, Roca </w:t>
      </w:r>
      <w:proofErr w:type="spellStart"/>
      <w:r w:rsidRPr="00CB7C69">
        <w:rPr>
          <w:rFonts w:eastAsia="Calibri"/>
          <w:lang w:val="en-US" w:eastAsia="es-PE"/>
        </w:rPr>
        <w:t>Saumell</w:t>
      </w:r>
      <w:proofErr w:type="spellEnd"/>
      <w:r w:rsidRPr="00CB7C69">
        <w:rPr>
          <w:rFonts w:eastAsia="Calibri"/>
          <w:lang w:val="en-US" w:eastAsia="es-PE"/>
        </w:rPr>
        <w:t xml:space="preserve"> C, </w:t>
      </w:r>
      <w:proofErr w:type="spellStart"/>
      <w:r w:rsidRPr="00CB7C69">
        <w:rPr>
          <w:rFonts w:eastAsia="Calibri"/>
          <w:lang w:val="en-US" w:eastAsia="es-PE"/>
        </w:rPr>
        <w:t>Brugada</w:t>
      </w:r>
      <w:proofErr w:type="spellEnd"/>
      <w:r w:rsidRPr="00CB7C69">
        <w:rPr>
          <w:rFonts w:eastAsia="Calibri"/>
          <w:lang w:val="en-US" w:eastAsia="es-PE"/>
        </w:rPr>
        <w:t xml:space="preserve"> </w:t>
      </w:r>
      <w:proofErr w:type="spellStart"/>
      <w:r w:rsidRPr="00CB7C69">
        <w:rPr>
          <w:rFonts w:eastAsia="Calibri"/>
          <w:lang w:val="en-US" w:eastAsia="es-PE"/>
        </w:rPr>
        <w:t>Terradellas</w:t>
      </w:r>
      <w:proofErr w:type="spellEnd"/>
      <w:r w:rsidRPr="00CB7C69">
        <w:rPr>
          <w:rFonts w:eastAsia="Calibri"/>
          <w:lang w:val="en-US" w:eastAsia="es-PE"/>
        </w:rPr>
        <w:t xml:space="preserve"> J. Right bundle branch block and cardiovascular morbidity and mortality in healthy patients. </w:t>
      </w:r>
      <w:r w:rsidRPr="00CB7C69">
        <w:rPr>
          <w:rFonts w:eastAsia="Calibri"/>
          <w:lang w:val="es-PE" w:eastAsia="es-PE"/>
        </w:rPr>
        <w:t xml:space="preserve">Medicina Clínica (English </w:t>
      </w:r>
      <w:proofErr w:type="spellStart"/>
      <w:r w:rsidRPr="00CB7C69">
        <w:rPr>
          <w:rFonts w:eastAsia="Calibri"/>
          <w:lang w:val="es-PE" w:eastAsia="es-PE"/>
        </w:rPr>
        <w:t>Edition</w:t>
      </w:r>
      <w:proofErr w:type="spellEnd"/>
      <w:r w:rsidRPr="00CB7C69">
        <w:rPr>
          <w:rFonts w:eastAsia="Calibri"/>
          <w:lang w:val="es-PE" w:eastAsia="es-PE"/>
        </w:rPr>
        <w:t xml:space="preserve">). 2018 [acceso: 15/01/2022]; 151(10):402-11. Disponible en: </w:t>
      </w:r>
      <w:hyperlink r:id="rId22">
        <w:r w:rsidRPr="00CB7C69">
          <w:rPr>
            <w:rFonts w:eastAsia="Calibri"/>
            <w:color w:val="0563C1"/>
            <w:u w:val="single"/>
            <w:lang w:val="es-PE" w:eastAsia="es-PE"/>
          </w:rPr>
          <w:t>https://pubmed.ncbi.nlm.nih.gov/30139583/</w:t>
        </w:r>
      </w:hyperlink>
    </w:p>
    <w:p w14:paraId="577A91C8"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 xml:space="preserve">6. </w:t>
      </w:r>
      <w:proofErr w:type="spellStart"/>
      <w:r w:rsidRPr="00CB7C69">
        <w:rPr>
          <w:rFonts w:eastAsia="Calibri"/>
          <w:lang w:val="en-US" w:eastAsia="es-PE"/>
        </w:rPr>
        <w:t>Bussink</w:t>
      </w:r>
      <w:proofErr w:type="spellEnd"/>
      <w:r w:rsidRPr="00CB7C69">
        <w:rPr>
          <w:rFonts w:eastAsia="Calibri"/>
          <w:lang w:val="en-US" w:eastAsia="es-PE"/>
        </w:rPr>
        <w:t xml:space="preserve"> BE, Holst AG, Jespersen L, </w:t>
      </w:r>
      <w:proofErr w:type="spellStart"/>
      <w:r w:rsidRPr="00CB7C69">
        <w:rPr>
          <w:rFonts w:eastAsia="Calibri"/>
          <w:lang w:val="en-US" w:eastAsia="es-PE"/>
        </w:rPr>
        <w:t>Deckers</w:t>
      </w:r>
      <w:proofErr w:type="spellEnd"/>
      <w:r w:rsidRPr="00CB7C69">
        <w:rPr>
          <w:rFonts w:eastAsia="Calibri"/>
          <w:lang w:val="en-US" w:eastAsia="es-PE"/>
        </w:rPr>
        <w:t xml:space="preserve"> JW, Jensen GB, Prescott E. Right bundle branch block: prevalence, risk factors, and outcome in the general population: results from the Copenhagen City Heart Study. European Heart Journal.2013 [</w:t>
      </w:r>
      <w:proofErr w:type="spellStart"/>
      <w:r w:rsidRPr="00CB7C69">
        <w:rPr>
          <w:rFonts w:eastAsia="Calibri"/>
          <w:lang w:val="en-US" w:eastAsia="es-PE"/>
        </w:rPr>
        <w:t>acceso</w:t>
      </w:r>
      <w:proofErr w:type="spellEnd"/>
      <w:r w:rsidRPr="00CB7C69">
        <w:rPr>
          <w:rFonts w:eastAsia="Calibri"/>
          <w:lang w:val="en-US" w:eastAsia="es-PE"/>
        </w:rPr>
        <w:t xml:space="preserve">: 15/01/2022]; 34(2): 138-46.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23">
        <w:r w:rsidRPr="00CB7C69">
          <w:rPr>
            <w:rFonts w:eastAsia="Calibri"/>
            <w:color w:val="0563C1"/>
            <w:u w:val="single"/>
            <w:lang w:val="en-US" w:eastAsia="es-PE"/>
          </w:rPr>
          <w:t>https://pubmed.ncbi.nlm.nih.gov/22947613/</w:t>
        </w:r>
      </w:hyperlink>
    </w:p>
    <w:p w14:paraId="1437960D"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 xml:space="preserve">7. </w:t>
      </w:r>
      <w:proofErr w:type="spellStart"/>
      <w:r w:rsidRPr="00CB7C69">
        <w:rPr>
          <w:rFonts w:eastAsia="Calibri"/>
          <w:lang w:val="en-US" w:eastAsia="es-PE"/>
        </w:rPr>
        <w:t>Thrainsdottir</w:t>
      </w:r>
      <w:proofErr w:type="spellEnd"/>
      <w:r w:rsidRPr="00CB7C69">
        <w:rPr>
          <w:rFonts w:eastAsia="Calibri"/>
          <w:lang w:val="en-US" w:eastAsia="es-PE"/>
        </w:rPr>
        <w:t xml:space="preserve"> IS, </w:t>
      </w:r>
      <w:proofErr w:type="spellStart"/>
      <w:r w:rsidRPr="00CB7C69">
        <w:rPr>
          <w:rFonts w:eastAsia="Calibri"/>
          <w:lang w:val="en-US" w:eastAsia="es-PE"/>
        </w:rPr>
        <w:t>Hardarson</w:t>
      </w:r>
      <w:proofErr w:type="spellEnd"/>
      <w:r w:rsidRPr="00CB7C69">
        <w:rPr>
          <w:rFonts w:eastAsia="Calibri"/>
          <w:lang w:val="en-US" w:eastAsia="es-PE"/>
        </w:rPr>
        <w:t xml:space="preserve"> T, </w:t>
      </w:r>
      <w:proofErr w:type="spellStart"/>
      <w:r w:rsidRPr="00CB7C69">
        <w:rPr>
          <w:rFonts w:eastAsia="Calibri"/>
          <w:lang w:val="en-US" w:eastAsia="es-PE"/>
        </w:rPr>
        <w:t>Thorgeirsson</w:t>
      </w:r>
      <w:proofErr w:type="spellEnd"/>
      <w:r w:rsidRPr="00CB7C69">
        <w:rPr>
          <w:rFonts w:eastAsia="Calibri"/>
          <w:lang w:val="en-US" w:eastAsia="es-PE"/>
        </w:rPr>
        <w:t xml:space="preserve"> G, </w:t>
      </w:r>
      <w:proofErr w:type="spellStart"/>
      <w:r w:rsidRPr="00CB7C69">
        <w:rPr>
          <w:rFonts w:eastAsia="Calibri"/>
          <w:lang w:val="en-US" w:eastAsia="es-PE"/>
        </w:rPr>
        <w:t>Sigvaldason</w:t>
      </w:r>
      <w:proofErr w:type="spellEnd"/>
      <w:r w:rsidRPr="00CB7C69">
        <w:rPr>
          <w:rFonts w:eastAsia="Calibri"/>
          <w:lang w:val="en-US" w:eastAsia="es-PE"/>
        </w:rPr>
        <w:t xml:space="preserve"> H, </w:t>
      </w:r>
      <w:proofErr w:type="spellStart"/>
      <w:r w:rsidRPr="00CB7C69">
        <w:rPr>
          <w:rFonts w:eastAsia="Calibri"/>
          <w:lang w:val="en-US" w:eastAsia="es-PE"/>
        </w:rPr>
        <w:t>Sigfusson</w:t>
      </w:r>
      <w:proofErr w:type="spellEnd"/>
      <w:r w:rsidRPr="00CB7C69">
        <w:rPr>
          <w:rFonts w:eastAsia="Calibri"/>
          <w:lang w:val="en-US" w:eastAsia="es-PE"/>
        </w:rPr>
        <w:t xml:space="preserve"> N. The epidemiology of right bundle branch block and its association with cardiovascular morbidity — The Reykjavik Study. European Heart Journal.1993 [</w:t>
      </w:r>
      <w:proofErr w:type="spellStart"/>
      <w:r w:rsidRPr="00CB7C69">
        <w:rPr>
          <w:rFonts w:eastAsia="Calibri"/>
          <w:lang w:val="en-US" w:eastAsia="es-PE"/>
        </w:rPr>
        <w:t>acceso</w:t>
      </w:r>
      <w:proofErr w:type="spellEnd"/>
      <w:r w:rsidRPr="00CB7C69">
        <w:rPr>
          <w:rFonts w:eastAsia="Calibri"/>
          <w:lang w:val="en-US" w:eastAsia="es-PE"/>
        </w:rPr>
        <w:t xml:space="preserve">: 15/01/2022]; 14(12):1590-6.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24">
        <w:r w:rsidRPr="00CB7C69">
          <w:rPr>
            <w:rFonts w:eastAsia="Calibri"/>
            <w:color w:val="0563C1"/>
            <w:u w:val="single"/>
            <w:lang w:val="en-US" w:eastAsia="es-PE"/>
          </w:rPr>
          <w:t>https://pubmed.ncbi.nlm.nih.gov/8131755/</w:t>
        </w:r>
      </w:hyperlink>
    </w:p>
    <w:p w14:paraId="338435E2"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8. </w:t>
      </w:r>
      <w:proofErr w:type="spellStart"/>
      <w:r w:rsidRPr="00CB7C69">
        <w:rPr>
          <w:rFonts w:eastAsia="Calibri"/>
          <w:lang w:val="en-US" w:eastAsia="es-PE"/>
        </w:rPr>
        <w:t>Movahed</w:t>
      </w:r>
      <w:proofErr w:type="spellEnd"/>
      <w:r w:rsidRPr="00CB7C69">
        <w:rPr>
          <w:rFonts w:eastAsia="Calibri"/>
          <w:lang w:val="en-US" w:eastAsia="es-PE"/>
        </w:rPr>
        <w:t xml:space="preserve"> M-R. Diabetes as a risk factor for cardiac conduction defects: a review. </w:t>
      </w:r>
      <w:r w:rsidRPr="00CB7C69">
        <w:rPr>
          <w:rFonts w:eastAsia="Calibri"/>
          <w:lang w:val="es-PE" w:eastAsia="es-PE"/>
        </w:rPr>
        <w:t xml:space="preserve">Diabetes, </w:t>
      </w:r>
      <w:proofErr w:type="spellStart"/>
      <w:r w:rsidRPr="00CB7C69">
        <w:rPr>
          <w:rFonts w:eastAsia="Calibri"/>
          <w:lang w:val="es-PE" w:eastAsia="es-PE"/>
        </w:rPr>
        <w:t>Obesity</w:t>
      </w:r>
      <w:proofErr w:type="spellEnd"/>
      <w:r w:rsidRPr="00CB7C69">
        <w:rPr>
          <w:rFonts w:eastAsia="Calibri"/>
          <w:lang w:val="es-PE" w:eastAsia="es-PE"/>
        </w:rPr>
        <w:t xml:space="preserve"> and </w:t>
      </w:r>
      <w:proofErr w:type="spellStart"/>
      <w:r w:rsidRPr="00CB7C69">
        <w:rPr>
          <w:rFonts w:eastAsia="Calibri"/>
          <w:lang w:val="es-PE" w:eastAsia="es-PE"/>
        </w:rPr>
        <w:t>Metabolism</w:t>
      </w:r>
      <w:proofErr w:type="spellEnd"/>
      <w:r w:rsidRPr="00CB7C69">
        <w:rPr>
          <w:rFonts w:eastAsia="Calibri"/>
          <w:lang w:val="es-PE" w:eastAsia="es-PE"/>
        </w:rPr>
        <w:t xml:space="preserve">. 2007 [acceso: 15/01/2022]; 9(3): 276-81. Disponible en: </w:t>
      </w:r>
      <w:hyperlink r:id="rId25">
        <w:r w:rsidRPr="00CB7C69">
          <w:rPr>
            <w:rFonts w:eastAsia="Calibri"/>
            <w:color w:val="0563C1"/>
            <w:u w:val="single"/>
            <w:lang w:val="es-PE" w:eastAsia="es-PE"/>
          </w:rPr>
          <w:t>https://pubmed.ncbi.nlm.nih.gov/17391152/</w:t>
        </w:r>
      </w:hyperlink>
    </w:p>
    <w:p w14:paraId="7213EBAD"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lastRenderedPageBreak/>
        <w:t xml:space="preserve">9. Figueroa-Triana JF, Mora-Pabón G, Quitian-Moreno J, Álvarez-Gaviria M, Idrovo C, Cabrera JS, et al. </w:t>
      </w:r>
      <w:r w:rsidRPr="00CB7C69">
        <w:rPr>
          <w:rFonts w:eastAsia="Calibri"/>
          <w:lang w:val="en-US" w:eastAsia="es-PE"/>
        </w:rPr>
        <w:t xml:space="preserve">Acute myocardial infarction with right bundle branch block at presentation: Prevalence and mortality. </w:t>
      </w:r>
      <w:proofErr w:type="spellStart"/>
      <w:r w:rsidRPr="00CB7C69">
        <w:rPr>
          <w:rFonts w:eastAsia="Calibri"/>
          <w:lang w:val="es-CU" w:eastAsia="es-PE"/>
        </w:rPr>
        <w:t>Journal</w:t>
      </w:r>
      <w:proofErr w:type="spellEnd"/>
      <w:r w:rsidRPr="00CB7C69">
        <w:rPr>
          <w:rFonts w:eastAsia="Calibri"/>
          <w:lang w:val="es-CU" w:eastAsia="es-PE"/>
        </w:rPr>
        <w:t xml:space="preserve"> </w:t>
      </w:r>
      <w:proofErr w:type="spellStart"/>
      <w:r w:rsidRPr="00CB7C69">
        <w:rPr>
          <w:rFonts w:eastAsia="Calibri"/>
          <w:lang w:val="es-CU" w:eastAsia="es-PE"/>
        </w:rPr>
        <w:t>of</w:t>
      </w:r>
      <w:proofErr w:type="spellEnd"/>
      <w:r w:rsidRPr="00CB7C69">
        <w:rPr>
          <w:rFonts w:eastAsia="Calibri"/>
          <w:lang w:val="es-CU" w:eastAsia="es-PE"/>
        </w:rPr>
        <w:t xml:space="preserve"> </w:t>
      </w:r>
      <w:proofErr w:type="spellStart"/>
      <w:r w:rsidRPr="00CB7C69">
        <w:rPr>
          <w:rFonts w:eastAsia="Calibri"/>
          <w:lang w:val="es-CU" w:eastAsia="es-PE"/>
        </w:rPr>
        <w:t>Electrocardiology</w:t>
      </w:r>
      <w:proofErr w:type="spellEnd"/>
      <w:r w:rsidRPr="00CB7C69">
        <w:rPr>
          <w:rFonts w:eastAsia="Calibri"/>
          <w:lang w:val="es-CU" w:eastAsia="es-PE"/>
        </w:rPr>
        <w:t xml:space="preserve">. 2021 [acceso: 15/01/2022]; 66: 38-42. </w:t>
      </w:r>
      <w:r w:rsidRPr="00CB7C69">
        <w:rPr>
          <w:rFonts w:eastAsia="Calibri"/>
          <w:lang w:val="es-PE" w:eastAsia="es-PE"/>
        </w:rPr>
        <w:t xml:space="preserve">Disponible en: </w:t>
      </w:r>
      <w:hyperlink r:id="rId26">
        <w:r w:rsidRPr="00CB7C69">
          <w:rPr>
            <w:rFonts w:eastAsia="Calibri"/>
            <w:color w:val="0563C1"/>
            <w:u w:val="single"/>
            <w:lang w:val="es-PE" w:eastAsia="es-PE"/>
          </w:rPr>
          <w:t>https://pubmed.ncbi.nlm.nih.gov/33770645/</w:t>
        </w:r>
      </w:hyperlink>
    </w:p>
    <w:p w14:paraId="01453E1E"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10. </w:t>
      </w:r>
      <w:proofErr w:type="spellStart"/>
      <w:r w:rsidRPr="00CB7C69">
        <w:rPr>
          <w:rFonts w:eastAsia="Calibri"/>
          <w:lang w:val="es-PE" w:eastAsia="es-PE"/>
        </w:rPr>
        <w:t>Awamleh</w:t>
      </w:r>
      <w:proofErr w:type="spellEnd"/>
      <w:r w:rsidRPr="00CB7C69">
        <w:rPr>
          <w:rFonts w:eastAsia="Calibri"/>
          <w:lang w:val="es-PE" w:eastAsia="es-PE"/>
        </w:rPr>
        <w:t xml:space="preserve"> García P, Alonso Martín JJ, Jiménez Hernández RM, </w:t>
      </w:r>
      <w:proofErr w:type="spellStart"/>
      <w:r w:rsidRPr="00CB7C69">
        <w:rPr>
          <w:rFonts w:eastAsia="Calibri"/>
          <w:lang w:val="es-PE" w:eastAsia="es-PE"/>
        </w:rPr>
        <w:t>Graupner</w:t>
      </w:r>
      <w:proofErr w:type="spellEnd"/>
      <w:r w:rsidRPr="00CB7C69">
        <w:rPr>
          <w:rFonts w:eastAsia="Calibri"/>
          <w:lang w:val="es-PE" w:eastAsia="es-PE"/>
        </w:rPr>
        <w:t xml:space="preserve"> Abad C, Talavera Calle P, Serrano Antolín J, et al. Hallazgos electrocardiográficos anormales en la población mayor de 40 años. Prevalencia y significación clínica. Resultados del estudio OFRECE. </w:t>
      </w:r>
      <w:proofErr w:type="spellStart"/>
      <w:r w:rsidRPr="00CB7C69">
        <w:rPr>
          <w:rFonts w:eastAsia="Calibri"/>
          <w:lang w:val="es-PE" w:eastAsia="es-PE"/>
        </w:rPr>
        <w:t>Rev</w:t>
      </w:r>
      <w:proofErr w:type="spellEnd"/>
      <w:r w:rsidRPr="00CB7C69">
        <w:rPr>
          <w:rFonts w:eastAsia="Calibri"/>
          <w:lang w:val="es-PE" w:eastAsia="es-PE"/>
        </w:rPr>
        <w:t xml:space="preserve"> </w:t>
      </w:r>
      <w:proofErr w:type="spellStart"/>
      <w:r w:rsidRPr="00CB7C69">
        <w:rPr>
          <w:rFonts w:eastAsia="Calibri"/>
          <w:lang w:val="es-PE" w:eastAsia="es-PE"/>
        </w:rPr>
        <w:t>Esp</w:t>
      </w:r>
      <w:proofErr w:type="spellEnd"/>
      <w:r w:rsidRPr="00CB7C69">
        <w:rPr>
          <w:rFonts w:eastAsia="Calibri"/>
          <w:lang w:val="es-PE" w:eastAsia="es-PE"/>
        </w:rPr>
        <w:t xml:space="preserve"> </w:t>
      </w:r>
      <w:proofErr w:type="spellStart"/>
      <w:r w:rsidRPr="00CB7C69">
        <w:rPr>
          <w:rFonts w:eastAsia="Calibri"/>
          <w:lang w:val="es-PE" w:eastAsia="es-PE"/>
        </w:rPr>
        <w:t>Cardiol</w:t>
      </w:r>
      <w:proofErr w:type="spellEnd"/>
      <w:r w:rsidRPr="00CB7C69">
        <w:rPr>
          <w:rFonts w:eastAsia="Calibri"/>
          <w:lang w:val="es-PE" w:eastAsia="es-PE"/>
        </w:rPr>
        <w:t xml:space="preserve">. 2019 [acceso: 15/01/2022]; 72(10): 820-6. Disponible en: </w:t>
      </w:r>
      <w:hyperlink r:id="rId27">
        <w:r w:rsidRPr="00CB7C69">
          <w:rPr>
            <w:rFonts w:eastAsia="Calibri"/>
            <w:color w:val="0563C1"/>
            <w:u w:val="single"/>
            <w:lang w:val="es-PE" w:eastAsia="es-PE"/>
          </w:rPr>
          <w:t>https://www.revespcardiol.org/es-hallazgos-electrocardiograficos-anormales-poblacion-mayor-articulo-S0300893218305608</w:t>
        </w:r>
      </w:hyperlink>
    </w:p>
    <w:p w14:paraId="586CB886"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11. Rodríguez-Morán M, Guerrero-Romero F. Alteraciones electrocardiográficas y factores de riesgo cardiovascular en pacientes con diabetes tipo 2. </w:t>
      </w:r>
      <w:r w:rsidRPr="00CB7C69">
        <w:rPr>
          <w:rFonts w:eastAsia="Calibri"/>
          <w:shd w:val="clear" w:color="auto" w:fill="FFFFFF"/>
          <w:lang w:val="es-PE" w:eastAsia="es-PE"/>
        </w:rPr>
        <w:t>Salud pública Méx.</w:t>
      </w:r>
      <w:r w:rsidRPr="00CB7C69">
        <w:rPr>
          <w:rFonts w:eastAsia="Calibri"/>
          <w:lang w:val="es-PE" w:eastAsia="es-PE"/>
        </w:rPr>
        <w:t xml:space="preserve"> 1999 [acceso: 15/01/2022]; 41(1): 12-7. Disponible en: </w:t>
      </w:r>
      <w:hyperlink r:id="rId28">
        <w:r w:rsidRPr="00CB7C69">
          <w:rPr>
            <w:rFonts w:eastAsia="Calibri"/>
            <w:color w:val="0563C1"/>
            <w:u w:val="single"/>
            <w:lang w:val="es-PE" w:eastAsia="es-PE"/>
          </w:rPr>
          <w:t>http://www.scielosp.org/scielo.php?script=sci_arttext&amp;pid=S0036-36341999000100003&amp;lng=es&amp;nrm=iso&amp;tlng=es</w:t>
        </w:r>
      </w:hyperlink>
    </w:p>
    <w:p w14:paraId="5DEFCC4A"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 xml:space="preserve">12. </w:t>
      </w:r>
      <w:proofErr w:type="spellStart"/>
      <w:r w:rsidRPr="00CB7C69">
        <w:rPr>
          <w:rFonts w:eastAsia="Calibri"/>
          <w:lang w:val="en-US" w:eastAsia="es-PE"/>
        </w:rPr>
        <w:t>Xiong</w:t>
      </w:r>
      <w:proofErr w:type="spellEnd"/>
      <w:r w:rsidRPr="00CB7C69">
        <w:rPr>
          <w:rFonts w:eastAsia="Calibri"/>
          <w:lang w:val="en-US" w:eastAsia="es-PE"/>
        </w:rPr>
        <w:t xml:space="preserve"> Y, Wang L, Liu W, Hankey GJ, Xu B, Wang S. The Prognostic Significance of Right Bundle Branch Block: A Meta-analysis of Prospective Cohort Studies. 2015 [</w:t>
      </w:r>
      <w:proofErr w:type="spellStart"/>
      <w:r w:rsidRPr="00CB7C69">
        <w:rPr>
          <w:rFonts w:eastAsia="Calibri"/>
          <w:lang w:val="en-US" w:eastAsia="es-PE"/>
        </w:rPr>
        <w:t>acceso</w:t>
      </w:r>
      <w:proofErr w:type="spellEnd"/>
      <w:r w:rsidRPr="00CB7C69">
        <w:rPr>
          <w:rFonts w:eastAsia="Calibri"/>
          <w:lang w:val="en-US" w:eastAsia="es-PE"/>
        </w:rPr>
        <w:t xml:space="preserve">: 15/01/2022]; 38(10): 604-13.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29">
        <w:r w:rsidRPr="00CB7C69">
          <w:rPr>
            <w:rFonts w:eastAsia="Calibri"/>
            <w:color w:val="0563C1"/>
            <w:u w:val="single"/>
            <w:lang w:val="en-US" w:eastAsia="es-PE"/>
          </w:rPr>
          <w:t>https://onlinelibrary.wiley.com/doi/10.1002/clc.22454</w:t>
        </w:r>
      </w:hyperlink>
    </w:p>
    <w:p w14:paraId="537D0F7E"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13. Xiang L, Zhong A, You T, Chen J, Xu W, Shi M. Prognostic Significance of Right Bundle Branch Block for Patients with Acute Myocardial Infarction: A Systematic Review and Meta-Analysis. </w:t>
      </w:r>
      <w:proofErr w:type="spellStart"/>
      <w:r w:rsidRPr="00CB7C69">
        <w:rPr>
          <w:rFonts w:eastAsia="Calibri"/>
          <w:lang w:val="es-PE" w:eastAsia="es-PE"/>
        </w:rPr>
        <w:t>Med</w:t>
      </w:r>
      <w:proofErr w:type="spellEnd"/>
      <w:r w:rsidRPr="00CB7C69">
        <w:rPr>
          <w:rFonts w:eastAsia="Calibri"/>
          <w:lang w:val="es-PE" w:eastAsia="es-PE"/>
        </w:rPr>
        <w:t xml:space="preserve"> </w:t>
      </w:r>
      <w:proofErr w:type="spellStart"/>
      <w:r w:rsidRPr="00CB7C69">
        <w:rPr>
          <w:rFonts w:eastAsia="Calibri"/>
          <w:lang w:val="es-PE" w:eastAsia="es-PE"/>
        </w:rPr>
        <w:t>Sci</w:t>
      </w:r>
      <w:proofErr w:type="spellEnd"/>
      <w:r w:rsidRPr="00CB7C69">
        <w:rPr>
          <w:rFonts w:eastAsia="Calibri"/>
          <w:lang w:val="es-PE" w:eastAsia="es-PE"/>
        </w:rPr>
        <w:t xml:space="preserve"> </w:t>
      </w:r>
      <w:proofErr w:type="spellStart"/>
      <w:r w:rsidRPr="00CB7C69">
        <w:rPr>
          <w:rFonts w:eastAsia="Calibri"/>
          <w:lang w:val="es-PE" w:eastAsia="es-PE"/>
        </w:rPr>
        <w:t>Monit</w:t>
      </w:r>
      <w:proofErr w:type="spellEnd"/>
      <w:r w:rsidRPr="00CB7C69">
        <w:rPr>
          <w:rFonts w:eastAsia="Calibri"/>
          <w:lang w:val="es-PE" w:eastAsia="es-PE"/>
        </w:rPr>
        <w:t xml:space="preserve">. 2016 [acceso: 15/01/2022]; 22: 998-1004. Disponible en: </w:t>
      </w:r>
      <w:hyperlink r:id="rId30">
        <w:r w:rsidRPr="00CB7C69">
          <w:rPr>
            <w:rFonts w:eastAsia="Calibri"/>
            <w:color w:val="0563C1"/>
            <w:u w:val="single"/>
            <w:lang w:val="es-PE" w:eastAsia="es-PE"/>
          </w:rPr>
          <w:t>https://pubmed.ncbi.nlm.nih.gov/27017617/</w:t>
        </w:r>
      </w:hyperlink>
    </w:p>
    <w:p w14:paraId="7FC84217"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14. </w:t>
      </w:r>
      <w:proofErr w:type="spellStart"/>
      <w:r w:rsidRPr="00CB7C69">
        <w:rPr>
          <w:rFonts w:eastAsia="Calibri"/>
          <w:lang w:val="es-PE" w:eastAsia="es-PE"/>
        </w:rPr>
        <w:t>Haataja</w:t>
      </w:r>
      <w:proofErr w:type="spellEnd"/>
      <w:r w:rsidRPr="00CB7C69">
        <w:rPr>
          <w:rFonts w:eastAsia="Calibri"/>
          <w:lang w:val="es-PE" w:eastAsia="es-PE"/>
        </w:rPr>
        <w:t xml:space="preserve"> P, </w:t>
      </w:r>
      <w:proofErr w:type="spellStart"/>
      <w:r w:rsidRPr="00CB7C69">
        <w:rPr>
          <w:rFonts w:eastAsia="Calibri"/>
          <w:lang w:val="es-PE" w:eastAsia="es-PE"/>
        </w:rPr>
        <w:t>Anttila</w:t>
      </w:r>
      <w:proofErr w:type="spellEnd"/>
      <w:r w:rsidRPr="00CB7C69">
        <w:rPr>
          <w:rFonts w:eastAsia="Calibri"/>
          <w:lang w:val="es-PE" w:eastAsia="es-PE"/>
        </w:rPr>
        <w:t xml:space="preserve"> I, </w:t>
      </w:r>
      <w:proofErr w:type="spellStart"/>
      <w:r w:rsidRPr="00CB7C69">
        <w:rPr>
          <w:rFonts w:eastAsia="Calibri"/>
          <w:lang w:val="es-PE" w:eastAsia="es-PE"/>
        </w:rPr>
        <w:t>Nikus</w:t>
      </w:r>
      <w:proofErr w:type="spellEnd"/>
      <w:r w:rsidRPr="00CB7C69">
        <w:rPr>
          <w:rFonts w:eastAsia="Calibri"/>
          <w:lang w:val="es-PE" w:eastAsia="es-PE"/>
        </w:rPr>
        <w:t xml:space="preserve"> K, </w:t>
      </w:r>
      <w:proofErr w:type="spellStart"/>
      <w:r w:rsidRPr="00CB7C69">
        <w:rPr>
          <w:rFonts w:eastAsia="Calibri"/>
          <w:lang w:val="es-PE" w:eastAsia="es-PE"/>
        </w:rPr>
        <w:t>Eskola</w:t>
      </w:r>
      <w:proofErr w:type="spellEnd"/>
      <w:r w:rsidRPr="00CB7C69">
        <w:rPr>
          <w:rFonts w:eastAsia="Calibri"/>
          <w:lang w:val="es-PE" w:eastAsia="es-PE"/>
        </w:rPr>
        <w:t xml:space="preserve"> M, </w:t>
      </w:r>
      <w:proofErr w:type="spellStart"/>
      <w:r w:rsidRPr="00CB7C69">
        <w:rPr>
          <w:rFonts w:eastAsia="Calibri"/>
          <w:lang w:val="es-PE" w:eastAsia="es-PE"/>
        </w:rPr>
        <w:t>Huhtala</w:t>
      </w:r>
      <w:proofErr w:type="spellEnd"/>
      <w:r w:rsidRPr="00CB7C69">
        <w:rPr>
          <w:rFonts w:eastAsia="Calibri"/>
          <w:lang w:val="es-PE" w:eastAsia="es-PE"/>
        </w:rPr>
        <w:t xml:space="preserve"> H, Nieminen T, et al. </w:t>
      </w:r>
      <w:r w:rsidRPr="00CB7C69">
        <w:rPr>
          <w:rFonts w:eastAsia="Calibri"/>
          <w:lang w:val="en-US" w:eastAsia="es-PE"/>
        </w:rPr>
        <w:t xml:space="preserve">Prognostic implications of intraventricular conduction delays in a general population: The Health 2000 Survey. </w:t>
      </w:r>
      <w:r w:rsidRPr="00CB7C69">
        <w:rPr>
          <w:rFonts w:eastAsia="Calibri"/>
          <w:lang w:val="es-PE" w:eastAsia="es-PE"/>
        </w:rPr>
        <w:t xml:space="preserve">Ann </w:t>
      </w:r>
      <w:proofErr w:type="spellStart"/>
      <w:r w:rsidRPr="00CB7C69">
        <w:rPr>
          <w:rFonts w:eastAsia="Calibri"/>
          <w:lang w:val="es-PE" w:eastAsia="es-PE"/>
        </w:rPr>
        <w:t>Med</w:t>
      </w:r>
      <w:proofErr w:type="spellEnd"/>
      <w:r w:rsidRPr="00CB7C69">
        <w:rPr>
          <w:rFonts w:eastAsia="Calibri"/>
          <w:lang w:val="es-PE" w:eastAsia="es-PE"/>
        </w:rPr>
        <w:t xml:space="preserve">. 2015 [acceso: 15/01/2022]; 47(1): 74-80. Disponible en:  </w:t>
      </w:r>
      <w:hyperlink r:id="rId31">
        <w:r w:rsidRPr="00CB7C69">
          <w:rPr>
            <w:rFonts w:eastAsia="Calibri"/>
            <w:color w:val="0563C1"/>
            <w:u w:val="single"/>
            <w:lang w:val="es-PE" w:eastAsia="es-PE"/>
          </w:rPr>
          <w:t>https://pubmed.ncbi.nlm.nih.gov/25613171/</w:t>
        </w:r>
      </w:hyperlink>
    </w:p>
    <w:p w14:paraId="409C6D15"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 xml:space="preserve">15. Zhang Z, </w:t>
      </w:r>
      <w:proofErr w:type="spellStart"/>
      <w:r w:rsidRPr="00CB7C69">
        <w:rPr>
          <w:rFonts w:eastAsia="Calibri"/>
          <w:lang w:val="en-US" w:eastAsia="es-PE"/>
        </w:rPr>
        <w:t>Rautaharju</w:t>
      </w:r>
      <w:proofErr w:type="spellEnd"/>
      <w:r w:rsidRPr="00CB7C69">
        <w:rPr>
          <w:rFonts w:eastAsia="Calibri"/>
          <w:lang w:val="en-US" w:eastAsia="es-PE"/>
        </w:rPr>
        <w:t xml:space="preserve"> PM, Soliman EZ, Manson JE, Cain ME, Martin LW, et al. Mortality Risk Associated </w:t>
      </w:r>
      <w:proofErr w:type="gramStart"/>
      <w:r w:rsidRPr="00CB7C69">
        <w:rPr>
          <w:rFonts w:eastAsia="Calibri"/>
          <w:lang w:val="en-US" w:eastAsia="es-PE"/>
        </w:rPr>
        <w:t>With</w:t>
      </w:r>
      <w:proofErr w:type="gramEnd"/>
      <w:r w:rsidRPr="00CB7C69">
        <w:rPr>
          <w:rFonts w:eastAsia="Calibri"/>
          <w:lang w:val="en-US" w:eastAsia="es-PE"/>
        </w:rPr>
        <w:t xml:space="preserve"> Bundle Branch Blocks and Related Repolarization Abnormalities (from the Women’s Health Initiative [WHI]). The American Journal of Cardiology. 2012 [</w:t>
      </w:r>
      <w:proofErr w:type="spellStart"/>
      <w:r w:rsidRPr="00CB7C69">
        <w:rPr>
          <w:rFonts w:eastAsia="Calibri"/>
          <w:lang w:val="en-US" w:eastAsia="es-PE"/>
        </w:rPr>
        <w:t>acceso</w:t>
      </w:r>
      <w:proofErr w:type="spellEnd"/>
      <w:r w:rsidRPr="00CB7C69">
        <w:rPr>
          <w:rFonts w:eastAsia="Calibri"/>
          <w:lang w:val="en-US" w:eastAsia="es-PE"/>
        </w:rPr>
        <w:t xml:space="preserve">: 15/01/2022]; 110(10): 1489-95.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32">
        <w:r w:rsidRPr="00CB7C69">
          <w:rPr>
            <w:rFonts w:eastAsia="Calibri"/>
            <w:color w:val="0563C1"/>
            <w:u w:val="single"/>
            <w:lang w:val="en-US" w:eastAsia="es-PE"/>
          </w:rPr>
          <w:t>https://pubmed.ncbi.nlm.nih.gov/22858187/</w:t>
        </w:r>
      </w:hyperlink>
    </w:p>
    <w:p w14:paraId="4C119ADD" w14:textId="77777777" w:rsidR="00CB7C69" w:rsidRPr="00CB7C69" w:rsidRDefault="00CB7C69" w:rsidP="00CB7C69">
      <w:pPr>
        <w:suppressAutoHyphens/>
        <w:spacing w:line="360" w:lineRule="auto"/>
        <w:rPr>
          <w:rFonts w:eastAsia="Calibri"/>
          <w:sz w:val="22"/>
          <w:szCs w:val="22"/>
          <w:lang w:val="es-CU" w:eastAsia="es-PE"/>
        </w:rPr>
      </w:pPr>
      <w:r w:rsidRPr="00CB7C69">
        <w:rPr>
          <w:rFonts w:eastAsia="Calibri"/>
          <w:lang w:val="en-US" w:eastAsia="es-PE"/>
        </w:rPr>
        <w:lastRenderedPageBreak/>
        <w:t xml:space="preserve">16. Schneider JF, Thomas HE, Kreger BE, McNamara PM, </w:t>
      </w:r>
      <w:proofErr w:type="spellStart"/>
      <w:r w:rsidRPr="00CB7C69">
        <w:rPr>
          <w:rFonts w:eastAsia="Calibri"/>
          <w:lang w:val="en-US" w:eastAsia="es-PE"/>
        </w:rPr>
        <w:t>Sorlie</w:t>
      </w:r>
      <w:proofErr w:type="spellEnd"/>
      <w:r w:rsidRPr="00CB7C69">
        <w:rPr>
          <w:rFonts w:eastAsia="Calibri"/>
          <w:lang w:val="en-US" w:eastAsia="es-PE"/>
        </w:rPr>
        <w:t xml:space="preserve"> P, </w:t>
      </w:r>
      <w:proofErr w:type="spellStart"/>
      <w:r w:rsidRPr="00CB7C69">
        <w:rPr>
          <w:rFonts w:eastAsia="Calibri"/>
          <w:lang w:val="en-US" w:eastAsia="es-PE"/>
        </w:rPr>
        <w:t>Kannel</w:t>
      </w:r>
      <w:proofErr w:type="spellEnd"/>
      <w:r w:rsidRPr="00CB7C69">
        <w:rPr>
          <w:rFonts w:eastAsia="Calibri"/>
          <w:lang w:val="en-US" w:eastAsia="es-PE"/>
        </w:rPr>
        <w:t xml:space="preserve"> WB. Newly acquired right bundle-branch block: The Framingham Study. Ann Intern Med. 1980 [acceso:15/01/2022]; 92(1): 37-44. </w:t>
      </w:r>
      <w:r w:rsidRPr="00CB7C69">
        <w:rPr>
          <w:rFonts w:eastAsia="Calibri"/>
          <w:lang w:val="es-CU" w:eastAsia="es-PE"/>
        </w:rPr>
        <w:t xml:space="preserve">Disponible en:  </w:t>
      </w:r>
      <w:hyperlink r:id="rId33">
        <w:r w:rsidRPr="00CB7C69">
          <w:rPr>
            <w:rFonts w:eastAsia="Calibri"/>
            <w:color w:val="0563C1"/>
            <w:u w:val="single"/>
            <w:lang w:val="es-CU" w:eastAsia="es-PE"/>
          </w:rPr>
          <w:t>https://pubmed.ncbi.nlm.nih.gov/7350871/</w:t>
        </w:r>
      </w:hyperlink>
    </w:p>
    <w:p w14:paraId="5A6F0120"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s-CU" w:eastAsia="es-PE"/>
        </w:rPr>
        <w:t xml:space="preserve">17. </w:t>
      </w:r>
      <w:proofErr w:type="spellStart"/>
      <w:r w:rsidRPr="00CB7C69">
        <w:rPr>
          <w:rFonts w:eastAsia="Calibri"/>
          <w:lang w:val="es-CU" w:eastAsia="es-PE"/>
        </w:rPr>
        <w:t>Fleg</w:t>
      </w:r>
      <w:proofErr w:type="spellEnd"/>
      <w:r w:rsidRPr="00CB7C69">
        <w:rPr>
          <w:rFonts w:eastAsia="Calibri"/>
          <w:lang w:val="es-CU" w:eastAsia="es-PE"/>
        </w:rPr>
        <w:t xml:space="preserve"> JL, Das DN, </w:t>
      </w:r>
      <w:proofErr w:type="spellStart"/>
      <w:r w:rsidRPr="00CB7C69">
        <w:rPr>
          <w:rFonts w:eastAsia="Calibri"/>
          <w:lang w:val="es-CU" w:eastAsia="es-PE"/>
        </w:rPr>
        <w:t>Lakatta</w:t>
      </w:r>
      <w:proofErr w:type="spellEnd"/>
      <w:r w:rsidRPr="00CB7C69">
        <w:rPr>
          <w:rFonts w:eastAsia="Calibri"/>
          <w:lang w:val="es-CU" w:eastAsia="es-PE"/>
        </w:rPr>
        <w:t xml:space="preserve"> EG. </w:t>
      </w:r>
      <w:r w:rsidRPr="00CB7C69">
        <w:rPr>
          <w:rFonts w:eastAsia="Calibri"/>
          <w:lang w:val="en-US" w:eastAsia="es-PE"/>
        </w:rPr>
        <w:t xml:space="preserve">Right bundle branch block: Long-Term prognosis in apparently healthy men. Am Coll </w:t>
      </w:r>
      <w:proofErr w:type="spellStart"/>
      <w:r w:rsidRPr="00CB7C69">
        <w:rPr>
          <w:rFonts w:eastAsia="Calibri"/>
          <w:lang w:val="en-US" w:eastAsia="es-PE"/>
        </w:rPr>
        <w:t>Cardiol</w:t>
      </w:r>
      <w:proofErr w:type="spellEnd"/>
      <w:r w:rsidRPr="00CB7C69">
        <w:rPr>
          <w:rFonts w:eastAsia="Calibri"/>
          <w:lang w:val="en-US" w:eastAsia="es-PE"/>
        </w:rPr>
        <w:t>. 1983 [</w:t>
      </w:r>
      <w:proofErr w:type="spellStart"/>
      <w:r w:rsidRPr="00CB7C69">
        <w:rPr>
          <w:rFonts w:eastAsia="Calibri"/>
          <w:lang w:val="en-US" w:eastAsia="es-PE"/>
        </w:rPr>
        <w:t>acceso</w:t>
      </w:r>
      <w:proofErr w:type="spellEnd"/>
      <w:r w:rsidRPr="00CB7C69">
        <w:rPr>
          <w:rFonts w:eastAsia="Calibri"/>
          <w:lang w:val="en-US" w:eastAsia="es-PE"/>
        </w:rPr>
        <w:t xml:space="preserve">: 15/01/2022]; 1(3): 887-92.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34">
        <w:r w:rsidRPr="00CB7C69">
          <w:rPr>
            <w:rFonts w:eastAsia="Calibri"/>
            <w:color w:val="0563C1"/>
            <w:u w:val="single"/>
            <w:lang w:val="en-US" w:eastAsia="es-PE"/>
          </w:rPr>
          <w:t>https://pubmed.ncbi.nlm.nih.gov/6826977/</w:t>
        </w:r>
      </w:hyperlink>
    </w:p>
    <w:p w14:paraId="6F8B1797"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18. Eriksson P, Wilhelmsen L, Rosengren A. Bundle-branch block in middle-aged men: risk of complications and death over 28 years. Eur Heart J. 2005 [</w:t>
      </w:r>
      <w:proofErr w:type="spellStart"/>
      <w:r w:rsidRPr="00CB7C69">
        <w:rPr>
          <w:rFonts w:eastAsia="Calibri"/>
          <w:lang w:val="en-US" w:eastAsia="es-PE"/>
        </w:rPr>
        <w:t>acceso</w:t>
      </w:r>
      <w:proofErr w:type="spellEnd"/>
      <w:r w:rsidRPr="00CB7C69">
        <w:rPr>
          <w:rFonts w:eastAsia="Calibri"/>
          <w:lang w:val="en-US" w:eastAsia="es-PE"/>
        </w:rPr>
        <w:t xml:space="preserve">: 15/01/2022]; 26(21): 2300-6.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35">
        <w:r w:rsidRPr="00CB7C69">
          <w:rPr>
            <w:rFonts w:eastAsia="Calibri"/>
            <w:color w:val="0563C1"/>
            <w:u w:val="single"/>
            <w:lang w:val="en-US" w:eastAsia="es-PE"/>
          </w:rPr>
          <w:t>https://pubmed.ncbi.nlm.nih.gov/16214833/</w:t>
        </w:r>
      </w:hyperlink>
    </w:p>
    <w:p w14:paraId="4614FC6F"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19. Fahy GJ, </w:t>
      </w:r>
      <w:proofErr w:type="spellStart"/>
      <w:r w:rsidRPr="00CB7C69">
        <w:rPr>
          <w:rFonts w:eastAsia="Calibri"/>
          <w:lang w:val="en-US" w:eastAsia="es-PE"/>
        </w:rPr>
        <w:t>Pinski</w:t>
      </w:r>
      <w:proofErr w:type="spellEnd"/>
      <w:r w:rsidRPr="00CB7C69">
        <w:rPr>
          <w:rFonts w:eastAsia="Calibri"/>
          <w:lang w:val="en-US" w:eastAsia="es-PE"/>
        </w:rPr>
        <w:t xml:space="preserve"> SL, Miller DP, McCabe N, Pye C, Walsh MJ, et al. Natural history of isolated bundle branch block. Am J </w:t>
      </w:r>
      <w:proofErr w:type="spellStart"/>
      <w:r w:rsidRPr="00CB7C69">
        <w:rPr>
          <w:rFonts w:eastAsia="Calibri"/>
          <w:lang w:val="en-US" w:eastAsia="es-PE"/>
        </w:rPr>
        <w:t>Cardiol</w:t>
      </w:r>
      <w:proofErr w:type="spellEnd"/>
      <w:r w:rsidRPr="00CB7C69">
        <w:rPr>
          <w:rFonts w:eastAsia="Calibri"/>
          <w:lang w:val="en-US" w:eastAsia="es-PE"/>
        </w:rPr>
        <w:t xml:space="preserve">. </w:t>
      </w:r>
      <w:r w:rsidRPr="00CB7C69">
        <w:rPr>
          <w:rFonts w:eastAsia="Calibri"/>
          <w:lang w:val="es-CU" w:eastAsia="es-PE"/>
        </w:rPr>
        <w:t xml:space="preserve">1996 [acceso: 15/01/2022]; 77(14): 1185-90. </w:t>
      </w:r>
      <w:r w:rsidRPr="00CB7C69">
        <w:rPr>
          <w:rFonts w:eastAsia="Calibri"/>
          <w:lang w:val="es-PE" w:eastAsia="es-PE"/>
        </w:rPr>
        <w:t xml:space="preserve">Disponible en:  </w:t>
      </w:r>
      <w:hyperlink r:id="rId36">
        <w:r w:rsidRPr="00CB7C69">
          <w:rPr>
            <w:rFonts w:eastAsia="Calibri"/>
            <w:color w:val="0563C1"/>
            <w:u w:val="single"/>
            <w:lang w:val="es-PE" w:eastAsia="es-PE"/>
          </w:rPr>
          <w:t>https://pubmed.ncbi.nlm.nih.gov/8651093/</w:t>
        </w:r>
      </w:hyperlink>
    </w:p>
    <w:p w14:paraId="2E24FC7A"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s-PE" w:eastAsia="es-PE"/>
        </w:rPr>
        <w:t xml:space="preserve">20. Loring Z, Caños DA, </w:t>
      </w:r>
      <w:proofErr w:type="spellStart"/>
      <w:r w:rsidRPr="00CB7C69">
        <w:rPr>
          <w:rFonts w:eastAsia="Calibri"/>
          <w:lang w:val="es-PE" w:eastAsia="es-PE"/>
        </w:rPr>
        <w:t>Selzman</w:t>
      </w:r>
      <w:proofErr w:type="spellEnd"/>
      <w:r w:rsidRPr="00CB7C69">
        <w:rPr>
          <w:rFonts w:eastAsia="Calibri"/>
          <w:lang w:val="es-PE" w:eastAsia="es-PE"/>
        </w:rPr>
        <w:t xml:space="preserve"> K, </w:t>
      </w:r>
      <w:proofErr w:type="spellStart"/>
      <w:r w:rsidRPr="00CB7C69">
        <w:rPr>
          <w:rFonts w:eastAsia="Calibri"/>
          <w:lang w:val="es-PE" w:eastAsia="es-PE"/>
        </w:rPr>
        <w:t>Herz</w:t>
      </w:r>
      <w:proofErr w:type="spellEnd"/>
      <w:r w:rsidRPr="00CB7C69">
        <w:rPr>
          <w:rFonts w:eastAsia="Calibri"/>
          <w:lang w:val="es-PE" w:eastAsia="es-PE"/>
        </w:rPr>
        <w:t xml:space="preserve"> ND, Silverman H, </w:t>
      </w:r>
      <w:proofErr w:type="spellStart"/>
      <w:r w:rsidRPr="00CB7C69">
        <w:rPr>
          <w:rFonts w:eastAsia="Calibri"/>
          <w:lang w:val="es-PE" w:eastAsia="es-PE"/>
        </w:rPr>
        <w:t>MaCurdy</w:t>
      </w:r>
      <w:proofErr w:type="spellEnd"/>
      <w:r w:rsidRPr="00CB7C69">
        <w:rPr>
          <w:rFonts w:eastAsia="Calibri"/>
          <w:lang w:val="es-PE" w:eastAsia="es-PE"/>
        </w:rPr>
        <w:t xml:space="preserve"> TE, et al. </w:t>
      </w:r>
      <w:r w:rsidRPr="00CB7C69">
        <w:rPr>
          <w:rFonts w:eastAsia="Calibri"/>
          <w:lang w:val="en-US" w:eastAsia="es-PE"/>
        </w:rPr>
        <w:t>Left Bundle Branch Block Predicts Better Survival in Women Than Men Receiving Cardiac Resynchronization Therapy. JACC: Heart Failure. 2013 [</w:t>
      </w:r>
      <w:proofErr w:type="spellStart"/>
      <w:r w:rsidRPr="00CB7C69">
        <w:rPr>
          <w:rFonts w:eastAsia="Calibri"/>
          <w:lang w:val="en-US" w:eastAsia="es-PE"/>
        </w:rPr>
        <w:t>acceso</w:t>
      </w:r>
      <w:proofErr w:type="spellEnd"/>
      <w:r w:rsidRPr="00CB7C69">
        <w:rPr>
          <w:rFonts w:eastAsia="Calibri"/>
          <w:lang w:val="en-US" w:eastAsia="es-PE"/>
        </w:rPr>
        <w:t xml:space="preserve">: 15/01/2022]; 1(3):237-44.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37">
        <w:r w:rsidRPr="00CB7C69">
          <w:rPr>
            <w:rFonts w:eastAsia="Calibri"/>
            <w:color w:val="0563C1"/>
            <w:u w:val="single"/>
            <w:lang w:val="en-US" w:eastAsia="es-PE"/>
          </w:rPr>
          <w:t>https://www.jacc.org/doi/abs/10.1016/j.jchf.2013.03.005</w:t>
        </w:r>
      </w:hyperlink>
    </w:p>
    <w:p w14:paraId="5BF6991A" w14:textId="77777777" w:rsidR="00CB7C69" w:rsidRPr="00CB7C69" w:rsidRDefault="00CB7C69" w:rsidP="00CB7C69">
      <w:pPr>
        <w:suppressAutoHyphens/>
        <w:spacing w:line="360" w:lineRule="auto"/>
        <w:rPr>
          <w:rFonts w:eastAsia="Calibri"/>
          <w:sz w:val="22"/>
          <w:szCs w:val="22"/>
          <w:lang w:val="en-US" w:eastAsia="es-PE"/>
        </w:rPr>
      </w:pPr>
      <w:r w:rsidRPr="00CB7C69">
        <w:rPr>
          <w:rFonts w:eastAsia="Calibri"/>
          <w:lang w:val="en-US" w:eastAsia="es-PE"/>
        </w:rPr>
        <w:t xml:space="preserve">21. Gaba P, </w:t>
      </w:r>
      <w:proofErr w:type="spellStart"/>
      <w:r w:rsidRPr="00CB7C69">
        <w:rPr>
          <w:rFonts w:eastAsia="Calibri"/>
          <w:lang w:val="en-US" w:eastAsia="es-PE"/>
        </w:rPr>
        <w:t>Pedrotty</w:t>
      </w:r>
      <w:proofErr w:type="spellEnd"/>
      <w:r w:rsidRPr="00CB7C69">
        <w:rPr>
          <w:rFonts w:eastAsia="Calibri"/>
          <w:lang w:val="en-US" w:eastAsia="es-PE"/>
        </w:rPr>
        <w:t xml:space="preserve"> D, DeSimone CV, </w:t>
      </w:r>
      <w:proofErr w:type="spellStart"/>
      <w:r w:rsidRPr="00CB7C69">
        <w:rPr>
          <w:rFonts w:eastAsia="Calibri"/>
          <w:lang w:val="en-US" w:eastAsia="es-PE"/>
        </w:rPr>
        <w:t>Bonikowske</w:t>
      </w:r>
      <w:proofErr w:type="spellEnd"/>
      <w:r w:rsidRPr="00CB7C69">
        <w:rPr>
          <w:rFonts w:eastAsia="Calibri"/>
          <w:lang w:val="en-US" w:eastAsia="es-PE"/>
        </w:rPr>
        <w:t xml:space="preserve"> AR, Allison TG, Kapa S. Mortality in Patients </w:t>
      </w:r>
      <w:proofErr w:type="gramStart"/>
      <w:r w:rsidRPr="00CB7C69">
        <w:rPr>
          <w:rFonts w:eastAsia="Calibri"/>
          <w:lang w:val="en-US" w:eastAsia="es-PE"/>
        </w:rPr>
        <w:t>With</w:t>
      </w:r>
      <w:proofErr w:type="gramEnd"/>
      <w:r w:rsidRPr="00CB7C69">
        <w:rPr>
          <w:rFonts w:eastAsia="Calibri"/>
          <w:lang w:val="en-US" w:eastAsia="es-PE"/>
        </w:rPr>
        <w:t xml:space="preserve"> Right Bundle‐Branch Block in the Absence of Cardiovascular Disease. J </w:t>
      </w:r>
      <w:r w:rsidRPr="00CB7C69">
        <w:rPr>
          <w:rFonts w:eastAsia="Calibri"/>
          <w:shd w:val="clear" w:color="auto" w:fill="FFFFFF"/>
          <w:lang w:val="en-US" w:eastAsia="es-PE"/>
        </w:rPr>
        <w:t>Am Heart Assoc. 2020</w:t>
      </w:r>
      <w:r w:rsidRPr="00CB7C69">
        <w:rPr>
          <w:rFonts w:eastAsia="Calibri"/>
          <w:lang w:val="en-US" w:eastAsia="es-PE"/>
        </w:rPr>
        <w:t xml:space="preserve"> [</w:t>
      </w:r>
      <w:proofErr w:type="spellStart"/>
      <w:r w:rsidRPr="00CB7C69">
        <w:rPr>
          <w:rFonts w:eastAsia="Calibri"/>
          <w:lang w:val="en-US" w:eastAsia="es-PE"/>
        </w:rPr>
        <w:t>acceso</w:t>
      </w:r>
      <w:proofErr w:type="spellEnd"/>
      <w:r w:rsidRPr="00CB7C69">
        <w:rPr>
          <w:rFonts w:eastAsia="Calibri"/>
          <w:lang w:val="en-US" w:eastAsia="es-PE"/>
        </w:rPr>
        <w:t xml:space="preserve">: 15/01/2022]; 9(19): e017430. Disponible </w:t>
      </w:r>
      <w:proofErr w:type="spellStart"/>
      <w:r w:rsidRPr="00CB7C69">
        <w:rPr>
          <w:rFonts w:eastAsia="Calibri"/>
          <w:lang w:val="en-US" w:eastAsia="es-PE"/>
        </w:rPr>
        <w:t>en</w:t>
      </w:r>
      <w:proofErr w:type="spellEnd"/>
      <w:r w:rsidRPr="00CB7C69">
        <w:rPr>
          <w:rFonts w:eastAsia="Calibri"/>
          <w:lang w:val="en-US" w:eastAsia="es-PE"/>
        </w:rPr>
        <w:t xml:space="preserve">: </w:t>
      </w:r>
      <w:hyperlink r:id="rId38">
        <w:r w:rsidRPr="00CB7C69">
          <w:rPr>
            <w:rFonts w:eastAsia="Calibri"/>
            <w:color w:val="0563C1"/>
            <w:u w:val="single"/>
            <w:lang w:val="en-US" w:eastAsia="es-PE"/>
          </w:rPr>
          <w:t>https://www.ahajournals.org/doi/10.1161/JAHA.120.017430</w:t>
        </w:r>
      </w:hyperlink>
    </w:p>
    <w:p w14:paraId="1E5C70E9" w14:textId="77777777" w:rsidR="00CB7C69" w:rsidRPr="00CB7C69" w:rsidRDefault="00CB7C69" w:rsidP="00CB7C69">
      <w:pPr>
        <w:suppressAutoHyphens/>
        <w:spacing w:line="360" w:lineRule="auto"/>
        <w:rPr>
          <w:rFonts w:eastAsia="Calibri"/>
          <w:sz w:val="22"/>
          <w:szCs w:val="22"/>
          <w:lang w:val="es-CU" w:eastAsia="es-PE"/>
        </w:rPr>
      </w:pPr>
      <w:r w:rsidRPr="00CB7C69">
        <w:rPr>
          <w:rFonts w:eastAsia="Calibri"/>
          <w:lang w:val="en-US" w:eastAsia="es-PE"/>
        </w:rPr>
        <w:t xml:space="preserve">22. Harkness WT, Hicks M. Right Bundle </w:t>
      </w:r>
      <w:r w:rsidRPr="00CB7C69">
        <w:rPr>
          <w:rFonts w:eastAsia="Calibri"/>
          <w:shd w:val="clear" w:color="auto" w:fill="FFFFFF"/>
          <w:lang w:val="en-US" w:eastAsia="es-PE"/>
        </w:rPr>
        <w:t xml:space="preserve">Branch Block. Treasure Island: </w:t>
      </w:r>
      <w:proofErr w:type="spellStart"/>
      <w:proofErr w:type="gramStart"/>
      <w:r w:rsidRPr="00CB7C69">
        <w:rPr>
          <w:rFonts w:eastAsia="Calibri"/>
          <w:shd w:val="clear" w:color="auto" w:fill="FFFFFF"/>
          <w:lang w:val="en-US" w:eastAsia="es-PE"/>
        </w:rPr>
        <w:t>StatPearls</w:t>
      </w:r>
      <w:proofErr w:type="spellEnd"/>
      <w:r w:rsidRPr="00CB7C69">
        <w:rPr>
          <w:rFonts w:eastAsia="Calibri"/>
          <w:shd w:val="clear" w:color="auto" w:fill="FFFFFF"/>
          <w:lang w:val="en-US" w:eastAsia="es-PE"/>
        </w:rPr>
        <w:t xml:space="preserve"> </w:t>
      </w:r>
      <w:r w:rsidRPr="00CB7C69">
        <w:rPr>
          <w:rFonts w:eastAsia="Calibri"/>
          <w:lang w:val="en-US" w:eastAsia="es-PE"/>
        </w:rPr>
        <w:t xml:space="preserve"> Publishing</w:t>
      </w:r>
      <w:proofErr w:type="gramEnd"/>
      <w:r w:rsidRPr="00CB7C69">
        <w:rPr>
          <w:rFonts w:eastAsia="Calibri"/>
          <w:lang w:val="en-US" w:eastAsia="es-PE"/>
        </w:rPr>
        <w:t>; 2022. [</w:t>
      </w:r>
      <w:proofErr w:type="spellStart"/>
      <w:r w:rsidRPr="00CB7C69">
        <w:rPr>
          <w:rFonts w:eastAsia="Calibri"/>
          <w:lang w:val="en-US" w:eastAsia="es-PE"/>
        </w:rPr>
        <w:t>acceso</w:t>
      </w:r>
      <w:proofErr w:type="spellEnd"/>
      <w:r w:rsidRPr="00CB7C69">
        <w:rPr>
          <w:rFonts w:eastAsia="Calibri"/>
          <w:lang w:val="en-US" w:eastAsia="es-PE"/>
        </w:rPr>
        <w:t xml:space="preserve">: 15/01/2022]. </w:t>
      </w:r>
      <w:r w:rsidRPr="00CB7C69">
        <w:rPr>
          <w:rFonts w:eastAsia="Calibri"/>
          <w:lang w:val="es-CU" w:eastAsia="es-PE"/>
        </w:rPr>
        <w:t xml:space="preserve">Disponible en: </w:t>
      </w:r>
      <w:hyperlink r:id="rId39">
        <w:r w:rsidRPr="00CB7C69">
          <w:rPr>
            <w:rFonts w:eastAsia="Calibri"/>
            <w:color w:val="0563C1"/>
            <w:u w:val="single"/>
            <w:lang w:val="es-CU" w:eastAsia="es-PE"/>
          </w:rPr>
          <w:t>http://www.ncbi.nlm.nih.gov/books/NBK507872/</w:t>
        </w:r>
      </w:hyperlink>
    </w:p>
    <w:p w14:paraId="5B6454CA"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23. Eriksson P, Hansson P-O, Eriksson H, </w:t>
      </w:r>
      <w:proofErr w:type="spellStart"/>
      <w:r w:rsidRPr="00CB7C69">
        <w:rPr>
          <w:rFonts w:eastAsia="Calibri"/>
          <w:lang w:val="en-US" w:eastAsia="es-PE"/>
        </w:rPr>
        <w:t>Dellborg</w:t>
      </w:r>
      <w:proofErr w:type="spellEnd"/>
      <w:r w:rsidRPr="00CB7C69">
        <w:rPr>
          <w:rFonts w:eastAsia="Calibri"/>
          <w:lang w:val="en-US" w:eastAsia="es-PE"/>
        </w:rPr>
        <w:t xml:space="preserve"> M. Bundle-Branch Block in a General Male Population: The Study of Men Born 1913. </w:t>
      </w:r>
      <w:proofErr w:type="spellStart"/>
      <w:r w:rsidRPr="00CB7C69">
        <w:rPr>
          <w:rFonts w:eastAsia="Calibri"/>
          <w:lang w:val="es-PE" w:eastAsia="es-PE"/>
        </w:rPr>
        <w:t>Circulation</w:t>
      </w:r>
      <w:proofErr w:type="spellEnd"/>
      <w:r w:rsidRPr="00CB7C69">
        <w:rPr>
          <w:rFonts w:eastAsia="Calibri"/>
          <w:lang w:val="es-PE" w:eastAsia="es-PE"/>
        </w:rPr>
        <w:t xml:space="preserve">. 1998 [acceso: 15/01/2022]; 98(22): 2494-500.Disponible en:  </w:t>
      </w:r>
      <w:hyperlink r:id="rId40">
        <w:r w:rsidRPr="00CB7C69">
          <w:rPr>
            <w:rFonts w:eastAsia="Calibri"/>
            <w:color w:val="0563C1"/>
            <w:u w:val="single"/>
            <w:lang w:val="es-PE" w:eastAsia="es-PE"/>
          </w:rPr>
          <w:t>https://pubmed.ncbi.nlm.nih.gov/9832497/</w:t>
        </w:r>
      </w:hyperlink>
    </w:p>
    <w:p w14:paraId="3315A16D"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n-US" w:eastAsia="es-PE"/>
        </w:rPr>
        <w:t xml:space="preserve">24. Ohmae M, </w:t>
      </w:r>
      <w:proofErr w:type="spellStart"/>
      <w:r w:rsidRPr="00CB7C69">
        <w:rPr>
          <w:rFonts w:eastAsia="Calibri"/>
          <w:lang w:val="en-US" w:eastAsia="es-PE"/>
        </w:rPr>
        <w:t>Rabkin</w:t>
      </w:r>
      <w:proofErr w:type="spellEnd"/>
      <w:r w:rsidRPr="00CB7C69">
        <w:rPr>
          <w:rFonts w:eastAsia="Calibri"/>
          <w:lang w:val="en-US" w:eastAsia="es-PE"/>
        </w:rPr>
        <w:t xml:space="preserve"> SW. Hyperkalemia-induced bundle branch block and complete heart block. </w:t>
      </w:r>
      <w:r w:rsidRPr="00CB7C69">
        <w:rPr>
          <w:rFonts w:eastAsia="Calibri"/>
          <w:lang w:val="es-CU" w:eastAsia="es-PE"/>
        </w:rPr>
        <w:t xml:space="preserve">Clin </w:t>
      </w:r>
      <w:proofErr w:type="spellStart"/>
      <w:r w:rsidRPr="00CB7C69">
        <w:rPr>
          <w:rFonts w:eastAsia="Calibri"/>
          <w:lang w:val="es-CU" w:eastAsia="es-PE"/>
        </w:rPr>
        <w:t>Cardiol</w:t>
      </w:r>
      <w:proofErr w:type="spellEnd"/>
      <w:r w:rsidRPr="00CB7C69">
        <w:rPr>
          <w:rFonts w:eastAsia="Calibri"/>
          <w:lang w:val="es-CU" w:eastAsia="es-PE"/>
        </w:rPr>
        <w:t xml:space="preserve">. 1981 [acceso: 15/01/2022]; 4(1): 43-6. </w:t>
      </w:r>
      <w:r w:rsidRPr="00CB7C69">
        <w:rPr>
          <w:rFonts w:eastAsia="Calibri"/>
          <w:lang w:val="es-PE" w:eastAsia="es-PE"/>
        </w:rPr>
        <w:t xml:space="preserve">Disponible en:  </w:t>
      </w:r>
      <w:hyperlink r:id="rId41">
        <w:r w:rsidRPr="00CB7C69">
          <w:rPr>
            <w:rFonts w:eastAsia="Calibri"/>
            <w:color w:val="0563C1"/>
            <w:u w:val="single"/>
            <w:lang w:val="es-PE" w:eastAsia="es-PE"/>
          </w:rPr>
          <w:t>https://pubmed.ncbi.nlm.nih.gov/7226590/</w:t>
        </w:r>
      </w:hyperlink>
    </w:p>
    <w:p w14:paraId="5FDE967B"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lastRenderedPageBreak/>
        <w:t xml:space="preserve">25. de Castroviejo EVR, Perales CS, López JL, García Cortés MJ, Extremera VA, Herrera MG, et al. </w:t>
      </w:r>
      <w:r w:rsidRPr="00CB7C69">
        <w:rPr>
          <w:rFonts w:eastAsia="Calibri"/>
          <w:lang w:val="en-US" w:eastAsia="es-PE"/>
        </w:rPr>
        <w:t xml:space="preserve">Prevalence and Predisposing Factors for Bundle Branch Block in Patients Starting Dialysis. </w:t>
      </w:r>
      <w:proofErr w:type="spellStart"/>
      <w:r w:rsidRPr="00CB7C69">
        <w:rPr>
          <w:rFonts w:eastAsia="Calibri"/>
          <w:lang w:val="es-PE" w:eastAsia="es-PE"/>
        </w:rPr>
        <w:t>Rev</w:t>
      </w:r>
      <w:proofErr w:type="spellEnd"/>
      <w:r w:rsidRPr="00CB7C69">
        <w:rPr>
          <w:rFonts w:eastAsia="Calibri"/>
          <w:lang w:val="es-PE" w:eastAsia="es-PE"/>
        </w:rPr>
        <w:t xml:space="preserve"> </w:t>
      </w:r>
      <w:proofErr w:type="spellStart"/>
      <w:r w:rsidRPr="00CB7C69">
        <w:rPr>
          <w:rFonts w:eastAsia="Calibri"/>
          <w:lang w:val="es-PE" w:eastAsia="es-PE"/>
        </w:rPr>
        <w:t>Esp</w:t>
      </w:r>
      <w:proofErr w:type="spellEnd"/>
      <w:r w:rsidRPr="00CB7C69">
        <w:rPr>
          <w:rFonts w:eastAsia="Calibri"/>
          <w:lang w:val="es-PE" w:eastAsia="es-PE"/>
        </w:rPr>
        <w:t xml:space="preserve"> </w:t>
      </w:r>
      <w:proofErr w:type="spellStart"/>
      <w:r w:rsidRPr="00CB7C69">
        <w:rPr>
          <w:rFonts w:eastAsia="Calibri"/>
          <w:lang w:val="es-PE" w:eastAsia="es-PE"/>
        </w:rPr>
        <w:t>Cardiol</w:t>
      </w:r>
      <w:proofErr w:type="spellEnd"/>
      <w:r w:rsidRPr="00CB7C69">
        <w:rPr>
          <w:rFonts w:eastAsia="Calibri"/>
          <w:lang w:val="es-PE" w:eastAsia="es-PE"/>
        </w:rPr>
        <w:t xml:space="preserve">. 2008 [acceso: 15/01/2022]; 61(7): 719-25. Disponible en:  </w:t>
      </w:r>
      <w:hyperlink r:id="rId42">
        <w:r w:rsidRPr="00CB7C69">
          <w:rPr>
            <w:rFonts w:eastAsia="Calibri"/>
            <w:color w:val="0563C1"/>
            <w:u w:val="single"/>
            <w:lang w:val="es-PE" w:eastAsia="es-PE"/>
          </w:rPr>
          <w:t>https://www.revespcardiol.org/es-prevalence-of-and-predisposing-factors-articulo-13124411</w:t>
        </w:r>
      </w:hyperlink>
    </w:p>
    <w:p w14:paraId="793FDC40"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26. </w:t>
      </w:r>
      <w:proofErr w:type="spellStart"/>
      <w:r w:rsidRPr="00CB7C69">
        <w:rPr>
          <w:rFonts w:eastAsia="Calibri"/>
          <w:lang w:val="es-PE" w:eastAsia="es-PE"/>
        </w:rPr>
        <w:t>Pantazopoulos</w:t>
      </w:r>
      <w:proofErr w:type="spellEnd"/>
      <w:r w:rsidRPr="00CB7C69">
        <w:rPr>
          <w:rFonts w:eastAsia="Calibri"/>
          <w:lang w:val="es-PE" w:eastAsia="es-PE"/>
        </w:rPr>
        <w:t xml:space="preserve"> JS, David A, Kostis WJ, </w:t>
      </w:r>
      <w:proofErr w:type="spellStart"/>
      <w:r w:rsidRPr="00CB7C69">
        <w:rPr>
          <w:rFonts w:eastAsia="Calibri"/>
          <w:lang w:val="es-PE" w:eastAsia="es-PE"/>
        </w:rPr>
        <w:t>Cosgrove</w:t>
      </w:r>
      <w:proofErr w:type="spellEnd"/>
      <w:r w:rsidRPr="00CB7C69">
        <w:rPr>
          <w:rFonts w:eastAsia="Calibri"/>
          <w:lang w:val="es-PE" w:eastAsia="es-PE"/>
        </w:rPr>
        <w:t xml:space="preserve"> NM, Kostis JB. </w:t>
      </w:r>
      <w:r w:rsidRPr="00CB7C69">
        <w:rPr>
          <w:rFonts w:eastAsia="Calibri"/>
          <w:lang w:val="en-US" w:eastAsia="es-PE"/>
        </w:rPr>
        <w:t xml:space="preserve">Cardiovascular outcomes in patients with intraventricular conduction blocks: A sixteen-year follow-up in a state-wide database. </w:t>
      </w:r>
      <w:proofErr w:type="spellStart"/>
      <w:r w:rsidRPr="00CB7C69">
        <w:rPr>
          <w:rFonts w:eastAsia="Calibri"/>
          <w:lang w:val="es-PE" w:eastAsia="es-PE"/>
        </w:rPr>
        <w:t>Hellenic</w:t>
      </w:r>
      <w:proofErr w:type="spellEnd"/>
      <w:r w:rsidRPr="00CB7C69">
        <w:rPr>
          <w:rFonts w:eastAsia="Calibri"/>
          <w:lang w:val="es-PE" w:eastAsia="es-PE"/>
        </w:rPr>
        <w:t xml:space="preserve"> J </w:t>
      </w:r>
      <w:proofErr w:type="spellStart"/>
      <w:r w:rsidRPr="00CB7C69">
        <w:rPr>
          <w:rFonts w:eastAsia="Calibri"/>
          <w:lang w:val="es-PE" w:eastAsia="es-PE"/>
        </w:rPr>
        <w:t>Cardiol</w:t>
      </w:r>
      <w:proofErr w:type="spellEnd"/>
      <w:r w:rsidRPr="00CB7C69">
        <w:rPr>
          <w:rFonts w:eastAsia="Calibri"/>
          <w:lang w:val="es-PE" w:eastAsia="es-PE"/>
        </w:rPr>
        <w:t xml:space="preserve">. 2017 [acceso: 15/01/2022]; 58(3): 194-201. Disponible en:  </w:t>
      </w:r>
      <w:hyperlink r:id="rId43">
        <w:r w:rsidRPr="00CB7C69">
          <w:rPr>
            <w:rFonts w:eastAsia="Calibri"/>
            <w:color w:val="0563C1"/>
            <w:u w:val="single"/>
            <w:lang w:val="es-PE" w:eastAsia="es-PE"/>
          </w:rPr>
          <w:t>https://pubmed.ncbi.nlm.nih.gov/27965025/</w:t>
        </w:r>
      </w:hyperlink>
    </w:p>
    <w:p w14:paraId="21F16ED9"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27. Seclen SN, Rosas ME, Arias AJ, Medina CA. </w:t>
      </w:r>
      <w:r w:rsidRPr="00CB7C69">
        <w:rPr>
          <w:rFonts w:eastAsia="Calibri"/>
          <w:lang w:val="en-US" w:eastAsia="es-PE"/>
        </w:rPr>
        <w:t xml:space="preserve">Elevated incidence rates of diabetes in Peru: report from PERUDIAB, a national urban population-based longitudinal study. </w:t>
      </w:r>
      <w:r w:rsidRPr="00CB7C69">
        <w:rPr>
          <w:rFonts w:eastAsia="Calibri"/>
          <w:lang w:val="es-PE" w:eastAsia="es-PE"/>
        </w:rPr>
        <w:t xml:space="preserve">BMJ Open </w:t>
      </w:r>
      <w:proofErr w:type="spellStart"/>
      <w:r w:rsidRPr="00CB7C69">
        <w:rPr>
          <w:rFonts w:eastAsia="Calibri"/>
          <w:lang w:val="es-PE" w:eastAsia="es-PE"/>
        </w:rPr>
        <w:t>Diab</w:t>
      </w:r>
      <w:proofErr w:type="spellEnd"/>
      <w:r w:rsidRPr="00CB7C69">
        <w:rPr>
          <w:rFonts w:eastAsia="Calibri"/>
          <w:lang w:val="es-PE" w:eastAsia="es-PE"/>
        </w:rPr>
        <w:t xml:space="preserve"> Res </w:t>
      </w:r>
      <w:proofErr w:type="spellStart"/>
      <w:r w:rsidRPr="00CB7C69">
        <w:rPr>
          <w:rFonts w:eastAsia="Calibri"/>
          <w:lang w:val="es-PE" w:eastAsia="es-PE"/>
        </w:rPr>
        <w:t>Care</w:t>
      </w:r>
      <w:proofErr w:type="spellEnd"/>
      <w:r w:rsidRPr="00CB7C69">
        <w:rPr>
          <w:rFonts w:eastAsia="Calibri"/>
          <w:lang w:val="es-PE" w:eastAsia="es-PE"/>
        </w:rPr>
        <w:t xml:space="preserve">. 2017 [acceso: 15/01/2022]; 5(1): e000401. Disponible en: </w:t>
      </w:r>
      <w:hyperlink r:id="rId44">
        <w:r w:rsidRPr="00CB7C69">
          <w:rPr>
            <w:rFonts w:eastAsia="Calibri"/>
            <w:color w:val="0563C1"/>
            <w:u w:val="single"/>
            <w:lang w:val="es-PE" w:eastAsia="es-PE"/>
          </w:rPr>
          <w:t>https://pubmed.ncbi.nlm.nih.gov/28878935/</w:t>
        </w:r>
      </w:hyperlink>
    </w:p>
    <w:p w14:paraId="46364E61"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28. </w:t>
      </w:r>
      <w:proofErr w:type="spellStart"/>
      <w:r w:rsidRPr="00CB7C69">
        <w:rPr>
          <w:rFonts w:eastAsia="Calibri"/>
          <w:lang w:val="es-PE" w:eastAsia="es-PE"/>
        </w:rPr>
        <w:t>Ccorahua</w:t>
      </w:r>
      <w:proofErr w:type="spellEnd"/>
      <w:r w:rsidRPr="00CB7C69">
        <w:rPr>
          <w:rFonts w:eastAsia="Calibri"/>
          <w:lang w:val="es-PE" w:eastAsia="es-PE"/>
        </w:rPr>
        <w:t xml:space="preserve">-Ríos MS, </w:t>
      </w:r>
      <w:proofErr w:type="spellStart"/>
      <w:r w:rsidRPr="00CB7C69">
        <w:rPr>
          <w:rFonts w:eastAsia="Calibri"/>
          <w:lang w:val="es-PE" w:eastAsia="es-PE"/>
        </w:rPr>
        <w:t>Atamari-Anahui</w:t>
      </w:r>
      <w:proofErr w:type="spellEnd"/>
      <w:r w:rsidRPr="00CB7C69">
        <w:rPr>
          <w:rFonts w:eastAsia="Calibri"/>
          <w:lang w:val="es-PE" w:eastAsia="es-PE"/>
        </w:rPr>
        <w:t xml:space="preserve"> N, Miranda-Abarca I, Campero-Espinoza AB, Rondón-</w:t>
      </w:r>
      <w:proofErr w:type="spellStart"/>
      <w:r w:rsidRPr="00CB7C69">
        <w:rPr>
          <w:rFonts w:eastAsia="Calibri"/>
          <w:lang w:val="es-PE" w:eastAsia="es-PE"/>
        </w:rPr>
        <w:t>Abuhadba</w:t>
      </w:r>
      <w:proofErr w:type="spellEnd"/>
      <w:r w:rsidRPr="00CB7C69">
        <w:rPr>
          <w:rFonts w:eastAsia="Calibri"/>
          <w:lang w:val="es-PE" w:eastAsia="es-PE"/>
        </w:rPr>
        <w:t xml:space="preserve"> EA, Pereira-Victorio CJ. </w:t>
      </w:r>
      <w:r w:rsidRPr="00CB7C69">
        <w:rPr>
          <w:rFonts w:eastAsia="Calibri"/>
          <w:lang w:val="en-US" w:eastAsia="es-PE"/>
        </w:rPr>
        <w:t xml:space="preserve">Type 2 diabetes mellitus prevalence between 2005 and 2018 in population under 30 using data from the Ministry of Health of Peru. </w:t>
      </w:r>
      <w:proofErr w:type="spellStart"/>
      <w:r w:rsidRPr="00CB7C69">
        <w:rPr>
          <w:rFonts w:eastAsia="Calibri"/>
          <w:lang w:val="es-PE" w:eastAsia="es-PE"/>
        </w:rPr>
        <w:t>Medwave</w:t>
      </w:r>
      <w:proofErr w:type="spellEnd"/>
      <w:r w:rsidRPr="00CB7C69">
        <w:rPr>
          <w:rFonts w:eastAsia="Calibri"/>
          <w:lang w:val="es-PE" w:eastAsia="es-PE"/>
        </w:rPr>
        <w:t xml:space="preserve">. 2019 [acceso: 15/01/2022]; 19(10): e7723-e7723. Disponible en: </w:t>
      </w:r>
      <w:hyperlink r:id="rId45">
        <w:r w:rsidRPr="00CB7C69">
          <w:rPr>
            <w:rFonts w:eastAsia="Calibri"/>
            <w:color w:val="0563C1"/>
            <w:u w:val="single"/>
            <w:lang w:val="es-PE" w:eastAsia="es-PE"/>
          </w:rPr>
          <w:t>https://pubmed.ncbi.nlm.nih.gov/31887109/</w:t>
        </w:r>
      </w:hyperlink>
    </w:p>
    <w:p w14:paraId="2C69A705"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29. Guerrero-Díaz DV, Hernández-Vásquez A, Montoya-Rivera WC, Rojas-Roque C, Chacón Díaz MA, </w:t>
      </w:r>
      <w:proofErr w:type="spellStart"/>
      <w:r w:rsidRPr="00CB7C69">
        <w:rPr>
          <w:rFonts w:eastAsia="Calibri"/>
          <w:lang w:val="es-PE" w:eastAsia="es-PE"/>
        </w:rPr>
        <w:t>Bendezu</w:t>
      </w:r>
      <w:proofErr w:type="spellEnd"/>
      <w:r w:rsidRPr="00CB7C69">
        <w:rPr>
          <w:rFonts w:eastAsia="Calibri"/>
          <w:lang w:val="es-PE" w:eastAsia="es-PE"/>
        </w:rPr>
        <w:t xml:space="preserve">-Quispe G. </w:t>
      </w:r>
      <w:proofErr w:type="spellStart"/>
      <w:r w:rsidRPr="00CB7C69">
        <w:rPr>
          <w:rFonts w:eastAsia="Calibri"/>
          <w:lang w:val="es-PE" w:eastAsia="es-PE"/>
        </w:rPr>
        <w:t>Undiagnosed</w:t>
      </w:r>
      <w:proofErr w:type="spellEnd"/>
      <w:r w:rsidRPr="00CB7C69">
        <w:rPr>
          <w:rFonts w:eastAsia="Calibri"/>
          <w:lang w:val="es-PE" w:eastAsia="es-PE"/>
        </w:rPr>
        <w:t xml:space="preserve"> </w:t>
      </w:r>
      <w:proofErr w:type="spellStart"/>
      <w:r w:rsidRPr="00CB7C69">
        <w:rPr>
          <w:rFonts w:eastAsia="Calibri"/>
          <w:lang w:val="es-PE" w:eastAsia="es-PE"/>
        </w:rPr>
        <w:t>hypertension</w:t>
      </w:r>
      <w:proofErr w:type="spellEnd"/>
      <w:r w:rsidRPr="00CB7C69">
        <w:rPr>
          <w:rFonts w:eastAsia="Calibri"/>
          <w:lang w:val="es-PE" w:eastAsia="es-PE"/>
        </w:rPr>
        <w:t xml:space="preserve"> in </w:t>
      </w:r>
      <w:proofErr w:type="spellStart"/>
      <w:r w:rsidRPr="00CB7C69">
        <w:rPr>
          <w:rFonts w:eastAsia="Calibri"/>
          <w:lang w:val="es-PE" w:eastAsia="es-PE"/>
        </w:rPr>
        <w:t>Peru</w:t>
      </w:r>
      <w:proofErr w:type="spellEnd"/>
      <w:r w:rsidRPr="00CB7C69">
        <w:rPr>
          <w:rFonts w:eastAsia="Calibri"/>
          <w:lang w:val="es-PE" w:eastAsia="es-PE"/>
        </w:rPr>
        <w:t xml:space="preserve">: </w:t>
      </w:r>
      <w:proofErr w:type="spellStart"/>
      <w:r w:rsidRPr="00CB7C69">
        <w:rPr>
          <w:rFonts w:eastAsia="Calibri"/>
          <w:lang w:val="es-PE" w:eastAsia="es-PE"/>
        </w:rPr>
        <w:t>analysis</w:t>
      </w:r>
      <w:proofErr w:type="spellEnd"/>
      <w:r w:rsidRPr="00CB7C69">
        <w:rPr>
          <w:rFonts w:eastAsia="Calibri"/>
          <w:lang w:val="es-PE" w:eastAsia="es-PE"/>
        </w:rPr>
        <w:t xml:space="preserve"> </w:t>
      </w:r>
      <w:proofErr w:type="spellStart"/>
      <w:r w:rsidRPr="00CB7C69">
        <w:rPr>
          <w:rFonts w:eastAsia="Calibri"/>
          <w:lang w:val="es-PE" w:eastAsia="es-PE"/>
        </w:rPr>
        <w:t>of</w:t>
      </w:r>
      <w:proofErr w:type="spellEnd"/>
      <w:r w:rsidRPr="00CB7C69">
        <w:rPr>
          <w:rFonts w:eastAsia="Calibri"/>
          <w:lang w:val="es-PE" w:eastAsia="es-PE"/>
        </w:rPr>
        <w:t xml:space="preserve"> </w:t>
      </w:r>
      <w:proofErr w:type="spellStart"/>
      <w:r w:rsidRPr="00CB7C69">
        <w:rPr>
          <w:rFonts w:eastAsia="Calibri"/>
          <w:lang w:val="es-PE" w:eastAsia="es-PE"/>
        </w:rPr>
        <w:t>associated</w:t>
      </w:r>
      <w:proofErr w:type="spellEnd"/>
      <w:r w:rsidRPr="00CB7C69">
        <w:rPr>
          <w:rFonts w:eastAsia="Calibri"/>
          <w:lang w:val="es-PE" w:eastAsia="es-PE"/>
        </w:rPr>
        <w:t xml:space="preserve"> </w:t>
      </w:r>
      <w:proofErr w:type="spellStart"/>
      <w:r w:rsidRPr="00CB7C69">
        <w:rPr>
          <w:rFonts w:eastAsia="Calibri"/>
          <w:lang w:val="es-PE" w:eastAsia="es-PE"/>
        </w:rPr>
        <w:t>factors</w:t>
      </w:r>
      <w:proofErr w:type="spellEnd"/>
      <w:r w:rsidRPr="00CB7C69">
        <w:rPr>
          <w:rFonts w:eastAsia="Calibri"/>
          <w:lang w:val="es-PE" w:eastAsia="es-PE"/>
        </w:rPr>
        <w:t xml:space="preserve"> and </w:t>
      </w:r>
      <w:proofErr w:type="spellStart"/>
      <w:r w:rsidRPr="00CB7C69">
        <w:rPr>
          <w:rFonts w:eastAsia="Calibri"/>
          <w:lang w:val="es-PE" w:eastAsia="es-PE"/>
        </w:rPr>
        <w:t>socioeconomic</w:t>
      </w:r>
      <w:proofErr w:type="spellEnd"/>
      <w:r w:rsidRPr="00CB7C69">
        <w:rPr>
          <w:rFonts w:eastAsia="Calibri"/>
          <w:lang w:val="es-PE" w:eastAsia="es-PE"/>
        </w:rPr>
        <w:t xml:space="preserve"> </w:t>
      </w:r>
      <w:proofErr w:type="spellStart"/>
      <w:r w:rsidRPr="00CB7C69">
        <w:rPr>
          <w:rFonts w:eastAsia="Calibri"/>
          <w:lang w:val="es-PE" w:eastAsia="es-PE"/>
        </w:rPr>
        <w:t>inequalities</w:t>
      </w:r>
      <w:proofErr w:type="spellEnd"/>
      <w:r w:rsidRPr="00CB7C69">
        <w:rPr>
          <w:rFonts w:eastAsia="Calibri"/>
          <w:lang w:val="es-PE" w:eastAsia="es-PE"/>
        </w:rPr>
        <w:t xml:space="preserve">, 2019. </w:t>
      </w:r>
      <w:proofErr w:type="spellStart"/>
      <w:r w:rsidRPr="00CB7C69">
        <w:rPr>
          <w:rFonts w:eastAsia="Calibri"/>
          <w:lang w:val="es-PE" w:eastAsia="es-PE"/>
        </w:rPr>
        <w:t>Heliyon</w:t>
      </w:r>
      <w:proofErr w:type="spellEnd"/>
      <w:r w:rsidRPr="00CB7C69">
        <w:rPr>
          <w:rFonts w:eastAsia="Calibri"/>
          <w:lang w:val="es-PE" w:eastAsia="es-PE"/>
        </w:rPr>
        <w:t xml:space="preserve">. 2021 [acceso: 15/01/2022]; 7(7): e07516. Disponible en: </w:t>
      </w:r>
      <w:hyperlink r:id="rId46">
        <w:r w:rsidRPr="00CB7C69">
          <w:rPr>
            <w:rFonts w:eastAsia="Calibri"/>
            <w:color w:val="0563C1"/>
            <w:u w:val="single"/>
            <w:lang w:val="es-PE" w:eastAsia="es-PE"/>
          </w:rPr>
          <w:t>https://pubmed.ncbi.nlm.nih.gov/34296015/</w:t>
        </w:r>
      </w:hyperlink>
    </w:p>
    <w:p w14:paraId="6C39451A"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30. Marín DE-, Ramos CFR, Miranda-Arboleda A, Castilla-Agudelo G, Saldarriaga-Giraldo C. Patrones electrocardiográficos de alto riesgo en pacientes con síndrome coronario agudo. Archivos Peruanos de Cardiología y Cirugía Cardiovascular. 2020 [acceso: 15/01/2022]; 1(4): 240-9. Disponible en:  </w:t>
      </w:r>
      <w:hyperlink r:id="rId47">
        <w:r w:rsidRPr="00CB7C69">
          <w:rPr>
            <w:rFonts w:eastAsia="Calibri"/>
            <w:color w:val="0563C1"/>
            <w:u w:val="single"/>
            <w:lang w:val="es-PE" w:eastAsia="es-PE"/>
          </w:rPr>
          <w:t>https://apcyccv.org.pe/index.php/apccc/article/view/82</w:t>
        </w:r>
      </w:hyperlink>
    </w:p>
    <w:p w14:paraId="6C1CF1ED" w14:textId="77777777" w:rsidR="00CB7C69" w:rsidRPr="00CB7C69" w:rsidRDefault="00CB7C69" w:rsidP="00CB7C69">
      <w:pPr>
        <w:suppressAutoHyphens/>
        <w:spacing w:line="360" w:lineRule="auto"/>
        <w:rPr>
          <w:rFonts w:eastAsia="Calibri"/>
          <w:sz w:val="22"/>
          <w:szCs w:val="22"/>
          <w:lang w:val="es-PE" w:eastAsia="es-PE"/>
        </w:rPr>
      </w:pPr>
      <w:r w:rsidRPr="00CB7C69">
        <w:rPr>
          <w:rFonts w:eastAsia="Calibri"/>
          <w:lang w:val="es-PE" w:eastAsia="es-PE"/>
        </w:rPr>
        <w:t xml:space="preserve">31. </w:t>
      </w:r>
      <w:proofErr w:type="spellStart"/>
      <w:r w:rsidRPr="00CB7C69">
        <w:rPr>
          <w:rFonts w:eastAsia="Calibri"/>
          <w:lang w:val="es-PE" w:eastAsia="es-PE"/>
        </w:rPr>
        <w:t>Birnbaum</w:t>
      </w:r>
      <w:proofErr w:type="spellEnd"/>
      <w:r w:rsidRPr="00CB7C69">
        <w:rPr>
          <w:rFonts w:eastAsia="Calibri"/>
          <w:lang w:val="es-PE" w:eastAsia="es-PE"/>
        </w:rPr>
        <w:t xml:space="preserve"> Y, Fiol M, </w:t>
      </w:r>
      <w:proofErr w:type="spellStart"/>
      <w:r w:rsidRPr="00CB7C69">
        <w:rPr>
          <w:rFonts w:eastAsia="Calibri"/>
          <w:lang w:val="es-PE" w:eastAsia="es-PE"/>
        </w:rPr>
        <w:t>Nikus</w:t>
      </w:r>
      <w:proofErr w:type="spellEnd"/>
      <w:r w:rsidRPr="00CB7C69">
        <w:rPr>
          <w:rFonts w:eastAsia="Calibri"/>
          <w:lang w:val="es-PE" w:eastAsia="es-PE"/>
        </w:rPr>
        <w:t xml:space="preserve"> K, Niebla JG, </w:t>
      </w:r>
      <w:proofErr w:type="spellStart"/>
      <w:r w:rsidRPr="00CB7C69">
        <w:rPr>
          <w:rFonts w:eastAsia="Calibri"/>
          <w:lang w:val="es-PE" w:eastAsia="es-PE"/>
        </w:rPr>
        <w:t>Bacharova</w:t>
      </w:r>
      <w:proofErr w:type="spellEnd"/>
      <w:r w:rsidRPr="00CB7C69">
        <w:rPr>
          <w:rFonts w:eastAsia="Calibri"/>
          <w:lang w:val="es-PE" w:eastAsia="es-PE"/>
        </w:rPr>
        <w:t xml:space="preserve"> L, </w:t>
      </w:r>
      <w:proofErr w:type="spellStart"/>
      <w:r w:rsidRPr="00CB7C69">
        <w:rPr>
          <w:rFonts w:eastAsia="Calibri"/>
          <w:lang w:val="es-PE" w:eastAsia="es-PE"/>
        </w:rPr>
        <w:t>Dubner</w:t>
      </w:r>
      <w:proofErr w:type="spellEnd"/>
      <w:r w:rsidRPr="00CB7C69">
        <w:rPr>
          <w:rFonts w:eastAsia="Calibri"/>
          <w:lang w:val="es-PE" w:eastAsia="es-PE"/>
        </w:rPr>
        <w:t xml:space="preserve"> S, et al. </w:t>
      </w:r>
      <w:r w:rsidRPr="00CB7C69">
        <w:rPr>
          <w:rFonts w:eastAsia="Calibri"/>
          <w:lang w:val="en-US" w:eastAsia="es-PE"/>
        </w:rPr>
        <w:t xml:space="preserve">A counterpoint paper: Comments on the electrocardiographic part of the 2018 Fourth Universal Definition of Myocardial Infarction. </w:t>
      </w:r>
      <w:r w:rsidRPr="00CB7C69">
        <w:rPr>
          <w:rFonts w:eastAsia="Calibri"/>
          <w:lang w:val="es-PE" w:eastAsia="es-PE"/>
        </w:rPr>
        <w:t xml:space="preserve">J </w:t>
      </w:r>
      <w:proofErr w:type="spellStart"/>
      <w:r w:rsidRPr="00CB7C69">
        <w:rPr>
          <w:rFonts w:eastAsia="Calibri"/>
          <w:lang w:val="es-PE" w:eastAsia="es-PE"/>
        </w:rPr>
        <w:t>Electrocardiol</w:t>
      </w:r>
      <w:proofErr w:type="spellEnd"/>
      <w:r w:rsidRPr="00CB7C69">
        <w:rPr>
          <w:rFonts w:eastAsia="Calibri"/>
          <w:lang w:val="es-PE" w:eastAsia="es-PE"/>
        </w:rPr>
        <w:t xml:space="preserve">. 2020 [acceso: 15/01/2022]; 60: 142-7. Disponible en: </w:t>
      </w:r>
      <w:hyperlink r:id="rId48">
        <w:r w:rsidRPr="00CB7C69">
          <w:rPr>
            <w:rFonts w:eastAsia="Calibri"/>
            <w:color w:val="0563C1"/>
            <w:u w:val="single"/>
            <w:lang w:val="es-PE" w:eastAsia="es-PE"/>
          </w:rPr>
          <w:t>https://pubmed.ncbi.nlm.nih.gov/32361523/</w:t>
        </w:r>
      </w:hyperlink>
    </w:p>
    <w:p w14:paraId="2D79F820" w14:textId="77777777" w:rsidR="00CB7C69" w:rsidRPr="00CB7C69" w:rsidRDefault="00CB7C69" w:rsidP="00CB7C69">
      <w:pPr>
        <w:suppressAutoHyphens/>
        <w:spacing w:line="360" w:lineRule="auto"/>
        <w:jc w:val="both"/>
        <w:rPr>
          <w:rFonts w:eastAsia="Calibri"/>
          <w:lang w:val="es-PE" w:eastAsia="es-PE"/>
        </w:rPr>
      </w:pPr>
    </w:p>
    <w:p w14:paraId="3B30B42C" w14:textId="77777777" w:rsidR="00CB7C69" w:rsidRPr="00CB7C69" w:rsidRDefault="00CB7C69" w:rsidP="00CB7C69">
      <w:pPr>
        <w:suppressAutoHyphens/>
        <w:spacing w:line="360" w:lineRule="auto"/>
        <w:jc w:val="center"/>
        <w:rPr>
          <w:rFonts w:eastAsia="Calibri"/>
          <w:b/>
          <w:bCs/>
          <w:lang w:val="es-CO" w:eastAsia="ar-SA"/>
        </w:rPr>
      </w:pPr>
    </w:p>
    <w:p w14:paraId="567CDFF0" w14:textId="77777777"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b/>
          <w:bCs/>
          <w:lang w:val="es-CO" w:eastAsia="ar-SA"/>
        </w:rPr>
        <w:t>Conflictos de interés</w:t>
      </w:r>
    </w:p>
    <w:p w14:paraId="0FA7DFDE" w14:textId="77777777" w:rsidR="00CB7C69" w:rsidRPr="00CB7C69" w:rsidRDefault="00CB7C69" w:rsidP="00CB7C69">
      <w:pPr>
        <w:suppressAutoHyphens/>
        <w:spacing w:line="360" w:lineRule="auto"/>
        <w:jc w:val="both"/>
        <w:rPr>
          <w:rFonts w:eastAsia="Calibri"/>
          <w:lang w:val="es-PE" w:eastAsia="es-PE"/>
        </w:rPr>
      </w:pPr>
      <w:r w:rsidRPr="00CB7C69">
        <w:rPr>
          <w:rFonts w:eastAsia="Calibri"/>
          <w:lang w:val="es-CO" w:eastAsia="ar-SA"/>
        </w:rPr>
        <w:t xml:space="preserve">Los autores declaran no tener conflictos de interés. El estudio fue </w:t>
      </w:r>
      <w:r w:rsidRPr="00CB7C69">
        <w:rPr>
          <w:rFonts w:eastAsia="Calibri"/>
          <w:lang w:val="es-PE" w:eastAsia="es-PE"/>
        </w:rPr>
        <w:t>autofinanciado.</w:t>
      </w:r>
    </w:p>
    <w:p w14:paraId="36440DC8" w14:textId="77777777" w:rsidR="00CB7C69" w:rsidRPr="00CB7C69" w:rsidRDefault="00CB7C69" w:rsidP="00CB7C69">
      <w:pPr>
        <w:suppressAutoHyphens/>
        <w:spacing w:line="360" w:lineRule="auto"/>
        <w:jc w:val="both"/>
        <w:rPr>
          <w:rFonts w:eastAsia="Calibri"/>
          <w:sz w:val="22"/>
          <w:szCs w:val="22"/>
          <w:lang w:val="es-PE" w:eastAsia="es-PE"/>
        </w:rPr>
      </w:pPr>
    </w:p>
    <w:p w14:paraId="6BD18C18" w14:textId="77777777" w:rsidR="00CB7C69" w:rsidRPr="00CB7C69" w:rsidRDefault="00CB7C69" w:rsidP="00CB7C69">
      <w:pPr>
        <w:suppressAutoHyphens/>
        <w:spacing w:line="360" w:lineRule="auto"/>
        <w:jc w:val="center"/>
        <w:rPr>
          <w:rFonts w:eastAsia="Calibri"/>
          <w:sz w:val="22"/>
          <w:szCs w:val="22"/>
          <w:lang w:val="es-PE" w:eastAsia="es-PE"/>
        </w:rPr>
      </w:pPr>
      <w:r w:rsidRPr="00CB7C69">
        <w:rPr>
          <w:rFonts w:eastAsia="Calibri"/>
          <w:b/>
          <w:bCs/>
          <w:lang w:val="es-PE" w:eastAsia="es-PE"/>
        </w:rPr>
        <w:t>Contribuciones de la autoría</w:t>
      </w:r>
    </w:p>
    <w:p w14:paraId="60F857C6" w14:textId="77777777" w:rsidR="00CB7C69" w:rsidRPr="00CB7C69" w:rsidRDefault="00CB7C69" w:rsidP="00CB7C69">
      <w:pPr>
        <w:suppressAutoHyphens/>
        <w:spacing w:line="360" w:lineRule="auto"/>
        <w:jc w:val="both"/>
        <w:rPr>
          <w:bCs/>
          <w:vertAlign w:val="superscript"/>
          <w:lang w:val="es-PE" w:eastAsia="es-PE"/>
        </w:rPr>
      </w:pPr>
      <w:r w:rsidRPr="00CB7C69">
        <w:rPr>
          <w:rFonts w:eastAsia="Calibri"/>
          <w:bCs/>
          <w:lang w:val="es-PE" w:eastAsia="es-PE"/>
        </w:rPr>
        <w:t>Conceptualización:</w:t>
      </w:r>
      <w:bookmarkStart w:id="1" w:name="_Hlk85044943"/>
      <w:r w:rsidRPr="00CB7C69">
        <w:rPr>
          <w:rFonts w:eastAsia="Calibri"/>
          <w:bCs/>
          <w:iCs/>
          <w:lang w:val="es-PE" w:eastAsia="es-PE"/>
        </w:rPr>
        <w:t xml:space="preserve">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w:t>
      </w:r>
      <w:bookmarkEnd w:id="1"/>
      <w:r w:rsidRPr="00CB7C69">
        <w:rPr>
          <w:bCs/>
          <w:i/>
          <w:iCs/>
          <w:lang w:val="es-PE" w:eastAsia="es-PE"/>
        </w:rPr>
        <w:t>do.</w:t>
      </w:r>
    </w:p>
    <w:p w14:paraId="324C25DD" w14:textId="77777777" w:rsidR="00CB7C69" w:rsidRPr="00CB7C69" w:rsidRDefault="00CB7C69" w:rsidP="00CB7C69">
      <w:pPr>
        <w:suppressAutoHyphens/>
        <w:spacing w:line="360" w:lineRule="auto"/>
        <w:jc w:val="both"/>
        <w:rPr>
          <w:rFonts w:eastAsia="Calibri"/>
          <w:bCs/>
          <w:i/>
          <w:iCs/>
          <w:lang w:val="es-PE" w:eastAsia="es-PE"/>
        </w:rPr>
      </w:pPr>
      <w:r w:rsidRPr="00CB7C69">
        <w:rPr>
          <w:rFonts w:eastAsia="Calibri"/>
          <w:bCs/>
          <w:lang w:val="es-PE" w:eastAsia="es-PE"/>
        </w:rPr>
        <w:t xml:space="preserve">Curación de datos: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2E556E72" w14:textId="77777777" w:rsidR="00CB7C69" w:rsidRPr="00CB7C69" w:rsidRDefault="00CB7C69" w:rsidP="00CB7C69">
      <w:pPr>
        <w:suppressAutoHyphens/>
        <w:spacing w:line="360" w:lineRule="auto"/>
        <w:jc w:val="both"/>
        <w:rPr>
          <w:rFonts w:eastAsia="Calibri"/>
          <w:bCs/>
          <w:lang w:val="es-PE" w:eastAsia="es-PE"/>
        </w:rPr>
      </w:pPr>
      <w:r w:rsidRPr="00CB7C69">
        <w:rPr>
          <w:rFonts w:eastAsia="Calibri"/>
          <w:bCs/>
          <w:lang w:val="es-PE" w:eastAsia="es-PE"/>
        </w:rPr>
        <w:t xml:space="preserve">Análisis formal: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1E7AD91E" w14:textId="77777777" w:rsidR="00CB7C69" w:rsidRPr="00CB7C69" w:rsidRDefault="00CB7C69" w:rsidP="00CB7C69">
      <w:pPr>
        <w:suppressAutoHyphens/>
        <w:spacing w:line="360" w:lineRule="auto"/>
        <w:jc w:val="both"/>
        <w:rPr>
          <w:rFonts w:eastAsia="Calibri"/>
          <w:bCs/>
          <w:lang w:val="es-PE" w:eastAsia="es-PE"/>
        </w:rPr>
      </w:pPr>
      <w:r w:rsidRPr="00CB7C69">
        <w:rPr>
          <w:rFonts w:eastAsia="Calibri"/>
          <w:bCs/>
          <w:lang w:val="es-PE" w:eastAsia="es-PE"/>
        </w:rPr>
        <w:t xml:space="preserve">Adquisición de fondos: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69E8153C" w14:textId="77777777" w:rsidR="00CB7C69" w:rsidRPr="00CB7C69" w:rsidRDefault="00CB7C69" w:rsidP="00CB7C69">
      <w:pPr>
        <w:suppressAutoHyphens/>
        <w:spacing w:line="360" w:lineRule="auto"/>
        <w:jc w:val="both"/>
        <w:rPr>
          <w:rFonts w:eastAsia="Calibri"/>
          <w:bCs/>
          <w:iCs/>
          <w:lang w:val="es-PE" w:eastAsia="es-PE"/>
        </w:rPr>
      </w:pPr>
      <w:r w:rsidRPr="00CB7C69">
        <w:rPr>
          <w:rFonts w:eastAsia="Calibri"/>
          <w:bCs/>
          <w:lang w:val="es-PE" w:eastAsia="es-PE"/>
        </w:rPr>
        <w:t xml:space="preserve">Investigación: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078387A0" w14:textId="77777777" w:rsidR="00CB7C69" w:rsidRPr="00CB7C69" w:rsidRDefault="00CB7C69" w:rsidP="00CB7C69">
      <w:pPr>
        <w:suppressAutoHyphens/>
        <w:spacing w:line="360" w:lineRule="auto"/>
        <w:jc w:val="both"/>
        <w:rPr>
          <w:rFonts w:eastAsia="Calibri"/>
          <w:bCs/>
          <w:lang w:val="es-PE" w:eastAsia="es-PE"/>
        </w:rPr>
      </w:pPr>
      <w:r w:rsidRPr="00CB7C69">
        <w:rPr>
          <w:rFonts w:eastAsia="Calibri"/>
          <w:bCs/>
          <w:lang w:val="es-PE" w:eastAsia="es-PE"/>
        </w:rPr>
        <w:t xml:space="preserve">Metodología: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5BF6BD05" w14:textId="77777777" w:rsidR="00CB7C69" w:rsidRPr="00CB7C69" w:rsidRDefault="00CB7C69" w:rsidP="00CB7C69">
      <w:pPr>
        <w:suppressAutoHyphens/>
        <w:spacing w:line="360" w:lineRule="auto"/>
        <w:jc w:val="both"/>
        <w:rPr>
          <w:rFonts w:eastAsia="Calibri"/>
          <w:bCs/>
          <w:i/>
          <w:iCs/>
          <w:lang w:val="es-PE" w:eastAsia="es-PE"/>
        </w:rPr>
      </w:pPr>
      <w:r w:rsidRPr="00CB7C69">
        <w:rPr>
          <w:rFonts w:eastAsia="Calibri"/>
          <w:bCs/>
          <w:lang w:val="es-PE" w:eastAsia="es-PE"/>
        </w:rPr>
        <w:t xml:space="preserve">Administración del proyecto: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23BE55FD" w14:textId="77777777" w:rsidR="00CB7C69" w:rsidRPr="00CB7C69" w:rsidRDefault="00CB7C69" w:rsidP="00CB7C69">
      <w:pPr>
        <w:suppressAutoHyphens/>
        <w:spacing w:line="360" w:lineRule="auto"/>
        <w:jc w:val="both"/>
        <w:rPr>
          <w:rFonts w:eastAsia="Calibri"/>
          <w:bCs/>
          <w:iCs/>
          <w:lang w:val="es-PE" w:eastAsia="es-PE"/>
        </w:rPr>
      </w:pPr>
      <w:r w:rsidRPr="00CB7C69">
        <w:rPr>
          <w:rFonts w:eastAsia="Calibri"/>
          <w:bCs/>
          <w:lang w:val="es-PE" w:eastAsia="es-PE"/>
        </w:rPr>
        <w:t xml:space="preserve">Recursos: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57F59756" w14:textId="77777777" w:rsidR="00CB7C69" w:rsidRPr="00CB7C69" w:rsidRDefault="00CB7C69" w:rsidP="00CB7C69">
      <w:pPr>
        <w:suppressAutoHyphens/>
        <w:spacing w:line="360" w:lineRule="auto"/>
        <w:jc w:val="both"/>
        <w:rPr>
          <w:rFonts w:eastAsia="Calibri"/>
          <w:bCs/>
          <w:iCs/>
          <w:lang w:val="es-PE" w:eastAsia="es-PE"/>
        </w:rPr>
      </w:pPr>
      <w:r w:rsidRPr="00CB7C69">
        <w:rPr>
          <w:rFonts w:eastAsia="Calibri"/>
          <w:bCs/>
          <w:lang w:val="es-PE" w:eastAsia="es-PE"/>
        </w:rPr>
        <w:t xml:space="preserve">Software: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03BBA293" w14:textId="77777777" w:rsidR="00CB7C69" w:rsidRPr="00CB7C69" w:rsidRDefault="00CB7C69" w:rsidP="00CB7C69">
      <w:pPr>
        <w:suppressAutoHyphens/>
        <w:spacing w:line="360" w:lineRule="auto"/>
        <w:jc w:val="both"/>
        <w:rPr>
          <w:rFonts w:eastAsia="Calibri"/>
          <w:bCs/>
          <w:lang w:val="es-PE" w:eastAsia="es-PE"/>
        </w:rPr>
      </w:pPr>
      <w:r w:rsidRPr="00CB7C69">
        <w:rPr>
          <w:rFonts w:eastAsia="Calibri"/>
          <w:bCs/>
          <w:lang w:val="es-PE" w:eastAsia="es-PE"/>
        </w:rPr>
        <w:t xml:space="preserve">Supervisión: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50589D32" w14:textId="77777777" w:rsidR="00CB7C69" w:rsidRPr="00CB7C69" w:rsidRDefault="00CB7C69" w:rsidP="00CB7C69">
      <w:pPr>
        <w:suppressAutoHyphens/>
        <w:spacing w:line="360" w:lineRule="auto"/>
        <w:jc w:val="both"/>
        <w:rPr>
          <w:rFonts w:eastAsia="Calibri"/>
          <w:bCs/>
          <w:iCs/>
          <w:lang w:val="es-PE" w:eastAsia="es-PE"/>
        </w:rPr>
      </w:pPr>
      <w:r w:rsidRPr="00CB7C69">
        <w:rPr>
          <w:rFonts w:eastAsia="Calibri"/>
          <w:bCs/>
          <w:lang w:val="es-PE" w:eastAsia="es-PE"/>
        </w:rPr>
        <w:t xml:space="preserve">Validación: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72935F0D" w14:textId="77777777" w:rsidR="00CB7C69" w:rsidRPr="00CB7C69" w:rsidRDefault="00CB7C69" w:rsidP="00CB7C69">
      <w:pPr>
        <w:suppressAutoHyphens/>
        <w:spacing w:line="360" w:lineRule="auto"/>
        <w:jc w:val="both"/>
        <w:rPr>
          <w:rFonts w:eastAsia="Calibri"/>
          <w:bCs/>
          <w:iCs/>
          <w:lang w:val="es-PE" w:eastAsia="es-PE"/>
        </w:rPr>
      </w:pPr>
      <w:r w:rsidRPr="00CB7C69">
        <w:rPr>
          <w:rFonts w:eastAsia="Calibri"/>
          <w:bCs/>
          <w:lang w:val="es-PE" w:eastAsia="es-PE"/>
        </w:rPr>
        <w:lastRenderedPageBreak/>
        <w:t xml:space="preserve">Visualización: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1AB27866" w14:textId="77777777" w:rsidR="00CB7C69" w:rsidRPr="00CB7C69" w:rsidRDefault="00CB7C69" w:rsidP="00CB7C69">
      <w:pPr>
        <w:suppressAutoHyphens/>
        <w:spacing w:line="360" w:lineRule="auto"/>
        <w:jc w:val="both"/>
        <w:rPr>
          <w:rFonts w:eastAsia="Calibri"/>
          <w:bCs/>
          <w:iCs/>
          <w:lang w:val="es-PE" w:eastAsia="es-PE"/>
        </w:rPr>
      </w:pPr>
      <w:r w:rsidRPr="00CB7C69">
        <w:rPr>
          <w:rFonts w:eastAsia="Calibri"/>
          <w:bCs/>
          <w:lang w:val="es-PE" w:eastAsia="es-PE"/>
        </w:rPr>
        <w:t xml:space="preserve">Redacción – borrador original: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4BC1B280" w14:textId="77777777" w:rsidR="00CB7C69" w:rsidRPr="00CB7C69" w:rsidRDefault="00CB7C69" w:rsidP="00CB7C69">
      <w:pPr>
        <w:suppressAutoHyphens/>
        <w:spacing w:line="360" w:lineRule="auto"/>
        <w:jc w:val="both"/>
        <w:rPr>
          <w:rFonts w:eastAsia="Calibri"/>
          <w:bCs/>
          <w:i/>
          <w:iCs/>
          <w:lang w:val="es-PE" w:eastAsia="es-PE"/>
        </w:rPr>
      </w:pPr>
      <w:r w:rsidRPr="00CB7C69">
        <w:rPr>
          <w:rFonts w:eastAsia="Calibri"/>
          <w:bCs/>
          <w:lang w:val="es-PE" w:eastAsia="es-PE"/>
        </w:rPr>
        <w:t xml:space="preserve">Redacción – revisión y edición: </w:t>
      </w:r>
      <w:r w:rsidRPr="00CB7C69">
        <w:rPr>
          <w:bCs/>
          <w:i/>
          <w:iCs/>
          <w:lang w:val="es-PE" w:eastAsia="es-PE"/>
        </w:rPr>
        <w:t>María José Rentería-Cabrejos, Cinthia Karina Picón-Reátegui, Annel B. Rojas-Alvarado, Sandy P Bulnes-</w:t>
      </w:r>
      <w:proofErr w:type="spellStart"/>
      <w:r w:rsidRPr="00CB7C69">
        <w:rPr>
          <w:bCs/>
          <w:i/>
          <w:iCs/>
          <w:lang w:val="es-PE" w:eastAsia="es-PE"/>
        </w:rPr>
        <w:t>Alvarez</w:t>
      </w:r>
      <w:proofErr w:type="spellEnd"/>
      <w:r w:rsidRPr="00CB7C69">
        <w:rPr>
          <w:bCs/>
          <w:i/>
          <w:iCs/>
          <w:lang w:val="es-PE" w:eastAsia="es-PE"/>
        </w:rPr>
        <w:t>, César Johan Pereira-Victorio, Mario J. Valladares-Garrido.</w:t>
      </w:r>
    </w:p>
    <w:p w14:paraId="60E9C359" w14:textId="77777777" w:rsidR="00CB7C69" w:rsidRPr="00CB7C69" w:rsidRDefault="00CB7C69" w:rsidP="00CB7C69">
      <w:pPr>
        <w:suppressAutoHyphens/>
        <w:spacing w:line="360" w:lineRule="auto"/>
        <w:jc w:val="both"/>
        <w:rPr>
          <w:i/>
          <w:lang w:val="es-PE" w:eastAsia="es-PE"/>
        </w:rPr>
      </w:pPr>
    </w:p>
    <w:p w14:paraId="34A6BDD8" w14:textId="77777777" w:rsidR="00675476" w:rsidRPr="00CB7C69" w:rsidRDefault="00675476" w:rsidP="00EA1FEF">
      <w:pPr>
        <w:pStyle w:val="PDFRevista"/>
        <w:rPr>
          <w:lang w:val="es-PE"/>
        </w:rPr>
      </w:pPr>
    </w:p>
    <w:sectPr w:rsidR="00675476" w:rsidRPr="00CB7C69" w:rsidSect="00FD3DF8">
      <w:headerReference w:type="default" r:id="rId49"/>
      <w:footerReference w:type="even" r:id="rId50"/>
      <w:footerReference w:type="default" r:id="rId5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2E52" w14:textId="77777777" w:rsidR="00D4043D" w:rsidRDefault="00D4043D">
      <w:r>
        <w:separator/>
      </w:r>
    </w:p>
  </w:endnote>
  <w:endnote w:type="continuationSeparator" w:id="0">
    <w:p w14:paraId="7ADC80A2" w14:textId="77777777" w:rsidR="00D4043D" w:rsidRDefault="00D4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8A2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CCBEA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FE28" w14:textId="21976F02" w:rsidR="000F3690" w:rsidRPr="00AE044C" w:rsidRDefault="00CB7C6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B406B1D" wp14:editId="5178C7D7">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FC2E8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7C1AEA71" w14:textId="77777777" w:rsidR="00675476" w:rsidRPr="00AE044C" w:rsidRDefault="00D4043D" w:rsidP="00391509">
    <w:pPr>
      <w:pStyle w:val="Piedepgina"/>
      <w:ind w:right="360"/>
      <w:rPr>
        <w:sz w:val="22"/>
        <w:szCs w:val="22"/>
      </w:rPr>
    </w:pPr>
    <w:hyperlink r:id="rId1" w:history="1">
      <w:r w:rsidR="00391509" w:rsidRPr="00AE044C">
        <w:rPr>
          <w:rStyle w:val="Hipervnculo"/>
          <w:sz w:val="22"/>
          <w:szCs w:val="22"/>
        </w:rPr>
        <w:t>http://scielo.sld.cu</w:t>
      </w:r>
    </w:hyperlink>
  </w:p>
  <w:p w14:paraId="2FA0EDCF" w14:textId="77777777" w:rsidR="00391509" w:rsidRPr="00AE044C" w:rsidRDefault="00D4043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BCFE24F" w14:textId="0F93567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B7C69" w:rsidRPr="00CB7C69">
      <w:rPr>
        <w:rFonts w:ascii="Verdana" w:hAnsi="Verdana"/>
        <w:noProof/>
        <w:sz w:val="18"/>
        <w:szCs w:val="18"/>
        <w:lang w:val="en-US" w:eastAsia="en-US"/>
      </w:rPr>
      <w:drawing>
        <wp:inline distT="0" distB="0" distL="0" distR="0" wp14:anchorId="015A0E9B" wp14:editId="2E2D013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0887" w14:textId="77777777" w:rsidR="00D4043D" w:rsidRDefault="00D4043D">
      <w:r>
        <w:separator/>
      </w:r>
    </w:p>
  </w:footnote>
  <w:footnote w:type="continuationSeparator" w:id="0">
    <w:p w14:paraId="7D33317B" w14:textId="77777777" w:rsidR="00D4043D" w:rsidRDefault="00D40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530A" w14:textId="73D0CF43" w:rsidR="00CC376A" w:rsidRPr="00AE044C" w:rsidRDefault="00CB7C69"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e02201980</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BF17B55" wp14:editId="0A0819C2">
          <wp:simplePos x="0" y="0"/>
          <wp:positionH relativeFrom="column">
            <wp:posOffset>2540</wp:posOffset>
          </wp:positionH>
          <wp:positionV relativeFrom="paragraph">
            <wp:posOffset>-598805</wp:posOffset>
          </wp:positionV>
          <wp:extent cx="6333490" cy="593725"/>
          <wp:effectExtent l="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A83B1" w14:textId="5861FBC7" w:rsidR="00A477DE" w:rsidRDefault="00CB7C69">
    <w:r>
      <w:rPr>
        <w:noProof/>
      </w:rPr>
      <mc:AlternateContent>
        <mc:Choice Requires="wps">
          <w:drawing>
            <wp:anchor distT="0" distB="0" distL="114300" distR="114300" simplePos="0" relativeHeight="251654144" behindDoc="0" locked="0" layoutInCell="1" allowOverlap="1" wp14:anchorId="6A153934" wp14:editId="6C7B7C71">
              <wp:simplePos x="0" y="0"/>
              <wp:positionH relativeFrom="column">
                <wp:posOffset>635</wp:posOffset>
              </wp:positionH>
              <wp:positionV relativeFrom="paragraph">
                <wp:posOffset>42545</wp:posOffset>
              </wp:positionV>
              <wp:extent cx="6307455" cy="28575"/>
              <wp:effectExtent l="19050" t="19050" r="1714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D569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JB0sf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69"/>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B7C69"/>
    <w:rsid w:val="00CC1B6E"/>
    <w:rsid w:val="00CC376A"/>
    <w:rsid w:val="00CC48A1"/>
    <w:rsid w:val="00CF50E0"/>
    <w:rsid w:val="00D4043D"/>
    <w:rsid w:val="00D67179"/>
    <w:rsid w:val="00D85951"/>
    <w:rsid w:val="00E62606"/>
    <w:rsid w:val="00EA1FEF"/>
    <w:rsid w:val="00EB7608"/>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2C34C"/>
  <w15:docId w15:val="{1A57B887-5236-4315-8AF4-7663FE43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rio.valladares@uwiener.edu.pe" TargetMode="External"/><Relationship Id="rId18" Type="http://schemas.openxmlformats.org/officeDocument/2006/relationships/image" Target="media/image5.jpeg"/><Relationship Id="rId26" Type="http://schemas.openxmlformats.org/officeDocument/2006/relationships/hyperlink" Target="https://pubmed.ncbi.nlm.nih.gov/33770645/" TargetMode="External"/><Relationship Id="rId39" Type="http://schemas.openxmlformats.org/officeDocument/2006/relationships/hyperlink" Target="http://www.ncbi.nlm.nih.gov/books/NBK507872/" TargetMode="External"/><Relationship Id="rId3" Type="http://schemas.openxmlformats.org/officeDocument/2006/relationships/settings" Target="settings.xml"/><Relationship Id="rId21" Type="http://schemas.openxmlformats.org/officeDocument/2006/relationships/hyperlink" Target="https://pubmed.ncbi.nlm.nih.gov/15481609/" TargetMode="External"/><Relationship Id="rId34" Type="http://schemas.openxmlformats.org/officeDocument/2006/relationships/hyperlink" Target="https://pubmed.ncbi.nlm.nih.gov/6826977/" TargetMode="External"/><Relationship Id="rId42" Type="http://schemas.openxmlformats.org/officeDocument/2006/relationships/hyperlink" Target="https://www.revespcardiol.org/es-prevalence-of-and-predisposing-factors-articulo-13124411" TargetMode="External"/><Relationship Id="rId47" Type="http://schemas.openxmlformats.org/officeDocument/2006/relationships/hyperlink" Target="https://apcyccv.org.pe/index.php/apccc/article/view/82" TargetMode="External"/><Relationship Id="rId50" Type="http://schemas.openxmlformats.org/officeDocument/2006/relationships/footer" Target="footer1.xml"/><Relationship Id="rId7" Type="http://schemas.openxmlformats.org/officeDocument/2006/relationships/hyperlink" Target="https://orcid.org/0000-0003-4299-1722" TargetMode="External"/><Relationship Id="rId12" Type="http://schemas.openxmlformats.org/officeDocument/2006/relationships/hyperlink" Target="https://orcid.org/0000-0003-0839-2419" TargetMode="External"/><Relationship Id="rId17" Type="http://schemas.openxmlformats.org/officeDocument/2006/relationships/image" Target="media/image4.png"/><Relationship Id="rId25" Type="http://schemas.openxmlformats.org/officeDocument/2006/relationships/hyperlink" Target="https://pubmed.ncbi.nlm.nih.gov/17391152/" TargetMode="External"/><Relationship Id="rId33" Type="http://schemas.openxmlformats.org/officeDocument/2006/relationships/hyperlink" Target="https://pubmed.ncbi.nlm.nih.gov/7350871/" TargetMode="External"/><Relationship Id="rId38" Type="http://schemas.openxmlformats.org/officeDocument/2006/relationships/hyperlink" Target="https://www.ahajournals.org/doi/10.1161/JAHA.120.017430" TargetMode="External"/><Relationship Id="rId46" Type="http://schemas.openxmlformats.org/officeDocument/2006/relationships/hyperlink" Target="https://pubmed.ncbi.nlm.nih.gov/34296015/"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ncbi.nlm.nih.gov/labs/pmc/articles/PMC7732323/" TargetMode="External"/><Relationship Id="rId29" Type="http://schemas.openxmlformats.org/officeDocument/2006/relationships/hyperlink" Target="https://onlinelibrary.wiley.com/doi/10.1002/clc.22454" TargetMode="External"/><Relationship Id="rId41" Type="http://schemas.openxmlformats.org/officeDocument/2006/relationships/hyperlink" Target="https://pubmed.ncbi.nlm.nih.gov/72265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1700-2638" TargetMode="External"/><Relationship Id="rId24" Type="http://schemas.openxmlformats.org/officeDocument/2006/relationships/hyperlink" Target="https://pubmed.ncbi.nlm.nih.gov/8131755/" TargetMode="External"/><Relationship Id="rId32" Type="http://schemas.openxmlformats.org/officeDocument/2006/relationships/hyperlink" Target="https://pubmed.ncbi.nlm.nih.gov/22858187/" TargetMode="External"/><Relationship Id="rId37" Type="http://schemas.openxmlformats.org/officeDocument/2006/relationships/hyperlink" Target="https://www.jacc.org/doi/abs/10.1016/j.jchf.2013.03.005" TargetMode="External"/><Relationship Id="rId40" Type="http://schemas.openxmlformats.org/officeDocument/2006/relationships/hyperlink" Target="https://pubmed.ncbi.nlm.nih.gov/9832497/" TargetMode="External"/><Relationship Id="rId45" Type="http://schemas.openxmlformats.org/officeDocument/2006/relationships/hyperlink" Target="https://pubmed.ncbi.nlm.nih.gov/31887109/"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pubmed.ncbi.nlm.nih.gov/22947613/" TargetMode="External"/><Relationship Id="rId28" Type="http://schemas.openxmlformats.org/officeDocument/2006/relationships/hyperlink" Target="http://www.scielosp.org/scielo.php?script=sci_arttext&amp;pid=S0036-36341999000100003&amp;lng=es&amp;nrm=iso&amp;tlng=es" TargetMode="External"/><Relationship Id="rId36" Type="http://schemas.openxmlformats.org/officeDocument/2006/relationships/hyperlink" Target="https://pubmed.ncbi.nlm.nih.gov/8651093/" TargetMode="External"/><Relationship Id="rId49" Type="http://schemas.openxmlformats.org/officeDocument/2006/relationships/header" Target="header1.xml"/><Relationship Id="rId10" Type="http://schemas.openxmlformats.org/officeDocument/2006/relationships/hyperlink" Target="https://orcid.org/0000-0002-2287-1267" TargetMode="External"/><Relationship Id="rId19" Type="http://schemas.openxmlformats.org/officeDocument/2006/relationships/hyperlink" Target="https://pubmed.ncbi.nlm.nih.gov/31339387/" TargetMode="External"/><Relationship Id="rId31" Type="http://schemas.openxmlformats.org/officeDocument/2006/relationships/hyperlink" Target="https://pubmed.ncbi.nlm.nih.gov/25613171/" TargetMode="External"/><Relationship Id="rId44" Type="http://schemas.openxmlformats.org/officeDocument/2006/relationships/hyperlink" Target="https://pubmed.ncbi.nlm.nih.gov/2887893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7105-2180" TargetMode="External"/><Relationship Id="rId14" Type="http://schemas.openxmlformats.org/officeDocument/2006/relationships/image" Target="media/image1.png"/><Relationship Id="rId22" Type="http://schemas.openxmlformats.org/officeDocument/2006/relationships/hyperlink" Target="https://pubmed.ncbi.nlm.nih.gov/30139583/" TargetMode="External"/><Relationship Id="rId27" Type="http://schemas.openxmlformats.org/officeDocument/2006/relationships/hyperlink" Target="https://www.revespcardiol.org/es-hallazgos-electrocardiograficos-anormales-poblacion-mayor-articulo-S0300893218305608" TargetMode="External"/><Relationship Id="rId30" Type="http://schemas.openxmlformats.org/officeDocument/2006/relationships/hyperlink" Target="https://pubmed.ncbi.nlm.nih.gov/27017617/" TargetMode="External"/><Relationship Id="rId35" Type="http://schemas.openxmlformats.org/officeDocument/2006/relationships/hyperlink" Target="https://pubmed.ncbi.nlm.nih.gov/16214833/" TargetMode="External"/><Relationship Id="rId43" Type="http://schemas.openxmlformats.org/officeDocument/2006/relationships/hyperlink" Target="https://pubmed.ncbi.nlm.nih.gov/27965025/" TargetMode="External"/><Relationship Id="rId48" Type="http://schemas.openxmlformats.org/officeDocument/2006/relationships/hyperlink" Target="https://pubmed.ncbi.nlm.nih.gov/32361523/" TargetMode="External"/><Relationship Id="rId8" Type="http://schemas.openxmlformats.org/officeDocument/2006/relationships/hyperlink" Target="https://orcid.org/0000-0003-0913-5588" TargetMode="External"/><Relationship Id="rId5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17</Pages>
  <Words>4956</Words>
  <Characters>27262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32154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2022-05-27T22:14:00Z</cp:lastPrinted>
  <dcterms:created xsi:type="dcterms:W3CDTF">2022-05-27T22:13:00Z</dcterms:created>
  <dcterms:modified xsi:type="dcterms:W3CDTF">2022-05-27T22:15:00Z</dcterms:modified>
</cp:coreProperties>
</file>