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42460" w14:textId="77777777" w:rsidR="00590BD0" w:rsidRPr="00590BD0" w:rsidRDefault="00590BD0" w:rsidP="00590BD0">
      <w:pPr>
        <w:widowControl w:val="0"/>
        <w:suppressAutoHyphens/>
        <w:spacing w:line="360" w:lineRule="auto"/>
        <w:jc w:val="right"/>
        <w:rPr>
          <w:rFonts w:eastAsia="SimSun"/>
          <w:sz w:val="20"/>
          <w:szCs w:val="20"/>
          <w:lang w:val="es-ES" w:eastAsia="zh-CN"/>
        </w:rPr>
      </w:pPr>
      <w:r w:rsidRPr="00590BD0">
        <w:rPr>
          <w:rFonts w:eastAsia="SimSun"/>
          <w:sz w:val="20"/>
          <w:szCs w:val="20"/>
          <w:lang w:val="es-ES" w:eastAsia="zh-CN"/>
        </w:rPr>
        <w:t>Artículo de investigación</w:t>
      </w:r>
    </w:p>
    <w:p w14:paraId="4B743BBC" w14:textId="77777777" w:rsidR="00590BD0" w:rsidRPr="00590BD0" w:rsidRDefault="00590BD0" w:rsidP="00590BD0">
      <w:pPr>
        <w:widowControl w:val="0"/>
        <w:suppressAutoHyphens/>
        <w:spacing w:line="360" w:lineRule="auto"/>
        <w:jc w:val="right"/>
        <w:rPr>
          <w:rFonts w:eastAsia="SimSun"/>
          <w:lang w:val="es-CU" w:eastAsia="zh-CN"/>
        </w:rPr>
      </w:pPr>
    </w:p>
    <w:p w14:paraId="4524725D" w14:textId="77777777" w:rsidR="00590BD0" w:rsidRPr="00590BD0" w:rsidRDefault="00590BD0" w:rsidP="00590BD0">
      <w:pPr>
        <w:widowControl w:val="0"/>
        <w:suppressAutoHyphens/>
        <w:spacing w:line="360" w:lineRule="auto"/>
        <w:jc w:val="center"/>
        <w:rPr>
          <w:rFonts w:eastAsia="SimSun"/>
          <w:b/>
          <w:bCs/>
          <w:sz w:val="28"/>
          <w:szCs w:val="28"/>
          <w:lang w:val="es-CU" w:eastAsia="zh-CN"/>
        </w:rPr>
      </w:pPr>
      <w:r w:rsidRPr="00590BD0">
        <w:rPr>
          <w:rFonts w:eastAsia="SimSun"/>
          <w:b/>
          <w:bCs/>
          <w:sz w:val="28"/>
          <w:szCs w:val="28"/>
          <w:lang w:val="es-ES" w:eastAsia="zh-CN"/>
        </w:rPr>
        <w:t>Enzimas hepáticas en pacientes de alto riesgo diagnosticados con la COVID-19</w:t>
      </w:r>
    </w:p>
    <w:p w14:paraId="2244362D" w14:textId="77777777" w:rsidR="00590BD0" w:rsidRPr="00590BD0" w:rsidRDefault="00590BD0" w:rsidP="00590BD0">
      <w:pPr>
        <w:widowControl w:val="0"/>
        <w:suppressAutoHyphens/>
        <w:spacing w:line="360" w:lineRule="auto"/>
        <w:jc w:val="center"/>
        <w:rPr>
          <w:rFonts w:eastAsia="SimSun"/>
          <w:lang w:val="en-US" w:eastAsia="zh-CN"/>
        </w:rPr>
      </w:pPr>
      <w:r w:rsidRPr="00590BD0">
        <w:rPr>
          <w:rFonts w:eastAsia="SimSun"/>
          <w:sz w:val="28"/>
          <w:szCs w:val="28"/>
          <w:lang w:val="en-US" w:eastAsia="zh-CN"/>
        </w:rPr>
        <w:t>Liver enzymes in high-risk patients diagnosed with COVID-19</w:t>
      </w:r>
    </w:p>
    <w:p w14:paraId="2DDF0E67" w14:textId="77777777" w:rsidR="00590BD0" w:rsidRPr="00590BD0" w:rsidRDefault="00590BD0" w:rsidP="00590BD0">
      <w:pPr>
        <w:widowControl w:val="0"/>
        <w:suppressAutoHyphens/>
        <w:spacing w:line="360" w:lineRule="auto"/>
        <w:jc w:val="center"/>
        <w:rPr>
          <w:rFonts w:eastAsia="SimSun"/>
          <w:lang w:val="en-US" w:eastAsia="zh-CN"/>
        </w:rPr>
      </w:pPr>
    </w:p>
    <w:p w14:paraId="613845C8" w14:textId="77777777" w:rsidR="00590BD0" w:rsidRPr="00590BD0" w:rsidRDefault="00590BD0" w:rsidP="00590BD0">
      <w:pPr>
        <w:widowControl w:val="0"/>
        <w:suppressAutoHyphens/>
        <w:spacing w:line="360" w:lineRule="auto"/>
        <w:jc w:val="both"/>
        <w:rPr>
          <w:rFonts w:eastAsia="SimSun"/>
          <w:lang w:val="es-ES" w:eastAsia="zh-CN"/>
        </w:rPr>
      </w:pPr>
      <w:proofErr w:type="spellStart"/>
      <w:r w:rsidRPr="00590BD0">
        <w:rPr>
          <w:rFonts w:eastAsia="SimSun"/>
          <w:lang w:val="es-ES" w:eastAsia="zh-CN"/>
        </w:rPr>
        <w:t>Naivy</w:t>
      </w:r>
      <w:proofErr w:type="spellEnd"/>
      <w:r w:rsidRPr="00590BD0">
        <w:rPr>
          <w:rFonts w:eastAsia="SimSun"/>
          <w:lang w:val="es-ES" w:eastAsia="zh-CN"/>
        </w:rPr>
        <w:t xml:space="preserve"> Sánchez </w:t>
      </w:r>
      <w:proofErr w:type="spellStart"/>
      <w:r w:rsidRPr="00590BD0">
        <w:rPr>
          <w:rFonts w:eastAsia="SimSun"/>
          <w:lang w:val="es-ES" w:eastAsia="zh-CN"/>
        </w:rPr>
        <w:t>Vera</w:t>
      </w:r>
      <w:r w:rsidRPr="00590BD0">
        <w:rPr>
          <w:rFonts w:eastAsia="SimSun"/>
          <w:vertAlign w:val="superscript"/>
          <w:lang w:val="es-ES" w:eastAsia="zh-CN"/>
        </w:rPr>
        <w:t>1</w:t>
      </w:r>
      <w:proofErr w:type="spellEnd"/>
      <w:r w:rsidRPr="00590BD0">
        <w:rPr>
          <w:rFonts w:eastAsia="SimSun"/>
          <w:lang w:val="es-ES" w:eastAsia="zh-CN"/>
        </w:rPr>
        <w:t xml:space="preserve">* </w:t>
      </w:r>
      <w:r w:rsidRPr="00590BD0">
        <w:rPr>
          <w:rFonts w:eastAsia="SimSun"/>
          <w:color w:val="0563C1"/>
          <w:u w:val="single"/>
          <w:lang w:val="es-ES" w:eastAsia="zh-CN"/>
        </w:rPr>
        <w:t>https://orcid.org/0000-0003-4129-460X</w:t>
      </w:r>
    </w:p>
    <w:p w14:paraId="46D9E49E" w14:textId="77777777" w:rsidR="00590BD0" w:rsidRPr="00590BD0" w:rsidRDefault="00590BD0" w:rsidP="00590BD0">
      <w:pPr>
        <w:widowControl w:val="0"/>
        <w:suppressAutoHyphens/>
        <w:spacing w:line="360" w:lineRule="auto"/>
        <w:jc w:val="both"/>
        <w:rPr>
          <w:rFonts w:eastAsia="SimSun"/>
          <w:lang w:val="es-CU" w:eastAsia="zh-CN"/>
        </w:rPr>
      </w:pPr>
      <w:proofErr w:type="spellStart"/>
      <w:r w:rsidRPr="00590BD0">
        <w:rPr>
          <w:rFonts w:eastAsia="SimSun"/>
          <w:lang w:val="es-ES" w:eastAsia="zh-CN"/>
        </w:rPr>
        <w:t>Danay</w:t>
      </w:r>
      <w:proofErr w:type="spellEnd"/>
      <w:r w:rsidRPr="00590BD0">
        <w:rPr>
          <w:rFonts w:eastAsia="SimSun"/>
          <w:lang w:val="es-ES" w:eastAsia="zh-CN"/>
        </w:rPr>
        <w:t xml:space="preserve"> Saavedra </w:t>
      </w:r>
      <w:proofErr w:type="spellStart"/>
      <w:r w:rsidRPr="00590BD0">
        <w:rPr>
          <w:rFonts w:eastAsia="SimSun"/>
          <w:lang w:val="es-ES" w:eastAsia="zh-CN"/>
        </w:rPr>
        <w:t>Hernández</w:t>
      </w:r>
      <w:r w:rsidRPr="00590BD0">
        <w:rPr>
          <w:rFonts w:eastAsia="SimSun"/>
          <w:vertAlign w:val="superscript"/>
          <w:lang w:val="es-ES" w:eastAsia="zh-CN"/>
        </w:rPr>
        <w:t>2</w:t>
      </w:r>
      <w:proofErr w:type="spellEnd"/>
      <w:r w:rsidRPr="00590BD0">
        <w:rPr>
          <w:rFonts w:eastAsia="SimSun"/>
          <w:vertAlign w:val="superscript"/>
          <w:lang w:val="es-ES" w:eastAsia="zh-CN"/>
        </w:rPr>
        <w:t xml:space="preserve"> </w:t>
      </w:r>
      <w:hyperlink r:id="rId7">
        <w:r w:rsidRPr="00590BD0">
          <w:rPr>
            <w:rFonts w:eastAsia="SimSun"/>
            <w:color w:val="0563C1"/>
            <w:u w:val="single"/>
            <w:lang w:val="es-ES" w:eastAsia="zh-CN"/>
          </w:rPr>
          <w:t>https://orcid.org/0000-0002-6614-3819</w:t>
        </w:r>
      </w:hyperlink>
    </w:p>
    <w:p w14:paraId="30246EDF" w14:textId="77777777" w:rsidR="00590BD0" w:rsidRPr="00590BD0" w:rsidRDefault="00590BD0" w:rsidP="00590BD0">
      <w:pPr>
        <w:widowControl w:val="0"/>
        <w:suppressAutoHyphens/>
        <w:spacing w:line="360" w:lineRule="auto"/>
        <w:jc w:val="both"/>
        <w:rPr>
          <w:rFonts w:eastAsia="SimSun"/>
          <w:lang w:val="es-ES" w:eastAsia="zh-CN"/>
        </w:rPr>
      </w:pPr>
      <w:r w:rsidRPr="00590BD0">
        <w:rPr>
          <w:rFonts w:eastAsia="SimSun"/>
          <w:lang w:val="es-ES" w:eastAsia="zh-CN"/>
        </w:rPr>
        <w:t xml:space="preserve">Carlos Jorge Hidalgo </w:t>
      </w:r>
      <w:proofErr w:type="spellStart"/>
      <w:r w:rsidRPr="00590BD0">
        <w:rPr>
          <w:rFonts w:eastAsia="SimSun"/>
          <w:lang w:val="es-ES" w:eastAsia="zh-CN"/>
        </w:rPr>
        <w:t>Mesa</w:t>
      </w:r>
      <w:r w:rsidRPr="00590BD0">
        <w:rPr>
          <w:rFonts w:eastAsia="SimSun"/>
          <w:vertAlign w:val="superscript"/>
          <w:lang w:val="es-ES" w:eastAsia="zh-CN"/>
        </w:rPr>
        <w:t>1</w:t>
      </w:r>
      <w:proofErr w:type="spellEnd"/>
      <w:r w:rsidRPr="00590BD0">
        <w:rPr>
          <w:rFonts w:eastAsia="SimSun"/>
          <w:vertAlign w:val="superscript"/>
          <w:lang w:val="es-ES" w:eastAsia="zh-CN"/>
        </w:rPr>
        <w:t xml:space="preserve"> </w:t>
      </w:r>
      <w:r w:rsidRPr="00590BD0">
        <w:rPr>
          <w:rFonts w:eastAsia="SimSun"/>
          <w:color w:val="0563C1"/>
          <w:u w:val="single"/>
          <w:lang w:val="es-ES" w:eastAsia="zh-CN"/>
        </w:rPr>
        <w:t>https://orcid.org/0000-0003-4705-4519</w:t>
      </w:r>
    </w:p>
    <w:p w14:paraId="00BE22F4" w14:textId="77777777" w:rsidR="00590BD0" w:rsidRPr="00590BD0" w:rsidRDefault="00590BD0" w:rsidP="00590BD0">
      <w:pPr>
        <w:widowControl w:val="0"/>
        <w:suppressAutoHyphens/>
        <w:spacing w:line="360" w:lineRule="auto"/>
        <w:jc w:val="both"/>
        <w:rPr>
          <w:rFonts w:eastAsia="SimSun"/>
          <w:lang w:val="es-ES" w:eastAsia="zh-CN"/>
        </w:rPr>
      </w:pPr>
      <w:r w:rsidRPr="00590BD0">
        <w:rPr>
          <w:rFonts w:eastAsia="SimSun"/>
          <w:lang w:val="es-ES" w:eastAsia="zh-CN"/>
        </w:rPr>
        <w:t xml:space="preserve">Maykel </w:t>
      </w:r>
      <w:proofErr w:type="spellStart"/>
      <w:r w:rsidRPr="00590BD0">
        <w:rPr>
          <w:rFonts w:eastAsia="SimSun"/>
          <w:lang w:val="es-ES" w:eastAsia="zh-CN"/>
        </w:rPr>
        <w:t>Aguila</w:t>
      </w:r>
      <w:proofErr w:type="spellEnd"/>
      <w:r w:rsidRPr="00590BD0">
        <w:rPr>
          <w:rFonts w:eastAsia="SimSun"/>
          <w:lang w:val="es-ES" w:eastAsia="zh-CN"/>
        </w:rPr>
        <w:t xml:space="preserve"> </w:t>
      </w:r>
      <w:proofErr w:type="spellStart"/>
      <w:r w:rsidRPr="00590BD0">
        <w:rPr>
          <w:rFonts w:eastAsia="SimSun"/>
          <w:lang w:val="es-ES" w:eastAsia="zh-CN"/>
        </w:rPr>
        <w:t>López</w:t>
      </w:r>
      <w:r w:rsidRPr="00590BD0">
        <w:rPr>
          <w:rFonts w:eastAsia="SimSun"/>
          <w:vertAlign w:val="superscript"/>
          <w:lang w:val="es-ES" w:eastAsia="zh-CN"/>
        </w:rPr>
        <w:t>3</w:t>
      </w:r>
      <w:proofErr w:type="spellEnd"/>
      <w:r w:rsidRPr="00590BD0">
        <w:rPr>
          <w:rFonts w:eastAsia="SimSun"/>
          <w:lang w:val="es-ES" w:eastAsia="zh-CN"/>
        </w:rPr>
        <w:t xml:space="preserve"> </w:t>
      </w:r>
      <w:r w:rsidRPr="00590BD0">
        <w:rPr>
          <w:rFonts w:eastAsia="SimSun"/>
          <w:color w:val="0563C1"/>
          <w:u w:val="single"/>
          <w:lang w:val="es-ES" w:eastAsia="zh-CN"/>
        </w:rPr>
        <w:t>https://orcid.org/0000-0001-9647-1402</w:t>
      </w:r>
    </w:p>
    <w:p w14:paraId="194F9820" w14:textId="77777777" w:rsidR="00590BD0" w:rsidRPr="00590BD0" w:rsidRDefault="00590BD0" w:rsidP="00590BD0">
      <w:pPr>
        <w:widowControl w:val="0"/>
        <w:suppressAutoHyphens/>
        <w:spacing w:line="360" w:lineRule="auto"/>
        <w:jc w:val="both"/>
        <w:rPr>
          <w:rFonts w:eastAsia="SimSun"/>
          <w:lang w:val="es-ES" w:eastAsia="zh-CN"/>
        </w:rPr>
      </w:pPr>
      <w:proofErr w:type="spellStart"/>
      <w:r w:rsidRPr="00590BD0">
        <w:rPr>
          <w:rFonts w:eastAsia="SimSun"/>
          <w:lang w:val="es-ES" w:eastAsia="zh-CN"/>
        </w:rPr>
        <w:t>Yaneisy</w:t>
      </w:r>
      <w:proofErr w:type="spellEnd"/>
      <w:r w:rsidRPr="00590BD0">
        <w:rPr>
          <w:rFonts w:eastAsia="SimSun"/>
          <w:lang w:val="es-ES" w:eastAsia="zh-CN"/>
        </w:rPr>
        <w:t xml:space="preserve"> Negrín </w:t>
      </w:r>
      <w:proofErr w:type="spellStart"/>
      <w:r w:rsidRPr="00590BD0">
        <w:rPr>
          <w:rFonts w:eastAsia="SimSun"/>
          <w:lang w:val="es-ES" w:eastAsia="zh-CN"/>
        </w:rPr>
        <w:t>Medina</w:t>
      </w:r>
      <w:r w:rsidRPr="00590BD0">
        <w:rPr>
          <w:rFonts w:eastAsia="SimSun"/>
          <w:vertAlign w:val="superscript"/>
          <w:lang w:val="es-ES" w:eastAsia="zh-CN"/>
        </w:rPr>
        <w:t>1</w:t>
      </w:r>
      <w:proofErr w:type="spellEnd"/>
      <w:r w:rsidRPr="00590BD0">
        <w:rPr>
          <w:rFonts w:eastAsia="SimSun"/>
          <w:vertAlign w:val="superscript"/>
          <w:lang w:val="es-ES" w:eastAsia="zh-CN"/>
        </w:rPr>
        <w:t xml:space="preserve"> </w:t>
      </w:r>
      <w:r w:rsidRPr="00590BD0">
        <w:rPr>
          <w:rFonts w:eastAsia="SimSun"/>
          <w:color w:val="0563C1"/>
          <w:u w:val="single"/>
          <w:lang w:val="es-ES" w:eastAsia="zh-CN"/>
        </w:rPr>
        <w:t>https://orcid.org/0000-0002-7057-5841</w:t>
      </w:r>
      <w:r w:rsidRPr="00590BD0">
        <w:rPr>
          <w:rFonts w:eastAsia="SimSun"/>
          <w:vertAlign w:val="superscript"/>
          <w:lang w:val="es-ES" w:eastAsia="zh-CN"/>
        </w:rPr>
        <w:t xml:space="preserve"> </w:t>
      </w:r>
    </w:p>
    <w:p w14:paraId="1D8BC0EC"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ES" w:eastAsia="zh-CN"/>
        </w:rPr>
        <w:t xml:space="preserve">Iliana Rodríguez </w:t>
      </w:r>
      <w:proofErr w:type="spellStart"/>
      <w:r w:rsidRPr="00590BD0">
        <w:rPr>
          <w:rFonts w:eastAsia="SimSun"/>
          <w:lang w:val="es-ES" w:eastAsia="zh-CN"/>
        </w:rPr>
        <w:t>García</w:t>
      </w:r>
      <w:r w:rsidRPr="00590BD0">
        <w:rPr>
          <w:rFonts w:eastAsia="SimSun"/>
          <w:vertAlign w:val="superscript"/>
          <w:lang w:val="es-ES" w:eastAsia="zh-CN"/>
        </w:rPr>
        <w:t>1</w:t>
      </w:r>
      <w:proofErr w:type="spellEnd"/>
      <w:r w:rsidRPr="00590BD0">
        <w:rPr>
          <w:rFonts w:eastAsia="SimSun"/>
          <w:vertAlign w:val="superscript"/>
          <w:lang w:val="es-ES" w:eastAsia="zh-CN"/>
        </w:rPr>
        <w:t xml:space="preserve"> </w:t>
      </w:r>
      <w:hyperlink r:id="rId8">
        <w:r w:rsidRPr="00590BD0">
          <w:rPr>
            <w:rFonts w:eastAsia="SimSun"/>
            <w:color w:val="0563C1"/>
            <w:u w:val="single"/>
            <w:lang w:val="es-ES" w:eastAsia="zh-CN"/>
          </w:rPr>
          <w:t>https://orcid.org/0000-0002-9445-8260</w:t>
        </w:r>
      </w:hyperlink>
    </w:p>
    <w:p w14:paraId="1574CCAE" w14:textId="77777777" w:rsidR="00590BD0" w:rsidRPr="00590BD0" w:rsidRDefault="00590BD0" w:rsidP="00590BD0">
      <w:pPr>
        <w:widowControl w:val="0"/>
        <w:suppressAutoHyphens/>
        <w:spacing w:line="360" w:lineRule="auto"/>
        <w:jc w:val="both"/>
        <w:rPr>
          <w:rFonts w:eastAsia="SimSun"/>
          <w:lang w:val="es-ES" w:eastAsia="zh-CN"/>
        </w:rPr>
      </w:pPr>
    </w:p>
    <w:p w14:paraId="3CDCEE1D" w14:textId="77777777" w:rsidR="00590BD0" w:rsidRPr="00590BD0" w:rsidRDefault="00590BD0" w:rsidP="00590BD0">
      <w:pPr>
        <w:widowControl w:val="0"/>
        <w:suppressAutoHyphens/>
        <w:spacing w:line="360" w:lineRule="auto"/>
        <w:jc w:val="both"/>
        <w:rPr>
          <w:rFonts w:eastAsia="SimSun"/>
          <w:lang w:val="es-CU" w:eastAsia="zh-CN"/>
        </w:rPr>
      </w:pPr>
      <w:proofErr w:type="spellStart"/>
      <w:r w:rsidRPr="00590BD0">
        <w:rPr>
          <w:rFonts w:eastAsia="SimSun"/>
          <w:vertAlign w:val="superscript"/>
          <w:lang w:val="es-ES" w:eastAsia="zh-CN"/>
        </w:rPr>
        <w:t>1</w:t>
      </w:r>
      <w:r w:rsidRPr="00590BD0">
        <w:rPr>
          <w:rFonts w:eastAsia="SimSun"/>
          <w:lang w:val="es-ES" w:eastAsia="zh-CN"/>
        </w:rPr>
        <w:t>Hospital</w:t>
      </w:r>
      <w:proofErr w:type="spellEnd"/>
      <w:r w:rsidRPr="00590BD0">
        <w:rPr>
          <w:rFonts w:eastAsia="SimSun"/>
          <w:lang w:val="es-ES" w:eastAsia="zh-CN"/>
        </w:rPr>
        <w:t xml:space="preserve"> Militar "</w:t>
      </w:r>
      <w:proofErr w:type="gramStart"/>
      <w:r w:rsidRPr="00590BD0">
        <w:rPr>
          <w:rFonts w:eastAsia="SimSun"/>
          <w:lang w:val="es-ES" w:eastAsia="zh-CN"/>
        </w:rPr>
        <w:t>Comandante</w:t>
      </w:r>
      <w:proofErr w:type="gramEnd"/>
      <w:r w:rsidRPr="00590BD0">
        <w:rPr>
          <w:rFonts w:eastAsia="SimSun"/>
          <w:lang w:val="es-ES" w:eastAsia="zh-CN"/>
        </w:rPr>
        <w:t xml:space="preserve"> Manuel Fajardo Rivero". Villa Clara, Cuba.</w:t>
      </w:r>
    </w:p>
    <w:p w14:paraId="02A7A7E4" w14:textId="77777777" w:rsidR="00590BD0" w:rsidRPr="00590BD0" w:rsidRDefault="00590BD0" w:rsidP="00590BD0">
      <w:pPr>
        <w:widowControl w:val="0"/>
        <w:suppressAutoHyphens/>
        <w:spacing w:line="360" w:lineRule="auto"/>
        <w:jc w:val="both"/>
        <w:rPr>
          <w:rFonts w:eastAsia="SimSun"/>
          <w:lang w:val="es-CU" w:eastAsia="zh-CN"/>
        </w:rPr>
      </w:pPr>
      <w:proofErr w:type="spellStart"/>
      <w:r w:rsidRPr="00590BD0">
        <w:rPr>
          <w:rFonts w:eastAsia="SimSun"/>
          <w:vertAlign w:val="superscript"/>
          <w:lang w:val="es-ES" w:eastAsia="zh-CN"/>
        </w:rPr>
        <w:t>2</w:t>
      </w:r>
      <w:r w:rsidRPr="00590BD0">
        <w:rPr>
          <w:rFonts w:eastAsia="SimSun"/>
          <w:lang w:val="es-ES" w:eastAsia="zh-CN"/>
        </w:rPr>
        <w:t>Centro</w:t>
      </w:r>
      <w:proofErr w:type="spellEnd"/>
      <w:r w:rsidRPr="00590BD0">
        <w:rPr>
          <w:rFonts w:eastAsia="SimSun"/>
          <w:lang w:val="es-ES" w:eastAsia="zh-CN"/>
        </w:rPr>
        <w:t xml:space="preserve"> de Inmunología Molecular, La Habana, Cuba.  </w:t>
      </w:r>
    </w:p>
    <w:p w14:paraId="74E08D6C" w14:textId="77777777" w:rsidR="00590BD0" w:rsidRPr="00590BD0" w:rsidRDefault="00590BD0" w:rsidP="00590BD0">
      <w:pPr>
        <w:widowControl w:val="0"/>
        <w:suppressAutoHyphens/>
        <w:spacing w:line="360" w:lineRule="auto"/>
        <w:jc w:val="both"/>
        <w:rPr>
          <w:rFonts w:eastAsia="SimSun"/>
          <w:lang w:val="es-CU" w:eastAsia="zh-CN"/>
        </w:rPr>
      </w:pPr>
      <w:proofErr w:type="spellStart"/>
      <w:r w:rsidRPr="00590BD0">
        <w:rPr>
          <w:rFonts w:eastAsia="SimSun"/>
          <w:vertAlign w:val="superscript"/>
          <w:lang w:val="es-ES" w:eastAsia="zh-CN"/>
        </w:rPr>
        <w:t>3</w:t>
      </w:r>
      <w:r w:rsidRPr="00590BD0">
        <w:rPr>
          <w:rFonts w:eastAsia="SimSun"/>
          <w:lang w:val="es-ES" w:eastAsia="zh-CN"/>
        </w:rPr>
        <w:t>Hospital</w:t>
      </w:r>
      <w:proofErr w:type="spellEnd"/>
      <w:r w:rsidRPr="00590BD0">
        <w:rPr>
          <w:rFonts w:eastAsia="SimSun"/>
          <w:lang w:val="es-ES" w:eastAsia="zh-CN"/>
        </w:rPr>
        <w:t xml:space="preserve"> Universitario “Arnaldo Milián Castro”. Villa Clara, Cuba.</w:t>
      </w:r>
    </w:p>
    <w:p w14:paraId="659E5FE5" w14:textId="77777777" w:rsidR="00590BD0" w:rsidRPr="00590BD0" w:rsidRDefault="00590BD0" w:rsidP="00590BD0">
      <w:pPr>
        <w:widowControl w:val="0"/>
        <w:suppressAutoHyphens/>
        <w:spacing w:line="360" w:lineRule="auto"/>
        <w:jc w:val="both"/>
        <w:rPr>
          <w:rFonts w:eastAsia="SimSun"/>
          <w:lang w:val="es-ES" w:eastAsia="zh-CN"/>
        </w:rPr>
      </w:pPr>
    </w:p>
    <w:p w14:paraId="07D1C81C" w14:textId="77777777" w:rsidR="00590BD0" w:rsidRPr="00590BD0" w:rsidRDefault="00590BD0" w:rsidP="00590BD0">
      <w:pPr>
        <w:widowControl w:val="0"/>
        <w:suppressAutoHyphens/>
        <w:spacing w:line="360" w:lineRule="auto"/>
        <w:jc w:val="both"/>
        <w:rPr>
          <w:rFonts w:eastAsia="SimSun"/>
          <w:lang w:val="es-ES" w:eastAsia="zh-CN"/>
        </w:rPr>
      </w:pPr>
      <w:r w:rsidRPr="00590BD0">
        <w:rPr>
          <w:rFonts w:eastAsia="SimSun"/>
          <w:lang w:val="es-ES" w:eastAsia="zh-CN"/>
        </w:rPr>
        <w:t xml:space="preserve">*Autor para la correspondencia. Correo electrónico: </w:t>
      </w:r>
      <w:hyperlink r:id="rId9" w:history="1">
        <w:r w:rsidRPr="00590BD0">
          <w:rPr>
            <w:rFonts w:eastAsia="SimSun"/>
            <w:color w:val="0563C1"/>
            <w:u w:val="single"/>
            <w:lang w:val="es-ES" w:eastAsia="zh-CN"/>
          </w:rPr>
          <w:t>naivysanchez@infomed.sld.cu</w:t>
        </w:r>
      </w:hyperlink>
      <w:r w:rsidRPr="00590BD0">
        <w:rPr>
          <w:rFonts w:eastAsia="SimSun"/>
          <w:lang w:val="es-ES" w:eastAsia="zh-CN"/>
        </w:rPr>
        <w:t xml:space="preserve">  </w:t>
      </w:r>
    </w:p>
    <w:p w14:paraId="15F68D93" w14:textId="77777777" w:rsidR="00590BD0" w:rsidRPr="00590BD0" w:rsidRDefault="00590BD0" w:rsidP="00590BD0">
      <w:pPr>
        <w:widowControl w:val="0"/>
        <w:suppressAutoHyphens/>
        <w:spacing w:line="360" w:lineRule="auto"/>
        <w:jc w:val="both"/>
        <w:rPr>
          <w:rFonts w:eastAsia="SimSun"/>
          <w:b/>
          <w:lang w:val="es-CU" w:eastAsia="zh-CN"/>
        </w:rPr>
      </w:pPr>
    </w:p>
    <w:p w14:paraId="2EA20B1B"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b/>
          <w:lang w:val="es-ES" w:eastAsia="zh-CN"/>
        </w:rPr>
        <w:t>RESUMEN</w:t>
      </w:r>
    </w:p>
    <w:p w14:paraId="1990E852"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b/>
          <w:lang w:val="es-ES" w:eastAsia="zh-CN"/>
        </w:rPr>
        <w:t xml:space="preserve">Introducción: </w:t>
      </w:r>
      <w:r w:rsidRPr="00590BD0">
        <w:rPr>
          <w:rFonts w:eastAsia="SimSun"/>
          <w:lang w:val="es-ES" w:eastAsia="zh-CN"/>
        </w:rPr>
        <w:t>Es</w:t>
      </w:r>
      <w:r w:rsidRPr="00590BD0">
        <w:rPr>
          <w:rFonts w:eastAsia="SimSun"/>
          <w:lang w:val="es-CU" w:eastAsia="zh-CN"/>
        </w:rPr>
        <w:t xml:space="preserve"> </w:t>
      </w:r>
      <w:r w:rsidRPr="00590BD0">
        <w:rPr>
          <w:rFonts w:eastAsia="SimSun"/>
          <w:lang w:val="es-ES" w:eastAsia="zh-CN"/>
        </w:rPr>
        <w:t>importante conocer las alteraciones de las enzimas hepáticas en pacientes con la COVID-19, como marcadores de daño hepático.</w:t>
      </w:r>
    </w:p>
    <w:p w14:paraId="672D5FA3"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b/>
          <w:lang w:val="es-ES" w:eastAsia="zh-CN"/>
        </w:rPr>
        <w:t xml:space="preserve">Objetivo: </w:t>
      </w:r>
      <w:r w:rsidRPr="00590BD0">
        <w:rPr>
          <w:rFonts w:eastAsia="SimSun"/>
          <w:lang w:val="es-ES" w:eastAsia="zh-CN"/>
        </w:rPr>
        <w:t xml:space="preserve">Identificar las alteraciones en las enzimas hepáticas en pacientes de alto riesgo, con la COVID-19. </w:t>
      </w:r>
    </w:p>
    <w:p w14:paraId="52BAE5DA"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b/>
          <w:lang w:val="es-ES" w:eastAsia="zh-CN"/>
        </w:rPr>
        <w:t xml:space="preserve">Métodos: </w:t>
      </w:r>
      <w:r w:rsidRPr="00590BD0">
        <w:rPr>
          <w:rFonts w:eastAsia="SimSun"/>
          <w:lang w:val="es-ES" w:eastAsia="zh-CN"/>
        </w:rPr>
        <w:t xml:space="preserve">Estudio descriptivo prospectivo en 56 pacientes con la COVID-19. Se estudiaron las variables edad, sexo, evolución hacia la gravedad y enzimas hepáticas. Se realizaron 2 tomas de suero, el primer y quinto día del ingreso, para determinar enzimas hepáticas e índice de </w:t>
      </w:r>
      <w:proofErr w:type="spellStart"/>
      <w:r w:rsidRPr="00590BD0">
        <w:rPr>
          <w:rFonts w:eastAsia="SimSun"/>
          <w:lang w:val="es-ES" w:eastAsia="zh-CN"/>
        </w:rPr>
        <w:t>Ritis</w:t>
      </w:r>
      <w:proofErr w:type="spellEnd"/>
      <w:r w:rsidRPr="00590BD0">
        <w:rPr>
          <w:rFonts w:eastAsia="SimSun"/>
          <w:lang w:val="es-ES" w:eastAsia="zh-CN"/>
        </w:rPr>
        <w:t>.</w:t>
      </w:r>
    </w:p>
    <w:p w14:paraId="6710BCC7"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b/>
          <w:lang w:val="es-ES" w:eastAsia="zh-CN"/>
        </w:rPr>
        <w:t xml:space="preserve">Resultados: </w:t>
      </w:r>
      <w:r w:rsidRPr="00590BD0">
        <w:rPr>
          <w:rFonts w:eastAsia="SimSun"/>
          <w:lang w:val="es-ES" w:eastAsia="zh-CN"/>
        </w:rPr>
        <w:t>La edad promedio fue de 66,64 </w:t>
      </w:r>
      <w:r w:rsidRPr="00590BD0">
        <w:rPr>
          <w:rFonts w:eastAsia="SimSun"/>
          <w:color w:val="000000"/>
          <w:lang w:val="es-CU" w:eastAsia="zh-CN"/>
        </w:rPr>
        <w:t>± 3,12 años</w:t>
      </w:r>
      <w:r w:rsidRPr="00590BD0">
        <w:rPr>
          <w:rFonts w:eastAsia="SimSun"/>
          <w:lang w:val="es-ES" w:eastAsia="zh-CN"/>
        </w:rPr>
        <w:t xml:space="preserve">, el 51,8 % fueron hombres y el 37,5 % evolucionó a la gravedad. Hubo incremento en las enzimas al quinto día del estudio. </w:t>
      </w:r>
      <w:proofErr w:type="gramStart"/>
      <w:r w:rsidRPr="00590BD0">
        <w:rPr>
          <w:rFonts w:eastAsia="SimSun"/>
          <w:lang w:val="es-ES" w:eastAsia="zh-CN"/>
        </w:rPr>
        <w:t>La lactato</w:t>
      </w:r>
      <w:proofErr w:type="gramEnd"/>
      <w:r w:rsidRPr="00590BD0">
        <w:rPr>
          <w:rFonts w:eastAsia="SimSun"/>
          <w:lang w:val="es-ES" w:eastAsia="zh-CN"/>
        </w:rPr>
        <w:t xml:space="preserve"> </w:t>
      </w:r>
      <w:r w:rsidRPr="00590BD0">
        <w:rPr>
          <w:rFonts w:eastAsia="SimSun"/>
          <w:lang w:val="es-ES" w:eastAsia="zh-CN"/>
        </w:rPr>
        <w:lastRenderedPageBreak/>
        <w:t>deshidrogenasa (LDH) y la γ-</w:t>
      </w:r>
      <w:proofErr w:type="spellStart"/>
      <w:r w:rsidRPr="00590BD0">
        <w:rPr>
          <w:rFonts w:eastAsia="SimSun"/>
          <w:lang w:val="es-ES" w:eastAsia="zh-CN"/>
        </w:rPr>
        <w:t>glutamil</w:t>
      </w:r>
      <w:proofErr w:type="spellEnd"/>
      <w:r w:rsidRPr="00590BD0">
        <w:rPr>
          <w:rFonts w:eastAsia="SimSun"/>
          <w:lang w:val="es-ES" w:eastAsia="zh-CN"/>
        </w:rPr>
        <w:t xml:space="preserve"> transpeptidasa (GGT) estaban elevadas desde el primer día. Al quinto día </w:t>
      </w:r>
      <w:proofErr w:type="gramStart"/>
      <w:r w:rsidRPr="00590BD0">
        <w:rPr>
          <w:rFonts w:eastAsia="SimSun"/>
          <w:lang w:val="es-ES" w:eastAsia="zh-CN"/>
        </w:rPr>
        <w:t>la aspartato</w:t>
      </w:r>
      <w:proofErr w:type="gramEnd"/>
      <w:r w:rsidRPr="00590BD0">
        <w:rPr>
          <w:rFonts w:eastAsia="SimSun"/>
          <w:lang w:val="es-ES" w:eastAsia="zh-CN"/>
        </w:rPr>
        <w:t xml:space="preserve"> aminotransferasa (AST) estaba alta en el 71,4 % en no graves y la alanina aminotransferasa (ALT) en los graves. Al inicio predominó el índice de </w:t>
      </w:r>
      <w:proofErr w:type="spellStart"/>
      <w:r w:rsidRPr="00590BD0">
        <w:rPr>
          <w:rFonts w:eastAsia="SimSun"/>
          <w:lang w:val="es-ES" w:eastAsia="zh-CN"/>
        </w:rPr>
        <w:t>Ritis</w:t>
      </w:r>
      <w:proofErr w:type="spellEnd"/>
      <w:r w:rsidRPr="00590BD0">
        <w:rPr>
          <w:rFonts w:eastAsia="SimSun"/>
          <w:lang w:val="es-ES" w:eastAsia="zh-CN"/>
        </w:rPr>
        <w:t xml:space="preserve"> ≤ 1 pero al quinto día</w:t>
      </w:r>
      <w:r w:rsidRPr="00590BD0">
        <w:rPr>
          <w:rFonts w:eastAsia="Calibri"/>
          <w:lang w:val="es-ES" w:eastAsia="en-US"/>
        </w:rPr>
        <w:t xml:space="preserve"> aumentó en 42,9 %, el índice de </w:t>
      </w:r>
      <w:proofErr w:type="spellStart"/>
      <w:r w:rsidRPr="00590BD0">
        <w:rPr>
          <w:rFonts w:eastAsia="Calibri"/>
          <w:lang w:val="es-ES" w:eastAsia="en-US"/>
        </w:rPr>
        <w:t>Ritis</w:t>
      </w:r>
      <w:proofErr w:type="spellEnd"/>
      <w:r w:rsidRPr="00590BD0">
        <w:rPr>
          <w:rFonts w:eastAsia="Calibri"/>
          <w:lang w:val="es-ES" w:eastAsia="en-US"/>
        </w:rPr>
        <w:t xml:space="preserve"> &gt; 1 en l</w:t>
      </w:r>
      <w:r w:rsidRPr="00590BD0">
        <w:rPr>
          <w:rFonts w:eastAsia="SimSun"/>
          <w:lang w:val="es-ES" w:eastAsia="zh-CN"/>
        </w:rPr>
        <w:t>os graves. El 56,6 % de los graves modificaron este índice al quinto día.</w:t>
      </w:r>
    </w:p>
    <w:p w14:paraId="0826FD4E"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b/>
          <w:lang w:val="es-ES" w:eastAsia="zh-CN"/>
        </w:rPr>
        <w:t xml:space="preserve">Conclusiones: </w:t>
      </w:r>
      <w:r w:rsidRPr="00590BD0">
        <w:rPr>
          <w:rFonts w:eastAsia="SimSun"/>
          <w:lang w:val="es-ES" w:eastAsia="zh-CN"/>
        </w:rPr>
        <w:t xml:space="preserve">Se demostró la elevación de las medias de las enzimas hepáticas al quinto día. La LDH y la GGT permanecieron altas desde el comienzo en todos los pacientes. En la mayoría de los pacientes graves se invirtió el índice de </w:t>
      </w:r>
      <w:proofErr w:type="spellStart"/>
      <w:r w:rsidRPr="00590BD0">
        <w:rPr>
          <w:rFonts w:eastAsia="SimSun"/>
          <w:lang w:val="es-ES" w:eastAsia="zh-CN"/>
        </w:rPr>
        <w:t>Ritis</w:t>
      </w:r>
      <w:proofErr w:type="spellEnd"/>
      <w:r w:rsidRPr="00590BD0">
        <w:rPr>
          <w:rFonts w:eastAsia="SimSun"/>
          <w:lang w:val="es-ES" w:eastAsia="zh-CN"/>
        </w:rPr>
        <w:t xml:space="preserve"> al quinto día. </w:t>
      </w:r>
    </w:p>
    <w:p w14:paraId="5AD05919"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b/>
          <w:lang w:val="es-ES" w:eastAsia="zh-CN"/>
        </w:rPr>
        <w:t>Palabras clave:</w:t>
      </w:r>
      <w:r w:rsidRPr="00590BD0">
        <w:rPr>
          <w:rFonts w:eastAsia="SimSun"/>
          <w:lang w:val="es-ES" w:eastAsia="zh-CN"/>
        </w:rPr>
        <w:t xml:space="preserve"> enzimas hepáticas; COVID-19; daño hepático.</w:t>
      </w:r>
    </w:p>
    <w:p w14:paraId="05F70407" w14:textId="77777777" w:rsidR="00590BD0" w:rsidRPr="00590BD0" w:rsidRDefault="00590BD0" w:rsidP="00590BD0">
      <w:pPr>
        <w:widowControl w:val="0"/>
        <w:suppressAutoHyphens/>
        <w:spacing w:line="360" w:lineRule="auto"/>
        <w:jc w:val="both"/>
        <w:rPr>
          <w:rFonts w:eastAsia="SimSun"/>
          <w:lang w:val="es-CU" w:eastAsia="zh-CN"/>
        </w:rPr>
      </w:pPr>
    </w:p>
    <w:p w14:paraId="70624241" w14:textId="77777777" w:rsidR="00590BD0" w:rsidRPr="00590BD0" w:rsidRDefault="00590BD0" w:rsidP="00590BD0">
      <w:pPr>
        <w:widowControl w:val="0"/>
        <w:suppressAutoHyphens/>
        <w:spacing w:line="360" w:lineRule="auto"/>
        <w:jc w:val="both"/>
        <w:rPr>
          <w:rFonts w:eastAsia="SimSun"/>
          <w:lang w:val="en-US" w:eastAsia="zh-CN"/>
        </w:rPr>
      </w:pPr>
      <w:r w:rsidRPr="00590BD0">
        <w:rPr>
          <w:rFonts w:eastAsia="SimSun"/>
          <w:b/>
          <w:lang w:val="en-US" w:eastAsia="zh-CN"/>
        </w:rPr>
        <w:t>ABSTRACT</w:t>
      </w:r>
    </w:p>
    <w:p w14:paraId="04949CEC" w14:textId="77777777" w:rsidR="00590BD0" w:rsidRPr="00590BD0" w:rsidRDefault="00590BD0" w:rsidP="00590BD0">
      <w:pPr>
        <w:widowControl w:val="0"/>
        <w:suppressAutoHyphens/>
        <w:spacing w:line="360" w:lineRule="auto"/>
        <w:jc w:val="both"/>
        <w:rPr>
          <w:rFonts w:eastAsia="SimSun"/>
          <w:lang w:val="en-US" w:eastAsia="zh-CN"/>
        </w:rPr>
      </w:pPr>
      <w:r w:rsidRPr="00590BD0">
        <w:rPr>
          <w:rFonts w:eastAsia="SimSun"/>
          <w:b/>
          <w:lang w:val="en-US" w:eastAsia="zh-CN"/>
        </w:rPr>
        <w:t>Introduction:</w:t>
      </w:r>
      <w:r w:rsidRPr="00590BD0">
        <w:rPr>
          <w:rFonts w:eastAsia="SimSun"/>
          <w:lang w:val="en-US" w:eastAsia="zh-CN"/>
        </w:rPr>
        <w:t xml:space="preserve"> It is important to know the alterations in liver enzymes in patients with COVID-19, as markers of liver damage.</w:t>
      </w:r>
    </w:p>
    <w:p w14:paraId="5454AD06" w14:textId="77777777" w:rsidR="00590BD0" w:rsidRPr="00590BD0" w:rsidRDefault="00590BD0" w:rsidP="00590BD0">
      <w:pPr>
        <w:widowControl w:val="0"/>
        <w:suppressAutoHyphens/>
        <w:spacing w:line="360" w:lineRule="auto"/>
        <w:jc w:val="both"/>
        <w:rPr>
          <w:rFonts w:eastAsia="SimSun"/>
          <w:lang w:val="en-US" w:eastAsia="zh-CN"/>
        </w:rPr>
      </w:pPr>
      <w:r w:rsidRPr="00590BD0">
        <w:rPr>
          <w:rFonts w:eastAsia="SimSun"/>
          <w:b/>
          <w:bCs/>
          <w:lang w:val="en-US" w:eastAsia="zh-CN"/>
        </w:rPr>
        <w:t>Objective:</w:t>
      </w:r>
      <w:r w:rsidRPr="00590BD0">
        <w:rPr>
          <w:rFonts w:eastAsia="SimSun"/>
          <w:lang w:val="en-US" w:eastAsia="zh-CN"/>
        </w:rPr>
        <w:t xml:space="preserve"> To identify alterations in liver enzymes in high-risk patients with COVID-19.</w:t>
      </w:r>
    </w:p>
    <w:p w14:paraId="4F7EAE39" w14:textId="77777777" w:rsidR="00590BD0" w:rsidRPr="00590BD0" w:rsidRDefault="00590BD0" w:rsidP="00590BD0">
      <w:pPr>
        <w:widowControl w:val="0"/>
        <w:suppressAutoHyphens/>
        <w:spacing w:line="360" w:lineRule="auto"/>
        <w:jc w:val="both"/>
        <w:rPr>
          <w:rFonts w:eastAsia="SimSun"/>
          <w:lang w:val="en-US" w:eastAsia="zh-CN"/>
        </w:rPr>
      </w:pPr>
      <w:r w:rsidRPr="00590BD0">
        <w:rPr>
          <w:rFonts w:eastAsia="SimSun"/>
          <w:b/>
          <w:lang w:val="en-US" w:eastAsia="zh-CN"/>
        </w:rPr>
        <w:t>Methods:</w:t>
      </w:r>
      <w:r w:rsidRPr="00590BD0">
        <w:rPr>
          <w:rFonts w:eastAsia="SimSun"/>
          <w:lang w:val="en-US" w:eastAsia="zh-CN"/>
        </w:rPr>
        <w:t xml:space="preserve"> A prospective descriptive study was carried out on alterations in liver enzymes in 56 patients admitted with COVID-19. The variables studied were age, sex, evolution towards gravity, and liver enzymes. Serum samples were taken on the first day of admission and on the fifth day to determine liver enzymes. The </w:t>
      </w:r>
      <w:proofErr w:type="spellStart"/>
      <w:r w:rsidRPr="00590BD0">
        <w:rPr>
          <w:rFonts w:eastAsia="SimSun"/>
          <w:lang w:val="en-US" w:eastAsia="zh-CN"/>
        </w:rPr>
        <w:t>Ritis</w:t>
      </w:r>
      <w:proofErr w:type="spellEnd"/>
      <w:r w:rsidRPr="00590BD0">
        <w:rPr>
          <w:rFonts w:eastAsia="SimSun"/>
          <w:lang w:val="en-US" w:eastAsia="zh-CN"/>
        </w:rPr>
        <w:t xml:space="preserve"> index was also found.</w:t>
      </w:r>
    </w:p>
    <w:p w14:paraId="49EEA1E4" w14:textId="77777777" w:rsidR="00590BD0" w:rsidRPr="00590BD0" w:rsidRDefault="00590BD0" w:rsidP="00590BD0">
      <w:pPr>
        <w:widowControl w:val="0"/>
        <w:suppressAutoHyphens/>
        <w:spacing w:line="360" w:lineRule="auto"/>
        <w:jc w:val="both"/>
        <w:rPr>
          <w:rFonts w:eastAsia="SimSun"/>
          <w:lang w:val="en-US" w:eastAsia="zh-CN"/>
        </w:rPr>
      </w:pPr>
      <w:r w:rsidRPr="00590BD0">
        <w:rPr>
          <w:rFonts w:eastAsia="SimSun"/>
          <w:b/>
          <w:lang w:val="en-US" w:eastAsia="zh-CN"/>
        </w:rPr>
        <w:t>Results:</w:t>
      </w:r>
      <w:r w:rsidRPr="00590BD0">
        <w:rPr>
          <w:rFonts w:eastAsia="SimSun"/>
          <w:lang w:val="en-US" w:eastAsia="zh-CN"/>
        </w:rPr>
        <w:t xml:space="preserve"> The average age was 66.64 ± 13.12 years, 51.8% were older men and 37.5% progressed towards severity. In all enzymes there was an increase in the mean on the fifth day of the study. Lactate dehydrogenase (</w:t>
      </w:r>
      <w:proofErr w:type="spellStart"/>
      <w:r w:rsidRPr="00590BD0">
        <w:rPr>
          <w:rFonts w:eastAsia="SimSun"/>
          <w:lang w:val="en-US" w:eastAsia="zh-CN"/>
        </w:rPr>
        <w:t>LDH</w:t>
      </w:r>
      <w:proofErr w:type="spellEnd"/>
      <w:r w:rsidRPr="00590BD0">
        <w:rPr>
          <w:rFonts w:eastAsia="SimSun"/>
          <w:lang w:val="en-US" w:eastAsia="zh-CN"/>
        </w:rPr>
        <w:t>) and γ-glutamyl transpeptidase (</w:t>
      </w:r>
      <w:proofErr w:type="spellStart"/>
      <w:r w:rsidRPr="00590BD0">
        <w:rPr>
          <w:rFonts w:eastAsia="SimSun"/>
          <w:lang w:val="en-US" w:eastAsia="zh-CN"/>
        </w:rPr>
        <w:t>GGT</w:t>
      </w:r>
      <w:proofErr w:type="spellEnd"/>
      <w:r w:rsidRPr="00590BD0">
        <w:rPr>
          <w:rFonts w:eastAsia="SimSun"/>
          <w:lang w:val="en-US" w:eastAsia="zh-CN"/>
        </w:rPr>
        <w:t xml:space="preserve">) were found to be high in most of the patients from the first day. On the fifth day, aspartate aminotransferase (AST) was high in 71.4% of non-severe patients and alanine aminotransferase (ALT) in severe cases. At the beginning, a </w:t>
      </w:r>
      <w:proofErr w:type="spellStart"/>
      <w:r w:rsidRPr="00590BD0">
        <w:rPr>
          <w:rFonts w:eastAsia="SimSun"/>
          <w:lang w:val="en-US" w:eastAsia="zh-CN"/>
        </w:rPr>
        <w:t>Ritis</w:t>
      </w:r>
      <w:proofErr w:type="spellEnd"/>
      <w:r w:rsidRPr="00590BD0">
        <w:rPr>
          <w:rFonts w:eastAsia="SimSun"/>
          <w:lang w:val="en-US" w:eastAsia="zh-CN"/>
        </w:rPr>
        <w:t xml:space="preserve"> index &lt; 1 was more frequent, but on the fifth day the </w:t>
      </w:r>
      <w:proofErr w:type="spellStart"/>
      <w:r w:rsidRPr="00590BD0">
        <w:rPr>
          <w:rFonts w:eastAsia="SimSun"/>
          <w:lang w:val="en-US" w:eastAsia="zh-CN"/>
        </w:rPr>
        <w:t>Ritis</w:t>
      </w:r>
      <w:proofErr w:type="spellEnd"/>
      <w:r w:rsidRPr="00590BD0">
        <w:rPr>
          <w:rFonts w:eastAsia="SimSun"/>
          <w:lang w:val="en-US" w:eastAsia="zh-CN"/>
        </w:rPr>
        <w:t xml:space="preserve"> index &gt; 1 increased by 42.9% in seriously ill. 56.6% of seriously ill patients modified this index on the fifth day.</w:t>
      </w:r>
    </w:p>
    <w:p w14:paraId="62C571DB" w14:textId="77777777" w:rsidR="00590BD0" w:rsidRPr="00590BD0" w:rsidRDefault="00590BD0" w:rsidP="00590BD0">
      <w:pPr>
        <w:widowControl w:val="0"/>
        <w:suppressAutoHyphens/>
        <w:spacing w:line="360" w:lineRule="auto"/>
        <w:jc w:val="both"/>
        <w:rPr>
          <w:rFonts w:eastAsia="SimSun"/>
          <w:lang w:val="en-US" w:eastAsia="zh-CN"/>
        </w:rPr>
      </w:pPr>
      <w:r w:rsidRPr="00590BD0">
        <w:rPr>
          <w:rFonts w:eastAsia="SimSun"/>
          <w:b/>
          <w:lang w:val="en-US" w:eastAsia="zh-CN"/>
        </w:rPr>
        <w:t>Conclusions:</w:t>
      </w:r>
      <w:r w:rsidRPr="00590BD0">
        <w:rPr>
          <w:rFonts w:eastAsia="SimSun"/>
          <w:lang w:val="en-US" w:eastAsia="zh-CN"/>
        </w:rPr>
        <w:t xml:space="preserve"> The elevation of the mean liver enzymes on the fifth day was demonstrated. </w:t>
      </w:r>
      <w:proofErr w:type="spellStart"/>
      <w:r w:rsidRPr="00590BD0">
        <w:rPr>
          <w:rFonts w:eastAsia="SimSun"/>
          <w:lang w:val="en-US" w:eastAsia="zh-CN"/>
        </w:rPr>
        <w:t>LDH</w:t>
      </w:r>
      <w:proofErr w:type="spellEnd"/>
      <w:r w:rsidRPr="00590BD0">
        <w:rPr>
          <w:rFonts w:eastAsia="SimSun"/>
          <w:lang w:val="en-US" w:eastAsia="zh-CN"/>
        </w:rPr>
        <w:t xml:space="preserve"> and </w:t>
      </w:r>
      <w:proofErr w:type="spellStart"/>
      <w:r w:rsidRPr="00590BD0">
        <w:rPr>
          <w:rFonts w:eastAsia="SimSun"/>
          <w:lang w:val="en-US" w:eastAsia="zh-CN"/>
        </w:rPr>
        <w:t>GGT</w:t>
      </w:r>
      <w:proofErr w:type="spellEnd"/>
      <w:r w:rsidRPr="00590BD0">
        <w:rPr>
          <w:rFonts w:eastAsia="SimSun"/>
          <w:lang w:val="en-US" w:eastAsia="zh-CN"/>
        </w:rPr>
        <w:t xml:space="preserve"> remained high from the beginning of the disease. The majority of severe patients reversed the </w:t>
      </w:r>
      <w:proofErr w:type="spellStart"/>
      <w:r w:rsidRPr="00590BD0">
        <w:rPr>
          <w:rFonts w:eastAsia="SimSun"/>
          <w:lang w:val="en-US" w:eastAsia="zh-CN"/>
        </w:rPr>
        <w:t>Ritis</w:t>
      </w:r>
      <w:proofErr w:type="spellEnd"/>
      <w:r w:rsidRPr="00590BD0">
        <w:rPr>
          <w:rFonts w:eastAsia="SimSun"/>
          <w:lang w:val="en-US" w:eastAsia="zh-CN"/>
        </w:rPr>
        <w:t xml:space="preserve"> index on the fifth day.</w:t>
      </w:r>
    </w:p>
    <w:p w14:paraId="4BADCA15" w14:textId="77777777" w:rsidR="00590BD0" w:rsidRPr="00590BD0" w:rsidRDefault="00590BD0" w:rsidP="00590BD0">
      <w:pPr>
        <w:widowControl w:val="0"/>
        <w:suppressAutoHyphens/>
        <w:spacing w:line="360" w:lineRule="auto"/>
        <w:jc w:val="both"/>
        <w:rPr>
          <w:rFonts w:eastAsia="SimSun"/>
          <w:lang w:val="en-US" w:eastAsia="zh-CN"/>
        </w:rPr>
      </w:pPr>
      <w:r w:rsidRPr="00590BD0">
        <w:rPr>
          <w:rFonts w:eastAsia="SimSun"/>
          <w:b/>
          <w:lang w:val="en-US" w:eastAsia="zh-CN"/>
        </w:rPr>
        <w:lastRenderedPageBreak/>
        <w:t>Keywords:</w:t>
      </w:r>
      <w:r w:rsidRPr="00590BD0">
        <w:rPr>
          <w:rFonts w:eastAsia="SimSun"/>
          <w:lang w:val="en-US" w:eastAsia="zh-CN"/>
        </w:rPr>
        <w:t xml:space="preserve"> liver enzymes; COVID-19; liver damage.</w:t>
      </w:r>
    </w:p>
    <w:p w14:paraId="652E5434" w14:textId="77777777" w:rsidR="00590BD0" w:rsidRPr="00590BD0" w:rsidRDefault="00590BD0" w:rsidP="00590BD0">
      <w:pPr>
        <w:widowControl w:val="0"/>
        <w:suppressAutoHyphens/>
        <w:spacing w:line="360" w:lineRule="auto"/>
        <w:jc w:val="both"/>
        <w:rPr>
          <w:rFonts w:eastAsia="SimSun"/>
          <w:lang w:val="en-US" w:eastAsia="zh-CN"/>
        </w:rPr>
      </w:pPr>
    </w:p>
    <w:p w14:paraId="3D614128" w14:textId="77777777" w:rsidR="00590BD0" w:rsidRPr="00590BD0" w:rsidRDefault="00590BD0" w:rsidP="00590BD0">
      <w:pPr>
        <w:widowControl w:val="0"/>
        <w:suppressAutoHyphens/>
        <w:spacing w:line="360" w:lineRule="auto"/>
        <w:jc w:val="both"/>
        <w:rPr>
          <w:rFonts w:eastAsia="SimSun"/>
          <w:lang w:val="en-US" w:eastAsia="zh-CN"/>
        </w:rPr>
      </w:pPr>
    </w:p>
    <w:p w14:paraId="570D7572"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CU" w:eastAsia="zh-CN"/>
        </w:rPr>
        <w:t>Recibido: 28/03/2022</w:t>
      </w:r>
    </w:p>
    <w:p w14:paraId="3A5F6F0E"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CU" w:eastAsia="zh-CN"/>
        </w:rPr>
        <w:t>Aprobado: 06/09/2022</w:t>
      </w:r>
    </w:p>
    <w:p w14:paraId="7A34415A" w14:textId="77777777" w:rsidR="00590BD0" w:rsidRPr="00590BD0" w:rsidRDefault="00590BD0" w:rsidP="00590BD0">
      <w:pPr>
        <w:widowControl w:val="0"/>
        <w:suppressAutoHyphens/>
        <w:spacing w:line="360" w:lineRule="auto"/>
        <w:jc w:val="both"/>
        <w:rPr>
          <w:rFonts w:eastAsia="SimSun"/>
          <w:lang w:val="es-CU" w:eastAsia="zh-CN"/>
        </w:rPr>
      </w:pPr>
    </w:p>
    <w:p w14:paraId="41BC0EA9" w14:textId="77777777" w:rsidR="00590BD0" w:rsidRPr="00590BD0" w:rsidRDefault="00590BD0" w:rsidP="00590BD0">
      <w:pPr>
        <w:widowControl w:val="0"/>
        <w:suppressAutoHyphens/>
        <w:spacing w:line="360" w:lineRule="auto"/>
        <w:jc w:val="both"/>
        <w:rPr>
          <w:rFonts w:eastAsia="SimSun"/>
          <w:lang w:val="es-CU" w:eastAsia="zh-CN"/>
        </w:rPr>
      </w:pPr>
    </w:p>
    <w:p w14:paraId="668B31B3" w14:textId="77777777" w:rsidR="00590BD0" w:rsidRPr="00590BD0" w:rsidRDefault="00590BD0" w:rsidP="00590BD0">
      <w:pPr>
        <w:widowControl w:val="0"/>
        <w:suppressAutoHyphens/>
        <w:spacing w:line="360" w:lineRule="auto"/>
        <w:jc w:val="center"/>
        <w:rPr>
          <w:rFonts w:eastAsia="SimSun"/>
          <w:b/>
          <w:sz w:val="32"/>
          <w:szCs w:val="32"/>
          <w:lang w:val="es-CU" w:eastAsia="zh-CN"/>
        </w:rPr>
      </w:pPr>
      <w:r w:rsidRPr="00590BD0">
        <w:rPr>
          <w:rFonts w:eastAsia="SimSun"/>
          <w:b/>
          <w:sz w:val="32"/>
          <w:szCs w:val="32"/>
          <w:lang w:val="es-ES" w:eastAsia="zh-CN"/>
        </w:rPr>
        <w:t>INTRODUCCIÓN</w:t>
      </w:r>
    </w:p>
    <w:p w14:paraId="04FE84BC"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CU" w:eastAsia="zh-CN"/>
        </w:rPr>
        <w:t xml:space="preserve">Desde hace más de 2 años, el mundo se encuentra envuelto en la pandemia del nuevo coronavirus. La COVID-19, provocada por el SARS-CoV-2 ha ocasionado cerca de 4,5 millones de fallecidos, incluidos jóvenes, aunque la afectación es mayor en personas de la tercera edad y aquellas que tienen factores de riesgo que los hacen más vulnerables, como la hipertensión arterial, la diabetes mellitus, entre </w:t>
      </w:r>
      <w:proofErr w:type="gramStart"/>
      <w:r w:rsidRPr="00590BD0">
        <w:rPr>
          <w:rFonts w:eastAsia="SimSun"/>
          <w:lang w:val="es-CU" w:eastAsia="zh-CN"/>
        </w:rPr>
        <w:t>otras.</w:t>
      </w:r>
      <w:r w:rsidRPr="00590BD0">
        <w:rPr>
          <w:rFonts w:eastAsia="SimSun"/>
          <w:vertAlign w:val="superscript"/>
          <w:lang w:val="es-CU" w:eastAsia="zh-CN"/>
        </w:rPr>
        <w:t>(</w:t>
      </w:r>
      <w:proofErr w:type="gramEnd"/>
      <w:r w:rsidRPr="00590BD0">
        <w:rPr>
          <w:rFonts w:eastAsia="SimSun"/>
          <w:vertAlign w:val="superscript"/>
          <w:lang w:val="es-CU" w:eastAsia="zh-CN"/>
        </w:rPr>
        <w:t>1)</w:t>
      </w:r>
    </w:p>
    <w:p w14:paraId="3336D892"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CU" w:eastAsia="zh-CN"/>
        </w:rPr>
        <w:t>La COVID-19 tiene un espectro clínico que varía desde el paciente asintomático hasta la muerte y se caracteriza por un compromiso respiratorio de grado variable. Esto se debe a que el SARS-CoV-2 utiliza el receptor de la enzima convertidora de la angiotensina 2 (</w:t>
      </w:r>
      <w:proofErr w:type="spellStart"/>
      <w:r w:rsidRPr="00590BD0">
        <w:rPr>
          <w:rFonts w:eastAsia="SimSun"/>
          <w:lang w:val="es-CU" w:eastAsia="zh-CN"/>
        </w:rPr>
        <w:t>ECA</w:t>
      </w:r>
      <w:proofErr w:type="spellEnd"/>
      <w:r w:rsidRPr="00590BD0">
        <w:rPr>
          <w:rFonts w:eastAsia="SimSun"/>
          <w:lang w:val="es-CU" w:eastAsia="zh-CN"/>
        </w:rPr>
        <w:t>-2) como puerta de entrada para la infección; este receptor está presente en la super</w:t>
      </w:r>
      <w:r w:rsidRPr="00590BD0">
        <w:rPr>
          <w:rFonts w:eastAsia="SimSun"/>
          <w:lang w:val="en-US" w:eastAsia="zh-CN"/>
        </w:rPr>
        <w:t>ﬁ</w:t>
      </w:r>
      <w:r w:rsidRPr="00590BD0">
        <w:rPr>
          <w:rFonts w:eastAsia="SimSun"/>
          <w:lang w:val="es-CU" w:eastAsia="zh-CN"/>
        </w:rPr>
        <w:t xml:space="preserve">cie celular de prácticamente todos los órganos, lo cual convierte a la COVID-19 en una enfermedad sistémica, que puede afectar, además de los pulmones, a otros órganos vitales como el hígado, el corazón, el páncreas, los riñones y el </w:t>
      </w:r>
      <w:proofErr w:type="gramStart"/>
      <w:r w:rsidRPr="00590BD0">
        <w:rPr>
          <w:rFonts w:eastAsia="SimSun"/>
          <w:lang w:val="es-CU" w:eastAsia="zh-CN"/>
        </w:rPr>
        <w:t>intestino.</w:t>
      </w:r>
      <w:r w:rsidRPr="00590BD0">
        <w:rPr>
          <w:rFonts w:eastAsia="SimSun"/>
          <w:vertAlign w:val="superscript"/>
          <w:lang w:val="es-CU" w:eastAsia="zh-CN"/>
        </w:rPr>
        <w:t>(</w:t>
      </w:r>
      <w:proofErr w:type="gramEnd"/>
      <w:r w:rsidRPr="00590BD0">
        <w:rPr>
          <w:rFonts w:eastAsia="SimSun"/>
          <w:vertAlign w:val="superscript"/>
          <w:lang w:val="es-CU" w:eastAsia="zh-CN"/>
        </w:rPr>
        <w:t>2,3)</w:t>
      </w:r>
    </w:p>
    <w:p w14:paraId="5A1F1C53"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CU" w:eastAsia="zh-CN"/>
        </w:rPr>
        <w:t xml:space="preserve">El daño hepático puede deberse a varios mecanismos, entre los que destacan la propia acción del </w:t>
      </w:r>
      <w:proofErr w:type="gramStart"/>
      <w:r w:rsidRPr="00590BD0">
        <w:rPr>
          <w:rFonts w:eastAsia="SimSun"/>
          <w:lang w:val="es-CU" w:eastAsia="zh-CN"/>
        </w:rPr>
        <w:t>virus,  la</w:t>
      </w:r>
      <w:proofErr w:type="gramEnd"/>
      <w:r w:rsidRPr="00590BD0">
        <w:rPr>
          <w:rFonts w:eastAsia="SimSun"/>
          <w:lang w:val="es-CU" w:eastAsia="zh-CN"/>
        </w:rPr>
        <w:t xml:space="preserve"> acción del sistema inmunológico sobre las células del hígado o la toxicidad de los fármacos utilizados en el tratamiento.</w:t>
      </w:r>
      <w:r w:rsidRPr="00590BD0">
        <w:rPr>
          <w:rFonts w:eastAsia="SimSun"/>
          <w:vertAlign w:val="superscript"/>
          <w:lang w:val="es-CU" w:eastAsia="zh-CN"/>
        </w:rPr>
        <w:t>(4)</w:t>
      </w:r>
      <w:r w:rsidRPr="00590BD0">
        <w:rPr>
          <w:rFonts w:eastAsia="SimSun"/>
          <w:lang w:val="es-CU" w:eastAsia="zh-CN"/>
        </w:rPr>
        <w:t xml:space="preserve"> </w:t>
      </w:r>
    </w:p>
    <w:p w14:paraId="768E7A56"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CU" w:eastAsia="zh-CN"/>
        </w:rPr>
        <w:t xml:space="preserve">La evidencia acumulada sugiere que casi la mitad de los pacientes que desarrollan la enfermedad, experimentan diferentes grados de alteraciones de las pruebas funcionales hepáticas. Los que presentan un cuadro clínico grave pueden tener niveles enzimáticos más altos, en comparación con aquellos con un curso más leve y en algunos casos puede producirse una lesión hepática </w:t>
      </w:r>
      <w:proofErr w:type="gramStart"/>
      <w:r w:rsidRPr="00590BD0">
        <w:rPr>
          <w:rFonts w:eastAsia="SimSun"/>
          <w:lang w:val="es-CU" w:eastAsia="zh-CN"/>
        </w:rPr>
        <w:t>significativa.</w:t>
      </w:r>
      <w:r w:rsidRPr="00590BD0">
        <w:rPr>
          <w:rFonts w:eastAsia="SimSun"/>
          <w:vertAlign w:val="superscript"/>
          <w:lang w:val="es-CU" w:eastAsia="zh-CN"/>
        </w:rPr>
        <w:t>(</w:t>
      </w:r>
      <w:proofErr w:type="gramEnd"/>
      <w:r w:rsidRPr="00590BD0">
        <w:rPr>
          <w:rFonts w:eastAsia="SimSun"/>
          <w:vertAlign w:val="superscript"/>
          <w:lang w:val="es-CU" w:eastAsia="zh-CN"/>
        </w:rPr>
        <w:t>5)</w:t>
      </w:r>
    </w:p>
    <w:p w14:paraId="52F81B72"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CU" w:eastAsia="zh-CN"/>
        </w:rPr>
        <w:t>La elevación de las enzimas hepáticas en pacientes con la COVID-19 ha sido reportada entre un 15 % y un 53 %</w:t>
      </w:r>
      <w:r w:rsidRPr="00590BD0">
        <w:rPr>
          <w:rFonts w:eastAsia="SimSun"/>
          <w:lang w:val="es-ES" w:eastAsia="zh-CN"/>
        </w:rPr>
        <w:t xml:space="preserve">. La elevación de transaminasas aspartato aminotransferasa (AST) y alanina aminotransferasa (ALT) se encuentran entre las anormalidades más detectadas, con elevación ocasional de la fosfatasa </w:t>
      </w:r>
      <w:r w:rsidRPr="00590BD0">
        <w:rPr>
          <w:rFonts w:eastAsia="SimSun"/>
          <w:lang w:val="es-ES" w:eastAsia="zh-CN"/>
        </w:rPr>
        <w:lastRenderedPageBreak/>
        <w:t xml:space="preserve">alcalina (ALP). También se puede incrementar la bilirrubina total.  Estas alteraciones pueden estar relacionadas con hepatitis viral, debido a la respuesta inmunológica e inflamatoria excesiva y desproporcionada, por choque séptico o inclusive, por una enfermedad hepática crónica subyacente diagnosticada o no. Se consideran, además, marcadores de mal pronóstico y de progresión </w:t>
      </w:r>
      <w:proofErr w:type="gramStart"/>
      <w:r w:rsidRPr="00590BD0">
        <w:rPr>
          <w:rFonts w:eastAsia="SimSun"/>
          <w:lang w:val="es-ES" w:eastAsia="zh-CN"/>
        </w:rPr>
        <w:t>enfermedad.</w:t>
      </w:r>
      <w:r w:rsidRPr="00590BD0">
        <w:rPr>
          <w:rFonts w:eastAsia="SimSun"/>
          <w:vertAlign w:val="superscript"/>
          <w:lang w:val="es-ES" w:eastAsia="zh-CN"/>
        </w:rPr>
        <w:t>(</w:t>
      </w:r>
      <w:proofErr w:type="gramEnd"/>
      <w:r w:rsidRPr="00590BD0">
        <w:rPr>
          <w:rFonts w:eastAsia="SimSun"/>
          <w:vertAlign w:val="superscript"/>
          <w:lang w:val="es-ES" w:eastAsia="zh-CN"/>
        </w:rPr>
        <w:t>2,6)</w:t>
      </w:r>
    </w:p>
    <w:p w14:paraId="1341B4F7"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ES" w:eastAsia="zh-CN"/>
        </w:rPr>
        <w:t xml:space="preserve">Parece que el daño hepático en sí mismo no contribuye a la mortalidad, pero es importante tenerlo en cuenta, con el objetivo de tomar precauciones y minimizar la toxicidad </w:t>
      </w:r>
      <w:proofErr w:type="gramStart"/>
      <w:r w:rsidRPr="00590BD0">
        <w:rPr>
          <w:rFonts w:eastAsia="SimSun"/>
          <w:lang w:val="es-ES" w:eastAsia="zh-CN"/>
        </w:rPr>
        <w:t>farmacológica.</w:t>
      </w:r>
      <w:r w:rsidRPr="00590BD0">
        <w:rPr>
          <w:rFonts w:eastAsia="SimSun"/>
          <w:vertAlign w:val="superscript"/>
          <w:lang w:val="es-ES" w:eastAsia="zh-CN"/>
        </w:rPr>
        <w:t>(</w:t>
      </w:r>
      <w:proofErr w:type="gramEnd"/>
      <w:r w:rsidRPr="00590BD0">
        <w:rPr>
          <w:rFonts w:eastAsia="SimSun"/>
          <w:vertAlign w:val="superscript"/>
          <w:lang w:val="es-ES" w:eastAsia="zh-CN"/>
        </w:rPr>
        <w:t>7)</w:t>
      </w:r>
      <w:r w:rsidRPr="00590BD0">
        <w:rPr>
          <w:rFonts w:eastAsia="SimSun"/>
          <w:lang w:val="es-ES" w:eastAsia="zh-CN"/>
        </w:rPr>
        <w:t xml:space="preserve"> </w:t>
      </w:r>
    </w:p>
    <w:p w14:paraId="5AC82552" w14:textId="77777777" w:rsidR="00590BD0" w:rsidRPr="00590BD0" w:rsidRDefault="00590BD0" w:rsidP="00590BD0">
      <w:pPr>
        <w:widowControl w:val="0"/>
        <w:suppressAutoHyphens/>
        <w:spacing w:line="360" w:lineRule="auto"/>
        <w:jc w:val="both"/>
        <w:rPr>
          <w:rFonts w:eastAsia="SimSun"/>
          <w:lang w:val="es-ES" w:eastAsia="zh-CN"/>
        </w:rPr>
      </w:pPr>
      <w:r w:rsidRPr="00590BD0">
        <w:rPr>
          <w:rFonts w:eastAsia="SimSun"/>
          <w:lang w:val="es-ES" w:eastAsia="zh-CN"/>
        </w:rPr>
        <w:t>En Cuba existen pocas investigaciones que reflejen las modificaciones de las enzimas hepáticas durante esta enfermedad. En el país, desde el primer momento se implementó un protocolo nacional de actuación, con el fin de contribuir a la prevención, el control, mejor tratamiento de los casos, así como la protección de los trabajadores de la salud y la población. Según el Protocolo de Actuación Nacional para la COVID-19 (versión 1.6),</w:t>
      </w:r>
      <w:r w:rsidRPr="00590BD0">
        <w:rPr>
          <w:rFonts w:eastAsia="SimSun"/>
          <w:vertAlign w:val="superscript"/>
          <w:lang w:val="es-ES" w:eastAsia="zh-CN"/>
        </w:rPr>
        <w:t>(8)</w:t>
      </w:r>
      <w:r w:rsidRPr="00590BD0">
        <w:rPr>
          <w:rFonts w:eastAsia="SimSun"/>
          <w:lang w:val="es-ES" w:eastAsia="zh-CN"/>
        </w:rPr>
        <w:t xml:space="preserve"> los pacientes confirmados se clasifican como alto riesgo a mayores o iguales a 65 años independientemente de la presencia o no de comorbilidades y a todos los enfermos menores de 65 con algunos de los siguientes padecimientos: obesidad, hipertensión arterial (HTA) complicada, enfermedad renal crónica, cardiopatía isquémica, diabetes mellitus, enfermedad pulmonar obstructiva crónica (EPOC), cáncer, insuficiencia renal, desnutrición grave, así como otros antecedentes que el médico de asistencia haya considerado.</w:t>
      </w:r>
    </w:p>
    <w:p w14:paraId="4B4CA077" w14:textId="77777777" w:rsidR="00590BD0" w:rsidRPr="00590BD0" w:rsidRDefault="00590BD0" w:rsidP="00590BD0">
      <w:pPr>
        <w:widowControl w:val="0"/>
        <w:suppressAutoHyphens/>
        <w:spacing w:line="360" w:lineRule="auto"/>
        <w:jc w:val="both"/>
        <w:rPr>
          <w:rFonts w:eastAsia="SimSun"/>
          <w:lang w:val="es-ES" w:eastAsia="zh-CN"/>
        </w:rPr>
      </w:pPr>
      <w:r w:rsidRPr="00590BD0">
        <w:rPr>
          <w:rFonts w:eastAsia="SimSun"/>
          <w:lang w:val="es-ES" w:eastAsia="zh-CN"/>
        </w:rPr>
        <w:t xml:space="preserve">La presente investigación tiene como objetivo identificar las alteraciones en las enzimas hepáticas de los pacientes diagnosticados con la COVID-19, clasificados de alto riesgo. </w:t>
      </w:r>
    </w:p>
    <w:p w14:paraId="55B4E1BA" w14:textId="77777777" w:rsidR="00590BD0" w:rsidRPr="00590BD0" w:rsidRDefault="00590BD0" w:rsidP="00590BD0">
      <w:pPr>
        <w:widowControl w:val="0"/>
        <w:suppressAutoHyphens/>
        <w:spacing w:line="360" w:lineRule="auto"/>
        <w:jc w:val="both"/>
        <w:rPr>
          <w:rFonts w:eastAsia="SimSun"/>
          <w:lang w:val="es-CU" w:eastAsia="zh-CN"/>
        </w:rPr>
      </w:pPr>
    </w:p>
    <w:p w14:paraId="17447703" w14:textId="77777777" w:rsidR="00590BD0" w:rsidRPr="00590BD0" w:rsidRDefault="00590BD0" w:rsidP="00590BD0">
      <w:pPr>
        <w:widowControl w:val="0"/>
        <w:suppressAutoHyphens/>
        <w:spacing w:line="360" w:lineRule="auto"/>
        <w:jc w:val="center"/>
        <w:rPr>
          <w:rFonts w:eastAsia="SimSun"/>
          <w:b/>
          <w:lang w:val="es-ES" w:eastAsia="zh-CN"/>
        </w:rPr>
      </w:pPr>
    </w:p>
    <w:p w14:paraId="38966AC8" w14:textId="77777777" w:rsidR="00590BD0" w:rsidRPr="00590BD0" w:rsidRDefault="00590BD0" w:rsidP="00590BD0">
      <w:pPr>
        <w:widowControl w:val="0"/>
        <w:suppressAutoHyphens/>
        <w:spacing w:line="360" w:lineRule="auto"/>
        <w:jc w:val="center"/>
        <w:rPr>
          <w:rFonts w:eastAsia="SimSun"/>
          <w:b/>
          <w:sz w:val="32"/>
          <w:szCs w:val="32"/>
          <w:lang w:val="es-CU" w:eastAsia="zh-CN"/>
        </w:rPr>
      </w:pPr>
      <w:r w:rsidRPr="00590BD0">
        <w:rPr>
          <w:rFonts w:eastAsia="SimSun"/>
          <w:b/>
          <w:sz w:val="32"/>
          <w:szCs w:val="32"/>
          <w:lang w:val="es-ES" w:eastAsia="zh-CN"/>
        </w:rPr>
        <w:t>MÉTODOS</w:t>
      </w:r>
    </w:p>
    <w:p w14:paraId="7D8B5970" w14:textId="77777777" w:rsidR="00590BD0" w:rsidRPr="00590BD0" w:rsidRDefault="00590BD0" w:rsidP="00590BD0">
      <w:pPr>
        <w:widowControl w:val="0"/>
        <w:suppressAutoHyphens/>
        <w:spacing w:line="360" w:lineRule="auto"/>
        <w:jc w:val="both"/>
        <w:rPr>
          <w:rFonts w:eastAsia="SimSun"/>
          <w:vertAlign w:val="superscript"/>
          <w:lang w:val="es-ES" w:eastAsia="zh-CN"/>
        </w:rPr>
      </w:pPr>
      <w:r w:rsidRPr="00590BD0">
        <w:rPr>
          <w:rFonts w:eastAsia="SimSun"/>
          <w:lang w:val="es-ES" w:eastAsia="zh-CN"/>
        </w:rPr>
        <w:t>Se efectuó un estudio descriptivo prospectivo en el Hospital “</w:t>
      </w:r>
      <w:proofErr w:type="gramStart"/>
      <w:r w:rsidRPr="00590BD0">
        <w:rPr>
          <w:rFonts w:eastAsia="SimSun"/>
          <w:lang w:val="es-ES" w:eastAsia="zh-CN"/>
        </w:rPr>
        <w:t>Comandante</w:t>
      </w:r>
      <w:proofErr w:type="gramEnd"/>
      <w:r w:rsidRPr="00590BD0">
        <w:rPr>
          <w:rFonts w:eastAsia="SimSun"/>
          <w:lang w:val="es-ES" w:eastAsia="zh-CN"/>
        </w:rPr>
        <w:t xml:space="preserve"> Manuel Fajardo Rivero”, en pacientes diagnosticados con la COVID-19, durante los meses de enero a marzo del 2021.</w:t>
      </w:r>
      <w:r w:rsidRPr="00590BD0">
        <w:rPr>
          <w:rFonts w:eastAsia="SimSun"/>
          <w:lang w:val="es-CU" w:eastAsia="zh-CN"/>
        </w:rPr>
        <w:t xml:space="preserve"> La serie de casos estuvo constituida por 56 </w:t>
      </w:r>
      <w:r w:rsidRPr="00590BD0">
        <w:rPr>
          <w:rFonts w:eastAsia="SimSun"/>
          <w:lang w:val="es-ES" w:eastAsia="zh-CN"/>
        </w:rPr>
        <w:t xml:space="preserve">pacientes adultos, de alto riesgo, según el protocolo </w:t>
      </w:r>
      <w:proofErr w:type="gramStart"/>
      <w:r w:rsidRPr="00590BD0">
        <w:rPr>
          <w:rFonts w:eastAsia="SimSun"/>
          <w:lang w:val="es-ES" w:eastAsia="zh-CN"/>
        </w:rPr>
        <w:t>cubano.</w:t>
      </w:r>
      <w:r w:rsidRPr="00590BD0">
        <w:rPr>
          <w:rFonts w:eastAsia="SimSun"/>
          <w:vertAlign w:val="superscript"/>
          <w:lang w:val="es-ES" w:eastAsia="zh-CN"/>
        </w:rPr>
        <w:t>(</w:t>
      </w:r>
      <w:proofErr w:type="gramEnd"/>
      <w:r w:rsidRPr="00590BD0">
        <w:rPr>
          <w:rFonts w:eastAsia="SimSun"/>
          <w:vertAlign w:val="superscript"/>
          <w:lang w:val="es-ES" w:eastAsia="zh-CN"/>
        </w:rPr>
        <w:t xml:space="preserve">8) </w:t>
      </w:r>
    </w:p>
    <w:p w14:paraId="65F31545" w14:textId="77777777" w:rsidR="00590BD0" w:rsidRPr="00590BD0" w:rsidRDefault="00590BD0" w:rsidP="00590BD0">
      <w:pPr>
        <w:widowControl w:val="0"/>
        <w:suppressAutoHyphens/>
        <w:spacing w:line="360" w:lineRule="auto"/>
        <w:jc w:val="center"/>
        <w:rPr>
          <w:rFonts w:eastAsia="SimSun"/>
          <w:b/>
          <w:bCs/>
          <w:sz w:val="28"/>
          <w:szCs w:val="28"/>
          <w:lang w:val="es-ES" w:eastAsia="zh-CN"/>
        </w:rPr>
      </w:pPr>
      <w:r w:rsidRPr="00590BD0">
        <w:rPr>
          <w:rFonts w:eastAsia="SimSun"/>
          <w:b/>
          <w:bCs/>
          <w:sz w:val="28"/>
          <w:szCs w:val="28"/>
          <w:lang w:val="es-ES" w:eastAsia="zh-CN"/>
        </w:rPr>
        <w:t>Variables</w:t>
      </w:r>
    </w:p>
    <w:p w14:paraId="3983F460" w14:textId="77777777" w:rsidR="00590BD0" w:rsidRPr="00590BD0" w:rsidRDefault="00590BD0" w:rsidP="00590BD0">
      <w:pPr>
        <w:widowControl w:val="0"/>
        <w:suppressAutoHyphens/>
        <w:spacing w:line="360" w:lineRule="auto"/>
        <w:jc w:val="center"/>
        <w:rPr>
          <w:rFonts w:eastAsia="SimSun"/>
          <w:b/>
          <w:bCs/>
          <w:lang w:val="es-ES" w:eastAsia="zh-CN"/>
        </w:rPr>
      </w:pPr>
    </w:p>
    <w:p w14:paraId="1642C777" w14:textId="77777777" w:rsidR="00590BD0" w:rsidRPr="00590BD0" w:rsidRDefault="00590BD0" w:rsidP="00590BD0">
      <w:pPr>
        <w:widowControl w:val="0"/>
        <w:numPr>
          <w:ilvl w:val="0"/>
          <w:numId w:val="9"/>
        </w:numPr>
        <w:suppressAutoHyphens/>
        <w:spacing w:line="360" w:lineRule="auto"/>
        <w:contextualSpacing/>
        <w:jc w:val="both"/>
        <w:rPr>
          <w:rFonts w:eastAsia="SimSun"/>
          <w:lang w:val="es-ES" w:eastAsia="zh-CN"/>
        </w:rPr>
      </w:pPr>
      <w:r w:rsidRPr="00590BD0">
        <w:rPr>
          <w:rFonts w:eastAsia="SimSun"/>
          <w:lang w:val="es-ES" w:eastAsia="zh-CN"/>
        </w:rPr>
        <w:t xml:space="preserve">Edad: en años cumplidos y además, se categorizó en menor e igual de 65 y en mayores de 65 </w:t>
      </w:r>
      <w:r w:rsidRPr="00590BD0">
        <w:rPr>
          <w:rFonts w:eastAsia="SimSun"/>
          <w:lang w:val="es-ES" w:eastAsia="zh-CN"/>
        </w:rPr>
        <w:lastRenderedPageBreak/>
        <w:t xml:space="preserve">años, según el protocolo de paciente de </w:t>
      </w:r>
      <w:proofErr w:type="gramStart"/>
      <w:r w:rsidRPr="00590BD0">
        <w:rPr>
          <w:rFonts w:eastAsia="SimSun"/>
          <w:lang w:val="es-ES" w:eastAsia="zh-CN"/>
        </w:rPr>
        <w:t>riesgo.</w:t>
      </w:r>
      <w:r w:rsidRPr="00590BD0">
        <w:rPr>
          <w:rFonts w:eastAsia="SimSun"/>
          <w:vertAlign w:val="superscript"/>
          <w:lang w:val="es-ES" w:eastAsia="zh-CN"/>
        </w:rPr>
        <w:t>(</w:t>
      </w:r>
      <w:proofErr w:type="gramEnd"/>
      <w:r w:rsidRPr="00590BD0">
        <w:rPr>
          <w:rFonts w:eastAsia="SimSun"/>
          <w:vertAlign w:val="superscript"/>
          <w:lang w:val="es-ES" w:eastAsia="zh-CN"/>
        </w:rPr>
        <w:t>8)</w:t>
      </w:r>
    </w:p>
    <w:p w14:paraId="1AEAE9BD" w14:textId="77777777" w:rsidR="00590BD0" w:rsidRPr="00590BD0" w:rsidRDefault="00590BD0" w:rsidP="00590BD0">
      <w:pPr>
        <w:widowControl w:val="0"/>
        <w:numPr>
          <w:ilvl w:val="0"/>
          <w:numId w:val="9"/>
        </w:numPr>
        <w:suppressAutoHyphens/>
        <w:spacing w:line="360" w:lineRule="auto"/>
        <w:contextualSpacing/>
        <w:jc w:val="both"/>
        <w:rPr>
          <w:rFonts w:eastAsia="SimSun"/>
          <w:lang w:val="es-ES" w:eastAsia="zh-CN"/>
        </w:rPr>
      </w:pPr>
      <w:r w:rsidRPr="00590BD0">
        <w:rPr>
          <w:rFonts w:eastAsia="SimSun"/>
          <w:lang w:val="es-ES" w:eastAsia="zh-CN"/>
        </w:rPr>
        <w:t>Sexo.</w:t>
      </w:r>
    </w:p>
    <w:p w14:paraId="4115B267" w14:textId="77777777" w:rsidR="00590BD0" w:rsidRPr="00590BD0" w:rsidRDefault="00590BD0" w:rsidP="00590BD0">
      <w:pPr>
        <w:widowControl w:val="0"/>
        <w:numPr>
          <w:ilvl w:val="0"/>
          <w:numId w:val="9"/>
        </w:numPr>
        <w:suppressAutoHyphens/>
        <w:spacing w:line="360" w:lineRule="auto"/>
        <w:contextualSpacing/>
        <w:jc w:val="both"/>
        <w:rPr>
          <w:rFonts w:eastAsia="SimSun"/>
          <w:lang w:val="es-ES" w:eastAsia="zh-CN"/>
        </w:rPr>
      </w:pPr>
      <w:r w:rsidRPr="00590BD0">
        <w:rPr>
          <w:rFonts w:eastAsia="SimSun"/>
          <w:lang w:val="es-ES" w:eastAsia="zh-CN"/>
        </w:rPr>
        <w:t>Evolución hacia la gravedad: progresión del paciente hacia la gravedad en algún momento de su enfermedad, independientemente de si logró recuperarse o no; se operacionalizó en grave y no grave.</w:t>
      </w:r>
    </w:p>
    <w:p w14:paraId="786A02D7" w14:textId="77777777" w:rsidR="00590BD0" w:rsidRPr="00590BD0" w:rsidRDefault="00590BD0" w:rsidP="00590BD0">
      <w:pPr>
        <w:widowControl w:val="0"/>
        <w:numPr>
          <w:ilvl w:val="0"/>
          <w:numId w:val="9"/>
        </w:numPr>
        <w:suppressAutoHyphens/>
        <w:spacing w:line="360" w:lineRule="auto"/>
        <w:contextualSpacing/>
        <w:jc w:val="both"/>
        <w:rPr>
          <w:rFonts w:eastAsia="SimSun"/>
          <w:lang w:val="es-ES" w:eastAsia="zh-CN"/>
        </w:rPr>
      </w:pPr>
      <w:r w:rsidRPr="00590BD0">
        <w:rPr>
          <w:rFonts w:eastAsia="SimSun"/>
          <w:lang w:val="es-ES" w:eastAsia="zh-CN"/>
        </w:rPr>
        <w:t>Enzimas hepáticas: alanina aminotransferasa (ALT), aspartato aminotransferasa (AST), γ-</w:t>
      </w:r>
      <w:proofErr w:type="spellStart"/>
      <w:r w:rsidRPr="00590BD0">
        <w:rPr>
          <w:rFonts w:eastAsia="SimSun"/>
          <w:lang w:val="es-ES" w:eastAsia="zh-CN"/>
        </w:rPr>
        <w:t>glutamil</w:t>
      </w:r>
      <w:proofErr w:type="spellEnd"/>
      <w:r w:rsidRPr="00590BD0">
        <w:rPr>
          <w:rFonts w:eastAsia="SimSun"/>
          <w:lang w:val="es-ES" w:eastAsia="zh-CN"/>
        </w:rPr>
        <w:t xml:space="preserve"> transpeptidasa (GGT), fosfatasa alcalina (ALP) y lactato deshidrogenasa (LDH). </w:t>
      </w:r>
    </w:p>
    <w:p w14:paraId="15FBE1C0" w14:textId="77777777" w:rsidR="00590BD0" w:rsidRPr="00590BD0" w:rsidRDefault="00590BD0" w:rsidP="00590BD0">
      <w:pPr>
        <w:widowControl w:val="0"/>
        <w:suppressAutoHyphens/>
        <w:spacing w:line="360" w:lineRule="auto"/>
        <w:jc w:val="both"/>
        <w:rPr>
          <w:rFonts w:eastAsia="SimSun"/>
          <w:lang w:val="es-CU" w:eastAsia="zh-CN"/>
        </w:rPr>
      </w:pPr>
    </w:p>
    <w:p w14:paraId="7B104F19" w14:textId="77777777" w:rsidR="00590BD0" w:rsidRPr="00590BD0" w:rsidRDefault="00590BD0" w:rsidP="00590BD0">
      <w:pPr>
        <w:widowControl w:val="0"/>
        <w:suppressAutoHyphens/>
        <w:spacing w:line="360" w:lineRule="auto"/>
        <w:jc w:val="center"/>
        <w:rPr>
          <w:rFonts w:eastAsia="SimSun"/>
          <w:b/>
          <w:bCs/>
          <w:sz w:val="28"/>
          <w:szCs w:val="28"/>
          <w:lang w:val="es-CU" w:eastAsia="zh-CN"/>
        </w:rPr>
      </w:pPr>
      <w:r w:rsidRPr="00590BD0">
        <w:rPr>
          <w:rFonts w:eastAsia="SimSun"/>
          <w:b/>
          <w:bCs/>
          <w:sz w:val="28"/>
          <w:szCs w:val="28"/>
          <w:lang w:val="es-CU" w:eastAsia="zh-CN"/>
        </w:rPr>
        <w:t>Procedimientos</w:t>
      </w:r>
    </w:p>
    <w:p w14:paraId="3BB775CE"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CU" w:eastAsia="zh-CN"/>
        </w:rPr>
        <w:t>Las variables edad, sexo y evolución hacia la gravedad se obtuvieron de la historia clínica.</w:t>
      </w:r>
    </w:p>
    <w:p w14:paraId="082F4644"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CU" w:eastAsia="zh-CN"/>
        </w:rPr>
        <w:t>Para las enzimas hepáticas se</w:t>
      </w:r>
      <w:r w:rsidRPr="00590BD0">
        <w:rPr>
          <w:rFonts w:eastAsia="SimSun"/>
          <w:lang w:val="es-ES" w:eastAsia="zh-CN"/>
        </w:rPr>
        <w:t xml:space="preserve"> realizó una primera toma de muestra de suero en el primer día del ingreso y una segunda toma a los 5 días de evolución; se procesaron mediante en un analizador químico </w:t>
      </w:r>
      <w:proofErr w:type="spellStart"/>
      <w:r w:rsidRPr="00590BD0">
        <w:rPr>
          <w:rFonts w:eastAsia="SimSun"/>
          <w:lang w:val="es-ES" w:eastAsia="zh-CN"/>
        </w:rPr>
        <w:t>Spin200E</w:t>
      </w:r>
      <w:proofErr w:type="spellEnd"/>
      <w:r w:rsidRPr="00590BD0">
        <w:rPr>
          <w:rFonts w:eastAsia="SimSun"/>
          <w:lang w:val="es-ES" w:eastAsia="zh-CN"/>
        </w:rPr>
        <w:t>.</w:t>
      </w:r>
    </w:p>
    <w:p w14:paraId="18A75DCC"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ES" w:eastAsia="zh-CN"/>
        </w:rPr>
        <w:t xml:space="preserve">Las muestras de sangre fueron tomadas con adecuadas condiciones de bioseguridad y el procesamiento analítico se realizó con los requisitos de estos procedimientos en el laboratorio clínico del hospital donde se realizó la investigación. </w:t>
      </w:r>
    </w:p>
    <w:p w14:paraId="67C60C56"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ES" w:eastAsia="zh-CN"/>
        </w:rPr>
        <w:t xml:space="preserve">Se calculó halló el cociente AST/ALT o índice de </w:t>
      </w:r>
      <w:proofErr w:type="spellStart"/>
      <w:r w:rsidRPr="00590BD0">
        <w:rPr>
          <w:rFonts w:eastAsia="SimSun"/>
          <w:lang w:val="es-ES" w:eastAsia="zh-CN"/>
        </w:rPr>
        <w:t>Ritis</w:t>
      </w:r>
      <w:proofErr w:type="spellEnd"/>
      <w:r w:rsidRPr="00590BD0">
        <w:rPr>
          <w:rFonts w:eastAsia="SimSun"/>
          <w:lang w:val="es-ES" w:eastAsia="zh-CN"/>
        </w:rPr>
        <w:t xml:space="preserve">, en los 2 momentos estudiados. </w:t>
      </w:r>
    </w:p>
    <w:p w14:paraId="33D4260B"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ES" w:eastAsia="zh-CN"/>
        </w:rPr>
        <w:t xml:space="preserve">El procesamiento estadístico se realizó mediante el paquete SPSS 20.0 para Windows. Se calculó la media y desviación estándar para la edad y las enzimas hepáticas. Para el sexo, evolución hacia la gravedad y la edad categorizada se calcularon las frecuencias. Para determinar relación entre las variables edad y sexo, según evolución hacia la gravedad, enzimas hepáticas e índice de </w:t>
      </w:r>
      <w:proofErr w:type="spellStart"/>
      <w:r w:rsidRPr="00590BD0">
        <w:rPr>
          <w:rFonts w:eastAsia="SimSun"/>
          <w:lang w:val="es-ES" w:eastAsia="zh-CN"/>
        </w:rPr>
        <w:t>Ritis</w:t>
      </w:r>
      <w:proofErr w:type="spellEnd"/>
      <w:r w:rsidRPr="00590BD0">
        <w:rPr>
          <w:rFonts w:eastAsia="SimSun"/>
          <w:lang w:val="es-ES" w:eastAsia="zh-CN"/>
        </w:rPr>
        <w:t xml:space="preserve">, según momento del estudio y la evolución hacia la gravedad, se utilizó el test de </w:t>
      </w:r>
      <w:r w:rsidRPr="00590BD0">
        <w:rPr>
          <w:rFonts w:eastAsia="SimSun"/>
          <w:i/>
          <w:iCs/>
          <w:lang w:val="es-ES" w:eastAsia="zh-CN"/>
        </w:rPr>
        <w:t>ji</w:t>
      </w:r>
      <w:r w:rsidRPr="00590BD0">
        <w:rPr>
          <w:rFonts w:eastAsia="SimSun"/>
          <w:lang w:val="es-ES" w:eastAsia="zh-CN"/>
        </w:rPr>
        <w:t xml:space="preserve"> cuadrado, con un nivel de significación de p≤ 0,05; se consideró diferencias muy significativas si p≤ 0,005. </w:t>
      </w:r>
    </w:p>
    <w:p w14:paraId="6CC455ED" w14:textId="77777777" w:rsidR="00590BD0" w:rsidRPr="00590BD0" w:rsidRDefault="00590BD0" w:rsidP="00590BD0">
      <w:pPr>
        <w:widowControl w:val="0"/>
        <w:suppressAutoHyphens/>
        <w:spacing w:line="360" w:lineRule="auto"/>
        <w:jc w:val="center"/>
        <w:rPr>
          <w:rFonts w:eastAsia="SimSun"/>
          <w:sz w:val="28"/>
          <w:szCs w:val="28"/>
          <w:lang w:val="es-CU" w:eastAsia="zh-CN"/>
        </w:rPr>
      </w:pPr>
      <w:r w:rsidRPr="00590BD0">
        <w:rPr>
          <w:rFonts w:eastAsia="SimSun"/>
          <w:b/>
          <w:bCs/>
          <w:sz w:val="28"/>
          <w:szCs w:val="28"/>
          <w:lang w:val="es-ES" w:eastAsia="zh-CN"/>
        </w:rPr>
        <w:t>Aspectos éticos</w:t>
      </w:r>
    </w:p>
    <w:p w14:paraId="43214E72" w14:textId="77777777" w:rsidR="00590BD0" w:rsidRPr="00590BD0" w:rsidRDefault="00590BD0" w:rsidP="00590BD0">
      <w:pPr>
        <w:widowControl w:val="0"/>
        <w:suppressAutoHyphens/>
        <w:spacing w:line="360" w:lineRule="auto"/>
        <w:jc w:val="both"/>
        <w:rPr>
          <w:rFonts w:eastAsia="SimSun"/>
          <w:lang w:val="es-ES" w:eastAsia="zh-CN"/>
        </w:rPr>
      </w:pPr>
      <w:r w:rsidRPr="00590BD0">
        <w:rPr>
          <w:rFonts w:eastAsia="SimSun"/>
          <w:lang w:val="es-ES" w:eastAsia="zh-CN"/>
        </w:rPr>
        <w:t>Los datos se obtuvieron según el principio de confidencialidad. La información recogida solo se empleó con los fines científicos declarados para dicha observación. Se cumplieron con los parámetros éticos para la investigación.</w:t>
      </w:r>
    </w:p>
    <w:p w14:paraId="6FCB543C" w14:textId="77777777" w:rsidR="00590BD0" w:rsidRPr="00590BD0" w:rsidRDefault="00590BD0" w:rsidP="00590BD0">
      <w:pPr>
        <w:widowControl w:val="0"/>
        <w:suppressAutoHyphens/>
        <w:spacing w:line="360" w:lineRule="auto"/>
        <w:jc w:val="both"/>
        <w:rPr>
          <w:rFonts w:eastAsia="SimSun"/>
          <w:lang w:val="es-CU" w:eastAsia="zh-CN"/>
        </w:rPr>
      </w:pPr>
    </w:p>
    <w:p w14:paraId="666B866B" w14:textId="77777777" w:rsidR="00590BD0" w:rsidRPr="00590BD0" w:rsidRDefault="00590BD0" w:rsidP="00590BD0">
      <w:pPr>
        <w:widowControl w:val="0"/>
        <w:suppressAutoHyphens/>
        <w:spacing w:line="360" w:lineRule="auto"/>
        <w:jc w:val="both"/>
        <w:rPr>
          <w:rFonts w:eastAsia="SimSun"/>
          <w:lang w:val="es-ES" w:eastAsia="zh-CN"/>
        </w:rPr>
      </w:pPr>
    </w:p>
    <w:p w14:paraId="4610A431" w14:textId="77777777" w:rsidR="00590BD0" w:rsidRPr="00590BD0" w:rsidRDefault="00590BD0" w:rsidP="00590BD0">
      <w:pPr>
        <w:widowControl w:val="0"/>
        <w:suppressAutoHyphens/>
        <w:spacing w:line="360" w:lineRule="auto"/>
        <w:jc w:val="center"/>
        <w:rPr>
          <w:rFonts w:eastAsia="SimSun"/>
          <w:b/>
          <w:sz w:val="32"/>
          <w:szCs w:val="32"/>
          <w:lang w:val="es-CU" w:eastAsia="zh-CN"/>
        </w:rPr>
      </w:pPr>
      <w:r w:rsidRPr="00590BD0">
        <w:rPr>
          <w:rFonts w:eastAsia="SimSun"/>
          <w:b/>
          <w:sz w:val="32"/>
          <w:szCs w:val="32"/>
          <w:lang w:val="es-ES" w:eastAsia="zh-CN"/>
        </w:rPr>
        <w:t>RESULTADOS</w:t>
      </w:r>
    </w:p>
    <w:p w14:paraId="0777C62B"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ES" w:eastAsia="zh-CN"/>
        </w:rPr>
        <w:t xml:space="preserve">El 71,4 % de los pacientes tenían 65 años o más (tabla 1). La media de la edad fue de 66,64 ± 13,12 años. El mayor por ciento de los pacientes, tanto menores o mayores de 65 años, no evolucionaron a la gravedad, para un 62,5 % en ambos grupos de edad. </w:t>
      </w:r>
    </w:p>
    <w:p w14:paraId="18FA1559"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color w:val="000000"/>
          <w:lang w:val="es-CU" w:eastAsia="zh-CN"/>
        </w:rPr>
        <w:t>En cuanto al sexo, la mayor parte de los enfermos clasificados como de riesgo fueron hombres (51,8 %), de los cuales el 44,8 % evolucionó a la gravedad. El 70,3 % de las mujeres no agravaron.</w:t>
      </w:r>
    </w:p>
    <w:p w14:paraId="4D11B3E0"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color w:val="000000"/>
          <w:lang w:val="es-CU" w:eastAsia="zh-CN"/>
        </w:rPr>
        <w:t xml:space="preserve">No hubo relación estadísticamente significativa entre ninguna de las variables contrastadas. </w:t>
      </w:r>
    </w:p>
    <w:p w14:paraId="3B2E6939" w14:textId="77777777" w:rsidR="00590BD0" w:rsidRPr="00590BD0" w:rsidRDefault="00590BD0" w:rsidP="00590BD0">
      <w:pPr>
        <w:widowControl w:val="0"/>
        <w:suppressAutoHyphens/>
        <w:spacing w:line="360" w:lineRule="auto"/>
        <w:jc w:val="both"/>
        <w:rPr>
          <w:rFonts w:eastAsia="SimSun"/>
          <w:b/>
          <w:color w:val="000000"/>
          <w:lang w:val="es-CU" w:eastAsia="zh-CN"/>
        </w:rPr>
      </w:pPr>
    </w:p>
    <w:p w14:paraId="30A6322E" w14:textId="77777777" w:rsidR="00590BD0" w:rsidRPr="00590BD0" w:rsidRDefault="00590BD0" w:rsidP="00590BD0">
      <w:pPr>
        <w:widowControl w:val="0"/>
        <w:suppressAutoHyphens/>
        <w:spacing w:line="360" w:lineRule="auto"/>
        <w:jc w:val="center"/>
        <w:rPr>
          <w:rFonts w:eastAsia="SimSun"/>
          <w:sz w:val="22"/>
          <w:szCs w:val="22"/>
          <w:lang w:val="es-CU" w:eastAsia="zh-CN"/>
        </w:rPr>
      </w:pPr>
      <w:r w:rsidRPr="00590BD0">
        <w:rPr>
          <w:rFonts w:eastAsia="SimSun"/>
          <w:b/>
          <w:color w:val="000000"/>
          <w:sz w:val="22"/>
          <w:szCs w:val="22"/>
          <w:lang w:val="es-ES" w:eastAsia="zh-CN"/>
        </w:rPr>
        <w:t>Tabla 1 -</w:t>
      </w:r>
      <w:r w:rsidRPr="00590BD0">
        <w:rPr>
          <w:rFonts w:eastAsia="SimSun"/>
          <w:color w:val="000000"/>
          <w:sz w:val="22"/>
          <w:szCs w:val="22"/>
          <w:lang w:val="es-ES" w:eastAsia="zh-CN"/>
        </w:rPr>
        <w:t xml:space="preserve"> Características demográficas de los pacientes en riesgo con la COVID-19, según la evolución</w:t>
      </w:r>
    </w:p>
    <w:p w14:paraId="72DFD66A" w14:textId="02AAA2D1" w:rsidR="00590BD0" w:rsidRPr="00590BD0" w:rsidRDefault="00590BD0" w:rsidP="00590BD0">
      <w:pPr>
        <w:widowControl w:val="0"/>
        <w:suppressAutoHyphens/>
        <w:spacing w:line="360" w:lineRule="auto"/>
        <w:jc w:val="center"/>
        <w:rPr>
          <w:rFonts w:eastAsia="SimSun"/>
          <w:lang w:val="en-US" w:eastAsia="zh-CN"/>
        </w:rPr>
      </w:pPr>
      <w:r w:rsidRPr="00590BD0">
        <w:rPr>
          <w:rFonts w:eastAsia="SimSun"/>
          <w:noProof/>
          <w:lang w:val="en-US" w:eastAsia="zh-CN"/>
        </w:rPr>
        <w:drawing>
          <wp:inline distT="0" distB="0" distL="0" distR="0" wp14:anchorId="21055EFE" wp14:editId="209B58CE">
            <wp:extent cx="3876675" cy="1866900"/>
            <wp:effectExtent l="0" t="0" r="0" b="0"/>
            <wp:docPr id="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76675" cy="1866900"/>
                    </a:xfrm>
                    <a:prstGeom prst="rect">
                      <a:avLst/>
                    </a:prstGeom>
                    <a:noFill/>
                    <a:ln>
                      <a:noFill/>
                    </a:ln>
                  </pic:spPr>
                </pic:pic>
              </a:graphicData>
            </a:graphic>
          </wp:inline>
        </w:drawing>
      </w:r>
    </w:p>
    <w:p w14:paraId="10319A32" w14:textId="77777777" w:rsidR="00590BD0" w:rsidRPr="00590BD0" w:rsidRDefault="00590BD0" w:rsidP="00590BD0">
      <w:pPr>
        <w:widowControl w:val="0"/>
        <w:suppressAutoHyphens/>
        <w:spacing w:line="360" w:lineRule="auto"/>
        <w:jc w:val="both"/>
        <w:rPr>
          <w:rFonts w:eastAsia="SimSun"/>
          <w:lang w:val="en-US" w:eastAsia="zh-CN"/>
        </w:rPr>
      </w:pPr>
    </w:p>
    <w:p w14:paraId="59F5230A"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CU" w:eastAsia="zh-CN"/>
        </w:rPr>
        <w:t>En la tabla 2 se muestran los valores medios obtenidos para cada una de las enzimas hepáticas, al inicio y al quinto día del estudio, ajustadas según la evolución hacia gravedad o no de los pacientes.</w:t>
      </w:r>
    </w:p>
    <w:p w14:paraId="2C4E1D49" w14:textId="77777777" w:rsidR="00590BD0" w:rsidRPr="00590BD0" w:rsidRDefault="00590BD0" w:rsidP="00590BD0">
      <w:pPr>
        <w:widowControl w:val="0"/>
        <w:suppressAutoHyphens/>
        <w:spacing w:line="360" w:lineRule="auto"/>
        <w:jc w:val="both"/>
        <w:rPr>
          <w:rFonts w:eastAsia="SimSun"/>
          <w:lang w:val="es-CU" w:eastAsia="zh-CN"/>
        </w:rPr>
      </w:pPr>
    </w:p>
    <w:p w14:paraId="7EDAB96A" w14:textId="77777777" w:rsidR="000C2E1B" w:rsidRDefault="000C2E1B">
      <w:pPr>
        <w:rPr>
          <w:rFonts w:eastAsia="Calibri"/>
          <w:b/>
          <w:sz w:val="22"/>
          <w:szCs w:val="22"/>
          <w:lang w:val="es-ES" w:eastAsia="en-US"/>
        </w:rPr>
      </w:pPr>
      <w:r>
        <w:rPr>
          <w:rFonts w:eastAsia="Calibri"/>
          <w:b/>
          <w:sz w:val="22"/>
          <w:szCs w:val="22"/>
          <w:lang w:val="es-ES" w:eastAsia="en-US"/>
        </w:rPr>
        <w:br w:type="page"/>
      </w:r>
    </w:p>
    <w:p w14:paraId="4BC64D84" w14:textId="35545201" w:rsidR="00590BD0" w:rsidRPr="00590BD0" w:rsidRDefault="00590BD0" w:rsidP="00590BD0">
      <w:pPr>
        <w:suppressAutoHyphens/>
        <w:spacing w:line="360" w:lineRule="auto"/>
        <w:jc w:val="center"/>
        <w:rPr>
          <w:rFonts w:eastAsia="SimSun"/>
          <w:sz w:val="22"/>
          <w:szCs w:val="22"/>
          <w:lang w:val="es-CU" w:eastAsia="zh-CN"/>
        </w:rPr>
      </w:pPr>
      <w:r w:rsidRPr="00590BD0">
        <w:rPr>
          <w:rFonts w:eastAsia="Calibri"/>
          <w:b/>
          <w:sz w:val="22"/>
          <w:szCs w:val="22"/>
          <w:lang w:val="es-ES" w:eastAsia="en-US"/>
        </w:rPr>
        <w:lastRenderedPageBreak/>
        <w:t>Tabla 2 -</w:t>
      </w:r>
      <w:r w:rsidRPr="00590BD0">
        <w:rPr>
          <w:rFonts w:eastAsia="Calibri"/>
          <w:sz w:val="22"/>
          <w:szCs w:val="22"/>
          <w:lang w:val="es-ES" w:eastAsia="en-US"/>
        </w:rPr>
        <w:t xml:space="preserve"> Valores medios de las enzimas hepáticas al inicio y al quinto día del estudio del estudio según evolución de los pacientes</w:t>
      </w:r>
    </w:p>
    <w:p w14:paraId="11988C2F" w14:textId="01B9D561" w:rsidR="00590BD0" w:rsidRPr="00590BD0" w:rsidRDefault="00590BD0" w:rsidP="00590BD0">
      <w:pPr>
        <w:suppressAutoHyphens/>
        <w:spacing w:line="360" w:lineRule="auto"/>
        <w:jc w:val="center"/>
        <w:rPr>
          <w:rFonts w:eastAsia="Calibri"/>
          <w:lang w:val="es-ES" w:eastAsia="en-US"/>
        </w:rPr>
      </w:pPr>
      <w:r w:rsidRPr="00590BD0">
        <w:rPr>
          <w:rFonts w:eastAsia="Calibri"/>
          <w:noProof/>
          <w:lang w:val="es-ES" w:eastAsia="en-US"/>
        </w:rPr>
        <w:drawing>
          <wp:inline distT="0" distB="0" distL="0" distR="0" wp14:anchorId="5B8925A5" wp14:editId="0B9F84E4">
            <wp:extent cx="4895850" cy="3305175"/>
            <wp:effectExtent l="0" t="0" r="0" b="0"/>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5850" cy="3305175"/>
                    </a:xfrm>
                    <a:prstGeom prst="rect">
                      <a:avLst/>
                    </a:prstGeom>
                    <a:noFill/>
                    <a:ln>
                      <a:noFill/>
                    </a:ln>
                  </pic:spPr>
                </pic:pic>
              </a:graphicData>
            </a:graphic>
          </wp:inline>
        </w:drawing>
      </w:r>
    </w:p>
    <w:p w14:paraId="2446A8A3" w14:textId="77777777" w:rsidR="00590BD0" w:rsidRPr="00590BD0" w:rsidRDefault="00590BD0" w:rsidP="00590BD0">
      <w:pPr>
        <w:suppressAutoHyphens/>
        <w:spacing w:line="360" w:lineRule="auto"/>
        <w:rPr>
          <w:rFonts w:eastAsia="Calibri"/>
          <w:lang w:val="es-ES" w:eastAsia="en-US"/>
        </w:rPr>
      </w:pPr>
    </w:p>
    <w:p w14:paraId="45C04C95" w14:textId="77777777" w:rsidR="00590BD0" w:rsidRPr="00590BD0" w:rsidRDefault="00590BD0" w:rsidP="00590BD0">
      <w:pPr>
        <w:suppressAutoHyphens/>
        <w:spacing w:line="360" w:lineRule="auto"/>
        <w:jc w:val="both"/>
        <w:rPr>
          <w:rFonts w:eastAsia="SimSun"/>
          <w:lang w:val="es-CU" w:eastAsia="zh-CN"/>
        </w:rPr>
      </w:pPr>
      <w:r w:rsidRPr="00590BD0">
        <w:rPr>
          <w:rFonts w:eastAsia="Calibri"/>
          <w:lang w:val="es-ES" w:eastAsia="en-US"/>
        </w:rPr>
        <w:t xml:space="preserve">En todas las enzimas se observó incremento de la media al quinto día del estudio, independiente de su evolución. La diferencia fue significativa para ALT y AST. </w:t>
      </w:r>
    </w:p>
    <w:p w14:paraId="7D46C206"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Calibri"/>
          <w:lang w:val="es-ES" w:eastAsia="en-US"/>
        </w:rPr>
        <w:t>Al contrastar</w:t>
      </w:r>
      <w:r w:rsidRPr="00590BD0">
        <w:rPr>
          <w:rFonts w:eastAsia="SimSun"/>
          <w:lang w:val="es-CU" w:eastAsia="zh-CN"/>
        </w:rPr>
        <w:t xml:space="preserve"> el valor medio de la GGT y la LDH, con los límites de referencia del método utilizado, sus valores quedaron por encima, independientemente de la evolución del enfermo. </w:t>
      </w:r>
      <w:r w:rsidRPr="00590BD0">
        <w:rPr>
          <w:rFonts w:eastAsia="Calibri"/>
          <w:lang w:val="es-ES" w:eastAsia="en-US"/>
        </w:rPr>
        <w:t>Sin embargo, la ALP se mantuvo dentro de los límites de referencia.</w:t>
      </w:r>
    </w:p>
    <w:p w14:paraId="1E8E4E7A" w14:textId="77777777" w:rsidR="00590BD0" w:rsidRPr="00590BD0" w:rsidRDefault="00590BD0" w:rsidP="00590BD0">
      <w:pPr>
        <w:suppressAutoHyphens/>
        <w:spacing w:line="360" w:lineRule="auto"/>
        <w:jc w:val="both"/>
        <w:rPr>
          <w:rFonts w:eastAsia="SimSun"/>
          <w:lang w:val="es-CU" w:eastAsia="zh-CN"/>
        </w:rPr>
      </w:pPr>
      <w:r w:rsidRPr="00590BD0">
        <w:rPr>
          <w:rFonts w:eastAsia="Calibri"/>
          <w:lang w:val="es-CU" w:eastAsia="en-US"/>
        </w:rPr>
        <w:t xml:space="preserve">Se </w:t>
      </w:r>
      <w:r w:rsidRPr="00590BD0">
        <w:rPr>
          <w:rFonts w:eastAsia="Calibri"/>
          <w:lang w:val="es-ES" w:eastAsia="en-US"/>
        </w:rPr>
        <w:t>observaron medias superiores para las determinaciones desde el primer día en los pacientes que evolucionaron a la condición de graves, al compararlos con los que no. Sin embargo, al quinto día, las medias de ALT, la AST, la GGT y la LDH estuvieron por encima de los valores de referencia utilizados.</w:t>
      </w:r>
    </w:p>
    <w:p w14:paraId="5465602E" w14:textId="77777777" w:rsidR="00590BD0" w:rsidRPr="00590BD0" w:rsidRDefault="00590BD0" w:rsidP="00590BD0">
      <w:pPr>
        <w:suppressAutoHyphens/>
        <w:spacing w:line="360" w:lineRule="auto"/>
        <w:jc w:val="both"/>
        <w:rPr>
          <w:rFonts w:eastAsia="SimSun"/>
          <w:lang w:val="es-CU" w:eastAsia="zh-CN"/>
        </w:rPr>
      </w:pPr>
      <w:r w:rsidRPr="00590BD0">
        <w:rPr>
          <w:rFonts w:eastAsia="Calibri"/>
          <w:lang w:val="es-ES" w:eastAsia="en-US"/>
        </w:rPr>
        <w:t xml:space="preserve">Las alteraciones </w:t>
      </w:r>
      <w:r w:rsidRPr="00590BD0">
        <w:rPr>
          <w:rFonts w:eastAsia="SimSun"/>
          <w:lang w:val="es-CU" w:eastAsia="zh-CN"/>
        </w:rPr>
        <w:t>de las enzimas hepáticas se muestran en la tabla 3</w:t>
      </w:r>
      <w:r w:rsidRPr="00590BD0">
        <w:rPr>
          <w:rFonts w:eastAsia="Calibri"/>
          <w:lang w:val="es-ES" w:eastAsia="en-US"/>
        </w:rPr>
        <w:t>.</w:t>
      </w:r>
    </w:p>
    <w:p w14:paraId="5027B7F3" w14:textId="77777777" w:rsidR="00590BD0" w:rsidRPr="00590BD0" w:rsidRDefault="00590BD0" w:rsidP="00590BD0">
      <w:pPr>
        <w:widowControl w:val="0"/>
        <w:suppressAutoHyphens/>
        <w:spacing w:line="360" w:lineRule="auto"/>
        <w:jc w:val="both"/>
        <w:rPr>
          <w:rFonts w:eastAsia="SimSun"/>
          <w:b/>
          <w:lang w:val="es-CU" w:eastAsia="zh-CN"/>
        </w:rPr>
      </w:pPr>
    </w:p>
    <w:p w14:paraId="5A150C58" w14:textId="77777777" w:rsidR="000C2E1B" w:rsidRDefault="000C2E1B">
      <w:pPr>
        <w:rPr>
          <w:rFonts w:eastAsia="SimSun"/>
          <w:b/>
          <w:sz w:val="22"/>
          <w:szCs w:val="22"/>
          <w:lang w:val="es-CU" w:eastAsia="zh-CN"/>
        </w:rPr>
      </w:pPr>
      <w:r>
        <w:rPr>
          <w:rFonts w:eastAsia="SimSun"/>
          <w:b/>
          <w:sz w:val="22"/>
          <w:szCs w:val="22"/>
          <w:lang w:val="es-CU" w:eastAsia="zh-CN"/>
        </w:rPr>
        <w:br w:type="page"/>
      </w:r>
    </w:p>
    <w:p w14:paraId="1EC8CD0E" w14:textId="28081B89" w:rsidR="00590BD0" w:rsidRPr="00590BD0" w:rsidRDefault="00590BD0" w:rsidP="00590BD0">
      <w:pPr>
        <w:widowControl w:val="0"/>
        <w:suppressAutoHyphens/>
        <w:spacing w:line="360" w:lineRule="auto"/>
        <w:jc w:val="center"/>
        <w:rPr>
          <w:rFonts w:eastAsia="SimSun"/>
          <w:sz w:val="22"/>
          <w:szCs w:val="22"/>
          <w:lang w:val="es-CU" w:eastAsia="zh-CN"/>
        </w:rPr>
      </w:pPr>
      <w:r w:rsidRPr="00590BD0">
        <w:rPr>
          <w:rFonts w:eastAsia="SimSun"/>
          <w:b/>
          <w:sz w:val="22"/>
          <w:szCs w:val="22"/>
          <w:lang w:val="es-CU" w:eastAsia="zh-CN"/>
        </w:rPr>
        <w:lastRenderedPageBreak/>
        <w:t>Tabla 3 -</w:t>
      </w:r>
      <w:r w:rsidRPr="00590BD0">
        <w:rPr>
          <w:rFonts w:eastAsia="SimSun"/>
          <w:sz w:val="22"/>
          <w:szCs w:val="22"/>
          <w:lang w:val="es-CU" w:eastAsia="zh-CN"/>
        </w:rPr>
        <w:t xml:space="preserve"> Alteraciones en los valores de las enzimas hepáticas al inicio y al quinto día del estudio, según evolución de los pacientes</w:t>
      </w:r>
    </w:p>
    <w:p w14:paraId="186F5B85" w14:textId="718D0606" w:rsidR="00590BD0" w:rsidRPr="00590BD0" w:rsidRDefault="00590BD0" w:rsidP="00590BD0">
      <w:pPr>
        <w:widowControl w:val="0"/>
        <w:suppressAutoHyphens/>
        <w:spacing w:line="360" w:lineRule="auto"/>
        <w:jc w:val="center"/>
        <w:rPr>
          <w:rFonts w:eastAsia="SimSun"/>
          <w:lang w:val="en-US" w:eastAsia="zh-CN"/>
        </w:rPr>
      </w:pPr>
      <w:r w:rsidRPr="00590BD0">
        <w:rPr>
          <w:rFonts w:eastAsia="SimSun"/>
          <w:noProof/>
          <w:lang w:val="en-US" w:eastAsia="zh-CN"/>
        </w:rPr>
        <w:drawing>
          <wp:inline distT="0" distB="0" distL="0" distR="0" wp14:anchorId="7D1AEFD3" wp14:editId="3BDEE892">
            <wp:extent cx="3990975" cy="3676650"/>
            <wp:effectExtent l="0" t="0" r="0" b="0"/>
            <wp:docPr id="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0975" cy="3676650"/>
                    </a:xfrm>
                    <a:prstGeom prst="rect">
                      <a:avLst/>
                    </a:prstGeom>
                    <a:noFill/>
                    <a:ln>
                      <a:noFill/>
                    </a:ln>
                  </pic:spPr>
                </pic:pic>
              </a:graphicData>
            </a:graphic>
          </wp:inline>
        </w:drawing>
      </w:r>
    </w:p>
    <w:p w14:paraId="0316B119" w14:textId="77777777" w:rsidR="00590BD0" w:rsidRPr="00590BD0" w:rsidRDefault="00590BD0" w:rsidP="00590BD0">
      <w:pPr>
        <w:widowControl w:val="0"/>
        <w:suppressAutoHyphens/>
        <w:spacing w:line="360" w:lineRule="auto"/>
        <w:jc w:val="both"/>
        <w:rPr>
          <w:rFonts w:eastAsia="SimSun"/>
          <w:lang w:val="en-US" w:eastAsia="zh-CN"/>
        </w:rPr>
      </w:pPr>
    </w:p>
    <w:p w14:paraId="1894ACE7"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CU" w:eastAsia="zh-CN"/>
        </w:rPr>
        <w:t>En el primer día, los pacientes que no evolucionaron a la gravedad tenían ALT, AST y ALP en valores normales, no así la GGT, que el 82,9 % se encontraba alterada y la LDH en el 52,4 %. Fue similar en quienes agravaron en algún momento de su enfermedad, con la particularidad que el por ciento de valores altos en la ALT (19,1 %), la AST (33,3 %), la GGT (95,2 %) y la LDH (85,7 %) fue superior a los que no.</w:t>
      </w:r>
    </w:p>
    <w:p w14:paraId="1AB9E2D4"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CU" w:eastAsia="zh-CN"/>
        </w:rPr>
        <w:t>La ALP no tuvo modificaciones en ninguno de los casos, estuvo por lo general en cifras normales. Por el contrario, la GGT tuvo en su mayoría valores altos. La LDH mostró cifras altas con mayor frecuencia en todo momento del estudio, independientemente de la evolución del paciente; desde el inicio, los enfermos que agravaron tenían en un 85,7 % alta de esta enzima, al igual que al quinto día.</w:t>
      </w:r>
    </w:p>
    <w:p w14:paraId="683F9F60" w14:textId="77777777" w:rsidR="00590BD0" w:rsidRPr="00590BD0" w:rsidRDefault="00590BD0" w:rsidP="00590BD0">
      <w:pPr>
        <w:suppressAutoHyphens/>
        <w:spacing w:line="360" w:lineRule="auto"/>
        <w:jc w:val="both"/>
        <w:rPr>
          <w:rFonts w:eastAsia="Calibri"/>
          <w:lang w:val="es-ES" w:eastAsia="en-US"/>
        </w:rPr>
      </w:pPr>
      <w:r w:rsidRPr="00590BD0">
        <w:rPr>
          <w:rFonts w:eastAsia="Calibri"/>
          <w:lang w:val="es-ES" w:eastAsia="en-US"/>
        </w:rPr>
        <w:t xml:space="preserve">La relación AST/ALT (índice de </w:t>
      </w:r>
      <w:proofErr w:type="spellStart"/>
      <w:r w:rsidRPr="00590BD0">
        <w:rPr>
          <w:rFonts w:eastAsia="Calibri"/>
          <w:lang w:val="es-ES" w:eastAsia="en-US"/>
        </w:rPr>
        <w:t>Ritis</w:t>
      </w:r>
      <w:proofErr w:type="spellEnd"/>
      <w:r w:rsidRPr="00590BD0">
        <w:rPr>
          <w:rFonts w:eastAsia="Calibri"/>
          <w:lang w:val="es-ES" w:eastAsia="en-US"/>
        </w:rPr>
        <w:t xml:space="preserve">) se muestra en la figura 1. </w:t>
      </w:r>
    </w:p>
    <w:p w14:paraId="6BD22733" w14:textId="77777777" w:rsidR="00590BD0" w:rsidRPr="00590BD0" w:rsidRDefault="00590BD0" w:rsidP="00590BD0">
      <w:pPr>
        <w:suppressAutoHyphens/>
        <w:spacing w:line="360" w:lineRule="auto"/>
        <w:jc w:val="both"/>
        <w:rPr>
          <w:rFonts w:eastAsia="Calibri"/>
          <w:lang w:val="es-ES" w:eastAsia="en-US"/>
        </w:rPr>
      </w:pPr>
    </w:p>
    <w:p w14:paraId="7836BCFF" w14:textId="4ADD6C95" w:rsidR="00590BD0" w:rsidRPr="00590BD0" w:rsidRDefault="000C2E1B" w:rsidP="00590BD0">
      <w:pPr>
        <w:suppressAutoHyphens/>
        <w:spacing w:line="360" w:lineRule="auto"/>
        <w:jc w:val="center"/>
        <w:rPr>
          <w:rFonts w:eastAsia="SimSun"/>
          <w:lang w:val="en-US" w:eastAsia="zh-CN"/>
        </w:rPr>
      </w:pPr>
      <w:r>
        <w:rPr>
          <w:rFonts w:eastAsia="SimSun"/>
          <w:noProof/>
          <w:lang w:val="en-US" w:eastAsia="zh-CN"/>
        </w:rPr>
        <w:lastRenderedPageBreak/>
        <w:drawing>
          <wp:inline distT="0" distB="0" distL="0" distR="0" wp14:anchorId="2B9B7356" wp14:editId="2EAB36CB">
            <wp:extent cx="5305425" cy="3543300"/>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3">
                      <a:extLst>
                        <a:ext uri="{28A0092B-C50C-407E-A947-70E740481C1C}">
                          <a14:useLocalDpi xmlns:a14="http://schemas.microsoft.com/office/drawing/2010/main" val="0"/>
                        </a:ext>
                      </a:extLst>
                    </a:blip>
                    <a:stretch>
                      <a:fillRect/>
                    </a:stretch>
                  </pic:blipFill>
                  <pic:spPr>
                    <a:xfrm>
                      <a:off x="0" y="0"/>
                      <a:ext cx="5305425" cy="3543300"/>
                    </a:xfrm>
                    <a:prstGeom prst="rect">
                      <a:avLst/>
                    </a:prstGeom>
                  </pic:spPr>
                </pic:pic>
              </a:graphicData>
            </a:graphic>
          </wp:inline>
        </w:drawing>
      </w:r>
    </w:p>
    <w:p w14:paraId="66FD6B03" w14:textId="77777777" w:rsidR="00590BD0" w:rsidRPr="00590BD0" w:rsidRDefault="00590BD0" w:rsidP="00590BD0">
      <w:pPr>
        <w:suppressAutoHyphens/>
        <w:spacing w:line="360" w:lineRule="auto"/>
        <w:jc w:val="center"/>
        <w:rPr>
          <w:rFonts w:eastAsia="Calibri"/>
          <w:sz w:val="22"/>
          <w:szCs w:val="22"/>
          <w:lang w:val="es-ES" w:eastAsia="en-US"/>
        </w:rPr>
      </w:pPr>
      <w:r w:rsidRPr="00590BD0">
        <w:rPr>
          <w:rFonts w:eastAsia="Calibri"/>
          <w:b/>
          <w:sz w:val="22"/>
          <w:szCs w:val="22"/>
          <w:lang w:val="es-ES" w:eastAsia="en-US"/>
        </w:rPr>
        <w:t>Fig. 1 -</w:t>
      </w:r>
      <w:r w:rsidRPr="00590BD0">
        <w:rPr>
          <w:rFonts w:eastAsia="Calibri"/>
          <w:sz w:val="22"/>
          <w:szCs w:val="22"/>
          <w:lang w:val="es-ES" w:eastAsia="en-US"/>
        </w:rPr>
        <w:t xml:space="preserve"> Índice de </w:t>
      </w:r>
      <w:proofErr w:type="spellStart"/>
      <w:r w:rsidRPr="00590BD0">
        <w:rPr>
          <w:rFonts w:eastAsia="Calibri"/>
          <w:sz w:val="22"/>
          <w:szCs w:val="22"/>
          <w:lang w:val="es-ES" w:eastAsia="en-US"/>
        </w:rPr>
        <w:t>Ritis</w:t>
      </w:r>
      <w:proofErr w:type="spellEnd"/>
      <w:r w:rsidRPr="00590BD0">
        <w:rPr>
          <w:rFonts w:eastAsia="Calibri"/>
          <w:sz w:val="22"/>
          <w:szCs w:val="22"/>
          <w:lang w:val="es-ES" w:eastAsia="en-US"/>
        </w:rPr>
        <w:t xml:space="preserve"> al inicio y al quinto día del estudio, según la evolución hacia la gravedad. </w:t>
      </w:r>
      <w:r w:rsidRPr="00590BD0">
        <w:rPr>
          <w:rFonts w:eastAsia="Calibri"/>
          <w:sz w:val="22"/>
          <w:szCs w:val="22"/>
          <w:lang w:val="es-ES" w:eastAsia="en-US"/>
        </w:rPr>
        <w:t>En el eje vertical, los pacientes distribuidos según su evolución y en el horizontal, el por ciento de cada uno</w:t>
      </w:r>
      <w:r w:rsidRPr="00590BD0">
        <w:rPr>
          <w:rFonts w:eastAsia="Calibri"/>
          <w:sz w:val="22"/>
          <w:szCs w:val="22"/>
          <w:lang w:val="es-ES" w:eastAsia="en-US"/>
        </w:rPr>
        <w:t>.</w:t>
      </w:r>
    </w:p>
    <w:p w14:paraId="22FF2CFB" w14:textId="77777777" w:rsidR="00590BD0" w:rsidRPr="00590BD0" w:rsidRDefault="00590BD0" w:rsidP="00590BD0">
      <w:pPr>
        <w:suppressAutoHyphens/>
        <w:spacing w:line="360" w:lineRule="auto"/>
        <w:jc w:val="center"/>
        <w:rPr>
          <w:rFonts w:eastAsia="Calibri"/>
          <w:lang w:val="es-ES" w:eastAsia="en-US"/>
        </w:rPr>
      </w:pPr>
    </w:p>
    <w:p w14:paraId="326D5953" w14:textId="77777777" w:rsidR="00590BD0" w:rsidRPr="00590BD0" w:rsidRDefault="00590BD0" w:rsidP="00590BD0">
      <w:pPr>
        <w:suppressAutoHyphens/>
        <w:spacing w:line="360" w:lineRule="auto"/>
        <w:jc w:val="both"/>
        <w:rPr>
          <w:rFonts w:eastAsia="SimSun"/>
          <w:lang w:val="es-CU" w:eastAsia="zh-CN"/>
        </w:rPr>
      </w:pPr>
      <w:r w:rsidRPr="00590BD0">
        <w:rPr>
          <w:rFonts w:eastAsia="Calibri"/>
          <w:lang w:val="es-ES" w:eastAsia="en-US"/>
        </w:rPr>
        <w:t xml:space="preserve">En la figura 1 se observa que el 34,3 % de los pacientes que no agravaron y el 38,1 % de los que sí, tenían un índice de </w:t>
      </w:r>
      <w:proofErr w:type="spellStart"/>
      <w:r w:rsidRPr="00590BD0">
        <w:rPr>
          <w:rFonts w:eastAsia="Calibri"/>
          <w:lang w:val="es-ES" w:eastAsia="en-US"/>
        </w:rPr>
        <w:t>Ritis</w:t>
      </w:r>
      <w:proofErr w:type="spellEnd"/>
      <w:r w:rsidRPr="00590BD0">
        <w:rPr>
          <w:rFonts w:eastAsia="Calibri"/>
          <w:lang w:val="es-ES" w:eastAsia="en-US"/>
        </w:rPr>
        <w:t xml:space="preserve"> &gt; 1; por tanto, tenían más alta la AST con relación a la ALT desde el primer día. </w:t>
      </w:r>
    </w:p>
    <w:p w14:paraId="28088B36" w14:textId="77777777" w:rsidR="00590BD0" w:rsidRPr="00590BD0" w:rsidRDefault="00590BD0" w:rsidP="00590BD0">
      <w:pPr>
        <w:suppressAutoHyphens/>
        <w:spacing w:line="360" w:lineRule="auto"/>
        <w:jc w:val="both"/>
        <w:rPr>
          <w:rFonts w:eastAsia="SimSun"/>
          <w:lang w:val="es-CU" w:eastAsia="zh-CN"/>
        </w:rPr>
      </w:pPr>
      <w:r w:rsidRPr="00590BD0">
        <w:rPr>
          <w:rFonts w:eastAsia="Calibri"/>
          <w:lang w:val="es-ES" w:eastAsia="en-US"/>
        </w:rPr>
        <w:t xml:space="preserve">Al quinto día fueron más frecuentes (77,1 %) los enfermos con un índice de </w:t>
      </w:r>
      <w:proofErr w:type="spellStart"/>
      <w:r w:rsidRPr="00590BD0">
        <w:rPr>
          <w:rFonts w:eastAsia="Calibri"/>
          <w:lang w:val="es-ES" w:eastAsia="en-US"/>
        </w:rPr>
        <w:t>Ritis</w:t>
      </w:r>
      <w:proofErr w:type="spellEnd"/>
      <w:r w:rsidRPr="00590BD0">
        <w:rPr>
          <w:rFonts w:eastAsia="Calibri"/>
          <w:lang w:val="es-ES" w:eastAsia="en-US"/>
        </w:rPr>
        <w:t xml:space="preserve"> ≤ 1 en los pacientes que no evolucionaron a la gravedad. Este por ciento fue superior al alcanzado el primer día que traduce un aumento de la ALT con respecto a la AST. Estas diferencias no fueron estadísticamente significativas (p= 0,773).</w:t>
      </w:r>
    </w:p>
    <w:p w14:paraId="6AD16A16" w14:textId="77777777" w:rsidR="00590BD0" w:rsidRPr="00590BD0" w:rsidRDefault="00590BD0" w:rsidP="00590BD0">
      <w:pPr>
        <w:suppressAutoHyphens/>
        <w:spacing w:line="360" w:lineRule="auto"/>
        <w:jc w:val="both"/>
        <w:rPr>
          <w:rFonts w:eastAsia="Calibri"/>
          <w:lang w:val="es-ES" w:eastAsia="en-US"/>
        </w:rPr>
      </w:pPr>
      <w:r w:rsidRPr="00590BD0">
        <w:rPr>
          <w:rFonts w:eastAsia="Calibri"/>
          <w:lang w:val="es-ES" w:eastAsia="en-US"/>
        </w:rPr>
        <w:t xml:space="preserve">El índice de </w:t>
      </w:r>
      <w:proofErr w:type="spellStart"/>
      <w:r w:rsidRPr="00590BD0">
        <w:rPr>
          <w:rFonts w:eastAsia="Calibri"/>
          <w:lang w:val="es-ES" w:eastAsia="en-US"/>
        </w:rPr>
        <w:t>Ritis</w:t>
      </w:r>
      <w:proofErr w:type="spellEnd"/>
      <w:r w:rsidRPr="00590BD0">
        <w:rPr>
          <w:rFonts w:eastAsia="Calibri"/>
          <w:lang w:val="es-ES" w:eastAsia="en-US"/>
        </w:rPr>
        <w:t xml:space="preserve"> &gt; 1 en los pacientes que la evolución fue hacia la gravedad, hubo una distribución similar en los enfermos no graves; pero al quinto día aumentó en 42,9 %, que corresponde con el aumento de la AST con relación a la ALT, sin diferencias estadísticamente significativas (p= 0,115).</w:t>
      </w:r>
    </w:p>
    <w:p w14:paraId="7EDFB52A" w14:textId="77777777" w:rsidR="00590BD0" w:rsidRPr="00590BD0" w:rsidRDefault="00590BD0" w:rsidP="00590BD0">
      <w:pPr>
        <w:widowControl w:val="0"/>
        <w:suppressAutoHyphens/>
        <w:spacing w:line="360" w:lineRule="auto"/>
        <w:jc w:val="both"/>
        <w:rPr>
          <w:rFonts w:eastAsia="SimSun"/>
          <w:lang w:val="es-ES" w:eastAsia="zh-CN"/>
        </w:rPr>
      </w:pPr>
      <w:r w:rsidRPr="00590BD0">
        <w:rPr>
          <w:rFonts w:eastAsia="SimSun"/>
          <w:lang w:val="es-ES" w:eastAsia="zh-CN"/>
        </w:rPr>
        <w:t xml:space="preserve">La inversión del índice de </w:t>
      </w:r>
      <w:proofErr w:type="spellStart"/>
      <w:r w:rsidRPr="00590BD0">
        <w:rPr>
          <w:rFonts w:eastAsia="SimSun"/>
          <w:lang w:val="es-ES" w:eastAsia="zh-CN"/>
        </w:rPr>
        <w:t>Ritis</w:t>
      </w:r>
      <w:proofErr w:type="spellEnd"/>
      <w:r w:rsidRPr="00590BD0">
        <w:rPr>
          <w:rFonts w:eastAsia="SimSun"/>
          <w:lang w:val="es-ES" w:eastAsia="zh-CN"/>
        </w:rPr>
        <w:t xml:space="preserve"> y la asociación con la evolución hacia la gravedad, se observó que los pacientes en su mayoría (68,6 % y 52,3 %) conservaron la relación AST/ALT. El 56,6 % de los enfermos </w:t>
      </w:r>
      <w:r w:rsidRPr="00590BD0">
        <w:rPr>
          <w:rFonts w:eastAsia="SimSun"/>
          <w:lang w:val="es-ES" w:eastAsia="zh-CN"/>
        </w:rPr>
        <w:lastRenderedPageBreak/>
        <w:t xml:space="preserve">que agravaron invirtieron el índice de </w:t>
      </w:r>
      <w:proofErr w:type="spellStart"/>
      <w:r w:rsidRPr="00590BD0">
        <w:rPr>
          <w:rFonts w:eastAsia="SimSun"/>
          <w:lang w:val="es-ES" w:eastAsia="zh-CN"/>
        </w:rPr>
        <w:t>Ritis</w:t>
      </w:r>
      <w:proofErr w:type="spellEnd"/>
      <w:r w:rsidRPr="00590BD0">
        <w:rPr>
          <w:rFonts w:eastAsia="SimSun"/>
          <w:lang w:val="es-ES" w:eastAsia="zh-CN"/>
        </w:rPr>
        <w:t xml:space="preserve"> del inicio de la enfermedad; solo en el 31,4 % de los casos no graves ocurrió esta modificación. Esta asociación no fue estadísticamente significativa (p= 0,338) (Fig. 2).</w:t>
      </w:r>
    </w:p>
    <w:p w14:paraId="6736111B" w14:textId="77777777" w:rsidR="00590BD0" w:rsidRPr="00590BD0" w:rsidRDefault="00590BD0" w:rsidP="00590BD0">
      <w:pPr>
        <w:widowControl w:val="0"/>
        <w:suppressAutoHyphens/>
        <w:spacing w:line="360" w:lineRule="auto"/>
        <w:jc w:val="both"/>
        <w:rPr>
          <w:rFonts w:eastAsia="SimSun"/>
          <w:lang w:val="es-ES" w:eastAsia="zh-CN"/>
        </w:rPr>
      </w:pPr>
    </w:p>
    <w:p w14:paraId="203B1499" w14:textId="6CBCA893" w:rsidR="00590BD0" w:rsidRPr="00590BD0" w:rsidRDefault="00590BD0" w:rsidP="00590BD0">
      <w:pPr>
        <w:widowControl w:val="0"/>
        <w:suppressAutoHyphens/>
        <w:spacing w:line="360" w:lineRule="auto"/>
        <w:jc w:val="center"/>
        <w:rPr>
          <w:rFonts w:eastAsia="SimSun"/>
          <w:lang w:val="es-ES" w:eastAsia="zh-CN"/>
        </w:rPr>
      </w:pPr>
      <w:r w:rsidRPr="00590BD0">
        <w:rPr>
          <w:rFonts w:eastAsia="SimSun"/>
          <w:noProof/>
          <w:lang w:val="es-ES" w:eastAsia="zh-CN"/>
        </w:rPr>
        <w:drawing>
          <wp:inline distT="0" distB="0" distL="0" distR="0" wp14:anchorId="335EF716" wp14:editId="1AC4033B">
            <wp:extent cx="4591050" cy="2847975"/>
            <wp:effectExtent l="0" t="0" r="0" b="0"/>
            <wp:docPr id="1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1050" cy="2847975"/>
                    </a:xfrm>
                    <a:prstGeom prst="rect">
                      <a:avLst/>
                    </a:prstGeom>
                    <a:noFill/>
                    <a:ln>
                      <a:noFill/>
                    </a:ln>
                  </pic:spPr>
                </pic:pic>
              </a:graphicData>
            </a:graphic>
          </wp:inline>
        </w:drawing>
      </w:r>
    </w:p>
    <w:p w14:paraId="1591F89E" w14:textId="77777777" w:rsidR="00590BD0" w:rsidRPr="00590BD0" w:rsidRDefault="00590BD0" w:rsidP="00590BD0">
      <w:pPr>
        <w:widowControl w:val="0"/>
        <w:suppressAutoHyphens/>
        <w:spacing w:line="360" w:lineRule="auto"/>
        <w:jc w:val="center"/>
        <w:rPr>
          <w:rFonts w:eastAsia="SimSun"/>
          <w:sz w:val="22"/>
          <w:szCs w:val="22"/>
          <w:lang w:val="es-ES" w:eastAsia="zh-CN"/>
        </w:rPr>
      </w:pPr>
      <w:r w:rsidRPr="00590BD0">
        <w:rPr>
          <w:rFonts w:eastAsia="SimSun"/>
          <w:b/>
          <w:sz w:val="22"/>
          <w:szCs w:val="22"/>
          <w:lang w:val="es-ES" w:eastAsia="zh-CN"/>
        </w:rPr>
        <w:t xml:space="preserve">Fig. 2 </w:t>
      </w:r>
      <w:r w:rsidRPr="00590BD0">
        <w:rPr>
          <w:rFonts w:eastAsia="SimSun"/>
          <w:sz w:val="22"/>
          <w:szCs w:val="22"/>
          <w:lang w:val="es-ES" w:eastAsia="zh-CN"/>
        </w:rPr>
        <w:t xml:space="preserve">- Inversión del índice de </w:t>
      </w:r>
      <w:proofErr w:type="spellStart"/>
      <w:r w:rsidRPr="00590BD0">
        <w:rPr>
          <w:rFonts w:eastAsia="SimSun"/>
          <w:sz w:val="22"/>
          <w:szCs w:val="22"/>
          <w:lang w:val="es-ES" w:eastAsia="zh-CN"/>
        </w:rPr>
        <w:t>Ritis</w:t>
      </w:r>
      <w:proofErr w:type="spellEnd"/>
      <w:r w:rsidRPr="00590BD0">
        <w:rPr>
          <w:rFonts w:eastAsia="SimSun"/>
          <w:sz w:val="22"/>
          <w:szCs w:val="22"/>
          <w:lang w:val="es-ES" w:eastAsia="zh-CN"/>
        </w:rPr>
        <w:t xml:space="preserve"> al quinto día del estudio, según la evolución hacia la gravedad.</w:t>
      </w:r>
    </w:p>
    <w:p w14:paraId="1BFB805F" w14:textId="77777777" w:rsidR="00590BD0" w:rsidRPr="00590BD0" w:rsidRDefault="00590BD0" w:rsidP="00590BD0">
      <w:pPr>
        <w:widowControl w:val="0"/>
        <w:suppressAutoHyphens/>
        <w:spacing w:line="360" w:lineRule="auto"/>
        <w:jc w:val="center"/>
        <w:rPr>
          <w:rFonts w:eastAsia="SimSun"/>
          <w:lang w:val="es-ES" w:eastAsia="zh-CN"/>
        </w:rPr>
      </w:pPr>
    </w:p>
    <w:p w14:paraId="1A786E1E" w14:textId="77777777" w:rsidR="00590BD0" w:rsidRPr="00590BD0" w:rsidRDefault="00590BD0" w:rsidP="00590BD0">
      <w:pPr>
        <w:widowControl w:val="0"/>
        <w:suppressAutoHyphens/>
        <w:spacing w:line="360" w:lineRule="auto"/>
        <w:jc w:val="center"/>
        <w:rPr>
          <w:rFonts w:eastAsia="SimSun"/>
          <w:b/>
          <w:sz w:val="32"/>
          <w:szCs w:val="32"/>
          <w:lang w:val="es-ES" w:eastAsia="zh-CN"/>
        </w:rPr>
      </w:pPr>
    </w:p>
    <w:p w14:paraId="192531D1" w14:textId="77777777" w:rsidR="00590BD0" w:rsidRPr="00590BD0" w:rsidRDefault="00590BD0" w:rsidP="00590BD0">
      <w:pPr>
        <w:widowControl w:val="0"/>
        <w:suppressAutoHyphens/>
        <w:spacing w:line="360" w:lineRule="auto"/>
        <w:jc w:val="center"/>
        <w:rPr>
          <w:rFonts w:eastAsia="SimSun"/>
          <w:b/>
          <w:sz w:val="32"/>
          <w:szCs w:val="32"/>
          <w:lang w:val="es-CU" w:eastAsia="zh-CN"/>
        </w:rPr>
      </w:pPr>
      <w:r w:rsidRPr="00590BD0">
        <w:rPr>
          <w:rFonts w:eastAsia="SimSun"/>
          <w:b/>
          <w:sz w:val="32"/>
          <w:szCs w:val="32"/>
          <w:lang w:val="es-ES" w:eastAsia="zh-CN"/>
        </w:rPr>
        <w:t>DISCUSIÓN</w:t>
      </w:r>
    </w:p>
    <w:p w14:paraId="42F4EC40"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CU" w:eastAsia="zh-CN"/>
        </w:rPr>
        <w:t>Tanto la edad avanzada como la comorbilidad influyen de forma negativa, en similar proporción, en la predisposición a desarrollar complicaciones graves de la enfermedad.</w:t>
      </w:r>
    </w:p>
    <w:p w14:paraId="49183E79"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CU" w:eastAsia="zh-CN"/>
        </w:rPr>
        <w:t xml:space="preserve">Para </w:t>
      </w:r>
      <w:r w:rsidRPr="00590BD0">
        <w:rPr>
          <w:rFonts w:eastAsia="SimSun"/>
          <w:i/>
          <w:lang w:val="es-CU" w:eastAsia="zh-CN"/>
        </w:rPr>
        <w:t xml:space="preserve">León </w:t>
      </w:r>
      <w:r w:rsidRPr="00590BD0">
        <w:rPr>
          <w:rFonts w:eastAsia="SimSun"/>
          <w:lang w:val="es-CU" w:eastAsia="zh-CN"/>
        </w:rPr>
        <w:t xml:space="preserve">y </w:t>
      </w:r>
      <w:proofErr w:type="gramStart"/>
      <w:r w:rsidRPr="00590BD0">
        <w:rPr>
          <w:rFonts w:eastAsia="SimSun"/>
          <w:lang w:val="es-CU" w:eastAsia="zh-CN"/>
        </w:rPr>
        <w:t>otros,</w:t>
      </w:r>
      <w:r w:rsidRPr="00590BD0">
        <w:rPr>
          <w:rFonts w:eastAsia="SimSun"/>
          <w:vertAlign w:val="superscript"/>
          <w:lang w:val="es-CU" w:eastAsia="zh-CN"/>
        </w:rPr>
        <w:t>(</w:t>
      </w:r>
      <w:proofErr w:type="gramEnd"/>
      <w:r w:rsidRPr="00590BD0">
        <w:rPr>
          <w:rFonts w:eastAsia="SimSun"/>
          <w:vertAlign w:val="superscript"/>
          <w:lang w:val="es-CU" w:eastAsia="zh-CN"/>
        </w:rPr>
        <w:t>9)</w:t>
      </w:r>
      <w:r w:rsidRPr="00590BD0">
        <w:rPr>
          <w:rFonts w:eastAsia="SimSun"/>
          <w:lang w:val="es-CU" w:eastAsia="zh-CN"/>
        </w:rPr>
        <w:t xml:space="preserve"> la edad avanzada y la asociación de varias comorbilidades se relacionan significativamente con un desenlace fatal en pacientes con la COVID-19 en Cuba. Otros </w:t>
      </w:r>
      <w:proofErr w:type="gramStart"/>
      <w:r w:rsidRPr="00590BD0">
        <w:rPr>
          <w:rFonts w:eastAsia="SimSun"/>
          <w:lang w:val="es-CU" w:eastAsia="zh-CN"/>
        </w:rPr>
        <w:t>autores</w:t>
      </w:r>
      <w:r w:rsidRPr="00590BD0">
        <w:rPr>
          <w:rFonts w:eastAsia="SimSun"/>
          <w:vertAlign w:val="superscript"/>
          <w:lang w:val="es-CU" w:eastAsia="zh-CN"/>
        </w:rPr>
        <w:t>(</w:t>
      </w:r>
      <w:proofErr w:type="gramEnd"/>
      <w:r w:rsidRPr="00590BD0">
        <w:rPr>
          <w:rFonts w:eastAsia="SimSun"/>
          <w:vertAlign w:val="superscript"/>
          <w:lang w:val="es-CU" w:eastAsia="zh-CN"/>
        </w:rPr>
        <w:t>10,11)</w:t>
      </w:r>
      <w:r w:rsidRPr="00590BD0">
        <w:rPr>
          <w:rFonts w:eastAsia="SimSun"/>
          <w:lang w:val="es-CU" w:eastAsia="zh-CN"/>
        </w:rPr>
        <w:t xml:space="preserve"> describen esta afirmación. También se demuestra mayor predisposición a agravar en hombres.</w:t>
      </w:r>
    </w:p>
    <w:p w14:paraId="42217F06"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CU" w:eastAsia="zh-CN"/>
        </w:rPr>
        <w:t xml:space="preserve">Existen </w:t>
      </w:r>
      <w:proofErr w:type="gramStart"/>
      <w:r w:rsidRPr="00590BD0">
        <w:rPr>
          <w:rFonts w:eastAsia="SimSun"/>
          <w:lang w:val="es-CU" w:eastAsia="zh-CN"/>
        </w:rPr>
        <w:t>reportes</w:t>
      </w:r>
      <w:r w:rsidRPr="00590BD0">
        <w:rPr>
          <w:rFonts w:eastAsia="SimSun"/>
          <w:vertAlign w:val="superscript"/>
          <w:lang w:val="es-CU" w:eastAsia="zh-CN"/>
        </w:rPr>
        <w:t>(</w:t>
      </w:r>
      <w:proofErr w:type="gramEnd"/>
      <w:r w:rsidRPr="00590BD0">
        <w:rPr>
          <w:rFonts w:eastAsia="SimSun"/>
          <w:vertAlign w:val="superscript"/>
          <w:lang w:val="es-CU" w:eastAsia="zh-CN"/>
        </w:rPr>
        <w:t>12)</w:t>
      </w:r>
      <w:r w:rsidRPr="00590BD0">
        <w:rPr>
          <w:rFonts w:eastAsia="SimSun"/>
          <w:lang w:val="es-CU" w:eastAsia="zh-CN"/>
        </w:rPr>
        <w:t xml:space="preserve"> de daño hepático asociado con sepsis secundaria a la COVID-19, así como una descripción del uso de fármacos </w:t>
      </w:r>
      <w:proofErr w:type="spellStart"/>
      <w:r w:rsidRPr="00590BD0">
        <w:rPr>
          <w:rFonts w:eastAsia="SimSun"/>
          <w:lang w:val="es-CU" w:eastAsia="zh-CN"/>
        </w:rPr>
        <w:t>hepatotoxicos</w:t>
      </w:r>
      <w:proofErr w:type="spellEnd"/>
      <w:r w:rsidRPr="00590BD0">
        <w:rPr>
          <w:rFonts w:eastAsia="SimSun"/>
          <w:lang w:val="es-CU" w:eastAsia="zh-CN"/>
        </w:rPr>
        <w:t xml:space="preserve"> en el tratamiento sintomático de esta enfermedad y sus complicaciones, sin embargo, la patogenia del SARS-CoV-2 considera la afectación de varios órganos, </w:t>
      </w:r>
      <w:r w:rsidRPr="00590BD0">
        <w:rPr>
          <w:rFonts w:eastAsia="SimSun"/>
          <w:lang w:val="es-CU" w:eastAsia="zh-CN"/>
        </w:rPr>
        <w:lastRenderedPageBreak/>
        <w:t>entre ellos el hígado.</w:t>
      </w:r>
    </w:p>
    <w:p w14:paraId="1A12E592"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CU" w:eastAsia="zh-CN"/>
        </w:rPr>
        <w:t xml:space="preserve">En la presente investigación se recogen evidencias de las enzimas hepáticas implicadas en el daño por la COVID-19. Según </w:t>
      </w:r>
      <w:proofErr w:type="spellStart"/>
      <w:r w:rsidRPr="00590BD0">
        <w:rPr>
          <w:rFonts w:eastAsia="SimSun"/>
          <w:i/>
          <w:lang w:val="es-CU" w:eastAsia="zh-CN"/>
        </w:rPr>
        <w:t>Sun</w:t>
      </w:r>
      <w:proofErr w:type="spellEnd"/>
      <w:r w:rsidRPr="00590BD0">
        <w:rPr>
          <w:rFonts w:eastAsia="SimSun"/>
          <w:i/>
          <w:lang w:val="es-CU" w:eastAsia="zh-CN"/>
        </w:rPr>
        <w:t xml:space="preserve"> </w:t>
      </w:r>
      <w:r w:rsidRPr="00590BD0">
        <w:rPr>
          <w:rFonts w:eastAsia="SimSun"/>
          <w:lang w:val="es-CU" w:eastAsia="zh-CN"/>
        </w:rPr>
        <w:t xml:space="preserve">y </w:t>
      </w:r>
      <w:proofErr w:type="gramStart"/>
      <w:r w:rsidRPr="00590BD0">
        <w:rPr>
          <w:rFonts w:eastAsia="SimSun"/>
          <w:lang w:val="es-CU" w:eastAsia="zh-CN"/>
        </w:rPr>
        <w:t>otros</w:t>
      </w:r>
      <w:r w:rsidRPr="00590BD0">
        <w:rPr>
          <w:rFonts w:eastAsia="SimSun"/>
          <w:vertAlign w:val="superscript"/>
          <w:lang w:val="es-CU" w:eastAsia="zh-CN"/>
        </w:rPr>
        <w:t>(</w:t>
      </w:r>
      <w:proofErr w:type="gramEnd"/>
      <w:r w:rsidRPr="00590BD0">
        <w:rPr>
          <w:rFonts w:eastAsia="SimSun"/>
          <w:vertAlign w:val="superscript"/>
          <w:lang w:val="es-CU" w:eastAsia="zh-CN"/>
        </w:rPr>
        <w:t>10)</w:t>
      </w:r>
      <w:r w:rsidRPr="00590BD0">
        <w:rPr>
          <w:rFonts w:eastAsia="SimSun"/>
          <w:lang w:val="es-CU" w:eastAsia="zh-CN"/>
        </w:rPr>
        <w:t xml:space="preserve"> la incidencia de enzimas hepáticas séricas elevadas, en pacientes hospitalizados, es observado con más frecuencia en los hombres y en los pacientes graves.</w:t>
      </w:r>
    </w:p>
    <w:p w14:paraId="61FDC417"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i/>
          <w:lang w:val="es-CU" w:eastAsia="zh-CN"/>
        </w:rPr>
        <w:t xml:space="preserve">Kumar </w:t>
      </w:r>
      <w:r w:rsidRPr="00590BD0">
        <w:rPr>
          <w:rFonts w:eastAsia="SimSun"/>
          <w:lang w:val="es-CU" w:eastAsia="zh-CN"/>
        </w:rPr>
        <w:t xml:space="preserve">y </w:t>
      </w:r>
      <w:proofErr w:type="gramStart"/>
      <w:r w:rsidRPr="00590BD0">
        <w:rPr>
          <w:rFonts w:eastAsia="SimSun"/>
          <w:lang w:val="es-CU" w:eastAsia="zh-CN"/>
        </w:rPr>
        <w:t>otros</w:t>
      </w:r>
      <w:r w:rsidRPr="00590BD0">
        <w:rPr>
          <w:rFonts w:eastAsia="SimSun"/>
          <w:vertAlign w:val="superscript"/>
          <w:lang w:val="es-CU" w:eastAsia="zh-CN"/>
        </w:rPr>
        <w:t>(</w:t>
      </w:r>
      <w:proofErr w:type="gramEnd"/>
      <w:r w:rsidRPr="00590BD0">
        <w:rPr>
          <w:rFonts w:eastAsia="SimSun"/>
          <w:vertAlign w:val="superscript"/>
          <w:lang w:val="es-CU" w:eastAsia="zh-CN"/>
        </w:rPr>
        <w:t>13)</w:t>
      </w:r>
      <w:r w:rsidRPr="00590BD0">
        <w:rPr>
          <w:rFonts w:eastAsia="SimSun"/>
          <w:lang w:val="es-CU" w:eastAsia="zh-CN"/>
        </w:rPr>
        <w:t xml:space="preserve"> encontraron datos similares a los de esta investigación: que las anomalías más frecuentes fueron la elevación de la GGT, ALT y AST. Además, la relación fue mayor en los pacientes con la COVID-19 grave, en comparación con la enfermedad no grave. También informan una prevalencia combinada de la ALT y elevación de AST del 23,28 % y se coincide con el hecho de que la prevalencia combinada de ALP y GGT fue del 7,48 %, ya que la ALP solo se observó elevada en el 8,6 % de los pacientes.</w:t>
      </w:r>
    </w:p>
    <w:p w14:paraId="5F588D15"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CU" w:eastAsia="zh-CN"/>
        </w:rPr>
        <w:t xml:space="preserve">En otra investigación, de </w:t>
      </w:r>
      <w:r w:rsidRPr="00590BD0">
        <w:rPr>
          <w:rFonts w:eastAsia="SimSun"/>
          <w:i/>
          <w:lang w:val="es-CU" w:eastAsia="zh-CN"/>
        </w:rPr>
        <w:t xml:space="preserve">Fan </w:t>
      </w:r>
      <w:r w:rsidRPr="00590BD0">
        <w:rPr>
          <w:rFonts w:eastAsia="SimSun"/>
          <w:lang w:val="es-CU" w:eastAsia="zh-CN"/>
        </w:rPr>
        <w:t xml:space="preserve">y </w:t>
      </w:r>
      <w:proofErr w:type="gramStart"/>
      <w:r w:rsidRPr="00590BD0">
        <w:rPr>
          <w:rFonts w:eastAsia="SimSun"/>
          <w:lang w:val="es-CU" w:eastAsia="zh-CN"/>
        </w:rPr>
        <w:t>otros</w:t>
      </w:r>
      <w:r w:rsidRPr="00590BD0">
        <w:rPr>
          <w:rFonts w:eastAsia="SimSun"/>
          <w:vertAlign w:val="superscript"/>
          <w:lang w:val="es-CU" w:eastAsia="zh-CN"/>
        </w:rPr>
        <w:t>(</w:t>
      </w:r>
      <w:proofErr w:type="gramEnd"/>
      <w:r w:rsidRPr="00590BD0">
        <w:rPr>
          <w:rFonts w:eastAsia="SimSun"/>
          <w:vertAlign w:val="superscript"/>
          <w:lang w:val="es-CU" w:eastAsia="zh-CN"/>
        </w:rPr>
        <w:t>14)</w:t>
      </w:r>
      <w:r w:rsidRPr="00590BD0">
        <w:rPr>
          <w:rFonts w:eastAsia="SimSun"/>
          <w:lang w:val="es-CU" w:eastAsia="zh-CN"/>
        </w:rPr>
        <w:t xml:space="preserve"> se reportan datos similares al presente estudio: informan que más de la mitad de los enfermos estudiados tenían alteraciones en la bioquímica hepática al ingreso. Incluye al igual que el presente estudio, un aumento de los niveles de GGT y en mayor proporción, la ALT, AST y LDH. En cuanto a la ALP, pocos pacientes la tenían alterada. Llegan a la conclusión de que la afectación hepática podía ser indicativa de una infección sistémica </w:t>
      </w:r>
      <w:proofErr w:type="gramStart"/>
      <w:r w:rsidRPr="00590BD0">
        <w:rPr>
          <w:rFonts w:eastAsia="SimSun"/>
          <w:lang w:val="es-CU" w:eastAsia="zh-CN"/>
        </w:rPr>
        <w:t>y</w:t>
      </w:r>
      <w:proofErr w:type="gramEnd"/>
      <w:r w:rsidRPr="00590BD0">
        <w:rPr>
          <w:rFonts w:eastAsia="SimSun"/>
          <w:lang w:val="es-CU" w:eastAsia="zh-CN"/>
        </w:rPr>
        <w:t xml:space="preserve"> por lo tanto, asociada a un peor pronóstico.</w:t>
      </w:r>
    </w:p>
    <w:p w14:paraId="63293997"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CU" w:eastAsia="zh-CN"/>
        </w:rPr>
        <w:t xml:space="preserve">La LDH es una enzima que se origina en muchos órganos y sistemas, entre ellos el hígado, el corazón y aumenta notablemente en los pacientes con afectación pulmonar. Eso puede explicar los niveles tan altos detectados en pacientes con la COVID-19. Para </w:t>
      </w:r>
      <w:proofErr w:type="spellStart"/>
      <w:r w:rsidRPr="00590BD0">
        <w:rPr>
          <w:rFonts w:eastAsia="SimSun"/>
          <w:i/>
          <w:lang w:val="es-CU" w:eastAsia="zh-CN"/>
        </w:rPr>
        <w:t>Serin</w:t>
      </w:r>
      <w:proofErr w:type="spellEnd"/>
      <w:r w:rsidRPr="00590BD0">
        <w:rPr>
          <w:rFonts w:eastAsia="SimSun"/>
          <w:i/>
          <w:lang w:val="es-CU" w:eastAsia="zh-CN"/>
        </w:rPr>
        <w:t xml:space="preserve"> </w:t>
      </w:r>
      <w:r w:rsidRPr="00590BD0">
        <w:rPr>
          <w:rFonts w:eastAsia="SimSun"/>
          <w:lang w:val="es-CU" w:eastAsia="zh-CN"/>
        </w:rPr>
        <w:t xml:space="preserve">y </w:t>
      </w:r>
      <w:proofErr w:type="gramStart"/>
      <w:r w:rsidRPr="00590BD0">
        <w:rPr>
          <w:rFonts w:eastAsia="SimSun"/>
          <w:lang w:val="es-CU" w:eastAsia="zh-CN"/>
        </w:rPr>
        <w:t>otros,</w:t>
      </w:r>
      <w:r w:rsidRPr="00590BD0">
        <w:rPr>
          <w:rFonts w:eastAsia="SimSun"/>
          <w:vertAlign w:val="superscript"/>
          <w:lang w:val="es-CU" w:eastAsia="zh-CN"/>
        </w:rPr>
        <w:t>(</w:t>
      </w:r>
      <w:proofErr w:type="gramEnd"/>
      <w:r w:rsidRPr="00590BD0">
        <w:rPr>
          <w:rFonts w:eastAsia="SimSun"/>
          <w:vertAlign w:val="superscript"/>
          <w:lang w:val="es-CU" w:eastAsia="zh-CN"/>
        </w:rPr>
        <w:t>15)</w:t>
      </w:r>
      <w:r w:rsidRPr="00590BD0">
        <w:rPr>
          <w:rFonts w:eastAsia="SimSun"/>
          <w:lang w:val="es-CU" w:eastAsia="zh-CN"/>
        </w:rPr>
        <w:t xml:space="preserve"> la LDH alta, junto a otros marcadores, tuvo alta mortalidad, que fue estadísticamente significativa (p&lt; 0,001).</w:t>
      </w:r>
    </w:p>
    <w:p w14:paraId="3F934353"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CU" w:eastAsia="zh-CN"/>
        </w:rPr>
        <w:t xml:space="preserve">El índice de </w:t>
      </w:r>
      <w:proofErr w:type="spellStart"/>
      <w:r w:rsidRPr="00590BD0">
        <w:rPr>
          <w:rFonts w:eastAsia="SimSun"/>
          <w:lang w:val="es-CU" w:eastAsia="zh-CN"/>
        </w:rPr>
        <w:t>Ritis</w:t>
      </w:r>
      <w:proofErr w:type="spellEnd"/>
      <w:r w:rsidRPr="00590BD0">
        <w:rPr>
          <w:rFonts w:eastAsia="SimSun"/>
          <w:lang w:val="es-CU" w:eastAsia="zh-CN"/>
        </w:rPr>
        <w:t xml:space="preserve"> es útil para predecir el probable daño hepático, debido a que cuando hay muerte hepatocelular se incrementan los niveles séricos de AST, comparado con los de ALT y refleja el daño celular, siempre que la AST sea muy superior a la ALT. Así, relaciones superiores a 2,0 reflejan liberación intracelular de la </w:t>
      </w:r>
      <w:proofErr w:type="gramStart"/>
      <w:r w:rsidRPr="00590BD0">
        <w:rPr>
          <w:rFonts w:eastAsia="SimSun"/>
          <w:lang w:val="es-CU" w:eastAsia="zh-CN"/>
        </w:rPr>
        <w:t>enzima.</w:t>
      </w:r>
      <w:r w:rsidRPr="00590BD0">
        <w:rPr>
          <w:rFonts w:eastAsia="SimSun"/>
          <w:vertAlign w:val="superscript"/>
          <w:lang w:val="es-CU" w:eastAsia="zh-CN"/>
        </w:rPr>
        <w:t>(</w:t>
      </w:r>
      <w:proofErr w:type="gramEnd"/>
      <w:r w:rsidRPr="00590BD0">
        <w:rPr>
          <w:rFonts w:eastAsia="SimSun"/>
          <w:vertAlign w:val="superscript"/>
          <w:lang w:val="es-CU" w:eastAsia="zh-CN"/>
        </w:rPr>
        <w:t xml:space="preserve">16) </w:t>
      </w:r>
      <w:r w:rsidRPr="00590BD0">
        <w:rPr>
          <w:rFonts w:eastAsia="SimSun"/>
          <w:lang w:val="es-CU" w:eastAsia="zh-CN"/>
        </w:rPr>
        <w:t xml:space="preserve">Autores como </w:t>
      </w:r>
      <w:proofErr w:type="spellStart"/>
      <w:r w:rsidRPr="00590BD0">
        <w:rPr>
          <w:rFonts w:eastAsia="SimSun"/>
          <w:i/>
          <w:lang w:val="es-CU" w:eastAsia="zh-CN"/>
        </w:rPr>
        <w:t>Zinellu</w:t>
      </w:r>
      <w:proofErr w:type="spellEnd"/>
      <w:r w:rsidRPr="00590BD0">
        <w:rPr>
          <w:rFonts w:eastAsia="SimSun"/>
          <w:i/>
          <w:lang w:val="es-CU" w:eastAsia="zh-CN"/>
        </w:rPr>
        <w:t xml:space="preserve"> </w:t>
      </w:r>
      <w:r w:rsidRPr="00590BD0">
        <w:rPr>
          <w:rFonts w:eastAsia="SimSun"/>
          <w:iCs/>
          <w:lang w:val="es-CU" w:eastAsia="zh-CN"/>
        </w:rPr>
        <w:t>y otros</w:t>
      </w:r>
      <w:r w:rsidRPr="00590BD0">
        <w:rPr>
          <w:rFonts w:eastAsia="SimSun"/>
          <w:vertAlign w:val="superscript"/>
          <w:lang w:val="es-CU" w:eastAsia="zh-CN"/>
        </w:rPr>
        <w:t xml:space="preserve">(17) </w:t>
      </w:r>
      <w:r w:rsidRPr="00590BD0">
        <w:rPr>
          <w:rFonts w:eastAsia="SimSun"/>
          <w:lang w:val="es-CU" w:eastAsia="zh-CN"/>
        </w:rPr>
        <w:t xml:space="preserve">exploran este cociente como biomarcador pronóstico de mortalidad hospitalaria en pacientes con la COVID-19 y demuestran que las concentraciones de ALT y AST no se asociaron con la mortalidad, pero, por el contrario, fue significativa la asociación entre el índice de </w:t>
      </w:r>
      <w:proofErr w:type="spellStart"/>
      <w:r w:rsidRPr="00590BD0">
        <w:rPr>
          <w:rFonts w:eastAsia="SimSun"/>
          <w:lang w:val="es-CU" w:eastAsia="zh-CN"/>
        </w:rPr>
        <w:t>Ritis</w:t>
      </w:r>
      <w:proofErr w:type="spellEnd"/>
      <w:r w:rsidRPr="00590BD0">
        <w:rPr>
          <w:rFonts w:eastAsia="SimSun"/>
          <w:lang w:val="es-CU" w:eastAsia="zh-CN"/>
        </w:rPr>
        <w:t xml:space="preserve"> &gt; 1 y la mortalidad. Dicha proporción fue significativamente menor en los fallecidos que en los no, lo que traduce una elevación de la ALT por encima de la AST en los </w:t>
      </w:r>
      <w:r w:rsidRPr="00590BD0">
        <w:rPr>
          <w:rFonts w:eastAsia="SimSun"/>
          <w:lang w:val="es-CU" w:eastAsia="zh-CN"/>
        </w:rPr>
        <w:lastRenderedPageBreak/>
        <w:t xml:space="preserve">casos que sobrevivieron. </w:t>
      </w:r>
    </w:p>
    <w:p w14:paraId="0F8AAF75"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CU" w:eastAsia="zh-CN"/>
        </w:rPr>
        <w:t xml:space="preserve">En la presente investigación, el daño hepático celular está claro en aquellos pacientes que evolucionan hacia la gravedad, a partir de la evidencia de la elevación de índice de </w:t>
      </w:r>
      <w:proofErr w:type="spellStart"/>
      <w:r w:rsidRPr="00590BD0">
        <w:rPr>
          <w:rFonts w:eastAsia="SimSun"/>
          <w:lang w:val="es-CU" w:eastAsia="zh-CN"/>
        </w:rPr>
        <w:t>Ritis</w:t>
      </w:r>
      <w:proofErr w:type="spellEnd"/>
      <w:r w:rsidRPr="00590BD0">
        <w:rPr>
          <w:rFonts w:eastAsia="SimSun"/>
          <w:lang w:val="es-CU" w:eastAsia="zh-CN"/>
        </w:rPr>
        <w:t xml:space="preserve"> &gt; 1. Este </w:t>
      </w:r>
      <w:proofErr w:type="spellStart"/>
      <w:r w:rsidRPr="00590BD0">
        <w:rPr>
          <w:rFonts w:eastAsia="SimSun"/>
          <w:lang w:val="es-CU" w:eastAsia="zh-CN"/>
        </w:rPr>
        <w:t>daño</w:t>
      </w:r>
      <w:proofErr w:type="spellEnd"/>
      <w:r w:rsidRPr="00590BD0">
        <w:rPr>
          <w:rFonts w:eastAsia="SimSun"/>
          <w:lang w:val="es-CU" w:eastAsia="zh-CN"/>
        </w:rPr>
        <w:t xml:space="preserve"> se puede explicar por una respuesta inmune innata, desregulada, contra el virus, más que por la presencia de enfermedades hepáticas subyacentes específicas. Esto es además de la toxicidad por medicamentos, ya que algunos autores como </w:t>
      </w:r>
      <w:r w:rsidRPr="00590BD0">
        <w:rPr>
          <w:rFonts w:eastAsia="SimSun"/>
          <w:i/>
          <w:lang w:val="es-CU" w:eastAsia="zh-CN"/>
        </w:rPr>
        <w:t>Mantovani</w:t>
      </w:r>
      <w:r w:rsidRPr="00590BD0">
        <w:rPr>
          <w:rFonts w:eastAsia="SimSun"/>
          <w:lang w:val="es-CU" w:eastAsia="zh-CN"/>
        </w:rPr>
        <w:t xml:space="preserve"> y </w:t>
      </w:r>
      <w:proofErr w:type="gramStart"/>
      <w:r w:rsidRPr="00590BD0">
        <w:rPr>
          <w:rFonts w:eastAsia="SimSun"/>
          <w:lang w:val="es-CU" w:eastAsia="zh-CN"/>
        </w:rPr>
        <w:t>otros</w:t>
      </w:r>
      <w:r w:rsidRPr="00590BD0">
        <w:rPr>
          <w:rFonts w:eastAsia="SimSun"/>
          <w:vertAlign w:val="superscript"/>
          <w:lang w:val="es-CU" w:eastAsia="zh-CN"/>
        </w:rPr>
        <w:t>(</w:t>
      </w:r>
      <w:proofErr w:type="gramEnd"/>
      <w:r w:rsidRPr="00590BD0">
        <w:rPr>
          <w:rFonts w:eastAsia="SimSun"/>
          <w:vertAlign w:val="superscript"/>
          <w:lang w:val="es-CU" w:eastAsia="zh-CN"/>
        </w:rPr>
        <w:t>6)</w:t>
      </w:r>
      <w:r w:rsidRPr="00590BD0">
        <w:rPr>
          <w:rFonts w:eastAsia="SimSun"/>
          <w:lang w:val="es-CU" w:eastAsia="zh-CN"/>
        </w:rPr>
        <w:t xml:space="preserve"> observan alteraciones leves de las enzimas hepáticas en la mayoría de los pacientes, al inicio de la enfermedad, incluso antes del uso de varios medicamentos.</w:t>
      </w:r>
    </w:p>
    <w:p w14:paraId="5679C8FC"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CU" w:eastAsia="zh-CN"/>
        </w:rPr>
        <w:t xml:space="preserve">Los medicamentos utilizados no se tuvieron en cuenta en esta investigación, aunque fueron los mismos para todos los pacientes, desde el momento en que se clasificaron como de alto riesgo.  </w:t>
      </w:r>
    </w:p>
    <w:p w14:paraId="19204F34"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SimSun"/>
          <w:lang w:val="es-CU" w:eastAsia="zh-CN"/>
        </w:rPr>
        <w:t>Los estudios enzimáticos, en especial las enzimas hepáticas, en Cuba toman gran importancia, ya que resultan un método fácil, rápido, sensible y preciso cuando se habla de la relación entre el hígado y la COVID-19. Los profesionales de la salud las pueden utilizar como herramientas para monitorear la función del hígado, reducir complicaciones por esta causa y evitar la muerte por daño hepático en pacientes con la COVID-</w:t>
      </w:r>
      <w:proofErr w:type="gramStart"/>
      <w:r w:rsidRPr="00590BD0">
        <w:rPr>
          <w:rFonts w:eastAsia="SimSun"/>
          <w:lang w:val="es-CU" w:eastAsia="zh-CN"/>
        </w:rPr>
        <w:t>19.</w:t>
      </w:r>
      <w:r w:rsidRPr="00590BD0">
        <w:rPr>
          <w:rFonts w:eastAsia="SimSun"/>
          <w:vertAlign w:val="superscript"/>
          <w:lang w:val="es-CU" w:eastAsia="zh-CN"/>
        </w:rPr>
        <w:t>(</w:t>
      </w:r>
      <w:proofErr w:type="gramEnd"/>
      <w:r w:rsidRPr="00590BD0">
        <w:rPr>
          <w:rFonts w:eastAsia="SimSun"/>
          <w:vertAlign w:val="superscript"/>
          <w:lang w:val="es-CU" w:eastAsia="zh-CN"/>
        </w:rPr>
        <w:t>12)</w:t>
      </w:r>
    </w:p>
    <w:p w14:paraId="078B47B3" w14:textId="77777777" w:rsidR="00590BD0" w:rsidRPr="00590BD0" w:rsidRDefault="00590BD0" w:rsidP="00590BD0">
      <w:pPr>
        <w:widowControl w:val="0"/>
        <w:suppressAutoHyphens/>
        <w:spacing w:line="360" w:lineRule="auto"/>
        <w:jc w:val="both"/>
        <w:rPr>
          <w:rFonts w:eastAsia="SimSun"/>
          <w:lang w:val="es-ES" w:eastAsia="zh-CN"/>
        </w:rPr>
      </w:pPr>
      <w:r w:rsidRPr="00590BD0">
        <w:rPr>
          <w:rFonts w:eastAsia="SimSun"/>
          <w:lang w:val="es-ES" w:eastAsia="zh-CN"/>
        </w:rPr>
        <w:t xml:space="preserve">Se demostró la elevación de las medias de las enzimas hepáticas al quinto día. La LDH y la GGT permanecieron altas desde el comienzo en todos los pacientes. En la mayoría de los pacientes graves se invirtió el índice de </w:t>
      </w:r>
      <w:proofErr w:type="spellStart"/>
      <w:r w:rsidRPr="00590BD0">
        <w:rPr>
          <w:rFonts w:eastAsia="SimSun"/>
          <w:lang w:val="es-ES" w:eastAsia="zh-CN"/>
        </w:rPr>
        <w:t>Ritis</w:t>
      </w:r>
      <w:proofErr w:type="spellEnd"/>
      <w:r w:rsidRPr="00590BD0">
        <w:rPr>
          <w:rFonts w:eastAsia="SimSun"/>
          <w:lang w:val="es-ES" w:eastAsia="zh-CN"/>
        </w:rPr>
        <w:t xml:space="preserve"> al quinto día.</w:t>
      </w:r>
    </w:p>
    <w:p w14:paraId="054A4E49" w14:textId="77777777" w:rsidR="00590BD0" w:rsidRPr="00590BD0" w:rsidRDefault="00590BD0" w:rsidP="00590BD0">
      <w:pPr>
        <w:widowControl w:val="0"/>
        <w:suppressAutoHyphens/>
        <w:spacing w:line="360" w:lineRule="auto"/>
        <w:jc w:val="center"/>
        <w:rPr>
          <w:rFonts w:eastAsia="SimSun"/>
          <w:b/>
          <w:lang w:val="es-ES" w:eastAsia="zh-CN"/>
        </w:rPr>
      </w:pPr>
    </w:p>
    <w:p w14:paraId="0EA9F919" w14:textId="77777777" w:rsidR="00590BD0" w:rsidRPr="00590BD0" w:rsidRDefault="00590BD0" w:rsidP="00590BD0">
      <w:pPr>
        <w:widowControl w:val="0"/>
        <w:suppressAutoHyphens/>
        <w:spacing w:line="360" w:lineRule="auto"/>
        <w:jc w:val="center"/>
        <w:rPr>
          <w:rFonts w:eastAsia="SimSun"/>
          <w:b/>
          <w:lang w:val="es-US" w:eastAsia="zh-CN"/>
        </w:rPr>
      </w:pPr>
    </w:p>
    <w:p w14:paraId="29C5FEDD" w14:textId="77777777" w:rsidR="00590BD0" w:rsidRPr="00590BD0" w:rsidRDefault="00590BD0" w:rsidP="00590BD0">
      <w:pPr>
        <w:widowControl w:val="0"/>
        <w:suppressAutoHyphens/>
        <w:spacing w:line="360" w:lineRule="auto"/>
        <w:jc w:val="center"/>
        <w:rPr>
          <w:rFonts w:eastAsia="SimSun"/>
          <w:sz w:val="32"/>
          <w:szCs w:val="32"/>
          <w:lang w:val="es-US" w:eastAsia="zh-CN"/>
        </w:rPr>
      </w:pPr>
      <w:r w:rsidRPr="00590BD0">
        <w:rPr>
          <w:rFonts w:eastAsia="SimSun"/>
          <w:b/>
          <w:sz w:val="32"/>
          <w:szCs w:val="32"/>
          <w:lang w:val="es-US" w:eastAsia="zh-CN"/>
        </w:rPr>
        <w:t>REFERENCIAS BIBLIOGRÁFICAS</w:t>
      </w:r>
    </w:p>
    <w:p w14:paraId="2BCF2267" w14:textId="77777777" w:rsidR="00590BD0" w:rsidRPr="00590BD0" w:rsidRDefault="00590BD0" w:rsidP="00590BD0">
      <w:pPr>
        <w:widowControl w:val="0"/>
        <w:suppressAutoHyphens/>
        <w:spacing w:line="360" w:lineRule="auto"/>
        <w:rPr>
          <w:rFonts w:eastAsia="SimSun"/>
          <w:lang w:val="es-CU" w:eastAsia="zh-CN"/>
        </w:rPr>
      </w:pPr>
      <w:r w:rsidRPr="00590BD0">
        <w:rPr>
          <w:rFonts w:eastAsia="SimSun"/>
          <w:lang w:val="es-CU" w:eastAsia="zh-CN"/>
        </w:rPr>
        <w:t xml:space="preserve">1. Serra Valdés MA. COVID-19. De la patogenia a la elevada mortalidad en el adulto mayor y con comorbilidades. </w:t>
      </w:r>
      <w:proofErr w:type="spellStart"/>
      <w:r w:rsidRPr="00590BD0">
        <w:rPr>
          <w:rFonts w:eastAsia="SimSun"/>
          <w:lang w:val="es-CU" w:eastAsia="zh-CN"/>
        </w:rPr>
        <w:t>Rev</w:t>
      </w:r>
      <w:proofErr w:type="spellEnd"/>
      <w:r w:rsidRPr="00590BD0">
        <w:rPr>
          <w:rFonts w:eastAsia="SimSun"/>
          <w:lang w:val="es-CU" w:eastAsia="zh-CN"/>
        </w:rPr>
        <w:t xml:space="preserve"> </w:t>
      </w:r>
      <w:proofErr w:type="spellStart"/>
      <w:r w:rsidRPr="00590BD0">
        <w:rPr>
          <w:rFonts w:eastAsia="SimSun"/>
          <w:lang w:val="es-CU" w:eastAsia="zh-CN"/>
        </w:rPr>
        <w:t>haban</w:t>
      </w:r>
      <w:proofErr w:type="spellEnd"/>
      <w:r w:rsidRPr="00590BD0">
        <w:rPr>
          <w:rFonts w:eastAsia="SimSun"/>
          <w:lang w:val="es-CU" w:eastAsia="zh-CN"/>
        </w:rPr>
        <w:t xml:space="preserve"> </w:t>
      </w:r>
      <w:proofErr w:type="spellStart"/>
      <w:r w:rsidRPr="00590BD0">
        <w:rPr>
          <w:rFonts w:eastAsia="SimSun"/>
          <w:lang w:val="es-CU" w:eastAsia="zh-CN"/>
        </w:rPr>
        <w:t>cienc</w:t>
      </w:r>
      <w:proofErr w:type="spellEnd"/>
      <w:r w:rsidRPr="00590BD0">
        <w:rPr>
          <w:rFonts w:eastAsia="SimSun"/>
          <w:lang w:val="es-CU" w:eastAsia="zh-CN"/>
        </w:rPr>
        <w:t xml:space="preserve"> </w:t>
      </w:r>
      <w:proofErr w:type="spellStart"/>
      <w:r w:rsidRPr="00590BD0">
        <w:rPr>
          <w:rFonts w:eastAsia="SimSun"/>
          <w:lang w:val="es-CU" w:eastAsia="zh-CN"/>
        </w:rPr>
        <w:t>méd</w:t>
      </w:r>
      <w:proofErr w:type="spellEnd"/>
      <w:r w:rsidRPr="00590BD0">
        <w:rPr>
          <w:rFonts w:eastAsia="SimSun"/>
          <w:lang w:val="es-CU" w:eastAsia="zh-CN"/>
        </w:rPr>
        <w:t>. 2020 [acceso: 11/10/2021]; 19(3</w:t>
      </w:r>
      <w:proofErr w:type="gramStart"/>
      <w:r w:rsidRPr="00590BD0">
        <w:rPr>
          <w:rFonts w:eastAsia="SimSun"/>
          <w:lang w:val="es-CU" w:eastAsia="zh-CN"/>
        </w:rPr>
        <w:t>):</w:t>
      </w:r>
      <w:proofErr w:type="spellStart"/>
      <w:r w:rsidRPr="00590BD0">
        <w:rPr>
          <w:rFonts w:eastAsia="SimSun"/>
          <w:lang w:val="es-CU" w:eastAsia="zh-CN"/>
        </w:rPr>
        <w:t>e</w:t>
      </w:r>
      <w:proofErr w:type="gramEnd"/>
      <w:r w:rsidRPr="00590BD0">
        <w:rPr>
          <w:rFonts w:eastAsia="SimSun"/>
          <w:lang w:val="es-CU" w:eastAsia="zh-CN"/>
        </w:rPr>
        <w:t>3379</w:t>
      </w:r>
      <w:proofErr w:type="spellEnd"/>
      <w:r w:rsidRPr="00590BD0">
        <w:rPr>
          <w:rFonts w:eastAsia="SimSun"/>
          <w:lang w:val="es-CU" w:eastAsia="zh-CN"/>
        </w:rPr>
        <w:t xml:space="preserve">. Disponible en: </w:t>
      </w:r>
      <w:hyperlink r:id="rId15" w:history="1">
        <w:r w:rsidRPr="00590BD0">
          <w:rPr>
            <w:rFonts w:eastAsia="SimSun"/>
            <w:color w:val="0563C1"/>
            <w:u w:val="single"/>
            <w:lang w:val="es-CU" w:eastAsia="zh-CN"/>
          </w:rPr>
          <w:t>http://scielo.sld.cu/scielo.php?script=sci_arttext&amp;pid=S1729-519X2020000300004&amp;lng=es</w:t>
        </w:r>
      </w:hyperlink>
      <w:r w:rsidRPr="00590BD0">
        <w:rPr>
          <w:rFonts w:eastAsia="SimSun"/>
          <w:lang w:val="es-CU" w:eastAsia="zh-CN"/>
        </w:rPr>
        <w:t xml:space="preserve"> </w:t>
      </w:r>
    </w:p>
    <w:p w14:paraId="44679326" w14:textId="77777777" w:rsidR="00590BD0" w:rsidRPr="00590BD0" w:rsidRDefault="00590BD0" w:rsidP="00590BD0">
      <w:pPr>
        <w:widowControl w:val="0"/>
        <w:suppressAutoHyphens/>
        <w:spacing w:line="360" w:lineRule="auto"/>
        <w:rPr>
          <w:rFonts w:eastAsia="SimSun"/>
          <w:lang w:val="es-CU" w:eastAsia="zh-CN"/>
        </w:rPr>
      </w:pPr>
      <w:r w:rsidRPr="00590BD0">
        <w:rPr>
          <w:rFonts w:eastAsia="SimSun"/>
          <w:lang w:val="es-CU" w:eastAsia="zh-CN"/>
        </w:rPr>
        <w:t xml:space="preserve">2. </w:t>
      </w:r>
      <w:proofErr w:type="spellStart"/>
      <w:r w:rsidRPr="00590BD0">
        <w:rPr>
          <w:rFonts w:eastAsia="SimSun"/>
          <w:lang w:val="es-CU" w:eastAsia="zh-CN"/>
        </w:rPr>
        <w:t>Samada</w:t>
      </w:r>
      <w:proofErr w:type="spellEnd"/>
      <w:r w:rsidRPr="00590BD0">
        <w:rPr>
          <w:rFonts w:eastAsia="SimSun"/>
          <w:lang w:val="es-CU" w:eastAsia="zh-CN"/>
        </w:rPr>
        <w:t xml:space="preserve"> Suárez M. Daño hepático por la COVID-19. Boletín Científico del </w:t>
      </w:r>
      <w:proofErr w:type="spellStart"/>
      <w:r w:rsidRPr="00590BD0">
        <w:rPr>
          <w:rFonts w:eastAsia="SimSun"/>
          <w:lang w:val="es-CU" w:eastAsia="zh-CN"/>
        </w:rPr>
        <w:t>Cimeq</w:t>
      </w:r>
      <w:proofErr w:type="spellEnd"/>
      <w:r w:rsidRPr="00590BD0">
        <w:rPr>
          <w:rFonts w:eastAsia="SimSun"/>
          <w:lang w:val="es-CU" w:eastAsia="zh-CN"/>
        </w:rPr>
        <w:t xml:space="preserve">. 2020 [acceso: 01/10/2021]; 1(11):7. Disponible en: </w:t>
      </w:r>
      <w:hyperlink r:id="rId16" w:history="1">
        <w:r w:rsidRPr="00590BD0">
          <w:rPr>
            <w:rFonts w:eastAsia="SimSun"/>
            <w:color w:val="0563C1"/>
            <w:u w:val="single"/>
            <w:lang w:val="es-CU" w:eastAsia="zh-CN"/>
          </w:rPr>
          <w:t>https://instituciones.sld.cu/bolcimeq/2020/05/25/dano-hepatico-por-la-covid-19/</w:t>
        </w:r>
      </w:hyperlink>
      <w:r w:rsidRPr="00590BD0">
        <w:rPr>
          <w:rFonts w:eastAsia="SimSun"/>
          <w:lang w:val="es-CU" w:eastAsia="zh-CN"/>
        </w:rPr>
        <w:t xml:space="preserve"> </w:t>
      </w:r>
    </w:p>
    <w:p w14:paraId="5484E874" w14:textId="77777777" w:rsidR="00590BD0" w:rsidRPr="00590BD0" w:rsidRDefault="00590BD0" w:rsidP="00590BD0">
      <w:pPr>
        <w:widowControl w:val="0"/>
        <w:suppressAutoHyphens/>
        <w:spacing w:line="360" w:lineRule="auto"/>
        <w:rPr>
          <w:rFonts w:eastAsia="SimSun"/>
          <w:lang w:val="es-CU" w:eastAsia="zh-CN"/>
        </w:rPr>
      </w:pPr>
      <w:r w:rsidRPr="00590BD0">
        <w:rPr>
          <w:rFonts w:eastAsia="SimSun"/>
          <w:lang w:val="es-CU" w:eastAsia="zh-CN"/>
        </w:rPr>
        <w:t xml:space="preserve">3. Téllez L, Martín Mateos </w:t>
      </w:r>
      <w:proofErr w:type="spellStart"/>
      <w:r w:rsidRPr="00590BD0">
        <w:rPr>
          <w:rFonts w:eastAsia="SimSun"/>
          <w:lang w:val="es-CU" w:eastAsia="zh-CN"/>
        </w:rPr>
        <w:t>RM</w:t>
      </w:r>
      <w:proofErr w:type="spellEnd"/>
      <w:r w:rsidRPr="00590BD0">
        <w:rPr>
          <w:rFonts w:eastAsia="SimSun"/>
          <w:lang w:val="es-CU" w:eastAsia="zh-CN"/>
        </w:rPr>
        <w:t xml:space="preserve">. Actualización en COVID-19 y enfermedad hepática. Rev. </w:t>
      </w:r>
      <w:proofErr w:type="spellStart"/>
      <w:r w:rsidRPr="00590BD0">
        <w:rPr>
          <w:rFonts w:eastAsia="SimSun"/>
          <w:lang w:val="es-CU" w:eastAsia="zh-CN"/>
        </w:rPr>
        <w:t>Gastroenterol</w:t>
      </w:r>
      <w:proofErr w:type="spellEnd"/>
      <w:r w:rsidRPr="00590BD0">
        <w:rPr>
          <w:rFonts w:eastAsia="SimSun"/>
          <w:lang w:val="es-CU" w:eastAsia="zh-CN"/>
        </w:rPr>
        <w:t xml:space="preserve"> </w:t>
      </w:r>
      <w:proofErr w:type="spellStart"/>
      <w:r w:rsidRPr="00590BD0">
        <w:rPr>
          <w:rFonts w:eastAsia="SimSun"/>
          <w:lang w:val="es-CU" w:eastAsia="zh-CN"/>
        </w:rPr>
        <w:t>Hepatol</w:t>
      </w:r>
      <w:proofErr w:type="spellEnd"/>
      <w:r w:rsidRPr="00590BD0">
        <w:rPr>
          <w:rFonts w:eastAsia="SimSun"/>
          <w:lang w:val="es-CU" w:eastAsia="zh-CN"/>
        </w:rPr>
        <w:t xml:space="preserve">. 2020 [acceso: 08/10/2021]; 43(8):472-80. Disponible en: </w:t>
      </w:r>
      <w:hyperlink r:id="rId17" w:history="1">
        <w:r w:rsidRPr="00590BD0">
          <w:rPr>
            <w:rFonts w:eastAsia="SimSun"/>
            <w:color w:val="0563C1"/>
            <w:u w:val="single"/>
            <w:lang w:val="es-CU" w:eastAsia="zh-CN"/>
          </w:rPr>
          <w:t>https://doi.org/10.1016/j.gastrohep.2020.06.006</w:t>
        </w:r>
      </w:hyperlink>
      <w:r w:rsidRPr="00590BD0">
        <w:rPr>
          <w:rFonts w:eastAsia="SimSun"/>
          <w:lang w:val="es-CU" w:eastAsia="zh-CN"/>
        </w:rPr>
        <w:t xml:space="preserve"> </w:t>
      </w:r>
    </w:p>
    <w:p w14:paraId="09D68735" w14:textId="77777777" w:rsidR="00590BD0" w:rsidRPr="00590BD0" w:rsidRDefault="00590BD0" w:rsidP="00590BD0">
      <w:pPr>
        <w:widowControl w:val="0"/>
        <w:suppressAutoHyphens/>
        <w:spacing w:line="360" w:lineRule="auto"/>
        <w:rPr>
          <w:rFonts w:eastAsia="SimSun"/>
          <w:lang w:val="es-CU" w:eastAsia="zh-CN"/>
        </w:rPr>
      </w:pPr>
      <w:r w:rsidRPr="00590BD0">
        <w:rPr>
          <w:rFonts w:eastAsia="SimSun"/>
          <w:lang w:val="es-CU" w:eastAsia="zh-CN"/>
        </w:rPr>
        <w:t xml:space="preserve">4. Padilla Machaca PM, Cárdenas Ramírez BE, Cabrera Cabrejos MC. Impacto del COVID-19 en las enfermedades hepáticas y la salud pública en el Perú. Rev. </w:t>
      </w:r>
      <w:proofErr w:type="spellStart"/>
      <w:r w:rsidRPr="00590BD0">
        <w:rPr>
          <w:rFonts w:eastAsia="SimSun"/>
          <w:lang w:val="es-CU" w:eastAsia="zh-CN"/>
        </w:rPr>
        <w:t>gastroenterol</w:t>
      </w:r>
      <w:proofErr w:type="spellEnd"/>
      <w:r w:rsidRPr="00590BD0">
        <w:rPr>
          <w:rFonts w:eastAsia="SimSun"/>
          <w:lang w:val="es-CU" w:eastAsia="zh-CN"/>
        </w:rPr>
        <w:t xml:space="preserve">. 2020 [acceso: 11/10/2021]; 40(2):162-72. Disponible en: </w:t>
      </w:r>
      <w:hyperlink r:id="rId18" w:history="1">
        <w:r w:rsidRPr="00590BD0">
          <w:rPr>
            <w:rFonts w:eastAsia="SimSun"/>
            <w:color w:val="0563C1"/>
            <w:u w:val="single"/>
            <w:lang w:val="es-CU" w:eastAsia="zh-CN"/>
          </w:rPr>
          <w:t>http://www.scielo.org.pe/scielo.php?script=sci_arttext&amp;pid=S1022-51292020000200162&amp;lng=es</w:t>
        </w:r>
      </w:hyperlink>
      <w:r w:rsidRPr="00590BD0">
        <w:rPr>
          <w:rFonts w:eastAsia="SimSun"/>
          <w:lang w:val="es-CU" w:eastAsia="zh-CN"/>
        </w:rPr>
        <w:t xml:space="preserve"> </w:t>
      </w:r>
    </w:p>
    <w:p w14:paraId="060DA04C" w14:textId="77777777" w:rsidR="00590BD0" w:rsidRPr="00590BD0" w:rsidRDefault="00590BD0" w:rsidP="00590BD0">
      <w:pPr>
        <w:widowControl w:val="0"/>
        <w:suppressAutoHyphens/>
        <w:spacing w:line="360" w:lineRule="auto"/>
        <w:rPr>
          <w:rFonts w:eastAsia="SimSun"/>
          <w:lang w:val="es-CU" w:eastAsia="zh-CN"/>
        </w:rPr>
      </w:pPr>
      <w:r w:rsidRPr="00590BD0">
        <w:rPr>
          <w:rFonts w:eastAsia="SimSun"/>
          <w:lang w:val="es-CU" w:eastAsia="zh-CN"/>
        </w:rPr>
        <w:t xml:space="preserve">5. Velarde Ruiz Velasco JA, García Jiménez ES, Remes Troche </w:t>
      </w:r>
      <w:proofErr w:type="spellStart"/>
      <w:r w:rsidRPr="00590BD0">
        <w:rPr>
          <w:rFonts w:eastAsia="SimSun"/>
          <w:lang w:val="es-CU" w:eastAsia="zh-CN"/>
        </w:rPr>
        <w:t>JM</w:t>
      </w:r>
      <w:proofErr w:type="spellEnd"/>
      <w:r w:rsidRPr="00590BD0">
        <w:rPr>
          <w:rFonts w:eastAsia="SimSun"/>
          <w:lang w:val="es-CU" w:eastAsia="zh-CN"/>
        </w:rPr>
        <w:t xml:space="preserve">. Manifestaciones hepáticas y repercusión en el paciente cirrótico de COVID-19. Rev. </w:t>
      </w:r>
      <w:proofErr w:type="spellStart"/>
      <w:r w:rsidRPr="00590BD0">
        <w:rPr>
          <w:rFonts w:eastAsia="SimSun"/>
          <w:lang w:val="es-CU" w:eastAsia="zh-CN"/>
        </w:rPr>
        <w:t>Gastroenterol</w:t>
      </w:r>
      <w:proofErr w:type="spellEnd"/>
      <w:r w:rsidRPr="00590BD0">
        <w:rPr>
          <w:rFonts w:eastAsia="SimSun"/>
          <w:lang w:val="es-CU" w:eastAsia="zh-CN"/>
        </w:rPr>
        <w:t xml:space="preserve">. Méx. 2020 [acceso: 01/10/2021]; 85(3):303-11. Disponible en: </w:t>
      </w:r>
      <w:hyperlink r:id="rId19" w:history="1">
        <w:r w:rsidRPr="00590BD0">
          <w:rPr>
            <w:rFonts w:eastAsia="SimSun"/>
            <w:color w:val="0563C1"/>
            <w:u w:val="single"/>
            <w:lang w:val="es-CU" w:eastAsia="zh-CN"/>
          </w:rPr>
          <w:t>http://www.revistagastroenterologiamexico.org/es-manifestaciones-hepaticas-repercusion-el-paciente-articulo-S0375090620300550</w:t>
        </w:r>
      </w:hyperlink>
      <w:r w:rsidRPr="00590BD0">
        <w:rPr>
          <w:rFonts w:eastAsia="SimSun"/>
          <w:lang w:val="es-CU" w:eastAsia="zh-CN"/>
        </w:rPr>
        <w:t xml:space="preserve"> </w:t>
      </w:r>
    </w:p>
    <w:p w14:paraId="53CB453F" w14:textId="77777777" w:rsidR="00590BD0" w:rsidRPr="00590BD0" w:rsidRDefault="00590BD0" w:rsidP="00590BD0">
      <w:pPr>
        <w:widowControl w:val="0"/>
        <w:suppressAutoHyphens/>
        <w:spacing w:line="360" w:lineRule="auto"/>
        <w:rPr>
          <w:rFonts w:eastAsia="SimSun"/>
          <w:lang w:val="es-CU" w:eastAsia="zh-CN"/>
        </w:rPr>
      </w:pPr>
      <w:r w:rsidRPr="00590BD0">
        <w:rPr>
          <w:rFonts w:eastAsia="SimSun"/>
          <w:lang w:val="en-US" w:eastAsia="zh-CN"/>
        </w:rPr>
        <w:t xml:space="preserve">6. </w:t>
      </w:r>
      <w:proofErr w:type="spellStart"/>
      <w:r w:rsidRPr="00590BD0">
        <w:rPr>
          <w:rFonts w:eastAsia="SimSun"/>
          <w:lang w:val="en-US" w:eastAsia="zh-CN"/>
        </w:rPr>
        <w:t>Mantovani</w:t>
      </w:r>
      <w:proofErr w:type="spellEnd"/>
      <w:r w:rsidRPr="00590BD0">
        <w:rPr>
          <w:rFonts w:eastAsia="SimSun"/>
          <w:lang w:val="en-US" w:eastAsia="zh-CN"/>
        </w:rPr>
        <w:t xml:space="preserve"> A, Beatrice G, </w:t>
      </w:r>
      <w:proofErr w:type="spellStart"/>
      <w:r w:rsidRPr="00590BD0">
        <w:rPr>
          <w:rFonts w:eastAsia="SimSun"/>
          <w:lang w:val="en-US" w:eastAsia="zh-CN"/>
        </w:rPr>
        <w:t>Dalberi</w:t>
      </w:r>
      <w:proofErr w:type="spellEnd"/>
      <w:r w:rsidRPr="00590BD0">
        <w:rPr>
          <w:rFonts w:eastAsia="SimSun"/>
          <w:lang w:val="en-US" w:eastAsia="zh-CN"/>
        </w:rPr>
        <w:t xml:space="preserve"> A. Coronavirus disease 2019 and prevalence of chronic liver disease: A meta-analysis. </w:t>
      </w:r>
      <w:proofErr w:type="spellStart"/>
      <w:r w:rsidRPr="00590BD0">
        <w:rPr>
          <w:rFonts w:eastAsia="SimSun"/>
          <w:lang w:val="es-CU" w:eastAsia="zh-CN"/>
        </w:rPr>
        <w:t>Liver</w:t>
      </w:r>
      <w:proofErr w:type="spellEnd"/>
      <w:r w:rsidRPr="00590BD0">
        <w:rPr>
          <w:rFonts w:eastAsia="SimSun"/>
          <w:lang w:val="es-CU" w:eastAsia="zh-CN"/>
        </w:rPr>
        <w:t xml:space="preserve"> International. 2020 [</w:t>
      </w:r>
      <w:proofErr w:type="spellStart"/>
      <w:r w:rsidRPr="00590BD0">
        <w:rPr>
          <w:rFonts w:eastAsia="SimSun"/>
          <w:lang w:val="es-CU" w:eastAsia="zh-CN"/>
        </w:rPr>
        <w:t>access</w:t>
      </w:r>
      <w:proofErr w:type="spellEnd"/>
      <w:r w:rsidRPr="00590BD0">
        <w:rPr>
          <w:rFonts w:eastAsia="SimSun"/>
          <w:lang w:val="es-CU" w:eastAsia="zh-CN"/>
        </w:rPr>
        <w:t xml:space="preserve">: 08/10/2021]; 40(6):1316-20. Disponible en: </w:t>
      </w:r>
      <w:hyperlink r:id="rId20" w:history="1">
        <w:r w:rsidRPr="00590BD0">
          <w:rPr>
            <w:rFonts w:eastAsia="SimSun"/>
            <w:color w:val="0563C1"/>
            <w:u w:val="single"/>
            <w:lang w:val="es-CU" w:eastAsia="zh-CN"/>
          </w:rPr>
          <w:t>https://doi.org/10.1111/liv.14465</w:t>
        </w:r>
      </w:hyperlink>
      <w:r w:rsidRPr="00590BD0">
        <w:rPr>
          <w:rFonts w:eastAsia="SimSun"/>
          <w:lang w:val="es-CU" w:eastAsia="zh-CN"/>
        </w:rPr>
        <w:t xml:space="preserve"> </w:t>
      </w:r>
    </w:p>
    <w:p w14:paraId="382C6039" w14:textId="77777777" w:rsidR="00590BD0" w:rsidRPr="00590BD0" w:rsidRDefault="00590BD0" w:rsidP="00590BD0">
      <w:pPr>
        <w:widowControl w:val="0"/>
        <w:suppressAutoHyphens/>
        <w:spacing w:line="360" w:lineRule="auto"/>
        <w:rPr>
          <w:rFonts w:eastAsia="SimSun"/>
          <w:lang w:val="es-CU" w:eastAsia="zh-CN"/>
        </w:rPr>
      </w:pPr>
      <w:r w:rsidRPr="00590BD0">
        <w:rPr>
          <w:rFonts w:eastAsia="SimSun"/>
          <w:lang w:val="es-CU" w:eastAsia="zh-CN"/>
        </w:rPr>
        <w:t xml:space="preserve">7. León Gómez J. Implicaciones hepáticas en la pandemia por COVID-19. </w:t>
      </w:r>
      <w:proofErr w:type="spellStart"/>
      <w:r w:rsidRPr="00590BD0">
        <w:rPr>
          <w:rFonts w:eastAsia="SimSun"/>
          <w:lang w:val="es-CU" w:eastAsia="zh-CN"/>
        </w:rPr>
        <w:t>Rev</w:t>
      </w:r>
      <w:proofErr w:type="spellEnd"/>
      <w:r w:rsidRPr="00590BD0">
        <w:rPr>
          <w:rFonts w:eastAsia="SimSun"/>
          <w:lang w:val="es-CU" w:eastAsia="zh-CN"/>
        </w:rPr>
        <w:t xml:space="preserve"> Col </w:t>
      </w:r>
      <w:proofErr w:type="spellStart"/>
      <w:r w:rsidRPr="00590BD0">
        <w:rPr>
          <w:rFonts w:eastAsia="SimSun"/>
          <w:lang w:val="es-CU" w:eastAsia="zh-CN"/>
        </w:rPr>
        <w:t>Gastroenterol</w:t>
      </w:r>
      <w:proofErr w:type="spellEnd"/>
      <w:r w:rsidRPr="00590BD0">
        <w:rPr>
          <w:rFonts w:eastAsia="SimSun"/>
          <w:lang w:val="es-CU" w:eastAsia="zh-CN"/>
        </w:rPr>
        <w:t xml:space="preserve">. 2020 [acceso: 08/10/2021]; 35(1):30-6. Disponible en:  </w:t>
      </w:r>
      <w:hyperlink r:id="rId21" w:history="1">
        <w:r w:rsidRPr="00590BD0">
          <w:rPr>
            <w:rFonts w:eastAsia="SimSun"/>
            <w:color w:val="0563C1"/>
            <w:u w:val="single"/>
            <w:lang w:val="es-CU" w:eastAsia="zh-CN"/>
          </w:rPr>
          <w:t>https://doi.org/10.22516/25007440.535</w:t>
        </w:r>
      </w:hyperlink>
      <w:r w:rsidRPr="00590BD0">
        <w:rPr>
          <w:rFonts w:eastAsia="SimSun"/>
          <w:lang w:val="es-CU" w:eastAsia="zh-CN"/>
        </w:rPr>
        <w:t xml:space="preserve"> </w:t>
      </w:r>
    </w:p>
    <w:p w14:paraId="1974387C" w14:textId="77777777" w:rsidR="00590BD0" w:rsidRPr="00590BD0" w:rsidRDefault="00590BD0" w:rsidP="00590BD0">
      <w:pPr>
        <w:widowControl w:val="0"/>
        <w:suppressAutoHyphens/>
        <w:spacing w:line="360" w:lineRule="auto"/>
        <w:rPr>
          <w:rFonts w:eastAsia="SimSun"/>
          <w:lang w:val="es-CU" w:eastAsia="zh-CN"/>
        </w:rPr>
      </w:pPr>
      <w:r w:rsidRPr="00590BD0">
        <w:rPr>
          <w:rFonts w:eastAsia="SimSun"/>
          <w:lang w:val="es-CU" w:eastAsia="zh-CN"/>
        </w:rPr>
        <w:t xml:space="preserve">8. </w:t>
      </w:r>
      <w:proofErr w:type="spellStart"/>
      <w:r w:rsidRPr="00590BD0">
        <w:rPr>
          <w:rFonts w:eastAsia="SimSun"/>
          <w:lang w:val="es-CU" w:eastAsia="zh-CN"/>
        </w:rPr>
        <w:t>MINSAP</w:t>
      </w:r>
      <w:proofErr w:type="spellEnd"/>
      <w:r w:rsidRPr="00590BD0">
        <w:rPr>
          <w:rFonts w:eastAsia="SimSun"/>
          <w:lang w:val="es-CU" w:eastAsia="zh-CN"/>
        </w:rPr>
        <w:t xml:space="preserve">. Protocolo de actuación nacional para la COVID-19. Versión 1.6.  La Habana; 2021. [acceso: 01/08/2022]. Disponible en:   </w:t>
      </w:r>
      <w:hyperlink r:id="rId22" w:history="1">
        <w:r w:rsidRPr="00590BD0">
          <w:rPr>
            <w:rFonts w:eastAsia="SimSun"/>
            <w:color w:val="0563C1"/>
            <w:u w:val="single"/>
            <w:lang w:val="es-CU" w:eastAsia="zh-CN"/>
          </w:rPr>
          <w:t>https://files.sld.cu/editorhome/files/2021/03/Protocolo-COVID19-Cuba_versi%C3%B3n-1.6.pdf</w:t>
        </w:r>
      </w:hyperlink>
      <w:r w:rsidRPr="00590BD0">
        <w:rPr>
          <w:rFonts w:eastAsia="SimSun"/>
          <w:lang w:val="es-CU" w:eastAsia="zh-CN"/>
        </w:rPr>
        <w:t xml:space="preserve"> </w:t>
      </w:r>
    </w:p>
    <w:p w14:paraId="1AA7B55B" w14:textId="77777777" w:rsidR="00590BD0" w:rsidRPr="00590BD0" w:rsidRDefault="00590BD0" w:rsidP="00590BD0">
      <w:pPr>
        <w:widowControl w:val="0"/>
        <w:suppressAutoHyphens/>
        <w:spacing w:line="360" w:lineRule="auto"/>
        <w:rPr>
          <w:rFonts w:eastAsia="SimSun"/>
          <w:lang w:val="es-CU" w:eastAsia="zh-CN"/>
        </w:rPr>
      </w:pPr>
      <w:r w:rsidRPr="00590BD0">
        <w:rPr>
          <w:rFonts w:eastAsia="SimSun"/>
          <w:lang w:val="es-CU" w:eastAsia="zh-CN"/>
        </w:rPr>
        <w:t xml:space="preserve">9. León Álvarez </w:t>
      </w:r>
      <w:proofErr w:type="spellStart"/>
      <w:r w:rsidRPr="00590BD0">
        <w:rPr>
          <w:rFonts w:eastAsia="SimSun"/>
          <w:lang w:val="es-CU" w:eastAsia="zh-CN"/>
        </w:rPr>
        <w:t>JL</w:t>
      </w:r>
      <w:proofErr w:type="spellEnd"/>
      <w:r w:rsidRPr="00590BD0">
        <w:rPr>
          <w:rFonts w:eastAsia="SimSun"/>
          <w:lang w:val="es-CU" w:eastAsia="zh-CN"/>
        </w:rPr>
        <w:t xml:space="preserve">, Calderón Martínez M, Gutiérrez Rojas AR. Análisis de mortalidad y comorbilidad por </w:t>
      </w:r>
      <w:proofErr w:type="spellStart"/>
      <w:r w:rsidRPr="00590BD0">
        <w:rPr>
          <w:rFonts w:eastAsia="SimSun"/>
          <w:lang w:val="es-CU" w:eastAsia="zh-CN"/>
        </w:rPr>
        <w:t>Covid-19</w:t>
      </w:r>
      <w:proofErr w:type="spellEnd"/>
      <w:r w:rsidRPr="00590BD0">
        <w:rPr>
          <w:rFonts w:eastAsia="SimSun"/>
          <w:lang w:val="es-CU" w:eastAsia="zh-CN"/>
        </w:rPr>
        <w:t xml:space="preserve"> en Cuba. </w:t>
      </w:r>
      <w:proofErr w:type="spellStart"/>
      <w:r w:rsidRPr="00590BD0">
        <w:rPr>
          <w:rFonts w:eastAsia="SimSun"/>
          <w:lang w:val="es-CU" w:eastAsia="zh-CN"/>
        </w:rPr>
        <w:t>Rev</w:t>
      </w:r>
      <w:proofErr w:type="spellEnd"/>
      <w:r w:rsidRPr="00590BD0">
        <w:rPr>
          <w:rFonts w:eastAsia="SimSun"/>
          <w:lang w:val="es-CU" w:eastAsia="zh-CN"/>
        </w:rPr>
        <w:t xml:space="preserve"> cubana </w:t>
      </w:r>
      <w:proofErr w:type="spellStart"/>
      <w:r w:rsidRPr="00590BD0">
        <w:rPr>
          <w:rFonts w:eastAsia="SimSun"/>
          <w:lang w:val="es-CU" w:eastAsia="zh-CN"/>
        </w:rPr>
        <w:t>med</w:t>
      </w:r>
      <w:proofErr w:type="spellEnd"/>
      <w:r w:rsidRPr="00590BD0">
        <w:rPr>
          <w:rFonts w:eastAsia="SimSun"/>
          <w:lang w:val="es-CU" w:eastAsia="zh-CN"/>
        </w:rPr>
        <w:t>. 2021 [acceso: 11/10/2021]; 60(2</w:t>
      </w:r>
      <w:proofErr w:type="gramStart"/>
      <w:r w:rsidRPr="00590BD0">
        <w:rPr>
          <w:rFonts w:eastAsia="SimSun"/>
          <w:lang w:val="es-CU" w:eastAsia="zh-CN"/>
        </w:rPr>
        <w:t>):</w:t>
      </w:r>
      <w:proofErr w:type="spellStart"/>
      <w:r w:rsidRPr="00590BD0">
        <w:rPr>
          <w:rFonts w:eastAsia="SimSun"/>
          <w:lang w:val="es-CU" w:eastAsia="zh-CN"/>
        </w:rPr>
        <w:t>e</w:t>
      </w:r>
      <w:proofErr w:type="gramEnd"/>
      <w:r w:rsidRPr="00590BD0">
        <w:rPr>
          <w:rFonts w:eastAsia="SimSun"/>
          <w:lang w:val="es-CU" w:eastAsia="zh-CN"/>
        </w:rPr>
        <w:t>2117</w:t>
      </w:r>
      <w:proofErr w:type="spellEnd"/>
      <w:r w:rsidRPr="00590BD0">
        <w:rPr>
          <w:rFonts w:eastAsia="SimSun"/>
          <w:lang w:val="es-CU" w:eastAsia="zh-CN"/>
        </w:rPr>
        <w:t xml:space="preserve">. Disponible en: </w:t>
      </w:r>
      <w:hyperlink r:id="rId23" w:history="1">
        <w:r w:rsidRPr="00590BD0">
          <w:rPr>
            <w:rFonts w:eastAsia="SimSun"/>
            <w:color w:val="0563C1"/>
            <w:u w:val="single"/>
            <w:lang w:val="es-CU" w:eastAsia="zh-CN"/>
          </w:rPr>
          <w:t>http://scielo.sld.cu/scielo.php?script=sci_arttext&amp;pid=S0034-75232021000200004&amp;lng=es</w:t>
        </w:r>
      </w:hyperlink>
      <w:r w:rsidRPr="00590BD0">
        <w:rPr>
          <w:rFonts w:eastAsia="SimSun"/>
          <w:lang w:val="es-CU" w:eastAsia="zh-CN"/>
        </w:rPr>
        <w:t xml:space="preserve">  </w:t>
      </w:r>
    </w:p>
    <w:p w14:paraId="2EE52266" w14:textId="77777777" w:rsidR="00590BD0" w:rsidRPr="00590BD0" w:rsidRDefault="00590BD0" w:rsidP="00590BD0">
      <w:pPr>
        <w:widowControl w:val="0"/>
        <w:suppressAutoHyphens/>
        <w:spacing w:line="360" w:lineRule="auto"/>
        <w:rPr>
          <w:rFonts w:eastAsia="SimSun"/>
          <w:lang w:val="es-CU" w:eastAsia="zh-CN"/>
        </w:rPr>
      </w:pPr>
      <w:r w:rsidRPr="00590BD0">
        <w:rPr>
          <w:rFonts w:eastAsia="SimSun"/>
          <w:lang w:val="en-US" w:eastAsia="zh-CN"/>
        </w:rPr>
        <w:t xml:space="preserve">10. Sun J, </w:t>
      </w:r>
      <w:proofErr w:type="spellStart"/>
      <w:r w:rsidRPr="00590BD0">
        <w:rPr>
          <w:rFonts w:eastAsia="SimSun"/>
          <w:lang w:val="en-US" w:eastAsia="zh-CN"/>
        </w:rPr>
        <w:t>Aghemo</w:t>
      </w:r>
      <w:proofErr w:type="spellEnd"/>
      <w:r w:rsidRPr="00590BD0">
        <w:rPr>
          <w:rFonts w:eastAsia="SimSun"/>
          <w:lang w:val="en-US" w:eastAsia="zh-CN"/>
        </w:rPr>
        <w:t xml:space="preserve"> A, </w:t>
      </w:r>
      <w:proofErr w:type="spellStart"/>
      <w:r w:rsidRPr="00590BD0">
        <w:rPr>
          <w:rFonts w:eastAsia="SimSun"/>
          <w:lang w:val="en-US" w:eastAsia="zh-CN"/>
        </w:rPr>
        <w:t>Forner</w:t>
      </w:r>
      <w:proofErr w:type="spellEnd"/>
      <w:r w:rsidRPr="00590BD0">
        <w:rPr>
          <w:rFonts w:eastAsia="SimSun"/>
          <w:lang w:val="en-US" w:eastAsia="zh-CN"/>
        </w:rPr>
        <w:t xml:space="preserve"> A, Luca </w:t>
      </w:r>
      <w:proofErr w:type="spellStart"/>
      <w:r w:rsidRPr="00590BD0">
        <w:rPr>
          <w:rFonts w:eastAsia="SimSun"/>
          <w:lang w:val="en-US" w:eastAsia="zh-CN"/>
        </w:rPr>
        <w:t>Valenti</w:t>
      </w:r>
      <w:proofErr w:type="spellEnd"/>
      <w:r w:rsidRPr="00590BD0">
        <w:rPr>
          <w:rFonts w:eastAsia="SimSun"/>
          <w:lang w:val="en-US" w:eastAsia="zh-CN"/>
        </w:rPr>
        <w:t xml:space="preserve"> L. COVID-19 and liver disease. </w:t>
      </w:r>
      <w:proofErr w:type="spellStart"/>
      <w:r w:rsidRPr="00590BD0">
        <w:rPr>
          <w:rFonts w:eastAsia="SimSun"/>
          <w:lang w:val="es-CU" w:eastAsia="zh-CN"/>
        </w:rPr>
        <w:t>Liver</w:t>
      </w:r>
      <w:proofErr w:type="spellEnd"/>
      <w:r w:rsidRPr="00590BD0">
        <w:rPr>
          <w:rFonts w:eastAsia="SimSun"/>
          <w:lang w:val="es-CU" w:eastAsia="zh-CN"/>
        </w:rPr>
        <w:t xml:space="preserve"> International. 2020 [</w:t>
      </w:r>
      <w:proofErr w:type="spellStart"/>
      <w:r w:rsidRPr="00590BD0">
        <w:rPr>
          <w:rFonts w:eastAsia="SimSun"/>
          <w:lang w:val="es-CU" w:eastAsia="zh-CN"/>
        </w:rPr>
        <w:t>access</w:t>
      </w:r>
      <w:proofErr w:type="spellEnd"/>
      <w:r w:rsidRPr="00590BD0">
        <w:rPr>
          <w:rFonts w:eastAsia="SimSun"/>
          <w:lang w:val="es-CU" w:eastAsia="zh-CN"/>
        </w:rPr>
        <w:t xml:space="preserve">: 08/10/2021]; 40(6):1278-81. Disponible en: </w:t>
      </w:r>
      <w:hyperlink r:id="rId24" w:history="1">
        <w:r w:rsidRPr="00590BD0">
          <w:rPr>
            <w:rFonts w:eastAsia="SimSun"/>
            <w:color w:val="0563C1"/>
            <w:u w:val="single"/>
            <w:lang w:val="es-CU" w:eastAsia="zh-CN"/>
          </w:rPr>
          <w:t>https://doi.org/10.1111/liv.14470</w:t>
        </w:r>
      </w:hyperlink>
      <w:r w:rsidRPr="00590BD0">
        <w:rPr>
          <w:rFonts w:eastAsia="SimSun"/>
          <w:lang w:val="es-CU" w:eastAsia="zh-CN"/>
        </w:rPr>
        <w:t xml:space="preserve"> </w:t>
      </w:r>
    </w:p>
    <w:p w14:paraId="276581B1" w14:textId="77777777" w:rsidR="00590BD0" w:rsidRPr="00590BD0" w:rsidRDefault="00590BD0" w:rsidP="00590BD0">
      <w:pPr>
        <w:widowControl w:val="0"/>
        <w:suppressAutoHyphens/>
        <w:spacing w:line="360" w:lineRule="auto"/>
        <w:rPr>
          <w:rFonts w:eastAsia="SimSun"/>
          <w:lang w:val="es-CU" w:eastAsia="zh-CN"/>
        </w:rPr>
      </w:pPr>
      <w:r w:rsidRPr="00590BD0">
        <w:rPr>
          <w:rFonts w:eastAsia="SimSun"/>
          <w:lang w:val="es-CU" w:eastAsia="zh-CN"/>
        </w:rPr>
        <w:t xml:space="preserve">11. Aguilar Gamboa FR, Vega Fernández JA, Suclupe Campos DO. SARS-CoV-2: mucho más que un virus respiratorio. </w:t>
      </w:r>
      <w:proofErr w:type="spellStart"/>
      <w:r w:rsidRPr="00590BD0">
        <w:rPr>
          <w:rFonts w:eastAsia="SimSun"/>
          <w:lang w:val="es-CU" w:eastAsia="zh-CN"/>
        </w:rPr>
        <w:t>Arch</w:t>
      </w:r>
      <w:proofErr w:type="spellEnd"/>
      <w:r w:rsidRPr="00590BD0">
        <w:rPr>
          <w:rFonts w:eastAsia="SimSun"/>
          <w:lang w:val="es-CU" w:eastAsia="zh-CN"/>
        </w:rPr>
        <w:t xml:space="preserve"> </w:t>
      </w:r>
      <w:proofErr w:type="spellStart"/>
      <w:r w:rsidRPr="00590BD0">
        <w:rPr>
          <w:rFonts w:eastAsia="SimSun"/>
          <w:lang w:val="es-CU" w:eastAsia="zh-CN"/>
        </w:rPr>
        <w:t>méd</w:t>
      </w:r>
      <w:proofErr w:type="spellEnd"/>
      <w:r w:rsidRPr="00590BD0">
        <w:rPr>
          <w:rFonts w:eastAsia="SimSun"/>
          <w:lang w:val="es-CU" w:eastAsia="zh-CN"/>
        </w:rPr>
        <w:t xml:space="preserve"> Camagüey. 2021 [acceso: 11/10/2021]; 25(2</w:t>
      </w:r>
      <w:proofErr w:type="gramStart"/>
      <w:r w:rsidRPr="00590BD0">
        <w:rPr>
          <w:rFonts w:eastAsia="SimSun"/>
          <w:lang w:val="es-CU" w:eastAsia="zh-CN"/>
        </w:rPr>
        <w:t>):</w:t>
      </w:r>
      <w:proofErr w:type="spellStart"/>
      <w:r w:rsidRPr="00590BD0">
        <w:rPr>
          <w:rFonts w:eastAsia="SimSun"/>
          <w:lang w:val="es-CU" w:eastAsia="zh-CN"/>
        </w:rPr>
        <w:t>e</w:t>
      </w:r>
      <w:proofErr w:type="gramEnd"/>
      <w:r w:rsidRPr="00590BD0">
        <w:rPr>
          <w:rFonts w:eastAsia="SimSun"/>
          <w:lang w:val="es-CU" w:eastAsia="zh-CN"/>
        </w:rPr>
        <w:t>801</w:t>
      </w:r>
      <w:proofErr w:type="spellEnd"/>
      <w:r w:rsidRPr="00590BD0">
        <w:rPr>
          <w:rFonts w:eastAsia="SimSun"/>
          <w:lang w:val="es-CU" w:eastAsia="zh-CN"/>
        </w:rPr>
        <w:t xml:space="preserve">. Disponible en: </w:t>
      </w:r>
      <w:hyperlink r:id="rId25" w:history="1">
        <w:r w:rsidRPr="00590BD0">
          <w:rPr>
            <w:rFonts w:eastAsia="SimSun"/>
            <w:color w:val="0563C1"/>
            <w:u w:val="single"/>
            <w:lang w:val="es-CU" w:eastAsia="zh-CN"/>
          </w:rPr>
          <w:t>http://scielo.sld.cu/scielo.php?script=sci_arttext&amp;pid=S1025-02552021000200014&amp;lng=es</w:t>
        </w:r>
      </w:hyperlink>
      <w:r w:rsidRPr="00590BD0">
        <w:rPr>
          <w:rFonts w:eastAsia="SimSun"/>
          <w:lang w:val="es-CU" w:eastAsia="zh-CN"/>
        </w:rPr>
        <w:t xml:space="preserve"> </w:t>
      </w:r>
    </w:p>
    <w:p w14:paraId="7C2D2695" w14:textId="77777777" w:rsidR="00590BD0" w:rsidRPr="00590BD0" w:rsidRDefault="00590BD0" w:rsidP="00590BD0">
      <w:pPr>
        <w:widowControl w:val="0"/>
        <w:suppressAutoHyphens/>
        <w:spacing w:line="360" w:lineRule="auto"/>
        <w:rPr>
          <w:rFonts w:eastAsia="SimSun"/>
          <w:lang w:val="es-CU" w:eastAsia="zh-CN"/>
        </w:rPr>
      </w:pPr>
      <w:r w:rsidRPr="00590BD0">
        <w:rPr>
          <w:rFonts w:eastAsia="SimSun"/>
          <w:lang w:val="es-CU" w:eastAsia="zh-CN"/>
        </w:rPr>
        <w:t xml:space="preserve">12. Almeida Costa T, Cunha Lima MA, </w:t>
      </w:r>
      <w:proofErr w:type="spellStart"/>
      <w:r w:rsidRPr="00590BD0">
        <w:rPr>
          <w:rFonts w:eastAsia="SimSun"/>
          <w:lang w:val="es-CU" w:eastAsia="zh-CN"/>
        </w:rPr>
        <w:t>Kniess</w:t>
      </w:r>
      <w:proofErr w:type="spellEnd"/>
      <w:r w:rsidRPr="00590BD0">
        <w:rPr>
          <w:rFonts w:eastAsia="SimSun"/>
          <w:lang w:val="es-CU" w:eastAsia="zh-CN"/>
        </w:rPr>
        <w:t xml:space="preserve"> I, Marques Vieira L, </w:t>
      </w:r>
      <w:proofErr w:type="spellStart"/>
      <w:r w:rsidRPr="00590BD0">
        <w:rPr>
          <w:rFonts w:eastAsia="SimSun"/>
          <w:lang w:val="es-CU" w:eastAsia="zh-CN"/>
        </w:rPr>
        <w:t>Delmondes</w:t>
      </w:r>
      <w:proofErr w:type="spellEnd"/>
      <w:r w:rsidRPr="00590BD0">
        <w:rPr>
          <w:rFonts w:eastAsia="SimSun"/>
          <w:lang w:val="es-CU" w:eastAsia="zh-CN"/>
        </w:rPr>
        <w:t xml:space="preserve"> Freitas </w:t>
      </w:r>
      <w:proofErr w:type="spellStart"/>
      <w:r w:rsidRPr="00590BD0">
        <w:rPr>
          <w:rFonts w:eastAsia="SimSun"/>
          <w:lang w:val="es-CU" w:eastAsia="zh-CN"/>
        </w:rPr>
        <w:t>Trindade</w:t>
      </w:r>
      <w:proofErr w:type="spellEnd"/>
      <w:r w:rsidRPr="00590BD0">
        <w:rPr>
          <w:rFonts w:eastAsia="SimSun"/>
          <w:lang w:val="es-CU" w:eastAsia="zh-CN"/>
        </w:rPr>
        <w:t xml:space="preserve"> LM. Cambios en la función hepática causados por COVID-19 y su impacto en el resultado clínico del paciente: una revisión sistemática. Rev. </w:t>
      </w:r>
      <w:proofErr w:type="spellStart"/>
      <w:r w:rsidRPr="00590BD0">
        <w:rPr>
          <w:rFonts w:eastAsia="SimSun"/>
          <w:lang w:val="es-CU" w:eastAsia="zh-CN"/>
        </w:rPr>
        <w:t>Colomb</w:t>
      </w:r>
      <w:proofErr w:type="spellEnd"/>
      <w:r w:rsidRPr="00590BD0">
        <w:rPr>
          <w:rFonts w:eastAsia="SimSun"/>
          <w:lang w:val="es-CU" w:eastAsia="zh-CN"/>
        </w:rPr>
        <w:t xml:space="preserve">. </w:t>
      </w:r>
      <w:proofErr w:type="spellStart"/>
      <w:r w:rsidRPr="00590BD0">
        <w:rPr>
          <w:rFonts w:eastAsia="SimSun"/>
          <w:lang w:val="es-CU" w:eastAsia="zh-CN"/>
        </w:rPr>
        <w:t>Gastroenterol</w:t>
      </w:r>
      <w:proofErr w:type="spellEnd"/>
      <w:r w:rsidRPr="00590BD0">
        <w:rPr>
          <w:rFonts w:eastAsia="SimSun"/>
          <w:lang w:val="es-CU" w:eastAsia="zh-CN"/>
        </w:rPr>
        <w:t>. 2021 [acceso: 11/10/2021]; 36(3):302-</w:t>
      </w:r>
      <w:r w:rsidRPr="00590BD0">
        <w:rPr>
          <w:rFonts w:eastAsia="SimSun"/>
          <w:lang w:val="es-CU" w:eastAsia="zh-CN"/>
        </w:rPr>
        <w:lastRenderedPageBreak/>
        <w:t xml:space="preserve">12. Disponible en: </w:t>
      </w:r>
      <w:hyperlink r:id="rId26" w:history="1">
        <w:r w:rsidRPr="00590BD0">
          <w:rPr>
            <w:rFonts w:eastAsia="SimSun"/>
            <w:color w:val="0563C1"/>
            <w:u w:val="single"/>
            <w:lang w:val="es-CU" w:eastAsia="zh-CN"/>
          </w:rPr>
          <w:t>https://revistagastrocol.com/index.php/rcg/article/view/713/1208</w:t>
        </w:r>
      </w:hyperlink>
      <w:r w:rsidRPr="00590BD0">
        <w:rPr>
          <w:rFonts w:eastAsia="SimSun"/>
          <w:lang w:val="es-CU" w:eastAsia="zh-CN"/>
        </w:rPr>
        <w:t xml:space="preserve"> </w:t>
      </w:r>
    </w:p>
    <w:p w14:paraId="6B2E26AD" w14:textId="77777777" w:rsidR="00590BD0" w:rsidRPr="00590BD0" w:rsidRDefault="00590BD0" w:rsidP="00590BD0">
      <w:pPr>
        <w:widowControl w:val="0"/>
        <w:suppressAutoHyphens/>
        <w:spacing w:line="360" w:lineRule="auto"/>
        <w:rPr>
          <w:rFonts w:eastAsia="SimSun"/>
          <w:lang w:val="en-US" w:eastAsia="zh-CN"/>
        </w:rPr>
      </w:pPr>
      <w:r w:rsidRPr="00590BD0">
        <w:rPr>
          <w:rFonts w:eastAsia="SimSun"/>
          <w:lang w:val="en-US" w:eastAsia="zh-CN"/>
        </w:rPr>
        <w:t xml:space="preserve">13. Kumar MP, Mishra S, Jha DK, Shukla J, Choudhury A, </w:t>
      </w:r>
      <w:proofErr w:type="spellStart"/>
      <w:r w:rsidRPr="00590BD0">
        <w:rPr>
          <w:rFonts w:eastAsia="SimSun"/>
          <w:lang w:val="en-US" w:eastAsia="zh-CN"/>
        </w:rPr>
        <w:t>Mohindra</w:t>
      </w:r>
      <w:proofErr w:type="spellEnd"/>
      <w:r w:rsidRPr="00590BD0">
        <w:rPr>
          <w:rFonts w:eastAsia="SimSun"/>
          <w:lang w:val="en-US" w:eastAsia="zh-CN"/>
        </w:rPr>
        <w:t xml:space="preserve"> R, et al. Coronavirus disease (COVID-19) and the liver: a comprehensive systematic review and meta-analysis. Hepatol Int. 2020 [access: 08/10/2021]; 14:711–22. Disponible </w:t>
      </w:r>
      <w:proofErr w:type="spellStart"/>
      <w:r w:rsidRPr="00590BD0">
        <w:rPr>
          <w:rFonts w:eastAsia="SimSun"/>
          <w:lang w:val="en-US" w:eastAsia="zh-CN"/>
        </w:rPr>
        <w:t>en</w:t>
      </w:r>
      <w:proofErr w:type="spellEnd"/>
      <w:r w:rsidRPr="00590BD0">
        <w:rPr>
          <w:rFonts w:eastAsia="SimSun"/>
          <w:lang w:val="en-US" w:eastAsia="zh-CN"/>
        </w:rPr>
        <w:t xml:space="preserve">: </w:t>
      </w:r>
      <w:hyperlink r:id="rId27" w:history="1">
        <w:r w:rsidRPr="00590BD0">
          <w:rPr>
            <w:rFonts w:eastAsia="SimSun"/>
            <w:color w:val="0563C1"/>
            <w:u w:val="single"/>
            <w:lang w:val="en-US" w:eastAsia="zh-CN"/>
          </w:rPr>
          <w:t>https://doi.org/10.1007/s12072-020-10071-9</w:t>
        </w:r>
      </w:hyperlink>
      <w:r w:rsidRPr="00590BD0">
        <w:rPr>
          <w:rFonts w:eastAsia="SimSun"/>
          <w:lang w:val="en-US" w:eastAsia="zh-CN"/>
        </w:rPr>
        <w:t xml:space="preserve"> </w:t>
      </w:r>
    </w:p>
    <w:p w14:paraId="648EA11F" w14:textId="77777777" w:rsidR="00590BD0" w:rsidRPr="00590BD0" w:rsidRDefault="00590BD0" w:rsidP="00590BD0">
      <w:pPr>
        <w:widowControl w:val="0"/>
        <w:suppressAutoHyphens/>
        <w:spacing w:line="360" w:lineRule="auto"/>
        <w:rPr>
          <w:rFonts w:eastAsia="SimSun"/>
          <w:lang w:val="en-US" w:eastAsia="zh-CN"/>
        </w:rPr>
      </w:pPr>
      <w:r w:rsidRPr="00590BD0">
        <w:rPr>
          <w:rFonts w:eastAsia="SimSun"/>
          <w:lang w:val="en-US" w:eastAsia="zh-CN"/>
        </w:rPr>
        <w:t xml:space="preserve">14. Fan Z, Chen L, Li J, Tian C, </w:t>
      </w:r>
      <w:proofErr w:type="spellStart"/>
      <w:r w:rsidRPr="00590BD0">
        <w:rPr>
          <w:rFonts w:eastAsia="SimSun"/>
          <w:lang w:val="en-US" w:eastAsia="zh-CN"/>
        </w:rPr>
        <w:t>Yajun</w:t>
      </w:r>
      <w:proofErr w:type="spellEnd"/>
      <w:r w:rsidRPr="00590BD0">
        <w:rPr>
          <w:rFonts w:eastAsia="SimSun"/>
          <w:lang w:val="en-US" w:eastAsia="zh-CN"/>
        </w:rPr>
        <w:t xml:space="preserve"> Z, Huang S, Liu Z, Cheng J. Clinical Features of COVID-19. Related liver functional abnormality. Clinical Gastroenterol and Hepatol.  2020 [</w:t>
      </w:r>
      <w:proofErr w:type="spellStart"/>
      <w:r w:rsidRPr="00590BD0">
        <w:rPr>
          <w:rFonts w:eastAsia="SimSun"/>
          <w:lang w:val="en-US" w:eastAsia="zh-CN"/>
        </w:rPr>
        <w:t>acceso</w:t>
      </w:r>
      <w:proofErr w:type="spellEnd"/>
      <w:r w:rsidRPr="00590BD0">
        <w:rPr>
          <w:rFonts w:eastAsia="SimSun"/>
          <w:lang w:val="en-US" w:eastAsia="zh-CN"/>
        </w:rPr>
        <w:t xml:space="preserve">: 10/10/2021]; 18(7):1561–6. Disponible </w:t>
      </w:r>
      <w:proofErr w:type="spellStart"/>
      <w:r w:rsidRPr="00590BD0">
        <w:rPr>
          <w:rFonts w:eastAsia="SimSun"/>
          <w:lang w:val="en-US" w:eastAsia="zh-CN"/>
        </w:rPr>
        <w:t>en</w:t>
      </w:r>
      <w:proofErr w:type="spellEnd"/>
      <w:r w:rsidRPr="00590BD0">
        <w:rPr>
          <w:rFonts w:eastAsia="SimSun"/>
          <w:lang w:val="en-US" w:eastAsia="zh-CN"/>
        </w:rPr>
        <w:t xml:space="preserve">: </w:t>
      </w:r>
      <w:hyperlink r:id="rId28" w:history="1">
        <w:r w:rsidRPr="00590BD0">
          <w:rPr>
            <w:rFonts w:eastAsia="SimSun"/>
            <w:color w:val="0563C1"/>
            <w:u w:val="single"/>
            <w:lang w:val="en-US" w:eastAsia="zh-CN"/>
          </w:rPr>
          <w:t>https://www.cghjournal.org/article/S1542-3565(20)30482-1/fulltext</w:t>
        </w:r>
      </w:hyperlink>
      <w:r w:rsidRPr="00590BD0">
        <w:rPr>
          <w:rFonts w:eastAsia="SimSun"/>
          <w:lang w:val="en-US" w:eastAsia="zh-CN"/>
        </w:rPr>
        <w:t xml:space="preserve"> </w:t>
      </w:r>
    </w:p>
    <w:p w14:paraId="4EC82037" w14:textId="77777777" w:rsidR="00590BD0" w:rsidRPr="00590BD0" w:rsidRDefault="00590BD0" w:rsidP="00590BD0">
      <w:pPr>
        <w:widowControl w:val="0"/>
        <w:suppressAutoHyphens/>
        <w:spacing w:line="360" w:lineRule="auto"/>
        <w:rPr>
          <w:rFonts w:eastAsia="SimSun"/>
          <w:lang w:val="en-US" w:eastAsia="zh-CN"/>
        </w:rPr>
      </w:pPr>
      <w:r w:rsidRPr="00590BD0">
        <w:rPr>
          <w:rFonts w:eastAsia="SimSun"/>
          <w:lang w:val="en-US" w:eastAsia="zh-CN"/>
        </w:rPr>
        <w:t xml:space="preserve">15. Serin I, </w:t>
      </w:r>
      <w:proofErr w:type="spellStart"/>
      <w:r w:rsidRPr="00590BD0">
        <w:rPr>
          <w:rFonts w:eastAsia="SimSun"/>
          <w:lang w:val="en-US" w:eastAsia="zh-CN"/>
        </w:rPr>
        <w:t>Didem</w:t>
      </w:r>
      <w:proofErr w:type="spellEnd"/>
      <w:r w:rsidRPr="00590BD0">
        <w:rPr>
          <w:rFonts w:eastAsia="SimSun"/>
          <w:lang w:val="en-US" w:eastAsia="zh-CN"/>
        </w:rPr>
        <w:t xml:space="preserve"> N, </w:t>
      </w:r>
      <w:proofErr w:type="spellStart"/>
      <w:r w:rsidRPr="00590BD0">
        <w:rPr>
          <w:rFonts w:eastAsia="SimSun"/>
          <w:lang w:val="en-US" w:eastAsia="zh-CN"/>
        </w:rPr>
        <w:t>Hilmi</w:t>
      </w:r>
      <w:proofErr w:type="spellEnd"/>
      <w:r w:rsidRPr="00590BD0">
        <w:rPr>
          <w:rFonts w:eastAsia="SimSun"/>
          <w:lang w:val="en-US" w:eastAsia="zh-CN"/>
        </w:rPr>
        <w:t xml:space="preserve"> M, </w:t>
      </w:r>
      <w:proofErr w:type="spellStart"/>
      <w:r w:rsidRPr="00590BD0">
        <w:rPr>
          <w:rFonts w:eastAsia="SimSun"/>
          <w:lang w:val="en-US" w:eastAsia="zh-CN"/>
        </w:rPr>
        <w:t>Damla</w:t>
      </w:r>
      <w:proofErr w:type="spellEnd"/>
      <w:r w:rsidRPr="00590BD0">
        <w:rPr>
          <w:rFonts w:eastAsia="SimSun"/>
          <w:lang w:val="en-US" w:eastAsia="zh-CN"/>
        </w:rPr>
        <w:t xml:space="preserve"> S, Babur G, </w:t>
      </w:r>
      <w:proofErr w:type="spellStart"/>
      <w:r w:rsidRPr="00590BD0">
        <w:rPr>
          <w:rFonts w:eastAsia="SimSun"/>
          <w:lang w:val="en-US" w:eastAsia="zh-CN"/>
        </w:rPr>
        <w:t>Ulusoy</w:t>
      </w:r>
      <w:proofErr w:type="spellEnd"/>
      <w:r w:rsidRPr="00590BD0">
        <w:rPr>
          <w:rFonts w:eastAsia="SimSun"/>
          <w:lang w:val="en-US" w:eastAsia="zh-CN"/>
        </w:rPr>
        <w:t xml:space="preserve"> A, et al. A new parameter in COVID-19 pandemic: initial lactate dehydrogenase (</w:t>
      </w:r>
      <w:proofErr w:type="spellStart"/>
      <w:r w:rsidRPr="00590BD0">
        <w:rPr>
          <w:rFonts w:eastAsia="SimSun"/>
          <w:lang w:val="en-US" w:eastAsia="zh-CN"/>
        </w:rPr>
        <w:t>LDH</w:t>
      </w:r>
      <w:proofErr w:type="spellEnd"/>
      <w:r w:rsidRPr="00590BD0">
        <w:rPr>
          <w:rFonts w:eastAsia="SimSun"/>
          <w:lang w:val="en-US" w:eastAsia="zh-CN"/>
        </w:rPr>
        <w:t xml:space="preserve">)/Lymphocyte ratio for diagnosis and mortality. Journal of Infection and Public Health. 2020 [access: 08/10/2021]; 13(11):1664–70. Disponible </w:t>
      </w:r>
      <w:proofErr w:type="spellStart"/>
      <w:r w:rsidRPr="00590BD0">
        <w:rPr>
          <w:rFonts w:eastAsia="SimSun"/>
          <w:lang w:val="en-US" w:eastAsia="zh-CN"/>
        </w:rPr>
        <w:t>en</w:t>
      </w:r>
      <w:proofErr w:type="spellEnd"/>
      <w:r w:rsidRPr="00590BD0">
        <w:rPr>
          <w:rFonts w:eastAsia="SimSun"/>
          <w:lang w:val="en-US" w:eastAsia="zh-CN"/>
        </w:rPr>
        <w:t xml:space="preserve">: </w:t>
      </w:r>
      <w:hyperlink r:id="rId29" w:history="1">
        <w:r w:rsidRPr="00590BD0">
          <w:rPr>
            <w:rFonts w:eastAsia="SimSun"/>
            <w:color w:val="0563C1"/>
            <w:u w:val="single"/>
            <w:lang w:val="en-US" w:eastAsia="zh-CN"/>
          </w:rPr>
          <w:t>https://doi.org/10.1016/j.jiph.2020.09.009</w:t>
        </w:r>
      </w:hyperlink>
      <w:r w:rsidRPr="00590BD0">
        <w:rPr>
          <w:rFonts w:eastAsia="SimSun"/>
          <w:lang w:val="en-US" w:eastAsia="zh-CN"/>
        </w:rPr>
        <w:t xml:space="preserve"> </w:t>
      </w:r>
    </w:p>
    <w:p w14:paraId="6E88C4C8" w14:textId="77777777" w:rsidR="00590BD0" w:rsidRPr="00590BD0" w:rsidRDefault="00590BD0" w:rsidP="00590BD0">
      <w:pPr>
        <w:widowControl w:val="0"/>
        <w:suppressAutoHyphens/>
        <w:spacing w:line="360" w:lineRule="auto"/>
        <w:rPr>
          <w:rFonts w:eastAsia="SimSun"/>
          <w:lang w:val="es-CU" w:eastAsia="zh-CN"/>
        </w:rPr>
      </w:pPr>
      <w:r w:rsidRPr="00590BD0">
        <w:rPr>
          <w:rFonts w:eastAsia="SimSun"/>
          <w:lang w:val="es-CU" w:eastAsia="zh-CN"/>
        </w:rPr>
        <w:t xml:space="preserve">16. </w:t>
      </w:r>
      <w:proofErr w:type="spellStart"/>
      <w:r w:rsidRPr="00590BD0">
        <w:rPr>
          <w:rFonts w:eastAsia="SimSun"/>
          <w:lang w:val="es-CU" w:eastAsia="zh-CN"/>
        </w:rPr>
        <w:t>Lambis</w:t>
      </w:r>
      <w:proofErr w:type="spellEnd"/>
      <w:r w:rsidRPr="00590BD0">
        <w:rPr>
          <w:rFonts w:eastAsia="SimSun"/>
          <w:lang w:val="es-CU" w:eastAsia="zh-CN"/>
        </w:rPr>
        <w:t xml:space="preserve"> L, Belisario Solana </w:t>
      </w:r>
      <w:proofErr w:type="spellStart"/>
      <w:r w:rsidRPr="00590BD0">
        <w:rPr>
          <w:rFonts w:eastAsia="SimSun"/>
          <w:lang w:val="es-CU" w:eastAsia="zh-CN"/>
        </w:rPr>
        <w:t>JB</w:t>
      </w:r>
      <w:proofErr w:type="spellEnd"/>
      <w:r w:rsidRPr="00590BD0">
        <w:rPr>
          <w:rFonts w:eastAsia="SimSun"/>
          <w:lang w:val="es-CU" w:eastAsia="zh-CN"/>
        </w:rPr>
        <w:t xml:space="preserve">, </w:t>
      </w:r>
      <w:proofErr w:type="spellStart"/>
      <w:r w:rsidRPr="00590BD0">
        <w:rPr>
          <w:rFonts w:eastAsia="SimSun"/>
          <w:lang w:val="es-CU" w:eastAsia="zh-CN"/>
        </w:rPr>
        <w:t>Gastelbondo</w:t>
      </w:r>
      <w:proofErr w:type="spellEnd"/>
      <w:r w:rsidRPr="00590BD0">
        <w:rPr>
          <w:rFonts w:eastAsia="SimSun"/>
          <w:lang w:val="es-CU" w:eastAsia="zh-CN"/>
        </w:rPr>
        <w:t xml:space="preserve"> B, Romero D, Garrido D, Puello W, et al. Factores de riesgo asociados a hígado graso de origen no alcohólico en una población del Caribe Colombiano. </w:t>
      </w:r>
      <w:proofErr w:type="spellStart"/>
      <w:r w:rsidRPr="00590BD0">
        <w:rPr>
          <w:rFonts w:eastAsia="SimSun"/>
          <w:lang w:val="es-CU" w:eastAsia="zh-CN"/>
        </w:rPr>
        <w:t>Rev</w:t>
      </w:r>
      <w:proofErr w:type="spellEnd"/>
      <w:r w:rsidRPr="00590BD0">
        <w:rPr>
          <w:rFonts w:eastAsia="SimSun"/>
          <w:lang w:val="es-CU" w:eastAsia="zh-CN"/>
        </w:rPr>
        <w:t xml:space="preserve"> Col </w:t>
      </w:r>
      <w:proofErr w:type="spellStart"/>
      <w:r w:rsidRPr="00590BD0">
        <w:rPr>
          <w:rFonts w:eastAsia="SimSun"/>
          <w:lang w:val="es-CU" w:eastAsia="zh-CN"/>
        </w:rPr>
        <w:t>Gastroenterol</w:t>
      </w:r>
      <w:proofErr w:type="spellEnd"/>
      <w:r w:rsidRPr="00590BD0">
        <w:rPr>
          <w:rFonts w:eastAsia="SimSun"/>
          <w:lang w:val="es-CU" w:eastAsia="zh-CN"/>
        </w:rPr>
        <w:t xml:space="preserve">. 2016 [acceso: 08/10/2021]; 31(2):89-95. Disponible en: </w:t>
      </w:r>
      <w:hyperlink r:id="rId30" w:history="1">
        <w:r w:rsidRPr="00590BD0">
          <w:rPr>
            <w:rFonts w:eastAsia="SimSun"/>
            <w:color w:val="0563C1"/>
            <w:u w:val="single"/>
            <w:lang w:val="es-CU" w:eastAsia="zh-CN"/>
          </w:rPr>
          <w:t>http://www.scielo.org.co/scielo.php?script=sci_arttext&amp;pid=S0120-99572016000200001&amp;lng=en</w:t>
        </w:r>
      </w:hyperlink>
      <w:r w:rsidRPr="00590BD0">
        <w:rPr>
          <w:rFonts w:eastAsia="SimSun"/>
          <w:lang w:val="es-CU" w:eastAsia="zh-CN"/>
        </w:rPr>
        <w:t xml:space="preserve"> </w:t>
      </w:r>
    </w:p>
    <w:p w14:paraId="0FF20E97" w14:textId="77777777" w:rsidR="00590BD0" w:rsidRPr="00590BD0" w:rsidRDefault="00590BD0" w:rsidP="00590BD0">
      <w:pPr>
        <w:widowControl w:val="0"/>
        <w:suppressAutoHyphens/>
        <w:spacing w:line="360" w:lineRule="auto"/>
        <w:rPr>
          <w:rFonts w:eastAsia="SimSun"/>
          <w:lang w:val="es-CU" w:eastAsia="zh-CN"/>
        </w:rPr>
      </w:pPr>
      <w:r w:rsidRPr="00590BD0">
        <w:rPr>
          <w:rFonts w:eastAsia="SimSun"/>
          <w:lang w:val="es-CU" w:eastAsia="zh-CN"/>
        </w:rPr>
        <w:t xml:space="preserve">17. </w:t>
      </w:r>
      <w:proofErr w:type="spellStart"/>
      <w:r w:rsidRPr="00590BD0">
        <w:rPr>
          <w:rFonts w:eastAsia="SimSun"/>
          <w:lang w:val="es-CU" w:eastAsia="zh-CN"/>
        </w:rPr>
        <w:t>Zinellu</w:t>
      </w:r>
      <w:proofErr w:type="spellEnd"/>
      <w:r w:rsidRPr="00590BD0">
        <w:rPr>
          <w:rFonts w:eastAsia="SimSun"/>
          <w:lang w:val="es-CU" w:eastAsia="zh-CN"/>
        </w:rPr>
        <w:t xml:space="preserve"> A, </w:t>
      </w:r>
      <w:proofErr w:type="spellStart"/>
      <w:r w:rsidRPr="00590BD0">
        <w:rPr>
          <w:rFonts w:eastAsia="SimSun"/>
          <w:lang w:val="es-CU" w:eastAsia="zh-CN"/>
        </w:rPr>
        <w:t>Arru</w:t>
      </w:r>
      <w:proofErr w:type="spellEnd"/>
      <w:r w:rsidRPr="00590BD0">
        <w:rPr>
          <w:rFonts w:eastAsia="SimSun"/>
          <w:lang w:val="es-CU" w:eastAsia="zh-CN"/>
        </w:rPr>
        <w:t xml:space="preserve"> F, De Vito A., </w:t>
      </w:r>
      <w:proofErr w:type="spellStart"/>
      <w:r w:rsidRPr="00590BD0">
        <w:rPr>
          <w:rFonts w:eastAsia="SimSun"/>
          <w:lang w:val="es-CU" w:eastAsia="zh-CN"/>
        </w:rPr>
        <w:t>Sassu</w:t>
      </w:r>
      <w:proofErr w:type="spellEnd"/>
      <w:r w:rsidRPr="00590BD0">
        <w:rPr>
          <w:rFonts w:eastAsia="SimSun"/>
          <w:lang w:val="es-CU" w:eastAsia="zh-CN"/>
        </w:rPr>
        <w:t xml:space="preserve"> A, Valdés G, et al. </w:t>
      </w:r>
      <w:r w:rsidRPr="00590BD0">
        <w:rPr>
          <w:rFonts w:eastAsia="SimSun"/>
          <w:lang w:val="en-US" w:eastAsia="zh-CN"/>
        </w:rPr>
        <w:t xml:space="preserve">The De </w:t>
      </w:r>
      <w:proofErr w:type="spellStart"/>
      <w:r w:rsidRPr="00590BD0">
        <w:rPr>
          <w:rFonts w:eastAsia="SimSun"/>
          <w:lang w:val="en-US" w:eastAsia="zh-CN"/>
        </w:rPr>
        <w:t>Ritis</w:t>
      </w:r>
      <w:proofErr w:type="spellEnd"/>
      <w:r w:rsidRPr="00590BD0">
        <w:rPr>
          <w:rFonts w:eastAsia="SimSun"/>
          <w:lang w:val="en-US" w:eastAsia="zh-CN"/>
        </w:rPr>
        <w:t xml:space="preserve"> ratio as prognostic biomarker of in-hospital mortality in COVID-19 patients. </w:t>
      </w:r>
      <w:r w:rsidRPr="00590BD0">
        <w:rPr>
          <w:rFonts w:eastAsia="SimSun"/>
          <w:lang w:val="es-CU" w:eastAsia="zh-CN"/>
        </w:rPr>
        <w:t>2020 [acceso: 11/10/2021]; 51(1</w:t>
      </w:r>
      <w:proofErr w:type="gramStart"/>
      <w:r w:rsidRPr="00590BD0">
        <w:rPr>
          <w:rFonts w:eastAsia="SimSun"/>
          <w:lang w:val="es-CU" w:eastAsia="zh-CN"/>
        </w:rPr>
        <w:t>):</w:t>
      </w:r>
      <w:proofErr w:type="spellStart"/>
      <w:r w:rsidRPr="00590BD0">
        <w:rPr>
          <w:rFonts w:eastAsia="SimSun"/>
          <w:lang w:val="es-CU" w:eastAsia="zh-CN"/>
        </w:rPr>
        <w:t>e</w:t>
      </w:r>
      <w:proofErr w:type="gramEnd"/>
      <w:r w:rsidRPr="00590BD0">
        <w:rPr>
          <w:rFonts w:eastAsia="SimSun"/>
          <w:lang w:val="es-CU" w:eastAsia="zh-CN"/>
        </w:rPr>
        <w:t>13427</w:t>
      </w:r>
      <w:proofErr w:type="spellEnd"/>
      <w:r w:rsidRPr="00590BD0">
        <w:rPr>
          <w:rFonts w:eastAsia="SimSun"/>
          <w:lang w:val="es-CU" w:eastAsia="zh-CN"/>
        </w:rPr>
        <w:t xml:space="preserve">. Disponible en: </w:t>
      </w:r>
      <w:hyperlink r:id="rId31" w:history="1">
        <w:r w:rsidRPr="00590BD0">
          <w:rPr>
            <w:rFonts w:eastAsia="SimSun"/>
            <w:color w:val="0563C1"/>
            <w:u w:val="single"/>
            <w:lang w:val="es-CU" w:eastAsia="zh-CN"/>
          </w:rPr>
          <w:t>https://doi.org/10.1111/eci.13427</w:t>
        </w:r>
      </w:hyperlink>
      <w:r w:rsidRPr="00590BD0">
        <w:rPr>
          <w:rFonts w:eastAsia="SimSun"/>
          <w:lang w:val="es-CU" w:eastAsia="zh-CN"/>
        </w:rPr>
        <w:t xml:space="preserve"> </w:t>
      </w:r>
    </w:p>
    <w:p w14:paraId="542679EA" w14:textId="77777777" w:rsidR="00590BD0" w:rsidRPr="00590BD0" w:rsidRDefault="00590BD0" w:rsidP="00590BD0">
      <w:pPr>
        <w:widowControl w:val="0"/>
        <w:suppressAutoHyphens/>
        <w:spacing w:line="360" w:lineRule="auto"/>
        <w:ind w:left="720"/>
        <w:contextualSpacing/>
        <w:jc w:val="both"/>
        <w:rPr>
          <w:rFonts w:eastAsia="SimSun"/>
          <w:lang w:val="es-CU" w:eastAsia="zh-CN"/>
        </w:rPr>
      </w:pPr>
    </w:p>
    <w:p w14:paraId="631FF5A6" w14:textId="77777777" w:rsidR="00590BD0" w:rsidRPr="00590BD0" w:rsidRDefault="00590BD0" w:rsidP="00590BD0">
      <w:pPr>
        <w:widowControl w:val="0"/>
        <w:suppressAutoHyphens/>
        <w:spacing w:line="360" w:lineRule="auto"/>
        <w:jc w:val="both"/>
        <w:rPr>
          <w:rFonts w:eastAsia="Calibri"/>
          <w:b/>
          <w:lang w:val="es-ES" w:eastAsia="en-US"/>
        </w:rPr>
      </w:pPr>
    </w:p>
    <w:p w14:paraId="5C1FD3DE" w14:textId="77777777" w:rsidR="00590BD0" w:rsidRPr="00590BD0" w:rsidRDefault="00590BD0" w:rsidP="00590BD0">
      <w:pPr>
        <w:widowControl w:val="0"/>
        <w:suppressAutoHyphens/>
        <w:spacing w:line="360" w:lineRule="auto"/>
        <w:jc w:val="center"/>
        <w:rPr>
          <w:rFonts w:eastAsia="SimSun"/>
          <w:lang w:val="es-CU" w:eastAsia="zh-CN"/>
        </w:rPr>
      </w:pPr>
      <w:r w:rsidRPr="00590BD0">
        <w:rPr>
          <w:rFonts w:eastAsia="Calibri"/>
          <w:b/>
          <w:lang w:val="es-ES" w:eastAsia="en-US"/>
        </w:rPr>
        <w:t>Conflictos de intereses</w:t>
      </w:r>
    </w:p>
    <w:p w14:paraId="4C0FE16F" w14:textId="77777777" w:rsidR="00590BD0" w:rsidRPr="00590BD0" w:rsidRDefault="00590BD0" w:rsidP="00590BD0">
      <w:pPr>
        <w:widowControl w:val="0"/>
        <w:suppressAutoHyphens/>
        <w:spacing w:line="360" w:lineRule="auto"/>
        <w:jc w:val="both"/>
        <w:rPr>
          <w:rFonts w:eastAsia="SimSun"/>
          <w:lang w:val="es-CU" w:eastAsia="zh-CN"/>
        </w:rPr>
      </w:pPr>
      <w:r w:rsidRPr="00590BD0">
        <w:rPr>
          <w:rFonts w:eastAsia="Calibri"/>
          <w:lang w:val="es-ES" w:eastAsia="en-US"/>
        </w:rPr>
        <w:t>Los autores plantean que no tienen conflictos de intereses.</w:t>
      </w:r>
    </w:p>
    <w:p w14:paraId="18484DD9" w14:textId="77777777" w:rsidR="00590BD0" w:rsidRPr="00590BD0" w:rsidRDefault="00590BD0" w:rsidP="00590BD0">
      <w:pPr>
        <w:widowControl w:val="0"/>
        <w:suppressAutoHyphens/>
        <w:spacing w:line="360" w:lineRule="auto"/>
        <w:jc w:val="both"/>
        <w:rPr>
          <w:rFonts w:eastAsia="Calibri"/>
          <w:b/>
          <w:lang w:val="es-ES" w:eastAsia="en-US"/>
        </w:rPr>
      </w:pPr>
    </w:p>
    <w:p w14:paraId="28DF2E3D" w14:textId="77777777" w:rsidR="00590BD0" w:rsidRPr="00590BD0" w:rsidRDefault="00590BD0" w:rsidP="00590BD0">
      <w:pPr>
        <w:widowControl w:val="0"/>
        <w:suppressAutoHyphens/>
        <w:spacing w:line="360" w:lineRule="auto"/>
        <w:jc w:val="center"/>
        <w:rPr>
          <w:rFonts w:eastAsia="SimSun"/>
          <w:lang w:val="es-CU" w:eastAsia="zh-CN"/>
        </w:rPr>
      </w:pPr>
      <w:r w:rsidRPr="00590BD0">
        <w:rPr>
          <w:rFonts w:eastAsia="Calibri"/>
          <w:b/>
          <w:lang w:val="es-ES" w:eastAsia="en-US"/>
        </w:rPr>
        <w:t>Contribuciones de los autores</w:t>
      </w:r>
    </w:p>
    <w:p w14:paraId="14FD9AAD" w14:textId="77777777" w:rsidR="00590BD0" w:rsidRPr="00590BD0" w:rsidRDefault="00590BD0" w:rsidP="00590BD0">
      <w:pPr>
        <w:widowControl w:val="0"/>
        <w:spacing w:line="360" w:lineRule="auto"/>
        <w:jc w:val="both"/>
        <w:rPr>
          <w:rFonts w:eastAsia="SimSun"/>
          <w:i/>
          <w:lang w:val="es-CU" w:eastAsia="zh-CN"/>
        </w:rPr>
      </w:pPr>
      <w:r w:rsidRPr="00590BD0">
        <w:rPr>
          <w:rFonts w:eastAsia="SimSun"/>
          <w:lang w:val="es-CU" w:eastAsia="zh-CN"/>
        </w:rPr>
        <w:t xml:space="preserve">Conceptualización: </w:t>
      </w:r>
      <w:proofErr w:type="spellStart"/>
      <w:r w:rsidRPr="00590BD0">
        <w:rPr>
          <w:rFonts w:eastAsia="SimSun"/>
          <w:i/>
          <w:lang w:val="es-CU" w:eastAsia="zh-CN"/>
        </w:rPr>
        <w:t>Naivy</w:t>
      </w:r>
      <w:proofErr w:type="spellEnd"/>
      <w:r w:rsidRPr="00590BD0">
        <w:rPr>
          <w:rFonts w:eastAsia="SimSun"/>
          <w:i/>
          <w:lang w:val="es-CU" w:eastAsia="zh-CN"/>
        </w:rPr>
        <w:t xml:space="preserve"> Sánchez Vera. </w:t>
      </w:r>
    </w:p>
    <w:p w14:paraId="6023A162" w14:textId="77777777" w:rsidR="00590BD0" w:rsidRPr="00590BD0" w:rsidRDefault="00590BD0" w:rsidP="00590BD0">
      <w:pPr>
        <w:widowControl w:val="0"/>
        <w:spacing w:line="360" w:lineRule="auto"/>
        <w:jc w:val="both"/>
        <w:rPr>
          <w:rFonts w:eastAsia="SimSun"/>
          <w:lang w:val="es-CU" w:eastAsia="zh-CN"/>
        </w:rPr>
      </w:pPr>
      <w:r w:rsidRPr="00590BD0">
        <w:rPr>
          <w:rFonts w:eastAsia="SimSun"/>
          <w:lang w:val="es-CU" w:eastAsia="en-US"/>
        </w:rPr>
        <w:t>Curación de datos</w:t>
      </w:r>
      <w:r w:rsidRPr="00590BD0">
        <w:rPr>
          <w:rFonts w:eastAsia="SimSun"/>
          <w:lang w:val="es-CU" w:eastAsia="zh-CN"/>
        </w:rPr>
        <w:t>:</w:t>
      </w:r>
      <w:r w:rsidRPr="00590BD0">
        <w:rPr>
          <w:rFonts w:eastAsia="SimSun"/>
          <w:i/>
          <w:lang w:val="es-CU" w:eastAsia="zh-CN"/>
        </w:rPr>
        <w:t xml:space="preserve"> </w:t>
      </w:r>
      <w:proofErr w:type="spellStart"/>
      <w:r w:rsidRPr="00590BD0">
        <w:rPr>
          <w:rFonts w:eastAsia="SimSun"/>
          <w:i/>
          <w:lang w:val="es-CU" w:eastAsia="zh-CN"/>
        </w:rPr>
        <w:t>Naivy</w:t>
      </w:r>
      <w:proofErr w:type="spellEnd"/>
      <w:r w:rsidRPr="00590BD0">
        <w:rPr>
          <w:rFonts w:eastAsia="SimSun"/>
          <w:i/>
          <w:lang w:val="es-CU" w:eastAsia="zh-CN"/>
        </w:rPr>
        <w:t xml:space="preserve"> Sánchez Vera, </w:t>
      </w:r>
      <w:proofErr w:type="spellStart"/>
      <w:r w:rsidRPr="00590BD0">
        <w:rPr>
          <w:i/>
          <w:lang w:val="es-ES" w:eastAsia="en-US"/>
        </w:rPr>
        <w:t>Yaneisy</w:t>
      </w:r>
      <w:proofErr w:type="spellEnd"/>
      <w:r w:rsidRPr="00590BD0">
        <w:rPr>
          <w:i/>
          <w:lang w:val="es-ES" w:eastAsia="en-US"/>
        </w:rPr>
        <w:t xml:space="preserve"> Negrín Medina.</w:t>
      </w:r>
    </w:p>
    <w:p w14:paraId="51F311D4" w14:textId="77777777" w:rsidR="00590BD0" w:rsidRPr="00590BD0" w:rsidRDefault="00590BD0" w:rsidP="00590BD0">
      <w:pPr>
        <w:widowControl w:val="0"/>
        <w:spacing w:line="360" w:lineRule="auto"/>
        <w:jc w:val="both"/>
        <w:rPr>
          <w:rFonts w:eastAsia="SimSun"/>
          <w:lang w:val="es-CU" w:eastAsia="es-ES"/>
        </w:rPr>
      </w:pPr>
      <w:r w:rsidRPr="00590BD0">
        <w:rPr>
          <w:rFonts w:eastAsia="SimSun"/>
          <w:lang w:val="es-CU" w:eastAsia="zh-CN"/>
        </w:rPr>
        <w:t>Análisis formal:</w:t>
      </w:r>
      <w:r w:rsidRPr="00590BD0">
        <w:rPr>
          <w:rFonts w:eastAsia="SimSun"/>
          <w:i/>
          <w:lang w:val="es-CU" w:eastAsia="zh-CN"/>
        </w:rPr>
        <w:t xml:space="preserve"> </w:t>
      </w:r>
      <w:proofErr w:type="spellStart"/>
      <w:r w:rsidRPr="00590BD0">
        <w:rPr>
          <w:rFonts w:eastAsia="SimSun"/>
          <w:i/>
          <w:lang w:val="es-CU" w:eastAsia="zh-CN"/>
        </w:rPr>
        <w:t>Naivy</w:t>
      </w:r>
      <w:proofErr w:type="spellEnd"/>
      <w:r w:rsidRPr="00590BD0">
        <w:rPr>
          <w:rFonts w:eastAsia="SimSun"/>
          <w:i/>
          <w:lang w:val="es-CU" w:eastAsia="zh-CN"/>
        </w:rPr>
        <w:t xml:space="preserve"> Sánchez Vera, </w:t>
      </w:r>
      <w:proofErr w:type="spellStart"/>
      <w:r w:rsidRPr="00590BD0">
        <w:rPr>
          <w:i/>
          <w:lang w:val="es-ES" w:eastAsia="en-US"/>
        </w:rPr>
        <w:t>Danay</w:t>
      </w:r>
      <w:proofErr w:type="spellEnd"/>
      <w:r w:rsidRPr="00590BD0">
        <w:rPr>
          <w:i/>
          <w:lang w:val="es-ES" w:eastAsia="en-US"/>
        </w:rPr>
        <w:t xml:space="preserve"> Saavedra Hernández</w:t>
      </w:r>
      <w:r w:rsidRPr="00590BD0">
        <w:rPr>
          <w:rFonts w:eastAsia="SimSun"/>
          <w:i/>
          <w:lang w:val="es-CU" w:eastAsia="zh-CN"/>
        </w:rPr>
        <w:t>,</w:t>
      </w:r>
      <w:r w:rsidRPr="00590BD0">
        <w:rPr>
          <w:i/>
          <w:lang w:val="es-ES" w:eastAsia="en-US"/>
        </w:rPr>
        <w:t xml:space="preserve"> </w:t>
      </w:r>
      <w:proofErr w:type="spellStart"/>
      <w:r w:rsidRPr="00590BD0">
        <w:rPr>
          <w:i/>
          <w:lang w:val="es-ES" w:eastAsia="en-US"/>
        </w:rPr>
        <w:t>Yaneisy</w:t>
      </w:r>
      <w:proofErr w:type="spellEnd"/>
      <w:r w:rsidRPr="00590BD0">
        <w:rPr>
          <w:i/>
          <w:lang w:val="es-ES" w:eastAsia="en-US"/>
        </w:rPr>
        <w:t xml:space="preserve"> Negrín Medina, Iliana Rodríguez García.</w:t>
      </w:r>
    </w:p>
    <w:p w14:paraId="74FFDB10" w14:textId="77777777" w:rsidR="00590BD0" w:rsidRPr="00590BD0" w:rsidRDefault="00590BD0" w:rsidP="00590BD0">
      <w:pPr>
        <w:widowControl w:val="0"/>
        <w:spacing w:line="360" w:lineRule="auto"/>
        <w:jc w:val="both"/>
        <w:rPr>
          <w:rFonts w:eastAsia="SimSun"/>
          <w:lang w:val="es-ES" w:eastAsia="es-ES"/>
        </w:rPr>
      </w:pPr>
      <w:r w:rsidRPr="00590BD0">
        <w:rPr>
          <w:rFonts w:eastAsia="SimSun"/>
          <w:lang w:val="es-CU" w:eastAsia="zh-CN"/>
        </w:rPr>
        <w:lastRenderedPageBreak/>
        <w:t>Investigación:</w:t>
      </w:r>
      <w:r w:rsidRPr="00590BD0">
        <w:rPr>
          <w:i/>
          <w:iCs/>
          <w:lang w:val="es-CU" w:eastAsia="zh-CN"/>
        </w:rPr>
        <w:t xml:space="preserve"> </w:t>
      </w:r>
      <w:proofErr w:type="spellStart"/>
      <w:r w:rsidRPr="00590BD0">
        <w:rPr>
          <w:rFonts w:eastAsia="SimSun"/>
          <w:i/>
          <w:lang w:val="es-CU" w:eastAsia="zh-CN"/>
        </w:rPr>
        <w:t>Naivy</w:t>
      </w:r>
      <w:proofErr w:type="spellEnd"/>
      <w:r w:rsidRPr="00590BD0">
        <w:rPr>
          <w:rFonts w:eastAsia="SimSun"/>
          <w:i/>
          <w:lang w:val="es-CU" w:eastAsia="zh-CN"/>
        </w:rPr>
        <w:t xml:space="preserve"> Sánchez Vera, </w:t>
      </w:r>
      <w:proofErr w:type="spellStart"/>
      <w:r w:rsidRPr="00590BD0">
        <w:rPr>
          <w:i/>
          <w:lang w:val="es-ES" w:eastAsia="en-US"/>
        </w:rPr>
        <w:t>Danay</w:t>
      </w:r>
      <w:proofErr w:type="spellEnd"/>
      <w:r w:rsidRPr="00590BD0">
        <w:rPr>
          <w:i/>
          <w:lang w:val="es-ES" w:eastAsia="en-US"/>
        </w:rPr>
        <w:t xml:space="preserve"> Saavedra Hernández, Carlos Jorge Hidalgo Mesa.</w:t>
      </w:r>
    </w:p>
    <w:p w14:paraId="1683E7FB" w14:textId="77777777" w:rsidR="00590BD0" w:rsidRPr="00590BD0" w:rsidRDefault="00590BD0" w:rsidP="00590BD0">
      <w:pPr>
        <w:widowControl w:val="0"/>
        <w:spacing w:line="360" w:lineRule="auto"/>
        <w:jc w:val="both"/>
        <w:rPr>
          <w:rFonts w:eastAsia="SimSun"/>
          <w:lang w:val="es-CU" w:eastAsia="zh-CN"/>
        </w:rPr>
      </w:pPr>
      <w:r w:rsidRPr="00590BD0">
        <w:rPr>
          <w:rFonts w:eastAsia="SimSun"/>
          <w:lang w:val="es-CU" w:eastAsia="en-US"/>
        </w:rPr>
        <w:t>Metodología:</w:t>
      </w:r>
      <w:r w:rsidRPr="00590BD0">
        <w:rPr>
          <w:rFonts w:eastAsia="SimSun"/>
          <w:i/>
          <w:iCs/>
          <w:lang w:val="es-CU" w:eastAsia="zh-CN"/>
        </w:rPr>
        <w:t xml:space="preserve"> </w:t>
      </w:r>
      <w:proofErr w:type="spellStart"/>
      <w:r w:rsidRPr="00590BD0">
        <w:rPr>
          <w:rFonts w:eastAsia="SimSun"/>
          <w:i/>
          <w:lang w:val="es-CU" w:eastAsia="zh-CN"/>
        </w:rPr>
        <w:t>Naivy</w:t>
      </w:r>
      <w:proofErr w:type="spellEnd"/>
      <w:r w:rsidRPr="00590BD0">
        <w:rPr>
          <w:rFonts w:eastAsia="SimSun"/>
          <w:i/>
          <w:lang w:val="es-CU" w:eastAsia="zh-CN"/>
        </w:rPr>
        <w:t xml:space="preserve"> Sánchez Vera, </w:t>
      </w:r>
      <w:proofErr w:type="spellStart"/>
      <w:r w:rsidRPr="00590BD0">
        <w:rPr>
          <w:i/>
          <w:lang w:val="es-ES" w:eastAsia="en-US"/>
        </w:rPr>
        <w:t>Danay</w:t>
      </w:r>
      <w:proofErr w:type="spellEnd"/>
      <w:r w:rsidRPr="00590BD0">
        <w:rPr>
          <w:i/>
          <w:lang w:val="es-ES" w:eastAsia="en-US"/>
        </w:rPr>
        <w:t xml:space="preserve"> Saavedra Hernández.</w:t>
      </w:r>
    </w:p>
    <w:p w14:paraId="5D6742B3" w14:textId="77777777" w:rsidR="00590BD0" w:rsidRPr="00590BD0" w:rsidRDefault="00590BD0" w:rsidP="00590BD0">
      <w:pPr>
        <w:widowControl w:val="0"/>
        <w:spacing w:line="360" w:lineRule="auto"/>
        <w:jc w:val="both"/>
        <w:rPr>
          <w:rFonts w:eastAsia="SimSun"/>
          <w:lang w:val="es-CU" w:eastAsia="zh-CN"/>
        </w:rPr>
      </w:pPr>
      <w:r w:rsidRPr="00590BD0">
        <w:rPr>
          <w:rFonts w:eastAsia="SimSun"/>
          <w:lang w:val="es-CU" w:eastAsia="zh-CN"/>
        </w:rPr>
        <w:t>Redacción – borrador original:</w:t>
      </w:r>
      <w:r w:rsidRPr="00590BD0">
        <w:rPr>
          <w:rFonts w:eastAsia="SimSun"/>
          <w:i/>
          <w:lang w:val="es-CU" w:eastAsia="zh-CN"/>
        </w:rPr>
        <w:t xml:space="preserve"> </w:t>
      </w:r>
      <w:proofErr w:type="spellStart"/>
      <w:r w:rsidRPr="00590BD0">
        <w:rPr>
          <w:rFonts w:eastAsia="SimSun"/>
          <w:i/>
          <w:lang w:val="es-CU" w:eastAsia="zh-CN"/>
        </w:rPr>
        <w:t>Naivy</w:t>
      </w:r>
      <w:proofErr w:type="spellEnd"/>
      <w:r w:rsidRPr="00590BD0">
        <w:rPr>
          <w:rFonts w:eastAsia="SimSun"/>
          <w:i/>
          <w:lang w:val="es-CU" w:eastAsia="zh-CN"/>
        </w:rPr>
        <w:t xml:space="preserve"> Sánchez Vera, </w:t>
      </w:r>
      <w:r w:rsidRPr="00590BD0">
        <w:rPr>
          <w:i/>
          <w:lang w:val="es-ES" w:eastAsia="en-US"/>
        </w:rPr>
        <w:t>Carlos Jorge Hidalgo Mesa, Maykel Águila López</w:t>
      </w:r>
      <w:r w:rsidRPr="00590BD0">
        <w:rPr>
          <w:rFonts w:eastAsia="SimSun"/>
          <w:i/>
          <w:lang w:val="es-CU" w:eastAsia="zh-CN"/>
        </w:rPr>
        <w:t>.</w:t>
      </w:r>
    </w:p>
    <w:p w14:paraId="5D76C7E9" w14:textId="77777777" w:rsidR="00590BD0" w:rsidRPr="00590BD0" w:rsidRDefault="00590BD0" w:rsidP="00590BD0">
      <w:pPr>
        <w:widowControl w:val="0"/>
        <w:spacing w:line="360" w:lineRule="auto"/>
        <w:jc w:val="both"/>
        <w:rPr>
          <w:rFonts w:eastAsia="SimSun"/>
          <w:lang w:val="es-CU" w:eastAsia="zh-CN"/>
        </w:rPr>
      </w:pPr>
      <w:r w:rsidRPr="00590BD0">
        <w:rPr>
          <w:rFonts w:eastAsia="SimSun"/>
          <w:lang w:val="es-CU" w:eastAsia="en-US"/>
        </w:rPr>
        <w:t>Redacción – revisión y edición:</w:t>
      </w:r>
      <w:r w:rsidRPr="00590BD0">
        <w:rPr>
          <w:rFonts w:eastAsia="SimSun"/>
          <w:i/>
          <w:lang w:val="es-CU" w:eastAsia="zh-CN"/>
        </w:rPr>
        <w:t xml:space="preserve"> </w:t>
      </w:r>
      <w:proofErr w:type="spellStart"/>
      <w:r w:rsidRPr="00590BD0">
        <w:rPr>
          <w:rFonts w:eastAsia="SimSun"/>
          <w:i/>
          <w:lang w:val="es-CU" w:eastAsia="zh-CN"/>
        </w:rPr>
        <w:t>Naivy</w:t>
      </w:r>
      <w:proofErr w:type="spellEnd"/>
      <w:r w:rsidRPr="00590BD0">
        <w:rPr>
          <w:rFonts w:eastAsia="SimSun"/>
          <w:i/>
          <w:lang w:val="es-CU" w:eastAsia="zh-CN"/>
        </w:rPr>
        <w:t xml:space="preserve"> Sánchez Vera, </w:t>
      </w:r>
      <w:r w:rsidRPr="00590BD0">
        <w:rPr>
          <w:i/>
          <w:lang w:val="es-ES" w:eastAsia="en-US"/>
        </w:rPr>
        <w:t>Maykel Águila López</w:t>
      </w:r>
      <w:r w:rsidRPr="00590BD0">
        <w:rPr>
          <w:rFonts w:eastAsia="SimSun"/>
          <w:i/>
          <w:lang w:val="es-CU" w:eastAsia="zh-CN"/>
        </w:rPr>
        <w:t>.</w:t>
      </w:r>
    </w:p>
    <w:p w14:paraId="7FF859CE" w14:textId="77777777" w:rsidR="00675476" w:rsidRPr="0055115D" w:rsidRDefault="00675476" w:rsidP="00EA1FEF">
      <w:pPr>
        <w:pStyle w:val="PDFRevista"/>
      </w:pPr>
    </w:p>
    <w:sectPr w:rsidR="00675476" w:rsidRPr="0055115D" w:rsidSect="00FD3DF8">
      <w:headerReference w:type="default" r:id="rId32"/>
      <w:footerReference w:type="even" r:id="rId33"/>
      <w:footerReference w:type="default" r:id="rId3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C098" w14:textId="77777777" w:rsidR="00CF4517" w:rsidRDefault="00CF4517">
      <w:r>
        <w:separator/>
      </w:r>
    </w:p>
  </w:endnote>
  <w:endnote w:type="continuationSeparator" w:id="0">
    <w:p w14:paraId="475F5657" w14:textId="77777777" w:rsidR="00CF4517" w:rsidRDefault="00CF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0069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3C9C04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7B630" w14:textId="61F75C21" w:rsidR="000F3690" w:rsidRPr="00AE044C" w:rsidRDefault="00590BD0"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7429650" wp14:editId="6DB2085A">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0B8F54"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68546F3"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1FFA753"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7C30D32" w14:textId="1DC921F1"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590BD0" w:rsidRPr="00590BD0">
      <w:rPr>
        <w:rFonts w:ascii="Verdana" w:hAnsi="Verdana"/>
        <w:noProof/>
        <w:sz w:val="18"/>
        <w:szCs w:val="18"/>
        <w:lang w:val="en-US" w:eastAsia="en-US"/>
      </w:rPr>
      <w:drawing>
        <wp:inline distT="0" distB="0" distL="0" distR="0" wp14:anchorId="108D488B" wp14:editId="580047A3">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A70DA" w14:textId="77777777" w:rsidR="00CF4517" w:rsidRDefault="00CF4517">
      <w:r>
        <w:separator/>
      </w:r>
    </w:p>
  </w:footnote>
  <w:footnote w:type="continuationSeparator" w:id="0">
    <w:p w14:paraId="2437DDEB" w14:textId="77777777" w:rsidR="00CF4517" w:rsidRDefault="00CF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DD71" w14:textId="0FB1EA68" w:rsidR="00CC376A" w:rsidRPr="00AE044C" w:rsidRDefault="00590BD0"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0F322F52" wp14:editId="6D7A80F3">
          <wp:simplePos x="0" y="0"/>
          <wp:positionH relativeFrom="column">
            <wp:posOffset>2540</wp:posOffset>
          </wp:positionH>
          <wp:positionV relativeFrom="paragraph">
            <wp:posOffset>-598805</wp:posOffset>
          </wp:positionV>
          <wp:extent cx="6333490" cy="593725"/>
          <wp:effectExtent l="0" t="0" r="0" b="0"/>
          <wp:wrapNone/>
          <wp:docPr id="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e02201994</w:t>
    </w:r>
    <w:proofErr w:type="spellEnd"/>
  </w:p>
  <w:p w14:paraId="3BDCF292" w14:textId="2E56609F" w:rsidR="00A477DE" w:rsidRDefault="00590BD0">
    <w:r>
      <w:rPr>
        <w:noProof/>
      </w:rPr>
      <mc:AlternateContent>
        <mc:Choice Requires="wps">
          <w:drawing>
            <wp:anchor distT="0" distB="0" distL="114300" distR="114300" simplePos="0" relativeHeight="251654144" behindDoc="0" locked="0" layoutInCell="1" allowOverlap="1" wp14:anchorId="134E2087" wp14:editId="43BC6AB4">
              <wp:simplePos x="0" y="0"/>
              <wp:positionH relativeFrom="column">
                <wp:posOffset>635</wp:posOffset>
              </wp:positionH>
              <wp:positionV relativeFrom="paragraph">
                <wp:posOffset>42545</wp:posOffset>
              </wp:positionV>
              <wp:extent cx="6307455" cy="28575"/>
              <wp:effectExtent l="19050" t="19050" r="17145" b="9525"/>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DD2A45" id="Conector recto 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402D"/>
    <w:multiLevelType w:val="hybridMultilevel"/>
    <w:tmpl w:val="EE1EBB2E"/>
    <w:lvl w:ilvl="0" w:tplc="4E9AB8C0">
      <w:start w:val="1"/>
      <w:numFmt w:val="decimal"/>
      <w:lvlText w:val="%1."/>
      <w:lvlJc w:val="left"/>
      <w:pPr>
        <w:ind w:left="720" w:hanging="360"/>
      </w:pPr>
      <w:rPr>
        <w:b w:val="0"/>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9F74AD"/>
    <w:multiLevelType w:val="multilevel"/>
    <w:tmpl w:val="D80E50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E246A47"/>
    <w:multiLevelType w:val="multilevel"/>
    <w:tmpl w:val="EDC4FC7A"/>
    <w:lvl w:ilvl="0">
      <w:start w:val="1"/>
      <w:numFmt w:val="decimal"/>
      <w:lvlText w:val="%1."/>
      <w:lvlJc w:val="left"/>
      <w:pPr>
        <w:tabs>
          <w:tab w:val="num" w:pos="0"/>
        </w:tabs>
        <w:ind w:left="720" w:hanging="360"/>
      </w:pPr>
      <w:rPr>
        <w:b w:val="0"/>
        <w:color w:val="00000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2ED430F"/>
    <w:multiLevelType w:val="hybridMultilevel"/>
    <w:tmpl w:val="A4F6EE7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45C26D50"/>
    <w:multiLevelType w:val="hybridMultilevel"/>
    <w:tmpl w:val="A76C52D2"/>
    <w:lvl w:ilvl="0" w:tplc="A65EEF46">
      <w:start w:val="1"/>
      <w:numFmt w:val="decimal"/>
      <w:lvlText w:val="%1."/>
      <w:lvlJc w:val="left"/>
      <w:pPr>
        <w:ind w:left="720" w:hanging="360"/>
      </w:pPr>
      <w:rPr>
        <w:rFonts w:ascii="Times New Roman" w:hAnsi="Times New Roman" w:cs="Times New Roman" w:hint="default"/>
        <w:sz w:val="24"/>
        <w:szCs w:val="24"/>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5"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5BF51CD9"/>
    <w:multiLevelType w:val="hybridMultilevel"/>
    <w:tmpl w:val="BD82C9D4"/>
    <w:lvl w:ilvl="0" w:tplc="540A000F">
      <w:start w:val="1"/>
      <w:numFmt w:val="decimal"/>
      <w:lvlText w:val="%1."/>
      <w:lvlJc w:val="left"/>
      <w:pPr>
        <w:ind w:left="720" w:hanging="360"/>
      </w:p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7" w15:restartNumberingAfterBreak="0">
    <w:nsid w:val="61EA1AAB"/>
    <w:multiLevelType w:val="hybridMultilevel"/>
    <w:tmpl w:val="73C4A0B8"/>
    <w:lvl w:ilvl="0" w:tplc="1CCE7596">
      <w:start w:val="800"/>
      <w:numFmt w:val="bullet"/>
      <w:lvlText w:val="-"/>
      <w:lvlJc w:val="left"/>
      <w:pPr>
        <w:ind w:left="720" w:hanging="360"/>
      </w:pPr>
      <w:rPr>
        <w:rFonts w:ascii="Times New Roman" w:eastAsia="SimSun" w:hAnsi="Times New Roman" w:cs="Times New Roman"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8" w15:restartNumberingAfterBreak="0">
    <w:nsid w:val="7C8666B6"/>
    <w:multiLevelType w:val="multilevel"/>
    <w:tmpl w:val="2056CCAA"/>
    <w:lvl w:ilvl="0">
      <w:start w:val="1"/>
      <w:numFmt w:val="decimal"/>
      <w:lvlText w:val="%1."/>
      <w:lvlJc w:val="left"/>
      <w:pPr>
        <w:tabs>
          <w:tab w:val="num" w:pos="0"/>
        </w:tabs>
        <w:ind w:left="720" w:hanging="360"/>
      </w:pPr>
      <w:rPr>
        <w:b w:val="0"/>
        <w:color w:val="00000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28159923">
    <w:abstractNumId w:val="5"/>
  </w:num>
  <w:num w:numId="2" w16cid:durableId="1857573640">
    <w:abstractNumId w:val="8"/>
  </w:num>
  <w:num w:numId="3" w16cid:durableId="287080301">
    <w:abstractNumId w:val="2"/>
  </w:num>
  <w:num w:numId="4" w16cid:durableId="1378892018">
    <w:abstractNumId w:val="1"/>
  </w:num>
  <w:num w:numId="5" w16cid:durableId="1647932905">
    <w:abstractNumId w:val="7"/>
  </w:num>
  <w:num w:numId="6" w16cid:durableId="1321695466">
    <w:abstractNumId w:val="0"/>
  </w:num>
  <w:num w:numId="7" w16cid:durableId="2130663273">
    <w:abstractNumId w:val="6"/>
  </w:num>
  <w:num w:numId="8" w16cid:durableId="768476054">
    <w:abstractNumId w:val="4"/>
  </w:num>
  <w:num w:numId="9" w16cid:durableId="1219168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BD0"/>
    <w:rsid w:val="00057F45"/>
    <w:rsid w:val="000C2E1B"/>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0BD0"/>
    <w:rsid w:val="005918BD"/>
    <w:rsid w:val="006173A6"/>
    <w:rsid w:val="00675476"/>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4517"/>
    <w:rsid w:val="00CF50E0"/>
    <w:rsid w:val="00D85951"/>
    <w:rsid w:val="00DD7942"/>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18148"/>
  <w15:docId w15:val="{BD8C3CBD-875B-4EBF-8B9D-1C581EB2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qFormat/>
    <w:rsid w:val="00A71E65"/>
    <w:rPr>
      <w:sz w:val="24"/>
      <w:szCs w:val="24"/>
      <w:lang w:val="es-ES_tradnl" w:eastAsia="es-ES_tradnl"/>
    </w:rPr>
  </w:style>
  <w:style w:type="character" w:customStyle="1" w:styleId="PiedepginaCar">
    <w:name w:val="Pie de página Car"/>
    <w:link w:val="Piedepgina"/>
    <w:uiPriority w:val="99"/>
    <w:qFormat/>
    <w:rsid w:val="00A71E65"/>
    <w:rPr>
      <w:sz w:val="24"/>
      <w:szCs w:val="24"/>
      <w:lang w:val="es-ES_tradnl" w:eastAsia="es-ES_tradnl"/>
    </w:rPr>
  </w:style>
  <w:style w:type="paragraph" w:styleId="Textodeglobo">
    <w:name w:val="Balloon Text"/>
    <w:basedOn w:val="Normal"/>
    <w:link w:val="TextodegloboCar"/>
    <w:uiPriority w:val="99"/>
    <w:qFormat/>
    <w:rsid w:val="00A71E65"/>
    <w:rPr>
      <w:rFonts w:ascii="Tahoma" w:hAnsi="Tahoma" w:cs="Tahoma"/>
      <w:sz w:val="16"/>
      <w:szCs w:val="16"/>
    </w:rPr>
  </w:style>
  <w:style w:type="character" w:customStyle="1" w:styleId="TextodegloboCar">
    <w:name w:val="Texto de globo Car"/>
    <w:link w:val="Textodeglobo"/>
    <w:uiPriority w:val="99"/>
    <w:qFormat/>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590BD0"/>
  </w:style>
  <w:style w:type="character" w:customStyle="1" w:styleId="TextocomentarioCar">
    <w:name w:val="Texto comentario Car"/>
    <w:link w:val="Textocomentario"/>
    <w:uiPriority w:val="99"/>
    <w:qFormat/>
    <w:rsid w:val="00590BD0"/>
    <w:rPr>
      <w:rFonts w:eastAsia="SimSun"/>
      <w:lang w:val="en-US" w:eastAsia="zh-CN"/>
    </w:rPr>
  </w:style>
  <w:style w:type="character" w:styleId="Refdecomentario">
    <w:name w:val="annotation reference"/>
    <w:uiPriority w:val="99"/>
    <w:qFormat/>
    <w:rsid w:val="00590BD0"/>
    <w:rPr>
      <w:rFonts w:ascii="Times New Roman" w:eastAsia="SimSun" w:hAnsi="Times New Roman"/>
      <w:sz w:val="16"/>
      <w:szCs w:val="16"/>
    </w:rPr>
  </w:style>
  <w:style w:type="character" w:customStyle="1" w:styleId="EnlacedeInternet">
    <w:name w:val="Enlace de Internet"/>
    <w:uiPriority w:val="99"/>
    <w:unhideWhenUsed/>
    <w:rsid w:val="00590BD0"/>
    <w:rPr>
      <w:color w:val="0000FF"/>
      <w:u w:val="single"/>
    </w:rPr>
  </w:style>
  <w:style w:type="character" w:customStyle="1" w:styleId="EnlacedeInternetvisitado">
    <w:name w:val="Enlace de Internet visitado"/>
    <w:uiPriority w:val="99"/>
    <w:semiHidden/>
    <w:unhideWhenUsed/>
    <w:qFormat/>
    <w:rsid w:val="00590BD0"/>
    <w:rPr>
      <w:color w:val="954F72"/>
      <w:u w:val="single"/>
    </w:rPr>
  </w:style>
  <w:style w:type="character" w:customStyle="1" w:styleId="AsuntodelcomentarioCar">
    <w:name w:val="Asunto del comentario Car"/>
    <w:link w:val="Asuntodelcomentario"/>
    <w:uiPriority w:val="99"/>
    <w:semiHidden/>
    <w:qFormat/>
    <w:rsid w:val="00590BD0"/>
    <w:rPr>
      <w:rFonts w:eastAsia="SimSun"/>
      <w:b/>
      <w:bCs/>
      <w:lang w:val="en-US" w:eastAsia="zh-CN"/>
    </w:rPr>
  </w:style>
  <w:style w:type="paragraph" w:styleId="Ttulo">
    <w:name w:val="Title"/>
    <w:basedOn w:val="Normal"/>
    <w:next w:val="Textoindependiente"/>
    <w:link w:val="TtuloCar"/>
    <w:qFormat/>
    <w:rsid w:val="00590BD0"/>
    <w:pPr>
      <w:keepNext/>
      <w:widowControl w:val="0"/>
      <w:suppressAutoHyphens/>
      <w:spacing w:before="240" w:after="120"/>
      <w:jc w:val="both"/>
    </w:pPr>
    <w:rPr>
      <w:rFonts w:ascii="Liberation Sans" w:eastAsia="DejaVu Sans" w:hAnsi="Liberation Sans" w:cs="FreeSans"/>
      <w:sz w:val="28"/>
      <w:szCs w:val="28"/>
      <w:lang w:val="en-US" w:eastAsia="zh-CN"/>
    </w:rPr>
  </w:style>
  <w:style w:type="character" w:customStyle="1" w:styleId="TtuloCar">
    <w:name w:val="Título Car"/>
    <w:basedOn w:val="Fuentedeprrafopredeter"/>
    <w:link w:val="Ttulo"/>
    <w:rsid w:val="00590BD0"/>
    <w:rPr>
      <w:rFonts w:ascii="Liberation Sans" w:eastAsia="DejaVu Sans" w:hAnsi="Liberation Sans" w:cs="FreeSans"/>
      <w:sz w:val="28"/>
      <w:szCs w:val="28"/>
      <w:lang w:val="en-US" w:eastAsia="zh-CN"/>
    </w:rPr>
  </w:style>
  <w:style w:type="paragraph" w:styleId="Textoindependiente">
    <w:name w:val="Body Text"/>
    <w:basedOn w:val="Normal"/>
    <w:link w:val="TextoindependienteCar"/>
    <w:rsid w:val="00590BD0"/>
    <w:pPr>
      <w:widowControl w:val="0"/>
      <w:suppressAutoHyphens/>
      <w:spacing w:after="140" w:line="288" w:lineRule="auto"/>
      <w:jc w:val="both"/>
    </w:pPr>
    <w:rPr>
      <w:rFonts w:eastAsia="SimSun"/>
      <w:sz w:val="21"/>
      <w:szCs w:val="20"/>
      <w:lang w:val="en-US" w:eastAsia="zh-CN"/>
    </w:rPr>
  </w:style>
  <w:style w:type="character" w:customStyle="1" w:styleId="TextoindependienteCar">
    <w:name w:val="Texto independiente Car"/>
    <w:basedOn w:val="Fuentedeprrafopredeter"/>
    <w:link w:val="Textoindependiente"/>
    <w:rsid w:val="00590BD0"/>
    <w:rPr>
      <w:rFonts w:eastAsia="SimSun"/>
      <w:sz w:val="21"/>
      <w:lang w:val="en-US" w:eastAsia="zh-CN"/>
    </w:rPr>
  </w:style>
  <w:style w:type="paragraph" w:styleId="Lista">
    <w:name w:val="List"/>
    <w:basedOn w:val="Normal"/>
    <w:uiPriority w:val="99"/>
    <w:unhideWhenUsed/>
    <w:rsid w:val="00590BD0"/>
    <w:pPr>
      <w:suppressAutoHyphens/>
      <w:ind w:left="283" w:hanging="283"/>
      <w:contextualSpacing/>
    </w:pPr>
    <w:rPr>
      <w:rFonts w:ascii="Arial" w:hAnsi="Arial" w:cs="Arial"/>
      <w:sz w:val="12"/>
      <w:szCs w:val="12"/>
      <w:lang w:val="es-ES" w:eastAsia="es-ES"/>
    </w:rPr>
  </w:style>
  <w:style w:type="paragraph" w:styleId="Descripcin">
    <w:name w:val="caption"/>
    <w:basedOn w:val="Normal"/>
    <w:qFormat/>
    <w:rsid w:val="00590BD0"/>
    <w:pPr>
      <w:widowControl w:val="0"/>
      <w:suppressLineNumbers/>
      <w:suppressAutoHyphens/>
      <w:spacing w:before="120" w:after="120"/>
      <w:jc w:val="both"/>
    </w:pPr>
    <w:rPr>
      <w:rFonts w:eastAsia="SimSun" w:cs="FreeSans"/>
      <w:i/>
      <w:iCs/>
      <w:lang w:val="en-US" w:eastAsia="zh-CN"/>
    </w:rPr>
  </w:style>
  <w:style w:type="paragraph" w:customStyle="1" w:styleId="ndice">
    <w:name w:val="Índice"/>
    <w:basedOn w:val="Normal"/>
    <w:qFormat/>
    <w:rsid w:val="00590BD0"/>
    <w:pPr>
      <w:widowControl w:val="0"/>
      <w:suppressLineNumbers/>
      <w:suppressAutoHyphens/>
      <w:jc w:val="both"/>
    </w:pPr>
    <w:rPr>
      <w:rFonts w:eastAsia="SimSun" w:cs="FreeSans"/>
      <w:sz w:val="21"/>
      <w:szCs w:val="20"/>
      <w:lang w:val="en-US" w:eastAsia="zh-CN"/>
    </w:rPr>
  </w:style>
  <w:style w:type="paragraph" w:styleId="Textocomentario">
    <w:name w:val="annotation text"/>
    <w:basedOn w:val="Normal"/>
    <w:link w:val="TextocomentarioCar"/>
    <w:uiPriority w:val="99"/>
    <w:qFormat/>
    <w:rsid w:val="00590BD0"/>
    <w:pPr>
      <w:widowControl w:val="0"/>
      <w:suppressAutoHyphens/>
      <w:jc w:val="both"/>
    </w:pPr>
    <w:rPr>
      <w:rFonts w:eastAsia="SimSun"/>
      <w:sz w:val="20"/>
      <w:szCs w:val="20"/>
      <w:lang w:val="en-US" w:eastAsia="zh-CN"/>
    </w:rPr>
  </w:style>
  <w:style w:type="character" w:customStyle="1" w:styleId="TextocomentarioCar1">
    <w:name w:val="Texto comentario Car1"/>
    <w:basedOn w:val="Fuentedeprrafopredeter"/>
    <w:semiHidden/>
    <w:rsid w:val="00590BD0"/>
    <w:rPr>
      <w:lang w:val="es-ES_tradnl" w:eastAsia="es-ES_tradnl"/>
    </w:rPr>
  </w:style>
  <w:style w:type="paragraph" w:styleId="Prrafodelista">
    <w:name w:val="List Paragraph"/>
    <w:basedOn w:val="Normal"/>
    <w:uiPriority w:val="34"/>
    <w:qFormat/>
    <w:rsid w:val="00590BD0"/>
    <w:pPr>
      <w:widowControl w:val="0"/>
      <w:suppressAutoHyphens/>
      <w:ind w:left="720"/>
      <w:contextualSpacing/>
      <w:jc w:val="both"/>
    </w:pPr>
    <w:rPr>
      <w:rFonts w:eastAsia="SimSun"/>
      <w:sz w:val="21"/>
      <w:szCs w:val="20"/>
      <w:lang w:val="en-US" w:eastAsia="zh-CN"/>
    </w:rPr>
  </w:style>
  <w:style w:type="paragraph" w:customStyle="1" w:styleId="Cabeceraypie">
    <w:name w:val="Cabecera y pie"/>
    <w:basedOn w:val="Normal"/>
    <w:qFormat/>
    <w:rsid w:val="00590BD0"/>
    <w:pPr>
      <w:widowControl w:val="0"/>
      <w:suppressAutoHyphens/>
      <w:jc w:val="both"/>
    </w:pPr>
    <w:rPr>
      <w:rFonts w:eastAsia="SimSun"/>
      <w:sz w:val="21"/>
      <w:szCs w:val="20"/>
      <w:lang w:val="en-US" w:eastAsia="zh-CN"/>
    </w:rPr>
  </w:style>
  <w:style w:type="paragraph" w:styleId="Asuntodelcomentario">
    <w:name w:val="annotation subject"/>
    <w:basedOn w:val="Textocomentario"/>
    <w:link w:val="AsuntodelcomentarioCar"/>
    <w:uiPriority w:val="99"/>
    <w:semiHidden/>
    <w:unhideWhenUsed/>
    <w:qFormat/>
    <w:rsid w:val="00590BD0"/>
    <w:rPr>
      <w:b/>
      <w:bCs/>
    </w:rPr>
  </w:style>
  <w:style w:type="character" w:customStyle="1" w:styleId="AsuntodelcomentarioCar1">
    <w:name w:val="Asunto del comentario Car1"/>
    <w:basedOn w:val="TextocomentarioCar1"/>
    <w:semiHidden/>
    <w:rsid w:val="00590BD0"/>
    <w:rPr>
      <w:b/>
      <w:bCs/>
      <w:lang w:val="es-ES_tradnl" w:eastAsia="es-ES_tradnl"/>
    </w:rPr>
  </w:style>
  <w:style w:type="table" w:customStyle="1" w:styleId="Tablaconcuadrcula1">
    <w:name w:val="Tabla con cuadrícula1"/>
    <w:basedOn w:val="Tablanormal"/>
    <w:next w:val="Tablaconcuadrcula"/>
    <w:uiPriority w:val="39"/>
    <w:rsid w:val="00590BD0"/>
    <w:pPr>
      <w:suppressAutoHyphens/>
    </w:pPr>
    <w:rPr>
      <w:rFonts w:ascii="Calibri" w:eastAsia="Calibri" w:hAnsi="Calibri" w:cs="Calibri"/>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590BD0"/>
    <w:pPr>
      <w:suppressAutoHyphens/>
    </w:pPr>
    <w:rPr>
      <w:rFonts w:ascii="Calibri" w:eastAsia="SimSun" w:hAnsi="Calibri" w:cs="Calibri"/>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590BD0"/>
    <w:rPr>
      <w:color w:val="605E5C"/>
      <w:shd w:val="clear" w:color="auto" w:fill="E1DFDD"/>
    </w:rPr>
  </w:style>
  <w:style w:type="character" w:styleId="nfasis">
    <w:name w:val="Emphasis"/>
    <w:uiPriority w:val="20"/>
    <w:qFormat/>
    <w:rsid w:val="00590BD0"/>
    <w:rPr>
      <w:i/>
      <w:iCs/>
    </w:rPr>
  </w:style>
  <w:style w:type="character" w:styleId="Mencinsinresolver">
    <w:name w:val="Unresolved Mention"/>
    <w:uiPriority w:val="99"/>
    <w:semiHidden/>
    <w:unhideWhenUsed/>
    <w:rsid w:val="00590BD0"/>
    <w:rPr>
      <w:color w:val="605E5C"/>
      <w:shd w:val="clear" w:color="auto" w:fill="E1DFDD"/>
    </w:rPr>
  </w:style>
  <w:style w:type="paragraph" w:styleId="Revisin">
    <w:name w:val="Revision"/>
    <w:hidden/>
    <w:uiPriority w:val="99"/>
    <w:semiHidden/>
    <w:rsid w:val="00590BD0"/>
    <w:rPr>
      <w:rFonts w:eastAsia="SimSun"/>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445-8260" TargetMode="External"/><Relationship Id="rId13" Type="http://schemas.openxmlformats.org/officeDocument/2006/relationships/image" Target="media/image4.jpg"/><Relationship Id="rId18" Type="http://schemas.openxmlformats.org/officeDocument/2006/relationships/hyperlink" Target="http://www.scielo.org.pe/scielo.php?script=sci_arttext&amp;pid=S1022-51292020000200162&amp;lng=es" TargetMode="External"/><Relationship Id="rId26" Type="http://schemas.openxmlformats.org/officeDocument/2006/relationships/hyperlink" Target="https://revistagastrocol.com/index.php/rcg/article/view/713/1208" TargetMode="External"/><Relationship Id="rId3" Type="http://schemas.openxmlformats.org/officeDocument/2006/relationships/settings" Target="settings.xml"/><Relationship Id="rId21" Type="http://schemas.openxmlformats.org/officeDocument/2006/relationships/hyperlink" Target="https://doi.org/10.22516/25007440.535" TargetMode="External"/><Relationship Id="rId34" Type="http://schemas.openxmlformats.org/officeDocument/2006/relationships/footer" Target="footer2.xml"/><Relationship Id="rId7" Type="http://schemas.openxmlformats.org/officeDocument/2006/relationships/hyperlink" Target="https://orcid.org/0000-0002-6614-3819" TargetMode="External"/><Relationship Id="rId12" Type="http://schemas.openxmlformats.org/officeDocument/2006/relationships/image" Target="media/image3.png"/><Relationship Id="rId17" Type="http://schemas.openxmlformats.org/officeDocument/2006/relationships/hyperlink" Target="https://doi.org/10.1016/j.gastrohep.2020.06.006" TargetMode="External"/><Relationship Id="rId25" Type="http://schemas.openxmlformats.org/officeDocument/2006/relationships/hyperlink" Target="http://scielo.sld.cu/scielo.php?script=sci_arttext&amp;pid=S1025-02552021000200014&amp;lng=es"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nstituciones.sld.cu/bolcimeq/2020/05/25/dano-hepatico-por-la-covid-19/" TargetMode="External"/><Relationship Id="rId20" Type="http://schemas.openxmlformats.org/officeDocument/2006/relationships/hyperlink" Target="https://doi.org/10.1111/liv.14465" TargetMode="External"/><Relationship Id="rId29" Type="http://schemas.openxmlformats.org/officeDocument/2006/relationships/hyperlink" Target="https://doi.org/10.1016/j.jiph.2020.09.0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doi.org/10.1111/liv.14470"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cielo.sld.cu/scielo.php?script=sci_arttext&amp;pid=S1729-519X2020000300004&amp;lng=es" TargetMode="External"/><Relationship Id="rId23" Type="http://schemas.openxmlformats.org/officeDocument/2006/relationships/hyperlink" Target="http://scielo.sld.cu/scielo.php?script=sci_arttext&amp;pid=S0034-75232021000200004&amp;lng=es" TargetMode="External"/><Relationship Id="rId28" Type="http://schemas.openxmlformats.org/officeDocument/2006/relationships/hyperlink" Target="https://www.cghjournal.org/article/S1542-3565(20)30482-1/fulltext"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revistagastroenterologiamexico.org/es-manifestaciones-hepaticas-repercusion-el-paciente-articulo-S0375090620300550" TargetMode="External"/><Relationship Id="rId31" Type="http://schemas.openxmlformats.org/officeDocument/2006/relationships/hyperlink" Target="https://doi.org/10.1111/eci.13427" TargetMode="External"/><Relationship Id="rId4" Type="http://schemas.openxmlformats.org/officeDocument/2006/relationships/webSettings" Target="webSettings.xml"/><Relationship Id="rId9" Type="http://schemas.openxmlformats.org/officeDocument/2006/relationships/hyperlink" Target="mailto:naivysanchez@infomed.sld.cu" TargetMode="External"/><Relationship Id="rId14" Type="http://schemas.openxmlformats.org/officeDocument/2006/relationships/image" Target="media/image5.jpeg"/><Relationship Id="rId22" Type="http://schemas.openxmlformats.org/officeDocument/2006/relationships/hyperlink" Target="https://files.sld.cu/editorhome/files/2021/03/Protocolo-COVID19-Cuba_versi%C3%B3n-1.6.pdf" TargetMode="External"/><Relationship Id="rId27" Type="http://schemas.openxmlformats.org/officeDocument/2006/relationships/hyperlink" Target="https://doi.org/10.1007/s12072-020-10071-9" TargetMode="External"/><Relationship Id="rId30" Type="http://schemas.openxmlformats.org/officeDocument/2006/relationships/hyperlink" Target="http://www.scielo.org.co/scielo.php?script=sci_arttext&amp;pid=S0120-99572016000200001&amp;lng=en"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15</Pages>
  <Words>3981</Words>
  <Characters>21899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25829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3</cp:revision>
  <cp:lastPrinted>2022-09-08T23:18:00Z</cp:lastPrinted>
  <dcterms:created xsi:type="dcterms:W3CDTF">2022-09-08T23:15:00Z</dcterms:created>
  <dcterms:modified xsi:type="dcterms:W3CDTF">2022-09-08T23:20:00Z</dcterms:modified>
</cp:coreProperties>
</file>