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55D3D" w14:textId="77777777" w:rsidR="006419D6" w:rsidRPr="006419D6" w:rsidRDefault="006419D6" w:rsidP="006419D6">
      <w:pPr>
        <w:spacing w:line="360" w:lineRule="auto"/>
        <w:jc w:val="right"/>
        <w:rPr>
          <w:rFonts w:eastAsia="Calibri"/>
          <w:sz w:val="20"/>
          <w:szCs w:val="20"/>
          <w:lang w:val="es-PE" w:eastAsia="en-US"/>
        </w:rPr>
      </w:pPr>
      <w:r w:rsidRPr="006419D6">
        <w:rPr>
          <w:rFonts w:eastAsia="Calibri"/>
          <w:sz w:val="20"/>
          <w:szCs w:val="20"/>
          <w:lang w:val="es-PE" w:eastAsia="en-US"/>
        </w:rPr>
        <w:t>Artículo de investigación</w:t>
      </w:r>
    </w:p>
    <w:p w14:paraId="7E86C606" w14:textId="77777777" w:rsidR="006419D6" w:rsidRPr="006419D6" w:rsidRDefault="006419D6" w:rsidP="006419D6">
      <w:pPr>
        <w:spacing w:line="360" w:lineRule="auto"/>
        <w:jc w:val="right"/>
        <w:rPr>
          <w:rFonts w:eastAsia="Calibri"/>
          <w:lang w:val="es-PE" w:eastAsia="en-US"/>
        </w:rPr>
      </w:pPr>
    </w:p>
    <w:p w14:paraId="1367BE5B" w14:textId="77777777" w:rsidR="006419D6" w:rsidRPr="006419D6" w:rsidRDefault="006419D6" w:rsidP="006419D6">
      <w:pPr>
        <w:spacing w:line="360" w:lineRule="auto"/>
        <w:jc w:val="center"/>
        <w:rPr>
          <w:b/>
          <w:bCs/>
          <w:sz w:val="28"/>
          <w:szCs w:val="28"/>
          <w:lang w:val="es-PE" w:eastAsia="es-MX"/>
        </w:rPr>
      </w:pPr>
      <w:r w:rsidRPr="006419D6">
        <w:rPr>
          <w:b/>
          <w:bCs/>
          <w:sz w:val="28"/>
          <w:szCs w:val="28"/>
          <w:lang w:val="es-PE" w:eastAsia="es-MX"/>
        </w:rPr>
        <w:t xml:space="preserve">Efecto antibacteriano de dos extractos de </w:t>
      </w:r>
      <w:r w:rsidRPr="006419D6">
        <w:rPr>
          <w:b/>
          <w:bCs/>
          <w:i/>
          <w:sz w:val="28"/>
          <w:szCs w:val="28"/>
          <w:lang w:val="es-PE" w:eastAsia="es-MX"/>
        </w:rPr>
        <w:t>Erythroxylum coca</w:t>
      </w:r>
      <w:r w:rsidRPr="006419D6">
        <w:rPr>
          <w:b/>
          <w:bCs/>
          <w:sz w:val="28"/>
          <w:szCs w:val="28"/>
          <w:lang w:val="es-PE" w:eastAsia="es-MX"/>
        </w:rPr>
        <w:t xml:space="preserve"> frente a </w:t>
      </w:r>
      <w:r w:rsidRPr="006419D6">
        <w:rPr>
          <w:b/>
          <w:bCs/>
          <w:i/>
          <w:sz w:val="28"/>
          <w:szCs w:val="28"/>
          <w:lang w:val="es-PE" w:eastAsia="es-MX"/>
        </w:rPr>
        <w:t>Streptococcus mutans</w:t>
      </w:r>
      <w:r w:rsidRPr="006419D6">
        <w:rPr>
          <w:b/>
          <w:bCs/>
          <w:sz w:val="28"/>
          <w:szCs w:val="28"/>
          <w:lang w:val="es-PE" w:eastAsia="es-MX"/>
        </w:rPr>
        <w:t xml:space="preserve"> y </w:t>
      </w:r>
      <w:r w:rsidRPr="006419D6">
        <w:rPr>
          <w:b/>
          <w:bCs/>
          <w:i/>
          <w:sz w:val="28"/>
          <w:szCs w:val="28"/>
          <w:lang w:val="es-PE" w:eastAsia="es-MX"/>
        </w:rPr>
        <w:t>Lactobacillus acidophilus</w:t>
      </w:r>
    </w:p>
    <w:p w14:paraId="0DFE6B60" w14:textId="77777777" w:rsidR="006419D6" w:rsidRPr="006419D6" w:rsidRDefault="006419D6" w:rsidP="006419D6">
      <w:pPr>
        <w:spacing w:line="360" w:lineRule="auto"/>
        <w:jc w:val="center"/>
        <w:rPr>
          <w:i/>
          <w:sz w:val="28"/>
          <w:szCs w:val="28"/>
          <w:lang w:val="en-US" w:eastAsia="es-MX"/>
        </w:rPr>
      </w:pPr>
      <w:r w:rsidRPr="006419D6">
        <w:rPr>
          <w:sz w:val="28"/>
          <w:szCs w:val="28"/>
          <w:lang w:val="en-US" w:eastAsia="es-MX"/>
        </w:rPr>
        <w:t xml:space="preserve">Antibacterial effect of two extracts of </w:t>
      </w:r>
      <w:r w:rsidRPr="006419D6">
        <w:rPr>
          <w:i/>
          <w:sz w:val="28"/>
          <w:szCs w:val="28"/>
          <w:lang w:val="en-US" w:eastAsia="es-MX"/>
        </w:rPr>
        <w:t>Erythroxylum coca</w:t>
      </w:r>
      <w:r w:rsidRPr="006419D6">
        <w:rPr>
          <w:sz w:val="28"/>
          <w:szCs w:val="28"/>
          <w:lang w:val="en-US" w:eastAsia="es-MX"/>
        </w:rPr>
        <w:t xml:space="preserve"> against </w:t>
      </w:r>
      <w:r w:rsidRPr="006419D6">
        <w:rPr>
          <w:i/>
          <w:sz w:val="28"/>
          <w:szCs w:val="28"/>
          <w:lang w:val="en-US" w:eastAsia="es-MX"/>
        </w:rPr>
        <w:t>Streptococcus mutans</w:t>
      </w:r>
      <w:r w:rsidRPr="006419D6">
        <w:rPr>
          <w:sz w:val="28"/>
          <w:szCs w:val="28"/>
          <w:lang w:val="en-US" w:eastAsia="es-MX"/>
        </w:rPr>
        <w:t xml:space="preserve"> and </w:t>
      </w:r>
      <w:r w:rsidRPr="006419D6">
        <w:rPr>
          <w:i/>
          <w:sz w:val="28"/>
          <w:szCs w:val="28"/>
          <w:lang w:val="en-US" w:eastAsia="es-MX"/>
        </w:rPr>
        <w:t>Lactobacillus acidophilus</w:t>
      </w:r>
    </w:p>
    <w:p w14:paraId="7469EBD5" w14:textId="77777777" w:rsidR="006419D6" w:rsidRPr="006419D6" w:rsidRDefault="006419D6" w:rsidP="006419D6">
      <w:pPr>
        <w:spacing w:line="360" w:lineRule="auto"/>
        <w:jc w:val="center"/>
        <w:rPr>
          <w:sz w:val="28"/>
          <w:szCs w:val="28"/>
          <w:lang w:val="en-US" w:eastAsia="es-MX"/>
        </w:rPr>
      </w:pPr>
    </w:p>
    <w:p w14:paraId="1E893FCB" w14:textId="77777777" w:rsidR="006419D6" w:rsidRPr="006419D6" w:rsidRDefault="006419D6" w:rsidP="006419D6">
      <w:pPr>
        <w:spacing w:line="360" w:lineRule="auto"/>
        <w:rPr>
          <w:bCs/>
          <w:lang w:val="es-PE" w:eastAsia="es-MX"/>
        </w:rPr>
      </w:pPr>
      <w:r w:rsidRPr="006419D6">
        <w:rPr>
          <w:bCs/>
          <w:lang w:val="es-PE" w:eastAsia="es-MX"/>
        </w:rPr>
        <w:t>Bryan Alexis Cossio-Alva</w:t>
      </w:r>
      <w:r w:rsidRPr="006419D6">
        <w:rPr>
          <w:bCs/>
          <w:vertAlign w:val="superscript"/>
          <w:lang w:val="es-PE" w:eastAsia="es-MX"/>
        </w:rPr>
        <w:t>1</w:t>
      </w:r>
      <w:r w:rsidRPr="006419D6">
        <w:rPr>
          <w:bCs/>
          <w:lang w:val="es-PE" w:eastAsia="es-MX"/>
        </w:rPr>
        <w:t xml:space="preserve">* </w:t>
      </w:r>
      <w:hyperlink r:id="rId7" w:history="1">
        <w:r w:rsidRPr="006419D6">
          <w:rPr>
            <w:bCs/>
            <w:color w:val="0000FF"/>
            <w:u w:val="single"/>
            <w:lang w:val="es-PE" w:eastAsia="es-MX"/>
          </w:rPr>
          <w:t>https://orcid.org/0000-0003-1568-5324</w:t>
        </w:r>
      </w:hyperlink>
      <w:r w:rsidRPr="006419D6">
        <w:rPr>
          <w:bCs/>
          <w:lang w:val="es-PE" w:eastAsia="es-MX"/>
        </w:rPr>
        <w:t xml:space="preserve"> </w:t>
      </w:r>
    </w:p>
    <w:p w14:paraId="12611A80" w14:textId="77777777" w:rsidR="006419D6" w:rsidRPr="006419D6" w:rsidRDefault="006419D6" w:rsidP="006419D6">
      <w:pPr>
        <w:spacing w:line="360" w:lineRule="auto"/>
        <w:rPr>
          <w:bCs/>
          <w:lang w:val="es-PE" w:eastAsia="es-MX"/>
        </w:rPr>
      </w:pPr>
      <w:r w:rsidRPr="006419D6">
        <w:rPr>
          <w:bCs/>
          <w:lang w:val="es-PE" w:eastAsia="es-MX"/>
        </w:rPr>
        <w:t>Eliberto Ruiz-Ramirez</w:t>
      </w:r>
      <w:r w:rsidRPr="006419D6">
        <w:rPr>
          <w:bCs/>
          <w:vertAlign w:val="superscript"/>
          <w:lang w:val="es-PE" w:eastAsia="es-MX"/>
        </w:rPr>
        <w:t>1</w:t>
      </w:r>
      <w:r w:rsidRPr="006419D6">
        <w:rPr>
          <w:bCs/>
          <w:lang w:val="es-PE" w:eastAsia="es-MX"/>
        </w:rPr>
        <w:t xml:space="preserve"> </w:t>
      </w:r>
      <w:hyperlink r:id="rId8" w:history="1">
        <w:r w:rsidRPr="006419D6">
          <w:rPr>
            <w:bCs/>
            <w:color w:val="0000FF"/>
            <w:u w:val="single"/>
            <w:lang w:val="es-PE" w:eastAsia="es-MX"/>
          </w:rPr>
          <w:t>https://orcid.org/0000-0002-5340-7168</w:t>
        </w:r>
      </w:hyperlink>
      <w:r w:rsidRPr="006419D6">
        <w:rPr>
          <w:bCs/>
          <w:lang w:val="es-PE" w:eastAsia="es-MX"/>
        </w:rPr>
        <w:t xml:space="preserve"> </w:t>
      </w:r>
    </w:p>
    <w:p w14:paraId="32426C7A" w14:textId="77777777" w:rsidR="006419D6" w:rsidRPr="006419D6" w:rsidRDefault="006419D6" w:rsidP="006419D6">
      <w:pPr>
        <w:spacing w:line="360" w:lineRule="auto"/>
        <w:rPr>
          <w:bCs/>
          <w:lang w:val="es-PE" w:eastAsia="es-MX"/>
        </w:rPr>
      </w:pPr>
      <w:r w:rsidRPr="006419D6">
        <w:rPr>
          <w:bCs/>
          <w:lang w:val="es-PE" w:eastAsia="es-MX"/>
        </w:rPr>
        <w:t>Marco Sánchez-Tito</w:t>
      </w:r>
      <w:r w:rsidRPr="006419D6">
        <w:rPr>
          <w:bCs/>
          <w:vertAlign w:val="superscript"/>
          <w:lang w:val="es-PE" w:eastAsia="es-MX"/>
        </w:rPr>
        <w:t>2</w:t>
      </w:r>
      <w:r w:rsidRPr="006419D6">
        <w:rPr>
          <w:bCs/>
          <w:lang w:val="es-PE" w:eastAsia="es-MX"/>
        </w:rPr>
        <w:t xml:space="preserve"> </w:t>
      </w:r>
      <w:hyperlink r:id="rId9" w:history="1">
        <w:r w:rsidRPr="006419D6">
          <w:rPr>
            <w:bCs/>
            <w:color w:val="0000FF"/>
            <w:u w:val="single"/>
            <w:lang w:val="es-PE" w:eastAsia="es-MX"/>
          </w:rPr>
          <w:t>https://orcid.org/0000-0001-5886-9372</w:t>
        </w:r>
      </w:hyperlink>
      <w:r w:rsidRPr="006419D6">
        <w:rPr>
          <w:bCs/>
          <w:lang w:val="es-PE" w:eastAsia="es-MX"/>
        </w:rPr>
        <w:t xml:space="preserve"> </w:t>
      </w:r>
    </w:p>
    <w:p w14:paraId="39486534" w14:textId="77777777" w:rsidR="006419D6" w:rsidRPr="006419D6" w:rsidRDefault="006419D6" w:rsidP="006419D6">
      <w:pPr>
        <w:spacing w:line="360" w:lineRule="auto"/>
        <w:rPr>
          <w:bCs/>
          <w:lang w:val="es-PE" w:eastAsia="es-MX"/>
        </w:rPr>
      </w:pPr>
      <w:r w:rsidRPr="006419D6">
        <w:rPr>
          <w:bCs/>
          <w:lang w:val="es-PE" w:eastAsia="es-MX"/>
        </w:rPr>
        <w:t>Miguel Angel Ruiz-Barrueto</w:t>
      </w:r>
      <w:r w:rsidRPr="006419D6">
        <w:rPr>
          <w:bCs/>
          <w:vertAlign w:val="superscript"/>
          <w:lang w:val="es-PE" w:eastAsia="es-MX"/>
        </w:rPr>
        <w:t xml:space="preserve">3 </w:t>
      </w:r>
      <w:hyperlink r:id="rId10" w:history="1">
        <w:r w:rsidRPr="006419D6">
          <w:rPr>
            <w:bCs/>
            <w:color w:val="0000FF"/>
            <w:u w:val="single"/>
            <w:lang w:val="es-PE" w:eastAsia="es-MX"/>
          </w:rPr>
          <w:t>https://orcid.org/0000-0002-3373-4671</w:t>
        </w:r>
      </w:hyperlink>
      <w:r w:rsidRPr="006419D6">
        <w:rPr>
          <w:bCs/>
          <w:lang w:val="es-PE" w:eastAsia="es-MX"/>
        </w:rPr>
        <w:t xml:space="preserve"> </w:t>
      </w:r>
    </w:p>
    <w:p w14:paraId="295F5069" w14:textId="77777777" w:rsidR="006419D6" w:rsidRPr="006419D6" w:rsidRDefault="006419D6" w:rsidP="006419D6">
      <w:pPr>
        <w:spacing w:line="360" w:lineRule="auto"/>
        <w:rPr>
          <w:bCs/>
          <w:lang w:val="es-PE" w:eastAsia="es-MX"/>
        </w:rPr>
      </w:pPr>
    </w:p>
    <w:p w14:paraId="489CA1CA" w14:textId="77777777" w:rsidR="006419D6" w:rsidRPr="006419D6" w:rsidRDefault="006419D6" w:rsidP="006419D6">
      <w:pPr>
        <w:spacing w:line="360" w:lineRule="auto"/>
        <w:rPr>
          <w:bCs/>
          <w:lang w:val="es-PE" w:eastAsia="es-MX"/>
        </w:rPr>
      </w:pPr>
      <w:r w:rsidRPr="006419D6">
        <w:rPr>
          <w:bCs/>
          <w:vertAlign w:val="superscript"/>
          <w:lang w:val="es-PE" w:eastAsia="es-MX"/>
        </w:rPr>
        <w:t>1</w:t>
      </w:r>
      <w:r w:rsidRPr="006419D6">
        <w:rPr>
          <w:bCs/>
          <w:lang w:val="es-PE" w:eastAsia="es-MX"/>
        </w:rPr>
        <w:t>Universidad Científica del Sur. Lima, Perú.</w:t>
      </w:r>
    </w:p>
    <w:p w14:paraId="3BF78D76" w14:textId="77777777" w:rsidR="006419D6" w:rsidRPr="006419D6" w:rsidRDefault="006419D6" w:rsidP="006419D6">
      <w:pPr>
        <w:spacing w:line="360" w:lineRule="auto"/>
        <w:rPr>
          <w:bCs/>
          <w:lang w:val="es-PE" w:eastAsia="es-MX"/>
        </w:rPr>
      </w:pPr>
      <w:r w:rsidRPr="006419D6">
        <w:rPr>
          <w:bCs/>
          <w:vertAlign w:val="superscript"/>
          <w:lang w:val="es-PE" w:eastAsia="es-MX"/>
        </w:rPr>
        <w:t>2</w:t>
      </w:r>
      <w:r w:rsidRPr="006419D6">
        <w:rPr>
          <w:bCs/>
          <w:lang w:val="es-PE" w:eastAsia="es-MX"/>
        </w:rPr>
        <w:t>Universidad Privada de Tacna. Tacna, Perú.</w:t>
      </w:r>
    </w:p>
    <w:p w14:paraId="22FAC1DC" w14:textId="77777777" w:rsidR="006419D6" w:rsidRPr="006419D6" w:rsidRDefault="006419D6" w:rsidP="006419D6">
      <w:pPr>
        <w:spacing w:line="360" w:lineRule="auto"/>
        <w:rPr>
          <w:bCs/>
          <w:lang w:val="es-PE" w:eastAsia="es-MX"/>
        </w:rPr>
      </w:pPr>
      <w:r w:rsidRPr="006419D6">
        <w:rPr>
          <w:bCs/>
          <w:vertAlign w:val="superscript"/>
          <w:lang w:val="es-PE" w:eastAsia="es-MX"/>
        </w:rPr>
        <w:t>3</w:t>
      </w:r>
      <w:r w:rsidRPr="006419D6">
        <w:rPr>
          <w:bCs/>
          <w:lang w:val="es-PE" w:eastAsia="es-MX"/>
        </w:rPr>
        <w:t>Universidad César Vallejo. Piura, Perú.</w:t>
      </w:r>
    </w:p>
    <w:p w14:paraId="08EBCE2C" w14:textId="77777777" w:rsidR="006419D6" w:rsidRPr="006419D6" w:rsidRDefault="006419D6" w:rsidP="006419D6">
      <w:pPr>
        <w:spacing w:line="360" w:lineRule="auto"/>
        <w:rPr>
          <w:bCs/>
          <w:lang w:val="es-PE" w:eastAsia="es-MX"/>
        </w:rPr>
      </w:pPr>
    </w:p>
    <w:p w14:paraId="595118C4" w14:textId="77777777" w:rsidR="006419D6" w:rsidRPr="006419D6" w:rsidRDefault="006419D6" w:rsidP="006419D6">
      <w:pPr>
        <w:spacing w:line="360" w:lineRule="auto"/>
        <w:rPr>
          <w:bCs/>
          <w:lang w:val="es-PE" w:eastAsia="es-MX"/>
        </w:rPr>
      </w:pPr>
      <w:r w:rsidRPr="006419D6">
        <w:rPr>
          <w:bCs/>
          <w:lang w:val="es-PE" w:eastAsia="es-MX"/>
        </w:rPr>
        <w:t xml:space="preserve">*Autor para la correspondencia. Correo electrónico: </w:t>
      </w:r>
      <w:hyperlink r:id="rId11" w:history="1">
        <w:r w:rsidRPr="006419D6">
          <w:rPr>
            <w:bCs/>
            <w:color w:val="0000FF"/>
            <w:u w:val="single"/>
            <w:lang w:val="es-PE" w:eastAsia="es-MX"/>
          </w:rPr>
          <w:t>100066171@cientifica.edu.pe</w:t>
        </w:r>
      </w:hyperlink>
    </w:p>
    <w:p w14:paraId="17300C8B" w14:textId="77777777" w:rsidR="006419D6" w:rsidRPr="006419D6" w:rsidRDefault="006419D6" w:rsidP="006419D6">
      <w:pPr>
        <w:spacing w:line="360" w:lineRule="auto"/>
        <w:rPr>
          <w:bCs/>
          <w:lang w:val="es-PE" w:eastAsia="es-MX"/>
        </w:rPr>
      </w:pPr>
    </w:p>
    <w:p w14:paraId="295DF535" w14:textId="77777777" w:rsidR="006419D6" w:rsidRPr="006419D6" w:rsidRDefault="006419D6" w:rsidP="006419D6">
      <w:pPr>
        <w:spacing w:line="360" w:lineRule="auto"/>
        <w:rPr>
          <w:b/>
          <w:bCs/>
          <w:lang w:val="es-PE" w:eastAsia="es-MX"/>
        </w:rPr>
      </w:pPr>
      <w:r w:rsidRPr="006419D6">
        <w:rPr>
          <w:b/>
          <w:bCs/>
          <w:lang w:val="es-PE" w:eastAsia="es-MX"/>
        </w:rPr>
        <w:t>RESUMEN</w:t>
      </w:r>
    </w:p>
    <w:p w14:paraId="1494BB63" w14:textId="77777777" w:rsidR="006419D6" w:rsidRPr="006419D6" w:rsidRDefault="006419D6" w:rsidP="006419D6">
      <w:pPr>
        <w:spacing w:line="360" w:lineRule="auto"/>
        <w:jc w:val="both"/>
        <w:rPr>
          <w:iCs/>
          <w:lang w:val="es-PE" w:eastAsia="es-MX"/>
        </w:rPr>
      </w:pPr>
      <w:r w:rsidRPr="006419D6">
        <w:rPr>
          <w:b/>
          <w:bCs/>
          <w:lang w:val="es-PE" w:eastAsia="es-MX"/>
        </w:rPr>
        <w:t xml:space="preserve">Introducción: </w:t>
      </w:r>
      <w:r w:rsidRPr="006419D6">
        <w:rPr>
          <w:lang w:val="es-PE" w:eastAsia="es-MX"/>
        </w:rPr>
        <w:t xml:space="preserve">La hoja de </w:t>
      </w:r>
      <w:r w:rsidRPr="006419D6">
        <w:rPr>
          <w:i/>
          <w:lang w:val="es-PE" w:eastAsia="es-MX"/>
        </w:rPr>
        <w:t>Erythroxylum coca</w:t>
      </w:r>
      <w:r w:rsidRPr="006419D6">
        <w:rPr>
          <w:iCs/>
          <w:lang w:val="es-PE" w:eastAsia="es-MX"/>
        </w:rPr>
        <w:t>, se utiliza tradicionalmente en diversos países por sus bondades farmacológicas.</w:t>
      </w:r>
    </w:p>
    <w:p w14:paraId="28E5833B" w14:textId="77777777" w:rsidR="006419D6" w:rsidRPr="006419D6" w:rsidRDefault="006419D6" w:rsidP="006419D6">
      <w:pPr>
        <w:spacing w:line="360" w:lineRule="auto"/>
        <w:jc w:val="both"/>
        <w:rPr>
          <w:lang w:val="es-PE" w:eastAsia="es-MX"/>
        </w:rPr>
      </w:pPr>
      <w:r w:rsidRPr="006419D6">
        <w:rPr>
          <w:b/>
          <w:bCs/>
          <w:lang w:val="es-PE" w:eastAsia="es-MX"/>
        </w:rPr>
        <w:t xml:space="preserve">Objetivo: </w:t>
      </w:r>
      <w:r w:rsidRPr="006419D6">
        <w:rPr>
          <w:lang w:val="es-PE" w:eastAsia="es-MX"/>
        </w:rPr>
        <w:t xml:space="preserve">Comparar el efecto antibacteriano del extracto acuoso y alcohólico de hojas de </w:t>
      </w:r>
      <w:r w:rsidRPr="006419D6">
        <w:rPr>
          <w:i/>
          <w:iCs/>
          <w:lang w:val="es-PE" w:eastAsia="es-MX"/>
        </w:rPr>
        <w:t>Erythroxylum coca</w:t>
      </w:r>
      <w:r w:rsidRPr="006419D6">
        <w:rPr>
          <w:lang w:val="es-PE" w:eastAsia="es-MX"/>
        </w:rPr>
        <w:t xml:space="preserve"> frente a </w:t>
      </w:r>
      <w:r w:rsidRPr="006419D6">
        <w:rPr>
          <w:i/>
          <w:iCs/>
          <w:lang w:val="es-PE" w:eastAsia="es-MX"/>
        </w:rPr>
        <w:t>Streptococcus mutans</w:t>
      </w:r>
      <w:r w:rsidRPr="006419D6">
        <w:rPr>
          <w:lang w:val="es-PE" w:eastAsia="es-MX"/>
        </w:rPr>
        <w:t xml:space="preserve"> ATCC</w:t>
      </w:r>
      <w:r w:rsidRPr="006419D6">
        <w:rPr>
          <w:vertAlign w:val="superscript"/>
          <w:lang w:val="es-PE" w:eastAsia="es-MX"/>
        </w:rPr>
        <w:t>®</w:t>
      </w:r>
      <w:r w:rsidRPr="006419D6">
        <w:rPr>
          <w:lang w:val="es-PE" w:eastAsia="es-MX"/>
        </w:rPr>
        <w:t>35668</w:t>
      </w:r>
      <w:r w:rsidRPr="006419D6">
        <w:rPr>
          <w:vertAlign w:val="superscript"/>
          <w:lang w:val="es-PE" w:eastAsia="es-MX"/>
        </w:rPr>
        <w:t xml:space="preserve">™ </w:t>
      </w:r>
      <w:r w:rsidRPr="006419D6">
        <w:rPr>
          <w:lang w:val="es-PE" w:eastAsia="es-MX"/>
        </w:rPr>
        <w:t xml:space="preserve">y </w:t>
      </w:r>
      <w:r w:rsidRPr="006419D6">
        <w:rPr>
          <w:i/>
          <w:iCs/>
          <w:lang w:val="es-PE" w:eastAsia="es-MX"/>
        </w:rPr>
        <w:t>Lactobacillus acidophilus</w:t>
      </w:r>
      <w:r w:rsidRPr="006419D6">
        <w:rPr>
          <w:lang w:val="es-PE" w:eastAsia="es-MX"/>
        </w:rPr>
        <w:t xml:space="preserve"> ATCC</w:t>
      </w:r>
      <w:r w:rsidRPr="006419D6">
        <w:rPr>
          <w:vertAlign w:val="superscript"/>
          <w:lang w:val="es-PE" w:eastAsia="es-MX"/>
        </w:rPr>
        <w:t>®</w:t>
      </w:r>
      <w:r w:rsidRPr="006419D6">
        <w:rPr>
          <w:lang w:val="es-PE" w:eastAsia="es-MX"/>
        </w:rPr>
        <w:t>4356</w:t>
      </w:r>
      <w:r w:rsidRPr="006419D6">
        <w:rPr>
          <w:vertAlign w:val="superscript"/>
          <w:lang w:val="es-PE" w:eastAsia="es-MX"/>
        </w:rPr>
        <w:t>™</w:t>
      </w:r>
      <w:r w:rsidRPr="006419D6">
        <w:rPr>
          <w:lang w:val="es-PE" w:eastAsia="es-MX"/>
        </w:rPr>
        <w:t>.</w:t>
      </w:r>
    </w:p>
    <w:p w14:paraId="07E8461A" w14:textId="77777777" w:rsidR="006419D6" w:rsidRPr="006419D6" w:rsidRDefault="006419D6" w:rsidP="006419D6">
      <w:pPr>
        <w:spacing w:line="360" w:lineRule="auto"/>
        <w:jc w:val="both"/>
        <w:rPr>
          <w:lang w:val="es-PE" w:eastAsia="es-MX"/>
        </w:rPr>
      </w:pPr>
      <w:r w:rsidRPr="006419D6">
        <w:rPr>
          <w:b/>
          <w:bCs/>
          <w:lang w:val="es-PE" w:eastAsia="es-MX"/>
        </w:rPr>
        <w:t xml:space="preserve">Métodos: </w:t>
      </w:r>
      <w:r w:rsidRPr="006419D6">
        <w:rPr>
          <w:lang w:val="es-PE" w:eastAsia="es-MX"/>
        </w:rPr>
        <w:t xml:space="preserve">Estudio experimental </w:t>
      </w:r>
      <w:r w:rsidRPr="006419D6">
        <w:rPr>
          <w:i/>
          <w:iCs/>
          <w:lang w:val="es-PE" w:eastAsia="es-MX"/>
        </w:rPr>
        <w:t>in vitro</w:t>
      </w:r>
      <w:r w:rsidRPr="006419D6">
        <w:rPr>
          <w:lang w:val="es-PE" w:eastAsia="es-MX"/>
        </w:rPr>
        <w:t xml:space="preserve">. Se obtuvo el extracto acuoso y alcohólico de </w:t>
      </w:r>
      <w:r w:rsidRPr="006419D6">
        <w:rPr>
          <w:i/>
          <w:iCs/>
          <w:lang w:val="es-PE" w:eastAsia="es-MX"/>
        </w:rPr>
        <w:t>E. coca</w:t>
      </w:r>
      <w:r w:rsidRPr="006419D6">
        <w:rPr>
          <w:lang w:val="es-PE" w:eastAsia="es-MX"/>
        </w:rPr>
        <w:t xml:space="preserve">. La muestra estuvo conformada por 20 placas petri para cada concentración y extracto evaluado. La media de los diámetros de los halos de inhibición, se expresaron en milímetros y se analizaron mediante la prueba de </w:t>
      </w:r>
      <w:r w:rsidRPr="006419D6">
        <w:rPr>
          <w:lang w:val="es-PE" w:eastAsia="es-MX"/>
        </w:rPr>
        <w:lastRenderedPageBreak/>
        <w:t xml:space="preserve">Kruskal-Wallis y el análisis </w:t>
      </w:r>
      <w:r w:rsidRPr="006419D6">
        <w:rPr>
          <w:i/>
          <w:iCs/>
          <w:lang w:val="es-PE" w:eastAsia="es-MX"/>
        </w:rPr>
        <w:t>post hoc</w:t>
      </w:r>
      <w:r w:rsidRPr="006419D6">
        <w:rPr>
          <w:lang w:val="es-PE" w:eastAsia="es-MX"/>
        </w:rPr>
        <w:t xml:space="preserve"> de Dunn con ajuste de Bonferroni. La comparación de los efectos entre las 24 y 48 horas se realizó mediante el test Wilcoxon con un nivel de significancia del 5 %.</w:t>
      </w:r>
    </w:p>
    <w:p w14:paraId="74D61AD9" w14:textId="77777777" w:rsidR="006419D6" w:rsidRPr="006419D6" w:rsidRDefault="006419D6" w:rsidP="006419D6">
      <w:pPr>
        <w:spacing w:line="360" w:lineRule="auto"/>
        <w:jc w:val="both"/>
        <w:rPr>
          <w:lang w:val="es-PE" w:eastAsia="es-MX"/>
        </w:rPr>
      </w:pPr>
      <w:r w:rsidRPr="006419D6">
        <w:rPr>
          <w:b/>
          <w:bCs/>
          <w:lang w:val="es-PE" w:eastAsia="es-MX"/>
        </w:rPr>
        <w:t xml:space="preserve">Resultados: </w:t>
      </w:r>
      <w:r w:rsidRPr="006419D6">
        <w:rPr>
          <w:lang w:val="es-PE" w:eastAsia="es-MX"/>
        </w:rPr>
        <w:t xml:space="preserve">La concentración alcohólica de 25 mg/mL fue más efectiva sobre </w:t>
      </w:r>
      <w:r w:rsidRPr="006419D6">
        <w:rPr>
          <w:i/>
          <w:iCs/>
          <w:lang w:val="es-PE" w:eastAsia="es-MX"/>
        </w:rPr>
        <w:t>S. mutans</w:t>
      </w:r>
      <w:r w:rsidRPr="006419D6">
        <w:rPr>
          <w:lang w:val="es-PE" w:eastAsia="es-MX"/>
        </w:rPr>
        <w:t xml:space="preserve">, al compararla con los otros grupos (p&lt; 0,05). En el extracto alcohólico se observó diferencias con la concentración de 50 mg/mL a las 24 y 48 horas frente a </w:t>
      </w:r>
      <w:r w:rsidRPr="006419D6">
        <w:rPr>
          <w:i/>
          <w:iCs/>
          <w:lang w:val="es-PE" w:eastAsia="es-MX"/>
        </w:rPr>
        <w:t xml:space="preserve">S. mutans </w:t>
      </w:r>
      <w:r w:rsidRPr="006419D6">
        <w:rPr>
          <w:lang w:val="es-PE" w:eastAsia="es-MX"/>
        </w:rPr>
        <w:t xml:space="preserve">(p&lt; 0,05). Se observaron diferencias significativas al comparar el efecto inhibitorio del extracto acuoso de 75 mg/mL y 50 mg/mL a las 24 y 48 horas frente a </w:t>
      </w:r>
      <w:r w:rsidRPr="006419D6">
        <w:rPr>
          <w:i/>
          <w:iCs/>
          <w:lang w:val="es-PE" w:eastAsia="es-MX"/>
        </w:rPr>
        <w:t>L. acidophilus</w:t>
      </w:r>
      <w:r w:rsidRPr="006419D6">
        <w:rPr>
          <w:lang w:val="es-PE" w:eastAsia="es-MX"/>
        </w:rPr>
        <w:t xml:space="preserve"> (p&lt; 0,05) y para el extracto alcohólico las diferencias fueron estadísticamente significativas con las concentraciones de 50 mg/mL y 25 mg/mL (p&lt; 0,05).</w:t>
      </w:r>
    </w:p>
    <w:p w14:paraId="54D0FB01" w14:textId="77777777" w:rsidR="006419D6" w:rsidRPr="006419D6" w:rsidRDefault="006419D6" w:rsidP="006419D6">
      <w:pPr>
        <w:spacing w:line="360" w:lineRule="auto"/>
        <w:jc w:val="both"/>
        <w:rPr>
          <w:lang w:val="es-PE" w:eastAsia="es-MX"/>
        </w:rPr>
      </w:pPr>
      <w:r w:rsidRPr="006419D6">
        <w:rPr>
          <w:b/>
          <w:bCs/>
          <w:lang w:val="es-PE" w:eastAsia="es-MX"/>
        </w:rPr>
        <w:t xml:space="preserve">Conclusión: </w:t>
      </w:r>
      <w:r w:rsidRPr="006419D6">
        <w:rPr>
          <w:lang w:val="es-PE" w:eastAsia="es-MX"/>
        </w:rPr>
        <w:t xml:space="preserve">Existen diferencias en el efecto antibacteriano del extracto acuoso y alcohólico de las hojas de </w:t>
      </w:r>
      <w:r w:rsidRPr="006419D6">
        <w:rPr>
          <w:i/>
          <w:iCs/>
          <w:lang w:val="es-PE" w:eastAsia="es-MX"/>
        </w:rPr>
        <w:t xml:space="preserve">E. coca </w:t>
      </w:r>
      <w:r w:rsidRPr="006419D6">
        <w:rPr>
          <w:lang w:val="es-PE" w:eastAsia="es-MX"/>
        </w:rPr>
        <w:t xml:space="preserve">frente a </w:t>
      </w:r>
      <w:r w:rsidRPr="006419D6">
        <w:rPr>
          <w:i/>
          <w:iCs/>
          <w:lang w:val="es-PE" w:eastAsia="es-MX"/>
        </w:rPr>
        <w:t xml:space="preserve">S. mutans </w:t>
      </w:r>
      <w:r w:rsidRPr="006419D6">
        <w:rPr>
          <w:lang w:val="es-PE" w:eastAsia="es-MX"/>
        </w:rPr>
        <w:t xml:space="preserve">y </w:t>
      </w:r>
      <w:r w:rsidRPr="006419D6">
        <w:rPr>
          <w:i/>
          <w:iCs/>
          <w:lang w:val="es-PE" w:eastAsia="es-MX"/>
        </w:rPr>
        <w:t>L. acidophilus</w:t>
      </w:r>
      <w:r w:rsidRPr="006419D6">
        <w:rPr>
          <w:lang w:val="es-PE" w:eastAsia="es-MX"/>
        </w:rPr>
        <w:t>.</w:t>
      </w:r>
    </w:p>
    <w:p w14:paraId="703A3F16" w14:textId="77777777" w:rsidR="006419D6" w:rsidRPr="006419D6" w:rsidRDefault="006419D6" w:rsidP="006419D6">
      <w:pPr>
        <w:spacing w:line="360" w:lineRule="auto"/>
        <w:jc w:val="both"/>
        <w:rPr>
          <w:b/>
          <w:bCs/>
          <w:i/>
          <w:iCs/>
          <w:lang w:val="es-PE" w:eastAsia="es-MX"/>
        </w:rPr>
      </w:pPr>
      <w:r w:rsidRPr="006419D6">
        <w:rPr>
          <w:b/>
          <w:bCs/>
          <w:lang w:val="es-PE" w:eastAsia="es-MX"/>
        </w:rPr>
        <w:t xml:space="preserve">Palabras clave: </w:t>
      </w:r>
      <w:r w:rsidRPr="006419D6">
        <w:rPr>
          <w:lang w:val="es-PE" w:eastAsia="es-MX"/>
        </w:rPr>
        <w:t xml:space="preserve">antibacterianos; coca; </w:t>
      </w:r>
      <w:r w:rsidRPr="006419D6">
        <w:rPr>
          <w:i/>
          <w:iCs/>
          <w:lang w:val="es-PE" w:eastAsia="es-MX"/>
        </w:rPr>
        <w:t>Streptococcus mutans</w:t>
      </w:r>
      <w:r w:rsidRPr="006419D6">
        <w:rPr>
          <w:lang w:val="es-PE" w:eastAsia="es-MX"/>
        </w:rPr>
        <w:t xml:space="preserve">; </w:t>
      </w:r>
      <w:r w:rsidRPr="006419D6">
        <w:rPr>
          <w:i/>
          <w:iCs/>
          <w:lang w:val="es-PE" w:eastAsia="es-MX"/>
        </w:rPr>
        <w:t>Lactobacillus acidophillus.</w:t>
      </w:r>
    </w:p>
    <w:p w14:paraId="05931426" w14:textId="77777777" w:rsidR="006419D6" w:rsidRPr="006419D6" w:rsidRDefault="006419D6" w:rsidP="006419D6">
      <w:pPr>
        <w:spacing w:line="360" w:lineRule="auto"/>
        <w:rPr>
          <w:bCs/>
          <w:iCs/>
          <w:lang w:val="es-PE" w:eastAsia="es-MX"/>
        </w:rPr>
      </w:pPr>
    </w:p>
    <w:p w14:paraId="7678B1AB" w14:textId="77777777" w:rsidR="006419D6" w:rsidRPr="006419D6" w:rsidRDefault="006419D6" w:rsidP="006419D6">
      <w:pPr>
        <w:spacing w:line="360" w:lineRule="auto"/>
        <w:rPr>
          <w:b/>
          <w:bCs/>
          <w:lang w:val="en-US" w:eastAsia="es-MX"/>
        </w:rPr>
      </w:pPr>
      <w:r w:rsidRPr="006419D6">
        <w:rPr>
          <w:b/>
          <w:bCs/>
          <w:lang w:val="en-US" w:eastAsia="es-MX"/>
        </w:rPr>
        <w:t>ABSTRACT</w:t>
      </w:r>
    </w:p>
    <w:p w14:paraId="0F44F259" w14:textId="77777777" w:rsidR="006419D6" w:rsidRPr="006419D6" w:rsidRDefault="006419D6" w:rsidP="006419D6">
      <w:pPr>
        <w:spacing w:line="360" w:lineRule="auto"/>
        <w:jc w:val="both"/>
        <w:rPr>
          <w:b/>
          <w:bCs/>
          <w:lang w:val="en-US" w:eastAsia="es-MX"/>
        </w:rPr>
      </w:pPr>
      <w:r w:rsidRPr="006419D6">
        <w:rPr>
          <w:b/>
          <w:bCs/>
          <w:lang w:val="en-US" w:eastAsia="es-MX"/>
        </w:rPr>
        <w:t xml:space="preserve">Introduction: </w:t>
      </w:r>
      <w:r w:rsidRPr="006419D6">
        <w:rPr>
          <w:bCs/>
          <w:lang w:val="en-US" w:eastAsia="es-MX"/>
        </w:rPr>
        <w:t xml:space="preserve">The </w:t>
      </w:r>
      <w:r w:rsidRPr="006419D6">
        <w:rPr>
          <w:bCs/>
          <w:i/>
          <w:lang w:val="en-US" w:eastAsia="es-MX"/>
        </w:rPr>
        <w:t>Erythroxylum coca</w:t>
      </w:r>
      <w:r w:rsidRPr="006419D6">
        <w:rPr>
          <w:bCs/>
          <w:lang w:val="en-US" w:eastAsia="es-MX"/>
        </w:rPr>
        <w:t xml:space="preserve"> leaf is traditionally used in various countries for its pharmacological benefits.</w:t>
      </w:r>
    </w:p>
    <w:p w14:paraId="6311F24F" w14:textId="77777777" w:rsidR="006419D6" w:rsidRPr="006419D6" w:rsidRDefault="006419D6" w:rsidP="006419D6">
      <w:pPr>
        <w:spacing w:line="360" w:lineRule="auto"/>
        <w:jc w:val="both"/>
        <w:rPr>
          <w:b/>
          <w:bCs/>
          <w:lang w:val="en-US" w:eastAsia="es-MX"/>
        </w:rPr>
      </w:pPr>
      <w:r w:rsidRPr="006419D6">
        <w:rPr>
          <w:b/>
          <w:bCs/>
          <w:lang w:val="en-US" w:eastAsia="es-MX"/>
        </w:rPr>
        <w:t xml:space="preserve">Objective: </w:t>
      </w:r>
      <w:r w:rsidRPr="006419D6">
        <w:rPr>
          <w:bCs/>
          <w:lang w:val="en-US" w:eastAsia="es-MX"/>
        </w:rPr>
        <w:t xml:space="preserve">To compare the antibacterial effect of the aqueous and alcoholic extract of </w:t>
      </w:r>
      <w:r w:rsidRPr="006419D6">
        <w:rPr>
          <w:bCs/>
          <w:i/>
          <w:lang w:val="en-US" w:eastAsia="es-MX"/>
        </w:rPr>
        <w:t>Erythroxylum coca</w:t>
      </w:r>
      <w:r w:rsidRPr="006419D6">
        <w:rPr>
          <w:bCs/>
          <w:lang w:val="en-US" w:eastAsia="es-MX"/>
        </w:rPr>
        <w:t xml:space="preserve"> leaves against </w:t>
      </w:r>
      <w:r w:rsidRPr="006419D6">
        <w:rPr>
          <w:bCs/>
          <w:i/>
          <w:lang w:val="en-US" w:eastAsia="es-MX"/>
        </w:rPr>
        <w:t>Streptococcus mutans</w:t>
      </w:r>
      <w:r w:rsidRPr="006419D6">
        <w:rPr>
          <w:bCs/>
          <w:lang w:val="en-US" w:eastAsia="es-MX"/>
        </w:rPr>
        <w:t xml:space="preserve"> ATCC</w:t>
      </w:r>
      <w:r w:rsidRPr="006419D6">
        <w:rPr>
          <w:bCs/>
          <w:vertAlign w:val="superscript"/>
          <w:lang w:val="en-US" w:eastAsia="es-MX"/>
        </w:rPr>
        <w:t>®</w:t>
      </w:r>
      <w:r w:rsidRPr="006419D6">
        <w:rPr>
          <w:bCs/>
          <w:lang w:val="en-US" w:eastAsia="es-MX"/>
        </w:rPr>
        <w:t>35668</w:t>
      </w:r>
      <w:r w:rsidRPr="006419D6">
        <w:rPr>
          <w:bCs/>
          <w:vertAlign w:val="superscript"/>
          <w:lang w:val="en-US" w:eastAsia="es-MX"/>
        </w:rPr>
        <w:t>™</w:t>
      </w:r>
      <w:r w:rsidRPr="006419D6">
        <w:rPr>
          <w:bCs/>
          <w:lang w:val="en-US" w:eastAsia="es-MX"/>
        </w:rPr>
        <w:t xml:space="preserve"> and </w:t>
      </w:r>
      <w:r w:rsidRPr="006419D6">
        <w:rPr>
          <w:bCs/>
          <w:i/>
          <w:lang w:val="en-US" w:eastAsia="es-MX"/>
        </w:rPr>
        <w:t>Lactobacillus acidophilus</w:t>
      </w:r>
      <w:r w:rsidRPr="006419D6">
        <w:rPr>
          <w:bCs/>
          <w:lang w:val="en-US" w:eastAsia="es-MX"/>
        </w:rPr>
        <w:t xml:space="preserve"> ATCC</w:t>
      </w:r>
      <w:r w:rsidRPr="006419D6">
        <w:rPr>
          <w:bCs/>
          <w:vertAlign w:val="superscript"/>
          <w:lang w:val="en-US" w:eastAsia="es-MX"/>
        </w:rPr>
        <w:t>®</w:t>
      </w:r>
      <w:r w:rsidRPr="006419D6">
        <w:rPr>
          <w:bCs/>
          <w:lang w:val="en-US" w:eastAsia="es-MX"/>
        </w:rPr>
        <w:t>4356</w:t>
      </w:r>
      <w:r w:rsidRPr="006419D6">
        <w:rPr>
          <w:bCs/>
          <w:vertAlign w:val="superscript"/>
          <w:lang w:val="en-US" w:eastAsia="es-MX"/>
        </w:rPr>
        <w:t>™</w:t>
      </w:r>
      <w:r w:rsidRPr="006419D6">
        <w:rPr>
          <w:bCs/>
          <w:lang w:val="en-US" w:eastAsia="es-MX"/>
        </w:rPr>
        <w:t>.</w:t>
      </w:r>
    </w:p>
    <w:p w14:paraId="4289A075" w14:textId="77777777" w:rsidR="006419D6" w:rsidRPr="006419D6" w:rsidRDefault="006419D6" w:rsidP="006419D6">
      <w:pPr>
        <w:spacing w:line="360" w:lineRule="auto"/>
        <w:jc w:val="both"/>
        <w:rPr>
          <w:b/>
          <w:bCs/>
          <w:lang w:val="en-US" w:eastAsia="es-MX"/>
        </w:rPr>
      </w:pPr>
      <w:r w:rsidRPr="006419D6">
        <w:rPr>
          <w:b/>
          <w:bCs/>
          <w:lang w:val="en-US" w:eastAsia="es-MX"/>
        </w:rPr>
        <w:t xml:space="preserve">Methods: </w:t>
      </w:r>
      <w:r w:rsidRPr="006419D6">
        <w:rPr>
          <w:bCs/>
          <w:lang w:val="en-US" w:eastAsia="es-MX"/>
        </w:rPr>
        <w:t xml:space="preserve">Experimental in vitro study. The aqueous and alcoholic extract of </w:t>
      </w:r>
      <w:r w:rsidRPr="006419D6">
        <w:rPr>
          <w:bCs/>
          <w:i/>
          <w:lang w:val="en-US" w:eastAsia="es-MX"/>
        </w:rPr>
        <w:t>E. coca</w:t>
      </w:r>
      <w:r w:rsidRPr="006419D6">
        <w:rPr>
          <w:bCs/>
          <w:lang w:val="en-US" w:eastAsia="es-MX"/>
        </w:rPr>
        <w:t xml:space="preserve"> was obtained. The sample consisted of 20 petri dishes for each concentration and extract evaluated. The mean diameters of the inhibition halos were expressed in millimeters and analyzed using the Kruskal-Wallis test and Dunn's post hoc analysis with Bonferroni adjustment. The comparison of the effects between 24 and 48 hours was carried out using the Wilcoxon test with a significance level of 5 %.</w:t>
      </w:r>
    </w:p>
    <w:p w14:paraId="34DD8797" w14:textId="77777777" w:rsidR="006419D6" w:rsidRPr="006419D6" w:rsidRDefault="006419D6" w:rsidP="006419D6">
      <w:pPr>
        <w:spacing w:line="360" w:lineRule="auto"/>
        <w:jc w:val="both"/>
        <w:rPr>
          <w:bCs/>
          <w:lang w:val="en-US" w:eastAsia="es-MX"/>
        </w:rPr>
      </w:pPr>
      <w:r w:rsidRPr="006419D6">
        <w:rPr>
          <w:b/>
          <w:bCs/>
          <w:lang w:val="en-US" w:eastAsia="es-MX"/>
        </w:rPr>
        <w:t xml:space="preserve">Results: </w:t>
      </w:r>
      <w:r w:rsidRPr="006419D6">
        <w:rPr>
          <w:bCs/>
          <w:lang w:val="en-US" w:eastAsia="es-MX"/>
        </w:rPr>
        <w:t xml:space="preserve">The alcoholic concentration of 25 mg/mL was more effective on </w:t>
      </w:r>
      <w:r w:rsidRPr="006419D6">
        <w:rPr>
          <w:bCs/>
          <w:i/>
          <w:lang w:val="en-US" w:eastAsia="es-MX"/>
        </w:rPr>
        <w:t>S. mutans</w:t>
      </w:r>
      <w:r w:rsidRPr="006419D6">
        <w:rPr>
          <w:bCs/>
          <w:lang w:val="en-US" w:eastAsia="es-MX"/>
        </w:rPr>
        <w:t xml:space="preserve">, when compared to the other groups (p&lt; 0.05). In the alcoholic extract, differences were observed with the concentration of 50 mg/mL at 24 and 48 hours against </w:t>
      </w:r>
      <w:r w:rsidRPr="006419D6">
        <w:rPr>
          <w:bCs/>
          <w:i/>
          <w:lang w:val="en-US" w:eastAsia="es-MX"/>
        </w:rPr>
        <w:t>S. mutans</w:t>
      </w:r>
      <w:r w:rsidRPr="006419D6">
        <w:rPr>
          <w:bCs/>
          <w:lang w:val="en-US" w:eastAsia="es-MX"/>
        </w:rPr>
        <w:t xml:space="preserve"> (p&lt; 0.05). Significant differences were observed when comparing the inhibitory effect of the aqueous extract of 75 mg/mL and 50 mg/mL at 24 and 48 hours against </w:t>
      </w:r>
      <w:r w:rsidRPr="006419D6">
        <w:rPr>
          <w:bCs/>
          <w:i/>
          <w:lang w:val="en-US" w:eastAsia="es-MX"/>
        </w:rPr>
        <w:t>L. acidophilus</w:t>
      </w:r>
      <w:r w:rsidRPr="006419D6">
        <w:rPr>
          <w:bCs/>
          <w:lang w:val="en-US" w:eastAsia="es-MX"/>
        </w:rPr>
        <w:t xml:space="preserve"> (p&lt; 0.05) and for the alcoholic extract the differences were statistically significant with concentrations of 50 mg/mL and 25 mg/mL (p&lt; 0.05).</w:t>
      </w:r>
    </w:p>
    <w:p w14:paraId="31A77297" w14:textId="77777777" w:rsidR="006419D6" w:rsidRPr="006419D6" w:rsidRDefault="006419D6" w:rsidP="006419D6">
      <w:pPr>
        <w:spacing w:line="360" w:lineRule="auto"/>
        <w:jc w:val="both"/>
        <w:rPr>
          <w:b/>
          <w:bCs/>
          <w:lang w:val="en-US" w:eastAsia="es-MX"/>
        </w:rPr>
      </w:pPr>
      <w:r w:rsidRPr="006419D6">
        <w:rPr>
          <w:b/>
          <w:bCs/>
          <w:lang w:val="en-US" w:eastAsia="es-MX"/>
        </w:rPr>
        <w:lastRenderedPageBreak/>
        <w:t xml:space="preserve">Conclusion: </w:t>
      </w:r>
      <w:r w:rsidRPr="006419D6">
        <w:rPr>
          <w:bCs/>
          <w:lang w:val="en-US" w:eastAsia="es-MX"/>
        </w:rPr>
        <w:t xml:space="preserve">There are differences in the antibacterial effect of the aqueous and alcoholic extract of </w:t>
      </w:r>
      <w:r w:rsidRPr="006419D6">
        <w:rPr>
          <w:bCs/>
          <w:i/>
          <w:lang w:val="en-US" w:eastAsia="es-MX"/>
        </w:rPr>
        <w:t>E. coca</w:t>
      </w:r>
      <w:r w:rsidRPr="006419D6">
        <w:rPr>
          <w:bCs/>
          <w:lang w:val="en-US" w:eastAsia="es-MX"/>
        </w:rPr>
        <w:t xml:space="preserve"> leaves against </w:t>
      </w:r>
      <w:r w:rsidRPr="006419D6">
        <w:rPr>
          <w:bCs/>
          <w:i/>
          <w:lang w:val="en-US" w:eastAsia="es-MX"/>
        </w:rPr>
        <w:t>S. mutans</w:t>
      </w:r>
      <w:r w:rsidRPr="006419D6">
        <w:rPr>
          <w:bCs/>
          <w:lang w:val="en-US" w:eastAsia="es-MX"/>
        </w:rPr>
        <w:t xml:space="preserve"> and </w:t>
      </w:r>
      <w:r w:rsidRPr="006419D6">
        <w:rPr>
          <w:bCs/>
          <w:i/>
          <w:lang w:val="en-US" w:eastAsia="es-MX"/>
        </w:rPr>
        <w:t>L. acidophilus</w:t>
      </w:r>
      <w:r w:rsidRPr="006419D6">
        <w:rPr>
          <w:bCs/>
          <w:lang w:val="en-US" w:eastAsia="es-MX"/>
        </w:rPr>
        <w:t>.</w:t>
      </w:r>
    </w:p>
    <w:p w14:paraId="7FE3D04F" w14:textId="77777777" w:rsidR="006419D6" w:rsidRPr="006419D6" w:rsidRDefault="006419D6" w:rsidP="006419D6">
      <w:pPr>
        <w:spacing w:line="360" w:lineRule="auto"/>
        <w:jc w:val="both"/>
        <w:rPr>
          <w:lang w:val="en-US" w:eastAsia="es-MX"/>
        </w:rPr>
      </w:pPr>
      <w:r w:rsidRPr="006419D6">
        <w:rPr>
          <w:b/>
          <w:bCs/>
          <w:lang w:val="en-US" w:eastAsia="es-MX"/>
        </w:rPr>
        <w:t xml:space="preserve">Keywords: </w:t>
      </w:r>
      <w:r w:rsidRPr="006419D6">
        <w:rPr>
          <w:lang w:val="en-US" w:eastAsia="es-MX"/>
        </w:rPr>
        <w:t xml:space="preserve">anti-bacterial agents; coca; </w:t>
      </w:r>
      <w:r w:rsidRPr="006419D6">
        <w:rPr>
          <w:i/>
          <w:iCs/>
          <w:lang w:val="en-US" w:eastAsia="es-MX"/>
        </w:rPr>
        <w:t>Streptococcus mutans</w:t>
      </w:r>
      <w:r w:rsidRPr="006419D6">
        <w:rPr>
          <w:lang w:val="en-US" w:eastAsia="es-MX"/>
        </w:rPr>
        <w:t xml:space="preserve">; </w:t>
      </w:r>
      <w:r w:rsidRPr="006419D6">
        <w:rPr>
          <w:i/>
          <w:iCs/>
          <w:lang w:val="en-US" w:eastAsia="es-MX"/>
        </w:rPr>
        <w:t>Lactobacillus acidophilus</w:t>
      </w:r>
      <w:r w:rsidRPr="006419D6">
        <w:rPr>
          <w:lang w:val="en-US" w:eastAsia="es-MX"/>
        </w:rPr>
        <w:t>.</w:t>
      </w:r>
    </w:p>
    <w:p w14:paraId="61BB7583" w14:textId="77777777" w:rsidR="006419D6" w:rsidRPr="006419D6" w:rsidRDefault="006419D6" w:rsidP="006419D6">
      <w:pPr>
        <w:spacing w:line="360" w:lineRule="auto"/>
        <w:jc w:val="both"/>
        <w:rPr>
          <w:lang w:val="en-US" w:eastAsia="es-MX"/>
        </w:rPr>
      </w:pPr>
    </w:p>
    <w:p w14:paraId="6F980485" w14:textId="77777777" w:rsidR="006419D6" w:rsidRPr="006419D6" w:rsidRDefault="006419D6" w:rsidP="006419D6">
      <w:pPr>
        <w:spacing w:line="360" w:lineRule="auto"/>
        <w:jc w:val="both"/>
        <w:rPr>
          <w:lang w:val="en-US" w:eastAsia="es-MX"/>
        </w:rPr>
      </w:pPr>
    </w:p>
    <w:p w14:paraId="35F24BAB" w14:textId="77777777" w:rsidR="006419D6" w:rsidRPr="006419D6" w:rsidRDefault="006419D6" w:rsidP="006419D6">
      <w:pPr>
        <w:spacing w:line="360" w:lineRule="auto"/>
        <w:jc w:val="both"/>
        <w:rPr>
          <w:lang w:val="es-PE" w:eastAsia="es-MX"/>
        </w:rPr>
      </w:pPr>
      <w:r w:rsidRPr="006419D6">
        <w:rPr>
          <w:lang w:val="es-PE" w:eastAsia="es-MX"/>
        </w:rPr>
        <w:t>Recibido: 12/04/2022</w:t>
      </w:r>
    </w:p>
    <w:p w14:paraId="2B4DA196" w14:textId="77777777" w:rsidR="006419D6" w:rsidRPr="006419D6" w:rsidRDefault="006419D6" w:rsidP="006419D6">
      <w:pPr>
        <w:spacing w:line="360" w:lineRule="auto"/>
        <w:jc w:val="both"/>
        <w:rPr>
          <w:lang w:val="es-PE" w:eastAsia="es-MX"/>
        </w:rPr>
      </w:pPr>
      <w:r w:rsidRPr="006419D6">
        <w:rPr>
          <w:lang w:val="es-PE" w:eastAsia="es-MX"/>
        </w:rPr>
        <w:t>Aprobado: 08/07/2022</w:t>
      </w:r>
    </w:p>
    <w:p w14:paraId="5C3CAF63" w14:textId="77777777" w:rsidR="006419D6" w:rsidRPr="006419D6" w:rsidRDefault="006419D6" w:rsidP="006419D6">
      <w:pPr>
        <w:spacing w:line="360" w:lineRule="auto"/>
        <w:jc w:val="both"/>
        <w:rPr>
          <w:b/>
          <w:bCs/>
          <w:lang w:val="es-PE" w:eastAsia="es-MX"/>
        </w:rPr>
      </w:pPr>
    </w:p>
    <w:p w14:paraId="1F215623" w14:textId="77777777" w:rsidR="006419D6" w:rsidRPr="006419D6" w:rsidRDefault="006419D6" w:rsidP="006419D6">
      <w:pPr>
        <w:spacing w:line="360" w:lineRule="auto"/>
        <w:jc w:val="center"/>
        <w:rPr>
          <w:b/>
          <w:bCs/>
          <w:lang w:val="es-PE" w:eastAsia="es-MX"/>
        </w:rPr>
      </w:pPr>
    </w:p>
    <w:p w14:paraId="5CF24924" w14:textId="77777777" w:rsidR="006419D6" w:rsidRPr="006419D6" w:rsidRDefault="006419D6" w:rsidP="006419D6">
      <w:pPr>
        <w:spacing w:line="360" w:lineRule="auto"/>
        <w:jc w:val="center"/>
        <w:rPr>
          <w:b/>
          <w:bCs/>
          <w:sz w:val="32"/>
          <w:szCs w:val="32"/>
          <w:lang w:val="es-PE" w:eastAsia="es-MX"/>
        </w:rPr>
      </w:pPr>
      <w:r w:rsidRPr="006419D6">
        <w:rPr>
          <w:b/>
          <w:bCs/>
          <w:sz w:val="32"/>
          <w:szCs w:val="32"/>
          <w:lang w:val="es-PE" w:eastAsia="es-MX"/>
        </w:rPr>
        <w:t>INTRODUCCIÓN</w:t>
      </w:r>
    </w:p>
    <w:p w14:paraId="55ECCE68" w14:textId="77777777" w:rsidR="006419D6" w:rsidRPr="006419D6" w:rsidRDefault="006419D6" w:rsidP="006419D6">
      <w:pPr>
        <w:spacing w:line="360" w:lineRule="auto"/>
        <w:jc w:val="both"/>
        <w:rPr>
          <w:lang w:val="es-PE" w:eastAsia="es-MX"/>
        </w:rPr>
      </w:pPr>
      <w:r w:rsidRPr="006419D6">
        <w:rPr>
          <w:lang w:val="es-PE" w:eastAsia="es-MX"/>
        </w:rPr>
        <w:t>La caries dental es considerada la enfermedad bucal más prevalente en el mundo. Según datos globales actuales, aproximadamente 2 400 millones de personas adultas y entre el 60 % y 90 % de los escolares padecen esta enfermedad.</w:t>
      </w:r>
      <w:r w:rsidRPr="006419D6">
        <w:rPr>
          <w:vertAlign w:val="superscript"/>
          <w:lang w:val="es-PE" w:eastAsia="es-MX"/>
        </w:rPr>
        <w:t xml:space="preserve">(1,2) </w:t>
      </w:r>
      <w:r w:rsidRPr="006419D6">
        <w:rPr>
          <w:lang w:val="es-PE" w:eastAsia="es-MX"/>
        </w:rPr>
        <w:t xml:space="preserve">Estos datos resaltan la relevancia de tomar acciones conjuntas y urgentes entre la comunidad científica y los integrantes del sistema de salud, no solo orientadas al control de la afección sino a promover prácticas preventivas que a mediano y largo plazo disminuyan su alta prevalencia. </w:t>
      </w:r>
    </w:p>
    <w:p w14:paraId="78B74DEF" w14:textId="77777777" w:rsidR="006419D6" w:rsidRPr="006419D6" w:rsidRDefault="006419D6" w:rsidP="006419D6">
      <w:pPr>
        <w:spacing w:line="360" w:lineRule="auto"/>
        <w:jc w:val="both"/>
        <w:rPr>
          <w:b/>
          <w:bCs/>
          <w:lang w:val="es-PE" w:eastAsia="es-MX"/>
        </w:rPr>
      </w:pPr>
      <w:r w:rsidRPr="006419D6">
        <w:rPr>
          <w:lang w:val="es-PE" w:eastAsia="es-MX"/>
        </w:rPr>
        <w:t xml:space="preserve">La microbiota bucal alberga diversos géneros bacterianos en equilibrio, como los </w:t>
      </w:r>
      <w:r w:rsidRPr="006419D6">
        <w:rPr>
          <w:i/>
          <w:iCs/>
          <w:lang w:val="es-PE" w:eastAsia="es-MX"/>
        </w:rPr>
        <w:t>Streptococcus</w:t>
      </w:r>
      <w:r w:rsidRPr="006419D6">
        <w:rPr>
          <w:lang w:val="es-PE" w:eastAsia="es-MX"/>
        </w:rPr>
        <w:t xml:space="preserve"> con sus diversas especies, entre las que destacan </w:t>
      </w:r>
      <w:r w:rsidRPr="006419D6">
        <w:rPr>
          <w:i/>
          <w:iCs/>
          <w:lang w:val="es-PE" w:eastAsia="es-MX"/>
        </w:rPr>
        <w:t>S. mutans</w:t>
      </w:r>
      <w:r w:rsidRPr="006419D6">
        <w:rPr>
          <w:lang w:val="es-PE" w:eastAsia="es-MX"/>
        </w:rPr>
        <w:t xml:space="preserve">, </w:t>
      </w:r>
      <w:r w:rsidRPr="006419D6">
        <w:rPr>
          <w:i/>
          <w:iCs/>
          <w:lang w:val="es-PE" w:eastAsia="es-MX"/>
        </w:rPr>
        <w:t>S. sanguis</w:t>
      </w:r>
      <w:r w:rsidRPr="006419D6">
        <w:rPr>
          <w:lang w:val="es-PE" w:eastAsia="es-MX"/>
        </w:rPr>
        <w:t xml:space="preserve">, </w:t>
      </w:r>
      <w:r w:rsidRPr="006419D6">
        <w:rPr>
          <w:i/>
          <w:iCs/>
          <w:lang w:val="es-PE" w:eastAsia="es-MX"/>
        </w:rPr>
        <w:t>S. salivarius</w:t>
      </w:r>
      <w:r w:rsidRPr="006419D6">
        <w:rPr>
          <w:lang w:val="es-PE" w:eastAsia="es-MX"/>
        </w:rPr>
        <w:t xml:space="preserve">, </w:t>
      </w:r>
      <w:r w:rsidRPr="006419D6">
        <w:rPr>
          <w:i/>
          <w:iCs/>
          <w:lang w:val="es-PE" w:eastAsia="es-MX"/>
        </w:rPr>
        <w:t>S. sobrinus</w:t>
      </w:r>
      <w:r w:rsidRPr="006419D6">
        <w:rPr>
          <w:lang w:val="es-PE" w:eastAsia="es-MX"/>
        </w:rPr>
        <w:t xml:space="preserve">, </w:t>
      </w:r>
      <w:r w:rsidRPr="006419D6">
        <w:rPr>
          <w:i/>
          <w:iCs/>
          <w:lang w:val="es-PE" w:eastAsia="es-MX"/>
        </w:rPr>
        <w:t xml:space="preserve">S. milleri, </w:t>
      </w:r>
      <w:r w:rsidRPr="006419D6">
        <w:rPr>
          <w:lang w:val="es-PE" w:eastAsia="es-MX"/>
        </w:rPr>
        <w:t xml:space="preserve">entre otros; también se encuentran representantes de los géneros </w:t>
      </w:r>
      <w:r w:rsidRPr="006419D6">
        <w:rPr>
          <w:i/>
          <w:iCs/>
          <w:lang w:val="es-PE" w:eastAsia="es-MX"/>
        </w:rPr>
        <w:t>Lactobacillus</w:t>
      </w:r>
      <w:r w:rsidRPr="006419D6">
        <w:rPr>
          <w:lang w:val="es-PE" w:eastAsia="es-MX"/>
        </w:rPr>
        <w:t xml:space="preserve">, </w:t>
      </w:r>
      <w:r w:rsidRPr="006419D6">
        <w:rPr>
          <w:i/>
          <w:iCs/>
          <w:lang w:val="es-PE" w:eastAsia="es-MX"/>
        </w:rPr>
        <w:t>Actinomyces</w:t>
      </w:r>
      <w:r w:rsidRPr="006419D6">
        <w:rPr>
          <w:lang w:val="es-PE" w:eastAsia="es-MX"/>
        </w:rPr>
        <w:t xml:space="preserve"> y </w:t>
      </w:r>
      <w:r w:rsidRPr="006419D6">
        <w:rPr>
          <w:i/>
          <w:iCs/>
          <w:lang w:val="es-PE" w:eastAsia="es-MX"/>
        </w:rPr>
        <w:t>Bifidobacterium</w:t>
      </w:r>
      <w:r w:rsidRPr="006419D6">
        <w:rPr>
          <w:lang w:val="es-PE" w:eastAsia="es-MX"/>
        </w:rPr>
        <w:t xml:space="preserve">, en concomitancia con los </w:t>
      </w:r>
      <w:r w:rsidRPr="006419D6">
        <w:rPr>
          <w:i/>
          <w:iCs/>
          <w:lang w:val="es-PE" w:eastAsia="es-MX"/>
        </w:rPr>
        <w:t>Estreptococos</w:t>
      </w:r>
      <w:r w:rsidRPr="006419D6">
        <w:rPr>
          <w:lang w:val="es-PE" w:eastAsia="es-MX"/>
        </w:rPr>
        <w:t>, como los responsables de las lesiones cariosas en las superficies dentarias, al propiciar disbiosis en el ecosistema oral.</w:t>
      </w:r>
      <w:r w:rsidRPr="006419D6">
        <w:rPr>
          <w:vertAlign w:val="superscript"/>
          <w:lang w:val="es-PE" w:eastAsia="es-MX"/>
        </w:rPr>
        <w:t>(3,4)</w:t>
      </w:r>
    </w:p>
    <w:p w14:paraId="2B35C814" w14:textId="77777777" w:rsidR="006419D6" w:rsidRPr="006419D6" w:rsidRDefault="006419D6" w:rsidP="006419D6">
      <w:pPr>
        <w:spacing w:line="360" w:lineRule="auto"/>
        <w:jc w:val="both"/>
        <w:rPr>
          <w:lang w:val="es-PE" w:eastAsia="es-MX"/>
        </w:rPr>
      </w:pPr>
      <w:r w:rsidRPr="006419D6">
        <w:rPr>
          <w:lang w:val="es-PE" w:eastAsia="es-MX"/>
        </w:rPr>
        <w:t>El</w:t>
      </w:r>
      <w:r w:rsidRPr="006419D6">
        <w:rPr>
          <w:i/>
          <w:iCs/>
          <w:lang w:val="es-PE" w:eastAsia="es-MX"/>
        </w:rPr>
        <w:t xml:space="preserve"> S. mutans</w:t>
      </w:r>
      <w:r w:rsidRPr="006419D6">
        <w:rPr>
          <w:lang w:val="es-PE" w:eastAsia="es-MX"/>
        </w:rPr>
        <w:t xml:space="preserve"> tiene mayor capacidad de formar biopelículas, a diferencia de otros </w:t>
      </w:r>
      <w:r w:rsidRPr="006419D6">
        <w:rPr>
          <w:i/>
          <w:iCs/>
          <w:lang w:val="es-PE" w:eastAsia="es-MX"/>
        </w:rPr>
        <w:t>Streptococcus</w:t>
      </w:r>
      <w:r w:rsidRPr="006419D6">
        <w:rPr>
          <w:lang w:val="es-PE" w:eastAsia="es-MX"/>
        </w:rPr>
        <w:t xml:space="preserve">; además, se sabe que junto al </w:t>
      </w:r>
      <w:r w:rsidRPr="006419D6">
        <w:rPr>
          <w:i/>
          <w:iCs/>
          <w:lang w:val="es-PE" w:eastAsia="es-MX"/>
        </w:rPr>
        <w:t xml:space="preserve">Lactobacillus acidophilus </w:t>
      </w:r>
      <w:r w:rsidRPr="006419D6">
        <w:rPr>
          <w:iCs/>
          <w:lang w:val="es-PE" w:eastAsia="es-MX"/>
        </w:rPr>
        <w:t>y</w:t>
      </w:r>
      <w:r w:rsidRPr="006419D6">
        <w:rPr>
          <w:lang w:val="es-PE" w:eastAsia="es-MX"/>
        </w:rPr>
        <w:t xml:space="preserve"> por su metabolismo fermentativo de los carbohidratos provenientes de la dieta, son altos productores de ácido láctico, lo que ocasiona la disminución del pH salival.</w:t>
      </w:r>
      <w:r w:rsidRPr="006419D6">
        <w:rPr>
          <w:vertAlign w:val="superscript"/>
          <w:lang w:val="es-PE" w:eastAsia="es-MX"/>
        </w:rPr>
        <w:t>(5,6)</w:t>
      </w:r>
      <w:r w:rsidRPr="006419D6">
        <w:rPr>
          <w:lang w:val="es-PE" w:eastAsia="es-MX"/>
        </w:rPr>
        <w:t xml:space="preserve"> Estudios previos han reportado la presencia de </w:t>
      </w:r>
      <w:r w:rsidRPr="006419D6">
        <w:rPr>
          <w:i/>
          <w:iCs/>
          <w:lang w:val="es-PE" w:eastAsia="es-MX"/>
        </w:rPr>
        <w:t xml:space="preserve">L. acidophilus </w:t>
      </w:r>
      <w:r w:rsidRPr="006419D6">
        <w:rPr>
          <w:lang w:val="es-PE" w:eastAsia="es-MX"/>
        </w:rPr>
        <w:t xml:space="preserve">a nivel superficial y profundo de las lesiones de caries; favorecido principalmente por un polisacárido extracelular producido por </w:t>
      </w:r>
      <w:r w:rsidRPr="006419D6">
        <w:rPr>
          <w:i/>
          <w:iCs/>
          <w:lang w:val="es-PE" w:eastAsia="es-MX"/>
        </w:rPr>
        <w:t>Streptococcus</w:t>
      </w:r>
      <w:r w:rsidRPr="006419D6">
        <w:rPr>
          <w:lang w:val="es-PE" w:eastAsia="es-MX"/>
        </w:rPr>
        <w:t>, para formar la placa bacteriana.</w:t>
      </w:r>
      <w:r w:rsidRPr="006419D6">
        <w:rPr>
          <w:vertAlign w:val="superscript"/>
          <w:lang w:val="es-PE" w:eastAsia="es-MX"/>
        </w:rPr>
        <w:t xml:space="preserve">(7) </w:t>
      </w:r>
      <w:r w:rsidRPr="006419D6">
        <w:rPr>
          <w:lang w:val="es-PE" w:eastAsia="es-MX"/>
        </w:rPr>
        <w:t>Esta problemática, ha incrementado el interés actual en la búsqueda de nuevas alternativas de tratamientos derivados de productos naturales.</w:t>
      </w:r>
    </w:p>
    <w:p w14:paraId="494983A7" w14:textId="77777777" w:rsidR="006419D6" w:rsidRPr="006419D6" w:rsidRDefault="006419D6" w:rsidP="006419D6">
      <w:pPr>
        <w:spacing w:line="360" w:lineRule="auto"/>
        <w:jc w:val="both"/>
        <w:rPr>
          <w:lang w:val="es-PE" w:eastAsia="es-MX"/>
        </w:rPr>
      </w:pPr>
      <w:r w:rsidRPr="006419D6">
        <w:rPr>
          <w:lang w:val="es-PE" w:eastAsia="es-MX"/>
        </w:rPr>
        <w:lastRenderedPageBreak/>
        <w:t xml:space="preserve">Reportes de la Organización Mundial de la Salud (OMS) establecen que aproximadamente el 80 % de la población mundial utiliza la </w:t>
      </w:r>
      <w:r w:rsidRPr="006419D6">
        <w:rPr>
          <w:iCs/>
          <w:lang w:val="es-PE" w:eastAsia="es-MX"/>
        </w:rPr>
        <w:t xml:space="preserve">medicina tradicional y </w:t>
      </w:r>
      <w:r w:rsidRPr="006419D6">
        <w:rPr>
          <w:lang w:val="es-PE" w:eastAsia="es-MX"/>
        </w:rPr>
        <w:t>complementaria para dar solución a sus principales problemas de salud. El estudio de derivados vegetales para usos curativos se le conoce como medicina herbolaria y es estudiada para conocer nuevos efectos terapéuticos más eficaces y con menor costo.</w:t>
      </w:r>
      <w:r w:rsidRPr="006419D6">
        <w:rPr>
          <w:vertAlign w:val="superscript"/>
          <w:lang w:val="es-PE" w:eastAsia="es-MX"/>
        </w:rPr>
        <w:t>(8,9,10)</w:t>
      </w:r>
      <w:r w:rsidRPr="006419D6">
        <w:rPr>
          <w:lang w:val="es-PE" w:eastAsia="es-MX"/>
        </w:rPr>
        <w:t xml:space="preserve"> De hecho, la hoja de </w:t>
      </w:r>
      <w:r w:rsidRPr="006419D6">
        <w:rPr>
          <w:i/>
          <w:lang w:val="es-PE" w:eastAsia="es-MX"/>
        </w:rPr>
        <w:t>Erythroxylum coca</w:t>
      </w:r>
      <w:r w:rsidRPr="006419D6">
        <w:rPr>
          <w:lang w:val="es-PE" w:eastAsia="es-MX"/>
        </w:rPr>
        <w:t xml:space="preserve"> (coca) es una de los recursos que se vienen estudiando para conocer sus diversos recursos fitogenéticos y farmacológicos.</w:t>
      </w:r>
    </w:p>
    <w:p w14:paraId="244C7616" w14:textId="77777777" w:rsidR="006419D6" w:rsidRPr="006419D6" w:rsidRDefault="006419D6" w:rsidP="006419D6">
      <w:pPr>
        <w:spacing w:line="360" w:lineRule="auto"/>
        <w:jc w:val="both"/>
        <w:rPr>
          <w:vertAlign w:val="superscript"/>
          <w:lang w:val="es-PE" w:eastAsia="es-MX"/>
        </w:rPr>
      </w:pPr>
      <w:r w:rsidRPr="006419D6">
        <w:rPr>
          <w:i/>
          <w:iCs/>
          <w:lang w:val="es-PE" w:eastAsia="es-MX"/>
        </w:rPr>
        <w:t>E. coca</w:t>
      </w:r>
      <w:r w:rsidRPr="006419D6">
        <w:rPr>
          <w:lang w:val="es-PE" w:eastAsia="es-MX"/>
        </w:rPr>
        <w:t xml:space="preserve"> es una planta utilizada en el Perú desde tiempos remotos. En su composición </w:t>
      </w:r>
      <w:r w:rsidRPr="006419D6">
        <w:rPr>
          <w:color w:val="000000"/>
          <w:lang w:val="es-PE" w:eastAsia="es-MX"/>
        </w:rPr>
        <w:t>se han identificado metabolitos primarios tipo lípidos, proteínas, carbohidratos y secundarios, principalmente alcaloides, flavonoides y taninos</w:t>
      </w:r>
      <w:r w:rsidRPr="006419D6">
        <w:rPr>
          <w:lang w:val="es-PE" w:eastAsia="es-MX"/>
        </w:rPr>
        <w:t xml:space="preserve">.  Se ha establecido que la cantidad de alcaloides depende de la variedad de </w:t>
      </w:r>
      <w:r w:rsidRPr="006419D6">
        <w:rPr>
          <w:i/>
          <w:iCs/>
          <w:lang w:val="es-PE" w:eastAsia="es-MX"/>
        </w:rPr>
        <w:t>E. coca</w:t>
      </w:r>
      <w:r w:rsidRPr="006419D6">
        <w:rPr>
          <w:lang w:val="es-PE" w:eastAsia="es-MX"/>
        </w:rPr>
        <w:t>; uno de los más estudiados es la cocaína.</w:t>
      </w:r>
      <w:r w:rsidRPr="006419D6">
        <w:rPr>
          <w:vertAlign w:val="superscript"/>
          <w:lang w:val="es-PE" w:eastAsia="es-MX"/>
        </w:rPr>
        <w:t>(11,12,13)</w:t>
      </w:r>
      <w:r w:rsidRPr="006419D6">
        <w:rPr>
          <w:lang w:val="es-PE" w:eastAsia="es-MX"/>
        </w:rPr>
        <w:t xml:space="preserve"> Respecto al potencial antibacteriano de la planta, un estudio precedente ha demostrado que el 5,7-trihidroxi-flavona es el flavonoide más eficaz al inhibir la enzima glucosiltransferasa, determinante en la composición de glucano para la formación de la placa bacteriana oral.</w:t>
      </w:r>
      <w:r w:rsidRPr="006419D6">
        <w:rPr>
          <w:vertAlign w:val="superscript"/>
          <w:lang w:val="es-PE" w:eastAsia="es-MX"/>
        </w:rPr>
        <w:t>(14)</w:t>
      </w:r>
    </w:p>
    <w:p w14:paraId="245AEA5C" w14:textId="77777777" w:rsidR="006419D6" w:rsidRPr="006419D6" w:rsidRDefault="006419D6" w:rsidP="006419D6">
      <w:pPr>
        <w:spacing w:line="360" w:lineRule="auto"/>
        <w:jc w:val="both"/>
        <w:rPr>
          <w:lang w:val="es-PE" w:eastAsia="es-MX"/>
        </w:rPr>
      </w:pPr>
      <w:r w:rsidRPr="006419D6">
        <w:rPr>
          <w:lang w:val="es-PE" w:eastAsia="es-MX"/>
        </w:rPr>
        <w:t xml:space="preserve">La utilización de los productos de </w:t>
      </w:r>
      <w:r w:rsidRPr="006419D6">
        <w:rPr>
          <w:i/>
          <w:iCs/>
          <w:lang w:val="es-PE" w:eastAsia="es-MX"/>
        </w:rPr>
        <w:t>E. coca</w:t>
      </w:r>
      <w:r w:rsidRPr="006419D6">
        <w:rPr>
          <w:lang w:val="es-PE" w:eastAsia="es-MX"/>
        </w:rPr>
        <w:t xml:space="preserve"> por la población es principalmente empírica desde hace muchos años, mediante masticación de las hojas, apósito e infusiones. El potencial farmacológico de este vegetal radica en su capacidad analgésica, antibacteriana, antiinflamatoria y anestésica.</w:t>
      </w:r>
      <w:r w:rsidRPr="006419D6">
        <w:rPr>
          <w:vertAlign w:val="superscript"/>
          <w:lang w:val="es-PE" w:eastAsia="es-MX"/>
        </w:rPr>
        <w:t>(15,16)</w:t>
      </w:r>
      <w:r w:rsidRPr="006419D6">
        <w:rPr>
          <w:lang w:val="es-PE" w:eastAsia="es-MX"/>
        </w:rPr>
        <w:t xml:space="preserve"> Al respecto, </w:t>
      </w:r>
      <w:r w:rsidRPr="006419D6">
        <w:rPr>
          <w:i/>
          <w:iCs/>
          <w:lang w:val="es-PE" w:eastAsia="es-MX"/>
        </w:rPr>
        <w:t xml:space="preserve">Loyola </w:t>
      </w:r>
      <w:r w:rsidRPr="006419D6">
        <w:rPr>
          <w:lang w:val="es-PE" w:eastAsia="es-MX"/>
        </w:rPr>
        <w:t>y otros</w:t>
      </w:r>
      <w:r w:rsidRPr="006419D6">
        <w:rPr>
          <w:i/>
          <w:iCs/>
          <w:lang w:val="es-PE" w:eastAsia="es-MX"/>
        </w:rPr>
        <w:t>,</w:t>
      </w:r>
      <w:r w:rsidRPr="006419D6">
        <w:rPr>
          <w:vertAlign w:val="superscript"/>
          <w:lang w:val="es-PE" w:eastAsia="es-MX"/>
        </w:rPr>
        <w:t>(17)</w:t>
      </w:r>
      <w:r w:rsidRPr="006419D6">
        <w:rPr>
          <w:lang w:val="es-PE" w:eastAsia="es-MX"/>
        </w:rPr>
        <w:t xml:space="preserve"> evaluaron la actividad antibacteriana del extracto etanólico de </w:t>
      </w:r>
      <w:r w:rsidRPr="006419D6">
        <w:rPr>
          <w:i/>
          <w:lang w:val="es-PE" w:eastAsia="es-MX"/>
        </w:rPr>
        <w:t>Erythroxylum coca</w:t>
      </w:r>
      <w:r w:rsidRPr="006419D6">
        <w:rPr>
          <w:lang w:val="es-PE" w:eastAsia="es-MX"/>
        </w:rPr>
        <w:t xml:space="preserve"> Lam y </w:t>
      </w:r>
      <w:r w:rsidRPr="006419D6">
        <w:rPr>
          <w:i/>
          <w:lang w:val="es-PE" w:eastAsia="es-MX"/>
        </w:rPr>
        <w:t>Schinus molle</w:t>
      </w:r>
      <w:r w:rsidRPr="006419D6">
        <w:rPr>
          <w:lang w:val="es-PE" w:eastAsia="es-MX"/>
        </w:rPr>
        <w:t xml:space="preserve">, a concentraciones de 50 % y 75 % frente a </w:t>
      </w:r>
      <w:r w:rsidRPr="006419D6">
        <w:rPr>
          <w:i/>
          <w:lang w:val="es-PE" w:eastAsia="es-MX"/>
        </w:rPr>
        <w:t>S. mutans</w:t>
      </w:r>
      <w:r w:rsidRPr="006419D6">
        <w:rPr>
          <w:lang w:val="es-PE" w:eastAsia="es-MX"/>
        </w:rPr>
        <w:t xml:space="preserve"> ATCC 25175; establecieron que en ambos extractos la concentración más alta tuvo mayor eficacia antibacteriana; sin embargo, dicho efecto no superó al de la clorhexidina, utilizada como control.</w:t>
      </w:r>
    </w:p>
    <w:p w14:paraId="4EDD8005" w14:textId="77777777" w:rsidR="006419D6" w:rsidRPr="006419D6" w:rsidRDefault="006419D6" w:rsidP="006419D6">
      <w:pPr>
        <w:spacing w:line="360" w:lineRule="auto"/>
        <w:jc w:val="both"/>
        <w:rPr>
          <w:lang w:val="es-PE" w:eastAsia="es-MX"/>
        </w:rPr>
      </w:pPr>
      <w:r w:rsidRPr="006419D6">
        <w:rPr>
          <w:lang w:val="es-PE" w:eastAsia="es-MX"/>
        </w:rPr>
        <w:t xml:space="preserve">A pesar del auge de investigaciones en la búsqueda de nuevos fitoterapéuticos, aún existe un vacío del conocimiento respecto al potencial antimicrobiano de la hoja de </w:t>
      </w:r>
      <w:r w:rsidRPr="006419D6">
        <w:rPr>
          <w:i/>
          <w:iCs/>
          <w:lang w:val="es-PE" w:eastAsia="es-MX"/>
        </w:rPr>
        <w:t xml:space="preserve">E. coca </w:t>
      </w:r>
      <w:r w:rsidRPr="006419D6">
        <w:rPr>
          <w:lang w:val="es-PE" w:eastAsia="es-MX"/>
        </w:rPr>
        <w:t xml:space="preserve">sobre microorganismos de interés estomatológico. Al ser la caries dental unas de las enfermedades más prevalentes a nivel mundial, que afecta a todos los grupos etarios sin distinción, existe la necesidad de buscar nuevas alternativas terapéuticas con base en derivados naturales de menor costo, sin efectos colaterales y de fácil acceso para las poblaciones más necesitadas. </w:t>
      </w:r>
    </w:p>
    <w:p w14:paraId="22852D4A" w14:textId="77777777" w:rsidR="006419D6" w:rsidRPr="006419D6" w:rsidRDefault="006419D6" w:rsidP="006419D6">
      <w:pPr>
        <w:spacing w:line="360" w:lineRule="auto"/>
        <w:jc w:val="both"/>
        <w:rPr>
          <w:lang w:val="es-PE" w:eastAsia="es-MX"/>
        </w:rPr>
      </w:pPr>
      <w:r w:rsidRPr="006419D6">
        <w:rPr>
          <w:lang w:val="es-PE" w:eastAsia="es-MX"/>
        </w:rPr>
        <w:t xml:space="preserve">La presente investigación tiene como objetivo comparar el efecto antibacteriano del extracto acuoso y alcohólico de hojas secas de </w:t>
      </w:r>
      <w:r w:rsidRPr="006419D6">
        <w:rPr>
          <w:i/>
          <w:iCs/>
          <w:lang w:val="es-PE" w:eastAsia="es-MX"/>
        </w:rPr>
        <w:t>E. coca</w:t>
      </w:r>
      <w:r w:rsidRPr="006419D6">
        <w:rPr>
          <w:lang w:val="es-PE" w:eastAsia="es-MX"/>
        </w:rPr>
        <w:t xml:space="preserve"> frente a </w:t>
      </w:r>
      <w:r w:rsidRPr="006419D6">
        <w:rPr>
          <w:i/>
          <w:iCs/>
          <w:lang w:val="es-PE" w:eastAsia="es-MX"/>
        </w:rPr>
        <w:t>S. mutans</w:t>
      </w:r>
      <w:r w:rsidRPr="006419D6">
        <w:rPr>
          <w:lang w:val="es-PE" w:eastAsia="es-MX"/>
        </w:rPr>
        <w:t xml:space="preserve"> ATCC</w:t>
      </w:r>
      <w:r w:rsidRPr="006419D6">
        <w:rPr>
          <w:vertAlign w:val="superscript"/>
          <w:lang w:val="es-PE" w:eastAsia="es-MX"/>
        </w:rPr>
        <w:t>®</w:t>
      </w:r>
      <w:r w:rsidRPr="006419D6">
        <w:rPr>
          <w:lang w:val="es-PE" w:eastAsia="es-MX"/>
        </w:rPr>
        <w:t>35668</w:t>
      </w:r>
      <w:r w:rsidRPr="006419D6">
        <w:rPr>
          <w:vertAlign w:val="superscript"/>
          <w:lang w:val="es-PE" w:eastAsia="es-MX"/>
        </w:rPr>
        <w:t xml:space="preserve">™ </w:t>
      </w:r>
      <w:r w:rsidRPr="006419D6">
        <w:rPr>
          <w:lang w:val="es-PE" w:eastAsia="es-MX"/>
        </w:rPr>
        <w:t xml:space="preserve">y </w:t>
      </w:r>
      <w:r w:rsidRPr="006419D6">
        <w:rPr>
          <w:i/>
          <w:iCs/>
          <w:lang w:val="es-PE" w:eastAsia="es-MX"/>
        </w:rPr>
        <w:t>L. acidophilus</w:t>
      </w:r>
      <w:r w:rsidRPr="006419D6">
        <w:rPr>
          <w:lang w:val="es-PE" w:eastAsia="es-MX"/>
        </w:rPr>
        <w:t xml:space="preserve"> ATCC</w:t>
      </w:r>
      <w:r w:rsidRPr="006419D6">
        <w:rPr>
          <w:vertAlign w:val="superscript"/>
          <w:lang w:val="es-PE" w:eastAsia="es-MX"/>
        </w:rPr>
        <w:t>®</w:t>
      </w:r>
      <w:r w:rsidRPr="006419D6">
        <w:rPr>
          <w:lang w:val="es-PE" w:eastAsia="es-MX"/>
        </w:rPr>
        <w:t>4356</w:t>
      </w:r>
      <w:r w:rsidRPr="006419D6">
        <w:rPr>
          <w:vertAlign w:val="superscript"/>
          <w:lang w:val="es-PE" w:eastAsia="es-MX"/>
        </w:rPr>
        <w:t>™</w:t>
      </w:r>
      <w:r w:rsidRPr="006419D6">
        <w:rPr>
          <w:lang w:val="es-PE" w:eastAsia="es-MX"/>
        </w:rPr>
        <w:t>.</w:t>
      </w:r>
    </w:p>
    <w:p w14:paraId="6A2731D1" w14:textId="77777777" w:rsidR="006419D6" w:rsidRPr="006419D6" w:rsidRDefault="006419D6" w:rsidP="006419D6">
      <w:pPr>
        <w:spacing w:line="360" w:lineRule="auto"/>
        <w:jc w:val="both"/>
        <w:rPr>
          <w:lang w:val="es-PE" w:eastAsia="es-MX"/>
        </w:rPr>
      </w:pPr>
    </w:p>
    <w:p w14:paraId="7CAF1921" w14:textId="77777777" w:rsidR="006419D6" w:rsidRPr="006419D6" w:rsidRDefault="006419D6" w:rsidP="006419D6">
      <w:pPr>
        <w:spacing w:line="360" w:lineRule="auto"/>
        <w:jc w:val="both"/>
        <w:rPr>
          <w:lang w:val="es-PE" w:eastAsia="es-MX"/>
        </w:rPr>
      </w:pPr>
    </w:p>
    <w:p w14:paraId="64641101" w14:textId="77777777" w:rsidR="006419D6" w:rsidRPr="006419D6" w:rsidRDefault="006419D6" w:rsidP="006419D6">
      <w:pPr>
        <w:spacing w:line="360" w:lineRule="auto"/>
        <w:jc w:val="center"/>
        <w:rPr>
          <w:b/>
          <w:bCs/>
          <w:sz w:val="32"/>
          <w:szCs w:val="32"/>
          <w:lang w:val="es-PE" w:eastAsia="es-MX"/>
        </w:rPr>
      </w:pPr>
      <w:r w:rsidRPr="006419D6">
        <w:rPr>
          <w:b/>
          <w:bCs/>
          <w:sz w:val="32"/>
          <w:szCs w:val="32"/>
          <w:lang w:val="es-PE" w:eastAsia="es-MX"/>
        </w:rPr>
        <w:t>MÉTODOS</w:t>
      </w:r>
    </w:p>
    <w:p w14:paraId="6DED43AE" w14:textId="77777777" w:rsidR="006419D6" w:rsidRPr="006419D6" w:rsidRDefault="006419D6" w:rsidP="006419D6">
      <w:pPr>
        <w:spacing w:line="360" w:lineRule="auto"/>
        <w:jc w:val="both"/>
        <w:rPr>
          <w:lang w:val="es-PE" w:eastAsia="es-MX"/>
        </w:rPr>
      </w:pPr>
      <w:r w:rsidRPr="006419D6">
        <w:rPr>
          <w:lang w:val="es-PE" w:eastAsia="es-MX"/>
        </w:rPr>
        <w:t xml:space="preserve">Se realizó un estudio de enfoque cuantitativo, experimental </w:t>
      </w:r>
      <w:r w:rsidRPr="006419D6">
        <w:rPr>
          <w:i/>
          <w:iCs/>
          <w:lang w:val="es-PE" w:eastAsia="es-MX"/>
        </w:rPr>
        <w:t>in vitro</w:t>
      </w:r>
      <w:r w:rsidRPr="006419D6">
        <w:rPr>
          <w:lang w:val="es-PE" w:eastAsia="es-MX"/>
        </w:rPr>
        <w:t>, longitudinal y prospectivo, en el laboratorio de microbiología de la Universidad Científica del Sur, en el periodo comprendido entre el 12 de mayo del 2021 y el 28 de enero del 2022.</w:t>
      </w:r>
    </w:p>
    <w:p w14:paraId="424A4EC4" w14:textId="77777777" w:rsidR="006419D6" w:rsidRPr="006419D6" w:rsidRDefault="006419D6" w:rsidP="006419D6">
      <w:pPr>
        <w:spacing w:line="360" w:lineRule="auto"/>
        <w:jc w:val="both"/>
        <w:rPr>
          <w:lang w:val="es-PE" w:eastAsia="es-MX"/>
        </w:rPr>
      </w:pPr>
      <w:r w:rsidRPr="006419D6">
        <w:rPr>
          <w:lang w:val="es-PE" w:eastAsia="es-MX"/>
        </w:rPr>
        <w:t>La investigación fue evaluada por el Comité Institucional de Ética en Investigación (CIEI) de la Universidad Científica del Sur (Código de registro: 695-2020-POS8).</w:t>
      </w:r>
    </w:p>
    <w:p w14:paraId="37BC860D" w14:textId="77777777" w:rsidR="006419D6" w:rsidRPr="006419D6" w:rsidRDefault="006419D6" w:rsidP="006419D6">
      <w:pPr>
        <w:spacing w:line="360" w:lineRule="auto"/>
        <w:jc w:val="both"/>
        <w:rPr>
          <w:vertAlign w:val="superscript"/>
          <w:lang w:val="es-PE" w:eastAsia="es-MX"/>
        </w:rPr>
      </w:pPr>
      <w:r w:rsidRPr="006419D6">
        <w:rPr>
          <w:lang w:val="es-PE" w:eastAsia="es-MX"/>
        </w:rPr>
        <w:t xml:space="preserve"> La población, estuvo constituida por placas petri sembradas con cepas estandarizadas de </w:t>
      </w:r>
      <w:r w:rsidRPr="006419D6">
        <w:rPr>
          <w:i/>
          <w:iCs/>
          <w:lang w:val="es-PE" w:eastAsia="es-MX"/>
        </w:rPr>
        <w:t>S. mutans</w:t>
      </w:r>
      <w:r w:rsidRPr="006419D6">
        <w:rPr>
          <w:lang w:val="es-PE" w:eastAsia="es-MX"/>
        </w:rPr>
        <w:t xml:space="preserve"> ATCC</w:t>
      </w:r>
      <w:r w:rsidRPr="006419D6">
        <w:rPr>
          <w:vertAlign w:val="superscript"/>
          <w:lang w:val="es-PE" w:eastAsia="es-MX"/>
        </w:rPr>
        <w:t>®</w:t>
      </w:r>
      <w:r w:rsidRPr="006419D6">
        <w:rPr>
          <w:lang w:val="es-PE" w:eastAsia="es-MX"/>
        </w:rPr>
        <w:t>35668</w:t>
      </w:r>
      <w:r w:rsidRPr="006419D6">
        <w:rPr>
          <w:vertAlign w:val="superscript"/>
          <w:lang w:val="es-PE" w:eastAsia="es-MX"/>
        </w:rPr>
        <w:t xml:space="preserve">™ </w:t>
      </w:r>
      <w:r w:rsidRPr="006419D6">
        <w:rPr>
          <w:lang w:val="es-PE" w:eastAsia="es-MX"/>
        </w:rPr>
        <w:t xml:space="preserve">y </w:t>
      </w:r>
      <w:r w:rsidRPr="006419D6">
        <w:rPr>
          <w:i/>
          <w:iCs/>
          <w:lang w:val="es-PE" w:eastAsia="es-MX"/>
        </w:rPr>
        <w:t>L. acidophilus</w:t>
      </w:r>
      <w:r w:rsidRPr="006419D6">
        <w:rPr>
          <w:lang w:val="es-PE" w:eastAsia="es-MX"/>
        </w:rPr>
        <w:t xml:space="preserve"> ATCC</w:t>
      </w:r>
      <w:r w:rsidRPr="006419D6">
        <w:rPr>
          <w:vertAlign w:val="superscript"/>
          <w:lang w:val="es-PE" w:eastAsia="es-MX"/>
        </w:rPr>
        <w:t>®</w:t>
      </w:r>
      <w:r w:rsidRPr="006419D6">
        <w:rPr>
          <w:lang w:val="es-PE" w:eastAsia="es-MX"/>
        </w:rPr>
        <w:t>4356</w:t>
      </w:r>
      <w:r w:rsidRPr="006419D6">
        <w:rPr>
          <w:vertAlign w:val="superscript"/>
          <w:lang w:val="es-PE" w:eastAsia="es-MX"/>
        </w:rPr>
        <w:t>™</w:t>
      </w:r>
      <w:r w:rsidRPr="006419D6">
        <w:rPr>
          <w:lang w:val="es-PE" w:eastAsia="es-MX"/>
        </w:rPr>
        <w:t xml:space="preserve">, obtenidas de la </w:t>
      </w:r>
      <w:r w:rsidRPr="006419D6">
        <w:rPr>
          <w:bCs/>
          <w:i/>
          <w:lang w:val="es-ES" w:eastAsia="es-MX"/>
        </w:rPr>
        <w:t>American Type Culture Collection</w:t>
      </w:r>
      <w:r w:rsidRPr="006419D6">
        <w:rPr>
          <w:bCs/>
          <w:iCs/>
          <w:lang w:val="es-ES" w:eastAsia="es-MX"/>
        </w:rPr>
        <w:t xml:space="preserve"> </w:t>
      </w:r>
      <w:r w:rsidRPr="006419D6">
        <w:rPr>
          <w:bCs/>
          <w:lang w:val="es-ES" w:eastAsia="es-MX"/>
        </w:rPr>
        <w:t>(ATCC), importadas por la empresa Genlab S.A.C.</w:t>
      </w:r>
      <w:r w:rsidRPr="006419D6">
        <w:rPr>
          <w:lang w:val="es-PE" w:eastAsia="es-MX"/>
        </w:rPr>
        <w:t xml:space="preserve"> Para la muestra se tomó como referencia investigaciones previas,</w:t>
      </w:r>
      <w:r w:rsidRPr="006419D6">
        <w:rPr>
          <w:vertAlign w:val="superscript"/>
          <w:lang w:val="es-PE" w:eastAsia="es-MX"/>
        </w:rPr>
        <w:t>(18,19)</w:t>
      </w:r>
      <w:r w:rsidRPr="006419D6">
        <w:rPr>
          <w:lang w:val="es-PE" w:eastAsia="es-MX"/>
        </w:rPr>
        <w:t xml:space="preserve"> y estuvo conformada por 20 placas petri por cada concentración y tipo de extracto; resultaron 160 unidades experimentales.</w:t>
      </w:r>
      <w:r w:rsidRPr="006419D6">
        <w:rPr>
          <w:vertAlign w:val="superscript"/>
          <w:lang w:val="es-PE" w:eastAsia="es-MX"/>
        </w:rPr>
        <w:t>(20,21)</w:t>
      </w:r>
    </w:p>
    <w:p w14:paraId="566F7A30" w14:textId="77777777" w:rsidR="006419D6" w:rsidRPr="006419D6" w:rsidRDefault="006419D6" w:rsidP="006419D6">
      <w:pPr>
        <w:spacing w:line="360" w:lineRule="auto"/>
        <w:jc w:val="center"/>
        <w:rPr>
          <w:b/>
          <w:bCs/>
          <w:i/>
          <w:sz w:val="28"/>
          <w:szCs w:val="28"/>
          <w:lang w:val="es-PE" w:eastAsia="es-MX"/>
        </w:rPr>
      </w:pPr>
      <w:r w:rsidRPr="006419D6">
        <w:rPr>
          <w:b/>
          <w:bCs/>
          <w:sz w:val="28"/>
          <w:szCs w:val="28"/>
          <w:lang w:val="es-PE" w:eastAsia="es-MX"/>
        </w:rPr>
        <w:t xml:space="preserve">Recolección de las hojas e identificación de la planta </w:t>
      </w:r>
      <w:r w:rsidRPr="006419D6">
        <w:rPr>
          <w:b/>
          <w:bCs/>
          <w:i/>
          <w:sz w:val="28"/>
          <w:szCs w:val="28"/>
          <w:lang w:val="es-PE" w:eastAsia="es-MX"/>
        </w:rPr>
        <w:t>E. coca</w:t>
      </w:r>
    </w:p>
    <w:p w14:paraId="0DAF58A2" w14:textId="77777777" w:rsidR="006419D6" w:rsidRPr="006419D6" w:rsidRDefault="006419D6" w:rsidP="006419D6">
      <w:pPr>
        <w:spacing w:line="360" w:lineRule="auto"/>
        <w:jc w:val="both"/>
        <w:rPr>
          <w:bCs/>
          <w:lang w:val="es-PE" w:eastAsia="es-MX"/>
        </w:rPr>
      </w:pPr>
      <w:r w:rsidRPr="006419D6">
        <w:rPr>
          <w:bCs/>
          <w:lang w:val="es-PE" w:eastAsia="es-MX"/>
        </w:rPr>
        <w:t xml:space="preserve">Las hojas de coca para la obtención de los extractos acuoso, alcohólico y su identificación taxonómica, fueron proporcionadas por la Empresa Nacional de la Coca (ENACO S.A), sede Trujillo. La caracterización taxonómica fue corroborada en el </w:t>
      </w:r>
      <w:r w:rsidRPr="006419D6">
        <w:rPr>
          <w:bCs/>
          <w:i/>
          <w:lang w:val="es-PE" w:eastAsia="es-MX"/>
        </w:rPr>
        <w:t>Herbarium Truxillense</w:t>
      </w:r>
      <w:r w:rsidRPr="006419D6">
        <w:rPr>
          <w:bCs/>
          <w:lang w:val="es-PE" w:eastAsia="es-MX"/>
        </w:rPr>
        <w:t xml:space="preserve"> (HUT) de la Universidad Nacional de Trujillo (UNT), con código de registro N°60841. </w:t>
      </w:r>
    </w:p>
    <w:p w14:paraId="1AE8067C" w14:textId="77777777" w:rsidR="006419D6" w:rsidRPr="006419D6" w:rsidRDefault="006419D6" w:rsidP="006419D6">
      <w:pPr>
        <w:spacing w:line="360" w:lineRule="auto"/>
        <w:jc w:val="center"/>
        <w:rPr>
          <w:bCs/>
          <w:iCs/>
          <w:sz w:val="28"/>
          <w:szCs w:val="28"/>
          <w:lang w:val="es-PE" w:eastAsia="es-MX"/>
        </w:rPr>
      </w:pPr>
      <w:r w:rsidRPr="006419D6">
        <w:rPr>
          <w:b/>
          <w:bCs/>
          <w:sz w:val="28"/>
          <w:szCs w:val="28"/>
          <w:lang w:val="es-PE" w:eastAsia="es-MX"/>
        </w:rPr>
        <w:t xml:space="preserve">Obtención y tamizaje fitoquímico de los extractos etanólico y acuoso de </w:t>
      </w:r>
      <w:r w:rsidRPr="006419D6">
        <w:rPr>
          <w:b/>
          <w:bCs/>
          <w:i/>
          <w:sz w:val="28"/>
          <w:szCs w:val="28"/>
          <w:lang w:val="es-PE" w:eastAsia="es-MX"/>
        </w:rPr>
        <w:t>E. coca</w:t>
      </w:r>
    </w:p>
    <w:p w14:paraId="524D8F66" w14:textId="50315EDF" w:rsidR="006419D6" w:rsidRPr="006419D6" w:rsidRDefault="006419D6" w:rsidP="006419D6">
      <w:pPr>
        <w:spacing w:line="360" w:lineRule="auto"/>
        <w:jc w:val="both"/>
        <w:rPr>
          <w:lang w:val="es-PE" w:eastAsia="es-MX"/>
        </w:rPr>
      </w:pPr>
      <w:r w:rsidRPr="006419D6">
        <w:rPr>
          <w:lang w:val="es-PE" w:eastAsia="es-MX"/>
        </w:rPr>
        <w:t>La obtención de los extractos y su tamizaje fitoquímico fue realizado en el</w:t>
      </w:r>
      <w:r w:rsidRPr="006419D6">
        <w:rPr>
          <w:bCs/>
          <w:lang w:val="es-PE" w:eastAsia="es-MX"/>
        </w:rPr>
        <w:t xml:space="preserve"> Centro de Control Analítico (CCA) de la Facultad de Farmacia y Bioquímica de la Universidad Nacional Mayor de San Marcos (UNMSM). Las hojas fueron secadas en una estufa (Memmert) a 40 </w:t>
      </w:r>
      <w:r w:rsidRPr="006419D6">
        <w:rPr>
          <w:bCs/>
          <w:vertAlign w:val="superscript"/>
          <w:lang w:val="es-PE" w:eastAsia="es-MX"/>
        </w:rPr>
        <w:t>o</w:t>
      </w:r>
      <w:r w:rsidRPr="006419D6">
        <w:rPr>
          <w:bCs/>
          <w:lang w:val="es-PE" w:eastAsia="es-MX"/>
        </w:rPr>
        <w:t xml:space="preserve">C durante 5 días y trituradas con un molino común. El extracto acuoso de hoja de coca se obtuvo mediante el método de ebullición en agua destilada con 300 g del material vegetal y el extracto etanólico, por el método de maceración en solvente alcohólico </w:t>
      </w:r>
      <w:r w:rsidRPr="006419D6">
        <w:rPr>
          <w:lang w:val="es-PE" w:eastAsia="es-MX"/>
        </w:rPr>
        <w:t>70 ° con la misma cantidad de material</w:t>
      </w:r>
      <w:r w:rsidRPr="006419D6">
        <w:rPr>
          <w:bCs/>
          <w:lang w:val="es-PE" w:eastAsia="es-MX"/>
        </w:rPr>
        <w:t>. Posterior a la maceración por 7 días, los preparados se filtraron 3 veces con papel filtro (</w:t>
      </w:r>
      <w:r w:rsidRPr="006419D6">
        <w:rPr>
          <w:lang w:val="es-PE" w:eastAsia="es-MX"/>
        </w:rPr>
        <w:t>Whatman N</w:t>
      </w:r>
      <w:r w:rsidRPr="006419D6">
        <w:rPr>
          <w:lang w:val="es-PE" w:eastAsia="es-MX"/>
        </w:rPr>
        <w:sym w:font="Symbol" w:char="F0B0"/>
      </w:r>
      <w:r w:rsidRPr="006419D6">
        <w:rPr>
          <w:lang w:val="es-PE" w:eastAsia="es-MX"/>
        </w:rPr>
        <w:t xml:space="preserve"> 1). A partir de los extractos acuoso y </w:t>
      </w:r>
      <w:r w:rsidRPr="006419D6">
        <w:rPr>
          <w:lang w:val="es-PE" w:eastAsia="es-MX"/>
        </w:rPr>
        <w:lastRenderedPageBreak/>
        <w:t>etanólico secos obtenidos mediante bomba de vacío Vacuubrand</w:t>
      </w:r>
      <w:r w:rsidRPr="006419D6">
        <w:rPr>
          <w:vertAlign w:val="superscript"/>
          <w:lang w:val="es-PE" w:eastAsia="es-MX"/>
        </w:rPr>
        <w:t xml:space="preserve">® </w:t>
      </w:r>
      <w:r w:rsidRPr="006419D6">
        <w:rPr>
          <w:lang w:val="es-PE" w:eastAsia="es-MX"/>
        </w:rPr>
        <w:t xml:space="preserve">modelo ME 4RNT se prepararon las concentraciones de 25 mg/mL, 50 mg/mL y 75 mg/mL, al momento de la experimentación. </w:t>
      </w:r>
    </w:p>
    <w:p w14:paraId="0483196B" w14:textId="77777777" w:rsidR="006419D6" w:rsidRPr="006419D6" w:rsidRDefault="006419D6" w:rsidP="006419D6">
      <w:pPr>
        <w:spacing w:line="360" w:lineRule="auto"/>
        <w:jc w:val="both"/>
        <w:rPr>
          <w:bCs/>
          <w:color w:val="FF0000"/>
          <w:lang w:val="es-PE" w:eastAsia="es-MX"/>
        </w:rPr>
      </w:pPr>
      <w:r w:rsidRPr="006419D6">
        <w:rPr>
          <w:bCs/>
          <w:lang w:val="es-PE" w:eastAsia="es-MX"/>
        </w:rPr>
        <w:t>El tamizaje fitoquímico cuantitativo se realizó por espectrofotometría UV-VIS</w:t>
      </w:r>
      <w:r w:rsidRPr="006419D6">
        <w:rPr>
          <w:iCs/>
          <w:lang w:val="es-PE" w:eastAsia="es-MX"/>
        </w:rPr>
        <w:t xml:space="preserve"> para fenoles, taninos y flavonoides. El análisis y cuantificación de alcaloides totales se obtuvo por el método volumétrico. </w:t>
      </w:r>
    </w:p>
    <w:p w14:paraId="3472DDC9" w14:textId="77777777" w:rsidR="006419D6" w:rsidRPr="006419D6" w:rsidRDefault="006419D6" w:rsidP="006419D6">
      <w:pPr>
        <w:spacing w:line="360" w:lineRule="auto"/>
        <w:jc w:val="center"/>
        <w:rPr>
          <w:bCs/>
          <w:sz w:val="28"/>
          <w:szCs w:val="28"/>
          <w:lang w:val="es-ES" w:eastAsia="es-MX"/>
        </w:rPr>
      </w:pPr>
      <w:r w:rsidRPr="006419D6">
        <w:rPr>
          <w:b/>
          <w:bCs/>
          <w:sz w:val="28"/>
          <w:szCs w:val="28"/>
          <w:lang w:val="es-ES" w:eastAsia="es-MX"/>
        </w:rPr>
        <w:t xml:space="preserve">Reactivación y estandarización de las cepas de </w:t>
      </w:r>
      <w:r w:rsidRPr="006419D6">
        <w:rPr>
          <w:b/>
          <w:bCs/>
          <w:i/>
          <w:iCs/>
          <w:sz w:val="28"/>
          <w:szCs w:val="28"/>
          <w:lang w:val="es-PE" w:eastAsia="es-MX"/>
        </w:rPr>
        <w:t xml:space="preserve">S. mutans </w:t>
      </w:r>
      <w:r w:rsidRPr="006419D6">
        <w:rPr>
          <w:b/>
          <w:bCs/>
          <w:iCs/>
          <w:sz w:val="28"/>
          <w:szCs w:val="28"/>
          <w:lang w:val="es-PE" w:eastAsia="es-MX"/>
        </w:rPr>
        <w:t>ATCC</w:t>
      </w:r>
      <w:r w:rsidRPr="006419D6">
        <w:rPr>
          <w:b/>
          <w:bCs/>
          <w:iCs/>
          <w:sz w:val="28"/>
          <w:szCs w:val="28"/>
          <w:vertAlign w:val="superscript"/>
          <w:lang w:val="es-PE" w:eastAsia="es-MX"/>
        </w:rPr>
        <w:t>®</w:t>
      </w:r>
      <w:r w:rsidRPr="006419D6">
        <w:rPr>
          <w:b/>
          <w:bCs/>
          <w:iCs/>
          <w:sz w:val="28"/>
          <w:szCs w:val="28"/>
          <w:lang w:val="es-PE" w:eastAsia="es-MX"/>
        </w:rPr>
        <w:t>35668</w:t>
      </w:r>
      <w:r w:rsidRPr="006419D6">
        <w:rPr>
          <w:b/>
          <w:bCs/>
          <w:iCs/>
          <w:sz w:val="28"/>
          <w:szCs w:val="28"/>
          <w:vertAlign w:val="superscript"/>
          <w:lang w:val="es-PE" w:eastAsia="es-MX"/>
        </w:rPr>
        <w:t xml:space="preserve">™ </w:t>
      </w:r>
      <w:r w:rsidRPr="006419D6">
        <w:rPr>
          <w:b/>
          <w:bCs/>
          <w:iCs/>
          <w:sz w:val="28"/>
          <w:szCs w:val="28"/>
          <w:lang w:val="es-PE" w:eastAsia="es-MX"/>
        </w:rPr>
        <w:t>y</w:t>
      </w:r>
      <w:r w:rsidRPr="006419D6">
        <w:rPr>
          <w:b/>
          <w:bCs/>
          <w:i/>
          <w:iCs/>
          <w:sz w:val="28"/>
          <w:szCs w:val="28"/>
          <w:lang w:val="es-PE" w:eastAsia="es-MX"/>
        </w:rPr>
        <w:t xml:space="preserve"> L. acidophilus </w:t>
      </w:r>
      <w:r w:rsidRPr="006419D6">
        <w:rPr>
          <w:b/>
          <w:bCs/>
          <w:iCs/>
          <w:sz w:val="28"/>
          <w:szCs w:val="28"/>
          <w:lang w:val="es-PE" w:eastAsia="es-MX"/>
        </w:rPr>
        <w:t>ATCC</w:t>
      </w:r>
      <w:r w:rsidRPr="006419D6">
        <w:rPr>
          <w:b/>
          <w:bCs/>
          <w:iCs/>
          <w:sz w:val="28"/>
          <w:szCs w:val="28"/>
          <w:vertAlign w:val="superscript"/>
          <w:lang w:val="es-PE" w:eastAsia="es-MX"/>
        </w:rPr>
        <w:t>®</w:t>
      </w:r>
      <w:r w:rsidRPr="006419D6">
        <w:rPr>
          <w:b/>
          <w:bCs/>
          <w:iCs/>
          <w:sz w:val="28"/>
          <w:szCs w:val="28"/>
          <w:lang w:val="es-PE" w:eastAsia="es-MX"/>
        </w:rPr>
        <w:t>4356</w:t>
      </w:r>
      <w:r w:rsidRPr="006419D6">
        <w:rPr>
          <w:b/>
          <w:bCs/>
          <w:iCs/>
          <w:sz w:val="28"/>
          <w:szCs w:val="28"/>
          <w:vertAlign w:val="superscript"/>
          <w:lang w:val="es-PE" w:eastAsia="es-MX"/>
        </w:rPr>
        <w:t>™</w:t>
      </w:r>
    </w:p>
    <w:p w14:paraId="35B33F89" w14:textId="77777777" w:rsidR="006419D6" w:rsidRPr="006419D6" w:rsidRDefault="006419D6" w:rsidP="006419D6">
      <w:pPr>
        <w:spacing w:line="360" w:lineRule="auto"/>
        <w:jc w:val="both"/>
        <w:rPr>
          <w:bCs/>
          <w:lang w:val="es-ES" w:eastAsia="es-MX"/>
        </w:rPr>
      </w:pPr>
      <w:r w:rsidRPr="006419D6">
        <w:rPr>
          <w:bCs/>
          <w:lang w:val="es-ES" w:eastAsia="es-MX"/>
        </w:rPr>
        <w:t>Los cultivos bacterianos fueron reactivados 24 horas antes de la experimentación en caldo Mueller Hinton (Liofilchem</w:t>
      </w:r>
      <w:r w:rsidRPr="006419D6">
        <w:rPr>
          <w:bCs/>
          <w:vertAlign w:val="superscript"/>
          <w:lang w:val="es-ES" w:eastAsia="es-MX"/>
        </w:rPr>
        <w:t>®</w:t>
      </w:r>
      <w:r w:rsidRPr="006419D6">
        <w:rPr>
          <w:bCs/>
          <w:lang w:val="es-ES" w:eastAsia="es-MX"/>
        </w:rPr>
        <w:t>) y cultivadas en condiciones de aerobiosis a 36,5 </w:t>
      </w:r>
      <w:r w:rsidRPr="006419D6">
        <w:rPr>
          <w:bCs/>
          <w:vertAlign w:val="superscript"/>
          <w:lang w:val="es-ES" w:eastAsia="es-MX"/>
        </w:rPr>
        <w:t>o</w:t>
      </w:r>
      <w:r w:rsidRPr="006419D6">
        <w:rPr>
          <w:bCs/>
          <w:lang w:val="es-ES" w:eastAsia="es-MX"/>
        </w:rPr>
        <w:t>C en incubadora microbiológica ShelLab</w:t>
      </w:r>
      <w:r w:rsidRPr="006419D6">
        <w:rPr>
          <w:bCs/>
          <w:vertAlign w:val="superscript"/>
          <w:lang w:val="es-ES" w:eastAsia="es-MX"/>
        </w:rPr>
        <w:t>®</w:t>
      </w:r>
      <w:r w:rsidRPr="006419D6">
        <w:rPr>
          <w:bCs/>
          <w:lang w:val="es-ES" w:eastAsia="es-MX"/>
        </w:rPr>
        <w:t>.</w:t>
      </w:r>
      <w:r w:rsidRPr="006419D6">
        <w:rPr>
          <w:bCs/>
          <w:vertAlign w:val="superscript"/>
          <w:lang w:val="es-ES" w:eastAsia="es-MX"/>
        </w:rPr>
        <w:t xml:space="preserve">(22,23,24) </w:t>
      </w:r>
      <w:r w:rsidRPr="006419D6">
        <w:rPr>
          <w:bCs/>
          <w:lang w:val="es-ES" w:eastAsia="es-MX"/>
        </w:rPr>
        <w:t>La estandarización del inóculo de ambas bacterias se realizó por turbidimetría en Espectrofotómetro Thermo Scientific</w:t>
      </w:r>
      <w:r w:rsidRPr="006419D6">
        <w:rPr>
          <w:bCs/>
          <w:vertAlign w:val="superscript"/>
          <w:lang w:val="es-ES" w:eastAsia="es-MX"/>
        </w:rPr>
        <w:t>®</w:t>
      </w:r>
      <w:r w:rsidRPr="006419D6">
        <w:rPr>
          <w:bCs/>
          <w:lang w:val="es-ES" w:eastAsia="es-MX"/>
        </w:rPr>
        <w:t xml:space="preserve"> Genesys 150 y fue equivalente a 1,5x10</w:t>
      </w:r>
      <w:r w:rsidRPr="006419D6">
        <w:rPr>
          <w:bCs/>
          <w:vertAlign w:val="superscript"/>
          <w:lang w:val="es-ES" w:eastAsia="es-MX"/>
        </w:rPr>
        <w:t xml:space="preserve">8 </w:t>
      </w:r>
      <w:r w:rsidRPr="006419D6">
        <w:rPr>
          <w:bCs/>
          <w:lang w:val="es-ES" w:eastAsia="es-MX"/>
        </w:rPr>
        <w:t>UFC/mL.</w:t>
      </w:r>
      <w:r w:rsidRPr="006419D6">
        <w:rPr>
          <w:bCs/>
          <w:vertAlign w:val="superscript"/>
          <w:lang w:val="es-ES" w:eastAsia="es-MX"/>
        </w:rPr>
        <w:t>(25)</w:t>
      </w:r>
    </w:p>
    <w:p w14:paraId="38994A9B" w14:textId="77777777" w:rsidR="006419D6" w:rsidRPr="006419D6" w:rsidRDefault="006419D6" w:rsidP="006419D6">
      <w:pPr>
        <w:spacing w:line="360" w:lineRule="auto"/>
        <w:jc w:val="center"/>
        <w:rPr>
          <w:bCs/>
          <w:sz w:val="28"/>
          <w:szCs w:val="28"/>
          <w:lang w:val="es-ES" w:eastAsia="es-MX"/>
        </w:rPr>
      </w:pPr>
      <w:r w:rsidRPr="006419D6">
        <w:rPr>
          <w:b/>
          <w:bCs/>
          <w:sz w:val="28"/>
          <w:szCs w:val="28"/>
          <w:lang w:val="es-PE" w:eastAsia="es-MX"/>
        </w:rPr>
        <w:t>Evaluación del efecto antibacteriano</w:t>
      </w:r>
    </w:p>
    <w:p w14:paraId="6BCFDBFF" w14:textId="77777777" w:rsidR="006419D6" w:rsidRPr="006419D6" w:rsidRDefault="006419D6" w:rsidP="006419D6">
      <w:pPr>
        <w:spacing w:line="360" w:lineRule="auto"/>
        <w:jc w:val="both"/>
        <w:rPr>
          <w:lang w:val="es-PE" w:eastAsia="es-MX"/>
        </w:rPr>
      </w:pPr>
      <w:r w:rsidRPr="006419D6">
        <w:rPr>
          <w:lang w:val="es-PE" w:eastAsia="es-MX"/>
        </w:rPr>
        <w:t xml:space="preserve">El efecto antibacteriano de los extractos fue determinado por el método estandarizado de difusión en disco según el </w:t>
      </w:r>
      <w:r w:rsidRPr="006419D6">
        <w:rPr>
          <w:i/>
          <w:lang w:val="es-PE" w:eastAsia="es-MX"/>
        </w:rPr>
        <w:t>Clinical and Laboratory Standard Institute</w:t>
      </w:r>
      <w:r w:rsidRPr="006419D6">
        <w:rPr>
          <w:lang w:val="es-PE" w:eastAsia="es-MX"/>
        </w:rPr>
        <w:t xml:space="preserve"> (CLSI). Para el caso de </w:t>
      </w:r>
      <w:r w:rsidRPr="006419D6">
        <w:rPr>
          <w:bCs/>
          <w:i/>
          <w:iCs/>
          <w:lang w:val="es-PE" w:eastAsia="es-MX"/>
        </w:rPr>
        <w:t xml:space="preserve">L. acidophilus </w:t>
      </w:r>
      <w:r w:rsidRPr="006419D6">
        <w:rPr>
          <w:bCs/>
          <w:iCs/>
          <w:lang w:val="es-PE" w:eastAsia="es-MX"/>
        </w:rPr>
        <w:t>ATCC</w:t>
      </w:r>
      <w:r w:rsidRPr="006419D6">
        <w:rPr>
          <w:bCs/>
          <w:iCs/>
          <w:vertAlign w:val="superscript"/>
          <w:lang w:val="es-PE" w:eastAsia="es-MX"/>
        </w:rPr>
        <w:t>®</w:t>
      </w:r>
      <w:r w:rsidRPr="006419D6">
        <w:rPr>
          <w:bCs/>
          <w:iCs/>
          <w:lang w:val="es-PE" w:eastAsia="es-MX"/>
        </w:rPr>
        <w:t>4356</w:t>
      </w:r>
      <w:r w:rsidRPr="006419D6">
        <w:rPr>
          <w:bCs/>
          <w:iCs/>
          <w:vertAlign w:val="superscript"/>
          <w:lang w:val="es-PE" w:eastAsia="es-MX"/>
        </w:rPr>
        <w:t>™</w:t>
      </w:r>
      <w:r w:rsidRPr="006419D6">
        <w:rPr>
          <w:bCs/>
          <w:lang w:val="es-ES" w:eastAsia="es-MX"/>
        </w:rPr>
        <w:t xml:space="preserve"> la evaluación se realizó en </w:t>
      </w:r>
      <w:r w:rsidRPr="006419D6">
        <w:rPr>
          <w:lang w:val="es-PE" w:eastAsia="es-MX"/>
        </w:rPr>
        <w:t xml:space="preserve">Agar </w:t>
      </w:r>
      <w:r w:rsidRPr="006419D6">
        <w:rPr>
          <w:bCs/>
          <w:lang w:val="es-ES" w:eastAsia="es-MX"/>
        </w:rPr>
        <w:t>Mueller Hinton</w:t>
      </w:r>
      <w:r w:rsidRPr="006419D6">
        <w:rPr>
          <w:lang w:val="es-PE" w:eastAsia="es-MX"/>
        </w:rPr>
        <w:t xml:space="preserve"> (Merck</w:t>
      </w:r>
      <w:r w:rsidRPr="006419D6">
        <w:rPr>
          <w:vertAlign w:val="superscript"/>
          <w:lang w:val="es-PE" w:eastAsia="es-MX"/>
        </w:rPr>
        <w:t>®</w:t>
      </w:r>
      <w:r w:rsidRPr="006419D6">
        <w:rPr>
          <w:lang w:val="es-PE" w:eastAsia="es-MX"/>
        </w:rPr>
        <w:t xml:space="preserve">) mientras que para </w:t>
      </w:r>
      <w:r w:rsidRPr="006419D6">
        <w:rPr>
          <w:i/>
          <w:lang w:val="es-PE" w:eastAsia="es-MX"/>
        </w:rPr>
        <w:t xml:space="preserve">S. mutans </w:t>
      </w:r>
      <w:r w:rsidRPr="006419D6">
        <w:rPr>
          <w:lang w:val="es-PE" w:eastAsia="es-MX"/>
        </w:rPr>
        <w:t>ATCC</w:t>
      </w:r>
      <w:r w:rsidRPr="006419D6">
        <w:rPr>
          <w:vertAlign w:val="superscript"/>
          <w:lang w:val="es-PE" w:eastAsia="es-MX"/>
        </w:rPr>
        <w:t>®</w:t>
      </w:r>
      <w:r w:rsidRPr="006419D6">
        <w:rPr>
          <w:lang w:val="es-PE" w:eastAsia="es-MX"/>
        </w:rPr>
        <w:t>35668</w:t>
      </w:r>
      <w:r w:rsidRPr="006419D6">
        <w:rPr>
          <w:vertAlign w:val="superscript"/>
          <w:lang w:val="es-PE" w:eastAsia="es-MX"/>
        </w:rPr>
        <w:t xml:space="preserve">™ </w:t>
      </w:r>
      <w:r w:rsidRPr="006419D6">
        <w:rPr>
          <w:lang w:val="es-PE" w:eastAsia="es-MX"/>
        </w:rPr>
        <w:t>se efectuó en Agar Mitis Salivarius (Liofilchem</w:t>
      </w:r>
      <w:r w:rsidRPr="006419D6">
        <w:rPr>
          <w:vertAlign w:val="superscript"/>
          <w:lang w:val="es-PE" w:eastAsia="es-MX"/>
        </w:rPr>
        <w:t>®</w:t>
      </w:r>
      <w:r w:rsidRPr="006419D6">
        <w:rPr>
          <w:lang w:val="es-PE" w:eastAsia="es-MX"/>
        </w:rPr>
        <w:t>). Se utilizó como control positivo para ambos microoganismos a gluconato de clorhexidina al 0,12 %.</w:t>
      </w:r>
      <w:r w:rsidRPr="006419D6">
        <w:rPr>
          <w:bCs/>
          <w:vertAlign w:val="superscript"/>
          <w:lang w:val="es-ES" w:eastAsia="es-MX"/>
        </w:rPr>
        <w:t>(22,23,24,</w:t>
      </w:r>
      <w:r w:rsidRPr="006419D6">
        <w:rPr>
          <w:vertAlign w:val="superscript"/>
          <w:lang w:val="es-PE" w:eastAsia="es-MX"/>
        </w:rPr>
        <w:t>25)</w:t>
      </w:r>
      <w:r w:rsidRPr="006419D6">
        <w:rPr>
          <w:lang w:val="es-PE" w:eastAsia="es-MX"/>
        </w:rPr>
        <w:t xml:space="preserve"> Las condiciones microbiológicas fueron; incubación en aerobiosis a 36,5 </w:t>
      </w:r>
      <w:r w:rsidRPr="006419D6">
        <w:rPr>
          <w:vertAlign w:val="superscript"/>
          <w:lang w:val="es-PE" w:eastAsia="es-MX"/>
        </w:rPr>
        <w:t>o</w:t>
      </w:r>
      <w:r w:rsidRPr="006419D6">
        <w:rPr>
          <w:lang w:val="es-PE" w:eastAsia="es-MX"/>
        </w:rPr>
        <w:t>C durante 24-48 horas en incubadora microbiológica ShelLab</w:t>
      </w:r>
      <w:r w:rsidRPr="006419D6">
        <w:rPr>
          <w:vertAlign w:val="superscript"/>
          <w:lang w:val="es-PE" w:eastAsia="es-MX"/>
        </w:rPr>
        <w:t>®</w:t>
      </w:r>
      <w:r w:rsidRPr="006419D6">
        <w:rPr>
          <w:lang w:val="es-PE" w:eastAsia="es-MX"/>
        </w:rPr>
        <w:t>. Los resultados fueron reportados como diámetros de las zonas (halos) de inhibición en milímetros (mm) medidos con un vernier mecánico marca Kamasa</w:t>
      </w:r>
      <w:r w:rsidRPr="006419D6">
        <w:rPr>
          <w:vertAlign w:val="superscript"/>
          <w:lang w:val="es-PE" w:eastAsia="es-MX"/>
        </w:rPr>
        <w:t>®</w:t>
      </w:r>
      <w:r w:rsidRPr="006419D6">
        <w:rPr>
          <w:lang w:val="es-PE" w:eastAsia="es-MX"/>
        </w:rPr>
        <w:t xml:space="preserve">. </w:t>
      </w:r>
    </w:p>
    <w:p w14:paraId="2037AE9D" w14:textId="77777777" w:rsidR="006419D6" w:rsidRPr="006419D6" w:rsidRDefault="006419D6" w:rsidP="006419D6">
      <w:pPr>
        <w:spacing w:line="360" w:lineRule="auto"/>
        <w:jc w:val="both"/>
        <w:rPr>
          <w:lang w:val="es-PE" w:eastAsia="es-MX"/>
        </w:rPr>
      </w:pPr>
      <w:r w:rsidRPr="006419D6">
        <w:rPr>
          <w:lang w:val="es-PE" w:eastAsia="es-MX"/>
        </w:rPr>
        <w:t>La variable dependiente fue el efecto antibacteriano, expresado por el diámetro del halo de inhibición mediante el método de Kirby Bauer. Las variables independientes fueron: el tipo de extracto (acuoso o alcohólico), la concentración del extracto (25 mg/mL, 50 mg/mL o 75 mg/mL), el microorganismo (</w:t>
      </w:r>
      <w:r w:rsidRPr="006419D6">
        <w:rPr>
          <w:i/>
          <w:iCs/>
          <w:lang w:val="es-PE" w:eastAsia="es-MX"/>
        </w:rPr>
        <w:t>S. mutans</w:t>
      </w:r>
      <w:r w:rsidRPr="006419D6">
        <w:rPr>
          <w:lang w:val="es-PE" w:eastAsia="es-MX"/>
        </w:rPr>
        <w:t xml:space="preserve"> ATCC</w:t>
      </w:r>
      <w:r w:rsidRPr="006419D6">
        <w:rPr>
          <w:vertAlign w:val="superscript"/>
          <w:lang w:val="es-PE" w:eastAsia="es-MX"/>
        </w:rPr>
        <w:t>®</w:t>
      </w:r>
      <w:r w:rsidRPr="006419D6">
        <w:rPr>
          <w:lang w:val="es-PE" w:eastAsia="es-MX"/>
        </w:rPr>
        <w:t>35668</w:t>
      </w:r>
      <w:r w:rsidRPr="006419D6">
        <w:rPr>
          <w:vertAlign w:val="superscript"/>
          <w:lang w:val="es-PE" w:eastAsia="es-MX"/>
        </w:rPr>
        <w:t xml:space="preserve">™ </w:t>
      </w:r>
      <w:r w:rsidRPr="006419D6">
        <w:rPr>
          <w:lang w:val="es-PE" w:eastAsia="es-MX"/>
        </w:rPr>
        <w:t xml:space="preserve">o </w:t>
      </w:r>
      <w:r w:rsidRPr="006419D6">
        <w:rPr>
          <w:i/>
          <w:iCs/>
          <w:lang w:val="es-PE" w:eastAsia="es-MX"/>
        </w:rPr>
        <w:t>L. acidophilus</w:t>
      </w:r>
      <w:r w:rsidRPr="006419D6">
        <w:rPr>
          <w:lang w:val="es-PE" w:eastAsia="es-MX"/>
        </w:rPr>
        <w:t xml:space="preserve"> ATCC</w:t>
      </w:r>
      <w:r w:rsidRPr="006419D6">
        <w:rPr>
          <w:vertAlign w:val="superscript"/>
          <w:lang w:val="es-PE" w:eastAsia="es-MX"/>
        </w:rPr>
        <w:t>®</w:t>
      </w:r>
      <w:r w:rsidRPr="006419D6">
        <w:rPr>
          <w:lang w:val="es-PE" w:eastAsia="es-MX"/>
        </w:rPr>
        <w:t>4356</w:t>
      </w:r>
      <w:r w:rsidRPr="006419D6">
        <w:rPr>
          <w:vertAlign w:val="superscript"/>
          <w:lang w:val="es-PE" w:eastAsia="es-MX"/>
        </w:rPr>
        <w:t>™</w:t>
      </w:r>
      <w:r w:rsidRPr="006419D6">
        <w:rPr>
          <w:lang w:val="es-PE" w:eastAsia="es-MX"/>
        </w:rPr>
        <w:t>) y el tiempo (24 o 48 horas).</w:t>
      </w:r>
    </w:p>
    <w:p w14:paraId="133282F2" w14:textId="77777777" w:rsidR="006419D6" w:rsidRPr="006419D6" w:rsidRDefault="006419D6" w:rsidP="006419D6">
      <w:pPr>
        <w:spacing w:line="360" w:lineRule="auto"/>
        <w:jc w:val="center"/>
        <w:rPr>
          <w:b/>
          <w:bCs/>
          <w:sz w:val="28"/>
          <w:szCs w:val="28"/>
          <w:lang w:val="es-PE" w:eastAsia="es-MX"/>
        </w:rPr>
      </w:pPr>
      <w:r w:rsidRPr="006419D6">
        <w:rPr>
          <w:b/>
          <w:bCs/>
          <w:sz w:val="28"/>
          <w:szCs w:val="28"/>
          <w:lang w:val="es-PE" w:eastAsia="es-MX"/>
        </w:rPr>
        <w:t>Análisis estadístico</w:t>
      </w:r>
    </w:p>
    <w:p w14:paraId="13D64373" w14:textId="77777777" w:rsidR="006419D6" w:rsidRPr="006419D6" w:rsidRDefault="006419D6" w:rsidP="006419D6">
      <w:pPr>
        <w:spacing w:line="360" w:lineRule="auto"/>
        <w:jc w:val="both"/>
        <w:rPr>
          <w:lang w:val="es-PE"/>
        </w:rPr>
      </w:pPr>
      <w:r w:rsidRPr="006419D6">
        <w:rPr>
          <w:lang w:val="es-PE"/>
        </w:rPr>
        <w:t xml:space="preserve">Para el análisis estadístico se empleó el programa Stata para Mac OS en su versión 16.0 (Stata Corporation, College Station, Texas, EE. UU). </w:t>
      </w:r>
    </w:p>
    <w:p w14:paraId="1DE65BD6" w14:textId="77777777" w:rsidR="006419D6" w:rsidRPr="006419D6" w:rsidRDefault="006419D6" w:rsidP="006419D6">
      <w:pPr>
        <w:spacing w:line="360" w:lineRule="auto"/>
        <w:jc w:val="both"/>
        <w:rPr>
          <w:lang w:val="es-PE"/>
        </w:rPr>
      </w:pPr>
      <w:r w:rsidRPr="006419D6">
        <w:rPr>
          <w:lang w:val="es-PE"/>
        </w:rPr>
        <w:lastRenderedPageBreak/>
        <w:t xml:space="preserve">La normalidad y la homocedasticidad de la variable dependiente se verificó con la prueba de Shapiro-Wilk y Bartlett, respectivamente. Al no comprobarse ambos supuestos, se eligieron pruebas no paramétricas. Para identificar las diferencias de los valores de halos de inhibición entre los grupos según los extractos, cepas y concentraciones se aplicó la prueba de Kruskal-Wallis, seguida de la prueba </w:t>
      </w:r>
      <w:r w:rsidRPr="006419D6">
        <w:rPr>
          <w:i/>
          <w:iCs/>
          <w:lang w:val="es-PE"/>
        </w:rPr>
        <w:t>post hoc</w:t>
      </w:r>
      <w:r w:rsidRPr="006419D6">
        <w:rPr>
          <w:lang w:val="es-PE"/>
        </w:rPr>
        <w:t xml:space="preserve"> de Dunn, con ajuste de Bonferroni. Para la comparación entre los valores obtenidos a las 24 y 48 horas se aplicó la prueba de rangos con signo de Wilcoxon. Se adoptó un nivel de significación de 5 % para todas las pruebas.</w:t>
      </w:r>
    </w:p>
    <w:p w14:paraId="295DD80A" w14:textId="77777777" w:rsidR="006419D6" w:rsidRPr="006419D6" w:rsidRDefault="006419D6" w:rsidP="006419D6">
      <w:pPr>
        <w:spacing w:line="360" w:lineRule="auto"/>
        <w:jc w:val="center"/>
        <w:rPr>
          <w:b/>
          <w:bCs/>
          <w:highlight w:val="yellow"/>
          <w:lang w:val="es-PE"/>
        </w:rPr>
      </w:pPr>
    </w:p>
    <w:p w14:paraId="1035D36C" w14:textId="77777777" w:rsidR="006419D6" w:rsidRPr="006419D6" w:rsidRDefault="006419D6" w:rsidP="006419D6">
      <w:pPr>
        <w:spacing w:line="360" w:lineRule="auto"/>
        <w:jc w:val="center"/>
        <w:rPr>
          <w:b/>
          <w:bCs/>
          <w:sz w:val="32"/>
          <w:szCs w:val="32"/>
          <w:lang w:val="es-PE"/>
        </w:rPr>
      </w:pPr>
    </w:p>
    <w:p w14:paraId="7BFC9D43" w14:textId="77777777" w:rsidR="006419D6" w:rsidRPr="006419D6" w:rsidRDefault="006419D6" w:rsidP="006419D6">
      <w:pPr>
        <w:spacing w:line="360" w:lineRule="auto"/>
        <w:jc w:val="center"/>
        <w:rPr>
          <w:b/>
          <w:bCs/>
          <w:sz w:val="32"/>
          <w:szCs w:val="32"/>
          <w:lang w:val="es-PE"/>
        </w:rPr>
      </w:pPr>
      <w:r w:rsidRPr="006419D6">
        <w:rPr>
          <w:b/>
          <w:bCs/>
          <w:sz w:val="32"/>
          <w:szCs w:val="32"/>
          <w:lang w:val="es-PE"/>
        </w:rPr>
        <w:t>RESULTADOS</w:t>
      </w:r>
    </w:p>
    <w:p w14:paraId="252A1B09" w14:textId="77777777" w:rsidR="006419D6" w:rsidRPr="006419D6" w:rsidRDefault="006419D6" w:rsidP="006419D6">
      <w:pPr>
        <w:spacing w:line="360" w:lineRule="auto"/>
        <w:jc w:val="both"/>
        <w:rPr>
          <w:lang w:val="es-PE"/>
        </w:rPr>
      </w:pPr>
      <w:r w:rsidRPr="006419D6">
        <w:rPr>
          <w:lang w:val="es-PE"/>
        </w:rPr>
        <w:t xml:space="preserve">En la </w:t>
      </w:r>
      <w:r w:rsidRPr="006419D6">
        <w:rPr>
          <w:color w:val="000000"/>
          <w:lang w:val="es-PE"/>
        </w:rPr>
        <w:t>t</w:t>
      </w:r>
      <w:r w:rsidRPr="006419D6">
        <w:rPr>
          <w:lang w:val="es-PE"/>
        </w:rPr>
        <w:t xml:space="preserve">abla 1 se muestran los resultados promedios del diámetro de los halos de inhibición generados por los extractos acuoso y alcohólico de </w:t>
      </w:r>
      <w:r w:rsidRPr="006419D6">
        <w:rPr>
          <w:i/>
          <w:iCs/>
          <w:lang w:val="es-PE"/>
        </w:rPr>
        <w:t>E. coca</w:t>
      </w:r>
      <w:r w:rsidRPr="006419D6">
        <w:rPr>
          <w:lang w:val="es-PE"/>
        </w:rPr>
        <w:t xml:space="preserve"> a distintas concentraciones sobre cultivos de </w:t>
      </w:r>
      <w:r w:rsidRPr="006419D6">
        <w:rPr>
          <w:i/>
          <w:iCs/>
          <w:lang w:val="es-PE"/>
        </w:rPr>
        <w:t>S. mutans</w:t>
      </w:r>
      <w:r w:rsidRPr="006419D6">
        <w:rPr>
          <w:lang w:val="es-PE"/>
        </w:rPr>
        <w:t xml:space="preserve"> y </w:t>
      </w:r>
      <w:r w:rsidRPr="006419D6">
        <w:rPr>
          <w:i/>
          <w:iCs/>
          <w:lang w:val="es-PE"/>
        </w:rPr>
        <w:t>L. acidophilus</w:t>
      </w:r>
      <w:r w:rsidRPr="006419D6">
        <w:rPr>
          <w:lang w:val="es-PE"/>
        </w:rPr>
        <w:t xml:space="preserve">. </w:t>
      </w:r>
    </w:p>
    <w:p w14:paraId="5B5C004F" w14:textId="77777777" w:rsidR="006419D6" w:rsidRPr="006419D6" w:rsidRDefault="006419D6" w:rsidP="006419D6">
      <w:pPr>
        <w:spacing w:line="360" w:lineRule="auto"/>
        <w:jc w:val="both"/>
        <w:rPr>
          <w:lang w:val="es-PE"/>
        </w:rPr>
      </w:pPr>
      <w:r w:rsidRPr="006419D6">
        <w:rPr>
          <w:lang w:val="es-PE"/>
        </w:rPr>
        <w:t xml:space="preserve">Los valores más altos de halos de inhibición fueron observados con el control positivo clorhexidina al 0,12 %. En el caso de la inhibición de los extractos se observó que a una mayor concentración, hubo un mayor efecto sobre la inhibición del crecimiento de las cepas estudiadas. La prueba de Kruskal-Wallis seguida de la prueba de Dunn mostraron diferencias estadísticamente significativas entre todos los grupos, cuando se compararon las concentraciones de los extractos frente a las bacterias evaluadas (p&lt; 0,05). </w:t>
      </w:r>
    </w:p>
    <w:p w14:paraId="7384C0F2" w14:textId="77777777" w:rsidR="006419D6" w:rsidRPr="006419D6" w:rsidRDefault="006419D6" w:rsidP="006419D6">
      <w:pPr>
        <w:spacing w:line="360" w:lineRule="auto"/>
        <w:jc w:val="both"/>
        <w:rPr>
          <w:lang w:val="es-PE"/>
        </w:rPr>
      </w:pPr>
      <w:r w:rsidRPr="006419D6">
        <w:rPr>
          <w:lang w:val="es-PE"/>
        </w:rPr>
        <w:t xml:space="preserve">Cuando se comparó el efecto de cada una de las concentraciones según el tipo de extracto sobre las cepas, se observó que en el caso de la concentración de 75 mg/mL del extracto acuoso sobre </w:t>
      </w:r>
      <w:r w:rsidRPr="006419D6">
        <w:rPr>
          <w:i/>
          <w:lang w:val="es-PE"/>
        </w:rPr>
        <w:t>S. mutans</w:t>
      </w:r>
      <w:r w:rsidRPr="006419D6">
        <w:rPr>
          <w:lang w:val="es-PE"/>
        </w:rPr>
        <w:t xml:space="preserve"> fue similar al obtenido con el extracto alcohólico sobre </w:t>
      </w:r>
      <w:r w:rsidRPr="006419D6">
        <w:rPr>
          <w:i/>
          <w:iCs/>
          <w:lang w:val="es-PE"/>
        </w:rPr>
        <w:t>L. acidophilus</w:t>
      </w:r>
      <w:r w:rsidRPr="006419D6">
        <w:rPr>
          <w:lang w:val="es-PE"/>
        </w:rPr>
        <w:t xml:space="preserve"> (p&gt; 0,05). El efecto de la concentración de 50 mg/mL del extracto acuoso fue semejante al extracto alcohólico sobre </w:t>
      </w:r>
      <w:r w:rsidRPr="006419D6">
        <w:rPr>
          <w:i/>
          <w:iCs/>
          <w:lang w:val="es-PE"/>
        </w:rPr>
        <w:t>S. mutans</w:t>
      </w:r>
      <w:r w:rsidRPr="006419D6">
        <w:rPr>
          <w:lang w:val="es-PE"/>
        </w:rPr>
        <w:t xml:space="preserve">; el mismo patrón se observó para </w:t>
      </w:r>
      <w:r w:rsidRPr="006419D6">
        <w:rPr>
          <w:i/>
          <w:iCs/>
          <w:lang w:val="es-PE"/>
        </w:rPr>
        <w:t xml:space="preserve">L. acidophilus </w:t>
      </w:r>
      <w:r w:rsidRPr="006419D6">
        <w:rPr>
          <w:lang w:val="es-PE"/>
        </w:rPr>
        <w:t xml:space="preserve">(p&gt; 0,05). Por otro lado, la concentración de 25 mg/mL del extracto alcohólico fue más efectiva sobre </w:t>
      </w:r>
      <w:r w:rsidRPr="006419D6">
        <w:rPr>
          <w:i/>
          <w:iCs/>
          <w:lang w:val="es-PE"/>
        </w:rPr>
        <w:t>S. mutans</w:t>
      </w:r>
      <w:r w:rsidRPr="006419D6">
        <w:rPr>
          <w:lang w:val="es-PE"/>
        </w:rPr>
        <w:t>, al compararla con los otros grupos (p&lt; 0,05).</w:t>
      </w:r>
    </w:p>
    <w:p w14:paraId="46EAF37B" w14:textId="77777777" w:rsidR="006419D6" w:rsidRPr="006419D6" w:rsidRDefault="006419D6" w:rsidP="006419D6">
      <w:pPr>
        <w:spacing w:line="360" w:lineRule="auto"/>
        <w:jc w:val="both"/>
        <w:rPr>
          <w:lang w:val="es-PE"/>
        </w:rPr>
      </w:pPr>
    </w:p>
    <w:p w14:paraId="5DC12A2B" w14:textId="77777777" w:rsidR="009B340C" w:rsidRDefault="009B340C">
      <w:pPr>
        <w:rPr>
          <w:b/>
          <w:bCs/>
          <w:sz w:val="22"/>
          <w:szCs w:val="22"/>
          <w:lang w:val="es-PE"/>
        </w:rPr>
      </w:pPr>
      <w:r>
        <w:rPr>
          <w:b/>
          <w:bCs/>
          <w:sz w:val="22"/>
          <w:szCs w:val="22"/>
          <w:lang w:val="es-PE"/>
        </w:rPr>
        <w:br w:type="page"/>
      </w:r>
    </w:p>
    <w:p w14:paraId="3E8BA15B" w14:textId="2DF65254" w:rsidR="006419D6" w:rsidRPr="006419D6" w:rsidRDefault="006419D6" w:rsidP="006419D6">
      <w:pPr>
        <w:spacing w:line="360" w:lineRule="auto"/>
        <w:jc w:val="center"/>
        <w:rPr>
          <w:sz w:val="22"/>
          <w:szCs w:val="22"/>
          <w:lang w:val="es-PE"/>
        </w:rPr>
      </w:pPr>
      <w:r w:rsidRPr="006419D6">
        <w:rPr>
          <w:b/>
          <w:bCs/>
          <w:sz w:val="22"/>
          <w:szCs w:val="22"/>
          <w:lang w:val="es-PE"/>
        </w:rPr>
        <w:lastRenderedPageBreak/>
        <w:t xml:space="preserve">Tabla 1 – </w:t>
      </w:r>
      <w:r w:rsidRPr="006419D6">
        <w:rPr>
          <w:sz w:val="22"/>
          <w:szCs w:val="22"/>
          <w:lang w:val="es-PE"/>
        </w:rPr>
        <w:t xml:space="preserve">Halos de inhibición generados por las diferentes concentraciones de los extractos frente a </w:t>
      </w:r>
      <w:r w:rsidRPr="006419D6">
        <w:rPr>
          <w:i/>
          <w:iCs/>
          <w:sz w:val="22"/>
          <w:szCs w:val="22"/>
          <w:lang w:val="es-PE"/>
        </w:rPr>
        <w:t>S. mutans</w:t>
      </w:r>
      <w:r w:rsidRPr="006419D6">
        <w:rPr>
          <w:sz w:val="22"/>
          <w:szCs w:val="22"/>
          <w:lang w:val="es-PE"/>
        </w:rPr>
        <w:t xml:space="preserve"> y </w:t>
      </w:r>
      <w:r w:rsidRPr="006419D6">
        <w:rPr>
          <w:i/>
          <w:iCs/>
          <w:sz w:val="22"/>
          <w:szCs w:val="22"/>
          <w:lang w:val="es-PE"/>
        </w:rPr>
        <w:t>L. acidophilus</w:t>
      </w:r>
    </w:p>
    <w:p w14:paraId="0DB9FA93" w14:textId="5868BF4C" w:rsidR="006419D6" w:rsidRPr="006419D6" w:rsidRDefault="006419D6" w:rsidP="006419D6">
      <w:pPr>
        <w:spacing w:line="360" w:lineRule="auto"/>
        <w:jc w:val="center"/>
        <w:rPr>
          <w:rFonts w:ascii="Verdana" w:hAnsi="Verdana"/>
          <w:sz w:val="18"/>
          <w:szCs w:val="18"/>
          <w:lang w:val="es-PE"/>
        </w:rPr>
      </w:pPr>
      <w:r w:rsidRPr="006419D6">
        <w:rPr>
          <w:rFonts w:ascii="Verdana" w:hAnsi="Verdana"/>
          <w:noProof/>
          <w:sz w:val="18"/>
          <w:szCs w:val="18"/>
          <w:lang w:val="es-PE"/>
        </w:rPr>
        <w:drawing>
          <wp:inline distT="0" distB="0" distL="0" distR="0" wp14:anchorId="5946EC9E" wp14:editId="7017B431">
            <wp:extent cx="5391150" cy="1619250"/>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1150" cy="1619250"/>
                    </a:xfrm>
                    <a:prstGeom prst="rect">
                      <a:avLst/>
                    </a:prstGeom>
                    <a:noFill/>
                    <a:ln>
                      <a:noFill/>
                    </a:ln>
                  </pic:spPr>
                </pic:pic>
              </a:graphicData>
            </a:graphic>
          </wp:inline>
        </w:drawing>
      </w:r>
    </w:p>
    <w:p w14:paraId="32CE9D10" w14:textId="77777777" w:rsidR="006419D6" w:rsidRPr="006419D6" w:rsidRDefault="006419D6" w:rsidP="006419D6">
      <w:pPr>
        <w:spacing w:line="360" w:lineRule="auto"/>
        <w:jc w:val="center"/>
        <w:rPr>
          <w:sz w:val="16"/>
          <w:szCs w:val="16"/>
          <w:lang w:val="es-PE"/>
        </w:rPr>
      </w:pPr>
      <w:r w:rsidRPr="006419D6">
        <w:rPr>
          <w:sz w:val="16"/>
          <w:szCs w:val="16"/>
          <w:lang w:val="es-PE"/>
        </w:rPr>
        <w:t xml:space="preserve">*Prueba de Kruskal Wallis, seguida de prueba </w:t>
      </w:r>
      <w:r w:rsidRPr="006419D6">
        <w:rPr>
          <w:i/>
          <w:iCs/>
          <w:sz w:val="16"/>
          <w:szCs w:val="16"/>
          <w:lang w:val="es-PE"/>
        </w:rPr>
        <w:t>post hoc</w:t>
      </w:r>
      <w:r w:rsidRPr="006419D6">
        <w:rPr>
          <w:sz w:val="16"/>
          <w:szCs w:val="16"/>
          <w:lang w:val="es-PE"/>
        </w:rPr>
        <w:t xml:space="preserve"> de Dunn con ajuste de Bonferroni (p&lt; 0,05). Letras minúsculas diferentes en superíndice en las columnas expresan diferencias significativas. Letras mayúsculas entre las filas expresan diferencias significativas. DE: desviación estándar.</w:t>
      </w:r>
    </w:p>
    <w:p w14:paraId="3B6C497A" w14:textId="77777777" w:rsidR="006419D6" w:rsidRPr="006419D6" w:rsidRDefault="006419D6" w:rsidP="006419D6">
      <w:pPr>
        <w:spacing w:line="360" w:lineRule="auto"/>
        <w:jc w:val="both"/>
        <w:rPr>
          <w:lang w:val="es-PE"/>
        </w:rPr>
      </w:pPr>
    </w:p>
    <w:p w14:paraId="444B9EEB" w14:textId="77777777" w:rsidR="006419D6" w:rsidRPr="006419D6" w:rsidRDefault="006419D6" w:rsidP="006419D6">
      <w:pPr>
        <w:spacing w:line="360" w:lineRule="auto"/>
        <w:jc w:val="both"/>
        <w:rPr>
          <w:lang w:val="es-PE"/>
        </w:rPr>
      </w:pPr>
      <w:r w:rsidRPr="006419D6">
        <w:rPr>
          <w:lang w:val="es-PE"/>
        </w:rPr>
        <w:t xml:space="preserve">La comparación del efecto inhibitorio del crecimiento de </w:t>
      </w:r>
      <w:r w:rsidRPr="006419D6">
        <w:rPr>
          <w:i/>
          <w:iCs/>
          <w:lang w:val="es-PE"/>
        </w:rPr>
        <w:t>S. mutans</w:t>
      </w:r>
      <w:r w:rsidRPr="006419D6">
        <w:rPr>
          <w:lang w:val="es-PE"/>
        </w:rPr>
        <w:t xml:space="preserve"> de los extractos a las 24 y 48 horas se reportan en la tabla 2. Los resultados mostraron que en el caso del extracto acuoso no se observaron diferencias significativas para ninguna de las concentraciones evaluadas a las 24 y 48 horas (p&gt; 0,05). En el caso del extracto alcohólico solo se observaron diferencias entre la media de los halos de inhibición a las 24 y 48 horas para la concentración de 50 mg/mL (p&lt; 0,05).</w:t>
      </w:r>
    </w:p>
    <w:p w14:paraId="241C6FCB" w14:textId="77777777" w:rsidR="006419D6" w:rsidRPr="006419D6" w:rsidRDefault="006419D6" w:rsidP="006419D6">
      <w:pPr>
        <w:spacing w:line="360" w:lineRule="auto"/>
        <w:jc w:val="both"/>
        <w:rPr>
          <w:lang w:val="es-PE"/>
        </w:rPr>
      </w:pPr>
    </w:p>
    <w:p w14:paraId="71F99117" w14:textId="77777777" w:rsidR="006419D6" w:rsidRPr="006419D6" w:rsidRDefault="006419D6" w:rsidP="006419D6">
      <w:pPr>
        <w:spacing w:line="360" w:lineRule="auto"/>
        <w:jc w:val="center"/>
        <w:rPr>
          <w:sz w:val="22"/>
          <w:szCs w:val="22"/>
          <w:lang w:val="es-PE"/>
        </w:rPr>
      </w:pPr>
      <w:r w:rsidRPr="006419D6">
        <w:rPr>
          <w:b/>
          <w:bCs/>
          <w:sz w:val="22"/>
          <w:szCs w:val="22"/>
          <w:lang w:val="es-PE"/>
        </w:rPr>
        <w:t xml:space="preserve">Tabla 2 – </w:t>
      </w:r>
      <w:r w:rsidRPr="006419D6">
        <w:rPr>
          <w:sz w:val="22"/>
          <w:szCs w:val="22"/>
          <w:lang w:val="es-PE"/>
        </w:rPr>
        <w:t xml:space="preserve">Halos de inhibición a las 24 y 48 horas, generados por las diferentes concentraciones de los extractos frente a </w:t>
      </w:r>
      <w:r w:rsidRPr="006419D6">
        <w:rPr>
          <w:i/>
          <w:iCs/>
          <w:sz w:val="22"/>
          <w:szCs w:val="22"/>
          <w:lang w:val="es-PE"/>
        </w:rPr>
        <w:t>S. mutans</w:t>
      </w:r>
    </w:p>
    <w:p w14:paraId="0E40111A" w14:textId="55F4981F" w:rsidR="006419D6" w:rsidRPr="006419D6" w:rsidRDefault="006419D6" w:rsidP="006419D6">
      <w:pPr>
        <w:spacing w:line="360" w:lineRule="auto"/>
        <w:ind w:left="284"/>
        <w:jc w:val="center"/>
        <w:rPr>
          <w:sz w:val="16"/>
          <w:szCs w:val="16"/>
          <w:lang w:val="es-PE"/>
        </w:rPr>
      </w:pPr>
      <w:r w:rsidRPr="006419D6">
        <w:rPr>
          <w:noProof/>
          <w:sz w:val="16"/>
          <w:szCs w:val="16"/>
          <w:lang w:val="es-PE"/>
        </w:rPr>
        <w:drawing>
          <wp:inline distT="0" distB="0" distL="0" distR="0" wp14:anchorId="039B1550" wp14:editId="7FE6D7E0">
            <wp:extent cx="4781550" cy="1647825"/>
            <wp:effectExtent l="0" t="0" r="0" b="0"/>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81550" cy="1647825"/>
                    </a:xfrm>
                    <a:prstGeom prst="rect">
                      <a:avLst/>
                    </a:prstGeom>
                    <a:noFill/>
                    <a:ln>
                      <a:noFill/>
                    </a:ln>
                  </pic:spPr>
                </pic:pic>
              </a:graphicData>
            </a:graphic>
          </wp:inline>
        </w:drawing>
      </w:r>
    </w:p>
    <w:p w14:paraId="4ADCBBBB" w14:textId="77777777" w:rsidR="006419D6" w:rsidRPr="006419D6" w:rsidRDefault="006419D6" w:rsidP="006419D6">
      <w:pPr>
        <w:spacing w:line="360" w:lineRule="auto"/>
        <w:ind w:left="284"/>
        <w:jc w:val="center"/>
        <w:rPr>
          <w:sz w:val="16"/>
          <w:szCs w:val="16"/>
          <w:lang w:val="es-PE"/>
        </w:rPr>
      </w:pPr>
      <w:r w:rsidRPr="006419D6">
        <w:rPr>
          <w:sz w:val="16"/>
          <w:szCs w:val="16"/>
          <w:lang w:val="es-PE"/>
        </w:rPr>
        <w:t>*Prueba de rangos con signo de Wilcoxon. Letras minúsculas diferentes en superíndice en las filas expresan diferencias significativas para la comparación entre las 24 y 48 horas para los extractos. DE: desviación estándar.</w:t>
      </w:r>
    </w:p>
    <w:p w14:paraId="111AD1FF" w14:textId="77777777" w:rsidR="006419D6" w:rsidRPr="006419D6" w:rsidRDefault="006419D6" w:rsidP="006419D6">
      <w:pPr>
        <w:spacing w:line="360" w:lineRule="auto"/>
        <w:jc w:val="both"/>
        <w:rPr>
          <w:sz w:val="16"/>
          <w:szCs w:val="16"/>
          <w:lang w:val="es-PE"/>
        </w:rPr>
      </w:pPr>
    </w:p>
    <w:p w14:paraId="4CF6EE0A" w14:textId="77777777" w:rsidR="006419D6" w:rsidRPr="006419D6" w:rsidRDefault="006419D6" w:rsidP="006419D6">
      <w:pPr>
        <w:spacing w:line="360" w:lineRule="auto"/>
        <w:jc w:val="both"/>
        <w:rPr>
          <w:lang w:val="es-PE"/>
        </w:rPr>
      </w:pPr>
      <w:r w:rsidRPr="006419D6">
        <w:rPr>
          <w:lang w:val="es-PE"/>
        </w:rPr>
        <w:lastRenderedPageBreak/>
        <w:t xml:space="preserve">En el caso de </w:t>
      </w:r>
      <w:r w:rsidRPr="006419D6">
        <w:rPr>
          <w:i/>
          <w:iCs/>
          <w:lang w:val="es-PE"/>
        </w:rPr>
        <w:t>L. acidophilus</w:t>
      </w:r>
      <w:r w:rsidRPr="006419D6">
        <w:rPr>
          <w:lang w:val="es-PE"/>
        </w:rPr>
        <w:t>, se observaron diferencias significativas al comparar el efecto inhibitorio del extracto acuoso a concentraciones de 75 mg/mL y 50 mg/mL, a las 24 y 48 horas (p&lt; 0,05). Para el extracto alcohólico las diferencias fueron significativas para las concentraciones de 50 mg/mL y 25 mg/mL (p&lt; 0,05) (tabla 3).</w:t>
      </w:r>
    </w:p>
    <w:p w14:paraId="3816DDA2" w14:textId="77777777" w:rsidR="006419D6" w:rsidRPr="006419D6" w:rsidRDefault="006419D6" w:rsidP="006419D6">
      <w:pPr>
        <w:spacing w:line="360" w:lineRule="auto"/>
        <w:jc w:val="both"/>
        <w:rPr>
          <w:b/>
          <w:bCs/>
          <w:lang w:val="es-PE"/>
        </w:rPr>
      </w:pPr>
    </w:p>
    <w:p w14:paraId="60416E2F" w14:textId="77777777" w:rsidR="006419D6" w:rsidRPr="006419D6" w:rsidRDefault="006419D6" w:rsidP="006419D6">
      <w:pPr>
        <w:spacing w:line="360" w:lineRule="auto"/>
        <w:jc w:val="center"/>
        <w:rPr>
          <w:b/>
          <w:bCs/>
          <w:sz w:val="22"/>
          <w:szCs w:val="22"/>
          <w:lang w:val="es-PE"/>
        </w:rPr>
      </w:pPr>
      <w:r w:rsidRPr="006419D6">
        <w:rPr>
          <w:b/>
          <w:bCs/>
          <w:sz w:val="22"/>
          <w:szCs w:val="22"/>
          <w:lang w:val="es-PE"/>
        </w:rPr>
        <w:t>Tabla 3 –</w:t>
      </w:r>
      <w:r w:rsidRPr="006419D6">
        <w:rPr>
          <w:sz w:val="22"/>
          <w:szCs w:val="22"/>
          <w:lang w:val="es-PE"/>
        </w:rPr>
        <w:t xml:space="preserve"> Halos de inhibición a las 24 y 48 horas, generados por las diferentes concentraciones de los extractos frente a </w:t>
      </w:r>
      <w:r w:rsidRPr="006419D6">
        <w:rPr>
          <w:i/>
          <w:iCs/>
          <w:sz w:val="22"/>
          <w:szCs w:val="22"/>
          <w:lang w:val="es-PE"/>
        </w:rPr>
        <w:t>L. acidophilus.</w:t>
      </w:r>
    </w:p>
    <w:p w14:paraId="492CF536" w14:textId="25D13DDA" w:rsidR="006419D6" w:rsidRPr="006419D6" w:rsidRDefault="006419D6" w:rsidP="006419D6">
      <w:pPr>
        <w:spacing w:line="360" w:lineRule="auto"/>
        <w:jc w:val="center"/>
        <w:rPr>
          <w:sz w:val="16"/>
          <w:szCs w:val="16"/>
          <w:lang w:val="es-PE"/>
        </w:rPr>
      </w:pPr>
      <w:r w:rsidRPr="006419D6">
        <w:rPr>
          <w:noProof/>
          <w:sz w:val="16"/>
          <w:szCs w:val="16"/>
          <w:lang w:val="es-PE"/>
        </w:rPr>
        <w:drawing>
          <wp:inline distT="0" distB="0" distL="0" distR="0" wp14:anchorId="553FAD52" wp14:editId="0C8A043D">
            <wp:extent cx="5400675" cy="1514475"/>
            <wp:effectExtent l="0" t="0" r="0"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1514475"/>
                    </a:xfrm>
                    <a:prstGeom prst="rect">
                      <a:avLst/>
                    </a:prstGeom>
                    <a:noFill/>
                    <a:ln>
                      <a:noFill/>
                    </a:ln>
                  </pic:spPr>
                </pic:pic>
              </a:graphicData>
            </a:graphic>
          </wp:inline>
        </w:drawing>
      </w:r>
    </w:p>
    <w:p w14:paraId="5CC80749" w14:textId="77777777" w:rsidR="006419D6" w:rsidRPr="006419D6" w:rsidRDefault="006419D6" w:rsidP="006419D6">
      <w:pPr>
        <w:spacing w:line="360" w:lineRule="auto"/>
        <w:jc w:val="center"/>
        <w:rPr>
          <w:sz w:val="16"/>
          <w:szCs w:val="16"/>
          <w:lang w:val="es-PE"/>
        </w:rPr>
      </w:pPr>
      <w:r w:rsidRPr="006419D6">
        <w:rPr>
          <w:sz w:val="16"/>
          <w:szCs w:val="16"/>
          <w:lang w:val="es-PE"/>
        </w:rPr>
        <w:t>*Prueba de rangos con signo de Wilcoxon. Letras minúsculas diferentes en superíndice en las filas expresan diferencias significativas para la comparación entre las 24 y 48 horas para los extractos. DE: desviación estándar.</w:t>
      </w:r>
    </w:p>
    <w:p w14:paraId="00CC603A" w14:textId="77777777" w:rsidR="006419D6" w:rsidRPr="006419D6" w:rsidRDefault="006419D6" w:rsidP="006419D6">
      <w:pPr>
        <w:spacing w:line="360" w:lineRule="auto"/>
        <w:jc w:val="both"/>
        <w:rPr>
          <w:lang w:val="es-PE"/>
        </w:rPr>
      </w:pPr>
    </w:p>
    <w:p w14:paraId="3B944958" w14:textId="77777777" w:rsidR="006419D6" w:rsidRPr="006419D6" w:rsidRDefault="006419D6" w:rsidP="006419D6">
      <w:pPr>
        <w:spacing w:line="360" w:lineRule="auto"/>
        <w:jc w:val="both"/>
        <w:rPr>
          <w:lang w:val="es-PE"/>
        </w:rPr>
      </w:pPr>
    </w:p>
    <w:p w14:paraId="42CE7841" w14:textId="77777777" w:rsidR="006419D6" w:rsidRPr="006419D6" w:rsidRDefault="006419D6" w:rsidP="006419D6">
      <w:pPr>
        <w:spacing w:line="360" w:lineRule="auto"/>
        <w:jc w:val="center"/>
        <w:rPr>
          <w:b/>
          <w:bCs/>
          <w:sz w:val="32"/>
          <w:szCs w:val="32"/>
          <w:lang w:val="es-PE"/>
        </w:rPr>
      </w:pPr>
      <w:r w:rsidRPr="006419D6">
        <w:rPr>
          <w:b/>
          <w:bCs/>
          <w:sz w:val="32"/>
          <w:szCs w:val="32"/>
          <w:lang w:val="es-PE"/>
        </w:rPr>
        <w:t>DISCUSIÓN</w:t>
      </w:r>
    </w:p>
    <w:p w14:paraId="05E83F44" w14:textId="77777777" w:rsidR="006419D6" w:rsidRPr="006419D6" w:rsidRDefault="006419D6" w:rsidP="006419D6">
      <w:pPr>
        <w:spacing w:line="360" w:lineRule="auto"/>
        <w:jc w:val="both"/>
        <w:rPr>
          <w:lang w:val="es-PE" w:eastAsia="es-MX"/>
        </w:rPr>
      </w:pPr>
      <w:r w:rsidRPr="006419D6">
        <w:rPr>
          <w:lang w:val="es-PE" w:eastAsia="es-MX"/>
        </w:rPr>
        <w:t xml:space="preserve">La caries dental es una de las enfermedades más prevalentes en el mundo, su ocurrencia tiene consecuencias funcionales, psicológicas y sociales nefastas en la población. Se ha establecido, que </w:t>
      </w:r>
      <w:r w:rsidRPr="006419D6">
        <w:rPr>
          <w:i/>
          <w:iCs/>
          <w:lang w:val="es-PE" w:eastAsia="es-MX"/>
        </w:rPr>
        <w:t>Streptococcus mutans</w:t>
      </w:r>
      <w:r w:rsidRPr="006419D6">
        <w:rPr>
          <w:lang w:val="es-PE" w:eastAsia="es-MX"/>
        </w:rPr>
        <w:t xml:space="preserve"> y </w:t>
      </w:r>
      <w:r w:rsidRPr="006419D6">
        <w:rPr>
          <w:i/>
          <w:iCs/>
          <w:lang w:val="es-PE" w:eastAsia="es-MX"/>
        </w:rPr>
        <w:t>Lactobacillus acidophilus</w:t>
      </w:r>
      <w:r w:rsidRPr="006419D6">
        <w:rPr>
          <w:lang w:val="es-PE" w:eastAsia="es-MX"/>
        </w:rPr>
        <w:t xml:space="preserve"> participan de manera activa en el inicio y progresión de la lesión de caries. En los últimos años, existe mayor interés en desarrollar nuevas alternativas de tratamientos derivados de productos naturales. Al respecto, </w:t>
      </w:r>
      <w:r w:rsidRPr="006419D6">
        <w:rPr>
          <w:i/>
          <w:iCs/>
          <w:lang w:val="es-PE" w:eastAsia="es-MX"/>
        </w:rPr>
        <w:t xml:space="preserve">Erythroxylum coca </w:t>
      </w:r>
      <w:r w:rsidRPr="006419D6">
        <w:rPr>
          <w:lang w:val="es-PE" w:eastAsia="es-MX"/>
        </w:rPr>
        <w:t>(coca) es una planta considerada medicinal debido a la gran cantidad de compuestos bioactivos que presenta y que diversas investigaciones han corroborado su potencial terapéutico.</w:t>
      </w:r>
    </w:p>
    <w:p w14:paraId="39CFCB87" w14:textId="77777777" w:rsidR="006419D6" w:rsidRPr="006419D6" w:rsidRDefault="006419D6" w:rsidP="006419D6">
      <w:pPr>
        <w:spacing w:line="360" w:lineRule="auto"/>
        <w:jc w:val="both"/>
        <w:rPr>
          <w:lang w:val="es-PE" w:eastAsia="es-MX"/>
        </w:rPr>
      </w:pPr>
      <w:r w:rsidRPr="006419D6">
        <w:rPr>
          <w:lang w:val="es-PE" w:eastAsia="es-MX"/>
        </w:rPr>
        <w:t xml:space="preserve">Las hojas de </w:t>
      </w:r>
      <w:r w:rsidRPr="006419D6">
        <w:rPr>
          <w:iCs/>
          <w:lang w:val="es-PE" w:eastAsia="es-MX"/>
        </w:rPr>
        <w:t xml:space="preserve">coca </w:t>
      </w:r>
      <w:r w:rsidRPr="006419D6">
        <w:rPr>
          <w:lang w:val="es-PE" w:eastAsia="es-MX"/>
        </w:rPr>
        <w:t xml:space="preserve">contienen grandes cantidades de alcaloides y tropanos; el contenido total de estos compuestos difiere según su variedad y clima. A ese respecto, los estudios reportan que los niveles más altos del alcaloide de cocaína se obtienen de la especie </w:t>
      </w:r>
      <w:r w:rsidRPr="006419D6">
        <w:rPr>
          <w:i/>
          <w:lang w:val="es-PE" w:eastAsia="es-MX"/>
        </w:rPr>
        <w:t xml:space="preserve">E. coca </w:t>
      </w:r>
      <w:r w:rsidRPr="006419D6">
        <w:rPr>
          <w:lang w:val="es-PE" w:eastAsia="es-MX"/>
        </w:rPr>
        <w:t>novogranatense, entre 0,72 % y 0,77 %, diferente de las variedades Ipadu y boliviana, con valores entre 0,11 % y 0,63 % respectivamente.</w:t>
      </w:r>
      <w:r w:rsidRPr="006419D6">
        <w:rPr>
          <w:vertAlign w:val="superscript"/>
          <w:lang w:val="es-PE" w:eastAsia="es-MX"/>
        </w:rPr>
        <w:t xml:space="preserve">(11) </w:t>
      </w:r>
      <w:r w:rsidRPr="006419D6">
        <w:rPr>
          <w:lang w:val="es-PE" w:eastAsia="es-MX"/>
        </w:rPr>
        <w:lastRenderedPageBreak/>
        <w:t xml:space="preserve">También contienen mayor cantidad de otros alcaloides, flavonoides, fenoles y taninos, a diferencia de </w:t>
      </w:r>
      <w:r w:rsidRPr="006419D6">
        <w:rPr>
          <w:i/>
          <w:lang w:val="es-PE" w:eastAsia="es-MX"/>
        </w:rPr>
        <w:t>E. coca</w:t>
      </w:r>
      <w:r w:rsidRPr="006419D6">
        <w:rPr>
          <w:lang w:val="es-PE" w:eastAsia="es-MX"/>
        </w:rPr>
        <w:t xml:space="preserve"> Lam.</w:t>
      </w:r>
      <w:r w:rsidRPr="006419D6">
        <w:rPr>
          <w:vertAlign w:val="superscript"/>
          <w:lang w:val="es-PE" w:eastAsia="es-MX"/>
        </w:rPr>
        <w:t xml:space="preserve">(12,13) </w:t>
      </w:r>
      <w:r w:rsidRPr="006419D6">
        <w:rPr>
          <w:lang w:val="es-PE" w:eastAsia="es-MX"/>
        </w:rPr>
        <w:t>Investigaciones precedentes</w:t>
      </w:r>
      <w:r w:rsidRPr="006419D6">
        <w:rPr>
          <w:vertAlign w:val="superscript"/>
          <w:lang w:val="es-PE" w:eastAsia="es-MX"/>
        </w:rPr>
        <w:t>(17,20,21,26,27)</w:t>
      </w:r>
      <w:r w:rsidRPr="006419D6">
        <w:rPr>
          <w:lang w:val="es-PE" w:eastAsia="es-MX"/>
        </w:rPr>
        <w:t xml:space="preserve"> coinciden con lo determinado en el tamizaje fitoquímico cuantitativo de la presente investigación, en la cual se obtuvo que el extracto acuoso de </w:t>
      </w:r>
      <w:r w:rsidRPr="006419D6">
        <w:rPr>
          <w:i/>
          <w:iCs/>
          <w:lang w:val="es-PE" w:eastAsia="es-MX"/>
        </w:rPr>
        <w:t xml:space="preserve">E. coca </w:t>
      </w:r>
      <w:r w:rsidRPr="006419D6">
        <w:rPr>
          <w:lang w:val="es-PE" w:eastAsia="es-MX"/>
        </w:rPr>
        <w:t>contenía 51,5 mg/mL de alcaloides, 124,3 mg/mL de flavonoides, 94 900 µg de ácido gálico/ mL de fenoles totales y 0,0031 mg/mL de taninos.</w:t>
      </w:r>
    </w:p>
    <w:p w14:paraId="73BFB9E1" w14:textId="77777777" w:rsidR="006419D6" w:rsidRPr="006419D6" w:rsidRDefault="006419D6" w:rsidP="006419D6">
      <w:pPr>
        <w:spacing w:line="360" w:lineRule="auto"/>
        <w:jc w:val="both"/>
        <w:rPr>
          <w:lang w:val="es-PE" w:eastAsia="es-MX"/>
        </w:rPr>
      </w:pPr>
      <w:r w:rsidRPr="006419D6">
        <w:rPr>
          <w:lang w:val="es-PE" w:eastAsia="es-MX"/>
        </w:rPr>
        <w:t xml:space="preserve">Respecto al extracto alcohólico de </w:t>
      </w:r>
      <w:r w:rsidRPr="006419D6">
        <w:rPr>
          <w:i/>
          <w:iCs/>
          <w:lang w:val="es-PE" w:eastAsia="es-MX"/>
        </w:rPr>
        <w:t xml:space="preserve">E. </w:t>
      </w:r>
      <w:r w:rsidRPr="006419D6">
        <w:rPr>
          <w:iCs/>
          <w:lang w:val="es-PE" w:eastAsia="es-MX"/>
        </w:rPr>
        <w:t xml:space="preserve">coca, este contenía </w:t>
      </w:r>
      <w:r w:rsidRPr="006419D6">
        <w:rPr>
          <w:lang w:val="es-PE" w:eastAsia="es-MX"/>
        </w:rPr>
        <w:t xml:space="preserve">72,5 mg/mL de alcaloides, 245,9 mg/mL de flavonoides, 152 584 µg de ácido gálico/ mL de fenoles totales y 0,0041 mg/mL de taninos. Estos últimos compuestos son considerados importantes debido a que se les considera responsables del potencial antibacteriano de diversas plantas, incluidas </w:t>
      </w:r>
      <w:r w:rsidRPr="006419D6">
        <w:rPr>
          <w:i/>
          <w:iCs/>
          <w:lang w:val="es-PE" w:eastAsia="es-MX"/>
        </w:rPr>
        <w:t xml:space="preserve">E. coca </w:t>
      </w:r>
      <w:r w:rsidRPr="006419D6">
        <w:rPr>
          <w:iCs/>
          <w:lang w:val="es-PE" w:eastAsia="es-MX"/>
        </w:rPr>
        <w:t xml:space="preserve">novogranatense var. </w:t>
      </w:r>
      <w:r w:rsidRPr="006419D6">
        <w:rPr>
          <w:i/>
          <w:iCs/>
          <w:lang w:val="es-PE" w:eastAsia="es-MX"/>
        </w:rPr>
        <w:t>Truxillense</w:t>
      </w:r>
      <w:r w:rsidRPr="006419D6">
        <w:rPr>
          <w:lang w:val="es-PE" w:eastAsia="es-MX"/>
        </w:rPr>
        <w:t>, a los que se les puede relacionar sus propiedades antibacterianas.</w:t>
      </w:r>
    </w:p>
    <w:p w14:paraId="1D4AE3A7" w14:textId="77777777" w:rsidR="006419D6" w:rsidRPr="006419D6" w:rsidRDefault="006419D6" w:rsidP="006419D6">
      <w:pPr>
        <w:spacing w:line="360" w:lineRule="auto"/>
        <w:jc w:val="both"/>
        <w:rPr>
          <w:lang w:val="es-PE" w:eastAsia="es-MX"/>
        </w:rPr>
      </w:pPr>
      <w:r w:rsidRPr="006419D6">
        <w:rPr>
          <w:i/>
          <w:lang w:val="es-PE" w:eastAsia="es-MX"/>
        </w:rPr>
        <w:t xml:space="preserve">Loyola D </w:t>
      </w:r>
      <w:r w:rsidRPr="006419D6">
        <w:rPr>
          <w:iCs/>
          <w:lang w:val="es-PE" w:eastAsia="es-MX"/>
        </w:rPr>
        <w:t>y otros</w:t>
      </w:r>
      <w:r w:rsidRPr="006419D6">
        <w:rPr>
          <w:i/>
          <w:iCs/>
          <w:lang w:val="es-PE" w:eastAsia="es-MX"/>
        </w:rPr>
        <w:t>,</w:t>
      </w:r>
      <w:r w:rsidRPr="006419D6">
        <w:rPr>
          <w:vertAlign w:val="superscript"/>
          <w:lang w:val="es-PE" w:eastAsia="es-MX"/>
        </w:rPr>
        <w:t xml:space="preserve">(17) </w:t>
      </w:r>
      <w:r w:rsidRPr="006419D6">
        <w:rPr>
          <w:lang w:val="es-PE" w:eastAsia="es-MX"/>
        </w:rPr>
        <w:t xml:space="preserve">reportan el efecto antibacteriano del extracto etanólico de </w:t>
      </w:r>
      <w:r w:rsidRPr="006419D6">
        <w:rPr>
          <w:i/>
          <w:iCs/>
          <w:lang w:val="es-PE" w:eastAsia="es-MX"/>
        </w:rPr>
        <w:t xml:space="preserve">E. coca Lam </w:t>
      </w:r>
      <w:r w:rsidRPr="006419D6">
        <w:rPr>
          <w:lang w:val="es-PE" w:eastAsia="es-MX"/>
        </w:rPr>
        <w:t xml:space="preserve">en las concentraciones de 50 % y 75 % sobre </w:t>
      </w:r>
      <w:r w:rsidRPr="006419D6">
        <w:rPr>
          <w:i/>
          <w:iCs/>
          <w:lang w:val="es-PE" w:eastAsia="es-MX"/>
        </w:rPr>
        <w:t>S. mutans</w:t>
      </w:r>
      <w:r w:rsidRPr="006419D6">
        <w:rPr>
          <w:lang w:val="es-PE" w:eastAsia="es-MX"/>
        </w:rPr>
        <w:t xml:space="preserve">, formando halos de inhibición a las 24 horas de 10,1 ± 0,7 mm y 11,2 ± 0,7 mm, respectivamente; el efecto se incrementa a las 48 horas, con halos inhibitorios de 10,5 ± 0,6 mm y 11,3 ± 0,7 mm en cada concentración. Estos resultados son semejantes a los obtenidos en la presente investigación y los comunicados por </w:t>
      </w:r>
      <w:r w:rsidRPr="006419D6">
        <w:rPr>
          <w:i/>
          <w:lang w:val="es-PE" w:eastAsia="es-MX"/>
        </w:rPr>
        <w:t>Salcedo</w:t>
      </w:r>
      <w:r w:rsidRPr="006419D6">
        <w:rPr>
          <w:lang w:val="es-PE" w:eastAsia="es-MX"/>
        </w:rPr>
        <w:t>,</w:t>
      </w:r>
      <w:r w:rsidRPr="006419D6">
        <w:rPr>
          <w:vertAlign w:val="superscript"/>
          <w:lang w:val="es-PE" w:eastAsia="es-MX"/>
        </w:rPr>
        <w:t>(26)</w:t>
      </w:r>
      <w:r w:rsidRPr="006419D6">
        <w:rPr>
          <w:lang w:val="es-PE" w:eastAsia="es-MX"/>
        </w:rPr>
        <w:t xml:space="preserve"> en el cual las concentraciones de 50 % y 100 % de </w:t>
      </w:r>
      <w:r w:rsidRPr="006419D6">
        <w:rPr>
          <w:i/>
          <w:iCs/>
          <w:lang w:val="es-PE" w:eastAsia="es-MX"/>
        </w:rPr>
        <w:t>E. coca novogranatense var. Truxillense</w:t>
      </w:r>
      <w:r w:rsidRPr="006419D6">
        <w:rPr>
          <w:lang w:val="es-PE" w:eastAsia="es-MX"/>
        </w:rPr>
        <w:t xml:space="preserve"> y </w:t>
      </w:r>
      <w:r w:rsidRPr="006419D6">
        <w:rPr>
          <w:i/>
          <w:iCs/>
          <w:lang w:val="es-PE" w:eastAsia="es-MX"/>
        </w:rPr>
        <w:t>E. coca var. Coca</w:t>
      </w:r>
      <w:r w:rsidRPr="006419D6">
        <w:rPr>
          <w:lang w:val="es-PE" w:eastAsia="es-MX"/>
        </w:rPr>
        <w:t xml:space="preserve">, presentaron mayor efecto antibacteriano frente a </w:t>
      </w:r>
      <w:r w:rsidRPr="006419D6">
        <w:rPr>
          <w:i/>
          <w:iCs/>
          <w:lang w:val="es-PE" w:eastAsia="es-MX"/>
        </w:rPr>
        <w:t>S. mutans</w:t>
      </w:r>
      <w:r w:rsidRPr="006419D6">
        <w:rPr>
          <w:lang w:val="es-PE" w:eastAsia="es-MX"/>
        </w:rPr>
        <w:t>. Lo antes mencionado, tiene consistencia debido a que, teóricamente se ha establecido que a mayor cantidad de principios activos, mayor efecto antibacteriano.</w:t>
      </w:r>
    </w:p>
    <w:p w14:paraId="5D0C3B55" w14:textId="77777777" w:rsidR="006419D6" w:rsidRPr="006419D6" w:rsidRDefault="006419D6" w:rsidP="006419D6">
      <w:pPr>
        <w:spacing w:line="360" w:lineRule="auto"/>
        <w:jc w:val="both"/>
        <w:rPr>
          <w:lang w:val="es-PE" w:eastAsia="es-MX"/>
        </w:rPr>
      </w:pPr>
      <w:r w:rsidRPr="006419D6">
        <w:rPr>
          <w:lang w:val="es-PE" w:eastAsia="es-MX"/>
        </w:rPr>
        <w:t xml:space="preserve">Se ha mencionado que la técnica de extracción y el solvente seleccionado, para la obtención de los metabolitos primarios y secundarios, en plantas medicinales, son importantes en la evaluación del efecto terapéutico de un producto vegetal, pues influirían en la captación de la mayor o menor cantidad de los compuestos bioactivos que puede corroborarse mediante el tamizaje fitoquímico cuantitativo. </w:t>
      </w:r>
      <w:r w:rsidRPr="006419D6">
        <w:rPr>
          <w:i/>
          <w:lang w:val="es-PE" w:eastAsia="es-MX"/>
        </w:rPr>
        <w:t>Alvarado</w:t>
      </w:r>
      <w:r w:rsidRPr="006419D6">
        <w:rPr>
          <w:lang w:val="es-PE" w:eastAsia="es-MX"/>
        </w:rPr>
        <w:t xml:space="preserve"> y otros,</w:t>
      </w:r>
      <w:r w:rsidRPr="006419D6">
        <w:rPr>
          <w:vertAlign w:val="superscript"/>
          <w:lang w:val="es-PE" w:eastAsia="es-MX"/>
        </w:rPr>
        <w:t xml:space="preserve">(27) </w:t>
      </w:r>
      <w:r w:rsidRPr="006419D6">
        <w:rPr>
          <w:lang w:val="es-PE" w:eastAsia="es-MX"/>
        </w:rPr>
        <w:t xml:space="preserve">identificaron la actividad antibacteriana del extracto hidroalcohólico de </w:t>
      </w:r>
      <w:r w:rsidRPr="006419D6">
        <w:rPr>
          <w:i/>
          <w:iCs/>
          <w:lang w:val="es-PE" w:eastAsia="es-MX"/>
        </w:rPr>
        <w:t>E. coca novogranatense var Truxillense</w:t>
      </w:r>
      <w:r w:rsidRPr="006419D6">
        <w:rPr>
          <w:lang w:val="es-PE" w:eastAsia="es-MX"/>
        </w:rPr>
        <w:t xml:space="preserve"> frente a </w:t>
      </w:r>
      <w:r w:rsidRPr="006419D6">
        <w:rPr>
          <w:i/>
          <w:iCs/>
          <w:lang w:val="es-PE" w:eastAsia="es-MX"/>
        </w:rPr>
        <w:t xml:space="preserve">S. mutans </w:t>
      </w:r>
      <w:r w:rsidRPr="006419D6">
        <w:rPr>
          <w:lang w:val="es-PE" w:eastAsia="es-MX"/>
        </w:rPr>
        <w:t xml:space="preserve">y </w:t>
      </w:r>
      <w:r w:rsidRPr="006419D6">
        <w:rPr>
          <w:i/>
          <w:iCs/>
          <w:lang w:val="es-PE" w:eastAsia="es-MX"/>
        </w:rPr>
        <w:t>L. acidophilus</w:t>
      </w:r>
      <w:r w:rsidRPr="006419D6">
        <w:rPr>
          <w:lang w:val="es-PE" w:eastAsia="es-MX"/>
        </w:rPr>
        <w:t>,</w:t>
      </w:r>
      <w:r w:rsidRPr="006419D6">
        <w:rPr>
          <w:i/>
          <w:iCs/>
          <w:lang w:val="es-PE" w:eastAsia="es-MX"/>
        </w:rPr>
        <w:t xml:space="preserve"> </w:t>
      </w:r>
      <w:r w:rsidRPr="006419D6">
        <w:rPr>
          <w:lang w:val="es-PE" w:eastAsia="es-MX"/>
        </w:rPr>
        <w:t xml:space="preserve">en concentraciones de 25 µg/mL y 50 µg/mL. La inhibición reportada sobre </w:t>
      </w:r>
      <w:r w:rsidRPr="006419D6">
        <w:rPr>
          <w:i/>
          <w:iCs/>
          <w:lang w:val="es-PE" w:eastAsia="es-MX"/>
        </w:rPr>
        <w:t xml:space="preserve">S. mutans </w:t>
      </w:r>
      <w:r w:rsidRPr="006419D6">
        <w:rPr>
          <w:lang w:val="es-PE" w:eastAsia="es-MX"/>
        </w:rPr>
        <w:t xml:space="preserve">fue de 8,8 mm y 10,4 mm para ambas concentraciones respectivamente y para </w:t>
      </w:r>
      <w:r w:rsidRPr="006419D6">
        <w:rPr>
          <w:i/>
          <w:iCs/>
          <w:lang w:val="es-PE" w:eastAsia="es-MX"/>
        </w:rPr>
        <w:t xml:space="preserve">L. acidophilus </w:t>
      </w:r>
      <w:r w:rsidRPr="006419D6">
        <w:rPr>
          <w:lang w:val="es-PE" w:eastAsia="es-MX"/>
        </w:rPr>
        <w:t xml:space="preserve">la inhibición fue de 9,8 mm y 10 mm, respectivamente. Estos </w:t>
      </w:r>
      <w:r w:rsidRPr="006419D6">
        <w:rPr>
          <w:lang w:val="es-PE" w:eastAsia="es-MX"/>
        </w:rPr>
        <w:lastRenderedPageBreak/>
        <w:t>resultados difieren de los reportados en el presente estudio y podrían deberse al tipo de extracto utilizado (acuoso y alcohólico) y las características botánicas del vegetal.</w:t>
      </w:r>
    </w:p>
    <w:p w14:paraId="394D1887" w14:textId="77777777" w:rsidR="006419D6" w:rsidRPr="006419D6" w:rsidRDefault="006419D6" w:rsidP="006419D6">
      <w:pPr>
        <w:spacing w:line="360" w:lineRule="auto"/>
        <w:jc w:val="both"/>
        <w:rPr>
          <w:lang w:val="es-PE" w:eastAsia="es-MX"/>
        </w:rPr>
      </w:pPr>
      <w:r w:rsidRPr="006419D6">
        <w:rPr>
          <w:i/>
          <w:lang w:val="es-PE" w:eastAsia="es-MX"/>
        </w:rPr>
        <w:t>Luna-Vílchez</w:t>
      </w:r>
      <w:r w:rsidRPr="006419D6">
        <w:rPr>
          <w:lang w:val="es-PE" w:eastAsia="es-MX"/>
        </w:rPr>
        <w:t xml:space="preserve"> y otros,</w:t>
      </w:r>
      <w:r w:rsidRPr="006419D6">
        <w:rPr>
          <w:vertAlign w:val="superscript"/>
          <w:lang w:val="es-PE" w:eastAsia="es-MX"/>
        </w:rPr>
        <w:t xml:space="preserve">(28) </w:t>
      </w:r>
      <w:r w:rsidRPr="006419D6">
        <w:rPr>
          <w:lang w:val="es-PE" w:eastAsia="es-MX"/>
        </w:rPr>
        <w:t xml:space="preserve">evaluaron el potencial antimicrobiano de los extractos; acuoso, ácido y alcohólico de </w:t>
      </w:r>
      <w:r w:rsidRPr="006419D6">
        <w:rPr>
          <w:i/>
          <w:iCs/>
          <w:lang w:val="es-PE" w:eastAsia="es-MX"/>
        </w:rPr>
        <w:t>E. coca var coca</w:t>
      </w:r>
      <w:r w:rsidRPr="006419D6">
        <w:rPr>
          <w:lang w:val="es-PE" w:eastAsia="es-MX"/>
        </w:rPr>
        <w:t>. Determinaron que solo el extracto alcohólico mostró efectividad antifúngica, pero todos los extractos disminuyeron la velocidad de crecimiento de los hongos estudiados. Al respecto, en la presente investigación se encontró que el extracto alcohólico presentó mayor efecto antibacteriano, en comparación con el extracto acuoso frente a ambas bacterias. Esto se fundamenta en que se ha comunicado que los solventes orgánicos permiten mejor recuperación de compuestos bioactivos presentes en materiales vegetales secos.</w:t>
      </w:r>
    </w:p>
    <w:p w14:paraId="5DB2B50E" w14:textId="77777777" w:rsidR="006419D6" w:rsidRPr="006419D6" w:rsidRDefault="006419D6" w:rsidP="006419D6">
      <w:pPr>
        <w:spacing w:line="360" w:lineRule="auto"/>
        <w:jc w:val="both"/>
        <w:rPr>
          <w:lang w:val="es-PE" w:eastAsia="es-MX"/>
        </w:rPr>
      </w:pPr>
      <w:r w:rsidRPr="006419D6">
        <w:rPr>
          <w:lang w:val="es-PE" w:eastAsia="es-MX"/>
        </w:rPr>
        <w:t xml:space="preserve">A pesar de los resultados prometedores de esta investigación, es importante precisar que al ser un estudio experimental se requieren más investigaciones, para considerar el uso seguro de los extractos de coca por la población de manera directa o incorporada en productos orales dentro de los protocolos de terapia cariogénica. </w:t>
      </w:r>
    </w:p>
    <w:p w14:paraId="2BD8B4E7" w14:textId="77777777" w:rsidR="006419D6" w:rsidRPr="006419D6" w:rsidRDefault="006419D6" w:rsidP="006419D6">
      <w:pPr>
        <w:spacing w:line="360" w:lineRule="auto"/>
        <w:jc w:val="both"/>
        <w:rPr>
          <w:lang w:val="es-PE" w:eastAsia="es-MX"/>
        </w:rPr>
      </w:pPr>
      <w:r w:rsidRPr="006419D6">
        <w:rPr>
          <w:lang w:val="es-PE" w:eastAsia="es-MX"/>
        </w:rPr>
        <w:t xml:space="preserve">Existen diferencias en el efecto antibacteriano del extracto acuoso y el extracto alcohólico de hojas de </w:t>
      </w:r>
      <w:r w:rsidRPr="006419D6">
        <w:rPr>
          <w:i/>
          <w:iCs/>
          <w:lang w:val="es-PE" w:eastAsia="es-MX"/>
        </w:rPr>
        <w:t xml:space="preserve">Erythroxylum coca </w:t>
      </w:r>
      <w:r w:rsidRPr="006419D6">
        <w:rPr>
          <w:lang w:val="es-PE" w:eastAsia="es-MX"/>
        </w:rPr>
        <w:t>(</w:t>
      </w:r>
      <w:r w:rsidRPr="006419D6">
        <w:rPr>
          <w:iCs/>
          <w:lang w:val="es-PE" w:eastAsia="es-MX"/>
        </w:rPr>
        <w:t>coca)</w:t>
      </w:r>
      <w:r w:rsidRPr="006419D6">
        <w:rPr>
          <w:lang w:val="es-PE" w:eastAsia="es-MX"/>
        </w:rPr>
        <w:t xml:space="preserve"> frente a </w:t>
      </w:r>
      <w:r w:rsidRPr="006419D6">
        <w:rPr>
          <w:i/>
          <w:iCs/>
          <w:lang w:val="es-PE" w:eastAsia="es-MX"/>
        </w:rPr>
        <w:t xml:space="preserve">Streptococcus mutans </w:t>
      </w:r>
      <w:r w:rsidRPr="006419D6">
        <w:rPr>
          <w:lang w:val="es-PE" w:eastAsia="es-MX"/>
        </w:rPr>
        <w:t>ATCC</w:t>
      </w:r>
      <w:r w:rsidRPr="006419D6">
        <w:rPr>
          <w:vertAlign w:val="superscript"/>
          <w:lang w:val="es-PE" w:eastAsia="es-MX"/>
        </w:rPr>
        <w:t>®</w:t>
      </w:r>
      <w:r w:rsidRPr="006419D6">
        <w:rPr>
          <w:lang w:val="es-PE" w:eastAsia="es-MX"/>
        </w:rPr>
        <w:t>35668</w:t>
      </w:r>
      <w:r w:rsidRPr="006419D6">
        <w:rPr>
          <w:vertAlign w:val="superscript"/>
          <w:lang w:val="es-PE" w:eastAsia="es-MX"/>
        </w:rPr>
        <w:t>™</w:t>
      </w:r>
      <w:r w:rsidRPr="006419D6">
        <w:rPr>
          <w:i/>
          <w:iCs/>
          <w:vertAlign w:val="superscript"/>
          <w:lang w:val="es-PE" w:eastAsia="es-MX"/>
        </w:rPr>
        <w:t xml:space="preserve"> </w:t>
      </w:r>
      <w:r w:rsidRPr="006419D6">
        <w:rPr>
          <w:lang w:val="es-PE" w:eastAsia="es-MX"/>
        </w:rPr>
        <w:t xml:space="preserve">y </w:t>
      </w:r>
      <w:r w:rsidRPr="006419D6">
        <w:rPr>
          <w:i/>
          <w:iCs/>
          <w:lang w:val="es-PE" w:eastAsia="es-MX"/>
        </w:rPr>
        <w:t>Lactobacillus acidophilus</w:t>
      </w:r>
      <w:r w:rsidRPr="006419D6">
        <w:rPr>
          <w:lang w:val="es-PE" w:eastAsia="es-MX"/>
        </w:rPr>
        <w:t xml:space="preserve"> ATCC</w:t>
      </w:r>
      <w:r w:rsidRPr="006419D6">
        <w:rPr>
          <w:vertAlign w:val="superscript"/>
          <w:lang w:val="es-PE" w:eastAsia="es-MX"/>
        </w:rPr>
        <w:t>®</w:t>
      </w:r>
      <w:r w:rsidRPr="006419D6">
        <w:rPr>
          <w:lang w:val="es-PE" w:eastAsia="es-MX"/>
        </w:rPr>
        <w:t>4356</w:t>
      </w:r>
      <w:r w:rsidRPr="006419D6">
        <w:rPr>
          <w:vertAlign w:val="superscript"/>
          <w:lang w:val="es-PE" w:eastAsia="es-MX"/>
        </w:rPr>
        <w:t>™</w:t>
      </w:r>
      <w:r w:rsidRPr="006419D6">
        <w:rPr>
          <w:lang w:val="es-PE" w:eastAsia="es-MX"/>
        </w:rPr>
        <w:t>.</w:t>
      </w:r>
    </w:p>
    <w:p w14:paraId="33A0BB17" w14:textId="77777777" w:rsidR="006419D6" w:rsidRPr="006419D6" w:rsidRDefault="006419D6" w:rsidP="006419D6">
      <w:pPr>
        <w:spacing w:line="360" w:lineRule="auto"/>
        <w:jc w:val="both"/>
        <w:rPr>
          <w:lang w:val="es-PE" w:eastAsia="es-MX"/>
        </w:rPr>
      </w:pPr>
    </w:p>
    <w:p w14:paraId="38362B89" w14:textId="77777777" w:rsidR="006419D6" w:rsidRPr="006419D6" w:rsidRDefault="006419D6" w:rsidP="006419D6">
      <w:pPr>
        <w:spacing w:line="360" w:lineRule="auto"/>
        <w:jc w:val="both"/>
        <w:rPr>
          <w:lang w:val="es-PE" w:eastAsia="es-MX"/>
        </w:rPr>
      </w:pPr>
    </w:p>
    <w:p w14:paraId="1130F9DE" w14:textId="77777777" w:rsidR="006419D6" w:rsidRPr="006419D6" w:rsidRDefault="006419D6" w:rsidP="006419D6">
      <w:pPr>
        <w:spacing w:line="360" w:lineRule="auto"/>
        <w:jc w:val="center"/>
        <w:rPr>
          <w:b/>
          <w:bCs/>
          <w:sz w:val="32"/>
          <w:szCs w:val="32"/>
          <w:lang w:val="en-US" w:eastAsia="es-MX"/>
        </w:rPr>
      </w:pPr>
      <w:r w:rsidRPr="006419D6">
        <w:rPr>
          <w:b/>
          <w:bCs/>
          <w:sz w:val="32"/>
          <w:szCs w:val="32"/>
          <w:lang w:val="en-US" w:eastAsia="es-MX"/>
        </w:rPr>
        <w:t>REFERENCIAS BIBLIOGRÁFICAS</w:t>
      </w:r>
    </w:p>
    <w:p w14:paraId="1EEE7DFC" w14:textId="77777777" w:rsidR="006419D6" w:rsidRPr="006419D6" w:rsidRDefault="006419D6" w:rsidP="006419D6">
      <w:pPr>
        <w:spacing w:line="360" w:lineRule="auto"/>
        <w:rPr>
          <w:color w:val="2B20FB"/>
          <w:u w:val="single"/>
          <w:lang w:val="es-PE" w:eastAsia="es-MX"/>
        </w:rPr>
      </w:pPr>
      <w:r w:rsidRPr="006419D6">
        <w:rPr>
          <w:color w:val="000000"/>
          <w:lang w:val="en-US" w:eastAsia="es-MX"/>
        </w:rPr>
        <w:t xml:space="preserve">1. World Health Organization. </w:t>
      </w:r>
      <w:r w:rsidRPr="006419D6">
        <w:rPr>
          <w:color w:val="000000"/>
          <w:lang w:val="es-CU" w:eastAsia="es-MX"/>
        </w:rPr>
        <w:t xml:space="preserve">Enfermedades y trastornos bucodentales. Ginebra: WHO; 2022. </w:t>
      </w:r>
      <w:r w:rsidRPr="006419D6">
        <w:rPr>
          <w:color w:val="000000"/>
          <w:lang w:val="es-PE" w:eastAsia="es-MX"/>
        </w:rPr>
        <w:t xml:space="preserve">[acceso: 20/03/2020]. Disponible en: </w:t>
      </w:r>
      <w:hyperlink r:id="rId15" w:history="1">
        <w:r w:rsidRPr="006419D6">
          <w:rPr>
            <w:color w:val="0432FF"/>
            <w:lang w:val="es-PE" w:eastAsia="es-MX"/>
          </w:rPr>
          <w:t>https://www.who.int/es/news-room/fact-sheets/detail/oral-health</w:t>
        </w:r>
      </w:hyperlink>
    </w:p>
    <w:p w14:paraId="3E63F933" w14:textId="77777777" w:rsidR="006419D6" w:rsidRPr="006419D6" w:rsidRDefault="006419D6" w:rsidP="006419D6">
      <w:pPr>
        <w:spacing w:line="360" w:lineRule="auto"/>
        <w:rPr>
          <w:color w:val="2B20FB"/>
          <w:u w:val="single"/>
          <w:lang w:val="en-US" w:eastAsia="es-MX"/>
        </w:rPr>
      </w:pPr>
      <w:r w:rsidRPr="006419D6">
        <w:rPr>
          <w:color w:val="000000"/>
          <w:lang w:val="en-US" w:eastAsia="es-MX"/>
        </w:rPr>
        <w:t>2. Hong J, Whelton H, Douglas G, Kang J. Consumption frequency of added sugars and UK children's dental caries</w:t>
      </w:r>
      <w:r w:rsidRPr="006419D6">
        <w:rPr>
          <w:b/>
          <w:bCs/>
          <w:color w:val="000000"/>
          <w:lang w:val="en-US" w:eastAsia="es-MX"/>
        </w:rPr>
        <w:t xml:space="preserve">. </w:t>
      </w:r>
      <w:r w:rsidRPr="006419D6">
        <w:rPr>
          <w:color w:val="000000"/>
          <w:lang w:val="en-US" w:eastAsia="es-MX"/>
        </w:rPr>
        <w:t xml:space="preserve">Community Dent Oral Epidemiol. 2018; </w:t>
      </w:r>
      <w:r w:rsidRPr="006419D6">
        <w:rPr>
          <w:color w:val="000000"/>
          <w:shd w:val="clear" w:color="auto" w:fill="FFFFFF"/>
          <w:lang w:val="en-US" w:eastAsia="es-MX"/>
        </w:rPr>
        <w:t xml:space="preserve">46(5):457–64. DOI: </w:t>
      </w:r>
      <w:r w:rsidRPr="006419D6">
        <w:rPr>
          <w:lang w:val="en-US" w:eastAsia="es-MX"/>
        </w:rPr>
        <w:t>10.1111/cdoe.12413</w:t>
      </w:r>
    </w:p>
    <w:p w14:paraId="1C5BEC67" w14:textId="77777777" w:rsidR="006419D6" w:rsidRPr="006419D6" w:rsidRDefault="006419D6" w:rsidP="006419D6">
      <w:pPr>
        <w:spacing w:line="360" w:lineRule="auto"/>
        <w:rPr>
          <w:color w:val="000000"/>
          <w:lang w:val="en-US" w:eastAsia="es-MX"/>
        </w:rPr>
      </w:pPr>
      <w:r w:rsidRPr="006419D6">
        <w:rPr>
          <w:color w:val="000000"/>
          <w:shd w:val="clear" w:color="auto" w:fill="FFFFFF"/>
          <w:lang w:val="en-US" w:eastAsia="es-MX"/>
        </w:rPr>
        <w:t xml:space="preserve">3. Gamboa F. </w:t>
      </w:r>
      <w:r w:rsidRPr="006419D6">
        <w:rPr>
          <w:color w:val="000000"/>
          <w:lang w:val="en-US" w:eastAsia="es-MX"/>
        </w:rPr>
        <w:t xml:space="preserve">Microbiological, Phenotypic, and Genotypic Characterization of Streptococcus mutans: Research Experiences. Univ Odontol. 2014; 33(71):65-73. DOI: </w:t>
      </w:r>
      <w:r w:rsidRPr="006419D6">
        <w:rPr>
          <w:lang w:val="en-US" w:eastAsia="es-MX"/>
        </w:rPr>
        <w:t>10.11144/Javeriana.uo33-71.icmf</w:t>
      </w:r>
    </w:p>
    <w:p w14:paraId="0D88DADA" w14:textId="77777777" w:rsidR="006419D6" w:rsidRPr="006419D6" w:rsidRDefault="006419D6" w:rsidP="006419D6">
      <w:pPr>
        <w:spacing w:line="360" w:lineRule="auto"/>
        <w:rPr>
          <w:color w:val="000000"/>
          <w:lang w:val="en-US" w:eastAsia="es-MX"/>
        </w:rPr>
      </w:pPr>
      <w:r w:rsidRPr="006419D6">
        <w:rPr>
          <w:color w:val="212121"/>
          <w:shd w:val="clear" w:color="auto" w:fill="FFFFFF"/>
          <w:lang w:val="en-US" w:eastAsia="es-MX"/>
        </w:rPr>
        <w:t xml:space="preserve">4. </w:t>
      </w:r>
      <w:r w:rsidRPr="006419D6">
        <w:rPr>
          <w:color w:val="000000"/>
          <w:shd w:val="clear" w:color="auto" w:fill="FFFFFF"/>
          <w:lang w:val="en-US" w:eastAsia="es-MX"/>
        </w:rPr>
        <w:t xml:space="preserve">Conrads G. About I. </w:t>
      </w:r>
      <w:r w:rsidRPr="006419D6">
        <w:rPr>
          <w:color w:val="000000"/>
          <w:lang w:val="en-US" w:eastAsia="es-MX"/>
        </w:rPr>
        <w:t>Pathophysiology of Dental Caries. Monogr Oral Sci. 2018; 27:1–10. DOI:</w:t>
      </w:r>
      <w:r w:rsidRPr="006419D6">
        <w:rPr>
          <w:lang w:val="en-US" w:eastAsia="es-MX"/>
        </w:rPr>
        <w:t xml:space="preserve"> 10.1159/000487826</w:t>
      </w:r>
    </w:p>
    <w:p w14:paraId="56408FD9" w14:textId="77777777" w:rsidR="006419D6" w:rsidRPr="006419D6" w:rsidRDefault="006419D6" w:rsidP="006419D6">
      <w:pPr>
        <w:spacing w:line="360" w:lineRule="auto"/>
        <w:rPr>
          <w:color w:val="000000"/>
          <w:lang w:val="en-US" w:eastAsia="es-MX"/>
        </w:rPr>
      </w:pPr>
      <w:r w:rsidRPr="006419D6">
        <w:rPr>
          <w:color w:val="000000"/>
          <w:lang w:val="en-US" w:eastAsia="es-MX"/>
        </w:rPr>
        <w:lastRenderedPageBreak/>
        <w:t>5. Xie Z, Zhang Z, Liu L, Liu X, Chen Y</w:t>
      </w:r>
      <w:r w:rsidRPr="006419D6">
        <w:rPr>
          <w:i/>
          <w:iCs/>
          <w:color w:val="000000"/>
          <w:lang w:val="en-US" w:eastAsia="es-MX"/>
        </w:rPr>
        <w:t>.</w:t>
      </w:r>
      <w:r w:rsidRPr="006419D6">
        <w:rPr>
          <w:color w:val="000000"/>
          <w:lang w:val="en-US" w:eastAsia="es-MX"/>
        </w:rPr>
        <w:t xml:space="preserve"> Secondary metabolites from Streptococcus mutans and their ecological roles in dental biofilm. Chin J Biotech. 2017; </w:t>
      </w:r>
      <w:r w:rsidRPr="006419D6">
        <w:rPr>
          <w:color w:val="000000"/>
          <w:shd w:val="clear" w:color="auto" w:fill="FFFFFF"/>
          <w:lang w:val="en-US" w:eastAsia="es-MX"/>
        </w:rPr>
        <w:t xml:space="preserve">33(9):1547-1554. DOI: </w:t>
      </w:r>
      <w:r w:rsidRPr="006419D6">
        <w:rPr>
          <w:lang w:val="en-US" w:eastAsia="es-MX"/>
        </w:rPr>
        <w:t>10.13345/j.cjb.170046</w:t>
      </w:r>
    </w:p>
    <w:p w14:paraId="05DB4995" w14:textId="77777777" w:rsidR="006419D6" w:rsidRPr="006419D6" w:rsidRDefault="006419D6" w:rsidP="006419D6">
      <w:pPr>
        <w:spacing w:line="360" w:lineRule="auto"/>
        <w:rPr>
          <w:color w:val="000000"/>
          <w:lang w:val="en-US" w:eastAsia="es-MX"/>
        </w:rPr>
      </w:pPr>
      <w:r w:rsidRPr="006419D6">
        <w:rPr>
          <w:color w:val="000000"/>
          <w:shd w:val="clear" w:color="auto" w:fill="FFFFFF"/>
          <w:lang w:val="en-US" w:eastAsia="es-MX"/>
        </w:rPr>
        <w:t xml:space="preserve">6. Elgamily H, Safy R, Makharita R. </w:t>
      </w:r>
      <w:r w:rsidRPr="006419D6">
        <w:rPr>
          <w:color w:val="000000"/>
          <w:lang w:val="en-US" w:eastAsia="es-MX"/>
        </w:rPr>
        <w:t>Influence of medicinal plant extracts on the growth of oral pathogens Streptococcus mutans</w:t>
      </w:r>
      <w:r w:rsidRPr="006419D6">
        <w:rPr>
          <w:i/>
          <w:iCs/>
          <w:color w:val="000000"/>
          <w:lang w:val="en-US" w:eastAsia="es-MX"/>
        </w:rPr>
        <w:t> </w:t>
      </w:r>
      <w:r w:rsidRPr="006419D6">
        <w:rPr>
          <w:color w:val="000000"/>
          <w:lang w:val="en-US" w:eastAsia="es-MX"/>
        </w:rPr>
        <w:t>and</w:t>
      </w:r>
      <w:r w:rsidRPr="006419D6">
        <w:rPr>
          <w:i/>
          <w:iCs/>
          <w:color w:val="000000"/>
          <w:lang w:val="en-US" w:eastAsia="es-MX"/>
        </w:rPr>
        <w:t> </w:t>
      </w:r>
      <w:r w:rsidRPr="006419D6">
        <w:rPr>
          <w:color w:val="000000"/>
          <w:lang w:val="en-US" w:eastAsia="es-MX"/>
        </w:rPr>
        <w:t>Lactobacillus acidophilus: an</w:t>
      </w:r>
      <w:r w:rsidRPr="006419D6">
        <w:rPr>
          <w:i/>
          <w:iCs/>
          <w:color w:val="000000"/>
          <w:lang w:val="en-US" w:eastAsia="es-MX"/>
        </w:rPr>
        <w:t xml:space="preserve"> </w:t>
      </w:r>
      <w:r w:rsidRPr="006419D6">
        <w:rPr>
          <w:color w:val="000000"/>
          <w:lang w:val="en-US" w:eastAsia="es-MX"/>
        </w:rPr>
        <w:t>in-vitro study</w:t>
      </w:r>
      <w:r w:rsidRPr="006419D6">
        <w:rPr>
          <w:i/>
          <w:iCs/>
          <w:color w:val="000000"/>
          <w:lang w:val="en-US" w:eastAsia="es-MX"/>
        </w:rPr>
        <w:t xml:space="preserve">. </w:t>
      </w:r>
      <w:r w:rsidRPr="006419D6">
        <w:rPr>
          <w:iCs/>
          <w:color w:val="000000"/>
          <w:lang w:val="en-US" w:eastAsia="es-MX"/>
        </w:rPr>
        <w:t>Maced J Med Sci</w:t>
      </w:r>
      <w:r w:rsidRPr="006419D6">
        <w:rPr>
          <w:color w:val="000000"/>
          <w:lang w:val="en-US" w:eastAsia="es-MX"/>
        </w:rPr>
        <w:t xml:space="preserve">. 2019; </w:t>
      </w:r>
      <w:r w:rsidRPr="006419D6">
        <w:rPr>
          <w:color w:val="000000"/>
          <w:shd w:val="clear" w:color="auto" w:fill="FFFFFF"/>
          <w:lang w:val="en-US" w:eastAsia="es-MX"/>
        </w:rPr>
        <w:t xml:space="preserve">7(14):2328–34. DOI: </w:t>
      </w:r>
      <w:r w:rsidRPr="006419D6">
        <w:rPr>
          <w:lang w:val="en-US" w:eastAsia="es-MX"/>
        </w:rPr>
        <w:t>10.3889/oamjms.2019.653</w:t>
      </w:r>
    </w:p>
    <w:p w14:paraId="48A29320" w14:textId="77777777" w:rsidR="006419D6" w:rsidRPr="006419D6" w:rsidRDefault="006419D6" w:rsidP="006419D6">
      <w:pPr>
        <w:spacing w:line="360" w:lineRule="auto"/>
        <w:rPr>
          <w:color w:val="000000"/>
          <w:lang w:val="es-PE" w:eastAsia="es-MX"/>
        </w:rPr>
      </w:pPr>
      <w:r w:rsidRPr="006419D6">
        <w:rPr>
          <w:color w:val="000000"/>
          <w:shd w:val="clear" w:color="auto" w:fill="FFFFFF"/>
          <w:lang w:val="en-US" w:eastAsia="es-MX"/>
        </w:rPr>
        <w:t xml:space="preserve">7. Mei ML, Chu CH, Low KH, Che CM, Man Lo EC. </w:t>
      </w:r>
      <w:r w:rsidRPr="006419D6">
        <w:rPr>
          <w:color w:val="000000"/>
          <w:lang w:val="en-US" w:eastAsia="es-MX"/>
        </w:rPr>
        <w:t xml:space="preserve">Caries arresting effect of silver diamine fluoride on dentine carious lesion with S. mutans and L. acidophilus dual-species cariogenic biofilm. </w:t>
      </w:r>
      <w:r w:rsidRPr="006419D6">
        <w:rPr>
          <w:color w:val="000000"/>
          <w:lang w:val="pt-BR" w:eastAsia="es-MX"/>
        </w:rPr>
        <w:t>Med Oral Patol Oral Cir Bucal</w:t>
      </w:r>
      <w:r w:rsidRPr="006419D6">
        <w:rPr>
          <w:color w:val="000000"/>
          <w:lang w:val="es-PE" w:eastAsia="es-MX"/>
        </w:rPr>
        <w:t xml:space="preserve">. </w:t>
      </w:r>
      <w:r w:rsidRPr="006419D6">
        <w:rPr>
          <w:color w:val="000000"/>
          <w:lang w:val="pt-BR" w:eastAsia="es-MX"/>
        </w:rPr>
        <w:t xml:space="preserve">2013; </w:t>
      </w:r>
      <w:r w:rsidRPr="006419D6">
        <w:rPr>
          <w:color w:val="000000"/>
          <w:shd w:val="clear" w:color="auto" w:fill="FFFFFF"/>
          <w:lang w:val="pt-BR" w:eastAsia="es-MX"/>
        </w:rPr>
        <w:t xml:space="preserve">18(6): e824– e831. DOI: </w:t>
      </w:r>
      <w:r w:rsidRPr="006419D6">
        <w:rPr>
          <w:lang w:val="es-PE" w:eastAsia="es-MX"/>
        </w:rPr>
        <w:t>10.4317/medoral.18831</w:t>
      </w:r>
    </w:p>
    <w:p w14:paraId="1FF2FCBB" w14:textId="77777777" w:rsidR="006419D6" w:rsidRPr="006419D6" w:rsidRDefault="006419D6" w:rsidP="006419D6">
      <w:pPr>
        <w:spacing w:line="360" w:lineRule="auto"/>
        <w:rPr>
          <w:color w:val="000000"/>
          <w:lang w:val="en-US" w:eastAsia="es-MX"/>
        </w:rPr>
      </w:pPr>
      <w:r w:rsidRPr="006419D6">
        <w:rPr>
          <w:color w:val="000000"/>
          <w:shd w:val="clear" w:color="auto" w:fill="FFFFFF"/>
          <w:lang w:val="en-US" w:eastAsia="es-MX"/>
        </w:rPr>
        <w:t xml:space="preserve">8. </w:t>
      </w:r>
      <w:r w:rsidRPr="006419D6">
        <w:rPr>
          <w:color w:val="000000"/>
          <w:lang w:val="en-US" w:eastAsia="es-MX"/>
        </w:rPr>
        <w:t>Sisay M, Bussa N, Gashaw T, Mengistu G</w:t>
      </w:r>
      <w:r w:rsidRPr="006419D6">
        <w:rPr>
          <w:i/>
          <w:iCs/>
          <w:color w:val="000000"/>
          <w:lang w:val="en-US" w:eastAsia="es-MX"/>
        </w:rPr>
        <w:t>.</w:t>
      </w:r>
      <w:r w:rsidRPr="006419D6">
        <w:rPr>
          <w:color w:val="000000"/>
          <w:lang w:val="en-US" w:eastAsia="es-MX"/>
        </w:rPr>
        <w:t xml:space="preserve"> Investigating In Vitro Antibacterial Activities of Medicinal Plants Having Folkloric Repute in Ethiopian Traditional Medicine. J Evid Based Integr Med. 2019; </w:t>
      </w:r>
      <w:r w:rsidRPr="006419D6">
        <w:rPr>
          <w:color w:val="000000"/>
          <w:shd w:val="clear" w:color="auto" w:fill="FFFFFF"/>
          <w:lang w:val="en-US" w:eastAsia="es-MX"/>
        </w:rPr>
        <w:t xml:space="preserve">24:2515690X19886276. DOI: </w:t>
      </w:r>
      <w:r w:rsidRPr="006419D6">
        <w:rPr>
          <w:lang w:val="en-US" w:eastAsia="es-MX"/>
        </w:rPr>
        <w:t>10.1177/2515690X19886276</w:t>
      </w:r>
    </w:p>
    <w:p w14:paraId="47D65E10" w14:textId="77777777" w:rsidR="006419D6" w:rsidRPr="006419D6" w:rsidRDefault="006419D6" w:rsidP="006419D6">
      <w:pPr>
        <w:spacing w:line="360" w:lineRule="auto"/>
        <w:rPr>
          <w:color w:val="000000"/>
          <w:lang w:val="en-US" w:eastAsia="es-MX"/>
        </w:rPr>
      </w:pPr>
      <w:r w:rsidRPr="006419D6">
        <w:rPr>
          <w:color w:val="000000"/>
          <w:shd w:val="clear" w:color="auto" w:fill="FFFFFF"/>
          <w:lang w:val="en-US" w:eastAsia="es-MX"/>
        </w:rPr>
        <w:t xml:space="preserve">9. </w:t>
      </w:r>
      <w:r w:rsidRPr="006419D6">
        <w:rPr>
          <w:color w:val="000000"/>
          <w:lang w:val="en-US" w:eastAsia="es-MX"/>
        </w:rPr>
        <w:t>Kristoffersen AE, Stub T, Broderstad AR, Hansen AH</w:t>
      </w:r>
      <w:r w:rsidRPr="006419D6">
        <w:rPr>
          <w:i/>
          <w:iCs/>
          <w:color w:val="000000"/>
          <w:lang w:val="en-US" w:eastAsia="es-MX"/>
        </w:rPr>
        <w:t>.</w:t>
      </w:r>
      <w:r w:rsidRPr="006419D6">
        <w:rPr>
          <w:color w:val="000000"/>
          <w:lang w:val="en-US" w:eastAsia="es-MX"/>
        </w:rPr>
        <w:t xml:space="preserve"> Use of traditional and complementary medicine among Norwegian cancer patients in the seventh survey of the Tromsø study. BMC Complement Altern Med. 2019; 19(1):341. DOI:</w:t>
      </w:r>
      <w:r w:rsidRPr="006419D6">
        <w:rPr>
          <w:lang w:val="en-US" w:eastAsia="es-MX"/>
        </w:rPr>
        <w:t xml:space="preserve"> 10.1186/s12906-019-2762-7</w:t>
      </w:r>
    </w:p>
    <w:p w14:paraId="05E35446" w14:textId="77777777" w:rsidR="006419D6" w:rsidRPr="006419D6" w:rsidRDefault="006419D6" w:rsidP="006419D6">
      <w:pPr>
        <w:spacing w:line="360" w:lineRule="auto"/>
        <w:rPr>
          <w:color w:val="000000"/>
          <w:lang w:val="es-PE" w:eastAsia="es-MX"/>
        </w:rPr>
      </w:pPr>
      <w:r w:rsidRPr="006419D6">
        <w:rPr>
          <w:color w:val="000000"/>
          <w:shd w:val="clear" w:color="auto" w:fill="FFFFFF"/>
          <w:lang w:val="en-US" w:eastAsia="es-MX"/>
        </w:rPr>
        <w:t xml:space="preserve">10. </w:t>
      </w:r>
      <w:r w:rsidRPr="006419D6">
        <w:rPr>
          <w:color w:val="000000"/>
          <w:lang w:val="en-US" w:eastAsia="es-MX"/>
        </w:rPr>
        <w:t xml:space="preserve">Heinrich M, Anagnostou S. From Pharmacognosia to DNA Based Medicinal Plant Authentication Pharmacognosy through the Centuries. </w:t>
      </w:r>
      <w:r w:rsidRPr="006419D6">
        <w:rPr>
          <w:color w:val="000000"/>
          <w:lang w:val="es-CU" w:eastAsia="es-MX"/>
        </w:rPr>
        <w:t xml:space="preserve">Planta Med. 2017; </w:t>
      </w:r>
      <w:r w:rsidRPr="006419D6">
        <w:rPr>
          <w:color w:val="000000"/>
          <w:shd w:val="clear" w:color="auto" w:fill="FFFFFF"/>
          <w:lang w:val="es-CU" w:eastAsia="es-MX"/>
        </w:rPr>
        <w:t xml:space="preserve">83(14-15):1110–1116. </w:t>
      </w:r>
      <w:r w:rsidRPr="006419D6">
        <w:rPr>
          <w:color w:val="000000"/>
          <w:shd w:val="clear" w:color="auto" w:fill="FFFFFF"/>
          <w:lang w:val="es-PE" w:eastAsia="es-MX"/>
        </w:rPr>
        <w:t>DOI:</w:t>
      </w:r>
      <w:r w:rsidRPr="006419D6">
        <w:rPr>
          <w:color w:val="0432FF"/>
          <w:shd w:val="clear" w:color="auto" w:fill="FFFFFF"/>
          <w:lang w:val="es-PE" w:eastAsia="es-MX"/>
        </w:rPr>
        <w:t xml:space="preserve"> </w:t>
      </w:r>
      <w:r w:rsidRPr="006419D6">
        <w:rPr>
          <w:lang w:val="es-PE" w:eastAsia="es-MX"/>
        </w:rPr>
        <w:t>10.1055/s-0043-108999</w:t>
      </w:r>
    </w:p>
    <w:p w14:paraId="7D24A757" w14:textId="77777777" w:rsidR="006419D6" w:rsidRPr="006419D6" w:rsidRDefault="006419D6" w:rsidP="006419D6">
      <w:pPr>
        <w:spacing w:line="360" w:lineRule="auto"/>
        <w:rPr>
          <w:color w:val="000000"/>
          <w:lang w:val="es-PE" w:eastAsia="es-MX"/>
        </w:rPr>
      </w:pPr>
      <w:r w:rsidRPr="006419D6">
        <w:rPr>
          <w:color w:val="000000"/>
          <w:shd w:val="clear" w:color="auto" w:fill="FFFFFF"/>
          <w:lang w:val="pt-BR" w:eastAsia="es-MX"/>
        </w:rPr>
        <w:t xml:space="preserve">11. </w:t>
      </w:r>
      <w:r w:rsidRPr="006419D6">
        <w:rPr>
          <w:color w:val="000000"/>
          <w:lang w:val="pt-BR" w:eastAsia="es-MX"/>
        </w:rPr>
        <w:t>Restrepo DA, Saenz E, Jara OA, Calixto IF, Rodríguez S, Zulete P, et al</w:t>
      </w:r>
      <w:r w:rsidRPr="006419D6">
        <w:rPr>
          <w:i/>
          <w:iCs/>
          <w:color w:val="000000"/>
          <w:lang w:val="pt-BR" w:eastAsia="es-MX"/>
        </w:rPr>
        <w:t xml:space="preserve">. </w:t>
      </w:r>
      <w:r w:rsidRPr="006419D6">
        <w:rPr>
          <w:color w:val="000000"/>
          <w:lang w:val="en-US" w:eastAsia="es-MX"/>
        </w:rPr>
        <w:t xml:space="preserve">Erythroxylum in Focus: An Interdisciplinary Review of an Overlooked Genus. </w:t>
      </w:r>
      <w:r w:rsidRPr="006419D6">
        <w:rPr>
          <w:color w:val="000000"/>
          <w:lang w:val="es-PE" w:eastAsia="es-MX"/>
        </w:rPr>
        <w:t xml:space="preserve">Molecules. 2019; </w:t>
      </w:r>
      <w:r w:rsidRPr="006419D6">
        <w:rPr>
          <w:color w:val="000000"/>
          <w:shd w:val="clear" w:color="auto" w:fill="FFFFFF"/>
          <w:lang w:val="es-PE" w:eastAsia="es-MX"/>
        </w:rPr>
        <w:t xml:space="preserve">24(20):3788. DOI: </w:t>
      </w:r>
      <w:r w:rsidRPr="006419D6">
        <w:rPr>
          <w:lang w:val="es-PE" w:eastAsia="es-MX"/>
        </w:rPr>
        <w:t>10.3390/molecules24203788</w:t>
      </w:r>
    </w:p>
    <w:p w14:paraId="0234B15D" w14:textId="77777777" w:rsidR="006419D6" w:rsidRPr="006419D6" w:rsidRDefault="006419D6" w:rsidP="006419D6">
      <w:pPr>
        <w:spacing w:line="360" w:lineRule="auto"/>
        <w:rPr>
          <w:color w:val="000000"/>
          <w:lang w:val="es-PE" w:eastAsia="es-MX"/>
        </w:rPr>
      </w:pPr>
      <w:r w:rsidRPr="006419D6">
        <w:rPr>
          <w:color w:val="000000"/>
          <w:shd w:val="clear" w:color="auto" w:fill="FFFFFF"/>
          <w:lang w:val="es-PE" w:eastAsia="es-MX"/>
        </w:rPr>
        <w:t xml:space="preserve">12. </w:t>
      </w:r>
      <w:r w:rsidRPr="006419D6">
        <w:rPr>
          <w:color w:val="000000"/>
          <w:lang w:val="es-PE" w:eastAsia="es-MX"/>
        </w:rPr>
        <w:t>Gamarra V, Fuertes C, Chávez N, Contreras D, Goya E, Huamantumba K, et al</w:t>
      </w:r>
      <w:r w:rsidRPr="006419D6">
        <w:rPr>
          <w:i/>
          <w:iCs/>
          <w:color w:val="000000"/>
          <w:lang w:val="es-PE" w:eastAsia="es-MX"/>
        </w:rPr>
        <w:t>.</w:t>
      </w:r>
      <w:r w:rsidRPr="006419D6">
        <w:rPr>
          <w:color w:val="000000"/>
          <w:lang w:val="es-PE" w:eastAsia="es-MX"/>
        </w:rPr>
        <w:t xml:space="preserve"> Metabolitos detectados en las hojas de Erythroxylum coca Lam y Erythroxylum novogranatense (Morris) Hieron y evaluación de sus propiedades biológicas mediante bioensayos. </w:t>
      </w:r>
      <w:r w:rsidRPr="006419D6">
        <w:rPr>
          <w:color w:val="000000"/>
          <w:lang w:val="pt-BR" w:eastAsia="es-MX"/>
        </w:rPr>
        <w:t>Rev Peru Med Integrativa</w:t>
      </w:r>
      <w:r w:rsidRPr="006419D6">
        <w:rPr>
          <w:color w:val="000000"/>
          <w:lang w:val="es-PE" w:eastAsia="es-MX"/>
        </w:rPr>
        <w:t xml:space="preserve">. </w:t>
      </w:r>
      <w:r w:rsidRPr="006419D6">
        <w:rPr>
          <w:color w:val="000000"/>
          <w:lang w:val="pt-BR" w:eastAsia="es-MX"/>
        </w:rPr>
        <w:t xml:space="preserve">2017; 2(4):828-34. DOI: </w:t>
      </w:r>
      <w:r w:rsidRPr="006419D6">
        <w:rPr>
          <w:lang w:val="es-PE" w:eastAsia="es-MX"/>
        </w:rPr>
        <w:t>10.26722/rpmi.2017.24.70</w:t>
      </w:r>
    </w:p>
    <w:p w14:paraId="3A8500E5" w14:textId="77777777" w:rsidR="006419D6" w:rsidRPr="006419D6" w:rsidRDefault="006419D6" w:rsidP="006419D6">
      <w:pPr>
        <w:spacing w:line="360" w:lineRule="auto"/>
        <w:rPr>
          <w:color w:val="000000"/>
          <w:lang w:val="en-US" w:eastAsia="es-MX"/>
        </w:rPr>
      </w:pPr>
      <w:r w:rsidRPr="006419D6">
        <w:rPr>
          <w:color w:val="000000"/>
          <w:shd w:val="clear" w:color="auto" w:fill="FFFFFF"/>
          <w:lang w:val="es-PE" w:eastAsia="es-MX"/>
        </w:rPr>
        <w:t xml:space="preserve">13. </w:t>
      </w:r>
      <w:r w:rsidRPr="006419D6">
        <w:rPr>
          <w:color w:val="000000"/>
          <w:lang w:val="es-PE" w:eastAsia="es-MX"/>
        </w:rPr>
        <w:t xml:space="preserve">Scarpetta L. Reconocimiento Fitoquímico y etnobotánico de Erythroxylum coca en la población Nasa del Departamento del Cauca – Colombia. </w:t>
      </w:r>
      <w:r w:rsidRPr="006419D6">
        <w:rPr>
          <w:color w:val="000000"/>
          <w:lang w:val="en-US" w:eastAsia="es-MX"/>
        </w:rPr>
        <w:t xml:space="preserve">Rev Crit Lib Jurid. 2017; 14(1):21‐46. DOI: </w:t>
      </w:r>
      <w:r w:rsidRPr="006419D6">
        <w:rPr>
          <w:lang w:val="en-US" w:eastAsia="es-MX"/>
        </w:rPr>
        <w:t>10.18041/1794-7200/criteriojuridico.2017.v14n1.1601</w:t>
      </w:r>
    </w:p>
    <w:p w14:paraId="1B802F4E" w14:textId="77777777" w:rsidR="006419D6" w:rsidRPr="006419D6" w:rsidRDefault="006419D6" w:rsidP="006419D6">
      <w:pPr>
        <w:spacing w:line="360" w:lineRule="auto"/>
        <w:rPr>
          <w:color w:val="000000"/>
          <w:shd w:val="clear" w:color="auto" w:fill="FFFFFF"/>
          <w:lang w:val="pt-BR" w:eastAsia="es-MX"/>
        </w:rPr>
      </w:pPr>
      <w:r w:rsidRPr="006419D6">
        <w:rPr>
          <w:color w:val="000000"/>
          <w:lang w:val="en-US" w:eastAsia="es-MX"/>
        </w:rPr>
        <w:lastRenderedPageBreak/>
        <w:t>14. Harun M, Ramadhany S, Suryajaya F. Streptococcus Colonial Growth of Dental Plaque Inhibition Using Flavonoid Extract of Ants Nest (</w:t>
      </w:r>
      <w:r w:rsidRPr="006419D6">
        <w:rPr>
          <w:iCs/>
          <w:color w:val="000000"/>
          <w:lang w:val="en-US" w:eastAsia="es-MX"/>
        </w:rPr>
        <w:t>Myrmecodia pendans</w:t>
      </w:r>
      <w:r w:rsidRPr="006419D6">
        <w:rPr>
          <w:color w:val="000000"/>
          <w:lang w:val="en-US" w:eastAsia="es-MX"/>
        </w:rPr>
        <w:t xml:space="preserve">): An in Vitro Study. </w:t>
      </w:r>
      <w:r w:rsidRPr="006419D6">
        <w:rPr>
          <w:color w:val="000000"/>
          <w:lang w:val="pt-BR" w:eastAsia="es-MX"/>
        </w:rPr>
        <w:t xml:space="preserve">Pesqui. Bras. Odontopediatría Clín Integr. 2019; 19:e4250. DOI: </w:t>
      </w:r>
      <w:r w:rsidRPr="006419D6">
        <w:rPr>
          <w:lang w:val="en-US" w:eastAsia="es-MX"/>
        </w:rPr>
        <w:t>10.4034/pboci.2019.191.19</w:t>
      </w:r>
    </w:p>
    <w:p w14:paraId="1FA39336" w14:textId="77777777" w:rsidR="006419D6" w:rsidRPr="006419D6" w:rsidRDefault="006419D6" w:rsidP="006419D6">
      <w:pPr>
        <w:spacing w:line="360" w:lineRule="auto"/>
        <w:rPr>
          <w:color w:val="000000"/>
          <w:lang w:val="en-US" w:eastAsia="es-MX"/>
        </w:rPr>
      </w:pPr>
      <w:r w:rsidRPr="006419D6">
        <w:rPr>
          <w:color w:val="000000"/>
          <w:lang w:val="en-US" w:eastAsia="es-MX"/>
        </w:rPr>
        <w:t xml:space="preserve">15. Biondich A, Joslin J. Coca: High Altitude Remedy of the Ancient Incas. Wilderness Environ Med. 2015; </w:t>
      </w:r>
      <w:r w:rsidRPr="006419D6">
        <w:rPr>
          <w:color w:val="000000"/>
          <w:shd w:val="clear" w:color="auto" w:fill="FFFFFF"/>
          <w:lang w:val="en-US" w:eastAsia="es-MX"/>
        </w:rPr>
        <w:t xml:space="preserve">26(4):567–571. DOI: </w:t>
      </w:r>
      <w:r w:rsidRPr="006419D6">
        <w:rPr>
          <w:lang w:val="en-US" w:eastAsia="es-MX"/>
        </w:rPr>
        <w:t>10.1016/j.wem.2015.07.006</w:t>
      </w:r>
    </w:p>
    <w:p w14:paraId="61534A38" w14:textId="77777777" w:rsidR="006419D6" w:rsidRPr="006419D6" w:rsidRDefault="006419D6" w:rsidP="006419D6">
      <w:pPr>
        <w:spacing w:line="360" w:lineRule="auto"/>
        <w:rPr>
          <w:color w:val="000000"/>
          <w:u w:val="single"/>
          <w:lang w:val="en-US" w:eastAsia="es-MX"/>
        </w:rPr>
      </w:pPr>
      <w:r w:rsidRPr="006419D6">
        <w:rPr>
          <w:color w:val="000000"/>
          <w:lang w:val="en-US" w:eastAsia="es-MX"/>
        </w:rPr>
        <w:t xml:space="preserve">16. Weil A. The therapeutic value of coca in contemporary medicine. J Ethnopharmacol. 1981; </w:t>
      </w:r>
      <w:r w:rsidRPr="006419D6">
        <w:rPr>
          <w:color w:val="000000"/>
          <w:shd w:val="clear" w:color="auto" w:fill="FFFFFF"/>
          <w:lang w:val="en-US" w:eastAsia="es-MX"/>
        </w:rPr>
        <w:t>3(2-3):367–376. DOI:</w:t>
      </w:r>
      <w:r w:rsidRPr="006419D6">
        <w:rPr>
          <w:color w:val="212121"/>
          <w:shd w:val="clear" w:color="auto" w:fill="FFFFFF"/>
          <w:lang w:val="en-US" w:eastAsia="es-MX"/>
        </w:rPr>
        <w:t xml:space="preserve"> </w:t>
      </w:r>
      <w:r w:rsidRPr="006419D6">
        <w:rPr>
          <w:lang w:val="en-US" w:eastAsia="es-MX"/>
        </w:rPr>
        <w:t>10.1016/0378-8741(81)90064-7</w:t>
      </w:r>
    </w:p>
    <w:p w14:paraId="53532ABF" w14:textId="77777777" w:rsidR="006419D6" w:rsidRPr="006419D6" w:rsidRDefault="006419D6" w:rsidP="006419D6">
      <w:pPr>
        <w:spacing w:line="360" w:lineRule="auto"/>
        <w:rPr>
          <w:color w:val="0000FF"/>
          <w:u w:val="single"/>
          <w:lang w:val="en-US" w:eastAsia="es-MX"/>
        </w:rPr>
      </w:pPr>
      <w:r w:rsidRPr="006419D6">
        <w:rPr>
          <w:color w:val="000000"/>
          <w:lang w:val="en-US" w:eastAsia="es-MX"/>
        </w:rPr>
        <w:t xml:space="preserve">17. Loyola D, Mendoza R, Chiong L, Rueda M, Alvítez-Temoche D, Gallo W. Ethanol extract of Schinus molle L. (Molle) and Erythroxylum coca Lam (Coca): Antibacterial Properties at Different Concentrations against Streptococcus mutans: An In Vitro Study. J Int Soc Prev Community Dent. 2020; 10(5):579-584. DOI: </w:t>
      </w:r>
      <w:r w:rsidRPr="006419D6">
        <w:rPr>
          <w:lang w:val="en-US" w:eastAsia="es-MX"/>
        </w:rPr>
        <w:t>10.4103/jispcd.JISPCD_237_20</w:t>
      </w:r>
    </w:p>
    <w:p w14:paraId="389BCA83" w14:textId="77777777" w:rsidR="006419D6" w:rsidRPr="006419D6" w:rsidRDefault="006419D6" w:rsidP="006419D6">
      <w:pPr>
        <w:spacing w:line="360" w:lineRule="auto"/>
        <w:rPr>
          <w:lang w:val="en-US" w:eastAsia="es-MX"/>
        </w:rPr>
      </w:pPr>
      <w:r w:rsidRPr="006419D6">
        <w:rPr>
          <w:color w:val="000000"/>
          <w:lang w:val="en-US" w:eastAsia="es-MX"/>
        </w:rPr>
        <w:t>18. Salman HA, Venkatesh S, Senthilkumar R, Gnanesh Kumar BS, Ali AM. Determination of antibacterial activity and metabolite profile of Ruta graveolens against Streptococcus mutans and Streptococcus sobrinus. J Lab Physicians. 2018; 10(3):320-325. DOI:</w:t>
      </w:r>
      <w:r w:rsidRPr="006419D6">
        <w:rPr>
          <w:color w:val="FF0000"/>
          <w:lang w:val="en-US" w:eastAsia="es-MX"/>
        </w:rPr>
        <w:t xml:space="preserve"> </w:t>
      </w:r>
      <w:r w:rsidRPr="006419D6">
        <w:rPr>
          <w:lang w:val="en-US" w:eastAsia="es-MX"/>
        </w:rPr>
        <w:t>10.4103/JLP.JLP_160_17</w:t>
      </w:r>
    </w:p>
    <w:p w14:paraId="4BB4D75C" w14:textId="77777777" w:rsidR="006419D6" w:rsidRPr="006419D6" w:rsidRDefault="006419D6" w:rsidP="006419D6">
      <w:pPr>
        <w:spacing w:line="360" w:lineRule="auto"/>
        <w:rPr>
          <w:lang w:val="es-PE" w:eastAsia="es-MX"/>
        </w:rPr>
      </w:pPr>
      <w:r w:rsidRPr="006419D6">
        <w:rPr>
          <w:color w:val="000000"/>
          <w:lang w:val="en-US" w:eastAsia="es-MX"/>
        </w:rPr>
        <w:t xml:space="preserve">19. </w:t>
      </w:r>
      <w:r w:rsidRPr="006419D6">
        <w:rPr>
          <w:color w:val="000000"/>
          <w:shd w:val="clear" w:color="auto" w:fill="FFFFFF"/>
          <w:lang w:val="en-US" w:eastAsia="es-MX"/>
        </w:rPr>
        <w:t xml:space="preserve">Karadağlıoğlu Öİ, Ulusoy N, Başer KHC, Hanoğlu A, Şık İ. Antibacterial Activities of Herbal Toothpastes Combined with Essential Oils against Streptococcus mutans. </w:t>
      </w:r>
      <w:r w:rsidRPr="006419D6">
        <w:rPr>
          <w:color w:val="000000"/>
          <w:shd w:val="clear" w:color="auto" w:fill="FFFFFF"/>
          <w:lang w:val="es-PE" w:eastAsia="es-MX"/>
        </w:rPr>
        <w:t>Pathogens. 2019; 8(1):20. DOI:</w:t>
      </w:r>
      <w:r w:rsidRPr="006419D6">
        <w:rPr>
          <w:lang w:val="es-PE" w:eastAsia="es-MX"/>
        </w:rPr>
        <w:t xml:space="preserve"> 10.3390/pathogens8010020</w:t>
      </w:r>
    </w:p>
    <w:p w14:paraId="73B6C11B" w14:textId="77777777" w:rsidR="006419D6" w:rsidRPr="006419D6" w:rsidRDefault="006419D6" w:rsidP="006419D6">
      <w:pPr>
        <w:spacing w:line="360" w:lineRule="auto"/>
        <w:rPr>
          <w:lang w:val="es-PE" w:eastAsia="es-MX"/>
        </w:rPr>
      </w:pPr>
      <w:r w:rsidRPr="006419D6">
        <w:rPr>
          <w:color w:val="000000"/>
          <w:lang w:val="es-PE" w:eastAsia="es-MX"/>
        </w:rPr>
        <w:t xml:space="preserve">20. Enciso S. Actividad antibacteriana del extracto de </w:t>
      </w:r>
      <w:r w:rsidRPr="006419D6">
        <w:rPr>
          <w:iCs/>
          <w:color w:val="000000"/>
          <w:lang w:val="es-PE" w:eastAsia="es-MX"/>
        </w:rPr>
        <w:t>Solanum tuberosum</w:t>
      </w:r>
      <w:r w:rsidRPr="006419D6">
        <w:rPr>
          <w:color w:val="000000"/>
          <w:lang w:val="es-PE" w:eastAsia="es-MX"/>
        </w:rPr>
        <w:t xml:space="preserve"> “Tocosh” y Clorhexidina al 0.12% sobre cepas de </w:t>
      </w:r>
      <w:r w:rsidRPr="006419D6">
        <w:rPr>
          <w:iCs/>
          <w:color w:val="000000"/>
          <w:lang w:val="es-PE" w:eastAsia="es-MX"/>
        </w:rPr>
        <w:t>Streptococcus mutans</w:t>
      </w:r>
      <w:r w:rsidRPr="006419D6">
        <w:rPr>
          <w:color w:val="000000"/>
          <w:lang w:val="es-PE" w:eastAsia="es-MX"/>
        </w:rPr>
        <w:t xml:space="preserve"> ATCC 25175. In vitro [Tesis de título de Cirujano Dentista]. Lima: Universidad Nacional Federico Villareal, Facultad de Odontología; 2019. </w:t>
      </w:r>
      <w:r w:rsidRPr="006419D6">
        <w:rPr>
          <w:color w:val="000000"/>
          <w:lang w:val="es-MX" w:eastAsia="es-MX"/>
        </w:rPr>
        <w:t>[acceso: 10/04/2020]. Disponible en:</w:t>
      </w:r>
      <w:r w:rsidRPr="006419D6">
        <w:rPr>
          <w:lang w:val="es-MX" w:eastAsia="es-MX"/>
        </w:rPr>
        <w:t xml:space="preserve"> </w:t>
      </w:r>
      <w:r w:rsidRPr="006419D6">
        <w:rPr>
          <w:lang w:val="es-PE" w:eastAsia="es-MX"/>
        </w:rPr>
        <w:t>http://repositorio.unfv.edu.pe/handle/UNFV/3949</w:t>
      </w:r>
    </w:p>
    <w:p w14:paraId="451B1D19" w14:textId="77777777" w:rsidR="006419D6" w:rsidRPr="006419D6" w:rsidRDefault="006419D6" w:rsidP="006419D6">
      <w:pPr>
        <w:spacing w:line="360" w:lineRule="auto"/>
        <w:rPr>
          <w:lang w:val="es-MX" w:eastAsia="es-MX"/>
        </w:rPr>
      </w:pPr>
      <w:r w:rsidRPr="006419D6">
        <w:rPr>
          <w:color w:val="000000"/>
          <w:lang w:val="es-PE" w:eastAsia="es-MX"/>
        </w:rPr>
        <w:t xml:space="preserve">21. Castro M. Evaluación in vitro de la actividad antibacteriana y citotoxicidad de </w:t>
      </w:r>
      <w:r w:rsidRPr="006419D6">
        <w:rPr>
          <w:iCs/>
          <w:color w:val="000000"/>
          <w:lang w:val="es-PE" w:eastAsia="es-MX"/>
        </w:rPr>
        <w:t>Caesalpinia spinosa</w:t>
      </w:r>
      <w:r w:rsidRPr="006419D6">
        <w:rPr>
          <w:color w:val="000000"/>
          <w:lang w:val="es-PE" w:eastAsia="es-MX"/>
        </w:rPr>
        <w:t xml:space="preserve"> (Molina) Kuntze “TARA” frente a </w:t>
      </w:r>
      <w:r w:rsidRPr="006419D6">
        <w:rPr>
          <w:iCs/>
          <w:color w:val="000000"/>
          <w:lang w:val="es-PE" w:eastAsia="es-MX"/>
        </w:rPr>
        <w:t>Streptococcus mutans</w:t>
      </w:r>
      <w:r w:rsidRPr="006419D6">
        <w:rPr>
          <w:color w:val="000000"/>
          <w:lang w:val="es-PE" w:eastAsia="es-MX"/>
        </w:rPr>
        <w:t xml:space="preserve"> (ATCC 25175) y </w:t>
      </w:r>
      <w:r w:rsidRPr="006419D6">
        <w:rPr>
          <w:iCs/>
          <w:color w:val="000000"/>
          <w:lang w:val="es-PE" w:eastAsia="es-MX"/>
        </w:rPr>
        <w:t>Streptococcus sanguinis</w:t>
      </w:r>
      <w:r w:rsidRPr="006419D6">
        <w:rPr>
          <w:color w:val="000000"/>
          <w:lang w:val="es-PE" w:eastAsia="es-MX"/>
        </w:rPr>
        <w:t xml:space="preserve"> (ATCC 10556) [Tesis de maestría]. Lima: Universidad Peruana Cayetano Heredia, Facultad de Estomatología; 2017. </w:t>
      </w:r>
      <w:r w:rsidRPr="006419D6">
        <w:rPr>
          <w:color w:val="000000"/>
          <w:lang w:val="es-MX" w:eastAsia="es-MX"/>
        </w:rPr>
        <w:t>[acceso: 10/04/2020]. Disponible en:</w:t>
      </w:r>
      <w:r w:rsidRPr="006419D6">
        <w:rPr>
          <w:lang w:val="es-MX" w:eastAsia="es-MX"/>
        </w:rPr>
        <w:t xml:space="preserve"> </w:t>
      </w:r>
      <w:hyperlink r:id="rId16" w:history="1">
        <w:r w:rsidRPr="006419D6">
          <w:rPr>
            <w:color w:val="0432FF"/>
            <w:lang w:val="es-PE" w:eastAsia="es-MX"/>
          </w:rPr>
          <w:t>https://hdl.handle.net/20.500.12866/5973</w:t>
        </w:r>
      </w:hyperlink>
    </w:p>
    <w:p w14:paraId="3C381E53" w14:textId="77777777" w:rsidR="006419D6" w:rsidRPr="006419D6" w:rsidRDefault="006419D6" w:rsidP="006419D6">
      <w:pPr>
        <w:spacing w:line="360" w:lineRule="auto"/>
        <w:rPr>
          <w:color w:val="000000"/>
          <w:lang w:val="en-US" w:eastAsia="es-MX"/>
        </w:rPr>
      </w:pPr>
      <w:r w:rsidRPr="006419D6">
        <w:rPr>
          <w:color w:val="000000"/>
          <w:shd w:val="clear" w:color="auto" w:fill="FFFFFF"/>
          <w:lang w:val="en-US" w:eastAsia="es-MX"/>
        </w:rPr>
        <w:t xml:space="preserve">22. </w:t>
      </w:r>
      <w:r w:rsidRPr="006419D6">
        <w:rPr>
          <w:color w:val="000000"/>
          <w:lang w:val="en-US" w:eastAsia="es-MX"/>
        </w:rPr>
        <w:t xml:space="preserve">Nassar H, Gregory R. Biofilm sensitivity of seven Streptococcus mutans strains to different fluoride levels. </w:t>
      </w:r>
      <w:hyperlink r:id="rId17" w:history="1">
        <w:r w:rsidRPr="006419D6">
          <w:rPr>
            <w:color w:val="000000"/>
            <w:shd w:val="clear" w:color="auto" w:fill="FFFFFF"/>
            <w:lang w:val="en-US" w:eastAsia="es-MX"/>
          </w:rPr>
          <w:t>J Oral Microbiol</w:t>
        </w:r>
      </w:hyperlink>
      <w:r w:rsidRPr="006419D6">
        <w:rPr>
          <w:color w:val="000000"/>
          <w:lang w:val="en-US" w:eastAsia="es-MX"/>
        </w:rPr>
        <w:t xml:space="preserve">. 2017; </w:t>
      </w:r>
      <w:r w:rsidRPr="006419D6">
        <w:rPr>
          <w:color w:val="000000"/>
          <w:shd w:val="clear" w:color="auto" w:fill="FFFFFF"/>
          <w:lang w:val="en-US" w:eastAsia="es-MX"/>
        </w:rPr>
        <w:t xml:space="preserve">9(1):1328265. DOI: </w:t>
      </w:r>
      <w:r w:rsidRPr="006419D6">
        <w:rPr>
          <w:lang w:val="en-US" w:eastAsia="es-MX"/>
        </w:rPr>
        <w:t>10.1080/20002297.2017.1328265</w:t>
      </w:r>
    </w:p>
    <w:p w14:paraId="4FF0329D" w14:textId="77777777" w:rsidR="006419D6" w:rsidRPr="006419D6" w:rsidRDefault="006419D6" w:rsidP="006419D6">
      <w:pPr>
        <w:spacing w:line="360" w:lineRule="auto"/>
        <w:rPr>
          <w:color w:val="000000"/>
          <w:lang w:val="en-US" w:eastAsia="es-MX"/>
        </w:rPr>
      </w:pPr>
      <w:r w:rsidRPr="006419D6">
        <w:rPr>
          <w:color w:val="000000"/>
          <w:shd w:val="clear" w:color="auto" w:fill="FFFFFF"/>
          <w:lang w:val="en-US" w:eastAsia="es-MX"/>
        </w:rPr>
        <w:lastRenderedPageBreak/>
        <w:t xml:space="preserve">23. </w:t>
      </w:r>
      <w:r w:rsidRPr="006419D6">
        <w:rPr>
          <w:color w:val="000000"/>
          <w:lang w:val="en-US" w:eastAsia="es-MX"/>
        </w:rPr>
        <w:t xml:space="preserve">Kim YH, Lee SY. Identification of non-streptococcal organisms from human dental plaque grown on the Streptococcus-selective medium mitis-salivarius agar. </w:t>
      </w:r>
      <w:r w:rsidRPr="006419D6">
        <w:rPr>
          <w:color w:val="000000"/>
          <w:shd w:val="clear" w:color="auto" w:fill="FFFFFF"/>
          <w:lang w:val="en-US" w:eastAsia="es-MX"/>
        </w:rPr>
        <w:t>Arch Oral Biol</w:t>
      </w:r>
      <w:r w:rsidRPr="006419D6">
        <w:rPr>
          <w:color w:val="000000"/>
          <w:lang w:val="en-US" w:eastAsia="es-MX"/>
        </w:rPr>
        <w:t xml:space="preserve">. 2015; </w:t>
      </w:r>
      <w:r w:rsidRPr="006419D6">
        <w:rPr>
          <w:color w:val="000000"/>
          <w:shd w:val="clear" w:color="auto" w:fill="FFFFFF"/>
          <w:lang w:val="en-US" w:eastAsia="es-MX"/>
        </w:rPr>
        <w:t>60(2):267–271.</w:t>
      </w:r>
      <w:r w:rsidRPr="006419D6">
        <w:rPr>
          <w:color w:val="000000"/>
          <w:lang w:val="en-US" w:eastAsia="es-MX"/>
        </w:rPr>
        <w:t xml:space="preserve">DOI: </w:t>
      </w:r>
      <w:r w:rsidRPr="006419D6">
        <w:rPr>
          <w:lang w:val="en-US" w:eastAsia="es-MX"/>
        </w:rPr>
        <w:t>10.1016/j.archoralbio.2014.11.002</w:t>
      </w:r>
    </w:p>
    <w:p w14:paraId="4CD2906B" w14:textId="77777777" w:rsidR="006419D6" w:rsidRPr="006419D6" w:rsidRDefault="006419D6" w:rsidP="006419D6">
      <w:pPr>
        <w:spacing w:line="360" w:lineRule="auto"/>
        <w:rPr>
          <w:color w:val="000000"/>
          <w:lang w:val="en-US" w:eastAsia="es-MX"/>
        </w:rPr>
      </w:pPr>
      <w:r w:rsidRPr="006419D6">
        <w:rPr>
          <w:color w:val="000000"/>
          <w:shd w:val="clear" w:color="auto" w:fill="FFFFFF"/>
          <w:lang w:val="en-US" w:eastAsia="es-MX"/>
        </w:rPr>
        <w:t xml:space="preserve">24. </w:t>
      </w:r>
      <w:r w:rsidRPr="006419D6">
        <w:rPr>
          <w:color w:val="000000"/>
          <w:lang w:val="en-US" w:eastAsia="es-MX"/>
        </w:rPr>
        <w:t xml:space="preserve">Yoo HJ, Jwa SK. Inhibitory effects of β-caryophyllene on </w:t>
      </w:r>
      <w:r w:rsidRPr="006419D6">
        <w:rPr>
          <w:iCs/>
          <w:color w:val="000000"/>
          <w:lang w:val="en-US" w:eastAsia="es-MX"/>
        </w:rPr>
        <w:t>Streptococcus mutans</w:t>
      </w:r>
      <w:r w:rsidRPr="006419D6">
        <w:rPr>
          <w:color w:val="000000"/>
          <w:lang w:val="en-US" w:eastAsia="es-MX"/>
        </w:rPr>
        <w:t xml:space="preserve"> biofilm. </w:t>
      </w:r>
      <w:r w:rsidRPr="006419D6">
        <w:rPr>
          <w:color w:val="000000"/>
          <w:shd w:val="clear" w:color="auto" w:fill="FFFFFF"/>
          <w:lang w:val="en-US" w:eastAsia="es-MX"/>
        </w:rPr>
        <w:t>Arch Oral Biol</w:t>
      </w:r>
      <w:r w:rsidRPr="006419D6">
        <w:rPr>
          <w:color w:val="000000"/>
          <w:lang w:val="en-US" w:eastAsia="es-MX"/>
        </w:rPr>
        <w:t xml:space="preserve">. 2018; </w:t>
      </w:r>
      <w:r w:rsidRPr="006419D6">
        <w:rPr>
          <w:color w:val="000000"/>
          <w:shd w:val="clear" w:color="auto" w:fill="FFFFFF"/>
          <w:lang w:val="en-US" w:eastAsia="es-MX"/>
        </w:rPr>
        <w:t>88:4246.</w:t>
      </w:r>
      <w:r w:rsidRPr="006419D6">
        <w:rPr>
          <w:color w:val="000000"/>
          <w:lang w:val="en-US" w:eastAsia="es-MX"/>
        </w:rPr>
        <w:t xml:space="preserve"> DOI: </w:t>
      </w:r>
      <w:r w:rsidRPr="006419D6">
        <w:rPr>
          <w:lang w:val="en-US" w:eastAsia="es-MX"/>
        </w:rPr>
        <w:t>10.1016/j.archoralbio.2018.01.009</w:t>
      </w:r>
    </w:p>
    <w:p w14:paraId="44FB3B7A" w14:textId="77777777" w:rsidR="006419D6" w:rsidRPr="006419D6" w:rsidRDefault="006419D6" w:rsidP="006419D6">
      <w:pPr>
        <w:spacing w:line="360" w:lineRule="auto"/>
        <w:rPr>
          <w:color w:val="000000"/>
          <w:u w:val="single"/>
          <w:lang w:val="es-CU" w:eastAsia="es-MX"/>
        </w:rPr>
      </w:pPr>
      <w:r w:rsidRPr="006419D6">
        <w:rPr>
          <w:color w:val="000000"/>
          <w:shd w:val="clear" w:color="auto" w:fill="FFFFFF"/>
          <w:lang w:val="en-US" w:eastAsia="es-MX"/>
        </w:rPr>
        <w:t xml:space="preserve">25. </w:t>
      </w:r>
      <w:r w:rsidRPr="006419D6">
        <w:rPr>
          <w:color w:val="000000"/>
          <w:lang w:val="en-US" w:eastAsia="es-MX"/>
        </w:rPr>
        <w:t xml:space="preserve">Patrzalek M, Kosecka M, Lisowska K, Trela M, Kot M, Kot M, et al. Preliminary evaluation of application of a 3-dimensional network structure of siloxanes Dergall preparation on chick embryo development and microbiological status of eggshells. </w:t>
      </w:r>
      <w:r w:rsidRPr="006419D6">
        <w:rPr>
          <w:color w:val="000000"/>
          <w:lang w:val="es-CU" w:eastAsia="es-MX"/>
        </w:rPr>
        <w:t>Poultry Science. 2020; 99(3):1581-1590. DOI:</w:t>
      </w:r>
      <w:r w:rsidRPr="006419D6">
        <w:rPr>
          <w:lang w:val="es-CU" w:eastAsia="es-MX"/>
        </w:rPr>
        <w:t xml:space="preserve"> 10.1016/j.psj.2019.10.079</w:t>
      </w:r>
    </w:p>
    <w:p w14:paraId="752592A8" w14:textId="77777777" w:rsidR="006419D6" w:rsidRPr="006419D6" w:rsidRDefault="006419D6" w:rsidP="006419D6">
      <w:pPr>
        <w:spacing w:line="360" w:lineRule="auto"/>
        <w:rPr>
          <w:color w:val="000000"/>
          <w:u w:val="single"/>
          <w:lang w:val="es-CU" w:eastAsia="es-MX"/>
        </w:rPr>
      </w:pPr>
      <w:r w:rsidRPr="006419D6">
        <w:rPr>
          <w:color w:val="000000"/>
          <w:lang w:val="es-PE" w:eastAsia="es-MX"/>
        </w:rPr>
        <w:t>26. Salcedo MR. Comparación del efecto antibacteriano del extracto etanólico del Erythroxylum novogranatense  var. Truxillense y Erythroxylum coca var coca frente al Streptococcus mutans [Tesis de título de Cirujano Dentista]. Lima: Universidad Nacional Mayor de San Marcos, Facultad de Odontología; 2018.</w:t>
      </w:r>
      <w:r w:rsidRPr="006419D6">
        <w:rPr>
          <w:color w:val="000000"/>
          <w:lang w:val="es-MX" w:eastAsia="es-MX"/>
        </w:rPr>
        <w:t xml:space="preserve"> [acceso: 10/04/2020]. Disponible en: </w:t>
      </w:r>
      <w:r w:rsidRPr="006419D6">
        <w:rPr>
          <w:color w:val="000000"/>
          <w:lang w:val="es-PE" w:eastAsia="es-MX"/>
        </w:rPr>
        <w:br/>
      </w:r>
      <w:r w:rsidRPr="006419D6">
        <w:rPr>
          <w:color w:val="0432FF"/>
          <w:shd w:val="clear" w:color="auto" w:fill="FFFFFF"/>
          <w:lang w:val="es-PE" w:eastAsia="es-MX"/>
        </w:rPr>
        <w:t>https://hdl.handle.net/20.500.12672/9308</w:t>
      </w:r>
    </w:p>
    <w:p w14:paraId="3D7820FB" w14:textId="77777777" w:rsidR="006419D6" w:rsidRPr="006419D6" w:rsidRDefault="006419D6" w:rsidP="006419D6">
      <w:pPr>
        <w:spacing w:line="360" w:lineRule="auto"/>
        <w:rPr>
          <w:color w:val="0000FF"/>
          <w:u w:val="single"/>
          <w:shd w:val="clear" w:color="auto" w:fill="FFFFFF"/>
          <w:lang w:val="pt-BR" w:eastAsia="es-MX"/>
        </w:rPr>
      </w:pPr>
      <w:r w:rsidRPr="006419D6">
        <w:rPr>
          <w:color w:val="000000"/>
          <w:lang w:val="es-PE" w:eastAsia="es-MX"/>
        </w:rPr>
        <w:t xml:space="preserve">27. Alvarado V, Moromi H. Plantas medicinales: Efecto antibacteriano </w:t>
      </w:r>
      <w:r w:rsidRPr="006419D6">
        <w:rPr>
          <w:i/>
          <w:iCs/>
          <w:color w:val="000000"/>
          <w:lang w:val="es-PE" w:eastAsia="es-MX"/>
        </w:rPr>
        <w:t>in vitro</w:t>
      </w:r>
      <w:r w:rsidRPr="006419D6">
        <w:rPr>
          <w:color w:val="000000"/>
          <w:lang w:val="es-PE" w:eastAsia="es-MX"/>
        </w:rPr>
        <w:t xml:space="preserve"> de Plantago major L, Erythroxylum novogranatense Plowman var truxillense y Camellia sinensis sobre bacterias de importancia estomatológica. </w:t>
      </w:r>
      <w:r w:rsidRPr="006419D6">
        <w:rPr>
          <w:color w:val="000000"/>
          <w:lang w:val="pt-BR" w:eastAsia="es-MX"/>
        </w:rPr>
        <w:t>Odontol Sanmarquina</w:t>
      </w:r>
      <w:r w:rsidRPr="006419D6">
        <w:rPr>
          <w:color w:val="000000"/>
          <w:lang w:val="es-PE" w:eastAsia="es-MX"/>
        </w:rPr>
        <w:t xml:space="preserve">. </w:t>
      </w:r>
      <w:r w:rsidRPr="006419D6">
        <w:rPr>
          <w:color w:val="000000"/>
          <w:lang w:val="pt-BR" w:eastAsia="es-MX"/>
        </w:rPr>
        <w:t xml:space="preserve">2010; 13(2):21-25. DOI: </w:t>
      </w:r>
      <w:r w:rsidRPr="006419D6">
        <w:rPr>
          <w:lang w:val="es-PE" w:eastAsia="es-MX"/>
        </w:rPr>
        <w:t>10.15381/os.v13i2.2853</w:t>
      </w:r>
    </w:p>
    <w:p w14:paraId="44961107" w14:textId="77777777" w:rsidR="006419D6" w:rsidRPr="006419D6" w:rsidRDefault="006419D6" w:rsidP="006419D6">
      <w:pPr>
        <w:spacing w:line="360" w:lineRule="auto"/>
        <w:rPr>
          <w:color w:val="000000"/>
          <w:lang w:val="es-PE" w:eastAsia="es-MX"/>
        </w:rPr>
      </w:pPr>
      <w:r w:rsidRPr="006419D6">
        <w:rPr>
          <w:color w:val="000000"/>
          <w:shd w:val="clear" w:color="auto" w:fill="FFFFFF"/>
          <w:lang w:val="pt-BR" w:eastAsia="es-MX"/>
        </w:rPr>
        <w:t xml:space="preserve">28. Luna-Vílchez M, Díaz-Vélez C, Baca-Dejo F. </w:t>
      </w:r>
      <w:r w:rsidRPr="006419D6">
        <w:rPr>
          <w:color w:val="000000"/>
          <w:lang w:val="es-PE" w:eastAsia="es-MX"/>
        </w:rPr>
        <w:t xml:space="preserve">Efecto del extracto acuoso, ácido y alcohólico de las hojas secas de Erythroxylum coca var coca (coca) en Trichophyton rubrum, Trichophyton mentagrophytes, Microsporum canis y Candida albicans in vitro. Horiz Med. 2017 </w:t>
      </w:r>
      <w:r w:rsidRPr="006419D6">
        <w:rPr>
          <w:color w:val="000000"/>
          <w:lang w:val="es-MX" w:eastAsia="es-MX"/>
        </w:rPr>
        <w:t>[acceso: 16/03/2022]</w:t>
      </w:r>
      <w:r w:rsidRPr="006419D6">
        <w:rPr>
          <w:color w:val="000000"/>
          <w:lang w:val="es-PE" w:eastAsia="es-MX"/>
        </w:rPr>
        <w:t xml:space="preserve">; 17(1):25-30. Disponible en: </w:t>
      </w:r>
      <w:hyperlink r:id="rId18" w:history="1">
        <w:r w:rsidRPr="006419D6">
          <w:rPr>
            <w:color w:val="0432FF"/>
            <w:lang w:val="es-PE" w:eastAsia="es-MX"/>
          </w:rPr>
          <w:t>http://www.scielo.org.pe/pdf/hm/v17n1/a05v17n1.pdf</w:t>
        </w:r>
      </w:hyperlink>
    </w:p>
    <w:p w14:paraId="4C181D32" w14:textId="77777777" w:rsidR="006419D6" w:rsidRPr="006419D6" w:rsidRDefault="006419D6" w:rsidP="006419D6">
      <w:pPr>
        <w:spacing w:line="360" w:lineRule="auto"/>
        <w:rPr>
          <w:b/>
          <w:bCs/>
          <w:lang w:val="pt-BR" w:eastAsia="es-MX"/>
        </w:rPr>
      </w:pPr>
    </w:p>
    <w:p w14:paraId="5424F755" w14:textId="77777777" w:rsidR="006419D6" w:rsidRPr="006419D6" w:rsidRDefault="006419D6" w:rsidP="006419D6">
      <w:pPr>
        <w:spacing w:line="360" w:lineRule="auto"/>
        <w:rPr>
          <w:b/>
          <w:bCs/>
          <w:lang w:val="pt-BR" w:eastAsia="es-MX"/>
        </w:rPr>
      </w:pPr>
    </w:p>
    <w:p w14:paraId="29314E7F" w14:textId="77777777" w:rsidR="006419D6" w:rsidRPr="006419D6" w:rsidRDefault="006419D6" w:rsidP="006419D6">
      <w:pPr>
        <w:spacing w:line="360" w:lineRule="auto"/>
        <w:jc w:val="center"/>
        <w:rPr>
          <w:b/>
          <w:bCs/>
          <w:lang w:val="pt-BR" w:eastAsia="es-MX"/>
        </w:rPr>
      </w:pPr>
      <w:r w:rsidRPr="006419D6">
        <w:rPr>
          <w:b/>
          <w:bCs/>
          <w:lang w:val="pt-BR" w:eastAsia="es-MX"/>
        </w:rPr>
        <w:t>Conflictos de interés</w:t>
      </w:r>
    </w:p>
    <w:p w14:paraId="639D3713" w14:textId="77777777" w:rsidR="006419D6" w:rsidRPr="006419D6" w:rsidRDefault="006419D6" w:rsidP="006419D6">
      <w:pPr>
        <w:spacing w:line="360" w:lineRule="auto"/>
        <w:jc w:val="both"/>
        <w:rPr>
          <w:lang w:val="es-PE" w:eastAsia="es-MX"/>
        </w:rPr>
      </w:pPr>
      <w:r w:rsidRPr="006419D6">
        <w:rPr>
          <w:lang w:val="es-PE" w:eastAsia="es-MX"/>
        </w:rPr>
        <w:t>Los autores declaran que no tienen conflicto de intereses.</w:t>
      </w:r>
    </w:p>
    <w:p w14:paraId="2156C50C" w14:textId="77777777" w:rsidR="006419D6" w:rsidRPr="006419D6" w:rsidRDefault="006419D6" w:rsidP="006419D6">
      <w:pPr>
        <w:spacing w:line="360" w:lineRule="auto"/>
        <w:jc w:val="both"/>
        <w:rPr>
          <w:lang w:val="es-PE" w:eastAsia="es-MX"/>
        </w:rPr>
      </w:pPr>
    </w:p>
    <w:p w14:paraId="18D21B7A" w14:textId="77777777" w:rsidR="006419D6" w:rsidRPr="006419D6" w:rsidRDefault="006419D6" w:rsidP="006419D6">
      <w:pPr>
        <w:spacing w:line="360" w:lineRule="auto"/>
        <w:jc w:val="center"/>
        <w:rPr>
          <w:b/>
          <w:bCs/>
          <w:lang w:val="es-PE" w:eastAsia="es-MX"/>
        </w:rPr>
      </w:pPr>
      <w:r w:rsidRPr="006419D6">
        <w:rPr>
          <w:b/>
          <w:bCs/>
          <w:lang w:val="es-PE" w:eastAsia="es-MX"/>
        </w:rPr>
        <w:t>Contribuciones de los autores</w:t>
      </w:r>
    </w:p>
    <w:p w14:paraId="4F74E10D" w14:textId="77777777" w:rsidR="006419D6" w:rsidRPr="006419D6" w:rsidRDefault="006419D6" w:rsidP="006419D6">
      <w:pPr>
        <w:spacing w:line="360" w:lineRule="auto"/>
        <w:rPr>
          <w:bCs/>
          <w:i/>
          <w:lang w:val="es-PE" w:eastAsia="es-MX"/>
        </w:rPr>
      </w:pPr>
      <w:r w:rsidRPr="006419D6">
        <w:rPr>
          <w:bCs/>
          <w:lang w:val="es-PE" w:eastAsia="es-MX"/>
        </w:rPr>
        <w:t xml:space="preserve">Conceptualización: </w:t>
      </w:r>
      <w:r w:rsidRPr="006419D6">
        <w:rPr>
          <w:bCs/>
          <w:i/>
          <w:lang w:val="es-PE" w:eastAsia="es-MX"/>
        </w:rPr>
        <w:t>Bryan Alexis Cossio-Alva.</w:t>
      </w:r>
    </w:p>
    <w:p w14:paraId="51EA7F5F" w14:textId="77777777" w:rsidR="006419D6" w:rsidRPr="006419D6" w:rsidRDefault="006419D6" w:rsidP="006419D6">
      <w:pPr>
        <w:spacing w:line="360" w:lineRule="auto"/>
        <w:rPr>
          <w:bCs/>
          <w:i/>
          <w:lang w:val="es-PE" w:eastAsia="es-MX"/>
        </w:rPr>
      </w:pPr>
      <w:r w:rsidRPr="006419D6">
        <w:rPr>
          <w:bCs/>
          <w:lang w:val="es-PE" w:eastAsia="es-MX"/>
        </w:rPr>
        <w:lastRenderedPageBreak/>
        <w:t xml:space="preserve">Curación de datos: </w:t>
      </w:r>
      <w:r w:rsidRPr="006419D6">
        <w:rPr>
          <w:bCs/>
          <w:i/>
          <w:lang w:val="es-PE" w:eastAsia="es-MX"/>
        </w:rPr>
        <w:t>Marco Sánchez-Tito, Bryan Alexis Cossio-Alva.</w:t>
      </w:r>
    </w:p>
    <w:p w14:paraId="2C253C93" w14:textId="77777777" w:rsidR="006419D6" w:rsidRPr="006419D6" w:rsidRDefault="006419D6" w:rsidP="006419D6">
      <w:pPr>
        <w:spacing w:line="360" w:lineRule="auto"/>
        <w:rPr>
          <w:bCs/>
          <w:i/>
          <w:lang w:val="es-PE" w:eastAsia="es-MX"/>
        </w:rPr>
      </w:pPr>
      <w:r w:rsidRPr="006419D6">
        <w:rPr>
          <w:bCs/>
          <w:lang w:val="es-PE" w:eastAsia="es-MX"/>
        </w:rPr>
        <w:t xml:space="preserve">Análisis formal: </w:t>
      </w:r>
      <w:r w:rsidRPr="006419D6">
        <w:rPr>
          <w:bCs/>
          <w:i/>
          <w:lang w:val="es-PE" w:eastAsia="es-MX"/>
        </w:rPr>
        <w:t>Bryan Alexis Cossio-Alva, Miguel Angel Ruiz-Barrueto, Eliberto Ruiz-Ramirez.</w:t>
      </w:r>
    </w:p>
    <w:p w14:paraId="2B919DCF" w14:textId="77777777" w:rsidR="006419D6" w:rsidRPr="006419D6" w:rsidRDefault="006419D6" w:rsidP="006419D6">
      <w:pPr>
        <w:spacing w:line="360" w:lineRule="auto"/>
        <w:rPr>
          <w:bCs/>
          <w:i/>
          <w:lang w:val="es-PE" w:eastAsia="es-MX"/>
        </w:rPr>
      </w:pPr>
      <w:r w:rsidRPr="006419D6">
        <w:rPr>
          <w:bCs/>
          <w:lang w:val="es-PE" w:eastAsia="es-MX"/>
        </w:rPr>
        <w:t xml:space="preserve">Investigación: </w:t>
      </w:r>
      <w:r w:rsidRPr="006419D6">
        <w:rPr>
          <w:bCs/>
          <w:i/>
          <w:lang w:val="es-PE" w:eastAsia="es-MX"/>
        </w:rPr>
        <w:t>Bryan Alexis Cossio-Alva, Eliberto Ruiz-Ramirez, Miguel Angel Ruiz-Barrueto.</w:t>
      </w:r>
    </w:p>
    <w:p w14:paraId="0C5FCFD7" w14:textId="77777777" w:rsidR="006419D6" w:rsidRPr="006419D6" w:rsidRDefault="006419D6" w:rsidP="006419D6">
      <w:pPr>
        <w:spacing w:line="360" w:lineRule="auto"/>
        <w:rPr>
          <w:bCs/>
          <w:i/>
          <w:lang w:val="es-PE" w:eastAsia="es-MX"/>
        </w:rPr>
      </w:pPr>
      <w:r w:rsidRPr="006419D6">
        <w:rPr>
          <w:bCs/>
          <w:lang w:val="es-PE" w:eastAsia="es-MX"/>
        </w:rPr>
        <w:t xml:space="preserve">Metodología: </w:t>
      </w:r>
      <w:r w:rsidRPr="006419D6">
        <w:rPr>
          <w:bCs/>
          <w:i/>
          <w:lang w:val="es-PE" w:eastAsia="es-MX"/>
        </w:rPr>
        <w:t>Miguel Angel Ruiz-Barrueto, Bryan Alexis Cossio-Alva.</w:t>
      </w:r>
    </w:p>
    <w:p w14:paraId="52B52313" w14:textId="77777777" w:rsidR="006419D6" w:rsidRPr="006419D6" w:rsidRDefault="006419D6" w:rsidP="006419D6">
      <w:pPr>
        <w:spacing w:line="360" w:lineRule="auto"/>
        <w:rPr>
          <w:bCs/>
          <w:lang w:val="es-PE" w:eastAsia="es-MX"/>
        </w:rPr>
      </w:pPr>
      <w:r w:rsidRPr="006419D6">
        <w:rPr>
          <w:bCs/>
          <w:lang w:val="es-PE" w:eastAsia="es-MX"/>
        </w:rPr>
        <w:t xml:space="preserve">Administración del proyecto: </w:t>
      </w:r>
      <w:r w:rsidRPr="006419D6">
        <w:rPr>
          <w:bCs/>
          <w:i/>
          <w:lang w:val="es-PE" w:eastAsia="es-MX"/>
        </w:rPr>
        <w:t>Bryan Alexis Cossio-Alva, Eliberto Ruiz-Ramirez.</w:t>
      </w:r>
    </w:p>
    <w:p w14:paraId="0A0F840B" w14:textId="77777777" w:rsidR="006419D6" w:rsidRPr="006419D6" w:rsidRDefault="006419D6" w:rsidP="006419D6">
      <w:pPr>
        <w:spacing w:line="360" w:lineRule="auto"/>
        <w:rPr>
          <w:bCs/>
          <w:i/>
          <w:lang w:val="es-PE" w:eastAsia="es-MX"/>
        </w:rPr>
      </w:pPr>
      <w:r w:rsidRPr="006419D6">
        <w:rPr>
          <w:bCs/>
          <w:lang w:val="es-PE" w:eastAsia="es-MX"/>
        </w:rPr>
        <w:t>Recursos</w:t>
      </w:r>
      <w:r w:rsidRPr="006419D6">
        <w:rPr>
          <w:bCs/>
          <w:i/>
          <w:lang w:val="es-PE" w:eastAsia="es-MX"/>
        </w:rPr>
        <w:t>: Bryan Alexis Cossio-Alva, Eliberto Ruiz-Ramirez, Miguel Angel Ruiz-Barrueto, Marco Sánchez-Tito.</w:t>
      </w:r>
    </w:p>
    <w:p w14:paraId="1049624E" w14:textId="77777777" w:rsidR="006419D6" w:rsidRPr="006419D6" w:rsidRDefault="006419D6" w:rsidP="006419D6">
      <w:pPr>
        <w:spacing w:line="360" w:lineRule="auto"/>
        <w:rPr>
          <w:bCs/>
          <w:lang w:val="es-PE" w:eastAsia="es-MX"/>
        </w:rPr>
      </w:pPr>
      <w:r w:rsidRPr="006419D6">
        <w:rPr>
          <w:bCs/>
          <w:lang w:val="es-PE" w:eastAsia="es-MX"/>
        </w:rPr>
        <w:t xml:space="preserve">Supervisión: </w:t>
      </w:r>
      <w:r w:rsidRPr="006419D6">
        <w:rPr>
          <w:bCs/>
          <w:i/>
          <w:lang w:val="es-PE" w:eastAsia="es-MX"/>
        </w:rPr>
        <w:t>Eliberto Ruiz-Ramirez.</w:t>
      </w:r>
    </w:p>
    <w:p w14:paraId="6A4D08AD" w14:textId="77777777" w:rsidR="006419D6" w:rsidRPr="006419D6" w:rsidRDefault="006419D6" w:rsidP="006419D6">
      <w:pPr>
        <w:spacing w:line="360" w:lineRule="auto"/>
        <w:rPr>
          <w:bCs/>
          <w:lang w:val="es-PE" w:eastAsia="es-MX"/>
        </w:rPr>
      </w:pPr>
      <w:r w:rsidRPr="006419D6">
        <w:rPr>
          <w:bCs/>
          <w:lang w:val="es-PE" w:eastAsia="es-MX"/>
        </w:rPr>
        <w:t xml:space="preserve">Validación: </w:t>
      </w:r>
      <w:r w:rsidRPr="006419D6">
        <w:rPr>
          <w:bCs/>
          <w:i/>
          <w:iCs/>
          <w:lang w:val="es-PE" w:eastAsia="es-MX"/>
        </w:rPr>
        <w:t>Bryan Alexis Cossio-Alva, Miguel Angel Ruiz-Barrueto, Eliberto Ruiz-Ramirez.</w:t>
      </w:r>
    </w:p>
    <w:p w14:paraId="2852B37C" w14:textId="77777777" w:rsidR="006419D6" w:rsidRPr="006419D6" w:rsidRDefault="006419D6" w:rsidP="006419D6">
      <w:pPr>
        <w:spacing w:line="360" w:lineRule="auto"/>
        <w:rPr>
          <w:bCs/>
          <w:i/>
          <w:lang w:val="es-PE" w:eastAsia="es-MX"/>
        </w:rPr>
      </w:pPr>
      <w:r w:rsidRPr="006419D6">
        <w:rPr>
          <w:bCs/>
          <w:lang w:val="es-PE" w:eastAsia="es-MX"/>
        </w:rPr>
        <w:t>Visualización</w:t>
      </w:r>
      <w:r w:rsidRPr="006419D6">
        <w:rPr>
          <w:bCs/>
          <w:i/>
          <w:lang w:val="es-PE" w:eastAsia="es-MX"/>
        </w:rPr>
        <w:t>: Bryan Alexis Cossio-Alva, Eliberto Ruiz-Ramirez, Miguel Angel Ruiz-Barrueto, Marco Sánchez-Tito.</w:t>
      </w:r>
    </w:p>
    <w:p w14:paraId="07BC5F56" w14:textId="77777777" w:rsidR="006419D6" w:rsidRPr="006419D6" w:rsidRDefault="006419D6" w:rsidP="006419D6">
      <w:pPr>
        <w:spacing w:line="360" w:lineRule="auto"/>
        <w:rPr>
          <w:bCs/>
          <w:i/>
          <w:lang w:val="es-PE" w:eastAsia="es-MX"/>
        </w:rPr>
      </w:pPr>
      <w:r w:rsidRPr="006419D6">
        <w:rPr>
          <w:bCs/>
          <w:lang w:val="es-PE" w:eastAsia="es-MX"/>
        </w:rPr>
        <w:t xml:space="preserve">Redacción </w:t>
      </w:r>
      <w:r w:rsidRPr="006419D6">
        <w:rPr>
          <w:bCs/>
          <w:i/>
          <w:lang w:val="es-PE" w:eastAsia="es-MX"/>
        </w:rPr>
        <w:t>– borrador original: Bryan Alexis Cossio-Alva, Miguel Angel Ruiz-Barrueto, Eliberto Ruiz-Ramirez, Marco Sánchez-Tito.</w:t>
      </w:r>
    </w:p>
    <w:p w14:paraId="60A21E10" w14:textId="77777777" w:rsidR="006419D6" w:rsidRPr="006419D6" w:rsidRDefault="006419D6" w:rsidP="006419D6">
      <w:pPr>
        <w:spacing w:line="360" w:lineRule="auto"/>
        <w:rPr>
          <w:bCs/>
          <w:i/>
          <w:lang w:val="es-PE" w:eastAsia="es-MX"/>
        </w:rPr>
      </w:pPr>
      <w:r w:rsidRPr="006419D6">
        <w:rPr>
          <w:bCs/>
          <w:lang w:val="es-PE" w:eastAsia="es-MX"/>
        </w:rPr>
        <w:t xml:space="preserve">Redacción: - revisión y edición: </w:t>
      </w:r>
      <w:r w:rsidRPr="006419D6">
        <w:rPr>
          <w:bCs/>
          <w:i/>
          <w:lang w:val="es-PE" w:eastAsia="es-MX"/>
        </w:rPr>
        <w:t>Bryan Alexis Cossio-Alva, Miguel Angel Ruiz-Barrueto, Eliberto Ruiz-Ramirez, Marco Sánchez-Tito.</w:t>
      </w:r>
    </w:p>
    <w:p w14:paraId="79D93DAA" w14:textId="77777777" w:rsidR="00675476" w:rsidRPr="006419D6" w:rsidRDefault="00675476" w:rsidP="00EA1FEF">
      <w:pPr>
        <w:pStyle w:val="PDFRevista"/>
        <w:rPr>
          <w:lang w:val="es-PE"/>
        </w:rPr>
      </w:pPr>
    </w:p>
    <w:sectPr w:rsidR="00675476" w:rsidRPr="006419D6" w:rsidSect="00FD3DF8">
      <w:headerReference w:type="default" r:id="rId19"/>
      <w:footerReference w:type="even" r:id="rId20"/>
      <w:footerReference w:type="default" r:id="rId2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24EE9" w14:textId="77777777" w:rsidR="007B594A" w:rsidRDefault="007B594A">
      <w:r>
        <w:separator/>
      </w:r>
    </w:p>
  </w:endnote>
  <w:endnote w:type="continuationSeparator" w:id="0">
    <w:p w14:paraId="7D5CE32D" w14:textId="77777777" w:rsidR="007B594A" w:rsidRDefault="007B5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95F7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307EC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B732" w14:textId="0E203CAD" w:rsidR="000F3690" w:rsidRPr="00AE044C" w:rsidRDefault="006419D6"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A53CE33" wp14:editId="7C9C2ABB">
              <wp:simplePos x="0" y="0"/>
              <wp:positionH relativeFrom="column">
                <wp:posOffset>3810</wp:posOffset>
              </wp:positionH>
              <wp:positionV relativeFrom="paragraph">
                <wp:posOffset>50165</wp:posOffset>
              </wp:positionV>
              <wp:extent cx="6286500" cy="19050"/>
              <wp:effectExtent l="19050" t="19050" r="0" b="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0FB63E" id="Conector recto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6858D553"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32FCBB07"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49FC846" w14:textId="70613ADC"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6419D6" w:rsidRPr="006419D6">
      <w:rPr>
        <w:rFonts w:ascii="Verdana" w:hAnsi="Verdana"/>
        <w:noProof/>
        <w:sz w:val="18"/>
        <w:szCs w:val="18"/>
        <w:lang w:val="en-US" w:eastAsia="en-US"/>
      </w:rPr>
      <w:drawing>
        <wp:inline distT="0" distB="0" distL="0" distR="0" wp14:anchorId="7C1A67D8" wp14:editId="21D480E3">
          <wp:extent cx="638175" cy="152400"/>
          <wp:effectExtent l="0" t="0" r="0" b="0"/>
          <wp:docPr id="4"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081D3" w14:textId="77777777" w:rsidR="007B594A" w:rsidRDefault="007B594A">
      <w:r>
        <w:separator/>
      </w:r>
    </w:p>
  </w:footnote>
  <w:footnote w:type="continuationSeparator" w:id="0">
    <w:p w14:paraId="0A706E0E" w14:textId="77777777" w:rsidR="007B594A" w:rsidRDefault="007B5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2CE68" w14:textId="00298135" w:rsidR="00CC376A" w:rsidRPr="00AE044C" w:rsidRDefault="006419D6"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3</w:t>
    </w:r>
    <w:r w:rsidR="007D2D0C" w:rsidRPr="00AE044C">
      <w:rPr>
        <w:sz w:val="22"/>
        <w:szCs w:val="22"/>
      </w:rPr>
      <w:t>):</w:t>
    </w:r>
    <w:r>
      <w:rPr>
        <w:noProof/>
      </w:rPr>
      <w:drawing>
        <wp:anchor distT="0" distB="0" distL="114300" distR="114300" simplePos="0" relativeHeight="251663360" behindDoc="1" locked="0" layoutInCell="1" allowOverlap="1" wp14:anchorId="412EB6E7" wp14:editId="7FD3EC9F">
          <wp:simplePos x="0" y="0"/>
          <wp:positionH relativeFrom="column">
            <wp:posOffset>2540</wp:posOffset>
          </wp:positionH>
          <wp:positionV relativeFrom="paragraph">
            <wp:posOffset>-598805</wp:posOffset>
          </wp:positionV>
          <wp:extent cx="6333490" cy="593725"/>
          <wp:effectExtent l="0" t="0" r="0" b="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e02202028</w:t>
    </w:r>
  </w:p>
  <w:p w14:paraId="4F652327" w14:textId="59262375" w:rsidR="00A477DE" w:rsidRDefault="006419D6">
    <w:r>
      <w:rPr>
        <w:noProof/>
      </w:rPr>
      <mc:AlternateContent>
        <mc:Choice Requires="wps">
          <w:drawing>
            <wp:anchor distT="0" distB="0" distL="114300" distR="114300" simplePos="0" relativeHeight="251654144" behindDoc="0" locked="0" layoutInCell="1" allowOverlap="1" wp14:anchorId="382B9083" wp14:editId="140D3139">
              <wp:simplePos x="0" y="0"/>
              <wp:positionH relativeFrom="column">
                <wp:posOffset>635</wp:posOffset>
              </wp:positionH>
              <wp:positionV relativeFrom="paragraph">
                <wp:posOffset>42545</wp:posOffset>
              </wp:positionV>
              <wp:extent cx="6307455" cy="28575"/>
              <wp:effectExtent l="19050" t="19050" r="17145" b="952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903D77" id="Conector recto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53BB7"/>
    <w:multiLevelType w:val="multilevel"/>
    <w:tmpl w:val="13B0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DF08E7"/>
    <w:multiLevelType w:val="multilevel"/>
    <w:tmpl w:val="6C90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05BB2"/>
    <w:multiLevelType w:val="multilevel"/>
    <w:tmpl w:val="13FE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D1A9F"/>
    <w:multiLevelType w:val="multilevel"/>
    <w:tmpl w:val="F462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91458C"/>
    <w:multiLevelType w:val="multilevel"/>
    <w:tmpl w:val="7A02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4E6A76C7"/>
    <w:multiLevelType w:val="multilevel"/>
    <w:tmpl w:val="0BAE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1928E8"/>
    <w:multiLevelType w:val="multilevel"/>
    <w:tmpl w:val="F006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18488D"/>
    <w:multiLevelType w:val="multilevel"/>
    <w:tmpl w:val="F8A8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496395">
    <w:abstractNumId w:val="5"/>
  </w:num>
  <w:num w:numId="2" w16cid:durableId="689986379">
    <w:abstractNumId w:val="0"/>
  </w:num>
  <w:num w:numId="3" w16cid:durableId="682904831">
    <w:abstractNumId w:val="3"/>
  </w:num>
  <w:num w:numId="4" w16cid:durableId="87117744">
    <w:abstractNumId w:val="8"/>
  </w:num>
  <w:num w:numId="5" w16cid:durableId="1264802841">
    <w:abstractNumId w:val="7"/>
  </w:num>
  <w:num w:numId="6" w16cid:durableId="19400911">
    <w:abstractNumId w:val="6"/>
  </w:num>
  <w:num w:numId="7" w16cid:durableId="462500632">
    <w:abstractNumId w:val="2"/>
  </w:num>
  <w:num w:numId="8" w16cid:durableId="1767536138">
    <w:abstractNumId w:val="4"/>
  </w:num>
  <w:num w:numId="9" w16cid:durableId="909120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D6"/>
    <w:rsid w:val="00057F45"/>
    <w:rsid w:val="000D3958"/>
    <w:rsid w:val="000F3690"/>
    <w:rsid w:val="00111733"/>
    <w:rsid w:val="001221D1"/>
    <w:rsid w:val="00165CB5"/>
    <w:rsid w:val="00180CE9"/>
    <w:rsid w:val="00230DD5"/>
    <w:rsid w:val="00250AE9"/>
    <w:rsid w:val="0027639D"/>
    <w:rsid w:val="00380D64"/>
    <w:rsid w:val="00391509"/>
    <w:rsid w:val="003E03D5"/>
    <w:rsid w:val="00486BFA"/>
    <w:rsid w:val="00493701"/>
    <w:rsid w:val="004E2065"/>
    <w:rsid w:val="005508A2"/>
    <w:rsid w:val="0055115D"/>
    <w:rsid w:val="00566F71"/>
    <w:rsid w:val="005918BD"/>
    <w:rsid w:val="006173A6"/>
    <w:rsid w:val="006419D6"/>
    <w:rsid w:val="00675476"/>
    <w:rsid w:val="007B594A"/>
    <w:rsid w:val="007C430F"/>
    <w:rsid w:val="007D2D0C"/>
    <w:rsid w:val="007D614D"/>
    <w:rsid w:val="00960D6A"/>
    <w:rsid w:val="009A0560"/>
    <w:rsid w:val="009B0917"/>
    <w:rsid w:val="009B340C"/>
    <w:rsid w:val="009F0F96"/>
    <w:rsid w:val="00A23C0C"/>
    <w:rsid w:val="00A477DE"/>
    <w:rsid w:val="00A71E65"/>
    <w:rsid w:val="00AD49E1"/>
    <w:rsid w:val="00AE044C"/>
    <w:rsid w:val="00AF1BA0"/>
    <w:rsid w:val="00B31971"/>
    <w:rsid w:val="00B4380A"/>
    <w:rsid w:val="00B66ECB"/>
    <w:rsid w:val="00C7523A"/>
    <w:rsid w:val="00CC1B6E"/>
    <w:rsid w:val="00CC376A"/>
    <w:rsid w:val="00CC48A1"/>
    <w:rsid w:val="00CF50E0"/>
    <w:rsid w:val="00D85951"/>
    <w:rsid w:val="00E62606"/>
    <w:rsid w:val="00E712B0"/>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29C31"/>
  <w15:docId w15:val="{E3FF6F84-805A-483F-940B-0392E164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6419D6"/>
  </w:style>
  <w:style w:type="character" w:customStyle="1" w:styleId="identifier">
    <w:name w:val="identifier"/>
    <w:basedOn w:val="Fuentedeprrafopredeter"/>
    <w:rsid w:val="006419D6"/>
  </w:style>
  <w:style w:type="character" w:styleId="nfasis">
    <w:name w:val="Emphasis"/>
    <w:uiPriority w:val="20"/>
    <w:qFormat/>
    <w:rsid w:val="006419D6"/>
    <w:rPr>
      <w:i/>
      <w:iCs/>
    </w:rPr>
  </w:style>
  <w:style w:type="paragraph" w:styleId="Textocomentario">
    <w:name w:val="annotation text"/>
    <w:basedOn w:val="Normal"/>
    <w:link w:val="TextocomentarioCar"/>
    <w:uiPriority w:val="99"/>
    <w:unhideWhenUsed/>
    <w:qFormat/>
    <w:rsid w:val="006419D6"/>
    <w:rPr>
      <w:sz w:val="20"/>
      <w:szCs w:val="20"/>
      <w:lang w:val="es-PE"/>
    </w:rPr>
  </w:style>
  <w:style w:type="character" w:customStyle="1" w:styleId="TextocomentarioCar">
    <w:name w:val="Texto comentario Car"/>
    <w:basedOn w:val="Fuentedeprrafopredeter"/>
    <w:link w:val="Textocomentario"/>
    <w:uiPriority w:val="99"/>
    <w:qFormat/>
    <w:rsid w:val="006419D6"/>
    <w:rPr>
      <w:lang w:val="es-PE" w:eastAsia="es-ES_tradnl"/>
    </w:rPr>
  </w:style>
  <w:style w:type="character" w:customStyle="1" w:styleId="Mencinsinresolver1">
    <w:name w:val="Mención sin resolver1"/>
    <w:uiPriority w:val="99"/>
    <w:semiHidden/>
    <w:unhideWhenUsed/>
    <w:rsid w:val="006419D6"/>
    <w:rPr>
      <w:color w:val="605E5C"/>
      <w:shd w:val="clear" w:color="auto" w:fill="E1DFDD"/>
    </w:rPr>
  </w:style>
  <w:style w:type="table" w:customStyle="1" w:styleId="Tablaconcuadrcula1">
    <w:name w:val="Tabla con cuadrícula1"/>
    <w:basedOn w:val="Tablanormal"/>
    <w:next w:val="Tablaconcuadrcula"/>
    <w:uiPriority w:val="39"/>
    <w:rsid w:val="006419D6"/>
    <w:rPr>
      <w:rFonts w:ascii="Calibri" w:eastAsia="Calibri" w:hAnsi="Calibri"/>
      <w:sz w:val="24"/>
      <w:szCs w:val="24"/>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6concolores1">
    <w:name w:val="Tabla de lista 6 con colores1"/>
    <w:basedOn w:val="Tablanormal"/>
    <w:uiPriority w:val="51"/>
    <w:rsid w:val="006419D6"/>
    <w:rPr>
      <w:rFonts w:ascii="Calibri" w:eastAsia="Calibri" w:hAnsi="Calibri"/>
      <w:color w:val="000000"/>
      <w:sz w:val="24"/>
      <w:szCs w:val="24"/>
      <w:lang w:val="es-PE"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apple-converted-space">
    <w:name w:val="apple-converted-space"/>
    <w:basedOn w:val="Fuentedeprrafopredeter"/>
    <w:rsid w:val="006419D6"/>
  </w:style>
  <w:style w:type="paragraph" w:styleId="Prrafodelista">
    <w:name w:val="List Paragraph"/>
    <w:basedOn w:val="Normal"/>
    <w:uiPriority w:val="34"/>
    <w:qFormat/>
    <w:rsid w:val="006419D6"/>
    <w:pPr>
      <w:ind w:left="720"/>
      <w:contextualSpacing/>
    </w:pPr>
    <w:rPr>
      <w:lang w:val="es-PE" w:eastAsia="es-MX"/>
    </w:rPr>
  </w:style>
  <w:style w:type="table" w:customStyle="1" w:styleId="ListTable6Colorful1">
    <w:name w:val="List Table 6 Colorful1"/>
    <w:basedOn w:val="Tablanormal"/>
    <w:uiPriority w:val="51"/>
    <w:rsid w:val="006419D6"/>
    <w:rPr>
      <w:rFonts w:ascii="Calibri" w:eastAsia="Calibri" w:hAnsi="Calibri"/>
      <w:color w:val="000000"/>
      <w:sz w:val="24"/>
      <w:szCs w:val="24"/>
      <w:lang w:val="es-PE"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ipervnculovisitado1">
    <w:name w:val="Hipervínculo visitado1"/>
    <w:uiPriority w:val="99"/>
    <w:semiHidden/>
    <w:unhideWhenUsed/>
    <w:rsid w:val="006419D6"/>
    <w:rPr>
      <w:color w:val="954F72"/>
      <w:u w:val="single"/>
    </w:rPr>
  </w:style>
  <w:style w:type="character" w:customStyle="1" w:styleId="Mencinsinresolver2">
    <w:name w:val="Mención sin resolver2"/>
    <w:uiPriority w:val="99"/>
    <w:semiHidden/>
    <w:unhideWhenUsed/>
    <w:rsid w:val="006419D6"/>
    <w:rPr>
      <w:color w:val="605E5C"/>
      <w:shd w:val="clear" w:color="auto" w:fill="E1DFDD"/>
    </w:rPr>
  </w:style>
  <w:style w:type="character" w:styleId="Refdecomentario">
    <w:name w:val="annotation reference"/>
    <w:uiPriority w:val="99"/>
    <w:semiHidden/>
    <w:unhideWhenUsed/>
    <w:rsid w:val="006419D6"/>
    <w:rPr>
      <w:sz w:val="16"/>
      <w:szCs w:val="16"/>
    </w:rPr>
  </w:style>
  <w:style w:type="paragraph" w:styleId="Asuntodelcomentario">
    <w:name w:val="annotation subject"/>
    <w:basedOn w:val="Textocomentario"/>
    <w:next w:val="Textocomentario"/>
    <w:link w:val="AsuntodelcomentarioCar"/>
    <w:uiPriority w:val="99"/>
    <w:semiHidden/>
    <w:unhideWhenUsed/>
    <w:rsid w:val="006419D6"/>
    <w:rPr>
      <w:b/>
      <w:bCs/>
      <w:lang w:eastAsia="es-MX"/>
    </w:rPr>
  </w:style>
  <w:style w:type="character" w:customStyle="1" w:styleId="AsuntodelcomentarioCar">
    <w:name w:val="Asunto del comentario Car"/>
    <w:basedOn w:val="TextocomentarioCar"/>
    <w:link w:val="Asuntodelcomentario"/>
    <w:uiPriority w:val="99"/>
    <w:semiHidden/>
    <w:rsid w:val="006419D6"/>
    <w:rPr>
      <w:b/>
      <w:bCs/>
      <w:lang w:val="es-PE" w:eastAsia="es-MX"/>
    </w:rPr>
  </w:style>
  <w:style w:type="character" w:customStyle="1" w:styleId="Mencinsinresolver3">
    <w:name w:val="Mención sin resolver3"/>
    <w:uiPriority w:val="99"/>
    <w:semiHidden/>
    <w:unhideWhenUsed/>
    <w:rsid w:val="006419D6"/>
    <w:rPr>
      <w:color w:val="605E5C"/>
      <w:shd w:val="clear" w:color="auto" w:fill="E1DFDD"/>
    </w:rPr>
  </w:style>
  <w:style w:type="character" w:styleId="Mencinsinresolver">
    <w:name w:val="Unresolved Mention"/>
    <w:uiPriority w:val="99"/>
    <w:semiHidden/>
    <w:unhideWhenUsed/>
    <w:rsid w:val="006419D6"/>
    <w:rPr>
      <w:color w:val="605E5C"/>
      <w:shd w:val="clear" w:color="auto" w:fill="E1DFDD"/>
    </w:rPr>
  </w:style>
  <w:style w:type="paragraph" w:styleId="Revisin">
    <w:name w:val="Revision"/>
    <w:hidden/>
    <w:uiPriority w:val="99"/>
    <w:semiHidden/>
    <w:rsid w:val="006419D6"/>
    <w:rPr>
      <w:sz w:val="24"/>
      <w:szCs w:val="24"/>
      <w:lang w:val="es-PE" w:eastAsia="es-MX"/>
    </w:rPr>
  </w:style>
  <w:style w:type="character" w:styleId="Hipervnculovisitado">
    <w:name w:val="FollowedHyperlink"/>
    <w:basedOn w:val="Fuentedeprrafopredeter"/>
    <w:semiHidden/>
    <w:unhideWhenUsed/>
    <w:rsid w:val="006419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340-7168" TargetMode="External"/><Relationship Id="rId13" Type="http://schemas.openxmlformats.org/officeDocument/2006/relationships/image" Target="media/image2.png"/><Relationship Id="rId18" Type="http://schemas.openxmlformats.org/officeDocument/2006/relationships/hyperlink" Target="http://www.scielo.org.pe/pdf/hm/v17n1/a05v17n1.pdf"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orcid.org/0000-0003-1568-5324" TargetMode="External"/><Relationship Id="rId12" Type="http://schemas.openxmlformats.org/officeDocument/2006/relationships/image" Target="media/image1.png"/><Relationship Id="rId17" Type="http://schemas.openxmlformats.org/officeDocument/2006/relationships/hyperlink" Target="https://www.ncbi.nlm.nih.gov/pmc/articles/PMC5508399/" TargetMode="External"/><Relationship Id="rId2" Type="http://schemas.openxmlformats.org/officeDocument/2006/relationships/styles" Target="styles.xml"/><Relationship Id="rId16" Type="http://schemas.openxmlformats.org/officeDocument/2006/relationships/hyperlink" Target="https://hdl.handle.net/20.500.12866/597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100066171@cientifica.edu.pe" TargetMode="External"/><Relationship Id="rId5" Type="http://schemas.openxmlformats.org/officeDocument/2006/relationships/footnotes" Target="footnotes.xml"/><Relationship Id="rId15" Type="http://schemas.openxmlformats.org/officeDocument/2006/relationships/hyperlink" Target="https://www.who.int/es/news-room/fact-sheets/detail/oral-health" TargetMode="External"/><Relationship Id="rId23" Type="http://schemas.openxmlformats.org/officeDocument/2006/relationships/theme" Target="theme/theme1.xml"/><Relationship Id="rId10" Type="http://schemas.openxmlformats.org/officeDocument/2006/relationships/hyperlink" Target="https://orcid.org/0000-0002-3373-467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1-5886-9372" TargetMode="External"/><Relationship Id="rId14" Type="http://schemas.openxmlformats.org/officeDocument/2006/relationships/image" Target="media/image3.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14</TotalTime>
  <Pages>15</Pages>
  <Words>4661</Words>
  <Characters>25637</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30238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7</cp:revision>
  <cp:lastPrinted>2022-07-20T19:17:00Z</cp:lastPrinted>
  <dcterms:created xsi:type="dcterms:W3CDTF">2022-07-20T19:13:00Z</dcterms:created>
  <dcterms:modified xsi:type="dcterms:W3CDTF">2022-07-20T23:55:00Z</dcterms:modified>
</cp:coreProperties>
</file>