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D6AF7" w14:textId="77777777" w:rsidR="00597617" w:rsidRPr="00597617" w:rsidRDefault="00597617" w:rsidP="00597617">
      <w:pPr>
        <w:spacing w:line="360" w:lineRule="auto"/>
        <w:jc w:val="right"/>
        <w:rPr>
          <w:rFonts w:eastAsia="Arial"/>
          <w:bCs/>
          <w:sz w:val="20"/>
          <w:szCs w:val="18"/>
          <w:lang w:val="es-AR" w:eastAsia="en-US"/>
        </w:rPr>
      </w:pPr>
      <w:r w:rsidRPr="00597617">
        <w:rPr>
          <w:rFonts w:eastAsia="Arial"/>
          <w:bCs/>
          <w:sz w:val="20"/>
          <w:szCs w:val="18"/>
          <w:lang w:val="es-AR" w:eastAsia="en-US"/>
        </w:rPr>
        <w:t>Artículo de investigación</w:t>
      </w:r>
    </w:p>
    <w:p w14:paraId="788D3768" w14:textId="77777777" w:rsidR="00597617" w:rsidRPr="00597617" w:rsidRDefault="00597617" w:rsidP="00597617">
      <w:pPr>
        <w:spacing w:line="360" w:lineRule="auto"/>
        <w:rPr>
          <w:rFonts w:eastAsia="Calibri"/>
          <w:b/>
          <w:bCs/>
          <w:lang w:val="es-PE" w:eastAsia="en-US"/>
        </w:rPr>
      </w:pPr>
    </w:p>
    <w:p w14:paraId="5C937B07" w14:textId="2E8F4FA6"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 xml:space="preserve">Funcionalidad familiar, habilidades sociales y estilos de vida en estudiantes durante la pandemia por </w:t>
      </w:r>
      <w:r w:rsidR="00F666FB">
        <w:rPr>
          <w:rFonts w:eastAsia="Calibri"/>
          <w:b/>
          <w:bCs/>
          <w:sz w:val="28"/>
          <w:szCs w:val="28"/>
          <w:lang w:val="es-PE" w:eastAsia="en-US"/>
        </w:rPr>
        <w:t xml:space="preserve">la </w:t>
      </w:r>
      <w:r w:rsidRPr="00597617">
        <w:rPr>
          <w:rFonts w:eastAsia="Calibri"/>
          <w:b/>
          <w:bCs/>
          <w:sz w:val="28"/>
          <w:szCs w:val="28"/>
          <w:lang w:val="es-PE" w:eastAsia="en-US"/>
        </w:rPr>
        <w:t>COVID-19</w:t>
      </w:r>
    </w:p>
    <w:p w14:paraId="20E3AB43" w14:textId="77777777" w:rsidR="00597617" w:rsidRPr="00597617" w:rsidRDefault="00597617" w:rsidP="00597617">
      <w:pPr>
        <w:spacing w:line="360" w:lineRule="auto"/>
        <w:jc w:val="center"/>
        <w:rPr>
          <w:rFonts w:eastAsia="Calibri"/>
          <w:sz w:val="28"/>
          <w:szCs w:val="28"/>
          <w:lang w:val="en-US" w:eastAsia="en-US"/>
        </w:rPr>
      </w:pPr>
      <w:r w:rsidRPr="00597617">
        <w:rPr>
          <w:rFonts w:eastAsia="Calibri"/>
          <w:sz w:val="28"/>
          <w:szCs w:val="28"/>
          <w:lang w:val="en-US" w:eastAsia="en-US"/>
        </w:rPr>
        <w:t>Family functioning, social skills and lifestyles in students during the COVID-19 pandemic</w:t>
      </w:r>
    </w:p>
    <w:p w14:paraId="592DFC82" w14:textId="77777777" w:rsidR="00597617" w:rsidRPr="00597617" w:rsidRDefault="00597617" w:rsidP="00597617">
      <w:pPr>
        <w:spacing w:line="360" w:lineRule="auto"/>
        <w:rPr>
          <w:rFonts w:eastAsia="Calibri"/>
          <w:lang w:val="en-US" w:eastAsia="en-US"/>
        </w:rPr>
      </w:pPr>
    </w:p>
    <w:p w14:paraId="543CF8E4"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Fiorella Inga-Berrospi</w:t>
      </w:r>
      <w:r w:rsidRPr="00597617">
        <w:rPr>
          <w:rFonts w:eastAsia="Calibri"/>
          <w:vertAlign w:val="superscript"/>
          <w:lang w:val="es-CU" w:eastAsia="en-US"/>
        </w:rPr>
        <w:t>1</w:t>
      </w:r>
      <w:r w:rsidRPr="00597617">
        <w:rPr>
          <w:rFonts w:eastAsia="Calibri"/>
          <w:lang w:val="es-CU" w:eastAsia="en-US"/>
        </w:rPr>
        <w:t xml:space="preserve"> </w:t>
      </w:r>
      <w:hyperlink r:id="rId7" w:history="1">
        <w:r w:rsidRPr="00597617">
          <w:rPr>
            <w:rFonts w:eastAsia="Calibri"/>
            <w:color w:val="0000FF"/>
            <w:u w:val="single"/>
            <w:lang w:val="es-CU" w:eastAsia="en-US"/>
          </w:rPr>
          <w:t>https://orcid.org/0000-0002-9778-1557</w:t>
        </w:r>
      </w:hyperlink>
      <w:r w:rsidRPr="00597617">
        <w:rPr>
          <w:rFonts w:eastAsia="Calibri"/>
          <w:lang w:val="es-CU" w:eastAsia="en-US"/>
        </w:rPr>
        <w:t xml:space="preserve"> </w:t>
      </w:r>
    </w:p>
    <w:p w14:paraId="422531B9"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María G. Chiroque-Becerra</w:t>
      </w:r>
      <w:r w:rsidRPr="00597617">
        <w:rPr>
          <w:rFonts w:eastAsia="Calibri"/>
          <w:vertAlign w:val="superscript"/>
          <w:lang w:val="es-CU" w:eastAsia="en-US"/>
        </w:rPr>
        <w:t>1</w:t>
      </w:r>
      <w:r w:rsidRPr="00597617">
        <w:rPr>
          <w:rFonts w:eastAsia="Calibri"/>
          <w:lang w:val="es-CU" w:eastAsia="en-US"/>
        </w:rPr>
        <w:t xml:space="preserve"> </w:t>
      </w:r>
      <w:hyperlink r:id="rId8" w:history="1">
        <w:r w:rsidRPr="00597617">
          <w:rPr>
            <w:rFonts w:eastAsia="Calibri"/>
            <w:color w:val="0000FF"/>
            <w:u w:val="single"/>
            <w:lang w:val="es-CU" w:eastAsia="en-US"/>
          </w:rPr>
          <w:t>https://orcid.org/0000-0003-2647-2180</w:t>
        </w:r>
      </w:hyperlink>
      <w:r w:rsidRPr="00597617">
        <w:rPr>
          <w:rFonts w:eastAsia="Calibri"/>
          <w:lang w:val="es-CU" w:eastAsia="en-US"/>
        </w:rPr>
        <w:t xml:space="preserve"> </w:t>
      </w:r>
    </w:p>
    <w:p w14:paraId="27F15974"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Paola J. Ramos-Rupay</w:t>
      </w:r>
      <w:r w:rsidRPr="00597617">
        <w:rPr>
          <w:rFonts w:eastAsia="Calibri"/>
          <w:vertAlign w:val="superscript"/>
          <w:lang w:val="es-CU" w:eastAsia="en-US"/>
        </w:rPr>
        <w:t>1</w:t>
      </w:r>
      <w:r w:rsidRPr="00597617">
        <w:rPr>
          <w:rFonts w:eastAsia="Calibri"/>
          <w:lang w:val="es-CU" w:eastAsia="en-US"/>
        </w:rPr>
        <w:t xml:space="preserve"> </w:t>
      </w:r>
      <w:hyperlink r:id="rId9" w:history="1">
        <w:r w:rsidRPr="00597617">
          <w:rPr>
            <w:rFonts w:eastAsia="Calibri"/>
            <w:color w:val="0000FF"/>
            <w:u w:val="single"/>
            <w:lang w:val="es-CU" w:eastAsia="en-US"/>
          </w:rPr>
          <w:t>https://orcid.org/0000-0002-9710-0299</w:t>
        </w:r>
      </w:hyperlink>
      <w:r w:rsidRPr="00597617">
        <w:rPr>
          <w:rFonts w:eastAsia="Calibri"/>
          <w:lang w:val="es-CU" w:eastAsia="en-US"/>
        </w:rPr>
        <w:t xml:space="preserve"> </w:t>
      </w:r>
    </w:p>
    <w:p w14:paraId="71018969"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Pavel J. Contreras-Carmona</w:t>
      </w:r>
      <w:r w:rsidRPr="00597617">
        <w:rPr>
          <w:rFonts w:eastAsia="Calibri"/>
          <w:vertAlign w:val="superscript"/>
          <w:lang w:val="es-CU" w:eastAsia="en-US"/>
        </w:rPr>
        <w:t>1</w:t>
      </w:r>
      <w:r w:rsidRPr="00597617">
        <w:rPr>
          <w:rFonts w:eastAsia="Calibri"/>
          <w:lang w:val="es-CU" w:eastAsia="en-US"/>
        </w:rPr>
        <w:t xml:space="preserve"> </w:t>
      </w:r>
      <w:hyperlink r:id="rId10" w:history="1">
        <w:r w:rsidRPr="00597617">
          <w:rPr>
            <w:rFonts w:eastAsia="Calibri"/>
            <w:color w:val="0000FF"/>
            <w:u w:val="single"/>
            <w:lang w:val="es-CU" w:eastAsia="en-US"/>
          </w:rPr>
          <w:t>https://orcid.org/0000-0002-7949-0393</w:t>
        </w:r>
      </w:hyperlink>
      <w:r w:rsidRPr="00597617">
        <w:rPr>
          <w:rFonts w:eastAsia="Calibri"/>
          <w:lang w:val="es-CU" w:eastAsia="en-US"/>
        </w:rPr>
        <w:t xml:space="preserve"> </w:t>
      </w:r>
    </w:p>
    <w:p w14:paraId="63016BEA"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Mario J. Valladares-Garrido</w:t>
      </w:r>
      <w:r w:rsidRPr="00597617">
        <w:rPr>
          <w:rFonts w:eastAsia="Calibri"/>
          <w:vertAlign w:val="superscript"/>
          <w:lang w:val="es-CU" w:eastAsia="en-US"/>
        </w:rPr>
        <w:t>2</w:t>
      </w:r>
      <w:r w:rsidRPr="00597617">
        <w:rPr>
          <w:rFonts w:eastAsia="Calibri"/>
          <w:lang w:val="es-CU" w:eastAsia="en-US"/>
        </w:rPr>
        <w:t xml:space="preserve">* </w:t>
      </w:r>
      <w:hyperlink r:id="rId11" w:history="1">
        <w:r w:rsidRPr="00597617">
          <w:rPr>
            <w:rFonts w:eastAsia="Calibri"/>
            <w:color w:val="0000FF"/>
            <w:u w:val="single"/>
            <w:lang w:val="es-CU" w:eastAsia="en-US"/>
          </w:rPr>
          <w:t>https://orcid.org/0000-0003-0839-2419</w:t>
        </w:r>
      </w:hyperlink>
      <w:r w:rsidRPr="00597617">
        <w:rPr>
          <w:rFonts w:eastAsia="Calibri"/>
          <w:lang w:val="es-CU" w:eastAsia="en-US"/>
        </w:rPr>
        <w:t xml:space="preserve"> </w:t>
      </w:r>
    </w:p>
    <w:p w14:paraId="4895EA11" w14:textId="77777777" w:rsidR="00597617" w:rsidRPr="00597617" w:rsidRDefault="00597617" w:rsidP="00597617">
      <w:pPr>
        <w:spacing w:line="360" w:lineRule="auto"/>
        <w:rPr>
          <w:rFonts w:eastAsia="Calibri"/>
          <w:lang w:val="es-CU" w:eastAsia="en-US"/>
        </w:rPr>
      </w:pPr>
    </w:p>
    <w:p w14:paraId="3A4163E5" w14:textId="77777777" w:rsidR="00597617" w:rsidRPr="00597617" w:rsidRDefault="00597617" w:rsidP="00597617">
      <w:pPr>
        <w:spacing w:line="360" w:lineRule="auto"/>
        <w:rPr>
          <w:rFonts w:eastAsia="Calibri"/>
          <w:lang w:val="es-CU" w:eastAsia="en-US"/>
        </w:rPr>
      </w:pPr>
      <w:r w:rsidRPr="00597617">
        <w:rPr>
          <w:rFonts w:eastAsia="Calibri"/>
          <w:vertAlign w:val="superscript"/>
          <w:lang w:val="es-CU" w:eastAsia="en-US"/>
        </w:rPr>
        <w:t>1</w:t>
      </w:r>
      <w:r w:rsidRPr="00597617">
        <w:rPr>
          <w:rFonts w:eastAsia="Calibri"/>
          <w:lang w:val="es-CU" w:eastAsia="en-US"/>
        </w:rPr>
        <w:t>Vicerrectorado de Investigación. Universidad Privada Norbert Wiener. Lima, Perú.</w:t>
      </w:r>
    </w:p>
    <w:p w14:paraId="79A21A3C" w14:textId="77777777" w:rsidR="00597617" w:rsidRPr="00597617" w:rsidRDefault="00597617" w:rsidP="00597617">
      <w:pPr>
        <w:spacing w:line="360" w:lineRule="auto"/>
        <w:rPr>
          <w:rFonts w:eastAsia="Calibri"/>
          <w:lang w:val="es-CU" w:eastAsia="en-US"/>
        </w:rPr>
      </w:pPr>
      <w:r w:rsidRPr="00597617">
        <w:rPr>
          <w:rFonts w:eastAsia="Calibri"/>
          <w:vertAlign w:val="superscript"/>
          <w:lang w:val="es-CU" w:eastAsia="en-US"/>
        </w:rPr>
        <w:t>2</w:t>
      </w:r>
      <w:r w:rsidRPr="00597617">
        <w:rPr>
          <w:rFonts w:eastAsia="Calibri"/>
          <w:lang w:val="es-CU" w:eastAsia="en-US"/>
        </w:rPr>
        <w:t>Universidad Continental. Lima, Perú.</w:t>
      </w:r>
    </w:p>
    <w:p w14:paraId="5AD56C07" w14:textId="77777777" w:rsidR="00597617" w:rsidRPr="00597617" w:rsidRDefault="00597617" w:rsidP="00597617">
      <w:pPr>
        <w:spacing w:line="360" w:lineRule="auto"/>
        <w:rPr>
          <w:rFonts w:eastAsia="Calibri"/>
          <w:lang w:val="es-CU" w:eastAsia="en-US"/>
        </w:rPr>
      </w:pPr>
    </w:p>
    <w:p w14:paraId="489E28AD" w14:textId="77777777" w:rsidR="00597617" w:rsidRPr="00597617" w:rsidRDefault="00597617" w:rsidP="00597617">
      <w:pPr>
        <w:spacing w:line="360" w:lineRule="auto"/>
        <w:rPr>
          <w:rFonts w:eastAsia="Calibri"/>
          <w:lang w:val="es-CU" w:eastAsia="en-US"/>
        </w:rPr>
      </w:pPr>
      <w:r w:rsidRPr="00597617">
        <w:rPr>
          <w:rFonts w:eastAsia="Calibri"/>
          <w:lang w:val="es-CU" w:eastAsia="en-US"/>
        </w:rPr>
        <w:t xml:space="preserve">*Autor para la correspondencia. Correo electrónico: </w:t>
      </w:r>
      <w:hyperlink r:id="rId12" w:history="1">
        <w:r w:rsidRPr="00597617">
          <w:rPr>
            <w:rFonts w:eastAsia="Calibri"/>
            <w:color w:val="0000FF"/>
            <w:u w:val="single"/>
            <w:lang w:val="es-CU" w:eastAsia="en-US"/>
          </w:rPr>
          <w:t>mvalladares@continental.edu.pe</w:t>
        </w:r>
        <w:r w:rsidRPr="00597617" w:rsidDel="009C4696">
          <w:rPr>
            <w:rFonts w:eastAsia="Calibri"/>
            <w:color w:val="0000FF"/>
            <w:u w:val="single"/>
            <w:lang w:val="es-CU" w:eastAsia="en-US"/>
          </w:rPr>
          <w:t xml:space="preserve"> </w:t>
        </w:r>
      </w:hyperlink>
      <w:r w:rsidRPr="00597617">
        <w:rPr>
          <w:rFonts w:eastAsia="Calibri"/>
          <w:lang w:val="es-CU" w:eastAsia="en-US"/>
        </w:rPr>
        <w:t xml:space="preserve"> </w:t>
      </w:r>
    </w:p>
    <w:p w14:paraId="768B5068" w14:textId="77777777" w:rsidR="00597617" w:rsidRPr="00597617" w:rsidRDefault="00597617" w:rsidP="00597617">
      <w:pPr>
        <w:spacing w:line="360" w:lineRule="auto"/>
        <w:rPr>
          <w:rFonts w:eastAsia="Calibri"/>
          <w:b/>
          <w:lang w:val="es-PE" w:eastAsia="en-US"/>
        </w:rPr>
      </w:pPr>
    </w:p>
    <w:p w14:paraId="5998A4A2" w14:textId="77777777" w:rsidR="00597617" w:rsidRPr="00597617" w:rsidRDefault="00597617" w:rsidP="00597617">
      <w:pPr>
        <w:spacing w:line="360" w:lineRule="auto"/>
        <w:rPr>
          <w:rFonts w:eastAsia="Calibri"/>
          <w:b/>
          <w:lang w:val="es-PE" w:eastAsia="en-US"/>
        </w:rPr>
      </w:pPr>
      <w:r w:rsidRPr="00597617">
        <w:rPr>
          <w:rFonts w:eastAsia="Calibri"/>
          <w:b/>
          <w:lang w:val="es-PE" w:eastAsia="en-US"/>
        </w:rPr>
        <w:t>RESUMEN</w:t>
      </w:r>
    </w:p>
    <w:p w14:paraId="4FF0C89F" w14:textId="77777777" w:rsidR="00597617" w:rsidRPr="00597617" w:rsidRDefault="00597617" w:rsidP="00597617">
      <w:pPr>
        <w:spacing w:line="360" w:lineRule="auto"/>
        <w:jc w:val="both"/>
        <w:rPr>
          <w:rFonts w:eastAsia="Calibri"/>
          <w:lang w:val="es-PE" w:eastAsia="en-US"/>
        </w:rPr>
      </w:pPr>
      <w:r w:rsidRPr="00597617">
        <w:rPr>
          <w:rFonts w:eastAsia="Calibri"/>
          <w:b/>
          <w:lang w:val="es-PE" w:eastAsia="en-US"/>
        </w:rPr>
        <w:t>Introducción:</w:t>
      </w:r>
      <w:r w:rsidRPr="00597617">
        <w:rPr>
          <w:rFonts w:eastAsia="Calibri"/>
          <w:bCs/>
          <w:lang w:val="es-PE" w:eastAsia="en-US"/>
        </w:rPr>
        <w:t xml:space="preserve"> </w:t>
      </w:r>
      <w:r w:rsidRPr="00597617">
        <w:rPr>
          <w:rFonts w:eastAsia="Calibri"/>
          <w:lang w:val="es-PE" w:eastAsia="en-US"/>
        </w:rPr>
        <w:t xml:space="preserve">La población escolar ha sido afectada por la suspensión de clases presenciales durante los meses iniciales de la pandemia por la COVID-19. </w:t>
      </w:r>
    </w:p>
    <w:p w14:paraId="634D5992" w14:textId="77777777" w:rsidR="00597617" w:rsidRPr="00597617" w:rsidRDefault="00597617" w:rsidP="00597617">
      <w:pPr>
        <w:spacing w:line="360" w:lineRule="auto"/>
        <w:jc w:val="both"/>
        <w:rPr>
          <w:rFonts w:eastAsia="Calibri"/>
          <w:lang w:val="es-PE" w:eastAsia="en-US"/>
        </w:rPr>
      </w:pPr>
      <w:r w:rsidRPr="00597617">
        <w:rPr>
          <w:rFonts w:eastAsia="Calibri"/>
          <w:b/>
          <w:lang w:val="es-PE" w:eastAsia="en-US"/>
        </w:rPr>
        <w:t>Objetivo:</w:t>
      </w:r>
      <w:r w:rsidRPr="00597617">
        <w:rPr>
          <w:rFonts w:eastAsia="Calibri"/>
          <w:bCs/>
          <w:lang w:val="es-PE" w:eastAsia="en-US"/>
        </w:rPr>
        <w:t xml:space="preserve"> </w:t>
      </w:r>
      <w:r w:rsidRPr="00597617">
        <w:rPr>
          <w:rFonts w:eastAsia="Calibri"/>
          <w:lang w:val="es-PE" w:eastAsia="en-US"/>
        </w:rPr>
        <w:t xml:space="preserve">Determinar la asociación entre funcionalidad familiar con habilidades sociales y estilos de vida en estudiantes del nivel secundaria. </w:t>
      </w:r>
    </w:p>
    <w:p w14:paraId="29721FC4" w14:textId="77777777" w:rsidR="00597617" w:rsidRPr="00597617" w:rsidRDefault="00597617" w:rsidP="00597617">
      <w:pPr>
        <w:spacing w:line="360" w:lineRule="auto"/>
        <w:jc w:val="both"/>
        <w:rPr>
          <w:rFonts w:eastAsia="Calibri"/>
          <w:lang w:val="es-PE" w:eastAsia="en-US"/>
        </w:rPr>
      </w:pPr>
      <w:r w:rsidRPr="00597617">
        <w:rPr>
          <w:rFonts w:eastAsia="Calibri"/>
          <w:b/>
          <w:lang w:val="es-PE" w:eastAsia="en-US"/>
        </w:rPr>
        <w:t>Método:</w:t>
      </w:r>
      <w:r w:rsidRPr="00597617">
        <w:rPr>
          <w:rFonts w:eastAsia="Calibri"/>
          <w:bCs/>
          <w:lang w:val="es-PE" w:eastAsia="en-US"/>
        </w:rPr>
        <w:t xml:space="preserve"> Estudio transversal realizado en 107 estudiantes. Se recopiló datos sociodemográficos y de funcionalidad </w:t>
      </w:r>
      <w:r w:rsidRPr="00597617">
        <w:rPr>
          <w:rFonts w:eastAsia="Calibri"/>
          <w:lang w:val="es-PE" w:eastAsia="en-US"/>
        </w:rPr>
        <w:t xml:space="preserve">familiar, estilos de vida y habilidades sociales. Se realizó un análisis de regresión simple y múltiple para estimar la asociación entre funcionalidad familiar con estilo de vida, habilidades sociales y variables sociodemográficas. </w:t>
      </w:r>
    </w:p>
    <w:p w14:paraId="1A3960FF" w14:textId="77777777" w:rsidR="00597617" w:rsidRPr="00597617" w:rsidRDefault="00597617" w:rsidP="00597617">
      <w:pPr>
        <w:spacing w:line="360" w:lineRule="auto"/>
        <w:jc w:val="both"/>
        <w:rPr>
          <w:rFonts w:eastAsia="Calibri"/>
          <w:bCs/>
          <w:lang w:val="es-PE" w:eastAsia="en-US"/>
        </w:rPr>
      </w:pPr>
      <w:r w:rsidRPr="00597617">
        <w:rPr>
          <w:rFonts w:eastAsia="Calibri"/>
          <w:b/>
          <w:lang w:val="es-PE" w:eastAsia="en-US"/>
        </w:rPr>
        <w:lastRenderedPageBreak/>
        <w:t>Resultados:</w:t>
      </w:r>
      <w:r w:rsidRPr="00597617">
        <w:rPr>
          <w:rFonts w:eastAsia="Calibri"/>
          <w:lang w:val="es-PE" w:eastAsia="en-US"/>
        </w:rPr>
        <w:t xml:space="preserve"> El 91,7 % de alumnos reportó una funcionalidad familiar alta, 94,8 % tuvieron un estilo de vida bueno y 81,3 % tuvieron un nivel bajo de habilidades sociales.  En la regresión múltiple, quienes procedían de entornos urbanos </w:t>
      </w:r>
      <w:r w:rsidRPr="00597617">
        <w:rPr>
          <w:rFonts w:eastAsia="Calibri"/>
          <w:bCs/>
          <w:lang w:val="es-PE" w:eastAsia="en-US"/>
        </w:rPr>
        <w:t xml:space="preserve">tuvieron menor prevalencia de presentar habilidades sociales en promedio bajo (RP: 0,87; IC 95 %: 0,76-0,97, </w:t>
      </w:r>
      <w:r w:rsidRPr="00597617">
        <w:rPr>
          <w:rFonts w:eastAsia="Calibri"/>
          <w:lang w:val="es-PE" w:eastAsia="en-US"/>
        </w:rPr>
        <w:t>p= 0,014). Las mujeres presentaron mejores niveles de estilos de vida saludable (RP: 0,96, IC 95 %: 0,92-0,99, p= 0,034). No se encontró asociación entre la funcionalidad familiar con el nivel de habilidades sociales (RP: 1,17; IC 95 %: 0,56-2,46, p= 0,678) y con estilos de vida saludable (RP: 1,07; IC 95 %: 0,87-1,31, p= 0,548).</w:t>
      </w:r>
      <w:r w:rsidRPr="00597617">
        <w:rPr>
          <w:rFonts w:eastAsia="Calibri"/>
          <w:bCs/>
          <w:lang w:val="es-PE" w:eastAsia="en-US"/>
        </w:rPr>
        <w:t xml:space="preserve"> </w:t>
      </w:r>
    </w:p>
    <w:p w14:paraId="264AD25B" w14:textId="77777777" w:rsidR="00597617" w:rsidRPr="00597617" w:rsidRDefault="00597617" w:rsidP="00597617">
      <w:pPr>
        <w:spacing w:line="360" w:lineRule="auto"/>
        <w:jc w:val="both"/>
        <w:rPr>
          <w:rFonts w:eastAsia="Calibri"/>
          <w:bCs/>
          <w:lang w:val="es-PE" w:eastAsia="en-US"/>
        </w:rPr>
      </w:pPr>
      <w:r w:rsidRPr="00597617">
        <w:rPr>
          <w:rFonts w:eastAsia="Calibri"/>
          <w:b/>
          <w:lang w:val="es-PE" w:eastAsia="en-US"/>
        </w:rPr>
        <w:t>Conclusiones:</w:t>
      </w:r>
      <w:r w:rsidRPr="00597617">
        <w:rPr>
          <w:rFonts w:eastAsia="Calibri"/>
          <w:bCs/>
          <w:lang w:val="es-PE" w:eastAsia="en-US"/>
        </w:rPr>
        <w:t xml:space="preserve"> No existe asociación entre funcionalidad familiar con habilidades sociales y estilos de vida en los estudiantes.</w:t>
      </w:r>
    </w:p>
    <w:p w14:paraId="1F74BDFC" w14:textId="77777777" w:rsidR="00597617" w:rsidRPr="00597617" w:rsidRDefault="00597617" w:rsidP="00597617">
      <w:pPr>
        <w:spacing w:line="360" w:lineRule="auto"/>
        <w:rPr>
          <w:rFonts w:eastAsia="Calibri"/>
          <w:bCs/>
          <w:lang w:val="es-PE" w:eastAsia="en-US"/>
        </w:rPr>
      </w:pPr>
      <w:r w:rsidRPr="00597617">
        <w:rPr>
          <w:rFonts w:eastAsia="Calibri"/>
          <w:b/>
          <w:lang w:val="es-PE" w:eastAsia="en-US"/>
        </w:rPr>
        <w:t xml:space="preserve">Palabras clave: </w:t>
      </w:r>
      <w:r w:rsidRPr="00597617">
        <w:rPr>
          <w:rFonts w:eastAsia="Calibri"/>
          <w:bCs/>
          <w:lang w:val="es-PE" w:eastAsia="en-US"/>
        </w:rPr>
        <w:t>funcionalidad familiar; estilos de vida saludable; habilidades sociales; estudiantes; COVID-19.</w:t>
      </w:r>
    </w:p>
    <w:p w14:paraId="5CA9269D" w14:textId="77777777" w:rsidR="00597617" w:rsidRPr="00597617" w:rsidRDefault="00597617" w:rsidP="00597617">
      <w:pPr>
        <w:spacing w:line="360" w:lineRule="auto"/>
        <w:rPr>
          <w:rFonts w:eastAsia="Calibri"/>
          <w:b/>
          <w:lang w:val="es-PE" w:eastAsia="en-US"/>
        </w:rPr>
      </w:pPr>
    </w:p>
    <w:p w14:paraId="603B4C78" w14:textId="77777777" w:rsidR="00597617" w:rsidRPr="00597617" w:rsidRDefault="00597617" w:rsidP="00597617">
      <w:pPr>
        <w:spacing w:line="360" w:lineRule="auto"/>
        <w:rPr>
          <w:rFonts w:eastAsia="Calibri"/>
          <w:b/>
          <w:lang w:val="en-US" w:eastAsia="en-US"/>
        </w:rPr>
      </w:pPr>
      <w:r w:rsidRPr="00597617">
        <w:rPr>
          <w:rFonts w:eastAsia="Calibri"/>
          <w:b/>
          <w:lang w:val="en-US" w:eastAsia="en-US"/>
        </w:rPr>
        <w:t>ABSTRACT</w:t>
      </w:r>
    </w:p>
    <w:p w14:paraId="5DF185F6" w14:textId="77777777" w:rsidR="00597617" w:rsidRPr="00597617" w:rsidRDefault="00597617" w:rsidP="00597617">
      <w:pPr>
        <w:spacing w:line="360" w:lineRule="auto"/>
        <w:jc w:val="both"/>
        <w:rPr>
          <w:rFonts w:eastAsia="Calibri"/>
          <w:bCs/>
          <w:lang w:val="en-US" w:eastAsia="en-US"/>
        </w:rPr>
      </w:pPr>
      <w:r w:rsidRPr="00597617">
        <w:rPr>
          <w:rFonts w:eastAsia="Calibri"/>
          <w:b/>
          <w:lang w:val="en-US" w:eastAsia="en-US"/>
        </w:rPr>
        <w:t>Introduction:</w:t>
      </w:r>
      <w:r w:rsidRPr="00597617">
        <w:rPr>
          <w:rFonts w:eastAsia="Calibri"/>
          <w:bCs/>
          <w:lang w:val="en-US" w:eastAsia="en-US"/>
        </w:rPr>
        <w:t xml:space="preserve"> The school population has been affected due to the suspension of face-to-face classes during the initial months of the COVID-19 pandemic. </w:t>
      </w:r>
    </w:p>
    <w:p w14:paraId="15AD1D90" w14:textId="77777777" w:rsidR="00597617" w:rsidRPr="00597617" w:rsidRDefault="00597617" w:rsidP="00597617">
      <w:pPr>
        <w:spacing w:line="360" w:lineRule="auto"/>
        <w:jc w:val="both"/>
        <w:rPr>
          <w:rFonts w:eastAsia="Calibri"/>
          <w:bCs/>
          <w:lang w:val="en-US" w:eastAsia="en-US"/>
        </w:rPr>
      </w:pPr>
      <w:r w:rsidRPr="00597617">
        <w:rPr>
          <w:rFonts w:eastAsia="Calibri"/>
          <w:b/>
          <w:lang w:val="en-US" w:eastAsia="en-US"/>
        </w:rPr>
        <w:t>Objective:</w:t>
      </w:r>
      <w:r w:rsidRPr="00597617">
        <w:rPr>
          <w:rFonts w:eastAsia="Calibri"/>
          <w:bCs/>
          <w:lang w:val="en-US" w:eastAsia="en-US"/>
        </w:rPr>
        <w:t xml:space="preserve"> To determine the association between family functionality with social skills and lifestyles in secondary school students. </w:t>
      </w:r>
    </w:p>
    <w:p w14:paraId="2D53E612" w14:textId="77777777" w:rsidR="00597617" w:rsidRPr="00597617" w:rsidRDefault="00597617" w:rsidP="00597617">
      <w:pPr>
        <w:spacing w:line="360" w:lineRule="auto"/>
        <w:jc w:val="both"/>
        <w:rPr>
          <w:rFonts w:eastAsia="Calibri"/>
          <w:bCs/>
          <w:lang w:val="en-US" w:eastAsia="en-US"/>
        </w:rPr>
      </w:pPr>
      <w:r w:rsidRPr="00597617">
        <w:rPr>
          <w:rFonts w:eastAsia="Calibri"/>
          <w:b/>
          <w:lang w:val="en-US" w:eastAsia="en-US"/>
        </w:rPr>
        <w:t>Methodology:</w:t>
      </w:r>
      <w:r w:rsidRPr="00597617">
        <w:rPr>
          <w:rFonts w:eastAsia="Calibri"/>
          <w:bCs/>
          <w:lang w:val="en-US" w:eastAsia="en-US"/>
        </w:rPr>
        <w:t xml:space="preserve"> Cross-sectional study conducted in 107 students. Sociodemographic data and data on family functionality, lifestyles and social skills were collected. A simple and multiple regression analysis was performed to estimate the association between family functionality with lifestyle, social skills and sociodemographic variables. </w:t>
      </w:r>
    </w:p>
    <w:p w14:paraId="06AE0254" w14:textId="77777777" w:rsidR="00597617" w:rsidRPr="00597617" w:rsidRDefault="00597617" w:rsidP="00597617">
      <w:pPr>
        <w:spacing w:line="360" w:lineRule="auto"/>
        <w:jc w:val="both"/>
        <w:rPr>
          <w:rFonts w:eastAsia="Calibri"/>
          <w:bCs/>
          <w:lang w:val="en-US" w:eastAsia="en-US"/>
        </w:rPr>
      </w:pPr>
      <w:r w:rsidRPr="00597617">
        <w:rPr>
          <w:rFonts w:eastAsia="Calibri"/>
          <w:b/>
          <w:lang w:val="en-US" w:eastAsia="en-US"/>
        </w:rPr>
        <w:t>Results:</w:t>
      </w:r>
      <w:r w:rsidRPr="00597617">
        <w:rPr>
          <w:rFonts w:eastAsia="Calibri"/>
          <w:bCs/>
          <w:lang w:val="en-US" w:eastAsia="en-US"/>
        </w:rPr>
        <w:t xml:space="preserve"> The 91.7 % of students reported high family functionality, 94.8 % had a good lifestyle, and 81.3 % had a low level of social skills. In the multiple regression, those who came from urban environments had a lower prevalence of presenting low average social skills (PR: 0.87; CI 95 %: 0.76-0.97, p= 0.014). Women presented better levels of healthy lifestyles (PR: 0.96, CI 95 %: 0.92-0.99, p= 0.034). No association was found between family functionality and the level of social skills (PR: 1.17; CI 95 %: 0.56-2.46, p= 0.678) and with healthy lifestyles (PR: 1.07; CI 95 %: 0.87-1.31, p= 0.548). </w:t>
      </w:r>
    </w:p>
    <w:p w14:paraId="5C9C166C" w14:textId="77777777" w:rsidR="00597617" w:rsidRPr="00597617" w:rsidRDefault="00597617" w:rsidP="00597617">
      <w:pPr>
        <w:spacing w:line="360" w:lineRule="auto"/>
        <w:jc w:val="both"/>
        <w:rPr>
          <w:rFonts w:eastAsia="Calibri"/>
          <w:bCs/>
          <w:lang w:val="en-US" w:eastAsia="en-US"/>
        </w:rPr>
      </w:pPr>
      <w:r w:rsidRPr="00597617">
        <w:rPr>
          <w:rFonts w:eastAsia="Calibri"/>
          <w:b/>
          <w:lang w:val="en-US" w:eastAsia="en-US"/>
        </w:rPr>
        <w:lastRenderedPageBreak/>
        <w:t>Conclusions:</w:t>
      </w:r>
      <w:r w:rsidRPr="00597617">
        <w:rPr>
          <w:rFonts w:eastAsia="Calibri"/>
          <w:bCs/>
          <w:lang w:val="en-US" w:eastAsia="en-US"/>
        </w:rPr>
        <w:t xml:space="preserve"> There is no association between family functionality and social skills and lifestyles in students.</w:t>
      </w:r>
    </w:p>
    <w:p w14:paraId="6B151921" w14:textId="77777777" w:rsidR="00597617" w:rsidRPr="00597617" w:rsidRDefault="00597617" w:rsidP="00597617">
      <w:pPr>
        <w:spacing w:line="360" w:lineRule="auto"/>
        <w:rPr>
          <w:rFonts w:eastAsia="Calibri"/>
          <w:bCs/>
          <w:lang w:val="en-US" w:eastAsia="en-US"/>
        </w:rPr>
      </w:pPr>
      <w:r w:rsidRPr="00597617">
        <w:rPr>
          <w:rFonts w:eastAsia="Calibri"/>
          <w:b/>
          <w:lang w:val="en-US" w:eastAsia="en-US"/>
        </w:rPr>
        <w:t>Keywords:</w:t>
      </w:r>
      <w:r w:rsidRPr="00597617">
        <w:rPr>
          <w:rFonts w:eastAsia="Calibri"/>
          <w:bCs/>
          <w:lang w:val="en-US" w:eastAsia="en-US"/>
        </w:rPr>
        <w:t xml:space="preserve"> family functioning; healthy lifestyles; social skills; students; COVID-19.</w:t>
      </w:r>
    </w:p>
    <w:p w14:paraId="2371F669" w14:textId="77777777" w:rsidR="00597617" w:rsidRPr="00597617" w:rsidRDefault="00597617" w:rsidP="00597617">
      <w:pPr>
        <w:spacing w:line="360" w:lineRule="auto"/>
        <w:rPr>
          <w:rFonts w:eastAsia="Calibri"/>
          <w:bCs/>
          <w:lang w:val="en-US" w:eastAsia="en-US"/>
        </w:rPr>
      </w:pPr>
    </w:p>
    <w:p w14:paraId="6606D184" w14:textId="77777777" w:rsidR="00597617" w:rsidRPr="00597617" w:rsidRDefault="00597617" w:rsidP="00597617">
      <w:pPr>
        <w:spacing w:line="360" w:lineRule="auto"/>
        <w:rPr>
          <w:rFonts w:eastAsia="Calibri"/>
          <w:bCs/>
          <w:lang w:val="en-US" w:eastAsia="en-US"/>
        </w:rPr>
      </w:pPr>
    </w:p>
    <w:p w14:paraId="2EA097B6"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Recibido: 09/05/2022</w:t>
      </w:r>
    </w:p>
    <w:p w14:paraId="61E8E407"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Aprobado: 09/07/2022</w:t>
      </w:r>
    </w:p>
    <w:p w14:paraId="3E80C240" w14:textId="77777777" w:rsidR="00597617" w:rsidRPr="00597617" w:rsidRDefault="00597617" w:rsidP="00597617">
      <w:pPr>
        <w:spacing w:line="360" w:lineRule="auto"/>
        <w:rPr>
          <w:rFonts w:eastAsia="Calibri"/>
          <w:bCs/>
          <w:lang w:val="es-CU" w:eastAsia="en-US"/>
        </w:rPr>
      </w:pPr>
    </w:p>
    <w:p w14:paraId="6CA8E5B1" w14:textId="77777777" w:rsidR="00597617" w:rsidRPr="00597617" w:rsidRDefault="00597617" w:rsidP="00597617">
      <w:pPr>
        <w:spacing w:line="360" w:lineRule="auto"/>
        <w:jc w:val="center"/>
        <w:rPr>
          <w:rFonts w:eastAsia="Calibri"/>
          <w:b/>
          <w:bCs/>
          <w:lang w:val="es-PE" w:eastAsia="en-US"/>
        </w:rPr>
      </w:pPr>
    </w:p>
    <w:p w14:paraId="2680AC57" w14:textId="77777777" w:rsidR="00597617" w:rsidRPr="00597617" w:rsidRDefault="00597617" w:rsidP="00597617">
      <w:pPr>
        <w:spacing w:line="360" w:lineRule="auto"/>
        <w:jc w:val="center"/>
        <w:rPr>
          <w:rFonts w:eastAsia="Calibri"/>
          <w:b/>
          <w:bCs/>
          <w:sz w:val="32"/>
          <w:szCs w:val="32"/>
          <w:lang w:val="es-PE" w:eastAsia="en-US"/>
        </w:rPr>
      </w:pPr>
      <w:r w:rsidRPr="00597617">
        <w:rPr>
          <w:rFonts w:eastAsia="Calibri"/>
          <w:b/>
          <w:bCs/>
          <w:sz w:val="32"/>
          <w:szCs w:val="32"/>
          <w:lang w:val="es-PE" w:eastAsia="en-US"/>
        </w:rPr>
        <w:t>INTRODUCCIÓN</w:t>
      </w:r>
    </w:p>
    <w:p w14:paraId="316054F5"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La pandemia por la COVID-19 ha ocasionado cambios significativos en el estilo de vida de las personas, debido a las medidas implementadas para disminuir los contagios.</w:t>
      </w:r>
      <w:r w:rsidRPr="00597617">
        <w:rPr>
          <w:rFonts w:eastAsia="Calibri"/>
          <w:vertAlign w:val="superscript"/>
          <w:lang w:val="es-PE" w:eastAsia="en-US"/>
        </w:rPr>
        <w:t>(1)</w:t>
      </w:r>
      <w:r w:rsidRPr="00597617">
        <w:rPr>
          <w:rFonts w:eastAsia="Calibri"/>
          <w:lang w:val="es-PE" w:eastAsia="en-US"/>
        </w:rPr>
        <w:t xml:space="preserve"> Entre estas disposiciones se encuentra el aislamiento social, que ha motivado a que la familia tome un rol importante entre la cohesión de los miembros que la conforman.</w:t>
      </w:r>
      <w:r w:rsidRPr="00597617">
        <w:rPr>
          <w:rFonts w:eastAsia="Calibri"/>
          <w:vertAlign w:val="superscript"/>
          <w:lang w:val="es-PE" w:eastAsia="en-US"/>
        </w:rPr>
        <w:t>(2)</w:t>
      </w:r>
      <w:r w:rsidRPr="00597617">
        <w:rPr>
          <w:rFonts w:eastAsia="Calibri"/>
          <w:lang w:val="es-PE" w:eastAsia="en-US"/>
        </w:rPr>
        <w:t xml:space="preserve"> La población escolar también fue afectada debido a la suspensión de clases presenciales en los colegios, para frenar los contagios durante la primera y segunda ola pandémica.</w:t>
      </w:r>
      <w:r w:rsidRPr="00597617">
        <w:rPr>
          <w:rFonts w:eastAsia="Calibri"/>
          <w:vertAlign w:val="superscript"/>
          <w:lang w:val="es-PE" w:eastAsia="en-US"/>
        </w:rPr>
        <w:t>(3)</w:t>
      </w:r>
      <w:r w:rsidRPr="00597617">
        <w:rPr>
          <w:rFonts w:eastAsia="Calibri"/>
          <w:lang w:val="es-PE" w:eastAsia="en-US"/>
        </w:rPr>
        <w:t xml:space="preserve"> Debido a esto, los estudiantes han tenido que adaptarse al cambio en su entorno educativo, incluyendo la interrupción de actividades de recreación social, por lo tanto, esto influye en el desarrollo de sus habilidades sociales.</w:t>
      </w:r>
      <w:r w:rsidRPr="00597617">
        <w:rPr>
          <w:rFonts w:eastAsia="Calibri"/>
          <w:vertAlign w:val="superscript"/>
          <w:lang w:val="es-PE" w:eastAsia="en-US"/>
        </w:rPr>
        <w:t>(4,5)</w:t>
      </w:r>
    </w:p>
    <w:p w14:paraId="57A7FC31" w14:textId="77777777" w:rsidR="00597617" w:rsidRPr="00597617" w:rsidRDefault="00597617" w:rsidP="00597617">
      <w:pPr>
        <w:tabs>
          <w:tab w:val="left" w:pos="3665"/>
        </w:tabs>
        <w:spacing w:line="360" w:lineRule="auto"/>
        <w:jc w:val="both"/>
        <w:rPr>
          <w:rFonts w:eastAsia="Calibri"/>
          <w:lang w:val="es-PE" w:eastAsia="en-US"/>
        </w:rPr>
      </w:pPr>
      <w:r w:rsidRPr="00597617">
        <w:rPr>
          <w:rFonts w:eastAsia="Calibri"/>
          <w:lang w:val="es-PE" w:eastAsia="en-US"/>
        </w:rPr>
        <w:t>La funcionalidad familiar es la capacidad de crear un entorno que facilite el desarrollo personal de sus miembros</w:t>
      </w:r>
      <w:r w:rsidRPr="00597617">
        <w:rPr>
          <w:rFonts w:eastAsia="Calibri"/>
          <w:vertAlign w:val="superscript"/>
          <w:lang w:val="es-PE" w:eastAsia="en-US"/>
        </w:rPr>
        <w:t>(6)</w:t>
      </w:r>
      <w:r w:rsidRPr="00597617">
        <w:rPr>
          <w:rFonts w:eastAsia="Calibri"/>
          <w:lang w:val="es-PE" w:eastAsia="en-US"/>
        </w:rPr>
        <w:t xml:space="preserve"> y depende de factores sociales, económicos y demográficos.</w:t>
      </w:r>
      <w:r w:rsidRPr="00597617">
        <w:rPr>
          <w:rFonts w:eastAsia="Calibri"/>
          <w:vertAlign w:val="superscript"/>
          <w:lang w:val="es-PE" w:eastAsia="en-US"/>
        </w:rPr>
        <w:t>(7,8)</w:t>
      </w:r>
      <w:r w:rsidRPr="00597617">
        <w:rPr>
          <w:rFonts w:eastAsia="Calibri"/>
          <w:lang w:val="es-PE" w:eastAsia="en-US"/>
        </w:rPr>
        <w:t xml:space="preserve"> Durante la pandemia, la disfunción familiar oscila entre 43,9 % y 49,5 % en escolares.</w:t>
      </w:r>
      <w:r w:rsidRPr="00597617">
        <w:rPr>
          <w:rFonts w:eastAsia="Calibri"/>
          <w:vertAlign w:val="superscript"/>
          <w:lang w:val="es-PE" w:eastAsia="en-US"/>
        </w:rPr>
        <w:t>(9,10)</w:t>
      </w:r>
      <w:r w:rsidRPr="00597617">
        <w:rPr>
          <w:rFonts w:eastAsia="Calibri"/>
          <w:lang w:val="es-PE" w:eastAsia="en-US"/>
        </w:rPr>
        <w:t xml:space="preserve"> Los estilos de vida se relacionan con la funcionalidad familiar, pues valoran una visión integral de la salud, la cual comprende dimensiones de afectividad y comunicación en las relaciones familiares.</w:t>
      </w:r>
      <w:r w:rsidRPr="00597617">
        <w:rPr>
          <w:rFonts w:eastAsia="Calibri"/>
          <w:vertAlign w:val="superscript"/>
          <w:lang w:val="es-PE" w:eastAsia="en-US"/>
        </w:rPr>
        <w:t>(11,12)</w:t>
      </w:r>
      <w:r w:rsidRPr="00597617">
        <w:rPr>
          <w:rFonts w:eastAsia="Calibri"/>
          <w:lang w:val="es-PE" w:eastAsia="en-US"/>
        </w:rPr>
        <w:t xml:space="preserve"> En Perú, el 65 % de estilos de vida fueron no saludables durante la pandemia.</w:t>
      </w:r>
      <w:r w:rsidRPr="00597617">
        <w:rPr>
          <w:rFonts w:eastAsia="Calibri"/>
          <w:vertAlign w:val="superscript"/>
          <w:lang w:val="es-PE" w:eastAsia="en-US"/>
        </w:rPr>
        <w:t>(13)</w:t>
      </w:r>
      <w:r w:rsidRPr="00597617">
        <w:rPr>
          <w:rFonts w:eastAsia="Calibri"/>
          <w:lang w:val="es-PE" w:eastAsia="en-US"/>
        </w:rPr>
        <w:t xml:space="preserve"> La familia, en sí, constituye el principal escenario para desarrollar las habilidades sociales en el adolescente, pues a través de esta se transmiten valores, costumbres y la conducta.</w:t>
      </w:r>
      <w:r w:rsidRPr="00597617">
        <w:rPr>
          <w:rFonts w:eastAsia="Calibri"/>
          <w:vertAlign w:val="superscript"/>
          <w:lang w:val="es-PE" w:eastAsia="en-US"/>
        </w:rPr>
        <w:t>(14)</w:t>
      </w:r>
      <w:r w:rsidRPr="00597617">
        <w:rPr>
          <w:rFonts w:eastAsia="Calibri"/>
          <w:lang w:val="es-PE" w:eastAsia="en-US"/>
        </w:rPr>
        <w:t xml:space="preserve"> La familia adquiere un rol protagónico en el desarrollo de habilidades sociales y estilos de vida saludable en los adolescentes, para su óptimo bienestar físico y desarrollo psicosocial.</w:t>
      </w:r>
      <w:r w:rsidRPr="00597617">
        <w:rPr>
          <w:rFonts w:eastAsia="Calibri"/>
          <w:vertAlign w:val="superscript"/>
          <w:lang w:val="es-PE" w:eastAsia="en-US"/>
        </w:rPr>
        <w:t>(15)</w:t>
      </w:r>
    </w:p>
    <w:p w14:paraId="6282BEB0"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lastRenderedPageBreak/>
        <w:t xml:space="preserve">Si bien se han realizado </w:t>
      </w:r>
      <w:proofErr w:type="gramStart"/>
      <w:r w:rsidRPr="00597617">
        <w:rPr>
          <w:rFonts w:eastAsia="Calibri"/>
          <w:lang w:val="es-PE" w:eastAsia="en-US"/>
        </w:rPr>
        <w:t>investigaciones</w:t>
      </w:r>
      <w:r w:rsidRPr="00597617">
        <w:rPr>
          <w:rFonts w:eastAsia="Calibri"/>
          <w:vertAlign w:val="superscript"/>
          <w:lang w:val="es-PE" w:eastAsia="en-US"/>
        </w:rPr>
        <w:t>(</w:t>
      </w:r>
      <w:proofErr w:type="gramEnd"/>
      <w:r w:rsidRPr="00597617">
        <w:rPr>
          <w:rFonts w:eastAsia="Calibri"/>
          <w:vertAlign w:val="superscript"/>
          <w:lang w:val="es-PE" w:eastAsia="en-US"/>
        </w:rPr>
        <w:t>16,17)</w:t>
      </w:r>
      <w:r w:rsidRPr="00597617">
        <w:rPr>
          <w:rFonts w:eastAsia="Calibri"/>
          <w:lang w:val="es-PE" w:eastAsia="en-US"/>
        </w:rPr>
        <w:t xml:space="preserve"> previas sobre la funcionalidad familiar durante la pandemia,</w:t>
      </w:r>
      <w:r w:rsidRPr="00597617">
        <w:rPr>
          <w:rFonts w:eastAsia="Calibri"/>
          <w:vertAlign w:val="superscript"/>
          <w:lang w:val="es-PE" w:eastAsia="en-US"/>
        </w:rPr>
        <w:t xml:space="preserve"> </w:t>
      </w:r>
      <w:r w:rsidRPr="00597617">
        <w:rPr>
          <w:rFonts w:eastAsia="Calibri"/>
          <w:lang w:val="es-PE" w:eastAsia="en-US"/>
        </w:rPr>
        <w:t>la mayoría</w:t>
      </w:r>
      <w:r w:rsidRPr="00597617">
        <w:rPr>
          <w:rFonts w:eastAsia="Calibri"/>
          <w:vertAlign w:val="superscript"/>
          <w:lang w:val="es-PE" w:eastAsia="en-US"/>
        </w:rPr>
        <w:t>(18,19)</w:t>
      </w:r>
      <w:r w:rsidRPr="00597617">
        <w:rPr>
          <w:rFonts w:eastAsia="Calibri"/>
          <w:lang w:val="es-PE" w:eastAsia="en-US"/>
        </w:rPr>
        <w:t xml:space="preserve"> se han enfocado en evaluar factores sociodemográficos y académicos;</w:t>
      </w:r>
      <w:r w:rsidRPr="00597617">
        <w:rPr>
          <w:rFonts w:eastAsia="Calibri"/>
          <w:vertAlign w:val="superscript"/>
          <w:lang w:val="es-PE" w:eastAsia="en-US"/>
        </w:rPr>
        <w:t xml:space="preserve"> </w:t>
      </w:r>
      <w:r w:rsidRPr="00597617">
        <w:rPr>
          <w:rFonts w:eastAsia="Calibri"/>
          <w:lang w:val="es-PE" w:eastAsia="en-US"/>
        </w:rPr>
        <w:t xml:space="preserve">no han considerado la asociación con las habilidades sociales y los estilos de vida, las cuales este estudio sí evalúa. En un estudio </w:t>
      </w:r>
      <w:proofErr w:type="gramStart"/>
      <w:r w:rsidRPr="00597617">
        <w:rPr>
          <w:rFonts w:eastAsia="Calibri"/>
          <w:lang w:val="es-PE" w:eastAsia="en-US"/>
        </w:rPr>
        <w:t>previo</w:t>
      </w:r>
      <w:r w:rsidRPr="00597617">
        <w:rPr>
          <w:rFonts w:eastAsia="Calibri"/>
          <w:vertAlign w:val="superscript"/>
          <w:lang w:val="es-PE" w:eastAsia="en-US"/>
        </w:rPr>
        <w:t>(</w:t>
      </w:r>
      <w:proofErr w:type="gramEnd"/>
      <w:r w:rsidRPr="00597617">
        <w:rPr>
          <w:rFonts w:eastAsia="Calibri"/>
          <w:vertAlign w:val="superscript"/>
          <w:lang w:val="es-PE" w:eastAsia="en-US"/>
        </w:rPr>
        <w:t>20)</w:t>
      </w:r>
      <w:r w:rsidRPr="00597617">
        <w:rPr>
          <w:rFonts w:eastAsia="Calibri"/>
          <w:lang w:val="es-PE" w:eastAsia="en-US"/>
        </w:rPr>
        <w:t xml:space="preserve"> se evaluó la asociación entre funcionalidad familiar y habilidades sociales, pero no se consideró a los estilos de vida y variables </w:t>
      </w:r>
      <w:proofErr w:type="spellStart"/>
      <w:r w:rsidRPr="00597617">
        <w:rPr>
          <w:rFonts w:eastAsia="Calibri"/>
          <w:lang w:val="es-PE" w:eastAsia="en-US"/>
        </w:rPr>
        <w:t>confusoras</w:t>
      </w:r>
      <w:proofErr w:type="spellEnd"/>
      <w:r w:rsidRPr="00597617">
        <w:rPr>
          <w:rFonts w:eastAsia="Calibri"/>
          <w:lang w:val="es-PE" w:eastAsia="en-US"/>
        </w:rPr>
        <w:t xml:space="preserve">, las cuales en este estudio sí se evalúan y por ello los resultados generados a partir de esta investigación pueden variar. Otros </w:t>
      </w:r>
      <w:proofErr w:type="gramStart"/>
      <w:r w:rsidRPr="00597617">
        <w:rPr>
          <w:rFonts w:eastAsia="Calibri"/>
          <w:lang w:val="es-PE" w:eastAsia="en-US"/>
        </w:rPr>
        <w:t>estudios</w:t>
      </w:r>
      <w:r w:rsidRPr="00597617">
        <w:rPr>
          <w:rFonts w:eastAsia="Calibri"/>
          <w:vertAlign w:val="superscript"/>
          <w:lang w:val="es-PE" w:eastAsia="en-US"/>
        </w:rPr>
        <w:t>(</w:t>
      </w:r>
      <w:proofErr w:type="gramEnd"/>
      <w:r w:rsidRPr="00597617">
        <w:rPr>
          <w:rFonts w:eastAsia="Calibri"/>
          <w:vertAlign w:val="superscript"/>
          <w:lang w:val="es-PE" w:eastAsia="en-US"/>
        </w:rPr>
        <w:t>21,22)</w:t>
      </w:r>
      <w:r w:rsidRPr="00597617">
        <w:rPr>
          <w:rFonts w:eastAsia="Calibri"/>
          <w:lang w:val="es-PE" w:eastAsia="en-US"/>
        </w:rPr>
        <w:t xml:space="preserve"> se han centrado en población de Lima y no han evaluado el impacto de la pandemia en zonas rurales de la sierra peruana. Otras </w:t>
      </w:r>
      <w:proofErr w:type="gramStart"/>
      <w:r w:rsidRPr="00597617">
        <w:rPr>
          <w:rFonts w:eastAsia="Calibri"/>
          <w:lang w:val="es-PE" w:eastAsia="en-US"/>
        </w:rPr>
        <w:t>investigaciones,</w:t>
      </w:r>
      <w:r w:rsidRPr="00597617">
        <w:rPr>
          <w:rFonts w:eastAsia="Calibri"/>
          <w:vertAlign w:val="superscript"/>
          <w:lang w:val="es-PE" w:eastAsia="en-US"/>
        </w:rPr>
        <w:t>(</w:t>
      </w:r>
      <w:proofErr w:type="gramEnd"/>
      <w:r w:rsidRPr="00597617">
        <w:rPr>
          <w:rFonts w:eastAsia="Calibri"/>
          <w:vertAlign w:val="superscript"/>
          <w:lang w:val="es-PE" w:eastAsia="en-US"/>
        </w:rPr>
        <w:t>10,20)</w:t>
      </w:r>
      <w:r w:rsidRPr="00597617">
        <w:rPr>
          <w:rFonts w:eastAsia="Calibri"/>
          <w:lang w:val="es-PE" w:eastAsia="en-US"/>
        </w:rPr>
        <w:t xml:space="preserve"> solo estiman un análisis bivariado sin medir la asociación específicamente. </w:t>
      </w:r>
    </w:p>
    <w:p w14:paraId="4CDA4C70"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 presente investigación tiene relevancia pues considera variables de habilidades sociales y estilos de vida; además considera a población escolar de la sierra peruana </w:t>
      </w:r>
      <w:proofErr w:type="gramStart"/>
      <w:r w:rsidRPr="00597617">
        <w:rPr>
          <w:rFonts w:eastAsia="Calibri"/>
          <w:lang w:val="es-PE" w:eastAsia="en-US"/>
        </w:rPr>
        <w:t>y</w:t>
      </w:r>
      <w:proofErr w:type="gramEnd"/>
      <w:r w:rsidRPr="00597617">
        <w:rPr>
          <w:rFonts w:eastAsia="Calibri"/>
          <w:lang w:val="es-PE" w:eastAsia="en-US"/>
        </w:rPr>
        <w:t xml:space="preserve"> por último, tiene rigurosidad bioestadística pues estima análisis de regresiones. Con lo mencionado previamente, existe una necesidad de evaluar el impacto de la pandemia en la funcionalidad familiar de los escolares.</w:t>
      </w:r>
    </w:p>
    <w:p w14:paraId="6DB3511B"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El objetivo es determinar la asociación entre la funcionalidad familiar con las habilidades sociales y los estilos de vida en estudiantes del nivel secundaria.</w:t>
      </w:r>
    </w:p>
    <w:p w14:paraId="133B72A5" w14:textId="77777777" w:rsidR="00597617" w:rsidRPr="00597617" w:rsidRDefault="00597617" w:rsidP="00597617">
      <w:pPr>
        <w:spacing w:line="360" w:lineRule="auto"/>
        <w:jc w:val="both"/>
        <w:rPr>
          <w:rFonts w:eastAsia="Calibri"/>
          <w:lang w:val="es-PE" w:eastAsia="en-US"/>
        </w:rPr>
      </w:pPr>
    </w:p>
    <w:p w14:paraId="6AA9E4E7" w14:textId="77777777" w:rsidR="00597617" w:rsidRPr="00597617" w:rsidRDefault="00597617" w:rsidP="00597617">
      <w:pPr>
        <w:spacing w:line="360" w:lineRule="auto"/>
        <w:jc w:val="center"/>
        <w:rPr>
          <w:rFonts w:eastAsia="Calibri"/>
          <w:b/>
          <w:bCs/>
          <w:sz w:val="32"/>
          <w:szCs w:val="32"/>
          <w:lang w:val="es-PE" w:eastAsia="en-US"/>
        </w:rPr>
      </w:pPr>
    </w:p>
    <w:p w14:paraId="12BF5E44" w14:textId="77777777" w:rsidR="00597617" w:rsidRPr="00597617" w:rsidRDefault="00597617" w:rsidP="00597617">
      <w:pPr>
        <w:spacing w:line="360" w:lineRule="auto"/>
        <w:jc w:val="center"/>
        <w:rPr>
          <w:rFonts w:eastAsia="Calibri"/>
          <w:b/>
          <w:bCs/>
          <w:sz w:val="32"/>
          <w:szCs w:val="32"/>
          <w:lang w:val="es-PE" w:eastAsia="en-US"/>
        </w:rPr>
      </w:pPr>
      <w:r w:rsidRPr="00597617">
        <w:rPr>
          <w:rFonts w:eastAsia="Calibri"/>
          <w:b/>
          <w:bCs/>
          <w:sz w:val="32"/>
          <w:szCs w:val="32"/>
          <w:lang w:val="es-PE" w:eastAsia="en-US"/>
        </w:rPr>
        <w:t>MÉTODOS</w:t>
      </w:r>
    </w:p>
    <w:p w14:paraId="52902334" w14:textId="77777777"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Diseño del estudio</w:t>
      </w:r>
    </w:p>
    <w:p w14:paraId="7EA36D2F"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Estudio transversal con empleo de técnicas analíticas, durante el segundo semestre académico del año 2020 entre los meses de agosto a diciembre, en el colegio público “Miguel Grau” en Cajamarca, Perú. En dicho periodo, el colegio ya estaba implementando el retorno gradual a la presencialidad. </w:t>
      </w:r>
    </w:p>
    <w:p w14:paraId="5EA0A879" w14:textId="77777777"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Población y muestra</w:t>
      </w:r>
    </w:p>
    <w:p w14:paraId="546C024C"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Se calculó el tamaño de la muestra con el programa </w:t>
      </w:r>
      <w:proofErr w:type="spellStart"/>
      <w:r w:rsidRPr="00597617">
        <w:rPr>
          <w:rFonts w:eastAsia="Calibri"/>
          <w:lang w:val="es-PE" w:eastAsia="en-US"/>
        </w:rPr>
        <w:t>OpenEpi</w:t>
      </w:r>
      <w:proofErr w:type="spellEnd"/>
      <w:r w:rsidRPr="00597617">
        <w:rPr>
          <w:rFonts w:eastAsia="Calibri"/>
          <w:lang w:val="es-PE" w:eastAsia="en-US"/>
        </w:rPr>
        <w:t xml:space="preserve"> v.3.01 mediante la fórmula de Fisher para muestras finitas, incluyendo a la población total de estudiantes en el segundo semestre del año 2020, la cual constó de 182 estudiantes. Se asumió un intervalo de confianza del 95 %, un margen de error de 5 % y probabilidad de respuesta de 50 %. El tamaño de muestra resultó en 124 estudiantes.</w:t>
      </w:r>
    </w:p>
    <w:p w14:paraId="4EA0FD5E" w14:textId="77777777" w:rsidR="00597617" w:rsidRPr="00597617" w:rsidRDefault="00597617" w:rsidP="00597617">
      <w:pPr>
        <w:spacing w:line="360" w:lineRule="auto"/>
        <w:jc w:val="both"/>
        <w:rPr>
          <w:rFonts w:eastAsia="Calibri"/>
          <w:lang w:val="es-AR" w:eastAsia="en-US"/>
        </w:rPr>
      </w:pPr>
      <w:r w:rsidRPr="00597617">
        <w:rPr>
          <w:rFonts w:eastAsia="Calibri"/>
          <w:lang w:val="es-PE" w:eastAsia="en-US"/>
        </w:rPr>
        <w:lastRenderedPageBreak/>
        <w:t>Se realizó un muestreo por conveniencia. Se incluyeron a los alumnos que cursaban entre el primero hasta quinto de secundaria. Se excluyeron a quienes hayan repetido de grado y no aceptaron voluntariamente participar de la investigación.</w:t>
      </w:r>
      <w:r w:rsidRPr="00597617">
        <w:rPr>
          <w:rFonts w:eastAsia="Arial"/>
          <w:bCs/>
          <w:color w:val="FF0000"/>
          <w:sz w:val="20"/>
          <w:szCs w:val="18"/>
          <w:lang w:val="es-AR" w:eastAsia="en-US"/>
        </w:rPr>
        <w:t xml:space="preserve"> </w:t>
      </w:r>
    </w:p>
    <w:p w14:paraId="1124DE3C" w14:textId="77777777"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Instrumentos</w:t>
      </w:r>
    </w:p>
    <w:p w14:paraId="4E6E6A87"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Se empleó el cuestionario del Apgar familiar el cual ha sido validado para su aplicación en Perú (alfa de Cronbach= 0,78</w:t>
      </w:r>
      <w:proofErr w:type="gramStart"/>
      <w:r w:rsidRPr="00597617">
        <w:rPr>
          <w:rFonts w:eastAsia="Calibri"/>
          <w:lang w:val="es-PE" w:eastAsia="en-US"/>
        </w:rPr>
        <w:t>).</w:t>
      </w:r>
      <w:r w:rsidRPr="00597617">
        <w:rPr>
          <w:rFonts w:eastAsia="Calibri"/>
          <w:vertAlign w:val="superscript"/>
          <w:lang w:val="es-PE" w:eastAsia="en-US"/>
        </w:rPr>
        <w:t>(</w:t>
      </w:r>
      <w:proofErr w:type="gramEnd"/>
      <w:r w:rsidRPr="00597617">
        <w:rPr>
          <w:rFonts w:eastAsia="Calibri"/>
          <w:vertAlign w:val="superscript"/>
          <w:lang w:val="es-PE" w:eastAsia="en-US"/>
        </w:rPr>
        <w:t>23,24)</w:t>
      </w:r>
      <w:r w:rsidRPr="00597617">
        <w:rPr>
          <w:rFonts w:eastAsia="Calibri"/>
          <w:lang w:val="es-PE" w:eastAsia="en-US"/>
        </w:rPr>
        <w:t xml:space="preserve"> El cuestionario mide la funcionalidad familiar y consta de 5 ítems. Tiene 5 opciones de respuesta en formato Likert: </w:t>
      </w:r>
    </w:p>
    <w:p w14:paraId="7CF9A8DD" w14:textId="77777777" w:rsidR="00597617" w:rsidRPr="00597617" w:rsidRDefault="00597617" w:rsidP="00597617">
      <w:pPr>
        <w:spacing w:line="360" w:lineRule="auto"/>
        <w:jc w:val="both"/>
        <w:rPr>
          <w:rFonts w:eastAsia="Calibri"/>
          <w:lang w:val="es-PE" w:eastAsia="en-US"/>
        </w:rPr>
      </w:pPr>
    </w:p>
    <w:p w14:paraId="10D00EBD" w14:textId="77777777" w:rsidR="00597617" w:rsidRPr="00597617" w:rsidRDefault="00597617" w:rsidP="00597617">
      <w:pPr>
        <w:numPr>
          <w:ilvl w:val="0"/>
          <w:numId w:val="9"/>
        </w:numPr>
        <w:spacing w:after="160" w:line="360" w:lineRule="auto"/>
        <w:contextualSpacing/>
        <w:jc w:val="both"/>
        <w:rPr>
          <w:rFonts w:eastAsia="Calibri"/>
          <w:lang w:val="es-PE" w:eastAsia="en-US"/>
        </w:rPr>
      </w:pPr>
      <w:r w:rsidRPr="00597617">
        <w:rPr>
          <w:rFonts w:eastAsia="Calibri"/>
          <w:lang w:val="es-PE" w:eastAsia="en-US"/>
        </w:rPr>
        <w:t>Casi nunca (0 puntos.)</w:t>
      </w:r>
    </w:p>
    <w:p w14:paraId="18D2243B" w14:textId="77777777" w:rsidR="00597617" w:rsidRPr="00597617" w:rsidRDefault="00597617" w:rsidP="00597617">
      <w:pPr>
        <w:numPr>
          <w:ilvl w:val="0"/>
          <w:numId w:val="9"/>
        </w:numPr>
        <w:spacing w:after="160" w:line="360" w:lineRule="auto"/>
        <w:contextualSpacing/>
        <w:jc w:val="both"/>
        <w:rPr>
          <w:rFonts w:eastAsia="Calibri"/>
          <w:lang w:val="es-PE" w:eastAsia="en-US"/>
        </w:rPr>
      </w:pPr>
      <w:r w:rsidRPr="00597617">
        <w:rPr>
          <w:rFonts w:eastAsia="Calibri"/>
          <w:lang w:val="es-PE" w:eastAsia="en-US"/>
        </w:rPr>
        <w:t>A veces (1 punto)</w:t>
      </w:r>
    </w:p>
    <w:p w14:paraId="50C4AE6B" w14:textId="77777777" w:rsidR="00597617" w:rsidRPr="00597617" w:rsidRDefault="00597617" w:rsidP="00597617">
      <w:pPr>
        <w:numPr>
          <w:ilvl w:val="0"/>
          <w:numId w:val="9"/>
        </w:numPr>
        <w:spacing w:after="160" w:line="360" w:lineRule="auto"/>
        <w:contextualSpacing/>
        <w:jc w:val="both"/>
        <w:rPr>
          <w:rFonts w:eastAsia="Calibri"/>
          <w:lang w:val="es-PE" w:eastAsia="en-US"/>
        </w:rPr>
      </w:pPr>
      <w:r w:rsidRPr="00597617">
        <w:rPr>
          <w:rFonts w:eastAsia="Calibri"/>
          <w:lang w:val="es-PE" w:eastAsia="en-US"/>
        </w:rPr>
        <w:t>Casi siempre (2 puntos)</w:t>
      </w:r>
    </w:p>
    <w:p w14:paraId="2464278C" w14:textId="77777777" w:rsidR="00597617" w:rsidRPr="00597617" w:rsidRDefault="00597617" w:rsidP="00597617">
      <w:pPr>
        <w:spacing w:line="360" w:lineRule="auto"/>
        <w:ind w:left="720"/>
        <w:contextualSpacing/>
        <w:jc w:val="both"/>
        <w:rPr>
          <w:rFonts w:eastAsia="Calibri"/>
          <w:lang w:val="es-PE" w:eastAsia="en-US"/>
        </w:rPr>
      </w:pPr>
    </w:p>
    <w:p w14:paraId="314DF62F"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Se considera una familia funcional alta (7 a 10 puntos), moderada (4 a 6 puntos) y severa disfuncional (menor a 3 puntos). </w:t>
      </w:r>
    </w:p>
    <w:p w14:paraId="16EA3820"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Se empleó la Lista de evaluación de habilidades sociales, validado para su uso (alfa de Cronbach= 0,80). Presenta 4 dimensiones: asertividad, comunicación, autoestima y toma de </w:t>
      </w:r>
      <w:proofErr w:type="gramStart"/>
      <w:r w:rsidRPr="00597617">
        <w:rPr>
          <w:rFonts w:eastAsia="Calibri"/>
          <w:lang w:val="es-PE" w:eastAsia="en-US"/>
        </w:rPr>
        <w:t>decisiones.</w:t>
      </w:r>
      <w:r w:rsidRPr="00597617">
        <w:rPr>
          <w:rFonts w:eastAsia="Calibri"/>
          <w:vertAlign w:val="superscript"/>
          <w:lang w:val="es-PE" w:eastAsia="en-US"/>
        </w:rPr>
        <w:t>(</w:t>
      </w:r>
      <w:proofErr w:type="gramEnd"/>
      <w:r w:rsidRPr="00597617">
        <w:rPr>
          <w:rFonts w:eastAsia="Calibri"/>
          <w:vertAlign w:val="superscript"/>
          <w:lang w:val="es-PE" w:eastAsia="en-US"/>
        </w:rPr>
        <w:t>25)</w:t>
      </w:r>
      <w:r w:rsidRPr="00597617">
        <w:rPr>
          <w:rFonts w:eastAsia="Calibri"/>
          <w:lang w:val="es-PE" w:eastAsia="en-US"/>
        </w:rPr>
        <w:t xml:space="preserve"> Está compuesto por 42 ítems y tiene respuesta en formato Likert: </w:t>
      </w:r>
    </w:p>
    <w:p w14:paraId="3277EF4E" w14:textId="77777777" w:rsidR="00597617" w:rsidRPr="00597617" w:rsidRDefault="00597617" w:rsidP="00597617">
      <w:pPr>
        <w:spacing w:line="360" w:lineRule="auto"/>
        <w:jc w:val="both"/>
        <w:rPr>
          <w:rFonts w:eastAsia="Calibri"/>
          <w:lang w:val="es-PE" w:eastAsia="en-US"/>
        </w:rPr>
      </w:pPr>
    </w:p>
    <w:p w14:paraId="3E244858" w14:textId="77777777" w:rsidR="00597617" w:rsidRPr="00597617" w:rsidRDefault="00597617" w:rsidP="00597617">
      <w:pPr>
        <w:numPr>
          <w:ilvl w:val="0"/>
          <w:numId w:val="10"/>
        </w:numPr>
        <w:spacing w:after="160" w:line="360" w:lineRule="auto"/>
        <w:contextualSpacing/>
        <w:jc w:val="both"/>
        <w:rPr>
          <w:rFonts w:eastAsia="Calibri"/>
          <w:lang w:val="es-PE" w:eastAsia="en-US"/>
        </w:rPr>
      </w:pPr>
      <w:r w:rsidRPr="00597617">
        <w:rPr>
          <w:rFonts w:eastAsia="Calibri"/>
          <w:lang w:val="es-PE" w:eastAsia="en-US"/>
        </w:rPr>
        <w:t>Nunca (0 puntos)</w:t>
      </w:r>
    </w:p>
    <w:p w14:paraId="10F83CFA" w14:textId="77777777" w:rsidR="00597617" w:rsidRPr="00597617" w:rsidRDefault="00597617" w:rsidP="00597617">
      <w:pPr>
        <w:numPr>
          <w:ilvl w:val="0"/>
          <w:numId w:val="10"/>
        </w:numPr>
        <w:spacing w:after="160" w:line="360" w:lineRule="auto"/>
        <w:contextualSpacing/>
        <w:jc w:val="both"/>
        <w:rPr>
          <w:rFonts w:eastAsia="Calibri"/>
          <w:lang w:val="es-PE" w:eastAsia="en-US"/>
        </w:rPr>
      </w:pPr>
      <w:r w:rsidRPr="00597617">
        <w:rPr>
          <w:rFonts w:eastAsia="Calibri"/>
          <w:lang w:val="es-PE" w:eastAsia="en-US"/>
        </w:rPr>
        <w:t>Rara vez (1 punto)</w:t>
      </w:r>
    </w:p>
    <w:p w14:paraId="1E47F09B" w14:textId="77777777" w:rsidR="00597617" w:rsidRPr="00597617" w:rsidRDefault="00597617" w:rsidP="00597617">
      <w:pPr>
        <w:numPr>
          <w:ilvl w:val="0"/>
          <w:numId w:val="10"/>
        </w:numPr>
        <w:spacing w:after="160" w:line="360" w:lineRule="auto"/>
        <w:contextualSpacing/>
        <w:jc w:val="both"/>
        <w:rPr>
          <w:rFonts w:eastAsia="Calibri"/>
          <w:lang w:val="es-PE" w:eastAsia="en-US"/>
        </w:rPr>
      </w:pPr>
      <w:r w:rsidRPr="00597617">
        <w:rPr>
          <w:rFonts w:eastAsia="Calibri"/>
          <w:lang w:val="es-PE" w:eastAsia="en-US"/>
        </w:rPr>
        <w:t>A veces (3 puntos)</w:t>
      </w:r>
    </w:p>
    <w:p w14:paraId="48E61D1C" w14:textId="77777777" w:rsidR="00597617" w:rsidRPr="00597617" w:rsidRDefault="00597617" w:rsidP="00597617">
      <w:pPr>
        <w:numPr>
          <w:ilvl w:val="0"/>
          <w:numId w:val="10"/>
        </w:numPr>
        <w:spacing w:after="160" w:line="360" w:lineRule="auto"/>
        <w:contextualSpacing/>
        <w:jc w:val="both"/>
        <w:rPr>
          <w:rFonts w:eastAsia="Calibri"/>
          <w:lang w:val="es-PE" w:eastAsia="en-US"/>
        </w:rPr>
      </w:pPr>
      <w:r w:rsidRPr="00597617">
        <w:rPr>
          <w:rFonts w:eastAsia="Calibri"/>
          <w:lang w:val="es-PE" w:eastAsia="en-US"/>
        </w:rPr>
        <w:t>A menudo (4 puntos)</w:t>
      </w:r>
    </w:p>
    <w:p w14:paraId="3EF79ADB" w14:textId="77777777" w:rsidR="00597617" w:rsidRPr="00597617" w:rsidRDefault="00597617" w:rsidP="00597617">
      <w:pPr>
        <w:numPr>
          <w:ilvl w:val="0"/>
          <w:numId w:val="10"/>
        </w:numPr>
        <w:spacing w:after="160" w:line="360" w:lineRule="auto"/>
        <w:contextualSpacing/>
        <w:jc w:val="both"/>
        <w:rPr>
          <w:rFonts w:eastAsia="Calibri"/>
          <w:lang w:val="es-PE" w:eastAsia="en-US"/>
        </w:rPr>
      </w:pPr>
      <w:r w:rsidRPr="00597617">
        <w:rPr>
          <w:rFonts w:eastAsia="Calibri"/>
          <w:lang w:val="es-PE" w:eastAsia="en-US"/>
        </w:rPr>
        <w:t xml:space="preserve">Siempre (5 puntos). </w:t>
      </w:r>
    </w:p>
    <w:p w14:paraId="3BFC9BAD" w14:textId="77777777" w:rsidR="00597617" w:rsidRPr="00597617" w:rsidRDefault="00597617" w:rsidP="00597617">
      <w:pPr>
        <w:spacing w:line="360" w:lineRule="auto"/>
        <w:jc w:val="both"/>
        <w:rPr>
          <w:rFonts w:eastAsia="Calibri"/>
          <w:lang w:val="es-PE" w:eastAsia="en-US"/>
        </w:rPr>
      </w:pPr>
    </w:p>
    <w:p w14:paraId="64ED06B3"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El resultado se clasifica en: </w:t>
      </w:r>
    </w:p>
    <w:p w14:paraId="7426EC79" w14:textId="77777777" w:rsidR="00597617" w:rsidRPr="00597617" w:rsidRDefault="00597617" w:rsidP="00597617">
      <w:pPr>
        <w:spacing w:line="360" w:lineRule="auto"/>
        <w:jc w:val="both"/>
        <w:rPr>
          <w:rFonts w:eastAsia="Calibri"/>
          <w:lang w:val="es-PE" w:eastAsia="en-US"/>
        </w:rPr>
      </w:pPr>
    </w:p>
    <w:p w14:paraId="144AC9EF" w14:textId="77777777" w:rsidR="00597617" w:rsidRPr="00597617" w:rsidRDefault="00597617" w:rsidP="00597617">
      <w:pPr>
        <w:spacing w:line="360" w:lineRule="auto"/>
        <w:ind w:left="426"/>
        <w:jc w:val="both"/>
        <w:rPr>
          <w:rFonts w:eastAsia="Calibri"/>
          <w:lang w:val="es-PE" w:eastAsia="en-US"/>
        </w:rPr>
      </w:pPr>
      <w:r w:rsidRPr="00597617">
        <w:rPr>
          <w:rFonts w:eastAsia="Calibri"/>
          <w:lang w:val="es-PE" w:eastAsia="en-US"/>
        </w:rPr>
        <w:t>1) Muy bajo (&lt; 88 puntos)</w:t>
      </w:r>
    </w:p>
    <w:p w14:paraId="14317F90" w14:textId="77777777" w:rsidR="00597617" w:rsidRPr="00597617" w:rsidRDefault="00597617" w:rsidP="00597617">
      <w:pPr>
        <w:spacing w:line="360" w:lineRule="auto"/>
        <w:ind w:left="426"/>
        <w:jc w:val="both"/>
        <w:rPr>
          <w:rFonts w:eastAsia="Calibri"/>
          <w:lang w:val="es-PE" w:eastAsia="en-US"/>
        </w:rPr>
      </w:pPr>
      <w:r w:rsidRPr="00597617">
        <w:rPr>
          <w:rFonts w:eastAsia="Calibri"/>
          <w:lang w:val="es-PE" w:eastAsia="en-US"/>
        </w:rPr>
        <w:t>2) Bajo (88-126 puntos)</w:t>
      </w:r>
    </w:p>
    <w:p w14:paraId="49F77175" w14:textId="77777777" w:rsidR="00597617" w:rsidRPr="00597617" w:rsidRDefault="00597617" w:rsidP="00597617">
      <w:pPr>
        <w:spacing w:line="360" w:lineRule="auto"/>
        <w:ind w:left="426"/>
        <w:jc w:val="both"/>
        <w:rPr>
          <w:rFonts w:eastAsia="Calibri"/>
          <w:lang w:val="es-PE" w:eastAsia="en-US"/>
        </w:rPr>
      </w:pPr>
      <w:r w:rsidRPr="00597617">
        <w:rPr>
          <w:rFonts w:eastAsia="Calibri"/>
          <w:lang w:val="es-PE" w:eastAsia="en-US"/>
        </w:rPr>
        <w:lastRenderedPageBreak/>
        <w:t>3) Promedio (127-161 puntos); esta tiene 3 categorías: a) Promedio bajo (127-141 puntos); b) Promedio (142-151 puntos); c) Promedio alto (152-161 puntos)</w:t>
      </w:r>
    </w:p>
    <w:p w14:paraId="34C86D8C" w14:textId="77777777" w:rsidR="00597617" w:rsidRPr="00597617" w:rsidRDefault="00597617" w:rsidP="00597617">
      <w:pPr>
        <w:spacing w:line="360" w:lineRule="auto"/>
        <w:ind w:left="426"/>
        <w:jc w:val="both"/>
        <w:rPr>
          <w:rFonts w:eastAsia="Calibri"/>
          <w:lang w:val="es-PE" w:eastAsia="en-US"/>
        </w:rPr>
      </w:pPr>
      <w:r w:rsidRPr="00597617">
        <w:rPr>
          <w:rFonts w:eastAsia="Calibri"/>
          <w:lang w:val="es-PE" w:eastAsia="en-US"/>
        </w:rPr>
        <w:t xml:space="preserve">4) Alto (162-173 puntos) y 5) Muy alto (&gt;= 174 puntos).  </w:t>
      </w:r>
    </w:p>
    <w:p w14:paraId="081F57C0" w14:textId="77777777" w:rsidR="00597617" w:rsidRPr="00597617" w:rsidRDefault="00597617" w:rsidP="00597617">
      <w:pPr>
        <w:spacing w:line="360" w:lineRule="auto"/>
        <w:jc w:val="both"/>
        <w:rPr>
          <w:rFonts w:eastAsia="Calibri"/>
          <w:lang w:val="es-PE" w:eastAsia="en-US"/>
        </w:rPr>
      </w:pPr>
    </w:p>
    <w:p w14:paraId="35760398"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Para evaluar el estilo de vida, se empleó la encuesta denominada “¿Cómo es mi estilo de vida?”, propuesta por la Organización Panamericana de Salud y adaptada por la Universidad </w:t>
      </w:r>
      <w:proofErr w:type="gramStart"/>
      <w:r w:rsidRPr="00597617">
        <w:rPr>
          <w:rFonts w:eastAsia="Calibri"/>
          <w:lang w:val="es-PE" w:eastAsia="en-US"/>
        </w:rPr>
        <w:t>Javeriana.</w:t>
      </w:r>
      <w:r w:rsidRPr="00597617">
        <w:rPr>
          <w:rFonts w:eastAsia="Calibri"/>
          <w:vertAlign w:val="superscript"/>
          <w:lang w:val="es-PE" w:eastAsia="en-US"/>
        </w:rPr>
        <w:t>(</w:t>
      </w:r>
      <w:proofErr w:type="gramEnd"/>
      <w:r w:rsidRPr="00597617">
        <w:rPr>
          <w:rFonts w:eastAsia="Calibri"/>
          <w:vertAlign w:val="superscript"/>
          <w:lang w:val="es-PE" w:eastAsia="en-US"/>
        </w:rPr>
        <w:t>26)</w:t>
      </w:r>
      <w:r w:rsidRPr="00597617">
        <w:rPr>
          <w:rFonts w:eastAsia="Calibri"/>
          <w:lang w:val="es-PE" w:eastAsia="en-US"/>
        </w:rPr>
        <w:t xml:space="preserve"> Esta encuesta consta de 45 ítems y emplea una escala Likert:</w:t>
      </w:r>
    </w:p>
    <w:p w14:paraId="0B74A375" w14:textId="77777777" w:rsidR="00597617" w:rsidRPr="00597617" w:rsidRDefault="00597617" w:rsidP="00597617">
      <w:pPr>
        <w:spacing w:line="360" w:lineRule="auto"/>
        <w:jc w:val="both"/>
        <w:rPr>
          <w:rFonts w:eastAsia="Calibri"/>
          <w:lang w:val="es-PE" w:eastAsia="en-US"/>
        </w:rPr>
      </w:pPr>
    </w:p>
    <w:p w14:paraId="14AF6CB0" w14:textId="77777777" w:rsidR="00597617" w:rsidRPr="00597617" w:rsidRDefault="00597617" w:rsidP="00597617">
      <w:pPr>
        <w:numPr>
          <w:ilvl w:val="0"/>
          <w:numId w:val="11"/>
        </w:numPr>
        <w:spacing w:after="160" w:line="360" w:lineRule="auto"/>
        <w:contextualSpacing/>
        <w:jc w:val="both"/>
        <w:rPr>
          <w:rFonts w:eastAsia="Calibri"/>
          <w:lang w:val="es-PE" w:eastAsia="en-US"/>
        </w:rPr>
      </w:pPr>
      <w:r w:rsidRPr="00597617">
        <w:rPr>
          <w:rFonts w:eastAsia="Calibri"/>
          <w:lang w:val="es-PE" w:eastAsia="en-US"/>
        </w:rPr>
        <w:t>Nunca/ Casi Nunca (0 puntos)</w:t>
      </w:r>
    </w:p>
    <w:p w14:paraId="28E963B8" w14:textId="77777777" w:rsidR="00597617" w:rsidRPr="00597617" w:rsidRDefault="00597617" w:rsidP="00597617">
      <w:pPr>
        <w:numPr>
          <w:ilvl w:val="0"/>
          <w:numId w:val="11"/>
        </w:numPr>
        <w:spacing w:after="160" w:line="360" w:lineRule="auto"/>
        <w:contextualSpacing/>
        <w:jc w:val="both"/>
        <w:rPr>
          <w:rFonts w:eastAsia="Calibri"/>
          <w:lang w:val="es-PE" w:eastAsia="en-US"/>
        </w:rPr>
      </w:pPr>
      <w:r w:rsidRPr="00597617">
        <w:rPr>
          <w:rFonts w:eastAsia="Calibri"/>
          <w:lang w:val="es-PE" w:eastAsia="en-US"/>
        </w:rPr>
        <w:t>A veces (1 punto)</w:t>
      </w:r>
    </w:p>
    <w:p w14:paraId="1CA36423" w14:textId="77777777" w:rsidR="00597617" w:rsidRPr="00597617" w:rsidRDefault="00597617" w:rsidP="00597617">
      <w:pPr>
        <w:numPr>
          <w:ilvl w:val="0"/>
          <w:numId w:val="11"/>
        </w:numPr>
        <w:spacing w:after="160" w:line="360" w:lineRule="auto"/>
        <w:contextualSpacing/>
        <w:jc w:val="both"/>
        <w:rPr>
          <w:rFonts w:eastAsia="Calibri"/>
          <w:lang w:val="es-PE" w:eastAsia="en-US"/>
        </w:rPr>
      </w:pPr>
      <w:r w:rsidRPr="00597617">
        <w:rPr>
          <w:rFonts w:eastAsia="Calibri"/>
          <w:lang w:val="es-PE" w:eastAsia="en-US"/>
        </w:rPr>
        <w:t xml:space="preserve">Siempre/ Casi siempre (2 puntos). </w:t>
      </w:r>
    </w:p>
    <w:p w14:paraId="43454178" w14:textId="77777777" w:rsidR="00597617" w:rsidRPr="00597617" w:rsidRDefault="00597617" w:rsidP="00597617">
      <w:pPr>
        <w:spacing w:line="360" w:lineRule="auto"/>
        <w:jc w:val="both"/>
        <w:rPr>
          <w:rFonts w:eastAsia="Calibri"/>
          <w:lang w:val="es-PE" w:eastAsia="en-US"/>
        </w:rPr>
      </w:pPr>
    </w:p>
    <w:p w14:paraId="52ED7F9F"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Se considera un estilo de vida saludable (70-80 puntos), adecuado (59-69 puntos), regular (41-58 puntos) y de riesgo (menor a 40 puntos). Ha sido validada en Perú (alfa de Cronbach= 0,87</w:t>
      </w:r>
      <w:proofErr w:type="gramStart"/>
      <w:r w:rsidRPr="00597617">
        <w:rPr>
          <w:rFonts w:eastAsia="Calibri"/>
          <w:lang w:val="es-PE" w:eastAsia="en-US"/>
        </w:rPr>
        <w:t>).</w:t>
      </w:r>
      <w:r w:rsidRPr="00597617">
        <w:rPr>
          <w:rFonts w:eastAsia="Calibri"/>
          <w:vertAlign w:val="superscript"/>
          <w:lang w:val="es-PE" w:eastAsia="en-US"/>
        </w:rPr>
        <w:t>(</w:t>
      </w:r>
      <w:proofErr w:type="gramEnd"/>
      <w:r w:rsidRPr="00597617">
        <w:rPr>
          <w:rFonts w:eastAsia="Calibri"/>
          <w:vertAlign w:val="superscript"/>
          <w:lang w:val="es-PE" w:eastAsia="en-US"/>
        </w:rPr>
        <w:t>27)</w:t>
      </w:r>
    </w:p>
    <w:p w14:paraId="7C45C73B" w14:textId="77777777"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Variables</w:t>
      </w:r>
    </w:p>
    <w:p w14:paraId="1BF925C9" w14:textId="77777777" w:rsidR="00597617" w:rsidRPr="00597617" w:rsidRDefault="00597617" w:rsidP="00597617">
      <w:pPr>
        <w:spacing w:line="360" w:lineRule="auto"/>
        <w:jc w:val="both"/>
        <w:rPr>
          <w:rFonts w:eastAsia="Calibri"/>
          <w:bCs/>
          <w:lang w:val="es-PE" w:eastAsia="en-US"/>
        </w:rPr>
      </w:pPr>
      <w:r w:rsidRPr="00597617">
        <w:rPr>
          <w:rFonts w:eastAsia="Calibri"/>
          <w:bCs/>
          <w:lang w:val="es-PE" w:eastAsia="en-US"/>
        </w:rPr>
        <w:t>Las variables dependientes fueron los estilos de vida saludable, definida operativamente como puntaje mayor de 70 en la suma de puntos de las preguntas del instrumento “¿Cómo es mi estilo de vida?” También se evaluó la variable habilidades sociales la cual se dicotomizó en muy bajo/ bajo y promedio bajo, de acuerdo con los resultados.</w:t>
      </w:r>
    </w:p>
    <w:p w14:paraId="402B5388"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 variable independiente principal fue la funcionalidad familiar, la cual se definió operativamente como un puntaje mayor a 7 puntos en la escala Apgar familiar, explicada anteriormente. </w:t>
      </w:r>
    </w:p>
    <w:p w14:paraId="59305522" w14:textId="77777777" w:rsidR="00597617" w:rsidRPr="00597617" w:rsidRDefault="00597617" w:rsidP="00597617">
      <w:pPr>
        <w:spacing w:line="360" w:lineRule="auto"/>
        <w:jc w:val="both"/>
        <w:rPr>
          <w:rFonts w:eastAsia="Arial"/>
          <w:bCs/>
          <w:color w:val="FF0000"/>
          <w:sz w:val="20"/>
          <w:szCs w:val="18"/>
          <w:lang w:val="es-AR" w:eastAsia="en-US"/>
        </w:rPr>
      </w:pPr>
      <w:r w:rsidRPr="00597617">
        <w:rPr>
          <w:rFonts w:eastAsia="Calibri"/>
          <w:lang w:val="es-PE" w:eastAsia="en-US"/>
        </w:rPr>
        <w:t xml:space="preserve">Las variables independientes secundarias fueron los datos sociodemográficos: la edad (en años; categorizada para etapas de adolescencia temprana -10-13 años-, media -14-16 años- y tardía -17-19 años-; el sexo (masculino, femenino), el lugar de nacimiento (Cajamarca, Chiclayo/ Lima) y el nivel de estudio (primer, segundo, tercer, cuarto y quinto año).  </w:t>
      </w:r>
    </w:p>
    <w:p w14:paraId="4C1A3440" w14:textId="77777777" w:rsidR="007B31DB" w:rsidRDefault="007B31DB">
      <w:pPr>
        <w:rPr>
          <w:rFonts w:eastAsia="Calibri"/>
          <w:b/>
          <w:bCs/>
          <w:sz w:val="28"/>
          <w:szCs w:val="28"/>
          <w:lang w:val="es-PE" w:eastAsia="en-US"/>
        </w:rPr>
      </w:pPr>
      <w:r>
        <w:rPr>
          <w:rFonts w:eastAsia="Calibri"/>
          <w:b/>
          <w:bCs/>
          <w:sz w:val="28"/>
          <w:szCs w:val="28"/>
          <w:lang w:val="es-PE" w:eastAsia="en-US"/>
        </w:rPr>
        <w:br w:type="page"/>
      </w:r>
    </w:p>
    <w:p w14:paraId="2E3ED331" w14:textId="56DBDF81"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lastRenderedPageBreak/>
        <w:t>Procedimiento del estudio</w:t>
      </w:r>
    </w:p>
    <w:p w14:paraId="3B38D079"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Se envió el cuestionario en físico a la casa de los alumnos, el consentimiento informado que debían aceptar y firmar los padres y alumnos, respectivamente. A los estudiantes previamente se les explicó el procedimiento de la investigación. Se generó una base de datos en el programa Microsoft Excel.</w:t>
      </w:r>
    </w:p>
    <w:p w14:paraId="0DA28B5A" w14:textId="77777777" w:rsidR="00597617" w:rsidRPr="00597617" w:rsidRDefault="00597617" w:rsidP="00597617">
      <w:pPr>
        <w:spacing w:line="360" w:lineRule="auto"/>
        <w:jc w:val="center"/>
        <w:rPr>
          <w:rFonts w:eastAsia="Calibri"/>
          <w:sz w:val="28"/>
          <w:szCs w:val="28"/>
          <w:lang w:val="es-PE" w:eastAsia="en-US"/>
        </w:rPr>
      </w:pPr>
      <w:r w:rsidRPr="00597617">
        <w:rPr>
          <w:rFonts w:eastAsia="Calibri"/>
          <w:b/>
          <w:bCs/>
          <w:sz w:val="28"/>
          <w:szCs w:val="28"/>
          <w:lang w:val="es-PE" w:eastAsia="en-US"/>
        </w:rPr>
        <w:t>Análisis</w:t>
      </w:r>
      <w:r w:rsidRPr="00597617">
        <w:rPr>
          <w:rFonts w:eastAsia="Calibri"/>
          <w:sz w:val="28"/>
          <w:szCs w:val="28"/>
          <w:lang w:val="es-PE" w:eastAsia="en-US"/>
        </w:rPr>
        <w:t xml:space="preserve"> </w:t>
      </w:r>
      <w:r w:rsidRPr="00597617">
        <w:rPr>
          <w:rFonts w:eastAsia="Calibri"/>
          <w:b/>
          <w:bCs/>
          <w:sz w:val="28"/>
          <w:szCs w:val="28"/>
          <w:lang w:val="es-PE" w:eastAsia="en-US"/>
        </w:rPr>
        <w:t>estadístico</w:t>
      </w:r>
    </w:p>
    <w:p w14:paraId="2FC8A38F"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Se utilizó el programa estadístico STATA v.15.0.  Se realizó un análisis bivariado empleando la prueba de </w:t>
      </w:r>
      <w:r w:rsidRPr="00597617">
        <w:rPr>
          <w:rFonts w:eastAsia="Calibri"/>
          <w:i/>
          <w:iCs/>
          <w:lang w:val="es-PE" w:eastAsia="en-US"/>
        </w:rPr>
        <w:t>ji</w:t>
      </w:r>
      <w:r w:rsidRPr="00597617">
        <w:rPr>
          <w:rFonts w:eastAsia="Calibri"/>
          <w:lang w:val="es-PE" w:eastAsia="en-US"/>
        </w:rPr>
        <w:t xml:space="preserve"> cuadrado para estimar la asociación entre la funcionalidad familiar con los estilos de vida, habilidades sociales y las variables sociodemográficas. Se trabajó con un nivel de significación del 5 %. </w:t>
      </w:r>
    </w:p>
    <w:p w14:paraId="3F3770B4"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Se realizó análisis de regresión simple y múltiple, utilizando modelos lineales generalizados (GLM) de Poisson, con errores estándar robustos. Se estimaron razones de prevalencia (RP) e intervalos de confianza al 95 %. </w:t>
      </w:r>
    </w:p>
    <w:p w14:paraId="4CEB755E" w14:textId="77777777" w:rsidR="00597617" w:rsidRPr="00597617" w:rsidRDefault="00597617" w:rsidP="00597617">
      <w:pPr>
        <w:spacing w:line="360" w:lineRule="auto"/>
        <w:jc w:val="center"/>
        <w:rPr>
          <w:rFonts w:eastAsia="Calibri"/>
          <w:b/>
          <w:bCs/>
          <w:sz w:val="28"/>
          <w:szCs w:val="28"/>
          <w:lang w:val="es-PE" w:eastAsia="en-US"/>
        </w:rPr>
      </w:pPr>
      <w:r w:rsidRPr="00597617">
        <w:rPr>
          <w:rFonts w:eastAsia="Calibri"/>
          <w:b/>
          <w:bCs/>
          <w:sz w:val="28"/>
          <w:szCs w:val="28"/>
          <w:lang w:val="es-PE" w:eastAsia="en-US"/>
        </w:rPr>
        <w:t>Consideraciones éticas</w:t>
      </w:r>
    </w:p>
    <w:p w14:paraId="00027809"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 investigación fue aprobada por el Comité de Ética de la Universidad Norbert Wiener, Perú. Se emplearon códigos para mantener el anonimato en la base de datos. </w:t>
      </w:r>
    </w:p>
    <w:p w14:paraId="79C39F6C" w14:textId="77777777" w:rsidR="00597617" w:rsidRPr="00597617" w:rsidRDefault="00597617" w:rsidP="00597617">
      <w:pPr>
        <w:spacing w:line="360" w:lineRule="auto"/>
        <w:jc w:val="both"/>
        <w:rPr>
          <w:rFonts w:eastAsia="Calibri"/>
          <w:lang w:val="es-PE" w:eastAsia="en-US"/>
        </w:rPr>
      </w:pPr>
    </w:p>
    <w:p w14:paraId="60C7EE3E" w14:textId="77777777" w:rsidR="00597617" w:rsidRPr="00597617" w:rsidRDefault="00597617" w:rsidP="00597617">
      <w:pPr>
        <w:spacing w:line="360" w:lineRule="auto"/>
        <w:jc w:val="center"/>
        <w:rPr>
          <w:rFonts w:eastAsia="Calibri"/>
          <w:b/>
          <w:bCs/>
          <w:lang w:val="es-PE" w:eastAsia="en-US"/>
        </w:rPr>
      </w:pPr>
    </w:p>
    <w:p w14:paraId="710B9976" w14:textId="77777777" w:rsidR="00597617" w:rsidRPr="00597617" w:rsidRDefault="00597617" w:rsidP="00597617">
      <w:pPr>
        <w:spacing w:line="360" w:lineRule="auto"/>
        <w:jc w:val="center"/>
        <w:rPr>
          <w:rFonts w:eastAsia="Calibri"/>
          <w:b/>
          <w:bCs/>
          <w:sz w:val="32"/>
          <w:szCs w:val="32"/>
          <w:lang w:val="es-PE" w:eastAsia="en-US"/>
        </w:rPr>
      </w:pPr>
      <w:r w:rsidRPr="00597617">
        <w:rPr>
          <w:rFonts w:eastAsia="Calibri"/>
          <w:b/>
          <w:bCs/>
          <w:sz w:val="32"/>
          <w:szCs w:val="32"/>
          <w:lang w:val="es-PE" w:eastAsia="en-US"/>
        </w:rPr>
        <w:t>RESULTADOS</w:t>
      </w:r>
    </w:p>
    <w:p w14:paraId="650B3502"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El 45,0 % de alumnos se encontraron en la adolescencia media. Se encontró severa disfunción familiar en el 8,3 % de estudiantes. El 94,8 % tuvo estilo de vida bueno y el 81,3 % un nivel bajo de habilidades sociales (tabla 1).</w:t>
      </w:r>
    </w:p>
    <w:p w14:paraId="79FD725A" w14:textId="77777777" w:rsidR="00597617" w:rsidRPr="00597617" w:rsidRDefault="00597617" w:rsidP="00597617">
      <w:pPr>
        <w:spacing w:line="360" w:lineRule="auto"/>
        <w:jc w:val="center"/>
        <w:rPr>
          <w:rFonts w:eastAsia="Calibri"/>
          <w:b/>
          <w:bCs/>
          <w:sz w:val="20"/>
          <w:szCs w:val="20"/>
          <w:lang w:val="es-PE" w:eastAsia="en-US"/>
        </w:rPr>
      </w:pPr>
    </w:p>
    <w:p w14:paraId="23ABC584" w14:textId="77777777" w:rsidR="006E60AD" w:rsidRDefault="006E60AD">
      <w:pPr>
        <w:rPr>
          <w:rFonts w:eastAsia="Calibri"/>
          <w:b/>
          <w:bCs/>
          <w:sz w:val="22"/>
          <w:szCs w:val="22"/>
          <w:lang w:val="es-PE" w:eastAsia="en-US"/>
        </w:rPr>
      </w:pPr>
      <w:r>
        <w:rPr>
          <w:rFonts w:eastAsia="Calibri"/>
          <w:b/>
          <w:bCs/>
          <w:sz w:val="22"/>
          <w:szCs w:val="22"/>
          <w:lang w:val="es-PE" w:eastAsia="en-US"/>
        </w:rPr>
        <w:br w:type="page"/>
      </w:r>
    </w:p>
    <w:p w14:paraId="0B18E4BA" w14:textId="24BA8C79" w:rsidR="00597617" w:rsidRPr="00597617" w:rsidRDefault="00597617" w:rsidP="00597617">
      <w:pPr>
        <w:spacing w:line="360" w:lineRule="auto"/>
        <w:jc w:val="center"/>
        <w:rPr>
          <w:rFonts w:eastAsia="Calibri"/>
          <w:sz w:val="22"/>
          <w:szCs w:val="22"/>
          <w:lang w:val="es-PE" w:eastAsia="en-US"/>
        </w:rPr>
      </w:pPr>
      <w:r w:rsidRPr="00597617">
        <w:rPr>
          <w:rFonts w:eastAsia="Calibri"/>
          <w:b/>
          <w:bCs/>
          <w:sz w:val="22"/>
          <w:szCs w:val="22"/>
          <w:lang w:val="es-PE" w:eastAsia="en-US"/>
        </w:rPr>
        <w:lastRenderedPageBreak/>
        <w:t>Tabla 1 -</w:t>
      </w:r>
      <w:r w:rsidRPr="00597617">
        <w:rPr>
          <w:rFonts w:eastAsia="Calibri"/>
          <w:sz w:val="22"/>
          <w:szCs w:val="22"/>
          <w:lang w:val="es-PE" w:eastAsia="en-US"/>
        </w:rPr>
        <w:t xml:space="preserve"> Características generales de los estudiantes de secundaria del colegio Miguel Grau, Cajamarca, 2020</w:t>
      </w:r>
    </w:p>
    <w:p w14:paraId="550B7B20" w14:textId="5EFFC19D" w:rsidR="00597617" w:rsidRPr="00597617" w:rsidRDefault="00597617" w:rsidP="00597617">
      <w:pPr>
        <w:spacing w:line="360" w:lineRule="auto"/>
        <w:jc w:val="center"/>
        <w:rPr>
          <w:rFonts w:eastAsia="Calibri"/>
          <w:sz w:val="16"/>
          <w:szCs w:val="16"/>
          <w:lang w:val="es-PE" w:eastAsia="en-US"/>
        </w:rPr>
      </w:pPr>
      <w:r w:rsidRPr="00597617">
        <w:rPr>
          <w:rFonts w:eastAsia="Calibri"/>
          <w:noProof/>
          <w:sz w:val="16"/>
          <w:szCs w:val="16"/>
          <w:lang w:val="es-PE" w:eastAsia="en-US"/>
        </w:rPr>
        <w:drawing>
          <wp:inline distT="0" distB="0" distL="0" distR="0" wp14:anchorId="7FBBDFD3" wp14:editId="3F39828B">
            <wp:extent cx="2579290" cy="6790414"/>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564" cy="6804299"/>
                    </a:xfrm>
                    <a:prstGeom prst="rect">
                      <a:avLst/>
                    </a:prstGeom>
                    <a:noFill/>
                    <a:ln>
                      <a:noFill/>
                    </a:ln>
                  </pic:spPr>
                </pic:pic>
              </a:graphicData>
            </a:graphic>
          </wp:inline>
        </w:drawing>
      </w:r>
    </w:p>
    <w:p w14:paraId="347F665F" w14:textId="77777777" w:rsidR="00597617" w:rsidRPr="00597617" w:rsidRDefault="00597617" w:rsidP="00597617">
      <w:pPr>
        <w:spacing w:line="360" w:lineRule="auto"/>
        <w:jc w:val="center"/>
        <w:rPr>
          <w:rFonts w:eastAsia="Calibri"/>
          <w:sz w:val="16"/>
          <w:szCs w:val="16"/>
          <w:lang w:val="es-PE" w:eastAsia="en-US"/>
        </w:rPr>
      </w:pPr>
      <w:r w:rsidRPr="00597617">
        <w:rPr>
          <w:rFonts w:eastAsia="Calibri"/>
          <w:sz w:val="16"/>
          <w:szCs w:val="16"/>
          <w:lang w:val="es-PE" w:eastAsia="en-US"/>
        </w:rPr>
        <w:t>*Media ± desviación estándar.</w:t>
      </w:r>
    </w:p>
    <w:p w14:paraId="16872BFF" w14:textId="77777777" w:rsidR="00597617" w:rsidRPr="00597617" w:rsidRDefault="00597617" w:rsidP="00597617">
      <w:pPr>
        <w:spacing w:line="360" w:lineRule="auto"/>
        <w:jc w:val="center"/>
        <w:rPr>
          <w:rFonts w:ascii="Verdana" w:eastAsia="Calibri" w:hAnsi="Verdana"/>
          <w:sz w:val="18"/>
          <w:szCs w:val="18"/>
          <w:lang w:val="es-PE" w:eastAsia="en-US"/>
        </w:rPr>
      </w:pPr>
      <w:r w:rsidRPr="00597617">
        <w:rPr>
          <w:rFonts w:eastAsia="Calibri"/>
          <w:sz w:val="16"/>
          <w:szCs w:val="16"/>
          <w:lang w:val="es-PE" w:eastAsia="en-US"/>
        </w:rPr>
        <w:t>** Variables no suman 107 debido a valores faltantes</w:t>
      </w:r>
      <w:r w:rsidRPr="00597617">
        <w:rPr>
          <w:rFonts w:ascii="Verdana" w:eastAsia="Calibri" w:hAnsi="Verdana"/>
          <w:sz w:val="18"/>
          <w:szCs w:val="18"/>
          <w:lang w:val="es-PE" w:eastAsia="en-US"/>
        </w:rPr>
        <w:t>.</w:t>
      </w:r>
    </w:p>
    <w:p w14:paraId="5AAF952D" w14:textId="77777777" w:rsidR="00597617" w:rsidRPr="00597617" w:rsidRDefault="00597617" w:rsidP="00597617">
      <w:pPr>
        <w:spacing w:line="360" w:lineRule="auto"/>
        <w:jc w:val="both"/>
        <w:rPr>
          <w:rFonts w:eastAsia="Calibri"/>
          <w:lang w:val="es-PE" w:eastAsia="en-US"/>
        </w:rPr>
      </w:pPr>
    </w:p>
    <w:p w14:paraId="1CFABA63"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No se evidenció asociación entre la funcionalidad familiar, al compararla con estilo de vida (p= </w:t>
      </w:r>
      <w:r w:rsidRPr="00597617">
        <w:rPr>
          <w:lang w:val="es-PE" w:eastAsia="es-PE"/>
        </w:rPr>
        <w:t>0,359</w:t>
      </w:r>
      <w:r w:rsidRPr="00597617">
        <w:rPr>
          <w:rFonts w:eastAsia="Calibri"/>
          <w:lang w:val="es-PE" w:eastAsia="en-US"/>
        </w:rPr>
        <w:t>) y habilidades sociales (p= </w:t>
      </w:r>
      <w:r w:rsidRPr="00597617">
        <w:rPr>
          <w:lang w:val="es-PE" w:eastAsia="es-PE"/>
        </w:rPr>
        <w:t>0,600</w:t>
      </w:r>
      <w:r w:rsidRPr="00597617">
        <w:rPr>
          <w:rFonts w:eastAsia="Calibri"/>
          <w:lang w:val="es-PE" w:eastAsia="en-US"/>
        </w:rPr>
        <w:t xml:space="preserve">) (tabla 2). </w:t>
      </w:r>
    </w:p>
    <w:p w14:paraId="59CD360A" w14:textId="77777777" w:rsidR="00597617" w:rsidRPr="00597617" w:rsidRDefault="00597617" w:rsidP="00597617">
      <w:pPr>
        <w:spacing w:line="360" w:lineRule="auto"/>
        <w:jc w:val="both"/>
        <w:rPr>
          <w:rFonts w:eastAsia="Calibri"/>
          <w:lang w:val="es-PE" w:eastAsia="en-US"/>
        </w:rPr>
      </w:pPr>
    </w:p>
    <w:p w14:paraId="309F01D0" w14:textId="77777777" w:rsidR="00597617" w:rsidRPr="00597617" w:rsidRDefault="00597617" w:rsidP="00597617">
      <w:pPr>
        <w:spacing w:line="360" w:lineRule="auto"/>
        <w:jc w:val="center"/>
        <w:rPr>
          <w:rFonts w:eastAsia="Calibri"/>
          <w:sz w:val="22"/>
          <w:szCs w:val="22"/>
          <w:lang w:val="es-PE" w:eastAsia="en-US"/>
        </w:rPr>
      </w:pPr>
      <w:r w:rsidRPr="00597617">
        <w:rPr>
          <w:rFonts w:eastAsia="Calibri"/>
          <w:b/>
          <w:bCs/>
          <w:sz w:val="22"/>
          <w:szCs w:val="22"/>
          <w:lang w:val="es-PE" w:eastAsia="en-US"/>
        </w:rPr>
        <w:t>Tabla 2 -</w:t>
      </w:r>
      <w:r w:rsidRPr="00597617">
        <w:rPr>
          <w:rFonts w:eastAsia="Calibri"/>
          <w:sz w:val="22"/>
          <w:szCs w:val="22"/>
          <w:lang w:val="es-PE" w:eastAsia="en-US"/>
        </w:rPr>
        <w:t xml:space="preserve"> Factores asociados a estilos de vida y habilidades sociales</w:t>
      </w:r>
    </w:p>
    <w:p w14:paraId="5F155CC8" w14:textId="72CFB87A" w:rsidR="00597617" w:rsidRPr="00597617" w:rsidRDefault="00597617" w:rsidP="00597617">
      <w:pPr>
        <w:spacing w:line="360" w:lineRule="auto"/>
        <w:jc w:val="center"/>
        <w:rPr>
          <w:sz w:val="16"/>
          <w:szCs w:val="16"/>
          <w:lang w:val="es-PE" w:eastAsia="es-PE"/>
        </w:rPr>
      </w:pPr>
      <w:r w:rsidRPr="00597617">
        <w:rPr>
          <w:noProof/>
          <w:sz w:val="16"/>
          <w:szCs w:val="16"/>
          <w:lang w:val="es-PE" w:eastAsia="es-PE"/>
        </w:rPr>
        <w:drawing>
          <wp:inline distT="0" distB="0" distL="0" distR="0" wp14:anchorId="64CA1272" wp14:editId="582A88D2">
            <wp:extent cx="5398770" cy="44767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4476750"/>
                    </a:xfrm>
                    <a:prstGeom prst="rect">
                      <a:avLst/>
                    </a:prstGeom>
                    <a:noFill/>
                    <a:ln>
                      <a:noFill/>
                    </a:ln>
                  </pic:spPr>
                </pic:pic>
              </a:graphicData>
            </a:graphic>
          </wp:inline>
        </w:drawing>
      </w:r>
    </w:p>
    <w:p w14:paraId="519544CA" w14:textId="77777777" w:rsidR="00597617" w:rsidRPr="00597617" w:rsidRDefault="00597617" w:rsidP="00597617">
      <w:pPr>
        <w:spacing w:line="360" w:lineRule="auto"/>
        <w:jc w:val="center"/>
        <w:rPr>
          <w:sz w:val="16"/>
          <w:szCs w:val="16"/>
          <w:lang w:val="es-PE" w:eastAsia="es-PE"/>
        </w:rPr>
      </w:pPr>
      <w:r w:rsidRPr="00597617">
        <w:rPr>
          <w:sz w:val="16"/>
          <w:szCs w:val="16"/>
          <w:lang w:val="es-PE" w:eastAsia="es-PE"/>
        </w:rPr>
        <w:t>*Valores p obtenidos con prueba exacta de Fisher.</w:t>
      </w:r>
    </w:p>
    <w:p w14:paraId="667CD4F1" w14:textId="77777777" w:rsidR="00597617" w:rsidRPr="00597617" w:rsidRDefault="00597617" w:rsidP="00597617">
      <w:pPr>
        <w:spacing w:line="360" w:lineRule="auto"/>
        <w:jc w:val="center"/>
        <w:rPr>
          <w:rFonts w:eastAsia="Calibri"/>
          <w:sz w:val="16"/>
          <w:szCs w:val="16"/>
          <w:lang w:val="es-PE" w:eastAsia="en-US"/>
        </w:rPr>
      </w:pPr>
      <w:r w:rsidRPr="00597617">
        <w:rPr>
          <w:sz w:val="16"/>
          <w:szCs w:val="16"/>
          <w:lang w:val="es-PE" w:eastAsia="es-PE"/>
        </w:rPr>
        <w:t xml:space="preserve">** Valores p obtenidos con prueba </w:t>
      </w:r>
      <w:r w:rsidRPr="00597617">
        <w:rPr>
          <w:i/>
          <w:iCs/>
          <w:sz w:val="16"/>
          <w:szCs w:val="16"/>
          <w:lang w:val="es-PE" w:eastAsia="es-PE"/>
        </w:rPr>
        <w:t>ji</w:t>
      </w:r>
      <w:r w:rsidRPr="00597617">
        <w:rPr>
          <w:sz w:val="16"/>
          <w:szCs w:val="16"/>
          <w:lang w:val="es-PE" w:eastAsia="es-PE"/>
        </w:rPr>
        <w:t xml:space="preserve"> cuadrado.</w:t>
      </w:r>
    </w:p>
    <w:p w14:paraId="5E022067" w14:textId="77777777" w:rsidR="00597617" w:rsidRPr="00597617" w:rsidRDefault="00597617" w:rsidP="00597617">
      <w:pPr>
        <w:spacing w:line="360" w:lineRule="auto"/>
        <w:jc w:val="both"/>
        <w:rPr>
          <w:rFonts w:eastAsia="Calibri"/>
          <w:lang w:val="es-PE" w:eastAsia="en-US"/>
        </w:rPr>
      </w:pPr>
    </w:p>
    <w:p w14:paraId="12A1FD1E"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Se evidenció que la frecuencia de presentar habilidades sociales en promedio bajo fue menor en un 13 % (RP= 0,87; IC 95 %: 076-0,97, p= 0,014) en quienes no vivían en Cajamarca (tabla 3). El nivel de estilos de vida saludable fue menor en un 4 % (RP= 0,96; IC 95 %: 092-0,99, p= 0,034) en alumnos masculinos (tabla 4).</w:t>
      </w:r>
    </w:p>
    <w:p w14:paraId="794C08B7" w14:textId="130CAB7F" w:rsidR="00597617" w:rsidRPr="00597617" w:rsidRDefault="00597617" w:rsidP="00590F84">
      <w:pPr>
        <w:spacing w:line="360" w:lineRule="auto"/>
        <w:jc w:val="center"/>
        <w:rPr>
          <w:rFonts w:eastAsia="Calibri"/>
          <w:sz w:val="22"/>
          <w:szCs w:val="22"/>
          <w:lang w:val="es-PE" w:eastAsia="en-US"/>
        </w:rPr>
      </w:pPr>
      <w:r w:rsidRPr="00597617">
        <w:rPr>
          <w:rFonts w:eastAsia="Calibri"/>
          <w:b/>
          <w:bCs/>
          <w:sz w:val="22"/>
          <w:szCs w:val="22"/>
          <w:lang w:val="es-PE" w:eastAsia="en-US"/>
        </w:rPr>
        <w:lastRenderedPageBreak/>
        <w:t>Tabla 3 -</w:t>
      </w:r>
      <w:r w:rsidRPr="00597617">
        <w:rPr>
          <w:rFonts w:eastAsia="Calibri"/>
          <w:sz w:val="22"/>
          <w:szCs w:val="22"/>
          <w:lang w:val="es-PE" w:eastAsia="en-US"/>
        </w:rPr>
        <w:t xml:space="preserve"> Factores asociados a habilidades sociales</w:t>
      </w:r>
    </w:p>
    <w:p w14:paraId="74F75FC5" w14:textId="5B947D48" w:rsidR="00597617" w:rsidRPr="00597617" w:rsidRDefault="00597617" w:rsidP="00597617">
      <w:pPr>
        <w:spacing w:line="360" w:lineRule="auto"/>
        <w:jc w:val="center"/>
        <w:rPr>
          <w:sz w:val="16"/>
          <w:szCs w:val="16"/>
          <w:lang w:val="es-PE" w:eastAsia="es-PE"/>
        </w:rPr>
      </w:pPr>
      <w:r w:rsidRPr="00597617">
        <w:rPr>
          <w:noProof/>
          <w:sz w:val="16"/>
          <w:szCs w:val="16"/>
          <w:lang w:val="es-PE" w:eastAsia="es-PE"/>
        </w:rPr>
        <w:drawing>
          <wp:inline distT="0" distB="0" distL="0" distR="0" wp14:anchorId="2E97F9D1" wp14:editId="1E79D6BE">
            <wp:extent cx="4268129" cy="3013544"/>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3275" cy="3024238"/>
                    </a:xfrm>
                    <a:prstGeom prst="rect">
                      <a:avLst/>
                    </a:prstGeom>
                    <a:noFill/>
                    <a:ln>
                      <a:noFill/>
                    </a:ln>
                  </pic:spPr>
                </pic:pic>
              </a:graphicData>
            </a:graphic>
          </wp:inline>
        </w:drawing>
      </w:r>
    </w:p>
    <w:p w14:paraId="5121FC2E" w14:textId="77777777" w:rsidR="00597617" w:rsidRPr="00597617" w:rsidRDefault="00597617" w:rsidP="00597617">
      <w:pPr>
        <w:spacing w:line="360" w:lineRule="auto"/>
        <w:jc w:val="center"/>
        <w:rPr>
          <w:rFonts w:eastAsia="Calibri"/>
          <w:sz w:val="16"/>
          <w:szCs w:val="16"/>
          <w:lang w:val="es-PE" w:eastAsia="en-US"/>
        </w:rPr>
      </w:pPr>
      <w:r w:rsidRPr="00597617">
        <w:rPr>
          <w:sz w:val="16"/>
          <w:szCs w:val="16"/>
          <w:lang w:val="es-PE" w:eastAsia="es-PE"/>
        </w:rPr>
        <w:t>** Valores p obtenidos mediante modelos lineales generalizados (GLM, siglas en inglés), familia Poisson, función de enlace log, varianza robusta y año de estudios como clúster.</w:t>
      </w:r>
    </w:p>
    <w:p w14:paraId="1FD4550B" w14:textId="77777777" w:rsidR="00597617" w:rsidRPr="00597617" w:rsidRDefault="00597617" w:rsidP="00597617">
      <w:pPr>
        <w:spacing w:line="360" w:lineRule="auto"/>
        <w:jc w:val="center"/>
        <w:rPr>
          <w:rFonts w:eastAsia="Calibri"/>
          <w:b/>
          <w:bCs/>
          <w:lang w:val="es-PE" w:eastAsia="en-US"/>
        </w:rPr>
      </w:pPr>
    </w:p>
    <w:p w14:paraId="2FCF42CA" w14:textId="77777777" w:rsidR="00597617" w:rsidRPr="00597617" w:rsidRDefault="00597617" w:rsidP="00597617">
      <w:pPr>
        <w:spacing w:line="360" w:lineRule="auto"/>
        <w:jc w:val="center"/>
        <w:rPr>
          <w:rFonts w:eastAsia="Calibri"/>
          <w:sz w:val="22"/>
          <w:szCs w:val="22"/>
          <w:lang w:val="es-PE" w:eastAsia="en-US"/>
        </w:rPr>
      </w:pPr>
      <w:r w:rsidRPr="00597617">
        <w:rPr>
          <w:rFonts w:eastAsia="Calibri"/>
          <w:b/>
          <w:bCs/>
          <w:sz w:val="22"/>
          <w:szCs w:val="22"/>
          <w:lang w:val="es-PE" w:eastAsia="en-US"/>
        </w:rPr>
        <w:t>Tabla 4 -</w:t>
      </w:r>
      <w:r w:rsidRPr="00597617">
        <w:rPr>
          <w:rFonts w:eastAsia="Calibri"/>
          <w:sz w:val="22"/>
          <w:szCs w:val="22"/>
          <w:lang w:val="es-PE" w:eastAsia="en-US"/>
        </w:rPr>
        <w:t xml:space="preserve"> Factores asociados a estilos de vida</w:t>
      </w:r>
    </w:p>
    <w:p w14:paraId="3D421746" w14:textId="221BAB3F" w:rsidR="00597617" w:rsidRPr="00597617" w:rsidRDefault="00597617" w:rsidP="00597617">
      <w:pPr>
        <w:spacing w:line="360" w:lineRule="auto"/>
        <w:jc w:val="center"/>
        <w:rPr>
          <w:sz w:val="16"/>
          <w:szCs w:val="16"/>
          <w:lang w:val="es-PE" w:eastAsia="es-PE"/>
        </w:rPr>
      </w:pPr>
      <w:r w:rsidRPr="00597617">
        <w:rPr>
          <w:noProof/>
          <w:sz w:val="16"/>
          <w:szCs w:val="16"/>
          <w:lang w:val="es-PE" w:eastAsia="es-PE"/>
        </w:rPr>
        <w:drawing>
          <wp:inline distT="0" distB="0" distL="0" distR="0" wp14:anchorId="44FA408B" wp14:editId="4E77D56E">
            <wp:extent cx="4082425" cy="2703443"/>
            <wp:effectExtent l="0" t="0" r="0" b="1905"/>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1969" cy="2729629"/>
                    </a:xfrm>
                    <a:prstGeom prst="rect">
                      <a:avLst/>
                    </a:prstGeom>
                    <a:noFill/>
                    <a:ln>
                      <a:noFill/>
                    </a:ln>
                  </pic:spPr>
                </pic:pic>
              </a:graphicData>
            </a:graphic>
          </wp:inline>
        </w:drawing>
      </w:r>
    </w:p>
    <w:p w14:paraId="2B83B4BE" w14:textId="77777777" w:rsidR="00597617" w:rsidRPr="00597617" w:rsidRDefault="00597617" w:rsidP="00597617">
      <w:pPr>
        <w:spacing w:line="360" w:lineRule="auto"/>
        <w:jc w:val="center"/>
        <w:rPr>
          <w:sz w:val="16"/>
          <w:szCs w:val="16"/>
          <w:lang w:val="es-PE" w:eastAsia="es-PE"/>
        </w:rPr>
      </w:pPr>
      <w:r w:rsidRPr="00597617">
        <w:rPr>
          <w:sz w:val="16"/>
          <w:szCs w:val="16"/>
          <w:lang w:val="es-PE" w:eastAsia="es-PE"/>
        </w:rPr>
        <w:t>*Ajustado por grupos de edad (adolescencia), sexo y lugar de nacimiento.</w:t>
      </w:r>
    </w:p>
    <w:p w14:paraId="76B9AE78" w14:textId="77777777" w:rsidR="00597617" w:rsidRPr="00597617" w:rsidRDefault="00597617" w:rsidP="00597617">
      <w:pPr>
        <w:spacing w:line="360" w:lineRule="auto"/>
        <w:jc w:val="center"/>
        <w:rPr>
          <w:rFonts w:eastAsia="Calibri"/>
          <w:sz w:val="16"/>
          <w:szCs w:val="16"/>
          <w:lang w:val="es-PE" w:eastAsia="en-US"/>
        </w:rPr>
      </w:pPr>
      <w:r w:rsidRPr="00597617">
        <w:rPr>
          <w:sz w:val="16"/>
          <w:szCs w:val="16"/>
          <w:lang w:val="es-PE" w:eastAsia="es-PE"/>
        </w:rPr>
        <w:t>** Valores p obtenidos mediante modelos lineales generalizados (GLM, siglas en inglés), familia Poisson, función de enlace log, varianza robusta y año de estudios como clúster.</w:t>
      </w:r>
    </w:p>
    <w:p w14:paraId="4C671C71" w14:textId="77777777" w:rsidR="00597617" w:rsidRPr="00597617" w:rsidRDefault="00597617" w:rsidP="00597617">
      <w:pPr>
        <w:spacing w:line="360" w:lineRule="auto"/>
        <w:jc w:val="both"/>
        <w:rPr>
          <w:rFonts w:eastAsia="Calibri"/>
          <w:lang w:val="es-PE" w:eastAsia="en-US"/>
        </w:rPr>
      </w:pPr>
    </w:p>
    <w:p w14:paraId="2ABAF5CA" w14:textId="77777777" w:rsidR="00597617" w:rsidRPr="00597617" w:rsidRDefault="00597617" w:rsidP="00597617">
      <w:pPr>
        <w:spacing w:line="360" w:lineRule="auto"/>
        <w:jc w:val="center"/>
        <w:rPr>
          <w:rFonts w:eastAsia="Calibri"/>
          <w:b/>
          <w:bCs/>
          <w:lang w:val="es-PE" w:eastAsia="en-US"/>
        </w:rPr>
      </w:pPr>
    </w:p>
    <w:p w14:paraId="61741EF2" w14:textId="77777777" w:rsidR="00597617" w:rsidRPr="00597617" w:rsidRDefault="00597617" w:rsidP="00597617">
      <w:pPr>
        <w:spacing w:line="360" w:lineRule="auto"/>
        <w:jc w:val="center"/>
        <w:rPr>
          <w:rFonts w:eastAsia="Calibri"/>
          <w:b/>
          <w:bCs/>
          <w:sz w:val="32"/>
          <w:szCs w:val="32"/>
          <w:lang w:val="es-PE" w:eastAsia="en-US"/>
        </w:rPr>
      </w:pPr>
      <w:r w:rsidRPr="00597617">
        <w:rPr>
          <w:rFonts w:eastAsia="Calibri"/>
          <w:b/>
          <w:bCs/>
          <w:sz w:val="32"/>
          <w:szCs w:val="32"/>
          <w:lang w:val="es-PE" w:eastAsia="en-US"/>
        </w:rPr>
        <w:t>DISCUSIÓN</w:t>
      </w:r>
    </w:p>
    <w:p w14:paraId="3ED41E94"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 mayoría de participantes obtuvieron puntajes que reflejaron estilos de vida saludables. Esto es similar a un </w:t>
      </w:r>
      <w:proofErr w:type="gramStart"/>
      <w:r w:rsidRPr="00597617">
        <w:rPr>
          <w:rFonts w:eastAsia="Calibri"/>
          <w:lang w:val="es-PE" w:eastAsia="en-US"/>
        </w:rPr>
        <w:t>estudio</w:t>
      </w:r>
      <w:r w:rsidRPr="00597617">
        <w:rPr>
          <w:rFonts w:eastAsia="Calibri"/>
          <w:vertAlign w:val="superscript"/>
          <w:lang w:val="es-PE" w:eastAsia="en-US"/>
        </w:rPr>
        <w:t>(</w:t>
      </w:r>
      <w:proofErr w:type="gramEnd"/>
      <w:r w:rsidRPr="00597617">
        <w:rPr>
          <w:rFonts w:eastAsia="Calibri"/>
          <w:vertAlign w:val="superscript"/>
          <w:lang w:val="es-PE" w:eastAsia="en-US"/>
        </w:rPr>
        <w:t>28)</w:t>
      </w:r>
      <w:r w:rsidRPr="00597617">
        <w:rPr>
          <w:rFonts w:eastAsia="Calibri"/>
          <w:lang w:val="es-PE" w:eastAsia="en-US"/>
        </w:rPr>
        <w:t xml:space="preserve"> en adolescentes peruanos, que encontró que el 75 % tuvo un estilo de vida saludable y el 13,7 % muy saludable. Por el contrario, en alumnos de secundaria en </w:t>
      </w:r>
      <w:proofErr w:type="gramStart"/>
      <w:r w:rsidRPr="00597617">
        <w:rPr>
          <w:rFonts w:eastAsia="Calibri"/>
          <w:lang w:val="es-PE" w:eastAsia="en-US"/>
        </w:rPr>
        <w:t>Lima,</w:t>
      </w:r>
      <w:r w:rsidRPr="00597617">
        <w:rPr>
          <w:rFonts w:eastAsia="Calibri"/>
          <w:vertAlign w:val="superscript"/>
          <w:lang w:val="es-PE" w:eastAsia="en-US"/>
        </w:rPr>
        <w:t>(</w:t>
      </w:r>
      <w:proofErr w:type="gramEnd"/>
      <w:r w:rsidRPr="00597617">
        <w:rPr>
          <w:rFonts w:eastAsia="Calibri"/>
          <w:vertAlign w:val="superscript"/>
          <w:lang w:val="es-PE" w:eastAsia="en-US"/>
        </w:rPr>
        <w:t>29)</w:t>
      </w:r>
      <w:r w:rsidRPr="00597617">
        <w:rPr>
          <w:rFonts w:eastAsia="Calibri"/>
          <w:lang w:val="es-PE" w:eastAsia="en-US"/>
        </w:rPr>
        <w:t xml:space="preserve"> se encontró que el 66 % tuvo un estilo de vida poco saludable. La alta prevalencia encontrada podría explicarse a que en zonas rurales se evidencian más altos niveles de los componentes de estilos de vida saludable comparado con zonas urbanas; y esto se debe a que a altos índices de dieta saludable, mejor calidad de sueño y menos consumo de drogas y sedentarismo.</w:t>
      </w:r>
      <w:r w:rsidRPr="00597617">
        <w:rPr>
          <w:rFonts w:eastAsia="Calibri"/>
          <w:vertAlign w:val="superscript"/>
          <w:lang w:val="es-PE" w:eastAsia="en-US"/>
        </w:rPr>
        <w:t>(30,31)</w:t>
      </w:r>
      <w:r w:rsidRPr="00597617">
        <w:rPr>
          <w:rFonts w:eastAsia="Calibri"/>
          <w:lang w:val="es-PE" w:eastAsia="en-US"/>
        </w:rPr>
        <w:t xml:space="preserve"> Otra explicación se debe a que, durante la primera ola de la pandemia, tiempo en que se realizó la investigación, la provincia donde el colegio se localiza, no se afectó significativamente.</w:t>
      </w:r>
      <w:r w:rsidRPr="00597617">
        <w:rPr>
          <w:rFonts w:eastAsia="Calibri"/>
          <w:vertAlign w:val="superscript"/>
          <w:lang w:val="es-PE" w:eastAsia="en-US"/>
        </w:rPr>
        <w:t>(32)</w:t>
      </w:r>
    </w:p>
    <w:p w14:paraId="6AA5E67C"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Las habilidades sociales se encontraron en un rango de bajo y muy bajo. Estos resultados se relacionan con una </w:t>
      </w:r>
      <w:proofErr w:type="gramStart"/>
      <w:r w:rsidRPr="00597617">
        <w:rPr>
          <w:rFonts w:eastAsia="Calibri"/>
          <w:lang w:val="es-PE" w:eastAsia="en-US"/>
        </w:rPr>
        <w:t>investigación</w:t>
      </w:r>
      <w:r w:rsidRPr="00597617">
        <w:rPr>
          <w:rFonts w:eastAsia="Calibri"/>
          <w:vertAlign w:val="superscript"/>
          <w:lang w:val="es-PE" w:eastAsia="en-US"/>
        </w:rPr>
        <w:t>(</w:t>
      </w:r>
      <w:proofErr w:type="gramEnd"/>
      <w:r w:rsidRPr="00597617">
        <w:rPr>
          <w:rFonts w:eastAsia="Calibri"/>
          <w:vertAlign w:val="superscript"/>
          <w:lang w:val="es-PE" w:eastAsia="en-US"/>
        </w:rPr>
        <w:t>20)</w:t>
      </w:r>
      <w:r w:rsidRPr="00597617">
        <w:rPr>
          <w:rFonts w:eastAsia="Calibri"/>
          <w:lang w:val="es-PE" w:eastAsia="en-US"/>
        </w:rPr>
        <w:t xml:space="preserve"> en estudiantes de secundaria de Puno, quienes tenían habilidades sociales en promedio bajo (28 %) y regular (27,9 %). Por otro lado, </w:t>
      </w:r>
      <w:r w:rsidRPr="00597617">
        <w:rPr>
          <w:rFonts w:eastAsia="Calibri"/>
          <w:iCs/>
          <w:lang w:val="es-PE" w:eastAsia="en-US"/>
        </w:rPr>
        <w:t xml:space="preserve">en un colegio de </w:t>
      </w:r>
      <w:proofErr w:type="gramStart"/>
      <w:r w:rsidRPr="00597617">
        <w:rPr>
          <w:rFonts w:eastAsia="Calibri"/>
          <w:iCs/>
          <w:lang w:val="es-PE" w:eastAsia="en-US"/>
        </w:rPr>
        <w:t>Juliaca</w:t>
      </w:r>
      <w:r w:rsidRPr="00597617">
        <w:rPr>
          <w:rFonts w:eastAsia="Calibri"/>
          <w:vertAlign w:val="superscript"/>
          <w:lang w:val="es-PE" w:eastAsia="en-US"/>
        </w:rPr>
        <w:t>(</w:t>
      </w:r>
      <w:proofErr w:type="gramEnd"/>
      <w:r w:rsidRPr="00597617">
        <w:rPr>
          <w:rFonts w:eastAsia="Calibri"/>
          <w:vertAlign w:val="superscript"/>
          <w:lang w:val="es-PE" w:eastAsia="en-US"/>
        </w:rPr>
        <w:t xml:space="preserve">33) </w:t>
      </w:r>
      <w:r w:rsidRPr="00597617">
        <w:rPr>
          <w:rFonts w:eastAsia="Calibri"/>
          <w:lang w:val="es-PE" w:eastAsia="en-US"/>
        </w:rPr>
        <w:t xml:space="preserve">el 42 % tuvo un promedio bajo de habilidades sociales y el 30,1 % tuvo un resultado regular. Lo mencionado tiene importante relevancia debido a que las habilidades sociales tienen un rol importante en el desarrollo integral de los adolescentes. </w:t>
      </w:r>
    </w:p>
    <w:p w14:paraId="79881143"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Las cifras bajas encontrados podría explicarse debido a las restricciones sociales impuestas durante la pandemia en la cual los adolescentes han visto limitado sus espacios físicos de interacción (escuela, reuniones sociales, actividades deportivas), afecta el desarrollo de sus habilidades </w:t>
      </w:r>
      <w:proofErr w:type="gramStart"/>
      <w:r w:rsidRPr="00597617">
        <w:rPr>
          <w:rFonts w:eastAsia="Calibri"/>
          <w:lang w:val="es-PE" w:eastAsia="en-US"/>
        </w:rPr>
        <w:t>sociales.</w:t>
      </w:r>
      <w:r w:rsidRPr="00597617">
        <w:rPr>
          <w:rFonts w:eastAsia="Calibri"/>
          <w:vertAlign w:val="superscript"/>
          <w:lang w:val="es-PE" w:eastAsia="en-US"/>
        </w:rPr>
        <w:t>(</w:t>
      </w:r>
      <w:proofErr w:type="gramEnd"/>
      <w:r w:rsidRPr="00597617">
        <w:rPr>
          <w:rFonts w:eastAsia="Calibri"/>
          <w:vertAlign w:val="superscript"/>
          <w:lang w:val="es-PE" w:eastAsia="en-US"/>
        </w:rPr>
        <w:t>34,35)</w:t>
      </w:r>
    </w:p>
    <w:p w14:paraId="740B3EF5"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La mayoría de los estudiantes tuvo una función familiar adecuada.  Esto se correlaciona con un </w:t>
      </w:r>
      <w:proofErr w:type="gramStart"/>
      <w:r w:rsidRPr="00597617">
        <w:rPr>
          <w:rFonts w:eastAsia="Calibri"/>
          <w:lang w:val="es-PE" w:eastAsia="en-US"/>
        </w:rPr>
        <w:t>estudio</w:t>
      </w:r>
      <w:r w:rsidRPr="00597617">
        <w:rPr>
          <w:rFonts w:eastAsia="Calibri"/>
          <w:vertAlign w:val="superscript"/>
          <w:lang w:val="es-PE" w:eastAsia="en-US"/>
        </w:rPr>
        <w:t>(</w:t>
      </w:r>
      <w:proofErr w:type="gramEnd"/>
      <w:r w:rsidRPr="00597617">
        <w:rPr>
          <w:rFonts w:eastAsia="Calibri"/>
          <w:vertAlign w:val="superscript"/>
          <w:lang w:val="es-PE" w:eastAsia="en-US"/>
        </w:rPr>
        <w:t xml:space="preserve">36) </w:t>
      </w:r>
      <w:r w:rsidRPr="00597617">
        <w:rPr>
          <w:rFonts w:eastAsia="Calibri"/>
          <w:lang w:val="es-PE" w:eastAsia="en-US"/>
        </w:rPr>
        <w:t xml:space="preserve">en estudiantes de secundaria, en el cual el 60,3 % presentó una óptima funcionalidad familiar. No obstante, contrasta con el </w:t>
      </w:r>
      <w:proofErr w:type="gramStart"/>
      <w:r w:rsidRPr="00597617">
        <w:rPr>
          <w:rFonts w:eastAsia="Calibri"/>
          <w:lang w:val="es-PE" w:eastAsia="en-US"/>
        </w:rPr>
        <w:t>estudio</w:t>
      </w:r>
      <w:r w:rsidRPr="00597617">
        <w:rPr>
          <w:rFonts w:eastAsia="Calibri"/>
          <w:vertAlign w:val="superscript"/>
          <w:lang w:val="es-PE" w:eastAsia="en-US"/>
        </w:rPr>
        <w:t>(</w:t>
      </w:r>
      <w:proofErr w:type="gramEnd"/>
      <w:r w:rsidRPr="00597617">
        <w:rPr>
          <w:rFonts w:eastAsia="Calibri"/>
          <w:vertAlign w:val="superscript"/>
          <w:lang w:val="es-PE" w:eastAsia="en-US"/>
        </w:rPr>
        <w:t>37)</w:t>
      </w:r>
      <w:r w:rsidRPr="00597617">
        <w:rPr>
          <w:rFonts w:eastAsia="Calibri"/>
          <w:lang w:val="es-PE" w:eastAsia="en-US"/>
        </w:rPr>
        <w:t xml:space="preserve"> en adolescentes que concluye que el funcionamiento familiar se ubicó en el rango medio. Una óptima funcionalidad familiar conlleva a mejores niveles de estilos de vida saludable y un correcto desarrollo de las habilidades </w:t>
      </w:r>
      <w:proofErr w:type="gramStart"/>
      <w:r w:rsidRPr="00597617">
        <w:rPr>
          <w:rFonts w:eastAsia="Calibri"/>
          <w:lang w:val="es-PE" w:eastAsia="en-US"/>
        </w:rPr>
        <w:t>sociales.</w:t>
      </w:r>
      <w:r w:rsidRPr="00597617">
        <w:rPr>
          <w:rFonts w:eastAsia="Calibri"/>
          <w:vertAlign w:val="superscript"/>
          <w:lang w:val="es-PE" w:eastAsia="en-US"/>
        </w:rPr>
        <w:t>(</w:t>
      </w:r>
      <w:proofErr w:type="gramEnd"/>
      <w:r w:rsidRPr="00597617">
        <w:rPr>
          <w:rFonts w:eastAsia="Calibri"/>
          <w:vertAlign w:val="superscript"/>
          <w:lang w:val="es-PE" w:eastAsia="en-US"/>
        </w:rPr>
        <w:t>38)</w:t>
      </w:r>
      <w:r w:rsidRPr="00597617">
        <w:rPr>
          <w:rFonts w:eastAsia="Calibri"/>
          <w:lang w:val="es-PE" w:eastAsia="en-US"/>
        </w:rPr>
        <w:t xml:space="preserve"> La alta frecuencia de funcionalidad familiar encontrada podría deberse a la oportunidad que significó la pandemia en mejorar la comunicación y cohesión entre sus miembros, al convivir más tiempo en el mismo espacio. Estudios </w:t>
      </w:r>
      <w:r w:rsidRPr="00597617">
        <w:rPr>
          <w:rFonts w:eastAsia="Calibri"/>
          <w:lang w:val="es-PE" w:eastAsia="en-US"/>
        </w:rPr>
        <w:lastRenderedPageBreak/>
        <w:t xml:space="preserve">previos evidencian que, durante la pandemia, las familias que lograron adaptarse fortalecieron la relación entre sus miembros por medio de la </w:t>
      </w:r>
      <w:proofErr w:type="gramStart"/>
      <w:r w:rsidRPr="00597617">
        <w:rPr>
          <w:rFonts w:eastAsia="Calibri"/>
          <w:lang w:val="es-PE" w:eastAsia="en-US"/>
        </w:rPr>
        <w:t>comunicación.</w:t>
      </w:r>
      <w:r w:rsidRPr="00597617">
        <w:rPr>
          <w:rFonts w:eastAsia="Calibri"/>
          <w:vertAlign w:val="superscript"/>
          <w:lang w:val="es-PE" w:eastAsia="en-US"/>
        </w:rPr>
        <w:t>(</w:t>
      </w:r>
      <w:proofErr w:type="gramEnd"/>
      <w:r w:rsidRPr="00597617">
        <w:rPr>
          <w:rFonts w:eastAsia="Calibri"/>
          <w:vertAlign w:val="superscript"/>
          <w:lang w:val="es-PE" w:eastAsia="en-US"/>
        </w:rPr>
        <w:t>39,40)</w:t>
      </w:r>
      <w:r w:rsidRPr="00597617">
        <w:rPr>
          <w:rFonts w:eastAsia="Calibri"/>
          <w:lang w:val="es-PE" w:eastAsia="en-US"/>
        </w:rPr>
        <w:t xml:space="preserve"> </w:t>
      </w:r>
    </w:p>
    <w:p w14:paraId="6E7B3483"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No se encontró asociación entre la funcionalidad familiar y estilos de vida o las habilidades sociales. Esto se asemeja con un estudio en </w:t>
      </w:r>
      <w:proofErr w:type="gramStart"/>
      <w:r w:rsidRPr="00597617">
        <w:rPr>
          <w:rFonts w:eastAsia="Calibri"/>
          <w:lang w:val="es-PE" w:eastAsia="en-US"/>
        </w:rPr>
        <w:t>adolescentes</w:t>
      </w:r>
      <w:r w:rsidRPr="00597617">
        <w:rPr>
          <w:rFonts w:eastAsia="Calibri"/>
          <w:vertAlign w:val="superscript"/>
          <w:lang w:val="es-PE" w:eastAsia="en-US"/>
        </w:rPr>
        <w:t>(</w:t>
      </w:r>
      <w:proofErr w:type="gramEnd"/>
      <w:r w:rsidRPr="00597617">
        <w:rPr>
          <w:rFonts w:eastAsia="Calibri"/>
          <w:vertAlign w:val="superscript"/>
          <w:lang w:val="es-PE" w:eastAsia="en-US"/>
        </w:rPr>
        <w:t>41)</w:t>
      </w:r>
      <w:r w:rsidRPr="00597617">
        <w:rPr>
          <w:rFonts w:eastAsia="Calibri"/>
          <w:lang w:val="es-PE" w:eastAsia="en-US"/>
        </w:rPr>
        <w:t xml:space="preserve"> que no encontró asociación. Sin embargo, contrasta con lo descrito en </w:t>
      </w:r>
      <w:proofErr w:type="gramStart"/>
      <w:r w:rsidRPr="00597617">
        <w:rPr>
          <w:rFonts w:eastAsia="Calibri"/>
          <w:lang w:val="es-PE" w:eastAsia="en-US"/>
        </w:rPr>
        <w:t>Colombia,</w:t>
      </w:r>
      <w:r w:rsidRPr="00597617">
        <w:rPr>
          <w:rFonts w:eastAsia="Calibri"/>
          <w:vertAlign w:val="superscript"/>
          <w:lang w:val="es-PE" w:eastAsia="en-US"/>
        </w:rPr>
        <w:t>(</w:t>
      </w:r>
      <w:proofErr w:type="gramEnd"/>
      <w:r w:rsidRPr="00597617">
        <w:rPr>
          <w:rFonts w:eastAsia="Calibri"/>
          <w:vertAlign w:val="superscript"/>
          <w:lang w:val="es-PE" w:eastAsia="en-US"/>
        </w:rPr>
        <w:t>42)</w:t>
      </w:r>
      <w:r w:rsidRPr="00597617">
        <w:rPr>
          <w:rFonts w:eastAsia="Calibri"/>
          <w:lang w:val="es-PE" w:eastAsia="en-US"/>
        </w:rPr>
        <w:t xml:space="preserve"> donde en adolescentes sí encontraron factores asociados a la funcionalidad familiar (características sociodemográficas, grado de instrucción y zona de residencia). </w:t>
      </w:r>
      <w:r w:rsidRPr="00597617">
        <w:rPr>
          <w:rFonts w:eastAsia="Calibri"/>
          <w:iCs/>
          <w:lang w:val="es-PE" w:eastAsia="en-US"/>
        </w:rPr>
        <w:t xml:space="preserve">En jóvenes </w:t>
      </w:r>
      <w:proofErr w:type="gramStart"/>
      <w:r w:rsidRPr="00597617">
        <w:rPr>
          <w:rFonts w:eastAsia="Calibri"/>
          <w:iCs/>
          <w:lang w:val="es-PE" w:eastAsia="en-US"/>
        </w:rPr>
        <w:t>gestantes</w:t>
      </w:r>
      <w:r w:rsidRPr="00597617">
        <w:rPr>
          <w:rFonts w:eastAsia="Calibri"/>
          <w:vertAlign w:val="superscript"/>
          <w:lang w:val="es-PE" w:eastAsia="en-US"/>
        </w:rPr>
        <w:t>(</w:t>
      </w:r>
      <w:proofErr w:type="gramEnd"/>
      <w:r w:rsidRPr="00597617">
        <w:rPr>
          <w:rFonts w:eastAsia="Calibri"/>
          <w:vertAlign w:val="superscript"/>
          <w:lang w:val="es-PE" w:eastAsia="en-US"/>
        </w:rPr>
        <w:t>43)</w:t>
      </w:r>
      <w:r w:rsidRPr="00597617">
        <w:rPr>
          <w:rFonts w:eastAsia="Calibri"/>
          <w:lang w:val="es-PE" w:eastAsia="en-US"/>
        </w:rPr>
        <w:t xml:space="preserve"> se evaluó la relación entre funcionalidad familiar y embarazo adolescente y concluyó una relación entre ambas variables, especialmente en las dimensiones de cohesión, comunicación, armonía y afectividad. La falta de asociación se podría explicar por la población en quienes se realizó el estudio debido a que solo corresponde a un colegio en zona rural.  </w:t>
      </w:r>
    </w:p>
    <w:p w14:paraId="079A7B02"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 xml:space="preserve">Este estudio presentó limitaciones debido a que se realizó en una sola institución educativa, lo cual no refleja la realidad de todo el universo de adolescentes a nivel nacional. El estudio fue realizado en un corto periodo, lo cual puede haber favorecido la falta de participación. A ello se agregan factores que pueden haber influenciado en la participación del estudio, como puede ser estrés o ansiedad durante la pandemia, otra puede ser la fatiga generada por las encuestas ya que pueden considerarlas largas. Sin embargo, esta investigación también presenta fortalezas pues evalúa una realidad nacional en la zona rural de la sierra. Además, la caracterización de esta población escolar brinda información relevante para comprender algunos determinantes personales, familiares y sociales que pueden influir en los resultados educacionales y que deben ser de interés tanto de la comunidad docente como de los servicios de salud. </w:t>
      </w:r>
    </w:p>
    <w:p w14:paraId="4C6DA11E" w14:textId="77777777" w:rsidR="00597617" w:rsidRPr="00597617" w:rsidRDefault="00597617" w:rsidP="00597617">
      <w:pPr>
        <w:spacing w:line="360" w:lineRule="auto"/>
        <w:jc w:val="both"/>
        <w:rPr>
          <w:rFonts w:eastAsia="Calibri"/>
          <w:lang w:val="es-PE" w:eastAsia="en-US"/>
        </w:rPr>
      </w:pPr>
      <w:r w:rsidRPr="00597617">
        <w:rPr>
          <w:rFonts w:eastAsia="Calibri"/>
          <w:lang w:val="es-PE" w:eastAsia="en-US"/>
        </w:rPr>
        <w:t>No se encontró asociación entre la funcionalidad familiar y los estilos de vida o las habilidades sociales.</w:t>
      </w:r>
    </w:p>
    <w:p w14:paraId="24CAC7E1" w14:textId="77777777" w:rsidR="00597617" w:rsidRPr="00597617" w:rsidRDefault="00597617" w:rsidP="00597617">
      <w:pPr>
        <w:spacing w:line="360" w:lineRule="auto"/>
        <w:rPr>
          <w:rFonts w:eastAsia="Calibri"/>
          <w:lang w:val="es-PE" w:eastAsia="en-US"/>
        </w:rPr>
      </w:pPr>
    </w:p>
    <w:p w14:paraId="1262BD43" w14:textId="77777777" w:rsidR="00597617" w:rsidRPr="00597617" w:rsidRDefault="00597617" w:rsidP="00597617">
      <w:pPr>
        <w:spacing w:line="360" w:lineRule="auto"/>
        <w:jc w:val="center"/>
        <w:rPr>
          <w:rFonts w:eastAsia="Calibri"/>
          <w:b/>
          <w:lang w:val="es-CU" w:eastAsia="en-US"/>
        </w:rPr>
      </w:pPr>
    </w:p>
    <w:p w14:paraId="7103617E" w14:textId="77777777" w:rsidR="00597617" w:rsidRPr="00597617" w:rsidRDefault="00597617" w:rsidP="00597617">
      <w:pPr>
        <w:spacing w:line="360" w:lineRule="auto"/>
        <w:jc w:val="center"/>
        <w:rPr>
          <w:rFonts w:eastAsia="Calibri"/>
          <w:b/>
          <w:sz w:val="32"/>
          <w:szCs w:val="32"/>
          <w:lang w:val="es-CU" w:eastAsia="en-US"/>
        </w:rPr>
      </w:pPr>
      <w:r w:rsidRPr="00597617">
        <w:rPr>
          <w:rFonts w:eastAsia="Calibri"/>
          <w:b/>
          <w:sz w:val="32"/>
          <w:szCs w:val="32"/>
          <w:lang w:val="es-CU" w:eastAsia="en-US"/>
        </w:rPr>
        <w:t>REFERENCIAS BIBLIOGRÁFICAS</w:t>
      </w:r>
    </w:p>
    <w:p w14:paraId="29C01AC8" w14:textId="77777777" w:rsidR="00597617" w:rsidRPr="00597617" w:rsidRDefault="00597617" w:rsidP="00597617">
      <w:pPr>
        <w:spacing w:line="360" w:lineRule="auto"/>
        <w:rPr>
          <w:rFonts w:eastAsia="Calibri"/>
          <w:bCs/>
          <w:lang w:val="en-US" w:eastAsia="en-US"/>
        </w:rPr>
      </w:pPr>
      <w:r w:rsidRPr="00597617">
        <w:rPr>
          <w:rFonts w:eastAsia="Calibri"/>
          <w:bCs/>
          <w:lang w:val="es-CU" w:eastAsia="en-US"/>
        </w:rPr>
        <w:t xml:space="preserve">1. Romero-Blanco C, Rodríguez-Almagro J, Onieva-Zafra MD, Parra-Fernández ML, Prado-Laguna MDC, Hernández-Martínez A. </w:t>
      </w:r>
      <w:proofErr w:type="spellStart"/>
      <w:r w:rsidRPr="00597617">
        <w:rPr>
          <w:rFonts w:eastAsia="Calibri"/>
          <w:bCs/>
          <w:lang w:val="es-CU" w:eastAsia="en-US"/>
        </w:rPr>
        <w:t>Physical</w:t>
      </w:r>
      <w:proofErr w:type="spellEnd"/>
      <w:r w:rsidRPr="00597617">
        <w:rPr>
          <w:rFonts w:eastAsia="Calibri"/>
          <w:bCs/>
          <w:lang w:val="es-CU" w:eastAsia="en-US"/>
        </w:rPr>
        <w:t xml:space="preserve"> </w:t>
      </w:r>
      <w:proofErr w:type="spellStart"/>
      <w:r w:rsidRPr="00597617">
        <w:rPr>
          <w:rFonts w:eastAsia="Calibri"/>
          <w:bCs/>
          <w:lang w:val="es-CU" w:eastAsia="en-US"/>
        </w:rPr>
        <w:t>Activity</w:t>
      </w:r>
      <w:proofErr w:type="spellEnd"/>
      <w:r w:rsidRPr="00597617">
        <w:rPr>
          <w:rFonts w:eastAsia="Calibri"/>
          <w:bCs/>
          <w:lang w:val="es-CU" w:eastAsia="en-US"/>
        </w:rPr>
        <w:t xml:space="preserve"> and </w:t>
      </w:r>
      <w:proofErr w:type="spellStart"/>
      <w:r w:rsidRPr="00597617">
        <w:rPr>
          <w:rFonts w:eastAsia="Calibri"/>
          <w:bCs/>
          <w:lang w:val="es-CU" w:eastAsia="en-US"/>
        </w:rPr>
        <w:t>Sedentary</w:t>
      </w:r>
      <w:proofErr w:type="spellEnd"/>
      <w:r w:rsidRPr="00597617">
        <w:rPr>
          <w:rFonts w:eastAsia="Calibri"/>
          <w:bCs/>
          <w:lang w:val="es-CU" w:eastAsia="en-US"/>
        </w:rPr>
        <w:t xml:space="preserve"> </w:t>
      </w:r>
      <w:proofErr w:type="spellStart"/>
      <w:r w:rsidRPr="00597617">
        <w:rPr>
          <w:rFonts w:eastAsia="Calibri"/>
          <w:bCs/>
          <w:lang w:val="es-CU" w:eastAsia="en-US"/>
        </w:rPr>
        <w:t>Lifestyle</w:t>
      </w:r>
      <w:proofErr w:type="spellEnd"/>
      <w:r w:rsidRPr="00597617">
        <w:rPr>
          <w:rFonts w:eastAsia="Calibri"/>
          <w:bCs/>
          <w:lang w:val="es-CU" w:eastAsia="en-US"/>
        </w:rPr>
        <w:t xml:space="preserve"> in </w:t>
      </w:r>
      <w:proofErr w:type="spellStart"/>
      <w:r w:rsidRPr="00597617">
        <w:rPr>
          <w:rFonts w:eastAsia="Calibri"/>
          <w:bCs/>
          <w:lang w:val="es-CU" w:eastAsia="en-US"/>
        </w:rPr>
        <w:t>University</w:t>
      </w:r>
      <w:proofErr w:type="spellEnd"/>
      <w:r w:rsidRPr="00597617">
        <w:rPr>
          <w:rFonts w:eastAsia="Calibri"/>
          <w:bCs/>
          <w:lang w:val="es-CU" w:eastAsia="en-US"/>
        </w:rPr>
        <w:t xml:space="preserve"> </w:t>
      </w:r>
      <w:proofErr w:type="spellStart"/>
      <w:r w:rsidRPr="00597617">
        <w:rPr>
          <w:rFonts w:eastAsia="Calibri"/>
          <w:bCs/>
          <w:lang w:val="es-CU" w:eastAsia="en-US"/>
        </w:rPr>
        <w:t>Students</w:t>
      </w:r>
      <w:proofErr w:type="spellEnd"/>
      <w:r w:rsidRPr="00597617">
        <w:rPr>
          <w:rFonts w:eastAsia="Calibri"/>
          <w:bCs/>
          <w:lang w:val="es-CU" w:eastAsia="en-US"/>
        </w:rPr>
        <w:t xml:space="preserve">: </w:t>
      </w:r>
      <w:proofErr w:type="spellStart"/>
      <w:r w:rsidRPr="00597617">
        <w:rPr>
          <w:rFonts w:eastAsia="Calibri"/>
          <w:bCs/>
          <w:lang w:val="es-CU" w:eastAsia="en-US"/>
        </w:rPr>
        <w:t>Changes</w:t>
      </w:r>
      <w:proofErr w:type="spellEnd"/>
      <w:r w:rsidRPr="00597617">
        <w:rPr>
          <w:rFonts w:eastAsia="Calibri"/>
          <w:bCs/>
          <w:lang w:val="es-CU" w:eastAsia="en-US"/>
        </w:rPr>
        <w:t xml:space="preserve"> </w:t>
      </w:r>
      <w:proofErr w:type="spellStart"/>
      <w:r w:rsidRPr="00597617">
        <w:rPr>
          <w:rFonts w:eastAsia="Calibri"/>
          <w:bCs/>
          <w:lang w:val="es-CU" w:eastAsia="en-US"/>
        </w:rPr>
        <w:t>during</w:t>
      </w:r>
      <w:proofErr w:type="spellEnd"/>
      <w:r w:rsidRPr="00597617">
        <w:rPr>
          <w:rFonts w:eastAsia="Calibri"/>
          <w:bCs/>
          <w:lang w:val="es-CU" w:eastAsia="en-US"/>
        </w:rPr>
        <w:t xml:space="preserve"> </w:t>
      </w:r>
      <w:proofErr w:type="spellStart"/>
      <w:r w:rsidRPr="00597617">
        <w:rPr>
          <w:rFonts w:eastAsia="Calibri"/>
          <w:bCs/>
          <w:lang w:val="es-CU" w:eastAsia="en-US"/>
        </w:rPr>
        <w:t>Confinement</w:t>
      </w:r>
      <w:proofErr w:type="spellEnd"/>
      <w:r w:rsidRPr="00597617">
        <w:rPr>
          <w:rFonts w:eastAsia="Calibri"/>
          <w:bCs/>
          <w:lang w:val="es-CU" w:eastAsia="en-US"/>
        </w:rPr>
        <w:t xml:space="preserve"> </w:t>
      </w:r>
      <w:proofErr w:type="spellStart"/>
      <w:r w:rsidRPr="00597617">
        <w:rPr>
          <w:rFonts w:eastAsia="Calibri"/>
          <w:bCs/>
          <w:lang w:val="es-CU" w:eastAsia="en-US"/>
        </w:rPr>
        <w:t>Due</w:t>
      </w:r>
      <w:proofErr w:type="spellEnd"/>
      <w:r w:rsidRPr="00597617">
        <w:rPr>
          <w:rFonts w:eastAsia="Calibri"/>
          <w:bCs/>
          <w:lang w:val="es-CU" w:eastAsia="en-US"/>
        </w:rPr>
        <w:t xml:space="preserve"> </w:t>
      </w:r>
      <w:proofErr w:type="spellStart"/>
      <w:r w:rsidRPr="00597617">
        <w:rPr>
          <w:rFonts w:eastAsia="Calibri"/>
          <w:bCs/>
          <w:lang w:val="es-CU" w:eastAsia="en-US"/>
        </w:rPr>
        <w:t>to</w:t>
      </w:r>
      <w:proofErr w:type="spellEnd"/>
      <w:r w:rsidRPr="00597617">
        <w:rPr>
          <w:rFonts w:eastAsia="Calibri"/>
          <w:bCs/>
          <w:lang w:val="es-CU" w:eastAsia="en-US"/>
        </w:rPr>
        <w:t xml:space="preserve"> </w:t>
      </w:r>
      <w:proofErr w:type="spellStart"/>
      <w:r w:rsidRPr="00597617">
        <w:rPr>
          <w:rFonts w:eastAsia="Calibri"/>
          <w:bCs/>
          <w:lang w:val="es-CU" w:eastAsia="en-US"/>
        </w:rPr>
        <w:t>the</w:t>
      </w:r>
      <w:proofErr w:type="spellEnd"/>
      <w:r w:rsidRPr="00597617">
        <w:rPr>
          <w:rFonts w:eastAsia="Calibri"/>
          <w:bCs/>
          <w:lang w:val="es-CU" w:eastAsia="en-US"/>
        </w:rPr>
        <w:t xml:space="preserve"> COVID-19 </w:t>
      </w:r>
      <w:proofErr w:type="spellStart"/>
      <w:r w:rsidRPr="00597617">
        <w:rPr>
          <w:rFonts w:eastAsia="Calibri"/>
          <w:bCs/>
          <w:lang w:val="es-CU" w:eastAsia="en-US"/>
        </w:rPr>
        <w:t>Pandemic</w:t>
      </w:r>
      <w:proofErr w:type="spellEnd"/>
      <w:r w:rsidRPr="00597617">
        <w:rPr>
          <w:rFonts w:eastAsia="Calibri"/>
          <w:bCs/>
          <w:lang w:val="es-CU" w:eastAsia="en-US"/>
        </w:rPr>
        <w:t xml:space="preserve">. </w:t>
      </w:r>
      <w:r w:rsidRPr="00597617">
        <w:rPr>
          <w:rFonts w:eastAsia="Calibri"/>
          <w:bCs/>
          <w:lang w:val="en-US" w:eastAsia="en-US"/>
        </w:rPr>
        <w:t>Int J Environ Res Public Health. 2020 [</w:t>
      </w:r>
      <w:proofErr w:type="spellStart"/>
      <w:r w:rsidRPr="00597617">
        <w:rPr>
          <w:rFonts w:eastAsia="Calibri"/>
          <w:bCs/>
          <w:lang w:val="en-US" w:eastAsia="en-US"/>
        </w:rPr>
        <w:t>acceso</w:t>
      </w:r>
      <w:proofErr w:type="spellEnd"/>
      <w:r w:rsidRPr="00597617">
        <w:rPr>
          <w:rFonts w:eastAsia="Calibri"/>
          <w:bCs/>
          <w:lang w:val="en-US" w:eastAsia="en-US"/>
        </w:rPr>
        <w:t xml:space="preserve">: 24/03/2022]; 17(18):6567.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17" w:history="1">
        <w:r w:rsidRPr="00597617">
          <w:rPr>
            <w:rFonts w:eastAsia="Calibri"/>
            <w:bCs/>
            <w:color w:val="0000FF"/>
            <w:u w:val="single"/>
            <w:lang w:val="en-US" w:eastAsia="en-US"/>
          </w:rPr>
          <w:t>https://pubmed.ncbi.nlm.nih.gov/32916972/</w:t>
        </w:r>
      </w:hyperlink>
      <w:r w:rsidRPr="00597617">
        <w:rPr>
          <w:rFonts w:eastAsia="Calibri"/>
          <w:bCs/>
          <w:lang w:val="en-US" w:eastAsia="en-US"/>
        </w:rPr>
        <w:t xml:space="preserve">   </w:t>
      </w:r>
    </w:p>
    <w:p w14:paraId="49D035CF"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lastRenderedPageBreak/>
        <w:t xml:space="preserve">2. </w:t>
      </w:r>
      <w:proofErr w:type="spellStart"/>
      <w:r w:rsidRPr="00597617">
        <w:rPr>
          <w:rFonts w:eastAsia="Calibri"/>
          <w:bCs/>
          <w:lang w:val="en-US" w:eastAsia="en-US"/>
        </w:rPr>
        <w:t>Hussong</w:t>
      </w:r>
      <w:proofErr w:type="spellEnd"/>
      <w:r w:rsidRPr="00597617">
        <w:rPr>
          <w:rFonts w:eastAsia="Calibri"/>
          <w:bCs/>
          <w:lang w:val="en-US" w:eastAsia="en-US"/>
        </w:rPr>
        <w:t xml:space="preserve"> AM, </w:t>
      </w:r>
      <w:proofErr w:type="spellStart"/>
      <w:r w:rsidRPr="00597617">
        <w:rPr>
          <w:rFonts w:eastAsia="Calibri"/>
          <w:bCs/>
          <w:lang w:val="en-US" w:eastAsia="en-US"/>
        </w:rPr>
        <w:t>Midgette</w:t>
      </w:r>
      <w:proofErr w:type="spellEnd"/>
      <w:r w:rsidRPr="00597617">
        <w:rPr>
          <w:rFonts w:eastAsia="Calibri"/>
          <w:bCs/>
          <w:lang w:val="en-US" w:eastAsia="en-US"/>
        </w:rPr>
        <w:t xml:space="preserve"> AJ, Richards AN, Petrie RC, Coffman JL, Thomas TE. COVID-19 Life Events Spill-Over on Family Functioning and Adolescent Adjustment. </w:t>
      </w:r>
      <w:r w:rsidRPr="00597617">
        <w:rPr>
          <w:rFonts w:eastAsia="Calibri"/>
          <w:bCs/>
          <w:lang w:val="es-CU" w:eastAsia="en-US"/>
        </w:rPr>
        <w:t xml:space="preserve">J </w:t>
      </w:r>
      <w:proofErr w:type="spellStart"/>
      <w:r w:rsidRPr="00597617">
        <w:rPr>
          <w:rFonts w:eastAsia="Calibri"/>
          <w:bCs/>
          <w:lang w:val="es-CU" w:eastAsia="en-US"/>
        </w:rPr>
        <w:t>Early</w:t>
      </w:r>
      <w:proofErr w:type="spellEnd"/>
      <w:r w:rsidRPr="00597617">
        <w:rPr>
          <w:rFonts w:eastAsia="Calibri"/>
          <w:bCs/>
          <w:lang w:val="es-CU" w:eastAsia="en-US"/>
        </w:rPr>
        <w:t xml:space="preserve"> </w:t>
      </w:r>
      <w:proofErr w:type="spellStart"/>
      <w:r w:rsidRPr="00597617">
        <w:rPr>
          <w:rFonts w:eastAsia="Calibri"/>
          <w:bCs/>
          <w:lang w:val="es-CU" w:eastAsia="en-US"/>
        </w:rPr>
        <w:t>Adolesc</w:t>
      </w:r>
      <w:proofErr w:type="spellEnd"/>
      <w:r w:rsidRPr="00597617">
        <w:rPr>
          <w:rFonts w:eastAsia="Calibri"/>
          <w:bCs/>
          <w:lang w:val="es-CU" w:eastAsia="en-US"/>
        </w:rPr>
        <w:t xml:space="preserve">. 2022 [acceso: 24/03/2022]; 42(3):359-88. Disponible en: </w:t>
      </w:r>
      <w:hyperlink r:id="rId18" w:history="1">
        <w:r w:rsidRPr="00597617">
          <w:rPr>
            <w:rFonts w:eastAsia="Calibri"/>
            <w:color w:val="0000FF"/>
            <w:u w:val="single"/>
            <w:lang w:val="es-CU" w:eastAsia="en-US"/>
          </w:rPr>
          <w:t>https://pubmed.ncbi.nlm.nih.gov/35177875/</w:t>
        </w:r>
      </w:hyperlink>
      <w:r w:rsidRPr="00597617">
        <w:rPr>
          <w:rFonts w:eastAsia="Calibri"/>
          <w:bCs/>
          <w:lang w:val="es-CU" w:eastAsia="en-US"/>
        </w:rPr>
        <w:t xml:space="preserve">   </w:t>
      </w:r>
    </w:p>
    <w:p w14:paraId="53AD2728"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 Anaya-Figueroa T, Montalvo-Castro J, Ignacio-Calderón A, Arispe-Albuquerque C. Escuelas rurales en el Perú: factores que acentúan las brechas digitales en tiempos de pandemia (COVID-19) y recomendaciones para reducirlas. Educación. 2021 [acceso: 25/03/2022]; 30(58):11-33. Disponible en: </w:t>
      </w:r>
      <w:hyperlink r:id="rId19" w:history="1">
        <w:r w:rsidRPr="00597617">
          <w:rPr>
            <w:rFonts w:eastAsia="Calibri"/>
            <w:color w:val="0000FF"/>
            <w:u w:val="single"/>
            <w:lang w:val="es-CU" w:eastAsia="en-US"/>
          </w:rPr>
          <w:t>http://dx.doi.org/10.18800/educacion.202101.001</w:t>
        </w:r>
      </w:hyperlink>
      <w:r w:rsidRPr="00597617">
        <w:rPr>
          <w:rFonts w:eastAsia="Calibri"/>
          <w:bCs/>
          <w:lang w:val="es-CU" w:eastAsia="en-US"/>
        </w:rPr>
        <w:t xml:space="preserve">  </w:t>
      </w:r>
    </w:p>
    <w:p w14:paraId="34C40505" w14:textId="77777777" w:rsidR="00597617" w:rsidRPr="00597617" w:rsidRDefault="00597617" w:rsidP="00597617">
      <w:pPr>
        <w:spacing w:line="360" w:lineRule="auto"/>
        <w:rPr>
          <w:rFonts w:eastAsia="Calibri"/>
          <w:bCs/>
          <w:lang w:val="en-US" w:eastAsia="en-US"/>
        </w:rPr>
      </w:pPr>
      <w:r w:rsidRPr="00597617">
        <w:rPr>
          <w:rFonts w:eastAsia="Calibri"/>
          <w:bCs/>
          <w:lang w:val="es-CU" w:eastAsia="en-US"/>
        </w:rPr>
        <w:t xml:space="preserve">4. Tang S, </w:t>
      </w:r>
      <w:proofErr w:type="spellStart"/>
      <w:r w:rsidRPr="00597617">
        <w:rPr>
          <w:rFonts w:eastAsia="Calibri"/>
          <w:bCs/>
          <w:lang w:val="es-CU" w:eastAsia="en-US"/>
        </w:rPr>
        <w:t>Xiang</w:t>
      </w:r>
      <w:proofErr w:type="spellEnd"/>
      <w:r w:rsidRPr="00597617">
        <w:rPr>
          <w:rFonts w:eastAsia="Calibri"/>
          <w:bCs/>
          <w:lang w:val="es-CU" w:eastAsia="en-US"/>
        </w:rPr>
        <w:t xml:space="preserve"> M, Cheung T, </w:t>
      </w:r>
      <w:proofErr w:type="spellStart"/>
      <w:r w:rsidRPr="00597617">
        <w:rPr>
          <w:rFonts w:eastAsia="Calibri"/>
          <w:bCs/>
          <w:lang w:val="es-CU" w:eastAsia="en-US"/>
        </w:rPr>
        <w:t>Xiang</w:t>
      </w:r>
      <w:proofErr w:type="spellEnd"/>
      <w:r w:rsidRPr="00597617">
        <w:rPr>
          <w:rFonts w:eastAsia="Calibri"/>
          <w:bCs/>
          <w:lang w:val="es-CU" w:eastAsia="en-US"/>
        </w:rPr>
        <w:t xml:space="preserve"> YT. </w:t>
      </w:r>
      <w:r w:rsidRPr="00597617">
        <w:rPr>
          <w:rFonts w:eastAsia="Calibri"/>
          <w:bCs/>
          <w:lang w:val="en-US" w:eastAsia="en-US"/>
        </w:rPr>
        <w:t xml:space="preserve">Mental health and its correlates among children and adolescents during COVID-19 school closure: The importance of parent-child discussion. J Affect </w:t>
      </w:r>
      <w:proofErr w:type="spellStart"/>
      <w:r w:rsidRPr="00597617">
        <w:rPr>
          <w:rFonts w:eastAsia="Calibri"/>
          <w:bCs/>
          <w:lang w:val="en-US" w:eastAsia="en-US"/>
        </w:rPr>
        <w:t>Disord</w:t>
      </w:r>
      <w:proofErr w:type="spellEnd"/>
      <w:r w:rsidRPr="00597617">
        <w:rPr>
          <w:rFonts w:eastAsia="Calibri"/>
          <w:bCs/>
          <w:lang w:val="en-US" w:eastAsia="en-US"/>
        </w:rPr>
        <w:t>. 2021 [</w:t>
      </w:r>
      <w:proofErr w:type="spellStart"/>
      <w:r w:rsidRPr="00597617">
        <w:rPr>
          <w:rFonts w:eastAsia="Calibri"/>
          <w:bCs/>
          <w:lang w:val="en-US" w:eastAsia="en-US"/>
        </w:rPr>
        <w:t>acceso</w:t>
      </w:r>
      <w:proofErr w:type="spellEnd"/>
      <w:r w:rsidRPr="00597617">
        <w:rPr>
          <w:rFonts w:eastAsia="Calibri"/>
          <w:bCs/>
          <w:lang w:val="en-US" w:eastAsia="en-US"/>
        </w:rPr>
        <w:t xml:space="preserve">: 28/03/2022]; 279:353-60.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20" w:history="1">
        <w:r w:rsidRPr="00597617">
          <w:rPr>
            <w:rFonts w:eastAsia="Calibri"/>
            <w:bCs/>
            <w:color w:val="0000FF"/>
            <w:u w:val="single"/>
            <w:lang w:val="en-US" w:eastAsia="en-US"/>
          </w:rPr>
          <w:t>http://dx.doi.org/10.1016/j.jad.2020.10.016</w:t>
        </w:r>
      </w:hyperlink>
      <w:r w:rsidRPr="00597617">
        <w:rPr>
          <w:rFonts w:eastAsia="Calibri"/>
          <w:bCs/>
          <w:lang w:val="en-US" w:eastAsia="en-US"/>
        </w:rPr>
        <w:t xml:space="preserve">   </w:t>
      </w:r>
    </w:p>
    <w:p w14:paraId="5F016256"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5. </w:t>
      </w:r>
      <w:proofErr w:type="spellStart"/>
      <w:r w:rsidRPr="00597617">
        <w:rPr>
          <w:rFonts w:eastAsia="Calibri"/>
          <w:bCs/>
          <w:lang w:val="en-US" w:eastAsia="en-US"/>
        </w:rPr>
        <w:t>Rusca-Jordán</w:t>
      </w:r>
      <w:proofErr w:type="spellEnd"/>
      <w:r w:rsidRPr="00597617">
        <w:rPr>
          <w:rFonts w:eastAsia="Calibri"/>
          <w:bCs/>
          <w:lang w:val="en-US" w:eastAsia="en-US"/>
        </w:rPr>
        <w:t xml:space="preserve"> F, Cortez-Vergara C, Tirado-Hurtado BC, </w:t>
      </w:r>
      <w:proofErr w:type="spellStart"/>
      <w:r w:rsidRPr="00597617">
        <w:rPr>
          <w:rFonts w:eastAsia="Calibri"/>
          <w:bCs/>
          <w:lang w:val="en-US" w:eastAsia="en-US"/>
        </w:rPr>
        <w:t>Strobbe-Barbat</w:t>
      </w:r>
      <w:proofErr w:type="spellEnd"/>
      <w:r w:rsidRPr="00597617">
        <w:rPr>
          <w:rFonts w:eastAsia="Calibri"/>
          <w:bCs/>
          <w:lang w:val="en-US" w:eastAsia="en-US"/>
        </w:rPr>
        <w:t xml:space="preserve"> M. An approach on mental health of children, adolescents and caregivers in the COVID-19 context in Peru. </w:t>
      </w:r>
      <w:r w:rsidRPr="00597617">
        <w:rPr>
          <w:rFonts w:eastAsia="Calibri"/>
          <w:bCs/>
          <w:lang w:val="es-CU" w:eastAsia="en-US"/>
        </w:rPr>
        <w:t xml:space="preserve">Acta </w:t>
      </w:r>
      <w:proofErr w:type="spellStart"/>
      <w:r w:rsidRPr="00597617">
        <w:rPr>
          <w:rFonts w:eastAsia="Calibri"/>
          <w:bCs/>
          <w:lang w:val="es-CU" w:eastAsia="en-US"/>
        </w:rPr>
        <w:t>Med</w:t>
      </w:r>
      <w:proofErr w:type="spellEnd"/>
      <w:r w:rsidRPr="00597617">
        <w:rPr>
          <w:rFonts w:eastAsia="Calibri"/>
          <w:bCs/>
          <w:lang w:val="es-CU" w:eastAsia="en-US"/>
        </w:rPr>
        <w:t xml:space="preserve"> </w:t>
      </w:r>
      <w:proofErr w:type="spellStart"/>
      <w:r w:rsidRPr="00597617">
        <w:rPr>
          <w:rFonts w:eastAsia="Calibri"/>
          <w:bCs/>
          <w:lang w:val="es-CU" w:eastAsia="en-US"/>
        </w:rPr>
        <w:t>Peru</w:t>
      </w:r>
      <w:proofErr w:type="spellEnd"/>
      <w:r w:rsidRPr="00597617">
        <w:rPr>
          <w:rFonts w:eastAsia="Calibri"/>
          <w:bCs/>
          <w:lang w:val="es-CU" w:eastAsia="en-US"/>
        </w:rPr>
        <w:t xml:space="preserve">. 2020 [acceso: 22/03/2022]; 37(4):556-8. Disponible en: </w:t>
      </w:r>
      <w:hyperlink r:id="rId21" w:history="1">
        <w:r w:rsidRPr="00597617">
          <w:rPr>
            <w:rFonts w:eastAsia="Calibri"/>
            <w:color w:val="0000FF"/>
            <w:u w:val="single"/>
            <w:lang w:val="es-CU" w:eastAsia="en-US"/>
          </w:rPr>
          <w:t>https://doi.org/10.35663/amp.2020.374.1851</w:t>
        </w:r>
      </w:hyperlink>
      <w:r w:rsidRPr="00597617">
        <w:rPr>
          <w:rFonts w:eastAsia="Calibri"/>
          <w:bCs/>
          <w:lang w:val="es-CU" w:eastAsia="en-US"/>
        </w:rPr>
        <w:t xml:space="preserve"> </w:t>
      </w:r>
    </w:p>
    <w:p w14:paraId="53266F0F" w14:textId="77777777" w:rsidR="00597617" w:rsidRPr="00597617" w:rsidRDefault="00597617" w:rsidP="00597617">
      <w:pPr>
        <w:spacing w:line="360" w:lineRule="auto"/>
        <w:rPr>
          <w:rFonts w:eastAsia="Calibri"/>
          <w:bCs/>
          <w:lang w:val="en-US" w:eastAsia="en-US"/>
        </w:rPr>
      </w:pPr>
      <w:r w:rsidRPr="00597617">
        <w:rPr>
          <w:rFonts w:eastAsia="Calibri"/>
          <w:bCs/>
          <w:lang w:val="en-US" w:eastAsia="en-US"/>
        </w:rPr>
        <w:t xml:space="preserve">6. Du X, Kim YK. Family functioning and adolescent behavior problems: A moderated mediation model of caregiver depression and neighborhood collective efficacy. Child Youth Serv Rev. 2020 [acceso:12/03/2022]; 116: 105270.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22" w:history="1">
        <w:r w:rsidRPr="00597617">
          <w:rPr>
            <w:rFonts w:eastAsia="Calibri"/>
            <w:bCs/>
            <w:color w:val="0000FF"/>
            <w:u w:val="single"/>
            <w:lang w:val="en-US" w:eastAsia="en-US"/>
          </w:rPr>
          <w:t>https://doi.org/10.1016/j.childyouth.2020.105270</w:t>
        </w:r>
      </w:hyperlink>
      <w:r w:rsidRPr="00597617">
        <w:rPr>
          <w:rFonts w:eastAsia="Calibri"/>
          <w:bCs/>
          <w:lang w:val="en-US" w:eastAsia="en-US"/>
        </w:rPr>
        <w:t xml:space="preserve">  </w:t>
      </w:r>
    </w:p>
    <w:p w14:paraId="047F68EC"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7. </w:t>
      </w:r>
      <w:proofErr w:type="spellStart"/>
      <w:r w:rsidRPr="00597617">
        <w:rPr>
          <w:rFonts w:eastAsia="Calibri"/>
          <w:bCs/>
          <w:lang w:val="en-US" w:eastAsia="en-US"/>
        </w:rPr>
        <w:t>Troncoso</w:t>
      </w:r>
      <w:proofErr w:type="spellEnd"/>
      <w:r w:rsidRPr="00597617">
        <w:rPr>
          <w:rFonts w:eastAsia="Calibri"/>
          <w:bCs/>
          <w:lang w:val="en-US" w:eastAsia="en-US"/>
        </w:rPr>
        <w:t xml:space="preserve">-Pantoja C, Soto-López N. Family functionality, autonomy and psychosocial welfare in the elderly. </w:t>
      </w:r>
      <w:proofErr w:type="spellStart"/>
      <w:r w:rsidRPr="00597617">
        <w:rPr>
          <w:rFonts w:eastAsia="Calibri"/>
          <w:bCs/>
          <w:lang w:val="es-CU" w:eastAsia="en-US"/>
        </w:rPr>
        <w:t>Horiz</w:t>
      </w:r>
      <w:proofErr w:type="spellEnd"/>
      <w:r w:rsidRPr="00597617">
        <w:rPr>
          <w:rFonts w:eastAsia="Calibri"/>
          <w:bCs/>
          <w:lang w:val="es-CU" w:eastAsia="en-US"/>
        </w:rPr>
        <w:t xml:space="preserve"> </w:t>
      </w:r>
      <w:proofErr w:type="spellStart"/>
      <w:r w:rsidRPr="00597617">
        <w:rPr>
          <w:rFonts w:eastAsia="Calibri"/>
          <w:bCs/>
          <w:lang w:val="es-CU" w:eastAsia="en-US"/>
        </w:rPr>
        <w:t>Med</w:t>
      </w:r>
      <w:proofErr w:type="spellEnd"/>
      <w:r w:rsidRPr="00597617">
        <w:rPr>
          <w:rFonts w:eastAsia="Calibri"/>
          <w:bCs/>
          <w:lang w:val="es-CU" w:eastAsia="en-US"/>
        </w:rPr>
        <w:t xml:space="preserve">. 2018 [acceso: 08/03/2022]; 18(1):23-8.  Disponible en: </w:t>
      </w:r>
      <w:hyperlink r:id="rId23" w:history="1">
        <w:r w:rsidRPr="00597617">
          <w:rPr>
            <w:rFonts w:eastAsia="Calibri"/>
            <w:color w:val="0000FF"/>
            <w:u w:val="single"/>
            <w:lang w:val="es-CU" w:eastAsia="en-US"/>
          </w:rPr>
          <w:t>http://dx.doi.org/10.24265/horizmed.2018.v18n1.04</w:t>
        </w:r>
      </w:hyperlink>
      <w:r w:rsidRPr="00597617">
        <w:rPr>
          <w:rFonts w:eastAsia="Calibri"/>
          <w:bCs/>
          <w:lang w:val="es-CU" w:eastAsia="en-US"/>
        </w:rPr>
        <w:t xml:space="preserve">  </w:t>
      </w:r>
    </w:p>
    <w:p w14:paraId="26E8CA60" w14:textId="77777777" w:rsidR="00597617" w:rsidRPr="00597617" w:rsidRDefault="00597617" w:rsidP="00597617">
      <w:pPr>
        <w:spacing w:line="360" w:lineRule="auto"/>
        <w:rPr>
          <w:rFonts w:eastAsia="Calibri"/>
          <w:bCs/>
          <w:lang w:val="en-US" w:eastAsia="en-US"/>
        </w:rPr>
      </w:pPr>
      <w:r w:rsidRPr="00597617">
        <w:rPr>
          <w:rFonts w:eastAsia="Calibri"/>
          <w:bCs/>
          <w:lang w:val="en-US" w:eastAsia="en-US"/>
        </w:rPr>
        <w:t xml:space="preserve">8. Hsiao CY, Lu HL, Tsai YF. Factors associated with family functioning among people with a diagnosis of schizophrenia and primary family caregivers. J </w:t>
      </w:r>
      <w:proofErr w:type="spellStart"/>
      <w:r w:rsidRPr="00597617">
        <w:rPr>
          <w:rFonts w:eastAsia="Calibri"/>
          <w:bCs/>
          <w:lang w:val="en-US" w:eastAsia="en-US"/>
        </w:rPr>
        <w:t>Psychiatr</w:t>
      </w:r>
      <w:proofErr w:type="spellEnd"/>
      <w:r w:rsidRPr="00597617">
        <w:rPr>
          <w:rFonts w:eastAsia="Calibri"/>
          <w:bCs/>
          <w:lang w:val="en-US" w:eastAsia="en-US"/>
        </w:rPr>
        <w:t xml:space="preserve"> </w:t>
      </w:r>
      <w:proofErr w:type="spellStart"/>
      <w:r w:rsidRPr="00597617">
        <w:rPr>
          <w:rFonts w:eastAsia="Calibri"/>
          <w:bCs/>
          <w:lang w:val="en-US" w:eastAsia="en-US"/>
        </w:rPr>
        <w:t>Ment</w:t>
      </w:r>
      <w:proofErr w:type="spellEnd"/>
      <w:r w:rsidRPr="00597617">
        <w:rPr>
          <w:rFonts w:eastAsia="Calibri"/>
          <w:bCs/>
          <w:lang w:val="en-US" w:eastAsia="en-US"/>
        </w:rPr>
        <w:t xml:space="preserve"> Health </w:t>
      </w:r>
      <w:proofErr w:type="spellStart"/>
      <w:r w:rsidRPr="00597617">
        <w:rPr>
          <w:rFonts w:eastAsia="Calibri"/>
          <w:bCs/>
          <w:lang w:val="en-US" w:eastAsia="en-US"/>
        </w:rPr>
        <w:t>Nurs</w:t>
      </w:r>
      <w:proofErr w:type="spellEnd"/>
      <w:r w:rsidRPr="00597617">
        <w:rPr>
          <w:rFonts w:eastAsia="Calibri"/>
          <w:bCs/>
          <w:lang w:val="en-US" w:eastAsia="en-US"/>
        </w:rPr>
        <w:t xml:space="preserve">. 2020 [acceso:14/02/2022]; 27(5):572-83.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24" w:history="1">
        <w:r w:rsidRPr="00597617">
          <w:rPr>
            <w:rFonts w:eastAsia="Calibri"/>
            <w:bCs/>
            <w:color w:val="0000FF"/>
            <w:u w:val="single"/>
            <w:lang w:val="en-US" w:eastAsia="en-US"/>
          </w:rPr>
          <w:t>http://dx.doi.org/10.1111/jpm.12608</w:t>
        </w:r>
      </w:hyperlink>
      <w:r w:rsidRPr="00597617">
        <w:rPr>
          <w:rFonts w:eastAsia="Calibri"/>
          <w:bCs/>
          <w:lang w:val="en-US" w:eastAsia="en-US"/>
        </w:rPr>
        <w:t xml:space="preserve">   </w:t>
      </w:r>
    </w:p>
    <w:p w14:paraId="4BA897E5"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9. Mohanty J, </w:t>
      </w:r>
      <w:proofErr w:type="spellStart"/>
      <w:r w:rsidRPr="00597617">
        <w:rPr>
          <w:rFonts w:eastAsia="Calibri"/>
          <w:bCs/>
          <w:lang w:val="en-US" w:eastAsia="en-US"/>
        </w:rPr>
        <w:t>Chokkanathan</w:t>
      </w:r>
      <w:proofErr w:type="spellEnd"/>
      <w:r w:rsidRPr="00597617">
        <w:rPr>
          <w:rFonts w:eastAsia="Calibri"/>
          <w:bCs/>
          <w:lang w:val="en-US" w:eastAsia="en-US"/>
        </w:rPr>
        <w:t xml:space="preserve"> S, Alberton AM. COVID-19–related stressors, family functioning and mental health in Canada: Test of indirect effects. </w:t>
      </w:r>
      <w:proofErr w:type="spellStart"/>
      <w:r w:rsidRPr="00597617">
        <w:rPr>
          <w:rFonts w:eastAsia="Calibri"/>
          <w:bCs/>
          <w:lang w:val="es-CU" w:eastAsia="en-US"/>
        </w:rPr>
        <w:t>Fam</w:t>
      </w:r>
      <w:proofErr w:type="spellEnd"/>
      <w:r w:rsidRPr="00597617">
        <w:rPr>
          <w:rFonts w:eastAsia="Calibri"/>
          <w:bCs/>
          <w:lang w:val="es-CU" w:eastAsia="en-US"/>
        </w:rPr>
        <w:t xml:space="preserve"> </w:t>
      </w:r>
      <w:proofErr w:type="spellStart"/>
      <w:r w:rsidRPr="00597617">
        <w:rPr>
          <w:rFonts w:eastAsia="Calibri"/>
          <w:bCs/>
          <w:lang w:val="es-CU" w:eastAsia="en-US"/>
        </w:rPr>
        <w:t>Relat</w:t>
      </w:r>
      <w:proofErr w:type="spellEnd"/>
      <w:r w:rsidRPr="00597617">
        <w:rPr>
          <w:rFonts w:eastAsia="Calibri"/>
          <w:bCs/>
          <w:lang w:val="es-CU" w:eastAsia="en-US"/>
        </w:rPr>
        <w:t xml:space="preserve">. 2022 [acceso: 14/03/2022]; 71(2): 445-62. Disponible en: </w:t>
      </w:r>
      <w:hyperlink r:id="rId25" w:history="1">
        <w:r w:rsidRPr="00597617">
          <w:rPr>
            <w:rFonts w:eastAsia="Calibri"/>
            <w:color w:val="0000FF"/>
            <w:u w:val="single"/>
            <w:lang w:val="es-CU" w:eastAsia="en-US"/>
          </w:rPr>
          <w:t>https://doi.org/10.1111/fare.12635</w:t>
        </w:r>
      </w:hyperlink>
      <w:r w:rsidRPr="00597617">
        <w:rPr>
          <w:rFonts w:eastAsia="Calibri"/>
          <w:bCs/>
          <w:lang w:val="es-CU" w:eastAsia="en-US"/>
        </w:rPr>
        <w:t xml:space="preserve">  </w:t>
      </w:r>
    </w:p>
    <w:p w14:paraId="1DD80FEC"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lastRenderedPageBreak/>
        <w:t xml:space="preserve">10. Romero-Farías AD, </w:t>
      </w:r>
      <w:proofErr w:type="spellStart"/>
      <w:r w:rsidRPr="00597617">
        <w:rPr>
          <w:rFonts w:eastAsia="Calibri"/>
          <w:bCs/>
          <w:lang w:val="es-CU" w:eastAsia="en-US"/>
        </w:rPr>
        <w:t>Giniebra</w:t>
      </w:r>
      <w:proofErr w:type="spellEnd"/>
      <w:r w:rsidRPr="00597617">
        <w:rPr>
          <w:rFonts w:eastAsia="Calibri"/>
          <w:bCs/>
          <w:lang w:val="es-CU" w:eastAsia="en-US"/>
        </w:rPr>
        <w:t xml:space="preserve">-Urra. </w:t>
      </w:r>
      <w:r w:rsidRPr="00597617">
        <w:rPr>
          <w:rFonts w:eastAsia="Calibri"/>
          <w:bCs/>
          <w:lang w:val="en-US" w:eastAsia="en-US"/>
        </w:rPr>
        <w:t xml:space="preserve">Family functionality and self-esteem in adolescents during the COVID-19 pandemic. </w:t>
      </w:r>
      <w:r w:rsidRPr="00597617">
        <w:rPr>
          <w:rFonts w:eastAsia="Calibri"/>
          <w:bCs/>
          <w:lang w:val="es-CU" w:eastAsia="en-US"/>
        </w:rPr>
        <w:t xml:space="preserve">PSIDIAL: Psicología y Diálogo de Saberes. 2022 [acceso: 20/02/2022]; 1(1):1-18.  Disponible en: </w:t>
      </w:r>
      <w:hyperlink r:id="rId26" w:history="1">
        <w:r w:rsidRPr="00597617">
          <w:rPr>
            <w:rFonts w:eastAsia="Calibri"/>
            <w:color w:val="0000FF"/>
            <w:u w:val="single"/>
            <w:lang w:val="es-PE" w:eastAsia="en-US"/>
          </w:rPr>
          <w:t>https://doi.org/10.5281/zenodo.5852508</w:t>
        </w:r>
      </w:hyperlink>
      <w:r w:rsidRPr="00597617">
        <w:rPr>
          <w:rFonts w:eastAsia="Calibri"/>
          <w:bCs/>
          <w:lang w:val="es-CU" w:eastAsia="en-US"/>
        </w:rPr>
        <w:t xml:space="preserve">  </w:t>
      </w:r>
    </w:p>
    <w:p w14:paraId="04E7A183"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11. </w:t>
      </w:r>
      <w:proofErr w:type="spellStart"/>
      <w:r w:rsidRPr="00597617">
        <w:rPr>
          <w:rFonts w:eastAsia="Calibri"/>
          <w:bCs/>
          <w:lang w:val="en-US" w:eastAsia="en-US"/>
        </w:rPr>
        <w:t>Yöntem</w:t>
      </w:r>
      <w:proofErr w:type="spellEnd"/>
      <w:r w:rsidRPr="00597617">
        <w:rPr>
          <w:rFonts w:eastAsia="Calibri"/>
          <w:bCs/>
          <w:lang w:val="en-US" w:eastAsia="en-US"/>
        </w:rPr>
        <w:t xml:space="preserve"> MK. Development of Family Functions and Relationship in Families: A Mixed-Design Study. </w:t>
      </w:r>
      <w:r w:rsidRPr="00597617">
        <w:rPr>
          <w:rFonts w:eastAsia="Calibri"/>
          <w:bCs/>
          <w:lang w:val="es-CU" w:eastAsia="en-US"/>
        </w:rPr>
        <w:t xml:space="preserve">J </w:t>
      </w:r>
      <w:proofErr w:type="spellStart"/>
      <w:r w:rsidRPr="00597617">
        <w:rPr>
          <w:rFonts w:eastAsia="Calibri"/>
          <w:bCs/>
          <w:lang w:val="es-CU" w:eastAsia="en-US"/>
        </w:rPr>
        <w:t>Fam</w:t>
      </w:r>
      <w:proofErr w:type="spellEnd"/>
      <w:r w:rsidRPr="00597617">
        <w:rPr>
          <w:rFonts w:eastAsia="Calibri"/>
          <w:bCs/>
          <w:lang w:val="es-CU" w:eastAsia="en-US"/>
        </w:rPr>
        <w:t xml:space="preserve"> </w:t>
      </w:r>
      <w:proofErr w:type="spellStart"/>
      <w:r w:rsidRPr="00597617">
        <w:rPr>
          <w:rFonts w:eastAsia="Calibri"/>
          <w:bCs/>
          <w:lang w:val="es-CU" w:eastAsia="en-US"/>
        </w:rPr>
        <w:t>Ther</w:t>
      </w:r>
      <w:proofErr w:type="spellEnd"/>
      <w:r w:rsidRPr="00597617">
        <w:rPr>
          <w:rFonts w:eastAsia="Calibri"/>
          <w:bCs/>
          <w:lang w:val="es-CU" w:eastAsia="en-US"/>
        </w:rPr>
        <w:t xml:space="preserve">. 2019 [acceso: 20/03/2022]; 47(5): 344-59. Disponible en: </w:t>
      </w:r>
      <w:hyperlink r:id="rId27" w:history="1">
        <w:r w:rsidRPr="00597617">
          <w:rPr>
            <w:rFonts w:eastAsia="Calibri"/>
            <w:color w:val="0000FF"/>
            <w:u w:val="single"/>
            <w:lang w:val="es-CU" w:eastAsia="en-US"/>
          </w:rPr>
          <w:t>https://www.tandfonline.com/doi/abs/10.1080/01926187.2019.1673259?journalCode=uaft20</w:t>
        </w:r>
      </w:hyperlink>
      <w:r w:rsidRPr="00597617">
        <w:rPr>
          <w:rFonts w:eastAsia="Calibri"/>
          <w:bCs/>
          <w:lang w:val="es-CU" w:eastAsia="en-US"/>
        </w:rPr>
        <w:t xml:space="preserve"> </w:t>
      </w:r>
    </w:p>
    <w:p w14:paraId="452BCAB9"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12. Giner-Murillo M, Atienza-Carbonell B, Cervera-Martínez J, Bobes-</w:t>
      </w:r>
      <w:proofErr w:type="spellStart"/>
      <w:r w:rsidRPr="00597617">
        <w:rPr>
          <w:rFonts w:eastAsia="Calibri"/>
          <w:bCs/>
          <w:lang w:val="es-CU" w:eastAsia="en-US"/>
        </w:rPr>
        <w:t>Bascarán</w:t>
      </w:r>
      <w:proofErr w:type="spellEnd"/>
      <w:r w:rsidRPr="00597617">
        <w:rPr>
          <w:rFonts w:eastAsia="Calibri"/>
          <w:bCs/>
          <w:lang w:val="es-CU" w:eastAsia="en-US"/>
        </w:rPr>
        <w:t xml:space="preserve"> T, Crespo-</w:t>
      </w:r>
      <w:proofErr w:type="spellStart"/>
      <w:r w:rsidRPr="00597617">
        <w:rPr>
          <w:rFonts w:eastAsia="Calibri"/>
          <w:bCs/>
          <w:lang w:val="es-CU" w:eastAsia="en-US"/>
        </w:rPr>
        <w:t>Facorro</w:t>
      </w:r>
      <w:proofErr w:type="spellEnd"/>
      <w:r w:rsidRPr="00597617">
        <w:rPr>
          <w:rFonts w:eastAsia="Calibri"/>
          <w:bCs/>
          <w:lang w:val="es-CU" w:eastAsia="en-US"/>
        </w:rPr>
        <w:t xml:space="preserve"> B, De Boni RB et al. </w:t>
      </w:r>
      <w:r w:rsidRPr="00597617">
        <w:rPr>
          <w:rFonts w:eastAsia="Calibri"/>
          <w:bCs/>
          <w:lang w:val="en-US" w:eastAsia="en-US"/>
        </w:rPr>
        <w:t xml:space="preserve">Lifestyle in Undergraduate Students and Demographically Matched Controls during the COVID-19 Pandemic in Spain. </w:t>
      </w:r>
      <w:proofErr w:type="spellStart"/>
      <w:r w:rsidRPr="00597617">
        <w:rPr>
          <w:rFonts w:eastAsia="Calibri"/>
          <w:bCs/>
          <w:lang w:val="es-CU" w:eastAsia="en-US"/>
        </w:rPr>
        <w:t>Int</w:t>
      </w:r>
      <w:proofErr w:type="spellEnd"/>
      <w:r w:rsidRPr="00597617">
        <w:rPr>
          <w:rFonts w:eastAsia="Calibri"/>
          <w:bCs/>
          <w:lang w:val="es-CU" w:eastAsia="en-US"/>
        </w:rPr>
        <w:t xml:space="preserve"> J </w:t>
      </w:r>
      <w:proofErr w:type="spellStart"/>
      <w:r w:rsidRPr="00597617">
        <w:rPr>
          <w:rFonts w:eastAsia="Calibri"/>
          <w:bCs/>
          <w:lang w:val="es-CU" w:eastAsia="en-US"/>
        </w:rPr>
        <w:t>Environ</w:t>
      </w:r>
      <w:proofErr w:type="spellEnd"/>
      <w:r w:rsidRPr="00597617">
        <w:rPr>
          <w:rFonts w:eastAsia="Calibri"/>
          <w:bCs/>
          <w:lang w:val="es-CU" w:eastAsia="en-US"/>
        </w:rPr>
        <w:t xml:space="preserve"> Res </w:t>
      </w:r>
      <w:proofErr w:type="spellStart"/>
      <w:r w:rsidRPr="00597617">
        <w:rPr>
          <w:rFonts w:eastAsia="Calibri"/>
          <w:bCs/>
          <w:lang w:val="es-CU" w:eastAsia="en-US"/>
        </w:rPr>
        <w:t>Public</w:t>
      </w:r>
      <w:proofErr w:type="spellEnd"/>
      <w:r w:rsidRPr="00597617">
        <w:rPr>
          <w:rFonts w:eastAsia="Calibri"/>
          <w:bCs/>
          <w:lang w:val="es-CU" w:eastAsia="en-US"/>
        </w:rPr>
        <w:t xml:space="preserve"> </w:t>
      </w:r>
      <w:proofErr w:type="spellStart"/>
      <w:r w:rsidRPr="00597617">
        <w:rPr>
          <w:rFonts w:eastAsia="Calibri"/>
          <w:bCs/>
          <w:lang w:val="es-CU" w:eastAsia="en-US"/>
        </w:rPr>
        <w:t>Health</w:t>
      </w:r>
      <w:proofErr w:type="spellEnd"/>
      <w:r w:rsidRPr="00597617">
        <w:rPr>
          <w:rFonts w:eastAsia="Calibri"/>
          <w:bCs/>
          <w:lang w:val="es-CU" w:eastAsia="en-US"/>
        </w:rPr>
        <w:t xml:space="preserve">. 2021 [acceso: 20/03/2022]; 18(15): 8133. Disponible en: </w:t>
      </w:r>
      <w:hyperlink r:id="rId28" w:history="1">
        <w:r w:rsidRPr="00597617">
          <w:rPr>
            <w:rFonts w:eastAsia="Calibri"/>
            <w:color w:val="0000FF"/>
            <w:u w:val="single"/>
            <w:lang w:val="es-CU" w:eastAsia="en-US"/>
          </w:rPr>
          <w:t>http://dx.doi.org/10.3390/ijerph18158133</w:t>
        </w:r>
      </w:hyperlink>
      <w:r w:rsidRPr="00597617">
        <w:rPr>
          <w:rFonts w:eastAsia="Calibri"/>
          <w:bCs/>
          <w:lang w:val="es-CU" w:eastAsia="en-US"/>
        </w:rPr>
        <w:t xml:space="preserve"> </w:t>
      </w:r>
    </w:p>
    <w:p w14:paraId="3C0CF486"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13. Vera-Ponce VJ, Torres-Malca JR, Tello-Quispe EK, Orihuela-Manrique EJ, De La Cruz-Vargas JA. </w:t>
      </w:r>
      <w:r w:rsidRPr="00597617">
        <w:rPr>
          <w:rFonts w:eastAsia="Calibri"/>
          <w:bCs/>
          <w:lang w:val="en-US" w:eastAsia="en-US"/>
        </w:rPr>
        <w:t xml:space="preserve">Validation of scale of lifestyle changes during quarantine in a population of university students in Lima, Peru. </w:t>
      </w:r>
      <w:proofErr w:type="spellStart"/>
      <w:r w:rsidRPr="00597617">
        <w:rPr>
          <w:rFonts w:eastAsia="Calibri"/>
          <w:bCs/>
          <w:lang w:val="es-CU" w:eastAsia="en-US"/>
        </w:rPr>
        <w:t>Rev</w:t>
      </w:r>
      <w:proofErr w:type="spellEnd"/>
      <w:r w:rsidRPr="00597617">
        <w:rPr>
          <w:rFonts w:eastAsia="Calibri"/>
          <w:bCs/>
          <w:lang w:val="es-CU" w:eastAsia="en-US"/>
        </w:rPr>
        <w:t xml:space="preserve"> </w:t>
      </w:r>
      <w:proofErr w:type="spellStart"/>
      <w:r w:rsidRPr="00597617">
        <w:rPr>
          <w:rFonts w:eastAsia="Calibri"/>
          <w:bCs/>
          <w:lang w:val="es-CU" w:eastAsia="en-US"/>
        </w:rPr>
        <w:t>Fac</w:t>
      </w:r>
      <w:proofErr w:type="spellEnd"/>
      <w:r w:rsidRPr="00597617">
        <w:rPr>
          <w:rFonts w:eastAsia="Calibri"/>
          <w:bCs/>
          <w:lang w:val="es-CU" w:eastAsia="en-US"/>
        </w:rPr>
        <w:t xml:space="preserve"> </w:t>
      </w:r>
      <w:proofErr w:type="spellStart"/>
      <w:r w:rsidRPr="00597617">
        <w:rPr>
          <w:rFonts w:eastAsia="Calibri"/>
          <w:bCs/>
          <w:lang w:val="es-CU" w:eastAsia="en-US"/>
        </w:rPr>
        <w:t>Med</w:t>
      </w:r>
      <w:proofErr w:type="spellEnd"/>
      <w:r w:rsidRPr="00597617">
        <w:rPr>
          <w:rFonts w:eastAsia="Calibri"/>
          <w:bCs/>
          <w:lang w:val="es-CU" w:eastAsia="en-US"/>
        </w:rPr>
        <w:t xml:space="preserve"> Hum. 2020 [acceso: 20/03/2022]; 20(4): 614-23.  Disponible en: </w:t>
      </w:r>
      <w:hyperlink r:id="rId29" w:history="1">
        <w:r w:rsidRPr="00597617">
          <w:rPr>
            <w:rFonts w:eastAsia="Calibri"/>
            <w:color w:val="0000FF"/>
            <w:u w:val="single"/>
            <w:lang w:val="es-CU" w:eastAsia="en-US"/>
          </w:rPr>
          <w:t>http://dx.doi.org/10.25176/rfmh.v20i4.3193</w:t>
        </w:r>
      </w:hyperlink>
      <w:r w:rsidRPr="00597617">
        <w:rPr>
          <w:rFonts w:eastAsia="Calibri"/>
          <w:bCs/>
          <w:lang w:val="es-CU" w:eastAsia="en-US"/>
        </w:rPr>
        <w:t xml:space="preserve"> </w:t>
      </w:r>
    </w:p>
    <w:p w14:paraId="580D7FEF"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14. </w:t>
      </w:r>
      <w:proofErr w:type="spellStart"/>
      <w:r w:rsidRPr="00597617">
        <w:rPr>
          <w:rFonts w:eastAsia="Calibri"/>
          <w:bCs/>
          <w:lang w:val="en-US" w:eastAsia="en-US"/>
        </w:rPr>
        <w:t>Uzunian</w:t>
      </w:r>
      <w:proofErr w:type="spellEnd"/>
      <w:r w:rsidRPr="00597617">
        <w:rPr>
          <w:rFonts w:eastAsia="Calibri"/>
          <w:bCs/>
          <w:lang w:val="en-US" w:eastAsia="en-US"/>
        </w:rPr>
        <w:t xml:space="preserve"> LG, </w:t>
      </w:r>
      <w:proofErr w:type="spellStart"/>
      <w:r w:rsidRPr="00597617">
        <w:rPr>
          <w:rFonts w:eastAsia="Calibri"/>
          <w:bCs/>
          <w:lang w:val="en-US" w:eastAsia="en-US"/>
        </w:rPr>
        <w:t>Vitalle</w:t>
      </w:r>
      <w:proofErr w:type="spellEnd"/>
      <w:r w:rsidRPr="00597617">
        <w:rPr>
          <w:rFonts w:eastAsia="Calibri"/>
          <w:bCs/>
          <w:lang w:val="en-US" w:eastAsia="en-US"/>
        </w:rPr>
        <w:t xml:space="preserve"> MS. Social skills: a factor of protection against eating disorders in </w:t>
      </w:r>
      <w:proofErr w:type="spellStart"/>
      <w:r w:rsidRPr="00597617">
        <w:rPr>
          <w:rFonts w:eastAsia="Calibri"/>
          <w:bCs/>
          <w:lang w:val="en-US" w:eastAsia="en-US"/>
        </w:rPr>
        <w:t>adolescentes</w:t>
      </w:r>
      <w:proofErr w:type="spellEnd"/>
      <w:r w:rsidRPr="00597617">
        <w:rPr>
          <w:rFonts w:eastAsia="Calibri"/>
          <w:bCs/>
          <w:lang w:val="en-US" w:eastAsia="en-US"/>
        </w:rPr>
        <w:t xml:space="preserve">. </w:t>
      </w:r>
      <w:r w:rsidRPr="00597617">
        <w:rPr>
          <w:rFonts w:eastAsia="Calibri"/>
          <w:bCs/>
          <w:lang w:val="es-CU" w:eastAsia="en-US"/>
        </w:rPr>
        <w:t xml:space="preserve">Cien </w:t>
      </w:r>
      <w:proofErr w:type="spellStart"/>
      <w:r w:rsidRPr="00597617">
        <w:rPr>
          <w:rFonts w:eastAsia="Calibri"/>
          <w:bCs/>
          <w:lang w:val="es-CU" w:eastAsia="en-US"/>
        </w:rPr>
        <w:t>Saude</w:t>
      </w:r>
      <w:proofErr w:type="spellEnd"/>
      <w:r w:rsidRPr="00597617">
        <w:rPr>
          <w:rFonts w:eastAsia="Calibri"/>
          <w:bCs/>
          <w:lang w:val="es-CU" w:eastAsia="en-US"/>
        </w:rPr>
        <w:t xml:space="preserve"> Colet. 2015 [acceso: 20/03/2022]; 20(11): 3495-508. Disponible en: </w:t>
      </w:r>
      <w:hyperlink r:id="rId30" w:history="1">
        <w:r w:rsidRPr="00597617">
          <w:rPr>
            <w:rFonts w:eastAsia="Calibri"/>
            <w:color w:val="0000FF"/>
            <w:u w:val="single"/>
            <w:lang w:val="es-CU" w:eastAsia="en-US"/>
          </w:rPr>
          <w:t>https://pubmed.ncbi.nlm.nih.gov/26602727/</w:t>
        </w:r>
      </w:hyperlink>
      <w:r w:rsidRPr="00597617">
        <w:rPr>
          <w:rFonts w:eastAsia="Calibri"/>
          <w:bCs/>
          <w:lang w:val="es-CU" w:eastAsia="en-US"/>
        </w:rPr>
        <w:t xml:space="preserve"> </w:t>
      </w:r>
    </w:p>
    <w:p w14:paraId="18F1EA10"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15. Michaelson V, Pilato KA, Davison CM. Family as a health promotion setting: A scoping review of conceptual models of the </w:t>
      </w:r>
      <w:proofErr w:type="spellStart"/>
      <w:r w:rsidRPr="00597617">
        <w:rPr>
          <w:rFonts w:eastAsia="Calibri"/>
          <w:bCs/>
          <w:lang w:val="en-US" w:eastAsia="en-US"/>
        </w:rPr>
        <w:t>healthpromoting</w:t>
      </w:r>
      <w:proofErr w:type="spellEnd"/>
      <w:r w:rsidRPr="00597617">
        <w:rPr>
          <w:rFonts w:eastAsia="Calibri"/>
          <w:bCs/>
          <w:lang w:val="en-US" w:eastAsia="en-US"/>
        </w:rPr>
        <w:t xml:space="preserve"> family. </w:t>
      </w:r>
      <w:proofErr w:type="spellStart"/>
      <w:r w:rsidRPr="00597617">
        <w:rPr>
          <w:rFonts w:eastAsia="Calibri"/>
          <w:bCs/>
          <w:lang w:val="es-CU" w:eastAsia="en-US"/>
        </w:rPr>
        <w:t>PLoS</w:t>
      </w:r>
      <w:proofErr w:type="spellEnd"/>
      <w:r w:rsidRPr="00597617">
        <w:rPr>
          <w:rFonts w:eastAsia="Calibri"/>
          <w:bCs/>
          <w:lang w:val="es-CU" w:eastAsia="en-US"/>
        </w:rPr>
        <w:t xml:space="preserve"> ONE. 2021 [acceso: 19/04/2022]; 16(4</w:t>
      </w:r>
      <w:proofErr w:type="gramStart"/>
      <w:r w:rsidRPr="00597617">
        <w:rPr>
          <w:rFonts w:eastAsia="Calibri"/>
          <w:bCs/>
          <w:lang w:val="es-CU" w:eastAsia="en-US"/>
        </w:rPr>
        <w:t>):e</w:t>
      </w:r>
      <w:proofErr w:type="gramEnd"/>
      <w:r w:rsidRPr="00597617">
        <w:rPr>
          <w:rFonts w:eastAsia="Calibri"/>
          <w:bCs/>
          <w:lang w:val="es-CU" w:eastAsia="en-US"/>
        </w:rPr>
        <w:t xml:space="preserve">0249707. Disponible en: </w:t>
      </w:r>
      <w:hyperlink r:id="rId31" w:history="1">
        <w:r w:rsidRPr="00597617">
          <w:rPr>
            <w:rFonts w:eastAsia="Calibri"/>
            <w:color w:val="0000FF"/>
            <w:u w:val="single"/>
            <w:lang w:val="es-CU" w:eastAsia="en-US"/>
          </w:rPr>
          <w:t>https://pubmed.ncbi.nlm.nih.gov/33844692/</w:t>
        </w:r>
      </w:hyperlink>
      <w:r w:rsidRPr="00597617">
        <w:rPr>
          <w:rFonts w:eastAsia="Calibri"/>
          <w:bCs/>
          <w:lang w:val="es-CU" w:eastAsia="en-US"/>
        </w:rPr>
        <w:t xml:space="preserve"> </w:t>
      </w:r>
    </w:p>
    <w:p w14:paraId="13AD336B"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16. He M, Cabrera N, </w:t>
      </w:r>
      <w:proofErr w:type="spellStart"/>
      <w:r w:rsidRPr="00597617">
        <w:rPr>
          <w:rFonts w:eastAsia="Calibri"/>
          <w:bCs/>
          <w:lang w:val="es-CU" w:eastAsia="en-US"/>
        </w:rPr>
        <w:t>Renteria</w:t>
      </w:r>
      <w:proofErr w:type="spellEnd"/>
      <w:r w:rsidRPr="00597617">
        <w:rPr>
          <w:rFonts w:eastAsia="Calibri"/>
          <w:bCs/>
          <w:lang w:val="es-CU" w:eastAsia="en-US"/>
        </w:rPr>
        <w:t xml:space="preserve"> J, Chen Y, Alonso A, </w:t>
      </w:r>
      <w:proofErr w:type="spellStart"/>
      <w:r w:rsidRPr="00597617">
        <w:rPr>
          <w:rFonts w:eastAsia="Calibri"/>
          <w:bCs/>
          <w:lang w:val="es-CU" w:eastAsia="en-US"/>
        </w:rPr>
        <w:t>McDorman</w:t>
      </w:r>
      <w:proofErr w:type="spellEnd"/>
      <w:r w:rsidRPr="00597617">
        <w:rPr>
          <w:rFonts w:eastAsia="Calibri"/>
          <w:bCs/>
          <w:lang w:val="es-CU" w:eastAsia="en-US"/>
        </w:rPr>
        <w:t xml:space="preserve"> SA et al. </w:t>
      </w:r>
      <w:r w:rsidRPr="00597617">
        <w:rPr>
          <w:rFonts w:eastAsia="Calibri"/>
          <w:bCs/>
          <w:lang w:val="en-US" w:eastAsia="en-US"/>
        </w:rPr>
        <w:t xml:space="preserve">Family Functioning in the Time of COVID-19 Among Economically Vulnerable Families: Risks and Protective Factors. </w:t>
      </w:r>
      <w:r w:rsidRPr="00597617">
        <w:rPr>
          <w:rFonts w:eastAsia="Calibri"/>
          <w:bCs/>
          <w:lang w:val="es-CU" w:eastAsia="en-US"/>
        </w:rPr>
        <w:t xml:space="preserve">Front </w:t>
      </w:r>
      <w:proofErr w:type="spellStart"/>
      <w:r w:rsidRPr="00597617">
        <w:rPr>
          <w:rFonts w:eastAsia="Calibri"/>
          <w:bCs/>
          <w:lang w:val="es-CU" w:eastAsia="en-US"/>
        </w:rPr>
        <w:t>Psychol</w:t>
      </w:r>
      <w:proofErr w:type="spellEnd"/>
      <w:r w:rsidRPr="00597617">
        <w:rPr>
          <w:rFonts w:eastAsia="Calibri"/>
          <w:bCs/>
          <w:lang w:val="es-CU" w:eastAsia="en-US"/>
        </w:rPr>
        <w:t xml:space="preserve">. 2021 [acceso: 20/04/2022]; 12:730447. Disponible en: </w:t>
      </w:r>
      <w:hyperlink r:id="rId32" w:history="1">
        <w:r w:rsidRPr="00597617">
          <w:rPr>
            <w:rFonts w:eastAsia="Calibri"/>
            <w:color w:val="0000FF"/>
            <w:u w:val="single"/>
            <w:lang w:val="es-CU" w:eastAsia="en-US"/>
          </w:rPr>
          <w:t>http://dx.doi.org/10.3389/fpsyg.2021.730447</w:t>
        </w:r>
      </w:hyperlink>
      <w:r w:rsidRPr="00597617">
        <w:rPr>
          <w:rFonts w:eastAsia="Calibri"/>
          <w:bCs/>
          <w:lang w:val="es-CU" w:eastAsia="en-US"/>
        </w:rPr>
        <w:t xml:space="preserve"> </w:t>
      </w:r>
    </w:p>
    <w:p w14:paraId="769A4DE9"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17. </w:t>
      </w:r>
      <w:proofErr w:type="spellStart"/>
      <w:r w:rsidRPr="00597617">
        <w:rPr>
          <w:rFonts w:eastAsia="Calibri"/>
          <w:bCs/>
          <w:lang w:val="es-CU" w:eastAsia="en-US"/>
        </w:rPr>
        <w:t>Tam</w:t>
      </w:r>
      <w:proofErr w:type="spellEnd"/>
      <w:r w:rsidRPr="00597617">
        <w:rPr>
          <w:rFonts w:eastAsia="Calibri"/>
          <w:bCs/>
          <w:lang w:val="es-CU" w:eastAsia="en-US"/>
        </w:rPr>
        <w:t xml:space="preserve"> WWS, </w:t>
      </w:r>
      <w:proofErr w:type="spellStart"/>
      <w:r w:rsidRPr="00597617">
        <w:rPr>
          <w:rFonts w:eastAsia="Calibri"/>
          <w:bCs/>
          <w:lang w:val="es-CU" w:eastAsia="en-US"/>
        </w:rPr>
        <w:t>Poon</w:t>
      </w:r>
      <w:proofErr w:type="spellEnd"/>
      <w:r w:rsidRPr="00597617">
        <w:rPr>
          <w:rFonts w:eastAsia="Calibri"/>
          <w:bCs/>
          <w:lang w:val="es-CU" w:eastAsia="en-US"/>
        </w:rPr>
        <w:t xml:space="preserve"> SN, </w:t>
      </w:r>
      <w:proofErr w:type="spellStart"/>
      <w:r w:rsidRPr="00597617">
        <w:rPr>
          <w:rFonts w:eastAsia="Calibri"/>
          <w:bCs/>
          <w:lang w:val="es-CU" w:eastAsia="en-US"/>
        </w:rPr>
        <w:t>Mahendran</w:t>
      </w:r>
      <w:proofErr w:type="spellEnd"/>
      <w:r w:rsidRPr="00597617">
        <w:rPr>
          <w:rFonts w:eastAsia="Calibri"/>
          <w:bCs/>
          <w:lang w:val="es-CU" w:eastAsia="en-US"/>
        </w:rPr>
        <w:t xml:space="preserve"> R, </w:t>
      </w:r>
      <w:proofErr w:type="spellStart"/>
      <w:r w:rsidRPr="00597617">
        <w:rPr>
          <w:rFonts w:eastAsia="Calibri"/>
          <w:bCs/>
          <w:lang w:val="es-CU" w:eastAsia="en-US"/>
        </w:rPr>
        <w:t>Kua</w:t>
      </w:r>
      <w:proofErr w:type="spellEnd"/>
      <w:r w:rsidRPr="00597617">
        <w:rPr>
          <w:rFonts w:eastAsia="Calibri"/>
          <w:bCs/>
          <w:lang w:val="es-CU" w:eastAsia="en-US"/>
        </w:rPr>
        <w:t xml:space="preserve"> EH, Wu XV. </w:t>
      </w:r>
      <w:r w:rsidRPr="00597617">
        <w:rPr>
          <w:rFonts w:eastAsia="Calibri"/>
          <w:bCs/>
          <w:lang w:val="en-US" w:eastAsia="en-US"/>
        </w:rPr>
        <w:t xml:space="preserve">Impacts of COVID-19 and partial lockdown on family functioning, intergenerational communication and associated psychosocial factors among young adults in Singapore. </w:t>
      </w:r>
      <w:r w:rsidRPr="00597617">
        <w:rPr>
          <w:rFonts w:eastAsia="Calibri"/>
          <w:bCs/>
          <w:lang w:val="es-CU" w:eastAsia="en-US"/>
        </w:rPr>
        <w:t xml:space="preserve">BMC </w:t>
      </w:r>
      <w:proofErr w:type="spellStart"/>
      <w:r w:rsidRPr="00597617">
        <w:rPr>
          <w:rFonts w:eastAsia="Calibri"/>
          <w:bCs/>
          <w:lang w:val="es-CU" w:eastAsia="en-US"/>
        </w:rPr>
        <w:t>Psychiatry</w:t>
      </w:r>
      <w:proofErr w:type="spellEnd"/>
      <w:r w:rsidRPr="00597617">
        <w:rPr>
          <w:rFonts w:eastAsia="Calibri"/>
          <w:bCs/>
          <w:lang w:val="es-CU" w:eastAsia="en-US"/>
        </w:rPr>
        <w:t xml:space="preserve">. 2021 [acceso: 20/04/2022]; 21(1): 595. Disponible en: </w:t>
      </w:r>
      <w:hyperlink r:id="rId33" w:history="1">
        <w:r w:rsidRPr="00597617">
          <w:rPr>
            <w:rFonts w:eastAsia="Calibri"/>
            <w:color w:val="0000FF"/>
            <w:u w:val="single"/>
            <w:lang w:val="es-CU" w:eastAsia="en-US"/>
          </w:rPr>
          <w:t>https://bmcpsychiatry.biomedcentral.com/articles/10.1186/s12888-021-03599-z</w:t>
        </w:r>
      </w:hyperlink>
      <w:r w:rsidRPr="00597617">
        <w:rPr>
          <w:rFonts w:eastAsia="Calibri"/>
          <w:bCs/>
          <w:lang w:val="es-CU" w:eastAsia="en-US"/>
        </w:rPr>
        <w:t xml:space="preserve"> </w:t>
      </w:r>
    </w:p>
    <w:p w14:paraId="18ABCCC6"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lastRenderedPageBreak/>
        <w:t>18. Dubois-</w:t>
      </w:r>
      <w:proofErr w:type="spellStart"/>
      <w:r w:rsidRPr="00597617">
        <w:rPr>
          <w:rFonts w:eastAsia="Calibri"/>
          <w:bCs/>
          <w:lang w:val="en-US" w:eastAsia="en-US"/>
        </w:rPr>
        <w:t>Comtois</w:t>
      </w:r>
      <w:proofErr w:type="spellEnd"/>
      <w:r w:rsidRPr="00597617">
        <w:rPr>
          <w:rFonts w:eastAsia="Calibri"/>
          <w:bCs/>
          <w:lang w:val="en-US" w:eastAsia="en-US"/>
        </w:rPr>
        <w:t xml:space="preserve"> K, </w:t>
      </w:r>
      <w:proofErr w:type="spellStart"/>
      <w:r w:rsidRPr="00597617">
        <w:rPr>
          <w:rFonts w:eastAsia="Calibri"/>
          <w:bCs/>
          <w:lang w:val="en-US" w:eastAsia="en-US"/>
        </w:rPr>
        <w:t>Suffren</w:t>
      </w:r>
      <w:proofErr w:type="spellEnd"/>
      <w:r w:rsidRPr="00597617">
        <w:rPr>
          <w:rFonts w:eastAsia="Calibri"/>
          <w:bCs/>
          <w:lang w:val="en-US" w:eastAsia="en-US"/>
        </w:rPr>
        <w:t xml:space="preserve"> S, St-Laurent D, </w:t>
      </w:r>
      <w:proofErr w:type="spellStart"/>
      <w:r w:rsidRPr="00597617">
        <w:rPr>
          <w:rFonts w:eastAsia="Calibri"/>
          <w:bCs/>
          <w:lang w:val="en-US" w:eastAsia="en-US"/>
        </w:rPr>
        <w:t>Milot</w:t>
      </w:r>
      <w:proofErr w:type="spellEnd"/>
      <w:r w:rsidRPr="00597617">
        <w:rPr>
          <w:rFonts w:eastAsia="Calibri"/>
          <w:bCs/>
          <w:lang w:val="en-US" w:eastAsia="en-US"/>
        </w:rPr>
        <w:t xml:space="preserve"> T, </w:t>
      </w:r>
      <w:proofErr w:type="spellStart"/>
      <w:r w:rsidRPr="00597617">
        <w:rPr>
          <w:rFonts w:eastAsia="Calibri"/>
          <w:bCs/>
          <w:lang w:val="en-US" w:eastAsia="en-US"/>
        </w:rPr>
        <w:t>Lemelin</w:t>
      </w:r>
      <w:proofErr w:type="spellEnd"/>
      <w:r w:rsidRPr="00597617">
        <w:rPr>
          <w:rFonts w:eastAsia="Calibri"/>
          <w:bCs/>
          <w:lang w:val="en-US" w:eastAsia="en-US"/>
        </w:rPr>
        <w:t xml:space="preserve"> JP. Child Psychological Functioning During the COVID-19 Lockdown: An Ecological, Family-Centered Approach. </w:t>
      </w:r>
      <w:r w:rsidRPr="00597617">
        <w:rPr>
          <w:rFonts w:eastAsia="Calibri"/>
          <w:bCs/>
          <w:lang w:val="es-CU" w:eastAsia="en-US"/>
        </w:rPr>
        <w:t xml:space="preserve">J Dev </w:t>
      </w:r>
      <w:proofErr w:type="spellStart"/>
      <w:r w:rsidRPr="00597617">
        <w:rPr>
          <w:rFonts w:eastAsia="Calibri"/>
          <w:bCs/>
          <w:lang w:val="es-CU" w:eastAsia="en-US"/>
        </w:rPr>
        <w:t>Behav</w:t>
      </w:r>
      <w:proofErr w:type="spellEnd"/>
      <w:r w:rsidRPr="00597617">
        <w:rPr>
          <w:rFonts w:eastAsia="Calibri"/>
          <w:bCs/>
          <w:lang w:val="es-CU" w:eastAsia="en-US"/>
        </w:rPr>
        <w:t xml:space="preserve"> </w:t>
      </w:r>
      <w:proofErr w:type="spellStart"/>
      <w:r w:rsidRPr="00597617">
        <w:rPr>
          <w:rFonts w:eastAsia="Calibri"/>
          <w:bCs/>
          <w:lang w:val="es-CU" w:eastAsia="en-US"/>
        </w:rPr>
        <w:t>Pediatr</w:t>
      </w:r>
      <w:proofErr w:type="spellEnd"/>
      <w:r w:rsidRPr="00597617">
        <w:rPr>
          <w:rFonts w:eastAsia="Calibri"/>
          <w:bCs/>
          <w:lang w:val="es-CU" w:eastAsia="en-US"/>
        </w:rPr>
        <w:t xml:space="preserve">. 2021 [acceso: 22/04/2022]; 42(7):532-39. Disponible en: </w:t>
      </w:r>
      <w:hyperlink r:id="rId34" w:history="1">
        <w:r w:rsidRPr="00597617">
          <w:rPr>
            <w:rFonts w:eastAsia="Calibri"/>
            <w:color w:val="0000FF"/>
            <w:u w:val="single"/>
            <w:lang w:val="es-CU" w:eastAsia="en-US"/>
          </w:rPr>
          <w:t>http://dx.doi.org/10.1097/DBP.0000000000000935</w:t>
        </w:r>
      </w:hyperlink>
      <w:r w:rsidRPr="00597617">
        <w:rPr>
          <w:rFonts w:eastAsia="Calibri"/>
          <w:bCs/>
          <w:lang w:val="es-CU" w:eastAsia="en-US"/>
        </w:rPr>
        <w:t xml:space="preserve"> </w:t>
      </w:r>
    </w:p>
    <w:p w14:paraId="11DB756A" w14:textId="77777777" w:rsidR="00597617" w:rsidRPr="00597617" w:rsidRDefault="00597617" w:rsidP="00597617">
      <w:pPr>
        <w:spacing w:line="360" w:lineRule="auto"/>
        <w:rPr>
          <w:rFonts w:eastAsia="Calibri"/>
          <w:bCs/>
          <w:lang w:val="en-US" w:eastAsia="en-US"/>
        </w:rPr>
      </w:pPr>
      <w:r w:rsidRPr="00597617">
        <w:rPr>
          <w:rFonts w:eastAsia="Calibri"/>
          <w:bCs/>
          <w:lang w:val="en-US" w:eastAsia="en-US"/>
        </w:rPr>
        <w:t>19. Larson ME, Chavez JV, Behar-</w:t>
      </w:r>
      <w:proofErr w:type="spellStart"/>
      <w:r w:rsidRPr="00597617">
        <w:rPr>
          <w:rFonts w:eastAsia="Calibri"/>
          <w:bCs/>
          <w:lang w:val="en-US" w:eastAsia="en-US"/>
        </w:rPr>
        <w:t>Zusman</w:t>
      </w:r>
      <w:proofErr w:type="spellEnd"/>
      <w:r w:rsidRPr="00597617">
        <w:rPr>
          <w:rFonts w:eastAsia="Calibri"/>
          <w:bCs/>
          <w:lang w:val="en-US" w:eastAsia="en-US"/>
        </w:rPr>
        <w:t xml:space="preserve"> V. Family functioning in an international sample of households reporting adult caregiving during the COVID-19 pandemic. Fam Syst Health. 2021 [</w:t>
      </w:r>
      <w:proofErr w:type="spellStart"/>
      <w:r w:rsidRPr="00597617">
        <w:rPr>
          <w:rFonts w:eastAsia="Calibri"/>
          <w:bCs/>
          <w:lang w:val="en-US" w:eastAsia="en-US"/>
        </w:rPr>
        <w:t>acceso</w:t>
      </w:r>
      <w:proofErr w:type="spellEnd"/>
      <w:r w:rsidRPr="00597617">
        <w:rPr>
          <w:rFonts w:eastAsia="Calibri"/>
          <w:bCs/>
          <w:lang w:val="en-US" w:eastAsia="en-US"/>
        </w:rPr>
        <w:t xml:space="preserve">: 22/04/2022]; 39(4):609-17.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35" w:history="1">
        <w:r w:rsidRPr="00597617">
          <w:rPr>
            <w:rFonts w:eastAsia="Calibri"/>
            <w:bCs/>
            <w:color w:val="0000FF"/>
            <w:u w:val="single"/>
            <w:lang w:val="en-US" w:eastAsia="en-US"/>
          </w:rPr>
          <w:t>http://dx.doi.org/10.1037/fsh0000653</w:t>
        </w:r>
      </w:hyperlink>
      <w:r w:rsidRPr="00597617">
        <w:rPr>
          <w:rFonts w:eastAsia="Calibri"/>
          <w:bCs/>
          <w:lang w:val="en-US" w:eastAsia="en-US"/>
        </w:rPr>
        <w:t xml:space="preserve"> </w:t>
      </w:r>
    </w:p>
    <w:p w14:paraId="2B3420CD"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20. Esteves-Villanueva AR, Paredes-Mamani RP, Calcina-Condori CR, </w:t>
      </w:r>
      <w:proofErr w:type="spellStart"/>
      <w:r w:rsidRPr="00597617">
        <w:rPr>
          <w:rFonts w:eastAsia="Calibri"/>
          <w:bCs/>
          <w:lang w:val="es-CU" w:eastAsia="en-US"/>
        </w:rPr>
        <w:t>Yapuchura</w:t>
      </w:r>
      <w:proofErr w:type="spellEnd"/>
      <w:r w:rsidRPr="00597617">
        <w:rPr>
          <w:rFonts w:eastAsia="Calibri"/>
          <w:bCs/>
          <w:lang w:val="es-CU" w:eastAsia="en-US"/>
        </w:rPr>
        <w:t xml:space="preserve">- </w:t>
      </w:r>
      <w:proofErr w:type="spellStart"/>
      <w:r w:rsidRPr="00597617">
        <w:rPr>
          <w:rFonts w:eastAsia="Calibri"/>
          <w:bCs/>
          <w:lang w:val="es-CU" w:eastAsia="en-US"/>
        </w:rPr>
        <w:t>Saico</w:t>
      </w:r>
      <w:proofErr w:type="spellEnd"/>
      <w:r w:rsidRPr="00597617">
        <w:rPr>
          <w:rFonts w:eastAsia="Calibri"/>
          <w:bCs/>
          <w:lang w:val="es-CU" w:eastAsia="en-US"/>
        </w:rPr>
        <w:t xml:space="preserve"> CR. Habilidades Sociales en adolescentes y Funcionalidad Familiar. </w:t>
      </w:r>
      <w:proofErr w:type="spellStart"/>
      <w:r w:rsidRPr="00597617">
        <w:rPr>
          <w:rFonts w:eastAsia="Calibri"/>
          <w:bCs/>
          <w:lang w:val="es-CU" w:eastAsia="en-US"/>
        </w:rPr>
        <w:t>Comuni@ccion</w:t>
      </w:r>
      <w:proofErr w:type="spellEnd"/>
      <w:r w:rsidRPr="00597617">
        <w:rPr>
          <w:rFonts w:eastAsia="Calibri"/>
          <w:bCs/>
          <w:lang w:val="es-CU" w:eastAsia="en-US"/>
        </w:rPr>
        <w:t xml:space="preserve">: Revista de Investigación en Comunicación y Desarrollo. 2020 [acceso: 22/04/2022]; 11(1): 16-27. Disponible en: </w:t>
      </w:r>
      <w:hyperlink r:id="rId36" w:history="1">
        <w:r w:rsidRPr="00597617">
          <w:rPr>
            <w:rFonts w:eastAsia="Calibri"/>
            <w:color w:val="0000FF"/>
            <w:u w:val="single"/>
            <w:lang w:val="es-CU" w:eastAsia="en-US"/>
          </w:rPr>
          <w:t>http://www.scielo.org.pe/scielo.php?script=sci_arttext&amp;pid=S2219-71682020000100016</w:t>
        </w:r>
      </w:hyperlink>
      <w:r w:rsidRPr="00597617">
        <w:rPr>
          <w:rFonts w:eastAsia="Calibri"/>
          <w:bCs/>
          <w:lang w:val="es-CU" w:eastAsia="en-US"/>
        </w:rPr>
        <w:t xml:space="preserve"> </w:t>
      </w:r>
    </w:p>
    <w:p w14:paraId="09DB2248"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21. Villarreal-</w:t>
      </w:r>
      <w:proofErr w:type="spellStart"/>
      <w:r w:rsidRPr="00597617">
        <w:rPr>
          <w:rFonts w:eastAsia="Calibri"/>
          <w:bCs/>
          <w:lang w:val="en-US" w:eastAsia="en-US"/>
        </w:rPr>
        <w:t>Zegarra</w:t>
      </w:r>
      <w:proofErr w:type="spellEnd"/>
      <w:r w:rsidRPr="00597617">
        <w:rPr>
          <w:rFonts w:eastAsia="Calibri"/>
          <w:bCs/>
          <w:lang w:val="en-US" w:eastAsia="en-US"/>
        </w:rPr>
        <w:t xml:space="preserve"> D, Paz-Jesús A. Family Cohesion, Adaptability and Composition in Adolescents from Callao, Peru. </w:t>
      </w:r>
      <w:proofErr w:type="spellStart"/>
      <w:r w:rsidRPr="00597617">
        <w:rPr>
          <w:rFonts w:eastAsia="Calibri"/>
          <w:bCs/>
          <w:lang w:val="es-CU" w:eastAsia="en-US"/>
        </w:rPr>
        <w:t>Propos</w:t>
      </w:r>
      <w:proofErr w:type="spellEnd"/>
      <w:r w:rsidRPr="00597617">
        <w:rPr>
          <w:rFonts w:eastAsia="Calibri"/>
          <w:bCs/>
          <w:lang w:val="es-CU" w:eastAsia="en-US"/>
        </w:rPr>
        <w:t xml:space="preserve"> </w:t>
      </w:r>
      <w:proofErr w:type="spellStart"/>
      <w:r w:rsidRPr="00597617">
        <w:rPr>
          <w:rFonts w:eastAsia="Calibri"/>
          <w:bCs/>
          <w:lang w:val="es-CU" w:eastAsia="en-US"/>
        </w:rPr>
        <w:t>Represent</w:t>
      </w:r>
      <w:proofErr w:type="spellEnd"/>
      <w:r w:rsidRPr="00597617">
        <w:rPr>
          <w:rFonts w:eastAsia="Calibri"/>
          <w:bCs/>
          <w:lang w:val="es-CU" w:eastAsia="en-US"/>
        </w:rPr>
        <w:t xml:space="preserve">. 2017 [acceso: 19/04/2022]; 5(2):21-64. Disponible en: </w:t>
      </w:r>
      <w:hyperlink r:id="rId37" w:history="1">
        <w:r w:rsidRPr="00597617">
          <w:rPr>
            <w:rFonts w:eastAsia="Calibri"/>
            <w:color w:val="0000FF"/>
            <w:u w:val="single"/>
            <w:lang w:val="es-CU" w:eastAsia="en-US"/>
          </w:rPr>
          <w:t>http://dx.doi.org/10.20511/pyr2017.v5n2.158</w:t>
        </w:r>
      </w:hyperlink>
      <w:r w:rsidRPr="00597617">
        <w:rPr>
          <w:rFonts w:eastAsia="Calibri"/>
          <w:bCs/>
          <w:lang w:val="es-CU" w:eastAsia="en-US"/>
        </w:rPr>
        <w:t xml:space="preserve"> </w:t>
      </w:r>
    </w:p>
    <w:p w14:paraId="36BED469"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22. Olivera AN, Rivera EG, </w:t>
      </w:r>
      <w:proofErr w:type="spellStart"/>
      <w:r w:rsidRPr="00597617">
        <w:rPr>
          <w:rFonts w:eastAsia="Calibri"/>
          <w:bCs/>
          <w:lang w:val="en-US" w:eastAsia="en-US"/>
        </w:rPr>
        <w:t>Gutíerrez-Trevejo</w:t>
      </w:r>
      <w:proofErr w:type="spellEnd"/>
      <w:r w:rsidRPr="00597617">
        <w:rPr>
          <w:rFonts w:eastAsia="Calibri"/>
          <w:bCs/>
          <w:lang w:val="en-US" w:eastAsia="en-US"/>
        </w:rPr>
        <w:t xml:space="preserve"> M, Méndez J. Family functionality in the depression of adolescents in the private educational institution "Gran </w:t>
      </w:r>
      <w:proofErr w:type="spellStart"/>
      <w:r w:rsidRPr="00597617">
        <w:rPr>
          <w:rFonts w:eastAsia="Calibri"/>
          <w:bCs/>
          <w:lang w:val="en-US" w:eastAsia="en-US"/>
        </w:rPr>
        <w:t>Amauta</w:t>
      </w:r>
      <w:proofErr w:type="spellEnd"/>
      <w:r w:rsidRPr="00597617">
        <w:rPr>
          <w:rFonts w:eastAsia="Calibri"/>
          <w:bCs/>
          <w:lang w:val="en-US" w:eastAsia="en-US"/>
        </w:rPr>
        <w:t xml:space="preserve"> de </w:t>
      </w:r>
      <w:proofErr w:type="spellStart"/>
      <w:r w:rsidRPr="00597617">
        <w:rPr>
          <w:rFonts w:eastAsia="Calibri"/>
          <w:bCs/>
          <w:lang w:val="en-US" w:eastAsia="en-US"/>
        </w:rPr>
        <w:t>Motupe</w:t>
      </w:r>
      <w:proofErr w:type="spellEnd"/>
      <w:r w:rsidRPr="00597617">
        <w:rPr>
          <w:rFonts w:eastAsia="Calibri"/>
          <w:bCs/>
          <w:lang w:val="en-US" w:eastAsia="en-US"/>
        </w:rPr>
        <w:t xml:space="preserve">" Lima, 2018. </w:t>
      </w:r>
      <w:proofErr w:type="spellStart"/>
      <w:r w:rsidRPr="00597617">
        <w:rPr>
          <w:rFonts w:eastAsia="Calibri"/>
          <w:bCs/>
          <w:lang w:val="es-CU" w:eastAsia="en-US"/>
        </w:rPr>
        <w:t>Rev</w:t>
      </w:r>
      <w:proofErr w:type="spellEnd"/>
      <w:r w:rsidRPr="00597617">
        <w:rPr>
          <w:rFonts w:eastAsia="Calibri"/>
          <w:bCs/>
          <w:lang w:val="es-CU" w:eastAsia="en-US"/>
        </w:rPr>
        <w:t xml:space="preserve"> </w:t>
      </w:r>
      <w:proofErr w:type="spellStart"/>
      <w:r w:rsidRPr="00597617">
        <w:rPr>
          <w:rFonts w:eastAsia="Calibri"/>
          <w:bCs/>
          <w:lang w:val="es-CU" w:eastAsia="en-US"/>
        </w:rPr>
        <w:t>Estomatol</w:t>
      </w:r>
      <w:proofErr w:type="spellEnd"/>
      <w:r w:rsidRPr="00597617">
        <w:rPr>
          <w:rFonts w:eastAsia="Calibri"/>
          <w:bCs/>
          <w:lang w:val="es-CU" w:eastAsia="en-US"/>
        </w:rPr>
        <w:t xml:space="preserve"> Herediana. 2019 [acceso: 24/03/2022]; 29(3):189-95. Disponible en: </w:t>
      </w:r>
      <w:hyperlink r:id="rId38" w:history="1">
        <w:r w:rsidRPr="00597617">
          <w:rPr>
            <w:rFonts w:eastAsia="Calibri"/>
            <w:color w:val="0000FF"/>
            <w:u w:val="single"/>
            <w:lang w:val="es-CU" w:eastAsia="en-US"/>
          </w:rPr>
          <w:t>http://www.scielo.org.pe/pdf/reh/v29n3/a04v29n3.pdf</w:t>
        </w:r>
      </w:hyperlink>
      <w:r w:rsidRPr="00597617">
        <w:rPr>
          <w:rFonts w:eastAsia="Calibri"/>
          <w:bCs/>
          <w:lang w:val="es-CU" w:eastAsia="en-US"/>
        </w:rPr>
        <w:t xml:space="preserve"> </w:t>
      </w:r>
    </w:p>
    <w:p w14:paraId="51E79915"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23. Bellón </w:t>
      </w:r>
      <w:proofErr w:type="spellStart"/>
      <w:r w:rsidRPr="00597617">
        <w:rPr>
          <w:rFonts w:eastAsia="Calibri"/>
          <w:bCs/>
          <w:lang w:val="es-CU" w:eastAsia="en-US"/>
        </w:rPr>
        <w:t>Saameño</w:t>
      </w:r>
      <w:proofErr w:type="spellEnd"/>
      <w:r w:rsidRPr="00597617">
        <w:rPr>
          <w:rFonts w:eastAsia="Calibri"/>
          <w:bCs/>
          <w:lang w:val="es-CU" w:eastAsia="en-US"/>
        </w:rPr>
        <w:t xml:space="preserve"> JA, Delgado Sánchez A, Luna del Castillo JD, </w:t>
      </w:r>
      <w:proofErr w:type="spellStart"/>
      <w:r w:rsidRPr="00597617">
        <w:rPr>
          <w:rFonts w:eastAsia="Calibri"/>
          <w:bCs/>
          <w:lang w:val="es-CU" w:eastAsia="en-US"/>
        </w:rPr>
        <w:t>Lardelli</w:t>
      </w:r>
      <w:proofErr w:type="spellEnd"/>
      <w:r w:rsidRPr="00597617">
        <w:rPr>
          <w:rFonts w:eastAsia="Calibri"/>
          <w:bCs/>
          <w:lang w:val="es-CU" w:eastAsia="en-US"/>
        </w:rPr>
        <w:t xml:space="preserve"> Claret P. Validez y </w:t>
      </w:r>
      <w:proofErr w:type="spellStart"/>
      <w:r w:rsidRPr="00597617">
        <w:rPr>
          <w:rFonts w:eastAsia="Calibri"/>
          <w:bCs/>
          <w:lang w:val="es-CU" w:eastAsia="en-US"/>
        </w:rPr>
        <w:t>fiabiliad</w:t>
      </w:r>
      <w:proofErr w:type="spellEnd"/>
      <w:r w:rsidRPr="00597617">
        <w:rPr>
          <w:rFonts w:eastAsia="Calibri"/>
          <w:bCs/>
          <w:lang w:val="es-CU" w:eastAsia="en-US"/>
        </w:rPr>
        <w:t xml:space="preserve"> del cuestionario de función familiar Apgar familiar. Atención Primaria. 1996 [acceso: 24/03/2022]; 18(6):289-96. Disponible en: </w:t>
      </w:r>
      <w:hyperlink r:id="rId39" w:history="1">
        <w:r w:rsidRPr="00597617">
          <w:rPr>
            <w:rFonts w:eastAsia="Calibri"/>
            <w:color w:val="0000FF"/>
            <w:u w:val="single"/>
            <w:lang w:val="es-CU" w:eastAsia="en-US"/>
          </w:rPr>
          <w:t>https://www.elsevier.es/es-revista-atencion-primaria-27-articulo-validez-fiabilidad-cuestionario-funcion-familiar-apgar-familiar-14357</w:t>
        </w:r>
      </w:hyperlink>
      <w:r w:rsidRPr="00597617">
        <w:rPr>
          <w:rFonts w:eastAsia="Calibri"/>
          <w:bCs/>
          <w:lang w:val="es-CU" w:eastAsia="en-US"/>
        </w:rPr>
        <w:t xml:space="preserve"> </w:t>
      </w:r>
    </w:p>
    <w:p w14:paraId="3CE8ABC5"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24. Castilla HA, Caycho TP, </w:t>
      </w:r>
      <w:proofErr w:type="spellStart"/>
      <w:r w:rsidRPr="00597617">
        <w:rPr>
          <w:rFonts w:eastAsia="Calibri"/>
          <w:bCs/>
          <w:lang w:val="es-CU" w:eastAsia="en-US"/>
        </w:rPr>
        <w:t>Shimabukuro</w:t>
      </w:r>
      <w:proofErr w:type="spellEnd"/>
      <w:r w:rsidRPr="00597617">
        <w:rPr>
          <w:rFonts w:eastAsia="Calibri"/>
          <w:bCs/>
          <w:lang w:val="es-CU" w:eastAsia="en-US"/>
        </w:rPr>
        <w:t xml:space="preserve"> M, Valdivia AA. Percepción del funcionamiento familiar: Análisis psicométrico de la Escala APGAR-familiar en adolescentes de Lima. Revista de Psicología Educativa. 2014 [acceso: 24/03/2022]; 1(2):23-28. Disponible en: </w:t>
      </w:r>
      <w:hyperlink r:id="rId40" w:history="1">
        <w:r w:rsidRPr="00597617">
          <w:rPr>
            <w:rFonts w:eastAsia="Calibri"/>
            <w:color w:val="0000FF"/>
            <w:u w:val="single"/>
            <w:lang w:val="es-CU" w:eastAsia="en-US"/>
          </w:rPr>
          <w:t>https://revistas.usil.edu.pe/index.php/pyr/article/view/53</w:t>
        </w:r>
      </w:hyperlink>
      <w:r w:rsidRPr="00597617">
        <w:rPr>
          <w:rFonts w:eastAsia="Calibri"/>
          <w:bCs/>
          <w:lang w:val="es-CU" w:eastAsia="en-US"/>
        </w:rPr>
        <w:t xml:space="preserve"> </w:t>
      </w:r>
    </w:p>
    <w:p w14:paraId="4512890C"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lastRenderedPageBreak/>
        <w:t xml:space="preserve">25. Ministerio de Salud. Manual de Habilidades Sociales en adolescentes escolares.  Lima: Inversiones Escarlata y Negro SAC, MINSA; 2005. [acceso: 24/03/2022]. Disponible en: </w:t>
      </w:r>
      <w:hyperlink r:id="rId41" w:history="1">
        <w:r w:rsidRPr="00597617">
          <w:rPr>
            <w:rFonts w:eastAsia="Calibri"/>
            <w:color w:val="0000FF"/>
            <w:u w:val="single"/>
            <w:lang w:val="es-CU" w:eastAsia="en-US"/>
          </w:rPr>
          <w:t>http://bvs.minsa.gob.pe/local/PROMOCION/170_adolec.pdf</w:t>
        </w:r>
      </w:hyperlink>
      <w:r w:rsidRPr="00597617">
        <w:rPr>
          <w:rFonts w:eastAsia="Calibri"/>
          <w:bCs/>
          <w:lang w:val="es-CU" w:eastAsia="en-US"/>
        </w:rPr>
        <w:t xml:space="preserve">  </w:t>
      </w:r>
    </w:p>
    <w:p w14:paraId="73205B16"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26. Mora S, Múnera F. Evaluación de estilos de vida saludable en la facultad de medicina de la fundación universitaria de ciencias de la salud. Repertorio de Medicina y Cirugía. 2015 [acceso: 24/03/2022]; 24(4): 267-27. Disponible en: </w:t>
      </w:r>
      <w:hyperlink r:id="rId42" w:history="1">
        <w:r w:rsidRPr="00597617">
          <w:rPr>
            <w:rFonts w:eastAsia="Calibri"/>
            <w:color w:val="0000FF"/>
            <w:u w:val="single"/>
            <w:lang w:val="es-CU" w:eastAsia="en-US"/>
          </w:rPr>
          <w:t>https://revistas.fucsalud.edu.co/index.php/repertorio/article/view/600/638</w:t>
        </w:r>
      </w:hyperlink>
      <w:r w:rsidRPr="00597617">
        <w:rPr>
          <w:rFonts w:eastAsia="Calibri"/>
          <w:bCs/>
          <w:lang w:val="es-CU" w:eastAsia="en-US"/>
        </w:rPr>
        <w:t xml:space="preserve"> </w:t>
      </w:r>
    </w:p>
    <w:p w14:paraId="3B535101"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27. Chau C, Saravia JC.  Conductas de Salud en Estudiantes Universitarios Limeños: Validación del CEVJU. Revista Iberoamericana de Diagnóstico y Evaluación - e </w:t>
      </w:r>
      <w:proofErr w:type="spellStart"/>
      <w:r w:rsidRPr="00597617">
        <w:rPr>
          <w:rFonts w:eastAsia="Calibri"/>
          <w:bCs/>
          <w:lang w:val="es-CU" w:eastAsia="en-US"/>
        </w:rPr>
        <w:t>Avaliação</w:t>
      </w:r>
      <w:proofErr w:type="spellEnd"/>
      <w:r w:rsidRPr="00597617">
        <w:rPr>
          <w:rFonts w:eastAsia="Calibri"/>
          <w:bCs/>
          <w:lang w:val="es-CU" w:eastAsia="en-US"/>
        </w:rPr>
        <w:t xml:space="preserve"> Psicológica. 2016 [acceso: 24/03/2022]; 41(1): 90-103. Disponible en: </w:t>
      </w:r>
      <w:hyperlink r:id="rId43" w:history="1">
        <w:r w:rsidRPr="00597617">
          <w:rPr>
            <w:rFonts w:eastAsia="Calibri"/>
            <w:color w:val="0000FF"/>
            <w:u w:val="single"/>
            <w:lang w:val="es-CU" w:eastAsia="en-US"/>
          </w:rPr>
          <w:t>https://www.aidep.org/sites/default/files/articles/R41/Art8.pdf</w:t>
        </w:r>
      </w:hyperlink>
      <w:r w:rsidRPr="00597617">
        <w:rPr>
          <w:rFonts w:eastAsia="Calibri"/>
          <w:bCs/>
          <w:lang w:val="es-CU" w:eastAsia="en-US"/>
        </w:rPr>
        <w:t xml:space="preserve"> </w:t>
      </w:r>
    </w:p>
    <w:p w14:paraId="06577081"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28. Tito-Quispe de </w:t>
      </w:r>
      <w:proofErr w:type="spellStart"/>
      <w:r w:rsidRPr="00597617">
        <w:rPr>
          <w:rFonts w:eastAsia="Calibri"/>
          <w:bCs/>
          <w:lang w:val="es-CU" w:eastAsia="en-US"/>
        </w:rPr>
        <w:t>Herrrera</w:t>
      </w:r>
      <w:proofErr w:type="spellEnd"/>
      <w:r w:rsidRPr="00597617">
        <w:rPr>
          <w:rFonts w:eastAsia="Calibri"/>
          <w:bCs/>
          <w:lang w:val="es-CU" w:eastAsia="en-US"/>
        </w:rPr>
        <w:t xml:space="preserve"> ER. Estilos de vida de los adolescentes que acuden al centro de salud de </w:t>
      </w:r>
      <w:proofErr w:type="spellStart"/>
      <w:r w:rsidRPr="00597617">
        <w:rPr>
          <w:rFonts w:eastAsia="Calibri"/>
          <w:bCs/>
          <w:lang w:val="es-CU" w:eastAsia="en-US"/>
        </w:rPr>
        <w:t>Huancan</w:t>
      </w:r>
      <w:proofErr w:type="spellEnd"/>
      <w:r w:rsidRPr="00597617">
        <w:rPr>
          <w:rFonts w:eastAsia="Calibri"/>
          <w:bCs/>
          <w:lang w:val="es-CU" w:eastAsia="en-US"/>
        </w:rPr>
        <w:t xml:space="preserve">, 2019. [Tesis de especialidad]. Huancavelica: Universidad Nacional de Huancavelica; 2019 [acceso: 24/03/2022]. Disponible en: </w:t>
      </w:r>
      <w:hyperlink r:id="rId44" w:history="1">
        <w:r w:rsidRPr="00597617">
          <w:rPr>
            <w:rFonts w:eastAsia="Calibri"/>
            <w:color w:val="0000FF"/>
            <w:u w:val="single"/>
            <w:lang w:val="es-CU" w:eastAsia="en-US"/>
          </w:rPr>
          <w:t>http://repositorio.unh.edu.pe/handle/UNH/3024</w:t>
        </w:r>
      </w:hyperlink>
      <w:r w:rsidRPr="00597617">
        <w:rPr>
          <w:rFonts w:eastAsia="Calibri"/>
          <w:bCs/>
          <w:lang w:val="es-CU" w:eastAsia="en-US"/>
        </w:rPr>
        <w:t xml:space="preserve"> </w:t>
      </w:r>
    </w:p>
    <w:p w14:paraId="6383AFDF"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29. </w:t>
      </w:r>
      <w:proofErr w:type="spellStart"/>
      <w:r w:rsidRPr="00597617">
        <w:rPr>
          <w:rFonts w:eastAsia="Calibri"/>
          <w:bCs/>
          <w:lang w:val="es-CU" w:eastAsia="en-US"/>
        </w:rPr>
        <w:t>Sanchez</w:t>
      </w:r>
      <w:proofErr w:type="spellEnd"/>
      <w:r w:rsidRPr="00597617">
        <w:rPr>
          <w:rFonts w:eastAsia="Calibri"/>
          <w:bCs/>
          <w:lang w:val="es-CU" w:eastAsia="en-US"/>
        </w:rPr>
        <w:t xml:space="preserve">-Montoya EE. Estilos de vida en adolescentes de secundaria del Consorcio Educativo </w:t>
      </w:r>
      <w:proofErr w:type="spellStart"/>
      <w:r w:rsidRPr="00597617">
        <w:rPr>
          <w:rFonts w:eastAsia="Calibri"/>
          <w:bCs/>
          <w:lang w:val="es-CU" w:eastAsia="en-US"/>
        </w:rPr>
        <w:t>Palmher</w:t>
      </w:r>
      <w:proofErr w:type="spellEnd"/>
      <w:r w:rsidRPr="00597617">
        <w:rPr>
          <w:rFonts w:eastAsia="Calibri"/>
          <w:bCs/>
          <w:lang w:val="es-CU" w:eastAsia="en-US"/>
        </w:rPr>
        <w:t xml:space="preserve"> Ingenieros de San Juan de Lurigancho, 2018. [Tesis de grado]. Lima: Universidad Cesar Vallejo; 2018 [acceso: 24/03/2022]. Disponible en: </w:t>
      </w:r>
      <w:hyperlink r:id="rId45" w:history="1">
        <w:r w:rsidRPr="00597617">
          <w:rPr>
            <w:rFonts w:eastAsia="Calibri"/>
            <w:color w:val="0000FF"/>
            <w:u w:val="single"/>
            <w:lang w:val="es-CU" w:eastAsia="en-US"/>
          </w:rPr>
          <w:t>https://repositorio.ucv.edu.pe/bitstream/handle/20.500.12692/22723/Sanchez_MEE.pd</w:t>
        </w:r>
        <w:r w:rsidRPr="00597617">
          <w:rPr>
            <w:rFonts w:eastAsia="Calibri"/>
            <w:bCs/>
            <w:color w:val="0000FF"/>
            <w:u w:val="single"/>
            <w:lang w:val="es-CU" w:eastAsia="en-US"/>
          </w:rPr>
          <w:t>f</w:t>
        </w:r>
        <w:r w:rsidRPr="00597617">
          <w:rPr>
            <w:rFonts w:eastAsia="Calibri"/>
            <w:color w:val="0000FF"/>
            <w:u w:val="single"/>
            <w:lang w:val="es-CU" w:eastAsia="en-US"/>
          </w:rPr>
          <w:t>?sequence=1&amp;isAllowed=y</w:t>
        </w:r>
      </w:hyperlink>
      <w:r w:rsidRPr="00597617">
        <w:rPr>
          <w:rFonts w:eastAsia="Calibri"/>
          <w:bCs/>
          <w:lang w:val="es-CU" w:eastAsia="en-US"/>
        </w:rPr>
        <w:t xml:space="preserve"> </w:t>
      </w:r>
    </w:p>
    <w:p w14:paraId="4DFEE1E4"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30. Puerta-Cortés DX, González-Santos JM. Caracterización del estilo de vida saludable en una muestra de habitantes de las zonas rurales del Tolima. Indagare. 2019 [acceso: 24/03/2022]; 7: 1-10. Disponible en:  </w:t>
      </w:r>
      <w:hyperlink r:id="rId46" w:history="1">
        <w:r w:rsidRPr="00597617">
          <w:rPr>
            <w:rFonts w:eastAsia="Calibri"/>
            <w:color w:val="0000FF"/>
            <w:u w:val="single"/>
            <w:lang w:val="es-CU" w:eastAsia="en-US"/>
          </w:rPr>
          <w:t>https://doi.org/10.35707/indagare/701</w:t>
        </w:r>
      </w:hyperlink>
      <w:r w:rsidRPr="00597617">
        <w:rPr>
          <w:rFonts w:eastAsia="Calibri"/>
          <w:bCs/>
          <w:lang w:val="es-CU" w:eastAsia="en-US"/>
        </w:rPr>
        <w:t xml:space="preserve"> </w:t>
      </w:r>
    </w:p>
    <w:p w14:paraId="462CC68A"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31. McDonald JA, </w:t>
      </w:r>
      <w:proofErr w:type="spellStart"/>
      <w:r w:rsidRPr="00597617">
        <w:rPr>
          <w:rFonts w:eastAsia="Calibri"/>
          <w:bCs/>
          <w:lang w:val="es-CU" w:eastAsia="en-US"/>
        </w:rPr>
        <w:t>Sroka</w:t>
      </w:r>
      <w:proofErr w:type="spellEnd"/>
      <w:r w:rsidRPr="00597617">
        <w:rPr>
          <w:rFonts w:eastAsia="Calibri"/>
          <w:bCs/>
          <w:lang w:val="es-CU" w:eastAsia="en-US"/>
        </w:rPr>
        <w:t xml:space="preserve"> C, Olivares E, </w:t>
      </w:r>
      <w:proofErr w:type="spellStart"/>
      <w:r w:rsidRPr="00597617">
        <w:rPr>
          <w:rFonts w:eastAsia="Calibri"/>
          <w:bCs/>
          <w:lang w:val="es-CU" w:eastAsia="en-US"/>
        </w:rPr>
        <w:t>Marin</w:t>
      </w:r>
      <w:proofErr w:type="spellEnd"/>
      <w:r w:rsidRPr="00597617">
        <w:rPr>
          <w:rFonts w:eastAsia="Calibri"/>
          <w:bCs/>
          <w:lang w:val="es-CU" w:eastAsia="en-US"/>
        </w:rPr>
        <w:t xml:space="preserve"> M, Gurrola M, Sharkey JR. </w:t>
      </w:r>
      <w:r w:rsidRPr="00597617">
        <w:rPr>
          <w:rFonts w:eastAsia="Calibri"/>
          <w:bCs/>
          <w:lang w:val="en-US" w:eastAsia="en-US"/>
        </w:rPr>
        <w:t xml:space="preserve">Patterns of Screen Time Among Rural Mexican-American Children on the New Mexico-Mexico Border. </w:t>
      </w:r>
      <w:proofErr w:type="spellStart"/>
      <w:r w:rsidRPr="00597617">
        <w:rPr>
          <w:rFonts w:eastAsia="Calibri"/>
          <w:bCs/>
          <w:lang w:val="es-CU" w:eastAsia="en-US"/>
        </w:rPr>
        <w:t>Prev</w:t>
      </w:r>
      <w:proofErr w:type="spellEnd"/>
      <w:r w:rsidRPr="00597617">
        <w:rPr>
          <w:rFonts w:eastAsia="Calibri"/>
          <w:bCs/>
          <w:lang w:val="es-CU" w:eastAsia="en-US"/>
        </w:rPr>
        <w:t xml:space="preserve"> </w:t>
      </w:r>
      <w:proofErr w:type="spellStart"/>
      <w:r w:rsidRPr="00597617">
        <w:rPr>
          <w:rFonts w:eastAsia="Calibri"/>
          <w:bCs/>
          <w:lang w:val="es-CU" w:eastAsia="en-US"/>
        </w:rPr>
        <w:t>Chronic</w:t>
      </w:r>
      <w:proofErr w:type="spellEnd"/>
      <w:r w:rsidRPr="00597617">
        <w:rPr>
          <w:rFonts w:eastAsia="Calibri"/>
          <w:bCs/>
          <w:lang w:val="es-CU" w:eastAsia="en-US"/>
        </w:rPr>
        <w:t xml:space="preserve"> </w:t>
      </w:r>
      <w:proofErr w:type="spellStart"/>
      <w:r w:rsidRPr="00597617">
        <w:rPr>
          <w:rFonts w:eastAsia="Calibri"/>
          <w:bCs/>
          <w:lang w:val="es-CU" w:eastAsia="en-US"/>
        </w:rPr>
        <w:t>Dis</w:t>
      </w:r>
      <w:proofErr w:type="spellEnd"/>
      <w:r w:rsidRPr="00597617">
        <w:rPr>
          <w:rFonts w:eastAsia="Calibri"/>
          <w:bCs/>
          <w:lang w:val="es-CU" w:eastAsia="en-US"/>
        </w:rPr>
        <w:t xml:space="preserve">. 2018 [acceso: 24/03/2022]; 15: E113. Disponible en: </w:t>
      </w:r>
      <w:hyperlink r:id="rId47" w:history="1">
        <w:r w:rsidRPr="00597617">
          <w:rPr>
            <w:rFonts w:eastAsia="Calibri"/>
            <w:color w:val="0000FF"/>
            <w:u w:val="single"/>
            <w:lang w:val="es-CU" w:eastAsia="en-US"/>
          </w:rPr>
          <w:t>http://dx.doi.org/10.5888/pcd15.180070</w:t>
        </w:r>
      </w:hyperlink>
      <w:r w:rsidRPr="00597617">
        <w:rPr>
          <w:rFonts w:eastAsia="Calibri"/>
          <w:bCs/>
          <w:lang w:val="es-CU" w:eastAsia="en-US"/>
        </w:rPr>
        <w:t xml:space="preserve"> </w:t>
      </w:r>
    </w:p>
    <w:p w14:paraId="3EC96663"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32. Gutiérrez-Tudela JW. La pandemia de la COVID-19 en el Perú: análisis epidemiológico de la primera ola. Revista de la Sociedad Peruana de Medicina Interna. 2021 [acceso: 24/03/2022]; 34(2):51-2. Disponible en: </w:t>
      </w:r>
      <w:hyperlink r:id="rId48" w:history="1">
        <w:r w:rsidRPr="00597617">
          <w:rPr>
            <w:rFonts w:eastAsia="Calibri"/>
            <w:color w:val="0000FF"/>
            <w:u w:val="single"/>
            <w:lang w:val="es-CU" w:eastAsia="en-US"/>
          </w:rPr>
          <w:t>http://revistamedicinainterna.net/index.php/spmi/article/view/595/659</w:t>
        </w:r>
      </w:hyperlink>
      <w:r w:rsidRPr="00597617">
        <w:rPr>
          <w:rFonts w:eastAsia="Calibri"/>
          <w:bCs/>
          <w:lang w:val="es-CU" w:eastAsia="en-US"/>
        </w:rPr>
        <w:t xml:space="preserve"> </w:t>
      </w:r>
    </w:p>
    <w:p w14:paraId="4F69BE07"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lastRenderedPageBreak/>
        <w:t xml:space="preserve">33. Mamani-Condori JB. Habilidades sociales y conductas de riesgo en los adolescentes escolares de la institución educativa secundaria José Antonio Encinas, Juliaca – 2016. [Tesis de grado]. Puno: Universidad Nacional del Altiplano; 2017 [acceso: 24/03/2022]. Disponible en: </w:t>
      </w:r>
      <w:hyperlink r:id="rId49" w:history="1">
        <w:r w:rsidRPr="00597617">
          <w:rPr>
            <w:rFonts w:eastAsia="Calibri"/>
            <w:color w:val="0000FF"/>
            <w:u w:val="single"/>
            <w:lang w:val="es-CU" w:eastAsia="en-US"/>
          </w:rPr>
          <w:t>http://repositorio.unap.edu.pe/handle/UNAP/5538</w:t>
        </w:r>
      </w:hyperlink>
      <w:r w:rsidRPr="00597617">
        <w:rPr>
          <w:rFonts w:eastAsia="Calibri"/>
          <w:bCs/>
          <w:lang w:val="es-CU" w:eastAsia="en-US"/>
        </w:rPr>
        <w:t xml:space="preserve"> </w:t>
      </w:r>
    </w:p>
    <w:p w14:paraId="26ABF91F"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34. Scott SR, Rivera KM, Rushing E, </w:t>
      </w:r>
      <w:proofErr w:type="spellStart"/>
      <w:r w:rsidRPr="00597617">
        <w:rPr>
          <w:rFonts w:eastAsia="Calibri"/>
          <w:bCs/>
          <w:lang w:val="en-US" w:eastAsia="en-US"/>
        </w:rPr>
        <w:t>Manczak</w:t>
      </w:r>
      <w:proofErr w:type="spellEnd"/>
      <w:r w:rsidRPr="00597617">
        <w:rPr>
          <w:rFonts w:eastAsia="Calibri"/>
          <w:bCs/>
          <w:lang w:val="en-US" w:eastAsia="en-US"/>
        </w:rPr>
        <w:t xml:space="preserve"> EM, </w:t>
      </w:r>
      <w:proofErr w:type="spellStart"/>
      <w:r w:rsidRPr="00597617">
        <w:rPr>
          <w:rFonts w:eastAsia="Calibri"/>
          <w:bCs/>
          <w:lang w:val="en-US" w:eastAsia="en-US"/>
        </w:rPr>
        <w:t>Rozek</w:t>
      </w:r>
      <w:proofErr w:type="spellEnd"/>
      <w:r w:rsidRPr="00597617">
        <w:rPr>
          <w:rFonts w:eastAsia="Calibri"/>
          <w:bCs/>
          <w:lang w:val="en-US" w:eastAsia="en-US"/>
        </w:rPr>
        <w:t xml:space="preserve"> CS, Doom JR. “I Hate This”: A Qualitative Analysis of Adolescents’ Self-Reported Challenges During the COVID-19 Pandemic. </w:t>
      </w:r>
      <w:r w:rsidRPr="00597617">
        <w:rPr>
          <w:rFonts w:eastAsia="Calibri"/>
          <w:bCs/>
          <w:lang w:val="es-CU" w:eastAsia="en-US"/>
        </w:rPr>
        <w:t xml:space="preserve">J </w:t>
      </w:r>
      <w:proofErr w:type="spellStart"/>
      <w:r w:rsidRPr="00597617">
        <w:rPr>
          <w:rFonts w:eastAsia="Calibri"/>
          <w:bCs/>
          <w:lang w:val="es-CU" w:eastAsia="en-US"/>
        </w:rPr>
        <w:t>Adolesc</w:t>
      </w:r>
      <w:proofErr w:type="spellEnd"/>
      <w:r w:rsidRPr="00597617">
        <w:rPr>
          <w:rFonts w:eastAsia="Calibri"/>
          <w:bCs/>
          <w:lang w:val="es-CU" w:eastAsia="en-US"/>
        </w:rPr>
        <w:t xml:space="preserve"> </w:t>
      </w:r>
      <w:proofErr w:type="spellStart"/>
      <w:r w:rsidRPr="00597617">
        <w:rPr>
          <w:rFonts w:eastAsia="Calibri"/>
          <w:bCs/>
          <w:lang w:val="es-CU" w:eastAsia="en-US"/>
        </w:rPr>
        <w:t>Health</w:t>
      </w:r>
      <w:proofErr w:type="spellEnd"/>
      <w:r w:rsidRPr="00597617">
        <w:rPr>
          <w:rFonts w:eastAsia="Calibri"/>
          <w:bCs/>
          <w:lang w:val="es-CU" w:eastAsia="en-US"/>
        </w:rPr>
        <w:t xml:space="preserve">. 2021 [acceso: 18/04/2022]; 68(2):262-9.  Disponible en: </w:t>
      </w:r>
      <w:hyperlink r:id="rId50" w:history="1">
        <w:r w:rsidRPr="00597617">
          <w:rPr>
            <w:rFonts w:eastAsia="Calibri"/>
            <w:color w:val="0000FF"/>
            <w:u w:val="single"/>
            <w:lang w:val="es-CU" w:eastAsia="en-US"/>
          </w:rPr>
          <w:t>https://pubmed.ncbi.nlm.nih.gov/33288454/</w:t>
        </w:r>
      </w:hyperlink>
      <w:r w:rsidRPr="00597617">
        <w:rPr>
          <w:rFonts w:eastAsia="Calibri"/>
          <w:bCs/>
          <w:lang w:val="es-CU" w:eastAsia="en-US"/>
        </w:rPr>
        <w:t xml:space="preserve"> </w:t>
      </w:r>
    </w:p>
    <w:p w14:paraId="2E80E74A"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t xml:space="preserve">35. </w:t>
      </w:r>
      <w:proofErr w:type="spellStart"/>
      <w:r w:rsidRPr="00597617">
        <w:rPr>
          <w:rFonts w:eastAsia="Calibri"/>
          <w:bCs/>
          <w:lang w:val="en-US" w:eastAsia="en-US"/>
        </w:rPr>
        <w:t>Mastorci</w:t>
      </w:r>
      <w:proofErr w:type="spellEnd"/>
      <w:r w:rsidRPr="00597617">
        <w:rPr>
          <w:rFonts w:eastAsia="Calibri"/>
          <w:bCs/>
          <w:lang w:val="en-US" w:eastAsia="en-US"/>
        </w:rPr>
        <w:t xml:space="preserve"> F, </w:t>
      </w:r>
      <w:proofErr w:type="spellStart"/>
      <w:r w:rsidRPr="00597617">
        <w:rPr>
          <w:rFonts w:eastAsia="Calibri"/>
          <w:bCs/>
          <w:lang w:val="en-US" w:eastAsia="en-US"/>
        </w:rPr>
        <w:t>Bastiani</w:t>
      </w:r>
      <w:proofErr w:type="spellEnd"/>
      <w:r w:rsidRPr="00597617">
        <w:rPr>
          <w:rFonts w:eastAsia="Calibri"/>
          <w:bCs/>
          <w:lang w:val="en-US" w:eastAsia="en-US"/>
        </w:rPr>
        <w:t xml:space="preserve"> L, </w:t>
      </w:r>
      <w:proofErr w:type="spellStart"/>
      <w:r w:rsidRPr="00597617">
        <w:rPr>
          <w:rFonts w:eastAsia="Calibri"/>
          <w:bCs/>
          <w:lang w:val="en-US" w:eastAsia="en-US"/>
        </w:rPr>
        <w:t>Trivellini</w:t>
      </w:r>
      <w:proofErr w:type="spellEnd"/>
      <w:r w:rsidRPr="00597617">
        <w:rPr>
          <w:rFonts w:eastAsia="Calibri"/>
          <w:bCs/>
          <w:lang w:val="en-US" w:eastAsia="en-US"/>
        </w:rPr>
        <w:t xml:space="preserve"> G, </w:t>
      </w:r>
      <w:proofErr w:type="spellStart"/>
      <w:r w:rsidRPr="00597617">
        <w:rPr>
          <w:rFonts w:eastAsia="Calibri"/>
          <w:bCs/>
          <w:lang w:val="en-US" w:eastAsia="en-US"/>
        </w:rPr>
        <w:t>Doveri</w:t>
      </w:r>
      <w:proofErr w:type="spellEnd"/>
      <w:r w:rsidRPr="00597617">
        <w:rPr>
          <w:rFonts w:eastAsia="Calibri"/>
          <w:bCs/>
          <w:lang w:val="en-US" w:eastAsia="en-US"/>
        </w:rPr>
        <w:t xml:space="preserve"> C, </w:t>
      </w:r>
      <w:proofErr w:type="spellStart"/>
      <w:r w:rsidRPr="00597617">
        <w:rPr>
          <w:rFonts w:eastAsia="Calibri"/>
          <w:bCs/>
          <w:lang w:val="en-US" w:eastAsia="en-US"/>
        </w:rPr>
        <w:t>Casu</w:t>
      </w:r>
      <w:proofErr w:type="spellEnd"/>
      <w:r w:rsidRPr="00597617">
        <w:rPr>
          <w:rFonts w:eastAsia="Calibri"/>
          <w:bCs/>
          <w:lang w:val="en-US" w:eastAsia="en-US"/>
        </w:rPr>
        <w:t xml:space="preserve"> A, </w:t>
      </w:r>
      <w:proofErr w:type="spellStart"/>
      <w:r w:rsidRPr="00597617">
        <w:rPr>
          <w:rFonts w:eastAsia="Calibri"/>
          <w:bCs/>
          <w:lang w:val="en-US" w:eastAsia="en-US"/>
        </w:rPr>
        <w:t>Pozzi</w:t>
      </w:r>
      <w:proofErr w:type="spellEnd"/>
      <w:r w:rsidRPr="00597617">
        <w:rPr>
          <w:rFonts w:eastAsia="Calibri"/>
          <w:bCs/>
          <w:lang w:val="en-US" w:eastAsia="en-US"/>
        </w:rPr>
        <w:t xml:space="preserve"> M et al. Well-Being Perception during COVID-19 Pandemic in Healthy Adolescents: From the Avatar Study. </w:t>
      </w:r>
      <w:proofErr w:type="spellStart"/>
      <w:r w:rsidRPr="00597617">
        <w:rPr>
          <w:rFonts w:eastAsia="Calibri"/>
          <w:bCs/>
          <w:lang w:val="es-CU" w:eastAsia="en-US"/>
        </w:rPr>
        <w:t>Int</w:t>
      </w:r>
      <w:proofErr w:type="spellEnd"/>
      <w:r w:rsidRPr="00597617">
        <w:rPr>
          <w:rFonts w:eastAsia="Calibri"/>
          <w:bCs/>
          <w:lang w:val="es-CU" w:eastAsia="en-US"/>
        </w:rPr>
        <w:t xml:space="preserve"> J </w:t>
      </w:r>
      <w:proofErr w:type="spellStart"/>
      <w:r w:rsidRPr="00597617">
        <w:rPr>
          <w:rFonts w:eastAsia="Calibri"/>
          <w:bCs/>
          <w:lang w:val="es-CU" w:eastAsia="en-US"/>
        </w:rPr>
        <w:t>Environ</w:t>
      </w:r>
      <w:proofErr w:type="spellEnd"/>
      <w:r w:rsidRPr="00597617">
        <w:rPr>
          <w:rFonts w:eastAsia="Calibri"/>
          <w:bCs/>
          <w:lang w:val="es-CU" w:eastAsia="en-US"/>
        </w:rPr>
        <w:t xml:space="preserve"> Res </w:t>
      </w:r>
      <w:proofErr w:type="spellStart"/>
      <w:r w:rsidRPr="00597617">
        <w:rPr>
          <w:rFonts w:eastAsia="Calibri"/>
          <w:bCs/>
          <w:lang w:val="es-CU" w:eastAsia="en-US"/>
        </w:rPr>
        <w:t>Public</w:t>
      </w:r>
      <w:proofErr w:type="spellEnd"/>
      <w:r w:rsidRPr="00597617">
        <w:rPr>
          <w:rFonts w:eastAsia="Calibri"/>
          <w:bCs/>
          <w:lang w:val="es-CU" w:eastAsia="en-US"/>
        </w:rPr>
        <w:t xml:space="preserve"> </w:t>
      </w:r>
      <w:proofErr w:type="spellStart"/>
      <w:r w:rsidRPr="00597617">
        <w:rPr>
          <w:rFonts w:eastAsia="Calibri"/>
          <w:bCs/>
          <w:lang w:val="es-CU" w:eastAsia="en-US"/>
        </w:rPr>
        <w:t>Health</w:t>
      </w:r>
      <w:proofErr w:type="spellEnd"/>
      <w:r w:rsidRPr="00597617">
        <w:rPr>
          <w:rFonts w:eastAsia="Calibri"/>
          <w:bCs/>
          <w:lang w:val="es-CU" w:eastAsia="en-US"/>
        </w:rPr>
        <w:t xml:space="preserve">. 2021 [acceso: 24/03/2022]; 18(12):6388. Disponible en: </w:t>
      </w:r>
      <w:hyperlink r:id="rId51" w:history="1">
        <w:r w:rsidRPr="00597617">
          <w:rPr>
            <w:rFonts w:eastAsia="Calibri"/>
            <w:color w:val="0000FF"/>
            <w:u w:val="single"/>
            <w:lang w:val="es-CU" w:eastAsia="en-US"/>
          </w:rPr>
          <w:t>https://pubmed.ncbi.nlm.nih.gov/34204811/</w:t>
        </w:r>
      </w:hyperlink>
      <w:r w:rsidRPr="00597617">
        <w:rPr>
          <w:rFonts w:eastAsia="Calibri"/>
          <w:bCs/>
          <w:lang w:val="es-CU" w:eastAsia="en-US"/>
        </w:rPr>
        <w:t xml:space="preserve">  </w:t>
      </w:r>
    </w:p>
    <w:p w14:paraId="2235D13C"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36. Alonso-Castillo MM, </w:t>
      </w:r>
      <w:proofErr w:type="spellStart"/>
      <w:r w:rsidRPr="00597617">
        <w:rPr>
          <w:rFonts w:eastAsia="Calibri"/>
          <w:bCs/>
          <w:lang w:val="es-CU" w:eastAsia="en-US"/>
        </w:rPr>
        <w:t>Yañez</w:t>
      </w:r>
      <w:proofErr w:type="spellEnd"/>
      <w:r w:rsidRPr="00597617">
        <w:rPr>
          <w:rFonts w:eastAsia="Calibri"/>
          <w:bCs/>
          <w:lang w:val="es-CU" w:eastAsia="en-US"/>
        </w:rPr>
        <w:t xml:space="preserve">-Lozano A, Armendáriz-García NA. Funcionalidad familiar y consumo de alcohol en adolescentes de secundaria. Salud y drogas. 2017 [acceso: 24/03/2022]; 17(1):87-96. Disponible en: </w:t>
      </w:r>
      <w:hyperlink r:id="rId52" w:history="1">
        <w:r w:rsidRPr="00597617">
          <w:rPr>
            <w:rFonts w:eastAsia="Calibri"/>
            <w:color w:val="0000FF"/>
            <w:u w:val="single"/>
            <w:lang w:val="es-CU" w:eastAsia="en-US"/>
          </w:rPr>
          <w:t>https://ojs.haaj.org/?journal=haaj&amp;page=article&amp;op=view&amp;path%5B%5D=286</w:t>
        </w:r>
      </w:hyperlink>
      <w:r w:rsidRPr="00597617">
        <w:rPr>
          <w:rFonts w:eastAsia="Calibri"/>
          <w:bCs/>
          <w:lang w:val="es-CU" w:eastAsia="en-US"/>
        </w:rPr>
        <w:t xml:space="preserve"> </w:t>
      </w:r>
    </w:p>
    <w:p w14:paraId="05A8ABFD"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37. Basurto-Milla MJ. Funcionamiento familiar en adolescentes de una institución educativa pública en la Provincia de Huaraz – 2018. [Tesis de grado]. Lima: Universidad Nacional Federico Villareal; 2019 [acceso: 19/02/2022]. Disponible en: </w:t>
      </w:r>
      <w:hyperlink r:id="rId53" w:history="1">
        <w:r w:rsidRPr="00597617">
          <w:rPr>
            <w:rFonts w:eastAsia="Calibri"/>
            <w:color w:val="0000FF"/>
            <w:u w:val="single"/>
            <w:lang w:val="es-CU" w:eastAsia="en-US"/>
          </w:rPr>
          <w:t>http://repositorio.unfv.edu.pe/handle/UNFV/3112</w:t>
        </w:r>
      </w:hyperlink>
      <w:r w:rsidRPr="00597617">
        <w:rPr>
          <w:rFonts w:eastAsia="Calibri"/>
          <w:bCs/>
          <w:lang w:val="es-CU" w:eastAsia="en-US"/>
        </w:rPr>
        <w:t xml:space="preserve"> </w:t>
      </w:r>
    </w:p>
    <w:p w14:paraId="32DABD70" w14:textId="77777777" w:rsidR="00597617" w:rsidRPr="00597617" w:rsidRDefault="00597617" w:rsidP="00597617">
      <w:pPr>
        <w:spacing w:line="360" w:lineRule="auto"/>
        <w:rPr>
          <w:rFonts w:eastAsia="Calibri"/>
          <w:bCs/>
          <w:lang w:val="en-US" w:eastAsia="en-US"/>
        </w:rPr>
      </w:pPr>
      <w:r w:rsidRPr="00597617">
        <w:rPr>
          <w:rFonts w:eastAsia="Calibri"/>
          <w:bCs/>
          <w:lang w:val="es-CU" w:eastAsia="en-US"/>
        </w:rPr>
        <w:t xml:space="preserve">38. Barragán-Martín AB, Molero-Jurado MDM, Pérez-Fuentes MDC, Oropesa-Ruiz NF, Martos-Martínez Á, Simón-Márquez MDM et al. </w:t>
      </w:r>
      <w:r w:rsidRPr="00597617">
        <w:rPr>
          <w:rFonts w:eastAsia="Calibri"/>
          <w:bCs/>
          <w:lang w:val="en-US" w:eastAsia="en-US"/>
        </w:rPr>
        <w:t>Interpersonal Support, Emotional Intelligence and Family Function in Adolescence. Int J Environ Res Public Health. 2021 [</w:t>
      </w:r>
      <w:proofErr w:type="spellStart"/>
      <w:r w:rsidRPr="00597617">
        <w:rPr>
          <w:rFonts w:eastAsia="Calibri"/>
          <w:bCs/>
          <w:lang w:val="en-US" w:eastAsia="en-US"/>
        </w:rPr>
        <w:t>acceso</w:t>
      </w:r>
      <w:proofErr w:type="spellEnd"/>
      <w:r w:rsidRPr="00597617">
        <w:rPr>
          <w:rFonts w:eastAsia="Calibri"/>
          <w:bCs/>
          <w:lang w:val="en-US" w:eastAsia="en-US"/>
        </w:rPr>
        <w:t xml:space="preserve">: 18/04/2022]; 18(10):5145.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54" w:history="1">
        <w:r w:rsidRPr="00597617">
          <w:rPr>
            <w:rFonts w:eastAsia="Calibri"/>
            <w:bCs/>
            <w:color w:val="0000FF"/>
            <w:u w:val="single"/>
            <w:lang w:val="en-US" w:eastAsia="en-US"/>
          </w:rPr>
          <w:t>http://dx.doi.org/10.3390/ijerph18105145</w:t>
        </w:r>
      </w:hyperlink>
      <w:r w:rsidRPr="00597617">
        <w:rPr>
          <w:rFonts w:eastAsia="Calibri"/>
          <w:bCs/>
          <w:lang w:val="en-US" w:eastAsia="en-US"/>
        </w:rPr>
        <w:t xml:space="preserve"> </w:t>
      </w:r>
    </w:p>
    <w:p w14:paraId="0CA231D4" w14:textId="77777777" w:rsidR="00597617" w:rsidRPr="00597617" w:rsidRDefault="00597617" w:rsidP="00597617">
      <w:pPr>
        <w:spacing w:line="360" w:lineRule="auto"/>
        <w:rPr>
          <w:rFonts w:eastAsia="Calibri"/>
          <w:bCs/>
          <w:lang w:val="en-US" w:eastAsia="en-US"/>
        </w:rPr>
      </w:pPr>
      <w:r w:rsidRPr="00597617">
        <w:rPr>
          <w:rFonts w:eastAsia="Calibri"/>
          <w:bCs/>
          <w:lang w:val="en-US" w:eastAsia="en-US"/>
        </w:rPr>
        <w:t xml:space="preserve">39. </w:t>
      </w:r>
      <w:proofErr w:type="spellStart"/>
      <w:r w:rsidRPr="00597617">
        <w:rPr>
          <w:rFonts w:eastAsia="Calibri"/>
          <w:bCs/>
          <w:lang w:val="en-US" w:eastAsia="en-US"/>
        </w:rPr>
        <w:t>Monin</w:t>
      </w:r>
      <w:proofErr w:type="spellEnd"/>
      <w:r w:rsidRPr="00597617">
        <w:rPr>
          <w:rFonts w:eastAsia="Calibri"/>
          <w:bCs/>
          <w:lang w:val="en-US" w:eastAsia="en-US"/>
        </w:rPr>
        <w:t xml:space="preserve"> JK, Ali T, Syed S, </w:t>
      </w:r>
      <w:proofErr w:type="spellStart"/>
      <w:r w:rsidRPr="00597617">
        <w:rPr>
          <w:rFonts w:eastAsia="Calibri"/>
          <w:bCs/>
          <w:lang w:val="en-US" w:eastAsia="en-US"/>
        </w:rPr>
        <w:t>Piechota</w:t>
      </w:r>
      <w:proofErr w:type="spellEnd"/>
      <w:r w:rsidRPr="00597617">
        <w:rPr>
          <w:rFonts w:eastAsia="Calibri"/>
          <w:bCs/>
          <w:lang w:val="en-US" w:eastAsia="en-US"/>
        </w:rPr>
        <w:t xml:space="preserve"> A, Lepore M, </w:t>
      </w:r>
      <w:proofErr w:type="spellStart"/>
      <w:r w:rsidRPr="00597617">
        <w:rPr>
          <w:rFonts w:eastAsia="Calibri"/>
          <w:bCs/>
          <w:lang w:val="en-US" w:eastAsia="en-US"/>
        </w:rPr>
        <w:t>Mourgues</w:t>
      </w:r>
      <w:proofErr w:type="spellEnd"/>
      <w:r w:rsidRPr="00597617">
        <w:rPr>
          <w:rFonts w:eastAsia="Calibri"/>
          <w:bCs/>
          <w:lang w:val="en-US" w:eastAsia="en-US"/>
        </w:rPr>
        <w:t xml:space="preserve"> C, et al. Family Communication in Long-Term Care During a Pandemic: Lessons for Enhancing Emotional Experiences. Am J </w:t>
      </w:r>
      <w:proofErr w:type="spellStart"/>
      <w:r w:rsidRPr="00597617">
        <w:rPr>
          <w:rFonts w:eastAsia="Calibri"/>
          <w:bCs/>
          <w:lang w:val="en-US" w:eastAsia="en-US"/>
        </w:rPr>
        <w:t>Geriatr</w:t>
      </w:r>
      <w:proofErr w:type="spellEnd"/>
      <w:r w:rsidRPr="00597617">
        <w:rPr>
          <w:rFonts w:eastAsia="Calibri"/>
          <w:bCs/>
          <w:lang w:val="en-US" w:eastAsia="en-US"/>
        </w:rPr>
        <w:t xml:space="preserve"> Psychiatry. 2020 [</w:t>
      </w:r>
      <w:proofErr w:type="spellStart"/>
      <w:r w:rsidRPr="00597617">
        <w:rPr>
          <w:rFonts w:eastAsia="Calibri"/>
          <w:bCs/>
          <w:lang w:val="en-US" w:eastAsia="en-US"/>
        </w:rPr>
        <w:t>acceso</w:t>
      </w:r>
      <w:proofErr w:type="spellEnd"/>
      <w:r w:rsidRPr="00597617">
        <w:rPr>
          <w:rFonts w:eastAsia="Calibri"/>
          <w:bCs/>
          <w:lang w:val="en-US" w:eastAsia="en-US"/>
        </w:rPr>
        <w:t xml:space="preserve">: 24/03/2022]; 28(12):1299-1307. Disponible </w:t>
      </w:r>
      <w:proofErr w:type="spellStart"/>
      <w:r w:rsidRPr="00597617">
        <w:rPr>
          <w:rFonts w:eastAsia="Calibri"/>
          <w:bCs/>
          <w:lang w:val="en-US" w:eastAsia="en-US"/>
        </w:rPr>
        <w:t>en</w:t>
      </w:r>
      <w:proofErr w:type="spellEnd"/>
      <w:r w:rsidRPr="00597617">
        <w:rPr>
          <w:rFonts w:eastAsia="Calibri"/>
          <w:bCs/>
          <w:lang w:val="en-US" w:eastAsia="en-US"/>
        </w:rPr>
        <w:t xml:space="preserve">: </w:t>
      </w:r>
      <w:hyperlink r:id="rId55" w:history="1">
        <w:r w:rsidRPr="00597617">
          <w:rPr>
            <w:rFonts w:eastAsia="Calibri"/>
            <w:bCs/>
            <w:color w:val="0000FF"/>
            <w:u w:val="single"/>
            <w:lang w:val="en-US" w:eastAsia="en-US"/>
          </w:rPr>
          <w:t>http://dx.doi.org/10.1016/j.jagp.2020.09.008</w:t>
        </w:r>
      </w:hyperlink>
      <w:r w:rsidRPr="00597617">
        <w:rPr>
          <w:rFonts w:eastAsia="Calibri"/>
          <w:bCs/>
          <w:lang w:val="en-US" w:eastAsia="en-US"/>
        </w:rPr>
        <w:t xml:space="preserve"> </w:t>
      </w:r>
    </w:p>
    <w:p w14:paraId="455E5813" w14:textId="77777777" w:rsidR="00597617" w:rsidRPr="00597617" w:rsidRDefault="00597617" w:rsidP="00597617">
      <w:pPr>
        <w:spacing w:line="360" w:lineRule="auto"/>
        <w:rPr>
          <w:rFonts w:eastAsia="Calibri"/>
          <w:bCs/>
          <w:lang w:val="es-CU" w:eastAsia="en-US"/>
        </w:rPr>
      </w:pPr>
      <w:r w:rsidRPr="00597617">
        <w:rPr>
          <w:rFonts w:eastAsia="Calibri"/>
          <w:bCs/>
          <w:lang w:val="en-US" w:eastAsia="en-US"/>
        </w:rPr>
        <w:lastRenderedPageBreak/>
        <w:t xml:space="preserve">40. Reddy BV, Gupta A. Importance of effective communication during COVID-19 </w:t>
      </w:r>
      <w:proofErr w:type="spellStart"/>
      <w:r w:rsidRPr="00597617">
        <w:rPr>
          <w:rFonts w:eastAsia="Calibri"/>
          <w:bCs/>
          <w:lang w:val="en-US" w:eastAsia="en-US"/>
        </w:rPr>
        <w:t>infodemic</w:t>
      </w:r>
      <w:proofErr w:type="spellEnd"/>
      <w:r w:rsidRPr="00597617">
        <w:rPr>
          <w:rFonts w:eastAsia="Calibri"/>
          <w:bCs/>
          <w:lang w:val="en-US" w:eastAsia="en-US"/>
        </w:rPr>
        <w:t xml:space="preserve">. </w:t>
      </w:r>
      <w:r w:rsidRPr="00597617">
        <w:rPr>
          <w:rFonts w:eastAsia="Calibri"/>
          <w:bCs/>
          <w:lang w:val="es-CU" w:eastAsia="en-US"/>
        </w:rPr>
        <w:t xml:space="preserve">J </w:t>
      </w:r>
      <w:proofErr w:type="spellStart"/>
      <w:r w:rsidRPr="00597617">
        <w:rPr>
          <w:rFonts w:eastAsia="Calibri"/>
          <w:bCs/>
          <w:lang w:val="es-CU" w:eastAsia="en-US"/>
        </w:rPr>
        <w:t>Family</w:t>
      </w:r>
      <w:proofErr w:type="spellEnd"/>
      <w:r w:rsidRPr="00597617">
        <w:rPr>
          <w:rFonts w:eastAsia="Calibri"/>
          <w:bCs/>
          <w:lang w:val="es-CU" w:eastAsia="en-US"/>
        </w:rPr>
        <w:t xml:space="preserve"> </w:t>
      </w:r>
      <w:proofErr w:type="spellStart"/>
      <w:r w:rsidRPr="00597617">
        <w:rPr>
          <w:rFonts w:eastAsia="Calibri"/>
          <w:bCs/>
          <w:lang w:val="es-CU" w:eastAsia="en-US"/>
        </w:rPr>
        <w:t>Med</w:t>
      </w:r>
      <w:proofErr w:type="spellEnd"/>
      <w:r w:rsidRPr="00597617">
        <w:rPr>
          <w:rFonts w:eastAsia="Calibri"/>
          <w:bCs/>
          <w:lang w:val="es-CU" w:eastAsia="en-US"/>
        </w:rPr>
        <w:t xml:space="preserve"> Prim Care. 2020 [acceso: 24/03/2022]; 9(8):3793-6. Disponible en: </w:t>
      </w:r>
      <w:hyperlink r:id="rId56" w:history="1">
        <w:r w:rsidRPr="00597617">
          <w:rPr>
            <w:rFonts w:eastAsia="Calibri"/>
            <w:color w:val="0000FF"/>
            <w:u w:val="single"/>
            <w:lang w:val="es-CU" w:eastAsia="en-US"/>
          </w:rPr>
          <w:t>http://dx.doi.org/10.4103/jfmpc.jfmpc_719_20</w:t>
        </w:r>
      </w:hyperlink>
      <w:r w:rsidRPr="00597617">
        <w:rPr>
          <w:rFonts w:eastAsia="Calibri"/>
          <w:bCs/>
          <w:lang w:val="es-CU" w:eastAsia="en-US"/>
        </w:rPr>
        <w:t xml:space="preserve"> </w:t>
      </w:r>
    </w:p>
    <w:p w14:paraId="4F65A45F"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41. Anaya-</w:t>
      </w:r>
      <w:proofErr w:type="spellStart"/>
      <w:r w:rsidRPr="00597617">
        <w:rPr>
          <w:rFonts w:eastAsia="Calibri"/>
          <w:bCs/>
          <w:lang w:val="es-CU" w:eastAsia="en-US"/>
        </w:rPr>
        <w:t>Uscamayta</w:t>
      </w:r>
      <w:proofErr w:type="spellEnd"/>
      <w:r w:rsidRPr="00597617">
        <w:rPr>
          <w:rFonts w:eastAsia="Calibri"/>
          <w:bCs/>
          <w:lang w:val="es-CU" w:eastAsia="en-US"/>
        </w:rPr>
        <w:t xml:space="preserve"> E. Funcionalidad familiar y estilos de crianza en adolescentes de Carabaya - Perú, 2021. [Tesis de grado]. Lima: Universidad Peruana Unión; 2021 [acceso: 10/03/2022]. Disponible en: </w:t>
      </w:r>
      <w:hyperlink r:id="rId57" w:history="1">
        <w:r w:rsidRPr="00597617">
          <w:rPr>
            <w:rFonts w:eastAsia="Calibri"/>
            <w:color w:val="0000FF"/>
            <w:u w:val="single"/>
            <w:lang w:val="es-CU" w:eastAsia="en-US"/>
          </w:rPr>
          <w:t>https://repositorio.upeu.edu.pe/handle/20.500.12840/4722</w:t>
        </w:r>
      </w:hyperlink>
      <w:r w:rsidRPr="00597617">
        <w:rPr>
          <w:rFonts w:eastAsia="Calibri"/>
          <w:bCs/>
          <w:lang w:val="es-CU" w:eastAsia="en-US"/>
        </w:rPr>
        <w:t xml:space="preserve">  </w:t>
      </w:r>
    </w:p>
    <w:p w14:paraId="095FB7B1"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42. Higuita-Gutiérrez LF, Cardona-Arias JA. Percepción de funcionalidad familiar en adolescentes escolarizados en instituciones educativas públicas de Medellín (Colombia), 2014. </w:t>
      </w:r>
      <w:proofErr w:type="spellStart"/>
      <w:r w:rsidRPr="00597617">
        <w:rPr>
          <w:rFonts w:eastAsia="Calibri"/>
          <w:bCs/>
          <w:lang w:val="es-CU" w:eastAsia="en-US"/>
        </w:rPr>
        <w:t>Rev</w:t>
      </w:r>
      <w:proofErr w:type="spellEnd"/>
      <w:r w:rsidRPr="00597617">
        <w:rPr>
          <w:rFonts w:eastAsia="Calibri"/>
          <w:bCs/>
          <w:lang w:val="es-CU" w:eastAsia="en-US"/>
        </w:rPr>
        <w:t xml:space="preserve"> CES </w:t>
      </w:r>
      <w:proofErr w:type="spellStart"/>
      <w:r w:rsidRPr="00597617">
        <w:rPr>
          <w:rFonts w:eastAsia="Calibri"/>
          <w:bCs/>
          <w:lang w:val="es-CU" w:eastAsia="en-US"/>
        </w:rPr>
        <w:t>Psicol</w:t>
      </w:r>
      <w:proofErr w:type="spellEnd"/>
      <w:r w:rsidRPr="00597617">
        <w:rPr>
          <w:rFonts w:eastAsia="Calibri"/>
          <w:bCs/>
          <w:lang w:val="es-CU" w:eastAsia="en-US"/>
        </w:rPr>
        <w:t xml:space="preserve">. 2014 [acceso: 18/04/2022]; 9(2):167-78. Disponible en: </w:t>
      </w:r>
      <w:hyperlink r:id="rId58" w:history="1">
        <w:r w:rsidRPr="00597617">
          <w:rPr>
            <w:rFonts w:eastAsia="Calibri"/>
            <w:color w:val="0000FF"/>
            <w:u w:val="single"/>
            <w:lang w:val="es-CU" w:eastAsia="en-US"/>
          </w:rPr>
          <w:t>https://revistas.ces.edu.co/index.php/psicologia/article/view/3600</w:t>
        </w:r>
      </w:hyperlink>
      <w:r w:rsidRPr="00597617">
        <w:rPr>
          <w:rFonts w:eastAsia="Calibri"/>
          <w:bCs/>
          <w:lang w:val="es-CU" w:eastAsia="en-US"/>
        </w:rPr>
        <w:t xml:space="preserve"> </w:t>
      </w:r>
    </w:p>
    <w:p w14:paraId="3816B959" w14:textId="77777777" w:rsidR="00597617" w:rsidRPr="00597617" w:rsidRDefault="00597617" w:rsidP="00597617">
      <w:pPr>
        <w:spacing w:line="360" w:lineRule="auto"/>
        <w:rPr>
          <w:rFonts w:eastAsia="Calibri"/>
          <w:bCs/>
          <w:lang w:val="es-CU" w:eastAsia="en-US"/>
        </w:rPr>
      </w:pPr>
      <w:r w:rsidRPr="00597617">
        <w:rPr>
          <w:rFonts w:eastAsia="Calibri"/>
          <w:bCs/>
          <w:lang w:val="es-CU" w:eastAsia="en-US"/>
        </w:rPr>
        <w:t xml:space="preserve">43. García-Rojas SJ. Funcionalidad familiar y embarazo en adolescentes usuarias del Hospital de Apoyo Junín – 2017. [Tesis de grado]. Huancayo: Universidad Nacional del Centro del Perú; 2019 [acceso: 18/04/2022]. Disponible en: </w:t>
      </w:r>
      <w:hyperlink r:id="rId59" w:history="1">
        <w:r w:rsidRPr="00597617">
          <w:rPr>
            <w:rFonts w:eastAsia="Calibri"/>
            <w:color w:val="0000FF"/>
            <w:u w:val="single"/>
            <w:lang w:val="es-CU" w:eastAsia="en-US"/>
          </w:rPr>
          <w:t>https://repositorio.uncp.edu.pe/handle/20.500.12894/6204</w:t>
        </w:r>
      </w:hyperlink>
      <w:r w:rsidRPr="00597617">
        <w:rPr>
          <w:rFonts w:eastAsia="Calibri"/>
          <w:bCs/>
          <w:lang w:val="es-CU" w:eastAsia="en-US"/>
        </w:rPr>
        <w:t xml:space="preserve"> </w:t>
      </w:r>
    </w:p>
    <w:p w14:paraId="5AD16013" w14:textId="77777777" w:rsidR="00597617" w:rsidRPr="00597617" w:rsidRDefault="00597617" w:rsidP="00597617">
      <w:pPr>
        <w:spacing w:line="360" w:lineRule="auto"/>
        <w:jc w:val="center"/>
        <w:rPr>
          <w:rFonts w:eastAsia="Calibri"/>
          <w:lang w:val="es-PE" w:eastAsia="en-US"/>
        </w:rPr>
      </w:pPr>
      <w:bookmarkStart w:id="0" w:name="_Hlk101948762"/>
    </w:p>
    <w:p w14:paraId="2D5FA374" w14:textId="77777777" w:rsidR="00597617" w:rsidRPr="00597617" w:rsidRDefault="00597617" w:rsidP="00597617">
      <w:pPr>
        <w:spacing w:line="360" w:lineRule="auto"/>
        <w:ind w:left="360"/>
        <w:rPr>
          <w:rFonts w:eastAsia="Calibri"/>
          <w:lang w:val="es-PE" w:eastAsia="en-US"/>
        </w:rPr>
      </w:pPr>
    </w:p>
    <w:p w14:paraId="490E57DB" w14:textId="77777777" w:rsidR="00597617" w:rsidRPr="00597617" w:rsidRDefault="00597617" w:rsidP="00597617">
      <w:pPr>
        <w:pBdr>
          <w:top w:val="nil"/>
          <w:left w:val="nil"/>
          <w:bottom w:val="nil"/>
          <w:right w:val="nil"/>
          <w:between w:val="nil"/>
        </w:pBdr>
        <w:spacing w:line="360" w:lineRule="auto"/>
        <w:jc w:val="center"/>
        <w:rPr>
          <w:b/>
          <w:bCs/>
          <w:lang w:val="es-AR" w:eastAsia="en-US"/>
        </w:rPr>
      </w:pPr>
      <w:r w:rsidRPr="00597617">
        <w:rPr>
          <w:b/>
          <w:bCs/>
          <w:lang w:val="es-AR" w:eastAsia="en-US"/>
        </w:rPr>
        <w:t>Conflictos de interés</w:t>
      </w:r>
    </w:p>
    <w:p w14:paraId="464D47AC" w14:textId="77777777" w:rsidR="00597617" w:rsidRPr="00597617" w:rsidRDefault="00597617" w:rsidP="00597617">
      <w:pPr>
        <w:pBdr>
          <w:top w:val="nil"/>
          <w:left w:val="nil"/>
          <w:bottom w:val="nil"/>
          <w:right w:val="nil"/>
          <w:between w:val="nil"/>
        </w:pBdr>
        <w:spacing w:line="360" w:lineRule="auto"/>
        <w:jc w:val="both"/>
        <w:rPr>
          <w:lang w:val="es-AR" w:eastAsia="en-US"/>
        </w:rPr>
      </w:pPr>
      <w:r w:rsidRPr="00597617">
        <w:rPr>
          <w:lang w:val="es-AR" w:eastAsia="en-US"/>
        </w:rPr>
        <w:t>Los autores declaran no tener ningún conflicto de interés.</w:t>
      </w:r>
    </w:p>
    <w:p w14:paraId="1DC36688" w14:textId="77777777" w:rsidR="00597617" w:rsidRPr="00597617" w:rsidRDefault="00597617" w:rsidP="00597617">
      <w:pPr>
        <w:pBdr>
          <w:top w:val="nil"/>
          <w:left w:val="nil"/>
          <w:bottom w:val="nil"/>
          <w:right w:val="nil"/>
          <w:between w:val="nil"/>
        </w:pBdr>
        <w:spacing w:line="360" w:lineRule="auto"/>
        <w:jc w:val="both"/>
        <w:rPr>
          <w:lang w:val="es-AR" w:eastAsia="en-US"/>
        </w:rPr>
      </w:pPr>
    </w:p>
    <w:p w14:paraId="6C412919" w14:textId="77777777" w:rsidR="00597617" w:rsidRPr="00597617" w:rsidRDefault="00597617" w:rsidP="00597617">
      <w:pPr>
        <w:pBdr>
          <w:top w:val="nil"/>
          <w:left w:val="nil"/>
          <w:bottom w:val="nil"/>
          <w:right w:val="nil"/>
          <w:between w:val="nil"/>
        </w:pBdr>
        <w:spacing w:line="360" w:lineRule="auto"/>
        <w:jc w:val="center"/>
        <w:rPr>
          <w:b/>
          <w:bCs/>
          <w:lang w:val="es-AR" w:eastAsia="en-US"/>
        </w:rPr>
      </w:pPr>
      <w:r w:rsidRPr="00597617">
        <w:rPr>
          <w:b/>
          <w:bCs/>
          <w:lang w:val="es-AR" w:eastAsia="en-US"/>
        </w:rPr>
        <w:t>Contribuciones de los autores</w:t>
      </w:r>
    </w:p>
    <w:bookmarkEnd w:id="0"/>
    <w:p w14:paraId="1AD29F0B" w14:textId="77777777" w:rsidR="00597617" w:rsidRPr="00597617" w:rsidRDefault="00597617" w:rsidP="003D6608">
      <w:pPr>
        <w:spacing w:line="360" w:lineRule="auto"/>
        <w:rPr>
          <w:b/>
          <w:bCs/>
          <w:i/>
          <w:iCs/>
          <w:lang w:val="es-AR" w:eastAsia="en-US"/>
        </w:rPr>
      </w:pPr>
      <w:r w:rsidRPr="00597617">
        <w:rPr>
          <w:lang w:val="es-AR" w:eastAsia="en-US"/>
        </w:rPr>
        <w:t xml:space="preserve"> Conceptualización: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1D2C1F52" w14:textId="77777777" w:rsidR="00597617" w:rsidRPr="00597617" w:rsidRDefault="00597617" w:rsidP="003D6608">
      <w:pPr>
        <w:spacing w:line="360" w:lineRule="auto"/>
        <w:rPr>
          <w:rFonts w:eastAsia="Arial"/>
          <w:i/>
          <w:lang w:val="es-AR" w:eastAsia="en-US"/>
        </w:rPr>
      </w:pPr>
      <w:r w:rsidRPr="00597617">
        <w:rPr>
          <w:lang w:val="es-AR" w:eastAsia="en-US"/>
        </w:rPr>
        <w:t xml:space="preserve">Análisis formal: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40BA5AB7" w14:textId="77777777" w:rsidR="00597617" w:rsidRPr="00597617" w:rsidRDefault="00597617" w:rsidP="003D6608">
      <w:pPr>
        <w:spacing w:line="360" w:lineRule="auto"/>
        <w:rPr>
          <w:rFonts w:eastAsia="Arial"/>
          <w:i/>
          <w:lang w:val="es-AR" w:eastAsia="en-US"/>
        </w:rPr>
      </w:pPr>
      <w:r w:rsidRPr="00597617">
        <w:rPr>
          <w:lang w:val="es-AR" w:eastAsia="en-US"/>
        </w:rPr>
        <w:t>Investigación:</w:t>
      </w:r>
      <w:r w:rsidRPr="00597617">
        <w:rPr>
          <w:rFonts w:eastAsia="Calibri"/>
          <w:i/>
          <w:iCs/>
          <w:lang w:val="es-PE" w:eastAsia="en-US"/>
        </w:rPr>
        <w:t xml:space="preserve"> 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4836F4B9" w14:textId="77777777" w:rsidR="00597617" w:rsidRPr="00597617" w:rsidRDefault="00597617" w:rsidP="003D6608">
      <w:pPr>
        <w:spacing w:line="360" w:lineRule="auto"/>
        <w:rPr>
          <w:rFonts w:eastAsia="Arial"/>
          <w:i/>
          <w:lang w:val="es-AR" w:eastAsia="en-US"/>
        </w:rPr>
      </w:pPr>
      <w:r w:rsidRPr="00597617">
        <w:rPr>
          <w:lang w:val="es-AR" w:eastAsia="en-US"/>
        </w:rPr>
        <w:t>Metodología:</w:t>
      </w:r>
      <w:r w:rsidRPr="00597617">
        <w:rPr>
          <w:rFonts w:eastAsia="Calibri"/>
          <w:i/>
          <w:iCs/>
          <w:lang w:val="es-PE" w:eastAsia="en-US"/>
        </w:rPr>
        <w:t xml:space="preserve"> 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7F5739AA" w14:textId="77777777" w:rsidR="00597617" w:rsidRPr="00597617" w:rsidRDefault="00597617" w:rsidP="003D6608">
      <w:pPr>
        <w:spacing w:line="360" w:lineRule="auto"/>
        <w:rPr>
          <w:rFonts w:eastAsia="Arial"/>
          <w:i/>
          <w:lang w:val="es-AR" w:eastAsia="en-US"/>
        </w:rPr>
      </w:pPr>
      <w:r w:rsidRPr="00597617">
        <w:rPr>
          <w:lang w:val="es-AR" w:eastAsia="en-US"/>
        </w:rPr>
        <w:lastRenderedPageBreak/>
        <w:t xml:space="preserve">Administración del proyecto: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504C3481" w14:textId="77777777" w:rsidR="00597617" w:rsidRPr="00597617" w:rsidRDefault="00597617" w:rsidP="003D6608">
      <w:pPr>
        <w:spacing w:line="360" w:lineRule="auto"/>
        <w:rPr>
          <w:rFonts w:eastAsia="Arial"/>
          <w:i/>
          <w:lang w:val="es-AR" w:eastAsia="en-US"/>
        </w:rPr>
      </w:pPr>
      <w:r w:rsidRPr="00597617">
        <w:rPr>
          <w:lang w:val="es-AR" w:eastAsia="en-US"/>
        </w:rPr>
        <w:t xml:space="preserve">Recursos: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16871B8C" w14:textId="77777777" w:rsidR="00597617" w:rsidRPr="00597617" w:rsidRDefault="00597617" w:rsidP="003D6608">
      <w:pPr>
        <w:spacing w:line="360" w:lineRule="auto"/>
        <w:rPr>
          <w:rFonts w:eastAsia="Arial"/>
          <w:i/>
          <w:lang w:val="es-AR" w:eastAsia="en-US"/>
        </w:rPr>
      </w:pPr>
      <w:r w:rsidRPr="00597617">
        <w:rPr>
          <w:lang w:val="es-AR" w:eastAsia="en-US"/>
        </w:rPr>
        <w:t xml:space="preserve">Software: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583885CD" w14:textId="77777777" w:rsidR="00597617" w:rsidRPr="00597617" w:rsidRDefault="00597617" w:rsidP="003D6608">
      <w:pPr>
        <w:spacing w:line="360" w:lineRule="auto"/>
        <w:rPr>
          <w:rFonts w:eastAsia="Arial"/>
          <w:i/>
          <w:lang w:val="es-AR" w:eastAsia="en-US"/>
        </w:rPr>
      </w:pPr>
      <w:r w:rsidRPr="00597617">
        <w:rPr>
          <w:lang w:val="es-AR" w:eastAsia="en-US"/>
        </w:rPr>
        <w:t>Supervisión:</w:t>
      </w:r>
      <w:r w:rsidRPr="00597617">
        <w:rPr>
          <w:rFonts w:eastAsia="Calibri"/>
          <w:i/>
          <w:iCs/>
          <w:lang w:val="es-PE" w:eastAsia="en-US"/>
        </w:rPr>
        <w:t xml:space="preserve"> 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0B71EF4E" w14:textId="77777777" w:rsidR="00597617" w:rsidRPr="00597617" w:rsidRDefault="00597617" w:rsidP="003D6608">
      <w:pPr>
        <w:spacing w:line="360" w:lineRule="auto"/>
        <w:rPr>
          <w:rFonts w:eastAsia="Arial"/>
          <w:i/>
          <w:lang w:val="es-AR" w:eastAsia="en-US"/>
        </w:rPr>
      </w:pPr>
      <w:r w:rsidRPr="00597617">
        <w:rPr>
          <w:lang w:val="es-AR" w:eastAsia="en-US"/>
        </w:rPr>
        <w:t>Validación:</w:t>
      </w:r>
      <w:r w:rsidRPr="00597617">
        <w:rPr>
          <w:rFonts w:eastAsia="Calibri"/>
          <w:i/>
          <w:iCs/>
          <w:lang w:val="es-PE" w:eastAsia="en-US"/>
        </w:rPr>
        <w:t xml:space="preserve"> 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2CF6310B" w14:textId="77777777" w:rsidR="00597617" w:rsidRPr="00597617" w:rsidRDefault="00597617" w:rsidP="003D6608">
      <w:pPr>
        <w:spacing w:line="360" w:lineRule="auto"/>
        <w:rPr>
          <w:rFonts w:eastAsia="Arial"/>
          <w:i/>
          <w:lang w:val="es-AR" w:eastAsia="en-US"/>
        </w:rPr>
      </w:pPr>
      <w:r w:rsidRPr="00597617">
        <w:rPr>
          <w:lang w:val="es-AR" w:eastAsia="en-US"/>
        </w:rPr>
        <w:t xml:space="preserve">Redacción - borrador original: </w:t>
      </w:r>
      <w:r w:rsidRPr="00597617">
        <w:rPr>
          <w:rFonts w:eastAsia="Calibri"/>
          <w:i/>
          <w:iCs/>
          <w:lang w:val="es-PE" w:eastAsia="en-US"/>
        </w:rPr>
        <w:t>P 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7BC44530" w14:textId="77777777" w:rsidR="00597617" w:rsidRPr="00597617" w:rsidRDefault="00597617" w:rsidP="003D6608">
      <w:pPr>
        <w:spacing w:line="360" w:lineRule="auto"/>
        <w:rPr>
          <w:b/>
          <w:bCs/>
          <w:lang w:val="es-AR" w:eastAsia="en-US"/>
        </w:rPr>
      </w:pPr>
      <w:r w:rsidRPr="00597617">
        <w:rPr>
          <w:lang w:val="es-AR" w:eastAsia="en-US"/>
        </w:rPr>
        <w:t xml:space="preserve">Redacción - revisión y edición: </w:t>
      </w:r>
      <w:r w:rsidRPr="00597617">
        <w:rPr>
          <w:rFonts w:eastAsia="Calibri"/>
          <w:i/>
          <w:iCs/>
          <w:lang w:val="es-PE" w:eastAsia="en-US"/>
        </w:rPr>
        <w:t>Palmer J. Hernández-Yépez, Fiorella Inga-Berrospi, María G. Chiroque-Becerra, Paola J. Ramos-</w:t>
      </w:r>
      <w:proofErr w:type="spellStart"/>
      <w:r w:rsidRPr="00597617">
        <w:rPr>
          <w:rFonts w:eastAsia="Calibri"/>
          <w:i/>
          <w:iCs/>
          <w:lang w:val="es-PE" w:eastAsia="en-US"/>
        </w:rPr>
        <w:t>Rupay</w:t>
      </w:r>
      <w:proofErr w:type="spellEnd"/>
      <w:r w:rsidRPr="00597617">
        <w:rPr>
          <w:rFonts w:eastAsia="Calibri"/>
          <w:i/>
          <w:iCs/>
          <w:lang w:val="es-PE" w:eastAsia="en-US"/>
        </w:rPr>
        <w:t>, Pavel J. Contreras-Carmona, Mario J. Valladares-Garrido.</w:t>
      </w:r>
    </w:p>
    <w:p w14:paraId="3777B174" w14:textId="77777777" w:rsidR="00675476" w:rsidRPr="00597617" w:rsidRDefault="00675476" w:rsidP="003D6608">
      <w:pPr>
        <w:pStyle w:val="PDFRevista"/>
        <w:rPr>
          <w:lang w:val="es-AR"/>
        </w:rPr>
      </w:pPr>
    </w:p>
    <w:sectPr w:rsidR="00675476" w:rsidRPr="00597617" w:rsidSect="00FD3DF8">
      <w:headerReference w:type="default" r:id="rId60"/>
      <w:footerReference w:type="even" r:id="rId61"/>
      <w:footerReference w:type="default" r:id="rId6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E7B7" w14:textId="77777777" w:rsidR="00D85EB8" w:rsidRDefault="00D85EB8">
      <w:r>
        <w:separator/>
      </w:r>
    </w:p>
  </w:endnote>
  <w:endnote w:type="continuationSeparator" w:id="0">
    <w:p w14:paraId="14A6767D" w14:textId="77777777" w:rsidR="00D85EB8" w:rsidRDefault="00D8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EE7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0ABA6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5218" w14:textId="7660BA27" w:rsidR="000F3690" w:rsidRPr="00AE044C" w:rsidRDefault="0059761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7D398FF" wp14:editId="41585FD1">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FBFED4"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148691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1F37EE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5573F14" w14:textId="41B673A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97617" w:rsidRPr="00597617">
      <w:rPr>
        <w:rFonts w:ascii="Verdana" w:hAnsi="Verdana"/>
        <w:noProof/>
        <w:sz w:val="18"/>
        <w:szCs w:val="18"/>
        <w:lang w:val="en-US" w:eastAsia="en-US"/>
      </w:rPr>
      <w:drawing>
        <wp:inline distT="0" distB="0" distL="0" distR="0" wp14:anchorId="7BA132BE" wp14:editId="70D54B4B">
          <wp:extent cx="643890" cy="15113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B635" w14:textId="77777777" w:rsidR="00D85EB8" w:rsidRDefault="00D85EB8">
      <w:r>
        <w:separator/>
      </w:r>
    </w:p>
  </w:footnote>
  <w:footnote w:type="continuationSeparator" w:id="0">
    <w:p w14:paraId="36179969" w14:textId="77777777" w:rsidR="00D85EB8" w:rsidRDefault="00D8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97CD" w14:textId="28D5A59F" w:rsidR="00CC376A" w:rsidRPr="00AE044C" w:rsidRDefault="0059761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585FB54D" wp14:editId="3CAF36CA">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e02202083</w:t>
    </w:r>
  </w:p>
  <w:p w14:paraId="5EA34872" w14:textId="66D8DBC9" w:rsidR="00A477DE" w:rsidRDefault="00597617">
    <w:r>
      <w:rPr>
        <w:noProof/>
      </w:rPr>
      <mc:AlternateContent>
        <mc:Choice Requires="wps">
          <w:drawing>
            <wp:anchor distT="0" distB="0" distL="114300" distR="114300" simplePos="0" relativeHeight="251654144" behindDoc="0" locked="0" layoutInCell="1" allowOverlap="1" wp14:anchorId="6ABB2050" wp14:editId="1C78F196">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3A95F7"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C26"/>
    <w:multiLevelType w:val="hybridMultilevel"/>
    <w:tmpl w:val="23AE42A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289E6878"/>
    <w:multiLevelType w:val="hybridMultilevel"/>
    <w:tmpl w:val="20C0C0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DBF1058"/>
    <w:multiLevelType w:val="hybridMultilevel"/>
    <w:tmpl w:val="5B3EF2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52247E1B"/>
    <w:multiLevelType w:val="hybridMultilevel"/>
    <w:tmpl w:val="C4C8D834"/>
    <w:lvl w:ilvl="0" w:tplc="9DE4DB0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540D2C08"/>
    <w:multiLevelType w:val="hybridMultilevel"/>
    <w:tmpl w:val="E668D838"/>
    <w:lvl w:ilvl="0" w:tplc="A27C0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B4232"/>
    <w:multiLevelType w:val="hybridMultilevel"/>
    <w:tmpl w:val="5834219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66CB3DE5"/>
    <w:multiLevelType w:val="hybridMultilevel"/>
    <w:tmpl w:val="8B023AF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68264E38"/>
    <w:multiLevelType w:val="hybridMultilevel"/>
    <w:tmpl w:val="E550DB7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70FC3F7D"/>
    <w:multiLevelType w:val="hybridMultilevel"/>
    <w:tmpl w:val="E00007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76573B53"/>
    <w:multiLevelType w:val="hybridMultilevel"/>
    <w:tmpl w:val="490CE3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302004500">
    <w:abstractNumId w:val="3"/>
  </w:num>
  <w:num w:numId="2" w16cid:durableId="1278369341">
    <w:abstractNumId w:val="10"/>
  </w:num>
  <w:num w:numId="3" w16cid:durableId="328363174">
    <w:abstractNumId w:val="1"/>
  </w:num>
  <w:num w:numId="4" w16cid:durableId="1778333658">
    <w:abstractNumId w:val="5"/>
  </w:num>
  <w:num w:numId="5" w16cid:durableId="1659653632">
    <w:abstractNumId w:val="7"/>
  </w:num>
  <w:num w:numId="6" w16cid:durableId="565258828">
    <w:abstractNumId w:val="9"/>
  </w:num>
  <w:num w:numId="7" w16cid:durableId="1636134473">
    <w:abstractNumId w:val="2"/>
  </w:num>
  <w:num w:numId="8" w16cid:durableId="907498451">
    <w:abstractNumId w:val="4"/>
  </w:num>
  <w:num w:numId="9" w16cid:durableId="222983137">
    <w:abstractNumId w:val="0"/>
  </w:num>
  <w:num w:numId="10" w16cid:durableId="1606960164">
    <w:abstractNumId w:val="8"/>
  </w:num>
  <w:num w:numId="11" w16cid:durableId="1556500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17"/>
    <w:rsid w:val="00057F45"/>
    <w:rsid w:val="000D3958"/>
    <w:rsid w:val="000F3690"/>
    <w:rsid w:val="001221D1"/>
    <w:rsid w:val="00165CB5"/>
    <w:rsid w:val="00180CE9"/>
    <w:rsid w:val="001F01BF"/>
    <w:rsid w:val="00230DD5"/>
    <w:rsid w:val="00250AE9"/>
    <w:rsid w:val="00380D64"/>
    <w:rsid w:val="00391509"/>
    <w:rsid w:val="003D6608"/>
    <w:rsid w:val="003E03D5"/>
    <w:rsid w:val="00486BFA"/>
    <w:rsid w:val="00493701"/>
    <w:rsid w:val="004E2065"/>
    <w:rsid w:val="005508A2"/>
    <w:rsid w:val="0055115D"/>
    <w:rsid w:val="00566F71"/>
    <w:rsid w:val="00590F84"/>
    <w:rsid w:val="005918BD"/>
    <w:rsid w:val="00597617"/>
    <w:rsid w:val="006173A6"/>
    <w:rsid w:val="00675476"/>
    <w:rsid w:val="006E60AD"/>
    <w:rsid w:val="007B31DB"/>
    <w:rsid w:val="007C430F"/>
    <w:rsid w:val="007D2D0C"/>
    <w:rsid w:val="007D614D"/>
    <w:rsid w:val="00960D6A"/>
    <w:rsid w:val="00997022"/>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85EB8"/>
    <w:rsid w:val="00E17275"/>
    <w:rsid w:val="00E62606"/>
    <w:rsid w:val="00EA1FEF"/>
    <w:rsid w:val="00EC5A6B"/>
    <w:rsid w:val="00EE301D"/>
    <w:rsid w:val="00F666FB"/>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A9260"/>
  <w15:docId w15:val="{3EF90406-0883-4A1A-8ECE-34A5551F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597617"/>
    <w:pPr>
      <w:keepNext/>
      <w:spacing w:before="240" w:after="60"/>
      <w:outlineLvl w:val="0"/>
    </w:pPr>
    <w:rPr>
      <w:rFonts w:ascii="Calibri Light" w:hAnsi="Calibri Light"/>
      <w:color w:val="2F5496"/>
      <w:sz w:val="32"/>
      <w:szCs w:val="32"/>
      <w:lang w:val="es-CU" w:eastAsia="es-CU"/>
    </w:rPr>
  </w:style>
  <w:style w:type="paragraph" w:styleId="Ttulo3">
    <w:name w:val="heading 3"/>
    <w:basedOn w:val="Normal"/>
    <w:link w:val="Ttulo3Car"/>
    <w:uiPriority w:val="9"/>
    <w:qFormat/>
    <w:rsid w:val="00597617"/>
    <w:pPr>
      <w:spacing w:before="100" w:beforeAutospacing="1" w:after="100" w:afterAutospacing="1"/>
      <w:outlineLvl w:val="2"/>
    </w:pPr>
    <w:rPr>
      <w:b/>
      <w:bCs/>
      <w:sz w:val="27"/>
      <w:szCs w:val="27"/>
      <w:lang w:val="en-US" w:eastAsia="en-US"/>
    </w:rPr>
  </w:style>
  <w:style w:type="paragraph" w:styleId="Ttulo4">
    <w:name w:val="heading 4"/>
    <w:basedOn w:val="Normal"/>
    <w:next w:val="Normal"/>
    <w:link w:val="Ttulo4Car"/>
    <w:uiPriority w:val="9"/>
    <w:semiHidden/>
    <w:unhideWhenUsed/>
    <w:qFormat/>
    <w:rsid w:val="00597617"/>
    <w:pPr>
      <w:keepNext/>
      <w:spacing w:before="240" w:after="60"/>
      <w:outlineLvl w:val="3"/>
    </w:pPr>
    <w:rPr>
      <w:rFonts w:ascii="Calibri Light" w:hAnsi="Calibri Light"/>
      <w:i/>
      <w:iCs/>
      <w:color w:val="2F5496"/>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597617"/>
    <w:pPr>
      <w:keepNext/>
      <w:keepLines/>
      <w:spacing w:before="240" w:line="259" w:lineRule="auto"/>
      <w:outlineLvl w:val="0"/>
    </w:pPr>
    <w:rPr>
      <w:rFonts w:ascii="Calibri Light" w:hAnsi="Calibri Light"/>
      <w:color w:val="2F5496"/>
      <w:sz w:val="32"/>
      <w:szCs w:val="32"/>
      <w:lang w:val="es-PE" w:eastAsia="en-US"/>
    </w:rPr>
  </w:style>
  <w:style w:type="character" w:customStyle="1" w:styleId="Ttulo3Car">
    <w:name w:val="Título 3 Car"/>
    <w:basedOn w:val="Fuentedeprrafopredeter"/>
    <w:link w:val="Ttulo3"/>
    <w:uiPriority w:val="9"/>
    <w:rsid w:val="00597617"/>
    <w:rPr>
      <w:b/>
      <w:bCs/>
      <w:sz w:val="27"/>
      <w:szCs w:val="27"/>
      <w:lang w:val="en-US" w:eastAsia="en-US"/>
    </w:rPr>
  </w:style>
  <w:style w:type="paragraph" w:customStyle="1" w:styleId="Ttulo41">
    <w:name w:val="Título 41"/>
    <w:basedOn w:val="Normal"/>
    <w:next w:val="Normal"/>
    <w:uiPriority w:val="9"/>
    <w:semiHidden/>
    <w:unhideWhenUsed/>
    <w:qFormat/>
    <w:rsid w:val="00597617"/>
    <w:pPr>
      <w:keepNext/>
      <w:keepLines/>
      <w:spacing w:before="40" w:line="259" w:lineRule="auto"/>
      <w:outlineLvl w:val="3"/>
    </w:pPr>
    <w:rPr>
      <w:rFonts w:ascii="Calibri Light" w:hAnsi="Calibri Light"/>
      <w:i/>
      <w:iCs/>
      <w:color w:val="2F5496"/>
      <w:sz w:val="22"/>
      <w:szCs w:val="22"/>
      <w:lang w:val="es-PE" w:eastAsia="en-US"/>
    </w:rPr>
  </w:style>
  <w:style w:type="numbering" w:customStyle="1" w:styleId="Sinlista1">
    <w:name w:val="Sin lista1"/>
    <w:next w:val="Sinlista"/>
    <w:uiPriority w:val="99"/>
    <w:semiHidden/>
    <w:unhideWhenUsed/>
    <w:rsid w:val="00597617"/>
  </w:style>
  <w:style w:type="character" w:customStyle="1" w:styleId="Ttulo1Car">
    <w:name w:val="Título 1 Car"/>
    <w:link w:val="Ttulo1"/>
    <w:uiPriority w:val="9"/>
    <w:rsid w:val="00597617"/>
    <w:rPr>
      <w:rFonts w:ascii="Calibri Light" w:eastAsia="Times New Roman" w:hAnsi="Calibri Light" w:cs="Times New Roman"/>
      <w:color w:val="2F5496"/>
      <w:sz w:val="32"/>
      <w:szCs w:val="32"/>
    </w:rPr>
  </w:style>
  <w:style w:type="character" w:customStyle="1" w:styleId="Ttulo4Car">
    <w:name w:val="Título 4 Car"/>
    <w:link w:val="Ttulo4"/>
    <w:uiPriority w:val="9"/>
    <w:semiHidden/>
    <w:rsid w:val="00597617"/>
    <w:rPr>
      <w:rFonts w:ascii="Calibri Light" w:eastAsia="Times New Roman" w:hAnsi="Calibri Light" w:cs="Times New Roman"/>
      <w:i/>
      <w:iCs/>
      <w:color w:val="2F5496"/>
    </w:rPr>
  </w:style>
  <w:style w:type="character" w:styleId="Refdecomentario">
    <w:name w:val="annotation reference"/>
    <w:uiPriority w:val="99"/>
    <w:semiHidden/>
    <w:unhideWhenUsed/>
    <w:rsid w:val="00597617"/>
    <w:rPr>
      <w:sz w:val="16"/>
      <w:szCs w:val="16"/>
    </w:rPr>
  </w:style>
  <w:style w:type="paragraph" w:styleId="Textocomentario">
    <w:name w:val="annotation text"/>
    <w:basedOn w:val="Normal"/>
    <w:link w:val="TextocomentarioCar"/>
    <w:uiPriority w:val="99"/>
    <w:semiHidden/>
    <w:unhideWhenUsed/>
    <w:rsid w:val="00597617"/>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597617"/>
    <w:rPr>
      <w:rFonts w:ascii="Calibri" w:eastAsia="Calibri" w:hAnsi="Calibri"/>
      <w:lang w:val="es-PE" w:eastAsia="en-US"/>
    </w:rPr>
  </w:style>
  <w:style w:type="paragraph" w:styleId="Prrafodelista">
    <w:name w:val="List Paragraph"/>
    <w:basedOn w:val="Normal"/>
    <w:uiPriority w:val="34"/>
    <w:qFormat/>
    <w:rsid w:val="00597617"/>
    <w:pPr>
      <w:spacing w:after="160" w:line="259" w:lineRule="auto"/>
      <w:ind w:left="720"/>
      <w:contextualSpacing/>
    </w:pPr>
    <w:rPr>
      <w:rFonts w:ascii="Calibri" w:eastAsia="Calibri" w:hAnsi="Calibri"/>
      <w:sz w:val="22"/>
      <w:szCs w:val="22"/>
      <w:lang w:val="es-PE" w:eastAsia="en-US"/>
    </w:rPr>
  </w:style>
  <w:style w:type="paragraph" w:styleId="Asuntodelcomentario">
    <w:name w:val="annotation subject"/>
    <w:basedOn w:val="Textocomentario"/>
    <w:next w:val="Textocomentario"/>
    <w:link w:val="AsuntodelcomentarioCar"/>
    <w:uiPriority w:val="99"/>
    <w:semiHidden/>
    <w:unhideWhenUsed/>
    <w:rsid w:val="00597617"/>
    <w:rPr>
      <w:b/>
      <w:bCs/>
    </w:rPr>
  </w:style>
  <w:style w:type="character" w:customStyle="1" w:styleId="AsuntodelcomentarioCar">
    <w:name w:val="Asunto del comentario Car"/>
    <w:basedOn w:val="TextocomentarioCar"/>
    <w:link w:val="Asuntodelcomentario"/>
    <w:uiPriority w:val="99"/>
    <w:semiHidden/>
    <w:rsid w:val="00597617"/>
    <w:rPr>
      <w:rFonts w:ascii="Calibri" w:eastAsia="Calibri" w:hAnsi="Calibri"/>
      <w:b/>
      <w:bCs/>
      <w:lang w:val="es-PE" w:eastAsia="en-US"/>
    </w:rPr>
  </w:style>
  <w:style w:type="character" w:customStyle="1" w:styleId="Mencinsinresolver1">
    <w:name w:val="Mención sin resolver1"/>
    <w:uiPriority w:val="99"/>
    <w:semiHidden/>
    <w:unhideWhenUsed/>
    <w:rsid w:val="00597617"/>
    <w:rPr>
      <w:color w:val="605E5C"/>
      <w:shd w:val="clear" w:color="auto" w:fill="E1DFDD"/>
    </w:rPr>
  </w:style>
  <w:style w:type="paragraph" w:styleId="Revisin">
    <w:name w:val="Revision"/>
    <w:hidden/>
    <w:uiPriority w:val="99"/>
    <w:semiHidden/>
    <w:rsid w:val="00597617"/>
    <w:rPr>
      <w:rFonts w:ascii="Calibri" w:eastAsia="Calibri" w:hAnsi="Calibri"/>
      <w:sz w:val="22"/>
      <w:szCs w:val="22"/>
      <w:lang w:val="es-PE" w:eastAsia="en-US"/>
    </w:rPr>
  </w:style>
  <w:style w:type="character" w:customStyle="1" w:styleId="Mencinsinresolver2">
    <w:name w:val="Mención sin resolver2"/>
    <w:uiPriority w:val="99"/>
    <w:semiHidden/>
    <w:unhideWhenUsed/>
    <w:rsid w:val="00597617"/>
    <w:rPr>
      <w:color w:val="605E5C"/>
      <w:shd w:val="clear" w:color="auto" w:fill="E1DFDD"/>
    </w:rPr>
  </w:style>
  <w:style w:type="character" w:customStyle="1" w:styleId="Mencinsinresolver3">
    <w:name w:val="Mención sin resolver3"/>
    <w:uiPriority w:val="99"/>
    <w:semiHidden/>
    <w:unhideWhenUsed/>
    <w:rsid w:val="00597617"/>
    <w:rPr>
      <w:color w:val="605E5C"/>
      <w:shd w:val="clear" w:color="auto" w:fill="E1DFDD"/>
    </w:rPr>
  </w:style>
  <w:style w:type="character" w:customStyle="1" w:styleId="Mencinsinresolver4">
    <w:name w:val="Mención sin resolver4"/>
    <w:uiPriority w:val="99"/>
    <w:semiHidden/>
    <w:unhideWhenUsed/>
    <w:rsid w:val="00597617"/>
    <w:rPr>
      <w:color w:val="605E5C"/>
      <w:shd w:val="clear" w:color="auto" w:fill="E1DFDD"/>
    </w:rPr>
  </w:style>
  <w:style w:type="character" w:customStyle="1" w:styleId="Ttulo1Car1">
    <w:name w:val="Título 1 Car1"/>
    <w:basedOn w:val="Fuentedeprrafopredeter"/>
    <w:link w:val="Ttulo1"/>
    <w:rsid w:val="00597617"/>
    <w:rPr>
      <w:rFonts w:asciiTheme="majorHAnsi" w:eastAsiaTheme="majorEastAsia" w:hAnsiTheme="majorHAnsi" w:cstheme="majorBidi"/>
      <w:b/>
      <w:bCs/>
      <w:kern w:val="32"/>
      <w:sz w:val="32"/>
      <w:szCs w:val="32"/>
      <w:lang w:val="es-ES_tradnl" w:eastAsia="es-ES_tradnl"/>
    </w:rPr>
  </w:style>
  <w:style w:type="character" w:customStyle="1" w:styleId="Ttulo4Car1">
    <w:name w:val="Título 4 Car1"/>
    <w:basedOn w:val="Fuentedeprrafopredeter"/>
    <w:link w:val="Ttulo4"/>
    <w:semiHidden/>
    <w:rsid w:val="00597617"/>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ubmed.ncbi.nlm.nih.gov/35177875/" TargetMode="External"/><Relationship Id="rId26" Type="http://schemas.openxmlformats.org/officeDocument/2006/relationships/hyperlink" Target="https://doi.org/10.5281/zenodo.5852508" TargetMode="External"/><Relationship Id="rId39" Type="http://schemas.openxmlformats.org/officeDocument/2006/relationships/hyperlink" Target="https://www.elsevier.es/es-revista-atencion-primaria-27-articulo-validez-fiabilidad-cuestionario-funcion-familiar-apgar-familiar-14357" TargetMode="External"/><Relationship Id="rId21" Type="http://schemas.openxmlformats.org/officeDocument/2006/relationships/hyperlink" Target="https://doi.org/10.35663/amp.2020.374.1851" TargetMode="External"/><Relationship Id="rId34" Type="http://schemas.openxmlformats.org/officeDocument/2006/relationships/hyperlink" Target="http://dx.doi.org/10.1097/DBP.0000000000000935" TargetMode="External"/><Relationship Id="rId42" Type="http://schemas.openxmlformats.org/officeDocument/2006/relationships/hyperlink" Target="https://revistas.fucsalud.edu.co/index.php/repertorio/article/view/600/638" TargetMode="External"/><Relationship Id="rId47" Type="http://schemas.openxmlformats.org/officeDocument/2006/relationships/hyperlink" Target="http://dx.doi.org/10.5888/pcd15.180070" TargetMode="External"/><Relationship Id="rId50" Type="http://schemas.openxmlformats.org/officeDocument/2006/relationships/hyperlink" Target="https://pubmed.ncbi.nlm.nih.gov/33288454/" TargetMode="External"/><Relationship Id="rId55" Type="http://schemas.openxmlformats.org/officeDocument/2006/relationships/hyperlink" Target="http://dx.doi.org/10.1016/j.jagp.2020.09.008" TargetMode="External"/><Relationship Id="rId63" Type="http://schemas.openxmlformats.org/officeDocument/2006/relationships/fontTable" Target="fontTable.xml"/><Relationship Id="rId7" Type="http://schemas.openxmlformats.org/officeDocument/2006/relationships/hyperlink" Target="https://orcid.org/0000-0002-9778-1557"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10.1016/j.jad.2020.10.016" TargetMode="External"/><Relationship Id="rId29" Type="http://schemas.openxmlformats.org/officeDocument/2006/relationships/hyperlink" Target="http://dx.doi.org/10.25176/rfmh.v20i4.3193" TargetMode="External"/><Relationship Id="rId41" Type="http://schemas.openxmlformats.org/officeDocument/2006/relationships/hyperlink" Target="http://bvs.minsa.gob.pe/local/PROMOCION/170_adolec.pdf" TargetMode="External"/><Relationship Id="rId54" Type="http://schemas.openxmlformats.org/officeDocument/2006/relationships/hyperlink" Target="http://dx.doi.org/10.3390/ijerph18105145"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839-2419" TargetMode="External"/><Relationship Id="rId24" Type="http://schemas.openxmlformats.org/officeDocument/2006/relationships/hyperlink" Target="http://dx.doi.org/10.1111/jpm.12608" TargetMode="External"/><Relationship Id="rId32" Type="http://schemas.openxmlformats.org/officeDocument/2006/relationships/hyperlink" Target="http://dx.doi.org/10.3389/fpsyg.2021.730447" TargetMode="External"/><Relationship Id="rId37" Type="http://schemas.openxmlformats.org/officeDocument/2006/relationships/hyperlink" Target="http://dx.doi.org/10.20511/pyr2017.v5n2.158" TargetMode="External"/><Relationship Id="rId40" Type="http://schemas.openxmlformats.org/officeDocument/2006/relationships/hyperlink" Target="https://revistas.usil.edu.pe/index.php/pyr/article/view/53" TargetMode="External"/><Relationship Id="rId45" Type="http://schemas.openxmlformats.org/officeDocument/2006/relationships/hyperlink" Target="https://repositorio.ucv.edu.pe/bitstream/handle/20.500.12692/22723/Sanchez_MEE.pdf?sequence=1&amp;isAllowed=y" TargetMode="External"/><Relationship Id="rId53" Type="http://schemas.openxmlformats.org/officeDocument/2006/relationships/hyperlink" Target="http://repositorio.unfv.edu.pe/handle/UNFV/3112" TargetMode="External"/><Relationship Id="rId58" Type="http://schemas.openxmlformats.org/officeDocument/2006/relationships/hyperlink" Target="https://revistas.ces.edu.co/index.php/psicologia/article/view/3600"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dx.doi.org/10.24265/horizmed.2018.v18n1.04" TargetMode="External"/><Relationship Id="rId28" Type="http://schemas.openxmlformats.org/officeDocument/2006/relationships/hyperlink" Target="http://dx.doi.org/10.3390/ijerph18158133" TargetMode="External"/><Relationship Id="rId36" Type="http://schemas.openxmlformats.org/officeDocument/2006/relationships/hyperlink" Target="http://www.scielo.org.pe/scielo.php?script=sci_arttext&amp;pid=S2219-71682020000100016" TargetMode="External"/><Relationship Id="rId49" Type="http://schemas.openxmlformats.org/officeDocument/2006/relationships/hyperlink" Target="http://repositorio.unap.edu.pe/handle/UNAP/5538" TargetMode="External"/><Relationship Id="rId57" Type="http://schemas.openxmlformats.org/officeDocument/2006/relationships/hyperlink" Target="https://repositorio.upeu.edu.pe/handle/20.500.12840/4722" TargetMode="External"/><Relationship Id="rId61" Type="http://schemas.openxmlformats.org/officeDocument/2006/relationships/footer" Target="footer1.xml"/><Relationship Id="rId10" Type="http://schemas.openxmlformats.org/officeDocument/2006/relationships/hyperlink" Target="https://orcid.org/0000-0002-7949-0393" TargetMode="External"/><Relationship Id="rId19" Type="http://schemas.openxmlformats.org/officeDocument/2006/relationships/hyperlink" Target="http://dx.doi.org/10.18800/educacion.202101.001" TargetMode="External"/><Relationship Id="rId31" Type="http://schemas.openxmlformats.org/officeDocument/2006/relationships/hyperlink" Target="https://pubmed.ncbi.nlm.nih.gov/33844692/" TargetMode="External"/><Relationship Id="rId44" Type="http://schemas.openxmlformats.org/officeDocument/2006/relationships/hyperlink" Target="http://repositorio.unh.edu.pe/handle/UNH/3024" TargetMode="External"/><Relationship Id="rId52" Type="http://schemas.openxmlformats.org/officeDocument/2006/relationships/hyperlink" Target="https://ojs.haaj.org/?journal=haaj&amp;page=article&amp;op=view&amp;path%5B%5D=286"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9710-0299" TargetMode="External"/><Relationship Id="rId14" Type="http://schemas.openxmlformats.org/officeDocument/2006/relationships/image" Target="media/image2.png"/><Relationship Id="rId22" Type="http://schemas.openxmlformats.org/officeDocument/2006/relationships/hyperlink" Target="https://doi.org/10.1016/j.childyouth.2020.105270" TargetMode="External"/><Relationship Id="rId27" Type="http://schemas.openxmlformats.org/officeDocument/2006/relationships/hyperlink" Target="https://www.tandfonline.com/doi/abs/10.1080/01926187.2019.1673259?journalCode=uaft20" TargetMode="External"/><Relationship Id="rId30" Type="http://schemas.openxmlformats.org/officeDocument/2006/relationships/hyperlink" Target="https://pubmed.ncbi.nlm.nih.gov/26602727/" TargetMode="External"/><Relationship Id="rId35" Type="http://schemas.openxmlformats.org/officeDocument/2006/relationships/hyperlink" Target="http://dx.doi.org/10.1037/fsh0000653" TargetMode="External"/><Relationship Id="rId43" Type="http://schemas.openxmlformats.org/officeDocument/2006/relationships/hyperlink" Target="https://www.aidep.org/sites/default/files/articles/R41/Art8.pdf" TargetMode="External"/><Relationship Id="rId48" Type="http://schemas.openxmlformats.org/officeDocument/2006/relationships/hyperlink" Target="http://revistamedicinainterna.net/index.php/spmi/article/view/595/659" TargetMode="External"/><Relationship Id="rId56" Type="http://schemas.openxmlformats.org/officeDocument/2006/relationships/hyperlink" Target="http://dx.doi.org/10.4103/jfmpc.jfmpc_719_20" TargetMode="External"/><Relationship Id="rId64" Type="http://schemas.openxmlformats.org/officeDocument/2006/relationships/theme" Target="theme/theme1.xml"/><Relationship Id="rId8" Type="http://schemas.openxmlformats.org/officeDocument/2006/relationships/hyperlink" Target="https://orcid.org/0000-0003-2647-2180" TargetMode="External"/><Relationship Id="rId51" Type="http://schemas.openxmlformats.org/officeDocument/2006/relationships/hyperlink" Target="https://pubmed.ncbi.nlm.nih.gov/34204811/" TargetMode="External"/><Relationship Id="rId3" Type="http://schemas.openxmlformats.org/officeDocument/2006/relationships/settings" Target="settings.xml"/><Relationship Id="rId12" Type="http://schemas.openxmlformats.org/officeDocument/2006/relationships/hyperlink" Target="mailto:mvalladares@continental.edu.pe%20" TargetMode="External"/><Relationship Id="rId17" Type="http://schemas.openxmlformats.org/officeDocument/2006/relationships/hyperlink" Target="https://pubmed.ncbi.nlm.nih.gov/32916972/" TargetMode="External"/><Relationship Id="rId25" Type="http://schemas.openxmlformats.org/officeDocument/2006/relationships/hyperlink" Target="https://doi.org/10.1111/fare.12635" TargetMode="External"/><Relationship Id="rId33" Type="http://schemas.openxmlformats.org/officeDocument/2006/relationships/hyperlink" Target="https://bmcpsychiatry.biomedcentral.com/articles/10.1186/s12888-021-03599-z" TargetMode="External"/><Relationship Id="rId38" Type="http://schemas.openxmlformats.org/officeDocument/2006/relationships/hyperlink" Target="http://www.scielo.org.pe/pdf/reh/v29n3/a04v29n3.pdf" TargetMode="External"/><Relationship Id="rId46" Type="http://schemas.openxmlformats.org/officeDocument/2006/relationships/hyperlink" Target="https://doi.org/10.35707/indagare/701" TargetMode="External"/><Relationship Id="rId59" Type="http://schemas.openxmlformats.org/officeDocument/2006/relationships/hyperlink" Target="https://repositorio.uncp.edu.pe/handle/20.500.12894/620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19</Pages>
  <Words>5468</Words>
  <Characters>30077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35475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2010-09-13T21:29:00Z</cp:lastPrinted>
  <dcterms:created xsi:type="dcterms:W3CDTF">2022-07-20T22:27:00Z</dcterms:created>
  <dcterms:modified xsi:type="dcterms:W3CDTF">2022-07-20T22:31:00Z</dcterms:modified>
</cp:coreProperties>
</file>