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CD94" w14:textId="77777777" w:rsidR="00C63AC5" w:rsidRPr="00C63AC5" w:rsidRDefault="00C63AC5" w:rsidP="00C63AC5">
      <w:pPr>
        <w:suppressAutoHyphens/>
        <w:autoSpaceDE w:val="0"/>
        <w:spacing w:line="360" w:lineRule="auto"/>
        <w:jc w:val="right"/>
        <w:rPr>
          <w:sz w:val="20"/>
          <w:szCs w:val="20"/>
          <w:lang w:eastAsia="ar-SA"/>
        </w:rPr>
      </w:pPr>
      <w:r w:rsidRPr="00C63AC5">
        <w:rPr>
          <w:sz w:val="20"/>
          <w:szCs w:val="20"/>
          <w:lang w:eastAsia="ar-SA"/>
        </w:rPr>
        <w:t>Artículo de investigación</w:t>
      </w:r>
    </w:p>
    <w:p w14:paraId="0E925AC5" w14:textId="77777777" w:rsidR="00C63AC5" w:rsidRPr="00C63AC5" w:rsidRDefault="00C63AC5" w:rsidP="00C63AC5">
      <w:pPr>
        <w:spacing w:line="360" w:lineRule="auto"/>
        <w:jc w:val="right"/>
        <w:rPr>
          <w:rFonts w:eastAsia="Arial"/>
          <w:b/>
          <w:color w:val="000000"/>
          <w:lang w:val="es-PE" w:eastAsia="es-PE"/>
        </w:rPr>
      </w:pPr>
    </w:p>
    <w:p w14:paraId="1FB0ED4B" w14:textId="77777777" w:rsidR="00C63AC5" w:rsidRPr="00C63AC5" w:rsidRDefault="00C63AC5" w:rsidP="00C63AC5">
      <w:pPr>
        <w:spacing w:line="360" w:lineRule="auto"/>
        <w:jc w:val="center"/>
        <w:rPr>
          <w:rFonts w:eastAsia="Arial"/>
          <w:b/>
          <w:color w:val="000000"/>
          <w:sz w:val="28"/>
          <w:szCs w:val="28"/>
          <w:lang w:val="es-PE" w:eastAsia="es-PE"/>
        </w:rPr>
      </w:pPr>
      <w:r w:rsidRPr="00C63AC5">
        <w:rPr>
          <w:rFonts w:eastAsia="Arial"/>
          <w:b/>
          <w:color w:val="000000"/>
          <w:sz w:val="28"/>
          <w:szCs w:val="28"/>
          <w:lang w:val="es-PE" w:eastAsia="es-PE"/>
        </w:rPr>
        <w:t>Obesidad en adultos mayores con déficit de vitamina D: revisión sistemática y metanálisis</w:t>
      </w:r>
    </w:p>
    <w:p w14:paraId="618C12C9" w14:textId="77777777" w:rsidR="00C63AC5" w:rsidRPr="00C63AC5" w:rsidRDefault="00C63AC5" w:rsidP="00C63AC5">
      <w:pPr>
        <w:spacing w:line="360" w:lineRule="auto"/>
        <w:jc w:val="center"/>
        <w:rPr>
          <w:rFonts w:eastAsia="Arial"/>
          <w:color w:val="000000"/>
          <w:sz w:val="28"/>
          <w:szCs w:val="28"/>
          <w:lang w:val="en-US" w:eastAsia="es-PE"/>
        </w:rPr>
      </w:pPr>
      <w:r w:rsidRPr="00C63AC5">
        <w:rPr>
          <w:rFonts w:eastAsia="Arial"/>
          <w:color w:val="000000"/>
          <w:sz w:val="28"/>
          <w:szCs w:val="28"/>
          <w:lang w:val="en-US" w:eastAsia="es-PE"/>
        </w:rPr>
        <w:t>Obesity in older adults with vitamin D deficit: a systematic review and meta-analysis</w:t>
      </w:r>
    </w:p>
    <w:p w14:paraId="55B9A03B" w14:textId="77777777" w:rsidR="00C63AC5" w:rsidRPr="00C63AC5" w:rsidRDefault="00C63AC5" w:rsidP="00C63AC5">
      <w:pPr>
        <w:spacing w:line="360" w:lineRule="auto"/>
        <w:jc w:val="center"/>
        <w:rPr>
          <w:rFonts w:eastAsia="Arial"/>
          <w:color w:val="000000"/>
          <w:sz w:val="28"/>
          <w:szCs w:val="28"/>
          <w:lang w:val="en-US" w:eastAsia="es-PE"/>
        </w:rPr>
      </w:pPr>
    </w:p>
    <w:p w14:paraId="4D44D0E6" w14:textId="77777777" w:rsidR="00C63AC5" w:rsidRPr="00C63AC5" w:rsidRDefault="00C63AC5" w:rsidP="00C63AC5">
      <w:pPr>
        <w:widowControl w:val="0"/>
        <w:pBdr>
          <w:top w:val="nil"/>
          <w:left w:val="nil"/>
          <w:bottom w:val="nil"/>
          <w:right w:val="nil"/>
          <w:between w:val="nil"/>
        </w:pBdr>
        <w:spacing w:line="360" w:lineRule="auto"/>
        <w:rPr>
          <w:color w:val="000000"/>
          <w:lang w:val="es-PE" w:eastAsia="es-PE"/>
        </w:rPr>
      </w:pPr>
      <w:proofErr w:type="spellStart"/>
      <w:r w:rsidRPr="00C63AC5">
        <w:rPr>
          <w:color w:val="000000"/>
          <w:lang w:val="es-PE" w:eastAsia="es-PE"/>
        </w:rPr>
        <w:t>Leyla</w:t>
      </w:r>
      <w:proofErr w:type="spellEnd"/>
      <w:r w:rsidRPr="00C63AC5">
        <w:rPr>
          <w:color w:val="000000"/>
          <w:lang w:val="es-PE" w:eastAsia="es-PE"/>
        </w:rPr>
        <w:t xml:space="preserve"> Rodas </w:t>
      </w:r>
      <w:proofErr w:type="spellStart"/>
      <w:r w:rsidRPr="00C63AC5">
        <w:rPr>
          <w:color w:val="000000"/>
          <w:lang w:val="es-PE" w:eastAsia="es-PE"/>
        </w:rPr>
        <w:t>Alvarado</w:t>
      </w:r>
      <w:r w:rsidRPr="00C63AC5">
        <w:rPr>
          <w:color w:val="000000"/>
          <w:vertAlign w:val="superscript"/>
          <w:lang w:val="es-PE" w:eastAsia="es-PE"/>
        </w:rPr>
        <w:t>1</w:t>
      </w:r>
      <w:proofErr w:type="spellEnd"/>
      <w:r w:rsidRPr="00C63AC5">
        <w:rPr>
          <w:color w:val="000000"/>
          <w:lang w:val="es-PE" w:eastAsia="es-PE"/>
        </w:rPr>
        <w:t xml:space="preserve"> </w:t>
      </w:r>
      <w:hyperlink r:id="rId7" w:history="1">
        <w:r w:rsidRPr="00C63AC5">
          <w:rPr>
            <w:color w:val="0563C1"/>
            <w:u w:val="single"/>
            <w:lang w:val="es-PE" w:eastAsia="es-PE"/>
          </w:rPr>
          <w:t>https://orcid.org/0000-0002-0818-6626</w:t>
        </w:r>
      </w:hyperlink>
    </w:p>
    <w:p w14:paraId="640EDCBF" w14:textId="77777777" w:rsidR="00C63AC5" w:rsidRPr="00C63AC5" w:rsidRDefault="00C63AC5" w:rsidP="00C63AC5">
      <w:pPr>
        <w:spacing w:line="360" w:lineRule="auto"/>
        <w:jc w:val="both"/>
        <w:rPr>
          <w:color w:val="000000"/>
          <w:lang w:val="es-PE" w:eastAsia="es-PE"/>
        </w:rPr>
      </w:pPr>
      <w:r w:rsidRPr="00C63AC5">
        <w:rPr>
          <w:color w:val="000000"/>
          <w:lang w:val="es-PE" w:eastAsia="es-PE"/>
        </w:rPr>
        <w:t>Víctor Juan Vera-</w:t>
      </w:r>
      <w:proofErr w:type="spellStart"/>
      <w:r w:rsidRPr="00C63AC5">
        <w:rPr>
          <w:color w:val="000000"/>
          <w:lang w:val="es-PE" w:eastAsia="es-PE"/>
        </w:rPr>
        <w:t>Ponce</w:t>
      </w:r>
      <w:r w:rsidRPr="00C63AC5">
        <w:rPr>
          <w:color w:val="000000"/>
          <w:vertAlign w:val="superscript"/>
          <w:lang w:val="es-PE" w:eastAsia="es-PE"/>
        </w:rPr>
        <w:t>1</w:t>
      </w:r>
      <w:proofErr w:type="spellEnd"/>
      <w:r w:rsidRPr="00C63AC5">
        <w:rPr>
          <w:color w:val="000000"/>
          <w:lang w:val="es-PE" w:eastAsia="es-PE"/>
        </w:rPr>
        <w:t xml:space="preserve">* </w:t>
      </w:r>
      <w:hyperlink r:id="rId8" w:history="1">
        <w:r w:rsidRPr="00C63AC5">
          <w:rPr>
            <w:color w:val="0563C1"/>
            <w:u w:val="single"/>
            <w:lang w:val="es-PE" w:eastAsia="es-PE"/>
          </w:rPr>
          <w:t>https://orcid.org/0000-0003-4075-9049</w:t>
        </w:r>
      </w:hyperlink>
    </w:p>
    <w:p w14:paraId="29377962" w14:textId="77777777" w:rsidR="00C63AC5" w:rsidRPr="00C63AC5" w:rsidRDefault="00C63AC5" w:rsidP="00C63AC5">
      <w:pPr>
        <w:widowControl w:val="0"/>
        <w:pBdr>
          <w:top w:val="nil"/>
          <w:left w:val="nil"/>
          <w:bottom w:val="nil"/>
          <w:right w:val="nil"/>
          <w:between w:val="nil"/>
        </w:pBdr>
        <w:spacing w:line="360" w:lineRule="auto"/>
        <w:rPr>
          <w:color w:val="000000"/>
          <w:lang w:val="es-PE" w:eastAsia="es-PE"/>
        </w:rPr>
      </w:pPr>
      <w:r w:rsidRPr="00C63AC5">
        <w:rPr>
          <w:color w:val="000000"/>
          <w:lang w:val="es-PE" w:eastAsia="es-PE"/>
        </w:rPr>
        <w:t>Jenny Raquel Torres-</w:t>
      </w:r>
      <w:proofErr w:type="spellStart"/>
      <w:r w:rsidRPr="00C63AC5">
        <w:rPr>
          <w:color w:val="000000"/>
          <w:lang w:val="es-PE" w:eastAsia="es-PE"/>
        </w:rPr>
        <w:t>Malca</w:t>
      </w:r>
      <w:r w:rsidRPr="00C63AC5">
        <w:rPr>
          <w:color w:val="000000"/>
          <w:vertAlign w:val="superscript"/>
          <w:lang w:val="es-PE" w:eastAsia="es-PE"/>
        </w:rPr>
        <w:t>2</w:t>
      </w:r>
      <w:proofErr w:type="spellEnd"/>
      <w:r w:rsidRPr="00C63AC5">
        <w:rPr>
          <w:color w:val="000000"/>
          <w:lang w:val="es-PE" w:eastAsia="es-PE"/>
        </w:rPr>
        <w:t xml:space="preserve"> </w:t>
      </w:r>
      <w:hyperlink r:id="rId9" w:history="1">
        <w:r w:rsidRPr="00C63AC5">
          <w:rPr>
            <w:color w:val="0563C1"/>
            <w:u w:val="single"/>
            <w:lang w:val="es-PE" w:eastAsia="es-PE"/>
          </w:rPr>
          <w:t>https://orcid.org/0000-0002-7199-8475</w:t>
        </w:r>
      </w:hyperlink>
    </w:p>
    <w:p w14:paraId="503870F4" w14:textId="77777777" w:rsidR="00C63AC5" w:rsidRPr="00C63AC5" w:rsidRDefault="00C63AC5" w:rsidP="00C63AC5">
      <w:pPr>
        <w:spacing w:line="360" w:lineRule="auto"/>
        <w:jc w:val="both"/>
        <w:rPr>
          <w:color w:val="000000"/>
          <w:lang w:val="es-PE" w:eastAsia="es-PE"/>
        </w:rPr>
      </w:pPr>
      <w:r w:rsidRPr="00C63AC5">
        <w:rPr>
          <w:color w:val="000000"/>
          <w:lang w:val="es-PE" w:eastAsia="es-PE"/>
        </w:rPr>
        <w:t xml:space="preserve">Jesús E. </w:t>
      </w:r>
      <w:proofErr w:type="spellStart"/>
      <w:r w:rsidRPr="00C63AC5">
        <w:rPr>
          <w:color w:val="000000"/>
          <w:lang w:val="es-PE" w:eastAsia="es-PE"/>
        </w:rPr>
        <w:t>Talavera</w:t>
      </w:r>
      <w:r w:rsidRPr="00C63AC5">
        <w:rPr>
          <w:color w:val="000000"/>
          <w:vertAlign w:val="superscript"/>
          <w:lang w:val="es-PE" w:eastAsia="es-PE"/>
        </w:rPr>
        <w:t>1</w:t>
      </w:r>
      <w:proofErr w:type="spellEnd"/>
      <w:r w:rsidRPr="00C63AC5">
        <w:rPr>
          <w:color w:val="000000"/>
          <w:lang w:val="es-PE" w:eastAsia="es-PE"/>
        </w:rPr>
        <w:t xml:space="preserve"> </w:t>
      </w:r>
      <w:hyperlink r:id="rId10" w:history="1">
        <w:r w:rsidRPr="00C63AC5">
          <w:rPr>
            <w:color w:val="0563C1"/>
            <w:u w:val="single"/>
            <w:lang w:val="es-PE" w:eastAsia="es-PE"/>
          </w:rPr>
          <w:t>https://orcid.org/0000-0002-0267-2105</w:t>
        </w:r>
      </w:hyperlink>
    </w:p>
    <w:p w14:paraId="20521E01" w14:textId="77777777" w:rsidR="00C63AC5" w:rsidRPr="00C63AC5" w:rsidRDefault="00C63AC5" w:rsidP="00C63AC5">
      <w:pPr>
        <w:widowControl w:val="0"/>
        <w:pBdr>
          <w:top w:val="nil"/>
          <w:left w:val="nil"/>
          <w:bottom w:val="nil"/>
          <w:right w:val="nil"/>
          <w:between w:val="nil"/>
        </w:pBdr>
        <w:spacing w:line="360" w:lineRule="auto"/>
        <w:rPr>
          <w:color w:val="000000"/>
          <w:lang w:val="es-PE" w:eastAsia="es-PE"/>
        </w:rPr>
      </w:pPr>
      <w:bookmarkStart w:id="0" w:name="_Hlk94035076"/>
      <w:r w:rsidRPr="00C63AC5">
        <w:rPr>
          <w:color w:val="000000"/>
          <w:lang w:val="es-PE" w:eastAsia="es-PE"/>
        </w:rPr>
        <w:t>Fiorella E. Zuzunaga-</w:t>
      </w:r>
      <w:proofErr w:type="spellStart"/>
      <w:r w:rsidRPr="00C63AC5">
        <w:rPr>
          <w:color w:val="000000"/>
          <w:lang w:val="es-PE" w:eastAsia="es-PE"/>
        </w:rPr>
        <w:t>Montoya</w:t>
      </w:r>
      <w:bookmarkEnd w:id="0"/>
      <w:r w:rsidRPr="00C63AC5">
        <w:rPr>
          <w:color w:val="000000"/>
          <w:vertAlign w:val="superscript"/>
          <w:lang w:val="es-PE" w:eastAsia="es-PE"/>
        </w:rPr>
        <w:t>1</w:t>
      </w:r>
      <w:proofErr w:type="spellEnd"/>
      <w:r w:rsidRPr="00C63AC5">
        <w:rPr>
          <w:color w:val="000000"/>
          <w:lang w:val="es-PE" w:eastAsia="es-PE"/>
        </w:rPr>
        <w:t xml:space="preserve"> </w:t>
      </w:r>
      <w:hyperlink r:id="rId11" w:history="1">
        <w:r w:rsidRPr="00C63AC5">
          <w:rPr>
            <w:color w:val="0563C1"/>
            <w:u w:val="single"/>
            <w:lang w:val="es-PE" w:eastAsia="es-PE"/>
          </w:rPr>
          <w:t>https://orcid.org/0000-0002-2354-273X</w:t>
        </w:r>
      </w:hyperlink>
    </w:p>
    <w:p w14:paraId="0955CC48" w14:textId="77777777" w:rsidR="00C63AC5" w:rsidRPr="00C63AC5" w:rsidRDefault="00C63AC5" w:rsidP="00C63AC5">
      <w:pPr>
        <w:widowControl w:val="0"/>
        <w:pBdr>
          <w:top w:val="nil"/>
          <w:left w:val="nil"/>
          <w:bottom w:val="nil"/>
          <w:right w:val="nil"/>
          <w:between w:val="nil"/>
        </w:pBdr>
        <w:spacing w:line="360" w:lineRule="auto"/>
        <w:rPr>
          <w:color w:val="000000"/>
          <w:lang w:val="es-PE" w:eastAsia="es-PE"/>
        </w:rPr>
      </w:pPr>
      <w:r w:rsidRPr="00C63AC5">
        <w:rPr>
          <w:color w:val="000000"/>
          <w:lang w:val="es-PE" w:eastAsia="es-PE"/>
        </w:rPr>
        <w:t>Jhony A. De La Cruz-</w:t>
      </w:r>
      <w:proofErr w:type="spellStart"/>
      <w:r w:rsidRPr="00C63AC5">
        <w:rPr>
          <w:color w:val="000000"/>
          <w:lang w:val="es-PE" w:eastAsia="es-PE"/>
        </w:rPr>
        <w:t>Vargas</w:t>
      </w:r>
      <w:r w:rsidRPr="00C63AC5">
        <w:rPr>
          <w:color w:val="000000"/>
          <w:vertAlign w:val="superscript"/>
          <w:lang w:val="es-PE" w:eastAsia="es-PE"/>
        </w:rPr>
        <w:t>1</w:t>
      </w:r>
      <w:proofErr w:type="spellEnd"/>
      <w:r w:rsidRPr="00C63AC5">
        <w:rPr>
          <w:color w:val="000000"/>
          <w:lang w:val="es-PE" w:eastAsia="es-PE"/>
        </w:rPr>
        <w:t xml:space="preserve"> </w:t>
      </w:r>
      <w:hyperlink r:id="rId12" w:history="1">
        <w:r w:rsidRPr="00C63AC5">
          <w:rPr>
            <w:rFonts w:eastAsia="Arial"/>
            <w:bCs/>
            <w:color w:val="0563C1"/>
            <w:u w:val="single"/>
            <w:lang w:val="es-PE" w:eastAsia="es-PE"/>
          </w:rPr>
          <w:t>https://orcid.org/0000-0002-5592-0504</w:t>
        </w:r>
      </w:hyperlink>
    </w:p>
    <w:p w14:paraId="3B8A974F" w14:textId="77777777" w:rsidR="00C63AC5" w:rsidRPr="00C63AC5" w:rsidRDefault="00C63AC5" w:rsidP="00C63AC5">
      <w:pPr>
        <w:widowControl w:val="0"/>
        <w:pBdr>
          <w:top w:val="nil"/>
          <w:left w:val="nil"/>
          <w:bottom w:val="nil"/>
          <w:right w:val="nil"/>
          <w:between w:val="nil"/>
        </w:pBdr>
        <w:spacing w:line="360" w:lineRule="auto"/>
        <w:rPr>
          <w:color w:val="000000"/>
          <w:lang w:val="es-PE" w:eastAsia="es-PE"/>
        </w:rPr>
      </w:pPr>
    </w:p>
    <w:p w14:paraId="4EDB9188" w14:textId="77777777" w:rsidR="00C63AC5" w:rsidRPr="00C63AC5" w:rsidRDefault="00C63AC5" w:rsidP="00C63AC5">
      <w:pPr>
        <w:widowControl w:val="0"/>
        <w:pBdr>
          <w:top w:val="nil"/>
          <w:left w:val="nil"/>
          <w:bottom w:val="nil"/>
          <w:right w:val="nil"/>
          <w:between w:val="nil"/>
        </w:pBdr>
        <w:spacing w:line="360" w:lineRule="auto"/>
        <w:rPr>
          <w:color w:val="000000"/>
          <w:lang w:val="es-PE" w:eastAsia="es-PE"/>
        </w:rPr>
      </w:pPr>
      <w:proofErr w:type="spellStart"/>
      <w:r w:rsidRPr="00C63AC5">
        <w:rPr>
          <w:color w:val="000000"/>
          <w:vertAlign w:val="superscript"/>
          <w:lang w:val="es-PE" w:eastAsia="es-PE"/>
        </w:rPr>
        <w:t>1</w:t>
      </w:r>
      <w:r w:rsidRPr="00C63AC5">
        <w:rPr>
          <w:color w:val="000000"/>
          <w:lang w:val="es-PE" w:eastAsia="es-PE"/>
        </w:rPr>
        <w:t>Instituto</w:t>
      </w:r>
      <w:proofErr w:type="spellEnd"/>
      <w:r w:rsidRPr="00C63AC5">
        <w:rPr>
          <w:color w:val="000000"/>
          <w:lang w:val="es-PE" w:eastAsia="es-PE"/>
        </w:rPr>
        <w:t xml:space="preserve"> de Investigación en Ciencias Biomédicas. Universidad Ricardo Palma. Lima, Perú.</w:t>
      </w:r>
    </w:p>
    <w:p w14:paraId="586AF475" w14:textId="77777777" w:rsidR="00C63AC5" w:rsidRPr="00C63AC5" w:rsidRDefault="00C63AC5" w:rsidP="00C63AC5">
      <w:pPr>
        <w:widowControl w:val="0"/>
        <w:pBdr>
          <w:top w:val="nil"/>
          <w:left w:val="nil"/>
          <w:bottom w:val="nil"/>
          <w:right w:val="nil"/>
          <w:between w:val="nil"/>
        </w:pBdr>
        <w:spacing w:line="360" w:lineRule="auto"/>
        <w:rPr>
          <w:rFonts w:eastAsia="Calibri"/>
          <w:color w:val="000000"/>
          <w:lang w:val="es-PE" w:eastAsia="es-PE"/>
        </w:rPr>
      </w:pPr>
      <w:proofErr w:type="spellStart"/>
      <w:r w:rsidRPr="00C63AC5">
        <w:rPr>
          <w:color w:val="000000"/>
          <w:vertAlign w:val="superscript"/>
          <w:lang w:val="es-PE" w:eastAsia="es-PE"/>
        </w:rPr>
        <w:t>2</w:t>
      </w:r>
      <w:r w:rsidRPr="00C63AC5">
        <w:rPr>
          <w:color w:val="000000"/>
          <w:lang w:val="es-PE" w:eastAsia="es-PE"/>
        </w:rPr>
        <w:t>Universidad</w:t>
      </w:r>
      <w:proofErr w:type="spellEnd"/>
      <w:r w:rsidRPr="00C63AC5">
        <w:rPr>
          <w:color w:val="000000"/>
          <w:lang w:val="es-PE" w:eastAsia="es-PE"/>
        </w:rPr>
        <w:t xml:space="preserve"> Tecnológica del Perú.</w:t>
      </w:r>
      <w:r w:rsidRPr="00C63AC5">
        <w:rPr>
          <w:rFonts w:eastAsia="Calibri"/>
          <w:color w:val="000000"/>
          <w:lang w:val="es-PE" w:eastAsia="es-PE"/>
        </w:rPr>
        <w:t xml:space="preserve"> Lima, Perú.</w:t>
      </w:r>
    </w:p>
    <w:p w14:paraId="1A31157B" w14:textId="77777777" w:rsidR="00C63AC5" w:rsidRPr="00C63AC5" w:rsidRDefault="00C63AC5" w:rsidP="00C63AC5">
      <w:pPr>
        <w:widowControl w:val="0"/>
        <w:pBdr>
          <w:top w:val="nil"/>
          <w:left w:val="nil"/>
          <w:bottom w:val="nil"/>
          <w:right w:val="nil"/>
          <w:between w:val="nil"/>
        </w:pBdr>
        <w:spacing w:line="360" w:lineRule="auto"/>
        <w:rPr>
          <w:color w:val="000000"/>
          <w:lang w:val="es-PE" w:eastAsia="es-PE"/>
        </w:rPr>
      </w:pPr>
    </w:p>
    <w:p w14:paraId="6811D584" w14:textId="77777777" w:rsidR="00C63AC5" w:rsidRPr="00C63AC5" w:rsidRDefault="00C63AC5" w:rsidP="00C63AC5">
      <w:pPr>
        <w:spacing w:line="360" w:lineRule="auto"/>
        <w:jc w:val="both"/>
        <w:rPr>
          <w:rFonts w:eastAsia="Arial"/>
          <w:color w:val="000000"/>
          <w:lang w:val="es-PE" w:eastAsia="es-PE"/>
        </w:rPr>
      </w:pPr>
      <w:r w:rsidRPr="00C63AC5">
        <w:rPr>
          <w:rFonts w:eastAsia="Arial"/>
          <w:b/>
          <w:color w:val="000000"/>
          <w:lang w:val="es-PE" w:eastAsia="es-PE"/>
        </w:rPr>
        <w:t>*</w:t>
      </w:r>
      <w:r w:rsidRPr="00C63AC5">
        <w:rPr>
          <w:rFonts w:eastAsia="Arial"/>
          <w:color w:val="000000"/>
          <w:lang w:val="es-PE" w:eastAsia="es-PE"/>
        </w:rPr>
        <w:t xml:space="preserve">Autor para la correspondencia. Correo electrónico: </w:t>
      </w:r>
      <w:hyperlink r:id="rId13" w:history="1">
        <w:r w:rsidRPr="00C63AC5">
          <w:rPr>
            <w:color w:val="0563C1"/>
            <w:spacing w:val="3"/>
            <w:u w:val="single"/>
            <w:shd w:val="clear" w:color="auto" w:fill="FFFFFF"/>
            <w:lang w:val="es-PE" w:eastAsia="es-PE"/>
          </w:rPr>
          <w:t>goodliferesearchgroup@gmail.com</w:t>
        </w:r>
      </w:hyperlink>
      <w:r w:rsidRPr="00C63AC5">
        <w:rPr>
          <w:color w:val="5F6368"/>
          <w:spacing w:val="3"/>
          <w:sz w:val="21"/>
          <w:szCs w:val="21"/>
          <w:shd w:val="clear" w:color="auto" w:fill="FFFFFF"/>
          <w:lang w:val="es-PE" w:eastAsia="es-PE"/>
        </w:rPr>
        <w:t xml:space="preserve"> </w:t>
      </w:r>
    </w:p>
    <w:p w14:paraId="0F390DE3" w14:textId="77777777" w:rsidR="00C63AC5" w:rsidRPr="00C63AC5" w:rsidRDefault="00C63AC5" w:rsidP="00C63AC5">
      <w:pPr>
        <w:spacing w:line="360" w:lineRule="auto"/>
        <w:jc w:val="both"/>
        <w:rPr>
          <w:rFonts w:eastAsia="Arial"/>
          <w:b/>
          <w:color w:val="000000"/>
          <w:lang w:val="es-PE" w:eastAsia="es-PE"/>
        </w:rPr>
      </w:pPr>
    </w:p>
    <w:p w14:paraId="1AD66448" w14:textId="77777777" w:rsidR="00C63AC5" w:rsidRPr="00C63AC5" w:rsidRDefault="00C63AC5" w:rsidP="00C63AC5">
      <w:pPr>
        <w:spacing w:line="360" w:lineRule="auto"/>
        <w:jc w:val="both"/>
        <w:rPr>
          <w:rFonts w:eastAsia="Arial"/>
          <w:b/>
          <w:color w:val="000000"/>
          <w:lang w:val="es-PE" w:eastAsia="es-PE"/>
        </w:rPr>
      </w:pPr>
      <w:r w:rsidRPr="00C63AC5">
        <w:rPr>
          <w:rFonts w:eastAsia="Arial"/>
          <w:b/>
          <w:color w:val="000000"/>
          <w:lang w:val="es-PE" w:eastAsia="es-PE"/>
        </w:rPr>
        <w:t>RESUMEN</w:t>
      </w:r>
    </w:p>
    <w:p w14:paraId="2DD1D515" w14:textId="77777777" w:rsidR="00C63AC5" w:rsidRPr="00C63AC5" w:rsidRDefault="00C63AC5" w:rsidP="00C63AC5">
      <w:pPr>
        <w:widowControl w:val="0"/>
        <w:pBdr>
          <w:top w:val="nil"/>
          <w:left w:val="nil"/>
          <w:bottom w:val="nil"/>
          <w:right w:val="nil"/>
          <w:between w:val="nil"/>
        </w:pBdr>
        <w:spacing w:line="360" w:lineRule="auto"/>
        <w:jc w:val="both"/>
        <w:rPr>
          <w:rFonts w:eastAsia="Arial"/>
          <w:bCs/>
          <w:color w:val="000000"/>
          <w:lang w:val="es-PE" w:eastAsia="es-PE"/>
        </w:rPr>
      </w:pPr>
      <w:r w:rsidRPr="00C63AC5">
        <w:rPr>
          <w:rFonts w:eastAsia="Arial"/>
          <w:b/>
          <w:bCs/>
          <w:color w:val="000000"/>
          <w:lang w:val="es-PE" w:eastAsia="es-PE"/>
        </w:rPr>
        <w:t>Introducción:</w:t>
      </w:r>
      <w:r w:rsidRPr="00C63AC5">
        <w:rPr>
          <w:rFonts w:eastAsia="Arial"/>
          <w:bCs/>
          <w:color w:val="000000"/>
          <w:lang w:val="es-PE" w:eastAsia="es-PE"/>
        </w:rPr>
        <w:t xml:space="preserve"> La obesidad y el déficit de vitamina D son alteraciones que están presentes en el adulto mayor, pero su asociación entre ambos no está del todo claro.</w:t>
      </w:r>
    </w:p>
    <w:p w14:paraId="65E83F93" w14:textId="77777777" w:rsidR="00C63AC5" w:rsidRPr="00C63AC5" w:rsidRDefault="00C63AC5" w:rsidP="00C63AC5">
      <w:pPr>
        <w:widowControl w:val="0"/>
        <w:pBdr>
          <w:top w:val="nil"/>
          <w:left w:val="nil"/>
          <w:bottom w:val="nil"/>
          <w:right w:val="nil"/>
          <w:between w:val="nil"/>
        </w:pBdr>
        <w:spacing w:line="360" w:lineRule="auto"/>
        <w:jc w:val="both"/>
        <w:rPr>
          <w:rFonts w:eastAsia="Arial"/>
          <w:bCs/>
          <w:color w:val="000000"/>
          <w:lang w:val="es-PE" w:eastAsia="es-PE"/>
        </w:rPr>
      </w:pPr>
      <w:r w:rsidRPr="00C63AC5">
        <w:rPr>
          <w:rFonts w:eastAsia="Arial"/>
          <w:b/>
          <w:bCs/>
          <w:color w:val="000000"/>
          <w:lang w:val="es-PE" w:eastAsia="es-PE"/>
        </w:rPr>
        <w:t>Objetivo:</w:t>
      </w:r>
      <w:r w:rsidRPr="00C63AC5">
        <w:rPr>
          <w:rFonts w:eastAsia="Arial"/>
          <w:bCs/>
          <w:color w:val="000000"/>
          <w:lang w:val="es-PE" w:eastAsia="es-PE"/>
        </w:rPr>
        <w:t xml:space="preserve">  Determinar la asociación entre obesidad y el déficit de vitamina D en población adulta mayor. </w:t>
      </w:r>
    </w:p>
    <w:p w14:paraId="19DBC60B"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rFonts w:eastAsia="Arial"/>
          <w:b/>
          <w:bCs/>
          <w:color w:val="000000"/>
          <w:lang w:val="es-PE" w:eastAsia="es-PE"/>
        </w:rPr>
        <w:t>Métodos:</w:t>
      </w:r>
      <w:r w:rsidRPr="00C63AC5">
        <w:rPr>
          <w:rFonts w:eastAsia="Arial"/>
          <w:bCs/>
          <w:color w:val="000000"/>
          <w:lang w:val="es-PE" w:eastAsia="es-PE"/>
        </w:rPr>
        <w:t xml:space="preserve"> Revisión sistemática de estudios observacionales. La búsqueda se realizó en </w:t>
      </w:r>
      <w:proofErr w:type="spellStart"/>
      <w:r w:rsidRPr="00C63AC5">
        <w:rPr>
          <w:color w:val="000000"/>
          <w:lang w:val="es-MX" w:eastAsia="es-PE"/>
        </w:rPr>
        <w:t>Pubmed</w:t>
      </w:r>
      <w:proofErr w:type="spellEnd"/>
      <w:r w:rsidRPr="00C63AC5">
        <w:rPr>
          <w:color w:val="000000"/>
          <w:lang w:val="es-MX" w:eastAsia="es-PE"/>
        </w:rPr>
        <w:t xml:space="preserve">/Medline, </w:t>
      </w:r>
      <w:proofErr w:type="spellStart"/>
      <w:r w:rsidRPr="00C63AC5">
        <w:rPr>
          <w:color w:val="000000"/>
          <w:lang w:val="es-MX" w:eastAsia="es-PE"/>
        </w:rPr>
        <w:t>SCOPUS</w:t>
      </w:r>
      <w:proofErr w:type="spellEnd"/>
      <w:r w:rsidRPr="00C63AC5">
        <w:rPr>
          <w:color w:val="000000"/>
          <w:lang w:val="es-MX" w:eastAsia="es-PE"/>
        </w:rPr>
        <w:t xml:space="preserve">, Web </w:t>
      </w:r>
      <w:proofErr w:type="spellStart"/>
      <w:r w:rsidRPr="00C63AC5">
        <w:rPr>
          <w:color w:val="000000"/>
          <w:lang w:val="es-MX" w:eastAsia="es-PE"/>
        </w:rPr>
        <w:t>of</w:t>
      </w:r>
      <w:proofErr w:type="spellEnd"/>
      <w:r w:rsidRPr="00C63AC5">
        <w:rPr>
          <w:color w:val="000000"/>
          <w:lang w:val="es-MX" w:eastAsia="es-PE"/>
        </w:rPr>
        <w:t xml:space="preserve"> </w:t>
      </w:r>
      <w:proofErr w:type="spellStart"/>
      <w:r w:rsidRPr="00C63AC5">
        <w:rPr>
          <w:color w:val="000000"/>
          <w:lang w:val="es-MX" w:eastAsia="es-PE"/>
        </w:rPr>
        <w:t>Science</w:t>
      </w:r>
      <w:proofErr w:type="spellEnd"/>
      <w:r w:rsidRPr="00C63AC5">
        <w:rPr>
          <w:color w:val="000000"/>
          <w:lang w:val="es-MX" w:eastAsia="es-PE"/>
        </w:rPr>
        <w:t xml:space="preserve">, Cochrane Library y </w:t>
      </w:r>
      <w:proofErr w:type="spellStart"/>
      <w:r w:rsidRPr="00C63AC5">
        <w:rPr>
          <w:color w:val="000000"/>
          <w:lang w:val="es-MX" w:eastAsia="es-PE"/>
        </w:rPr>
        <w:t>EMBASE</w:t>
      </w:r>
      <w:proofErr w:type="spellEnd"/>
      <w:r w:rsidRPr="00C63AC5">
        <w:rPr>
          <w:color w:val="000000"/>
          <w:lang w:val="es-MX" w:eastAsia="es-PE"/>
        </w:rPr>
        <w:t>. La obesidad fue medida a través a través del índice de masa corporal y cintura abdominal; el déficit de vitamina D, por la 25-</w:t>
      </w:r>
      <w:proofErr w:type="spellStart"/>
      <w:r w:rsidRPr="00C63AC5">
        <w:rPr>
          <w:color w:val="000000"/>
          <w:lang w:val="es-MX" w:eastAsia="es-PE"/>
        </w:rPr>
        <w:t>hidroxi</w:t>
      </w:r>
      <w:proofErr w:type="spellEnd"/>
      <w:r w:rsidRPr="00C63AC5">
        <w:rPr>
          <w:color w:val="000000"/>
          <w:lang w:val="es-MX" w:eastAsia="es-PE"/>
        </w:rPr>
        <w:t xml:space="preserve">-vitamina D. Estos datos se combinaron con un modelo de efectos aleatorios y las </w:t>
      </w:r>
      <w:r w:rsidRPr="00C63AC5">
        <w:rPr>
          <w:color w:val="000000"/>
          <w:lang w:val="es-MX" w:eastAsia="es-PE"/>
        </w:rPr>
        <w:lastRenderedPageBreak/>
        <w:t xml:space="preserve">medidas de asociación se calcularon a través del el </w:t>
      </w:r>
      <w:proofErr w:type="spellStart"/>
      <w:r w:rsidRPr="00C63AC5">
        <w:rPr>
          <w:i/>
          <w:iCs/>
          <w:color w:val="000000"/>
          <w:lang w:val="es-MX" w:eastAsia="es-PE"/>
        </w:rPr>
        <w:t>odds</w:t>
      </w:r>
      <w:proofErr w:type="spellEnd"/>
      <w:r w:rsidRPr="00C63AC5">
        <w:rPr>
          <w:i/>
          <w:iCs/>
          <w:color w:val="000000"/>
          <w:lang w:val="es-MX" w:eastAsia="es-PE"/>
        </w:rPr>
        <w:t xml:space="preserve"> ratio </w:t>
      </w:r>
      <w:r w:rsidRPr="00C63AC5">
        <w:rPr>
          <w:color w:val="000000"/>
          <w:lang w:val="es-MX" w:eastAsia="es-PE"/>
        </w:rPr>
        <w:t>(</w:t>
      </w:r>
      <w:proofErr w:type="spellStart"/>
      <w:r w:rsidRPr="00C63AC5">
        <w:rPr>
          <w:color w:val="000000"/>
          <w:lang w:val="es-MX" w:eastAsia="es-PE"/>
        </w:rPr>
        <w:t>OR</w:t>
      </w:r>
      <w:proofErr w:type="spellEnd"/>
      <w:r w:rsidRPr="00C63AC5">
        <w:rPr>
          <w:color w:val="000000"/>
          <w:lang w:val="es-MX" w:eastAsia="es-PE"/>
        </w:rPr>
        <w:t xml:space="preserve">). La heterogeneidad se midió según el I cuadrado. </w:t>
      </w:r>
    </w:p>
    <w:p w14:paraId="1F494D18"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b/>
          <w:bCs/>
          <w:color w:val="000000"/>
          <w:lang w:val="es-MX" w:eastAsia="es-PE"/>
        </w:rPr>
        <w:t>Resultados:</w:t>
      </w:r>
      <w:r w:rsidRPr="00C63AC5">
        <w:rPr>
          <w:color w:val="000000"/>
          <w:lang w:val="es-MX" w:eastAsia="es-PE"/>
        </w:rPr>
        <w:t xml:space="preserve"> </w:t>
      </w:r>
      <w:r w:rsidRPr="00C63AC5">
        <w:rPr>
          <w:rFonts w:eastAsia="Arial"/>
          <w:bCs/>
          <w:color w:val="000000"/>
          <w:lang w:val="es-PE" w:eastAsia="es-PE"/>
        </w:rPr>
        <w:t xml:space="preserve">Cinco estudios fueron incluidos </w:t>
      </w:r>
      <w:r w:rsidRPr="00C63AC5">
        <w:rPr>
          <w:color w:val="000000"/>
          <w:lang w:val="es-MX" w:eastAsia="es-PE"/>
        </w:rPr>
        <w:t>(n= 17 700</w:t>
      </w:r>
      <w:r w:rsidRPr="00C63AC5">
        <w:rPr>
          <w:rFonts w:eastAsia="Arial"/>
          <w:bCs/>
          <w:color w:val="000000"/>
          <w:lang w:val="es-PE" w:eastAsia="es-PE"/>
        </w:rPr>
        <w:t xml:space="preserve">. Se encontró asociación entre la vitamina D con la obesidad según </w:t>
      </w:r>
      <w:r w:rsidRPr="00C63AC5">
        <w:rPr>
          <w:color w:val="000000"/>
          <w:lang w:val="es-MX" w:eastAsia="es-PE"/>
        </w:rPr>
        <w:t xml:space="preserve">índice de masa corporal </w:t>
      </w:r>
      <w:r w:rsidRPr="00C63AC5">
        <w:rPr>
          <w:rFonts w:eastAsia="Arial"/>
          <w:bCs/>
          <w:color w:val="000000"/>
          <w:lang w:val="es-PE" w:eastAsia="es-PE"/>
        </w:rPr>
        <w:t>(</w:t>
      </w:r>
      <w:proofErr w:type="spellStart"/>
      <w:r w:rsidRPr="00C63AC5">
        <w:rPr>
          <w:color w:val="000000"/>
          <w:lang w:val="es-MX" w:eastAsia="es-PE"/>
        </w:rPr>
        <w:t>OR</w:t>
      </w:r>
      <w:proofErr w:type="spellEnd"/>
      <w:r w:rsidRPr="00C63AC5">
        <w:rPr>
          <w:color w:val="000000"/>
          <w:lang w:val="es-MX" w:eastAsia="es-PE"/>
        </w:rPr>
        <w:t xml:space="preserve">= 1,36; </w:t>
      </w:r>
      <w:proofErr w:type="spellStart"/>
      <w:r w:rsidRPr="00C63AC5">
        <w:rPr>
          <w:color w:val="000000"/>
          <w:lang w:val="es-MX" w:eastAsia="es-PE"/>
        </w:rPr>
        <w:t>IC95</w:t>
      </w:r>
      <w:proofErr w:type="spellEnd"/>
      <w:r w:rsidRPr="00C63AC5">
        <w:rPr>
          <w:color w:val="000000"/>
          <w:lang w:val="es-MX" w:eastAsia="es-PE"/>
        </w:rPr>
        <w:t xml:space="preserve"> %: 1,04-1,77) y según cintura abdominal </w:t>
      </w:r>
      <w:proofErr w:type="spellStart"/>
      <w:r w:rsidRPr="00C63AC5">
        <w:rPr>
          <w:color w:val="000000"/>
          <w:lang w:val="es-MX" w:eastAsia="es-PE"/>
        </w:rPr>
        <w:t>abdominal</w:t>
      </w:r>
      <w:proofErr w:type="spellEnd"/>
      <w:r w:rsidRPr="00C63AC5">
        <w:rPr>
          <w:color w:val="000000"/>
          <w:lang w:val="es-MX" w:eastAsia="es-PE"/>
        </w:rPr>
        <w:t xml:space="preserve"> (</w:t>
      </w:r>
      <w:proofErr w:type="spellStart"/>
      <w:r w:rsidRPr="00C63AC5">
        <w:rPr>
          <w:color w:val="000000"/>
          <w:lang w:val="es-MX" w:eastAsia="es-PE"/>
        </w:rPr>
        <w:t>OR</w:t>
      </w:r>
      <w:proofErr w:type="spellEnd"/>
      <w:r w:rsidRPr="00C63AC5">
        <w:rPr>
          <w:color w:val="000000"/>
          <w:lang w:val="es-MX" w:eastAsia="es-PE"/>
        </w:rPr>
        <w:t xml:space="preserve">=1,74; </w:t>
      </w:r>
      <w:proofErr w:type="spellStart"/>
      <w:r w:rsidRPr="00C63AC5">
        <w:rPr>
          <w:color w:val="000000"/>
          <w:lang w:val="es-MX" w:eastAsia="es-PE"/>
        </w:rPr>
        <w:t>IC95</w:t>
      </w:r>
      <w:proofErr w:type="spellEnd"/>
      <w:r w:rsidRPr="00C63AC5">
        <w:rPr>
          <w:color w:val="000000"/>
          <w:lang w:val="es-MX" w:eastAsia="es-PE"/>
        </w:rPr>
        <w:t xml:space="preserve"> %: 1,26-2,40. La heterogeneidad de los efectos entre los estudios fue de moderada a alta. </w:t>
      </w:r>
    </w:p>
    <w:p w14:paraId="5A1F54EE"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rFonts w:eastAsia="Arial"/>
          <w:b/>
          <w:color w:val="000000"/>
          <w:lang w:val="es-PE" w:eastAsia="es-PE"/>
        </w:rPr>
        <w:t>Conclusiones:</w:t>
      </w:r>
      <w:r w:rsidRPr="00C63AC5">
        <w:rPr>
          <w:rFonts w:eastAsia="Arial"/>
          <w:bCs/>
          <w:color w:val="000000"/>
          <w:lang w:val="es-PE" w:eastAsia="es-PE"/>
        </w:rPr>
        <w:t xml:space="preserve"> </w:t>
      </w:r>
      <w:r w:rsidRPr="00C63AC5">
        <w:rPr>
          <w:color w:val="000000"/>
          <w:lang w:val="es-MX" w:eastAsia="es-PE"/>
        </w:rPr>
        <w:t>Se encuentra asociación entre la presencia de obesidad y el déficit de vitamina D en la población anciana.</w:t>
      </w:r>
    </w:p>
    <w:p w14:paraId="7F0A05AD" w14:textId="77777777" w:rsidR="00C63AC5" w:rsidRPr="00C63AC5" w:rsidRDefault="00C63AC5" w:rsidP="00C63AC5">
      <w:pPr>
        <w:spacing w:line="360" w:lineRule="auto"/>
        <w:jc w:val="both"/>
        <w:rPr>
          <w:rFonts w:eastAsia="Arial"/>
          <w:bCs/>
          <w:color w:val="000000"/>
          <w:lang w:val="es-PE" w:eastAsia="es-PE"/>
        </w:rPr>
      </w:pPr>
      <w:r w:rsidRPr="00C63AC5">
        <w:rPr>
          <w:rFonts w:eastAsia="Arial"/>
          <w:b/>
          <w:bCs/>
          <w:color w:val="000000"/>
          <w:lang w:val="es-PE" w:eastAsia="es-PE"/>
        </w:rPr>
        <w:t>Palabras clave:</w:t>
      </w:r>
      <w:r w:rsidRPr="00C63AC5">
        <w:rPr>
          <w:rFonts w:eastAsia="Arial"/>
          <w:bCs/>
          <w:color w:val="000000"/>
          <w:lang w:val="es-PE" w:eastAsia="es-PE"/>
        </w:rPr>
        <w:t xml:space="preserve"> obesidad; circunferencia de la cintura; índice de masa corporal; vitamina D; revisión sistemática. </w:t>
      </w:r>
    </w:p>
    <w:p w14:paraId="3E88A82C" w14:textId="77777777" w:rsidR="00C63AC5" w:rsidRPr="00C63AC5" w:rsidRDefault="00C63AC5" w:rsidP="00C63AC5">
      <w:pPr>
        <w:spacing w:line="360" w:lineRule="auto"/>
        <w:jc w:val="both"/>
        <w:rPr>
          <w:rFonts w:eastAsia="Arial"/>
          <w:b/>
          <w:color w:val="000000"/>
          <w:lang w:val="es-CU" w:eastAsia="es-PE"/>
        </w:rPr>
      </w:pPr>
    </w:p>
    <w:p w14:paraId="1BA8703C" w14:textId="77777777" w:rsidR="00C63AC5" w:rsidRPr="00C63AC5" w:rsidRDefault="00C63AC5" w:rsidP="00C63AC5">
      <w:pPr>
        <w:spacing w:line="360" w:lineRule="auto"/>
        <w:jc w:val="both"/>
        <w:rPr>
          <w:rFonts w:eastAsia="Arial"/>
          <w:b/>
          <w:color w:val="000000"/>
          <w:lang w:val="en-US" w:eastAsia="es-PE"/>
        </w:rPr>
      </w:pPr>
      <w:r w:rsidRPr="00C63AC5">
        <w:rPr>
          <w:rFonts w:eastAsia="Arial"/>
          <w:b/>
          <w:color w:val="000000"/>
          <w:lang w:val="en-US" w:eastAsia="es-PE"/>
        </w:rPr>
        <w:t>ABSTRACT</w:t>
      </w:r>
    </w:p>
    <w:p w14:paraId="27E675E1" w14:textId="77777777" w:rsidR="00C63AC5" w:rsidRPr="00C63AC5" w:rsidRDefault="00C63AC5" w:rsidP="00C63AC5">
      <w:pPr>
        <w:spacing w:line="360" w:lineRule="auto"/>
        <w:jc w:val="both"/>
        <w:rPr>
          <w:rFonts w:eastAsia="Arial"/>
          <w:bCs/>
          <w:color w:val="000000"/>
          <w:lang w:val="en-US" w:eastAsia="es-PE"/>
        </w:rPr>
      </w:pPr>
      <w:r w:rsidRPr="00C63AC5">
        <w:rPr>
          <w:rFonts w:eastAsia="Arial"/>
          <w:b/>
          <w:color w:val="000000"/>
          <w:lang w:val="en-US" w:eastAsia="es-PE"/>
        </w:rPr>
        <w:t>Introduction</w:t>
      </w:r>
      <w:r w:rsidRPr="00C63AC5">
        <w:rPr>
          <w:rFonts w:eastAsia="Arial"/>
          <w:bCs/>
          <w:color w:val="000000"/>
          <w:lang w:val="en-US" w:eastAsia="es-PE"/>
        </w:rPr>
        <w:t>: Obesity and vitamin D deficiency are alterations that are present in the elderly, but their association is not yet clear.</w:t>
      </w:r>
    </w:p>
    <w:p w14:paraId="4F450889" w14:textId="77777777" w:rsidR="00C63AC5" w:rsidRPr="00C63AC5" w:rsidRDefault="00C63AC5" w:rsidP="00C63AC5">
      <w:pPr>
        <w:spacing w:line="360" w:lineRule="auto"/>
        <w:jc w:val="both"/>
        <w:rPr>
          <w:rFonts w:eastAsia="Arial"/>
          <w:bCs/>
          <w:color w:val="000000"/>
          <w:lang w:val="en-US" w:eastAsia="es-PE"/>
        </w:rPr>
      </w:pPr>
      <w:r w:rsidRPr="00C63AC5">
        <w:rPr>
          <w:rFonts w:eastAsia="Arial"/>
          <w:b/>
          <w:color w:val="000000"/>
          <w:lang w:val="en-US" w:eastAsia="es-PE"/>
        </w:rPr>
        <w:t>Objective</w:t>
      </w:r>
      <w:r w:rsidRPr="00C63AC5">
        <w:rPr>
          <w:rFonts w:eastAsia="Arial"/>
          <w:bCs/>
          <w:color w:val="000000"/>
          <w:lang w:val="en-US" w:eastAsia="es-PE"/>
        </w:rPr>
        <w:t>: To carry out a systematic review with meta-analysis to determine the association between obesity and vitamin D deficiency.</w:t>
      </w:r>
    </w:p>
    <w:p w14:paraId="26655AC5" w14:textId="77777777" w:rsidR="00C63AC5" w:rsidRPr="00C63AC5" w:rsidRDefault="00C63AC5" w:rsidP="00C63AC5">
      <w:pPr>
        <w:spacing w:line="360" w:lineRule="auto"/>
        <w:jc w:val="both"/>
        <w:rPr>
          <w:rFonts w:eastAsia="Arial"/>
          <w:bCs/>
          <w:color w:val="000000"/>
          <w:lang w:val="en-US" w:eastAsia="es-PE"/>
        </w:rPr>
      </w:pPr>
      <w:r w:rsidRPr="00C63AC5">
        <w:rPr>
          <w:rFonts w:eastAsia="Arial"/>
          <w:b/>
          <w:color w:val="000000"/>
          <w:lang w:val="en-US" w:eastAsia="es-PE"/>
        </w:rPr>
        <w:t>Methods</w:t>
      </w:r>
      <w:r w:rsidRPr="00C63AC5">
        <w:rPr>
          <w:rFonts w:eastAsia="Arial"/>
          <w:bCs/>
          <w:color w:val="000000"/>
          <w:lang w:val="en-US" w:eastAsia="es-PE"/>
        </w:rPr>
        <w:t xml:space="preserve">: Systematic review of observational studies. The search was performed in </w:t>
      </w:r>
      <w:proofErr w:type="spellStart"/>
      <w:r w:rsidRPr="00C63AC5">
        <w:rPr>
          <w:rFonts w:eastAsia="Arial"/>
          <w:bCs/>
          <w:color w:val="000000"/>
          <w:lang w:val="en-US" w:eastAsia="es-PE"/>
        </w:rPr>
        <w:t>Pubmed</w:t>
      </w:r>
      <w:proofErr w:type="spellEnd"/>
      <w:r w:rsidRPr="00C63AC5">
        <w:rPr>
          <w:rFonts w:eastAsia="Arial"/>
          <w:bCs/>
          <w:color w:val="000000"/>
          <w:lang w:val="en-US" w:eastAsia="es-PE"/>
        </w:rPr>
        <w:t>/Medline, SCOPUS, Web of Science, Cochrane Library and EMBASE. Obesity was measured through body mass index and abdominal waist, and vitamin D deficiency by 25-hydroxy-vitamin D. Data were combined using a random effects model and association measures were calculated through the odds ratio (OR). Heterogeneity was measured according to chi squared.</w:t>
      </w:r>
    </w:p>
    <w:p w14:paraId="1957F9BB" w14:textId="77777777" w:rsidR="00C63AC5" w:rsidRPr="00C63AC5" w:rsidRDefault="00C63AC5" w:rsidP="00C63AC5">
      <w:pPr>
        <w:spacing w:line="360" w:lineRule="auto"/>
        <w:jc w:val="both"/>
        <w:rPr>
          <w:rFonts w:eastAsia="Arial"/>
          <w:bCs/>
          <w:color w:val="000000"/>
          <w:lang w:val="en-US" w:eastAsia="es-PE"/>
        </w:rPr>
      </w:pPr>
      <w:r w:rsidRPr="00C63AC5">
        <w:rPr>
          <w:rFonts w:eastAsia="Arial"/>
          <w:b/>
          <w:color w:val="000000"/>
          <w:lang w:val="en-US" w:eastAsia="es-PE"/>
        </w:rPr>
        <w:t>Results</w:t>
      </w:r>
      <w:r w:rsidRPr="00C63AC5">
        <w:rPr>
          <w:rFonts w:eastAsia="Arial"/>
          <w:bCs/>
          <w:color w:val="000000"/>
          <w:lang w:val="en-US" w:eastAsia="es-PE"/>
        </w:rPr>
        <w:t>: Five studies were included (n=17 700). An association was found between vitamin D and obesity according to body mass index (OR= 1.36; 95 % CI: 1.04-1.77) and according to abdominal waist (OR= 1.74; 95 % CI: 1.26-2.40). The heterogeneity of effects between studies was moderate to high.</w:t>
      </w:r>
    </w:p>
    <w:p w14:paraId="5F143D52" w14:textId="77777777" w:rsidR="00C63AC5" w:rsidRPr="00C63AC5" w:rsidRDefault="00C63AC5" w:rsidP="00C63AC5">
      <w:pPr>
        <w:spacing w:line="360" w:lineRule="auto"/>
        <w:jc w:val="both"/>
        <w:rPr>
          <w:rFonts w:eastAsia="Arial"/>
          <w:bCs/>
          <w:color w:val="000000"/>
          <w:lang w:val="en-US" w:eastAsia="es-PE"/>
        </w:rPr>
      </w:pPr>
      <w:r w:rsidRPr="00C63AC5">
        <w:rPr>
          <w:rFonts w:eastAsia="Arial"/>
          <w:b/>
          <w:color w:val="000000"/>
          <w:lang w:val="en-US" w:eastAsia="es-PE"/>
        </w:rPr>
        <w:t>Conclusions</w:t>
      </w:r>
      <w:r w:rsidRPr="00C63AC5">
        <w:rPr>
          <w:rFonts w:eastAsia="Arial"/>
          <w:bCs/>
          <w:color w:val="000000"/>
          <w:lang w:val="en-US" w:eastAsia="es-PE"/>
        </w:rPr>
        <w:t>: An association was found between the presence of obesity and vitamin D deficiency in the elderly population.</w:t>
      </w:r>
    </w:p>
    <w:p w14:paraId="26814A15" w14:textId="77777777" w:rsidR="00C63AC5" w:rsidRPr="00C63AC5" w:rsidRDefault="00C63AC5" w:rsidP="00C63AC5">
      <w:pPr>
        <w:spacing w:line="360" w:lineRule="auto"/>
        <w:jc w:val="both"/>
        <w:rPr>
          <w:rFonts w:eastAsia="Arial"/>
          <w:bCs/>
          <w:color w:val="000000"/>
          <w:lang w:val="en-US" w:eastAsia="es-PE"/>
        </w:rPr>
      </w:pPr>
      <w:r w:rsidRPr="00C63AC5">
        <w:rPr>
          <w:rFonts w:eastAsia="Arial"/>
          <w:b/>
          <w:bCs/>
          <w:color w:val="000000"/>
          <w:lang w:val="en-US" w:eastAsia="es-PE"/>
        </w:rPr>
        <w:t>Keywords</w:t>
      </w:r>
      <w:r w:rsidRPr="00C63AC5">
        <w:rPr>
          <w:rFonts w:eastAsia="Arial"/>
          <w:bCs/>
          <w:color w:val="000000"/>
          <w:lang w:val="en-US" w:eastAsia="es-PE"/>
        </w:rPr>
        <w:t xml:space="preserve">: obesity; waist circumference; body mass index; vitamin D; systematic review. </w:t>
      </w:r>
    </w:p>
    <w:p w14:paraId="4903D28F" w14:textId="77777777" w:rsidR="00C63AC5" w:rsidRPr="00C63AC5" w:rsidRDefault="00C63AC5" w:rsidP="00C63AC5">
      <w:pPr>
        <w:spacing w:line="360" w:lineRule="auto"/>
        <w:jc w:val="both"/>
        <w:rPr>
          <w:rFonts w:eastAsia="Arial"/>
          <w:bCs/>
          <w:color w:val="000000"/>
          <w:lang w:val="en-US" w:eastAsia="es-PE"/>
        </w:rPr>
      </w:pPr>
    </w:p>
    <w:p w14:paraId="32B18401" w14:textId="77777777" w:rsidR="00C63AC5" w:rsidRPr="00C63AC5" w:rsidRDefault="00C63AC5" w:rsidP="00C63AC5">
      <w:pPr>
        <w:spacing w:line="360" w:lineRule="auto"/>
        <w:jc w:val="both"/>
        <w:rPr>
          <w:rFonts w:eastAsia="Arial"/>
          <w:bCs/>
          <w:color w:val="000000"/>
          <w:lang w:val="en-US" w:eastAsia="es-PE"/>
        </w:rPr>
      </w:pPr>
    </w:p>
    <w:p w14:paraId="5F21DBD9" w14:textId="77777777" w:rsidR="00C63AC5" w:rsidRPr="00C63AC5" w:rsidRDefault="00C63AC5" w:rsidP="00C63AC5">
      <w:pPr>
        <w:spacing w:line="360" w:lineRule="auto"/>
        <w:jc w:val="both"/>
        <w:rPr>
          <w:rFonts w:eastAsia="Arial"/>
          <w:bCs/>
          <w:color w:val="000000"/>
          <w:lang w:val="es-CU" w:eastAsia="es-PE"/>
        </w:rPr>
      </w:pPr>
      <w:r w:rsidRPr="00C63AC5">
        <w:rPr>
          <w:rFonts w:eastAsia="Arial"/>
          <w:bCs/>
          <w:color w:val="000000"/>
          <w:lang w:val="es-CU" w:eastAsia="es-PE"/>
        </w:rPr>
        <w:t>Recibido: 16/05/2022</w:t>
      </w:r>
    </w:p>
    <w:p w14:paraId="30FC0A98" w14:textId="77777777" w:rsidR="00C63AC5" w:rsidRPr="00C63AC5" w:rsidRDefault="00C63AC5" w:rsidP="00C63AC5">
      <w:pPr>
        <w:spacing w:line="360" w:lineRule="auto"/>
        <w:jc w:val="both"/>
        <w:rPr>
          <w:rFonts w:eastAsia="Arial"/>
          <w:bCs/>
          <w:color w:val="000000"/>
          <w:lang w:val="es-CU" w:eastAsia="es-PE"/>
        </w:rPr>
      </w:pPr>
      <w:r w:rsidRPr="00C63AC5">
        <w:rPr>
          <w:rFonts w:eastAsia="Arial"/>
          <w:bCs/>
          <w:color w:val="000000"/>
          <w:lang w:val="es-CU" w:eastAsia="es-PE"/>
        </w:rPr>
        <w:t>Aprobado: 26/10/2022</w:t>
      </w:r>
    </w:p>
    <w:p w14:paraId="502F3F3C" w14:textId="77777777" w:rsidR="00C63AC5" w:rsidRPr="00C63AC5" w:rsidRDefault="00C63AC5" w:rsidP="00C63AC5">
      <w:pPr>
        <w:spacing w:line="360" w:lineRule="auto"/>
        <w:jc w:val="both"/>
        <w:rPr>
          <w:rFonts w:eastAsia="Arial"/>
          <w:b/>
          <w:color w:val="000000"/>
          <w:lang w:val="es-CU" w:eastAsia="es-PE"/>
        </w:rPr>
      </w:pPr>
    </w:p>
    <w:p w14:paraId="3F99CEB8" w14:textId="77777777" w:rsidR="00C63AC5" w:rsidRPr="00C63AC5" w:rsidRDefault="00C63AC5" w:rsidP="00C63AC5">
      <w:pPr>
        <w:spacing w:line="360" w:lineRule="auto"/>
        <w:jc w:val="center"/>
        <w:rPr>
          <w:rFonts w:eastAsia="Arial"/>
          <w:b/>
          <w:color w:val="000000"/>
          <w:sz w:val="32"/>
          <w:szCs w:val="32"/>
          <w:lang w:val="es-PE" w:eastAsia="es-PE"/>
        </w:rPr>
      </w:pPr>
    </w:p>
    <w:p w14:paraId="0A9C2E3B" w14:textId="77777777" w:rsidR="00C63AC5" w:rsidRPr="00C63AC5" w:rsidRDefault="00C63AC5" w:rsidP="00C63AC5">
      <w:pPr>
        <w:spacing w:line="360" w:lineRule="auto"/>
        <w:jc w:val="center"/>
        <w:rPr>
          <w:rFonts w:eastAsia="Arial"/>
          <w:b/>
          <w:color w:val="000000"/>
          <w:sz w:val="32"/>
          <w:szCs w:val="32"/>
          <w:lang w:val="es-PE" w:eastAsia="es-PE"/>
        </w:rPr>
      </w:pPr>
      <w:r w:rsidRPr="00C63AC5">
        <w:rPr>
          <w:rFonts w:eastAsia="Arial"/>
          <w:b/>
          <w:color w:val="000000"/>
          <w:sz w:val="32"/>
          <w:szCs w:val="32"/>
          <w:lang w:val="es-PE" w:eastAsia="es-PE"/>
        </w:rPr>
        <w:t>INTRODUCCIÓN</w:t>
      </w:r>
    </w:p>
    <w:p w14:paraId="24A6488E" w14:textId="77777777" w:rsidR="00C63AC5" w:rsidRPr="00C63AC5" w:rsidRDefault="00C63AC5" w:rsidP="00C63AC5">
      <w:pPr>
        <w:spacing w:line="360" w:lineRule="auto"/>
        <w:jc w:val="both"/>
        <w:rPr>
          <w:lang w:val="es-PE" w:eastAsia="es-PE"/>
        </w:rPr>
      </w:pPr>
      <w:r w:rsidRPr="00C63AC5">
        <w:rPr>
          <w:rFonts w:eastAsia="Arial"/>
          <w:bCs/>
          <w:color w:val="000000"/>
          <w:lang w:val="es-PE" w:eastAsia="es-PE"/>
        </w:rPr>
        <w:t>La obesidad es un problema mundial, que afecta a personas de todas las edades, independiente del sexo y región.</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{"citationID":"zyf8le3B","properties":{"formattedCitation":"\\super (1,2)\\nosupersub{}","plainCitation":"(1,2)","noteIndex":0},"citationItems":[{"id":4465,"uris":["http://zotero.org/users/6066349/items/X9IQ3D7F"],"uri":["http://zotero.org/users/6066349/items/X9IQ3D7F"],"itemData":{"id":4465,"type":"article-journal","abstract":"Obesity is a complex multifactorial disease. The worldwide prevalence of overweight and obesity has doubled since 1980 to an extent that nearly a third of the world's population is now classified as overweight or obese. Obesity rates have increased in all ages and both sexes irrespective of geographical locality, ethnicity or socioeconomic status, although the prevalence of obesity is generally greater in older persons and women. This trend was similar across regions and countries, although absolute prevalence rates of overweight and obesity varied widely. For some developed countries, the prevalence rates of obesity seem to have levelled off during the past few years. Body mass index (BMI) is typically used to define overweight and obesity in epidemiological studies. However, BMI has low sensitivity and there is a large inter-individual variability in the percent body fat for any given BMI value, partly attributed to age, sex, and ethnicity. For instance, Asians have greater percent body fat than Caucasians for the same BMI. Greater cardiometabolic risk has also been associated with the localization of excess fat in the visceral adipose tissue and ectopic depots (such as muscle and liver), as well as in cases of increased fat to lean mass ratio (e.g. metabolically-obese normal-weight). These data suggest that obesity may be far more common and requires more urgent attention than what large epidemiological studies suggest. Simply relying on BMI to assess its prevalence could hinder future interventions aimed at obesity prevention and control.","container-title":"Metabolism: Clinical and Experimental","DOI":"10.1016/j.metabol.2018.09.005","ISSN":"1532-8600","journalAbbreviation":"Metabolism","language":"eng","note":"PMID: 30253139","page":"6-10","source":"PubMed","title":"The epidemiology of obesity","volume":"92","author":[{"family":"Chooi","given":"Yu Chung"},{"family":"Ding","given":"Cherlyn"},{"family":"Magkos","given":"Faidon"}],"issued":{"date-parts":[["2019",3]]}}},{"id":4517,"uris":["http://zotero.org/users/6066349/items/RTQ78A7X"],"uri":["http://zotero.org/users/6066349/items/RTQ78A7X"],"itemData":{"id":4517,"type":"article-journal","abstract":"Obesity is a rapidly growing public health problem affecting an increasing number of countries worldwide and creating substantial financial and health burdens. Obesity has a negative impact on health-related quality of life (HRQoL) with reference to physical and mental health status, social relationships, and economic factors. The aim of the present study is to investigate the association of number of comorbidities, psychological status, and disability level with HRQoL in a sample of subjects with obesity.\nMETHODS: A total of 273 subjects with obesity (199 women and 74 men) were recruited. Medical history and anthropometric measurements were carried out. The Italian version of the Laval questionnaire, the TSD-OC (SIO test for obesity-related disabilities), and SCL-90 (Symptom Checklist-90) tests were administered. The association between HRQoL (global and different domains scores of the Laval questionnaire - dependent variable) and age, body mass index (BMI), comorbidity, TSD-OC, and SCL-90 was analysed using a stepwise linear regression model.\nRESULTS: BMI, disability (TSD-OC global score), and psychological symptoms (SCL-90 global severity index) were found to be the main determinants of HRQoL. Single domains of HRQoL (symptoms, activity/mobility, personal hygiene/clothing, emotions, social interaction, and sexual life) showed different patterns of associations with each domain of the Laval questionnaire. BMI, pain, and social life disruptions were found to be significantly associated with most of the HRQoL domains while age, comorbidities, psychological problems (depression, interpersonal symptoms, somatization), and disability were associated with only some domains of the Laval questionnaire. Education, psychological symptoms (obsessive-compulsive, anxiety, hostility, phobic anxiety, paranoid ideation), and disability domains (stiffness, housework, outdoor activities, occupational activities) were not associated with any of the dimensions of the Laval questionnaire.\nDISCUSSION/CONCLUSION: The present study identified key determinants of QoL in subjects with obesity, which could help in refining the multidimensional diagnostic assessment of obesity as well as designing more effective interventions to improve HRQoL in these patients.","container-title":"Obesity Facts","DOI":"10.1159/000506079","ISSN":"1662-4033","issue":"2","journalAbbreviation":"Obes Facts","language":"eng","note":"PMID: 32208387\nPMCID: PMC7250341","page":"191-200","source":"PubMed","title":"Impact of Disability, Psychological Status, and Comorbidity on Health-Related Quality of Life Perceived by Subjects with Obesity","volume":"13","author":[{"family":"Donini","given":"Lorenzo Maria"},{"family":"Rosano","given":"Aldo"},{"family":"Di Lazzaro","given":"Luca"},{"family":"Lubrano","given":"Carla"},{"family":"Carbonelli","given":"Mariagrazia"},{"family":"Pinto","given":"Alessandro"},{"family":"Giusti","given":"Anna Maria"},{"family":"Lenzi","given":"Andrea"},{"family":"Siervo","given":"Mario"}],"issued":{"date-parts":[["2020"]]}}}],"schema":"https://github.com/citation-style-language/schema/raw/master/csl-citation.json"}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(1,2)</w:t>
      </w:r>
      <w:r w:rsidRPr="00C63AC5">
        <w:rPr>
          <w:rFonts w:eastAsia="Arial"/>
          <w:bCs/>
          <w:color w:val="000000"/>
          <w:lang w:val="es-PE" w:eastAsia="es-PE"/>
        </w:rPr>
        <w:fldChar w:fldCharType="end"/>
      </w:r>
      <w:r w:rsidRPr="00C63AC5">
        <w:rPr>
          <w:rFonts w:eastAsia="Arial"/>
          <w:bCs/>
          <w:color w:val="000000"/>
          <w:lang w:val="es-PE" w:eastAsia="es-PE"/>
        </w:rPr>
        <w:t xml:space="preserve"> Alrededor del 40 % de los ancianos en EE.UU. son obesos;</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{"citationID":"XxFvDSHW","properties":{"formattedCitation":"\\super (3)\\nosupersub{}","plainCitation":"(3)","noteIndex":0},"citationItems":[{"id":4507,"uris":["http://zotero.org/users/6066349/items/AQJGIJG7"],"uri":["http://zotero.org/users/6066349/items/AQJGIJG7"],"itemData":{"id":4507,"type":"article-journal","abstract":"The percentage of older obese adults is on the rise. Many clinicians underestimate the health consequences of obesity in the elderly, citing scarce evidence and concerns that weight loss might be detrimental to the health of older adults. Although overweight and obese elders are not at the same risk for morbidity and mortality as younger individuals, quality of life and function are adversely impacted. Weight loss plans in the elderly should include aerobic activities as well as balance and resistance activities to maintain optimal physical function.","container-title":"Primary Care","DOI":"10.1016/j.pop.2015.10.002","ISSN":"1558-299X","issue":"1","journalAbbreviation":"Prim Care","language":"eng","note":"PMID: 26896206","page":"137-144, ix","source":"PubMed","title":"Obesity in Older Adults","volume":"43","author":[{"family":"Kalish","given":"Virginia B."}],"issued":{"date-parts":[["2016",3]]}}}],"schema":"https://github.com/citation-style-language/schema/raw/master/csl-citation.json"}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(3)</w:t>
      </w:r>
      <w:r w:rsidRPr="00C63AC5">
        <w:rPr>
          <w:rFonts w:eastAsia="Arial"/>
          <w:bCs/>
          <w:color w:val="000000"/>
          <w:lang w:val="es-PE" w:eastAsia="es-PE"/>
        </w:rPr>
        <w:fldChar w:fldCharType="end"/>
      </w:r>
      <w:r w:rsidRPr="00C63AC5">
        <w:rPr>
          <w:rFonts w:eastAsia="Arial"/>
          <w:bCs/>
          <w:color w:val="000000"/>
          <w:lang w:val="es-PE" w:eastAsia="es-PE"/>
        </w:rPr>
        <w:t xml:space="preserve"> en China es casi un 11,53 %</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{"citationID":"vfa9O03P","properties":{"formattedCitation":"\\super (4)\\nosupersub{}","plainCitation":"(4)","noteIndex":0},"citationItems":[{"id":4520,"uris":["http://zotero.org/users/6066349/items/NZIFZNCN"],"uri":["http://zotero.org/users/6066349/items/NZIFZNCN"],"itemData":{"id":4520,"type":"article-journal","abstract":"BACKGROUND: Prevention and control of cardiometabolic conditions and cardiovascular disease (CVD) in China may contribute to sustainable CVD reduction globally, given the fact that one-fifth of the worldwide population is in China. Knowing the distribution of behavioral risk factors (e.g., smoking and physical inactivity), especially at a national level in China, would be extremely relevant to the field of public health and CVD prevention. The objectives of this study were to investigate the nationwide prevalence of obesity, smoking, heavy drinking, and physical inactivity in Chinese adults, and further explore whether cardiometabolic conditions would modify the distribution of behavioral risk factors.\nMETHODS: This population-based study is based on the China Health and Retirement Longitudinal Study (2011-2012), including 17,302 adults (≥45 years, mean age 59.67 years, female 51.66%) from 25 provinces in China. Data on demographics, lifestyle factors, health status and history of diseases were collected via structured interviews and laboratory tests. Smoking, heavy drinking, obesity, and physical inactivity were defined following standard guidelines. We performed descriptive analysis and logistic regressions in this study.\nRESULTS: The overall prevalence of heavy drinking, obesity, current smoking, and physical inactivity among middle-aged and older adults was 7.23% (95% confidence interval 6.53-7.29%), 11.53% (10.43-12.62%), 27.46% (26.30-28.62%), and 44.06% (41.19-46.92%), respectively. The prevalence varied between rural and urban areas as well as among geographic areas, with higher prevalence in the Northern and Northeastern regions. Heavy drinking and obesity were significantly associated with incident hypertension, diabetes, and high cholesterol; while current smoking was significantly associated with incident hypertension. Compared with healthy individuals, participants who self-reported a diagnosis of hypertension, high cholesterol, or diabetes were less likely to smoke currently and drink alcohol heavily, but more likely to be physically inactive and obese.\nCONCLUSIONS: Among Chinese middle-aged and older adults, the prevalence of behavioral risk factors varies by geographic region. Further effort is required to improve physical activity and fitness for Chinese adults, especially those with cardiometabolic conditions.","container-title":"BMC public health","DOI":"10.1186/s12889-020-08625-5","ISSN":"1471-2458","issue":"1","journalAbbreviation":"BMC Public Health","language":"eng","note":"PMID: 32631359\nPMCID: PMC7336642","page":"1062","source":"PubMed","title":"Smoking, heavy drinking, physical inactivity, and obesity among middle-aged and older adults in China: cross-sectional findings from the baseline survey of CHARLS 2011-2012","title-short":"Smoking, heavy drinking, physical inactivity, and obesity among middle-aged and older adults in China","volume":"20","author":[{"family":"Ding","given":"Lijie"},{"family":"Liang","given":"Yajun"},{"family":"Tan","given":"Edwin C. K."},{"family":"Hu","given":"Yin"},{"family":"Zhang","given":"Chi"},{"family":"Liu","given":"Yanxun"},{"family":"Xue","given":"Fuzhong"},{"family":"Wang","given":"Rui"}],"issued":{"date-parts":[["2020",7,6]]}}}],"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(4)</w:t>
      </w:r>
      <w:r w:rsidRPr="00C63AC5">
        <w:rPr>
          <w:rFonts w:eastAsia="Arial"/>
          <w:bCs/>
          <w:color w:val="000000"/>
          <w:lang w:val="es-PE" w:eastAsia="es-PE"/>
        </w:rPr>
        <w:fldChar w:fldCharType="end"/>
      </w:r>
      <w:r w:rsidRPr="00C63AC5">
        <w:rPr>
          <w:rFonts w:eastAsia="Arial"/>
          <w:bCs/>
          <w:color w:val="000000"/>
          <w:lang w:val="es-PE" w:eastAsia="es-PE"/>
        </w:rPr>
        <w:t xml:space="preserve"> y e</w:t>
      </w:r>
      <w:r w:rsidRPr="00C63AC5">
        <w:rPr>
          <w:lang w:val="es-PE" w:eastAsia="es-PE"/>
        </w:rPr>
        <w:t>n el Perú, el 12,3 %.</w:t>
      </w:r>
      <w:r w:rsidRPr="00C63AC5">
        <w:rPr>
          <w:lang w:val="es-PE" w:eastAsia="es-PE"/>
        </w:rPr>
        <w:fldChar w:fldCharType="begin"/>
      </w:r>
      <w:r w:rsidRPr="00C63AC5">
        <w:rPr>
          <w:lang w:val="es-PE" w:eastAsia="es-PE"/>
        </w:rPr>
        <w:instrText xml:space="preserve"> ADDIN ZOTERO_ITEM CSL_CITATION {"citationID":"Z82egtft","properties":{"formattedCitation":"\\super (5)\\nosupersub{}","plainCitation":"(5)","noteIndex":0},"citationItems":[{"id":"GYjVgD3m/pu9xDMTM","uris":["http://zotero.org/users/local/9NI25WbG/items/BST57VA7"],"uri":["http://zotero.org/users/local/9NI25WbG/items/BST57VA7"],"itemData":{"id":8,"type":"webpage","abstract":"1. Vigilancia Alimentario Nutricional por Etapas de Vida (VIANEV)","container-title":"INSTITUTO NACIONAL DE SALUD","language":"es","title":"Vigilancia del Estado Nutricional en Población","URL":"http://web.ins.gob.pe/es/alimentacion-y-nutricion/vigilancia-alimentaria-y-nutricional/vigilancia-del-estado-nutricional-en-poblacion","accessed":{"date-parts":[["2021",9,16]]}}}],"schema":"https://github.com/citation-style-language/schema/raw/master/csl-citation.json"} </w:instrText>
      </w:r>
      <w:r w:rsidRPr="00C63AC5">
        <w:rPr>
          <w:lang w:val="es-PE" w:eastAsia="es-PE"/>
        </w:rPr>
        <w:fldChar w:fldCharType="separate"/>
      </w:r>
      <w:r w:rsidRPr="00C63AC5">
        <w:rPr>
          <w:color w:val="000000"/>
          <w:vertAlign w:val="superscript"/>
          <w:lang w:val="es-PE" w:eastAsia="es-PE"/>
        </w:rPr>
        <w:t>(5)</w:t>
      </w:r>
      <w:r w:rsidRPr="00C63AC5">
        <w:rPr>
          <w:lang w:val="es-PE" w:eastAsia="es-PE"/>
        </w:rPr>
        <w:fldChar w:fldCharType="end"/>
      </w:r>
    </w:p>
    <w:p w14:paraId="1A3A2F21" w14:textId="77777777" w:rsidR="00C63AC5" w:rsidRPr="00C63AC5" w:rsidRDefault="00C63AC5" w:rsidP="00C63AC5">
      <w:pPr>
        <w:spacing w:line="360" w:lineRule="auto"/>
        <w:jc w:val="both"/>
        <w:rPr>
          <w:rFonts w:eastAsia="Arial"/>
          <w:bCs/>
          <w:color w:val="000000"/>
          <w:lang w:val="es-PE" w:eastAsia="es-PE"/>
        </w:rPr>
      </w:pPr>
      <w:r w:rsidRPr="00C63AC5">
        <w:rPr>
          <w:rFonts w:eastAsia="Arial"/>
          <w:bCs/>
          <w:color w:val="000000"/>
          <w:lang w:val="es-PE" w:eastAsia="es-PE"/>
        </w:rPr>
        <w:t>La presencia de esta enfermedad puede ocasionar una gran lista de consecuencias de salud negativas.</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{"citationID":"gbPOIGTP","properties":{"formattedCitation":"\\super (6\\uc0\\u8211{}8)\\nosupersub{}","plainCitation":"(6–8)","noteIndex":0},"citationItems":[{"id":4509,"uris":["http://zotero.org/users/6066349/items/JGLYZ389"],"uri":["http://zotero.org/users/6066349/items/JGLYZ389"],"itemData":{"id":4509,"type":"article-journal","abstract":"The number of obese older adults is on the rise, although we lack a proper definition of obesity in this age group. The ambiguity is primarily related to sarcopenia, the progressive loss of muscle and gain in fat that come with aging. Whether to treat and how to treat obesity in the elderly is controversial because of a paucity of established guidelines, but also because of the obesity paradox-ie, the apparently protective effect of obesity in this age group.","container-title":"Cleveland Clinic Journal of Medicine","DOI":"10.3949/ccjm.81a.12165","ISSN":"1939-2869","issue":"1","journalAbbreviation":"Cleve Clin J Med","language":"eng","note":"PMID: 24391107","page":"51-61","source":"PubMed","title":"Obesity in the elderly: more complicated than you think","title-short":"Obesity in the elderly","volume":"81","author":[{"family":"Cetin","given":"Derrick C."},{"family":"Nasr","given":"Gaelle"}],"issued":{"date-parts":[["2014",1]]}}},{"id":4513,"uris":["http://zotero.org/users/6066349/items/DWC439UY"],"uri":["http://zotero.org/users/6066349/items/DWC439UY"],"itemData":{"id":4513,"type":"article-journal","abstract":"PURPOSE OF REVIEW: The present review is intended to provide a critical overview of recent investigations of obesity among older persons with emphasis upon associated functional limitations, potential for intervention, and a future research agenda.\nRECENT FINDINGS: Obesity is growing in prevalence among older persons. The association between obesity and functional decline is well documented. Recent findings suggest possible contributions of obesity-associated inflammatory milieu, sarcopenia, and impairment of muscle function/strength to adverse functional outcomes. A growing body of literature supports consideration of moderate weight reduction to secure improved metabolic and functional parameters for obese older persons.\nSUMMARY: Obesity is associated with an unfortunate burden of chronic disease, functional limitation, and poor life quality. In view of the growing numbers of afflicted older individuals, there must be research priority to discern how obesity impacts function so that appropriate prevention and treatment strategies may be adopted.","container-title":"Current Opinion in Clinical Nutrition and Metabolic Care","DOI":"10.1097/MCO.0b013e32833309cf","ISSN":"1473-6519","issue":"1","journalAbbreviation":"Curr Opin Clin Nutr Metab Care","language":"eng","note":"PMID: 19841579","page":"46-51","source":"PubMed","title":"Obesity in older adults: relationship to functional limitation","title-short":"Obesity in older adults","volume":"13","author":[{"family":"Jensen","given":"Gordon L."},{"family":"Hsiao","given":"Pao Ying"}],"issued":{"date-parts":[["2010",1]]}}},{"id":4515,"uris":["http://zotero.org/users/6066349/items/9QIVPBHI"],"uri":["http://zotero.org/users/6066349/items/9QIVPBHI"],"itemData":{"id":4515,"type":"article-journal","abstract":"Obesity is growing in prevalence among older Americans and is accompanied by an unfortunate burden of chronic disease, functional decline, and poor quality of life. Elevated past or current body mass index (BMI) is strongly associated with increased self-reported functional limitations. Supportive findings have also related decreased physical performance test scores with elevated BMI. Body composition analyses have explored which body compartment is most strongly associated with obesity-related functional impairments. Studies have suggested possible contributions of decreased muscle mass and increased fat mass. Weight reduction intervention studies that have examined functional outcomes among older persons are limited.","container-title":"Clinics in Geriatric Medicine","DOI":"10.1016/j.cger.2005.06.007","ISSN":"0749-0690","issue":"4","journalAbbreviation":"Clin Geriatr Med","language":"eng","note":"PMID: 16182081","page":"677-687, v","source":"PubMed","title":"Obesity and functional decline: epidemiology and geriatric consequences","title-short":"Obesity and functional decline","volume":"21","author":[{"family":"Jensen","given":"Gordon L."}],"issued":{"date-parts":[["2005",11]]}}}],"schema":"https://github.com/citation-style-language/schema/raw/master/csl-citation.json"}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(6,7)</w:t>
      </w:r>
      <w:r w:rsidRPr="00C63AC5">
        <w:rPr>
          <w:rFonts w:eastAsia="Arial"/>
          <w:bCs/>
          <w:color w:val="000000"/>
          <w:lang w:val="es-PE" w:eastAsia="es-PE"/>
        </w:rPr>
        <w:fldChar w:fldCharType="end"/>
      </w:r>
      <w:r w:rsidRPr="00C63AC5">
        <w:rPr>
          <w:rFonts w:eastAsia="Arial"/>
          <w:bCs/>
          <w:color w:val="000000"/>
          <w:lang w:val="es-PE" w:eastAsia="es-PE"/>
        </w:rPr>
        <w:t xml:space="preserve"> Desde el punto de vista nutricional, el déficit que con mayor frecuencia se ha asociado con la obesidad en este grupo es la vitamina D.</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{"citationID":"sn1xqTbJ","properties":{"formattedCitation":"\\super (9,10)\\nosupersub{}","plainCitation":"(9,10)","noteIndex":0},"citationItems":[{"id":4494,"uris":["http://zotero.org/users/6066349/items/TYP5K2TW"],"uri":["http://zotero.org/users/6066349/items/TYP5K2TW"],"itemData":{"id":4494,"type":"article-journal","abstract":"CONTEXT: Adipose tissue macrophages (ATMs) are thought to engulf the remains of dead adipocytes in obesity, potentially resulting in increased intracellular neutral lipid content. Lipid-laden macrophages (foam cells [FCs]) have been described in atherosclerotic lesions and have been proposed to contribute to vascular pathophysiology, which is enhanced in obesity.\nOBJECTIVE: The objective of this study was to determine whether a subclass of lipid-laden ATMs (adipose FCs) develop in obesity and to assess whether they may uniquely contribute to obesity-associated morbidity.\nSETTING AND PATIENTS: Patients undergoing elective abdominal surgery from the Beer-Sheva (N = 94) and the Leipzig (N = 40) complementary cohorts were recruited. Paired abdominal subcutaneous (SC) and omental (Om) fat biopsy samples were collected and analyzed by histological and flow cytometry-based methods. Functional studies in mice included coculture of ATMs or FCs with adipose tissue.\nRESULTS: ATM lipid content was increased 3-fold in Om compared with SC fat, particularly in obese persons. FCs could be identified in some patients and were most abundant in Om fat of obese persons, particularly those with intra-abdominal fat distribution. Stepwise multivariate models demonstrated depot differential associations: fasting glucose with SC FCs (β = 0.667, P &lt; .001) and fasting insulin (β = 0.413, P = .006) and total ATM count (β = 0.310, P = .034) with Om FCs in models including age, body mass index, high-density lipoprotein cholesterol, and high-sensitivity C-reactive protein. When cocultured with adipose explants from lean mice, FCs induced attenuated insulin responsiveness compared with adipose explants cocultured with control ATMs with low lipid content.\nCONCLUSIONS: FCs can be identified as an ATM subclass in human SC and Om adipose tissues in 2 independent cohorts, with distinct depot-related associations with clinical parameters. Once formed, they may engage in local cross-talk with adipocytes, contributing to adipose insulin resistance.","container-title":"The Journal of Clinical Endocrinology and Metabolism","DOI":"10.1210/jc.2012-2745","ISSN":"1945-7197","issue":"3","journalAbbreviation":"J Clin Endocrinol Metab","language":"eng","note":"PMID: 23372170","page":"1173-1181","source":"PubMed","title":"Adipose tissue foam cells are present in human obesity","volume":"98","author":[{"family":"Shapiro","given":"Hagit"},{"family":"Pecht","given":"Tal"},{"family":"Shaco-Levy","given":"Ruthy"},{"family":"Harman-Boehm","given":"Ilana"},{"family":"Kirshtein","given":"Boris"},{"family":"Kuperman","given":"Yael"},{"family":"Chen","given":"Alon"},{"family":"Blüher","given":"Matthias"},{"family":"Shai","given":"Iris"},{"family":"Rudich","given":"Assaf"}],"issued":{"date-parts":[["2013",3]]}}},{"id":4496,"uris":["http://zotero.org/users/6066349/items/887SJ394"],"uri":["http://zotero.org/users/6066349/items/887SJ394"],"itemData":{"id":4496,"type":"article-journal","abstract":"OBJECTIVE: To evaluate total usual intakes and biomarkers of micronutrients, overall dietary quality and related health characteristics of US older adults who were overweight or obese compared with a healthy weight.\nDESIGN: Cross-sectional study.\nSETTING: Two 24-h dietary recalls, nutritional biomarkers and objective and subjective health characteristic data were analysed from the National Health and Nutrition Examination Survey 2011-2014. We used the National Cancer Institute method to estimate distributions of total usual intakes from foods and dietary supplements for eleven micronutrients of potential concern and the Healthy Eating Index (HEI)-2015 score.\nPARTICIPANTS: Older adults aged ≥60 years (n 2969) were categorised by sex and body weight status, using standard BMI categories. Underweight individuals (n 47) were excluded due to small sample size.\nRESULTS: A greater percentage of obese older adults compared with their healthy-weight counterparts was at risk of inadequate Mg (both sexes), Ca, vitamin B6 and vitamin D (women only) intakes. The proportion of those with serum 25-hydroxyvitamin D &lt; 40 nmol/l was higher in obese (12 %) than in healthy-weight older women (6 %). Mean overall HEI-2015 scores were 8·6 (men) and 7·1 (women) points lower in obese than in healthy-weight older adults. In addition, compared with healthy-weight counterparts, obese older adults were more likely to self-report fair/poor health, use ≥ 5 medications and have limitations in activities of daily living and cardio-metabolic risk factors; and obese older women were more likely to be food-insecure and have depression.\nCONCLUSIONS: Our findings suggest that obesity may coexist with micronutrient inadequacy in older adults, especially among women.","container-title":"Public Health Nutrition","DOI":"10.1017/S1368980020000257","ISSN":"1475-2727","issue":"13","journalAbbreviation":"Public Health Nutr","language":"eng","note":"PMID: 32466808\nPMCID: PMC7429309","page":"2268-2279","source":"PubMed","title":"Older adults with obesity have higher risks of some micronutrient inadequacies and lower overall dietary quality compared to peers with a healthy weight, National Health and Nutrition Examination Surveys (NHANES), 2011-2014","volume":"23","author":[{"family":"Jun","given":"Shinyoung"},{"family":"Cowan","given":"Alexandra E."},{"family":"Bhadra","given":"Anindya"},{"family":"Dodd","given":"Kevin W."},{"family":"Dwyer","given":"Johanna T."},{"family":"Eicher-Miller","given":"Heather A."},{"family":"Gahche","given":"Jaime J."},{"family":"Guenther","given":"Patricia M."},{"family":"Potischman","given":"Nancy"},{"family":"Tooze","given":"Janet A."},{"family":"Bailey","given":"Regan L."}],"issued":{"date-parts":[["2020",9]]}}}],"schema":"https://github.com/citation-style-language/schema/raw/master/csl-citation.json"}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(8)</w:t>
      </w:r>
      <w:r w:rsidRPr="00C63AC5">
        <w:rPr>
          <w:rFonts w:eastAsia="Arial"/>
          <w:bCs/>
          <w:color w:val="000000"/>
          <w:lang w:val="es-PE" w:eastAsia="es-PE"/>
        </w:rPr>
        <w:fldChar w:fldCharType="end"/>
      </w:r>
    </w:p>
    <w:p w14:paraId="452EB9AA" w14:textId="77777777" w:rsidR="00C63AC5" w:rsidRPr="00C63AC5" w:rsidRDefault="00C63AC5" w:rsidP="00C63AC5">
      <w:pPr>
        <w:spacing w:line="360" w:lineRule="auto"/>
        <w:jc w:val="both"/>
        <w:rPr>
          <w:rFonts w:eastAsia="Arial"/>
          <w:bCs/>
          <w:color w:val="000000"/>
          <w:lang w:val="es-PE" w:eastAsia="es-PE"/>
        </w:rPr>
      </w:pPr>
      <w:r w:rsidRPr="00C63AC5">
        <w:rPr>
          <w:rFonts w:eastAsia="Arial"/>
          <w:bCs/>
          <w:color w:val="000000"/>
          <w:lang w:val="es-PE" w:eastAsia="es-PE"/>
        </w:rPr>
        <w:t>La vitamina D es liposoluble; se obtiene principalmente de la exposición solar de la piel y en menor cantidad de la dieta y los suplementos.</w:t>
      </w:r>
      <w:r w:rsidRPr="00C63AC5">
        <w:rPr>
          <w:color w:val="000000"/>
          <w:lang w:val="es-PE" w:eastAsia="es-PE"/>
        </w:rPr>
        <w:t xml:space="preserve"> </w:t>
      </w:r>
      <w:r w:rsidRPr="00C63AC5">
        <w:rPr>
          <w:rFonts w:eastAsia="Arial"/>
          <w:bCs/>
          <w:color w:val="000000"/>
          <w:lang w:val="es-PE" w:eastAsia="es-PE"/>
        </w:rPr>
        <w:t>Se almacena principalmente en tejido adiposo y músculo y, en menor medida, en otros tejidos.</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{"citationID":"x7ZGws6P","properties":{"formattedCitation":"\\super (11,12)\\nosupersub{}","plainCitation":"(11,12)","noteIndex":0},"citationItems":[{"id":4538,"uris":["http://zotero.org/users/6066349/items/D2BXX8EV"],"uri":["http://zotero.org/users/6066349/items/D2BXX8EV"],"itemData":{"id":4538,"type":"article-journal","abstract":"Vitamin D is currently one of the hottest topics in research and clinics, as well as in everyday life. Over the past decades, scientists gathered overwhelming evidence indicating that the observed global vitamin D deficiency not only has a negative impact on human skeletal system, but also facilitates development and progression of multiple disease of civilization, including cardiovascular diseases, diabetes, autoimmune disease, and cancer. This Special Issue, entitled \"Vitamin D and Human Health\", summarizes recent advances in our understanding of pleiotropic activity of vitamin D in the form of eight comprehensive reviews. Furthermore, eight research papers provide new insight into vitamin D research and highlight new directions.","container-title":"International Journal of Molecular Sciences","DOI":"10.3390/ijms20010145","ISSN":"1422-0067","issue":"1","journalAbbreviation":"Int J Mol Sci","language":"eng","note":"PMID: 30609781\nPMCID: PMC6337085","page":"E145","source":"PubMed","title":"Vitamin D and Human Health","volume":"20","author":[{"family":"Zmijewski","given":"Michal A."}],"issued":{"date-parts":[["2019",1,3]]}}},{"id":4543,"uris":["http://zotero.org/users/6066349/items/CNG3NJTU"],"uri":["http://zotero.org/users/6066349/items/CNG3NJTU"],"itemData":{"id":4543,"type":"article-journal","abstract":"BACKGROUND: Sunscreen use can prevent skin cancer, but there are concerns that it may increase the risk of vitamin D deficiency.\nOBJECTIVES: We aimed to review the literature to investigate associations between sunscreen use and vitamin D3 or 25 hydroxyvitamin D [25(OH)D] concentration.\nMETHODS: We systematically reviewed the literature following the Meta-analysis Of Observational Studies in Epidemiology (MOOSE) guidelines. We identified manuscripts published in English between 1970 and 21 November 2017. Eligible studies were experimental [using an artificial ultraviolet radiation (UVR) source], field trials or observational studies. The results of each of the experimental studies and field trials are described in detail. Two authors extracted information from observational studies, and applied quality scoring criteria that were developed specifically for this question. These have been synthesized qualitatively.\nRESULTS: We included four experimental studies, three field trials (two were randomized controlled trials) and 69 observational studies. In the experimental studies sunscreen use considerably abrogated the vitamin D3 or 25(OH)D production induced by exposure to artificially generated UVR. The randomized controlled field trials found no effect of daily sunscreen application, but the sunscreens used had moderate protection [sun protection factor SPF) ~16]. The observational studies mostly found no association or that self-reported sunscreen use was associated with higher 25(OH)D concentration.\nCONCLUSIONS: There is little evidence that sunscreen decreases 25(OH)D concentration when used in real-life settings, suggesting that concerns about vitamin D should not negate skin cancer prevention advice. However, there have been no trials of the high-SPF sunscreens that are now widely recommended. What's already known about this topic? Previous experimental studies suggest that sunscreen can block vitamin D production in the skin but use artificially generated ultraviolet radiation with a spectral output unlike that seen in terrestrial sunlight. Nonsystematic reviews of observational studies suggest that use in real life does not cause vitamin D deficiency. What does this study add? This study systematically reviewed all experimental studies, field trials and observational studies for the first time. While the experimental studies support the theoretical risk that sunscreen use may affect vitamin D, the weight of evidence from field trials and observational studies suggests that the risk is low. We highlight the lack of adequate evidence regarding use of the very high sun protection factor sunscreens that are now recommended and widely used.","container-title":"The British Journal of Dermatology","DOI":"10.1111/bjd.17980","ISSN":"1365-2133","issue":"5","journalAbbreviation":"Br J Dermatol","language":"eng","note":"PMID: 30945275","page":"907-915","source":"PubMed","title":"The effect of sunscreen on vitamin D: a review","title-short":"The effect of sunscreen on vitamin D","volume":"181","author":[{"family":"Neale","given":"R. E."},{"family":"Khan","given":"S. R."},{"family":"Lucas","given":"R. M."},{"family":"Waterhouse","given":"M."},{"family":"Whiteman","given":"D. C."},{"family":"Olsen","given":"C. M."}],"issued":{"date-parts":[["2019",11]]}}}],"schema":"https://github.com/citation-style-language/schema/raw/master/csl-citation.json"}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(9)</w:t>
      </w:r>
      <w:r w:rsidRPr="00C63AC5">
        <w:rPr>
          <w:rFonts w:eastAsia="Arial"/>
          <w:bCs/>
          <w:color w:val="000000"/>
          <w:lang w:val="es-PE" w:eastAsia="es-PE"/>
        </w:rPr>
        <w:fldChar w:fldCharType="end"/>
      </w:r>
      <w:r w:rsidRPr="00C63AC5">
        <w:rPr>
          <w:rFonts w:eastAsia="Arial"/>
          <w:bCs/>
          <w:color w:val="000000"/>
          <w:lang w:val="es-PE" w:eastAsia="es-PE"/>
        </w:rPr>
        <w:t xml:space="preserve"> </w:t>
      </w:r>
    </w:p>
    <w:p w14:paraId="2C957CD6" w14:textId="77777777" w:rsidR="00C63AC5" w:rsidRPr="00C63AC5" w:rsidRDefault="00C63AC5" w:rsidP="00C63AC5">
      <w:pPr>
        <w:spacing w:line="360" w:lineRule="auto"/>
        <w:jc w:val="both"/>
        <w:rPr>
          <w:shd w:val="clear" w:color="auto" w:fill="FFFFFF"/>
          <w:lang w:val="es-PE" w:eastAsia="es-PE"/>
        </w:rPr>
      </w:pPr>
      <w:r w:rsidRPr="00C63AC5">
        <w:rPr>
          <w:rFonts w:eastAsia="Arial"/>
          <w:bCs/>
          <w:color w:val="000000"/>
          <w:lang w:val="es-PE" w:eastAsia="es-PE"/>
        </w:rPr>
        <w:t>La deficiencia de vitamina D es un problema de salud pública de creciente preocupación.</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{"citationID":"djcrRKXR","properties":{"formattedCitation":"\\super (13\\uc0\\u8211{}15)\\nosupersub{}","plainCitation":"(13–15)","noteIndex":0},"citationItems":[{"id":4545,"uris":["http://zotero.org/users/6066349/items/W5L7FWBQ"],"uri":["http://zotero.org/users/6066349/items/W5L7FWBQ"],"itemData":{"id":4545,"type":"article-journal","abstract":"Vitamin D deficiency is associated with osteoporosis and is thought to increase the risk of cancer and CVD. Despite these numerous potential health effects, data on vitamin D status at the population level and within key subgroups are limited. The aims of the present study were to examine patterns of 25-hydroxyvitamin D (25(OH)D) levels worldwide and to assess differences by age, sex and region. In a systematic literature review using the Medline and EMBASE databases, we identified 195 studies conducted in forty-four countries involving more than 168 000 participants. Mean population-level 25(OH)D values varied considerably across the studies (range 4·9-136·2 nmol/l), with 37·3 % of the studies reporting mean values below 50 nmol/l. The highest 25(OH)D values were observed in North America. Although age-related differences were observed in the Asia/Pacific and Middle East/Africa regions, they were not observed elsewhere and sex-related differences were not observed in any region. Substantial heterogeneity between the studies precluded drawing conclusions on overall vitamin D status at the population level. Exploratory analyses, however, suggested that newborns and institutionalised elderly from several regions worldwide appeared to be at a generally higher risk of exhibiting lower 25(OH)D values. Substantial details on worldwide patterns of vitamin D status at the population level and within key subgroups are needed to inform public health policy development to reduce risk for potential health consequences of an inadequate vitamin D status.","container-title":"The British Journal of Nutrition","DOI":"10.1017/S0007114513001840","ISSN":"1475-2662","issue":"1","journalAbbreviation":"Br J Nutr","language":"eng","note":"PMID: 23930771","page":"23-45","source":"PubMed","title":"A systematic review of vitamin D status in populations worldwide","volume":"111","author":[{"family":"Hilger","given":"Jennifer"},{"family":"Friedel","given":"Angelika"},{"family":"Herr","given":"Raphael"},{"family":"Rausch","given":"Tamara"},{"family":"Roos","given":"Franz"},{"family":"Wahl","given":"Denys A."},{"family":"Pierroz","given":"Dominique D."},{"family":"Weber","given":"Peter"},{"family":"Hoffmann","given":"Kristina"}],"issued":{"date-parts":[["2014",1,14]]}}},{"id":"GYjVgD3m/yuV9ulyy","uris":["http://zotero.org/users/local/9NI25WbG/items/M8G7H64P"],"uri":["http://zotero.org/users/local/9NI25WbG/items/M8G7H64P"],"itemData":{"id":"uoAPZswV/tbVTDTdj","type":"article-journal","abstract":"Vitamin D deficiency is now recognized as a pandemic. The major cause of vitamin D deficiency is the lack of appreciation that sun exposure in moderation is the major source of vitamin D for most humans. Very few foods naturally contain vitamin D, and foods that are fortified with vitamin D are often inadequate to satisfy either a child's or an adult's vitamin D requirement. Vitamin D deficiency causes rickets in children and will precipitate and exacerbate osteopenia, osteoporosis, and fractures in adults. Vitamin D deficiency has been associated with increased risk of common cancers, autoimmune diseases, hypertension, and infectious diseases. A circulating level of 25-hydroxyvitamin D of &gt;75 nmol/L, or 30 ng/mL, is required to maximize vitamin D's beneficial effects for health. In the absence of adequate sun exposure, at least 800-1000 IU vitamin D3/d may be needed to achieve this in children and adults. Vitamin D2 may be equally effective for maintaining circulating concentrations of 25-hydroxyvitamin D when given in physiologic concentrations.","container-title":"The American Journal of Clinical Nutrition","DOI":"10.1093/ajcn/87.4.1080S","ISSN":"1938-3207","issue":"4","journalAbbreviation":"Am J Clin Nutr","language":"eng","note":"PMID: 18400738","page":"1080S-6S","source":"PubMed","title":"Vitamin D deficiency: a worldwide problem with health consequences","title-short":"Vitamin D deficiency","volume":"87","author":[{"family":"Holick","given":"Michael F."},{"family":"Chen","given":"Tai C."}],"issued":{"date-parts":[["2008",4]]}}},{"id":4550,"uris":["http://zotero.org/users/6066349/items/7JM3U5C4"],"uri":["http://zotero.org/users/6066349/items/7JM3U5C4"],"itemData":{"id":4550,"type":"article-journal","abstract":"Vitamin D deficiency occurs all over the world, mainly in the Middle East, China, Mongolia, and India. This article focuses on the vitamin D status in adults. Risk groups include older persons, pregnant women, and non-Western immigrants. Adequate vitamin D status, defined as serum 25-hydroxyvitamin D greater than 50 nmol/L, is present in less than 50% of the world population, at least in winter. Preventative strategies, such as increasing fish consumption, fortification of foods, use of vitamin D supplements, and advice for moderate sunlight exposure, are warranted.","container-title":"Endocrinology and Metabolism Clinics of North America","DOI":"10.1016/j.ecl.2017.07.002","ISSN":"1558-4410","issue":"4","journalAbbreviation":"Endocrinol Metab Clin North Am","language":"eng","note":"PMID: 29080639","page":"845-870","source":"PubMed","title":"Global Overview of Vitamin D Status","volume":"46","author":[{"family":"Schoor","given":"Natasja","non-dropping-particle":"van"},{"family":"Lips","given":"Paul"}],"issued":{"date-parts":[["2017",12]]}}}],"schema":"https://github.com/citation-style-language/schema/raw/master/csl-citation.json"}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(10,11)</w:t>
      </w:r>
      <w:r w:rsidRPr="00C63AC5">
        <w:rPr>
          <w:rFonts w:eastAsia="Arial"/>
          <w:bCs/>
          <w:color w:val="000000"/>
          <w:lang w:val="es-PE" w:eastAsia="es-PE"/>
        </w:rPr>
        <w:fldChar w:fldCharType="end"/>
      </w:r>
      <w:r w:rsidRPr="00C63AC5">
        <w:rPr>
          <w:rFonts w:eastAsia="Arial"/>
          <w:bCs/>
          <w:color w:val="000000"/>
          <w:lang w:val="es-PE" w:eastAsia="es-PE"/>
        </w:rPr>
        <w:t xml:space="preserve"> En los ancianos se ha relacionado con presencia de fragilidad,</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{"citationID":"LnkUVJ0Y","properties":{"formattedCitation":"\\super (16)\\nosupersub{}","plainCitation":"(16)","noteIndex":0},"citationItems":[{"id":4526,"uris":["http://zotero.org/users/6066349/items/NU63WQYZ"],"uri":["http://zotero.org/users/6066349/items/NU63WQYZ"],"itemData":{"id":4526,"type":"article-journal","abstract":"Serum vitamin D deficiency is widespread among older adults and is a potential modifiable risk factor for frailty. Moreover, frailty has been suggested as an intermediate step in the association between low levels of vitamin D and mortality. Hence, we conducted a systematic review of the literature and meta-analysis to test the possible association of low concentrations of serum 25-hydroxyvitamin D (25(OH)D), a marker of vitamin D status, with frailty in later life. We reviewed cross-sectional or longitudinal studies evaluating populations of older adults and identifying frailty by a currently validated scale. Meta-analyses were restricted to cross-sectional data from studies using Fried's phenotype to identify frailty. Twenty-six studies were considered in the qualitative synthesis, and thirteen studies were included in the meta-analyses. Quantitative analyses showed significant differences in the comparisons of frail (standardized mean difference (SMD)-1.31, 95% confidence interval (CI) (-2.47, -0.15), p = 0.0271) and pre-frail (SMD-0.79, 95% CI (-1.58, -0.003), p = 0.0491) subjects vs. non-frail subjects. Sensitivity analyses reduced heterogeneity, resulting in a smaller but still highly significant between-groups difference. Results obtained indicate that lower 25(OH)D levels are significantly associated with increasing frailty severity. Future challenges include interventional studies testing the possible benefits of vitamin D supplementation in older adults to prevent/palliate frailty and its associated outcomes.","container-title":"Nutrients","DOI":"10.3390/nu12082286","ISSN":"2072-6643","issue":"8","journalAbbreviation":"Nutrients","language":"eng","note":"PMID: 32751730\nPMCID: PMC7469050","page":"E2286","source":"PubMed","title":"Low Vitamin D Levels and Frailty Status in Older Adults: A Systematic Review and Meta-Analysis","title-short":"Low Vitamin D Levels and Frailty Status in Older Adults","volume":"12","author":[{"family":"Marcos-Pérez","given":"Diego"},{"family":"Sánchez-Flores","given":"María"},{"family":"Proietti","given":"Stefania"},{"family":"Bonassi","given":"Stefano"},{"family":"Costa","given":"Solange"},{"family":"Teixeira","given":"Joao Paulo"},{"family":"Fernández-Tajes","given":"Juan"},{"family":"Pásaro","given":"Eduardo"},{"family":"Valdiglesias","given":"Vanessa"},{"family":"Laffon","given":"Blanca"}],"issued":{"date-parts":[["2020",7,30]]}}}],"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(12)</w:t>
      </w:r>
      <w:r w:rsidRPr="00C63AC5">
        <w:rPr>
          <w:rFonts w:eastAsia="Arial"/>
          <w:bCs/>
          <w:color w:val="000000"/>
          <w:lang w:val="es-PE" w:eastAsia="es-PE"/>
        </w:rPr>
        <w:fldChar w:fldCharType="end"/>
      </w:r>
      <w:r w:rsidRPr="00C63AC5">
        <w:rPr>
          <w:rFonts w:eastAsia="Arial"/>
          <w:bCs/>
          <w:color w:val="000000"/>
          <w:lang w:val="es-PE" w:eastAsia="es-PE"/>
        </w:rPr>
        <w:t xml:space="preserve"> salud ósea,</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{"citationID":"Bepw86cH","properties":{"formattedCitation":"\\super (17)\\nosupersub{}","plainCitation":"(17)","noteIndex":0},"citationItems":[{"id":4564,"uris":["http://zotero.org/users/6066349/items/S34AM9QE"],"uri":["http://zotero.org/users/6066349/items/S34AM9QE"],"itemData":{"id":4564,"type":"article-journal","abstract":"Low bone health is associated with vitamin D deficiency in older individuals; however, this association is not well established in adults. The aim of the study was to analyze the association between serum concentrations of 25-hydroxyvitamin D and bone health in adults by systematic review and meta-analysis. The search was carried out in the LILACS, PubMed, Scopus, Web of Science, ScienceDirect databases from March 2017 to October 2018 with adult individuals (20-59 years). Bone health was evaluation performed through dual X-ray absorptiometry and serum concentrations of 25(OH)D. The random effect model was used to analyze data from bone mineral content and bone mineral. Random effects models were used and the sources of heterogeneity were explored by means of meta-regression. Thirty-five articles were selected. There was positive correlation between vitamin D and bone health in most of the evaluated sites. Correlation was observed in the analysis of subgroups for lumbar spine among men. When stratified, the studies presented high heterogeneity, which was explained by the sample size, mean serum vitamin D levels and risk of bias. Vitamin D is positively correlated to bone health in adult individuals.","container-title":"Ciencia &amp; Saude Coletiva","DOI":"10.1590/1413-81232021268.15012020","ISSN":"1678-4561","issue":"8","journalAbbreviation":"Cien Saude Colet","language":"eng","note":"PMID: 34378711","page":"3221-3244","source":"PubMed","title":"Vitamin D and bone health in adults: a systematic review and meta-analysis","title-short":"Vitamin D and bone health in adults","volume":"26","author":[{"family":"Segheto","given":"Kátia Josiany"},{"family":"Pereira","given":"Marcos"},{"family":"Silva","given":"Danielle Cristina Guimarães","dropping-particle":"da"},{"family":"Carvalho","given":"Cristiane Junqueira","dropping-particle":"de"},{"family":"Massardi","given":"Felipe Ribeiro"},{"family":"Kakehasi","given":"Adriana Maria"},{"family":"Juvanhol","given":"Leidjaira Lopes"},{"family":"Longo","given":"Giana Zarbato"}],"issued":{"date-parts":[["2021",8]]}}}],"schema":"https://github.com/citation-style-language/schema/raw/master/csl-citation.json"}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(13)</w:t>
      </w:r>
      <w:r w:rsidRPr="00C63AC5">
        <w:rPr>
          <w:rFonts w:eastAsia="Arial"/>
          <w:bCs/>
          <w:color w:val="000000"/>
          <w:lang w:val="es-PE" w:eastAsia="es-PE"/>
        </w:rPr>
        <w:fldChar w:fldCharType="end"/>
      </w:r>
      <w:r w:rsidRPr="00C63AC5">
        <w:rPr>
          <w:rFonts w:eastAsia="Arial"/>
          <w:bCs/>
          <w:color w:val="000000"/>
          <w:lang w:val="es-PE" w:eastAsia="es-PE"/>
        </w:rPr>
        <w:t xml:space="preserve"> diabetes mellitus tipo 2,</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{"citationID":"Bi543PuS","properties":{"formattedCitation":"\\super (18)\\nosupersub{}","plainCitation":"(18)","noteIndex":0},"citationItems":[{"id":4535,"uris":["http://zotero.org/users/6066349/items/X2TINBPZ"],"uri":["http://zotero.org/users/6066349/items/X2TINBPZ"],"itemData":{"id":4535,"type":"article-journal","abstract":"Low serum levels of 25 hydroxyvitamin D (25OHD) (hypovitaminosis D) is common in older adults and associated with several negative outcomes. The association between hypovitaminosis D and diabetes in older adults is equivocal, however. We conducted a meta-analysis investigating if hypovitaminosis D is associated with diabetes in prospective studies among older participants. Two investigators systematically searched major electronic databases, from inception until 10/07/2016. The cumulative incidence of diabetes among groups was estimated according to baseline serum 25OHD levels. Random effect models were used to assess the association between hypovitaminosis D and diabetes at follow-up. From 4268 non-duplicate hits, 9 studies were included; these followed 28,258 participants with a mean age of 67.7 years for a median of 7.7 years. Compared with higher levels of 25OHD, lower levels of 25OHD were associated with a higher risk of developing diabetes (6 studies; n=13,563; RR=1.31; 95% CI: 1.11-1.54; I2=37%). The findings remained significant after adjusting for a median of 11 potential confounders in all the studies available (9 studies; n=28,258; RR=1.17; 95% CI: 1.03-1.33; p=0.02; I2=0%). In conclusion, our data suggest that hypovitaminosis D is associated with an elevated risk of future diabetes in older people. Future longitudinal studies are required and should seek to confirm these findings and explore potential pathophysiological underpinnings.","container-title":"Maturitas","DOI":"10.1016/j.maturitas.2017.02.016","ISSN":"1873-4111","journalAbbreviation":"Maturitas","language":"eng","note":"PMID: 28539181","page":"8-15","source":"PubMed","title":"Low vitamin D levels increase the risk of type 2 diabetes in older adults: A systematic review and meta-analysis","title-short":"Low vitamin D levels increase the risk of type 2 diabetes in older adults","volume":"100","author":[{"family":"Lucato","given":"Paola"},{"family":"Solmi","given":"Marco"},{"family":"Maggi","given":"Stefania"},{"family":"Bertocco","given":"Anna"},{"family":"Bano","given":"Giulia"},{"family":"Trevisan","given":"Caterina"},{"family":"Manzato","given":"Enzo"},{"family":"Sergi","given":"Giuseppe"},{"family":"Schofield","given":"Patricia"},{"family":"Kouidrat","given":"Youssef"},{"family":"Veronese","given":"Nicola"},{"family":"Stubbs","given":"Brendon"}],"issued":{"date-parts":[["2017",6]]}}}],"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(14)</w:t>
      </w:r>
      <w:r w:rsidRPr="00C63AC5">
        <w:rPr>
          <w:rFonts w:eastAsia="Arial"/>
          <w:bCs/>
          <w:color w:val="000000"/>
          <w:lang w:val="es-PE" w:eastAsia="es-PE"/>
        </w:rPr>
        <w:fldChar w:fldCharType="end"/>
      </w:r>
      <w:r w:rsidRPr="00C63AC5">
        <w:rPr>
          <w:rFonts w:eastAsia="Arial"/>
          <w:bCs/>
          <w:color w:val="000000"/>
          <w:lang w:val="es-PE" w:eastAsia="es-PE"/>
        </w:rPr>
        <w:t xml:space="preserve"> depresión </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{"citationID":"QfglMiFZ","properties":{"formattedCitation":"\\super (19)\\nosupersub{}","plainCitation":"(19)","noteIndex":0},"citationItems":[{"id":4561,"uris":["http://zotero.org/users/6066349/items/S6RFZ63B"],"uri":["http://zotero.org/users/6066349/items/S6RFZ63B"],"itemData":{"id":4561,"type":"article-journal","abstract":"BACKGROUND: In this article, we review current evidence regarding potential benefits of vitamin D for improving mood and reducing depression risk in older adults. We summarize gaps in knowledge and describe future efforts that may clarify the role of vitamin D in late-life depression prevention.\nMETHODS: MEDLINE and PsychINFO databases were searched for all articles on vitamin D and mood that had been published up to and including May 2015. Observational studies and randomized trials with 50 or more participants were included. We excluded studies that involved only younger adults and/or exclusively involved persons with current depression.\nRESULTS: Twenty observational (cross-sectional and prospective) studies and 10 randomized trials (nine were randomized placebo-controlled trials [RCTs]; one was a randomized blinded comparison trial) were reviewed. Inverse associations of vitamin D blood level or vitamin D intake with depression were found in 13 observational studies; three identified prospective relations. Results from all but one of the RCTs showed no statistically significant differences in depression outcomes between vitamin D and placebo groups.\nLIMITATIONS: Observational studies were mostly cross-sectional and frequently lacked adequate control of confounding. RCTs often featured low treatment doses, suboptimal post-intervention changes in biochemical levels of vitamin D, and/or short trial durations.\nCONCLUSION: Vitamin D level-mood associations were observed in most, but not all, observational studies; results indicated that vitamin D deficiency may be a risk factor for late-life depression. However, additional data from well-designed RCTs are required to determine the impact of vitamin D in late-life depression prevention.","container-title":"Journal of Affective Disorders","DOI":"10.1016/j.jad.2016.03.022","ISSN":"1573-2517","journalAbbreviation":"J Affect Disord","language":"eng","note":"PMID: 26998791\nPMCID: PMC4844780","page":"1-14","source":"PubMed","title":"The role of vitamin D in the prevention of late-life depression","volume":"198","author":[{"family":"Okereke","given":"Olivia I."},{"family":"Singh","given":"Ankura"}],"issued":{"date-parts":[["2016",7,1]]}}}],"schema":"https://github.com/citation-style-language/schema/raw/master/csl-citation.json"}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(15)</w:t>
      </w:r>
      <w:r w:rsidRPr="00C63AC5">
        <w:rPr>
          <w:rFonts w:eastAsia="Arial"/>
          <w:bCs/>
          <w:color w:val="000000"/>
          <w:lang w:val="es-PE" w:eastAsia="es-PE"/>
        </w:rPr>
        <w:fldChar w:fldCharType="end"/>
      </w:r>
      <w:r w:rsidRPr="00C63AC5">
        <w:rPr>
          <w:rFonts w:eastAsia="Arial"/>
          <w:bCs/>
          <w:color w:val="000000"/>
          <w:lang w:val="es-PE" w:eastAsia="es-PE"/>
        </w:rPr>
        <w:t xml:space="preserve"> y mortalidad cardiovascular.</w:t>
      </w:r>
      <w:r w:rsidRPr="00C63AC5">
        <w:rPr>
          <w:rFonts w:eastAsia="Arial"/>
          <w:bCs/>
          <w:color w:val="000000"/>
          <w:lang w:val="es-PE" w:eastAsia="es-PE"/>
        </w:rPr>
        <w:fldChar w:fldCharType="begin"/>
      </w:r>
      <w:r w:rsidRPr="00C63AC5">
        <w:rPr>
          <w:rFonts w:eastAsia="Arial"/>
          <w:bCs/>
          <w:color w:val="000000"/>
          <w:lang w:val="es-PE" w:eastAsia="es-PE"/>
        </w:rPr>
        <w:instrText xml:space="preserve"> ADDIN ZOTERO_ITEM CSL_CITATION {"citationID":"bd3k5sEP","properties":{"formattedCitation":"\\super (20)\\nosupersub{}","plainCitation":"(20)","noteIndex":0},"citationItems":[{"id":4555,"uris":["http://zotero.org/users/6066349/items/IN2WQRML"],"uri":["http://zotero.org/users/6066349/items/IN2WQRML"],"itemData":{"id":4555,"type":"article-journal","abstract":"Lower circulating vitamin D is common in older adults and may be a potential reversible risk factor for cardiovascular disease (CVD) in older adults, however, presented controversial results.Database was searched update to February 2018. Key data were extracted from eligible studies. Dose-response meta-analysis were conducted for synthesizing data from eligible studies.A total of 13 eligible studies involving 21,079 participants were included in this meta-analysis. Person with lower 25-hydroxyvitamin D status (25 (OH)D level &lt;50 nmol/L) appeared to have higher mortality of CVD in older adults (RR = 1.54, 95% CI 1.24-1.91). Furthermore, a significantly higher mortality of CVD in older adults was observed for the deficient (&lt;25 nmol/L; RR = 1.47, 95% CI 1.15-1.81) and insufficient (25-50 nmol/L; RR = 1.16, 95% CI 1.04-1.27) categories of 25 (OH)D, compared to the reference category of &gt;75 nmol/L. Additionally, decrease of 10 nmol/L 25-hydroxyvitamin D was associated with a 7% incremental in the risk of CVD mortality in older adults.Considering these promising results, circulating vitamin D is associated with CVD mortality increment in older adults.","container-title":"Medicine","DOI":"10.1097/MD.0000000000016733","ISSN":"1536-5964","issue":"34","journalAbbreviation":"Medicine (Baltimore)","language":"eng","note":"PMID: 31441845\nPMCID: PMC6716685","page":"e16733","source":"PubMed","title":"Low serum vitamin D levels increase the mortality of cardiovascular disease in older adults: A dose-response meta-analysis of prospective studies","title-short":"Low serum vitamin D levels increase the mortality of cardiovascular disease in older adults","volume":"98","author":[{"family":"Yang","given":"Jun"},{"family":"Ou-Yang","given":"Juan"},{"family":"Huang","given":"Ji"}],"issued":{"date-parts":[["2019",8]]}}}],"schema":"https://github.com/citation-style-language/schema/raw/master/csl-citation.json"} </w:instrText>
      </w:r>
      <w:r w:rsidRPr="00C63AC5">
        <w:rPr>
          <w:rFonts w:eastAsia="Arial"/>
          <w:bCs/>
          <w:color w:val="000000"/>
          <w:lang w:val="es-PE" w:eastAsia="es-PE"/>
        </w:rPr>
        <w:fldChar w:fldCharType="separate"/>
      </w:r>
      <w:r w:rsidRPr="00C63AC5">
        <w:rPr>
          <w:color w:val="000000"/>
          <w:vertAlign w:val="superscript"/>
          <w:lang w:val="es-PE" w:eastAsia="es-PE"/>
        </w:rPr>
        <w:t>(16)</w:t>
      </w:r>
      <w:r w:rsidRPr="00C63AC5">
        <w:rPr>
          <w:rFonts w:eastAsia="Arial"/>
          <w:bCs/>
          <w:color w:val="000000"/>
          <w:lang w:val="es-PE" w:eastAsia="es-PE"/>
        </w:rPr>
        <w:fldChar w:fldCharType="end"/>
      </w:r>
      <w:r w:rsidRPr="00C63AC5">
        <w:rPr>
          <w:rFonts w:eastAsia="Arial"/>
          <w:bCs/>
          <w:color w:val="000000"/>
          <w:lang w:val="es-PE" w:eastAsia="es-PE"/>
        </w:rPr>
        <w:t xml:space="preserve"> </w:t>
      </w:r>
    </w:p>
    <w:p w14:paraId="7DE2DB8E" w14:textId="77777777" w:rsidR="00C63AC5" w:rsidRPr="00C63AC5" w:rsidRDefault="00C63AC5" w:rsidP="00C63AC5">
      <w:pPr>
        <w:widowControl w:val="0"/>
        <w:pBdr>
          <w:top w:val="nil"/>
          <w:left w:val="nil"/>
          <w:bottom w:val="nil"/>
          <w:right w:val="nil"/>
          <w:between w:val="nil"/>
        </w:pBdr>
        <w:spacing w:line="360" w:lineRule="auto"/>
        <w:jc w:val="both"/>
        <w:rPr>
          <w:shd w:val="clear" w:color="auto" w:fill="FFFFFF"/>
          <w:lang w:val="es-PE" w:eastAsia="es-PE"/>
        </w:rPr>
      </w:pPr>
      <w:r w:rsidRPr="00C63AC5">
        <w:rPr>
          <w:rFonts w:eastAsia="Arial"/>
          <w:bCs/>
          <w:color w:val="000000"/>
          <w:lang w:val="es-PE" w:eastAsia="es-PE"/>
        </w:rPr>
        <w:t>A pesar de que se sabe que la obesidad y el déficit de vitamina D está presente en este grupo poblacional, n</w:t>
      </w:r>
      <w:r w:rsidRPr="00C63AC5">
        <w:rPr>
          <w:shd w:val="clear" w:color="auto" w:fill="FFFFFF"/>
          <w:lang w:val="es-PE" w:eastAsia="es-PE"/>
        </w:rPr>
        <w:t>o ha habido un análisis completo que evalúe si definitivamente existe esta asociación y cuál es su magnitud, sin considerar solamente a la obesidad a partir del índice de masa corporal (IMC), sino mediante otras medidas como el cintura abdominal (CA).</w:t>
      </w:r>
      <w:r w:rsidRPr="00C63AC5">
        <w:rPr>
          <w:shd w:val="clear" w:color="auto" w:fill="FFFFFF"/>
          <w:lang w:val="es-PE" w:eastAsia="es-PE"/>
        </w:rPr>
        <w:fldChar w:fldCharType="begin"/>
      </w:r>
      <w:r w:rsidRPr="00C63AC5">
        <w:rPr>
          <w:shd w:val="clear" w:color="auto" w:fill="FFFFFF"/>
          <w:lang w:val="es-PE" w:eastAsia="es-PE"/>
        </w:rPr>
        <w:instrText xml:space="preserve"> ADDIN ZOTERO_ITEM CSL_CITATION {"citationID":"XBMhfpvW","properties":{"formattedCitation":"\\super (21,22)\\nosupersub{}","plainCitation":"(21,22)","noteIndex":0},"citationItems":[{"id":539,"uris":["http://zotero.org/users/6066349/items/HNTLU6BY"],"uri":["http://zotero.org/users/6066349/items/HNTLU6BY"],"itemData":{"id":539,"type":"article-journal","abstract":"Body mass index of 30 kg/m2 or higher is used to identify individuals with obesity. In the last 3 decades, the worldwide prevalence of obesity has increased 27.5% for adults and 47.1% for children. Obesity is the result of complex relationships between genetic, socioeconomic, and cultural influences. Consumption patterns, urban development, and lifestyle habits influence the prevalence of obesity. The condition may be the result of disease or pharmacologic treatment. It may also be a risk factor for the development of comorbid conditions. Persons who are obese have less school attendance, reduced earning potential, and higher healthcare costs that may result in an economic burden on society. A review of the prevalence and economic consequences of obesity is provided. Potential causes and comorbidities associated with obesity are also discussed.","container-title":"The American Journal of Managed Care","ISSN":"1936-2692","issue":"7 Suppl","journalAbbreviation":"Am J Manag Care","language":"eng","note":"PMID: 27356115","page":"s176-185","source":"PubMed","title":"Obesity: definition, comorbidities, causes, and burden","title-short":"Obesity","volume":"22","author":[{"family":"Apovian","given":"Caroline M."}],"issued":{"date-parts":[["2016"]]}}},{"id":1217,"uris":["http://zotero.org/users/6066349/items/LTUMV3D2"],"uri":["http://zotero.org/users/6066349/items/LTUMV3D2"],"itemData":{"id":1217,"type":"article-journal","abstract":"Epidemiological studies assessing general and abdominal obesity measures or their combination for mortality prediction have shown inconsistent results. We aimed to systematically review the associations of body mass index (BMI), waist-to-hip ratio (WHR), waist circumference (WC) and waist-to-height ratio (WHtR) with all-cause mortality in prospective cohort studies. In this systematic review, which includes a meta-regression analysis, we analysed the associations with all-cause mortality of BMI, WHR, WC and WHtR in prospective cohort studies available in Medline, Embase, the Cochrane Database of Systematic Reviews and Esbiobase from inception through 7 May 2010. A total of 18 studies met the inclusion criteria, comprising 689, 465 participants and 48, 421 deaths during 5-24 years of follow-up. The studies were heterogeneous, mainly due to differences in categorization of anthropometric parameters (AP) and different approaches to statistical analysis. Both general and abdominal obesity measures were significantly associated with mortality. In analyses using categorical variables, BMI and WC showed predominantly U- or J-shaped associations with mortality, whereas WHR and WHtR demonstrated positive relationships with mortality. All measures showed similar risk patterns for upper quantiles in comparison to reference quantiles. The parameters of general and abdominal obesity each remained significantly associated with mortality when adjusted for the other. This evidence suggests that abdominal obesity measures such as WC or WHR, show information independent to measures of general obesity and should be used in clinical practice, in addition to BMI, to assess obesity-related mortality in adults.","container-title":"European Journal of Clinical Nutrition","DOI":"10.1038/ejcn.2013.61","ISSN":"1476-5640","issue":"6","journalAbbreviation":"Eur J Clin Nutr","language":"eng","note":"PMID: 23511854","page":"573-585","source":"PubMed","title":"General and abdominal obesity parameters and their combination in relation to mortality: a systematic review and meta-regression analysis","title-short":"General and abdominal obesity parameters and their combination in relation to mortality","volume":"67","author":[{"family":"Carmienke","given":"S."},{"family":"Freitag","given":"M. H."},{"family":"Pischon","given":"T."},{"family":"Schlattmann","given":"P."},{"family":"Fankhaenel","given":"T."},{"family":"Goebel","given":"H."},{"family":"Gensichen","given":"J."}],"issued":{"date-parts":[["2013",6]]}}}],"schema":"https://github.com/citation-style-language/schema/raw/master/csl-citation.json"} </w:instrText>
      </w:r>
      <w:r w:rsidRPr="00C63AC5">
        <w:rPr>
          <w:shd w:val="clear" w:color="auto" w:fill="FFFFFF"/>
          <w:lang w:val="es-PE" w:eastAsia="es-PE"/>
        </w:rPr>
        <w:fldChar w:fldCharType="separate"/>
      </w:r>
      <w:r w:rsidRPr="00C63AC5">
        <w:rPr>
          <w:color w:val="000000"/>
          <w:vertAlign w:val="superscript"/>
          <w:lang w:val="es-PE" w:eastAsia="es-PE"/>
        </w:rPr>
        <w:t>(17)</w:t>
      </w:r>
      <w:r w:rsidRPr="00C63AC5">
        <w:rPr>
          <w:shd w:val="clear" w:color="auto" w:fill="FFFFFF"/>
          <w:lang w:val="es-PE" w:eastAsia="es-PE"/>
        </w:rPr>
        <w:fldChar w:fldCharType="end"/>
      </w:r>
      <w:r w:rsidRPr="00C63AC5">
        <w:rPr>
          <w:shd w:val="clear" w:color="auto" w:fill="FFFFFF"/>
          <w:lang w:val="es-PE" w:eastAsia="es-PE"/>
        </w:rPr>
        <w:t xml:space="preserve"> </w:t>
      </w:r>
    </w:p>
    <w:p w14:paraId="030DD12C" w14:textId="77777777" w:rsidR="00C63AC5" w:rsidRPr="00C63AC5" w:rsidRDefault="00C63AC5" w:rsidP="00C63AC5">
      <w:pPr>
        <w:widowControl w:val="0"/>
        <w:pBdr>
          <w:top w:val="nil"/>
          <w:left w:val="nil"/>
          <w:bottom w:val="nil"/>
          <w:right w:val="nil"/>
          <w:between w:val="nil"/>
        </w:pBdr>
        <w:spacing w:line="360" w:lineRule="auto"/>
        <w:jc w:val="both"/>
        <w:rPr>
          <w:shd w:val="clear" w:color="auto" w:fill="FFFFFF"/>
          <w:lang w:val="es-PE" w:eastAsia="es-PE"/>
        </w:rPr>
      </w:pPr>
      <w:r w:rsidRPr="00C63AC5">
        <w:rPr>
          <w:shd w:val="clear" w:color="auto" w:fill="FFFFFF"/>
          <w:lang w:val="es-PE" w:eastAsia="es-PE"/>
        </w:rPr>
        <w:t>En la presente investigación se lleva a cabo una revisión sistemática y metanálisis para determinar la asociación entre obesidad y vitamina D en ancianos.</w:t>
      </w:r>
    </w:p>
    <w:p w14:paraId="441E3EC1" w14:textId="77777777" w:rsidR="00C63AC5" w:rsidRPr="00C63AC5" w:rsidRDefault="00C63AC5" w:rsidP="00C63AC5">
      <w:pPr>
        <w:widowControl w:val="0"/>
        <w:pBdr>
          <w:top w:val="nil"/>
          <w:left w:val="nil"/>
          <w:bottom w:val="nil"/>
          <w:right w:val="nil"/>
          <w:between w:val="nil"/>
        </w:pBdr>
        <w:spacing w:line="360" w:lineRule="auto"/>
        <w:jc w:val="both"/>
        <w:rPr>
          <w:shd w:val="clear" w:color="auto" w:fill="FFFFFF"/>
          <w:lang w:val="es-PE" w:eastAsia="es-PE"/>
        </w:rPr>
      </w:pPr>
    </w:p>
    <w:p w14:paraId="575A4DAD" w14:textId="77777777" w:rsidR="00C63AC5" w:rsidRPr="00C63AC5" w:rsidRDefault="00C63AC5" w:rsidP="00C63AC5">
      <w:pPr>
        <w:widowControl w:val="0"/>
        <w:pBdr>
          <w:top w:val="nil"/>
          <w:left w:val="nil"/>
          <w:bottom w:val="nil"/>
          <w:right w:val="nil"/>
          <w:between w:val="nil"/>
        </w:pBdr>
        <w:spacing w:line="360" w:lineRule="auto"/>
        <w:jc w:val="both"/>
        <w:rPr>
          <w:shd w:val="clear" w:color="auto" w:fill="FFFFFF"/>
          <w:lang w:val="es-PE" w:eastAsia="es-PE"/>
        </w:rPr>
      </w:pPr>
    </w:p>
    <w:p w14:paraId="2C3B7F75" w14:textId="77777777" w:rsidR="006E2FB2" w:rsidRDefault="006E2FB2">
      <w:pPr>
        <w:rPr>
          <w:b/>
          <w:bCs/>
          <w:sz w:val="32"/>
          <w:szCs w:val="32"/>
          <w:shd w:val="clear" w:color="auto" w:fill="FFFFFF"/>
          <w:lang w:val="es-PE" w:eastAsia="es-PE"/>
        </w:rPr>
      </w:pPr>
      <w:r>
        <w:rPr>
          <w:b/>
          <w:bCs/>
          <w:sz w:val="32"/>
          <w:szCs w:val="32"/>
          <w:shd w:val="clear" w:color="auto" w:fill="FFFFFF"/>
          <w:lang w:val="es-PE" w:eastAsia="es-PE"/>
        </w:rPr>
        <w:br w:type="page"/>
      </w:r>
    </w:p>
    <w:p w14:paraId="3E62D557" w14:textId="724A6CC4" w:rsidR="00C63AC5" w:rsidRPr="00C63AC5" w:rsidRDefault="00C63AC5" w:rsidP="00C63AC5">
      <w:pPr>
        <w:widowControl w:val="0"/>
        <w:pBdr>
          <w:top w:val="nil"/>
          <w:left w:val="nil"/>
          <w:bottom w:val="nil"/>
          <w:right w:val="nil"/>
          <w:between w:val="nil"/>
        </w:pBdr>
        <w:spacing w:line="360" w:lineRule="auto"/>
        <w:jc w:val="center"/>
        <w:rPr>
          <w:b/>
          <w:bCs/>
          <w:sz w:val="32"/>
          <w:szCs w:val="32"/>
          <w:shd w:val="clear" w:color="auto" w:fill="FFFFFF"/>
          <w:lang w:val="es-PE" w:eastAsia="es-PE"/>
        </w:rPr>
      </w:pPr>
      <w:r w:rsidRPr="00C63AC5">
        <w:rPr>
          <w:b/>
          <w:bCs/>
          <w:sz w:val="32"/>
          <w:szCs w:val="32"/>
          <w:shd w:val="clear" w:color="auto" w:fill="FFFFFF"/>
          <w:lang w:val="es-PE" w:eastAsia="es-PE"/>
        </w:rPr>
        <w:lastRenderedPageBreak/>
        <w:t>MÉTODOS</w:t>
      </w:r>
    </w:p>
    <w:p w14:paraId="709F4F3B" w14:textId="77777777" w:rsidR="00C63AC5" w:rsidRPr="00C63AC5" w:rsidRDefault="00C63AC5" w:rsidP="00C63AC5">
      <w:pPr>
        <w:widowControl w:val="0"/>
        <w:pBdr>
          <w:top w:val="nil"/>
          <w:left w:val="nil"/>
          <w:bottom w:val="nil"/>
          <w:right w:val="nil"/>
          <w:between w:val="nil"/>
        </w:pBdr>
        <w:spacing w:line="360" w:lineRule="auto"/>
        <w:jc w:val="center"/>
        <w:rPr>
          <w:b/>
          <w:color w:val="000000"/>
          <w:sz w:val="28"/>
          <w:szCs w:val="28"/>
          <w:lang w:val="es-PE" w:eastAsia="es-PE"/>
        </w:rPr>
      </w:pPr>
      <w:r w:rsidRPr="00C63AC5">
        <w:rPr>
          <w:b/>
          <w:color w:val="000000"/>
          <w:sz w:val="28"/>
          <w:szCs w:val="28"/>
          <w:lang w:val="es-PE" w:eastAsia="es-PE"/>
        </w:rPr>
        <w:t>Diseño del estudio</w:t>
      </w:r>
    </w:p>
    <w:p w14:paraId="2AAF8877" w14:textId="14E11A92" w:rsidR="00C63AC5" w:rsidRPr="00C63AC5" w:rsidRDefault="00C63AC5" w:rsidP="00C63AC5">
      <w:pPr>
        <w:widowControl w:val="0"/>
        <w:pBdr>
          <w:top w:val="nil"/>
          <w:left w:val="nil"/>
          <w:bottom w:val="nil"/>
          <w:right w:val="nil"/>
          <w:between w:val="nil"/>
        </w:pBdr>
        <w:spacing w:line="360" w:lineRule="auto"/>
        <w:jc w:val="both"/>
        <w:rPr>
          <w:color w:val="000000"/>
          <w:lang w:val="es-PE" w:eastAsia="es-PE"/>
        </w:rPr>
      </w:pPr>
      <w:r w:rsidRPr="00C63AC5">
        <w:rPr>
          <w:color w:val="000000"/>
          <w:lang w:val="es-ES" w:eastAsia="es-PE"/>
        </w:rPr>
        <w:t>Revisión sistemática (RS) con metanálisis de estudios observacionales. Se utilizó la declaración PRISMA para informar revisiones sistemáticas y metanálisis como guía;</w:t>
      </w:r>
      <w:r w:rsidRPr="00C63AC5">
        <w:rPr>
          <w:color w:val="000000"/>
          <w:lang w:val="es-ES" w:eastAsia="es-PE"/>
        </w:rPr>
        <w:fldChar w:fldCharType="begin"/>
      </w:r>
      <w:r w:rsidRPr="00C63AC5">
        <w:rPr>
          <w:color w:val="000000"/>
          <w:lang w:val="es-ES" w:eastAsia="es-PE"/>
        </w:rPr>
        <w:instrText xml:space="preserve"> ADDIN ZOTERO_ITEM CSL_CITATION {"citationID":"u1KTNZsz","properties":{"formattedCitation":"\\super (23)\\nosupersub{}","plainCitation":"(23)","noteIndex":0},"citationItems":[{"id":4573,"uris":["http://zotero.org/users/6066349/items/22JHMTL3"],"uri":["http://zotero.org/users/6066349/items/22JHMTL3"],"itemData":{"id":4573,"type":"article-journal","container-title":"PLoS medicine","DOI":"10.1371/journal.pmed.1000097","ISSN":"1549-1676","issue":"7","journalAbbreviation":"PLoS Med","language":"eng","note":"PMID: 19621072\nPMCID: PMC2707599","page":"e1000097","source":"PubMed","title":"Preferred reporting items for systematic reviews and meta-analyses: the PRISMA statement","title-short":"Preferred reporting items for systematic reviews and meta-analyses","volume":"6","author":[{"family":"Moher","given":"David"},{"family":"Liberati","given":"Alessandro"},{"family":"Tetzlaff","given":"Jennifer"},{"family":"Altman","given":"Douglas G."},{"literal":"PRISMA Group"}],"issued":{"date-parts":[["2009",7,21]]}}}],"schema":"https://github.com/citation-style-language/schema/raw/master/csl-citation.json"} </w:instrText>
      </w:r>
      <w:r w:rsidRPr="00C63AC5">
        <w:rPr>
          <w:color w:val="000000"/>
          <w:lang w:val="es-ES" w:eastAsia="es-PE"/>
        </w:rPr>
        <w:fldChar w:fldCharType="separate"/>
      </w:r>
      <w:r w:rsidRPr="00C63AC5">
        <w:rPr>
          <w:color w:val="000000"/>
          <w:vertAlign w:val="superscript"/>
          <w:lang w:val="es-PE" w:eastAsia="es-PE"/>
        </w:rPr>
        <w:t>(18)</w:t>
      </w:r>
      <w:r w:rsidRPr="00C63AC5">
        <w:rPr>
          <w:color w:val="000000"/>
          <w:lang w:val="es-ES" w:eastAsia="es-PE"/>
        </w:rPr>
        <w:fldChar w:fldCharType="end"/>
      </w:r>
      <w:r w:rsidRPr="00C63AC5">
        <w:rPr>
          <w:color w:val="000000"/>
          <w:lang w:val="es-ES" w:eastAsia="es-PE"/>
        </w:rPr>
        <w:t xml:space="preserve"> </w:t>
      </w:r>
      <w:r w:rsidRPr="00C63AC5">
        <w:rPr>
          <w:color w:val="000000"/>
          <w:lang w:val="es-MX" w:eastAsia="es-PE"/>
        </w:rPr>
        <w:t xml:space="preserve">disponible en como archivo complementario. La </w:t>
      </w:r>
      <w:r w:rsidRPr="00C63AC5">
        <w:rPr>
          <w:color w:val="000000"/>
          <w:lang w:val="es-ES" w:eastAsia="es-PE"/>
        </w:rPr>
        <w:t>RS se registró en PROSPERO (</w:t>
      </w:r>
      <w:proofErr w:type="spellStart"/>
      <w:r w:rsidRPr="00C63AC5">
        <w:rPr>
          <w:color w:val="000000"/>
          <w:lang w:val="es-PE" w:eastAsia="es-PE"/>
        </w:rPr>
        <w:fldChar w:fldCharType="begin"/>
      </w:r>
      <w:r w:rsidRPr="00C63AC5">
        <w:rPr>
          <w:color w:val="000000"/>
          <w:lang w:val="es-PE" w:eastAsia="es-PE"/>
        </w:rPr>
        <w:instrText xml:space="preserve"> HYPERLINK "https://www.crd.york.ac.uk/prospero/display_record.php?RecordID=286732" </w:instrText>
      </w:r>
      <w:r w:rsidRPr="00C63AC5">
        <w:rPr>
          <w:color w:val="000000"/>
          <w:lang w:val="es-PE" w:eastAsia="es-PE"/>
        </w:rPr>
        <w:fldChar w:fldCharType="separate"/>
      </w:r>
      <w:r w:rsidRPr="00C63AC5">
        <w:rPr>
          <w:color w:val="0563C1"/>
          <w:u w:val="single"/>
          <w:lang w:val="es-ES" w:eastAsia="es-PE"/>
        </w:rPr>
        <w:t>CRD42021286732</w:t>
      </w:r>
      <w:proofErr w:type="spellEnd"/>
      <w:r w:rsidRPr="00C63AC5">
        <w:rPr>
          <w:color w:val="0563C1"/>
          <w:u w:val="single"/>
          <w:lang w:val="es-ES" w:eastAsia="es-PE"/>
        </w:rPr>
        <w:fldChar w:fldCharType="end"/>
      </w:r>
      <w:r w:rsidRPr="00C63AC5">
        <w:rPr>
          <w:color w:val="000000"/>
          <w:lang w:val="es-ES" w:eastAsia="es-PE"/>
        </w:rPr>
        <w:t>)</w:t>
      </w:r>
      <w:r w:rsidRPr="00C63AC5">
        <w:rPr>
          <w:lang w:val="es-ES" w:eastAsia="es-PE"/>
        </w:rPr>
        <w:t>.</w:t>
      </w:r>
      <w:r w:rsidRPr="00C63AC5">
        <w:rPr>
          <w:color w:val="000000"/>
          <w:lang w:val="es-ES" w:eastAsia="es-PE"/>
        </w:rPr>
        <w:t xml:space="preserve"> Fue </w:t>
      </w:r>
      <w:r w:rsidRPr="00C63AC5">
        <w:rPr>
          <w:color w:val="000000"/>
          <w:lang w:val="es-PE" w:eastAsia="es-PE"/>
        </w:rPr>
        <w:t>desarrolla</w:t>
      </w:r>
      <w:r w:rsidR="00FD3F01">
        <w:rPr>
          <w:color w:val="000000"/>
          <w:lang w:val="es-PE" w:eastAsia="es-PE"/>
        </w:rPr>
        <w:t>da</w:t>
      </w:r>
      <w:r w:rsidRPr="00C63AC5">
        <w:rPr>
          <w:color w:val="000000"/>
          <w:lang w:val="es-PE" w:eastAsia="es-PE"/>
        </w:rPr>
        <w:t xml:space="preserve"> durante el periodo septiembre a diciembre del 2021.</w:t>
      </w:r>
    </w:p>
    <w:p w14:paraId="2B1304CA" w14:textId="77777777" w:rsidR="00C63AC5" w:rsidRPr="00C63AC5" w:rsidRDefault="00C63AC5" w:rsidP="00C63AC5">
      <w:pPr>
        <w:widowControl w:val="0"/>
        <w:pBdr>
          <w:top w:val="nil"/>
          <w:left w:val="nil"/>
          <w:bottom w:val="nil"/>
          <w:right w:val="nil"/>
          <w:between w:val="nil"/>
        </w:pBdr>
        <w:spacing w:line="360" w:lineRule="auto"/>
        <w:jc w:val="center"/>
        <w:rPr>
          <w:b/>
          <w:bCs/>
          <w:color w:val="000000"/>
          <w:sz w:val="28"/>
          <w:szCs w:val="28"/>
          <w:lang w:val="es-MX" w:eastAsia="es-PE"/>
        </w:rPr>
      </w:pPr>
      <w:r w:rsidRPr="00C63AC5">
        <w:rPr>
          <w:b/>
          <w:bCs/>
          <w:color w:val="000000"/>
          <w:sz w:val="28"/>
          <w:szCs w:val="28"/>
          <w:lang w:val="es-MX" w:eastAsia="es-PE"/>
        </w:rPr>
        <w:t>Estrategia de búsqueda</w:t>
      </w:r>
    </w:p>
    <w:p w14:paraId="13AB7EC5"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 xml:space="preserve">Se buscó por 6 bases de datos: </w:t>
      </w:r>
      <w:bookmarkStart w:id="1" w:name="_Hlk85702437"/>
      <w:proofErr w:type="spellStart"/>
      <w:r w:rsidRPr="00C63AC5">
        <w:rPr>
          <w:color w:val="000000"/>
          <w:lang w:val="es-MX" w:eastAsia="es-PE"/>
        </w:rPr>
        <w:t>Pubmed</w:t>
      </w:r>
      <w:proofErr w:type="spellEnd"/>
      <w:r w:rsidRPr="00C63AC5">
        <w:rPr>
          <w:color w:val="000000"/>
          <w:lang w:val="es-MX" w:eastAsia="es-PE"/>
        </w:rPr>
        <w:t xml:space="preserve">/Medline, </w:t>
      </w:r>
      <w:proofErr w:type="spellStart"/>
      <w:r w:rsidRPr="00C63AC5">
        <w:rPr>
          <w:color w:val="000000"/>
          <w:lang w:val="es-MX" w:eastAsia="es-PE"/>
        </w:rPr>
        <w:t>SCOPUS</w:t>
      </w:r>
      <w:proofErr w:type="spellEnd"/>
      <w:r w:rsidRPr="00C63AC5">
        <w:rPr>
          <w:color w:val="000000"/>
          <w:lang w:val="es-MX" w:eastAsia="es-PE"/>
        </w:rPr>
        <w:t xml:space="preserve">, Web </w:t>
      </w:r>
      <w:proofErr w:type="spellStart"/>
      <w:r w:rsidRPr="00C63AC5">
        <w:rPr>
          <w:color w:val="000000"/>
          <w:lang w:val="es-MX" w:eastAsia="es-PE"/>
        </w:rPr>
        <w:t>of</w:t>
      </w:r>
      <w:proofErr w:type="spellEnd"/>
      <w:r w:rsidRPr="00C63AC5">
        <w:rPr>
          <w:color w:val="000000"/>
          <w:lang w:val="es-MX" w:eastAsia="es-PE"/>
        </w:rPr>
        <w:t xml:space="preserve"> </w:t>
      </w:r>
      <w:proofErr w:type="spellStart"/>
      <w:r w:rsidRPr="00C63AC5">
        <w:rPr>
          <w:color w:val="000000"/>
          <w:lang w:val="es-MX" w:eastAsia="es-PE"/>
        </w:rPr>
        <w:t>Science</w:t>
      </w:r>
      <w:proofErr w:type="spellEnd"/>
      <w:r w:rsidRPr="00C63AC5">
        <w:rPr>
          <w:color w:val="000000"/>
          <w:lang w:val="es-MX" w:eastAsia="es-PE"/>
        </w:rPr>
        <w:t xml:space="preserve">, Cochrane Library, </w:t>
      </w:r>
      <w:proofErr w:type="spellStart"/>
      <w:r w:rsidRPr="00C63AC5">
        <w:rPr>
          <w:color w:val="000000"/>
          <w:lang w:val="es-MX" w:eastAsia="es-PE"/>
        </w:rPr>
        <w:t>EMBASE</w:t>
      </w:r>
      <w:proofErr w:type="spellEnd"/>
      <w:r w:rsidRPr="00C63AC5">
        <w:rPr>
          <w:color w:val="000000"/>
          <w:lang w:val="es-MX" w:eastAsia="es-PE"/>
        </w:rPr>
        <w:t xml:space="preserve">, y </w:t>
      </w:r>
      <w:proofErr w:type="spellStart"/>
      <w:r w:rsidRPr="00C63AC5">
        <w:rPr>
          <w:color w:val="000000"/>
          <w:lang w:val="es-MX" w:eastAsia="es-PE"/>
        </w:rPr>
        <w:t>Clinical</w:t>
      </w:r>
      <w:proofErr w:type="spellEnd"/>
      <w:r w:rsidRPr="00C63AC5">
        <w:rPr>
          <w:color w:val="000000"/>
          <w:lang w:val="es-MX" w:eastAsia="es-PE"/>
        </w:rPr>
        <w:t xml:space="preserve"> </w:t>
      </w:r>
      <w:proofErr w:type="spellStart"/>
      <w:r w:rsidRPr="00C63AC5">
        <w:rPr>
          <w:color w:val="000000"/>
          <w:lang w:val="es-MX" w:eastAsia="es-PE"/>
        </w:rPr>
        <w:t>Trials</w:t>
      </w:r>
      <w:bookmarkEnd w:id="1"/>
      <w:proofErr w:type="spellEnd"/>
      <w:r w:rsidRPr="00C63AC5">
        <w:rPr>
          <w:color w:val="000000"/>
          <w:lang w:val="es-MX" w:eastAsia="es-PE"/>
        </w:rPr>
        <w:t xml:space="preserve">. Se utilizaron los términos clave: </w:t>
      </w:r>
      <w:proofErr w:type="spellStart"/>
      <w:r w:rsidRPr="00C63AC5">
        <w:rPr>
          <w:color w:val="000000"/>
          <w:lang w:val="es-MX" w:eastAsia="es-PE"/>
        </w:rPr>
        <w:t>obesity</w:t>
      </w:r>
      <w:proofErr w:type="spellEnd"/>
      <w:r w:rsidRPr="00C63AC5">
        <w:rPr>
          <w:color w:val="000000"/>
          <w:lang w:val="es-MX" w:eastAsia="es-PE"/>
        </w:rPr>
        <w:t xml:space="preserve">, </w:t>
      </w:r>
      <w:proofErr w:type="spellStart"/>
      <w:r w:rsidRPr="00C63AC5">
        <w:rPr>
          <w:color w:val="000000"/>
          <w:lang w:val="es-MX" w:eastAsia="es-PE"/>
        </w:rPr>
        <w:t>older</w:t>
      </w:r>
      <w:proofErr w:type="spellEnd"/>
      <w:r w:rsidRPr="00C63AC5">
        <w:rPr>
          <w:color w:val="000000"/>
          <w:lang w:val="es-MX" w:eastAsia="es-PE"/>
        </w:rPr>
        <w:t xml:space="preserve"> y </w:t>
      </w:r>
      <w:proofErr w:type="spellStart"/>
      <w:r w:rsidRPr="00C63AC5">
        <w:rPr>
          <w:color w:val="000000"/>
          <w:lang w:val="es-MX" w:eastAsia="es-PE"/>
        </w:rPr>
        <w:t>vitamin</w:t>
      </w:r>
      <w:proofErr w:type="spellEnd"/>
      <w:r w:rsidRPr="00C63AC5">
        <w:rPr>
          <w:color w:val="000000"/>
          <w:lang w:val="es-MX" w:eastAsia="es-PE"/>
        </w:rPr>
        <w:t xml:space="preserve"> D. La estrategia de búsqueda por cada base de datos se encuentra disponible como archivo complementario. </w:t>
      </w:r>
    </w:p>
    <w:p w14:paraId="352B06B0" w14:textId="77777777" w:rsidR="00C63AC5" w:rsidRPr="00C63AC5" w:rsidRDefault="00C63AC5" w:rsidP="00C63AC5">
      <w:pPr>
        <w:widowControl w:val="0"/>
        <w:pBdr>
          <w:top w:val="nil"/>
          <w:left w:val="nil"/>
          <w:bottom w:val="nil"/>
          <w:right w:val="nil"/>
          <w:between w:val="nil"/>
        </w:pBdr>
        <w:spacing w:line="360" w:lineRule="auto"/>
        <w:jc w:val="center"/>
        <w:rPr>
          <w:b/>
          <w:bCs/>
          <w:color w:val="000000"/>
          <w:sz w:val="28"/>
          <w:szCs w:val="28"/>
          <w:lang w:val="es-MX" w:eastAsia="es-PE"/>
        </w:rPr>
      </w:pPr>
      <w:r w:rsidRPr="00C63AC5">
        <w:rPr>
          <w:b/>
          <w:bCs/>
          <w:color w:val="000000"/>
          <w:sz w:val="28"/>
          <w:szCs w:val="28"/>
          <w:lang w:val="es-MX" w:eastAsia="es-PE"/>
        </w:rPr>
        <w:t>Selección de estudios</w:t>
      </w:r>
    </w:p>
    <w:p w14:paraId="4EAC4D7A"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 xml:space="preserve">Se guardaron los artículos con </w:t>
      </w:r>
      <w:r w:rsidRPr="00C63AC5">
        <w:rPr>
          <w:color w:val="000000"/>
          <w:lang w:val="es-ES" w:eastAsia="es-PE"/>
        </w:rPr>
        <w:t xml:space="preserve">el software </w:t>
      </w:r>
      <w:proofErr w:type="spellStart"/>
      <w:r w:rsidRPr="00C63AC5">
        <w:rPr>
          <w:color w:val="000000"/>
          <w:lang w:val="es-PE" w:eastAsia="es-PE"/>
        </w:rPr>
        <w:t>Rayyan</w:t>
      </w:r>
      <w:proofErr w:type="spellEnd"/>
      <w:r w:rsidRPr="00C63AC5">
        <w:rPr>
          <w:color w:val="000000"/>
          <w:lang w:val="es-PE" w:eastAsia="es-PE"/>
        </w:rPr>
        <w:t xml:space="preserve"> </w:t>
      </w:r>
      <w:r w:rsidRPr="00C63AC5">
        <w:rPr>
          <w:rFonts w:eastAsia="Century Gothic"/>
          <w:color w:val="000000"/>
          <w:lang w:val="es-PE" w:eastAsia="es-PE"/>
        </w:rPr>
        <w:t>(</w:t>
      </w:r>
      <w:hyperlink r:id="rId14" w:history="1">
        <w:r w:rsidRPr="00C63AC5">
          <w:rPr>
            <w:rFonts w:eastAsia="Century Gothic"/>
            <w:color w:val="0563C1"/>
            <w:u w:val="single"/>
            <w:lang w:val="es-PE" w:eastAsia="es-PE"/>
          </w:rPr>
          <w:t>https://rayyan.qcri.org</w:t>
        </w:r>
      </w:hyperlink>
      <w:r w:rsidRPr="00C63AC5">
        <w:rPr>
          <w:rFonts w:eastAsia="Century Gothic"/>
          <w:color w:val="000000"/>
          <w:lang w:val="es-PE" w:eastAsia="es-PE"/>
        </w:rPr>
        <w:t>)</w:t>
      </w:r>
      <w:r w:rsidRPr="00C63AC5">
        <w:rPr>
          <w:color w:val="000000"/>
          <w:lang w:val="es-MX" w:eastAsia="es-PE"/>
        </w:rPr>
        <w:t>. Dos investigadores, de manera independiente, realizaron la revisión de títulos y resúmenes; si ambos coincidían que un manuscrito debía ser incluido, se incluía, de lo contrario, era excluido, en el caso de encontrar discrepancia; era resuelto por un tercer autor.</w:t>
      </w:r>
    </w:p>
    <w:p w14:paraId="43251C5C"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Posteriormente revisó el texto completo de los artículos incluidos. En una hoja Excel se colocó si el estudio debía ser incluido o no. Este procedimiento también fue realizado por 2 investigadores, de haber discrepancias, eran resueltas por un tercero.</w:t>
      </w:r>
    </w:p>
    <w:p w14:paraId="01BDC380" w14:textId="77777777" w:rsidR="00C63AC5" w:rsidRPr="00C63AC5" w:rsidRDefault="00C63AC5" w:rsidP="00C63AC5">
      <w:pPr>
        <w:widowControl w:val="0"/>
        <w:pBdr>
          <w:top w:val="nil"/>
          <w:left w:val="nil"/>
          <w:bottom w:val="nil"/>
          <w:right w:val="nil"/>
          <w:between w:val="nil"/>
        </w:pBdr>
        <w:spacing w:line="360" w:lineRule="auto"/>
        <w:jc w:val="center"/>
        <w:rPr>
          <w:b/>
          <w:bCs/>
          <w:color w:val="000000"/>
          <w:sz w:val="28"/>
          <w:szCs w:val="28"/>
          <w:lang w:val="es-MX" w:eastAsia="es-PE"/>
        </w:rPr>
      </w:pPr>
      <w:r w:rsidRPr="00C63AC5">
        <w:rPr>
          <w:b/>
          <w:bCs/>
          <w:color w:val="000000"/>
          <w:sz w:val="28"/>
          <w:szCs w:val="28"/>
          <w:lang w:val="es-MX" w:eastAsia="es-PE"/>
        </w:rPr>
        <w:t>Extracción de datos y análisis cualitativo</w:t>
      </w:r>
    </w:p>
    <w:p w14:paraId="6801C350"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Los artículos seleccionados fueron a la extracción de datos, a través de una ficha de en Microsoft Excel 2016; se extrajo de cada artículo: autor, año, país, tipo de estudio, muestra, medida de la variable respuesta, medida de la variable de exposición y variables de ajuste.</w:t>
      </w:r>
    </w:p>
    <w:p w14:paraId="26AECEA6" w14:textId="77777777" w:rsidR="00C63AC5" w:rsidRPr="00C63AC5" w:rsidRDefault="00C63AC5" w:rsidP="00C63AC5">
      <w:pPr>
        <w:widowControl w:val="0"/>
        <w:pBdr>
          <w:top w:val="nil"/>
          <w:left w:val="nil"/>
          <w:bottom w:val="nil"/>
          <w:right w:val="nil"/>
          <w:between w:val="nil"/>
        </w:pBdr>
        <w:spacing w:line="360" w:lineRule="auto"/>
        <w:jc w:val="center"/>
        <w:rPr>
          <w:b/>
          <w:bCs/>
          <w:color w:val="000000"/>
          <w:sz w:val="28"/>
          <w:szCs w:val="28"/>
          <w:lang w:val="es-MX" w:eastAsia="es-PE"/>
        </w:rPr>
      </w:pPr>
      <w:r w:rsidRPr="00C63AC5">
        <w:rPr>
          <w:b/>
          <w:bCs/>
          <w:color w:val="000000"/>
          <w:sz w:val="28"/>
          <w:szCs w:val="28"/>
          <w:lang w:val="es-MX" w:eastAsia="es-PE"/>
        </w:rPr>
        <w:t>Evaluación de riesgo de sesgo</w:t>
      </w:r>
    </w:p>
    <w:p w14:paraId="1B3A8714"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 xml:space="preserve">Se utilizó la herramienta de riesgo de sesgo </w:t>
      </w:r>
      <w:r w:rsidRPr="00C63AC5">
        <w:rPr>
          <w:i/>
          <w:iCs/>
          <w:color w:val="000000"/>
          <w:lang w:val="es-MX" w:eastAsia="es-PE"/>
        </w:rPr>
        <w:t xml:space="preserve">New </w:t>
      </w:r>
      <w:proofErr w:type="spellStart"/>
      <w:r w:rsidRPr="00C63AC5">
        <w:rPr>
          <w:i/>
          <w:iCs/>
          <w:color w:val="000000"/>
          <w:lang w:val="es-MX" w:eastAsia="es-PE"/>
        </w:rPr>
        <w:t>Castle</w:t>
      </w:r>
      <w:proofErr w:type="spellEnd"/>
      <w:r w:rsidRPr="00C63AC5">
        <w:rPr>
          <w:i/>
          <w:iCs/>
          <w:color w:val="000000"/>
          <w:lang w:val="es-MX" w:eastAsia="es-PE"/>
        </w:rPr>
        <w:t xml:space="preserve"> </w:t>
      </w:r>
      <w:proofErr w:type="spellStart"/>
      <w:r w:rsidRPr="00C63AC5">
        <w:rPr>
          <w:i/>
          <w:iCs/>
          <w:color w:val="000000"/>
          <w:lang w:val="es-MX" w:eastAsia="es-PE"/>
        </w:rPr>
        <w:t>Otawa</w:t>
      </w:r>
      <w:proofErr w:type="spellEnd"/>
      <w:r w:rsidRPr="00C63AC5">
        <w:rPr>
          <w:color w:val="000000"/>
          <w:lang w:val="es-MX" w:eastAsia="es-PE"/>
        </w:rPr>
        <w:t xml:space="preserve"> </w:t>
      </w:r>
      <w:proofErr w:type="spellStart"/>
      <w:r w:rsidRPr="00C63AC5">
        <w:rPr>
          <w:color w:val="000000"/>
          <w:lang w:val="es-MX" w:eastAsia="es-PE"/>
        </w:rPr>
        <w:t>modifcado</w:t>
      </w:r>
      <w:proofErr w:type="spellEnd"/>
      <w:r w:rsidRPr="00C63AC5">
        <w:rPr>
          <w:color w:val="000000"/>
          <w:lang w:val="es-MX" w:eastAsia="es-PE"/>
        </w:rPr>
        <w:t xml:space="preserve"> por </w:t>
      </w:r>
      <w:proofErr w:type="spellStart"/>
      <w:r w:rsidRPr="00C63AC5">
        <w:rPr>
          <w:i/>
          <w:iCs/>
          <w:color w:val="000000"/>
          <w:lang w:val="es-MX" w:eastAsia="es-PE"/>
        </w:rPr>
        <w:t>Modesti</w:t>
      </w:r>
      <w:proofErr w:type="spellEnd"/>
      <w:r w:rsidRPr="00C63AC5">
        <w:rPr>
          <w:color w:val="000000"/>
          <w:lang w:val="es-MX" w:eastAsia="es-PE"/>
        </w:rPr>
        <w:t xml:space="preserve"> y otros,</w:t>
      </w:r>
      <w:r w:rsidRPr="00C63AC5">
        <w:rPr>
          <w:color w:val="000000"/>
          <w:lang w:val="es-MX" w:eastAsia="es-PE"/>
        </w:rPr>
        <w:fldChar w:fldCharType="begin"/>
      </w:r>
      <w:r w:rsidRPr="00C63AC5">
        <w:rPr>
          <w:color w:val="000000"/>
          <w:lang w:val="es-MX" w:eastAsia="es-PE"/>
        </w:rPr>
        <w:instrText xml:space="preserve"> ADDIN ZOTERO_ITEM CSL_CITATION {"citationID":"AdYAwOIn","properties":{"formattedCitation":"\\super (24)\\nosupersub{}","plainCitation":"(24)","noteIndex":0},"citationItems":[{"id":4576,"uris":["http://zotero.org/users/6066349/items/9984DQK9"],"uri":["http://zotero.org/users/6066349/items/9984DQK9"],"itemData":{"id":4576,"type":"article-journal","abstract":"Background People of Sub Saharan Africa (SSA) and South Asians(SA) ethnic minorities living in Europe have higher risk of stroke than native Europeans(EU). Study objective is to provide an assessment of gender specific absolute differences in office systolic(SBP) and diastolic(DBP) blood pressure(BP) levels between SSA, SA, and EU. Methods and Findings We performed a systematic review and meta-analysis of observational studies conducted in Europe that examined BP in non-selected adult SSA, SA and EU subjects. Medline, PubMed, Embase, Web of Science, and Scopus were searched from their inception through January 31st 2015, for relevant articles. Outcome measures were mean SBP and DBP differences between minorities and EU, using a random effects model and tested for heterogeneity. Twenty-one studies involving 9,070 SSA, 18,421 SA, and 130,380 EU were included. Compared with EU, SSA had higher values of both SBP (3.38 mmHg, 95% CI 1.28 to 5.48 mmHg; and 6.00 mmHg, 95% CI 2.22 to 9.78 in men and women respectively) and DBP (3.29 mmHg, 95% CI 1.80 to 4.78; 5.35 mmHg, 95% CI 3.04 to 7.66). SA had lower SBP than EU(-4.57 mmHg, 95% CI -6.20 to -2.93; -2.97 mmHg, 95% CI -5.45 to -0.49) but similar DBP values. Meta-analysis by subgroup showed that SA originating from countries where Islam is the main religion had lower SBP and DBP values than EU. In multivariate meta-regression analyses, SBP difference between minorities and EU populations, was influenced by panethnicity and diabetes prevalence. Conclusions 1) The higher BP in SSA is maintained over decades, suggesting limited efficacy of prevention strategies in such group in Europe;2) The lower BP in Muslim populations suggests that yet untapped lifestyle and behavioral habits may reveal advantages towards the development of hypertension;3) The additive effect of diabetes, emphasizes the need of new strategies for the control of hypertension in groups at high prevalence of diabetes.","container-title":"PLOS ONE","DOI":"10.1371/journal.pone.0147601","ISSN":"1932-6203","issue":"1","journalAbbreviation":"PLOS ONE","language":"en","note":"publisher: Public Library of Science","page":"e0147601","source":"PLoS Journals","title":"Panethnic Differences in Blood Pressure in Europe: A Systematic Review and Meta-Analysis","title-short":"Panethnic Differences in Blood Pressure in Europe","volume":"11","author":[{"family":"Modesti","given":"Pietro Amedeo"},{"family":"Reboldi","given":"Gianpaolo"},{"family":"Cappuccio","given":"Francesco P."},{"family":"Agyemang","given":"Charles"},{"family":"Remuzzi","given":"Giuseppe"},{"family":"Rapi","given":"Stefano"},{"family":"Perruolo","given":"Eleonora"},{"family":"Parati","given":"Gianfranco"},{"family":"Settings","given":"ESH Working Group on CV Risk in Low Resource"}],"issued":{"date-parts":[["2016",1,25]]}}}],"schema":"https://github.com/citation-style-language/schema/raw/master/csl-citation.json"}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(19)</w:t>
      </w:r>
      <w:r w:rsidRPr="00C63AC5">
        <w:rPr>
          <w:color w:val="000000"/>
          <w:lang w:val="es-MX" w:eastAsia="es-PE"/>
        </w:rPr>
        <w:fldChar w:fldCharType="end"/>
      </w:r>
      <w:r w:rsidRPr="00C63AC5">
        <w:rPr>
          <w:color w:val="000000"/>
          <w:lang w:val="es-MX" w:eastAsia="es-PE"/>
        </w:rPr>
        <w:t xml:space="preserve"> 2 investigadores realizaron los análisis y, de presentarse un desacuerdo, era solventado por un tercero.</w:t>
      </w:r>
    </w:p>
    <w:p w14:paraId="63BA76BB" w14:textId="77777777" w:rsidR="006E2FB2" w:rsidRDefault="006E2FB2">
      <w:pPr>
        <w:rPr>
          <w:b/>
          <w:bCs/>
          <w:color w:val="000000"/>
          <w:sz w:val="28"/>
          <w:szCs w:val="28"/>
          <w:lang w:val="es-PE" w:eastAsia="es-PE"/>
        </w:rPr>
      </w:pPr>
      <w:r>
        <w:rPr>
          <w:b/>
          <w:bCs/>
          <w:color w:val="000000"/>
          <w:sz w:val="28"/>
          <w:szCs w:val="28"/>
          <w:lang w:val="es-PE" w:eastAsia="es-PE"/>
        </w:rPr>
        <w:br w:type="page"/>
      </w:r>
    </w:p>
    <w:p w14:paraId="2F5CDCC3" w14:textId="5977CB2E" w:rsidR="00C63AC5" w:rsidRPr="00C63AC5" w:rsidRDefault="00C63AC5" w:rsidP="00C63AC5">
      <w:pPr>
        <w:widowControl w:val="0"/>
        <w:pBdr>
          <w:top w:val="nil"/>
          <w:left w:val="nil"/>
          <w:bottom w:val="nil"/>
          <w:right w:val="nil"/>
          <w:between w:val="nil"/>
        </w:pBdr>
        <w:spacing w:line="360" w:lineRule="auto"/>
        <w:jc w:val="center"/>
        <w:rPr>
          <w:b/>
          <w:bCs/>
          <w:color w:val="000000"/>
          <w:sz w:val="28"/>
          <w:szCs w:val="28"/>
          <w:lang w:val="es-PE" w:eastAsia="es-PE"/>
        </w:rPr>
      </w:pPr>
      <w:r w:rsidRPr="00C63AC5">
        <w:rPr>
          <w:b/>
          <w:bCs/>
          <w:color w:val="000000"/>
          <w:sz w:val="28"/>
          <w:szCs w:val="28"/>
          <w:lang w:val="es-PE" w:eastAsia="es-PE"/>
        </w:rPr>
        <w:lastRenderedPageBreak/>
        <w:t>Análisis cuantitativo</w:t>
      </w:r>
    </w:p>
    <w:p w14:paraId="188DFE28"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PE" w:eastAsia="es-PE"/>
        </w:rPr>
      </w:pPr>
      <w:r w:rsidRPr="00C63AC5">
        <w:rPr>
          <w:color w:val="000000"/>
          <w:lang w:val="es-PE" w:eastAsia="es-PE"/>
        </w:rPr>
        <w:t>Las variables de interés se trabajaron de forma dicotomizada. La variable independiente fue obesidad (</w:t>
      </w:r>
      <w:proofErr w:type="spellStart"/>
      <w:r w:rsidRPr="00C63AC5">
        <w:rPr>
          <w:color w:val="000000"/>
          <w:lang w:val="es-PE" w:eastAsia="es-PE"/>
        </w:rPr>
        <w:t>si</w:t>
      </w:r>
      <w:proofErr w:type="spellEnd"/>
      <w:r w:rsidRPr="00C63AC5">
        <w:rPr>
          <w:color w:val="000000"/>
          <w:lang w:val="es-PE" w:eastAsia="es-PE"/>
        </w:rPr>
        <w:t xml:space="preserve">; no), según el IMC y el </w:t>
      </w:r>
      <w:proofErr w:type="spellStart"/>
      <w:r w:rsidRPr="00C63AC5">
        <w:rPr>
          <w:color w:val="000000"/>
          <w:lang w:val="es-PE" w:eastAsia="es-PE"/>
        </w:rPr>
        <w:t>PA</w:t>
      </w:r>
      <w:proofErr w:type="spellEnd"/>
      <w:r w:rsidRPr="00C63AC5">
        <w:rPr>
          <w:color w:val="000000"/>
          <w:lang w:val="es-PE" w:eastAsia="es-PE"/>
        </w:rPr>
        <w:t xml:space="preserve">. La variable dependiente fue vitamina D, de igual manera de forma dicotomizada (valores normales y anormales). Los datos categóricos se expresaron como </w:t>
      </w:r>
      <w:proofErr w:type="spellStart"/>
      <w:r w:rsidRPr="00C63AC5">
        <w:rPr>
          <w:i/>
          <w:iCs/>
          <w:color w:val="000000"/>
          <w:lang w:val="es-PE" w:eastAsia="es-PE"/>
        </w:rPr>
        <w:t>odds</w:t>
      </w:r>
      <w:proofErr w:type="spellEnd"/>
      <w:r w:rsidRPr="00C63AC5">
        <w:rPr>
          <w:i/>
          <w:iCs/>
          <w:color w:val="000000"/>
          <w:lang w:val="es-PE" w:eastAsia="es-PE"/>
        </w:rPr>
        <w:t xml:space="preserve"> ratios</w:t>
      </w:r>
      <w:r w:rsidRPr="00C63AC5">
        <w:rPr>
          <w:color w:val="000000"/>
          <w:lang w:val="es-PE" w:eastAsia="es-PE"/>
        </w:rPr>
        <w:t xml:space="preserve"> (</w:t>
      </w:r>
      <w:proofErr w:type="spellStart"/>
      <w:r w:rsidRPr="00C63AC5">
        <w:rPr>
          <w:color w:val="000000"/>
          <w:lang w:val="es-PE" w:eastAsia="es-PE"/>
        </w:rPr>
        <w:t>OR</w:t>
      </w:r>
      <w:proofErr w:type="spellEnd"/>
      <w:r w:rsidRPr="00C63AC5">
        <w:rPr>
          <w:color w:val="000000"/>
          <w:lang w:val="es-PE" w:eastAsia="es-PE"/>
        </w:rPr>
        <w:t>). Las medidas de asociación fueron calculadas con su intervalo de confianza al 95 % (</w:t>
      </w:r>
      <w:proofErr w:type="spellStart"/>
      <w:r w:rsidRPr="00C63AC5">
        <w:rPr>
          <w:color w:val="000000"/>
          <w:lang w:val="es-PE" w:eastAsia="es-PE"/>
        </w:rPr>
        <w:t>IC95</w:t>
      </w:r>
      <w:proofErr w:type="spellEnd"/>
      <w:r w:rsidRPr="00C63AC5">
        <w:rPr>
          <w:color w:val="000000"/>
          <w:lang w:val="es-PE" w:eastAsia="es-PE"/>
        </w:rPr>
        <w:t> %).</w:t>
      </w:r>
    </w:p>
    <w:p w14:paraId="1A5C0BCA"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PE" w:eastAsia="es-PE"/>
        </w:rPr>
      </w:pPr>
      <w:r w:rsidRPr="00C63AC5">
        <w:rPr>
          <w:color w:val="000000"/>
          <w:lang w:val="es-PE" w:eastAsia="es-PE"/>
        </w:rPr>
        <w:t>La heterogeneidad fue identificada por el I cuadrado (</w:t>
      </w:r>
      <w:proofErr w:type="spellStart"/>
      <w:r w:rsidRPr="00C63AC5">
        <w:rPr>
          <w:color w:val="000000"/>
          <w:lang w:val="es-PE" w:eastAsia="es-PE"/>
        </w:rPr>
        <w:t>I</w:t>
      </w:r>
      <w:r w:rsidRPr="00C63AC5">
        <w:rPr>
          <w:color w:val="000000"/>
          <w:vertAlign w:val="superscript"/>
          <w:lang w:val="es-PE" w:eastAsia="es-PE"/>
        </w:rPr>
        <w:t>2</w:t>
      </w:r>
      <w:proofErr w:type="spellEnd"/>
      <w:r w:rsidRPr="00C63AC5">
        <w:rPr>
          <w:color w:val="000000"/>
          <w:lang w:val="es-PE" w:eastAsia="es-PE"/>
        </w:rPr>
        <w:t>).</w:t>
      </w:r>
      <w:r w:rsidRPr="00C63AC5">
        <w:rPr>
          <w:color w:val="000000"/>
          <w:lang w:val="es-PE" w:eastAsia="es-PE"/>
        </w:rPr>
        <w:fldChar w:fldCharType="begin"/>
      </w:r>
      <w:r w:rsidRPr="00C63AC5">
        <w:rPr>
          <w:color w:val="000000"/>
          <w:lang w:val="es-PE" w:eastAsia="es-PE"/>
        </w:rPr>
        <w:instrText xml:space="preserve"> ADDIN ZOTERO_ITEM CSL_CITATION {"citationID":"eEIkkV2D","properties":{"formattedCitation":"\\super (25)\\nosupersub{}","plainCitation":"(25)","noteIndex":0},"citationItems":[{"id":4579,"uris":["http://zotero.org/users/6066349/items/IV469HJF"],"uri":["http://zotero.org/users/6066349/items/IV469HJF"],"itemData":{"id":4579,"type":"article-journal","abstract":"The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heterogeneity.","container-title":"Statistics in Medicine","DOI":"10.1002/sim.1186","ISSN":"0277-6715","issue":"11","journalAbbreviation":"Stat Med","language":"eng","note":"PMID: 12111919","page":"1539-1558","source":"PubMed","title":"Quantifying heterogeneity in a meta-analysis","volume":"21","author":[{"family":"Higgins","given":"Julian P. T."},{"family":"Thompson","given":"Simon G."}],"issued":{"date-parts":[["2002",6,15]]}}}],"schema":"https://github.com/citation-style-language/schema/raw/master/csl-citation.json"} </w:instrText>
      </w:r>
      <w:r w:rsidRPr="00C63AC5">
        <w:rPr>
          <w:color w:val="000000"/>
          <w:lang w:val="es-PE" w:eastAsia="es-PE"/>
        </w:rPr>
        <w:fldChar w:fldCharType="separate"/>
      </w:r>
      <w:r w:rsidRPr="00C63AC5">
        <w:rPr>
          <w:color w:val="000000"/>
          <w:vertAlign w:val="superscript"/>
          <w:lang w:val="es-PE" w:eastAsia="es-PE"/>
        </w:rPr>
        <w:t>(20)</w:t>
      </w:r>
      <w:r w:rsidRPr="00C63AC5">
        <w:rPr>
          <w:color w:val="000000"/>
          <w:lang w:val="es-PE" w:eastAsia="es-PE"/>
        </w:rPr>
        <w:fldChar w:fldCharType="end"/>
      </w:r>
      <w:r w:rsidRPr="00C63AC5">
        <w:rPr>
          <w:color w:val="000000"/>
          <w:lang w:val="es-PE" w:eastAsia="es-PE"/>
        </w:rPr>
        <w:t xml:space="preserve"> Se interpretó de acuerdo con el manual Cochrane: 0 a 40 % = podría no ser importante; 30 a 60 % = puede representar heterogeneidad moderada; 50 a 90 % = puede representar heterogeneidad sustancial; 75 a 100 % = heterogeneidad considerable.</w:t>
      </w:r>
      <w:r w:rsidRPr="00C63AC5">
        <w:rPr>
          <w:color w:val="000000"/>
          <w:lang w:val="es-PE" w:eastAsia="es-PE"/>
        </w:rPr>
        <w:fldChar w:fldCharType="begin"/>
      </w:r>
      <w:r w:rsidRPr="00C63AC5">
        <w:rPr>
          <w:color w:val="000000"/>
          <w:lang w:val="es-PE" w:eastAsia="es-PE"/>
        </w:rPr>
        <w:instrText xml:space="preserve"> ADDIN ZOTERO_ITEM CSL_CITATION {"citationID":"2PNVTLZD","properties":{"formattedCitation":"\\super (26)\\nosupersub{}","plainCitation":"(26)","noteIndex":0},"citationItems":[{"id":4581,"uris":["http://zotero.org/users/6066349/items/4TMB9BTW"],"uri":["http://zotero.org/users/6066349/items/4TMB9BTW"],"itemData":{"id":4581,"type":"webpage","abstract":"This Handbook outlines in detail Cochrane's methods for conducting systematic reviews of interventions, including planning, literature searching, assessing bias","language":"en","title":"Cochrane Handbook for Systematic Reviews of Interventions","URL":"https://training.cochrane.org/handbook","accessed":{"date-parts":[["2021",11,27]]}}}],"schema":"https://github.com/citation-style-language/schema/raw/master/csl-citation.json"} </w:instrText>
      </w:r>
      <w:r w:rsidRPr="00C63AC5">
        <w:rPr>
          <w:color w:val="000000"/>
          <w:lang w:val="es-PE" w:eastAsia="es-PE"/>
        </w:rPr>
        <w:fldChar w:fldCharType="separate"/>
      </w:r>
      <w:r w:rsidRPr="00C63AC5">
        <w:rPr>
          <w:color w:val="000000"/>
          <w:vertAlign w:val="superscript"/>
          <w:lang w:val="es-PE" w:eastAsia="es-PE"/>
        </w:rPr>
        <w:t>(21,22)</w:t>
      </w:r>
      <w:r w:rsidRPr="00C63AC5">
        <w:rPr>
          <w:color w:val="000000"/>
          <w:lang w:val="es-PE" w:eastAsia="es-PE"/>
        </w:rPr>
        <w:fldChar w:fldCharType="end"/>
      </w:r>
      <w:r w:rsidRPr="00C63AC5">
        <w:rPr>
          <w:color w:val="000000"/>
          <w:lang w:val="es-PE" w:eastAsia="es-PE"/>
        </w:rPr>
        <w:t xml:space="preserve"> Debido a la heterogeneidad, se realizó un análisis de modelos aleatorios.</w:t>
      </w:r>
    </w:p>
    <w:p w14:paraId="583D1441" w14:textId="77777777" w:rsidR="00C63AC5" w:rsidRPr="00C63AC5" w:rsidRDefault="00C63AC5" w:rsidP="00C63AC5">
      <w:pPr>
        <w:widowControl w:val="0"/>
        <w:pBdr>
          <w:top w:val="nil"/>
          <w:left w:val="nil"/>
          <w:bottom w:val="nil"/>
          <w:right w:val="nil"/>
          <w:between w:val="nil"/>
        </w:pBdr>
        <w:spacing w:line="360" w:lineRule="auto"/>
        <w:jc w:val="center"/>
        <w:rPr>
          <w:b/>
          <w:bCs/>
          <w:color w:val="000000"/>
          <w:sz w:val="28"/>
          <w:szCs w:val="28"/>
          <w:lang w:val="es-PE" w:eastAsia="es-PE"/>
        </w:rPr>
      </w:pPr>
      <w:r w:rsidRPr="00C63AC5">
        <w:rPr>
          <w:b/>
          <w:bCs/>
          <w:color w:val="000000"/>
          <w:sz w:val="28"/>
          <w:szCs w:val="28"/>
          <w:lang w:val="es-PE" w:eastAsia="es-PE"/>
        </w:rPr>
        <w:t>Aspectos éticos</w:t>
      </w:r>
    </w:p>
    <w:p w14:paraId="3A3EF394"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PE" w:eastAsia="es-PE"/>
        </w:rPr>
      </w:pPr>
      <w:r w:rsidRPr="00C63AC5">
        <w:rPr>
          <w:color w:val="000000"/>
          <w:lang w:val="es-PE" w:eastAsia="es-PE"/>
        </w:rPr>
        <w:t>Como análisis secundario de estudios primarios publicados, los riesgos a las personas que formaron parte de los estudios son mínimos. F</w:t>
      </w:r>
      <w:r w:rsidRPr="00C63AC5">
        <w:rPr>
          <w:rFonts w:eastAsia="Arial"/>
          <w:color w:val="000000"/>
          <w:lang w:val="es-PE" w:eastAsia="es-PE"/>
        </w:rPr>
        <w:t xml:space="preserve">ue aprobado por el Comité de Ética en Investigación de la Facultad de Medicina Humana de la Universidad Ricardo Palma. </w:t>
      </w:r>
    </w:p>
    <w:p w14:paraId="1C13592C"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PE" w:eastAsia="es-PE"/>
        </w:rPr>
      </w:pPr>
    </w:p>
    <w:p w14:paraId="2D50AFBF" w14:textId="77777777" w:rsidR="00C63AC5" w:rsidRPr="00C63AC5" w:rsidRDefault="00C63AC5" w:rsidP="00C63AC5">
      <w:pPr>
        <w:widowControl w:val="0"/>
        <w:pBdr>
          <w:top w:val="nil"/>
          <w:left w:val="nil"/>
          <w:bottom w:val="nil"/>
          <w:right w:val="nil"/>
          <w:between w:val="nil"/>
        </w:pBdr>
        <w:spacing w:line="360" w:lineRule="auto"/>
        <w:rPr>
          <w:b/>
          <w:bCs/>
          <w:color w:val="000000"/>
          <w:lang w:val="es-PE" w:eastAsia="es-PE"/>
        </w:rPr>
      </w:pPr>
    </w:p>
    <w:p w14:paraId="0B730629" w14:textId="77777777" w:rsidR="00C63AC5" w:rsidRPr="00C63AC5" w:rsidRDefault="00C63AC5" w:rsidP="00C63AC5">
      <w:pPr>
        <w:widowControl w:val="0"/>
        <w:pBdr>
          <w:top w:val="nil"/>
          <w:left w:val="nil"/>
          <w:bottom w:val="nil"/>
          <w:right w:val="nil"/>
          <w:between w:val="nil"/>
        </w:pBdr>
        <w:spacing w:line="360" w:lineRule="auto"/>
        <w:jc w:val="center"/>
        <w:rPr>
          <w:b/>
          <w:bCs/>
          <w:color w:val="000000"/>
          <w:sz w:val="32"/>
          <w:szCs w:val="32"/>
          <w:lang w:val="es-PE" w:eastAsia="es-PE"/>
        </w:rPr>
      </w:pPr>
      <w:r w:rsidRPr="00C63AC5">
        <w:rPr>
          <w:b/>
          <w:bCs/>
          <w:color w:val="000000"/>
          <w:sz w:val="32"/>
          <w:szCs w:val="32"/>
          <w:lang w:val="es-PE" w:eastAsia="es-PE"/>
        </w:rPr>
        <w:t>RESULTADOS</w:t>
      </w:r>
    </w:p>
    <w:p w14:paraId="56C00937" w14:textId="77777777" w:rsidR="00C63AC5" w:rsidRPr="00C63AC5" w:rsidRDefault="00C63AC5" w:rsidP="00C63AC5">
      <w:pPr>
        <w:widowControl w:val="0"/>
        <w:pBdr>
          <w:top w:val="nil"/>
          <w:left w:val="nil"/>
          <w:bottom w:val="nil"/>
          <w:right w:val="nil"/>
          <w:between w:val="nil"/>
        </w:pBdr>
        <w:spacing w:line="360" w:lineRule="auto"/>
        <w:jc w:val="center"/>
        <w:rPr>
          <w:b/>
          <w:color w:val="000000"/>
          <w:sz w:val="28"/>
          <w:szCs w:val="28"/>
          <w:lang w:val="es-MX" w:eastAsia="es-PE"/>
        </w:rPr>
      </w:pPr>
      <w:r w:rsidRPr="00C63AC5">
        <w:rPr>
          <w:b/>
          <w:color w:val="000000"/>
          <w:sz w:val="28"/>
          <w:szCs w:val="28"/>
          <w:lang w:val="es-MX" w:eastAsia="es-PE"/>
        </w:rPr>
        <w:t>Estudios elegibles</w:t>
      </w:r>
    </w:p>
    <w:p w14:paraId="202E7745"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 xml:space="preserve">Se identificó un total de 4 435 publicaciones. Después de remover duplicados (2 618) se evaluaron 1 817 manuscritos (título y resumen). Luego de excluir 1 752 estudios, se obtuvieron 55 artículos a texto completo. Luego de aplicar los criterios de selección, se quedó con 5 artículos (Fig. 1). </w:t>
      </w:r>
    </w:p>
    <w:p w14:paraId="31A2684F"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p>
    <w:p w14:paraId="3E887B29" w14:textId="140BCC6C" w:rsidR="00C63AC5" w:rsidRPr="00C63AC5" w:rsidRDefault="00C63AC5" w:rsidP="00C63AC5">
      <w:pPr>
        <w:widowControl w:val="0"/>
        <w:pBdr>
          <w:top w:val="nil"/>
          <w:left w:val="nil"/>
          <w:bottom w:val="nil"/>
          <w:right w:val="nil"/>
          <w:between w:val="nil"/>
        </w:pBdr>
        <w:spacing w:line="360" w:lineRule="auto"/>
        <w:jc w:val="center"/>
        <w:rPr>
          <w:color w:val="000000"/>
          <w:lang w:val="es-MX" w:eastAsia="es-PE"/>
        </w:rPr>
      </w:pPr>
      <w:r w:rsidRPr="00C63AC5">
        <w:rPr>
          <w:noProof/>
          <w:color w:val="000000"/>
          <w:lang w:val="es-MX" w:eastAsia="es-PE"/>
        </w:rPr>
        <w:lastRenderedPageBreak/>
        <w:drawing>
          <wp:inline distT="0" distB="0" distL="0" distR="0" wp14:anchorId="72DE7FFD" wp14:editId="7E0EACE5">
            <wp:extent cx="5236210" cy="5408930"/>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210" cy="5408930"/>
                    </a:xfrm>
                    <a:prstGeom prst="rect">
                      <a:avLst/>
                    </a:prstGeom>
                    <a:noFill/>
                    <a:ln>
                      <a:noFill/>
                    </a:ln>
                  </pic:spPr>
                </pic:pic>
              </a:graphicData>
            </a:graphic>
          </wp:inline>
        </w:drawing>
      </w:r>
    </w:p>
    <w:p w14:paraId="14E9B348" w14:textId="77777777" w:rsidR="00C63AC5" w:rsidRPr="00C63AC5" w:rsidRDefault="00C63AC5" w:rsidP="00C63AC5">
      <w:pPr>
        <w:widowControl w:val="0"/>
        <w:pBdr>
          <w:top w:val="nil"/>
          <w:left w:val="nil"/>
          <w:bottom w:val="nil"/>
          <w:right w:val="nil"/>
          <w:between w:val="nil"/>
        </w:pBdr>
        <w:spacing w:line="360" w:lineRule="auto"/>
        <w:jc w:val="center"/>
        <w:rPr>
          <w:color w:val="000000"/>
          <w:sz w:val="22"/>
          <w:szCs w:val="22"/>
          <w:lang w:val="es-MX" w:eastAsia="es-PE"/>
        </w:rPr>
      </w:pPr>
      <w:r w:rsidRPr="00C63AC5">
        <w:rPr>
          <w:b/>
          <w:color w:val="000000"/>
          <w:sz w:val="22"/>
          <w:szCs w:val="22"/>
          <w:lang w:val="es-MX" w:eastAsia="es-PE"/>
        </w:rPr>
        <w:t xml:space="preserve">Fig. 1 </w:t>
      </w:r>
      <w:r w:rsidRPr="00C63AC5">
        <w:rPr>
          <w:color w:val="000000"/>
          <w:sz w:val="22"/>
          <w:szCs w:val="22"/>
          <w:lang w:val="es-MX" w:eastAsia="es-PE"/>
        </w:rPr>
        <w:t>– Diagrama de flujo.</w:t>
      </w:r>
    </w:p>
    <w:p w14:paraId="648F8D66" w14:textId="77777777" w:rsidR="00C63AC5" w:rsidRPr="00C63AC5" w:rsidRDefault="00C63AC5" w:rsidP="00C63AC5">
      <w:pPr>
        <w:widowControl w:val="0"/>
        <w:pBdr>
          <w:top w:val="nil"/>
          <w:left w:val="nil"/>
          <w:bottom w:val="nil"/>
          <w:right w:val="nil"/>
          <w:between w:val="nil"/>
        </w:pBdr>
        <w:spacing w:line="360" w:lineRule="auto"/>
        <w:jc w:val="center"/>
        <w:rPr>
          <w:b/>
          <w:color w:val="000000"/>
          <w:sz w:val="28"/>
          <w:szCs w:val="28"/>
          <w:lang w:val="es-MX" w:eastAsia="es-PE"/>
        </w:rPr>
      </w:pPr>
      <w:r w:rsidRPr="00C63AC5">
        <w:rPr>
          <w:b/>
          <w:color w:val="000000"/>
          <w:sz w:val="28"/>
          <w:szCs w:val="28"/>
          <w:lang w:val="es-MX" w:eastAsia="es-PE"/>
        </w:rPr>
        <w:t>Características de los estudios</w:t>
      </w:r>
    </w:p>
    <w:p w14:paraId="72305D64"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En la tabla 1 se encuentran las principales características de los estudios. De 5 incluidos (n= 17 700 aproximadamente), la muestra estuvo conformada desde 1 447 hasta 6 261 sujetos. Todos los estudios incluidos fueron transversales analíticos. Del total de casos, los obesos tuvieron una prevalencia del 37,9 hasta 45 %. El punto de corte para definir al adulto mayor fue de 60 años de edad (3 artículos) y 65 años (2 artículos).</w:t>
      </w:r>
    </w:p>
    <w:p w14:paraId="447BAF47" w14:textId="12C2ADAA" w:rsidR="00C63AC5" w:rsidRDefault="00C63AC5" w:rsidP="00C63AC5">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 xml:space="preserve">La obesidad fue definida a través del IMC y CA. En el caso del IMC, 3 estudios tomaron como </w:t>
      </w:r>
      <w:r w:rsidRPr="00C63AC5">
        <w:rPr>
          <w:color w:val="000000"/>
          <w:lang w:val="es-MX" w:eastAsia="es-PE"/>
        </w:rPr>
        <w:lastRenderedPageBreak/>
        <w:t>punto de corte ≥ 30 kg/</w:t>
      </w:r>
      <w:proofErr w:type="spellStart"/>
      <w:r w:rsidRPr="00C63AC5">
        <w:rPr>
          <w:color w:val="000000"/>
          <w:lang w:val="es-MX" w:eastAsia="es-PE"/>
        </w:rPr>
        <w:t>m</w:t>
      </w:r>
      <w:r w:rsidRPr="00C63AC5">
        <w:rPr>
          <w:color w:val="000000"/>
          <w:vertAlign w:val="superscript"/>
          <w:lang w:val="es-MX" w:eastAsia="es-PE"/>
        </w:rPr>
        <w:t>2</w:t>
      </w:r>
      <w:proofErr w:type="spellEnd"/>
      <w:r w:rsidRPr="00C63AC5">
        <w:rPr>
          <w:color w:val="000000"/>
          <w:lang w:val="es-MX" w:eastAsia="es-PE"/>
        </w:rPr>
        <w:t>, mientras 1 utilizó ≥ 28 kg/</w:t>
      </w:r>
      <w:proofErr w:type="spellStart"/>
      <w:r w:rsidRPr="00C63AC5">
        <w:rPr>
          <w:color w:val="000000"/>
          <w:lang w:val="es-MX" w:eastAsia="es-PE"/>
        </w:rPr>
        <w:t>m</w:t>
      </w:r>
      <w:r w:rsidRPr="00C63AC5">
        <w:rPr>
          <w:color w:val="000000"/>
          <w:vertAlign w:val="superscript"/>
          <w:lang w:val="es-MX" w:eastAsia="es-PE"/>
        </w:rPr>
        <w:t>2</w:t>
      </w:r>
      <w:proofErr w:type="spellEnd"/>
      <w:r w:rsidRPr="00C63AC5">
        <w:rPr>
          <w:color w:val="000000"/>
          <w:lang w:val="es-MX" w:eastAsia="es-PE"/>
        </w:rPr>
        <w:t>. El último lo definió según el cuartil superior (≥ 25,91 kg/</w:t>
      </w:r>
      <w:proofErr w:type="spellStart"/>
      <w:r w:rsidRPr="00C63AC5">
        <w:rPr>
          <w:color w:val="000000"/>
          <w:lang w:val="es-MX" w:eastAsia="es-PE"/>
        </w:rPr>
        <w:t>m</w:t>
      </w:r>
      <w:r w:rsidRPr="00C63AC5">
        <w:rPr>
          <w:color w:val="000000"/>
          <w:vertAlign w:val="superscript"/>
          <w:lang w:val="es-MX" w:eastAsia="es-PE"/>
        </w:rPr>
        <w:t>2</w:t>
      </w:r>
      <w:proofErr w:type="spellEnd"/>
      <w:r w:rsidRPr="00C63AC5">
        <w:rPr>
          <w:color w:val="000000"/>
          <w:lang w:val="es-MX" w:eastAsia="es-PE"/>
        </w:rPr>
        <w:t>). No hubo diferencias entre sexos. En el caso de CA, se tomaron puntos de corte a partir de 85 cm para mujeres y 90 cm para varones. En el caso de la vitamina D fue medida a través de la 25-</w:t>
      </w:r>
      <w:proofErr w:type="spellStart"/>
      <w:r w:rsidRPr="00C63AC5">
        <w:rPr>
          <w:color w:val="000000"/>
          <w:lang w:val="es-MX" w:eastAsia="es-PE"/>
        </w:rPr>
        <w:t>hidroxivitamina</w:t>
      </w:r>
      <w:proofErr w:type="spellEnd"/>
      <w:r w:rsidRPr="00C63AC5">
        <w:rPr>
          <w:color w:val="000000"/>
          <w:lang w:val="es-MX" w:eastAsia="es-PE"/>
        </w:rPr>
        <w:t xml:space="preserve"> D.</w:t>
      </w:r>
    </w:p>
    <w:p w14:paraId="2B90CDD2" w14:textId="77777777" w:rsidR="00FD3F01" w:rsidRPr="00C63AC5" w:rsidRDefault="00FD3F01" w:rsidP="00FD3F01">
      <w:pPr>
        <w:widowControl w:val="0"/>
        <w:pBdr>
          <w:top w:val="nil"/>
          <w:left w:val="nil"/>
          <w:bottom w:val="nil"/>
          <w:right w:val="nil"/>
          <w:between w:val="nil"/>
        </w:pBdr>
        <w:spacing w:line="360" w:lineRule="auto"/>
        <w:jc w:val="center"/>
        <w:rPr>
          <w:b/>
          <w:bCs/>
          <w:color w:val="000000"/>
          <w:sz w:val="22"/>
          <w:szCs w:val="22"/>
          <w:lang w:val="es-MX" w:eastAsia="es-PE"/>
        </w:rPr>
      </w:pPr>
      <w:r w:rsidRPr="00C63AC5">
        <w:rPr>
          <w:b/>
          <w:color w:val="000000"/>
          <w:sz w:val="28"/>
          <w:szCs w:val="28"/>
          <w:lang w:val="es-MX" w:eastAsia="es-PE"/>
        </w:rPr>
        <w:t>Evaluación del riesgo de sesgo</w:t>
      </w:r>
    </w:p>
    <w:p w14:paraId="6D34CAC0" w14:textId="77777777" w:rsidR="00FD3F01" w:rsidRPr="00C63AC5" w:rsidRDefault="00FD3F01" w:rsidP="00FD3F01">
      <w:pPr>
        <w:widowControl w:val="0"/>
        <w:pBdr>
          <w:top w:val="nil"/>
          <w:left w:val="nil"/>
          <w:bottom w:val="nil"/>
          <w:right w:val="nil"/>
          <w:between w:val="nil"/>
        </w:pBdr>
        <w:spacing w:line="360" w:lineRule="auto"/>
        <w:jc w:val="both"/>
        <w:rPr>
          <w:color w:val="000000"/>
          <w:lang w:val="es-MX" w:eastAsia="es-PE"/>
        </w:rPr>
      </w:pPr>
      <w:r w:rsidRPr="00C63AC5">
        <w:rPr>
          <w:color w:val="000000"/>
          <w:lang w:val="es-MX" w:eastAsia="es-PE"/>
        </w:rPr>
        <w:t xml:space="preserve">Los 5 estudios seleccionados fueron evaluados con la herramienta </w:t>
      </w:r>
      <w:proofErr w:type="spellStart"/>
      <w:r w:rsidRPr="00C63AC5">
        <w:rPr>
          <w:color w:val="000000"/>
          <w:lang w:val="es-MX" w:eastAsia="es-PE"/>
        </w:rPr>
        <w:t>NCO</w:t>
      </w:r>
      <w:proofErr w:type="spellEnd"/>
      <w:r w:rsidRPr="00C63AC5">
        <w:rPr>
          <w:color w:val="000000"/>
          <w:lang w:val="es-MX" w:eastAsia="es-PE"/>
        </w:rPr>
        <w:t xml:space="preserve"> para estudios transversales. Ninguno estableció la comparabilidad entre las características de los encuestados y los que no. Todos tuvieron una calidad alta y bajo nivel de sesgo. No se evaluó el sesgo de publicación debido a la poca cantidad de artículos (menos de 10) (tabla </w:t>
      </w:r>
      <w:proofErr w:type="spellStart"/>
      <w:r w:rsidRPr="00C63AC5">
        <w:rPr>
          <w:color w:val="000000"/>
          <w:lang w:val="es-MX" w:eastAsia="es-PE"/>
        </w:rPr>
        <w:t>2A</w:t>
      </w:r>
      <w:proofErr w:type="spellEnd"/>
      <w:r w:rsidRPr="00C63AC5">
        <w:rPr>
          <w:color w:val="000000"/>
          <w:lang w:val="es-MX" w:eastAsia="es-PE"/>
        </w:rPr>
        <w:t xml:space="preserve"> y tabla </w:t>
      </w:r>
      <w:proofErr w:type="spellStart"/>
      <w:r w:rsidRPr="00C63AC5">
        <w:rPr>
          <w:color w:val="000000"/>
          <w:lang w:val="es-MX" w:eastAsia="es-PE"/>
        </w:rPr>
        <w:t>2B</w:t>
      </w:r>
      <w:proofErr w:type="spellEnd"/>
      <w:r w:rsidRPr="00C63AC5">
        <w:rPr>
          <w:color w:val="000000"/>
          <w:lang w:val="es-MX" w:eastAsia="es-PE"/>
        </w:rPr>
        <w:t>).</w:t>
      </w:r>
    </w:p>
    <w:p w14:paraId="518D0F4D" w14:textId="77777777" w:rsidR="00FD3F01" w:rsidRPr="00C63AC5" w:rsidRDefault="00FD3F01" w:rsidP="00C63AC5">
      <w:pPr>
        <w:widowControl w:val="0"/>
        <w:pBdr>
          <w:top w:val="nil"/>
          <w:left w:val="nil"/>
          <w:bottom w:val="nil"/>
          <w:right w:val="nil"/>
          <w:between w:val="nil"/>
        </w:pBdr>
        <w:spacing w:line="360" w:lineRule="auto"/>
        <w:jc w:val="both"/>
        <w:rPr>
          <w:color w:val="000000"/>
          <w:lang w:val="es-MX" w:eastAsia="es-PE"/>
        </w:rPr>
      </w:pPr>
    </w:p>
    <w:p w14:paraId="58000AA3"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p>
    <w:p w14:paraId="14A4F2DF"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sectPr w:rsidR="00C63AC5" w:rsidRPr="00C63AC5" w:rsidSect="00C63AC5">
          <w:headerReference w:type="default" r:id="rId16"/>
          <w:footerReference w:type="default" r:id="rId17"/>
          <w:type w:val="continuous"/>
          <w:pgSz w:w="12242" w:h="15842" w:orient="landscape" w:code="1"/>
          <w:pgMar w:top="1418" w:right="1418" w:bottom="1418" w:left="1418" w:header="709" w:footer="709" w:gutter="0"/>
          <w:cols w:space="708"/>
          <w:docGrid w:linePitch="360"/>
        </w:sectPr>
      </w:pPr>
    </w:p>
    <w:p w14:paraId="17061ED2" w14:textId="77777777" w:rsidR="00C63AC5" w:rsidRPr="00C63AC5" w:rsidRDefault="00C63AC5" w:rsidP="00C63AC5">
      <w:pPr>
        <w:widowControl w:val="0"/>
        <w:pBdr>
          <w:top w:val="nil"/>
          <w:left w:val="nil"/>
          <w:bottom w:val="nil"/>
          <w:right w:val="nil"/>
          <w:between w:val="nil"/>
        </w:pBdr>
        <w:spacing w:line="360" w:lineRule="auto"/>
        <w:jc w:val="center"/>
        <w:rPr>
          <w:color w:val="000000"/>
          <w:sz w:val="22"/>
          <w:szCs w:val="22"/>
          <w:lang w:val="es-MX" w:eastAsia="es-PE"/>
        </w:rPr>
      </w:pPr>
      <w:r w:rsidRPr="00C63AC5">
        <w:rPr>
          <w:b/>
          <w:bCs/>
          <w:color w:val="000000"/>
          <w:sz w:val="22"/>
          <w:szCs w:val="22"/>
          <w:lang w:val="es-MX" w:eastAsia="es-PE"/>
        </w:rPr>
        <w:lastRenderedPageBreak/>
        <w:t>Tabla 1 -</w:t>
      </w:r>
      <w:r w:rsidRPr="00C63AC5">
        <w:rPr>
          <w:color w:val="000000"/>
          <w:sz w:val="22"/>
          <w:szCs w:val="22"/>
          <w:lang w:val="es-MX" w:eastAsia="es-PE"/>
        </w:rPr>
        <w:t xml:space="preserve"> Evaluación de la calidad de los estudios incluidos mediante la escala Newcastle-Ottawa (NOS) adaptada para estudios</w:t>
      </w:r>
    </w:p>
    <w:p w14:paraId="60D90E8B" w14:textId="77777777" w:rsidR="00C63AC5" w:rsidRPr="00C63AC5" w:rsidRDefault="00C63AC5" w:rsidP="00C63AC5">
      <w:pPr>
        <w:widowControl w:val="0"/>
        <w:pBdr>
          <w:top w:val="nil"/>
          <w:left w:val="nil"/>
          <w:bottom w:val="nil"/>
          <w:right w:val="nil"/>
          <w:between w:val="nil"/>
        </w:pBdr>
        <w:spacing w:line="360" w:lineRule="auto"/>
        <w:jc w:val="center"/>
        <w:rPr>
          <w:color w:val="000000"/>
          <w:sz w:val="22"/>
          <w:szCs w:val="22"/>
          <w:lang w:val="es-MX" w:eastAsia="es-PE"/>
        </w:rPr>
      </w:pPr>
      <w:r w:rsidRPr="00C63AC5">
        <w:rPr>
          <w:color w:val="000000"/>
          <w:sz w:val="22"/>
          <w:szCs w:val="22"/>
          <w:lang w:val="es-MX" w:eastAsia="es-PE"/>
        </w:rPr>
        <w:t>transversales</w:t>
      </w:r>
    </w:p>
    <w:p w14:paraId="020FC371" w14:textId="79405719" w:rsidR="00C63AC5" w:rsidRPr="00C63AC5" w:rsidRDefault="00C63AC5" w:rsidP="00C63AC5">
      <w:pPr>
        <w:widowControl w:val="0"/>
        <w:pBdr>
          <w:top w:val="nil"/>
          <w:left w:val="nil"/>
          <w:bottom w:val="nil"/>
          <w:right w:val="nil"/>
          <w:between w:val="nil"/>
        </w:pBdr>
        <w:spacing w:line="360" w:lineRule="auto"/>
        <w:jc w:val="center"/>
        <w:rPr>
          <w:rFonts w:ascii="Verdana" w:hAnsi="Verdana"/>
          <w:color w:val="000000"/>
          <w:sz w:val="18"/>
          <w:szCs w:val="18"/>
          <w:vertAlign w:val="superscript"/>
          <w:lang w:val="es-MX" w:eastAsia="es-PE"/>
        </w:rPr>
      </w:pPr>
      <w:r w:rsidRPr="00C63AC5">
        <w:rPr>
          <w:rFonts w:ascii="Verdana" w:hAnsi="Verdana"/>
          <w:noProof/>
          <w:color w:val="000000"/>
          <w:sz w:val="18"/>
          <w:szCs w:val="18"/>
          <w:vertAlign w:val="superscript"/>
          <w:lang w:val="es-MX" w:eastAsia="es-PE"/>
        </w:rPr>
        <w:drawing>
          <wp:inline distT="0" distB="0" distL="0" distR="0" wp14:anchorId="24F7EA93" wp14:editId="58C42EB2">
            <wp:extent cx="8255635" cy="3183255"/>
            <wp:effectExtent l="0" t="0" r="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635" cy="3183255"/>
                    </a:xfrm>
                    <a:prstGeom prst="rect">
                      <a:avLst/>
                    </a:prstGeom>
                    <a:noFill/>
                    <a:ln>
                      <a:noFill/>
                    </a:ln>
                  </pic:spPr>
                </pic:pic>
              </a:graphicData>
            </a:graphic>
          </wp:inline>
        </w:drawing>
      </w:r>
    </w:p>
    <w:p w14:paraId="31C96A78" w14:textId="77777777" w:rsidR="00C63AC5" w:rsidRPr="00C63AC5" w:rsidRDefault="00C63AC5" w:rsidP="00C63AC5">
      <w:pPr>
        <w:widowControl w:val="0"/>
        <w:pBdr>
          <w:top w:val="nil"/>
          <w:left w:val="nil"/>
          <w:bottom w:val="nil"/>
          <w:right w:val="nil"/>
          <w:between w:val="nil"/>
        </w:pBdr>
        <w:spacing w:line="360" w:lineRule="auto"/>
        <w:jc w:val="center"/>
        <w:rPr>
          <w:color w:val="000000"/>
          <w:sz w:val="16"/>
          <w:szCs w:val="16"/>
          <w:lang w:val="es-MX" w:eastAsia="es-PE"/>
        </w:rPr>
      </w:pPr>
      <w:proofErr w:type="spellStart"/>
      <w:r w:rsidRPr="00C63AC5">
        <w:rPr>
          <w:color w:val="000000"/>
          <w:sz w:val="16"/>
          <w:szCs w:val="16"/>
          <w:vertAlign w:val="superscript"/>
          <w:lang w:val="es-MX" w:eastAsia="es-PE"/>
        </w:rPr>
        <w:t>1</w:t>
      </w:r>
      <w:r w:rsidRPr="00C63AC5">
        <w:rPr>
          <w:color w:val="000000"/>
          <w:sz w:val="16"/>
          <w:szCs w:val="16"/>
          <w:lang w:val="es-MX" w:eastAsia="es-PE"/>
        </w:rPr>
        <w:t>Representatividad</w:t>
      </w:r>
      <w:proofErr w:type="spellEnd"/>
      <w:r w:rsidRPr="00C63AC5">
        <w:rPr>
          <w:color w:val="000000"/>
          <w:sz w:val="16"/>
          <w:szCs w:val="16"/>
          <w:lang w:val="es-MX" w:eastAsia="es-PE"/>
        </w:rPr>
        <w:t xml:space="preserve"> de la muestra: Se asignó una estrella a los estudios con muestreo aleatorio o censo.</w:t>
      </w:r>
    </w:p>
    <w:p w14:paraId="17063BB7" w14:textId="77777777" w:rsidR="00C63AC5" w:rsidRPr="00C63AC5" w:rsidRDefault="00C63AC5" w:rsidP="00C63AC5">
      <w:pPr>
        <w:widowControl w:val="0"/>
        <w:pBdr>
          <w:top w:val="nil"/>
          <w:left w:val="nil"/>
          <w:bottom w:val="nil"/>
          <w:right w:val="nil"/>
          <w:between w:val="nil"/>
        </w:pBdr>
        <w:spacing w:line="360" w:lineRule="auto"/>
        <w:jc w:val="center"/>
        <w:rPr>
          <w:color w:val="000000"/>
          <w:sz w:val="16"/>
          <w:szCs w:val="16"/>
          <w:lang w:val="es-MX" w:eastAsia="es-PE"/>
        </w:rPr>
      </w:pPr>
      <w:proofErr w:type="spellStart"/>
      <w:r w:rsidRPr="00C63AC5">
        <w:rPr>
          <w:color w:val="000000"/>
          <w:sz w:val="16"/>
          <w:szCs w:val="16"/>
          <w:vertAlign w:val="superscript"/>
          <w:lang w:val="es-MX" w:eastAsia="es-PE"/>
        </w:rPr>
        <w:t>2</w:t>
      </w:r>
      <w:r w:rsidRPr="00C63AC5">
        <w:rPr>
          <w:color w:val="000000"/>
          <w:sz w:val="16"/>
          <w:szCs w:val="16"/>
          <w:lang w:val="es-MX" w:eastAsia="es-PE"/>
        </w:rPr>
        <w:t>Tamaño</w:t>
      </w:r>
      <w:proofErr w:type="spellEnd"/>
      <w:r w:rsidRPr="00C63AC5">
        <w:rPr>
          <w:color w:val="000000"/>
          <w:sz w:val="16"/>
          <w:szCs w:val="16"/>
          <w:lang w:val="es-MX" w:eastAsia="es-PE"/>
        </w:rPr>
        <w:t xml:space="preserve"> de la muestra: se asignó una estrella a los estudios con un tamaño de muestra justificado y satisfactorio.</w:t>
      </w:r>
    </w:p>
    <w:p w14:paraId="652D95D9" w14:textId="77777777" w:rsidR="00C63AC5" w:rsidRPr="00C63AC5" w:rsidRDefault="00C63AC5" w:rsidP="00C63AC5">
      <w:pPr>
        <w:widowControl w:val="0"/>
        <w:pBdr>
          <w:top w:val="nil"/>
          <w:left w:val="nil"/>
          <w:bottom w:val="nil"/>
          <w:right w:val="nil"/>
          <w:between w:val="nil"/>
        </w:pBdr>
        <w:spacing w:line="360" w:lineRule="auto"/>
        <w:jc w:val="center"/>
        <w:rPr>
          <w:color w:val="000000"/>
          <w:sz w:val="16"/>
          <w:szCs w:val="16"/>
          <w:lang w:val="es-MX" w:eastAsia="es-PE"/>
        </w:rPr>
      </w:pPr>
      <w:proofErr w:type="spellStart"/>
      <w:r w:rsidRPr="00C63AC5">
        <w:rPr>
          <w:color w:val="000000"/>
          <w:sz w:val="16"/>
          <w:szCs w:val="16"/>
          <w:vertAlign w:val="superscript"/>
          <w:lang w:val="es-MX" w:eastAsia="es-PE"/>
        </w:rPr>
        <w:t>3</w:t>
      </w:r>
      <w:r w:rsidRPr="00C63AC5">
        <w:rPr>
          <w:color w:val="000000"/>
          <w:sz w:val="16"/>
          <w:szCs w:val="16"/>
          <w:lang w:val="es-MX" w:eastAsia="es-PE"/>
        </w:rPr>
        <w:t>Determinación</w:t>
      </w:r>
      <w:proofErr w:type="spellEnd"/>
      <w:r w:rsidRPr="00C63AC5">
        <w:rPr>
          <w:color w:val="000000"/>
          <w:sz w:val="16"/>
          <w:szCs w:val="16"/>
          <w:lang w:val="es-MX" w:eastAsia="es-PE"/>
        </w:rPr>
        <w:t xml:space="preserve"> de la exposición: se explica claramente la manera en cómo ha sido medida la variable dependiente</w:t>
      </w:r>
    </w:p>
    <w:p w14:paraId="20DA92C8" w14:textId="77777777" w:rsidR="00C63AC5" w:rsidRPr="00C63AC5" w:rsidRDefault="00C63AC5" w:rsidP="00C63AC5">
      <w:pPr>
        <w:widowControl w:val="0"/>
        <w:pBdr>
          <w:top w:val="nil"/>
          <w:left w:val="nil"/>
          <w:bottom w:val="nil"/>
          <w:right w:val="nil"/>
          <w:between w:val="nil"/>
        </w:pBdr>
        <w:spacing w:line="360" w:lineRule="auto"/>
        <w:jc w:val="center"/>
        <w:rPr>
          <w:color w:val="000000"/>
          <w:sz w:val="16"/>
          <w:szCs w:val="16"/>
          <w:lang w:val="es-MX" w:eastAsia="es-PE"/>
        </w:rPr>
      </w:pPr>
      <w:proofErr w:type="spellStart"/>
      <w:r w:rsidRPr="00C63AC5">
        <w:rPr>
          <w:color w:val="000000"/>
          <w:sz w:val="16"/>
          <w:szCs w:val="16"/>
          <w:vertAlign w:val="superscript"/>
          <w:lang w:val="es-MX" w:eastAsia="es-PE"/>
        </w:rPr>
        <w:t>4</w:t>
      </w:r>
      <w:r w:rsidRPr="00C63AC5">
        <w:rPr>
          <w:color w:val="000000"/>
          <w:sz w:val="16"/>
          <w:szCs w:val="16"/>
          <w:lang w:val="es-MX" w:eastAsia="es-PE"/>
        </w:rPr>
        <w:t>No</w:t>
      </w:r>
      <w:proofErr w:type="spellEnd"/>
      <w:r w:rsidRPr="00C63AC5">
        <w:rPr>
          <w:color w:val="000000"/>
          <w:sz w:val="16"/>
          <w:szCs w:val="16"/>
          <w:lang w:val="es-MX" w:eastAsia="es-PE"/>
        </w:rPr>
        <w:t xml:space="preserve"> encuestados: </w:t>
      </w:r>
      <w:bookmarkStart w:id="2" w:name="_Hlk88596135"/>
      <w:r w:rsidRPr="00C63AC5">
        <w:rPr>
          <w:color w:val="000000"/>
          <w:sz w:val="16"/>
          <w:szCs w:val="16"/>
          <w:lang w:val="es-MX" w:eastAsia="es-PE"/>
        </w:rPr>
        <w:t xml:space="preserve">si se estableció la comparabilidad entre las características de los encuestados </w:t>
      </w:r>
      <w:bookmarkEnd w:id="2"/>
      <w:r w:rsidRPr="00C63AC5">
        <w:rPr>
          <w:color w:val="000000"/>
          <w:sz w:val="16"/>
          <w:szCs w:val="16"/>
          <w:lang w:val="es-MX" w:eastAsia="es-PE"/>
        </w:rPr>
        <w:t>y los no encuestados y la tasa de respuesta fue satisfactoria, se asignó una estrella.</w:t>
      </w:r>
    </w:p>
    <w:p w14:paraId="7C3DBA2D" w14:textId="77777777" w:rsidR="00C63AC5" w:rsidRPr="00C63AC5" w:rsidRDefault="00C63AC5" w:rsidP="00C63AC5">
      <w:pPr>
        <w:widowControl w:val="0"/>
        <w:pBdr>
          <w:top w:val="nil"/>
          <w:left w:val="nil"/>
          <w:bottom w:val="nil"/>
          <w:right w:val="nil"/>
          <w:between w:val="nil"/>
        </w:pBdr>
        <w:spacing w:line="360" w:lineRule="auto"/>
        <w:jc w:val="center"/>
        <w:rPr>
          <w:color w:val="000000"/>
          <w:sz w:val="16"/>
          <w:szCs w:val="16"/>
          <w:lang w:val="es-MX" w:eastAsia="es-PE"/>
        </w:rPr>
      </w:pPr>
      <w:proofErr w:type="spellStart"/>
      <w:r w:rsidRPr="00C63AC5">
        <w:rPr>
          <w:color w:val="000000"/>
          <w:sz w:val="16"/>
          <w:szCs w:val="16"/>
          <w:vertAlign w:val="superscript"/>
          <w:lang w:val="es-MX" w:eastAsia="es-PE"/>
        </w:rPr>
        <w:t>5</w:t>
      </w:r>
      <w:r w:rsidRPr="00C63AC5">
        <w:rPr>
          <w:color w:val="000000"/>
          <w:sz w:val="16"/>
          <w:szCs w:val="16"/>
          <w:lang w:val="es-MX" w:eastAsia="es-PE"/>
        </w:rPr>
        <w:t>El</w:t>
      </w:r>
      <w:proofErr w:type="spellEnd"/>
      <w:r w:rsidRPr="00C63AC5">
        <w:rPr>
          <w:color w:val="000000"/>
          <w:sz w:val="16"/>
          <w:szCs w:val="16"/>
          <w:lang w:val="es-MX" w:eastAsia="es-PE"/>
        </w:rPr>
        <w:t xml:space="preserve"> estudio controla por el factor más importe: se ha realizado un ajuste, ya sea metodológico o estadístico, por la variable </w:t>
      </w:r>
      <w:proofErr w:type="spellStart"/>
      <w:r w:rsidRPr="00C63AC5">
        <w:rPr>
          <w:color w:val="000000"/>
          <w:sz w:val="16"/>
          <w:szCs w:val="16"/>
          <w:lang w:val="es-MX" w:eastAsia="es-PE"/>
        </w:rPr>
        <w:t>confusora</w:t>
      </w:r>
      <w:proofErr w:type="spellEnd"/>
      <w:r w:rsidRPr="00C63AC5">
        <w:rPr>
          <w:color w:val="000000"/>
          <w:sz w:val="16"/>
          <w:szCs w:val="16"/>
          <w:lang w:val="es-MX" w:eastAsia="es-PE"/>
        </w:rPr>
        <w:t xml:space="preserve"> más importante.</w:t>
      </w:r>
    </w:p>
    <w:p w14:paraId="671C410A" w14:textId="77777777" w:rsidR="00C63AC5" w:rsidRPr="00C63AC5" w:rsidRDefault="00C63AC5" w:rsidP="00C63AC5">
      <w:pPr>
        <w:widowControl w:val="0"/>
        <w:pBdr>
          <w:top w:val="nil"/>
          <w:left w:val="nil"/>
          <w:bottom w:val="nil"/>
          <w:right w:val="nil"/>
          <w:between w:val="nil"/>
        </w:pBdr>
        <w:spacing w:line="360" w:lineRule="auto"/>
        <w:jc w:val="center"/>
        <w:rPr>
          <w:color w:val="000000"/>
          <w:sz w:val="16"/>
          <w:szCs w:val="16"/>
          <w:lang w:val="es-MX" w:eastAsia="es-PE"/>
        </w:rPr>
      </w:pPr>
      <w:proofErr w:type="spellStart"/>
      <w:r w:rsidRPr="00C63AC5">
        <w:rPr>
          <w:color w:val="000000"/>
          <w:sz w:val="16"/>
          <w:szCs w:val="16"/>
          <w:vertAlign w:val="superscript"/>
          <w:lang w:val="es-MX" w:eastAsia="es-PE"/>
        </w:rPr>
        <w:t>6</w:t>
      </w:r>
      <w:r w:rsidRPr="00C63AC5">
        <w:rPr>
          <w:color w:val="000000"/>
          <w:sz w:val="16"/>
          <w:szCs w:val="16"/>
          <w:lang w:val="es-MX" w:eastAsia="es-PE"/>
        </w:rPr>
        <w:t>El</w:t>
      </w:r>
      <w:proofErr w:type="spellEnd"/>
      <w:r w:rsidRPr="00C63AC5">
        <w:rPr>
          <w:color w:val="000000"/>
          <w:sz w:val="16"/>
          <w:szCs w:val="16"/>
          <w:lang w:val="es-MX" w:eastAsia="es-PE"/>
        </w:rPr>
        <w:t xml:space="preserve"> estudio controla para cualquier factor adicional: se ha realizado un ajuste, ya sea metodológico o estadístico, por otras variables </w:t>
      </w:r>
      <w:proofErr w:type="spellStart"/>
      <w:r w:rsidRPr="00C63AC5">
        <w:rPr>
          <w:color w:val="000000"/>
          <w:sz w:val="16"/>
          <w:szCs w:val="16"/>
          <w:lang w:val="es-MX" w:eastAsia="es-PE"/>
        </w:rPr>
        <w:t>confusoras</w:t>
      </w:r>
      <w:proofErr w:type="spellEnd"/>
      <w:r w:rsidRPr="00C63AC5">
        <w:rPr>
          <w:color w:val="000000"/>
          <w:sz w:val="16"/>
          <w:szCs w:val="16"/>
          <w:lang w:val="es-MX" w:eastAsia="es-PE"/>
        </w:rPr>
        <w:t>.</w:t>
      </w:r>
    </w:p>
    <w:p w14:paraId="41F7FDAA" w14:textId="77777777" w:rsidR="00C63AC5" w:rsidRPr="00C63AC5" w:rsidRDefault="00C63AC5" w:rsidP="00C63AC5">
      <w:pPr>
        <w:widowControl w:val="0"/>
        <w:pBdr>
          <w:top w:val="nil"/>
          <w:left w:val="nil"/>
          <w:bottom w:val="nil"/>
          <w:right w:val="nil"/>
          <w:between w:val="nil"/>
        </w:pBdr>
        <w:spacing w:line="360" w:lineRule="auto"/>
        <w:jc w:val="center"/>
        <w:rPr>
          <w:color w:val="000000"/>
          <w:sz w:val="16"/>
          <w:szCs w:val="16"/>
          <w:lang w:val="es-MX" w:eastAsia="es-PE"/>
        </w:rPr>
      </w:pPr>
      <w:proofErr w:type="spellStart"/>
      <w:r w:rsidRPr="00C63AC5">
        <w:rPr>
          <w:color w:val="000000"/>
          <w:sz w:val="16"/>
          <w:szCs w:val="16"/>
          <w:vertAlign w:val="superscript"/>
          <w:lang w:val="es-MX" w:eastAsia="es-PE"/>
        </w:rPr>
        <w:t>7</w:t>
      </w:r>
      <w:r w:rsidRPr="00C63AC5">
        <w:rPr>
          <w:color w:val="000000"/>
          <w:sz w:val="16"/>
          <w:szCs w:val="16"/>
          <w:lang w:val="es-MX" w:eastAsia="es-PE"/>
        </w:rPr>
        <w:t>Evaluación</w:t>
      </w:r>
      <w:proofErr w:type="spellEnd"/>
      <w:r w:rsidRPr="00C63AC5">
        <w:rPr>
          <w:color w:val="000000"/>
          <w:sz w:val="16"/>
          <w:szCs w:val="16"/>
          <w:lang w:val="es-MX" w:eastAsia="es-PE"/>
        </w:rPr>
        <w:t xml:space="preserve"> de resultados: si el estudio mencionaba explícitamente cómo se definía la automedicación y cuánto duraba el período de recuperación, se le daba una estrella.</w:t>
      </w:r>
    </w:p>
    <w:p w14:paraId="61CB4536" w14:textId="77777777" w:rsidR="00C63AC5" w:rsidRPr="00C63AC5" w:rsidRDefault="00C63AC5" w:rsidP="00C63AC5">
      <w:pPr>
        <w:widowControl w:val="0"/>
        <w:pBdr>
          <w:top w:val="nil"/>
          <w:left w:val="nil"/>
          <w:bottom w:val="nil"/>
          <w:right w:val="nil"/>
          <w:between w:val="nil"/>
        </w:pBdr>
        <w:spacing w:line="360" w:lineRule="auto"/>
        <w:jc w:val="center"/>
        <w:rPr>
          <w:rFonts w:ascii="Verdana" w:hAnsi="Verdana"/>
          <w:color w:val="000000"/>
          <w:sz w:val="18"/>
          <w:szCs w:val="18"/>
          <w:lang w:val="es-MX" w:eastAsia="es-PE"/>
        </w:rPr>
      </w:pPr>
      <w:proofErr w:type="spellStart"/>
      <w:r w:rsidRPr="00C63AC5">
        <w:rPr>
          <w:color w:val="000000"/>
          <w:sz w:val="16"/>
          <w:szCs w:val="16"/>
          <w:vertAlign w:val="superscript"/>
          <w:lang w:val="es-MX" w:eastAsia="es-PE"/>
        </w:rPr>
        <w:t>8</w:t>
      </w:r>
      <w:r w:rsidRPr="00C63AC5">
        <w:rPr>
          <w:color w:val="000000"/>
          <w:sz w:val="16"/>
          <w:szCs w:val="16"/>
          <w:lang w:val="es-MX" w:eastAsia="es-PE"/>
        </w:rPr>
        <w:t>Análisis</w:t>
      </w:r>
      <w:proofErr w:type="spellEnd"/>
      <w:r w:rsidRPr="00C63AC5">
        <w:rPr>
          <w:color w:val="000000"/>
          <w:sz w:val="16"/>
          <w:szCs w:val="16"/>
          <w:lang w:val="es-MX" w:eastAsia="es-PE"/>
        </w:rPr>
        <w:t xml:space="preserve"> estadístico adecuado: se dio un rombo si no se utilizó una muestra compleja y la muestra se había calculado correctamente, o si se utilizó una muestra compleja y se consideró dicho muestreo para estimar la prevalencia de automedicación.</w:t>
      </w:r>
    </w:p>
    <w:p w14:paraId="622F9D49"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MX" w:eastAsia="es-PE"/>
        </w:rPr>
      </w:pPr>
    </w:p>
    <w:p w14:paraId="57B1EE42" w14:textId="77777777" w:rsidR="00C63AC5" w:rsidRPr="00C63AC5" w:rsidRDefault="00C63AC5" w:rsidP="00C63AC5">
      <w:pPr>
        <w:widowControl w:val="0"/>
        <w:pBdr>
          <w:top w:val="nil"/>
          <w:left w:val="nil"/>
          <w:bottom w:val="nil"/>
          <w:right w:val="nil"/>
          <w:between w:val="nil"/>
        </w:pBdr>
        <w:spacing w:line="360" w:lineRule="auto"/>
        <w:jc w:val="center"/>
        <w:rPr>
          <w:color w:val="000000"/>
          <w:sz w:val="22"/>
          <w:szCs w:val="22"/>
          <w:lang w:val="es-MX" w:eastAsia="es-PE"/>
        </w:rPr>
      </w:pPr>
      <w:r w:rsidRPr="00C63AC5">
        <w:rPr>
          <w:b/>
          <w:bCs/>
          <w:color w:val="000000"/>
          <w:sz w:val="22"/>
          <w:szCs w:val="22"/>
          <w:lang w:val="es-MX" w:eastAsia="es-PE"/>
        </w:rPr>
        <w:t xml:space="preserve">Tabla </w:t>
      </w:r>
      <w:proofErr w:type="spellStart"/>
      <w:r w:rsidRPr="00C63AC5">
        <w:rPr>
          <w:b/>
          <w:bCs/>
          <w:color w:val="000000"/>
          <w:sz w:val="22"/>
          <w:szCs w:val="22"/>
          <w:lang w:val="es-MX" w:eastAsia="es-PE"/>
        </w:rPr>
        <w:t>2A</w:t>
      </w:r>
      <w:proofErr w:type="spellEnd"/>
      <w:r w:rsidRPr="00C63AC5">
        <w:rPr>
          <w:b/>
          <w:bCs/>
          <w:color w:val="000000"/>
          <w:sz w:val="22"/>
          <w:szCs w:val="22"/>
          <w:lang w:val="es-MX" w:eastAsia="es-PE"/>
        </w:rPr>
        <w:t xml:space="preserve"> -</w:t>
      </w:r>
      <w:r w:rsidRPr="00C63AC5">
        <w:rPr>
          <w:color w:val="000000"/>
          <w:sz w:val="22"/>
          <w:szCs w:val="22"/>
          <w:lang w:val="es-MX" w:eastAsia="es-PE"/>
        </w:rPr>
        <w:t xml:space="preserve"> Características y resultados de los estudios incluidos sobre la asociación entre obesidad (medida mediante el IMC) y vitamina D</w:t>
      </w:r>
    </w:p>
    <w:p w14:paraId="600E33AA" w14:textId="31580E71" w:rsidR="00C63AC5" w:rsidRPr="00C63AC5" w:rsidRDefault="00C63AC5" w:rsidP="00C63AC5">
      <w:pPr>
        <w:widowControl w:val="0"/>
        <w:pBdr>
          <w:top w:val="nil"/>
          <w:left w:val="nil"/>
          <w:bottom w:val="nil"/>
          <w:right w:val="nil"/>
          <w:between w:val="nil"/>
        </w:pBdr>
        <w:spacing w:line="360" w:lineRule="auto"/>
        <w:jc w:val="center"/>
        <w:rPr>
          <w:color w:val="000000"/>
          <w:sz w:val="22"/>
          <w:szCs w:val="22"/>
          <w:lang w:val="es-MX" w:eastAsia="es-PE"/>
        </w:rPr>
      </w:pPr>
      <w:r w:rsidRPr="00C63AC5">
        <w:rPr>
          <w:noProof/>
          <w:color w:val="000000"/>
          <w:sz w:val="22"/>
          <w:szCs w:val="22"/>
          <w:lang w:val="es-MX" w:eastAsia="es-PE"/>
        </w:rPr>
        <w:drawing>
          <wp:inline distT="0" distB="0" distL="0" distR="0" wp14:anchorId="43E5B2EC" wp14:editId="64DDF049">
            <wp:extent cx="7772400" cy="383032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0" cy="3830320"/>
                    </a:xfrm>
                    <a:prstGeom prst="rect">
                      <a:avLst/>
                    </a:prstGeom>
                    <a:noFill/>
                    <a:ln>
                      <a:noFill/>
                    </a:ln>
                  </pic:spPr>
                </pic:pic>
              </a:graphicData>
            </a:graphic>
          </wp:inline>
        </w:drawing>
      </w:r>
    </w:p>
    <w:p w14:paraId="1BE0EADC" w14:textId="77777777" w:rsidR="00C63AC5" w:rsidRPr="00C63AC5" w:rsidRDefault="00C63AC5" w:rsidP="00C63AC5">
      <w:pPr>
        <w:widowControl w:val="0"/>
        <w:pBdr>
          <w:top w:val="nil"/>
          <w:left w:val="nil"/>
          <w:bottom w:val="nil"/>
          <w:right w:val="nil"/>
          <w:between w:val="nil"/>
        </w:pBdr>
        <w:tabs>
          <w:tab w:val="left" w:pos="2846"/>
        </w:tabs>
        <w:spacing w:line="360" w:lineRule="auto"/>
        <w:jc w:val="both"/>
        <w:rPr>
          <w:color w:val="000000"/>
          <w:lang w:val="es-MX" w:eastAsia="es-PE"/>
        </w:rPr>
      </w:pPr>
    </w:p>
    <w:p w14:paraId="1E9EB531" w14:textId="77777777" w:rsidR="00C63AC5" w:rsidRPr="00C63AC5" w:rsidRDefault="00C63AC5" w:rsidP="00C63AC5">
      <w:pPr>
        <w:spacing w:after="160" w:line="259" w:lineRule="auto"/>
        <w:rPr>
          <w:b/>
          <w:color w:val="000000"/>
          <w:sz w:val="22"/>
          <w:szCs w:val="22"/>
          <w:lang w:val="es-MX" w:eastAsia="es-PE"/>
        </w:rPr>
      </w:pPr>
      <w:r w:rsidRPr="00C63AC5">
        <w:rPr>
          <w:b/>
          <w:color w:val="000000"/>
          <w:sz w:val="22"/>
          <w:szCs w:val="22"/>
          <w:lang w:val="es-MX" w:eastAsia="es-PE"/>
        </w:rPr>
        <w:br w:type="page"/>
      </w:r>
    </w:p>
    <w:p w14:paraId="4999E647" w14:textId="77777777" w:rsidR="00C63AC5" w:rsidRPr="00C63AC5" w:rsidRDefault="00C63AC5" w:rsidP="00C63AC5">
      <w:pPr>
        <w:widowControl w:val="0"/>
        <w:pBdr>
          <w:top w:val="nil"/>
          <w:left w:val="nil"/>
          <w:bottom w:val="nil"/>
          <w:right w:val="nil"/>
          <w:between w:val="nil"/>
        </w:pBdr>
        <w:spacing w:line="360" w:lineRule="auto"/>
        <w:jc w:val="center"/>
        <w:rPr>
          <w:color w:val="000000"/>
          <w:sz w:val="22"/>
          <w:szCs w:val="22"/>
          <w:lang w:val="es-MX" w:eastAsia="es-PE"/>
        </w:rPr>
      </w:pPr>
      <w:r w:rsidRPr="00C63AC5">
        <w:rPr>
          <w:b/>
          <w:color w:val="000000"/>
          <w:sz w:val="22"/>
          <w:szCs w:val="22"/>
          <w:lang w:val="es-MX" w:eastAsia="es-PE"/>
        </w:rPr>
        <w:lastRenderedPageBreak/>
        <w:t xml:space="preserve">Tabla </w:t>
      </w:r>
      <w:proofErr w:type="spellStart"/>
      <w:r w:rsidRPr="00C63AC5">
        <w:rPr>
          <w:b/>
          <w:color w:val="000000"/>
          <w:sz w:val="22"/>
          <w:szCs w:val="22"/>
          <w:lang w:val="es-MX" w:eastAsia="es-PE"/>
        </w:rPr>
        <w:t>2B</w:t>
      </w:r>
      <w:proofErr w:type="spellEnd"/>
      <w:r w:rsidRPr="00C63AC5">
        <w:rPr>
          <w:b/>
          <w:color w:val="000000"/>
          <w:sz w:val="22"/>
          <w:szCs w:val="22"/>
          <w:lang w:val="es-MX" w:eastAsia="es-PE"/>
        </w:rPr>
        <w:t xml:space="preserve"> -</w:t>
      </w:r>
      <w:r w:rsidRPr="00C63AC5">
        <w:rPr>
          <w:color w:val="000000"/>
          <w:sz w:val="22"/>
          <w:szCs w:val="22"/>
          <w:lang w:val="es-MX" w:eastAsia="es-PE"/>
        </w:rPr>
        <w:t xml:space="preserve"> Características y resultados de los estudios incluidos sobre la asociación entre obesidad (medida mediante el IMC y CA) y vitamina D</w:t>
      </w:r>
    </w:p>
    <w:p w14:paraId="30240497" w14:textId="381F5163" w:rsidR="00C63AC5" w:rsidRPr="00C63AC5" w:rsidRDefault="00C63AC5" w:rsidP="00C63AC5">
      <w:pPr>
        <w:widowControl w:val="0"/>
        <w:pBdr>
          <w:top w:val="nil"/>
          <w:left w:val="nil"/>
          <w:bottom w:val="nil"/>
          <w:right w:val="nil"/>
          <w:between w:val="nil"/>
        </w:pBdr>
        <w:spacing w:line="360" w:lineRule="auto"/>
        <w:jc w:val="center"/>
        <w:rPr>
          <w:color w:val="000000"/>
          <w:sz w:val="22"/>
          <w:szCs w:val="22"/>
          <w:lang w:val="es-MX" w:eastAsia="es-PE"/>
        </w:rPr>
      </w:pPr>
      <w:r w:rsidRPr="00C63AC5">
        <w:rPr>
          <w:noProof/>
          <w:color w:val="000000"/>
          <w:sz w:val="22"/>
          <w:szCs w:val="22"/>
          <w:lang w:val="es-MX" w:eastAsia="es-PE"/>
        </w:rPr>
        <w:drawing>
          <wp:inline distT="0" distB="0" distL="0" distR="0" wp14:anchorId="597D417F" wp14:editId="5B8C8035">
            <wp:extent cx="7746365" cy="4235450"/>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46365" cy="4235450"/>
                    </a:xfrm>
                    <a:prstGeom prst="rect">
                      <a:avLst/>
                    </a:prstGeom>
                    <a:noFill/>
                    <a:ln>
                      <a:noFill/>
                    </a:ln>
                  </pic:spPr>
                </pic:pic>
              </a:graphicData>
            </a:graphic>
          </wp:inline>
        </w:drawing>
      </w:r>
    </w:p>
    <w:p w14:paraId="70D0E3AD" w14:textId="77777777" w:rsidR="00C63AC5" w:rsidRPr="00C63AC5" w:rsidRDefault="00C63AC5" w:rsidP="00C63AC5">
      <w:pPr>
        <w:widowControl w:val="0"/>
        <w:pBdr>
          <w:top w:val="nil"/>
          <w:left w:val="nil"/>
          <w:bottom w:val="nil"/>
          <w:right w:val="nil"/>
          <w:between w:val="nil"/>
        </w:pBdr>
        <w:spacing w:line="360" w:lineRule="auto"/>
        <w:rPr>
          <w:color w:val="000000"/>
          <w:lang w:val="es-MX" w:eastAsia="es-PE"/>
        </w:rPr>
      </w:pPr>
    </w:p>
    <w:p w14:paraId="18BB6759" w14:textId="77777777" w:rsidR="00C63AC5" w:rsidRPr="00C63AC5" w:rsidRDefault="00C63AC5" w:rsidP="00C63AC5">
      <w:pPr>
        <w:widowControl w:val="0"/>
        <w:pBdr>
          <w:top w:val="nil"/>
          <w:left w:val="nil"/>
          <w:bottom w:val="nil"/>
          <w:right w:val="nil"/>
          <w:between w:val="nil"/>
        </w:pBdr>
        <w:spacing w:line="360" w:lineRule="auto"/>
        <w:rPr>
          <w:color w:val="000000"/>
          <w:lang w:val="es-MX" w:eastAsia="es-PE"/>
        </w:rPr>
      </w:pPr>
    </w:p>
    <w:p w14:paraId="687892C7" w14:textId="77777777" w:rsidR="00C63AC5" w:rsidRPr="00C63AC5" w:rsidRDefault="00C63AC5" w:rsidP="00C63AC5">
      <w:pPr>
        <w:widowControl w:val="0"/>
        <w:pBdr>
          <w:top w:val="nil"/>
          <w:left w:val="nil"/>
          <w:bottom w:val="nil"/>
          <w:right w:val="nil"/>
          <w:between w:val="nil"/>
        </w:pBdr>
        <w:spacing w:line="360" w:lineRule="auto"/>
        <w:rPr>
          <w:color w:val="000000"/>
          <w:lang w:val="es-MX" w:eastAsia="es-PE"/>
        </w:rPr>
        <w:sectPr w:rsidR="00C63AC5" w:rsidRPr="00C63AC5" w:rsidSect="007A5B51">
          <w:pgSz w:w="15842" w:h="12242" w:orient="landscape" w:code="1"/>
          <w:pgMar w:top="1418" w:right="1418" w:bottom="1418" w:left="1418" w:header="708" w:footer="708" w:gutter="0"/>
          <w:cols w:space="708"/>
          <w:docGrid w:linePitch="360"/>
        </w:sectPr>
      </w:pPr>
    </w:p>
    <w:p w14:paraId="6A847D99" w14:textId="77777777" w:rsidR="00B90613" w:rsidRDefault="00B90613" w:rsidP="00C63AC5">
      <w:pPr>
        <w:widowControl w:val="0"/>
        <w:spacing w:line="360" w:lineRule="auto"/>
        <w:jc w:val="center"/>
        <w:rPr>
          <w:b/>
          <w:color w:val="000000"/>
          <w:sz w:val="28"/>
          <w:szCs w:val="28"/>
          <w:lang w:val="es-MX" w:eastAsia="es-PE"/>
        </w:rPr>
      </w:pPr>
    </w:p>
    <w:p w14:paraId="74A3C723" w14:textId="6268D371" w:rsidR="00C63AC5" w:rsidRPr="00C63AC5" w:rsidRDefault="00C63AC5" w:rsidP="00C63AC5">
      <w:pPr>
        <w:widowControl w:val="0"/>
        <w:spacing w:line="360" w:lineRule="auto"/>
        <w:jc w:val="center"/>
        <w:rPr>
          <w:b/>
          <w:color w:val="000000"/>
          <w:sz w:val="28"/>
          <w:szCs w:val="28"/>
          <w:lang w:val="es-MX" w:eastAsia="es-PE"/>
        </w:rPr>
      </w:pPr>
      <w:r w:rsidRPr="00C63AC5">
        <w:rPr>
          <w:b/>
          <w:color w:val="000000"/>
          <w:sz w:val="28"/>
          <w:szCs w:val="28"/>
          <w:lang w:val="es-MX" w:eastAsia="es-PE"/>
        </w:rPr>
        <w:t>Metaanálisis para obesidad por IMC</w:t>
      </w:r>
    </w:p>
    <w:p w14:paraId="4A1B8AAB"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 xml:space="preserve">Para el caso del análisis de vitamina D y obesidad por IMC, los estudios que de forma independiente presentaron una asociación estadísticamente significativa fueron el estudio de </w:t>
      </w:r>
      <w:r w:rsidRPr="00C63AC5">
        <w:rPr>
          <w:i/>
          <w:iCs/>
          <w:color w:val="000000"/>
          <w:lang w:val="es-MX" w:eastAsia="es-PE"/>
        </w:rPr>
        <w:t>Cheng</w:t>
      </w:r>
      <w:r w:rsidRPr="00C63AC5">
        <w:rPr>
          <w:color w:val="000000"/>
          <w:lang w:val="es-MX" w:eastAsia="es-PE"/>
        </w:rPr>
        <w:t xml:space="preserve"> y </w:t>
      </w:r>
      <w:proofErr w:type="gramStart"/>
      <w:r w:rsidRPr="00C63AC5">
        <w:rPr>
          <w:color w:val="000000"/>
          <w:lang w:val="es-MX" w:eastAsia="es-PE"/>
        </w:rPr>
        <w:t>otros</w:t>
      </w:r>
      <w:r w:rsidRPr="00C63AC5">
        <w:rPr>
          <w:color w:val="000000"/>
          <w:vertAlign w:val="superscript"/>
          <w:lang w:val="es-MX" w:eastAsia="es-PE"/>
        </w:rPr>
        <w:t>(</w:t>
      </w:r>
      <w:proofErr w:type="gramEnd"/>
      <w:r w:rsidRPr="00C63AC5">
        <w:rPr>
          <w:color w:val="000000"/>
          <w:vertAlign w:val="superscript"/>
          <w:lang w:val="es-MX" w:eastAsia="es-PE"/>
        </w:rPr>
        <w:t>23)</w:t>
      </w:r>
      <w:r w:rsidRPr="00C63AC5">
        <w:rPr>
          <w:color w:val="000000"/>
          <w:lang w:val="es-MX" w:eastAsia="es-PE"/>
        </w:rPr>
        <w:t xml:space="preserve"> (grupo femenino; </w:t>
      </w:r>
      <w:proofErr w:type="spellStart"/>
      <w:r w:rsidRPr="00C63AC5">
        <w:rPr>
          <w:color w:val="000000"/>
          <w:lang w:val="es-MX" w:eastAsia="es-PE"/>
        </w:rPr>
        <w:t>OR</w:t>
      </w:r>
      <w:proofErr w:type="spellEnd"/>
      <w:r w:rsidRPr="00C63AC5">
        <w:rPr>
          <w:color w:val="000000"/>
          <w:lang w:val="es-MX" w:eastAsia="es-PE"/>
        </w:rPr>
        <w:t xml:space="preserve">=1,54; </w:t>
      </w:r>
      <w:proofErr w:type="spellStart"/>
      <w:r w:rsidRPr="00C63AC5">
        <w:rPr>
          <w:color w:val="000000"/>
          <w:lang w:val="es-MX" w:eastAsia="es-PE"/>
        </w:rPr>
        <w:t>IC95</w:t>
      </w:r>
      <w:proofErr w:type="spellEnd"/>
      <w:r w:rsidRPr="00C63AC5">
        <w:rPr>
          <w:color w:val="000000"/>
          <w:lang w:val="es-MX" w:eastAsia="es-PE"/>
        </w:rPr>
        <w:t xml:space="preserve"> %: 1,20-1,98), de </w:t>
      </w:r>
      <w:r w:rsidRPr="00C63AC5">
        <w:rPr>
          <w:i/>
          <w:iCs/>
          <w:color w:val="000000"/>
          <w:lang w:val="es-MX" w:eastAsia="es-PE"/>
        </w:rPr>
        <w:t>Orces</w:t>
      </w:r>
      <w:r w:rsidRPr="00C63AC5">
        <w:rPr>
          <w:color w:val="000000"/>
          <w:lang w:val="es-MX" w:eastAsia="es-PE"/>
        </w:rPr>
        <w:t xml:space="preserve"> y otros</w:t>
      </w:r>
      <w:r w:rsidRPr="00C63AC5">
        <w:rPr>
          <w:color w:val="000000"/>
          <w:vertAlign w:val="superscript"/>
          <w:lang w:val="es-MX" w:eastAsia="es-PE"/>
        </w:rPr>
        <w:t>(24)</w:t>
      </w:r>
      <w:r w:rsidRPr="00C63AC5">
        <w:rPr>
          <w:color w:val="000000"/>
          <w:lang w:val="es-MX" w:eastAsia="es-PE"/>
        </w:rPr>
        <w:t xml:space="preserve"> (</w:t>
      </w:r>
      <w:proofErr w:type="spellStart"/>
      <w:r w:rsidRPr="00C63AC5">
        <w:rPr>
          <w:color w:val="000000"/>
          <w:lang w:val="es-MX" w:eastAsia="es-PE"/>
        </w:rPr>
        <w:t>OR</w:t>
      </w:r>
      <w:proofErr w:type="spellEnd"/>
      <w:r w:rsidRPr="00C63AC5">
        <w:rPr>
          <w:color w:val="000000"/>
          <w:lang w:val="es-MX" w:eastAsia="es-PE"/>
        </w:rPr>
        <w:t xml:space="preserve">=1,59; </w:t>
      </w:r>
      <w:proofErr w:type="spellStart"/>
      <w:r w:rsidRPr="00C63AC5">
        <w:rPr>
          <w:color w:val="000000"/>
          <w:lang w:val="es-MX" w:eastAsia="es-PE"/>
        </w:rPr>
        <w:t>IC95</w:t>
      </w:r>
      <w:proofErr w:type="spellEnd"/>
      <w:r w:rsidRPr="00C63AC5">
        <w:rPr>
          <w:color w:val="000000"/>
          <w:lang w:val="es-MX" w:eastAsia="es-PE"/>
        </w:rPr>
        <w:t xml:space="preserve"> % 1,20-2,11) y </w:t>
      </w:r>
      <w:r w:rsidRPr="00C63AC5">
        <w:rPr>
          <w:i/>
          <w:iCs/>
          <w:color w:val="000000"/>
          <w:lang w:val="es-MX" w:eastAsia="es-PE"/>
        </w:rPr>
        <w:t>Sousa-Santos</w:t>
      </w:r>
      <w:r w:rsidRPr="00C63AC5">
        <w:rPr>
          <w:color w:val="000000"/>
          <w:lang w:val="es-MX" w:eastAsia="es-PE"/>
        </w:rPr>
        <w:t xml:space="preserve"> y otros</w:t>
      </w:r>
      <w:r w:rsidRPr="00C63AC5">
        <w:rPr>
          <w:color w:val="000000"/>
          <w:vertAlign w:val="superscript"/>
          <w:lang w:val="es-MX" w:eastAsia="es-PE"/>
        </w:rPr>
        <w:t>(26)</w:t>
      </w:r>
      <w:r w:rsidRPr="00C63AC5">
        <w:rPr>
          <w:color w:val="000000"/>
          <w:lang w:val="es-MX" w:eastAsia="es-PE"/>
        </w:rPr>
        <w:t xml:space="preserve"> (</w:t>
      </w:r>
      <w:proofErr w:type="spellStart"/>
      <w:r w:rsidRPr="00C63AC5">
        <w:rPr>
          <w:color w:val="000000"/>
          <w:lang w:val="es-MX" w:eastAsia="es-PE"/>
        </w:rPr>
        <w:t>OR</w:t>
      </w:r>
      <w:proofErr w:type="spellEnd"/>
      <w:r w:rsidRPr="00C63AC5">
        <w:rPr>
          <w:color w:val="000000"/>
          <w:lang w:val="es-MX" w:eastAsia="es-PE"/>
        </w:rPr>
        <w:t xml:space="preserve">=2,33; </w:t>
      </w:r>
      <w:proofErr w:type="spellStart"/>
      <w:r w:rsidRPr="00C63AC5">
        <w:rPr>
          <w:color w:val="000000"/>
          <w:lang w:val="es-MX" w:eastAsia="es-PE"/>
        </w:rPr>
        <w:t>IC95</w:t>
      </w:r>
      <w:proofErr w:type="spellEnd"/>
      <w:r w:rsidRPr="00C63AC5">
        <w:rPr>
          <w:color w:val="000000"/>
          <w:lang w:val="es-MX" w:eastAsia="es-PE"/>
        </w:rPr>
        <w:t> % 1,49-3,64). De manera global, se encontró una asociación estadísticamente significativa entre ambas variables de interés (</w:t>
      </w:r>
      <w:proofErr w:type="spellStart"/>
      <w:r w:rsidRPr="00C63AC5">
        <w:rPr>
          <w:color w:val="000000"/>
          <w:lang w:val="es-MX" w:eastAsia="es-PE"/>
        </w:rPr>
        <w:t>OR</w:t>
      </w:r>
      <w:proofErr w:type="spellEnd"/>
      <w:r w:rsidRPr="00C63AC5">
        <w:rPr>
          <w:color w:val="000000"/>
          <w:lang w:val="es-MX" w:eastAsia="es-PE"/>
        </w:rPr>
        <w:t xml:space="preserve">=1,36; </w:t>
      </w:r>
      <w:proofErr w:type="spellStart"/>
      <w:r w:rsidRPr="00C63AC5">
        <w:rPr>
          <w:color w:val="000000"/>
          <w:lang w:val="es-MX" w:eastAsia="es-PE"/>
        </w:rPr>
        <w:t>IC95</w:t>
      </w:r>
      <w:proofErr w:type="spellEnd"/>
      <w:r w:rsidRPr="00C63AC5">
        <w:rPr>
          <w:color w:val="000000"/>
          <w:lang w:val="es-MX" w:eastAsia="es-PE"/>
        </w:rPr>
        <w:t xml:space="preserve"> %: 1,04-1,77) (Fig. 2). </w:t>
      </w:r>
    </w:p>
    <w:p w14:paraId="1DA38CD4" w14:textId="77777777" w:rsidR="00C63AC5" w:rsidRPr="00C63AC5" w:rsidRDefault="00C63AC5" w:rsidP="00C63AC5">
      <w:pPr>
        <w:widowControl w:val="0"/>
        <w:spacing w:line="360" w:lineRule="auto"/>
        <w:jc w:val="both"/>
        <w:rPr>
          <w:color w:val="000000"/>
          <w:lang w:val="es-MX" w:eastAsia="es-PE"/>
        </w:rPr>
      </w:pPr>
    </w:p>
    <w:p w14:paraId="265E582A" w14:textId="7B3A1EB7" w:rsidR="00C63AC5" w:rsidRPr="00C63AC5" w:rsidRDefault="00C63AC5" w:rsidP="00C63AC5">
      <w:pPr>
        <w:widowControl w:val="0"/>
        <w:spacing w:line="360" w:lineRule="auto"/>
        <w:jc w:val="center"/>
        <w:rPr>
          <w:color w:val="000000"/>
          <w:lang w:val="es-MX" w:eastAsia="es-PE"/>
        </w:rPr>
      </w:pPr>
      <w:r w:rsidRPr="00C63AC5">
        <w:rPr>
          <w:noProof/>
          <w:color w:val="000000"/>
          <w:lang w:val="es-MX" w:eastAsia="es-PE"/>
        </w:rPr>
        <w:drawing>
          <wp:inline distT="0" distB="0" distL="0" distR="0" wp14:anchorId="53DBFA67" wp14:editId="4422844C">
            <wp:extent cx="5969635" cy="1716405"/>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635" cy="1716405"/>
                    </a:xfrm>
                    <a:prstGeom prst="rect">
                      <a:avLst/>
                    </a:prstGeom>
                    <a:noFill/>
                    <a:ln>
                      <a:noFill/>
                    </a:ln>
                  </pic:spPr>
                </pic:pic>
              </a:graphicData>
            </a:graphic>
          </wp:inline>
        </w:drawing>
      </w:r>
    </w:p>
    <w:p w14:paraId="0C69111D" w14:textId="77777777" w:rsidR="00C63AC5" w:rsidRPr="00C63AC5" w:rsidRDefault="00C63AC5" w:rsidP="00C63AC5">
      <w:pPr>
        <w:widowControl w:val="0"/>
        <w:spacing w:line="360" w:lineRule="auto"/>
        <w:ind w:left="284"/>
        <w:jc w:val="center"/>
        <w:rPr>
          <w:color w:val="000000"/>
          <w:sz w:val="16"/>
          <w:szCs w:val="16"/>
          <w:lang w:val="es-MX" w:eastAsia="es-PE"/>
        </w:rPr>
      </w:pPr>
      <w:r w:rsidRPr="00C63AC5">
        <w:rPr>
          <w:color w:val="000000"/>
          <w:sz w:val="16"/>
          <w:szCs w:val="16"/>
          <w:lang w:val="es-MX" w:eastAsia="es-PE"/>
        </w:rPr>
        <w:t>* En el grupo de varones</w:t>
      </w:r>
    </w:p>
    <w:p w14:paraId="35C22E72" w14:textId="77777777" w:rsidR="00C63AC5" w:rsidRPr="00C63AC5" w:rsidRDefault="00C63AC5" w:rsidP="00C63AC5">
      <w:pPr>
        <w:widowControl w:val="0"/>
        <w:spacing w:line="360" w:lineRule="auto"/>
        <w:ind w:left="284"/>
        <w:jc w:val="center"/>
        <w:rPr>
          <w:color w:val="000000"/>
          <w:sz w:val="16"/>
          <w:szCs w:val="16"/>
          <w:lang w:val="es-MX" w:eastAsia="es-PE"/>
        </w:rPr>
      </w:pPr>
      <w:r w:rsidRPr="00C63AC5">
        <w:rPr>
          <w:color w:val="000000"/>
          <w:sz w:val="16"/>
          <w:szCs w:val="16"/>
          <w:lang w:val="es-MX" w:eastAsia="es-PE"/>
        </w:rPr>
        <w:t>** En el grupo de mujeres</w:t>
      </w:r>
    </w:p>
    <w:p w14:paraId="757CABFE" w14:textId="77777777" w:rsidR="00C63AC5" w:rsidRPr="00C63AC5" w:rsidRDefault="00C63AC5" w:rsidP="00C63AC5">
      <w:pPr>
        <w:widowControl w:val="0"/>
        <w:spacing w:line="360" w:lineRule="auto"/>
        <w:jc w:val="center"/>
        <w:rPr>
          <w:color w:val="000000"/>
          <w:sz w:val="22"/>
          <w:szCs w:val="22"/>
          <w:lang w:val="es-MX" w:eastAsia="es-PE"/>
        </w:rPr>
      </w:pPr>
      <w:r w:rsidRPr="00C63AC5">
        <w:rPr>
          <w:b/>
          <w:color w:val="000000"/>
          <w:sz w:val="22"/>
          <w:szCs w:val="22"/>
          <w:lang w:val="es-MX" w:eastAsia="es-PE"/>
        </w:rPr>
        <w:t>Fig. 2 -</w:t>
      </w:r>
      <w:r w:rsidRPr="00C63AC5">
        <w:rPr>
          <w:color w:val="000000"/>
          <w:sz w:val="22"/>
          <w:szCs w:val="22"/>
          <w:lang w:val="es-MX" w:eastAsia="es-PE"/>
        </w:rPr>
        <w:t xml:space="preserve"> Forest </w:t>
      </w:r>
      <w:proofErr w:type="spellStart"/>
      <w:r w:rsidRPr="00C63AC5">
        <w:rPr>
          <w:color w:val="000000"/>
          <w:sz w:val="22"/>
          <w:szCs w:val="22"/>
          <w:lang w:val="es-MX" w:eastAsia="es-PE"/>
        </w:rPr>
        <w:t>plot</w:t>
      </w:r>
      <w:proofErr w:type="spellEnd"/>
      <w:r w:rsidRPr="00C63AC5">
        <w:rPr>
          <w:color w:val="000000"/>
          <w:sz w:val="22"/>
          <w:szCs w:val="22"/>
          <w:lang w:val="es-MX" w:eastAsia="es-PE"/>
        </w:rPr>
        <w:t xml:space="preserve"> de efectos aleatorios en obesidad según el índice de masa corporal.</w:t>
      </w:r>
    </w:p>
    <w:p w14:paraId="4ADF34A5" w14:textId="77777777" w:rsidR="00C63AC5" w:rsidRPr="00C63AC5" w:rsidRDefault="00C63AC5" w:rsidP="00C63AC5">
      <w:pPr>
        <w:widowControl w:val="0"/>
        <w:spacing w:line="360" w:lineRule="auto"/>
        <w:ind w:left="284"/>
        <w:jc w:val="both"/>
        <w:rPr>
          <w:color w:val="000000"/>
          <w:lang w:val="es-MX" w:eastAsia="es-PE"/>
        </w:rPr>
      </w:pPr>
    </w:p>
    <w:p w14:paraId="6FF38411"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 xml:space="preserve">En relación con el análisis de vitamina D y obesidad por CA, </w:t>
      </w:r>
      <w:r w:rsidRPr="00C63AC5">
        <w:rPr>
          <w:i/>
          <w:iCs/>
          <w:color w:val="000000"/>
          <w:lang w:val="es-MX" w:eastAsia="es-PE"/>
        </w:rPr>
        <w:t>Sousa-Santos</w:t>
      </w:r>
      <w:r w:rsidRPr="00C63AC5">
        <w:rPr>
          <w:color w:val="000000"/>
          <w:lang w:val="es-MX" w:eastAsia="es-PE"/>
        </w:rPr>
        <w:t xml:space="preserve"> y </w:t>
      </w:r>
      <w:proofErr w:type="gramStart"/>
      <w:r w:rsidRPr="00C63AC5">
        <w:rPr>
          <w:color w:val="000000"/>
          <w:lang w:val="es-MX" w:eastAsia="es-PE"/>
        </w:rPr>
        <w:t>otros</w:t>
      </w:r>
      <w:r w:rsidRPr="00C63AC5">
        <w:rPr>
          <w:color w:val="000000"/>
          <w:vertAlign w:val="superscript"/>
          <w:lang w:val="es-MX" w:eastAsia="es-PE"/>
        </w:rPr>
        <w:t>(</w:t>
      </w:r>
      <w:proofErr w:type="gramEnd"/>
      <w:r w:rsidRPr="00C63AC5">
        <w:rPr>
          <w:color w:val="000000"/>
          <w:vertAlign w:val="superscript"/>
          <w:lang w:val="es-MX" w:eastAsia="es-PE"/>
        </w:rPr>
        <w:t>26)</w:t>
      </w:r>
      <w:r w:rsidRPr="00C63AC5">
        <w:rPr>
          <w:color w:val="000000"/>
          <w:lang w:val="es-MX" w:eastAsia="es-PE"/>
        </w:rPr>
        <w:t xml:space="preserve"> (</w:t>
      </w:r>
      <w:proofErr w:type="spellStart"/>
      <w:r w:rsidRPr="00C63AC5">
        <w:rPr>
          <w:color w:val="000000"/>
          <w:lang w:val="es-MX" w:eastAsia="es-PE"/>
        </w:rPr>
        <w:t>OR</w:t>
      </w:r>
      <w:proofErr w:type="spellEnd"/>
      <w:r w:rsidRPr="00C63AC5">
        <w:rPr>
          <w:color w:val="000000"/>
          <w:lang w:val="es-MX" w:eastAsia="es-PE"/>
        </w:rPr>
        <w:t xml:space="preserve">= 2,33; </w:t>
      </w:r>
      <w:proofErr w:type="spellStart"/>
      <w:r w:rsidRPr="00C63AC5">
        <w:rPr>
          <w:color w:val="000000"/>
          <w:lang w:val="es-MX" w:eastAsia="es-PE"/>
        </w:rPr>
        <w:t>IC95</w:t>
      </w:r>
      <w:proofErr w:type="spellEnd"/>
      <w:r w:rsidRPr="00C63AC5">
        <w:rPr>
          <w:color w:val="000000"/>
          <w:lang w:val="es-MX" w:eastAsia="es-PE"/>
        </w:rPr>
        <w:t xml:space="preserve"> %: 1,49- 3,64) y </w:t>
      </w:r>
      <w:r w:rsidRPr="00C63AC5">
        <w:rPr>
          <w:i/>
          <w:iCs/>
          <w:color w:val="000000"/>
          <w:lang w:val="es-MX" w:eastAsia="es-PE"/>
        </w:rPr>
        <w:t>Zhu</w:t>
      </w:r>
      <w:r w:rsidRPr="00C63AC5">
        <w:rPr>
          <w:color w:val="000000"/>
          <w:lang w:val="es-MX" w:eastAsia="es-PE"/>
        </w:rPr>
        <w:t xml:space="preserve"> y otros</w:t>
      </w:r>
      <w:r w:rsidRPr="00C63AC5">
        <w:rPr>
          <w:color w:val="000000"/>
          <w:vertAlign w:val="superscript"/>
          <w:lang w:val="es-MX" w:eastAsia="es-PE"/>
        </w:rPr>
        <w:t>(22)</w:t>
      </w:r>
      <w:r w:rsidRPr="00C63AC5">
        <w:rPr>
          <w:color w:val="000000"/>
          <w:lang w:val="es-MX" w:eastAsia="es-PE"/>
        </w:rPr>
        <w:t xml:space="preserve"> (grupo femenino; </w:t>
      </w:r>
      <w:proofErr w:type="spellStart"/>
      <w:r w:rsidRPr="00C63AC5">
        <w:rPr>
          <w:color w:val="000000"/>
          <w:lang w:val="es-MX" w:eastAsia="es-PE"/>
        </w:rPr>
        <w:t>OR</w:t>
      </w:r>
      <w:proofErr w:type="spellEnd"/>
      <w:r w:rsidRPr="00C63AC5">
        <w:rPr>
          <w:color w:val="000000"/>
          <w:lang w:val="es-MX" w:eastAsia="es-PE"/>
        </w:rPr>
        <w:t xml:space="preserve">= 1,54; </w:t>
      </w:r>
      <w:proofErr w:type="spellStart"/>
      <w:r w:rsidRPr="00C63AC5">
        <w:rPr>
          <w:color w:val="000000"/>
          <w:lang w:val="es-MX" w:eastAsia="es-PE"/>
        </w:rPr>
        <w:t>IC95</w:t>
      </w:r>
      <w:proofErr w:type="spellEnd"/>
      <w:r w:rsidRPr="00C63AC5">
        <w:rPr>
          <w:color w:val="000000"/>
          <w:lang w:val="es-MX" w:eastAsia="es-PE"/>
        </w:rPr>
        <w:t> %: 1,20-1,98) mostraron asociación estadísticamente significativa. De manera global fue de la misma manera (</w:t>
      </w:r>
      <w:proofErr w:type="spellStart"/>
      <w:r w:rsidRPr="00C63AC5">
        <w:rPr>
          <w:color w:val="000000"/>
          <w:lang w:val="es-MX" w:eastAsia="es-PE"/>
        </w:rPr>
        <w:t>OR</w:t>
      </w:r>
      <w:proofErr w:type="spellEnd"/>
      <w:r w:rsidRPr="00C63AC5">
        <w:rPr>
          <w:color w:val="000000"/>
          <w:lang w:val="es-MX" w:eastAsia="es-PE"/>
        </w:rPr>
        <w:t xml:space="preserve">= 1,74; IC 95 %: 1,26 a 2,40) (Fig. 3). </w:t>
      </w:r>
    </w:p>
    <w:p w14:paraId="6C1E701E" w14:textId="77D357D5" w:rsidR="00B90613" w:rsidRDefault="00B90613">
      <w:pPr>
        <w:rPr>
          <w:color w:val="000000"/>
          <w:lang w:val="es-MX" w:eastAsia="es-PE"/>
        </w:rPr>
      </w:pPr>
      <w:r>
        <w:rPr>
          <w:color w:val="000000"/>
          <w:lang w:val="es-MX" w:eastAsia="es-PE"/>
        </w:rPr>
        <w:br w:type="page"/>
      </w:r>
    </w:p>
    <w:p w14:paraId="01DD6CE3" w14:textId="77777777" w:rsidR="00C63AC5" w:rsidRPr="00C63AC5" w:rsidRDefault="00C63AC5" w:rsidP="00C63AC5">
      <w:pPr>
        <w:widowControl w:val="0"/>
        <w:spacing w:line="360" w:lineRule="auto"/>
        <w:jc w:val="both"/>
        <w:rPr>
          <w:color w:val="000000"/>
          <w:lang w:val="es-MX" w:eastAsia="es-PE"/>
        </w:rPr>
      </w:pPr>
    </w:p>
    <w:p w14:paraId="66C0171F" w14:textId="4697BF7A" w:rsidR="00C63AC5" w:rsidRPr="00C63AC5" w:rsidRDefault="00C63AC5" w:rsidP="00C63AC5">
      <w:pPr>
        <w:widowControl w:val="0"/>
        <w:spacing w:line="360" w:lineRule="auto"/>
        <w:jc w:val="center"/>
        <w:rPr>
          <w:color w:val="000000"/>
          <w:lang w:val="es-MX" w:eastAsia="es-PE"/>
        </w:rPr>
      </w:pPr>
      <w:r w:rsidRPr="00C63AC5">
        <w:rPr>
          <w:noProof/>
          <w:color w:val="000000"/>
          <w:lang w:val="es-MX" w:eastAsia="es-PE"/>
        </w:rPr>
        <w:drawing>
          <wp:inline distT="0" distB="0" distL="0" distR="0" wp14:anchorId="1D295C84" wp14:editId="595E9E88">
            <wp:extent cx="6051394" cy="1268083"/>
            <wp:effectExtent l="0" t="0" r="6985" b="889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5252" cy="1302420"/>
                    </a:xfrm>
                    <a:prstGeom prst="rect">
                      <a:avLst/>
                    </a:prstGeom>
                    <a:noFill/>
                    <a:ln>
                      <a:noFill/>
                    </a:ln>
                  </pic:spPr>
                </pic:pic>
              </a:graphicData>
            </a:graphic>
          </wp:inline>
        </w:drawing>
      </w:r>
    </w:p>
    <w:p w14:paraId="7243F393" w14:textId="77777777" w:rsidR="00C63AC5" w:rsidRPr="00C63AC5" w:rsidRDefault="00C63AC5" w:rsidP="00C63AC5">
      <w:pPr>
        <w:widowControl w:val="0"/>
        <w:pBdr>
          <w:top w:val="nil"/>
          <w:left w:val="nil"/>
          <w:bottom w:val="nil"/>
          <w:right w:val="nil"/>
          <w:between w:val="nil"/>
        </w:pBdr>
        <w:spacing w:line="360" w:lineRule="auto"/>
        <w:ind w:left="284"/>
        <w:jc w:val="center"/>
        <w:rPr>
          <w:color w:val="000000"/>
          <w:sz w:val="16"/>
          <w:szCs w:val="16"/>
          <w:lang w:val="es-MX" w:eastAsia="es-PE"/>
        </w:rPr>
      </w:pPr>
      <w:r w:rsidRPr="00C63AC5">
        <w:rPr>
          <w:color w:val="000000"/>
          <w:sz w:val="16"/>
          <w:szCs w:val="16"/>
          <w:lang w:val="es-MX" w:eastAsia="es-PE"/>
        </w:rPr>
        <w:t>*En el grupo de varones</w:t>
      </w:r>
    </w:p>
    <w:p w14:paraId="33E43D26" w14:textId="77777777" w:rsidR="00C63AC5" w:rsidRPr="00C63AC5" w:rsidRDefault="00C63AC5" w:rsidP="00C63AC5">
      <w:pPr>
        <w:widowControl w:val="0"/>
        <w:pBdr>
          <w:top w:val="nil"/>
          <w:left w:val="nil"/>
          <w:bottom w:val="nil"/>
          <w:right w:val="nil"/>
          <w:between w:val="nil"/>
        </w:pBdr>
        <w:spacing w:line="360" w:lineRule="auto"/>
        <w:ind w:left="284"/>
        <w:jc w:val="center"/>
        <w:rPr>
          <w:color w:val="000000"/>
          <w:sz w:val="16"/>
          <w:szCs w:val="16"/>
          <w:lang w:val="es-MX" w:eastAsia="es-PE"/>
        </w:rPr>
      </w:pPr>
      <w:r w:rsidRPr="00C63AC5">
        <w:rPr>
          <w:color w:val="000000"/>
          <w:sz w:val="16"/>
          <w:szCs w:val="16"/>
          <w:lang w:val="es-MX" w:eastAsia="es-PE"/>
        </w:rPr>
        <w:t>** En el grupo de mujeres</w:t>
      </w:r>
    </w:p>
    <w:p w14:paraId="560AA043" w14:textId="77777777" w:rsidR="00C63AC5" w:rsidRPr="00C63AC5" w:rsidRDefault="00C63AC5" w:rsidP="00C63AC5">
      <w:pPr>
        <w:widowControl w:val="0"/>
        <w:spacing w:line="360" w:lineRule="auto"/>
        <w:jc w:val="center"/>
        <w:rPr>
          <w:color w:val="000000"/>
          <w:sz w:val="22"/>
          <w:szCs w:val="22"/>
          <w:lang w:val="es-MX" w:eastAsia="es-PE"/>
        </w:rPr>
      </w:pPr>
      <w:r w:rsidRPr="00C63AC5">
        <w:rPr>
          <w:b/>
          <w:color w:val="000000"/>
          <w:sz w:val="22"/>
          <w:szCs w:val="22"/>
          <w:lang w:val="es-MX" w:eastAsia="es-PE"/>
        </w:rPr>
        <w:t>Fig. 3 -</w:t>
      </w:r>
      <w:r w:rsidRPr="00C63AC5">
        <w:rPr>
          <w:color w:val="000000"/>
          <w:sz w:val="22"/>
          <w:szCs w:val="22"/>
          <w:lang w:val="es-MX" w:eastAsia="es-PE"/>
        </w:rPr>
        <w:t xml:space="preserve"> Forest </w:t>
      </w:r>
      <w:proofErr w:type="spellStart"/>
      <w:r w:rsidRPr="00C63AC5">
        <w:rPr>
          <w:color w:val="000000"/>
          <w:sz w:val="22"/>
          <w:szCs w:val="22"/>
          <w:lang w:val="es-MX" w:eastAsia="es-PE"/>
        </w:rPr>
        <w:t>plot</w:t>
      </w:r>
      <w:proofErr w:type="spellEnd"/>
      <w:r w:rsidRPr="00C63AC5">
        <w:rPr>
          <w:color w:val="000000"/>
          <w:sz w:val="22"/>
          <w:szCs w:val="22"/>
          <w:lang w:val="es-MX" w:eastAsia="es-PE"/>
        </w:rPr>
        <w:t xml:space="preserve"> de efectos aleatorios en obesidad según la cintura abdominal.</w:t>
      </w:r>
    </w:p>
    <w:p w14:paraId="70B312CA" w14:textId="77777777" w:rsidR="00C63AC5" w:rsidRPr="00C63AC5" w:rsidRDefault="00C63AC5" w:rsidP="00C63AC5">
      <w:pPr>
        <w:widowControl w:val="0"/>
        <w:spacing w:line="360" w:lineRule="auto"/>
        <w:jc w:val="both"/>
        <w:rPr>
          <w:color w:val="000000"/>
          <w:lang w:val="es-MX" w:eastAsia="es-PE"/>
        </w:rPr>
      </w:pPr>
    </w:p>
    <w:p w14:paraId="20E4B12B"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 xml:space="preserve">Todos los estudios incluidos en el análisis presentaron alta heterogeneidad, tanto para el primer grupo: </w:t>
      </w:r>
      <w:proofErr w:type="gramStart"/>
      <w:r w:rsidRPr="00C63AC5">
        <w:rPr>
          <w:i/>
          <w:iCs/>
          <w:color w:val="000000"/>
          <w:lang w:val="es-MX" w:eastAsia="es-PE"/>
        </w:rPr>
        <w:t>ji</w:t>
      </w:r>
      <w:r w:rsidRPr="00C63AC5">
        <w:rPr>
          <w:color w:val="000000"/>
          <w:lang w:val="es-MX" w:eastAsia="es-PE"/>
        </w:rPr>
        <w:t xml:space="preserve"> cuadrado</w:t>
      </w:r>
      <w:proofErr w:type="gramEnd"/>
      <w:r w:rsidRPr="00C63AC5">
        <w:rPr>
          <w:color w:val="000000"/>
          <w:lang w:val="es-MX" w:eastAsia="es-PE"/>
        </w:rPr>
        <w:t xml:space="preserve"> (p= 0,0008) e I cuadrado (74 %), como para el segundo: </w:t>
      </w:r>
      <w:r w:rsidRPr="00C63AC5">
        <w:rPr>
          <w:i/>
          <w:iCs/>
          <w:color w:val="000000"/>
          <w:lang w:val="es-MX" w:eastAsia="es-PE"/>
        </w:rPr>
        <w:t>ji</w:t>
      </w:r>
      <w:r w:rsidRPr="00C63AC5">
        <w:rPr>
          <w:color w:val="000000"/>
          <w:lang w:val="es-MX" w:eastAsia="es-PE"/>
        </w:rPr>
        <w:t xml:space="preserve"> cuadrado (p= 0,01) e I cuadrado (78 %). </w:t>
      </w:r>
    </w:p>
    <w:p w14:paraId="006D73C0" w14:textId="77777777" w:rsidR="00C63AC5" w:rsidRPr="00C63AC5" w:rsidRDefault="00C63AC5" w:rsidP="00C63AC5">
      <w:pPr>
        <w:widowControl w:val="0"/>
        <w:spacing w:line="360" w:lineRule="auto"/>
        <w:jc w:val="both"/>
        <w:rPr>
          <w:color w:val="000000"/>
          <w:lang w:val="es-MX" w:eastAsia="es-PE"/>
        </w:rPr>
      </w:pPr>
    </w:p>
    <w:p w14:paraId="01FE37EA" w14:textId="77777777" w:rsidR="00C63AC5" w:rsidRPr="00C63AC5" w:rsidRDefault="00C63AC5" w:rsidP="00C63AC5">
      <w:pPr>
        <w:widowControl w:val="0"/>
        <w:spacing w:line="360" w:lineRule="auto"/>
        <w:jc w:val="center"/>
        <w:rPr>
          <w:b/>
          <w:bCs/>
          <w:color w:val="000000"/>
          <w:sz w:val="32"/>
          <w:szCs w:val="32"/>
          <w:lang w:val="es-PE" w:eastAsia="es-PE"/>
        </w:rPr>
      </w:pPr>
    </w:p>
    <w:p w14:paraId="10B3B11A" w14:textId="77777777" w:rsidR="00C63AC5" w:rsidRPr="00C63AC5" w:rsidRDefault="00C63AC5" w:rsidP="00C63AC5">
      <w:pPr>
        <w:widowControl w:val="0"/>
        <w:spacing w:line="360" w:lineRule="auto"/>
        <w:jc w:val="center"/>
        <w:rPr>
          <w:b/>
          <w:bCs/>
          <w:color w:val="000000"/>
          <w:sz w:val="32"/>
          <w:szCs w:val="32"/>
          <w:lang w:val="es-PE" w:eastAsia="es-PE"/>
        </w:rPr>
      </w:pPr>
      <w:r w:rsidRPr="00C63AC5">
        <w:rPr>
          <w:b/>
          <w:bCs/>
          <w:color w:val="000000"/>
          <w:sz w:val="32"/>
          <w:szCs w:val="32"/>
          <w:lang w:val="es-PE" w:eastAsia="es-PE"/>
        </w:rPr>
        <w:t>DISCUSIÓN</w:t>
      </w:r>
    </w:p>
    <w:p w14:paraId="589DEE0C"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Esta es la primera RS combinada con un metanálisis que buscó asociación entre la obesidad y déficit de vitamina D en adultos mayores. Se encontró una asociación significativa entre ambas variables, independiente de la medida usada para obesidad.</w:t>
      </w:r>
    </w:p>
    <w:p w14:paraId="3DC22B5F"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No se encontró una cantidad considerable dirigidos al adulto mayor. Más aun, estos eran de diseño transversal, con uso de técnicas analíticas. Ello resalta la importancia de realizar mayor cantidad de investigaciones en este grupo, como estudios longitudinales.</w:t>
      </w:r>
    </w:p>
    <w:p w14:paraId="5D06B7F9"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 xml:space="preserve">En cuanto a la obesidad, diversos estudios señalan que marcadores como el </w:t>
      </w:r>
      <w:proofErr w:type="spellStart"/>
      <w:r w:rsidRPr="00C63AC5">
        <w:rPr>
          <w:color w:val="000000"/>
          <w:lang w:val="es-MX" w:eastAsia="es-PE"/>
        </w:rPr>
        <w:t>PA</w:t>
      </w:r>
      <w:proofErr w:type="spellEnd"/>
      <w:r w:rsidRPr="00C63AC5">
        <w:rPr>
          <w:color w:val="000000"/>
          <w:lang w:val="es-MX" w:eastAsia="es-PE"/>
        </w:rPr>
        <w:t xml:space="preserve"> o el </w:t>
      </w:r>
      <w:proofErr w:type="spellStart"/>
      <w:r w:rsidRPr="00C63AC5">
        <w:rPr>
          <w:color w:val="000000"/>
          <w:lang w:val="es-MX" w:eastAsia="es-PE"/>
        </w:rPr>
        <w:t>IFC</w:t>
      </w:r>
      <w:proofErr w:type="spellEnd"/>
      <w:r w:rsidRPr="00C63AC5">
        <w:rPr>
          <w:color w:val="000000"/>
          <w:lang w:val="es-MX" w:eastAsia="es-PE"/>
        </w:rPr>
        <w:t xml:space="preserve"> tienen mejor precisión para definir el aumento de la grasa corporal que el IMC;</w:t>
      </w:r>
      <w:r w:rsidRPr="00C63AC5">
        <w:rPr>
          <w:color w:val="000000"/>
          <w:lang w:val="es-MX" w:eastAsia="es-PE"/>
        </w:rPr>
        <w:fldChar w:fldCharType="begin"/>
      </w:r>
      <w:r w:rsidRPr="00C63AC5">
        <w:rPr>
          <w:color w:val="000000"/>
          <w:lang w:val="es-MX" w:eastAsia="es-PE"/>
        </w:rPr>
        <w:instrText xml:space="preserve"> ADDIN ZOTERO_ITEM CSL_CITATION {"citationID":"1YOcC9z2","properties":{"formattedCitation":"\\super (21,32,33)\\nosupersub{}","plainCitation":"(21,32,33)","noteIndex":0},"citationItems":[{"id":539,"uris":["http://zotero.org/users/6066349/items/HNTLU6BY"],"uri":["http://zotero.org/users/6066349/items/HNTLU6BY"],"itemData":{"id":539,"type":"article-journal","abstract":"Body mass index of 30 kg/m2 or higher is used to identify individuals with obesity. In the last 3 decades, the worldwide prevalence of obesity has increased 27.5% for adults and 47.1% for children. Obesity is the result of complex relationships between genetic, socioeconomic, and cultural influences. Consumption patterns, urban development, and lifestyle habits influence the prevalence of obesity. The condition may be the result of disease or pharmacologic treatment. It may also be a risk factor for the development of comorbid conditions. Persons who are obese have less school attendance, reduced earning potential, and higher healthcare costs that may result in an economic burden on society. A review of the prevalence and economic consequences of obesity is provided. Potential causes and comorbidities associated with obesity are also discussed.","container-title":"The American Journal of Managed Care","ISSN":"1936-2692","issue":"7 Suppl","journalAbbreviation":"Am J Manag Care","language":"eng","note":"PMID: 27356115","page":"s176-185","source":"PubMed","title":"Obesity: definition, comorbidities, causes, and burden","title-short":"Obesity","volume":"22","author":[{"family":"Apovian","given":"Caroline M."}],"issued":{"date-parts":[["2016"]]}}},{"id":"GYjVgD3m/SL0voWUY","uris":["http://zotero.org/users/local/9NI25WbG/items/WXW3JTAS"],"uri":["http://zotero.org/users/local/9NI25WbG/items/WXW3JTAS"],"itemData":{"id":"uoAPZswV/pnPm1FJI","type":"article-journal","container-title":"Journal of Clinical Gastroenterology","DOI":"10.1097/MCG.0b013e31825692ce","ISSN":"0192-0790","issue":"7","language":"en","page":"533-544","source":"DOI.org (Crossref)","title":"Obesity and the Elderly","volume":"46","author":[{"family":"Mathus-Vliegen","given":"Elisabeth MH"}],"issued":{"date-parts":[["2012",8]]}}},{"id":4569,"uris":["http://zotero.org/users/6066349/items/6CXA8SJX"],"uri":["http://zotero.org/users/6066349/items/6CXA8SJX"],"itemData":{"id":4569,"type":"article-journal","abstract":"Background: Obesity is a global epidemic and belongs to major risk factors for the most prevalent diseases. Anthropometric measures are simple, inexpensive, non-invasive tools to diagnosis obesity and to assess the risk of morbidity and mortality.\nThe most widely used are body mass index (BMI), waist circumference (WC), waist-to-hip (WHR) and waist-to-height ratios, visceral fat area (VFA), body fat (BFP) and a new body shape index (ABSI).\nObjective: The aim of this study was to examine the usefulness of the ABSI in obesity diagnosis compared with other anthropometric parameters like WC, WHR, BMI, VFA, and BFP. We also compared the predictability between ABSI and above mentioned common anthropometric indices.\nMaterial and methods: The study group was composed of 236 university students. Body height, weight, WC was measured and BMI, WHR, ABSI and ABSI z-score were calculated. The anthropometric measurements were made by using InBody 720 (Biospace Co. Ltd., Seoul, Republic of Korea). Body composition, especially VFA, BFP, FFM was diagnosed by multifrequency bioelectrical impedance analysis. We evaluated the collected data statistically and graphically in Microsoft Office Excel 2010 (Los Angeles, CA, USA). Statistical analyses were performed using the program STATISTICA Cz version 10.\nResults: The diagnosis of obesity among participants according to anthropometric measures and indices showed considerable differences. We found that obesity was diagnosed according to waist circumference in 31% of participants.\nAccording to BMI 20.3% of subjects were overweight and 5.1% obese. With increasing BMI values, the values of WC, WHR and VFA also increased linearly. According to visceral fat area 11.4% of participants were in the risk obese group and by ABSI mortality risk there were 22% of subjects with high risk (4.8% and 28.3% for men and women, respectively) and 19.1% with very high risk (11.1% and 22% for men and women, respectively). VFA and BFP values increased with increasing risk of mortality, and in men also waist circumference values. When evaluating the ABSI in relation to BMI, the U-shaped curve was confirmed and in the case of WC the J-shaped curve. The FFM evaluation showed that the very low ABSI mortality risk group reached the highest values of this parameter and the lowest values showed the average mortality risk group, not only in the study group but also in male and female groups.\nConclusions: Our findings suggest the relevance of ABSI to screen at-risk population.","container-title":"Roczniki Panstwowego Zakladu Higieny","DOI":"10.32394/rpzh.2019.0077","ISSN":"0035-7715","issue":"3","journalAbbreviation":"Rocz Panstw Zakl Hig","language":"eng","note":"PMID: 31515986","page":"267-275","source":"PubMed","title":"Obesity diagnosis and mortality risk based on a body shape index (ABSI) and other indices and anthropometric parameters in university students","volume":"70","author":[{"family":"Gažarová","given":"Martina"},{"family":"Galšneiderová","given":"Mária"},{"family":"Mečiarová","given":"Lucia"}],"issued":{"date-parts":[["2019"]]}}}],"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(17,27,28)</w:t>
      </w:r>
      <w:r w:rsidRPr="00C63AC5">
        <w:rPr>
          <w:color w:val="000000"/>
          <w:lang w:val="es-MX" w:eastAsia="es-PE"/>
        </w:rPr>
        <w:fldChar w:fldCharType="end"/>
      </w:r>
      <w:r w:rsidRPr="00C63AC5">
        <w:rPr>
          <w:color w:val="000000"/>
          <w:lang w:val="es-MX" w:eastAsia="es-PE"/>
        </w:rPr>
        <w:t xml:space="preserve"> sin embargo, la deficiencia de vitamina D no discriminó entre cada parámetro antropométrico. Ello podría significar que el estado de la vitamina D es dependiente también del peso y composición corporal, en particular del tejido adiposo.</w:t>
      </w:r>
    </w:p>
    <w:p w14:paraId="65CCAAD7"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 xml:space="preserve">Aunque los estudios seleccionados tenían el mismo propósito, difirieron en varios aspectos. El estudio de </w:t>
      </w:r>
      <w:r w:rsidRPr="00C63AC5">
        <w:rPr>
          <w:i/>
          <w:iCs/>
          <w:color w:val="000000"/>
          <w:lang w:val="es-MX" w:eastAsia="es-PE"/>
        </w:rPr>
        <w:t>Cheng</w:t>
      </w:r>
      <w:r w:rsidRPr="00C63AC5">
        <w:rPr>
          <w:color w:val="000000"/>
          <w:lang w:val="es-MX" w:eastAsia="es-PE"/>
        </w:rPr>
        <w:t xml:space="preserve"> y otros</w:t>
      </w:r>
      <w:r w:rsidRPr="00C63AC5">
        <w:rPr>
          <w:color w:val="000000"/>
          <w:lang w:val="es-MX" w:eastAsia="es-PE"/>
        </w:rPr>
        <w:fldChar w:fldCharType="begin"/>
      </w:r>
      <w:r w:rsidRPr="00C63AC5">
        <w:rPr>
          <w:color w:val="000000"/>
          <w:lang w:val="es-MX" w:eastAsia="es-PE"/>
        </w:rPr>
        <w:instrText xml:space="preserve"> ADDIN ZOTERO_ITEM CSL_CITATION {"citationID":"ZyVuThlN","properties":{"formattedCitation":"\\super (28)\\nosupersub{}","plainCitation":"(28)","noteIndex":0},"citationItems":[{"id":"GYjVgD3m/HeC1xvXq","uris":["http://zotero.org/users/local/9NI25WbG/items/ZUALNZXI"],"uri":["http://zotero.org/users/local/9NI25WbG/items/ZUALNZXI"],"itemData":{"id":"uoAPZswV/agTqFfrz","type":"article-journal","abstract":"BACKGROUND: Vitamin D deficiency is widespread in China, particularly among older adults. Factors associated with suboptimal vitamin D levels are not well defined. The present study was a population-based study that included 10 urban and suburban communities in Shanghai, to evaluate vitamin D status and its correlates among older adults.\nMETHOD: This cross-sectional study was based on study data for 3924 healthy men and women aged 65-95 years. Anthropometric and socioeconomic data were collected in June-July 2014. Serum 25(OH)D levels were detected using a chemiluminescence immunoassay. The following socioeconomic data were obtained through self-administered questionnaires: education level, lifestyle, residency, and dietary habits. A logistic regression model was used to assess associations between anthropometric factors, socioeconomic factors and serum 25(OH)D levels.\nRESULTS: Median levels of serum 25(OH)D in men and women were 22.73 and 19.99 ng/mL, respectively. Vitamin D deficiency was common in subjects, even though data collection was conducted during summer. The general prevalence of serum 25(OH)D levels &lt;20 ng/mL were 35.4% and 50.5% for men and women respectively. The general prevalence of serum 25(OH)D levels &lt;10 ng/mL were 2.73% and 5.9% for men and women respectively. A multivariable model indicated serum 25(OH)D levels ≥20 ng/mL were significantly and positively correlated with male sex, calcium or vitamin D supplementation, and residency in suburban communities. The model also indicated that high level of physical activity was protective factors of vitamin D deficiency for men and milk consumption for women, respectively. By contrast, deficient serum 25(OH)D levels were significantly correlated with education level (lower than primary school) or obesity [body mass index (BMI) ≥ 26.06 kg/m2] for men or women, respectively.\nCONCLUSION: This cross-sectional study of older adults in communities in Shanghai demonstrates that key factors positively correlated with serum 25(OH)D levels ≥20 ng/mL include male sex, residency in suburban communities, calcium or vitamin D supplementation, high physical activity and education level (for men), and dairy consumption and maintenance of normal BMI (for women).","container-title":"BMC geriatrics","DOI":"10.1186/s12877-017-0632-z","ISSN":"1471-2318","issue":"1","journalAbbreviation":"BMC Geriatr","language":"eng","note":"PMID: 29065856\nPMCID: PMC5654067","page":"246","source":"PubMed","title":"Factors associated to serum 25-hydroxyvitamin D levels among older adult populations in urban and suburban communities in Shanghai, China","volume":"17","author":[{"family":"Cheng","given":"Qun"},{"family":"Du","given":"Yanping"},{"family":"Hong","given":"Wei"},{"family":"Tang","given":"Wenjing"},{"family":"Li","given":"Huilin"},{"family":"Chen","given":"Minmin"},{"family":"Zheng","given":"Songbai"}],"issued":{"date-parts":[["2017",10,24]]}}}],"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(23)</w:t>
      </w:r>
      <w:r w:rsidRPr="00C63AC5">
        <w:rPr>
          <w:color w:val="000000"/>
          <w:lang w:val="es-MX" w:eastAsia="es-PE"/>
        </w:rPr>
        <w:fldChar w:fldCharType="end"/>
      </w:r>
      <w:r w:rsidRPr="00C63AC5">
        <w:rPr>
          <w:color w:val="000000"/>
          <w:lang w:val="es-MX" w:eastAsia="es-PE"/>
        </w:rPr>
        <w:t xml:space="preserve"> consideró como punto de corte para definir déficit de vitamina D, &lt; 20 ng/mL y </w:t>
      </w:r>
      <w:r w:rsidRPr="00C63AC5">
        <w:rPr>
          <w:color w:val="000000"/>
          <w:lang w:val="es-MX" w:eastAsia="es-PE"/>
        </w:rPr>
        <w:lastRenderedPageBreak/>
        <w:t xml:space="preserve">como cuartil superior para el IMC ≥ 25,91, lo cual está relacionado más con sobrepeso que con obesidad. El estudio de </w:t>
      </w:r>
      <w:r w:rsidRPr="00C63AC5">
        <w:rPr>
          <w:i/>
          <w:iCs/>
          <w:color w:val="000000"/>
          <w:lang w:val="es-MX" w:eastAsia="es-PE"/>
        </w:rPr>
        <w:t>Sousa-Santos</w:t>
      </w:r>
      <w:r w:rsidRPr="00C63AC5">
        <w:rPr>
          <w:color w:val="000000"/>
          <w:lang w:val="es-MX" w:eastAsia="es-PE"/>
        </w:rPr>
        <w:t xml:space="preserve"> y otros</w:t>
      </w:r>
      <w:r w:rsidRPr="00C63AC5">
        <w:rPr>
          <w:color w:val="000000"/>
          <w:lang w:val="es-MX" w:eastAsia="es-PE"/>
        </w:rPr>
        <w:fldChar w:fldCharType="begin"/>
      </w:r>
      <w:r w:rsidRPr="00C63AC5">
        <w:rPr>
          <w:color w:val="000000"/>
          <w:lang w:val="es-MX" w:eastAsia="es-PE"/>
        </w:rPr>
        <w:instrText xml:space="preserve"> ADDIN ZOTERO_ITEM CSL_CITATION {"citationID":"0dFUuUmC","properties":{"formattedCitation":"\\super (31)\\nosupersub{}","plainCitation":"(31)","noteIndex":0},"citationItems":[{"id":"GYjVgD3m/dbg35ar9","uris":["http://zotero.org/users/local/9NI25WbG/items/B7XDHUIT"],"uri":["http://zotero.org/users/local/9NI25WbG/items/B7XDHUIT"],"itemData":{"id":"uoAPZswV/ajjONd8K","type":"article-journal","abstract":"BACKGROUND: Vitamin D deficiency is common in older adults and has been linked with frailty and obesity, but it remains to be studied whether frail obese older adults are at higher risk of vitamin D deficiency. Therefore, the aim of this study is to explore the association between frailty, obesity indices and serum 25(OH)D concentrations.\nMETHODS: 1447 individuals with 65 years or older, participating in a cross-sectional study (Nutrition UP 65) were included. Frailty, according to Fried et al., body mass index (BMI), waist circumference (WC), body roundness index (BRI) and body shape index (ABSI) were evaluated. A stepwise multinomial logistic regression was carried out to quantify the association between 25(OH)D quartiles and independent variables.\nRESULTS: Median 25(OH)D levels were lower in individuals presenting both frailty and obesity (p&lt;0.001). In the multivariate analysis, pre-frailty (OR: 2.65; 95% CI: 1.63-4.33) and frailty (OR: 3.77; 95% CI: 2.08-6.83) were associated with increased odds of lower 25(OH)D serum levels (first quartile). Regarding obesity indices, the highest categories of BMI (OR: 1.74; 95% CI: 1.06-2.86), WC (OR: 3.46; 95% CI: 1.95-6.15), BRI (OR: 4.35; 95% CI: 2.60-7.29) and ABSI (OR: 3.17 95% CI: 1.86-5.38) were directly associated with lower 25(OH)D serum levels (first quartile).\nCONCLUSIONS: A positive association between frailty or obesity and lower vitamin D levels was found. Moreover, besides BMI and WC, other indicators of body adiposity, such as BRI and ABSI, were associated with lower 25(OH)D serum concentrations.","container-title":"PloS One","DOI":"10.1371/journal.pone.0198650","ISSN":"1932-6203","issue":"8","journalAbbreviation":"PLoS One","language":"eng","note":"PMID: 30153256\nPMCID: PMC6112621","page":"e0198650","source":"PubMed","title":"The association between 25(OH)D levels, frailty status and obesity indices in older adults","volume":"13","author":[{"family":"Sousa-Santos","given":"Ana Rita"},{"family":"Afonso","given":"Cláudia"},{"family":"Santos","given":"Alejandro"},{"family":"Borges","given":"Nuno"},{"family":"Moreira","given":"Pedro"},{"family":"Padrão","given":"Patrícia"},{"family":"Fonseca","given":"Isabel"},{"family":"Amaral","given":"Teresa F."}],"issued":{"date-parts":[["2018"]]}}}],"schema":"https://github.com/citation-style-language/schema/raw/master/csl-citation.json"}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(26)</w:t>
      </w:r>
      <w:r w:rsidRPr="00C63AC5">
        <w:rPr>
          <w:color w:val="000000"/>
          <w:lang w:val="es-MX" w:eastAsia="es-PE"/>
        </w:rPr>
        <w:fldChar w:fldCharType="end"/>
      </w:r>
      <w:r w:rsidRPr="00C63AC5">
        <w:rPr>
          <w:color w:val="000000"/>
          <w:lang w:val="es-MX" w:eastAsia="es-PE"/>
        </w:rPr>
        <w:t xml:space="preserve"> dividió en tertiles la vitamina D; calificó como insuficiencia &lt; 12 ng/mL y riesgo de insuficiencia de 12 a &lt; 20 ng/mL. En el trabajo de </w:t>
      </w:r>
      <w:r w:rsidRPr="00C63AC5">
        <w:rPr>
          <w:i/>
          <w:iCs/>
          <w:color w:val="000000"/>
          <w:lang w:val="es-MX" w:eastAsia="es-PE"/>
        </w:rPr>
        <w:t>Orces</w:t>
      </w:r>
      <w:r w:rsidRPr="00C63AC5">
        <w:rPr>
          <w:color w:val="000000"/>
          <w:lang w:val="es-MX" w:eastAsia="es-PE"/>
        </w:rPr>
        <w:t xml:space="preserve"> y otros</w:t>
      </w:r>
      <w:r w:rsidRPr="00C63AC5">
        <w:rPr>
          <w:color w:val="000000"/>
          <w:lang w:val="es-MX" w:eastAsia="es-PE"/>
        </w:rPr>
        <w:fldChar w:fldCharType="begin"/>
      </w:r>
      <w:r w:rsidRPr="00C63AC5">
        <w:rPr>
          <w:color w:val="000000"/>
          <w:lang w:val="es-MX" w:eastAsia="es-PE"/>
        </w:rPr>
        <w:instrText xml:space="preserve"> ADDIN ZOTERO_ITEM CSL_CITATION {"citationID":"puMeYceQ","properties":{"formattedCitation":"\\super (29)\\nosupersub{}","plainCitation":"(29)","noteIndex":0},"citationItems":[{"id":"GYjVgD3m/v51hua9A","uris":["http://zotero.org/users/local/9NI25WbG/items/Q4X8NZWA"],"uri":["http://zotero.org/users/local/9NI25WbG/items/Q4X8NZWA"],"itemData":{"id":"uoAPZswV/vu9ot6ZR","type":"article-journal","abstract":"Background Older adults (i.e., adults aged ≥ 60 years) are at higher risk of vitamin D deficiency compared to younger adults as a result of inadequate dietary vitamin D intake and limited exposure to sunlight. Thus, the present study aimed to describe the prevalence of vitamin deficiency and inadequacy among U.S. adults aged ≥ 60 years and the effect of vitamin D supplementation on 25, hydroxyvitamin D (25(OH)D) and its metabolites concentrations. Methods The present analysis was based on data from 6,261 participants in the National Health and Nutrition Examination Survey cycles 2007/2008 through 2013/2014. The prevalence of vitamin D deficiency and inadequacy was described according to demographic, behavioral, and health characteristics. Vitamin D deficiency was defined as 25(OH)D &lt; 30 nmol/L; and vitamin D inadequacy was defined as &lt; 50 nmol/L. Logistic regression models were assembled to examine the independent association of participants characteristics and the odds of having 25(OH)D inadequacy. Similarly, general linear models were used to assess the effect of vitamin D supplementation doses on 25(OH)D and its metabolites concentrations. Results The prevalence of 25(OH)D deficiency and inadequacy was 4.0% (standard error (SE), 0.4) and 17.4% (SE, 0.8), respectively. In general, the prevalence of 25(OH)D deficiency and inadequacy increased significantly among participants examined during the fall and winter months, women, non-Hispanic black patients, obese subjects, smokers, those physically inactive, and older adults with a daily vitamin D intake &lt; 400 IU. After adjustment for potential confounders, subjects examined during the fall and winter months, females, non-Hispanic blacks, obesity, having a sedentary lifestyle, smokers, and a total vitamin D intake &lt; 400 IU/day were variables significantly associated with increased odds of having vitamin D inadequacy. Notably, vitamin D supplement doses between 400 and 800 IU or &gt; 800 IU/day were significantly correlated with higher 25(OH)D3 concentrations considered as sufficient.  Conclusion 25(OH)D inadequacy remains prevalent among U.S. older adults. Notably, optimal 25(OH)D3 concentrations were consistently seen among vitamin D supplement users. Despite this finding, nearly half of the participants did not take vitamin D supplements. Thus, vitamin D supplementation should be considered an effective strategy to maintain adequate 25(OH)D status among older adults.","container-title":"Cureus","DOI":"10.7759/cureus.5300","ISSN":"2168-8184","issue":"8","journalAbbreviation":"Cureus","language":"eng","note":"PMID: 31579639\nPMCID: PMC6768617","page":"e5300","source":"PubMed","title":"The Prevalence and Determinants of Vitamin D Inadequacy among U.S. Older Adults: National Health and Nutrition Examination Survey 2007-2014","title-short":"The Prevalence and Determinants of Vitamin D Inadequacy among U.S. Older Adults","volume":"11","author":[{"family":"Orces","given":"Carlos"},{"family":"Lorenzo","given":"Carlos"},{"family":"Guarneros","given":"Juan E."}],"issued":{"date-parts":[["2019",8,1]]}}}],"schema":"https://github.com/citation-style-language/schema/raw/master/csl-citation.json"}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(24)</w:t>
      </w:r>
      <w:r w:rsidRPr="00C63AC5">
        <w:rPr>
          <w:color w:val="000000"/>
          <w:lang w:val="es-MX" w:eastAsia="es-PE"/>
        </w:rPr>
        <w:fldChar w:fldCharType="end"/>
      </w:r>
      <w:r w:rsidRPr="00C63AC5">
        <w:rPr>
          <w:color w:val="000000"/>
          <w:lang w:val="es-MX" w:eastAsia="es-PE"/>
        </w:rPr>
        <w:t xml:space="preserve"> consideran como niveles inadecuados a valores &lt; 50 nmol/L</w:t>
      </w:r>
      <w:r w:rsidRPr="00C63AC5">
        <w:rPr>
          <w:color w:val="000000"/>
          <w:lang w:val="es-MX" w:eastAsia="es-PE"/>
        </w:rPr>
        <w:fldChar w:fldCharType="begin"/>
      </w:r>
      <w:r w:rsidRPr="00C63AC5">
        <w:rPr>
          <w:color w:val="000000"/>
          <w:lang w:val="es-MX" w:eastAsia="es-PE"/>
        </w:rPr>
        <w:instrText xml:space="preserve"> ADDIN ZOTERO_ITEM CSL_CITATION {"citationID":"3UDwx5pJ","properties":{"formattedCitation":"\\super (30)\\nosupersub{}","plainCitation":"(30)","noteIndex":0},"citationItems":[{"id":"GYjVgD3m/us3qY32O","uris":["http://zotero.org/users/local/9NI25WbG/items/5WJVBY8X"],"uri":["http://zotero.org/users/local/9NI25WbG/items/5WJVBY8X"],"itemData":{"id":"uoAPZswV/c1Yg34Iz","type":"article-journal","abstract":"Introduction: Background: although supplementation with vitamin D has been reported as a main determinant of 25-hydroxyvitamin D status [25(OH)D] levels, there are limited data in regard to the factors associated with vitamin D supplementation in older adults. Aims: to examine the characteristics of participants associated with vitamin D supplement use and its effect on 25(OH)D concentrations according to bone mineral density (BMD). Methods: the present analysis was based on data from participants aged 60 years and older in the National Health and Nutrition Examination Survey. Logistic regression models were created to examine the demographic, lifestyle, and health characteristics associated with vitamin D supplementation. Moreover, general linear models were assembled to assess the effect of vitamin D supplement doses on 25(OH)D concentrations according to BMD status. Results: of 5,204 participants, 45.3% reported taking vitamin D supplements, at least 400 IU per day. Overall, women, non-Hispanic whites, college education, former smokers, physical activity, and &gt; 2 comorbidities were variables significantly associated with increased odds of taking vitamin D supplements. Notably, among subjects with osteoporosis, those taking vitamin D supplements between 400 and 800 IU per day had on average 20.7 nmol/L higher 25(OH)D concentrations compared with their non-user counterparts. Conclusions: demographic and healthy lifestyle characteristics are the main determinants of vitamin D supplement use among older adults. Moreover, even among subjects with low bone mass, vitamin D supplements between 400 and 800 IU per day are adequate to reach sufficient 25(OH)D concentrations.","container-title":"Nutricion Hospitalaria","DOI":"10.20960/nh.02917","ISSN":"1699-5198","issue":"1","journalAbbreviation":"Nutr Hosp","language":"eng","note":"PMID: 31960687","page":"28-36","source":"PubMed","title":"Determinants of vitamin D supplementation among older adults and its effect on 25(OH)D levels according to bone mineral density status","volume":"37","author":[{"family":"Orces","given":"Carlos H."},{"family":"López Gavilánez","given":"Enrique"}],"issued":{"date-parts":[["2020",2,17]]}}}],"schema":"https://github.com/citation-style-language/schema/raw/master/csl-citation.json"}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(25)</w:t>
      </w:r>
      <w:r w:rsidRPr="00C63AC5">
        <w:rPr>
          <w:color w:val="000000"/>
          <w:lang w:val="es-MX" w:eastAsia="es-PE"/>
        </w:rPr>
        <w:fldChar w:fldCharType="end"/>
      </w:r>
      <w:r w:rsidRPr="00C63AC5">
        <w:rPr>
          <w:color w:val="000000"/>
          <w:lang w:val="es-MX" w:eastAsia="es-PE"/>
        </w:rPr>
        <w:t xml:space="preserve"> y al adulto mayor con edad a partir de 60 años. Mientras que </w:t>
      </w:r>
      <w:r w:rsidRPr="00C63AC5">
        <w:rPr>
          <w:i/>
          <w:iCs/>
          <w:color w:val="000000"/>
          <w:lang w:val="es-MX" w:eastAsia="es-PE"/>
        </w:rPr>
        <w:t>Zhu</w:t>
      </w:r>
      <w:r w:rsidRPr="00C63AC5">
        <w:rPr>
          <w:color w:val="000000"/>
          <w:lang w:val="es-MX" w:eastAsia="es-PE"/>
        </w:rPr>
        <w:t xml:space="preserve"> y otros</w:t>
      </w:r>
      <w:r w:rsidRPr="00C63AC5">
        <w:rPr>
          <w:color w:val="000000"/>
          <w:lang w:val="es-MX" w:eastAsia="es-PE"/>
        </w:rPr>
        <w:fldChar w:fldCharType="begin"/>
      </w:r>
      <w:r w:rsidRPr="00C63AC5">
        <w:rPr>
          <w:color w:val="000000"/>
          <w:lang w:val="es-MX" w:eastAsia="es-PE"/>
        </w:rPr>
        <w:instrText xml:space="preserve"> ADDIN ZOTERO_ITEM CSL_CITATION {"citationID":"0PopkmfL","properties":{"formattedCitation":"\\super (27)\\nosupersub{}","plainCitation":"(27)","noteIndex":0},"citationItems":[{"id":"GYjVgD3m/PI8JvsEe","uris":["http://zotero.org/users/local/9NI25WbG/items/MW38RKGY"],"uri":["http://zotero.org/users/local/9NI25WbG/items/MW38RKGY"],"itemData":{"id":"uoAPZswV/ONr8H2wA","type":"article-journal","abstract":"PURPOSE: Vitamin D insufficiency and obesity are recognized as worldwide concerns and have been linked with each other. New anthropometric indices reflect visceral obesity better than traditional anthropometric indices. Our aim was to identify the specific correlations of novel and traditional anthropometric indices with 25-hydroxyvitamin D (25(OH)D) concentrations by sex and age.\nMETHODS: Cross-sectional data on sociodemographic characteristics, lifestyle factors, clinical characteristics and biochemical measurements were collected for 12,617 Chinese adults. Four traditional anthropometric indices, body mass index (BMI), waist circumference (WC), waist-to-hip ratio (WHR) and waist-to-height ratio (WHtR), and two novel anthropometric indices, body roundness index (BRI) and body shape index (ABSI), were calculated.\nRESULTS: In both sexes, the mean values of BMI, WC, WHtR and BRI tended to increase with 25(OH)D insufficiency, regardless of adjustment (all P &lt; 0.05). Males with insufficient 25(OH)D had increased odds of obesity (assessed by BMI, WC, WHtR, BRI and ABSI) compared to the odds of males with sufficient 25(OH)D. Females with insufficient 25(OH)D had a higher chance of general obesity (assessed by BMI). Low 25(OH)D status was associated with indicators of obesity only in participants aged 45-64 years in both sexes.\nCONCLUSION: A inverse association between obesity and lower vitamin D levels was found. Moreover, in addition to BMI, novel indicators of visceral adiposity, such as BRI and ABSI, were associated with lower 25(OH)D serum concentrations in males. The effects of optimizing vitamin D levels in obese Chinese adults need further examination, particularly in middle-aged males.\nLEVEL OF EVIDENCE: Level V, cross-sectional descriptive study.","container-title":"Eating and weight disorders: EWD","DOI":"10.1007/s40519-019-00803-8","ISSN":"1590-1262","issue":"6","journalAbbreviation":"Eat Weight Disord","language":"eng","note":"PMID: 31728924","page":"1651-1661","source":"PubMed","title":"Associations of vitamin D with novel and traditional anthropometric indices according to age and sex: a cross-sectional study in central southern China","title-short":"Associations of vitamin D with novel and traditional anthropometric indices according to age and sex","volume":"25","author":[{"family":"Zhu","given":"Xiao-Ling"},{"family":"Chen","given":"Zhi-Heng"},{"family":"Li","given":"Ying"},{"family":"Yang","given":"Ping-Ting"},{"family":"Liu","given":"Lei"},{"family":"Wu","given":"Liu-Xin"},{"family":"Wang","given":"Ya-Qin"}],"issued":{"date-parts":[["2020",12]]}}}],"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(22)</w:t>
      </w:r>
      <w:r w:rsidRPr="00C63AC5">
        <w:rPr>
          <w:color w:val="000000"/>
          <w:lang w:val="es-MX" w:eastAsia="es-PE"/>
        </w:rPr>
        <w:fldChar w:fldCharType="end"/>
      </w:r>
      <w:r w:rsidRPr="00C63AC5">
        <w:rPr>
          <w:color w:val="000000"/>
          <w:lang w:val="es-MX" w:eastAsia="es-PE"/>
        </w:rPr>
        <w:t xml:space="preserve"> consideran valores &lt; 30 ng/mL. Mientras que el trabajo de </w:t>
      </w:r>
      <w:r w:rsidRPr="00C63AC5">
        <w:rPr>
          <w:i/>
          <w:iCs/>
          <w:color w:val="000000"/>
          <w:lang w:val="es-MX" w:eastAsia="es-PE"/>
        </w:rPr>
        <w:t xml:space="preserve">Orces y </w:t>
      </w:r>
      <w:proofErr w:type="spellStart"/>
      <w:r w:rsidRPr="00C63AC5">
        <w:rPr>
          <w:i/>
          <w:iCs/>
          <w:color w:val="000000"/>
          <w:lang w:val="es-MX" w:eastAsia="es-PE"/>
        </w:rPr>
        <w:t>Lopez</w:t>
      </w:r>
      <w:proofErr w:type="spellEnd"/>
      <w:r w:rsidRPr="00C63AC5">
        <w:rPr>
          <w:color w:val="000000"/>
          <w:lang w:val="es-MX" w:eastAsia="es-PE"/>
        </w:rPr>
        <w:t xml:space="preserve"> y otros</w:t>
      </w:r>
      <w:r w:rsidRPr="00C63AC5">
        <w:rPr>
          <w:color w:val="000000"/>
          <w:lang w:val="es-MX" w:eastAsia="es-PE"/>
        </w:rPr>
        <w:fldChar w:fldCharType="begin"/>
      </w:r>
      <w:r w:rsidRPr="00C63AC5">
        <w:rPr>
          <w:color w:val="000000"/>
          <w:lang w:val="es-MX" w:eastAsia="es-PE"/>
        </w:rPr>
        <w:instrText xml:space="preserve"> ADDIN ZOTERO_ITEM CSL_CITATION {"citationID":"ZJZFKuRi","properties":{"formattedCitation":"\\super (30)\\nosupersub{}","plainCitation":"(30)","noteIndex":0},"citationItems":[{"id":"GYjVgD3m/us3qY32O","uris":["http://zotero.org/users/local/9NI25WbG/items/5WJVBY8X"],"uri":["http://zotero.org/users/local/9NI25WbG/items/5WJVBY8X"],"itemData":{"id":"uoAPZswV/c1Yg34Iz","type":"article-journal","abstract":"Introduction: Background: although supplementation with vitamin D has been reported as a main determinant of 25-hydroxyvitamin D status [25(OH)D] levels, there are limited data in regard to the factors associated with vitamin D supplementation in older adults. Aims: to examine the characteristics of participants associated with vitamin D supplement use and its effect on 25(OH)D concentrations according to bone mineral density (BMD). Methods: the present analysis was based on data from participants aged 60 years and older in the National Health and Nutrition Examination Survey. Logistic regression models were created to examine the demographic, lifestyle, and health characteristics associated with vitamin D supplementation. Moreover, general linear models were assembled to assess the effect of vitamin D supplement doses on 25(OH)D concentrations according to BMD status. Results: of 5,204 participants, 45.3% reported taking vitamin D supplements, at least 400 IU per day. Overall, women, non-Hispanic whites, college education, former smokers, physical activity, and &gt; 2 comorbidities were variables significantly associated with increased odds of taking vitamin D supplements. Notably, among subjects with osteoporosis, those taking vitamin D supplements between 400 and 800 IU per day had on average 20.7 nmol/L higher 25(OH)D concentrations compared with their non-user counterparts. Conclusions: demographic and healthy lifestyle characteristics are the main determinants of vitamin D supplement use among older adults. Moreover, even among subjects with low bone mass, vitamin D supplements between 400 and 800 IU per day are adequate to reach sufficient 25(OH)D concentrations.","container-title":"Nutricion Hospitalaria","DOI":"10.20960/nh.02917","ISSN":"1699-5198","issue":"1","journalAbbreviation":"Nutr Hosp","language":"eng","note":"PMID: 31960687","page":"28-36","source":"PubMed","title":"Determinants of vitamin D supplementation among older adults and its effect on 25(OH)D levels according to bone mineral density status","volume":"37","author":[{"family":"Orces","given":"Carlos H."},{"family":"López Gavilánez","given":"Enrique"}],"issued":{"date-parts":[["2020",2,17]]}}}],"schema":"https://github.com/citation-style-language/schema/raw/master/csl-citation.json"}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(25)</w:t>
      </w:r>
      <w:r w:rsidRPr="00C63AC5">
        <w:rPr>
          <w:color w:val="000000"/>
          <w:lang w:val="es-MX" w:eastAsia="es-PE"/>
        </w:rPr>
        <w:fldChar w:fldCharType="end"/>
      </w:r>
      <w:r w:rsidRPr="00C63AC5">
        <w:rPr>
          <w:color w:val="000000"/>
          <w:lang w:val="es-MX" w:eastAsia="es-PE"/>
        </w:rPr>
        <w:t xml:space="preserve"> se consideró la deficiencia de vitamina D a través de la suplementación.  </w:t>
      </w:r>
    </w:p>
    <w:p w14:paraId="77C2DCB5"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Para cuantificar los valores de vitamina D, ya está determinado que se debe cuantificar mediante el 25-</w:t>
      </w:r>
      <w:proofErr w:type="spellStart"/>
      <w:r w:rsidRPr="00C63AC5">
        <w:rPr>
          <w:color w:val="000000"/>
          <w:lang w:val="es-MX" w:eastAsia="es-PE"/>
        </w:rPr>
        <w:t>hidroxi</w:t>
      </w:r>
      <w:proofErr w:type="spellEnd"/>
      <w:r w:rsidRPr="00C63AC5">
        <w:rPr>
          <w:color w:val="000000"/>
          <w:lang w:val="es-MX" w:eastAsia="es-PE"/>
        </w:rPr>
        <w:t>-vitamina D (25(OH)D), debido a que la forma inactiva es la más estable. Sin embargo, existe heterogeneidad en cuanto al punto de corte para definir un déficit. La estimación de la concentración 25(OH)D en sangre, más adecuada para mantener una buena salud ósea, fue de 20 ng/mL (50 nmol/L), según el Instituto de Medicina (</w:t>
      </w:r>
      <w:proofErr w:type="spellStart"/>
      <w:r w:rsidRPr="00C63AC5">
        <w:rPr>
          <w:color w:val="000000"/>
          <w:lang w:val="es-MX" w:eastAsia="es-PE"/>
        </w:rPr>
        <w:t>IOM</w:t>
      </w:r>
      <w:proofErr w:type="spellEnd"/>
      <w:r w:rsidRPr="00C63AC5">
        <w:rPr>
          <w:color w:val="000000"/>
          <w:lang w:val="es-MX" w:eastAsia="es-PE"/>
        </w:rPr>
        <w:t xml:space="preserve">), en su informe de 2010. Mientras </w:t>
      </w:r>
      <w:proofErr w:type="gramStart"/>
      <w:r w:rsidRPr="00C63AC5">
        <w:rPr>
          <w:color w:val="000000"/>
          <w:lang w:val="es-MX" w:eastAsia="es-PE"/>
        </w:rPr>
        <w:t>que</w:t>
      </w:r>
      <w:proofErr w:type="gramEnd"/>
      <w:r w:rsidRPr="00C63AC5">
        <w:rPr>
          <w:color w:val="000000"/>
          <w:lang w:val="es-MX" w:eastAsia="es-PE"/>
        </w:rPr>
        <w:t xml:space="preserve"> en el 2011, la sociedad de Endocrinología Americana propuso que los valores adecuados, basados en su propia experiencia, giraban en torno a los 30 a 40 ng/mL. Más aun, en muchas guías hospitalarias, por debajo de 30 ng/mL se considera insuficiencia (y buscan ingerir suplementación) y por debajo de 20 ng/mL es deficiencia.</w:t>
      </w:r>
      <w:r w:rsidRPr="00C63AC5">
        <w:rPr>
          <w:color w:val="000000"/>
          <w:lang w:val="es-MX" w:eastAsia="es-PE"/>
        </w:rPr>
        <w:fldChar w:fldCharType="begin"/>
      </w:r>
      <w:r w:rsidRPr="00C63AC5">
        <w:rPr>
          <w:color w:val="000000"/>
          <w:lang w:val="es-MX" w:eastAsia="es-PE"/>
        </w:rPr>
        <w:instrText xml:space="preserve"> ADDIN ZOTERO_ITEM CSL_CITATION {"citationID":"WZ3bmb9r","properties":{"formattedCitation":"\\super (34,35)\\nosupersub{}","plainCitation":"(34,35)","noteIndex":0},"citationItems":[{"id":4601,"uris":["http://zotero.org/users/6066349/items/PFKQ7JN7"],"uri":["http://zotero.org/users/6066349/items/PFKQ7JN7"],"itemData":{"id":4601,"type":"chapter","abstract":"There is still controversy about the amount of vitamin D adults need for musculoskeletal health. The Endocrine Society, which made its recommendations for the treatment and prevention of vitamin D deficiency, concluded that to guarantee bone health without any evidence for vitamin D deficiency osteomalacia, a blood level of 25(OH)D of at least 75nmol/L (30ng/mL) was required for adults. As a result the Endocrine Society recommended that for adults 1500–2000IU/day was required for musculoskeletal health and noted that obese adults require 2–3 times more vitamin D to sustain a blood level of 25(OH)D of at least 75nmol/L. The more conservative recommendation from the Institutes of Medicine (IOM) is the recommended dietary allowance (RDA) for vitamin D, 600IU/day (15μg/day), which the IOM claims sustains 97.5% of the population with serum 25(OH)D above the threshold of 50nmol/L (20ng/mL). We show how the IOM made incorrect analyses of the evidence it cited, thereby severely underestimating the serum 25(OH)D threshold. Furthermore, to calculate the intake of vitamin D needed to deliver the threshold serum level, the IOM used group average serum 25(OH)D responses to establish the vitamin D RDA. Because half of a population needs more than the average, the 600IU/day RDA for vitamin D underestimates the intake needed to assure the threshold for 97.5% of the population. For people who are sun-deprived or with darker skin at temperate latitudes, the 600IU/day RDA cannot assure the threshold serum level. The IOM specified 4000IU/day for most children and adults to the safe, upper level for vitamin D, whereas the Endocrine Society specified 4000IU/day for most children and 10,000IU/day for adults. Although the IOM did not base its 50nmol/L (20ng/mL) threshold for serum 25(OH)D for musculoskeletal health on randomized clinical trials (RCTs), advocates of the IOM position now reject the normal criteria for evidence-based decisions and demand that RCTs are needed for acceptance of any extraskeletal health relationship. We contend that it is unrealistic to ever expect that RCTs can be conducted for vitamin D in the long-term primary prevention of disease events in a healthy adult population under age 50years. The existing prospective, cross-sectional, and clinical trial evidence for mortality and premature delivery in pregnancy is already enough to warrant further increases in recommendations for vitamin D supplementation.","container-title":"Vitamin D (Fourth Edition)","ISBN":"978-0-12-809965-0","language":"en","note":"DOI: 10.1016/B978-0-12-809965-0.00059-8","page":"1091-1107","publisher":"Academic Press","source":"ScienceDirect","title":"Chapter 57B - The IOM—Endocrine Society Controversy on Recommended Vitamin D Targets: In Support of the Endocrine Society Position","title-short":"Chapter 57B - The IOM—Endocrine Society Controversy on Recommended Vitamin D Targets","URL":"https://www.sciencedirect.com/science/article/pii/B9780128099650000598","author":[{"family":"Vieth","given":"Reinhold"},{"family":"Holick","given":"Michael F."}],"editor":[{"family":"Feldman","given":"David"}],"accessed":{"date-parts":[["2021",11,27]]},"issued":{"date-parts":[["2018",1,1]]}}},{"id":4603,"uris":["http://zotero.org/users/6066349/items/MB84TCDW"],"uri":["http://zotero.org/users/6066349/items/MB84TCDW"],"itemData":{"id":4603,"type":"article-journal","abstract":"The Institute of Medicine (IOM) assessed current information on potential health outcomes associated with calcium and vitamin D.","container-title":"American Family Physician","ISSN":"0002-838X, 1532-0650","issue":"11","journalAbbreviation":"AFP","page":"1352","source":"www.aafp.org","title":"IOM Releases Report on Dietary Refernce Intakes for Calcium and Vitamin D","volume":"83","author":[{"family":"Graham","given":"Lisa"}],"issued":{"date-parts":[["2011",6,1]]}}}],"schema":"https://github.com/citation-style-language/schema/raw/master/csl-citation.json"}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(29,30)</w:t>
      </w:r>
      <w:r w:rsidRPr="00C63AC5">
        <w:rPr>
          <w:color w:val="000000"/>
          <w:lang w:val="es-MX" w:eastAsia="es-PE"/>
        </w:rPr>
        <w:fldChar w:fldCharType="end"/>
      </w:r>
    </w:p>
    <w:p w14:paraId="099A0D75"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La asociación entre vitamina D y obesidad puede explicarse por varios mecanismos fisiopatológicos. En primer lugar, se sabe que las personas con sobrepeso y obesidad realizan menos actividad física al aire libre</w:t>
      </w:r>
      <w:r w:rsidRPr="00C63AC5">
        <w:rPr>
          <w:color w:val="000000"/>
          <w:lang w:val="es-MX" w:eastAsia="es-PE"/>
        </w:rPr>
        <w:fldChar w:fldCharType="begin"/>
      </w:r>
      <w:r w:rsidRPr="00C63AC5">
        <w:rPr>
          <w:color w:val="000000"/>
          <w:lang w:val="es-MX" w:eastAsia="es-PE"/>
        </w:rPr>
        <w:instrText xml:space="preserve"> ADDIN ZOTERO_ITEM CSL_CITATION {"citationID":"RG9x27OR","properties":{"formattedCitation":"\\super (36)\\nosupersub{}","plainCitation":"(36)","noteIndex":0},"citationItems":[{"id":4583,"uris":["http://zotero.org/users/6066349/items/SSEAFVP7"],"uri":["http://zotero.org/users/6066349/items/SSEAFVP7"],"itemData":{"id":4583,"type":"article-journal","abstract":"The commonly held view that exercise alone is not a useful strategy for obesity reduction is drawn from studies with limitations that confound interpretation. Recent evidence counters the dogma that daily exercise produces only modest weight loss and suggests that exercise without diet restriction is an effective strategy for reducing obesity and related co-morbidities.","container-title":"Exercise and Sport Sciences Reviews","ISSN":"0091-6331","issue":"4","journalAbbreviation":"Exerc Sport Sci Rev","language":"eng","note":"PMID: 11064850","page":"165-170","source":"PubMed","title":"Exercise alone is an effective strategy for reducing obesity and related comorbidities","volume":"28","author":[{"family":"Ross","given":"R."},{"family":"Freeman","given":"J. A."},{"family":"Janssen","given":"I."}],"issued":{"date-parts":[["2000",10]]}}}],"schema":"https://github.com/citation-style-language/schema/raw/master/csl-citation.json"}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(31)</w:t>
      </w:r>
      <w:r w:rsidRPr="00C63AC5">
        <w:rPr>
          <w:color w:val="000000"/>
          <w:lang w:val="es-MX" w:eastAsia="es-PE"/>
        </w:rPr>
        <w:fldChar w:fldCharType="end"/>
      </w:r>
      <w:r w:rsidRPr="00C63AC5">
        <w:rPr>
          <w:color w:val="000000"/>
          <w:lang w:val="es-MX" w:eastAsia="es-PE"/>
        </w:rPr>
        <w:t xml:space="preserve"> y por lo tanto, están menos expuestos a la radiación ultravioleta solar, lo que reduce la síntesis cutánea de vitamina </w:t>
      </w:r>
      <w:proofErr w:type="spellStart"/>
      <w:r w:rsidRPr="00C63AC5">
        <w:rPr>
          <w:color w:val="000000"/>
          <w:lang w:val="es-MX" w:eastAsia="es-PE"/>
        </w:rPr>
        <w:t>D3</w:t>
      </w:r>
      <w:proofErr w:type="spellEnd"/>
      <w:r w:rsidRPr="00C63AC5">
        <w:rPr>
          <w:color w:val="000000"/>
          <w:lang w:val="es-MX" w:eastAsia="es-PE"/>
        </w:rPr>
        <w:t>.</w:t>
      </w:r>
      <w:r w:rsidRPr="00C63AC5">
        <w:rPr>
          <w:color w:val="000000"/>
          <w:lang w:val="es-MX" w:eastAsia="es-PE"/>
        </w:rPr>
        <w:fldChar w:fldCharType="begin"/>
      </w:r>
      <w:r w:rsidRPr="00C63AC5">
        <w:rPr>
          <w:color w:val="000000"/>
          <w:lang w:val="es-MX" w:eastAsia="es-PE"/>
        </w:rPr>
        <w:instrText xml:space="preserve"> ADDIN ZOTERO_ITEM CSL_CITATION {"citationID":"8m6fVCSv","properties":{"formattedCitation":"\\super (12)\\nosupersub{}","plainCitation":"(12)","noteIndex":0},"citationItems":[{"id":4543,"uris":["http://zotero.org/users/6066349/items/CNG3NJTU"],"uri":["http://zotero.org/users/6066349/items/CNG3NJTU"],"itemData":{"id":4543,"type":"article-journal","abstract":"BACKGROUND: Sunscreen use can prevent skin cancer, but there are concerns that it may increase the risk of vitamin D deficiency.\nOBJECTIVES: We aimed to review the literature to investigate associations between sunscreen use and vitamin D3 or 25 hydroxyvitamin D [25(OH)D] concentration.\nMETHODS: We systematically reviewed the literature following the Meta-analysis Of Observational Studies in Epidemiology (MOOSE) guidelines. We identified manuscripts published in English between 1970 and 21 November 2017. Eligible studies were experimental [using an artificial ultraviolet radiation (UVR) source], field trials or observational studies. The results of each of the experimental studies and field trials are described in detail. Two authors extracted information from observational studies, and applied quality scoring criteria that were developed specifically for this question. These have been synthesized qualitatively.\nRESULTS: We included four experimental studies, three field trials (two were randomized controlled trials) and 69 observational studies. In the experimental studies sunscreen use considerably abrogated the vitamin D3 or 25(OH)D production induced by exposure to artificially generated UVR. The randomized controlled field trials found no effect of daily sunscreen application, but the sunscreens used had moderate protection [sun protection factor SPF) ~16]. The observational studies mostly found no association or that self-reported sunscreen use was associated with higher 25(OH)D concentration.\nCONCLUSIONS: There is little evidence that sunscreen decreases 25(OH)D concentration when used in real-life settings, suggesting that concerns about vitamin D should not negate skin cancer prevention advice. However, there have been no trials of the high-SPF sunscreens that are now widely recommended. What's already known about this topic? Previous experimental studies suggest that sunscreen can block vitamin D production in the skin but use artificially generated ultraviolet radiation with a spectral output unlike that seen in terrestrial sunlight. Nonsystematic reviews of observational studies suggest that use in real life does not cause vitamin D deficiency. What does this study add? This study systematically reviewed all experimental studies, field trials and observational studies for the first time. While the experimental studies support the theoretical risk that sunscreen use may affect vitamin D, the weight of evidence from field trials and observational studies suggests that the risk is low. We highlight the lack of adequate evidence regarding use of the very high sun protection factor sunscreens that are now recommended and widely used.","container-title":"The British Journal of Dermatology","DOI":"10.1111/bjd.17980","ISSN":"1365-2133","issue":"5","journalAbbreviation":"Br J Dermatol","language":"eng","note":"PMID: 30945275","page":"907-915","source":"PubMed","title":"The effect of sunscreen on vitamin D: a review","title-short":"The effect of sunscreen on vitamin D","volume":"181","author":[{"family":"Neale","given":"R. E."},{"family":"Khan","given":"S. R."},{"family":"Lucas","given":"R. M."},{"family":"Waterhouse","given":"M."},{"family":"Whiteman","given":"D. C."},{"family":"Olsen","given":"C. M."}],"issued":{"date-parts":[["2019",11]]}}}],"schema":"https://github.com/citation-style-language/schema/raw/master/csl-citation.json"}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(12)</w:t>
      </w:r>
      <w:r w:rsidRPr="00C63AC5">
        <w:rPr>
          <w:color w:val="000000"/>
          <w:lang w:val="es-MX" w:eastAsia="es-PE"/>
        </w:rPr>
        <w:fldChar w:fldCharType="end"/>
      </w:r>
      <w:r w:rsidRPr="00C63AC5">
        <w:rPr>
          <w:color w:val="000000"/>
          <w:lang w:val="es-MX" w:eastAsia="es-PE"/>
        </w:rPr>
        <w:t xml:space="preserve"> A su vez, se ha demostrado que la acumulación de tejido adiposo visceral y la inactividad física están asociadas.</w:t>
      </w:r>
      <w:r w:rsidRPr="00C63AC5">
        <w:rPr>
          <w:color w:val="000000"/>
          <w:lang w:val="es-MX" w:eastAsia="es-PE"/>
        </w:rPr>
        <w:fldChar w:fldCharType="begin"/>
      </w:r>
      <w:r w:rsidRPr="00C63AC5">
        <w:rPr>
          <w:color w:val="000000"/>
          <w:lang w:val="es-MX" w:eastAsia="es-PE"/>
        </w:rPr>
        <w:instrText xml:space="preserve"> ADDIN ZOTERO_ITEM CSL_CITATION {"citationID":"nSEwT3kQ","properties":{"formattedCitation":"\\super (37)\\nosupersub{}","plainCitation":"(37)","noteIndex":0},"citationItems":[{"id":"GYjVgD3m/cJ6X3k0H","uris":["http://zotero.org/users/local/9NI25WbG/items/CHUVJ8XG"],"uri":["http://zotero.org/users/local/9NI25WbG/items/CHUVJ8XG"],"itemData":{"id":"uoAPZswV/hdQi79gp","type":"article-journal","abstract":"BACKGROUND: Obesity has been regarded to be protective against fracture in spite of its association with low levels of vitamin D. Vitamin D is the key regulator of bone metabolism and its deficiency contributes to higher level of parathyroid hormone (PTH), leading to the activation of bone turnover.\nMETHODS: We studied 161 subjects of which 65 were young healthy subjects and 96 were elderly subjects. We measured creatinine, 25(OH)D, 1,25(OH)2D, PTH, albumin, and calcium plasma levels, we evaluated physical activity, and we calculated BMI. A sub-cohort of elderly subjects also underwent DXA scans.\nRESULTS: Overweight and obese subjects, as well as underweight ones, had lower levels of vitamin D but normal serum concentrations of 1,25(OH)2D and PTH was higher in underweight and obese subjects. Moreover, we found a nonlinear relationship between body mass index (BMI) and PTH with a significant U-shaped exponential regression. Regardless of BMI, 25(OH)D mean levels were higher in subjects who practice physical activity.\nCONCLUSIONS: These findings suggest that physical activity and BMI had a significant effect on the metabolism of bone and vitamin D, but the effect of BMI was different in underweight, normal weight or obese subjects. In obesity the real vitamin D deficiency could be estimate by serum 1,25(OH)2D concentrations whose lower levels contribute to the higher PTH production and consequently to bone loss and to a greater fracture risk.","container-title":"Panminerva Medica","DOI":"10.23736/S0031-0808.20.03770-2","ISSN":"1827-1898","issue":"2","journalAbbreviation":"Panminerva Med","language":"eng","note":"PMID: 32515572","page":"83-92","source":"PubMed","title":"Obesity, vitamin D status and physical activity: 1,25(OH)2D as a potential marker of vitamin D deficiency in obese subjects","title-short":"Obesity, vitamin D status and physical activity","volume":"62","author":[{"family":"Valentini","given":"Alessia"},{"family":"Perrone","given":"Marco A."},{"family":"Cianfarani","given":"Maria A."},{"family":"Tarantino","given":"Umberto"},{"family":"Massoud","given":"Renato"},{"family":"Merra","given":"Giuseppe"},{"family":"Bernardini","given":"Sergio"},{"family":"Morris","given":"Howard A."},{"family":"Bertoli","given":"Aldo"}],"issued":{"date-parts":[["2020",6]]}}}],"schema":"https://github.com/citation-style-language/schema/raw/master/csl-citation.json"}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(32)</w:t>
      </w:r>
      <w:r w:rsidRPr="00C63AC5">
        <w:rPr>
          <w:color w:val="000000"/>
          <w:lang w:val="es-MX" w:eastAsia="es-PE"/>
        </w:rPr>
        <w:fldChar w:fldCharType="end"/>
      </w:r>
      <w:r w:rsidRPr="00C63AC5">
        <w:rPr>
          <w:color w:val="000000"/>
          <w:lang w:val="es-MX" w:eastAsia="es-PE"/>
        </w:rPr>
        <w:t xml:space="preserve"> En segundo lugar, el tejido adiposo almacena la vitamina D soluble en grasa, lo que puede resultar en concentraciones más bajas. Los estudios encontraron mayores cantidades de vitamina D en el tejido adiposo, mientras que las concentraciones se consideraron insuficientes en personas con obesidad.</w:t>
      </w:r>
      <w:r w:rsidRPr="00C63AC5">
        <w:rPr>
          <w:color w:val="000000"/>
          <w:lang w:val="es-MX" w:eastAsia="es-PE"/>
        </w:rPr>
        <w:fldChar w:fldCharType="begin"/>
      </w:r>
      <w:r w:rsidRPr="00C63AC5">
        <w:rPr>
          <w:color w:val="000000"/>
          <w:lang w:val="es-MX" w:eastAsia="es-PE"/>
        </w:rPr>
        <w:instrText xml:space="preserve"> ADDIN ZOTERO_ITEM CSL_CITATION {"citationID":"zDfBGNzz","properties":{"formattedCitation":"\\super (38)\\nosupersub{}","plainCitation":"(38)","noteIndex":0},"citationItems":[{"id":4585,"uris":["http://zotero.org/users/6066349/items/R26T88L6"],"uri":["http://zotero.org/users/6066349/items/R26T88L6"],"itemData":{"id":4585,"type":"article-journal","abstract":"The aim of this study was to assess the relationship between obesity and vitamin D status cross-sectionally, the relationship between obesity and the incidence of hypovitaminosis D prospectively and inversely the relationship between vitamin D status and incidence of obesity in a population-based cohort study in Spain. At baseline (1996-1998), 1226 subjects were evaluated and follow-up assessments were performed in 2002-2004 and 2005-2007, participants undergoing an interview and clinical examination with an oral glucose tolerance test. At the second visit, 25-hydroxyvitamin D and intact parathyroid hormone concentrations were also measured. Prevalence of obesity at the three visits was 28.1, 36.2 and 39.5%, respectively. The prevalence of vitamin D deficiency (25-hydroxyvitamin D ≤ 20 ng/ml (≤ 50 nmol/l)) was 34.7%. Neither obesity at baseline (OR=0.98, 95% CI: 0.69-1.40, P=0.93) nor the development of obesity between baseline and the second evaluation (OR=0.80, 95% CI: 0.48-1.33, P=0.39) were significantly associated with vitamin D status. In subjects who were non-obese (BMI &lt;30 kg/m²) at the second evaluation, 25-hydroxyvitamin D values ≤ 17 ng/ml (≤ 42.5 nmol/l) were significantly associated with an increased risk of developing obesity in the next 4 years (OR=2.35, 95% CI: 1.03-5.4, P=0.040 after diverse adjustments). We conclude that vitamin D deficiency is associated with an increased risk of developing obesity.","container-title":"European Journal of Clinical Nutrition","DOI":"10.1038/ejcn.2013.48","ISSN":"1476-5640","issue":"6","journalAbbreviation":"Eur J Clin Nutr","language":"eng","note":"PMID: 23422920","page":"680-682","source":"PubMed","title":"Hypovitaminosis D and incidence of obesity: a prospective study","title-short":"Hypovitaminosis D and incidence of obesity","volume":"67","author":[{"family":"González-Molero","given":"I."},{"family":"Rojo-Martínez","given":"G."},{"family":"Morcillo","given":"S."},{"family":"Gutierrez","given":"C."},{"family":"Rubio","given":"E."},{"family":"Pérez-Valero","given":"V."},{"family":"Esteva","given":"I."},{"family":"Ruiz de Adana","given":"M. S."},{"family":"Almaraz","given":"M. C."},{"family":"Colomo","given":"N."},{"family":"Olveira","given":"G."},{"family":"Soriguer","given":"F."}],"issued":{"date-parts":[["2013",6]]}}}],"schema":"https://github.com/citation-style-language/schema/raw/master/csl-citation.json"}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(33)</w:t>
      </w:r>
      <w:r w:rsidRPr="00C63AC5">
        <w:rPr>
          <w:color w:val="000000"/>
          <w:lang w:val="es-MX" w:eastAsia="es-PE"/>
        </w:rPr>
        <w:fldChar w:fldCharType="end"/>
      </w:r>
      <w:r w:rsidRPr="00C63AC5">
        <w:rPr>
          <w:color w:val="000000"/>
          <w:lang w:val="es-MX" w:eastAsia="es-PE"/>
        </w:rPr>
        <w:t xml:space="preserve"> </w:t>
      </w:r>
    </w:p>
    <w:p w14:paraId="76030529"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Otra de las razones puede recaer en que, en sujetos obesos, existe el secuestro de vitamina D liposoluble en el tejido adiposo</w:t>
      </w:r>
      <w:r w:rsidRPr="00C63AC5">
        <w:rPr>
          <w:color w:val="000000"/>
          <w:lang w:val="es-MX" w:eastAsia="es-PE"/>
        </w:rPr>
        <w:fldChar w:fldCharType="begin"/>
      </w:r>
      <w:r w:rsidRPr="00C63AC5">
        <w:rPr>
          <w:color w:val="000000"/>
          <w:lang w:val="es-MX" w:eastAsia="es-PE"/>
        </w:rPr>
        <w:instrText xml:space="preserve"> ADDIN ZOTERO_ITEM CSL_CITATION {"citationID":"OgEJ4bjW","properties":{"formattedCitation":"\\super (39)\\nosupersub{}","plainCitation":"(39)","noteIndex":0},"citationItems":[{"id":4590,"uris":["http://zotero.org/users/6066349/items/VPZ2Y5DK"],"uri":["http://zotero.org/users/6066349/items/VPZ2Y5DK"],"itemData":{"id":4590,"type":"article-journal","abstract":"BACKGROUND: Obesity is associated with vitamin D insufficiency and secondary hyperparathyroidism.\nOBJECTIVE: This study assessed whether obesity alters the cutaneous production of vitamin D(3) (cholecalciferol) or the intestinal absorption of vitamin D(2) (ergocalciferol).\nDESIGN: Healthy, white, obese [body mass index (BMI; in kg/m(2)) &gt; or = 30] and matched lean control subjects (BMI &lt;/= 25) received either whole-body ultraviolet radiation or a pharmacologic dose of vitamin D(2) orally.\nRESULTS: Obese subjects had significantly lower basal 25-hydroxyvitamin D concentrations and higher parathyroid hormone concentrations than did age-matched control subjects. Evaluation of blood vitamin D(3) concentrations 24 h after whole-body irradiation showed that the incremental increase in vitamin D(3) was 57% lower in obese than in nonobese subjects. The content of the vitamin D(3) precursor 7-dehydrocholesterol in the skin of obese and nonobese subjects did not differ significantly between groups nor did its conversion to previtamin D(3) after irradiation in vitro. The obese and nonobese subjects received an oral dose of 50000 IU (1.25 mg) vitamin D(2). BMI was inversely correlated with serum vitamin D(3) concentrations after irradiation (r = -0.55, P: = 0.003) and with peak serum vitamin D(2) concentrations after vitamin D(2) intake (r = -0.56, P: = 0.007).\nCONCLUSIONS: Obesity-associated vitamin D insufficiency is likely due to the decreased bioavailability of vitamin D(3) from cutaneous and dietary sources because of its deposition in body fat compartments.","container-title":"The American Journal of Clinical Nutrition","DOI":"10.1093/ajcn/72.3.690","ISSN":"0002-9165","issue":"3","journalAbbreviation":"Am J Clin Nutr","language":"eng","note":"PMID: 10966885","page":"690-693","source":"PubMed","title":"Decreased bioavailability of vitamin D in obesity","volume":"72","author":[{"family":"Wortsman","given":"J."},{"family":"Matsuoka","given":"L. Y."},{"family":"Chen","given":"T. C."},{"family":"Lu","given":"Z."},{"family":"Holick","given":"M. F."}],"issued":{"date-parts":[["2000",9]]}}}],"schema":"https://github.com/citation-style-language/schema/raw/master/csl-citation.json"}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(34)</w:t>
      </w:r>
      <w:r w:rsidRPr="00C63AC5">
        <w:rPr>
          <w:color w:val="000000"/>
          <w:lang w:val="es-MX" w:eastAsia="es-PE"/>
        </w:rPr>
        <w:fldChar w:fldCharType="end"/>
      </w:r>
      <w:r w:rsidRPr="00C63AC5">
        <w:rPr>
          <w:color w:val="000000"/>
          <w:lang w:val="es-MX" w:eastAsia="es-PE"/>
        </w:rPr>
        <w:t xml:space="preserve"> y la dilución volumétrica,</w:t>
      </w:r>
      <w:r w:rsidRPr="00C63AC5">
        <w:rPr>
          <w:color w:val="000000"/>
          <w:lang w:val="es-MX" w:eastAsia="es-PE"/>
        </w:rPr>
        <w:fldChar w:fldCharType="begin"/>
      </w:r>
      <w:r w:rsidRPr="00C63AC5">
        <w:rPr>
          <w:color w:val="000000"/>
          <w:lang w:val="es-MX" w:eastAsia="es-PE"/>
        </w:rPr>
        <w:instrText xml:space="preserve"> ADDIN ZOTERO_ITEM CSL_CITATION {"citationID":"1BxC9Tei","properties":{"formattedCitation":"\\super (40,41)\\nosupersub{}","plainCitation":"(40,41)","noteIndex":0},"citationItems":[{"id":4594,"uris":["http://zotero.org/users/6066349/items/5ND29HVC"],"uri":["http://zotero.org/users/6066349/items/5ND29HVC"],"itemData":{"id":4594,"type":"article-journal","abstract":"Objective: Low 25-hydroxyvitamin D (25[OH]D) levels and metabolic syndrome (MetS) are prevalent among older adults; however, longitudinal studies examining 25(OH)D status and MetS are lacking. We explore the association of 25(OH)D levels with prevalent and incident MetS in white and black older adults. Research Design and Methods. A total of 1620 white and 1016 black participants aged 70-79 years from the Health ABC cohort with measured 25(OH)D levels and data on MetS and covariates of interest were examined. The association between 25(OH)D levels and prevalent MetS at baseline and incident MetS at 6-year follow-up was examined in whites and blacks separately using logistic regression adjusting for demographics, lifestyle factors, and renal function.\nResults: At baseline, 635 (39%) white and 363 (36%) black participants had prevalent MetS. In whites, low 25(OH)D levels were associated with prevalent MetS (adjusted OR (95% CI), 1.85 (1.47, 2.34)) and 1.96 (1.46, 2.63) for 25(OH)D of 20-&lt;30 and &lt;20 vs. ≥30 ng/ml, respectively). The association was attenuated after adjustment for BMI but remained significant. No association was found between 25(OH)D levels and prevalent MetS in blacks. Among those without MetS at baseline (765 whites, 427 blacks), 150 (20%) whites and 87 (20%) blacks had developed MetS at 6-year follow-up. However, 25(OH)D levels were not associated with incident MetS in whites or blacks.\nConclusion: In older adults, low 25(OH)D levels were associated with increased odds of prevalent MetS in whites but not in blacks. No association was observed between 25(OH)D levels and incident MetS in either whites or blacks.","container-title":"International Journal of Endocrinology","DOI":"10.1155/2021/6671823","ISSN":"1687-8337","journalAbbreviation":"Int J Endocrinol","language":"eng","note":"PMID: 33777141\nPMCID: PMC7981173","page":"6671823","source":"PubMed","title":"Association between 25-Hydroxyvitamin D and Metabolic Syndrome in Older Adults: The Health, Aging and Body Composition Study","title-short":"Association between 25-Hydroxyvitamin D and Metabolic Syndrome in Older Adults","volume":"2021","author":[{"family":"Agarwal","given":"Subhashish"},{"family":"Tooze","given":"Janet A."},{"family":"Bauer","given":"Douglas C."},{"family":"Cauley","given":"Jane A."},{"family":"Harris","given":"Tamara B."},{"family":"Koster","given":"Annemarie"},{"family":"Womack","given":"Catherine R."},{"family":"Kritchevsky","given":"Stephen B."},{"family":"Houston","given":"Denise K."}],"issued":{"date-parts":[["2021"]]}}},{"id":4592,"uris":["http://zotero.org/users/6066349/items/62GAIVJK"],"uri":["http://zotero.org/users/6066349/items/62GAIVJK"],"itemData":{"id":4592,"type":"article-journal","abstract":"The metabolic syndrome develops in an individual with any three of the following risk factors: obesity, diabetes, inflammation, hypertension, dyslipidemia, and thrombosis. Recent evidence suggests that vitamin D may play a role in the development of some of these risk factors. The metabolic syndrome is more common in western societies than the underdeveloped countries. Individuals in western societies usually consume a high calorie diet that lacks essential nutrients and, by virtue of being located in the northern hemisphere, they have limited sun exposures which restrict their vitamin D synthesis. Moreover, the lifestyle of these societies is considered sedentary. These dietary and environmental factors coupled with the sedentary lifestyle predispose them to metabolic syndrome risk factors. Active research revealed the role of vitamin D in the development of obesity, diabetes, inflammation, and hypertension. On the other hand, limited research has been done on the role of vitamin D in other risk factors such as dyslipidemia and thrombosis. The scientific community proposes to increase the current vitamin D fortification level in foods to reduce the risk factors of the metabolic syndrome.","container-title":"Critical Reviews in Food Science and Nutrition","DOI":"10.1080/10408391003785458","ISSN":"1549-7852","issue":"2","journalAbbreviation":"Crit Rev Food Sci Nutr","language":"eng","note":"PMID: 22059957","page":"103-112","source":"PubMed","title":"Vitamin d and metabolic syndrome risk factors: evidence and mechanisms","title-short":"Vitamin d and metabolic syndrome risk factors","volume":"52","author":[{"family":"Awad","given":"Atif B."},{"family":"Alappat","given":"Lini"},{"family":"Valerio","given":"Michael"}],"issued":{"date-parts":[["2012"]]}}}],"schema":"https://github.com/citation-style-language/schema/raw/master/csl-citation.json"}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(35,36)</w:t>
      </w:r>
      <w:r w:rsidRPr="00C63AC5">
        <w:rPr>
          <w:color w:val="000000"/>
          <w:lang w:val="es-MX" w:eastAsia="es-PE"/>
        </w:rPr>
        <w:fldChar w:fldCharType="end"/>
      </w:r>
      <w:r w:rsidRPr="00C63AC5">
        <w:rPr>
          <w:color w:val="000000"/>
          <w:lang w:val="es-MX" w:eastAsia="es-PE"/>
        </w:rPr>
        <w:t xml:space="preserve"> lo que implica que los niveles plasmáticos de vitamina D disminuyen con el tamaño corporal y, por tanto, aumentan los depósitos de grasa. Como resultado, si las reservas de grasa disminuyen, debería haber un mayor retorno de vitamina D al plasma, lo que resulta en un aumento del estado de vitamina D.</w:t>
      </w:r>
      <w:r w:rsidRPr="00C63AC5">
        <w:rPr>
          <w:color w:val="000000"/>
          <w:lang w:val="es-MX" w:eastAsia="es-PE"/>
        </w:rPr>
        <w:fldChar w:fldCharType="begin"/>
      </w:r>
      <w:r w:rsidRPr="00C63AC5">
        <w:rPr>
          <w:color w:val="000000"/>
          <w:lang w:val="es-MX" w:eastAsia="es-PE"/>
        </w:rPr>
        <w:instrText xml:space="preserve"> ADDIN ZOTERO_ITEM CSL_CITATION {"citationID":"bit4mCuq","properties":{"formattedCitation":"\\super (42)\\nosupersub{}","plainCitation":"(42)","noteIndex":0},"citationItems":[{"id":4599,"uris":["http://zotero.org/users/6066349/items/GKN5LEY4"],"uri":["http://zotero.org/users/6066349/items/GKN5LEY4"],"itemData":{"id":4599,"type":"article-journal","abstract":"Vitamin D status is known to be poor in obese individuals; there is no consensus as to the reason. Cross-sectional study of the relation between serum 25-hydroxyvitamin D (25(OH)D) concentration and body size in the baseline data from unsupplemented adults entering two study cohorts in our research unit, N = 686. Regression analyses of body size variables against serum 25(OH)D concentration, using both linear and hyperbolic models. The fit to a hyperbolic model of 25(OH)D against body weight completely removed the obesity-related component of inter-individual variability in serum 25(OH)D concentration. The hyperbolic fit using total body weight was significantly better than any linear model, and specifically better than any using BMI. Dilution of ingested or cutaneously synthesized vitamin D in the large fat mass of obese patients fully explains their typically low vitamin D status. There is no evidence for sequestration of supplemental or endogenous cholecalciferol. Vitamin D replacement therapy needs to be adjusted for body size if desired serum 25(OH)D concentrations are to be achieved.","container-title":"Obesity (Silver Spring, Md.)","DOI":"10.1038/oby.2011.404","ISSN":"1930-739X","issue":"7","journalAbbreviation":"Obesity (Silver Spring)","language":"eng","note":"PMID: 22262154","page":"1444-1448","source":"PubMed","title":"Volumetric dilution, rather than sequestration best explains the low vitamin D status of obesity","volume":"20","author":[{"family":"Drincic","given":"Andjela T."},{"family":"Armas","given":"Laura A. G."},{"family":"Van Diest","given":"Eileen E."},{"family":"Heaney","given":"Robert P."}],"issued":{"date-parts":[["2012",7]]}}}],"schema":"https://github.com/citation-style-language/schema/raw/master/csl-citation.json"}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(37)</w:t>
      </w:r>
      <w:r w:rsidRPr="00C63AC5">
        <w:rPr>
          <w:color w:val="000000"/>
          <w:lang w:val="es-MX" w:eastAsia="es-PE"/>
        </w:rPr>
        <w:fldChar w:fldCharType="end"/>
      </w:r>
    </w:p>
    <w:p w14:paraId="6CE9F6EB"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 xml:space="preserve">A su vez, la relación entre las concentraciones de vitamina D y la adiposidad podría ser bidireccional, es </w:t>
      </w:r>
      <w:r w:rsidRPr="00C63AC5">
        <w:rPr>
          <w:color w:val="000000"/>
          <w:lang w:val="es-MX" w:eastAsia="es-PE"/>
        </w:rPr>
        <w:lastRenderedPageBreak/>
        <w:t xml:space="preserve">decir, un trastorno en uno de los eventos constituye un factor de riesgo para la ocurrencia del otro. Más aun, una deficiencia de vitamina D producida por la obesidad, la empeoraría. Ello se explica porque el agotamiento del almacenamiento de vitamina D puede conducir a una diferenciación excesiva entre </w:t>
      </w:r>
      <w:proofErr w:type="spellStart"/>
      <w:r w:rsidRPr="00C63AC5">
        <w:rPr>
          <w:color w:val="000000"/>
          <w:lang w:val="es-MX" w:eastAsia="es-PE"/>
        </w:rPr>
        <w:t>preadipocitos</w:t>
      </w:r>
      <w:proofErr w:type="spellEnd"/>
      <w:r w:rsidRPr="00C63AC5">
        <w:rPr>
          <w:color w:val="000000"/>
          <w:lang w:val="es-MX" w:eastAsia="es-PE"/>
        </w:rPr>
        <w:t xml:space="preserve"> y adipocitos.</w:t>
      </w:r>
      <w:r w:rsidRPr="00C63AC5">
        <w:rPr>
          <w:color w:val="000000"/>
          <w:lang w:val="es-MX" w:eastAsia="es-PE"/>
        </w:rPr>
        <w:fldChar w:fldCharType="begin"/>
      </w:r>
      <w:r w:rsidRPr="00C63AC5">
        <w:rPr>
          <w:color w:val="000000"/>
          <w:lang w:val="es-MX" w:eastAsia="es-PE"/>
        </w:rPr>
        <w:instrText xml:space="preserve"> ADDIN ZOTERO_ITEM CSL_CITATION {"citationID":"nWpesPND","properties":{"formattedCitation":"\\super (38)\\nosupersub{}","plainCitation":"(38)","noteIndex":0},"citationItems":[{"id":4585,"uris":["http://zotero.org/users/6066349/items/R26T88L6"],"uri":["http://zotero.org/users/6066349/items/R26T88L6"],"itemData":{"id":4585,"type":"article-journal","abstract":"The aim of this study was to assess the relationship between obesity and vitamin D status cross-sectionally, the relationship between obesity and the incidence of hypovitaminosis D prospectively and inversely the relationship between vitamin D status and incidence of obesity in a population-based cohort study in Spain. At baseline (1996-1998), 1226 subjects were evaluated and follow-up assessments were performed in 2002-2004 and 2005-2007, participants undergoing an interview and clinical examination with an oral glucose tolerance test. At the second visit, 25-hydroxyvitamin D and intact parathyroid hormone concentrations were also measured. Prevalence of obesity at the three visits was 28.1, 36.2 and 39.5%, respectively. The prevalence of vitamin D deficiency (25-hydroxyvitamin D ≤ 20 ng/ml (≤ 50 nmol/l)) was 34.7%. Neither obesity at baseline (OR=0.98, 95% CI: 0.69-1.40, P=0.93) nor the development of obesity between baseline and the second evaluation (OR=0.80, 95% CI: 0.48-1.33, P=0.39) were significantly associated with vitamin D status. In subjects who were non-obese (BMI &lt;30 kg/m²) at the second evaluation, 25-hydroxyvitamin D values ≤ 17 ng/ml (≤ 42.5 nmol/l) were significantly associated with an increased risk of developing obesity in the next 4 years (OR=2.35, 95% CI: 1.03-5.4, P=0.040 after diverse adjustments). We conclude that vitamin D deficiency is associated with an increased risk of developing obesity.","container-title":"European Journal of Clinical Nutrition","DOI":"10.1038/ejcn.2013.48","ISSN":"1476-5640","issue":"6","journalAbbreviation":"Eur J Clin Nutr","language":"eng","note":"PMID: 23422920","page":"680-682","source":"PubMed","title":"Hypovitaminosis D and incidence of obesity: a prospective study","title-short":"Hypovitaminosis D and incidence of obesity","volume":"67","author":[{"family":"González-Molero","given":"I."},{"family":"Rojo-Martínez","given":"G."},{"family":"Morcillo","given":"S."},{"family":"Gutierrez","given":"C."},{"family":"Rubio","given":"E."},{"family":"Pérez-Valero","given":"V."},{"family":"Esteva","given":"I."},{"family":"Ruiz de Adana","given":"M. S."},{"family":"Almaraz","given":"M. C."},{"family":"Colomo","given":"N."},{"family":"Olveira","given":"G."},{"family":"Soriguer","given":"F."}],"issued":{"date-parts":[["2013",6]]}}}],"schema":"https://github.com/citation-style-language/schema/raw/master/csl-citation.json"}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(33)</w:t>
      </w:r>
      <w:r w:rsidRPr="00C63AC5">
        <w:rPr>
          <w:color w:val="000000"/>
          <w:lang w:val="es-MX" w:eastAsia="es-PE"/>
        </w:rPr>
        <w:fldChar w:fldCharType="end"/>
      </w:r>
      <w:r w:rsidRPr="00C63AC5">
        <w:rPr>
          <w:color w:val="000000"/>
          <w:lang w:val="es-MX" w:eastAsia="es-PE"/>
        </w:rPr>
        <w:t xml:space="preserve"> Además, se puede favorecer una mayor adiposidad, al promover un aumento de los niveles de hormona paratiroidea y la entrada de calcio en los adipocitos, aumentando así la lipogénesis e inhibiendo la lipólisis en los adipocitos.</w:t>
      </w:r>
      <w:r w:rsidRPr="00C63AC5">
        <w:rPr>
          <w:color w:val="000000"/>
          <w:lang w:val="es-MX" w:eastAsia="es-PE"/>
        </w:rPr>
        <w:fldChar w:fldCharType="begin"/>
      </w:r>
      <w:r w:rsidRPr="00C63AC5">
        <w:rPr>
          <w:color w:val="000000"/>
          <w:lang w:val="es-MX" w:eastAsia="es-PE"/>
        </w:rPr>
        <w:instrText xml:space="preserve"> ADDIN ZOTERO_ITEM CSL_CITATION {"citationID":"ZXtXEl3u","properties":{"formattedCitation":"\\super (43)\\nosupersub{}","plainCitation":"(43)","noteIndex":0},"citationItems":[{"id":4588,"uris":["http://zotero.org/users/6066349/items/JY5Y6MC9"],"uri":["http://zotero.org/users/6066349/items/JY5Y6MC9"],"itemData":{"id":4588,"type":"article-journal","abstract":"We reported recently that suppression of the renal 1alpha,25-dihyroxyvitamin D3 (1lpha,25-(OH)2-D3) production in aP2-agouti transgenic mice by increasing dietary calcium decreases adipocyte intracellular Ca2+ ([Ca2+]i), stimulates lipolysis, inhibits lipogenesis, and reduces adiposity. However, it was not clear whether this modulation of adipocyte metabolism by dietary calcium is a direct effect of inhibition of 1alpha,25-(OH)2-D3-induced [Ca2+]i. Accordingly, we have now evaluated the direct role of 1alpha,25-(OH)2-D3. Human adipocytes exhibited a 1alpha,25-(OH)2-D3 dose-responsive (1-50 nM) increase in [Ca2+]i (P&lt;0.01). This action was mimicked by 1alpha,25-dihyroxylumisterol3 (1alpha,25-(OH)2-lumisterol3) (P&lt;0.001), a specific agonist for a putative membrane vitamin D receptor (mVDR), and completely prevented by 1b,25-dihydroxyvitamin D3 (1beta,25-(OH)2-D3), a specific antagonist for the mVDR. Similarly, 1alpha,25-(OH)2-D3 (5 nM) caused 50%-100% increases in adipocyte fatty acid synthase (FAS) expression and activity (P&lt;0.02), a 61% increase in glycerol-3-phosphate dehydrogenase (GPDH) activity (P&lt;0.01), and an 80% inhibition of isoproterenol-stimulated lipolysis (P&lt;0.001), whereas 1beta,25-(OH)2-D3 completely blocked all these effects. Notably, 1alpha,25-(OH)2-lumisterol3 exerted more potent effects in modulating adipocyte lipid metabolism, with 2.5- to 3.0-fold increases in FAS expression and activity (P&lt;0.001) and a threefold increase in GPDH activity (P&lt;0.001). Also 1alpha,25-(OH)2-lumisterol3 was approximately twice as potent in inhibiting basal lipolysis (P&lt;0.025), whereas 1beta,25-(OH)2-D3 completely blocked all these effects. These data suggest that 1alpha,25-(OH)2-D3 modulates adipocyte Ca2+ signaling and, consequently, exerts a coordinated control over lipogenesis and lipolysis. Thus, a direct inhibition of 1alpha,25-(OH)2-D3-induced [Ca2+]i may contribute to an anti-obesity effect of dietary calcium, and the mVDR may represent an important target for obesity.","container-title":"FASEB journal: official publication of the Federation of American Societies for Experimental Biology","DOI":"10.1096/fj.01-0584fje","ISSN":"1530-6860","issue":"14","journalAbbreviation":"FASEB J","language":"eng","note":"PMID: 11606486","page":"2751-2753","source":"PubMed","title":"1alpha,25-Dihydroxyvitamin D3 modulates human adipocyte metabolism via nongenomic action","volume":"15","author":[{"family":"Shi","given":"H."},{"family":"Norman","given":"A. W."},{"family":"Okamura","given":"W. H."},{"family":"Sen","given":"A."},{"family":"Zemel","given":"M. B."}],"issued":{"date-parts":[["2001",12]]}}}],"schema":"https://github.com/citation-style-language/schema/raw/master/csl-citation.json"}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(38)</w:t>
      </w:r>
      <w:r w:rsidRPr="00C63AC5">
        <w:rPr>
          <w:color w:val="000000"/>
          <w:lang w:val="es-MX" w:eastAsia="es-PE"/>
        </w:rPr>
        <w:fldChar w:fldCharType="end"/>
      </w:r>
      <w:r w:rsidRPr="00C63AC5">
        <w:rPr>
          <w:color w:val="000000"/>
          <w:lang w:val="es-MX" w:eastAsia="es-PE"/>
        </w:rPr>
        <w:t xml:space="preserve"> Otros mecanismos propuestos incluyen altas expresiones del receptor de vitamina D en el tejido adiposo y la posibilidad de que la vitamina D juegue un papel en la patogenia del síndrome metabólico.</w:t>
      </w:r>
      <w:r w:rsidRPr="00C63AC5">
        <w:rPr>
          <w:color w:val="000000"/>
          <w:lang w:val="es-MX" w:eastAsia="es-PE"/>
        </w:rPr>
        <w:fldChar w:fldCharType="begin"/>
      </w:r>
      <w:r w:rsidRPr="00C63AC5">
        <w:rPr>
          <w:color w:val="000000"/>
          <w:lang w:val="es-MX" w:eastAsia="es-PE"/>
        </w:rPr>
        <w:instrText xml:space="preserve"> ADDIN ZOTERO_ITEM CSL_CITATION {"citationID":"4a1TlZim","properties":{"formattedCitation":"\\super (44)\\nosupersub{}","plainCitation":"(44)","noteIndex":0},"citationItems":[{"id":"GYjVgD3m/nIDIpTtp","uris":["http://zotero.org/users/local/9NI25WbG/items/VE54JE4V"],"uri":["http://zotero.org/users/local/9NI25WbG/items/VE54JE4V"],"itemData":{"id":236,"type":"article-journal","abstract":"Objectives: Epidemiological studies indicate an association between vitamin D deficiency and obesity. However, there is no consistent evidence of the direction or causal relationship between these conditions. Thus, we analysed the longitudinal relationship between vitamin D deficiency and obesity/adiposity in different age groups. Study design: This study was a systematic review with PROSPERO registry (CRD42016047523). Methods: Electronic searches were undertaken in Lilacs, Medline, Science Direct, Scopus and Web of Science databases until April 2020. For each study, we collected the frequency of vitamin D deficiency and obesity. Results: In total, 5071 articles were identified and 8 were ultimately included in this systematic review. Five cohort studies involved adults, two of which recorded a positive association between vitamin D deficiency and obesity. The other three studies found a borderline or null association between vitamin D deficiency and obesity. Three studies investigated the elderly population; two of these recorded an association between vitamin D and greater adiposity, and one study recorded that 25-hydroxyvitamin D levels ≥30 ng/ml were associated with less weight gain in the follow-up. Conclusions: This review reports that the majority of studies included show that vitamin D deficiency can contribute to the occurrence of obesity in adults and the elderly. It is recommended that prospective studies are conducted, with varying age groups and weather conditions, designed to test the longitudinal relationship between vitamin D deficiency and obesity outcomes. © 2020 The Royal Society for Public Health","archive_location":"rayyan-229421424","container-title":"Public Health","ISSN":"00333506 (ISSN)","journalAbbreviation":"Public Health","language":"English","note":"publisher-place: [\"Collective Health Institute, Universidade Federal da Bahia, Salvador, Brazil\", \"School of Nutrition, Universidade Federal da Bahia, Salvador, Brazil\", \"Center of Biological and Health Sciences, Universidade Federal do Oeste da Bahia, Barreiras, Brazil\"]\npublisher: Elsevier B.V.","page":"123-131","title":"Does vitamin D deficiency increase the risk of obesity in adults and the elderly? A systematic review of prospective cohort studies","volume":"190","author":[{"family":"Pereira","given":"M."},{"family":"Ribas de Farias Costa","given":"P."},{"family":"Miranda Pereira","given":"E."},{"family":"Russoni de Lima Lago","given":"I."},{"family":"Marlucia Oliveira","given":"A."}],"issued":{"date-parts":[["2021"]]}}}],"schema":"https://github.com/citation-style-language/schema/raw/master/csl-citation.json"} </w:instrText>
      </w:r>
      <w:r w:rsidRPr="00C63AC5">
        <w:rPr>
          <w:color w:val="000000"/>
          <w:lang w:val="es-MX" w:eastAsia="es-PE"/>
        </w:rPr>
        <w:fldChar w:fldCharType="separate"/>
      </w:r>
      <w:r w:rsidRPr="00C63AC5">
        <w:rPr>
          <w:color w:val="000000"/>
          <w:vertAlign w:val="superscript"/>
          <w:lang w:val="es-PE" w:eastAsia="es-PE"/>
        </w:rPr>
        <w:t>(39)</w:t>
      </w:r>
      <w:r w:rsidRPr="00C63AC5">
        <w:rPr>
          <w:color w:val="000000"/>
          <w:lang w:val="es-MX" w:eastAsia="es-PE"/>
        </w:rPr>
        <w:fldChar w:fldCharType="end"/>
      </w:r>
    </w:p>
    <w:p w14:paraId="66B28D7B"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El presente estudio tiene las siguientes limitaciones: primero, al tratarse de una RS de estudios transversales con uso de técnicas analíticas, no se puede probar causalidad; segundo, como se ha mencionado con anterioridad, la diferencia entre las edades de la población para definir al anciano, los puntos de corte de obesidad y vitamina D, pueden explicar la heterogeneidad del metanálisis; no obstante, dado de que podrían darnos un primer adelanto de dicha asociación, se decidió mantener el análisis estadístico; tercero, si bien se pudo haber realizo un análisis con el valor de la vitamina D de forma numérica, no se tuvo acceso a la base de datos original de los estudios para poder analizar así la variable.</w:t>
      </w:r>
    </w:p>
    <w:p w14:paraId="6AEA881D"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 xml:space="preserve">Se encontró asociación entre la presencia de obesidad y el déficit de vitamina D en la población anciana. </w:t>
      </w:r>
    </w:p>
    <w:p w14:paraId="4274B7F9" w14:textId="77777777" w:rsidR="00C63AC5" w:rsidRPr="00C63AC5" w:rsidRDefault="00C63AC5" w:rsidP="00C63AC5">
      <w:pPr>
        <w:widowControl w:val="0"/>
        <w:spacing w:line="360" w:lineRule="auto"/>
        <w:jc w:val="both"/>
        <w:rPr>
          <w:color w:val="000000"/>
          <w:lang w:val="es-MX" w:eastAsia="es-PE"/>
        </w:rPr>
      </w:pPr>
      <w:r w:rsidRPr="00C63AC5">
        <w:rPr>
          <w:color w:val="000000"/>
          <w:lang w:val="es-MX" w:eastAsia="es-PE"/>
        </w:rPr>
        <w:t>Se recomienda el desarrollo de estudios prospectivos, específicamente en la población anciana, con puntos de corte más homogéneos, para evitar la heterogeneidad y la probable causalidad inversa. De confirmarse dichos resultados, se deben adoptar estrategias de intervención para prevenir y controlar la deficiencia de vitamina D a través de la disminución de peso y adecuados estilos de vida.</w:t>
      </w:r>
    </w:p>
    <w:p w14:paraId="12C2939E" w14:textId="77777777" w:rsidR="00C63AC5" w:rsidRPr="00C63AC5" w:rsidRDefault="00C63AC5" w:rsidP="00C63AC5">
      <w:pPr>
        <w:widowControl w:val="0"/>
        <w:spacing w:line="360" w:lineRule="auto"/>
        <w:jc w:val="both"/>
        <w:rPr>
          <w:color w:val="000000"/>
          <w:lang w:val="es-MX" w:eastAsia="es-PE"/>
        </w:rPr>
      </w:pPr>
    </w:p>
    <w:p w14:paraId="4DA5C4CD" w14:textId="77777777" w:rsidR="00C63AC5" w:rsidRPr="00C63AC5" w:rsidRDefault="00C63AC5" w:rsidP="00C63AC5">
      <w:pPr>
        <w:widowControl w:val="0"/>
        <w:spacing w:line="360" w:lineRule="auto"/>
        <w:jc w:val="both"/>
        <w:rPr>
          <w:color w:val="000000"/>
          <w:lang w:val="es-MX" w:eastAsia="es-PE"/>
        </w:rPr>
      </w:pPr>
    </w:p>
    <w:p w14:paraId="6B7BD359" w14:textId="77777777" w:rsidR="00C63AC5" w:rsidRPr="00C63AC5" w:rsidRDefault="00C63AC5" w:rsidP="00C63AC5">
      <w:pPr>
        <w:spacing w:line="360" w:lineRule="auto"/>
        <w:jc w:val="center"/>
        <w:rPr>
          <w:b/>
          <w:bCs/>
          <w:sz w:val="32"/>
          <w:szCs w:val="32"/>
          <w:lang w:val="es-CU" w:eastAsia="es-PE"/>
        </w:rPr>
      </w:pPr>
      <w:r w:rsidRPr="00C63AC5">
        <w:rPr>
          <w:b/>
          <w:bCs/>
          <w:sz w:val="32"/>
          <w:szCs w:val="32"/>
          <w:lang w:val="es-CU" w:eastAsia="es-PE"/>
        </w:rPr>
        <w:t>REFERENCIAS BIBLIOGRÁFICAS</w:t>
      </w:r>
    </w:p>
    <w:p w14:paraId="0867E63C" w14:textId="77777777" w:rsidR="00C63AC5" w:rsidRPr="00C63AC5" w:rsidRDefault="00C63AC5" w:rsidP="00C63AC5">
      <w:pPr>
        <w:spacing w:line="360" w:lineRule="auto"/>
        <w:rPr>
          <w:color w:val="000000"/>
          <w:lang w:val="es-CU" w:eastAsia="es-PE"/>
        </w:rPr>
      </w:pPr>
      <w:r w:rsidRPr="00C63AC5">
        <w:rPr>
          <w:color w:val="000000"/>
          <w:lang w:val="es-CU" w:eastAsia="es-PE"/>
        </w:rPr>
        <w:t xml:space="preserve">1. </w:t>
      </w:r>
      <w:proofErr w:type="spellStart"/>
      <w:r w:rsidRPr="00C63AC5">
        <w:rPr>
          <w:color w:val="000000"/>
          <w:lang w:val="es-CU" w:eastAsia="es-PE"/>
        </w:rPr>
        <w:t>Chooi</w:t>
      </w:r>
      <w:proofErr w:type="spellEnd"/>
      <w:r w:rsidRPr="00C63AC5">
        <w:rPr>
          <w:color w:val="000000"/>
          <w:lang w:val="es-CU" w:eastAsia="es-PE"/>
        </w:rPr>
        <w:t xml:space="preserve"> </w:t>
      </w:r>
      <w:proofErr w:type="spellStart"/>
      <w:r w:rsidRPr="00C63AC5">
        <w:rPr>
          <w:color w:val="000000"/>
          <w:lang w:val="es-CU" w:eastAsia="es-PE"/>
        </w:rPr>
        <w:t>YC</w:t>
      </w:r>
      <w:proofErr w:type="spellEnd"/>
      <w:r w:rsidRPr="00C63AC5">
        <w:rPr>
          <w:color w:val="000000"/>
          <w:lang w:val="es-CU" w:eastAsia="es-PE"/>
        </w:rPr>
        <w:t xml:space="preserve">, </w:t>
      </w:r>
      <w:proofErr w:type="spellStart"/>
      <w:r w:rsidRPr="00C63AC5">
        <w:rPr>
          <w:color w:val="000000"/>
          <w:lang w:val="es-CU" w:eastAsia="es-PE"/>
        </w:rPr>
        <w:t>Ding</w:t>
      </w:r>
      <w:proofErr w:type="spellEnd"/>
      <w:r w:rsidRPr="00C63AC5">
        <w:rPr>
          <w:color w:val="000000"/>
          <w:lang w:val="es-CU" w:eastAsia="es-PE"/>
        </w:rPr>
        <w:t xml:space="preserve"> C, </w:t>
      </w:r>
      <w:proofErr w:type="spellStart"/>
      <w:r w:rsidRPr="00C63AC5">
        <w:rPr>
          <w:color w:val="000000"/>
          <w:lang w:val="es-CU" w:eastAsia="es-PE"/>
        </w:rPr>
        <w:t>Magkos</w:t>
      </w:r>
      <w:proofErr w:type="spellEnd"/>
      <w:r w:rsidRPr="00C63AC5">
        <w:rPr>
          <w:color w:val="000000"/>
          <w:lang w:val="es-CU" w:eastAsia="es-PE"/>
        </w:rPr>
        <w:t xml:space="preserve"> F. </w:t>
      </w:r>
      <w:proofErr w:type="spellStart"/>
      <w:r w:rsidRPr="00C63AC5">
        <w:rPr>
          <w:color w:val="000000"/>
          <w:lang w:val="es-CU" w:eastAsia="es-PE"/>
        </w:rPr>
        <w:t>The</w:t>
      </w:r>
      <w:proofErr w:type="spellEnd"/>
      <w:r w:rsidRPr="00C63AC5">
        <w:rPr>
          <w:color w:val="000000"/>
          <w:lang w:val="es-CU" w:eastAsia="es-PE"/>
        </w:rPr>
        <w:t xml:space="preserve"> </w:t>
      </w:r>
      <w:proofErr w:type="spellStart"/>
      <w:r w:rsidRPr="00C63AC5">
        <w:rPr>
          <w:color w:val="000000"/>
          <w:lang w:val="es-CU" w:eastAsia="es-PE"/>
        </w:rPr>
        <w:t>epidemiology</w:t>
      </w:r>
      <w:proofErr w:type="spellEnd"/>
      <w:r w:rsidRPr="00C63AC5">
        <w:rPr>
          <w:color w:val="000000"/>
          <w:lang w:val="es-CU" w:eastAsia="es-PE"/>
        </w:rPr>
        <w:t xml:space="preserve"> </w:t>
      </w:r>
      <w:proofErr w:type="spellStart"/>
      <w:r w:rsidRPr="00C63AC5">
        <w:rPr>
          <w:color w:val="000000"/>
          <w:lang w:val="es-CU" w:eastAsia="es-PE"/>
        </w:rPr>
        <w:t>of</w:t>
      </w:r>
      <w:proofErr w:type="spellEnd"/>
      <w:r w:rsidRPr="00C63AC5">
        <w:rPr>
          <w:color w:val="000000"/>
          <w:lang w:val="es-CU" w:eastAsia="es-PE"/>
        </w:rPr>
        <w:t xml:space="preserve"> </w:t>
      </w:r>
      <w:proofErr w:type="spellStart"/>
      <w:r w:rsidRPr="00C63AC5">
        <w:rPr>
          <w:color w:val="000000"/>
          <w:lang w:val="es-CU" w:eastAsia="es-PE"/>
        </w:rPr>
        <w:t>obesity</w:t>
      </w:r>
      <w:proofErr w:type="spellEnd"/>
      <w:r w:rsidRPr="00C63AC5">
        <w:rPr>
          <w:color w:val="000000"/>
          <w:lang w:val="es-CU" w:eastAsia="es-PE"/>
        </w:rPr>
        <w:t xml:space="preserve">. </w:t>
      </w:r>
      <w:proofErr w:type="spellStart"/>
      <w:r w:rsidRPr="00C63AC5">
        <w:rPr>
          <w:color w:val="000000"/>
          <w:lang w:val="es-CU" w:eastAsia="es-PE"/>
        </w:rPr>
        <w:t>Metabolism</w:t>
      </w:r>
      <w:proofErr w:type="spellEnd"/>
      <w:r w:rsidRPr="00C63AC5">
        <w:rPr>
          <w:color w:val="000000"/>
          <w:lang w:val="es-CU" w:eastAsia="es-PE"/>
        </w:rPr>
        <w:t xml:space="preserve">. 2019; 92:6–10. </w:t>
      </w:r>
      <w:proofErr w:type="spellStart"/>
      <w:r w:rsidRPr="00C63AC5">
        <w:rPr>
          <w:color w:val="000000"/>
          <w:lang w:val="es-CU" w:eastAsia="es-PE"/>
        </w:rPr>
        <w:t>DOI</w:t>
      </w:r>
      <w:proofErr w:type="spellEnd"/>
      <w:r w:rsidRPr="00C63AC5">
        <w:rPr>
          <w:color w:val="000000"/>
          <w:lang w:val="es-CU" w:eastAsia="es-PE"/>
        </w:rPr>
        <w:t xml:space="preserve"> 10.1016/</w:t>
      </w:r>
      <w:proofErr w:type="spellStart"/>
      <w:r w:rsidRPr="00C63AC5">
        <w:rPr>
          <w:color w:val="000000"/>
          <w:lang w:val="es-CU" w:eastAsia="es-PE"/>
        </w:rPr>
        <w:t>j.metabol.2018.09.005</w:t>
      </w:r>
      <w:proofErr w:type="spellEnd"/>
    </w:p>
    <w:p w14:paraId="14F84AAA" w14:textId="77777777" w:rsidR="00C63AC5" w:rsidRPr="00C63AC5" w:rsidRDefault="00C63AC5" w:rsidP="00C63AC5">
      <w:pPr>
        <w:spacing w:line="360" w:lineRule="auto"/>
        <w:rPr>
          <w:color w:val="000000"/>
          <w:lang w:val="en-US" w:eastAsia="es-PE"/>
        </w:rPr>
      </w:pPr>
      <w:r w:rsidRPr="00C63AC5">
        <w:rPr>
          <w:color w:val="000000"/>
          <w:lang w:val="es-CU" w:eastAsia="es-PE"/>
        </w:rPr>
        <w:t xml:space="preserve">2. </w:t>
      </w:r>
      <w:proofErr w:type="spellStart"/>
      <w:r w:rsidRPr="00C63AC5">
        <w:rPr>
          <w:color w:val="000000"/>
          <w:lang w:val="es-CU" w:eastAsia="es-PE"/>
        </w:rPr>
        <w:t>Donini</w:t>
      </w:r>
      <w:proofErr w:type="spellEnd"/>
      <w:r w:rsidRPr="00C63AC5">
        <w:rPr>
          <w:color w:val="000000"/>
          <w:lang w:val="es-CU" w:eastAsia="es-PE"/>
        </w:rPr>
        <w:t xml:space="preserve"> LM, Rosano A, Di Lazzaro L, </w:t>
      </w:r>
      <w:proofErr w:type="spellStart"/>
      <w:r w:rsidRPr="00C63AC5">
        <w:rPr>
          <w:color w:val="000000"/>
          <w:lang w:val="es-CU" w:eastAsia="es-PE"/>
        </w:rPr>
        <w:t>Lubrano</w:t>
      </w:r>
      <w:proofErr w:type="spellEnd"/>
      <w:r w:rsidRPr="00C63AC5">
        <w:rPr>
          <w:color w:val="000000"/>
          <w:lang w:val="es-CU" w:eastAsia="es-PE"/>
        </w:rPr>
        <w:t xml:space="preserve"> C, </w:t>
      </w:r>
      <w:proofErr w:type="spellStart"/>
      <w:r w:rsidRPr="00C63AC5">
        <w:rPr>
          <w:color w:val="000000"/>
          <w:lang w:val="es-CU" w:eastAsia="es-PE"/>
        </w:rPr>
        <w:t>Carbonelli</w:t>
      </w:r>
      <w:proofErr w:type="spellEnd"/>
      <w:r w:rsidRPr="00C63AC5">
        <w:rPr>
          <w:color w:val="000000"/>
          <w:lang w:val="es-CU" w:eastAsia="es-PE"/>
        </w:rPr>
        <w:t xml:space="preserve"> M, Pinto A, et al. </w:t>
      </w:r>
      <w:r w:rsidRPr="00C63AC5">
        <w:rPr>
          <w:color w:val="000000"/>
          <w:lang w:val="en-US" w:eastAsia="es-PE"/>
        </w:rPr>
        <w:t xml:space="preserve">Impact of Disability, Psychological Status, and Comorbidity on Health-Related Quality of Life Perceived by Subjects with Obesity. </w:t>
      </w:r>
      <w:proofErr w:type="spellStart"/>
      <w:r w:rsidRPr="00C63AC5">
        <w:rPr>
          <w:color w:val="000000"/>
          <w:lang w:val="en-US" w:eastAsia="es-PE"/>
        </w:rPr>
        <w:t>Obes</w:t>
      </w:r>
      <w:proofErr w:type="spellEnd"/>
      <w:r w:rsidRPr="00C63AC5">
        <w:rPr>
          <w:color w:val="000000"/>
          <w:lang w:val="en-US" w:eastAsia="es-PE"/>
        </w:rPr>
        <w:t xml:space="preserve"> Facts. 2020;13(2):191–200. </w:t>
      </w:r>
      <w:proofErr w:type="spellStart"/>
      <w:r w:rsidRPr="00C63AC5">
        <w:rPr>
          <w:color w:val="000000"/>
          <w:lang w:val="en-US" w:eastAsia="es-PE"/>
        </w:rPr>
        <w:t>DOI:10.1159</w:t>
      </w:r>
      <w:proofErr w:type="spellEnd"/>
      <w:r w:rsidRPr="00C63AC5">
        <w:rPr>
          <w:color w:val="000000"/>
          <w:lang w:val="en-US" w:eastAsia="es-PE"/>
        </w:rPr>
        <w:t>/000506079</w:t>
      </w:r>
    </w:p>
    <w:p w14:paraId="14551E72" w14:textId="77777777" w:rsidR="00C63AC5" w:rsidRPr="00C63AC5" w:rsidRDefault="00C63AC5" w:rsidP="00C63AC5">
      <w:pPr>
        <w:spacing w:line="360" w:lineRule="auto"/>
        <w:rPr>
          <w:color w:val="000000"/>
          <w:lang w:val="es-CU" w:eastAsia="es-PE"/>
        </w:rPr>
      </w:pPr>
      <w:r w:rsidRPr="00C63AC5">
        <w:rPr>
          <w:color w:val="000000"/>
          <w:lang w:val="en-US" w:eastAsia="es-PE"/>
        </w:rPr>
        <w:lastRenderedPageBreak/>
        <w:t xml:space="preserve">3. Kalish VB. Obesity in Older Adults. Prim Care. 2016;43(1):137–44. </w:t>
      </w:r>
      <w:proofErr w:type="spellStart"/>
      <w:r w:rsidRPr="00C63AC5">
        <w:rPr>
          <w:color w:val="000000"/>
          <w:lang w:val="es-CU" w:eastAsia="es-PE"/>
        </w:rPr>
        <w:t>DOI</w:t>
      </w:r>
      <w:proofErr w:type="spellEnd"/>
      <w:r w:rsidRPr="00C63AC5">
        <w:rPr>
          <w:color w:val="000000"/>
          <w:lang w:val="es-CU" w:eastAsia="es-PE"/>
        </w:rPr>
        <w:t>: 10.1016/</w:t>
      </w:r>
      <w:proofErr w:type="spellStart"/>
      <w:r w:rsidRPr="00C63AC5">
        <w:rPr>
          <w:color w:val="000000"/>
          <w:lang w:val="es-CU" w:eastAsia="es-PE"/>
        </w:rPr>
        <w:t>j.pop.2015.10.002</w:t>
      </w:r>
      <w:proofErr w:type="spellEnd"/>
    </w:p>
    <w:p w14:paraId="207DC838" w14:textId="77777777" w:rsidR="00C63AC5" w:rsidRPr="00C63AC5" w:rsidRDefault="00C63AC5" w:rsidP="00C63AC5">
      <w:pPr>
        <w:spacing w:line="360" w:lineRule="auto"/>
        <w:rPr>
          <w:color w:val="000000"/>
          <w:lang w:val="es-CU" w:eastAsia="es-PE"/>
        </w:rPr>
      </w:pPr>
      <w:r w:rsidRPr="00C63AC5">
        <w:rPr>
          <w:color w:val="000000"/>
          <w:lang w:val="es-CU" w:eastAsia="es-PE"/>
        </w:rPr>
        <w:t xml:space="preserve">4. </w:t>
      </w:r>
      <w:proofErr w:type="spellStart"/>
      <w:r w:rsidRPr="00C63AC5">
        <w:rPr>
          <w:color w:val="000000"/>
          <w:lang w:val="es-CU" w:eastAsia="es-PE"/>
        </w:rPr>
        <w:t>Ding</w:t>
      </w:r>
      <w:proofErr w:type="spellEnd"/>
      <w:r w:rsidRPr="00C63AC5">
        <w:rPr>
          <w:color w:val="000000"/>
          <w:lang w:val="es-CU" w:eastAsia="es-PE"/>
        </w:rPr>
        <w:t xml:space="preserve"> L, </w:t>
      </w:r>
      <w:proofErr w:type="spellStart"/>
      <w:r w:rsidRPr="00C63AC5">
        <w:rPr>
          <w:color w:val="000000"/>
          <w:lang w:val="es-CU" w:eastAsia="es-PE"/>
        </w:rPr>
        <w:t>Liang</w:t>
      </w:r>
      <w:proofErr w:type="spellEnd"/>
      <w:r w:rsidRPr="00C63AC5">
        <w:rPr>
          <w:color w:val="000000"/>
          <w:lang w:val="es-CU" w:eastAsia="es-PE"/>
        </w:rPr>
        <w:t xml:space="preserve"> Y, Tan ECK, </w:t>
      </w:r>
      <w:proofErr w:type="spellStart"/>
      <w:r w:rsidRPr="00C63AC5">
        <w:rPr>
          <w:color w:val="000000"/>
          <w:lang w:val="es-CU" w:eastAsia="es-PE"/>
        </w:rPr>
        <w:t>Hu</w:t>
      </w:r>
      <w:proofErr w:type="spellEnd"/>
      <w:r w:rsidRPr="00C63AC5">
        <w:rPr>
          <w:color w:val="000000"/>
          <w:lang w:val="es-CU" w:eastAsia="es-PE"/>
        </w:rPr>
        <w:t xml:space="preserve"> Y, Zhang C, Liu Y, et al. </w:t>
      </w:r>
      <w:r w:rsidRPr="00C63AC5">
        <w:rPr>
          <w:color w:val="000000"/>
          <w:lang w:val="en-US" w:eastAsia="es-PE"/>
        </w:rPr>
        <w:t xml:space="preserve">Smoking, heavy drinking, physical inactivity, and obesity among middle-aged and older adults in China: cross-sectional findings from the baseline survey of </w:t>
      </w:r>
      <w:proofErr w:type="spellStart"/>
      <w:r w:rsidRPr="00C63AC5">
        <w:rPr>
          <w:color w:val="000000"/>
          <w:lang w:val="en-US" w:eastAsia="es-PE"/>
        </w:rPr>
        <w:t>CHARLS</w:t>
      </w:r>
      <w:proofErr w:type="spellEnd"/>
      <w:r w:rsidRPr="00C63AC5">
        <w:rPr>
          <w:color w:val="000000"/>
          <w:lang w:val="en-US" w:eastAsia="es-PE"/>
        </w:rPr>
        <w:t xml:space="preserve"> 2011-2012. </w:t>
      </w:r>
      <w:proofErr w:type="spellStart"/>
      <w:r w:rsidRPr="00C63AC5">
        <w:rPr>
          <w:color w:val="000000"/>
          <w:lang w:val="es-CU" w:eastAsia="es-PE"/>
        </w:rPr>
        <w:t>BMC</w:t>
      </w:r>
      <w:proofErr w:type="spellEnd"/>
      <w:r w:rsidRPr="00C63AC5">
        <w:rPr>
          <w:color w:val="000000"/>
          <w:lang w:val="es-CU" w:eastAsia="es-PE"/>
        </w:rPr>
        <w:t xml:space="preserve"> </w:t>
      </w:r>
      <w:proofErr w:type="spellStart"/>
      <w:r w:rsidRPr="00C63AC5">
        <w:rPr>
          <w:color w:val="000000"/>
          <w:lang w:val="es-CU" w:eastAsia="es-PE"/>
        </w:rPr>
        <w:t>Public</w:t>
      </w:r>
      <w:proofErr w:type="spellEnd"/>
      <w:r w:rsidRPr="00C63AC5">
        <w:rPr>
          <w:color w:val="000000"/>
          <w:lang w:val="es-CU" w:eastAsia="es-PE"/>
        </w:rPr>
        <w:t xml:space="preserve"> </w:t>
      </w:r>
      <w:proofErr w:type="spellStart"/>
      <w:r w:rsidRPr="00C63AC5">
        <w:rPr>
          <w:color w:val="000000"/>
          <w:lang w:val="es-CU" w:eastAsia="es-PE"/>
        </w:rPr>
        <w:t>Health</w:t>
      </w:r>
      <w:proofErr w:type="spellEnd"/>
      <w:r w:rsidRPr="00C63AC5">
        <w:rPr>
          <w:color w:val="000000"/>
          <w:lang w:val="es-CU" w:eastAsia="es-PE"/>
        </w:rPr>
        <w:t xml:space="preserve">. 2020;20(1):1062. </w:t>
      </w:r>
      <w:proofErr w:type="spellStart"/>
      <w:r w:rsidRPr="00C63AC5">
        <w:rPr>
          <w:color w:val="000000"/>
          <w:lang w:val="es-CU" w:eastAsia="es-PE"/>
        </w:rPr>
        <w:t>DOI</w:t>
      </w:r>
      <w:proofErr w:type="spellEnd"/>
      <w:r w:rsidRPr="00C63AC5">
        <w:rPr>
          <w:color w:val="000000"/>
          <w:lang w:val="es-CU" w:eastAsia="es-PE"/>
        </w:rPr>
        <w:t>: 10.1186/</w:t>
      </w:r>
      <w:proofErr w:type="spellStart"/>
      <w:r w:rsidRPr="00C63AC5">
        <w:rPr>
          <w:color w:val="000000"/>
          <w:lang w:val="es-CU" w:eastAsia="es-PE"/>
        </w:rPr>
        <w:t>s12889</w:t>
      </w:r>
      <w:proofErr w:type="spellEnd"/>
      <w:r w:rsidRPr="00C63AC5">
        <w:rPr>
          <w:color w:val="000000"/>
          <w:lang w:val="es-CU" w:eastAsia="es-PE"/>
        </w:rPr>
        <w:t>-020-08625-5</w:t>
      </w:r>
    </w:p>
    <w:p w14:paraId="1476C6CA" w14:textId="77777777" w:rsidR="00C63AC5" w:rsidRPr="00C63AC5" w:rsidRDefault="00C63AC5" w:rsidP="00C63AC5">
      <w:pPr>
        <w:spacing w:line="360" w:lineRule="auto"/>
        <w:rPr>
          <w:color w:val="000000"/>
          <w:lang w:val="es-CU" w:eastAsia="es-PE"/>
        </w:rPr>
      </w:pPr>
      <w:r w:rsidRPr="00C63AC5">
        <w:rPr>
          <w:color w:val="000000"/>
          <w:lang w:val="es-CU" w:eastAsia="es-PE"/>
        </w:rPr>
        <w:t xml:space="preserve">5. Instituto Nacional de Salud. Ministerio de Salud. Alimentación y Nutrición. Vigilancia del Estado Nutricional en Población. [acceso: 16/09/2021]. Disponible en: </w:t>
      </w:r>
      <w:hyperlink r:id="rId23" w:history="1">
        <w:r w:rsidRPr="00C63AC5">
          <w:rPr>
            <w:color w:val="0563C1"/>
            <w:u w:val="single"/>
            <w:lang w:val="es-CU" w:eastAsia="es-PE"/>
          </w:rPr>
          <w:t>http://web.ins.gob.pe/es/alimentacion-y-nutricion/vigilancia-alimentaria-y-nutricional/vigilancia-del-estado-nutricional-en-poblacion</w:t>
        </w:r>
      </w:hyperlink>
      <w:r w:rsidRPr="00C63AC5">
        <w:rPr>
          <w:color w:val="000000"/>
          <w:lang w:val="es-CU" w:eastAsia="es-PE"/>
        </w:rPr>
        <w:t xml:space="preserve"> </w:t>
      </w:r>
    </w:p>
    <w:p w14:paraId="2BB500EF" w14:textId="77777777" w:rsidR="00C63AC5" w:rsidRPr="00C63AC5" w:rsidRDefault="00C63AC5" w:rsidP="00C63AC5">
      <w:pPr>
        <w:spacing w:line="360" w:lineRule="auto"/>
        <w:rPr>
          <w:color w:val="000000"/>
          <w:lang w:val="en-US" w:eastAsia="es-PE"/>
        </w:rPr>
      </w:pPr>
      <w:r w:rsidRPr="00C63AC5">
        <w:rPr>
          <w:color w:val="000000"/>
          <w:lang w:val="en-US" w:eastAsia="es-PE"/>
        </w:rPr>
        <w:t>6. Cetin DC, Nasr G. Obesity in the elderly: more complicated than you think. Cleve Clin J Med. 2014; 81(1):51–61. DOI: 10.3949/</w:t>
      </w:r>
      <w:proofErr w:type="spellStart"/>
      <w:r w:rsidRPr="00C63AC5">
        <w:rPr>
          <w:color w:val="000000"/>
          <w:lang w:val="en-US" w:eastAsia="es-PE"/>
        </w:rPr>
        <w:t>ccjm.81a.12165</w:t>
      </w:r>
      <w:proofErr w:type="spellEnd"/>
    </w:p>
    <w:p w14:paraId="59F1AA96"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7. Jensen GL. Obesity and functional decline: epidemiology and geriatric consequences. Clin </w:t>
      </w:r>
      <w:proofErr w:type="spellStart"/>
      <w:r w:rsidRPr="00C63AC5">
        <w:rPr>
          <w:color w:val="000000"/>
          <w:lang w:val="en-US" w:eastAsia="es-PE"/>
        </w:rPr>
        <w:t>Geriatr</w:t>
      </w:r>
      <w:proofErr w:type="spellEnd"/>
      <w:r w:rsidRPr="00C63AC5">
        <w:rPr>
          <w:color w:val="000000"/>
          <w:lang w:val="en-US" w:eastAsia="es-PE"/>
        </w:rPr>
        <w:t xml:space="preserve"> Med. 2005; 21(4):677–87. DOI: 10.1016/</w:t>
      </w:r>
      <w:proofErr w:type="spellStart"/>
      <w:r w:rsidRPr="00C63AC5">
        <w:rPr>
          <w:color w:val="000000"/>
          <w:lang w:val="en-US" w:eastAsia="es-PE"/>
        </w:rPr>
        <w:t>j.cger.2005.06.007</w:t>
      </w:r>
      <w:proofErr w:type="spellEnd"/>
    </w:p>
    <w:p w14:paraId="272A2D90"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8. Shapiro H, </w:t>
      </w:r>
      <w:proofErr w:type="spellStart"/>
      <w:r w:rsidRPr="00C63AC5">
        <w:rPr>
          <w:color w:val="000000"/>
          <w:lang w:val="en-US" w:eastAsia="es-PE"/>
        </w:rPr>
        <w:t>Pecht</w:t>
      </w:r>
      <w:proofErr w:type="spellEnd"/>
      <w:r w:rsidRPr="00C63AC5">
        <w:rPr>
          <w:color w:val="000000"/>
          <w:lang w:val="en-US" w:eastAsia="es-PE"/>
        </w:rPr>
        <w:t xml:space="preserve"> T, </w:t>
      </w:r>
      <w:proofErr w:type="spellStart"/>
      <w:r w:rsidRPr="00C63AC5">
        <w:rPr>
          <w:color w:val="000000"/>
          <w:lang w:val="en-US" w:eastAsia="es-PE"/>
        </w:rPr>
        <w:t>Shaco</w:t>
      </w:r>
      <w:proofErr w:type="spellEnd"/>
      <w:r w:rsidRPr="00C63AC5">
        <w:rPr>
          <w:color w:val="000000"/>
          <w:lang w:val="en-US" w:eastAsia="es-PE"/>
        </w:rPr>
        <w:t xml:space="preserve">-Levy R, Harman-Boehm I, </w:t>
      </w:r>
      <w:proofErr w:type="spellStart"/>
      <w:r w:rsidRPr="00C63AC5">
        <w:rPr>
          <w:color w:val="000000"/>
          <w:lang w:val="en-US" w:eastAsia="es-PE"/>
        </w:rPr>
        <w:t>Kirshtein</w:t>
      </w:r>
      <w:proofErr w:type="spellEnd"/>
      <w:r w:rsidRPr="00C63AC5">
        <w:rPr>
          <w:color w:val="000000"/>
          <w:lang w:val="en-US" w:eastAsia="es-PE"/>
        </w:rPr>
        <w:t xml:space="preserve"> B, </w:t>
      </w:r>
      <w:proofErr w:type="spellStart"/>
      <w:r w:rsidRPr="00C63AC5">
        <w:rPr>
          <w:color w:val="000000"/>
          <w:lang w:val="en-US" w:eastAsia="es-PE"/>
        </w:rPr>
        <w:t>Kuperman</w:t>
      </w:r>
      <w:proofErr w:type="spellEnd"/>
      <w:r w:rsidRPr="00C63AC5">
        <w:rPr>
          <w:color w:val="000000"/>
          <w:lang w:val="en-US" w:eastAsia="es-PE"/>
        </w:rPr>
        <w:t xml:space="preserve"> Y, et al. Adipose tissue foam cells are present in human obesity. J Clin Endocrinol </w:t>
      </w:r>
      <w:proofErr w:type="spellStart"/>
      <w:r w:rsidRPr="00C63AC5">
        <w:rPr>
          <w:color w:val="000000"/>
          <w:lang w:val="en-US" w:eastAsia="es-PE"/>
        </w:rPr>
        <w:t>Metab</w:t>
      </w:r>
      <w:proofErr w:type="spellEnd"/>
      <w:r w:rsidRPr="00C63AC5">
        <w:rPr>
          <w:color w:val="000000"/>
          <w:lang w:val="en-US" w:eastAsia="es-PE"/>
        </w:rPr>
        <w:t>. 2013; 98(3):1173–81. DOI: 10.1210/</w:t>
      </w:r>
      <w:proofErr w:type="spellStart"/>
      <w:r w:rsidRPr="00C63AC5">
        <w:rPr>
          <w:color w:val="000000"/>
          <w:lang w:val="en-US" w:eastAsia="es-PE"/>
        </w:rPr>
        <w:t>jc.2012</w:t>
      </w:r>
      <w:proofErr w:type="spellEnd"/>
      <w:r w:rsidRPr="00C63AC5">
        <w:rPr>
          <w:color w:val="000000"/>
          <w:lang w:val="en-US" w:eastAsia="es-PE"/>
        </w:rPr>
        <w:t>-2745</w:t>
      </w:r>
    </w:p>
    <w:p w14:paraId="1822A476" w14:textId="77777777" w:rsidR="00C63AC5" w:rsidRPr="00C63AC5" w:rsidRDefault="00C63AC5" w:rsidP="00C63AC5">
      <w:pPr>
        <w:spacing w:line="360" w:lineRule="auto"/>
        <w:rPr>
          <w:color w:val="000000"/>
          <w:lang w:val="en-US" w:eastAsia="es-PE"/>
        </w:rPr>
      </w:pPr>
      <w:r w:rsidRPr="00C63AC5">
        <w:rPr>
          <w:color w:val="000000"/>
          <w:lang w:val="en-US" w:eastAsia="es-PE"/>
        </w:rPr>
        <w:t>9. Neale RE, Khan SR, Lucas RM, Waterhouse M, Whiteman DC, Olsen CM. The effect of sunscreen on vitamin D: a review. Br J Dermatol. 2019; 181(5):907–15. DOI: 10.1111/</w:t>
      </w:r>
      <w:proofErr w:type="spellStart"/>
      <w:r w:rsidRPr="00C63AC5">
        <w:rPr>
          <w:color w:val="000000"/>
          <w:lang w:val="en-US" w:eastAsia="es-PE"/>
        </w:rPr>
        <w:t>bjd.17980</w:t>
      </w:r>
      <w:proofErr w:type="spellEnd"/>
    </w:p>
    <w:p w14:paraId="040C10B9"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10. </w:t>
      </w:r>
      <w:proofErr w:type="spellStart"/>
      <w:r w:rsidRPr="00C63AC5">
        <w:rPr>
          <w:color w:val="000000"/>
          <w:lang w:val="en-US" w:eastAsia="es-PE"/>
        </w:rPr>
        <w:t>Hilger</w:t>
      </w:r>
      <w:proofErr w:type="spellEnd"/>
      <w:r w:rsidRPr="00C63AC5">
        <w:rPr>
          <w:color w:val="000000"/>
          <w:lang w:val="en-US" w:eastAsia="es-PE"/>
        </w:rPr>
        <w:t xml:space="preserve"> J, Friedel A, Herr R, Rausch T, </w:t>
      </w:r>
      <w:proofErr w:type="spellStart"/>
      <w:r w:rsidRPr="00C63AC5">
        <w:rPr>
          <w:color w:val="000000"/>
          <w:lang w:val="en-US" w:eastAsia="es-PE"/>
        </w:rPr>
        <w:t>Roos</w:t>
      </w:r>
      <w:proofErr w:type="spellEnd"/>
      <w:r w:rsidRPr="00C63AC5">
        <w:rPr>
          <w:color w:val="000000"/>
          <w:lang w:val="en-US" w:eastAsia="es-PE"/>
        </w:rPr>
        <w:t xml:space="preserve"> F, Wahl DA, et al. A systematic review of vitamin D status in populations worldwide. Br J </w:t>
      </w:r>
      <w:proofErr w:type="spellStart"/>
      <w:r w:rsidRPr="00C63AC5">
        <w:rPr>
          <w:color w:val="000000"/>
          <w:lang w:val="en-US" w:eastAsia="es-PE"/>
        </w:rPr>
        <w:t>Nutr</w:t>
      </w:r>
      <w:proofErr w:type="spellEnd"/>
      <w:r w:rsidRPr="00C63AC5">
        <w:rPr>
          <w:color w:val="000000"/>
          <w:lang w:val="en-US" w:eastAsia="es-PE"/>
        </w:rPr>
        <w:t>. 2014; 111(1):23–45. DOI: 10.1017/</w:t>
      </w:r>
      <w:proofErr w:type="spellStart"/>
      <w:r w:rsidRPr="00C63AC5">
        <w:rPr>
          <w:color w:val="000000"/>
          <w:lang w:val="en-US" w:eastAsia="es-PE"/>
        </w:rPr>
        <w:t>S0007114513001840</w:t>
      </w:r>
      <w:proofErr w:type="spellEnd"/>
    </w:p>
    <w:p w14:paraId="5DEA321E" w14:textId="77777777" w:rsidR="00C63AC5" w:rsidRPr="00C63AC5" w:rsidRDefault="00C63AC5" w:rsidP="00C63AC5">
      <w:pPr>
        <w:spacing w:line="360" w:lineRule="auto"/>
        <w:rPr>
          <w:color w:val="000000"/>
          <w:lang w:val="es-CU" w:eastAsia="es-PE"/>
        </w:rPr>
      </w:pPr>
      <w:r w:rsidRPr="00C63AC5">
        <w:rPr>
          <w:color w:val="000000"/>
          <w:lang w:val="en-US" w:eastAsia="es-PE"/>
        </w:rPr>
        <w:t xml:space="preserve">11. van </w:t>
      </w:r>
      <w:proofErr w:type="spellStart"/>
      <w:r w:rsidRPr="00C63AC5">
        <w:rPr>
          <w:color w:val="000000"/>
          <w:lang w:val="en-US" w:eastAsia="es-PE"/>
        </w:rPr>
        <w:t>Schoor</w:t>
      </w:r>
      <w:proofErr w:type="spellEnd"/>
      <w:r w:rsidRPr="00C63AC5">
        <w:rPr>
          <w:color w:val="000000"/>
          <w:lang w:val="en-US" w:eastAsia="es-PE"/>
        </w:rPr>
        <w:t xml:space="preserve"> N, Lips P. Global Overview of Vitamin D Status. Endocrinol </w:t>
      </w:r>
      <w:proofErr w:type="spellStart"/>
      <w:r w:rsidRPr="00C63AC5">
        <w:rPr>
          <w:color w:val="000000"/>
          <w:lang w:val="en-US" w:eastAsia="es-PE"/>
        </w:rPr>
        <w:t>Metab</w:t>
      </w:r>
      <w:proofErr w:type="spellEnd"/>
      <w:r w:rsidRPr="00C63AC5">
        <w:rPr>
          <w:color w:val="000000"/>
          <w:lang w:val="en-US" w:eastAsia="es-PE"/>
        </w:rPr>
        <w:t xml:space="preserve"> Clin North Am. 2017; 46(4):845–70. </w:t>
      </w:r>
      <w:proofErr w:type="spellStart"/>
      <w:r w:rsidRPr="00C63AC5">
        <w:rPr>
          <w:color w:val="000000"/>
          <w:lang w:val="es-CU" w:eastAsia="es-PE"/>
        </w:rPr>
        <w:t>DOI</w:t>
      </w:r>
      <w:proofErr w:type="spellEnd"/>
      <w:r w:rsidRPr="00C63AC5">
        <w:rPr>
          <w:color w:val="000000"/>
          <w:lang w:val="es-CU" w:eastAsia="es-PE"/>
        </w:rPr>
        <w:t>: 10.1016/</w:t>
      </w:r>
      <w:proofErr w:type="spellStart"/>
      <w:r w:rsidRPr="00C63AC5">
        <w:rPr>
          <w:color w:val="000000"/>
          <w:lang w:val="es-CU" w:eastAsia="es-PE"/>
        </w:rPr>
        <w:t>j.ecl.2017.07.002</w:t>
      </w:r>
      <w:proofErr w:type="spellEnd"/>
    </w:p>
    <w:p w14:paraId="7C91897A" w14:textId="77777777" w:rsidR="00C63AC5" w:rsidRPr="00C63AC5" w:rsidRDefault="00C63AC5" w:rsidP="00C63AC5">
      <w:pPr>
        <w:spacing w:line="360" w:lineRule="auto"/>
        <w:rPr>
          <w:color w:val="000000"/>
          <w:lang w:val="es-CU" w:eastAsia="es-PE"/>
        </w:rPr>
      </w:pPr>
      <w:r w:rsidRPr="00C63AC5">
        <w:rPr>
          <w:color w:val="000000"/>
          <w:lang w:val="es-CU" w:eastAsia="es-PE"/>
        </w:rPr>
        <w:t xml:space="preserve">12. Marcos-Pérez D, Sánchez-Flores M, </w:t>
      </w:r>
      <w:proofErr w:type="spellStart"/>
      <w:r w:rsidRPr="00C63AC5">
        <w:rPr>
          <w:color w:val="000000"/>
          <w:lang w:val="es-CU" w:eastAsia="es-PE"/>
        </w:rPr>
        <w:t>Proietti</w:t>
      </w:r>
      <w:proofErr w:type="spellEnd"/>
      <w:r w:rsidRPr="00C63AC5">
        <w:rPr>
          <w:color w:val="000000"/>
          <w:lang w:val="es-CU" w:eastAsia="es-PE"/>
        </w:rPr>
        <w:t xml:space="preserve"> S, </w:t>
      </w:r>
      <w:proofErr w:type="spellStart"/>
      <w:r w:rsidRPr="00C63AC5">
        <w:rPr>
          <w:color w:val="000000"/>
          <w:lang w:val="es-CU" w:eastAsia="es-PE"/>
        </w:rPr>
        <w:t>Bonassi</w:t>
      </w:r>
      <w:proofErr w:type="spellEnd"/>
      <w:r w:rsidRPr="00C63AC5">
        <w:rPr>
          <w:color w:val="000000"/>
          <w:lang w:val="es-CU" w:eastAsia="es-PE"/>
        </w:rPr>
        <w:t xml:space="preserve"> S, Costa S, Teixeira JP, et al. </w:t>
      </w:r>
      <w:r w:rsidRPr="00C63AC5">
        <w:rPr>
          <w:color w:val="000000"/>
          <w:lang w:val="en-US" w:eastAsia="es-PE"/>
        </w:rPr>
        <w:t xml:space="preserve">Low Vitamin D Levels and Frailty Status in Older Adults: A Systematic Review and Meta-Analysis. </w:t>
      </w:r>
      <w:proofErr w:type="spellStart"/>
      <w:r w:rsidRPr="00C63AC5">
        <w:rPr>
          <w:color w:val="000000"/>
          <w:lang w:val="es-CU" w:eastAsia="es-PE"/>
        </w:rPr>
        <w:t>Nutrients</w:t>
      </w:r>
      <w:proofErr w:type="spellEnd"/>
      <w:r w:rsidRPr="00C63AC5">
        <w:rPr>
          <w:color w:val="000000"/>
          <w:lang w:val="es-CU" w:eastAsia="es-PE"/>
        </w:rPr>
        <w:t>. 2020; 12(8</w:t>
      </w:r>
      <w:proofErr w:type="gramStart"/>
      <w:r w:rsidRPr="00C63AC5">
        <w:rPr>
          <w:color w:val="000000"/>
          <w:lang w:val="es-CU" w:eastAsia="es-PE"/>
        </w:rPr>
        <w:t>):</w:t>
      </w:r>
      <w:proofErr w:type="spellStart"/>
      <w:r w:rsidRPr="00C63AC5">
        <w:rPr>
          <w:color w:val="000000"/>
          <w:lang w:val="es-CU" w:eastAsia="es-PE"/>
        </w:rPr>
        <w:t>E</w:t>
      </w:r>
      <w:proofErr w:type="gramEnd"/>
      <w:r w:rsidRPr="00C63AC5">
        <w:rPr>
          <w:color w:val="000000"/>
          <w:lang w:val="es-CU" w:eastAsia="es-PE"/>
        </w:rPr>
        <w:t>2286</w:t>
      </w:r>
      <w:proofErr w:type="spellEnd"/>
      <w:r w:rsidRPr="00C63AC5">
        <w:rPr>
          <w:color w:val="000000"/>
          <w:lang w:val="es-CU" w:eastAsia="es-PE"/>
        </w:rPr>
        <w:t xml:space="preserve">. </w:t>
      </w:r>
      <w:proofErr w:type="spellStart"/>
      <w:r w:rsidRPr="00C63AC5">
        <w:rPr>
          <w:color w:val="000000"/>
          <w:lang w:val="es-CU" w:eastAsia="es-PE"/>
        </w:rPr>
        <w:t>DOI</w:t>
      </w:r>
      <w:proofErr w:type="spellEnd"/>
      <w:r w:rsidRPr="00C63AC5">
        <w:rPr>
          <w:color w:val="000000"/>
          <w:lang w:val="es-CU" w:eastAsia="es-PE"/>
        </w:rPr>
        <w:t>: 10.3390/</w:t>
      </w:r>
      <w:proofErr w:type="spellStart"/>
      <w:r w:rsidRPr="00C63AC5">
        <w:rPr>
          <w:color w:val="000000"/>
          <w:lang w:val="es-CU" w:eastAsia="es-PE"/>
        </w:rPr>
        <w:t>nu12082286</w:t>
      </w:r>
      <w:proofErr w:type="spellEnd"/>
    </w:p>
    <w:p w14:paraId="765412B1" w14:textId="77777777" w:rsidR="00C63AC5" w:rsidRPr="00C63AC5" w:rsidRDefault="00C63AC5" w:rsidP="00C63AC5">
      <w:pPr>
        <w:spacing w:line="360" w:lineRule="auto"/>
        <w:rPr>
          <w:color w:val="000000"/>
          <w:lang w:val="en-US" w:eastAsia="es-PE"/>
        </w:rPr>
      </w:pPr>
      <w:r w:rsidRPr="00C63AC5">
        <w:rPr>
          <w:color w:val="000000"/>
          <w:lang w:val="es-CU" w:eastAsia="es-PE"/>
        </w:rPr>
        <w:t xml:space="preserve">13. </w:t>
      </w:r>
      <w:proofErr w:type="spellStart"/>
      <w:r w:rsidRPr="00C63AC5">
        <w:rPr>
          <w:color w:val="000000"/>
          <w:lang w:val="es-CU" w:eastAsia="es-PE"/>
        </w:rPr>
        <w:t>Segheto</w:t>
      </w:r>
      <w:proofErr w:type="spellEnd"/>
      <w:r w:rsidRPr="00C63AC5">
        <w:rPr>
          <w:color w:val="000000"/>
          <w:lang w:val="es-CU" w:eastAsia="es-PE"/>
        </w:rPr>
        <w:t xml:space="preserve"> KJ, Pereira M, Silva </w:t>
      </w:r>
      <w:proofErr w:type="spellStart"/>
      <w:r w:rsidRPr="00C63AC5">
        <w:rPr>
          <w:color w:val="000000"/>
          <w:lang w:val="es-CU" w:eastAsia="es-PE"/>
        </w:rPr>
        <w:t>DCG</w:t>
      </w:r>
      <w:proofErr w:type="spellEnd"/>
      <w:r w:rsidRPr="00C63AC5">
        <w:rPr>
          <w:color w:val="000000"/>
          <w:lang w:val="es-CU" w:eastAsia="es-PE"/>
        </w:rPr>
        <w:t xml:space="preserve"> da, Carvalho </w:t>
      </w:r>
      <w:proofErr w:type="spellStart"/>
      <w:r w:rsidRPr="00C63AC5">
        <w:rPr>
          <w:color w:val="000000"/>
          <w:lang w:val="es-CU" w:eastAsia="es-PE"/>
        </w:rPr>
        <w:t>CJ</w:t>
      </w:r>
      <w:proofErr w:type="spellEnd"/>
      <w:r w:rsidRPr="00C63AC5">
        <w:rPr>
          <w:color w:val="000000"/>
          <w:lang w:val="es-CU" w:eastAsia="es-PE"/>
        </w:rPr>
        <w:t xml:space="preserve"> de, </w:t>
      </w:r>
      <w:proofErr w:type="spellStart"/>
      <w:r w:rsidRPr="00C63AC5">
        <w:rPr>
          <w:color w:val="000000"/>
          <w:lang w:val="es-CU" w:eastAsia="es-PE"/>
        </w:rPr>
        <w:t>Massardi</w:t>
      </w:r>
      <w:proofErr w:type="spellEnd"/>
      <w:r w:rsidRPr="00C63AC5">
        <w:rPr>
          <w:color w:val="000000"/>
          <w:lang w:val="es-CU" w:eastAsia="es-PE"/>
        </w:rPr>
        <w:t xml:space="preserve"> FR, </w:t>
      </w:r>
      <w:proofErr w:type="spellStart"/>
      <w:r w:rsidRPr="00C63AC5">
        <w:rPr>
          <w:color w:val="000000"/>
          <w:lang w:val="es-CU" w:eastAsia="es-PE"/>
        </w:rPr>
        <w:t>Kakehasi</w:t>
      </w:r>
      <w:proofErr w:type="spellEnd"/>
      <w:r w:rsidRPr="00C63AC5">
        <w:rPr>
          <w:color w:val="000000"/>
          <w:lang w:val="es-CU" w:eastAsia="es-PE"/>
        </w:rPr>
        <w:t xml:space="preserve"> AM, et al. </w:t>
      </w:r>
      <w:r w:rsidRPr="00C63AC5">
        <w:rPr>
          <w:color w:val="000000"/>
          <w:lang w:val="en-US" w:eastAsia="es-PE"/>
        </w:rPr>
        <w:t xml:space="preserve">Vitamin D and bone health in adults: a systematic review and meta-analysis. </w:t>
      </w:r>
      <w:proofErr w:type="spellStart"/>
      <w:r w:rsidRPr="00C63AC5">
        <w:rPr>
          <w:color w:val="000000"/>
          <w:lang w:val="en-US" w:eastAsia="es-PE"/>
        </w:rPr>
        <w:t>Cien</w:t>
      </w:r>
      <w:proofErr w:type="spellEnd"/>
      <w:r w:rsidRPr="00C63AC5">
        <w:rPr>
          <w:color w:val="000000"/>
          <w:lang w:val="en-US" w:eastAsia="es-PE"/>
        </w:rPr>
        <w:t xml:space="preserve"> </w:t>
      </w:r>
      <w:proofErr w:type="spellStart"/>
      <w:r w:rsidRPr="00C63AC5">
        <w:rPr>
          <w:color w:val="000000"/>
          <w:lang w:val="en-US" w:eastAsia="es-PE"/>
        </w:rPr>
        <w:t>Saude</w:t>
      </w:r>
      <w:proofErr w:type="spellEnd"/>
      <w:r w:rsidRPr="00C63AC5">
        <w:rPr>
          <w:color w:val="000000"/>
          <w:lang w:val="en-US" w:eastAsia="es-PE"/>
        </w:rPr>
        <w:t xml:space="preserve"> Colet. 2021; 26(8):3221–44. DOI: 10.1590/1413-81232021268.15012020</w:t>
      </w:r>
    </w:p>
    <w:p w14:paraId="125DF66E" w14:textId="77777777" w:rsidR="00C63AC5" w:rsidRPr="00C63AC5" w:rsidRDefault="00C63AC5" w:rsidP="00C63AC5">
      <w:pPr>
        <w:spacing w:line="360" w:lineRule="auto"/>
        <w:rPr>
          <w:color w:val="000000"/>
          <w:lang w:val="en-US" w:eastAsia="es-PE"/>
        </w:rPr>
      </w:pPr>
      <w:r w:rsidRPr="00C63AC5">
        <w:rPr>
          <w:color w:val="000000"/>
          <w:lang w:val="en-US" w:eastAsia="es-PE"/>
        </w:rPr>
        <w:lastRenderedPageBreak/>
        <w:t xml:space="preserve">14. </w:t>
      </w:r>
      <w:proofErr w:type="spellStart"/>
      <w:r w:rsidRPr="00C63AC5">
        <w:rPr>
          <w:color w:val="000000"/>
          <w:lang w:val="en-US" w:eastAsia="es-PE"/>
        </w:rPr>
        <w:t>Lucato</w:t>
      </w:r>
      <w:proofErr w:type="spellEnd"/>
      <w:r w:rsidRPr="00C63AC5">
        <w:rPr>
          <w:color w:val="000000"/>
          <w:lang w:val="en-US" w:eastAsia="es-PE"/>
        </w:rPr>
        <w:t xml:space="preserve"> P, </w:t>
      </w:r>
      <w:proofErr w:type="spellStart"/>
      <w:r w:rsidRPr="00C63AC5">
        <w:rPr>
          <w:color w:val="000000"/>
          <w:lang w:val="en-US" w:eastAsia="es-PE"/>
        </w:rPr>
        <w:t>Solmi</w:t>
      </w:r>
      <w:proofErr w:type="spellEnd"/>
      <w:r w:rsidRPr="00C63AC5">
        <w:rPr>
          <w:color w:val="000000"/>
          <w:lang w:val="en-US" w:eastAsia="es-PE"/>
        </w:rPr>
        <w:t xml:space="preserve"> M, Maggi S, </w:t>
      </w:r>
      <w:proofErr w:type="spellStart"/>
      <w:r w:rsidRPr="00C63AC5">
        <w:rPr>
          <w:color w:val="000000"/>
          <w:lang w:val="en-US" w:eastAsia="es-PE"/>
        </w:rPr>
        <w:t>Bertocco</w:t>
      </w:r>
      <w:proofErr w:type="spellEnd"/>
      <w:r w:rsidRPr="00C63AC5">
        <w:rPr>
          <w:color w:val="000000"/>
          <w:lang w:val="en-US" w:eastAsia="es-PE"/>
        </w:rPr>
        <w:t xml:space="preserve"> A, </w:t>
      </w:r>
      <w:proofErr w:type="spellStart"/>
      <w:r w:rsidRPr="00C63AC5">
        <w:rPr>
          <w:color w:val="000000"/>
          <w:lang w:val="en-US" w:eastAsia="es-PE"/>
        </w:rPr>
        <w:t>Bano</w:t>
      </w:r>
      <w:proofErr w:type="spellEnd"/>
      <w:r w:rsidRPr="00C63AC5">
        <w:rPr>
          <w:color w:val="000000"/>
          <w:lang w:val="en-US" w:eastAsia="es-PE"/>
        </w:rPr>
        <w:t xml:space="preserve"> G, </w:t>
      </w:r>
      <w:proofErr w:type="spellStart"/>
      <w:r w:rsidRPr="00C63AC5">
        <w:rPr>
          <w:color w:val="000000"/>
          <w:lang w:val="en-US" w:eastAsia="es-PE"/>
        </w:rPr>
        <w:t>Trevisan</w:t>
      </w:r>
      <w:proofErr w:type="spellEnd"/>
      <w:r w:rsidRPr="00C63AC5">
        <w:rPr>
          <w:color w:val="000000"/>
          <w:lang w:val="en-US" w:eastAsia="es-PE"/>
        </w:rPr>
        <w:t xml:space="preserve"> C, et al. Low vitamin D levels increase the risk of type 2 diabetes in older adults: A systematic review and meta-analysis. </w:t>
      </w:r>
      <w:proofErr w:type="spellStart"/>
      <w:r w:rsidRPr="00C63AC5">
        <w:rPr>
          <w:color w:val="000000"/>
          <w:lang w:val="en-US" w:eastAsia="es-PE"/>
        </w:rPr>
        <w:t>Maturitas</w:t>
      </w:r>
      <w:proofErr w:type="spellEnd"/>
      <w:r w:rsidRPr="00C63AC5">
        <w:rPr>
          <w:color w:val="000000"/>
          <w:lang w:val="en-US" w:eastAsia="es-PE"/>
        </w:rPr>
        <w:t>. 2017; 100:8–15. DOI: 10.1016/</w:t>
      </w:r>
      <w:proofErr w:type="spellStart"/>
      <w:r w:rsidRPr="00C63AC5">
        <w:rPr>
          <w:color w:val="000000"/>
          <w:lang w:val="en-US" w:eastAsia="es-PE"/>
        </w:rPr>
        <w:t>j.maturitas.2017.02.016</w:t>
      </w:r>
      <w:proofErr w:type="spellEnd"/>
    </w:p>
    <w:p w14:paraId="39C3A39E"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15. Okereke OI, Singh A. The role of vitamin D in the prevention of late-life depression. J Affect </w:t>
      </w:r>
      <w:proofErr w:type="spellStart"/>
      <w:r w:rsidRPr="00C63AC5">
        <w:rPr>
          <w:color w:val="000000"/>
          <w:lang w:val="en-US" w:eastAsia="es-PE"/>
        </w:rPr>
        <w:t>Disord</w:t>
      </w:r>
      <w:proofErr w:type="spellEnd"/>
      <w:r w:rsidRPr="00C63AC5">
        <w:rPr>
          <w:color w:val="000000"/>
          <w:lang w:val="en-US" w:eastAsia="es-PE"/>
        </w:rPr>
        <w:t>. 2016; 198:1–14. DOI: 10.1016/</w:t>
      </w:r>
      <w:proofErr w:type="spellStart"/>
      <w:r w:rsidRPr="00C63AC5">
        <w:rPr>
          <w:color w:val="000000"/>
          <w:lang w:val="en-US" w:eastAsia="es-PE"/>
        </w:rPr>
        <w:t>j.jad.2016.03.022</w:t>
      </w:r>
      <w:proofErr w:type="spellEnd"/>
    </w:p>
    <w:p w14:paraId="2168AD15"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16. Yang J, </w:t>
      </w:r>
      <w:proofErr w:type="spellStart"/>
      <w:r w:rsidRPr="00C63AC5">
        <w:rPr>
          <w:color w:val="000000"/>
          <w:lang w:val="en-US" w:eastAsia="es-PE"/>
        </w:rPr>
        <w:t>Ou</w:t>
      </w:r>
      <w:proofErr w:type="spellEnd"/>
      <w:r w:rsidRPr="00C63AC5">
        <w:rPr>
          <w:color w:val="000000"/>
          <w:lang w:val="en-US" w:eastAsia="es-PE"/>
        </w:rPr>
        <w:t xml:space="preserve">-Yang J, Huang J. Low serum vitamin D levels increase the mortality of cardiovascular disease in older adults: A dose-response meta-analysis of prospective studies. Medicine (Baltimore). 2019; 98(34): </w:t>
      </w:r>
      <w:proofErr w:type="spellStart"/>
      <w:r w:rsidRPr="00C63AC5">
        <w:rPr>
          <w:color w:val="000000"/>
          <w:lang w:val="en-US" w:eastAsia="es-PE"/>
        </w:rPr>
        <w:t>e16733</w:t>
      </w:r>
      <w:proofErr w:type="spellEnd"/>
      <w:r w:rsidRPr="00C63AC5">
        <w:rPr>
          <w:color w:val="000000"/>
          <w:lang w:val="en-US" w:eastAsia="es-PE"/>
        </w:rPr>
        <w:t xml:space="preserve">. </w:t>
      </w:r>
      <w:proofErr w:type="spellStart"/>
      <w:r w:rsidRPr="00C63AC5">
        <w:rPr>
          <w:color w:val="000000"/>
          <w:lang w:val="en-US" w:eastAsia="es-PE"/>
        </w:rPr>
        <w:t>DOI:10.1097</w:t>
      </w:r>
      <w:proofErr w:type="spellEnd"/>
      <w:r w:rsidRPr="00C63AC5">
        <w:rPr>
          <w:color w:val="000000"/>
          <w:lang w:val="en-US" w:eastAsia="es-PE"/>
        </w:rPr>
        <w:t>/</w:t>
      </w:r>
      <w:proofErr w:type="spellStart"/>
      <w:r w:rsidRPr="00C63AC5">
        <w:rPr>
          <w:color w:val="000000"/>
          <w:lang w:val="en-US" w:eastAsia="es-PE"/>
        </w:rPr>
        <w:t>MD.0000000000016733</w:t>
      </w:r>
      <w:proofErr w:type="spellEnd"/>
    </w:p>
    <w:p w14:paraId="47C4B973"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17. </w:t>
      </w:r>
      <w:proofErr w:type="spellStart"/>
      <w:r w:rsidRPr="00C63AC5">
        <w:rPr>
          <w:color w:val="000000"/>
          <w:lang w:val="en-US" w:eastAsia="es-PE"/>
        </w:rPr>
        <w:t>Apovian</w:t>
      </w:r>
      <w:proofErr w:type="spellEnd"/>
      <w:r w:rsidRPr="00C63AC5">
        <w:rPr>
          <w:color w:val="000000"/>
          <w:lang w:val="en-US" w:eastAsia="es-PE"/>
        </w:rPr>
        <w:t xml:space="preserve"> CM. Obesity: definition, comorbidities, causes, and burden. Am J </w:t>
      </w:r>
      <w:proofErr w:type="spellStart"/>
      <w:r w:rsidRPr="00C63AC5">
        <w:rPr>
          <w:color w:val="000000"/>
          <w:lang w:val="en-US" w:eastAsia="es-PE"/>
        </w:rPr>
        <w:t>Manag</w:t>
      </w:r>
      <w:proofErr w:type="spellEnd"/>
      <w:r w:rsidRPr="00C63AC5">
        <w:rPr>
          <w:color w:val="000000"/>
          <w:lang w:val="en-US" w:eastAsia="es-PE"/>
        </w:rPr>
        <w:t xml:space="preserve"> Care. 2016 [</w:t>
      </w:r>
      <w:proofErr w:type="spellStart"/>
      <w:r w:rsidRPr="00C63AC5">
        <w:rPr>
          <w:color w:val="000000"/>
          <w:lang w:val="en-US" w:eastAsia="es-PE"/>
        </w:rPr>
        <w:t>acceso</w:t>
      </w:r>
      <w:proofErr w:type="spellEnd"/>
      <w:r w:rsidRPr="00C63AC5">
        <w:rPr>
          <w:color w:val="000000"/>
          <w:lang w:val="en-US" w:eastAsia="es-PE"/>
        </w:rPr>
        <w:t>: 16/09/2021]; 22(7 Suppl</w:t>
      </w:r>
      <w:proofErr w:type="gramStart"/>
      <w:r w:rsidRPr="00C63AC5">
        <w:rPr>
          <w:color w:val="000000"/>
          <w:lang w:val="en-US" w:eastAsia="es-PE"/>
        </w:rPr>
        <w:t>):</w:t>
      </w:r>
      <w:proofErr w:type="spellStart"/>
      <w:r w:rsidRPr="00C63AC5">
        <w:rPr>
          <w:color w:val="000000"/>
          <w:lang w:val="en-US" w:eastAsia="es-PE"/>
        </w:rPr>
        <w:t>s</w:t>
      </w:r>
      <w:proofErr w:type="gramEnd"/>
      <w:r w:rsidRPr="00C63AC5">
        <w:rPr>
          <w:color w:val="000000"/>
          <w:lang w:val="en-US" w:eastAsia="es-PE"/>
        </w:rPr>
        <w:t>176</w:t>
      </w:r>
      <w:proofErr w:type="spellEnd"/>
      <w:r w:rsidRPr="00C63AC5">
        <w:rPr>
          <w:color w:val="000000"/>
          <w:lang w:val="en-US" w:eastAsia="es-PE"/>
        </w:rPr>
        <w:t xml:space="preserve">-185.. Disponible </w:t>
      </w:r>
      <w:proofErr w:type="spellStart"/>
      <w:r w:rsidRPr="00C63AC5">
        <w:rPr>
          <w:color w:val="000000"/>
          <w:lang w:val="en-US" w:eastAsia="es-PE"/>
        </w:rPr>
        <w:t>en</w:t>
      </w:r>
      <w:proofErr w:type="spellEnd"/>
      <w:r w:rsidRPr="00C63AC5">
        <w:rPr>
          <w:color w:val="000000"/>
          <w:lang w:val="en-US" w:eastAsia="es-PE"/>
        </w:rPr>
        <w:t xml:space="preserve">: </w:t>
      </w:r>
      <w:hyperlink r:id="rId24" w:history="1">
        <w:r w:rsidRPr="00C63AC5">
          <w:rPr>
            <w:color w:val="0563C1"/>
            <w:u w:val="single"/>
            <w:lang w:val="en-US" w:eastAsia="es-PE"/>
          </w:rPr>
          <w:t>https://pubmed.ncbi.nlm.nih.gov/27356115/</w:t>
        </w:r>
      </w:hyperlink>
      <w:r w:rsidRPr="00C63AC5">
        <w:rPr>
          <w:color w:val="000000"/>
          <w:lang w:val="en-US" w:eastAsia="es-PE"/>
        </w:rPr>
        <w:t xml:space="preserve">  </w:t>
      </w:r>
    </w:p>
    <w:p w14:paraId="610B3ACE"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18. Moher D, </w:t>
      </w:r>
      <w:proofErr w:type="spellStart"/>
      <w:r w:rsidRPr="00C63AC5">
        <w:rPr>
          <w:color w:val="000000"/>
          <w:lang w:val="en-US" w:eastAsia="es-PE"/>
        </w:rPr>
        <w:t>Liberati</w:t>
      </w:r>
      <w:proofErr w:type="spellEnd"/>
      <w:r w:rsidRPr="00C63AC5">
        <w:rPr>
          <w:color w:val="000000"/>
          <w:lang w:val="en-US" w:eastAsia="es-PE"/>
        </w:rPr>
        <w:t xml:space="preserve"> A, </w:t>
      </w:r>
      <w:proofErr w:type="spellStart"/>
      <w:r w:rsidRPr="00C63AC5">
        <w:rPr>
          <w:color w:val="000000"/>
          <w:lang w:val="en-US" w:eastAsia="es-PE"/>
        </w:rPr>
        <w:t>Tetzlaff</w:t>
      </w:r>
      <w:proofErr w:type="spellEnd"/>
      <w:r w:rsidRPr="00C63AC5">
        <w:rPr>
          <w:color w:val="000000"/>
          <w:lang w:val="en-US" w:eastAsia="es-PE"/>
        </w:rPr>
        <w:t xml:space="preserve"> J, Altman DG, PRISMA Group. Preferred reporting items for systematic reviews and meta-analyses: the PRISMA statement. </w:t>
      </w:r>
      <w:proofErr w:type="spellStart"/>
      <w:r w:rsidRPr="00C63AC5">
        <w:rPr>
          <w:color w:val="000000"/>
          <w:lang w:val="en-US" w:eastAsia="es-PE"/>
        </w:rPr>
        <w:t>PLoS</w:t>
      </w:r>
      <w:proofErr w:type="spellEnd"/>
      <w:r w:rsidRPr="00C63AC5">
        <w:rPr>
          <w:color w:val="000000"/>
          <w:lang w:val="en-US" w:eastAsia="es-PE"/>
        </w:rPr>
        <w:t xml:space="preserve"> Med. 2009; 6(7</w:t>
      </w:r>
      <w:proofErr w:type="gramStart"/>
      <w:r w:rsidRPr="00C63AC5">
        <w:rPr>
          <w:color w:val="000000"/>
          <w:lang w:val="en-US" w:eastAsia="es-PE"/>
        </w:rPr>
        <w:t>):</w:t>
      </w:r>
      <w:proofErr w:type="spellStart"/>
      <w:r w:rsidRPr="00C63AC5">
        <w:rPr>
          <w:color w:val="000000"/>
          <w:lang w:val="en-US" w:eastAsia="es-PE"/>
        </w:rPr>
        <w:t>e</w:t>
      </w:r>
      <w:proofErr w:type="gramEnd"/>
      <w:r w:rsidRPr="00C63AC5">
        <w:rPr>
          <w:color w:val="000000"/>
          <w:lang w:val="en-US" w:eastAsia="es-PE"/>
        </w:rPr>
        <w:t>1000097</w:t>
      </w:r>
      <w:proofErr w:type="spellEnd"/>
      <w:r w:rsidRPr="00C63AC5">
        <w:rPr>
          <w:color w:val="000000"/>
          <w:lang w:val="en-US" w:eastAsia="es-PE"/>
        </w:rPr>
        <w:t>. DOI: 10.1371/</w:t>
      </w:r>
      <w:proofErr w:type="spellStart"/>
      <w:r w:rsidRPr="00C63AC5">
        <w:rPr>
          <w:color w:val="000000"/>
          <w:lang w:val="en-US" w:eastAsia="es-PE"/>
        </w:rPr>
        <w:t>journal.pmed.1000097</w:t>
      </w:r>
      <w:proofErr w:type="spellEnd"/>
    </w:p>
    <w:p w14:paraId="06DBDC5D"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19. </w:t>
      </w:r>
      <w:proofErr w:type="spellStart"/>
      <w:r w:rsidRPr="00C63AC5">
        <w:rPr>
          <w:color w:val="000000"/>
          <w:lang w:val="en-US" w:eastAsia="es-PE"/>
        </w:rPr>
        <w:t>Modesti</w:t>
      </w:r>
      <w:proofErr w:type="spellEnd"/>
      <w:r w:rsidRPr="00C63AC5">
        <w:rPr>
          <w:color w:val="000000"/>
          <w:lang w:val="en-US" w:eastAsia="es-PE"/>
        </w:rPr>
        <w:t xml:space="preserve"> PA, </w:t>
      </w:r>
      <w:proofErr w:type="spellStart"/>
      <w:r w:rsidRPr="00C63AC5">
        <w:rPr>
          <w:color w:val="000000"/>
          <w:lang w:val="en-US" w:eastAsia="es-PE"/>
        </w:rPr>
        <w:t>Reboldi</w:t>
      </w:r>
      <w:proofErr w:type="spellEnd"/>
      <w:r w:rsidRPr="00C63AC5">
        <w:rPr>
          <w:color w:val="000000"/>
          <w:lang w:val="en-US" w:eastAsia="es-PE"/>
        </w:rPr>
        <w:t xml:space="preserve"> G, </w:t>
      </w:r>
      <w:proofErr w:type="spellStart"/>
      <w:r w:rsidRPr="00C63AC5">
        <w:rPr>
          <w:color w:val="000000"/>
          <w:lang w:val="en-US" w:eastAsia="es-PE"/>
        </w:rPr>
        <w:t>Cappuccio</w:t>
      </w:r>
      <w:proofErr w:type="spellEnd"/>
      <w:r w:rsidRPr="00C63AC5">
        <w:rPr>
          <w:color w:val="000000"/>
          <w:lang w:val="en-US" w:eastAsia="es-PE"/>
        </w:rPr>
        <w:t xml:space="preserve"> FP, Agyemang C, </w:t>
      </w:r>
      <w:proofErr w:type="spellStart"/>
      <w:r w:rsidRPr="00C63AC5">
        <w:rPr>
          <w:color w:val="000000"/>
          <w:lang w:val="en-US" w:eastAsia="es-PE"/>
        </w:rPr>
        <w:t>Remuzzi</w:t>
      </w:r>
      <w:proofErr w:type="spellEnd"/>
      <w:r w:rsidRPr="00C63AC5">
        <w:rPr>
          <w:color w:val="000000"/>
          <w:lang w:val="en-US" w:eastAsia="es-PE"/>
        </w:rPr>
        <w:t xml:space="preserve"> G, Rapi S, et al. </w:t>
      </w:r>
      <w:proofErr w:type="spellStart"/>
      <w:r w:rsidRPr="00C63AC5">
        <w:rPr>
          <w:color w:val="000000"/>
          <w:lang w:val="en-US" w:eastAsia="es-PE"/>
        </w:rPr>
        <w:t>Panethnic</w:t>
      </w:r>
      <w:proofErr w:type="spellEnd"/>
      <w:r w:rsidRPr="00C63AC5">
        <w:rPr>
          <w:color w:val="000000"/>
          <w:lang w:val="en-US" w:eastAsia="es-PE"/>
        </w:rPr>
        <w:t xml:space="preserve"> Differences in Blood Pressure in Europe: A Systematic Review and Meta-Analysis. PLOS ONE. 2016; 11(1</w:t>
      </w:r>
      <w:proofErr w:type="gramStart"/>
      <w:r w:rsidRPr="00C63AC5">
        <w:rPr>
          <w:color w:val="000000"/>
          <w:lang w:val="en-US" w:eastAsia="es-PE"/>
        </w:rPr>
        <w:t>):</w:t>
      </w:r>
      <w:proofErr w:type="spellStart"/>
      <w:r w:rsidRPr="00C63AC5">
        <w:rPr>
          <w:color w:val="000000"/>
          <w:lang w:val="en-US" w:eastAsia="es-PE"/>
        </w:rPr>
        <w:t>e</w:t>
      </w:r>
      <w:proofErr w:type="gramEnd"/>
      <w:r w:rsidRPr="00C63AC5">
        <w:rPr>
          <w:color w:val="000000"/>
          <w:lang w:val="en-US" w:eastAsia="es-PE"/>
        </w:rPr>
        <w:t>0147601</w:t>
      </w:r>
      <w:proofErr w:type="spellEnd"/>
      <w:r w:rsidRPr="00C63AC5">
        <w:rPr>
          <w:color w:val="000000"/>
          <w:lang w:val="en-US" w:eastAsia="es-PE"/>
        </w:rPr>
        <w:t>. DOI: 10.1371/</w:t>
      </w:r>
      <w:proofErr w:type="spellStart"/>
      <w:r w:rsidRPr="00C63AC5">
        <w:rPr>
          <w:color w:val="000000"/>
          <w:lang w:val="en-US" w:eastAsia="es-PE"/>
        </w:rPr>
        <w:t>journal.pone.0147601</w:t>
      </w:r>
      <w:proofErr w:type="spellEnd"/>
    </w:p>
    <w:p w14:paraId="3BA18200"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20. Higgins </w:t>
      </w:r>
      <w:proofErr w:type="spellStart"/>
      <w:r w:rsidRPr="00C63AC5">
        <w:rPr>
          <w:color w:val="000000"/>
          <w:lang w:val="en-US" w:eastAsia="es-PE"/>
        </w:rPr>
        <w:t>JPT</w:t>
      </w:r>
      <w:proofErr w:type="spellEnd"/>
      <w:r w:rsidRPr="00C63AC5">
        <w:rPr>
          <w:color w:val="000000"/>
          <w:lang w:val="en-US" w:eastAsia="es-PE"/>
        </w:rPr>
        <w:t>, Thompson SG. Quantifying heterogeneity in a meta-analysis. Stat Med. 2002; 21(11):1539–58. DOI: 10.1002/</w:t>
      </w:r>
      <w:proofErr w:type="spellStart"/>
      <w:r w:rsidRPr="00C63AC5">
        <w:rPr>
          <w:color w:val="000000"/>
          <w:lang w:val="en-US" w:eastAsia="es-PE"/>
        </w:rPr>
        <w:t>sim.1186</w:t>
      </w:r>
      <w:proofErr w:type="spellEnd"/>
    </w:p>
    <w:p w14:paraId="3E0505E7" w14:textId="77777777" w:rsidR="00C63AC5" w:rsidRPr="00C63AC5" w:rsidRDefault="00C63AC5" w:rsidP="00C63AC5">
      <w:pPr>
        <w:spacing w:line="360" w:lineRule="auto"/>
        <w:rPr>
          <w:color w:val="000000"/>
          <w:lang w:val="es-CU" w:eastAsia="es-PE"/>
        </w:rPr>
      </w:pPr>
      <w:r w:rsidRPr="00C63AC5">
        <w:rPr>
          <w:color w:val="000000"/>
          <w:lang w:val="en-US" w:eastAsia="es-PE"/>
        </w:rPr>
        <w:t xml:space="preserve">21. Higgins </w:t>
      </w:r>
      <w:proofErr w:type="spellStart"/>
      <w:r w:rsidRPr="00C63AC5">
        <w:rPr>
          <w:color w:val="000000"/>
          <w:lang w:val="en-US" w:eastAsia="es-PE"/>
        </w:rPr>
        <w:t>JPT</w:t>
      </w:r>
      <w:proofErr w:type="spellEnd"/>
      <w:r w:rsidRPr="00C63AC5">
        <w:rPr>
          <w:color w:val="000000"/>
          <w:lang w:val="en-US" w:eastAsia="es-PE"/>
        </w:rPr>
        <w:t xml:space="preserve">, Thomas J, Chandler J, </w:t>
      </w:r>
      <w:proofErr w:type="spellStart"/>
      <w:r w:rsidRPr="00C63AC5">
        <w:rPr>
          <w:color w:val="000000"/>
          <w:lang w:val="en-US" w:eastAsia="es-PE"/>
        </w:rPr>
        <w:t>Cumpston</w:t>
      </w:r>
      <w:proofErr w:type="spellEnd"/>
      <w:r w:rsidRPr="00C63AC5">
        <w:rPr>
          <w:color w:val="000000"/>
          <w:lang w:val="en-US" w:eastAsia="es-PE"/>
        </w:rPr>
        <w:t xml:space="preserve"> M, Li T, Page MJ, Welch VA (editors). Cochrane Handbook for Systematic Reviews of Interventions version 6.3 (updated February 2022). </w:t>
      </w:r>
      <w:r w:rsidRPr="00C63AC5">
        <w:rPr>
          <w:color w:val="000000"/>
          <w:lang w:val="es-CU" w:eastAsia="es-PE"/>
        </w:rPr>
        <w:t xml:space="preserve">Cochrane; 2022. [acceso: 27/11/2021]. Disponible en: </w:t>
      </w:r>
      <w:hyperlink r:id="rId25" w:history="1">
        <w:r w:rsidRPr="00C63AC5">
          <w:rPr>
            <w:color w:val="0563C1"/>
            <w:u w:val="single"/>
            <w:lang w:val="es-CU" w:eastAsia="es-PE"/>
          </w:rPr>
          <w:t>https://training.cochrane.org/handbook</w:t>
        </w:r>
      </w:hyperlink>
      <w:r w:rsidRPr="00C63AC5">
        <w:rPr>
          <w:color w:val="000000"/>
          <w:lang w:val="es-CU" w:eastAsia="es-PE"/>
        </w:rPr>
        <w:t xml:space="preserve"> </w:t>
      </w:r>
    </w:p>
    <w:p w14:paraId="61C048D5" w14:textId="77777777" w:rsidR="00C63AC5" w:rsidRPr="00C63AC5" w:rsidRDefault="00C63AC5" w:rsidP="00C63AC5">
      <w:pPr>
        <w:spacing w:line="360" w:lineRule="auto"/>
        <w:rPr>
          <w:color w:val="000000"/>
          <w:lang w:val="en-US" w:eastAsia="es-PE"/>
        </w:rPr>
      </w:pPr>
      <w:r w:rsidRPr="00C63AC5">
        <w:rPr>
          <w:color w:val="000000"/>
          <w:lang w:val="es-CU" w:eastAsia="es-PE"/>
        </w:rPr>
        <w:t xml:space="preserve">22. Zhu X-L, Chen Z-H, Li Y, Yang P-T, Liu L, Wu L-X, et al. </w:t>
      </w:r>
      <w:r w:rsidRPr="00C63AC5">
        <w:rPr>
          <w:color w:val="000000"/>
          <w:lang w:val="en-US" w:eastAsia="es-PE"/>
        </w:rPr>
        <w:t xml:space="preserve">Associations of vitamin D with novel and traditional anthropometric indices according to age and sex: a cross-sectional study in central southern China. Eat Weight </w:t>
      </w:r>
      <w:proofErr w:type="spellStart"/>
      <w:r w:rsidRPr="00C63AC5">
        <w:rPr>
          <w:color w:val="000000"/>
          <w:lang w:val="en-US" w:eastAsia="es-PE"/>
        </w:rPr>
        <w:t>Disord</w:t>
      </w:r>
      <w:proofErr w:type="spellEnd"/>
      <w:r w:rsidRPr="00C63AC5">
        <w:rPr>
          <w:color w:val="000000"/>
          <w:lang w:val="en-US" w:eastAsia="es-PE"/>
        </w:rPr>
        <w:t>. 2020; 25(6):1651–61. DOI: 10.1007/</w:t>
      </w:r>
      <w:proofErr w:type="spellStart"/>
      <w:r w:rsidRPr="00C63AC5">
        <w:rPr>
          <w:color w:val="000000"/>
          <w:lang w:val="en-US" w:eastAsia="es-PE"/>
        </w:rPr>
        <w:t>s40519</w:t>
      </w:r>
      <w:proofErr w:type="spellEnd"/>
      <w:r w:rsidRPr="00C63AC5">
        <w:rPr>
          <w:color w:val="000000"/>
          <w:lang w:val="en-US" w:eastAsia="es-PE"/>
        </w:rPr>
        <w:t>-019-00803-8</w:t>
      </w:r>
    </w:p>
    <w:p w14:paraId="28B6EC05"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23. Cheng Q, Du Y, Hong W, Tang W, Li H, Chen M, et al. Factors associated to serum 25-hydroxyvitamin D levels among older adult populations in urban and suburban communities in Shanghai, China. BMC </w:t>
      </w:r>
      <w:proofErr w:type="spellStart"/>
      <w:r w:rsidRPr="00C63AC5">
        <w:rPr>
          <w:color w:val="000000"/>
          <w:lang w:val="en-US" w:eastAsia="es-PE"/>
        </w:rPr>
        <w:t>Geriatr</w:t>
      </w:r>
      <w:proofErr w:type="spellEnd"/>
      <w:r w:rsidRPr="00C63AC5">
        <w:rPr>
          <w:color w:val="000000"/>
          <w:lang w:val="en-US" w:eastAsia="es-PE"/>
        </w:rPr>
        <w:t>. 2017; 17(1):246. DOI: 10.1186/</w:t>
      </w:r>
      <w:proofErr w:type="spellStart"/>
      <w:r w:rsidRPr="00C63AC5">
        <w:rPr>
          <w:color w:val="000000"/>
          <w:lang w:val="en-US" w:eastAsia="es-PE"/>
        </w:rPr>
        <w:t>s12877</w:t>
      </w:r>
      <w:proofErr w:type="spellEnd"/>
      <w:r w:rsidRPr="00C63AC5">
        <w:rPr>
          <w:color w:val="000000"/>
          <w:lang w:val="en-US" w:eastAsia="es-PE"/>
        </w:rPr>
        <w:t>-017-0632-z</w:t>
      </w:r>
    </w:p>
    <w:p w14:paraId="0C895117" w14:textId="77777777" w:rsidR="00C63AC5" w:rsidRPr="00C63AC5" w:rsidRDefault="00C63AC5" w:rsidP="00C63AC5">
      <w:pPr>
        <w:spacing w:line="360" w:lineRule="auto"/>
        <w:rPr>
          <w:color w:val="000000"/>
          <w:lang w:val="en-US" w:eastAsia="es-PE"/>
        </w:rPr>
      </w:pPr>
      <w:r w:rsidRPr="00C63AC5">
        <w:rPr>
          <w:color w:val="000000"/>
          <w:lang w:val="en-US" w:eastAsia="es-PE"/>
        </w:rPr>
        <w:lastRenderedPageBreak/>
        <w:t xml:space="preserve">24. </w:t>
      </w:r>
      <w:proofErr w:type="spellStart"/>
      <w:r w:rsidRPr="00C63AC5">
        <w:rPr>
          <w:color w:val="000000"/>
          <w:lang w:val="en-US" w:eastAsia="es-PE"/>
        </w:rPr>
        <w:t>Orces</w:t>
      </w:r>
      <w:proofErr w:type="spellEnd"/>
      <w:r w:rsidRPr="00C63AC5">
        <w:rPr>
          <w:color w:val="000000"/>
          <w:lang w:val="en-US" w:eastAsia="es-PE"/>
        </w:rPr>
        <w:t xml:space="preserve"> C, Lorenzo C, </w:t>
      </w:r>
      <w:proofErr w:type="spellStart"/>
      <w:r w:rsidRPr="00C63AC5">
        <w:rPr>
          <w:color w:val="000000"/>
          <w:lang w:val="en-US" w:eastAsia="es-PE"/>
        </w:rPr>
        <w:t>Guarneros</w:t>
      </w:r>
      <w:proofErr w:type="spellEnd"/>
      <w:r w:rsidRPr="00C63AC5">
        <w:rPr>
          <w:color w:val="000000"/>
          <w:lang w:val="en-US" w:eastAsia="es-PE"/>
        </w:rPr>
        <w:t xml:space="preserve"> JE. The Prevalence and Determinants of Vitamin D Inadequacy among U.S. Older Adults: National Health and Nutrition Examination Survey 2007-2014. </w:t>
      </w:r>
      <w:proofErr w:type="spellStart"/>
      <w:r w:rsidRPr="00C63AC5">
        <w:rPr>
          <w:color w:val="000000"/>
          <w:lang w:val="en-US" w:eastAsia="es-PE"/>
        </w:rPr>
        <w:t>Cureus</w:t>
      </w:r>
      <w:proofErr w:type="spellEnd"/>
      <w:r w:rsidRPr="00C63AC5">
        <w:rPr>
          <w:color w:val="000000"/>
          <w:lang w:val="en-US" w:eastAsia="es-PE"/>
        </w:rPr>
        <w:t>. 2019; 11(8</w:t>
      </w:r>
      <w:proofErr w:type="gramStart"/>
      <w:r w:rsidRPr="00C63AC5">
        <w:rPr>
          <w:color w:val="000000"/>
          <w:lang w:val="en-US" w:eastAsia="es-PE"/>
        </w:rPr>
        <w:t>):</w:t>
      </w:r>
      <w:proofErr w:type="spellStart"/>
      <w:r w:rsidRPr="00C63AC5">
        <w:rPr>
          <w:color w:val="000000"/>
          <w:lang w:val="en-US" w:eastAsia="es-PE"/>
        </w:rPr>
        <w:t>e</w:t>
      </w:r>
      <w:proofErr w:type="gramEnd"/>
      <w:r w:rsidRPr="00C63AC5">
        <w:rPr>
          <w:color w:val="000000"/>
          <w:lang w:val="en-US" w:eastAsia="es-PE"/>
        </w:rPr>
        <w:t>5300</w:t>
      </w:r>
      <w:proofErr w:type="spellEnd"/>
      <w:r w:rsidRPr="00C63AC5">
        <w:rPr>
          <w:color w:val="000000"/>
          <w:lang w:val="en-US" w:eastAsia="es-PE"/>
        </w:rPr>
        <w:t xml:space="preserve">. </w:t>
      </w:r>
      <w:proofErr w:type="spellStart"/>
      <w:r w:rsidRPr="00C63AC5">
        <w:rPr>
          <w:color w:val="000000"/>
          <w:lang w:val="en-US" w:eastAsia="es-PE"/>
        </w:rPr>
        <w:t>DOI:10.7759</w:t>
      </w:r>
      <w:proofErr w:type="spellEnd"/>
      <w:r w:rsidRPr="00C63AC5">
        <w:rPr>
          <w:color w:val="000000"/>
          <w:lang w:val="en-US" w:eastAsia="es-PE"/>
        </w:rPr>
        <w:t>/</w:t>
      </w:r>
      <w:proofErr w:type="spellStart"/>
      <w:r w:rsidRPr="00C63AC5">
        <w:rPr>
          <w:color w:val="000000"/>
          <w:lang w:val="en-US" w:eastAsia="es-PE"/>
        </w:rPr>
        <w:t>cureus.5300</w:t>
      </w:r>
      <w:proofErr w:type="spellEnd"/>
    </w:p>
    <w:p w14:paraId="0AF88798" w14:textId="77777777" w:rsidR="00C63AC5" w:rsidRPr="00C63AC5" w:rsidRDefault="00C63AC5" w:rsidP="00C63AC5">
      <w:pPr>
        <w:spacing w:line="360" w:lineRule="auto"/>
        <w:rPr>
          <w:color w:val="000000"/>
          <w:lang w:val="es-CU" w:eastAsia="es-PE"/>
        </w:rPr>
      </w:pPr>
      <w:r w:rsidRPr="00C63AC5">
        <w:rPr>
          <w:color w:val="000000"/>
          <w:lang w:val="en-US" w:eastAsia="es-PE"/>
        </w:rPr>
        <w:t xml:space="preserve">25. </w:t>
      </w:r>
      <w:proofErr w:type="spellStart"/>
      <w:r w:rsidRPr="00C63AC5">
        <w:rPr>
          <w:color w:val="000000"/>
          <w:lang w:val="en-US" w:eastAsia="es-PE"/>
        </w:rPr>
        <w:t>Orces</w:t>
      </w:r>
      <w:proofErr w:type="spellEnd"/>
      <w:r w:rsidRPr="00C63AC5">
        <w:rPr>
          <w:color w:val="000000"/>
          <w:lang w:val="en-US" w:eastAsia="es-PE"/>
        </w:rPr>
        <w:t xml:space="preserve"> CH, López </w:t>
      </w:r>
      <w:proofErr w:type="spellStart"/>
      <w:r w:rsidRPr="00C63AC5">
        <w:rPr>
          <w:color w:val="000000"/>
          <w:lang w:val="en-US" w:eastAsia="es-PE"/>
        </w:rPr>
        <w:t>Gavilánez</w:t>
      </w:r>
      <w:proofErr w:type="spellEnd"/>
      <w:r w:rsidRPr="00C63AC5">
        <w:rPr>
          <w:color w:val="000000"/>
          <w:lang w:val="en-US" w:eastAsia="es-PE"/>
        </w:rPr>
        <w:t xml:space="preserve"> E. Determinants of vitamin D supplementation among older adults and its effect on 25(OH)D levels according to bone mineral density status. </w:t>
      </w:r>
      <w:proofErr w:type="spellStart"/>
      <w:r w:rsidRPr="00C63AC5">
        <w:rPr>
          <w:color w:val="000000"/>
          <w:lang w:val="es-CU" w:eastAsia="es-PE"/>
        </w:rPr>
        <w:t>Nutr</w:t>
      </w:r>
      <w:proofErr w:type="spellEnd"/>
      <w:r w:rsidRPr="00C63AC5">
        <w:rPr>
          <w:color w:val="000000"/>
          <w:lang w:val="es-CU" w:eastAsia="es-PE"/>
        </w:rPr>
        <w:t xml:space="preserve"> </w:t>
      </w:r>
      <w:proofErr w:type="spellStart"/>
      <w:r w:rsidRPr="00C63AC5">
        <w:rPr>
          <w:color w:val="000000"/>
          <w:lang w:val="es-CU" w:eastAsia="es-PE"/>
        </w:rPr>
        <w:t>Hosp</w:t>
      </w:r>
      <w:proofErr w:type="spellEnd"/>
      <w:r w:rsidRPr="00C63AC5">
        <w:rPr>
          <w:color w:val="000000"/>
          <w:lang w:val="es-CU" w:eastAsia="es-PE"/>
        </w:rPr>
        <w:t xml:space="preserve">. 2020;37(1):28–36. </w:t>
      </w:r>
      <w:proofErr w:type="spellStart"/>
      <w:r w:rsidRPr="00C63AC5">
        <w:rPr>
          <w:color w:val="000000"/>
          <w:lang w:val="es-CU" w:eastAsia="es-PE"/>
        </w:rPr>
        <w:t>DOI</w:t>
      </w:r>
      <w:proofErr w:type="spellEnd"/>
      <w:r w:rsidRPr="00C63AC5">
        <w:rPr>
          <w:color w:val="000000"/>
          <w:lang w:val="es-CU" w:eastAsia="es-PE"/>
        </w:rPr>
        <w:t>: 10.20960/</w:t>
      </w:r>
      <w:proofErr w:type="spellStart"/>
      <w:r w:rsidRPr="00C63AC5">
        <w:rPr>
          <w:color w:val="000000"/>
          <w:lang w:val="es-CU" w:eastAsia="es-PE"/>
        </w:rPr>
        <w:t>nh.02917</w:t>
      </w:r>
      <w:proofErr w:type="spellEnd"/>
    </w:p>
    <w:p w14:paraId="7B769A72" w14:textId="77777777" w:rsidR="00C63AC5" w:rsidRPr="00C63AC5" w:rsidRDefault="00C63AC5" w:rsidP="00C63AC5">
      <w:pPr>
        <w:spacing w:line="360" w:lineRule="auto"/>
        <w:rPr>
          <w:color w:val="000000"/>
          <w:lang w:val="en-US" w:eastAsia="es-PE"/>
        </w:rPr>
      </w:pPr>
      <w:r w:rsidRPr="00C63AC5">
        <w:rPr>
          <w:color w:val="000000"/>
          <w:lang w:val="es-CU" w:eastAsia="es-PE"/>
        </w:rPr>
        <w:t xml:space="preserve">26. Sousa-Santos AR, </w:t>
      </w:r>
      <w:proofErr w:type="spellStart"/>
      <w:r w:rsidRPr="00C63AC5">
        <w:rPr>
          <w:color w:val="000000"/>
          <w:lang w:val="es-CU" w:eastAsia="es-PE"/>
        </w:rPr>
        <w:t>Afonso</w:t>
      </w:r>
      <w:proofErr w:type="spellEnd"/>
      <w:r w:rsidRPr="00C63AC5">
        <w:rPr>
          <w:color w:val="000000"/>
          <w:lang w:val="es-CU" w:eastAsia="es-PE"/>
        </w:rPr>
        <w:t xml:space="preserve"> C, Santos A, Borges N, Moreira P, </w:t>
      </w:r>
      <w:proofErr w:type="spellStart"/>
      <w:r w:rsidRPr="00C63AC5">
        <w:rPr>
          <w:color w:val="000000"/>
          <w:lang w:val="es-CU" w:eastAsia="es-PE"/>
        </w:rPr>
        <w:t>Padrão</w:t>
      </w:r>
      <w:proofErr w:type="spellEnd"/>
      <w:r w:rsidRPr="00C63AC5">
        <w:rPr>
          <w:color w:val="000000"/>
          <w:lang w:val="es-CU" w:eastAsia="es-PE"/>
        </w:rPr>
        <w:t xml:space="preserve"> P, et al. </w:t>
      </w:r>
      <w:r w:rsidRPr="00C63AC5">
        <w:rPr>
          <w:color w:val="000000"/>
          <w:lang w:val="en-US" w:eastAsia="es-PE"/>
        </w:rPr>
        <w:t xml:space="preserve">The association between 25(OH)D levels, frailty status and obesity indices in older adults. </w:t>
      </w:r>
      <w:proofErr w:type="spellStart"/>
      <w:r w:rsidRPr="00C63AC5">
        <w:rPr>
          <w:color w:val="000000"/>
          <w:lang w:val="en-US" w:eastAsia="es-PE"/>
        </w:rPr>
        <w:t>PLoS</w:t>
      </w:r>
      <w:proofErr w:type="spellEnd"/>
      <w:r w:rsidRPr="00C63AC5">
        <w:rPr>
          <w:color w:val="000000"/>
          <w:lang w:val="en-US" w:eastAsia="es-PE"/>
        </w:rPr>
        <w:t xml:space="preserve"> One. 2018; 13(8</w:t>
      </w:r>
      <w:proofErr w:type="gramStart"/>
      <w:r w:rsidRPr="00C63AC5">
        <w:rPr>
          <w:color w:val="000000"/>
          <w:lang w:val="en-US" w:eastAsia="es-PE"/>
        </w:rPr>
        <w:t>):</w:t>
      </w:r>
      <w:proofErr w:type="spellStart"/>
      <w:r w:rsidRPr="00C63AC5">
        <w:rPr>
          <w:color w:val="000000"/>
          <w:lang w:val="en-US" w:eastAsia="es-PE"/>
        </w:rPr>
        <w:t>e</w:t>
      </w:r>
      <w:proofErr w:type="gramEnd"/>
      <w:r w:rsidRPr="00C63AC5">
        <w:rPr>
          <w:color w:val="000000"/>
          <w:lang w:val="en-US" w:eastAsia="es-PE"/>
        </w:rPr>
        <w:t>0198650</w:t>
      </w:r>
      <w:proofErr w:type="spellEnd"/>
      <w:r w:rsidRPr="00C63AC5">
        <w:rPr>
          <w:color w:val="000000"/>
          <w:lang w:val="en-US" w:eastAsia="es-PE"/>
        </w:rPr>
        <w:t>. DOI: 10.1371/</w:t>
      </w:r>
      <w:proofErr w:type="spellStart"/>
      <w:r w:rsidRPr="00C63AC5">
        <w:rPr>
          <w:color w:val="000000"/>
          <w:lang w:val="en-US" w:eastAsia="es-PE"/>
        </w:rPr>
        <w:t>journal.pone.0198650</w:t>
      </w:r>
      <w:proofErr w:type="spellEnd"/>
    </w:p>
    <w:p w14:paraId="10100B84"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27. </w:t>
      </w:r>
      <w:proofErr w:type="spellStart"/>
      <w:r w:rsidRPr="00C63AC5">
        <w:rPr>
          <w:color w:val="000000"/>
          <w:lang w:val="en-US" w:eastAsia="es-PE"/>
        </w:rPr>
        <w:t>Mathus-Vliegen</w:t>
      </w:r>
      <w:proofErr w:type="spellEnd"/>
      <w:r w:rsidRPr="00C63AC5">
        <w:rPr>
          <w:color w:val="000000"/>
          <w:lang w:val="en-US" w:eastAsia="es-PE"/>
        </w:rPr>
        <w:t xml:space="preserve"> EM. Obesity and the Elderly. Journal of Clinical Gastroenterology. 2012; 46(7):533–44. DOI: 10.1097/</w:t>
      </w:r>
      <w:proofErr w:type="spellStart"/>
      <w:r w:rsidRPr="00C63AC5">
        <w:rPr>
          <w:color w:val="000000"/>
          <w:lang w:val="en-US" w:eastAsia="es-PE"/>
        </w:rPr>
        <w:t>MCG.0b013e31825692ce</w:t>
      </w:r>
      <w:proofErr w:type="spellEnd"/>
    </w:p>
    <w:p w14:paraId="5296836B"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28. </w:t>
      </w:r>
      <w:proofErr w:type="spellStart"/>
      <w:r w:rsidRPr="00C63AC5">
        <w:rPr>
          <w:color w:val="000000"/>
          <w:lang w:val="en-US" w:eastAsia="es-PE"/>
        </w:rPr>
        <w:t>Gažarová</w:t>
      </w:r>
      <w:proofErr w:type="spellEnd"/>
      <w:r w:rsidRPr="00C63AC5">
        <w:rPr>
          <w:color w:val="000000"/>
          <w:lang w:val="en-US" w:eastAsia="es-PE"/>
        </w:rPr>
        <w:t xml:space="preserve"> M, </w:t>
      </w:r>
      <w:proofErr w:type="spellStart"/>
      <w:r w:rsidRPr="00C63AC5">
        <w:rPr>
          <w:color w:val="000000"/>
          <w:lang w:val="en-US" w:eastAsia="es-PE"/>
        </w:rPr>
        <w:t>Galšneiderová</w:t>
      </w:r>
      <w:proofErr w:type="spellEnd"/>
      <w:r w:rsidRPr="00C63AC5">
        <w:rPr>
          <w:color w:val="000000"/>
          <w:lang w:val="en-US" w:eastAsia="es-PE"/>
        </w:rPr>
        <w:t xml:space="preserve"> M, </w:t>
      </w:r>
      <w:proofErr w:type="spellStart"/>
      <w:r w:rsidRPr="00C63AC5">
        <w:rPr>
          <w:color w:val="000000"/>
          <w:lang w:val="en-US" w:eastAsia="es-PE"/>
        </w:rPr>
        <w:t>Mečiarová</w:t>
      </w:r>
      <w:proofErr w:type="spellEnd"/>
      <w:r w:rsidRPr="00C63AC5">
        <w:rPr>
          <w:color w:val="000000"/>
          <w:lang w:val="en-US" w:eastAsia="es-PE"/>
        </w:rPr>
        <w:t xml:space="preserve"> L. Obesity diagnosis and mortality risk based on a body shape index (</w:t>
      </w:r>
      <w:proofErr w:type="spellStart"/>
      <w:r w:rsidRPr="00C63AC5">
        <w:rPr>
          <w:color w:val="000000"/>
          <w:lang w:val="en-US" w:eastAsia="es-PE"/>
        </w:rPr>
        <w:t>ABSI</w:t>
      </w:r>
      <w:proofErr w:type="spellEnd"/>
      <w:r w:rsidRPr="00C63AC5">
        <w:rPr>
          <w:color w:val="000000"/>
          <w:lang w:val="en-US" w:eastAsia="es-PE"/>
        </w:rPr>
        <w:t xml:space="preserve">) and other indices and anthropometric parameters in university students. </w:t>
      </w:r>
      <w:proofErr w:type="spellStart"/>
      <w:r w:rsidRPr="00C63AC5">
        <w:rPr>
          <w:color w:val="000000"/>
          <w:lang w:val="en-US" w:eastAsia="es-PE"/>
        </w:rPr>
        <w:t>Rocz</w:t>
      </w:r>
      <w:proofErr w:type="spellEnd"/>
      <w:r w:rsidRPr="00C63AC5">
        <w:rPr>
          <w:color w:val="000000"/>
          <w:lang w:val="en-US" w:eastAsia="es-PE"/>
        </w:rPr>
        <w:t xml:space="preserve"> </w:t>
      </w:r>
      <w:proofErr w:type="spellStart"/>
      <w:r w:rsidRPr="00C63AC5">
        <w:rPr>
          <w:color w:val="000000"/>
          <w:lang w:val="en-US" w:eastAsia="es-PE"/>
        </w:rPr>
        <w:t>Panstw</w:t>
      </w:r>
      <w:proofErr w:type="spellEnd"/>
      <w:r w:rsidRPr="00C63AC5">
        <w:rPr>
          <w:color w:val="000000"/>
          <w:lang w:val="en-US" w:eastAsia="es-PE"/>
        </w:rPr>
        <w:t xml:space="preserve"> </w:t>
      </w:r>
      <w:proofErr w:type="spellStart"/>
      <w:r w:rsidRPr="00C63AC5">
        <w:rPr>
          <w:color w:val="000000"/>
          <w:lang w:val="en-US" w:eastAsia="es-PE"/>
        </w:rPr>
        <w:t>Zakl</w:t>
      </w:r>
      <w:proofErr w:type="spellEnd"/>
      <w:r w:rsidRPr="00C63AC5">
        <w:rPr>
          <w:color w:val="000000"/>
          <w:lang w:val="en-US" w:eastAsia="es-PE"/>
        </w:rPr>
        <w:t xml:space="preserve"> </w:t>
      </w:r>
      <w:proofErr w:type="spellStart"/>
      <w:r w:rsidRPr="00C63AC5">
        <w:rPr>
          <w:color w:val="000000"/>
          <w:lang w:val="en-US" w:eastAsia="es-PE"/>
        </w:rPr>
        <w:t>Hig</w:t>
      </w:r>
      <w:proofErr w:type="spellEnd"/>
      <w:r w:rsidRPr="00C63AC5">
        <w:rPr>
          <w:color w:val="000000"/>
          <w:lang w:val="en-US" w:eastAsia="es-PE"/>
        </w:rPr>
        <w:t>. 2019; 70(3):267–75. DOI: 10.32394/</w:t>
      </w:r>
      <w:proofErr w:type="spellStart"/>
      <w:r w:rsidRPr="00C63AC5">
        <w:rPr>
          <w:color w:val="000000"/>
          <w:lang w:val="en-US" w:eastAsia="es-PE"/>
        </w:rPr>
        <w:t>rpzh.2019.0077</w:t>
      </w:r>
      <w:proofErr w:type="spellEnd"/>
    </w:p>
    <w:p w14:paraId="733C901C"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29. </w:t>
      </w:r>
      <w:proofErr w:type="spellStart"/>
      <w:r w:rsidRPr="00C63AC5">
        <w:rPr>
          <w:color w:val="000000"/>
          <w:lang w:val="en-US" w:eastAsia="es-PE"/>
        </w:rPr>
        <w:t>Vieth</w:t>
      </w:r>
      <w:proofErr w:type="spellEnd"/>
      <w:r w:rsidRPr="00C63AC5">
        <w:rPr>
          <w:color w:val="000000"/>
          <w:lang w:val="en-US" w:eastAsia="es-PE"/>
        </w:rPr>
        <w:t xml:space="preserve"> R, </w:t>
      </w:r>
      <w:proofErr w:type="spellStart"/>
      <w:r w:rsidRPr="00C63AC5">
        <w:rPr>
          <w:color w:val="000000"/>
          <w:lang w:val="en-US" w:eastAsia="es-PE"/>
        </w:rPr>
        <w:t>Holick</w:t>
      </w:r>
      <w:proofErr w:type="spellEnd"/>
      <w:r w:rsidRPr="00C63AC5">
        <w:rPr>
          <w:color w:val="000000"/>
          <w:lang w:val="en-US" w:eastAsia="es-PE"/>
        </w:rPr>
        <w:t xml:space="preserve"> MF. Chapter </w:t>
      </w:r>
      <w:proofErr w:type="spellStart"/>
      <w:r w:rsidRPr="00C63AC5">
        <w:rPr>
          <w:color w:val="000000"/>
          <w:lang w:val="en-US" w:eastAsia="es-PE"/>
        </w:rPr>
        <w:t>57B</w:t>
      </w:r>
      <w:proofErr w:type="spellEnd"/>
      <w:r w:rsidRPr="00C63AC5">
        <w:rPr>
          <w:color w:val="000000"/>
          <w:lang w:val="en-US" w:eastAsia="es-PE"/>
        </w:rPr>
        <w:t xml:space="preserve"> - The IOM—Endocrine Society Controversy on Recommended Vitamin D Targets: In Support of the Endocrine Society Position. </w:t>
      </w:r>
      <w:proofErr w:type="spellStart"/>
      <w:r w:rsidRPr="00C63AC5">
        <w:rPr>
          <w:color w:val="000000"/>
          <w:lang w:val="en-US" w:eastAsia="es-PE"/>
        </w:rPr>
        <w:t>En</w:t>
      </w:r>
      <w:proofErr w:type="spellEnd"/>
      <w:r w:rsidRPr="00C63AC5">
        <w:rPr>
          <w:color w:val="000000"/>
          <w:lang w:val="en-US" w:eastAsia="es-PE"/>
        </w:rPr>
        <w:t xml:space="preserve">: Feldman D, editor. Vitamin D (Fourth Edition). Academic Press; 2018. </w:t>
      </w:r>
      <w:proofErr w:type="spellStart"/>
      <w:r w:rsidRPr="00C63AC5">
        <w:rPr>
          <w:color w:val="000000"/>
          <w:lang w:val="en-US" w:eastAsia="es-PE"/>
        </w:rPr>
        <w:t>p109:107</w:t>
      </w:r>
      <w:proofErr w:type="spellEnd"/>
      <w:r w:rsidRPr="00C63AC5">
        <w:rPr>
          <w:color w:val="000000"/>
          <w:lang w:val="en-US" w:eastAsia="es-PE"/>
        </w:rPr>
        <w:t>. DOI: 10.1016/</w:t>
      </w:r>
      <w:proofErr w:type="spellStart"/>
      <w:r w:rsidRPr="00C63AC5">
        <w:rPr>
          <w:color w:val="000000"/>
          <w:lang w:val="en-US" w:eastAsia="es-PE"/>
        </w:rPr>
        <w:t>B978</w:t>
      </w:r>
      <w:proofErr w:type="spellEnd"/>
      <w:r w:rsidRPr="00C63AC5">
        <w:rPr>
          <w:color w:val="000000"/>
          <w:lang w:val="en-US" w:eastAsia="es-PE"/>
        </w:rPr>
        <w:t>-0-12-809965-0.00059-8</w:t>
      </w:r>
    </w:p>
    <w:p w14:paraId="7571861E" w14:textId="77777777" w:rsidR="00C63AC5" w:rsidRPr="00C63AC5" w:rsidRDefault="00C63AC5" w:rsidP="00C63AC5">
      <w:pPr>
        <w:spacing w:line="360" w:lineRule="auto"/>
        <w:rPr>
          <w:color w:val="000000"/>
          <w:lang w:val="es-CU" w:eastAsia="es-PE"/>
        </w:rPr>
      </w:pPr>
      <w:r w:rsidRPr="00C63AC5">
        <w:rPr>
          <w:color w:val="000000"/>
          <w:lang w:val="en-US" w:eastAsia="es-PE"/>
        </w:rPr>
        <w:t xml:space="preserve">30. Graham L. IOM Releases Report on Dietary </w:t>
      </w:r>
      <w:proofErr w:type="spellStart"/>
      <w:r w:rsidRPr="00C63AC5">
        <w:rPr>
          <w:color w:val="000000"/>
          <w:lang w:val="en-US" w:eastAsia="es-PE"/>
        </w:rPr>
        <w:t>Refernce</w:t>
      </w:r>
      <w:proofErr w:type="spellEnd"/>
      <w:r w:rsidRPr="00C63AC5">
        <w:rPr>
          <w:color w:val="000000"/>
          <w:lang w:val="en-US" w:eastAsia="es-PE"/>
        </w:rPr>
        <w:t xml:space="preserve"> Intakes for Calcium and Vitamin D. AFP. 2011 [</w:t>
      </w:r>
      <w:proofErr w:type="spellStart"/>
      <w:r w:rsidRPr="00C63AC5">
        <w:rPr>
          <w:color w:val="000000"/>
          <w:lang w:val="en-US" w:eastAsia="es-PE"/>
        </w:rPr>
        <w:t>acceso</w:t>
      </w:r>
      <w:proofErr w:type="spellEnd"/>
      <w:r w:rsidRPr="00C63AC5">
        <w:rPr>
          <w:color w:val="000000"/>
          <w:lang w:val="en-US" w:eastAsia="es-PE"/>
        </w:rPr>
        <w:t xml:space="preserve">: 27/11/2021]; 83(11):1352. </w:t>
      </w:r>
      <w:r w:rsidRPr="00C63AC5">
        <w:rPr>
          <w:color w:val="000000"/>
          <w:lang w:val="es-CU" w:eastAsia="es-PE"/>
        </w:rPr>
        <w:t xml:space="preserve">Disponible en: </w:t>
      </w:r>
      <w:hyperlink r:id="rId26" w:history="1">
        <w:r w:rsidRPr="00C63AC5">
          <w:rPr>
            <w:color w:val="0563C1"/>
            <w:u w:val="single"/>
            <w:lang w:val="es-CU" w:eastAsia="es-PE"/>
          </w:rPr>
          <w:t>http://www.iom.edu/Reports/2010/Dietary-Reference-Intakes-for-Calcium-and-Vitamin-D.aspx</w:t>
        </w:r>
      </w:hyperlink>
      <w:r w:rsidRPr="00C63AC5">
        <w:rPr>
          <w:color w:val="000000"/>
          <w:lang w:val="es-CU" w:eastAsia="es-PE"/>
        </w:rPr>
        <w:t xml:space="preserve">  </w:t>
      </w:r>
    </w:p>
    <w:p w14:paraId="1F332828" w14:textId="77777777" w:rsidR="00C63AC5" w:rsidRPr="00C63AC5" w:rsidRDefault="00C63AC5" w:rsidP="00C63AC5">
      <w:pPr>
        <w:spacing w:line="360" w:lineRule="auto"/>
        <w:rPr>
          <w:color w:val="000000"/>
          <w:lang w:val="es-CU" w:eastAsia="es-PE"/>
        </w:rPr>
      </w:pPr>
      <w:r w:rsidRPr="00C63AC5">
        <w:rPr>
          <w:color w:val="000000"/>
          <w:lang w:val="en-US" w:eastAsia="es-PE"/>
        </w:rPr>
        <w:t xml:space="preserve">31. Ross R, Freeman JA, Janssen I. Exercise alone is an effective strategy for reducing obesity and related comorbidities. </w:t>
      </w:r>
      <w:proofErr w:type="spellStart"/>
      <w:r w:rsidRPr="00C63AC5">
        <w:rPr>
          <w:color w:val="000000"/>
          <w:lang w:val="es-CU" w:eastAsia="es-PE"/>
        </w:rPr>
        <w:t>Exerc</w:t>
      </w:r>
      <w:proofErr w:type="spellEnd"/>
      <w:r w:rsidRPr="00C63AC5">
        <w:rPr>
          <w:color w:val="000000"/>
          <w:lang w:val="es-CU" w:eastAsia="es-PE"/>
        </w:rPr>
        <w:t xml:space="preserve"> Sport </w:t>
      </w:r>
      <w:proofErr w:type="spellStart"/>
      <w:r w:rsidRPr="00C63AC5">
        <w:rPr>
          <w:color w:val="000000"/>
          <w:lang w:val="es-CU" w:eastAsia="es-PE"/>
        </w:rPr>
        <w:t>Sci</w:t>
      </w:r>
      <w:proofErr w:type="spellEnd"/>
      <w:r w:rsidRPr="00C63AC5">
        <w:rPr>
          <w:color w:val="000000"/>
          <w:lang w:val="es-CU" w:eastAsia="es-PE"/>
        </w:rPr>
        <w:t xml:space="preserve"> Rev. 2000 [acceso: 27/11/2021]; 28(4):165–70. Disponible en: </w:t>
      </w:r>
      <w:hyperlink r:id="rId27" w:history="1">
        <w:r w:rsidRPr="00C63AC5">
          <w:rPr>
            <w:color w:val="0563C1"/>
            <w:u w:val="single"/>
            <w:lang w:val="es-CU" w:eastAsia="es-PE"/>
          </w:rPr>
          <w:t>https://pubmed.ncbi.nlm.nih.gov/11064850/</w:t>
        </w:r>
      </w:hyperlink>
      <w:r w:rsidRPr="00C63AC5">
        <w:rPr>
          <w:color w:val="000000"/>
          <w:lang w:val="es-CU" w:eastAsia="es-PE"/>
        </w:rPr>
        <w:t xml:space="preserve">  </w:t>
      </w:r>
    </w:p>
    <w:p w14:paraId="089858BB" w14:textId="77777777" w:rsidR="00C63AC5" w:rsidRPr="00C63AC5" w:rsidRDefault="00C63AC5" w:rsidP="00C63AC5">
      <w:pPr>
        <w:spacing w:line="360" w:lineRule="auto"/>
        <w:rPr>
          <w:color w:val="000000"/>
          <w:lang w:val="es-CU" w:eastAsia="es-PE"/>
        </w:rPr>
      </w:pPr>
      <w:r w:rsidRPr="00C63AC5">
        <w:rPr>
          <w:color w:val="000000"/>
          <w:lang w:val="es-CU" w:eastAsia="es-PE"/>
        </w:rPr>
        <w:t xml:space="preserve">32. Valentini A, Perrone MA, </w:t>
      </w:r>
      <w:proofErr w:type="spellStart"/>
      <w:r w:rsidRPr="00C63AC5">
        <w:rPr>
          <w:color w:val="000000"/>
          <w:lang w:val="es-CU" w:eastAsia="es-PE"/>
        </w:rPr>
        <w:t>Cianfarani</w:t>
      </w:r>
      <w:proofErr w:type="spellEnd"/>
      <w:r w:rsidRPr="00C63AC5">
        <w:rPr>
          <w:color w:val="000000"/>
          <w:lang w:val="es-CU" w:eastAsia="es-PE"/>
        </w:rPr>
        <w:t xml:space="preserve"> MA, Tarantino U, </w:t>
      </w:r>
      <w:proofErr w:type="spellStart"/>
      <w:r w:rsidRPr="00C63AC5">
        <w:rPr>
          <w:color w:val="000000"/>
          <w:lang w:val="es-CU" w:eastAsia="es-PE"/>
        </w:rPr>
        <w:t>Massoud</w:t>
      </w:r>
      <w:proofErr w:type="spellEnd"/>
      <w:r w:rsidRPr="00C63AC5">
        <w:rPr>
          <w:color w:val="000000"/>
          <w:lang w:val="es-CU" w:eastAsia="es-PE"/>
        </w:rPr>
        <w:t xml:space="preserve"> R, </w:t>
      </w:r>
      <w:proofErr w:type="spellStart"/>
      <w:r w:rsidRPr="00C63AC5">
        <w:rPr>
          <w:color w:val="000000"/>
          <w:lang w:val="es-CU" w:eastAsia="es-PE"/>
        </w:rPr>
        <w:t>Merra</w:t>
      </w:r>
      <w:proofErr w:type="spellEnd"/>
      <w:r w:rsidRPr="00C63AC5">
        <w:rPr>
          <w:color w:val="000000"/>
          <w:lang w:val="es-CU" w:eastAsia="es-PE"/>
        </w:rPr>
        <w:t xml:space="preserve"> G, et al. </w:t>
      </w:r>
      <w:r w:rsidRPr="00C63AC5">
        <w:rPr>
          <w:color w:val="000000"/>
          <w:lang w:val="en-US" w:eastAsia="es-PE"/>
        </w:rPr>
        <w:t>Obesity, vitamin D status and physical activity: 1,25(OH)</w:t>
      </w:r>
      <w:proofErr w:type="spellStart"/>
      <w:r w:rsidRPr="00C63AC5">
        <w:rPr>
          <w:color w:val="000000"/>
          <w:lang w:val="en-US" w:eastAsia="es-PE"/>
        </w:rPr>
        <w:t>2D</w:t>
      </w:r>
      <w:proofErr w:type="spellEnd"/>
      <w:r w:rsidRPr="00C63AC5">
        <w:rPr>
          <w:color w:val="000000"/>
          <w:lang w:val="en-US" w:eastAsia="es-PE"/>
        </w:rPr>
        <w:t xml:space="preserve"> as a potential marker of vitamin D deficiency in obese subjects. </w:t>
      </w:r>
      <w:proofErr w:type="spellStart"/>
      <w:r w:rsidRPr="00C63AC5">
        <w:rPr>
          <w:color w:val="000000"/>
          <w:lang w:val="es-CU" w:eastAsia="es-PE"/>
        </w:rPr>
        <w:t>Panminerva</w:t>
      </w:r>
      <w:proofErr w:type="spellEnd"/>
      <w:r w:rsidRPr="00C63AC5">
        <w:rPr>
          <w:color w:val="000000"/>
          <w:lang w:val="es-CU" w:eastAsia="es-PE"/>
        </w:rPr>
        <w:t xml:space="preserve"> </w:t>
      </w:r>
      <w:proofErr w:type="spellStart"/>
      <w:r w:rsidRPr="00C63AC5">
        <w:rPr>
          <w:color w:val="000000"/>
          <w:lang w:val="es-CU" w:eastAsia="es-PE"/>
        </w:rPr>
        <w:t>Med</w:t>
      </w:r>
      <w:proofErr w:type="spellEnd"/>
      <w:r w:rsidRPr="00C63AC5">
        <w:rPr>
          <w:color w:val="000000"/>
          <w:lang w:val="es-CU" w:eastAsia="es-PE"/>
        </w:rPr>
        <w:t xml:space="preserve">. 2020; 62(2):83–92. </w:t>
      </w:r>
      <w:proofErr w:type="spellStart"/>
      <w:r w:rsidRPr="00C63AC5">
        <w:rPr>
          <w:color w:val="000000"/>
          <w:lang w:val="es-CU" w:eastAsia="es-PE"/>
        </w:rPr>
        <w:t>DOI</w:t>
      </w:r>
      <w:proofErr w:type="spellEnd"/>
      <w:r w:rsidRPr="00C63AC5">
        <w:rPr>
          <w:color w:val="000000"/>
          <w:lang w:val="es-CU" w:eastAsia="es-PE"/>
        </w:rPr>
        <w:t>: 10.23736/</w:t>
      </w:r>
      <w:proofErr w:type="spellStart"/>
      <w:r w:rsidRPr="00C63AC5">
        <w:rPr>
          <w:color w:val="000000"/>
          <w:lang w:val="es-CU" w:eastAsia="es-PE"/>
        </w:rPr>
        <w:t>S0031</w:t>
      </w:r>
      <w:proofErr w:type="spellEnd"/>
      <w:r w:rsidRPr="00C63AC5">
        <w:rPr>
          <w:color w:val="000000"/>
          <w:lang w:val="es-CU" w:eastAsia="es-PE"/>
        </w:rPr>
        <w:t>-0808.20.03770-2</w:t>
      </w:r>
    </w:p>
    <w:p w14:paraId="5790BB60" w14:textId="77777777" w:rsidR="00C63AC5" w:rsidRPr="00C63AC5" w:rsidRDefault="00C63AC5" w:rsidP="00C63AC5">
      <w:pPr>
        <w:spacing w:line="360" w:lineRule="auto"/>
        <w:rPr>
          <w:color w:val="000000"/>
          <w:lang w:val="en-US" w:eastAsia="es-PE"/>
        </w:rPr>
      </w:pPr>
      <w:r w:rsidRPr="00C63AC5">
        <w:rPr>
          <w:color w:val="000000"/>
          <w:lang w:val="es-CU" w:eastAsia="es-PE"/>
        </w:rPr>
        <w:lastRenderedPageBreak/>
        <w:t xml:space="preserve">33. González-Molero I, Rojo-Martínez G, Morcillo S, </w:t>
      </w:r>
      <w:proofErr w:type="spellStart"/>
      <w:r w:rsidRPr="00C63AC5">
        <w:rPr>
          <w:color w:val="000000"/>
          <w:lang w:val="es-CU" w:eastAsia="es-PE"/>
        </w:rPr>
        <w:t>Gutierrez</w:t>
      </w:r>
      <w:proofErr w:type="spellEnd"/>
      <w:r w:rsidRPr="00C63AC5">
        <w:rPr>
          <w:color w:val="000000"/>
          <w:lang w:val="es-CU" w:eastAsia="es-PE"/>
        </w:rPr>
        <w:t xml:space="preserve"> C, Rubio E, Pérez-Valero V, et al. </w:t>
      </w:r>
      <w:r w:rsidRPr="00C63AC5">
        <w:rPr>
          <w:color w:val="000000"/>
          <w:lang w:val="en-US" w:eastAsia="es-PE"/>
        </w:rPr>
        <w:t xml:space="preserve">Hypovitaminosis D and incidence of obesity: a prospective study. </w:t>
      </w:r>
      <w:proofErr w:type="spellStart"/>
      <w:r w:rsidRPr="00C63AC5">
        <w:rPr>
          <w:color w:val="000000"/>
          <w:lang w:val="en-US" w:eastAsia="es-PE"/>
        </w:rPr>
        <w:t>Eur</w:t>
      </w:r>
      <w:proofErr w:type="spellEnd"/>
      <w:r w:rsidRPr="00C63AC5">
        <w:rPr>
          <w:color w:val="000000"/>
          <w:lang w:val="en-US" w:eastAsia="es-PE"/>
        </w:rPr>
        <w:t xml:space="preserve"> J Clin </w:t>
      </w:r>
      <w:proofErr w:type="spellStart"/>
      <w:r w:rsidRPr="00C63AC5">
        <w:rPr>
          <w:color w:val="000000"/>
          <w:lang w:val="en-US" w:eastAsia="es-PE"/>
        </w:rPr>
        <w:t>Nutr</w:t>
      </w:r>
      <w:proofErr w:type="spellEnd"/>
      <w:r w:rsidRPr="00C63AC5">
        <w:rPr>
          <w:color w:val="000000"/>
          <w:lang w:val="en-US" w:eastAsia="es-PE"/>
        </w:rPr>
        <w:t>. 2013; 67(6):680–2. DOI: 10.1038/</w:t>
      </w:r>
      <w:proofErr w:type="spellStart"/>
      <w:r w:rsidRPr="00C63AC5">
        <w:rPr>
          <w:color w:val="000000"/>
          <w:lang w:val="en-US" w:eastAsia="es-PE"/>
        </w:rPr>
        <w:t>ejcn.2013.48</w:t>
      </w:r>
      <w:proofErr w:type="spellEnd"/>
    </w:p>
    <w:p w14:paraId="6671299D"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34. </w:t>
      </w:r>
      <w:proofErr w:type="spellStart"/>
      <w:r w:rsidRPr="00C63AC5">
        <w:rPr>
          <w:color w:val="000000"/>
          <w:lang w:val="en-US" w:eastAsia="es-PE"/>
        </w:rPr>
        <w:t>Wortsman</w:t>
      </w:r>
      <w:proofErr w:type="spellEnd"/>
      <w:r w:rsidRPr="00C63AC5">
        <w:rPr>
          <w:color w:val="000000"/>
          <w:lang w:val="en-US" w:eastAsia="es-PE"/>
        </w:rPr>
        <w:t xml:space="preserve"> J, Matsuoka LY, Chen TC, Lu Z, </w:t>
      </w:r>
      <w:proofErr w:type="spellStart"/>
      <w:r w:rsidRPr="00C63AC5">
        <w:rPr>
          <w:color w:val="000000"/>
          <w:lang w:val="en-US" w:eastAsia="es-PE"/>
        </w:rPr>
        <w:t>Holick</w:t>
      </w:r>
      <w:proofErr w:type="spellEnd"/>
      <w:r w:rsidRPr="00C63AC5">
        <w:rPr>
          <w:color w:val="000000"/>
          <w:lang w:val="en-US" w:eastAsia="es-PE"/>
        </w:rPr>
        <w:t xml:space="preserve"> MF. Decreased bioavailability of vitamin D in obesity. Am J Clin </w:t>
      </w:r>
      <w:proofErr w:type="spellStart"/>
      <w:r w:rsidRPr="00C63AC5">
        <w:rPr>
          <w:color w:val="000000"/>
          <w:lang w:val="en-US" w:eastAsia="es-PE"/>
        </w:rPr>
        <w:t>Nutr</w:t>
      </w:r>
      <w:proofErr w:type="spellEnd"/>
      <w:r w:rsidRPr="00C63AC5">
        <w:rPr>
          <w:color w:val="000000"/>
          <w:lang w:val="en-US" w:eastAsia="es-PE"/>
        </w:rPr>
        <w:t>. 2000; 72(3):690–3. DOI: 10.1093/</w:t>
      </w:r>
      <w:proofErr w:type="spellStart"/>
      <w:r w:rsidRPr="00C63AC5">
        <w:rPr>
          <w:color w:val="000000"/>
          <w:lang w:val="en-US" w:eastAsia="es-PE"/>
        </w:rPr>
        <w:t>ajcn</w:t>
      </w:r>
      <w:proofErr w:type="spellEnd"/>
      <w:r w:rsidRPr="00C63AC5">
        <w:rPr>
          <w:color w:val="000000"/>
          <w:lang w:val="en-US" w:eastAsia="es-PE"/>
        </w:rPr>
        <w:t>/72.3.690</w:t>
      </w:r>
    </w:p>
    <w:p w14:paraId="1E5660C7"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35. Agarwal S, </w:t>
      </w:r>
      <w:proofErr w:type="spellStart"/>
      <w:r w:rsidRPr="00C63AC5">
        <w:rPr>
          <w:color w:val="000000"/>
          <w:lang w:val="en-US" w:eastAsia="es-PE"/>
        </w:rPr>
        <w:t>Tooze</w:t>
      </w:r>
      <w:proofErr w:type="spellEnd"/>
      <w:r w:rsidRPr="00C63AC5">
        <w:rPr>
          <w:color w:val="000000"/>
          <w:lang w:val="en-US" w:eastAsia="es-PE"/>
        </w:rPr>
        <w:t xml:space="preserve"> JA, Bauer DC, </w:t>
      </w:r>
      <w:proofErr w:type="spellStart"/>
      <w:r w:rsidRPr="00C63AC5">
        <w:rPr>
          <w:color w:val="000000"/>
          <w:lang w:val="en-US" w:eastAsia="es-PE"/>
        </w:rPr>
        <w:t>Cauley</w:t>
      </w:r>
      <w:proofErr w:type="spellEnd"/>
      <w:r w:rsidRPr="00C63AC5">
        <w:rPr>
          <w:color w:val="000000"/>
          <w:lang w:val="en-US" w:eastAsia="es-PE"/>
        </w:rPr>
        <w:t xml:space="preserve"> JA, Harris TB, </w:t>
      </w:r>
      <w:proofErr w:type="spellStart"/>
      <w:r w:rsidRPr="00C63AC5">
        <w:rPr>
          <w:color w:val="000000"/>
          <w:lang w:val="en-US" w:eastAsia="es-PE"/>
        </w:rPr>
        <w:t>Koster</w:t>
      </w:r>
      <w:proofErr w:type="spellEnd"/>
      <w:r w:rsidRPr="00C63AC5">
        <w:rPr>
          <w:color w:val="000000"/>
          <w:lang w:val="en-US" w:eastAsia="es-PE"/>
        </w:rPr>
        <w:t xml:space="preserve"> A, et al. Association between 25-Hydroxyvitamin D and Metabolic Syndrome in Older Adults: The Health, Aging and Body Composition Study. Int J Endocrinol. 2021; 2021: 6671823. DOI: 10.1155/2021/6671823</w:t>
      </w:r>
    </w:p>
    <w:p w14:paraId="72CB659E"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36. </w:t>
      </w:r>
      <w:proofErr w:type="spellStart"/>
      <w:r w:rsidRPr="00C63AC5">
        <w:rPr>
          <w:color w:val="000000"/>
          <w:lang w:val="en-US" w:eastAsia="es-PE"/>
        </w:rPr>
        <w:t>Awad</w:t>
      </w:r>
      <w:proofErr w:type="spellEnd"/>
      <w:r w:rsidRPr="00C63AC5">
        <w:rPr>
          <w:color w:val="000000"/>
          <w:lang w:val="en-US" w:eastAsia="es-PE"/>
        </w:rPr>
        <w:t xml:space="preserve"> AB, </w:t>
      </w:r>
      <w:proofErr w:type="spellStart"/>
      <w:r w:rsidRPr="00C63AC5">
        <w:rPr>
          <w:color w:val="000000"/>
          <w:lang w:val="en-US" w:eastAsia="es-PE"/>
        </w:rPr>
        <w:t>Alappat</w:t>
      </w:r>
      <w:proofErr w:type="spellEnd"/>
      <w:r w:rsidRPr="00C63AC5">
        <w:rPr>
          <w:color w:val="000000"/>
          <w:lang w:val="en-US" w:eastAsia="es-PE"/>
        </w:rPr>
        <w:t xml:space="preserve"> L, Valerio M. Vitamin d and metabolic syndrome risk factors: evidence and mechanisms. Crit Rev Food Sci </w:t>
      </w:r>
      <w:proofErr w:type="spellStart"/>
      <w:r w:rsidRPr="00C63AC5">
        <w:rPr>
          <w:color w:val="000000"/>
          <w:lang w:val="en-US" w:eastAsia="es-PE"/>
        </w:rPr>
        <w:t>Nutr</w:t>
      </w:r>
      <w:proofErr w:type="spellEnd"/>
      <w:r w:rsidRPr="00C63AC5">
        <w:rPr>
          <w:color w:val="000000"/>
          <w:lang w:val="en-US" w:eastAsia="es-PE"/>
        </w:rPr>
        <w:t>. 2012; 52(2):103–12. DOI: 10.1080/10408391003785458</w:t>
      </w:r>
    </w:p>
    <w:p w14:paraId="00064880"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37. </w:t>
      </w:r>
      <w:proofErr w:type="spellStart"/>
      <w:r w:rsidRPr="00C63AC5">
        <w:rPr>
          <w:color w:val="000000"/>
          <w:lang w:val="en-US" w:eastAsia="es-PE"/>
        </w:rPr>
        <w:t>Drincic</w:t>
      </w:r>
      <w:proofErr w:type="spellEnd"/>
      <w:r w:rsidRPr="00C63AC5">
        <w:rPr>
          <w:color w:val="000000"/>
          <w:lang w:val="en-US" w:eastAsia="es-PE"/>
        </w:rPr>
        <w:t xml:space="preserve"> AT, </w:t>
      </w:r>
      <w:proofErr w:type="spellStart"/>
      <w:r w:rsidRPr="00C63AC5">
        <w:rPr>
          <w:color w:val="000000"/>
          <w:lang w:val="en-US" w:eastAsia="es-PE"/>
        </w:rPr>
        <w:t>Armas</w:t>
      </w:r>
      <w:proofErr w:type="spellEnd"/>
      <w:r w:rsidRPr="00C63AC5">
        <w:rPr>
          <w:color w:val="000000"/>
          <w:lang w:val="en-US" w:eastAsia="es-PE"/>
        </w:rPr>
        <w:t xml:space="preserve"> LAG, Van </w:t>
      </w:r>
      <w:proofErr w:type="spellStart"/>
      <w:r w:rsidRPr="00C63AC5">
        <w:rPr>
          <w:color w:val="000000"/>
          <w:lang w:val="en-US" w:eastAsia="es-PE"/>
        </w:rPr>
        <w:t>Diest</w:t>
      </w:r>
      <w:proofErr w:type="spellEnd"/>
      <w:r w:rsidRPr="00C63AC5">
        <w:rPr>
          <w:color w:val="000000"/>
          <w:lang w:val="en-US" w:eastAsia="es-PE"/>
        </w:rPr>
        <w:t xml:space="preserve"> EE, Heaney RP. Volumetric dilution, rather than sequestration best explains the low vitamin D status of obesity. Obesity (Silver Spring). 2012; 20(7):1444–8. DOI: 10.1038/</w:t>
      </w:r>
      <w:proofErr w:type="spellStart"/>
      <w:r w:rsidRPr="00C63AC5">
        <w:rPr>
          <w:color w:val="000000"/>
          <w:lang w:val="en-US" w:eastAsia="es-PE"/>
        </w:rPr>
        <w:t>oby.2011.404</w:t>
      </w:r>
      <w:proofErr w:type="spellEnd"/>
    </w:p>
    <w:p w14:paraId="0C1811C6"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38. Shi H, Norman AW, Okamura </w:t>
      </w:r>
      <w:proofErr w:type="spellStart"/>
      <w:r w:rsidRPr="00C63AC5">
        <w:rPr>
          <w:color w:val="000000"/>
          <w:lang w:val="en-US" w:eastAsia="es-PE"/>
        </w:rPr>
        <w:t>WH</w:t>
      </w:r>
      <w:proofErr w:type="spellEnd"/>
      <w:r w:rsidRPr="00C63AC5">
        <w:rPr>
          <w:color w:val="000000"/>
          <w:lang w:val="en-US" w:eastAsia="es-PE"/>
        </w:rPr>
        <w:t xml:space="preserve">, Sen A, </w:t>
      </w:r>
      <w:proofErr w:type="spellStart"/>
      <w:r w:rsidRPr="00C63AC5">
        <w:rPr>
          <w:color w:val="000000"/>
          <w:lang w:val="en-US" w:eastAsia="es-PE"/>
        </w:rPr>
        <w:t>Zemel</w:t>
      </w:r>
      <w:proofErr w:type="spellEnd"/>
      <w:r w:rsidRPr="00C63AC5">
        <w:rPr>
          <w:color w:val="000000"/>
          <w:lang w:val="en-US" w:eastAsia="es-PE"/>
        </w:rPr>
        <w:t xml:space="preserve"> MB. </w:t>
      </w:r>
      <w:proofErr w:type="spellStart"/>
      <w:r w:rsidRPr="00C63AC5">
        <w:rPr>
          <w:color w:val="000000"/>
          <w:lang w:val="en-US" w:eastAsia="es-PE"/>
        </w:rPr>
        <w:t>1alpha,25-Dihydroxyvitamin</w:t>
      </w:r>
      <w:proofErr w:type="spellEnd"/>
      <w:r w:rsidRPr="00C63AC5">
        <w:rPr>
          <w:color w:val="000000"/>
          <w:lang w:val="en-US" w:eastAsia="es-PE"/>
        </w:rPr>
        <w:t xml:space="preserve"> </w:t>
      </w:r>
      <w:proofErr w:type="spellStart"/>
      <w:r w:rsidRPr="00C63AC5">
        <w:rPr>
          <w:color w:val="000000"/>
          <w:lang w:val="en-US" w:eastAsia="es-PE"/>
        </w:rPr>
        <w:t>D3</w:t>
      </w:r>
      <w:proofErr w:type="spellEnd"/>
      <w:r w:rsidRPr="00C63AC5">
        <w:rPr>
          <w:color w:val="000000"/>
          <w:lang w:val="en-US" w:eastAsia="es-PE"/>
        </w:rPr>
        <w:t xml:space="preserve"> modulates human adipocyte metabolism via nongenomic action. </w:t>
      </w:r>
      <w:proofErr w:type="spellStart"/>
      <w:r w:rsidRPr="00C63AC5">
        <w:rPr>
          <w:color w:val="000000"/>
          <w:lang w:val="en-US" w:eastAsia="es-PE"/>
        </w:rPr>
        <w:t>FASEB</w:t>
      </w:r>
      <w:proofErr w:type="spellEnd"/>
      <w:r w:rsidRPr="00C63AC5">
        <w:rPr>
          <w:color w:val="000000"/>
          <w:lang w:val="en-US" w:eastAsia="es-PE"/>
        </w:rPr>
        <w:t xml:space="preserve"> J. 2001; 15(14):2751–3. DOI: 10.1096/</w:t>
      </w:r>
      <w:proofErr w:type="spellStart"/>
      <w:r w:rsidRPr="00C63AC5">
        <w:rPr>
          <w:color w:val="000000"/>
          <w:lang w:val="en-US" w:eastAsia="es-PE"/>
        </w:rPr>
        <w:t>fj.01-0584fje</w:t>
      </w:r>
      <w:proofErr w:type="spellEnd"/>
    </w:p>
    <w:p w14:paraId="126E800C" w14:textId="77777777" w:rsidR="00C63AC5" w:rsidRPr="00C63AC5" w:rsidRDefault="00C63AC5" w:rsidP="00C63AC5">
      <w:pPr>
        <w:spacing w:line="360" w:lineRule="auto"/>
        <w:rPr>
          <w:color w:val="000000"/>
          <w:lang w:val="en-US" w:eastAsia="es-PE"/>
        </w:rPr>
      </w:pPr>
      <w:r w:rsidRPr="00C63AC5">
        <w:rPr>
          <w:color w:val="000000"/>
          <w:lang w:val="en-US" w:eastAsia="es-PE"/>
        </w:rPr>
        <w:t xml:space="preserve">39. Pereira M, </w:t>
      </w:r>
      <w:proofErr w:type="spellStart"/>
      <w:r w:rsidRPr="00C63AC5">
        <w:rPr>
          <w:color w:val="000000"/>
          <w:lang w:val="en-US" w:eastAsia="es-PE"/>
        </w:rPr>
        <w:t>Ribas</w:t>
      </w:r>
      <w:proofErr w:type="spellEnd"/>
      <w:r w:rsidRPr="00C63AC5">
        <w:rPr>
          <w:color w:val="000000"/>
          <w:lang w:val="en-US" w:eastAsia="es-PE"/>
        </w:rPr>
        <w:t xml:space="preserve"> de Farias Costa P, Miranda Pereira E, </w:t>
      </w:r>
      <w:proofErr w:type="spellStart"/>
      <w:r w:rsidRPr="00C63AC5">
        <w:rPr>
          <w:color w:val="000000"/>
          <w:lang w:val="en-US" w:eastAsia="es-PE"/>
        </w:rPr>
        <w:t>Russoni</w:t>
      </w:r>
      <w:proofErr w:type="spellEnd"/>
      <w:r w:rsidRPr="00C63AC5">
        <w:rPr>
          <w:color w:val="000000"/>
          <w:lang w:val="en-US" w:eastAsia="es-PE"/>
        </w:rPr>
        <w:t xml:space="preserve"> de Lima Lago I, </w:t>
      </w:r>
      <w:proofErr w:type="spellStart"/>
      <w:r w:rsidRPr="00C63AC5">
        <w:rPr>
          <w:color w:val="000000"/>
          <w:lang w:val="en-US" w:eastAsia="es-PE"/>
        </w:rPr>
        <w:t>Marlucia</w:t>
      </w:r>
      <w:proofErr w:type="spellEnd"/>
      <w:r w:rsidRPr="00C63AC5">
        <w:rPr>
          <w:color w:val="000000"/>
          <w:lang w:val="en-US" w:eastAsia="es-PE"/>
        </w:rPr>
        <w:t xml:space="preserve"> Oliveira A. Does vitamin D deficiency increase the risk of obesity in adults and the elderly? A systematic review of prospective cohort studies. Public Health. 2021; 190:123–31 DOI: 10.1016/</w:t>
      </w:r>
      <w:proofErr w:type="spellStart"/>
      <w:r w:rsidRPr="00C63AC5">
        <w:rPr>
          <w:color w:val="000000"/>
          <w:lang w:val="en-US" w:eastAsia="es-PE"/>
        </w:rPr>
        <w:t>j.puhe.2020.04.031</w:t>
      </w:r>
      <w:proofErr w:type="spellEnd"/>
    </w:p>
    <w:p w14:paraId="34330673" w14:textId="77777777" w:rsidR="00C63AC5" w:rsidRPr="00C63AC5" w:rsidRDefault="00C63AC5" w:rsidP="00C63AC5">
      <w:pPr>
        <w:spacing w:line="360" w:lineRule="auto"/>
        <w:jc w:val="both"/>
        <w:rPr>
          <w:b/>
          <w:bCs/>
          <w:lang w:val="en-US" w:eastAsia="es-PE"/>
        </w:rPr>
      </w:pPr>
    </w:p>
    <w:p w14:paraId="248B3301" w14:textId="77777777" w:rsidR="00C63AC5" w:rsidRPr="00C63AC5" w:rsidRDefault="00C63AC5" w:rsidP="00C63AC5">
      <w:pPr>
        <w:widowControl w:val="0"/>
        <w:pBdr>
          <w:top w:val="nil"/>
          <w:left w:val="nil"/>
          <w:bottom w:val="nil"/>
          <w:right w:val="nil"/>
          <w:between w:val="nil"/>
        </w:pBdr>
        <w:spacing w:line="360" w:lineRule="auto"/>
        <w:jc w:val="center"/>
        <w:rPr>
          <w:b/>
          <w:bCs/>
          <w:color w:val="000000"/>
          <w:lang w:val="en-US" w:eastAsia="es-PE"/>
        </w:rPr>
      </w:pPr>
    </w:p>
    <w:p w14:paraId="0B306ABC" w14:textId="77777777" w:rsidR="00C63AC5" w:rsidRPr="00C63AC5" w:rsidRDefault="00C63AC5" w:rsidP="00C63AC5">
      <w:pPr>
        <w:widowControl w:val="0"/>
        <w:pBdr>
          <w:top w:val="nil"/>
          <w:left w:val="nil"/>
          <w:bottom w:val="nil"/>
          <w:right w:val="nil"/>
          <w:between w:val="nil"/>
        </w:pBdr>
        <w:spacing w:line="360" w:lineRule="auto"/>
        <w:jc w:val="center"/>
        <w:rPr>
          <w:b/>
          <w:bCs/>
          <w:color w:val="000000"/>
          <w:lang w:val="es-CU" w:eastAsia="es-PE"/>
        </w:rPr>
      </w:pPr>
      <w:r w:rsidRPr="00C63AC5">
        <w:rPr>
          <w:b/>
          <w:bCs/>
          <w:color w:val="000000"/>
          <w:lang w:val="es-CU" w:eastAsia="es-PE"/>
        </w:rPr>
        <w:t>Conflictos de interés</w:t>
      </w:r>
    </w:p>
    <w:p w14:paraId="5B7B58B4" w14:textId="77777777" w:rsidR="00C63AC5" w:rsidRPr="00C63AC5" w:rsidRDefault="00C63AC5" w:rsidP="00C63AC5">
      <w:pPr>
        <w:widowControl w:val="0"/>
        <w:pBdr>
          <w:top w:val="nil"/>
          <w:left w:val="nil"/>
          <w:bottom w:val="nil"/>
          <w:right w:val="nil"/>
          <w:between w:val="nil"/>
        </w:pBdr>
        <w:spacing w:line="360" w:lineRule="auto"/>
        <w:jc w:val="both"/>
        <w:rPr>
          <w:color w:val="000000"/>
          <w:lang w:val="es-PE" w:eastAsia="es-PE"/>
        </w:rPr>
      </w:pPr>
      <w:r w:rsidRPr="00C63AC5">
        <w:rPr>
          <w:color w:val="000000"/>
          <w:lang w:val="es-PE" w:eastAsia="es-PE"/>
        </w:rPr>
        <w:t>Los autores declaran no tener ningún conflicto de interés.</w:t>
      </w:r>
    </w:p>
    <w:p w14:paraId="2606EA40" w14:textId="77777777" w:rsidR="00C63AC5" w:rsidRPr="00C63AC5" w:rsidRDefault="00C63AC5" w:rsidP="00C63AC5">
      <w:pPr>
        <w:widowControl w:val="0"/>
        <w:pBdr>
          <w:top w:val="nil"/>
          <w:left w:val="nil"/>
          <w:bottom w:val="nil"/>
          <w:right w:val="nil"/>
          <w:between w:val="nil"/>
        </w:pBdr>
        <w:spacing w:line="360" w:lineRule="auto"/>
        <w:jc w:val="center"/>
        <w:rPr>
          <w:b/>
          <w:color w:val="000000"/>
          <w:lang w:val="es-PE" w:eastAsia="es-PE"/>
        </w:rPr>
      </w:pPr>
    </w:p>
    <w:p w14:paraId="72557290" w14:textId="77777777" w:rsidR="00C63AC5" w:rsidRPr="00C63AC5" w:rsidRDefault="00C63AC5" w:rsidP="00C63AC5">
      <w:pPr>
        <w:widowControl w:val="0"/>
        <w:pBdr>
          <w:top w:val="nil"/>
          <w:left w:val="nil"/>
          <w:bottom w:val="nil"/>
          <w:right w:val="nil"/>
          <w:between w:val="nil"/>
        </w:pBdr>
        <w:spacing w:line="360" w:lineRule="auto"/>
        <w:jc w:val="center"/>
        <w:rPr>
          <w:b/>
          <w:color w:val="000000"/>
          <w:lang w:val="es-PE" w:eastAsia="es-PE"/>
        </w:rPr>
      </w:pPr>
      <w:r w:rsidRPr="00C63AC5">
        <w:rPr>
          <w:b/>
          <w:color w:val="000000"/>
          <w:lang w:val="es-PE" w:eastAsia="es-PE"/>
        </w:rPr>
        <w:t>Contribuciones de los autores</w:t>
      </w:r>
    </w:p>
    <w:p w14:paraId="5318EBEF" w14:textId="77777777" w:rsidR="00C63AC5" w:rsidRPr="00C63AC5" w:rsidRDefault="00C63AC5" w:rsidP="00C63AC5">
      <w:pPr>
        <w:widowControl w:val="0"/>
        <w:pBdr>
          <w:top w:val="nil"/>
          <w:left w:val="nil"/>
          <w:bottom w:val="nil"/>
          <w:right w:val="nil"/>
          <w:between w:val="nil"/>
        </w:pBdr>
        <w:spacing w:line="360" w:lineRule="auto"/>
        <w:rPr>
          <w:bCs/>
          <w:color w:val="000000"/>
          <w:lang w:val="es-PE" w:eastAsia="es-PE"/>
        </w:rPr>
      </w:pPr>
      <w:r w:rsidRPr="00C63AC5">
        <w:rPr>
          <w:bCs/>
          <w:color w:val="000000"/>
          <w:lang w:val="es-PE" w:eastAsia="es-PE"/>
        </w:rPr>
        <w:t>Conceptualización</w:t>
      </w:r>
      <w:r w:rsidRPr="00C63AC5">
        <w:rPr>
          <w:bCs/>
          <w:i/>
          <w:color w:val="000000"/>
          <w:lang w:val="es-PE" w:eastAsia="es-PE"/>
        </w:rPr>
        <w:t xml:space="preserve">: </w:t>
      </w:r>
      <w:proofErr w:type="spellStart"/>
      <w:r w:rsidRPr="00C63AC5">
        <w:rPr>
          <w:rFonts w:eastAsia="Calibri"/>
          <w:bCs/>
          <w:i/>
          <w:lang w:eastAsia="ar-SA"/>
        </w:rPr>
        <w:t>Leyla</w:t>
      </w:r>
      <w:proofErr w:type="spellEnd"/>
      <w:r w:rsidRPr="00C63AC5">
        <w:rPr>
          <w:rFonts w:eastAsia="Calibri"/>
          <w:bCs/>
          <w:i/>
          <w:lang w:eastAsia="ar-SA"/>
        </w:rPr>
        <w:t xml:space="preserve"> Rodas Alvarado</w:t>
      </w:r>
      <w:r w:rsidRPr="00C63AC5">
        <w:rPr>
          <w:rFonts w:eastAsia="Calibri"/>
          <w:bCs/>
          <w:lang w:eastAsia="ar-SA"/>
        </w:rPr>
        <w:t xml:space="preserve">, </w:t>
      </w:r>
      <w:r w:rsidRPr="00C63AC5">
        <w:rPr>
          <w:i/>
          <w:color w:val="000000"/>
          <w:lang w:val="es-PE" w:eastAsia="es-PE"/>
        </w:rPr>
        <w:t>Víctor Vera Ponce.</w:t>
      </w:r>
    </w:p>
    <w:p w14:paraId="7E1FFFC5" w14:textId="77777777" w:rsidR="00C63AC5" w:rsidRPr="00C63AC5" w:rsidRDefault="00C63AC5" w:rsidP="00C63AC5">
      <w:pPr>
        <w:suppressAutoHyphens/>
        <w:spacing w:line="360" w:lineRule="auto"/>
        <w:rPr>
          <w:rFonts w:eastAsia="Calibri"/>
          <w:bCs/>
          <w:lang w:eastAsia="ar-SA"/>
        </w:rPr>
      </w:pPr>
      <w:r w:rsidRPr="00C63AC5">
        <w:rPr>
          <w:rFonts w:eastAsia="Calibri"/>
          <w:bCs/>
          <w:lang w:eastAsia="ar-SA"/>
        </w:rPr>
        <w:t xml:space="preserve">Curación de datos: </w:t>
      </w:r>
      <w:r w:rsidRPr="00C63AC5">
        <w:rPr>
          <w:rFonts w:eastAsia="Calibri"/>
          <w:bCs/>
          <w:i/>
          <w:lang w:eastAsia="ar-SA"/>
        </w:rPr>
        <w:t>Jesús Talavera, Jenny Torres Malca.</w:t>
      </w:r>
    </w:p>
    <w:p w14:paraId="2CA42181" w14:textId="77777777" w:rsidR="00C63AC5" w:rsidRPr="00C63AC5" w:rsidRDefault="00C63AC5" w:rsidP="00C63AC5">
      <w:pPr>
        <w:suppressAutoHyphens/>
        <w:spacing w:line="360" w:lineRule="auto"/>
        <w:rPr>
          <w:rFonts w:eastAsia="Calibri"/>
          <w:bCs/>
          <w:i/>
          <w:lang w:eastAsia="ar-SA"/>
        </w:rPr>
      </w:pPr>
      <w:r w:rsidRPr="00C63AC5">
        <w:rPr>
          <w:rFonts w:eastAsia="Calibri"/>
          <w:bCs/>
          <w:lang w:eastAsia="ar-SA"/>
        </w:rPr>
        <w:lastRenderedPageBreak/>
        <w:t xml:space="preserve">Análisis formal: </w:t>
      </w:r>
      <w:proofErr w:type="spellStart"/>
      <w:r w:rsidRPr="00C63AC5">
        <w:rPr>
          <w:rFonts w:eastAsia="Calibri"/>
          <w:bCs/>
          <w:i/>
          <w:sz w:val="20"/>
          <w:szCs w:val="20"/>
          <w:lang w:eastAsia="ar-SA"/>
        </w:rPr>
        <w:t>Leyla</w:t>
      </w:r>
      <w:proofErr w:type="spellEnd"/>
      <w:r w:rsidRPr="00C63AC5">
        <w:rPr>
          <w:rFonts w:eastAsia="Calibri"/>
          <w:bCs/>
          <w:i/>
          <w:sz w:val="20"/>
          <w:szCs w:val="20"/>
          <w:lang w:eastAsia="ar-SA"/>
        </w:rPr>
        <w:t xml:space="preserve"> Rodas Alvarado</w:t>
      </w:r>
      <w:r w:rsidRPr="00C63AC5">
        <w:rPr>
          <w:rFonts w:eastAsia="Calibri"/>
          <w:i/>
          <w:szCs w:val="20"/>
          <w:lang w:val="es-PE" w:eastAsia="ar-SA"/>
        </w:rPr>
        <w:t>, Víctor Vera Ponce.</w:t>
      </w:r>
    </w:p>
    <w:p w14:paraId="2FA60BEF" w14:textId="77777777" w:rsidR="00C63AC5" w:rsidRPr="00C63AC5" w:rsidRDefault="00C63AC5" w:rsidP="00C63AC5">
      <w:pPr>
        <w:widowControl w:val="0"/>
        <w:pBdr>
          <w:top w:val="nil"/>
          <w:left w:val="nil"/>
          <w:bottom w:val="nil"/>
          <w:right w:val="nil"/>
          <w:between w:val="nil"/>
        </w:pBdr>
        <w:spacing w:line="360" w:lineRule="auto"/>
        <w:rPr>
          <w:bCs/>
          <w:color w:val="000000"/>
          <w:lang w:val="es-PE" w:eastAsia="es-PE"/>
        </w:rPr>
      </w:pPr>
      <w:r w:rsidRPr="00C63AC5">
        <w:rPr>
          <w:bCs/>
          <w:color w:val="000000"/>
          <w:lang w:val="es-PE" w:eastAsia="es-PE"/>
        </w:rPr>
        <w:t>Investigación:</w:t>
      </w:r>
      <w:r w:rsidRPr="00C63AC5">
        <w:rPr>
          <w:bCs/>
          <w:i/>
          <w:color w:val="000000"/>
          <w:lang w:val="es-PE" w:eastAsia="es-PE"/>
        </w:rPr>
        <w:t xml:space="preserve"> </w:t>
      </w:r>
      <w:proofErr w:type="spellStart"/>
      <w:r w:rsidRPr="00C63AC5">
        <w:rPr>
          <w:rFonts w:eastAsia="Calibri"/>
          <w:bCs/>
          <w:i/>
          <w:lang w:eastAsia="ar-SA"/>
        </w:rPr>
        <w:t>Leyla</w:t>
      </w:r>
      <w:proofErr w:type="spellEnd"/>
      <w:r w:rsidRPr="00C63AC5">
        <w:rPr>
          <w:rFonts w:eastAsia="Calibri"/>
          <w:bCs/>
          <w:i/>
          <w:lang w:eastAsia="ar-SA"/>
        </w:rPr>
        <w:t xml:space="preserve"> Rodas Alvarado</w:t>
      </w:r>
      <w:r w:rsidRPr="00C63AC5">
        <w:rPr>
          <w:i/>
          <w:color w:val="000000"/>
          <w:lang w:val="es-PE" w:eastAsia="es-PE"/>
        </w:rPr>
        <w:t xml:space="preserve">, </w:t>
      </w:r>
      <w:r w:rsidRPr="00C63AC5">
        <w:rPr>
          <w:rFonts w:eastAsia="Calibri"/>
          <w:i/>
          <w:szCs w:val="20"/>
          <w:lang w:val="es-PE" w:eastAsia="ar-SA"/>
        </w:rPr>
        <w:t>Fiorella E. Zuzunaga-Montoya.</w:t>
      </w:r>
    </w:p>
    <w:p w14:paraId="1024A0E6" w14:textId="77777777" w:rsidR="00C63AC5" w:rsidRPr="00C63AC5" w:rsidRDefault="00C63AC5" w:rsidP="00C63AC5">
      <w:pPr>
        <w:widowControl w:val="0"/>
        <w:pBdr>
          <w:top w:val="nil"/>
          <w:left w:val="nil"/>
          <w:bottom w:val="nil"/>
          <w:right w:val="nil"/>
          <w:between w:val="nil"/>
        </w:pBdr>
        <w:spacing w:line="360" w:lineRule="auto"/>
        <w:rPr>
          <w:rFonts w:eastAsia="Calibri"/>
          <w:i/>
          <w:szCs w:val="20"/>
          <w:lang w:val="es-PE" w:eastAsia="ar-SA"/>
        </w:rPr>
      </w:pPr>
      <w:r w:rsidRPr="00C63AC5">
        <w:rPr>
          <w:bCs/>
          <w:color w:val="000000"/>
          <w:lang w:val="es-PE" w:eastAsia="es-PE"/>
        </w:rPr>
        <w:t xml:space="preserve">Metodología: </w:t>
      </w:r>
      <w:r w:rsidRPr="00C63AC5">
        <w:rPr>
          <w:i/>
          <w:color w:val="000000"/>
          <w:lang w:val="es-PE" w:eastAsia="es-PE"/>
        </w:rPr>
        <w:t xml:space="preserve">Víctor Vera Ponce, </w:t>
      </w:r>
      <w:r w:rsidRPr="00C63AC5">
        <w:rPr>
          <w:rFonts w:eastAsia="Calibri"/>
          <w:i/>
          <w:szCs w:val="20"/>
          <w:lang w:val="es-PE" w:eastAsia="ar-SA"/>
        </w:rPr>
        <w:t>Jhony A. De La Cruz-Vargas.</w:t>
      </w:r>
    </w:p>
    <w:p w14:paraId="683D5F8F" w14:textId="77777777" w:rsidR="00C63AC5" w:rsidRPr="00C63AC5" w:rsidRDefault="00C63AC5" w:rsidP="00C63AC5">
      <w:pPr>
        <w:suppressAutoHyphens/>
        <w:spacing w:line="360" w:lineRule="auto"/>
        <w:rPr>
          <w:rFonts w:eastAsia="Calibri"/>
          <w:bCs/>
          <w:lang w:eastAsia="ar-SA"/>
        </w:rPr>
      </w:pPr>
      <w:r w:rsidRPr="00C63AC5">
        <w:rPr>
          <w:rFonts w:eastAsia="Calibri"/>
          <w:bCs/>
          <w:lang w:eastAsia="ar-SA"/>
        </w:rPr>
        <w:t xml:space="preserve">Administración del proyecto: </w:t>
      </w:r>
      <w:proofErr w:type="spellStart"/>
      <w:r w:rsidRPr="00C63AC5">
        <w:rPr>
          <w:rFonts w:eastAsia="Calibri"/>
          <w:bCs/>
          <w:i/>
          <w:sz w:val="20"/>
          <w:szCs w:val="20"/>
          <w:lang w:eastAsia="ar-SA"/>
        </w:rPr>
        <w:t>Leyla</w:t>
      </w:r>
      <w:proofErr w:type="spellEnd"/>
      <w:r w:rsidRPr="00C63AC5">
        <w:rPr>
          <w:rFonts w:eastAsia="Calibri"/>
          <w:bCs/>
          <w:i/>
          <w:sz w:val="20"/>
          <w:szCs w:val="20"/>
          <w:lang w:eastAsia="ar-SA"/>
        </w:rPr>
        <w:t xml:space="preserve"> Rodas Alvarado</w:t>
      </w:r>
      <w:r w:rsidRPr="00C63AC5">
        <w:rPr>
          <w:rFonts w:eastAsia="Calibri"/>
          <w:i/>
          <w:szCs w:val="20"/>
          <w:lang w:val="es-PE" w:eastAsia="ar-SA"/>
        </w:rPr>
        <w:t>, Víctor Vera Ponce.</w:t>
      </w:r>
    </w:p>
    <w:p w14:paraId="1587E025" w14:textId="77777777" w:rsidR="00C63AC5" w:rsidRPr="00C63AC5" w:rsidRDefault="00C63AC5" w:rsidP="00C63AC5">
      <w:pPr>
        <w:suppressAutoHyphens/>
        <w:spacing w:line="360" w:lineRule="auto"/>
        <w:rPr>
          <w:rFonts w:eastAsia="Calibri"/>
          <w:bCs/>
          <w:i/>
          <w:lang w:eastAsia="ar-SA"/>
        </w:rPr>
      </w:pPr>
      <w:r w:rsidRPr="00C63AC5">
        <w:rPr>
          <w:rFonts w:eastAsia="Calibri"/>
          <w:bCs/>
          <w:lang w:eastAsia="ar-SA"/>
        </w:rPr>
        <w:t xml:space="preserve">Supervisión: </w:t>
      </w:r>
      <w:r w:rsidRPr="00C63AC5">
        <w:rPr>
          <w:rFonts w:eastAsia="Calibri"/>
          <w:i/>
          <w:szCs w:val="20"/>
          <w:lang w:val="es-PE" w:eastAsia="ar-SA"/>
        </w:rPr>
        <w:t xml:space="preserve">Víctor Vera Ponce, </w:t>
      </w:r>
      <w:r w:rsidRPr="00C63AC5">
        <w:rPr>
          <w:rFonts w:eastAsia="Calibri"/>
          <w:bCs/>
          <w:i/>
          <w:lang w:eastAsia="ar-SA"/>
        </w:rPr>
        <w:t>Jhony De La Cruz Vargas.</w:t>
      </w:r>
    </w:p>
    <w:p w14:paraId="18AEB433" w14:textId="77777777" w:rsidR="00C63AC5" w:rsidRPr="00C63AC5" w:rsidRDefault="00C63AC5" w:rsidP="00C63AC5">
      <w:pPr>
        <w:suppressAutoHyphens/>
        <w:spacing w:line="360" w:lineRule="auto"/>
        <w:rPr>
          <w:rFonts w:eastAsia="Calibri"/>
          <w:bCs/>
          <w:i/>
          <w:lang w:eastAsia="ar-SA"/>
        </w:rPr>
      </w:pPr>
      <w:r w:rsidRPr="00C63AC5">
        <w:rPr>
          <w:rFonts w:eastAsia="Calibri"/>
          <w:bCs/>
          <w:lang w:eastAsia="ar-SA"/>
        </w:rPr>
        <w:t xml:space="preserve">Visualización: </w:t>
      </w:r>
      <w:r w:rsidRPr="00C63AC5">
        <w:rPr>
          <w:rFonts w:eastAsia="Calibri"/>
          <w:bCs/>
          <w:i/>
          <w:lang w:eastAsia="ar-SA"/>
        </w:rPr>
        <w:t>Jesús Talavera, Jenny Torres Malca.</w:t>
      </w:r>
    </w:p>
    <w:p w14:paraId="0143CA52" w14:textId="77777777" w:rsidR="00C63AC5" w:rsidRPr="00C63AC5" w:rsidRDefault="00C63AC5" w:rsidP="00C63AC5">
      <w:pPr>
        <w:widowControl w:val="0"/>
        <w:pBdr>
          <w:top w:val="nil"/>
          <w:left w:val="nil"/>
          <w:bottom w:val="nil"/>
          <w:right w:val="nil"/>
          <w:between w:val="nil"/>
        </w:pBdr>
        <w:spacing w:line="360" w:lineRule="auto"/>
        <w:rPr>
          <w:bCs/>
          <w:color w:val="000000"/>
          <w:lang w:val="es-PE" w:eastAsia="es-PE"/>
        </w:rPr>
      </w:pPr>
      <w:r w:rsidRPr="00C63AC5">
        <w:rPr>
          <w:bCs/>
          <w:color w:val="000000"/>
          <w:lang w:val="es-PE" w:eastAsia="es-PE"/>
        </w:rPr>
        <w:t>Redacción – borrador original:</w:t>
      </w:r>
      <w:r w:rsidRPr="00C63AC5">
        <w:rPr>
          <w:bCs/>
          <w:i/>
          <w:color w:val="000000"/>
          <w:lang w:val="es-PE" w:eastAsia="es-PE"/>
        </w:rPr>
        <w:t xml:space="preserve"> Jesús Talavera, Jenny Torres Malca, </w:t>
      </w:r>
      <w:r w:rsidRPr="00C63AC5">
        <w:rPr>
          <w:rFonts w:eastAsia="Calibri"/>
          <w:i/>
          <w:szCs w:val="20"/>
          <w:lang w:val="es-PE" w:eastAsia="ar-SA"/>
        </w:rPr>
        <w:t>Fiorella E. Zuzunaga-Montoya.</w:t>
      </w:r>
    </w:p>
    <w:p w14:paraId="20B54B56" w14:textId="77777777" w:rsidR="00C63AC5" w:rsidRPr="00C63AC5" w:rsidRDefault="00C63AC5" w:rsidP="00C63AC5">
      <w:pPr>
        <w:widowControl w:val="0"/>
        <w:pBdr>
          <w:top w:val="nil"/>
          <w:left w:val="nil"/>
          <w:bottom w:val="nil"/>
          <w:right w:val="nil"/>
          <w:between w:val="nil"/>
        </w:pBdr>
        <w:spacing w:line="360" w:lineRule="auto"/>
        <w:rPr>
          <w:b/>
          <w:color w:val="000000"/>
          <w:lang w:val="es-PE" w:eastAsia="es-PE"/>
        </w:rPr>
      </w:pPr>
      <w:r w:rsidRPr="00C63AC5">
        <w:rPr>
          <w:bCs/>
          <w:color w:val="000000"/>
          <w:lang w:val="es-PE" w:eastAsia="es-PE"/>
        </w:rPr>
        <w:t xml:space="preserve">Redacción – revisión y edición: </w:t>
      </w:r>
      <w:proofErr w:type="spellStart"/>
      <w:r w:rsidRPr="00C63AC5">
        <w:rPr>
          <w:rFonts w:eastAsia="Calibri"/>
          <w:bCs/>
          <w:i/>
          <w:lang w:eastAsia="ar-SA"/>
        </w:rPr>
        <w:t>Leyla</w:t>
      </w:r>
      <w:proofErr w:type="spellEnd"/>
      <w:r w:rsidRPr="00C63AC5">
        <w:rPr>
          <w:rFonts w:eastAsia="Calibri"/>
          <w:bCs/>
          <w:i/>
          <w:lang w:eastAsia="ar-SA"/>
        </w:rPr>
        <w:t xml:space="preserve"> Rodas Alvarado</w:t>
      </w:r>
      <w:r w:rsidRPr="00C63AC5">
        <w:rPr>
          <w:i/>
          <w:color w:val="000000"/>
          <w:lang w:val="es-PE" w:eastAsia="es-PE"/>
        </w:rPr>
        <w:t>, Víctor Vera Ponce,</w:t>
      </w:r>
      <w:r w:rsidRPr="00C63AC5">
        <w:rPr>
          <w:bCs/>
          <w:i/>
          <w:color w:val="000000"/>
          <w:lang w:val="es-PE" w:eastAsia="es-PE"/>
        </w:rPr>
        <w:t xml:space="preserve"> Jesús Talavera, Jenny Torres Malca, </w:t>
      </w:r>
      <w:r w:rsidRPr="00C63AC5">
        <w:rPr>
          <w:rFonts w:eastAsia="Calibri"/>
          <w:i/>
          <w:szCs w:val="20"/>
          <w:lang w:val="es-PE" w:eastAsia="ar-SA"/>
        </w:rPr>
        <w:t xml:space="preserve">Fiorella E. Zuzunaga-Montoya, </w:t>
      </w:r>
      <w:r w:rsidRPr="00C63AC5">
        <w:rPr>
          <w:bCs/>
          <w:i/>
          <w:color w:val="000000"/>
          <w:lang w:val="es-PE" w:eastAsia="es-PE"/>
        </w:rPr>
        <w:t>Jhony De La Cruz Vargas.</w:t>
      </w:r>
    </w:p>
    <w:p w14:paraId="35CA3A14" w14:textId="77777777" w:rsidR="00675476" w:rsidRPr="00C63AC5" w:rsidRDefault="00675476" w:rsidP="00EA1FEF">
      <w:pPr>
        <w:pStyle w:val="PDFRevista"/>
        <w:rPr>
          <w:lang w:val="es-PE"/>
        </w:rPr>
      </w:pPr>
    </w:p>
    <w:sectPr w:rsidR="00675476" w:rsidRPr="00C63AC5" w:rsidSect="00FD3DF8">
      <w:headerReference w:type="even" r:id="rId28"/>
      <w:headerReference w:type="default" r:id="rId29"/>
      <w:footerReference w:type="even" r:id="rId30"/>
      <w:footerReference w:type="default" r:id="rId31"/>
      <w:headerReference w:type="first" r:id="rId32"/>
      <w:footerReference w:type="firs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2406" w14:textId="77777777" w:rsidR="00026CCD" w:rsidRDefault="00026CCD">
      <w:r>
        <w:separator/>
      </w:r>
    </w:p>
  </w:endnote>
  <w:endnote w:type="continuationSeparator" w:id="0">
    <w:p w14:paraId="6EE53FB7" w14:textId="77777777" w:rsidR="00026CCD" w:rsidRDefault="0002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46BC" w14:textId="77777777" w:rsidR="00FD3F01" w:rsidRPr="00AE044C" w:rsidRDefault="00FD3F01" w:rsidP="00FD3F01">
    <w:pPr>
      <w:pStyle w:val="Piedepgina"/>
      <w:ind w:right="360"/>
      <w:rPr>
        <w:sz w:val="22"/>
        <w:szCs w:val="22"/>
      </w:rPr>
    </w:pPr>
    <w:r>
      <w:rPr>
        <w:noProof/>
      </w:rPr>
      <mc:AlternateContent>
        <mc:Choice Requires="wps">
          <w:drawing>
            <wp:anchor distT="0" distB="0" distL="114300" distR="114300" simplePos="0" relativeHeight="251667456" behindDoc="0" locked="0" layoutInCell="1" allowOverlap="1" wp14:anchorId="5EF976B9" wp14:editId="6A212A08">
              <wp:simplePos x="0" y="0"/>
              <wp:positionH relativeFrom="column">
                <wp:posOffset>3810</wp:posOffset>
              </wp:positionH>
              <wp:positionV relativeFrom="paragraph">
                <wp:posOffset>50165</wp:posOffset>
              </wp:positionV>
              <wp:extent cx="6286500" cy="19050"/>
              <wp:effectExtent l="19050" t="19050" r="0" b="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F7BC10" id="Conector recto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B6645C1" w14:textId="77777777" w:rsidR="00FD3F01" w:rsidRPr="00AE044C" w:rsidRDefault="00FD3F01" w:rsidP="00FD3F01">
    <w:pPr>
      <w:pStyle w:val="Piedepgina"/>
      <w:ind w:right="360"/>
      <w:rPr>
        <w:sz w:val="22"/>
        <w:szCs w:val="22"/>
      </w:rPr>
    </w:pPr>
    <w:hyperlink r:id="rId1" w:history="1">
      <w:r w:rsidRPr="00AE044C">
        <w:rPr>
          <w:rStyle w:val="Hipervnculo"/>
          <w:sz w:val="22"/>
          <w:szCs w:val="22"/>
        </w:rPr>
        <w:t>http://scielo.sld.cu</w:t>
      </w:r>
    </w:hyperlink>
  </w:p>
  <w:p w14:paraId="4D8EE471" w14:textId="77777777" w:rsidR="00FD3F01" w:rsidRPr="00AE044C" w:rsidRDefault="00FD3F01" w:rsidP="00FD3F01">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14:paraId="3AE96CD1" w14:textId="4AB1E460" w:rsidR="00C63AC5" w:rsidRPr="00FD3F01" w:rsidRDefault="00FD3F01" w:rsidP="00FD3F01">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Pr="00C63AC5">
      <w:rPr>
        <w:rFonts w:ascii="Verdana" w:hAnsi="Verdana"/>
        <w:noProof/>
        <w:sz w:val="18"/>
        <w:szCs w:val="18"/>
        <w:lang w:val="en-US" w:eastAsia="en-US"/>
      </w:rPr>
      <w:drawing>
        <wp:inline distT="0" distB="0" distL="0" distR="0" wp14:anchorId="4B39F5C0" wp14:editId="09959641">
          <wp:extent cx="638175" cy="146685"/>
          <wp:effectExtent l="0" t="0" r="0" b="0"/>
          <wp:docPr id="19"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p w14:paraId="28006A8A" w14:textId="77777777" w:rsidR="00C63AC5" w:rsidRDefault="00C63A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057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4FCCB9" w14:textId="77777777" w:rsidR="00FE40CB" w:rsidRDefault="00FE40CB" w:rsidP="00FE40C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8B28" w14:textId="05E40AE0" w:rsidR="000F3690" w:rsidRPr="00AE044C" w:rsidRDefault="00C63AC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D5FBE51" wp14:editId="010DB4F7">
              <wp:simplePos x="0" y="0"/>
              <wp:positionH relativeFrom="column">
                <wp:posOffset>3810</wp:posOffset>
              </wp:positionH>
              <wp:positionV relativeFrom="paragraph">
                <wp:posOffset>50165</wp:posOffset>
              </wp:positionV>
              <wp:extent cx="6286500" cy="19050"/>
              <wp:effectExtent l="19050" t="1905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A24508" id="Conector rec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3934B6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4BFBDE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AE41AF6" w14:textId="26100F1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63AC5" w:rsidRPr="00C63AC5">
      <w:rPr>
        <w:rFonts w:ascii="Verdana" w:hAnsi="Verdana"/>
        <w:noProof/>
        <w:sz w:val="18"/>
        <w:szCs w:val="18"/>
        <w:lang w:val="en-US" w:eastAsia="en-US"/>
      </w:rPr>
      <w:drawing>
        <wp:inline distT="0" distB="0" distL="0" distR="0" wp14:anchorId="0D1514F4" wp14:editId="65F5E99D">
          <wp:extent cx="638175" cy="146685"/>
          <wp:effectExtent l="0" t="0" r="0" b="0"/>
          <wp:docPr id="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7D0"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6F6C" w14:textId="77777777" w:rsidR="00026CCD" w:rsidRDefault="00026CCD">
      <w:r>
        <w:separator/>
      </w:r>
    </w:p>
  </w:footnote>
  <w:footnote w:type="continuationSeparator" w:id="0">
    <w:p w14:paraId="74B93CDA" w14:textId="77777777" w:rsidR="00026CCD" w:rsidRDefault="0002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6C07" w14:textId="301FE149" w:rsidR="00C63AC5" w:rsidRPr="00C3086F" w:rsidRDefault="006C6D07" w:rsidP="00C3086F">
    <w:pPr>
      <w:pStyle w:val="Encabezado"/>
      <w:jc w:val="right"/>
      <w:rPr>
        <w:sz w:val="22"/>
        <w:szCs w:val="22"/>
      </w:rPr>
    </w:pPr>
    <w:r w:rsidRPr="00C3086F">
      <w:rPr>
        <w:noProof/>
        <w:sz w:val="22"/>
        <w:szCs w:val="22"/>
      </w:rPr>
      <w:drawing>
        <wp:anchor distT="0" distB="0" distL="114300" distR="114300" simplePos="0" relativeHeight="251665408" behindDoc="1" locked="0" layoutInCell="1" allowOverlap="1" wp14:anchorId="52126B7C" wp14:editId="1096E6CC">
          <wp:simplePos x="0" y="0"/>
          <wp:positionH relativeFrom="margin">
            <wp:align>center</wp:align>
          </wp:positionH>
          <wp:positionV relativeFrom="paragraph">
            <wp:posOffset>-314588</wp:posOffset>
          </wp:positionV>
          <wp:extent cx="6333490" cy="593725"/>
          <wp:effectExtent l="0" t="0" r="0" b="0"/>
          <wp:wrapNone/>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41D96" w14:textId="798485BA" w:rsidR="00C63AC5" w:rsidRPr="00C3086F" w:rsidRDefault="00C63AC5" w:rsidP="00C3086F">
    <w:pPr>
      <w:pStyle w:val="Encabezado"/>
      <w:jc w:val="center"/>
      <w:rPr>
        <w:sz w:val="22"/>
        <w:szCs w:val="22"/>
        <w:lang w:val="es-ES"/>
      </w:rPr>
    </w:pPr>
  </w:p>
  <w:p w14:paraId="6C0B21DC" w14:textId="2B699634" w:rsidR="006C6D07" w:rsidRDefault="004929B7" w:rsidP="00C3086F">
    <w:pPr>
      <w:pStyle w:val="Encabezado"/>
      <w:jc w:val="center"/>
      <w:rPr>
        <w:sz w:val="22"/>
        <w:szCs w:val="22"/>
        <w:lang w:val="es-ES"/>
      </w:rPr>
    </w:pPr>
    <w:r>
      <w:rPr>
        <w:noProof/>
      </w:rPr>
      <mc:AlternateContent>
        <mc:Choice Requires="wps">
          <w:drawing>
            <wp:anchor distT="0" distB="0" distL="114300" distR="114300" simplePos="0" relativeHeight="251669504" behindDoc="0" locked="0" layoutInCell="1" allowOverlap="1" wp14:anchorId="4D52DA35" wp14:editId="58D60B93">
              <wp:simplePos x="0" y="0"/>
              <wp:positionH relativeFrom="margin">
                <wp:align>center</wp:align>
              </wp:positionH>
              <wp:positionV relativeFrom="paragraph">
                <wp:posOffset>159121</wp:posOffset>
              </wp:positionV>
              <wp:extent cx="6307455" cy="28575"/>
              <wp:effectExtent l="19050" t="19050" r="36195" b="2857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8C87E5" id="Conector recto 20"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5pt" to="496.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" strokecolor="blue" strokeweight="2.25pt">
              <w10:wrap anchorx="margin"/>
            </v:line>
          </w:pict>
        </mc:Fallback>
      </mc:AlternateContent>
    </w:r>
    <w:r w:rsidR="006C6D07" w:rsidRPr="00C3086F">
      <w:rPr>
        <w:sz w:val="22"/>
        <w:szCs w:val="22"/>
        <w:lang w:val="es-ES"/>
      </w:rPr>
      <w:t>2022;51(4</w:t>
    </w:r>
    <w:proofErr w:type="gramStart"/>
    <w:r w:rsidR="006C6D07" w:rsidRPr="00C3086F">
      <w:rPr>
        <w:sz w:val="22"/>
        <w:szCs w:val="22"/>
        <w:lang w:val="es-ES"/>
      </w:rPr>
      <w:t>):</w:t>
    </w:r>
    <w:proofErr w:type="spellStart"/>
    <w:r w:rsidR="006C6D07" w:rsidRPr="00C3086F">
      <w:rPr>
        <w:sz w:val="22"/>
        <w:szCs w:val="22"/>
        <w:lang w:val="es-ES"/>
      </w:rPr>
      <w:t>e</w:t>
    </w:r>
    <w:proofErr w:type="gramEnd"/>
    <w:r w:rsidR="006C6D07" w:rsidRPr="00C3086F">
      <w:rPr>
        <w:sz w:val="22"/>
        <w:szCs w:val="22"/>
        <w:lang w:val="es-ES"/>
      </w:rPr>
      <w:t>02202096</w:t>
    </w:r>
    <w:proofErr w:type="spellEnd"/>
  </w:p>
  <w:p w14:paraId="7EF5B689" w14:textId="793618FD" w:rsidR="001C1232" w:rsidRPr="00C3086F" w:rsidRDefault="001C1232" w:rsidP="00C3086F">
    <w:pPr>
      <w:pStyle w:val="Encabezado"/>
      <w:jc w:val="center"/>
      <w:rPr>
        <w:sz w:val="22"/>
        <w:szCs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F5AE" w14:textId="77777777" w:rsidR="00EE301D" w:rsidRDefault="00EE30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68F4" w14:textId="10472823" w:rsidR="00CC376A" w:rsidRPr="00AE044C" w:rsidRDefault="00C63AC5"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02202096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EE59A00" wp14:editId="5A434528">
          <wp:simplePos x="0" y="0"/>
          <wp:positionH relativeFrom="column">
            <wp:posOffset>2540</wp:posOffset>
          </wp:positionH>
          <wp:positionV relativeFrom="paragraph">
            <wp:posOffset>-598805</wp:posOffset>
          </wp:positionV>
          <wp:extent cx="6333490" cy="593725"/>
          <wp:effectExtent l="0" t="0" r="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32572" w14:textId="7A678829" w:rsidR="00A477DE" w:rsidRDefault="00C63AC5">
    <w:r>
      <w:rPr>
        <w:noProof/>
      </w:rPr>
      <mc:AlternateContent>
        <mc:Choice Requires="wps">
          <w:drawing>
            <wp:anchor distT="0" distB="0" distL="114300" distR="114300" simplePos="0" relativeHeight="251654144" behindDoc="0" locked="0" layoutInCell="1" allowOverlap="1" wp14:anchorId="1951ACD2" wp14:editId="22FDB723">
              <wp:simplePos x="0" y="0"/>
              <wp:positionH relativeFrom="column">
                <wp:posOffset>635</wp:posOffset>
              </wp:positionH>
              <wp:positionV relativeFrom="paragraph">
                <wp:posOffset>42545</wp:posOffset>
              </wp:positionV>
              <wp:extent cx="6307455" cy="28575"/>
              <wp:effectExtent l="19050" t="19050" r="17145" b="952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D3258B" id="Conector recto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4137"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D4D"/>
    <w:multiLevelType w:val="hybridMultilevel"/>
    <w:tmpl w:val="2F6ED4F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3F0F56F6"/>
    <w:multiLevelType w:val="hybridMultilevel"/>
    <w:tmpl w:val="DA4C17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694576595">
    <w:abstractNumId w:val="2"/>
  </w:num>
  <w:num w:numId="2" w16cid:durableId="280035408">
    <w:abstractNumId w:val="0"/>
  </w:num>
  <w:num w:numId="3" w16cid:durableId="922834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C5"/>
    <w:rsid w:val="00024902"/>
    <w:rsid w:val="00026CCD"/>
    <w:rsid w:val="00057F45"/>
    <w:rsid w:val="000D3958"/>
    <w:rsid w:val="000F3690"/>
    <w:rsid w:val="001221D1"/>
    <w:rsid w:val="00165CB5"/>
    <w:rsid w:val="00180CE9"/>
    <w:rsid w:val="001C1232"/>
    <w:rsid w:val="00230DD5"/>
    <w:rsid w:val="00250AE9"/>
    <w:rsid w:val="00380D64"/>
    <w:rsid w:val="00391509"/>
    <w:rsid w:val="003E03D5"/>
    <w:rsid w:val="00466B55"/>
    <w:rsid w:val="00486BFA"/>
    <w:rsid w:val="004929B7"/>
    <w:rsid w:val="00493701"/>
    <w:rsid w:val="004E2065"/>
    <w:rsid w:val="005508A2"/>
    <w:rsid w:val="0055115D"/>
    <w:rsid w:val="00566F71"/>
    <w:rsid w:val="005918BD"/>
    <w:rsid w:val="006173A6"/>
    <w:rsid w:val="00675476"/>
    <w:rsid w:val="006C6D07"/>
    <w:rsid w:val="006E2FB2"/>
    <w:rsid w:val="007C430F"/>
    <w:rsid w:val="007D2D0C"/>
    <w:rsid w:val="007D614D"/>
    <w:rsid w:val="00893BC9"/>
    <w:rsid w:val="00960D6A"/>
    <w:rsid w:val="009A0560"/>
    <w:rsid w:val="009B0917"/>
    <w:rsid w:val="009F0F96"/>
    <w:rsid w:val="00A23C0C"/>
    <w:rsid w:val="00A477DE"/>
    <w:rsid w:val="00A71E65"/>
    <w:rsid w:val="00AE044C"/>
    <w:rsid w:val="00B31971"/>
    <w:rsid w:val="00B4380A"/>
    <w:rsid w:val="00B66ECB"/>
    <w:rsid w:val="00B90613"/>
    <w:rsid w:val="00C3086F"/>
    <w:rsid w:val="00C63AC5"/>
    <w:rsid w:val="00C7523A"/>
    <w:rsid w:val="00CC1B6E"/>
    <w:rsid w:val="00CC376A"/>
    <w:rsid w:val="00CC48A1"/>
    <w:rsid w:val="00CF50E0"/>
    <w:rsid w:val="00D85951"/>
    <w:rsid w:val="00E62606"/>
    <w:rsid w:val="00EA1FEF"/>
    <w:rsid w:val="00EC5A6B"/>
    <w:rsid w:val="00EE301D"/>
    <w:rsid w:val="00FA7CC1"/>
    <w:rsid w:val="00FD3DF8"/>
    <w:rsid w:val="00FD3F0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5CF56"/>
  <w15:docId w15:val="{F287552F-BAEE-4D5E-8B0D-2385A79A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C63AC5"/>
  </w:style>
  <w:style w:type="paragraph" w:styleId="Bibliografa">
    <w:name w:val="Bibliography"/>
    <w:basedOn w:val="Normal"/>
    <w:next w:val="Normal"/>
    <w:uiPriority w:val="37"/>
    <w:unhideWhenUsed/>
    <w:rsid w:val="00C63AC5"/>
    <w:pPr>
      <w:widowControl w:val="0"/>
      <w:pBdr>
        <w:top w:val="nil"/>
        <w:left w:val="nil"/>
        <w:bottom w:val="nil"/>
        <w:right w:val="nil"/>
        <w:between w:val="nil"/>
      </w:pBdr>
      <w:tabs>
        <w:tab w:val="left" w:pos="504"/>
      </w:tabs>
      <w:spacing w:after="240"/>
      <w:ind w:left="504" w:hanging="504"/>
    </w:pPr>
    <w:rPr>
      <w:color w:val="000000"/>
      <w:lang w:val="es-PE" w:eastAsia="es-PE"/>
    </w:rPr>
  </w:style>
  <w:style w:type="character" w:customStyle="1" w:styleId="Mencinsinresolver1">
    <w:name w:val="Mención sin resolver1"/>
    <w:uiPriority w:val="99"/>
    <w:semiHidden/>
    <w:unhideWhenUsed/>
    <w:rsid w:val="00C63AC5"/>
    <w:rPr>
      <w:color w:val="605E5C"/>
      <w:shd w:val="clear" w:color="auto" w:fill="E1DFDD"/>
    </w:rPr>
  </w:style>
  <w:style w:type="table" w:customStyle="1" w:styleId="Tablaconcuadrcula1">
    <w:name w:val="Tabla con cuadrícula1"/>
    <w:basedOn w:val="Tablanormal"/>
    <w:next w:val="Tablaconcuadrcula"/>
    <w:uiPriority w:val="39"/>
    <w:rsid w:val="00C63AC5"/>
    <w:rPr>
      <w:rFonts w:ascii="Calibri" w:eastAsia="SimSun"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C63AC5"/>
    <w:rPr>
      <w:i/>
      <w:iCs/>
    </w:rPr>
  </w:style>
  <w:style w:type="paragraph" w:customStyle="1" w:styleId="Textoindependiente21">
    <w:name w:val="Texto independiente 21"/>
    <w:basedOn w:val="Normal"/>
    <w:next w:val="Textoindependiente2"/>
    <w:link w:val="Textoindependiente2Car"/>
    <w:uiPriority w:val="99"/>
    <w:unhideWhenUsed/>
    <w:rsid w:val="00C63AC5"/>
    <w:pPr>
      <w:suppressAutoHyphens/>
      <w:autoSpaceDE w:val="0"/>
      <w:spacing w:line="360" w:lineRule="auto"/>
      <w:jc w:val="center"/>
    </w:pPr>
    <w:rPr>
      <w:b/>
      <w:bCs/>
      <w:szCs w:val="20"/>
      <w:lang w:val="es-CU" w:eastAsia="ar-SA"/>
    </w:rPr>
  </w:style>
  <w:style w:type="character" w:customStyle="1" w:styleId="Textoindependiente2Car">
    <w:name w:val="Texto independiente 2 Car"/>
    <w:link w:val="Textoindependiente21"/>
    <w:uiPriority w:val="99"/>
    <w:rsid w:val="00C63AC5"/>
    <w:rPr>
      <w:rFonts w:ascii="Times New Roman" w:eastAsia="Times New Roman" w:hAnsi="Times New Roman" w:cs="Times New Roman"/>
      <w:b/>
      <w:bCs/>
      <w:sz w:val="24"/>
      <w:lang w:eastAsia="ar-SA"/>
    </w:rPr>
  </w:style>
  <w:style w:type="paragraph" w:styleId="Textocomentario">
    <w:name w:val="annotation text"/>
    <w:basedOn w:val="Normal"/>
    <w:link w:val="TextocomentarioCar"/>
    <w:uiPriority w:val="99"/>
    <w:unhideWhenUsed/>
    <w:rsid w:val="00C63AC5"/>
    <w:pPr>
      <w:suppressAutoHyphens/>
      <w:spacing w:line="480" w:lineRule="auto"/>
    </w:pPr>
    <w:rPr>
      <w:rFonts w:ascii="Arial" w:eastAsia="Calibri" w:hAnsi="Arial" w:cs="Calibri"/>
      <w:sz w:val="20"/>
      <w:szCs w:val="20"/>
      <w:lang w:eastAsia="ar-SA"/>
    </w:rPr>
  </w:style>
  <w:style w:type="character" w:customStyle="1" w:styleId="TextocomentarioCar">
    <w:name w:val="Texto comentario Car"/>
    <w:basedOn w:val="Fuentedeprrafopredeter"/>
    <w:link w:val="Textocomentario"/>
    <w:uiPriority w:val="99"/>
    <w:rsid w:val="00C63AC5"/>
    <w:rPr>
      <w:rFonts w:ascii="Arial" w:eastAsia="Calibri" w:hAnsi="Arial" w:cs="Calibri"/>
      <w:lang w:val="es-ES_tradnl" w:eastAsia="ar-SA"/>
    </w:rPr>
  </w:style>
  <w:style w:type="paragraph" w:styleId="Prrafodelista">
    <w:name w:val="List Paragraph"/>
    <w:basedOn w:val="Normal"/>
    <w:uiPriority w:val="34"/>
    <w:qFormat/>
    <w:rsid w:val="00C63AC5"/>
    <w:pPr>
      <w:widowControl w:val="0"/>
      <w:pBdr>
        <w:top w:val="nil"/>
        <w:left w:val="nil"/>
        <w:bottom w:val="nil"/>
        <w:right w:val="nil"/>
        <w:between w:val="nil"/>
      </w:pBdr>
      <w:ind w:left="720"/>
      <w:contextualSpacing/>
    </w:pPr>
    <w:rPr>
      <w:color w:val="000000"/>
      <w:lang w:val="es-PE" w:eastAsia="es-PE"/>
    </w:rPr>
  </w:style>
  <w:style w:type="character" w:styleId="Refdecomentario">
    <w:name w:val="annotation reference"/>
    <w:uiPriority w:val="99"/>
    <w:semiHidden/>
    <w:unhideWhenUsed/>
    <w:rsid w:val="00C63AC5"/>
    <w:rPr>
      <w:sz w:val="16"/>
      <w:szCs w:val="16"/>
    </w:rPr>
  </w:style>
  <w:style w:type="paragraph" w:styleId="Asuntodelcomentario">
    <w:name w:val="annotation subject"/>
    <w:basedOn w:val="Textocomentario"/>
    <w:next w:val="Textocomentario"/>
    <w:link w:val="AsuntodelcomentarioCar"/>
    <w:uiPriority w:val="99"/>
    <w:semiHidden/>
    <w:unhideWhenUsed/>
    <w:rsid w:val="00C63AC5"/>
    <w:pPr>
      <w:widowControl w:val="0"/>
      <w:pBdr>
        <w:top w:val="nil"/>
        <w:left w:val="nil"/>
        <w:bottom w:val="nil"/>
        <w:right w:val="nil"/>
        <w:between w:val="nil"/>
      </w:pBdr>
      <w:suppressAutoHyphens w:val="0"/>
      <w:spacing w:line="240" w:lineRule="auto"/>
    </w:pPr>
    <w:rPr>
      <w:rFonts w:ascii="Times New Roman" w:eastAsia="Times New Roman" w:hAnsi="Times New Roman" w:cs="Times New Roman"/>
      <w:b/>
      <w:bCs/>
      <w:color w:val="000000"/>
      <w:lang w:val="es-PE" w:eastAsia="es-PE"/>
    </w:rPr>
  </w:style>
  <w:style w:type="character" w:customStyle="1" w:styleId="AsuntodelcomentarioCar">
    <w:name w:val="Asunto del comentario Car"/>
    <w:basedOn w:val="TextocomentarioCar"/>
    <w:link w:val="Asuntodelcomentario"/>
    <w:uiPriority w:val="99"/>
    <w:semiHidden/>
    <w:rsid w:val="00C63AC5"/>
    <w:rPr>
      <w:rFonts w:ascii="Arial" w:eastAsia="Calibri" w:hAnsi="Arial" w:cs="Calibri"/>
      <w:b/>
      <w:bCs/>
      <w:color w:val="000000"/>
      <w:lang w:val="es-PE" w:eastAsia="es-PE"/>
    </w:rPr>
  </w:style>
  <w:style w:type="character" w:customStyle="1" w:styleId="Mencinsinresolver2">
    <w:name w:val="Mención sin resolver2"/>
    <w:uiPriority w:val="99"/>
    <w:semiHidden/>
    <w:unhideWhenUsed/>
    <w:rsid w:val="00C63AC5"/>
    <w:rPr>
      <w:color w:val="605E5C"/>
      <w:shd w:val="clear" w:color="auto" w:fill="E1DFDD"/>
    </w:rPr>
  </w:style>
  <w:style w:type="paragraph" w:styleId="Sinespaciado">
    <w:name w:val="No Spacing"/>
    <w:uiPriority w:val="1"/>
    <w:qFormat/>
    <w:rsid w:val="00C63AC5"/>
    <w:pPr>
      <w:widowControl w:val="0"/>
      <w:pBdr>
        <w:top w:val="nil"/>
        <w:left w:val="nil"/>
        <w:bottom w:val="nil"/>
        <w:right w:val="nil"/>
        <w:between w:val="nil"/>
      </w:pBdr>
    </w:pPr>
    <w:rPr>
      <w:color w:val="000000"/>
      <w:sz w:val="24"/>
      <w:szCs w:val="24"/>
      <w:lang w:val="es-PE" w:eastAsia="es-PE"/>
    </w:rPr>
  </w:style>
  <w:style w:type="paragraph" w:styleId="Revisin">
    <w:name w:val="Revision"/>
    <w:hidden/>
    <w:uiPriority w:val="99"/>
    <w:semiHidden/>
    <w:rsid w:val="00C63AC5"/>
    <w:rPr>
      <w:color w:val="000000"/>
      <w:sz w:val="24"/>
      <w:szCs w:val="24"/>
      <w:lang w:val="es-PE" w:eastAsia="es-PE"/>
    </w:rPr>
  </w:style>
  <w:style w:type="character" w:styleId="Mencinsinresolver">
    <w:name w:val="Unresolved Mention"/>
    <w:uiPriority w:val="99"/>
    <w:semiHidden/>
    <w:unhideWhenUsed/>
    <w:rsid w:val="00C63AC5"/>
    <w:rPr>
      <w:color w:val="605E5C"/>
      <w:shd w:val="clear" w:color="auto" w:fill="E1DFDD"/>
    </w:rPr>
  </w:style>
  <w:style w:type="paragraph" w:styleId="Textoindependiente2">
    <w:name w:val="Body Text 2"/>
    <w:basedOn w:val="Normal"/>
    <w:link w:val="Textoindependiente2Car1"/>
    <w:semiHidden/>
    <w:unhideWhenUsed/>
    <w:rsid w:val="00C63AC5"/>
    <w:pPr>
      <w:spacing w:after="120" w:line="480" w:lineRule="auto"/>
    </w:pPr>
  </w:style>
  <w:style w:type="character" w:customStyle="1" w:styleId="Textoindependiente2Car1">
    <w:name w:val="Texto independiente 2 Car1"/>
    <w:basedOn w:val="Fuentedeprrafopredeter"/>
    <w:link w:val="Textoindependiente2"/>
    <w:semiHidden/>
    <w:rsid w:val="00C63AC5"/>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75-9049" TargetMode="External"/><Relationship Id="rId13" Type="http://schemas.openxmlformats.org/officeDocument/2006/relationships/hyperlink" Target="mailto:goodliferesearchgroup@gmail.com" TargetMode="External"/><Relationship Id="rId18" Type="http://schemas.openxmlformats.org/officeDocument/2006/relationships/image" Target="media/image4.png"/><Relationship Id="rId26" Type="http://schemas.openxmlformats.org/officeDocument/2006/relationships/hyperlink" Target="http://www.iom.edu/Reports/2010/Dietary-Reference-Intakes-for-Calcium-and-Vitamin-D.aspx"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hyperlink" Target="https://orcid.org/0000-0002-0818-6626" TargetMode="External"/><Relationship Id="rId12" Type="http://schemas.openxmlformats.org/officeDocument/2006/relationships/hyperlink" Target="https://orcid.org/0000-0002-5592-0504" TargetMode="External"/><Relationship Id="rId17" Type="http://schemas.openxmlformats.org/officeDocument/2006/relationships/footer" Target="footer1.xml"/><Relationship Id="rId25" Type="http://schemas.openxmlformats.org/officeDocument/2006/relationships/hyperlink" Target="https://training.cochrane.org/handbook"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354-273X" TargetMode="External"/><Relationship Id="rId24" Type="http://schemas.openxmlformats.org/officeDocument/2006/relationships/hyperlink" Target="https://pubmed.ncbi.nlm.nih.gov/27356115/"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eb.ins.gob.pe/es/alimentacion-y-nutricion/vigilancia-alimentaria-y-nutricional/vigilancia-del-estado-nutricional-en-poblacion" TargetMode="External"/><Relationship Id="rId28" Type="http://schemas.openxmlformats.org/officeDocument/2006/relationships/header" Target="header2.xml"/><Relationship Id="rId10" Type="http://schemas.openxmlformats.org/officeDocument/2006/relationships/hyperlink" Target="https://orcid.org/0000-0002-0267-2105" TargetMode="Externa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rcid.org/0000-0002-7199-8475" TargetMode="External"/><Relationship Id="rId14" Type="http://schemas.openxmlformats.org/officeDocument/2006/relationships/hyperlink" Target="https://rayyan.qcri.org" TargetMode="External"/><Relationship Id="rId22" Type="http://schemas.openxmlformats.org/officeDocument/2006/relationships/image" Target="media/image8.jpeg"/><Relationship Id="rId27" Type="http://schemas.openxmlformats.org/officeDocument/2006/relationships/hyperlink" Target="https://pubmed.ncbi.nlm.nih.gov/11064850/" TargetMode="External"/><Relationship Id="rId30" Type="http://schemas.openxmlformats.org/officeDocument/2006/relationships/footer" Target="foot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19</Pages>
  <Words>22236</Words>
  <Characters>122300</Characters>
  <Application>Microsoft Office Word</Application>
  <DocSecurity>0</DocSecurity>
  <Lines>1019</Lines>
  <Paragraphs>288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144248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2022-11-04T16:31:00Z</cp:lastPrinted>
  <dcterms:created xsi:type="dcterms:W3CDTF">2022-11-04T16:21:00Z</dcterms:created>
  <dcterms:modified xsi:type="dcterms:W3CDTF">2022-11-04T16:32:00Z</dcterms:modified>
</cp:coreProperties>
</file>