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24F" w14:textId="77777777" w:rsidR="00D74DFF" w:rsidRPr="00D74DFF" w:rsidRDefault="00D74DFF" w:rsidP="00D74DFF">
      <w:pPr>
        <w:spacing w:line="360" w:lineRule="auto"/>
        <w:jc w:val="right"/>
        <w:rPr>
          <w:rFonts w:eastAsia="Arial"/>
          <w:sz w:val="20"/>
          <w:szCs w:val="20"/>
          <w:lang w:val="es-PE" w:eastAsia="en-US"/>
        </w:rPr>
      </w:pPr>
      <w:bookmarkStart w:id="0" w:name="_Hlk102735066"/>
      <w:bookmarkStart w:id="1" w:name="_Hlk84167087"/>
      <w:r w:rsidRPr="00D74DFF">
        <w:rPr>
          <w:rFonts w:eastAsia="Arial"/>
          <w:sz w:val="20"/>
          <w:szCs w:val="20"/>
          <w:lang w:val="es-PE" w:eastAsia="en-US"/>
        </w:rPr>
        <w:t>Artículo de investigación</w:t>
      </w:r>
    </w:p>
    <w:p w14:paraId="563923CB" w14:textId="77777777" w:rsidR="00D74DFF" w:rsidRPr="00D74DFF" w:rsidRDefault="00D74DFF" w:rsidP="00D74DFF">
      <w:pPr>
        <w:spacing w:line="360" w:lineRule="auto"/>
        <w:jc w:val="both"/>
        <w:rPr>
          <w:rFonts w:eastAsia="Arial"/>
          <w:b/>
          <w:sz w:val="20"/>
          <w:szCs w:val="20"/>
          <w:lang w:val="es-PE" w:eastAsia="en-US"/>
        </w:rPr>
      </w:pPr>
    </w:p>
    <w:p w14:paraId="4CE81F65" w14:textId="77777777" w:rsidR="00903B36" w:rsidRPr="00903B36" w:rsidRDefault="00903B36" w:rsidP="00903B36">
      <w:pPr>
        <w:spacing w:line="360" w:lineRule="auto"/>
        <w:jc w:val="center"/>
        <w:rPr>
          <w:rFonts w:eastAsia="Arial"/>
          <w:b/>
          <w:sz w:val="28"/>
          <w:szCs w:val="28"/>
          <w:lang w:val="es-PE" w:eastAsia="en-US"/>
        </w:rPr>
      </w:pPr>
      <w:r w:rsidRPr="00903B36">
        <w:rPr>
          <w:rFonts w:eastAsia="Arial"/>
          <w:b/>
          <w:sz w:val="28"/>
          <w:szCs w:val="28"/>
          <w:lang w:val="es-PE" w:eastAsia="en-US"/>
        </w:rPr>
        <w:t xml:space="preserve">Riesgo de preeclampsia y suplementación de vitamina C y E: revisión sistemática y metanálisis </w:t>
      </w:r>
    </w:p>
    <w:p w14:paraId="0D70AE0D" w14:textId="2A0FB963" w:rsidR="00D74DFF" w:rsidRPr="00903B36" w:rsidRDefault="00903B36" w:rsidP="00903B36">
      <w:pPr>
        <w:spacing w:line="360" w:lineRule="auto"/>
        <w:jc w:val="center"/>
        <w:rPr>
          <w:rFonts w:eastAsia="Arial"/>
          <w:bCs/>
          <w:sz w:val="28"/>
          <w:szCs w:val="28"/>
          <w:lang w:val="en-US" w:eastAsia="en-US"/>
        </w:rPr>
      </w:pPr>
      <w:r w:rsidRPr="00903B36">
        <w:rPr>
          <w:rFonts w:eastAsia="Arial"/>
          <w:bCs/>
          <w:sz w:val="28"/>
          <w:szCs w:val="28"/>
          <w:lang w:val="en-US" w:eastAsia="en-US"/>
        </w:rPr>
        <w:t>Risk of preeclampsia and Vitamin C and E supplementation: a systematic review and meta-analysis</w:t>
      </w:r>
    </w:p>
    <w:p w14:paraId="3847D871" w14:textId="77777777" w:rsidR="00903B36" w:rsidRPr="00D74DFF" w:rsidRDefault="00903B36" w:rsidP="00903B36">
      <w:pPr>
        <w:spacing w:line="360" w:lineRule="auto"/>
        <w:jc w:val="center"/>
        <w:rPr>
          <w:rFonts w:eastAsia="Calibri"/>
          <w:bCs/>
          <w:sz w:val="28"/>
          <w:szCs w:val="28"/>
          <w:lang w:val="en-US" w:eastAsia="en-US"/>
        </w:rPr>
      </w:pPr>
    </w:p>
    <w:p w14:paraId="36D1D827"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María Teresa Perdomo Rebaza</w:t>
      </w:r>
      <w:r w:rsidRPr="00D74DFF">
        <w:rPr>
          <w:rFonts w:eastAsia="Calibri"/>
          <w:vertAlign w:val="superscript"/>
          <w:lang w:val="es-PE" w:eastAsia="en-US"/>
        </w:rPr>
        <w:t>1</w:t>
      </w:r>
      <w:r w:rsidRPr="00D74DFF">
        <w:rPr>
          <w:rFonts w:eastAsia="Calibri"/>
          <w:lang w:val="es-PE" w:eastAsia="en-US"/>
        </w:rPr>
        <w:t xml:space="preserve"> </w:t>
      </w:r>
      <w:hyperlink r:id="rId8" w:history="1">
        <w:r w:rsidRPr="00D74DFF">
          <w:rPr>
            <w:rFonts w:eastAsia="Calibri"/>
            <w:color w:val="0563C1"/>
            <w:u w:val="single"/>
            <w:lang w:val="es-PE" w:eastAsia="en-US"/>
          </w:rPr>
          <w:t>https://orcid.org/0000-0001-8733-780X</w:t>
        </w:r>
      </w:hyperlink>
    </w:p>
    <w:p w14:paraId="2B5E292F"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Víctor Juan Vera-Ponce</w:t>
      </w:r>
      <w:r w:rsidRPr="00D74DFF">
        <w:rPr>
          <w:rFonts w:eastAsia="Calibri"/>
          <w:vertAlign w:val="superscript"/>
          <w:lang w:val="es-PE" w:eastAsia="en-US"/>
        </w:rPr>
        <w:t>1</w:t>
      </w:r>
      <w:r w:rsidRPr="00D74DFF">
        <w:rPr>
          <w:rFonts w:eastAsia="Calibri"/>
          <w:lang w:val="es-PE" w:eastAsia="en-US"/>
        </w:rPr>
        <w:t xml:space="preserve">* </w:t>
      </w:r>
      <w:hyperlink r:id="rId9" w:history="1">
        <w:r w:rsidRPr="00D74DFF">
          <w:rPr>
            <w:rFonts w:eastAsia="Calibri"/>
            <w:color w:val="0563C1"/>
            <w:u w:val="single"/>
            <w:lang w:val="es-PE" w:eastAsia="en-US"/>
          </w:rPr>
          <w:t>https://orcid.org/0000-0003-4075-9049</w:t>
        </w:r>
      </w:hyperlink>
    </w:p>
    <w:p w14:paraId="565EC1D2"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Jenny Raquel Torres-Malca</w:t>
      </w:r>
      <w:r w:rsidRPr="00D74DFF">
        <w:rPr>
          <w:rFonts w:eastAsia="Calibri"/>
          <w:vertAlign w:val="superscript"/>
          <w:lang w:val="es-PE" w:eastAsia="en-US"/>
        </w:rPr>
        <w:t>1,2</w:t>
      </w:r>
      <w:r w:rsidRPr="00D74DFF">
        <w:rPr>
          <w:rFonts w:eastAsia="Calibri"/>
          <w:lang w:val="es-PE" w:eastAsia="en-US"/>
        </w:rPr>
        <w:t xml:space="preserve"> </w:t>
      </w:r>
      <w:hyperlink r:id="rId10" w:history="1">
        <w:r w:rsidRPr="00D74DFF">
          <w:rPr>
            <w:rFonts w:eastAsia="Calibri"/>
            <w:color w:val="0563C1"/>
            <w:u w:val="single"/>
            <w:lang w:val="es-PE" w:eastAsia="en-US"/>
          </w:rPr>
          <w:t>https://orcid.org/0000-0002-7199-8475</w:t>
        </w:r>
      </w:hyperlink>
    </w:p>
    <w:p w14:paraId="0C3E75A6" w14:textId="77777777" w:rsidR="00D74DFF" w:rsidRPr="00D74DFF" w:rsidRDefault="00D74DFF" w:rsidP="00D74DFF">
      <w:pPr>
        <w:spacing w:line="360" w:lineRule="auto"/>
        <w:jc w:val="both"/>
        <w:rPr>
          <w:rFonts w:eastAsia="Calibri"/>
          <w:lang w:val="es-PE" w:eastAsia="en-US"/>
        </w:rPr>
      </w:pPr>
      <w:proofErr w:type="spellStart"/>
      <w:r w:rsidRPr="00D74DFF">
        <w:rPr>
          <w:rFonts w:eastAsia="Calibri"/>
          <w:lang w:val="es-PE" w:eastAsia="en-US"/>
        </w:rPr>
        <w:t>Jesus</w:t>
      </w:r>
      <w:proofErr w:type="spellEnd"/>
      <w:r w:rsidRPr="00D74DFF">
        <w:rPr>
          <w:rFonts w:eastAsia="Calibri"/>
          <w:lang w:val="es-PE" w:eastAsia="en-US"/>
        </w:rPr>
        <w:t xml:space="preserve"> E. Talavera</w:t>
      </w:r>
      <w:r w:rsidRPr="00D74DFF">
        <w:rPr>
          <w:rFonts w:eastAsia="Calibri"/>
          <w:vertAlign w:val="superscript"/>
          <w:lang w:val="es-PE" w:eastAsia="en-US"/>
        </w:rPr>
        <w:t>1</w:t>
      </w:r>
      <w:r w:rsidRPr="00D74DFF">
        <w:rPr>
          <w:rFonts w:eastAsia="Calibri"/>
          <w:lang w:val="es-PE" w:eastAsia="en-US"/>
        </w:rPr>
        <w:t xml:space="preserve"> </w:t>
      </w:r>
      <w:hyperlink r:id="rId11" w:history="1">
        <w:r w:rsidRPr="00D74DFF">
          <w:rPr>
            <w:rFonts w:eastAsia="Calibri"/>
            <w:color w:val="0563C1"/>
            <w:u w:val="single"/>
            <w:lang w:val="es-PE" w:eastAsia="en-US"/>
          </w:rPr>
          <w:t>https://orcid.org/0000-0002-0267-2105</w:t>
        </w:r>
      </w:hyperlink>
    </w:p>
    <w:p w14:paraId="53342B68"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Fiorella E. Zuzunaga-Montoya</w:t>
      </w:r>
      <w:r w:rsidRPr="00D74DFF">
        <w:rPr>
          <w:rFonts w:eastAsia="Calibri"/>
          <w:vertAlign w:val="superscript"/>
          <w:lang w:val="es-PE" w:eastAsia="en-US"/>
        </w:rPr>
        <w:t>1</w:t>
      </w:r>
      <w:r w:rsidRPr="00D74DFF">
        <w:rPr>
          <w:rFonts w:eastAsia="Calibri"/>
          <w:lang w:val="es-PE" w:eastAsia="en-US"/>
        </w:rPr>
        <w:t xml:space="preserve"> </w:t>
      </w:r>
      <w:hyperlink r:id="rId12" w:history="1">
        <w:r w:rsidRPr="00D74DFF">
          <w:rPr>
            <w:rFonts w:eastAsia="Calibri"/>
            <w:color w:val="0563C1"/>
            <w:u w:val="single"/>
            <w:lang w:val="es-PE" w:eastAsia="en-US"/>
          </w:rPr>
          <w:t>https://orcid.org/0000-0002-2354-273X</w:t>
        </w:r>
      </w:hyperlink>
    </w:p>
    <w:p w14:paraId="13722746"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Jhony A. De La Cruz-Vargas</w:t>
      </w:r>
      <w:r w:rsidRPr="00D74DFF">
        <w:rPr>
          <w:rFonts w:eastAsia="Calibri"/>
          <w:vertAlign w:val="superscript"/>
          <w:lang w:val="es-PE" w:eastAsia="en-US"/>
        </w:rPr>
        <w:t xml:space="preserve">1 </w:t>
      </w:r>
      <w:hyperlink r:id="rId13" w:history="1">
        <w:r w:rsidRPr="00D74DFF">
          <w:rPr>
            <w:rFonts w:eastAsia="Arial"/>
            <w:bCs/>
            <w:color w:val="0563C1"/>
            <w:u w:val="single"/>
            <w:lang w:val="es-PE" w:eastAsia="en-US"/>
          </w:rPr>
          <w:t>https://orcid.org/0000-0002-5592-0504</w:t>
        </w:r>
      </w:hyperlink>
    </w:p>
    <w:p w14:paraId="1D5970E3" w14:textId="77777777" w:rsidR="00D74DFF" w:rsidRPr="00D74DFF" w:rsidRDefault="00D74DFF" w:rsidP="00D74DFF">
      <w:pPr>
        <w:spacing w:line="360" w:lineRule="auto"/>
        <w:ind w:left="357"/>
        <w:rPr>
          <w:rFonts w:eastAsia="Calibri"/>
          <w:lang w:val="es-PE" w:eastAsia="en-US"/>
        </w:rPr>
      </w:pPr>
    </w:p>
    <w:p w14:paraId="0B4C80BF" w14:textId="77777777" w:rsidR="00D74DFF" w:rsidRPr="00D74DFF" w:rsidRDefault="00D74DFF" w:rsidP="00D74DFF">
      <w:pPr>
        <w:spacing w:line="360" w:lineRule="auto"/>
        <w:rPr>
          <w:rFonts w:eastAsia="Calibri"/>
          <w:lang w:val="es-PE" w:eastAsia="en-US"/>
        </w:rPr>
      </w:pPr>
      <w:r w:rsidRPr="00D74DFF">
        <w:rPr>
          <w:rFonts w:eastAsia="Calibri"/>
          <w:vertAlign w:val="superscript"/>
          <w:lang w:val="es-PE" w:eastAsia="en-US"/>
        </w:rPr>
        <w:t>1</w:t>
      </w:r>
      <w:r w:rsidRPr="00D74DFF">
        <w:rPr>
          <w:rFonts w:eastAsia="Calibri"/>
          <w:lang w:val="es-PE" w:eastAsia="en-US"/>
        </w:rPr>
        <w:t>Instituto de Investigaciones en Ciencias Biomédicas. Universidad Ricardo Palma, Perú.</w:t>
      </w:r>
    </w:p>
    <w:p w14:paraId="10F3CF6B" w14:textId="77777777" w:rsidR="00D74DFF" w:rsidRPr="00D74DFF" w:rsidRDefault="00D74DFF" w:rsidP="00D74DFF">
      <w:pPr>
        <w:spacing w:line="360" w:lineRule="auto"/>
        <w:rPr>
          <w:rFonts w:eastAsia="Calibri"/>
          <w:lang w:val="es-PE" w:eastAsia="en-US"/>
        </w:rPr>
      </w:pPr>
      <w:r w:rsidRPr="00D74DFF">
        <w:rPr>
          <w:rFonts w:eastAsia="Calibri"/>
          <w:vertAlign w:val="superscript"/>
          <w:lang w:val="es-PE" w:eastAsia="en-US"/>
        </w:rPr>
        <w:t>2</w:t>
      </w:r>
      <w:r w:rsidRPr="00D74DFF">
        <w:rPr>
          <w:rFonts w:eastAsia="Calibri"/>
          <w:lang w:val="es-PE" w:eastAsia="en-US"/>
        </w:rPr>
        <w:t>Universidad Tecnológica del Perú. Lima, Perú.</w:t>
      </w:r>
    </w:p>
    <w:p w14:paraId="7468FFE7" w14:textId="77777777" w:rsidR="00D74DFF" w:rsidRPr="00D74DFF" w:rsidRDefault="00D74DFF" w:rsidP="00D74DFF">
      <w:pPr>
        <w:spacing w:line="360" w:lineRule="auto"/>
        <w:rPr>
          <w:rFonts w:eastAsia="Calibri"/>
          <w:lang w:val="es-PE" w:eastAsia="en-US"/>
        </w:rPr>
      </w:pPr>
    </w:p>
    <w:p w14:paraId="7B2E3E6B" w14:textId="04B2D583" w:rsidR="00D74DFF" w:rsidRPr="00D74DFF" w:rsidRDefault="00D74DFF" w:rsidP="00D74DFF">
      <w:pPr>
        <w:spacing w:line="360" w:lineRule="auto"/>
        <w:rPr>
          <w:rFonts w:eastAsia="Calibri"/>
          <w:lang w:val="es-PE" w:eastAsia="en-US"/>
        </w:rPr>
      </w:pPr>
      <w:r w:rsidRPr="00D74DFF">
        <w:rPr>
          <w:rFonts w:eastAsia="Calibri"/>
          <w:lang w:val="es-CO" w:eastAsia="en-US"/>
        </w:rPr>
        <w:t>*Autor para la correspondencia</w:t>
      </w:r>
      <w:r w:rsidR="00AD3A64">
        <w:rPr>
          <w:rFonts w:eastAsia="Calibri"/>
          <w:lang w:val="es-CO" w:eastAsia="en-US"/>
        </w:rPr>
        <w:t>. Correo electrónico</w:t>
      </w:r>
      <w:r w:rsidRPr="00D74DFF">
        <w:rPr>
          <w:rFonts w:eastAsia="Calibri"/>
          <w:lang w:val="es-CO" w:eastAsia="en-US"/>
        </w:rPr>
        <w:t>:</w:t>
      </w:r>
      <w:r w:rsidRPr="00D74DFF">
        <w:rPr>
          <w:rFonts w:eastAsia="Calibri"/>
          <w:lang w:val="es-PE" w:eastAsia="en-US"/>
        </w:rPr>
        <w:t xml:space="preserve"> </w:t>
      </w:r>
      <w:hyperlink r:id="rId14" w:history="1">
        <w:r w:rsidRPr="00D74DFF">
          <w:rPr>
            <w:rFonts w:eastAsia="Calibri"/>
            <w:color w:val="0563C1"/>
            <w:u w:val="single"/>
            <w:lang w:val="es-PE" w:eastAsia="en-US"/>
          </w:rPr>
          <w:t>goodliferesearchgroup@gmail.com</w:t>
        </w:r>
      </w:hyperlink>
      <w:r w:rsidRPr="00D74DFF">
        <w:rPr>
          <w:rFonts w:eastAsia="Calibri"/>
          <w:lang w:val="es-PE" w:eastAsia="en-US"/>
        </w:rPr>
        <w:t xml:space="preserve"> </w:t>
      </w:r>
    </w:p>
    <w:bookmarkEnd w:id="0"/>
    <w:p w14:paraId="381D98AA" w14:textId="77777777" w:rsidR="00D74DFF" w:rsidRPr="00D74DFF" w:rsidRDefault="00D74DFF" w:rsidP="00D74DFF">
      <w:pPr>
        <w:spacing w:line="360" w:lineRule="auto"/>
        <w:rPr>
          <w:rFonts w:eastAsia="Calibri"/>
          <w:b/>
          <w:lang w:val="es-CU" w:eastAsia="en-US"/>
        </w:rPr>
      </w:pPr>
    </w:p>
    <w:p w14:paraId="62768D18" w14:textId="77777777" w:rsidR="00D74DFF" w:rsidRPr="00D74DFF" w:rsidRDefault="00D74DFF" w:rsidP="00D74DFF">
      <w:pPr>
        <w:spacing w:line="360" w:lineRule="auto"/>
        <w:rPr>
          <w:rFonts w:eastAsia="Calibri"/>
          <w:b/>
          <w:lang w:val="es-MX" w:eastAsia="en-US"/>
        </w:rPr>
      </w:pPr>
      <w:r w:rsidRPr="00D74DFF">
        <w:rPr>
          <w:rFonts w:eastAsia="Calibri"/>
          <w:b/>
          <w:lang w:val="es-MX" w:eastAsia="en-US"/>
        </w:rPr>
        <w:t>RESUMEN</w:t>
      </w:r>
    </w:p>
    <w:p w14:paraId="790FBBAA" w14:textId="77777777" w:rsidR="00D74DFF" w:rsidRPr="00D74DFF" w:rsidRDefault="00D74DFF" w:rsidP="00D74DFF">
      <w:pPr>
        <w:spacing w:line="360" w:lineRule="auto"/>
        <w:jc w:val="both"/>
        <w:rPr>
          <w:rFonts w:eastAsia="Calibri"/>
          <w:bCs/>
          <w:lang w:val="es-MX" w:eastAsia="en-US"/>
        </w:rPr>
      </w:pPr>
      <w:r w:rsidRPr="00D74DFF">
        <w:rPr>
          <w:rFonts w:eastAsia="Calibri"/>
          <w:b/>
          <w:lang w:val="es-MX" w:eastAsia="en-US"/>
        </w:rPr>
        <w:t>Introducción</w:t>
      </w:r>
      <w:r w:rsidRPr="00D74DFF">
        <w:rPr>
          <w:rFonts w:eastAsia="Calibri"/>
          <w:bCs/>
          <w:lang w:val="es-MX" w:eastAsia="en-US"/>
        </w:rPr>
        <w:t xml:space="preserve">: Se ha sugerido que la preeclampsia puede ser prevenida por la ingesta de vitamina E y C, dado el mecanismo fisiopatológico de esta enfermedad. </w:t>
      </w:r>
    </w:p>
    <w:p w14:paraId="6B9F62D0" w14:textId="77777777" w:rsidR="00D74DFF" w:rsidRPr="00D74DFF" w:rsidRDefault="00D74DFF" w:rsidP="00D74DFF">
      <w:pPr>
        <w:spacing w:line="360" w:lineRule="auto"/>
        <w:jc w:val="both"/>
        <w:rPr>
          <w:rFonts w:eastAsia="Calibri"/>
          <w:bCs/>
          <w:lang w:val="es-MX" w:eastAsia="en-US"/>
        </w:rPr>
      </w:pPr>
      <w:r w:rsidRPr="00D74DFF">
        <w:rPr>
          <w:rFonts w:eastAsia="Calibri"/>
          <w:b/>
          <w:lang w:val="es-MX" w:eastAsia="en-US"/>
        </w:rPr>
        <w:t>Objetivo</w:t>
      </w:r>
      <w:r w:rsidRPr="00D74DFF">
        <w:rPr>
          <w:rFonts w:eastAsia="Calibri"/>
          <w:bCs/>
          <w:lang w:val="es-MX" w:eastAsia="en-US"/>
        </w:rPr>
        <w:t>: Determinar la eficacia conjunta de la vitamina C y E en la prevención de la preeclamsia.</w:t>
      </w:r>
    </w:p>
    <w:p w14:paraId="5C9EC1B8" w14:textId="77777777" w:rsidR="00D74DFF" w:rsidRPr="00D74DFF" w:rsidRDefault="00D74DFF" w:rsidP="00D74DFF">
      <w:pPr>
        <w:spacing w:line="360" w:lineRule="auto"/>
        <w:jc w:val="both"/>
        <w:rPr>
          <w:rFonts w:eastAsia="Calibri"/>
          <w:bCs/>
          <w:lang w:val="es-MX" w:eastAsia="en-US"/>
        </w:rPr>
      </w:pPr>
      <w:r w:rsidRPr="00D74DFF">
        <w:rPr>
          <w:rFonts w:eastAsia="Calibri"/>
          <w:b/>
          <w:lang w:val="es-MX" w:eastAsia="en-US"/>
        </w:rPr>
        <w:t>Métodos:</w:t>
      </w:r>
      <w:r w:rsidRPr="00D74DFF">
        <w:rPr>
          <w:rFonts w:eastAsia="Calibri"/>
          <w:bCs/>
          <w:lang w:val="es-MX" w:eastAsia="en-US"/>
        </w:rPr>
        <w:t xml:space="preserve"> Revisión sistemática de ensayos clínicos aleatorizados. Se realizó una búsqueda en las bases de datos </w:t>
      </w:r>
      <w:proofErr w:type="spellStart"/>
      <w:r w:rsidRPr="00D74DFF">
        <w:rPr>
          <w:rFonts w:eastAsia="Calibri"/>
          <w:lang w:val="es-MX" w:eastAsia="en-US"/>
        </w:rPr>
        <w:t>pubmed</w:t>
      </w:r>
      <w:proofErr w:type="spellEnd"/>
      <w:r w:rsidRPr="00D74DFF">
        <w:rPr>
          <w:rFonts w:eastAsia="Calibri"/>
          <w:lang w:val="es-MX" w:eastAsia="en-US"/>
        </w:rPr>
        <w:t>/</w:t>
      </w:r>
      <w:proofErr w:type="spellStart"/>
      <w:r w:rsidRPr="00D74DFF">
        <w:rPr>
          <w:rFonts w:eastAsia="Calibri"/>
          <w:lang w:val="es-MX" w:eastAsia="en-US"/>
        </w:rPr>
        <w:t>medline</w:t>
      </w:r>
      <w:proofErr w:type="spellEnd"/>
      <w:r w:rsidRPr="00D74DFF">
        <w:rPr>
          <w:rFonts w:eastAsia="Calibri"/>
          <w:lang w:val="es-MX" w:eastAsia="en-US"/>
        </w:rPr>
        <w:t xml:space="preserve">, </w:t>
      </w:r>
      <w:proofErr w:type="spellStart"/>
      <w:r w:rsidRPr="00D74DFF">
        <w:rPr>
          <w:rFonts w:eastAsia="Calibri"/>
          <w:lang w:val="es-MX" w:eastAsia="en-US"/>
        </w:rPr>
        <w:t>SCOPUS</w:t>
      </w:r>
      <w:proofErr w:type="spellEnd"/>
      <w:r w:rsidRPr="00D74DFF">
        <w:rPr>
          <w:rFonts w:eastAsia="Calibri"/>
          <w:lang w:val="es-MX" w:eastAsia="en-US"/>
        </w:rPr>
        <w:t xml:space="preserve">, Web </w:t>
      </w:r>
      <w:proofErr w:type="spellStart"/>
      <w:r w:rsidRPr="00D74DFF">
        <w:rPr>
          <w:rFonts w:eastAsia="Calibri"/>
          <w:lang w:val="es-MX" w:eastAsia="en-US"/>
        </w:rPr>
        <w:t>of</w:t>
      </w:r>
      <w:proofErr w:type="spellEnd"/>
      <w:r w:rsidRPr="00D74DFF">
        <w:rPr>
          <w:rFonts w:eastAsia="Calibri"/>
          <w:lang w:val="es-MX" w:eastAsia="en-US"/>
        </w:rPr>
        <w:t xml:space="preserve"> </w:t>
      </w:r>
      <w:proofErr w:type="spellStart"/>
      <w:r w:rsidRPr="00D74DFF">
        <w:rPr>
          <w:rFonts w:eastAsia="Calibri"/>
          <w:lang w:val="es-MX" w:eastAsia="en-US"/>
        </w:rPr>
        <w:t>Science</w:t>
      </w:r>
      <w:proofErr w:type="spellEnd"/>
      <w:r w:rsidRPr="00D74DFF">
        <w:rPr>
          <w:rFonts w:eastAsia="Calibri"/>
          <w:lang w:val="es-MX" w:eastAsia="en-US"/>
        </w:rPr>
        <w:t xml:space="preserve">, Cochrane Library, </w:t>
      </w:r>
      <w:proofErr w:type="spellStart"/>
      <w:r w:rsidRPr="00D74DFF">
        <w:rPr>
          <w:rFonts w:eastAsia="Calibri"/>
          <w:lang w:val="es-MX" w:eastAsia="en-US"/>
        </w:rPr>
        <w:t>EMBASE</w:t>
      </w:r>
      <w:proofErr w:type="spellEnd"/>
      <w:r w:rsidRPr="00D74DFF">
        <w:rPr>
          <w:rFonts w:eastAsia="Calibri"/>
          <w:lang w:val="es-MX" w:eastAsia="en-US"/>
        </w:rPr>
        <w:t xml:space="preserve">, y </w:t>
      </w:r>
      <w:proofErr w:type="spellStart"/>
      <w:r w:rsidRPr="00D74DFF">
        <w:rPr>
          <w:rFonts w:eastAsia="Calibri"/>
          <w:lang w:val="es-MX" w:eastAsia="en-US"/>
        </w:rPr>
        <w:t>Clinical</w:t>
      </w:r>
      <w:proofErr w:type="spellEnd"/>
      <w:r w:rsidRPr="00D74DFF">
        <w:rPr>
          <w:rFonts w:eastAsia="Calibri"/>
          <w:lang w:val="es-MX" w:eastAsia="en-US"/>
        </w:rPr>
        <w:t xml:space="preserve"> </w:t>
      </w:r>
      <w:proofErr w:type="spellStart"/>
      <w:r w:rsidRPr="00D74DFF">
        <w:rPr>
          <w:rFonts w:eastAsia="Calibri"/>
          <w:lang w:val="es-MX" w:eastAsia="en-US"/>
        </w:rPr>
        <w:t>Trials</w:t>
      </w:r>
      <w:proofErr w:type="spellEnd"/>
      <w:r w:rsidRPr="00D74DFF">
        <w:rPr>
          <w:rFonts w:eastAsia="Calibri"/>
          <w:bCs/>
          <w:lang w:val="es-MX" w:eastAsia="en-US"/>
        </w:rPr>
        <w:t xml:space="preserve">. El riesgo de sesgo de los ensayos clínicos aleatorios se evaluó mediante la herramienta Cochrane versión 2.  </w:t>
      </w:r>
      <w:r w:rsidRPr="00D74DFF">
        <w:rPr>
          <w:rFonts w:eastAsia="Calibri"/>
          <w:bCs/>
          <w:lang w:val="es-MX" w:eastAsia="en-US"/>
        </w:rPr>
        <w:lastRenderedPageBreak/>
        <w:t xml:space="preserve">Se realizó un metanálisis de efectos aleatorios y se calcularon los riesgos relativos, con los correspondientes intervalos de confianza al 95 %. </w:t>
      </w:r>
    </w:p>
    <w:p w14:paraId="517A88EF" w14:textId="77777777" w:rsidR="00D74DFF" w:rsidRPr="00D74DFF" w:rsidRDefault="00D74DFF" w:rsidP="00D74DFF">
      <w:pPr>
        <w:spacing w:line="360" w:lineRule="auto"/>
        <w:jc w:val="both"/>
        <w:rPr>
          <w:rFonts w:eastAsia="Calibri"/>
          <w:bCs/>
          <w:lang w:val="es-MX" w:eastAsia="en-US"/>
        </w:rPr>
      </w:pPr>
      <w:r w:rsidRPr="00D74DFF">
        <w:rPr>
          <w:rFonts w:eastAsia="Calibri"/>
          <w:b/>
          <w:lang w:val="es-MX" w:eastAsia="en-US"/>
        </w:rPr>
        <w:t>Resultados</w:t>
      </w:r>
      <w:r w:rsidRPr="00D74DFF">
        <w:rPr>
          <w:rFonts w:eastAsia="Calibri"/>
          <w:bCs/>
          <w:lang w:val="es-MX" w:eastAsia="en-US"/>
        </w:rPr>
        <w:t xml:space="preserve">: Se incluyeron </w:t>
      </w:r>
      <w:r w:rsidRPr="00D74DFF">
        <w:rPr>
          <w:rFonts w:eastAsia="Calibri"/>
          <w:lang w:val="es-ES" w:eastAsia="en-US"/>
        </w:rPr>
        <w:t xml:space="preserve">7 estudios (n= 1 475). </w:t>
      </w:r>
      <w:r w:rsidRPr="00D74DFF">
        <w:rPr>
          <w:rFonts w:eastAsia="Calibri"/>
          <w:bCs/>
          <w:lang w:val="es-MX" w:eastAsia="en-US"/>
        </w:rPr>
        <w:t>No se encontró asociación estadísticamente significativa del tratamiento con suplementación de vitamina C y E con respecto a la preeclampsia (riesgo relativo: 1,03; IC95 %: 0,78-1,26).</w:t>
      </w:r>
    </w:p>
    <w:p w14:paraId="64E4118A" w14:textId="77777777" w:rsidR="00D74DFF" w:rsidRPr="00D74DFF" w:rsidRDefault="00D74DFF" w:rsidP="00D74DFF">
      <w:pPr>
        <w:spacing w:line="360" w:lineRule="auto"/>
        <w:jc w:val="both"/>
        <w:rPr>
          <w:rFonts w:eastAsia="Calibri"/>
          <w:bCs/>
          <w:lang w:val="es-MX" w:eastAsia="en-US"/>
        </w:rPr>
      </w:pPr>
      <w:r w:rsidRPr="00D74DFF">
        <w:rPr>
          <w:rFonts w:eastAsia="Calibri"/>
          <w:b/>
          <w:lang w:val="es-MX" w:eastAsia="en-US"/>
        </w:rPr>
        <w:t>Conclusiones</w:t>
      </w:r>
      <w:r w:rsidRPr="00D74DFF">
        <w:rPr>
          <w:rFonts w:eastAsia="Calibri"/>
          <w:bCs/>
          <w:lang w:val="es-MX" w:eastAsia="en-US"/>
        </w:rPr>
        <w:t>: L</w:t>
      </w:r>
      <w:r w:rsidRPr="00D74DFF">
        <w:rPr>
          <w:rFonts w:eastAsia="Calibri"/>
          <w:lang w:val="es-PE" w:eastAsia="en-US"/>
        </w:rPr>
        <w:t>a suplementación dual de vitamina C y E no previene la preeclamsia en gestantes con riesgo de padecer la enfermedad.</w:t>
      </w:r>
    </w:p>
    <w:p w14:paraId="1C81B75F" w14:textId="77777777" w:rsidR="00D74DFF" w:rsidRPr="00D74DFF" w:rsidRDefault="00D74DFF" w:rsidP="00D74DFF">
      <w:pPr>
        <w:spacing w:line="360" w:lineRule="auto"/>
        <w:rPr>
          <w:rFonts w:eastAsia="Calibri"/>
          <w:bCs/>
          <w:lang w:val="es-MX" w:eastAsia="en-US"/>
        </w:rPr>
      </w:pPr>
      <w:r w:rsidRPr="00D74DFF">
        <w:rPr>
          <w:rFonts w:eastAsia="Calibri"/>
          <w:b/>
          <w:lang w:val="es-MX" w:eastAsia="en-US"/>
        </w:rPr>
        <w:t>Palabras clave:</w:t>
      </w:r>
      <w:r w:rsidRPr="00D74DFF">
        <w:rPr>
          <w:rFonts w:eastAsia="Calibri"/>
          <w:bCs/>
          <w:lang w:val="es-MX" w:eastAsia="en-US"/>
        </w:rPr>
        <w:t xml:space="preserve"> preeclampsia; vitamina C; vitamina E; prevención de enfermedades.</w:t>
      </w:r>
    </w:p>
    <w:p w14:paraId="376481FE" w14:textId="77777777" w:rsidR="00D74DFF" w:rsidRPr="00D74DFF" w:rsidRDefault="00D74DFF" w:rsidP="00D74DFF">
      <w:pPr>
        <w:spacing w:line="360" w:lineRule="auto"/>
        <w:rPr>
          <w:rFonts w:eastAsia="Calibri"/>
          <w:bCs/>
          <w:lang w:val="es-MX" w:eastAsia="en-US"/>
        </w:rPr>
      </w:pPr>
    </w:p>
    <w:p w14:paraId="25DBB5E2" w14:textId="77777777" w:rsidR="00D74DFF" w:rsidRPr="00D74DFF" w:rsidRDefault="00D74DFF" w:rsidP="00D74DFF">
      <w:pPr>
        <w:spacing w:line="360" w:lineRule="auto"/>
        <w:rPr>
          <w:rFonts w:eastAsia="Calibri"/>
          <w:b/>
          <w:lang w:val="en-US" w:eastAsia="en-US"/>
        </w:rPr>
      </w:pPr>
      <w:r w:rsidRPr="00D74DFF">
        <w:rPr>
          <w:rFonts w:eastAsia="Calibri"/>
          <w:b/>
          <w:lang w:val="en-US" w:eastAsia="en-US"/>
        </w:rPr>
        <w:t>ABSTRACT</w:t>
      </w:r>
    </w:p>
    <w:p w14:paraId="78DD52F3" w14:textId="77777777" w:rsidR="00D74DFF" w:rsidRPr="00D74DFF" w:rsidRDefault="00D74DFF" w:rsidP="00D74DFF">
      <w:pPr>
        <w:spacing w:line="360" w:lineRule="auto"/>
        <w:jc w:val="both"/>
        <w:rPr>
          <w:rFonts w:eastAsia="Calibri"/>
          <w:bCs/>
          <w:lang w:val="en-US" w:eastAsia="en-US"/>
        </w:rPr>
      </w:pPr>
      <w:r w:rsidRPr="00D74DFF">
        <w:rPr>
          <w:rFonts w:eastAsia="Calibri"/>
          <w:b/>
          <w:lang w:val="en-US" w:eastAsia="en-US"/>
        </w:rPr>
        <w:t>Introduction</w:t>
      </w:r>
      <w:r w:rsidRPr="00D74DFF">
        <w:rPr>
          <w:rFonts w:eastAsia="Calibri"/>
          <w:bCs/>
          <w:lang w:val="en-US" w:eastAsia="en-US"/>
        </w:rPr>
        <w:t xml:space="preserve">: It has been suggested that preeclampsia can be prevented by vitamin E and C intake, given the pathophysiological mechanism of this disease. </w:t>
      </w:r>
    </w:p>
    <w:p w14:paraId="5DC428CA" w14:textId="77777777" w:rsidR="00D74DFF" w:rsidRPr="00D74DFF" w:rsidRDefault="00D74DFF" w:rsidP="00D74DFF">
      <w:pPr>
        <w:spacing w:line="360" w:lineRule="auto"/>
        <w:jc w:val="both"/>
        <w:rPr>
          <w:rFonts w:eastAsia="Calibri"/>
          <w:bCs/>
          <w:lang w:val="en-US" w:eastAsia="en-US"/>
        </w:rPr>
      </w:pPr>
      <w:r w:rsidRPr="00D74DFF">
        <w:rPr>
          <w:rFonts w:eastAsia="Calibri"/>
          <w:b/>
          <w:lang w:val="en-US" w:eastAsia="en-US"/>
        </w:rPr>
        <w:t>Objective</w:t>
      </w:r>
      <w:r w:rsidRPr="00D74DFF">
        <w:rPr>
          <w:rFonts w:eastAsia="Calibri"/>
          <w:bCs/>
          <w:lang w:val="en-US" w:eastAsia="en-US"/>
        </w:rPr>
        <w:t>: To determine the joint efficacy of vitamin C and E in the prevention of preeclampsia.</w:t>
      </w:r>
    </w:p>
    <w:p w14:paraId="495DB89B" w14:textId="77777777" w:rsidR="00D74DFF" w:rsidRPr="00D74DFF" w:rsidRDefault="00D74DFF" w:rsidP="00D74DFF">
      <w:pPr>
        <w:spacing w:line="360" w:lineRule="auto"/>
        <w:jc w:val="both"/>
        <w:rPr>
          <w:rFonts w:eastAsia="Calibri"/>
          <w:bCs/>
          <w:lang w:val="en-US" w:eastAsia="en-US"/>
        </w:rPr>
      </w:pPr>
      <w:r w:rsidRPr="00D74DFF">
        <w:rPr>
          <w:rFonts w:eastAsia="Calibri"/>
          <w:b/>
          <w:lang w:val="en-US" w:eastAsia="en-US"/>
        </w:rPr>
        <w:t>Methods</w:t>
      </w:r>
      <w:r w:rsidRPr="00D74DFF">
        <w:rPr>
          <w:rFonts w:eastAsia="Calibri"/>
          <w:bCs/>
          <w:lang w:val="en-US" w:eastAsia="en-US"/>
        </w:rPr>
        <w:t xml:space="preserve">: Systematic review of randomized clinical trials. A search of </w:t>
      </w:r>
      <w:proofErr w:type="spellStart"/>
      <w:r w:rsidRPr="00D74DFF">
        <w:rPr>
          <w:rFonts w:eastAsia="Calibri"/>
          <w:bCs/>
          <w:lang w:val="en-US" w:eastAsia="en-US"/>
        </w:rPr>
        <w:t>pubmed</w:t>
      </w:r>
      <w:proofErr w:type="spellEnd"/>
      <w:r w:rsidRPr="00D74DFF">
        <w:rPr>
          <w:rFonts w:eastAsia="Calibri"/>
          <w:bCs/>
          <w:lang w:val="en-US" w:eastAsia="en-US"/>
        </w:rPr>
        <w:t>/</w:t>
      </w:r>
      <w:proofErr w:type="spellStart"/>
      <w:r w:rsidRPr="00D74DFF">
        <w:rPr>
          <w:rFonts w:eastAsia="Calibri"/>
          <w:bCs/>
          <w:lang w:val="en-US" w:eastAsia="en-US"/>
        </w:rPr>
        <w:t>medline</w:t>
      </w:r>
      <w:proofErr w:type="spellEnd"/>
      <w:r w:rsidRPr="00D74DFF">
        <w:rPr>
          <w:rFonts w:eastAsia="Calibri"/>
          <w:bCs/>
          <w:lang w:val="en-US" w:eastAsia="en-US"/>
        </w:rPr>
        <w:t xml:space="preserve">, SCOPUS, Web of Science, Cochrane Library, EMBASE, and Clinical Trials databases was performed. The risk of bias of the randomized clinical trials was assessed using the Cochrane tool version 2. A random-effects meta-analysis was performed and relative risks were calculated, with corresponding 95 % confidence intervals. </w:t>
      </w:r>
    </w:p>
    <w:p w14:paraId="2B7FE960" w14:textId="77777777" w:rsidR="00D74DFF" w:rsidRPr="00D74DFF" w:rsidRDefault="00D74DFF" w:rsidP="00D74DFF">
      <w:pPr>
        <w:spacing w:line="360" w:lineRule="auto"/>
        <w:jc w:val="both"/>
        <w:rPr>
          <w:rFonts w:eastAsia="Calibri"/>
          <w:bCs/>
          <w:lang w:val="en-US" w:eastAsia="en-US"/>
        </w:rPr>
      </w:pPr>
      <w:r w:rsidRPr="00D74DFF">
        <w:rPr>
          <w:rFonts w:eastAsia="Calibri"/>
          <w:b/>
          <w:lang w:val="en-US" w:eastAsia="en-US"/>
        </w:rPr>
        <w:t>Results</w:t>
      </w:r>
      <w:r w:rsidRPr="00D74DFF">
        <w:rPr>
          <w:rFonts w:eastAsia="Calibri"/>
          <w:bCs/>
          <w:lang w:val="en-US" w:eastAsia="en-US"/>
        </w:rPr>
        <w:t>: Seven studies were included (n= </w:t>
      </w:r>
      <w:r w:rsidRPr="00D74DFF">
        <w:rPr>
          <w:rFonts w:eastAsia="Calibri"/>
          <w:lang w:val="en-US" w:eastAsia="en-US"/>
        </w:rPr>
        <w:t>1 475</w:t>
      </w:r>
      <w:r w:rsidRPr="00D74DFF">
        <w:rPr>
          <w:rFonts w:eastAsia="Calibri"/>
          <w:bCs/>
          <w:lang w:val="en-US" w:eastAsia="en-US"/>
        </w:rPr>
        <w:t>). No statistically significant association of treatment with vitamin C and E supplementation was found with respect to preeclampsia (relative risks: 1.03; 95 % CI 0.78-1.26).</w:t>
      </w:r>
    </w:p>
    <w:p w14:paraId="6528E442" w14:textId="77777777" w:rsidR="00D74DFF" w:rsidRPr="00D74DFF" w:rsidRDefault="00D74DFF" w:rsidP="00D74DFF">
      <w:pPr>
        <w:spacing w:line="360" w:lineRule="auto"/>
        <w:jc w:val="both"/>
        <w:rPr>
          <w:rFonts w:eastAsia="Calibri"/>
          <w:bCs/>
          <w:lang w:val="en-US" w:eastAsia="en-US"/>
        </w:rPr>
      </w:pPr>
      <w:r w:rsidRPr="00D74DFF">
        <w:rPr>
          <w:rFonts w:eastAsia="Calibri"/>
          <w:b/>
          <w:lang w:val="en-US" w:eastAsia="en-US"/>
        </w:rPr>
        <w:t>Conclusions</w:t>
      </w:r>
      <w:r w:rsidRPr="00D74DFF">
        <w:rPr>
          <w:rFonts w:eastAsia="Calibri"/>
          <w:bCs/>
          <w:lang w:val="en-US" w:eastAsia="en-US"/>
        </w:rPr>
        <w:t>: Dual vitamin C and E supplementation does not prevent preeclampsia in pregnant women at risk for the disease.</w:t>
      </w:r>
    </w:p>
    <w:p w14:paraId="6CC9B6C1" w14:textId="77777777" w:rsidR="00D74DFF" w:rsidRPr="00D74DFF" w:rsidRDefault="00D74DFF" w:rsidP="00D74DFF">
      <w:pPr>
        <w:spacing w:line="360" w:lineRule="auto"/>
        <w:jc w:val="both"/>
        <w:rPr>
          <w:rFonts w:eastAsia="Calibri"/>
          <w:bCs/>
          <w:lang w:val="es-MX" w:eastAsia="en-US"/>
        </w:rPr>
      </w:pPr>
      <w:proofErr w:type="spellStart"/>
      <w:r w:rsidRPr="00D74DFF">
        <w:rPr>
          <w:rFonts w:eastAsia="Calibri"/>
          <w:b/>
          <w:lang w:val="es-MX" w:eastAsia="en-US"/>
        </w:rPr>
        <w:t>Keywords</w:t>
      </w:r>
      <w:proofErr w:type="spellEnd"/>
      <w:r w:rsidRPr="00D74DFF">
        <w:rPr>
          <w:rFonts w:eastAsia="Calibri"/>
          <w:b/>
          <w:lang w:val="es-MX" w:eastAsia="en-US"/>
        </w:rPr>
        <w:t>:</w:t>
      </w:r>
      <w:r w:rsidRPr="00D74DFF">
        <w:rPr>
          <w:rFonts w:eastAsia="Calibri"/>
          <w:bCs/>
          <w:lang w:val="es-MX" w:eastAsia="en-US"/>
        </w:rPr>
        <w:t xml:space="preserve"> pre-Eclampsia; </w:t>
      </w:r>
      <w:proofErr w:type="spellStart"/>
      <w:r w:rsidRPr="00D74DFF">
        <w:rPr>
          <w:rFonts w:eastAsia="Calibri"/>
          <w:bCs/>
          <w:lang w:val="es-MX" w:eastAsia="en-US"/>
        </w:rPr>
        <w:t>vitamin</w:t>
      </w:r>
      <w:proofErr w:type="spellEnd"/>
      <w:r w:rsidRPr="00D74DFF">
        <w:rPr>
          <w:rFonts w:eastAsia="Calibri"/>
          <w:bCs/>
          <w:lang w:val="es-MX" w:eastAsia="en-US"/>
        </w:rPr>
        <w:t xml:space="preserve"> C; </w:t>
      </w:r>
      <w:proofErr w:type="spellStart"/>
      <w:r w:rsidRPr="00D74DFF">
        <w:rPr>
          <w:rFonts w:eastAsia="Calibri"/>
          <w:bCs/>
          <w:lang w:val="es-MX" w:eastAsia="en-US"/>
        </w:rPr>
        <w:t>vitamin</w:t>
      </w:r>
      <w:proofErr w:type="spellEnd"/>
      <w:r w:rsidRPr="00D74DFF">
        <w:rPr>
          <w:rFonts w:eastAsia="Calibri"/>
          <w:bCs/>
          <w:lang w:val="es-MX" w:eastAsia="en-US"/>
        </w:rPr>
        <w:t xml:space="preserve"> E; </w:t>
      </w:r>
      <w:proofErr w:type="spellStart"/>
      <w:r w:rsidRPr="00D74DFF">
        <w:rPr>
          <w:rFonts w:eastAsia="Calibri"/>
          <w:bCs/>
          <w:lang w:val="es-MX" w:eastAsia="en-US"/>
        </w:rPr>
        <w:t>disease</w:t>
      </w:r>
      <w:proofErr w:type="spellEnd"/>
      <w:r w:rsidRPr="00D74DFF">
        <w:rPr>
          <w:rFonts w:eastAsia="Calibri"/>
          <w:bCs/>
          <w:lang w:val="es-MX" w:eastAsia="en-US"/>
        </w:rPr>
        <w:t xml:space="preserve"> </w:t>
      </w:r>
      <w:proofErr w:type="spellStart"/>
      <w:r w:rsidRPr="00D74DFF">
        <w:rPr>
          <w:rFonts w:eastAsia="Calibri"/>
          <w:bCs/>
          <w:lang w:val="es-MX" w:eastAsia="en-US"/>
        </w:rPr>
        <w:t>prevention</w:t>
      </w:r>
      <w:proofErr w:type="spellEnd"/>
      <w:r w:rsidRPr="00D74DFF">
        <w:rPr>
          <w:rFonts w:eastAsia="Calibri"/>
          <w:bCs/>
          <w:lang w:val="es-MX" w:eastAsia="en-US"/>
        </w:rPr>
        <w:t xml:space="preserve">. </w:t>
      </w:r>
    </w:p>
    <w:p w14:paraId="1174F0D8" w14:textId="77777777" w:rsidR="00D74DFF" w:rsidRPr="00D74DFF" w:rsidRDefault="00D74DFF" w:rsidP="00D74DFF">
      <w:pPr>
        <w:spacing w:line="360" w:lineRule="auto"/>
        <w:rPr>
          <w:rFonts w:eastAsia="Calibri"/>
          <w:bCs/>
          <w:lang w:val="es-MX" w:eastAsia="en-US"/>
        </w:rPr>
      </w:pPr>
    </w:p>
    <w:p w14:paraId="4E484325" w14:textId="77777777" w:rsidR="00D74DFF" w:rsidRPr="00D74DFF" w:rsidRDefault="00D74DFF" w:rsidP="00D74DFF">
      <w:pPr>
        <w:spacing w:line="360" w:lineRule="auto"/>
        <w:rPr>
          <w:rFonts w:eastAsia="Calibri"/>
          <w:bCs/>
          <w:lang w:val="es-MX" w:eastAsia="en-US"/>
        </w:rPr>
      </w:pPr>
    </w:p>
    <w:p w14:paraId="4544B084" w14:textId="77777777" w:rsidR="00D74DFF" w:rsidRPr="00D74DFF" w:rsidRDefault="00D74DFF" w:rsidP="00D74DFF">
      <w:pPr>
        <w:spacing w:line="360" w:lineRule="auto"/>
        <w:rPr>
          <w:rFonts w:eastAsia="Calibri"/>
          <w:bCs/>
          <w:lang w:val="es-MX" w:eastAsia="en-US"/>
        </w:rPr>
      </w:pPr>
      <w:r w:rsidRPr="00D74DFF">
        <w:rPr>
          <w:rFonts w:eastAsia="Calibri"/>
          <w:bCs/>
          <w:lang w:val="es-MX" w:eastAsia="en-US"/>
        </w:rPr>
        <w:t>Recibido: 15/06/2022</w:t>
      </w:r>
    </w:p>
    <w:p w14:paraId="77349C21" w14:textId="77777777" w:rsidR="00D74DFF" w:rsidRPr="00D74DFF" w:rsidRDefault="00D74DFF" w:rsidP="00D74DFF">
      <w:pPr>
        <w:spacing w:line="360" w:lineRule="auto"/>
        <w:rPr>
          <w:rFonts w:eastAsia="Calibri"/>
          <w:bCs/>
          <w:lang w:val="es-MX" w:eastAsia="en-US"/>
        </w:rPr>
      </w:pPr>
      <w:r w:rsidRPr="00D74DFF">
        <w:rPr>
          <w:rFonts w:eastAsia="Calibri"/>
          <w:bCs/>
          <w:lang w:val="es-MX" w:eastAsia="en-US"/>
        </w:rPr>
        <w:t>Aprobado: 06/09/2022</w:t>
      </w:r>
    </w:p>
    <w:p w14:paraId="38569892" w14:textId="77777777" w:rsidR="00D74DFF" w:rsidRPr="00D74DFF" w:rsidRDefault="00D74DFF" w:rsidP="00D74DFF">
      <w:pPr>
        <w:spacing w:line="360" w:lineRule="auto"/>
        <w:rPr>
          <w:rFonts w:eastAsia="Calibri"/>
          <w:bCs/>
          <w:lang w:val="es-MX" w:eastAsia="en-US"/>
        </w:rPr>
      </w:pPr>
    </w:p>
    <w:p w14:paraId="6D27F92B" w14:textId="77777777" w:rsidR="00D74DFF" w:rsidRPr="00D74DFF" w:rsidRDefault="00D74DFF" w:rsidP="00D74DFF">
      <w:pPr>
        <w:spacing w:line="360" w:lineRule="auto"/>
        <w:rPr>
          <w:rFonts w:eastAsia="Calibri"/>
          <w:bCs/>
          <w:lang w:val="es-MX" w:eastAsia="en-US"/>
        </w:rPr>
      </w:pPr>
    </w:p>
    <w:p w14:paraId="318EE88C" w14:textId="7880EC6E" w:rsidR="00D74DFF" w:rsidRPr="00D74DFF" w:rsidRDefault="00D74DFF" w:rsidP="00D74DFF">
      <w:pPr>
        <w:spacing w:line="360" w:lineRule="auto"/>
        <w:jc w:val="center"/>
        <w:rPr>
          <w:rFonts w:eastAsia="Calibri"/>
          <w:b/>
          <w:sz w:val="32"/>
          <w:szCs w:val="32"/>
          <w:lang w:val="es-MX" w:eastAsia="en-US"/>
        </w:rPr>
      </w:pPr>
      <w:r w:rsidRPr="00D74DFF">
        <w:rPr>
          <w:rFonts w:eastAsia="Calibri"/>
          <w:b/>
          <w:sz w:val="32"/>
          <w:szCs w:val="32"/>
          <w:lang w:val="es-MX" w:eastAsia="en-US"/>
        </w:rPr>
        <w:t>INTRODUCCIÓN</w:t>
      </w:r>
    </w:p>
    <w:p w14:paraId="527C1B80" w14:textId="77777777" w:rsidR="00D74DFF" w:rsidRPr="00D74DFF" w:rsidRDefault="00D74DFF" w:rsidP="00D74DFF">
      <w:pPr>
        <w:spacing w:line="360" w:lineRule="auto"/>
        <w:jc w:val="both"/>
        <w:rPr>
          <w:rFonts w:eastAsia="Calibri"/>
          <w:lang w:val="es-PE" w:eastAsia="en-US"/>
        </w:rPr>
      </w:pPr>
      <w:proofErr w:type="spellStart"/>
      <w:r w:rsidRPr="00D74DFF">
        <w:rPr>
          <w:rFonts w:eastAsia="Century Gothic"/>
          <w:i/>
          <w:iCs/>
          <w:lang w:val="es-PE" w:eastAsia="en-US"/>
        </w:rPr>
        <w:t>The</w:t>
      </w:r>
      <w:proofErr w:type="spellEnd"/>
      <w:r w:rsidRPr="00D74DFF">
        <w:rPr>
          <w:rFonts w:eastAsia="Century Gothic"/>
          <w:i/>
          <w:iCs/>
          <w:lang w:val="es-PE" w:eastAsia="en-US"/>
        </w:rPr>
        <w:t xml:space="preserve"> American </w:t>
      </w:r>
      <w:proofErr w:type="spellStart"/>
      <w:r w:rsidRPr="00D74DFF">
        <w:rPr>
          <w:rFonts w:eastAsia="Century Gothic"/>
          <w:i/>
          <w:iCs/>
          <w:lang w:val="es-PE" w:eastAsia="en-US"/>
        </w:rPr>
        <w:t>College</w:t>
      </w:r>
      <w:proofErr w:type="spellEnd"/>
      <w:r w:rsidRPr="00D74DFF">
        <w:rPr>
          <w:rFonts w:eastAsia="Century Gothic"/>
          <w:i/>
          <w:iCs/>
          <w:lang w:val="es-PE" w:eastAsia="en-US"/>
        </w:rPr>
        <w:t xml:space="preserve"> </w:t>
      </w:r>
      <w:proofErr w:type="spellStart"/>
      <w:r w:rsidRPr="00D74DFF">
        <w:rPr>
          <w:rFonts w:eastAsia="Century Gothic"/>
          <w:i/>
          <w:iCs/>
          <w:lang w:val="es-PE" w:eastAsia="en-US"/>
        </w:rPr>
        <w:t>of</w:t>
      </w:r>
      <w:proofErr w:type="spellEnd"/>
      <w:r w:rsidRPr="00D74DFF">
        <w:rPr>
          <w:rFonts w:eastAsia="Century Gothic"/>
          <w:i/>
          <w:iCs/>
          <w:lang w:val="es-PE" w:eastAsia="en-US"/>
        </w:rPr>
        <w:t xml:space="preserve"> </w:t>
      </w:r>
      <w:proofErr w:type="spellStart"/>
      <w:r w:rsidRPr="00D74DFF">
        <w:rPr>
          <w:rFonts w:eastAsia="Century Gothic"/>
          <w:i/>
          <w:iCs/>
          <w:lang w:val="es-PE" w:eastAsia="en-US"/>
        </w:rPr>
        <w:t>Obstetricians</w:t>
      </w:r>
      <w:proofErr w:type="spellEnd"/>
      <w:r w:rsidRPr="00D74DFF">
        <w:rPr>
          <w:rFonts w:eastAsia="Century Gothic"/>
          <w:i/>
          <w:iCs/>
          <w:lang w:val="es-PE" w:eastAsia="en-US"/>
        </w:rPr>
        <w:t xml:space="preserve"> and </w:t>
      </w:r>
      <w:proofErr w:type="spellStart"/>
      <w:r w:rsidRPr="00D74DFF">
        <w:rPr>
          <w:rFonts w:eastAsia="Century Gothic"/>
          <w:i/>
          <w:iCs/>
          <w:lang w:val="es-PE" w:eastAsia="en-US"/>
        </w:rPr>
        <w:t>Gynecologists</w:t>
      </w:r>
      <w:proofErr w:type="spellEnd"/>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{"citationID":"VCsTwcGA","properties":{"formattedCitation":"\\super (1)\\nosupersub{}","plainCitation":"(1)","noteIndex":0},"citationItems":[{"id":"FRUDbNut/5Ls26kML","uris":["http://www.mendeley.com/documents/?uuid=ecac36b9-4310-4c50-b5d2-a00cca3f62ee"],"uri":["http://www.mendeley.com/documents/?uuid=ecac36b9-4310-4c50-b5d2-a00cca3f62ee"],"itemData":{"ISBN":"0000000000","abstract":"A basic office evaluation is the first and most important step in the assessment of urinary incontinence. Office evaluation in all women should include a thorough history, physical examination, assessment of symp-tom severity, and goals for treatment. In addition, all women with symptoms of urinary incontinence should have screening for urinary tract infection and postvoid residual urine volume to rule out retention and overflow incontinence before initiating any treatment. A simple cough stress test is useful in the initial evaluation, espe-cially in women with stress incontinence symptoms. Often, a diagnosis is made with basic office evaluation, and therapy can be initiated based on these findings. Additional specialized urodynamic studies may be nec-essary if complex conditions are present or the etiology of incontinence is unclear after a basic evaluation.","author":[{"dropping-particle":"","family":"ACOG","given":"","non-dropping-particle":"","parse-names":false,"suffix":""}],"container-title":"Obstetrics &amp; Gynecology","id":"ITEM-1","issue":"76","issued":{"date-parts":[["2019"]]},"page":"168-186","title":"Clinical Management Guidelines for Obstetrician – Gynecologists","type":"article-journal","volume":"133"}}],"schema":"https://github.com/citation-style-language/schema/raw/master/csl-citation.json"}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(1)</w:t>
      </w:r>
      <w:r w:rsidRPr="00D74DFF">
        <w:rPr>
          <w:rFonts w:eastAsia="Calibri"/>
          <w:shd w:val="clear" w:color="auto" w:fill="FFFFFF"/>
          <w:lang w:val="es-PE" w:eastAsia="en-US"/>
        </w:rPr>
        <w:fldChar w:fldCharType="end"/>
      </w:r>
      <w:r w:rsidRPr="00D74DFF">
        <w:rPr>
          <w:rFonts w:eastAsia="Century Gothic"/>
          <w:lang w:val="es-PE" w:eastAsia="en-US"/>
        </w:rPr>
        <w:t xml:space="preserve"> considera a </w:t>
      </w:r>
      <w:r w:rsidRPr="00D74DFF">
        <w:rPr>
          <w:rFonts w:eastAsia="Calibri"/>
          <w:shd w:val="clear" w:color="auto" w:fill="FFFFFF"/>
          <w:lang w:val="es-PE" w:eastAsia="en-US"/>
        </w:rPr>
        <w:t xml:space="preserve">la preeclampsia como una de las principales causas de morbilidad y mortalidad materna en todo el mundo. </w:t>
      </w:r>
      <w:r w:rsidRPr="00D74DFF">
        <w:rPr>
          <w:rFonts w:eastAsia="Calibri"/>
          <w:color w:val="000000"/>
          <w:shd w:val="clear" w:color="auto" w:fill="FFFFFF"/>
          <w:lang w:val="es-PE" w:eastAsia="en-US"/>
        </w:rPr>
        <w:t>A su vez, tiene una mayor tendencia a desarrollar complicaciones futuras y que los hijos puedan presentar complicaciones a edades tempranas.</w:t>
      </w:r>
      <w:r w:rsidRPr="00D74DFF">
        <w:rPr>
          <w:rFonts w:eastAsia="Calibri"/>
          <w:color w:val="000000"/>
          <w:shd w:val="clear" w:color="auto" w:fill="FFFFFF"/>
          <w:lang w:val="es-PE" w:eastAsia="en-US"/>
        </w:rPr>
        <w:fldChar w:fldCharType="begin" w:fldLock="1"/>
      </w:r>
      <w:r w:rsidRPr="00D74DFF">
        <w:rPr>
          <w:rFonts w:eastAsia="Calibri"/>
          <w:color w:val="000000"/>
          <w:shd w:val="clear" w:color="auto" w:fill="FFFFFF"/>
          <w:lang w:val="es-PE" w:eastAsia="en-US"/>
        </w:rPr>
        <w:instrText xml:space="preserve"> ADDIN ZOTERO_ITEM CSL_CITATION {"citationID":"yeP6ZhzY","properties":{"formattedCitation":"\\super (2)\\nosupersub{}","plainCitation":"(2)","noteIndex":0},"citationItems":[{"id":"FRUDbNut/msVblHOT","uris":["http://www.mendeley.com/documents/?uuid=02ea383e-465b-47a3-83fc-04b9f995ef15"],"uri":["http://www.mendeley.com/documents/?uuid=02ea383e-465b-47a3-83fc-04b9f995ef15"],"itemData":{"author":[{"dropping-particle":"","family":"Norwitz","given":"Autor Errol R","non-dropping-particle":"","parse-names":false,"suffix":""}],"id":"ITEM-1","issued":{"date-parts":[["2021"]]},"page":"1-55","title":"Preeclampsia: Management and prognosis","type":"article-journal"}}],"schema":"https://github.com/citation-style-language/schema/raw/master/csl-citation.json"} </w:instrText>
      </w:r>
      <w:r w:rsidRPr="00D74DFF">
        <w:rPr>
          <w:rFonts w:eastAsia="Calibri"/>
          <w:color w:val="000000"/>
          <w:shd w:val="clear" w:color="auto" w:fill="FFFFFF"/>
          <w:lang w:val="es-PE" w:eastAsia="en-US"/>
        </w:rPr>
        <w:fldChar w:fldCharType="separate"/>
      </w:r>
      <w:r w:rsidRPr="00D74DFF">
        <w:rPr>
          <w:rFonts w:eastAsia="Calibri"/>
          <w:vertAlign w:val="superscript"/>
          <w:lang w:val="es-PE" w:eastAsia="en-US"/>
        </w:rPr>
        <w:t>(2)</w:t>
      </w:r>
      <w:r w:rsidRPr="00D74DFF">
        <w:rPr>
          <w:rFonts w:eastAsia="Calibri"/>
          <w:color w:val="000000"/>
          <w:shd w:val="clear" w:color="auto" w:fill="FFFFFF"/>
          <w:lang w:val="es-PE" w:eastAsia="en-US"/>
        </w:rPr>
        <w:fldChar w:fldCharType="end"/>
      </w:r>
      <w:r w:rsidRPr="00D74DFF">
        <w:rPr>
          <w:rFonts w:eastAsia="Calibri"/>
          <w:color w:val="000000"/>
          <w:shd w:val="clear" w:color="auto" w:fill="FFFFFF"/>
          <w:lang w:val="es-PE" w:eastAsia="en-US"/>
        </w:rPr>
        <w:t xml:space="preserve"> </w:t>
      </w:r>
      <w:r w:rsidRPr="00D74DFF">
        <w:rPr>
          <w:rFonts w:eastAsia="Calibri"/>
          <w:lang w:val="es-PE" w:eastAsia="en-US"/>
        </w:rPr>
        <w:t>Por ello existe la necesidad de identificar esta enfermedad de manera precoz y evitar estadios clínicos graves.</w:t>
      </w:r>
    </w:p>
    <w:p w14:paraId="7E37D2C4" w14:textId="77777777" w:rsidR="00D74DFF" w:rsidRPr="00D74DFF" w:rsidRDefault="00D74DFF" w:rsidP="00D74DFF">
      <w:pPr>
        <w:spacing w:line="360" w:lineRule="auto"/>
        <w:jc w:val="both"/>
        <w:rPr>
          <w:rFonts w:eastAsia="Calibri"/>
          <w:shd w:val="clear" w:color="auto" w:fill="FFFFFF"/>
          <w:lang w:val="es-PE" w:eastAsia="en-US"/>
        </w:rPr>
      </w:pPr>
      <w:r w:rsidRPr="00D74DFF">
        <w:rPr>
          <w:rFonts w:eastAsia="Calibri"/>
          <w:shd w:val="clear" w:color="auto" w:fill="FFFFFF"/>
          <w:lang w:val="es-PE" w:eastAsia="en-US"/>
        </w:rPr>
        <w:t>En forma global, la preeclampsia afecta del 2 % al 8 % de los embarazos.</w:t>
      </w:r>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{"citationID":"SG7CKKJB","properties":{"formattedCitation":"\\super (3)\\nosupersub{}","plainCitation":"(3)","noteIndex":0},"citationItems":[{"id":"FRUDbNut/1bTZvYv3","uris":["http://www.mendeley.com/documents/?uuid=52a73c85-f28b-45cb-badf-1df83db25edc"],"uri":["http://www.mendeley.com/documents/?uuid=52a73c85-f28b-45cb-badf-1df83db25edc"],"itemData":{"DOI":"10.1016/j.jacc.2020.08.014","ISSN":"15583597","PMID":"33004135","abstract":"Preeclampsia is a hypertensive disorder of pregnancy. It affects 2% to 8% of pregnancies worldwide and causes significant maternal and perinatal morbidity and mortality. Hypertension and proteinuria are the cornerstone of the disease, though systemic organ dysfunction may ensue. The clinical syndrome begins with abnormal placentation with subsequent release of antiangiogenic markers, mediated primarily by soluble fms-like tyrosine kinase-1 (sFlt-1) and soluble endoglin (sEng). High levels of sFlt-1 and sEng result in endothelial dysfunction, vasoconstriction, and immune dysregulation, which can negatively impact every maternal organ system and the fetus. This review comprehensively examines the pathogenesis of preeclampsia with a specific focus on the mechanisms underlying the clinical features. Delivery is the only definitive treatment. Low-dose aspirin is recommended for prophylaxis in high-risk populations. Other treatment options are limited. Additional research is needed to clarify the pathophysiology, and thus, identify potential therapeutic targets for improved treatment and, ultimately, outcomes of this prevalent disease.","author":[{"dropping-particle":"","family":"Ives","given":"Christopher W.","non-dropping-particle":"","parse-names":false,"suffix":""},{"dropping-particle":"","family":"Sinkey","given":"Rachel","non-dropping-particle":"","parse-names":false,"suffix":""},{"dropping-particle":"","family":"Rajapreyar","given":"Indranee","non-dropping-particle":"","parse-names":false,"suffix":""},{"dropping-particle":"","family":"Tita","given":"Alan T.N.","non-dropping-particle":"","parse-names":false,"suffix":""},{"dropping-particle":"","family":"Oparil","given":"Suzanne","non-dropping-particle":"","parse-names":false,"suffix":""}],"container-title":"Journal of the American College of Cardiology","id":"ITEM-1","issue":"14","issued":{"date-parts":[["2020"]]},"page":"1690-1702","title":"Preeclampsia Pathophysiology and Clinical Presentations: JACC State of the Art Review","type":"article-journal","volume":"76"}}],"schema":"https://github.com/citation-style-language/schema/raw/master/csl-citation.json"}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(3)</w:t>
      </w:r>
      <w:r w:rsidRPr="00D74DFF">
        <w:rPr>
          <w:rFonts w:eastAsia="Calibri"/>
          <w:shd w:val="clear" w:color="auto" w:fill="FFFFFF"/>
          <w:lang w:val="es-PE" w:eastAsia="en-US"/>
        </w:rPr>
        <w:fldChar w:fldCharType="end"/>
      </w:r>
      <w:r w:rsidRPr="00D74DFF">
        <w:rPr>
          <w:rFonts w:eastAsia="Calibri"/>
          <w:shd w:val="clear" w:color="auto" w:fill="FFFFFF"/>
          <w:lang w:val="es-PE" w:eastAsia="en-US"/>
        </w:rPr>
        <w:t xml:space="preserve"> En América Latina y el Caribe, los trastornos hipertensivos son responsables del 26 % de las muertes maternas,</w:t>
      </w:r>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{"citationID":"0JS4Ch7h","properties":{"formattedCitation":"\\super (4)\\nosupersub{}","plainCitation":"(4)","noteIndex":0},"citationItems":[{"id":"FRUDbNut/eeThBXHK","uris":["http://www.mendeley.com/documents/?uuid=3ea21d77-17d0-4d81-82da-6a773ddf9b0e"],"uri":["http://www.mendeley.com/documents/?uuid=3ea21d77-17d0-4d81-82da-6a773ddf9b0e"],"itemData":{"author":[{"dropping-particle":"","family":"Cristhian","given":"Kirby Ojeda","non-dropping-particle":"","parse-names":false,"suffix":""}],"container-title":"Facultad de ciencias químicas y de la salud carrera de ciencias médicas","id":"ITEM-1","issued":{"date-parts":[["2019"]]},"title":"Sindrome Hipertensivo Del Embarazo en Ecuador y Latinoamerica","type":"article-journal"}}],"schema":"https://github.com/citation-style-language/schema/raw/master/csl-citation.json"}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(4)</w:t>
      </w:r>
      <w:r w:rsidRPr="00D74DFF">
        <w:rPr>
          <w:rFonts w:eastAsia="Calibri"/>
          <w:shd w:val="clear" w:color="auto" w:fill="FFFFFF"/>
          <w:lang w:val="es-PE" w:eastAsia="en-US"/>
        </w:rPr>
        <w:fldChar w:fldCharType="end"/>
      </w:r>
      <w:r w:rsidRPr="00D74DFF">
        <w:rPr>
          <w:rFonts w:eastAsia="Calibri"/>
          <w:shd w:val="clear" w:color="auto" w:fill="FFFFFF"/>
          <w:lang w:val="es-PE" w:eastAsia="en-US"/>
        </w:rPr>
        <w:t xml:space="preserve"> y en EE.UU. se ha producido una incidencia del 25 % en las últimas 2 décadas,</w:t>
      </w:r>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{"citationID":"kbpwrn5A","properties":{"formattedCitation":"\\super (5)\\nosupersub{}","plainCitation":"(5)","noteIndex":0},"citationItems":[{"id":"FRUDbNut/2MYHjLBc","uris":["http://www.mendeley.com/documents/?uuid=95ba8d03-9a11-4226-9ea0-87183b82405a"],"uri":["http://www.mendeley.com/documents/?uuid=95ba8d03-9a11-4226-9ea0-87183b82405a"],"itemData":{"ISBN":"0149763417301","author":[{"dropping-particle":"","family":"Víctor Manuel Cantillano Aburto.","given":"","non-dropping-particle":"","parse-names":false,"suffix":""},{"dropping-particle":"","family":"Meléndez","given":"Alma Iris Ortiz","non-dropping-particle":"","parse-names":false,"suffix":""}],"id":"ITEM-1","issue":"5","issued":{"date-parts":[["2019"]]},"page":"55","title":"Factores de riesgo asociados a Preclampsia-eclampsia en mujeres hospitalizadas en el Hospital Alemán Nicaragüense, durante el periodo comprendido de noviembre 2018 a febrero del 2019. Autor:","type":"article-journal","volume":"8"}}],"schema":"https://github.com/citation-style-language/schema/raw/master/csl-citation.json"}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(5)</w:t>
      </w:r>
      <w:r w:rsidRPr="00D74DFF">
        <w:rPr>
          <w:rFonts w:eastAsia="Calibri"/>
          <w:shd w:val="clear" w:color="auto" w:fill="FFFFFF"/>
          <w:lang w:val="es-PE" w:eastAsia="en-US"/>
        </w:rPr>
        <w:fldChar w:fldCharType="end"/>
      </w:r>
      <w:r w:rsidRPr="00D74DFF">
        <w:rPr>
          <w:rFonts w:eastAsia="Calibri"/>
          <w:shd w:val="clear" w:color="auto" w:fill="FFFFFF"/>
          <w:lang w:val="es-PE" w:eastAsia="en-US"/>
        </w:rPr>
        <w:t xml:space="preserve"> mientras que en África y Asia contribuyen al 9 % de las muertes.</w:t>
      </w:r>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{"citationID":"5wYHV61w","properties":{"formattedCitation":"\\super (6)\\nosupersub{}","plainCitation":"(6)","noteIndex":0},"citationItems":[{"id":"FRUDbNut/rWGVsdXt","uris":["http://www.mendeley.com/documents/?uuid=19502f8b-5d1b-4e04-989f-56478d2b6870"],"uri":["http://www.mendeley.com/documents/?uuid=19502f8b-5d1b-4e04-989f-56478d2b6870"],"itemData":{"abstract":"Introducción: Los trastornos hipertensivos son la primera causa de muerte materna en los países desarrollados y la tercera causa de muerte materna en los países en vías de desarrollo. La preeclampsia es una enfermedad de origen desconocido y multifactorial cuyo tratamiento definitivo es el parto, además de ser causal de repercusiones sobre la madre y el recién nacido. Objetivo: El objetivo general del estudio fue determinar la Prevalencia de preeclampsia en embarazadas en el servicio de ginecología y obstetricia del hospital central del instituto de previsión social, 2017. Materiales y métodos: Estudio observacional descriptivo retrospectivo de corte transversal, con muestreo no probabilístico de casos consecutivos. Fueron incluidas todas las embarazadas con preeclampsia que acudieron al Servicio de Ginecología y Obstetricia del Hospital Central de Instituto de Previsión Social en el periodo comprendido entre los meses de enero a diciembre del año 2017. Resultados: Se realizó un estudio observacional descriptivo retrospectivo en 375 pacientes que acudieron al Hospital Central del Instituto de Previsión Social en el año 2017. Los resultados arrojaron que el 38,4% presentó preeclampsia de las cuales 63,2% presentaba en preeclampsia leve y 36,8% presentaba preeclampsia severa Entre los factores de riesgo el que apareció en mayor cantidad fue la Hipertensión Arterial Crónica. En cuanto a las complicaciones maternas se presentan en mayoría Hepáticas, Neurológicas y Renales. Conclusión: Los resultados de este estudio realizado en un centro de referencia nacional y de alta complejidad coinciden con estudio previo, determina datos importantes acerca de la prevalencia de preeclampsia.","author":[{"dropping-particle":"","family":"Vasquez Martinez","given":"Juan","non-dropping-particle":"","parse-names":false,"suffix":""}],"id":"ITEM-1","issued":{"date-parts":[["2018"]]},"page":"1 - 74","title":"Prevalencia De Preeclampsia En Embarazadas En El Servicio De Ginecologia Y Obstetricia Del Hospital Central Del Instituto De Previsión Social, 2017","type":"article-journal"}}],"schema":"https://github.com/citation-style-language/schema/raw/master/csl-citation.json"}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(6)</w:t>
      </w:r>
      <w:r w:rsidRPr="00D74DFF">
        <w:rPr>
          <w:rFonts w:eastAsia="Calibri"/>
          <w:shd w:val="clear" w:color="auto" w:fill="FFFFFF"/>
          <w:lang w:val="es-PE" w:eastAsia="en-US"/>
        </w:rPr>
        <w:fldChar w:fldCharType="end"/>
      </w:r>
      <w:r w:rsidRPr="00D74DFF">
        <w:rPr>
          <w:rFonts w:eastAsia="Calibri"/>
          <w:shd w:val="clear" w:color="auto" w:fill="FFFFFF"/>
          <w:lang w:val="es-PE" w:eastAsia="en-US"/>
        </w:rPr>
        <w:t xml:space="preserve"> En el Perú </w:t>
      </w:r>
      <w:r w:rsidRPr="00D74DFF">
        <w:rPr>
          <w:rFonts w:eastAsia="Calibri"/>
          <w:lang w:val="es-PE" w:eastAsia="en-US"/>
        </w:rPr>
        <w:t>se ha estimado la razón de mortalidad materna de 82,6 por cada 100 mil nacidos vivos;</w:t>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{"citationID":"hPQiiOcl","properties":{"formattedCitation":"\\super (7)\\nosupersub{}","plainCitation":"(7)","noteIndex":0},"citationItems":[{"id":"FRUDbNut/EqLJRJkP","uris":["http://www.mendeley.com/documents/?uuid=29eacb99-8e43-4629-9b0a-8b441a06070d"],"uri":["http://www.mendeley.com/documents/?uuid=29eacb99-8e43-4629-9b0a-8b441a06070d"],"itemData":{"DOI":"10.4067/s0717-75262003000600015","ISSN":"0048-766X","author":[{"dropping-particle":"","family":"Cipirán","given":"Fabiola Gil","non-dropping-particle":"","parse-names":false,"suffix":""}],"container-title":"Centro Nacional de Epidemiologia, Prevención y control de enfermedades","id":"ITEM-1","issue":"6","issued":{"date-parts":[["2020"]]},"title":"Situación epidemiológica de la mortalidad materna en el Perú","type":"article-journal","volume":"68"}}],"schema":"https://github.com/citation-style-language/schema/raw/master/csl-citation.json"}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(7)</w:t>
      </w:r>
      <w:r w:rsidRPr="00D74DFF">
        <w:rPr>
          <w:rFonts w:eastAsia="Calibri"/>
          <w:lang w:val="es-PE" w:eastAsia="en-US"/>
        </w:rPr>
        <w:fldChar w:fldCharType="end"/>
      </w:r>
      <w:r w:rsidRPr="00D74DFF">
        <w:rPr>
          <w:rFonts w:eastAsia="Calibri"/>
          <w:lang w:val="es-PE" w:eastAsia="en-US"/>
        </w:rPr>
        <w:t xml:space="preserve"> los trastornos hipertensivos son la primera causa directa de muerte con el 21,4 % del total.</w:t>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{"citationID":"QS7FQGGf","properties":{"formattedCitation":"\\super (8)\\nosupersub{}","plainCitation":"(8)","noteIndex":0},"citationItems":[{"id":"FRUDbNut/AX3J8202","uris":["http://www.mendeley.com/documents/?uuid=9775ba2d-5738-46ea-830e-2a127a7f18bd"],"uri":["http://www.mendeley.com/documents/?uuid=9775ba2d-5738-46ea-830e-2a127a7f18bd"],"itemData":{"DOI":"10.1016/S2214-109X","abstract":"Background: The perception of surgery as expensive and complex might be a barrier to its widespread acceptance in global health efforts. We did a systematic review and analysis of cost-effectiveness studies that assess surgical interventions in low-income and middle-income countries to help quantify the potential value of surgery. Methods: We searched Medline for all relevant articles published between Jan 1, 1996 and Jan 31, 2013, and searched the reference lists of retrieved articles. We converted all results to 2012 US$. We extracted cost-effectiveness ratios (CERs) and appraised economic assessments for their methodological quality using the 10-point Drummond checklist. Findings: Of the 584 identified studies, 26 met full inclusion criteria. Together, these studies gave 121 independent CERs in seven categories of surgical interventions. The median CER of circumcision ($13·78 per disability-adjusted life year [DALY]) was similar to that of standard vaccinations ($12·96-25·93 per DALY) and bednets for malaria prevention ($6·48-22·04 per DALY). Median CERs of cleft lip or palate repair ($47·74 per DALY), general surgery ($82·32 per DALY), hydrocephalus surgery ($108·74 per DALY), and ophthalmic surgery ($136 per DALY) were similar to that of the BCG vaccine ($51·86-220·39 per DALY). Median CERs of caesarean sections ($315·12 per DALY) and orthopaedic surgery ($381·15 per DALY) are more favourable than those of medical treatment for ischaemic heart disease ($500·41-706·54 per DALY) and HIV treatment with multidrug antiretroviral therapy ($453·74-648·20 per DALY). Interpretation: Our findings suggest that many essential surgical interventions are cost-effective or very cost-effective in resource-poor countries. Quantification of the economic value of surgery provides a strong argument for the expansion of global surgery's role in the global health movement. However, economic value should not be the only argument for resource allocation-other organisational, ethical, and political arguments can also be made for its inclusion. Funding: Massachusetts General Hospital Department of Surgery, Boston Children's Hospital, and Stanford University Department of Surgery. © 2014 Chao et al. Open Access article distributed under the terms of CC BY.","author":[{"dropping-particle":"","family":"Guevara Rios","given":"Enrique","non-dropping-particle":"","parse-names":false,"suffix":""}],"container-title":"The Lancet Global Health","id":"ITEM-1","issue":"6","issued":{"date-parts":[["2014"]]},"page":"334-345","title":"Impacto de la pandemia en la salud materna en el Perú","type":"article-journal","volume":"2"}}],"schema":"https://github.com/citation-style-language/schema/raw/master/csl-citation.json"}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(8)</w:t>
      </w:r>
      <w:r w:rsidRPr="00D74DFF">
        <w:rPr>
          <w:rFonts w:eastAsia="Calibri"/>
          <w:lang w:val="es-PE" w:eastAsia="en-US"/>
        </w:rPr>
        <w:fldChar w:fldCharType="end"/>
      </w:r>
      <w:r w:rsidRPr="00D74DFF">
        <w:rPr>
          <w:rFonts w:eastAsia="Calibri"/>
          <w:lang w:val="es-PE" w:eastAsia="en-US"/>
        </w:rPr>
        <w:t xml:space="preserve"> </w:t>
      </w:r>
    </w:p>
    <w:p w14:paraId="3E9D9E2B" w14:textId="0FE613B9" w:rsidR="00D74DFF" w:rsidRPr="00D74DFF" w:rsidRDefault="00D74DFF" w:rsidP="00D74DFF">
      <w:pPr>
        <w:spacing w:line="360" w:lineRule="auto"/>
        <w:jc w:val="both"/>
        <w:rPr>
          <w:rFonts w:eastAsia="Calibri"/>
          <w:lang w:val="es-PE" w:eastAsia="en-US"/>
        </w:rPr>
      </w:pPr>
      <w:r w:rsidRPr="00D74DFF">
        <w:rPr>
          <w:rFonts w:eastAsia="Calibri"/>
          <w:shd w:val="clear" w:color="auto" w:fill="FFFFFF"/>
          <w:lang w:val="es-PE" w:eastAsia="en-US"/>
        </w:rPr>
        <w:t>El conocimiento variado de los factores desencadenantes de la preeclamsia podría posibilitar la intervención desde el inicio del embarazo;</w:t>
      </w:r>
      <w:r w:rsidRPr="00D74DFF">
        <w:rPr>
          <w:rFonts w:eastAsia="Calibri"/>
          <w:shd w:val="clear" w:color="auto" w:fill="FFFFFF"/>
          <w:lang w:val="es-PE" w:eastAsia="en-US"/>
        </w:rPr>
        <w:fldChar w:fldCharType="begin" w:fldLock="1"/>
      </w:r>
      <w:r w:rsidRPr="00D74DFF">
        <w:rPr>
          <w:rFonts w:eastAsia="Calibri"/>
          <w:shd w:val="clear" w:color="auto" w:fill="FFFFFF"/>
          <w:lang w:val="es-PE" w:eastAsia="en-US"/>
        </w:rPr>
        <w:instrText xml:space="preserve"> ADDIN ZOTERO_ITEM CSL_CITATION {"citationID":"nqiFLF9f","properties":{"formattedCitation":"\\super (9)\\nosupersub{}","plainCitation":"(9)","noteIndex":0},"citationItems":[{"id":"FRUDbNut/1OBg2TX6","uris":["http://www.mendeley.com/documents/?uuid=c17105a4-72f0-4dbc-88ab-7f2d302cd446"],"uri":["http://www.mendeley.com/documents/?uuid=c17105a4-72f0-4dbc-88ab-7f2d302cd446"],"itemData":{"DOI":"10.1016/j.ajog.2011.02.020","ISSN":"10976868","abstract":"Objective: To determine whether supplementation with vitamins C and E during pregnancy reduces the risk of preeclampsia and other adverse maternal and perinatal outcomes. Study Design: Systematic review and metaanalysis of randomized controlled trials. Results: Nine trials involving a total of 19,810 women were included. Overall, there were no significant differences between the vitamin and placebo groups in the risk of preeclampsia (9.6% vs 9.6%; relative risk, 1.00, 95% confidence interval, 0.921.09). Similar results were obtained when subgroup analyses were restricted to women at high risk or low/moderate risk for preeclampsia. Women supplemented with vitamins C and E were at increased risk of developing gestational hypertension and premature rupture of membranes, and decreased risk of abruptio placentae. There were no significant differences between the vitamin and placebo groups in the risk of other adverse maternal or fetal/perinatal outcomes. Conclusion: Supplementation with vitamins C and E during pregnancy does not prevent preeclampsia. © 2011 Published by Mosby, Inc.","author":[{"dropping-particle":"","family":"Conde-Agudelo","given":"Agustn","non-dropping-particle":"","parse-names":false,"suffix":""},{"dropping-particle":"","family":"Romero","given":"Roberto","non-dropping-particle":"","parse-names":false,"suffix":""},{"dropping-particle":"","family":"Kusanovic","given":"Juan Pedro","non-dropping-particle":"","parse-names":false,"suffix":""},{"dropping-particle":"","family":"Hassan","given":"Sonia S.","non-dropping-particle":"","parse-names":false,"suffix":""}],"container-title":"American Journal of Obstetrics and Gynecology","id":"ITEM-1","issue":"6","issued":{"date-parts":[["2011"]]},"page":"503.e1-503.e12","title":"Supplementation with vitamins C and e during pregnancy for the prevention of preeclampsia and other adverse maternal and perinatal outcomes: A systematic review and metaanalysis","type":"article-journal","volume":"204"}}],"schema":"https://github.com/citation-style-language/schema/raw/master/csl-citation.json"} </w:instrText>
      </w:r>
      <w:r w:rsidRPr="00D74DFF">
        <w:rPr>
          <w:rFonts w:eastAsia="Calibri"/>
          <w:shd w:val="clear" w:color="auto" w:fill="FFFFFF"/>
          <w:lang w:val="es-PE" w:eastAsia="en-US"/>
        </w:rPr>
        <w:fldChar w:fldCharType="separate"/>
      </w:r>
      <w:r w:rsidRPr="00D74DFF">
        <w:rPr>
          <w:rFonts w:eastAsia="Calibri"/>
          <w:vertAlign w:val="superscript"/>
          <w:lang w:val="es-PE" w:eastAsia="en-US"/>
        </w:rPr>
        <w:t>(9)</w:t>
      </w:r>
      <w:r w:rsidRPr="00D74DFF">
        <w:rPr>
          <w:rFonts w:eastAsia="Calibri"/>
          <w:shd w:val="clear" w:color="auto" w:fill="FFFFFF"/>
          <w:lang w:val="es-PE" w:eastAsia="en-US"/>
        </w:rPr>
        <w:fldChar w:fldCharType="end"/>
      </w:r>
      <w:r w:rsidRPr="00D74DFF">
        <w:rPr>
          <w:rFonts w:eastAsia="Calibri"/>
          <w:shd w:val="clear" w:color="auto" w:fill="FFFFFF"/>
          <w:lang w:val="es-PE" w:eastAsia="en-US"/>
        </w:rPr>
        <w:t xml:space="preserve"> sin embargo, el enfoque nutricional ha sido poco estudiado. </w:t>
      </w:r>
      <w:r w:rsidRPr="00D74DFF">
        <w:rPr>
          <w:rFonts w:eastAsia="Calibri"/>
          <w:lang w:val="es-PE" w:eastAsia="en-US"/>
        </w:rPr>
        <w:t>A la fecha, existen algunos ensayos clínicos</w:t>
      </w:r>
      <w:r w:rsidRPr="00D74DFF">
        <w:rPr>
          <w:rFonts w:eastAsia="Calibri"/>
          <w:vertAlign w:val="superscript"/>
          <w:lang w:val="es-PE" w:eastAsia="en-US"/>
        </w:rPr>
        <w:t>(10,11,1</w:t>
      </w:r>
      <w:r w:rsidR="0002130C">
        <w:rPr>
          <w:rFonts w:eastAsia="Calibri"/>
          <w:vertAlign w:val="superscript"/>
          <w:lang w:val="es-PE" w:eastAsia="en-US"/>
        </w:rPr>
        <w:t>2</w:t>
      </w:r>
      <w:r w:rsidRPr="00D74DFF">
        <w:rPr>
          <w:rFonts w:eastAsia="Calibri"/>
          <w:vertAlign w:val="superscript"/>
          <w:lang w:val="es-PE" w:eastAsia="en-US"/>
        </w:rPr>
        <w:t>)</w:t>
      </w:r>
      <w:r w:rsidRPr="00D74DFF">
        <w:rPr>
          <w:rFonts w:eastAsia="Calibri"/>
          <w:lang w:val="es-PE" w:eastAsia="en-US"/>
        </w:rPr>
        <w:t xml:space="preserve"> que han evaluado la efectividad de la suplementación de vitamina C y E en conjunto</w:t>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{"citationID":"6GMUERVT","properties":{"formattedCitation":"\\super (10)\\nosupersub{}","plainCitation":"(10)","noteIndex":0},"citationItems":[{"id":"FRUDbNut/w9kHe9Vj","uris":["http://www.mendeley.com/documents/?uuid=868c1f7e-712b-45d8-bce4-014f87c42dec"],"uri":["http://www.mendeley.com/documents/?uuid=868c1f7e-712b-45d8-bce4-014f87c42dec"],"itemData":{"DOI":"10.1016/j.semnephrol.2004.07.004","ISSN":"02709295","abstract":"Preeclampsia is a 2-stage disorder. Stage 1 is decreased placental perfusion and generates stage 2 of the disorder, the maternal syndrome characteristic of preeclampsia. How the 2 stages are linked has been a topic of intense investigation for many years. One candidate phenomenon, which includes many other suggested linkages, is oxidative stress. This hypothesis predicts that the administration of antioxidants would decrease oxidative stress and modify stage 2. Experience with the treatment of preeclampsia including a small trial of antioxidants in women with manifest preeclampsia makes it clear that the use of any therapy once preeclampsia is evident will not be successful. Trials evaluating prophylactic aspirin and supplemental calcium from early pregnancy suggest that therapy before evident preeclampsia may be successful in selected populations. Guided by these concepts and by experience with antioxidant therapy in other settings, 1 small study (&lt;80 women in the treatment arm) was very encouraging with an almost two-thirds reduction of the frequency of preeclampsia in high-risk women. Antioxidants currently are being evaluated in several larger trials in the United States, Canada, Mexico, England, and in several developing nations. These studies should definitively establish the efficacy and safety of this therapy for the mother and fetus. © 2004 Elsevier Inc. All rights reserved.","author":[{"dropping-particle":"","family":"Spinnato","given":"Joseph A.","non-dropping-particle":"","parse-names":false,"suffix":""},{"dropping-particle":"","family":"Freire","given":"Salvio","non-dropping-particle":"","parse-names":false,"suffix":""},{"dropping-particle":"","family":"Pinto","given":"Joao Luiz","non-dropping-particle":"","parse-names":false,"suffix":""},{"dropping-particle":"","family":"Rudge","given":"Marilza Cunha","non-dropping-particle":"","parse-names":false,"suffix":""},{"dropping-particle":"","family":"Martins-Costa","given":"Sergio","non-dropping-particle":"","parse-names":false,"suffix":""},{"dropping-particle":"","family":"Koch","given":"Matthew A.","non-dropping-particle":"","parse-names":false,"suffix":""},{"dropping-particle":"","family":"Goco","given":"Norman","non-dropping-particle":"","parse-names":false,"suffix":""},{"dropping-particle":"","family":"Santos","given":"Cleide de Barros","non-dropping-particle":"","parse-names":false,"suffix":""},{"dropping-particle":"","family":"Cecatti","given":"Jose Guilgerme","non-dropping-particle":"","parse-names":false,"suffix":""},{"dropping-particle":"","family":"Costa","given":"Roberto","non-dropping-particle":"","parse-names":false,"suffix":""},{"dropping-particle":"","family":"Ramos","given":"José","non-dropping-particle":"","parse-names":false,"suffix":""},{"dropping-particle":"","family":"Moss","given":"Nancy","non-dropping-particle":"","parse-names":false,"suffix":""},{"dropping-particle":"","family":"Sibai","given":"Baha M.","non-dropping-particle":"","parse-names":false,"suffix":""}],"container-title":"Seminars in Nephrology","id":"ITEM-1","issue":"6 SPEC.ISS.","issued":{"date-parts":[["2004"]]},"page":"557-564","title":"Antioxidant therapy to prevent preeclampsia","type":"article-journal","volume":"24"}}],"schema":"https://github.com/citation-style-language/schema/raw/master/csl-citation.json"}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(10,</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{"citationID":"cmR3PllB","properties":{"formattedCitation":"\\super (11)\\nosupersub{}","plainCitation":"(11)","noteIndex":0},"citationItems":[{"id":"FRUDbNut/UIe6rxGE","uris":["http://www.mendeley.com/documents/?uuid=3840b49c-95ac-423f-a1f6-5211b37ae4af"],"uri":["http://www.mendeley.com/documents/?uuid=3840b49c-95ac-423f-a1f6-5211b37ae4af"],"itemData":{"DOI":"10.1016/j.ajog.2010.01.050","ISSN":"00029378","abstract":"Objective: We sought to investigate whether prenatal vitamin C and E supplementation reduces the incidence of gestational hypertension (GH) and its adverse conditions among high- and low-risk women. Study Design: In a multicenter randomized controlled trial, women were stratified by the risk status and assigned to daily treatment (1 g vitamin C and 400 IU vitamin E) or placebo. The primary outcome was GH and its adverse conditions. Results: Of the 2647 women randomized, 2363 were included in the analysis. There was no difference in the risk of GH and its adverse conditions between groups (relative risk, 0.99; 95% confidence interval, 0.78-1.26). However, vitamins C and E increased the risk of fetal loss or perinatal death (nonprespecified) as well as preterm prelabor rupture of membranes. Conclusion: Vitamin C and E supplementation did not reduce the rate of preeclampsia or GH, but increased the risk of fetal loss or perinatal death and preterm prelabor rupture of membranes. © 2010 Mosby, Inc. All rights reserved.","author":[{"dropping-particle":"","family":"Xu","given":"Hairong","non-dropping-particle":"","parse-names":false,"suffix":""},{"dropping-particle":"","family":"Perez-Cuevas","given":"Ricardo","non-dropping-particle":"","parse-names":false,"suffix":""},{"dropping-particle":"","family":"Xiong","given":"Xu","non-dropping-particle":"","parse-names":false,"suffix":""},{"dropping-particle":"","family":"Reyes","given":"Hortensia","non-dropping-particle":"","parse-names":false,"suffix":""},{"dropping-particle":"","family":"Roy","given":"Chantal","non-dropping-particle":"","parse-names":false,"suffix":""},{"dropping-particle":"","family":"Julien","given":"Pierre","non-dropping-particle":"","parse-names":false,"suffix":""},{"dropping-particle":"","family":"Smith","given":"Graeme","non-dropping-particle":"","parse-names":false,"suffix":""},{"dropping-particle":"","family":"Dadelszen","given":"Peter","non-dropping-particle":"von","parse-names":false,"suffix":""},{"dropping-particle":"","family":"Leduc","given":"Line","non-dropping-particle":"","parse-names":false,"suffix":""},{"dropping-particle":"","family":"Audibert","given":"François","non-dropping-particle":"","parse-names":false,"suffix":""},{"dropping-particle":"","family":"Moutquin","given":"Jean Marie","non-dropping-particle":"","parse-names":false,"suffix":""},{"dropping-particle":"","family":"Piedboeuf","given":"Bruno","non-dropping-particle":"","parse-names":false,"suffix":""},{"dropping-particle":"","family":"Shatenstein","given":"Bryna","non-dropping-particle":"","parse-names":false,"suffix":""},{"dropping-particle":"","family":"Parra-Cabrera","given":"Socorro","non-dropping-particle":"","parse-names":false,"suffix":""},{"dropping-particle":"","family":"Choquette","given":"Pierre","non-dropping-particle":"","parse-names":false,"suffix":""},{"dropping-particle":"","family":"Winsor","given":"Stephanie","non-dropping-particle":"","parse-names":false,"suffix":""},{"dropping-particle":"","family":"Wood","given":"Stephen","non-dropping-particle":"","parse-names":false,"suffix":""},{"dropping-particle":"","family":"Benjamin","given":"Alice","non-dropping-particle":"","parse-names":false,"suffix":""},{"dropping-particle":"","family":"Walker","given":"Mark","non-dropping-particle":"","parse-names":false,"suffix":""},{"dropping-particle":"","family":"Helewa","given":"Michael","non-dropping-particle":"","parse-names":false,"suffix":""},{"dropping-particle":"","family":"Dubé","given":"Johanne","non-dropping-particle":"","parse-names":false,"suffix":""},{"dropping-particle":"","family":"Tawagi","given":"Georges","non-dropping-particle":"","parse-names":false,"suffix":""},{"dropping-particle":"","family":"Seaward","given":"Gareth","non-dropping-particle":"","parse-names":false,"suffix":""},{"dropping-particle":"","family":"Ohlsson","given":"Arne","non-dropping-particle":"","parse-names":false,"suffix":""},{"dropping-particle":"","family":"Magee","given":"Laura A.","non-dropping-particle":"","parse-names":false,"suffix":""},{"dropping-particle":"","family":"Olatunbosun","given":"Femi","non-dropping-particle":"","parse-names":false,"suffix":""},{"dropping-particle":"","family":"Gratton","given":"Robert","non-dropping-particle":"","parse-names":false,"suffix":""},{"dropping-particle":"","family":"Shear","given":"Roberta","non-dropping-particle":"","parse-names":false,"suffix":""},{"dropping-particle":"","family":"Demianczuk","given":"Nestor","non-dropping-particle":"","parse-names":false,"suffix":""},{"dropping-particle":"","family":"Collet","given":"Jean Paul","non-dropping-particle":"","parse-names":false,"suffix":""},{"dropping-particle":"","family":"Wei","given":"Shuqin","non-dropping-particle":"","parse-names":false,"suffix":""},{"dropping-particle":"","family":"Fraser","given":"William D.","non-dropping-particle":"","parse-names":false,"suffix":""}],"container-title":"American Journal of Obstetrics and Gynecology","id":"ITEM-1","issue":"3","issued":{"date-parts":[["2010"]]},"page":"239.e1-239.e10","publisher":"Elsevier Inc.","title":"An international trial of antioxidants in the prevention of preeclampsia (INTAPP)","type":"article-journal","volume":"202"}}],"schema":"https://github.com/citation-style-language/schema/raw/master/csl-citation.json"}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11</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{"citationID":"LrbPfVx7","properties":{"formattedCitation":"\\super (12)\\nosupersub{}","plainCitation":"(12)","noteIndex":0},"citationItems":[{"id":"FRUDbNut/n4aZLwUK","uris":["http://www.mendeley.com/documents/?uuid=e7a399ad-33ba-4605-8470-9d680417520d"],"uri":["http://www.mendeley.com/documents/?uuid=e7a399ad-33ba-4605-8470-9d680417520d"],"itemData":{"DOI":"10.1056/NEJMoa0908056.Vitamins","ISBN":"6176321972","ISSN":"15378276","PMID":"1000000221","abstract":"Insufficient sleep and poor quality sleep are pervasive during adolescence and relate to impairments in cognitive control and increased risk taking. However, the neurobiology underlying the association between sleep and adolescent behavior remains elusive. In the current study, we examine how poor sleep quality relates to cognitive control and reward related brain function during risk taking. Forty-six adolescents participated in a functional magnetic imaging (fMRI) scan during which they completed a cognitive control and risk taking task. Behaviorally, adolescents who reported poorer sleep also exhibited greater risk-taking. This association was paralleled by less recruitment of the dorsolateral prefrontal cortex (DLPFC) during cognitive control, greater insula activation during reward processing, and reduced functional coupling between the DLPFC and affective regions including the insula and ventral striatum during reward processing. Collectively, these results suggest that poor sleep may exaggerate the normative imbalance between affective and cognitive control systems, leading to greater risk-taking in adolescents.","author":[{"dropping-particle":"","family":"Robers","given":"James M.","non-dropping-particle":"","parse-names":false,"suffix":""},{"dropping-particle":"","family":"Myatt","given":"Leslie","non-dropping-particle":"","parse-names":false,"suffix":""},{"dropping-particle":"","family":"Spong","given":"Catherine Y.","non-dropping-particle":"","parse-names":false,"suffix":""},{"dropping-particle":"","family":"Thom","given":"Elizabeth A.","non-dropping-particle":"","parse-names":false,"suffix":""},{"dropping-particle":"","family":"John C","given":". Hauth","non-dropping-particle":"","parse-names":false,"suffix":""},{"dropping-particle":"","family":"Leveno","given":"Kenneth J.","non-dropping-particle":"","parse-names":false,"suffix":""},{"dropping-particle":"","family":"Pearson","given":"Gail D.","non-dropping-particle":"","parse-names":false,"suffix":""}],"container-title":"National Institutes of Health","id":"ITEM-1","issue":"1","issued":{"date-parts":[["2005"]]},"page":"1-7","title":"Vitamins C and E to Prevent Complications of Pregnancy-Associated Hypertension","type":"article-journal","volume":"23"}}],"schema":"https://github.com/citation-style-language/schema/raw/master/csl-citation.json"}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,12</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{"citationID":"1fB4bQUx","properties":{"formattedCitation":"\\super (13)\\nosupersub{}","plainCitation":"(13)","noteIndex":0},"citationItems":[{"id":"FRUDbNut/nnEL7nY1","uris":["http://www.mendeley.com/documents/?uuid=0faee3f1-2ef9-4670-9fd0-2c3ab6607dae"],"uri":["http://www.mendeley.com/documents/?uuid=0faee3f1-2ef9-4670-9fd0-2c3ab6607dae"],"itemData":{"DOI":"10.1111/j.1471-0528.2009.02158.x","ISSN":"14700328","PMID":"19432566","abstract":"Please cite this paper as: Villar J, Purwar M, Merialdi M, Zavaleta N, thi Nhu Ngoc N, Anthony J, De Greeff A, Poston L, Shennan A. World Health Organisation multicentre randomised trial of supplementation with vitamins C and E among pregnant women at high risk for pre-eclampsia in populations of low nutritional status from developing countries. BJOG 2009;116:780-788.Objective To determine if vitamin C and E supplementation in high-risk pregnant women with low nutritional status reduces pre-eclampsia. Design Multicentred, randomised, controlled, double-blinded trial. Setting Antenatal care clinics and Hospitals in four countries. Population Pregnant women between 14 and 22 weeks' gestation. Method Randomised women received 1000 mg vitamin C and 400 iu of vitamin E or placebo daily until delivery. Main outcome measures Pre-eclampsia, low birthweight, small for gestational age and perinatal death. Results Six hundred and eighty-seven women were randomised to the vitamin group and 678 to the placebo group. Groups had similar gestational ages (18.1; SD 2.4 weeks), socio-economic, clinical and demographical characteristics and blood pressure at trial entry. Risk factors for eligibility were similar, except for multiple pregnancies: placebo group (14.7%), vitamins group (11.8%). Previous pre-eclampsia, or its complications, was the most common risk factor at entry (vitamins 41.6%, placebo 41.3%). Treatment compliance was 87% in the two groups and loss to follow-up was low (vitamins 2.0%, placebo 1.3%). Supplementation was not associated with a reduction of pre-eclampsia (RR: 1.0; 95% CI: 0.9-1.3), eclampsia (RR: 1.5; 95% CI: 0.3-8.9), gestational hypertension (RR: 1.2; 95% CI: 0.9-1.7), nor any other maternal outcome. Low birthweight (RR: 0.9; 95% CI: 0.8-1.1), small for gestational age (RR: 0.9; 95% CI: 0.8-1.1) and perinatal deaths (RR: 0.8; 95% CI: 0.6-1.2) were also unaffected. Conclusion Vitamins C and E at the doses used did not prevent pre-eclampsia in these high-risk women. © RCOG 2009 BJOG An International Journal of Obstetrics and Gynaecology.","author":[{"dropping-particle":"","family":"Villar","given":"J.","non-dropping-particle":"","parse-names":false,"suffix":""},{"dropping-particle":"","family":"Purwar","given":"M.","non-dropping-particle":"","parse-names":false,"suffix":""},{"dropping-particle":"","family":"Merialdi","given":"M.","non-dropping-particle":"","parse-names":false,"suffix":""},{"dropping-particle":"","family":"Zavaleta","given":"N.","non-dropping-particle":"","parse-names":false,"suffix":""},{"dropping-particle":"","family":"Thi Nhu Ngoc","given":"N.","non-dropping-particle":"","parse-names":false,"suffix":""},{"dropping-particle":"","family":"Anthony","given":"J.","non-dropping-particle":"","parse-names":false,"suffix":""},{"dropping-particle":"","family":"Greeff","given":"A.","non-dropping-particle":"De","parse-names":false,"suffix":""},{"dropping-particle":"","family":"Poston","given":"L.","non-dropping-particle":"","parse-names":false,"suffix":""},{"dropping-particle":"","family":"Shennan","given":"A.","non-dropping-particle":"","parse-names":false,"suffix":""}],"container-title":"BJOG: An International Journal of Obstetrics and Gynaecology","id":"ITEM-1","issue":"6","issued":{"date-parts":[["2009"]]},"page":"780-788","title":"World Health Organisation multicentre randomised trial of supplementation with vitamins C and e among pregnant women at high risk for pre-eclampsia in populations of low nutritional status from developing countries","type":"article-journal","volume":"116"}}],"schema":"https://github.com/citation-style-language/schema/raw/master/csl-citation.json"}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,13)</w:t>
      </w:r>
      <w:r w:rsidRPr="00D74DFF">
        <w:rPr>
          <w:rFonts w:eastAsia="Calibri"/>
          <w:lang w:val="es-PE" w:eastAsia="en-US"/>
        </w:rPr>
        <w:fldChar w:fldCharType="end"/>
      </w:r>
      <w:r w:rsidRPr="00D74DFF">
        <w:rPr>
          <w:rFonts w:eastAsia="Calibri"/>
          <w:lang w:val="es-PE" w:eastAsia="en-US"/>
        </w:rPr>
        <w:t xml:space="preserve"> y por separado,</w:t>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{"citationID":"CUOHLdGU","properties":{"formattedCitation":"\\super (14)\\nosupersub{}","plainCitation":"(14)","noteIndex":0},"citationItems":[{"id":"FRUDbNut/1SDMvjAR","uris":["http://www.mendeley.com/documents/?uuid=0d791c49-3730-4a1a-9168-8be95b8a719e"],"uri":["http://www.mendeley.com/documents/?uuid=0d791c49-3730-4a1a-9168-8be95b8a719e"],"itemData":{"DOI":"10.1196/annals.1331.024","ISSN":"00778923","PMID":"15753150","abstract":"Preeclampsia is the disorder of pregnancy with the highest rate of both maternal and neonatal morbidity and mortality. The maternal syndrome is characterized by oxidative stress and activation of the vascular endothelium that may originate from placental release of lipid peroxidation products, cytokines, and microparticles leading to an acute inflammatory response. The current understanding of the etiology has allowed the improvement of predictive tests, tests that could make intervention possible from early pregnancy onwards. Although the large secondary intervention antioxidant trials in cardiovascular diseases did not show any beneficial effect of vitamin E and vitamin C, either alone or in combination, knowledge of the nature of the pathogenesis of preeclampsia offers hope for the beneficial use of antioxidants in the prevention of the disorder. Not only has our previous small trial shown that antioxidant prophylactics in high-risk women lowered the prevalence of preeclampsia, but also new evidence has demonstrated multiple other actions of α-tocopherol (such as anti-inflammation and inhibition of NAD(P)H oxidase activation) besides its antioxidant properties that could be advantageous in the prevention of the disorder. Several larger trials are under way to investigate the precise role that vitamins C and E can play in the prevention of preeclampsia. © 2004 New York Academy of Sciences.","author":[{"dropping-particle":"","family":"Poston","given":"Lucilla","non-dropping-particle":"","parse-names":false,"suffix":""},{"dropping-particle":"","family":"Raijmakers","given":"Maarten","non-dropping-particle":"","parse-names":false,"suffix":""},{"dropping-particle":"","family":"Kelly","given":"Frank","non-dropping-particle":"","parse-names":false,"suffix":""}],"container-title":"Annals of the New York Academy of Sciences","id":"ITEM-1","issue":"44","issued":{"date-parts":[["2004"]]},"page":"242-248","title":"Vitamin E in preeclampsia","type":"article-journal","volume":"1031"}}],"schema":"https://github.com/citation-style-language/schema/raw/master/csl-citation.json"}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(14,</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{"citationID":"ceSKNHfG","properties":{"formattedCitation":"\\super (15)\\nosupersub{}","plainCitation":"(15)","noteIndex":0},"citationItems":[{"id":"FRUDbNut/qKjpztrh","uris":["http://www.mendeley.com/documents/?uuid=a5831922-97b0-40c0-af6c-43aa489a8d7b"],"uri":["http://www.mendeley.com/documents/?uuid=a5831922-97b0-40c0-af6c-43aa489a8d7b"],"itemData":{"DOI":"10.1002/14651858.CD004069.pub3","ISSN":"1469493X","PMID":"26343254","abstract":"Background: Vitamin E supplementation may help reduce the risk of pregnancy complications involving oxidative stress, such as pre-eclampsia. There is a need to evaluate the efficacy and safety of vitamin E supplementation in pregnancy. Objectives: To assess the effects of vitamin E supplementation, alone or in combination with other separate supplements, on pregnancy outcomes, adverse events, side effects and use of health services. Search methods: We searched the Cochrane Pregnancy and Childbirth Group's Trials Register (31 March 2015) and reference lists of retrieved studies. Selection criteria: All randomised or quasi-randomised controlled trials evaluating vitamin E supplementation in pregnant women. We excluded interventions using a multivitamin supplement that contained vitamin E. Data collection and analysis: Two review authors independently assessed trials for inclusion and risk of bias, extracted data and checked them for accuracy. Main results: Twenty-one trials, involving 22,129 women were eligible for this review. Four trials did not contribute data. All of the remaining 17 trials assessed vitamin E in combination with vitamin C and/or other agents. Overall the risk of bias ranged from low to unclear to high; 10 trials were judged to be at low risk of bias, six trials to be at unclear risk of bias and five trials to be at high risk of bias. No clear difference was found between women supplemented with vitamin E in combination with other supplements during pregnancy compared with placebo for the risk of stillbirth (risk ratio (RR) 1.17, 95% confidence interval (CI) 0.88 to 1.56, nine studies, 19,023 participants, I2 = 0%; moderate quality evidence), neonatal death (RR 0.81, 95% CI 0.58 to 1.13, nine trials, 18,617 participants, I2 = 0%), pre-eclampsia (average RR 0.91, 95% CI 0.79 to 1.06; 14 trials, 20,878 participants; I2 = 48%; moderate quality evidence), preterm birth (average RR 0.98, 95% CI 0.88 to 1.09, 11 trials, 20,565 participants, I2 = 52%; high quality evidence) or intrauterine growth restriction (RR 0.98, 95% CI 0.91 to 1.06, 11 trials, 20,202 participants, I2 = 17%; high quality evidence). Women supplemented with vitamin E in combination with other supplements compared with placebo were at decreased risk of having a placental abruption (RR 0.64, 95% CI 0.44 to 0.93, seven trials, 14,922 participants, I2 = 0%; high quality evidence). Conversely, supplementation with vitamin E was associated with an increased risk of self-reported…","author":[{"dropping-particle":"","family":"Rumbold","given":"Alice","non-dropping-particle":"","parse-names":false,"suffix":""},{"dropping-particle":"","family":"Ota","given":"Erika","non-dropping-particle":"","parse-names":false,"suffix":""},{"dropping-particle":"","family":"Hori","given":"Hiroyuki","non-dropping-particle":"","parse-names":false,"suffix":""},{"dropping-particle":"","family":"Miyazaki","given":"Celine","non-dropping-particle":"","parse-names":false,"suffix":""},{"dropping-particle":"","family":"Crowther","given":"Caroline A.","non-dropping-particle":"","parse-names":false,"suffix":""}],"container-title":"Cochrane Database of Systematic Reviews","id":"ITEM-1","issue":"3","issued":{"date-parts":[["2015"]]},"title":"Vitamin E supplementation in pregnancy","type":"article-journal","volume":"2016"}}],"schema":"https://github.com/citation-style-language/schema/raw/master/csl-citation.json"}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15</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{"citationID":"uQasp96y","properties":{"formattedCitation":"\\super (16)\\nosupersub{}","plainCitation":"(16)","noteIndex":0},"citationItems":[{"id":"FRUDbNut/PnzId52x","uris":["http://www.mendeley.com/documents/?uuid=53131b4f-8715-46e9-bddb-4632b1e3b564"],"uri":["http://www.mendeley.com/documents/?uuid=53131b4f-8715-46e9-bddb-4632b1e3b564"],"itemData":{"DOI":"10.1186/1471-2393-14-283","ISSN":"14712393","PMID":"25142305","abstract":"Background: Oxidative stress plays a role in the pathogenesis of pre-eclampsia. Supplementing women with antioxidants during pregnancy may reduce oxidative stress and thereby prevent or delay the onset pre-eclampsia. The objective of this study was to evaluate the effect of supplementing vitamin C in pregnancy on the incidence of pre-eclampsia, at Mulago hospital, Kampala, Uganda.Methods: This was a (parallel, balanced randomization, 1:1) placebo randomized controlled trial conducted at Mulago hospital, Department of Obstetrics and Gynecology. Participants included in this study were pregnant women aged 15-42 years, who lived 15 km or less from the hospital with gestational ages between 12-22 weeks. The women were randomized to take 1000mg of vitamin C (as ascorbic acid) or a placebo daily until they delivered. The primary outcome was pre-eclamsia. Secondary outcomes were: severe pre-eclampsia, gestational hypertension, preterm delivery, low birth weight and still birth delivery. Participants were 932 pregnant women randomized into one of the two treatment arms in a ratio of 1:1. The participants, the care providers and those assessing the outcomes were blinded to the study allocation.Results: Of the 932 women recruited; 466 were randomized to the vitamin and 466 to the placebo group. Recruitment of participants was from November 2011 to June 2012 and follow up was up to January 2013. Outcome data was available 415 women in the vitamin group and 418 women in the placebo group.There were no differences in vitamin and placebo groups in the incidence of pre-eclampsia (3.1% versus 4.1%; RR 0.77; 95% CI: 0.37-1.56), severe pre-eclampsia (1.2% versus 1.0%; RR 1.25; 95% CI: 0.34-4.65), gestational hypertension(7.7% versus 11.5%; RR 0.67; 95% CI: 0.43-1.03), preterm delivery (11.3% versus 12.2%; RR 0.92; 95% CI: 0.63-1.34), low birth weight (11.1% versus 10.3%; RR 1.07; 95% CI: 0.72-1.59) and still birth sssdelivery (4.6% versus 4.5%; RR 1.01; 95% CI: 0.54-1.87).Conclusions: Supplementation with vitamin C did not reduce the incidence of pre-eclampsia nor did it reduce the adverse maternal or neonatal outcomes. We do not recommend the use of vitamin C in pregnancy to prevent pre-eclampsia.Trial registration: This study was registered at the Pan African Clinical Trial Registry, PACTR201210000418271 on 25th October 2012.","author":[{"dropping-particle":"","family":"Kiondo","given":"Paul","non-dropping-particle":"","parse-names":false,"suffix":""},{"dropping-particle":"","family":"Wamuyu-Maina","given":"Gakenia","non-dropping-particle":"","parse-names":false,"suffix":""},{"dropping-particle":"","family":"Wandabwa","given":"Julius","non-dropping-particle":"","parse-names":false,"suffix":""},{"dropping-particle":"","family":"Bimenya","given":"Gabriel S.","non-dropping-particle":"","parse-names":false,"suffix":""},{"dropping-particle":"","family":"Tumwesigye","given":"Nazarius M.","non-dropping-particle":"","parse-names":false,"suffix":""},{"dropping-particle":"","family":"Okong","given":"Pius","non-dropping-particle":"","parse-names":false,"suffix":""}],"container-title":"BMC Pregnancy and Childbirth","id":"ITEM-1","issue":"1","issued":{"date-parts":[["2014"]]},"page":"1-10","title":"The effects of vitamin C supplementation on pre-eclampsia in Mulago Hospital, Kampala, Uganda: A randomized placebo controlled clinical trial","type":"article-journal","volume":"14"}}],"schema":"https://github.com/citation-style-language/schema/raw/master/csl-citation.json"}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,16)</w:t>
      </w:r>
      <w:r w:rsidRPr="00D74DFF">
        <w:rPr>
          <w:rFonts w:eastAsia="Calibri"/>
          <w:lang w:val="es-PE" w:eastAsia="en-US"/>
        </w:rPr>
        <w:fldChar w:fldCharType="end"/>
      </w:r>
      <w:r w:rsidRPr="00D74DFF">
        <w:rPr>
          <w:rFonts w:eastAsia="Calibri"/>
          <w:lang w:val="es-PE" w:eastAsia="en-US"/>
        </w:rPr>
        <w:t xml:space="preserve"> plantean la hipótesis que la suplementación temprana con estas vitaminas, con función antioxidantes, podría ser eficaz para disminuir el estrés oxidativo y mejorar la función del endotelio vascular, previniendo así el curso de esta enfermedad;</w:t>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{"citationID":"S3iBwrgE","properties":{"formattedCitation":"\\super (17)\\nosupersub{}","plainCitation":"(17)","noteIndex":0},"citationItems":[{"id":"FRUDbNut/dty7JZF5","uris":["http://www.mendeley.com/documents/?uuid=31859bbc-31c9-4b52-92cd-488c617cbc18"],"uri":["http://www.mendeley.com/documents/?uuid=31859bbc-31c9-4b52-92cd-488c617cbc18"],"itemData":{"DOI":"10.25176/rfmh.v19i4.2351","ISSN":"18145469","abstract":"Vitamin C has been widely studied in medicine and although the importance of its deficiency with scurvy was recognized, the optimization of its use as a therapeutic resource has not been included in protocols or clinical practice guidelines. The pharmacokinetics and biology of vitamin C indicates the systemic effects it has, and based on it, research has been developed in recent years that supports its parenteral use in some diseases. The available evidence indicates that the benefit of its use does not extend to several diseases but to some such as cancer, whose preliminary report is promising, with adequate tolerability at high doses, but still needs to complete the prospective follow-up of the intervention.","author":[{"dropping-particle":"","family":"Castillo Velarde","given":"Edwin Rolando","non-dropping-particle":"","parse-names":false,"suffix":""}],"container-title":"Revista de la Facultad de Medicina Humana","id":"ITEM-1","issue":"4","issued":{"date-parts":[["2019"]]},"page":"95-100","title":"Vitamina C En La Salud Y En La Enfermedad","type":"article-journal","volume":"19"}}],"schema":"https://github.com/citation-style-language/schema/raw/master/csl-citation.json"}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(17,</w:t>
      </w:r>
      <w:r w:rsidRPr="00D74DFF">
        <w:rPr>
          <w:rFonts w:eastAsia="Calibri"/>
          <w:lang w:val="es-PE" w:eastAsia="en-US"/>
        </w:rPr>
        <w:fldChar w:fldCharType="end"/>
      </w:r>
      <w:r w:rsidRPr="00D74DFF">
        <w:rPr>
          <w:rFonts w:eastAsia="Calibri"/>
          <w:lang w:val="es-PE" w:eastAsia="en-US"/>
        </w:rPr>
        <w:fldChar w:fldCharType="begin" w:fldLock="1"/>
      </w:r>
      <w:r w:rsidRPr="00D74DFF">
        <w:rPr>
          <w:rFonts w:eastAsia="Calibri"/>
          <w:lang w:val="es-PE" w:eastAsia="en-US"/>
        </w:rPr>
        <w:instrText xml:space="preserve"> ADDIN ZOTERO_ITEM CSL_CITATION {"citationID":"oSagJ3Jf","properties":{"formattedCitation":"\\super (18)\\nosupersub{}","plainCitation":"(18)","noteIndex":0},"citationItems":[{"id":"FRUDbNut/bO5ryBQm","uris":["http://www.mendeley.com/documents/?uuid=aaedfecd-6596-4108-827f-b8638bd3be90"],"uri":["http://www.mendeley.com/documents/?uuid=aaedfecd-6596-4108-827f-b8638bd3be90"],"itemData":{"DOI":"10.1016/j.tjog.2018.10.002","ISSN":"18756263","PMID":"30545527","abstract":"Preeclampsia is a hypertensive disorder in pregnant women, which can be the leading cause of maternal and neonatal death or premature birth. Although the cause of preeclampsia is still not clear, local or systemic oxidative stress may explain the pathological features associated with this complication. However, it is not clear whether oxidative stress is the cause or the result of preeclampsia. For this purpose, the present meta-analysis was intended to evaluate the oxidant and antioxidant status in women with preeclampsia. Relevant studies were identified after a preliminary investigation of research articles published up to September 2017. In the overall analysis, including 2953 cases and 3621 controls, a statistically significant reduction in total antioxidant capacity, nitric oxide, superoxide dismutase, glutathione, vitamin E and C was observed in preeclampsia women. On the other hand, a statistically significant increase in malondialdehyde, protein carbonyl, total peroxide, glutathione peroxidase, catalase and uric acid were observed in preeclampsia women. The increased products of oxidative stress, which were found in the present meta-analysis might be an underlying mechanism for endothelial dysfunction in preeclampsia. This meta-analysis provides a scientific support that primary reduction of antioxidant capacity and increased levels of oxidative stress products may induce a condition in which the pathways responsible for blood pressure homeostasis are disrupted. In conclusion, it is hypothesized when oxidative stress is established, a protective response is induced by increasing some antioxidants. Further studies are warranted to investigate the role of dietary supplementation and genetic variation in women with different ethnicity.","author":[{"dropping-particle":"","family":"Taravati","given":"Ali","non-dropping-particle":"","parse-names":false,"suffix":""},{"dropping-particle":"","family":"Tohidi","given":"Fatemeh","non-dropping-particle":"","parse-names":false,"suffix":""}],"container-title":"Taiwanese Journal of Obstetrics and Gynecology","id":"ITEM-1","issue":"6","issued":{"date-parts":[["2018"]]},"page":"779-790","publisher":"Elsevier Ltd","title":"Comprehensive analysis of oxidative stress markers and antioxidants status in preeclampsia","type":"article-journal","volume":"57"}}],"schema":"https://github.com/citation-style-language/schema/raw/master/csl-citation.json"}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18)</w:t>
      </w:r>
      <w:r w:rsidRPr="00D74DFF">
        <w:rPr>
          <w:rFonts w:eastAsia="Calibri"/>
          <w:lang w:val="es-PE" w:eastAsia="en-US"/>
        </w:rPr>
        <w:fldChar w:fldCharType="end"/>
      </w:r>
      <w:r w:rsidRPr="00D74DFF">
        <w:rPr>
          <w:rFonts w:eastAsia="Calibri"/>
          <w:lang w:val="es-PE" w:eastAsia="en-US"/>
        </w:rPr>
        <w:t xml:space="preserve"> sin embargo, aún existen controversias al respecto. </w:t>
      </w:r>
    </w:p>
    <w:p w14:paraId="3FC99FED" w14:textId="1F2F2ED1" w:rsidR="00D74DFF" w:rsidRPr="00D74DFF" w:rsidRDefault="00D74DFF" w:rsidP="00D74DFF">
      <w:pPr>
        <w:spacing w:line="360" w:lineRule="auto"/>
        <w:jc w:val="both"/>
        <w:rPr>
          <w:rFonts w:eastAsia="Calibri"/>
          <w:lang w:val="es-PE" w:eastAsia="en-US"/>
        </w:rPr>
      </w:pPr>
      <w:r w:rsidRPr="00D74DFF">
        <w:rPr>
          <w:rFonts w:eastAsia="Calibri"/>
          <w:lang w:val="es-PE" w:eastAsia="en-US"/>
        </w:rPr>
        <w:t>En este contexto, se tiene como objetivo realizar una revisión sistemática con metanálisis, para demostrar la eficacia conjunta de la Vitamina C y E en la prevención de la preeclamsia.</w:t>
      </w:r>
    </w:p>
    <w:p w14:paraId="35092BCD" w14:textId="77777777" w:rsidR="00D74DFF" w:rsidRPr="00D74DFF" w:rsidRDefault="00D74DFF" w:rsidP="00D74DFF">
      <w:pPr>
        <w:spacing w:line="360" w:lineRule="auto"/>
        <w:jc w:val="both"/>
        <w:rPr>
          <w:rFonts w:eastAsia="Calibri"/>
          <w:lang w:val="es-PE" w:eastAsia="en-US"/>
        </w:rPr>
      </w:pPr>
    </w:p>
    <w:p w14:paraId="3BE2361C" w14:textId="77777777" w:rsidR="00D74DFF" w:rsidRPr="00D74DFF" w:rsidRDefault="00D74DFF" w:rsidP="00D74DFF">
      <w:pPr>
        <w:spacing w:line="360" w:lineRule="auto"/>
        <w:rPr>
          <w:rFonts w:eastAsia="Calibri"/>
          <w:b/>
          <w:lang w:val="es-MX" w:eastAsia="en-US"/>
        </w:rPr>
      </w:pPr>
    </w:p>
    <w:p w14:paraId="35FCB246" w14:textId="77777777" w:rsidR="000E1BB3" w:rsidRDefault="000E1BB3">
      <w:pPr>
        <w:rPr>
          <w:rFonts w:eastAsia="Calibri"/>
          <w:b/>
          <w:sz w:val="32"/>
          <w:szCs w:val="32"/>
          <w:lang w:val="es-MX" w:eastAsia="en-US"/>
        </w:rPr>
      </w:pPr>
      <w:r>
        <w:rPr>
          <w:rFonts w:eastAsia="Calibri"/>
          <w:b/>
          <w:sz w:val="32"/>
          <w:szCs w:val="32"/>
          <w:lang w:val="es-MX" w:eastAsia="en-US"/>
        </w:rPr>
        <w:br w:type="page"/>
      </w:r>
    </w:p>
    <w:p w14:paraId="70429374" w14:textId="12CF4E54" w:rsidR="00D74DFF" w:rsidRPr="00D74DFF" w:rsidRDefault="00D74DFF" w:rsidP="00D74DFF">
      <w:pPr>
        <w:spacing w:line="360" w:lineRule="auto"/>
        <w:jc w:val="center"/>
        <w:rPr>
          <w:rFonts w:eastAsia="Calibri"/>
          <w:b/>
          <w:sz w:val="32"/>
          <w:szCs w:val="32"/>
          <w:lang w:val="es-MX" w:eastAsia="en-US"/>
        </w:rPr>
      </w:pPr>
      <w:r w:rsidRPr="00D74DFF">
        <w:rPr>
          <w:rFonts w:eastAsia="Calibri"/>
          <w:b/>
          <w:sz w:val="32"/>
          <w:szCs w:val="32"/>
          <w:lang w:val="es-MX" w:eastAsia="en-US"/>
        </w:rPr>
        <w:lastRenderedPageBreak/>
        <w:t>MÉTODOS</w:t>
      </w:r>
    </w:p>
    <w:p w14:paraId="451FCDB0" w14:textId="77777777" w:rsidR="00D74DFF" w:rsidRPr="00D74DFF" w:rsidRDefault="00D74DFF" w:rsidP="00D74DFF">
      <w:pPr>
        <w:spacing w:line="360" w:lineRule="auto"/>
        <w:jc w:val="center"/>
        <w:rPr>
          <w:rFonts w:eastAsia="Calibri"/>
          <w:b/>
          <w:sz w:val="28"/>
          <w:szCs w:val="28"/>
          <w:lang w:val="es-MX" w:eastAsia="en-US"/>
        </w:rPr>
      </w:pPr>
      <w:bookmarkStart w:id="2" w:name="_Hlk88735833"/>
      <w:r w:rsidRPr="00D74DFF">
        <w:rPr>
          <w:rFonts w:eastAsia="Calibri"/>
          <w:b/>
          <w:sz w:val="28"/>
          <w:szCs w:val="28"/>
          <w:lang w:val="es-MX" w:eastAsia="en-US"/>
        </w:rPr>
        <w:t>Diseño del estudio</w:t>
      </w:r>
    </w:p>
    <w:p w14:paraId="7022BF36" w14:textId="7023C97C" w:rsidR="00D74DFF" w:rsidRPr="00D74DFF" w:rsidRDefault="00D74DFF" w:rsidP="00D74DFF">
      <w:pPr>
        <w:spacing w:line="360" w:lineRule="auto"/>
        <w:jc w:val="both"/>
        <w:rPr>
          <w:rFonts w:eastAsia="Calibri"/>
          <w:lang w:val="es-MX" w:eastAsia="en-US"/>
        </w:rPr>
      </w:pPr>
      <w:r w:rsidRPr="00D74DFF">
        <w:rPr>
          <w:rFonts w:eastAsia="Calibri"/>
          <w:lang w:val="es-ES" w:eastAsia="en-US"/>
        </w:rPr>
        <w:t>Revisión sistemática (RS) con metanálisis de ensayos clínicos aleatorizados. Se utilizó la declaración PRISMA como guía para este estudio,</w:t>
      </w:r>
      <w:r w:rsidRPr="00D74DFF">
        <w:rPr>
          <w:rFonts w:eastAsia="Calibri"/>
          <w:lang w:val="es-ES" w:eastAsia="en-US"/>
        </w:rPr>
        <w:fldChar w:fldCharType="begin"/>
      </w:r>
      <w:r w:rsidRPr="00D74DFF">
        <w:rPr>
          <w:rFonts w:eastAsia="Calibri"/>
          <w:lang w:val="es-ES" w:eastAsia="en-US"/>
        </w:rPr>
        <w:instrText xml:space="preserve"> ADDIN ZOTERO_ITEM CSL_CITATION {"citationID":"u1KTNZsz","properties":{"formattedCitation":"\\super (19)\\nosupersub{}","plainCitation":"(19)","noteIndex":0},"citationItems":[{"id":4573,"uris":["http://zotero.org/users/6066349/items/22JHMTL3"],"uri":["http://zotero.org/users/6066349/items/22JHMTL3"],"itemData":{"id":4573,"type":"article-journal","container-title":"PLoS medicine","DOI":"10.1371/journal.pmed.1000097","ISSN":"1549-1676","issue":"7","journalAbbreviation":"PLoS Med","language":"eng","note":"PMID: 19621072\nPMCID: PMC2707599","page":"e1000097","source":"PubMed","title":"Preferred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G."},{"literal":"PRISMA Group"}],"issued":{"date-parts":[["2009",7,21]]}}}],"schema":"https://github.com/citation-style-language/schema/raw/master/csl-citation.json"}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(19)</w:t>
      </w:r>
      <w:r w:rsidRPr="00D74DFF">
        <w:rPr>
          <w:rFonts w:eastAsia="Calibri"/>
          <w:lang w:val="es-ES" w:eastAsia="en-US"/>
        </w:rPr>
        <w:fldChar w:fldCharType="end"/>
      </w:r>
      <w:r w:rsidRPr="00D74DFF">
        <w:rPr>
          <w:rFonts w:eastAsia="Calibri"/>
          <w:lang w:val="es-ES" w:eastAsia="en-US"/>
        </w:rPr>
        <w:t xml:space="preserve"> </w:t>
      </w:r>
      <w:r w:rsidRPr="00D74DFF">
        <w:rPr>
          <w:rFonts w:eastAsia="Calibri"/>
          <w:lang w:val="es-MX" w:eastAsia="en-US"/>
        </w:rPr>
        <w:t xml:space="preserve">disponible en el material complementario. </w:t>
      </w:r>
      <w:r w:rsidRPr="00D74DFF">
        <w:rPr>
          <w:rFonts w:eastAsia="Calibri"/>
          <w:lang w:val="es-ES" w:eastAsia="en-US"/>
        </w:rPr>
        <w:t>Esta RS se registró en PROSPERO (</w:t>
      </w:r>
      <w:hyperlink r:id="rId15" w:history="1">
        <w:r w:rsidRPr="00D74DFF">
          <w:rPr>
            <w:rFonts w:eastAsia="Calibri"/>
            <w:color w:val="0563C1"/>
            <w:u w:val="single"/>
            <w:lang w:val="es-ES" w:eastAsia="en-US"/>
          </w:rPr>
          <w:t>CRD42021287051</w:t>
        </w:r>
      </w:hyperlink>
      <w:r w:rsidRPr="00D74DFF">
        <w:rPr>
          <w:rFonts w:eastAsia="Calibri"/>
          <w:lang w:val="es-ES" w:eastAsia="en-US"/>
        </w:rPr>
        <w:t xml:space="preserve">). </w:t>
      </w:r>
      <w:bookmarkEnd w:id="2"/>
    </w:p>
    <w:p w14:paraId="000E7880" w14:textId="2153CA2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Para la búsqueda de artículos científicos se utilizaron las siguientes bases de datos: </w:t>
      </w:r>
      <w:bookmarkStart w:id="3" w:name="_Hlk85702437"/>
      <w:proofErr w:type="spellStart"/>
      <w:r w:rsidRPr="00D74DFF">
        <w:rPr>
          <w:rFonts w:eastAsia="Calibri"/>
          <w:lang w:val="es-MX" w:eastAsia="en-US"/>
        </w:rPr>
        <w:t>Pubmed</w:t>
      </w:r>
      <w:proofErr w:type="spellEnd"/>
      <w:r w:rsidRPr="00D74DFF">
        <w:rPr>
          <w:rFonts w:eastAsia="Calibri"/>
          <w:lang w:val="es-MX" w:eastAsia="en-US"/>
        </w:rPr>
        <w:t xml:space="preserve">/Medline, </w:t>
      </w:r>
      <w:proofErr w:type="spellStart"/>
      <w:r w:rsidRPr="00D74DFF">
        <w:rPr>
          <w:rFonts w:eastAsia="Calibri"/>
          <w:lang w:val="es-MX" w:eastAsia="en-US"/>
        </w:rPr>
        <w:t>SCOPUS</w:t>
      </w:r>
      <w:proofErr w:type="spellEnd"/>
      <w:r w:rsidRPr="00D74DFF">
        <w:rPr>
          <w:rFonts w:eastAsia="Calibri"/>
          <w:lang w:val="es-MX" w:eastAsia="en-US"/>
        </w:rPr>
        <w:t xml:space="preserve">, Web </w:t>
      </w:r>
      <w:proofErr w:type="spellStart"/>
      <w:r w:rsidRPr="00D74DFF">
        <w:rPr>
          <w:rFonts w:eastAsia="Calibri"/>
          <w:lang w:val="es-MX" w:eastAsia="en-US"/>
        </w:rPr>
        <w:t>of</w:t>
      </w:r>
      <w:proofErr w:type="spellEnd"/>
      <w:r w:rsidRPr="00D74DFF">
        <w:rPr>
          <w:rFonts w:eastAsia="Calibri"/>
          <w:lang w:val="es-MX" w:eastAsia="en-US"/>
        </w:rPr>
        <w:t xml:space="preserve"> </w:t>
      </w:r>
      <w:proofErr w:type="spellStart"/>
      <w:r w:rsidRPr="00D74DFF">
        <w:rPr>
          <w:rFonts w:eastAsia="Calibri"/>
          <w:lang w:val="es-MX" w:eastAsia="en-US"/>
        </w:rPr>
        <w:t>Science</w:t>
      </w:r>
      <w:proofErr w:type="spellEnd"/>
      <w:r w:rsidRPr="00D74DFF">
        <w:rPr>
          <w:rFonts w:eastAsia="Calibri"/>
          <w:lang w:val="es-MX" w:eastAsia="en-US"/>
        </w:rPr>
        <w:t xml:space="preserve">, Cochrane Library, </w:t>
      </w:r>
      <w:proofErr w:type="spellStart"/>
      <w:r w:rsidRPr="00D74DFF">
        <w:rPr>
          <w:rFonts w:eastAsia="Calibri"/>
          <w:lang w:val="es-MX" w:eastAsia="en-US"/>
        </w:rPr>
        <w:t>EMBASE</w:t>
      </w:r>
      <w:proofErr w:type="spellEnd"/>
      <w:r w:rsidRPr="00D74DFF">
        <w:rPr>
          <w:rFonts w:eastAsia="Calibri"/>
          <w:lang w:val="es-MX" w:eastAsia="en-US"/>
        </w:rPr>
        <w:t xml:space="preserve">, y </w:t>
      </w:r>
      <w:proofErr w:type="spellStart"/>
      <w:r w:rsidRPr="00D74DFF">
        <w:rPr>
          <w:rFonts w:eastAsia="Calibri"/>
          <w:lang w:val="es-MX" w:eastAsia="en-US"/>
        </w:rPr>
        <w:t>Clinical</w:t>
      </w:r>
      <w:proofErr w:type="spellEnd"/>
      <w:r w:rsidRPr="00D74DFF">
        <w:rPr>
          <w:rFonts w:eastAsia="Calibri"/>
          <w:lang w:val="es-MX" w:eastAsia="en-US"/>
        </w:rPr>
        <w:t xml:space="preserve"> </w:t>
      </w:r>
      <w:proofErr w:type="spellStart"/>
      <w:r w:rsidRPr="00D74DFF">
        <w:rPr>
          <w:rFonts w:eastAsia="Calibri"/>
          <w:lang w:val="es-MX" w:eastAsia="en-US"/>
        </w:rPr>
        <w:t>Trials</w:t>
      </w:r>
      <w:bookmarkEnd w:id="3"/>
      <w:proofErr w:type="spellEnd"/>
      <w:r w:rsidRPr="00D74DFF">
        <w:rPr>
          <w:rFonts w:eastAsia="Calibri"/>
          <w:lang w:val="es-MX" w:eastAsia="en-US"/>
        </w:rPr>
        <w:t xml:space="preserve">. Los términos clave que se utilizaron fueron los siguientes: Pre-Eclampsia, </w:t>
      </w:r>
      <w:proofErr w:type="spellStart"/>
      <w:r w:rsidRPr="00D74DFF">
        <w:rPr>
          <w:rFonts w:eastAsia="Calibri"/>
          <w:lang w:val="es-MX" w:eastAsia="en-US"/>
        </w:rPr>
        <w:t>vitamin</w:t>
      </w:r>
      <w:proofErr w:type="spellEnd"/>
      <w:r w:rsidRPr="00D74DFF">
        <w:rPr>
          <w:rFonts w:eastAsia="Calibri"/>
          <w:lang w:val="es-MX" w:eastAsia="en-US"/>
        </w:rPr>
        <w:t xml:space="preserve"> C y </w:t>
      </w:r>
      <w:proofErr w:type="spellStart"/>
      <w:r w:rsidRPr="00D74DFF">
        <w:rPr>
          <w:rFonts w:eastAsia="Calibri"/>
          <w:lang w:val="es-MX" w:eastAsia="en-US"/>
        </w:rPr>
        <w:t>vitamin</w:t>
      </w:r>
      <w:proofErr w:type="spellEnd"/>
      <w:r w:rsidRPr="00D74DFF">
        <w:rPr>
          <w:rFonts w:eastAsia="Calibri"/>
          <w:lang w:val="es-MX" w:eastAsia="en-US"/>
        </w:rPr>
        <w:t xml:space="preserve"> E. La estrategia de búsqueda por cada base de datos se encuentra disponible en el material complementario. </w:t>
      </w:r>
    </w:p>
    <w:p w14:paraId="46317FF8" w14:textId="77777777"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t>Selección de estudios</w:t>
      </w:r>
    </w:p>
    <w:p w14:paraId="74073325"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Para la selección de estudios se utilizó </w:t>
      </w:r>
      <w:r w:rsidRPr="00D74DFF">
        <w:rPr>
          <w:rFonts w:eastAsia="Calibri"/>
          <w:lang w:val="es-ES" w:eastAsia="en-US"/>
        </w:rPr>
        <w:t xml:space="preserve">el software </w:t>
      </w:r>
      <w:proofErr w:type="spellStart"/>
      <w:r w:rsidRPr="00D74DFF">
        <w:rPr>
          <w:rFonts w:eastAsia="Calibri"/>
          <w:lang w:val="es-PE" w:eastAsia="en-US"/>
        </w:rPr>
        <w:t>Rayyan</w:t>
      </w:r>
      <w:proofErr w:type="spellEnd"/>
      <w:r w:rsidRPr="00D74DFF">
        <w:rPr>
          <w:rFonts w:eastAsia="Calibri"/>
          <w:lang w:val="es-PE" w:eastAsia="en-US"/>
        </w:rPr>
        <w:t xml:space="preserve"> </w:t>
      </w:r>
      <w:r w:rsidRPr="00D74DFF">
        <w:rPr>
          <w:rFonts w:eastAsia="Century Gothic"/>
          <w:lang w:val="es-PE" w:eastAsia="en-US"/>
        </w:rPr>
        <w:t>(</w:t>
      </w:r>
      <w:hyperlink r:id="rId16" w:history="1">
        <w:r w:rsidRPr="00D74DFF">
          <w:rPr>
            <w:rFonts w:eastAsia="Century Gothic"/>
            <w:color w:val="0563C1"/>
            <w:u w:val="single"/>
            <w:lang w:val="es-PE" w:eastAsia="en-US"/>
          </w:rPr>
          <w:t>https://rayyan.qcri.org</w:t>
        </w:r>
      </w:hyperlink>
      <w:r w:rsidRPr="00D74DFF">
        <w:rPr>
          <w:rFonts w:eastAsia="Century Gothic"/>
          <w:lang w:val="es-PE" w:eastAsia="en-US"/>
        </w:rPr>
        <w:t xml:space="preserve">) </w:t>
      </w:r>
      <w:r w:rsidRPr="00D74DFF">
        <w:rPr>
          <w:rFonts w:eastAsia="Calibri"/>
          <w:lang w:val="es-MX" w:eastAsia="en-US"/>
        </w:rPr>
        <w:t>con el objetivo de guardar los artículos encontrados en la búsqueda de cada base de datos. Dos investigadores principales se encargaron de manera independiente de realizar una revisión de títulos y resúmenes de los artículos encontrados por el software, cumplen con los criterios de selección mencionados.</w:t>
      </w:r>
    </w:p>
    <w:p w14:paraId="5342090D"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Los 2 investigadores, de manera independiente clasificaron los artículos y luego compararon sus resultados. Si ambos estaban de acuerdo con que un artículo debía ser “incluido”, se incluía. De igual manera, con los artículos en los cuales cada revisor de forma independiente no estuviera de acuerdo, no se incluía. En caso de haber algún desacuerdo, un tercer revisor tomó la decisión definitiva, luego de evaluar el artículo en cuestión. </w:t>
      </w:r>
    </w:p>
    <w:p w14:paraId="2762263E"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Después de la revisión inicial, se procedió a revisar el texto completo de todos los artículos incluidos en el paso anterior. Cada artículo se colocó en una hoja Excel. Ahí, se definió si el estudio era incluido finalmente en la revisión o si era descartado. De ser este último, se escribía adicionalmente la razón de la exclusión.  </w:t>
      </w:r>
    </w:p>
    <w:p w14:paraId="7B61EF49"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Finalmente, se obtuvieron los artículos seleccionados para la RS. Como método adicional, se realizó una búsqueda de las referencias bibliográficas en busca de artículos no incluidos. Este proceso también fue realizado por duplicado y siguiendo la metodología previamente ya comentada. </w:t>
      </w:r>
    </w:p>
    <w:p w14:paraId="7725D0C2" w14:textId="77777777"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lastRenderedPageBreak/>
        <w:t>Extracción de datos</w:t>
      </w:r>
    </w:p>
    <w:p w14:paraId="00C68B75"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Para la extracción de datos de los artículos seleccionados se realizó una ficha de recolección de datos en Microsoft Excel 2016. Se extrajo la siguiente información de cada artículo seleccionado: autor, año de publicación, título, país, población de estudio, periodo de estudio (descripción de días, meses y años), criterios de inclusión, criterios de exclusión, contexto de estudio, intervención, control, desenlaces, financiamiento, y conflicto de intereses de los autores.</w:t>
      </w:r>
    </w:p>
    <w:p w14:paraId="5BE0A70C" w14:textId="764820B7"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t>Evaluación de riesgo de sesgo</w:t>
      </w:r>
    </w:p>
    <w:p w14:paraId="54756342"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Para evaluar la calidad de estudios seleccionados se utilizó la herramienta de riesgo de sesgo Cochrane versión 2.</w:t>
      </w:r>
      <w:r w:rsidRPr="00D74DFF">
        <w:rPr>
          <w:rFonts w:eastAsia="Calibri"/>
          <w:lang w:val="es-MX" w:eastAsia="en-US"/>
        </w:rPr>
        <w:fldChar w:fldCharType="begin"/>
      </w:r>
      <w:r w:rsidRPr="00D74DFF">
        <w:rPr>
          <w:rFonts w:eastAsia="Calibri"/>
          <w:lang w:val="es-MX" w:eastAsia="en-US"/>
        </w:rPr>
        <w:instrText xml:space="preserve"> ADDIN ZOTERO_ITEM CSL_CITATION {"citationID":"3UgPvNAD","properties":{"formattedCitation":"\\super (20)\\nosupersub{}","plainCitation":"(20)","noteIndex":0},"citationItems":[{"id":9305,"uris":["http://zotero.org/users/6066349/items/JJVY7XXE"],"uri":["http://zotero.org/users/6066349/items/JJVY7XXE"],"itemData":{"id":9305,"type":"webpage","title":"8 Assessing risk of bias in included studies","URL":"http://handbook-5-1.cochrane.org/chapter_8/8_assessing_risk_of_bias_in_included_studies.htm","accessed":{"date-parts":[["2022",1,20]]}}}],"schema":"https://github.com/citation-style-language/schema/raw/master/csl-citation.json"} </w:instrText>
      </w:r>
      <w:r w:rsidRPr="00D74DFF">
        <w:rPr>
          <w:rFonts w:eastAsia="Calibri"/>
          <w:lang w:val="es-MX" w:eastAsia="en-US"/>
        </w:rPr>
        <w:fldChar w:fldCharType="separate"/>
      </w:r>
      <w:r w:rsidRPr="00D74DFF">
        <w:rPr>
          <w:rFonts w:eastAsia="Calibri"/>
          <w:vertAlign w:val="superscript"/>
          <w:lang w:val="es-PE" w:eastAsia="en-US"/>
        </w:rPr>
        <w:t>(20)</w:t>
      </w:r>
      <w:r w:rsidRPr="00D74DFF">
        <w:rPr>
          <w:rFonts w:eastAsia="Calibri"/>
          <w:lang w:val="es-MX" w:eastAsia="en-US"/>
        </w:rPr>
        <w:fldChar w:fldCharType="end"/>
      </w:r>
      <w:r w:rsidRPr="00D74DFF">
        <w:rPr>
          <w:rFonts w:eastAsia="Calibri"/>
          <w:lang w:val="es-MX" w:eastAsia="en-US"/>
        </w:rPr>
        <w:t xml:space="preserve"> Este proceso fue realizado por 2 investigadores independientes y en caso de un desacuerdo, un tercer investigador tomó la decisión final. </w:t>
      </w:r>
    </w:p>
    <w:p w14:paraId="366DAF7F" w14:textId="27AB3BF5"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t>Supervisión y monitoreo de actividades</w:t>
      </w:r>
    </w:p>
    <w:p w14:paraId="28F270C8"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Se procedió a realizar reuniones </w:t>
      </w:r>
      <w:proofErr w:type="spellStart"/>
      <w:r w:rsidRPr="00D74DFF">
        <w:rPr>
          <w:rFonts w:eastAsia="Calibri"/>
          <w:lang w:val="es-MX" w:eastAsia="en-US"/>
        </w:rPr>
        <w:t>interdiarias</w:t>
      </w:r>
      <w:proofErr w:type="spellEnd"/>
      <w:r w:rsidRPr="00D74DFF">
        <w:rPr>
          <w:rFonts w:eastAsia="Calibri"/>
          <w:lang w:val="es-MX" w:eastAsia="en-US"/>
        </w:rPr>
        <w:t xml:space="preserve"> con el investigador principal, para evaluar el avance del trabajo. Sin embargo, para el proceso inicial de diseño de estrategia de búsqueda, el asesor revisó las estrategias previamente. Esta estrategia de búsqueda fue realizada por el equipo de investigación.</w:t>
      </w:r>
    </w:p>
    <w:p w14:paraId="77DD73BB" w14:textId="77777777"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t>Flujograma de recolección de datos</w:t>
      </w:r>
    </w:p>
    <w:p w14:paraId="05ADCD4A"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Se usó un flujograma para mostrar todas las citaciones evaluadas y revisadas, también para los artículos que fueron incluidos, se realizó un diagrama de flujo PRISMA. Esto permitió observar el total de estudios que fueron incluidos en la revisión, así como los que fueron excluidos (Fig. 1).</w:t>
      </w:r>
    </w:p>
    <w:p w14:paraId="77A94933" w14:textId="77777777" w:rsidR="00D74DFF" w:rsidRPr="00D74DFF" w:rsidRDefault="00D74DFF" w:rsidP="00D74DFF">
      <w:pPr>
        <w:spacing w:line="360" w:lineRule="auto"/>
        <w:jc w:val="center"/>
        <w:rPr>
          <w:rFonts w:eastAsia="Calibri"/>
          <w:b/>
          <w:bCs/>
          <w:sz w:val="28"/>
          <w:szCs w:val="28"/>
          <w:lang w:val="es-MX" w:eastAsia="en-US"/>
        </w:rPr>
      </w:pPr>
      <w:r w:rsidRPr="00D74DFF">
        <w:rPr>
          <w:rFonts w:eastAsia="Calibri"/>
          <w:b/>
          <w:bCs/>
          <w:sz w:val="28"/>
          <w:szCs w:val="28"/>
          <w:lang w:val="es-MX" w:eastAsia="en-US"/>
        </w:rPr>
        <w:t>Análisis cualitativo</w:t>
      </w:r>
    </w:p>
    <w:p w14:paraId="346A2802"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Se realizó una evaluación de todos los artículos recolectados con el fin de transmitir una compresión sobre las características de las herramientas de ayuda para la toma de decisiones compartidas. Se describieron características clínicas y metodológicas (estudios incluidos, tamaño de muestra, criterios de inclusión y exclusión), fortalezas y debilidades de todos los estudios incluidos. También se incluyó cómo el diseño o la ejecución de estudios que pudieron sesgar los resultados, la relación entre las características del estudio y los resultados reportados.</w:t>
      </w:r>
    </w:p>
    <w:p w14:paraId="0DB42345" w14:textId="77777777" w:rsidR="009C3854" w:rsidRDefault="009C3854">
      <w:pPr>
        <w:rPr>
          <w:rFonts w:eastAsia="Calibri"/>
          <w:b/>
          <w:bCs/>
          <w:sz w:val="28"/>
          <w:szCs w:val="28"/>
          <w:lang w:val="es-PE" w:eastAsia="en-US"/>
        </w:rPr>
      </w:pPr>
      <w:r>
        <w:rPr>
          <w:rFonts w:eastAsia="Calibri"/>
          <w:b/>
          <w:bCs/>
          <w:sz w:val="28"/>
          <w:szCs w:val="28"/>
          <w:lang w:val="es-PE" w:eastAsia="en-US"/>
        </w:rPr>
        <w:br w:type="page"/>
      </w:r>
    </w:p>
    <w:p w14:paraId="678D9F94" w14:textId="7D3C4F1E" w:rsidR="00D74DFF" w:rsidRPr="00D74DFF" w:rsidRDefault="00D74DFF" w:rsidP="00D74DFF">
      <w:pPr>
        <w:spacing w:line="360" w:lineRule="auto"/>
        <w:jc w:val="center"/>
        <w:rPr>
          <w:rFonts w:eastAsia="Calibri"/>
          <w:b/>
          <w:bCs/>
          <w:sz w:val="28"/>
          <w:szCs w:val="28"/>
          <w:lang w:val="es-PE" w:eastAsia="en-US"/>
        </w:rPr>
      </w:pPr>
      <w:r w:rsidRPr="00D74DFF">
        <w:rPr>
          <w:rFonts w:eastAsia="Calibri"/>
          <w:b/>
          <w:bCs/>
          <w:sz w:val="28"/>
          <w:szCs w:val="28"/>
          <w:lang w:val="es-PE" w:eastAsia="en-US"/>
        </w:rPr>
        <w:lastRenderedPageBreak/>
        <w:t>Análisis cuantitativo</w:t>
      </w:r>
    </w:p>
    <w:p w14:paraId="3F2FDC37"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 xml:space="preserve">El metanálisis solamente se realizó cuando al menos 3 estudios estaban disponibles. Las variables de interés se trabajaron de forma dicotomizada. La variable independiente fue desarrollo de preeclamsia y se expresó en si la presentaba o no. La variable dependiente fue la combinación de vitamina C y E, que se trabajó de igual manera, de forma dicotomizada, en si recibió o no. Estos datos categóricos se expresaron como riesgo relativo (RR). </w:t>
      </w:r>
      <w:r w:rsidRPr="00D74DFF">
        <w:rPr>
          <w:rFonts w:eastAsia="Arial"/>
          <w:lang w:val="es-PE" w:eastAsia="en-US"/>
        </w:rPr>
        <w:t>Se consideró como criterio de significación un valor de p&lt; 0,05.</w:t>
      </w:r>
      <w:r w:rsidRPr="00D74DFF">
        <w:rPr>
          <w:rFonts w:eastAsia="Calibri"/>
          <w:lang w:val="es-PE" w:eastAsia="en-US"/>
        </w:rPr>
        <w:t xml:space="preserve"> A su vez, las medidas de asociación fueron calculadas con su intervalo de confianza al 95 % (IC95 %).</w:t>
      </w:r>
    </w:p>
    <w:p w14:paraId="2A1FEF97"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La heterogeneidad fue identificada por el I cuadrado (I</w:t>
      </w:r>
      <w:r w:rsidRPr="00D74DFF">
        <w:rPr>
          <w:rFonts w:eastAsia="Calibri"/>
          <w:vertAlign w:val="superscript"/>
          <w:lang w:val="es-PE" w:eastAsia="en-US"/>
        </w:rPr>
        <w:t>2</w:t>
      </w:r>
      <w:r w:rsidRPr="00D74DFF">
        <w:rPr>
          <w:rFonts w:eastAsia="Calibri"/>
          <w:lang w:val="es-PE" w:eastAsia="en-US"/>
        </w:rPr>
        <w:t>).</w:t>
      </w:r>
      <w:r w:rsidRPr="00D74DFF">
        <w:rPr>
          <w:rFonts w:eastAsia="Calibri"/>
          <w:lang w:val="es-PE" w:eastAsia="en-US"/>
        </w:rPr>
        <w:fldChar w:fldCharType="begin"/>
      </w:r>
      <w:r w:rsidRPr="00D74DFF">
        <w:rPr>
          <w:rFonts w:eastAsia="Calibri"/>
          <w:lang w:val="es-PE" w:eastAsia="en-US"/>
        </w:rPr>
        <w:instrText xml:space="preserve"> ADDIN ZOTERO_ITEM CSL_CITATION {"citationID":"eEIkkV2D","properties":{"formattedCitation":"\\super (21)\\nosupersub{}","plainCitation":"(21)","noteIndex":0},"citationItems":[{"id":4579,"uris":["http://zotero.org/users/6066349/items/IV469HJF"],"uri":["http://zotero.org/users/6066349/items/IV469HJF"],"itemData":{"id":4579,"type":"article-journal","abstract":"The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heterogeneity.","container-title":"Statistics in Medicine","DOI":"10.1002/sim.1186","ISSN":"0277-6715","issue":"11","journalAbbreviation":"Stat Med","language":"eng","note":"PMID: 12111919","page":"1539-1558","source":"PubMed","title":"Quantifying heterogeneity in a meta-analysis","volume":"21","author":[{"family":"Higgins","given":"Julian P. T."},{"family":"Thompson","given":"Simon G."}],"issued":{"date-parts":[["2002",6,15]]}}}],"schema":"https://github.com/citation-style-language/schema/raw/master/csl-citation.json"}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(21)</w:t>
      </w:r>
      <w:r w:rsidRPr="00D74DFF">
        <w:rPr>
          <w:rFonts w:eastAsia="Calibri"/>
          <w:lang w:val="es-PE" w:eastAsia="en-US"/>
        </w:rPr>
        <w:fldChar w:fldCharType="end"/>
      </w:r>
      <w:r w:rsidRPr="00D74DFF">
        <w:rPr>
          <w:rFonts w:eastAsia="Calibri"/>
          <w:lang w:val="es-PE" w:eastAsia="en-US"/>
        </w:rPr>
        <w:t xml:space="preserve"> Se interpretó de acuerdo con el manual Cochrane: 0 a 40 %= podría no ser importante; 30 a 60 %= puede representar una heterogeneidad moderada; 50 a 90 %= puede representar una heterogeneidad sustancial; 75 a 100 %= heterogeneidad considerable.</w:t>
      </w:r>
      <w:r w:rsidRPr="00D74DFF">
        <w:rPr>
          <w:rFonts w:eastAsia="Calibri"/>
          <w:lang w:val="es-PE" w:eastAsia="en-US"/>
        </w:rPr>
        <w:fldChar w:fldCharType="begin"/>
      </w:r>
      <w:r w:rsidRPr="00D74DFF">
        <w:rPr>
          <w:rFonts w:eastAsia="Calibri"/>
          <w:lang w:val="es-PE" w:eastAsia="en-US"/>
        </w:rPr>
        <w:instrText xml:space="preserve"> ADDIN ZOTERO_ITEM CSL_CITATION {"citationID":"2PNVTLZD","properties":{"formattedCitation":"\\super (22)\\nosupersub{}","plainCitation":"(22)","noteIndex":0},"citationItems":[{"id":4581,"uris":["http://zotero.org/users/6066349/items/4TMB9BTW"],"uri":["http://zotero.org/users/6066349/items/4TMB9BTW"],"itemData":{"id":4581,"type":"webpage","abstract":"This Handbook outlines in detail Cochrane's methods for conducting systematic reviews of interventions, including planning, literature searching, assessing bias","language":"en","title":"Cochrane Handbook for Systematic Reviews of Interventions","URL":"https://training.cochrane.org/handbook","accessed":{"date-parts":[["2021",11,27]]}}}],"schema":"https://github.com/citation-style-language/schema/raw/master/csl-citation.json"} </w:instrText>
      </w:r>
      <w:r w:rsidRPr="00D74DFF">
        <w:rPr>
          <w:rFonts w:eastAsia="Calibri"/>
          <w:lang w:val="es-PE" w:eastAsia="en-US"/>
        </w:rPr>
        <w:fldChar w:fldCharType="separate"/>
      </w:r>
      <w:r w:rsidRPr="00D74DFF">
        <w:rPr>
          <w:rFonts w:eastAsia="Calibri"/>
          <w:vertAlign w:val="superscript"/>
          <w:lang w:val="es-PE" w:eastAsia="en-US"/>
        </w:rPr>
        <w:t>(22)</w:t>
      </w:r>
      <w:r w:rsidRPr="00D74DFF">
        <w:rPr>
          <w:rFonts w:eastAsia="Calibri"/>
          <w:lang w:val="es-PE" w:eastAsia="en-US"/>
        </w:rPr>
        <w:fldChar w:fldCharType="end"/>
      </w:r>
      <w:r w:rsidRPr="00D74DFF">
        <w:rPr>
          <w:rFonts w:eastAsia="Calibri"/>
          <w:lang w:val="es-PE" w:eastAsia="en-US"/>
        </w:rPr>
        <w:t xml:space="preserve"> Debido a la heterogeneidad, se realizó un análisis de modelos aleatorios.</w:t>
      </w:r>
    </w:p>
    <w:p w14:paraId="263743E1" w14:textId="63ECB2CA" w:rsidR="00D74DFF" w:rsidRPr="00D74DFF" w:rsidRDefault="00D74DFF" w:rsidP="00D74DFF">
      <w:pPr>
        <w:spacing w:line="360" w:lineRule="auto"/>
        <w:jc w:val="center"/>
        <w:rPr>
          <w:rFonts w:eastAsia="Calibri"/>
          <w:b/>
          <w:bCs/>
          <w:sz w:val="28"/>
          <w:szCs w:val="28"/>
          <w:lang w:val="es-PE" w:eastAsia="en-US"/>
        </w:rPr>
      </w:pPr>
      <w:r w:rsidRPr="00D74DFF">
        <w:rPr>
          <w:rFonts w:eastAsia="Calibri"/>
          <w:b/>
          <w:bCs/>
          <w:sz w:val="28"/>
          <w:szCs w:val="28"/>
          <w:lang w:val="es-PE" w:eastAsia="en-US"/>
        </w:rPr>
        <w:t>Aspectos éticos</w:t>
      </w:r>
    </w:p>
    <w:p w14:paraId="3133E847"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El presente estudio es un análisis secundario de estudios primarios publicados en revistas científicas, por lo cual no se solicitó ningún consentimiento a los autores para analizar y presentar la siguiente información.</w:t>
      </w:r>
    </w:p>
    <w:p w14:paraId="2F62C7F5" w14:textId="77777777" w:rsidR="00D74DFF" w:rsidRPr="00D74DFF" w:rsidRDefault="00D74DFF" w:rsidP="00D74DFF">
      <w:pPr>
        <w:spacing w:line="360" w:lineRule="auto"/>
        <w:jc w:val="both"/>
        <w:rPr>
          <w:rFonts w:eastAsia="Arial"/>
          <w:lang w:val="es-PE" w:eastAsia="en-US"/>
        </w:rPr>
      </w:pPr>
      <w:r w:rsidRPr="00D74DFF">
        <w:rPr>
          <w:rFonts w:eastAsia="Arial"/>
          <w:lang w:val="es-PE" w:eastAsia="en-US"/>
        </w:rPr>
        <w:t xml:space="preserve">Este trabajo de investigación fue sometido a evaluación del Comité de Ética en Investigación de la Facultad de Medicina Humana de la Universidad Ricardo Palma (código </w:t>
      </w:r>
      <w:r w:rsidRPr="00D74DFF">
        <w:rPr>
          <w:rFonts w:eastAsia="Calibri"/>
          <w:lang w:val="es-PE" w:eastAsia="en-US"/>
        </w:rPr>
        <w:t>PG 126 – 021), Lima, Perú</w:t>
      </w:r>
      <w:r w:rsidRPr="00D74DFF">
        <w:rPr>
          <w:rFonts w:eastAsia="Arial"/>
          <w:lang w:val="es-PE" w:eastAsia="en-US"/>
        </w:rPr>
        <w:t xml:space="preserve">. </w:t>
      </w:r>
    </w:p>
    <w:p w14:paraId="7B9DC583" w14:textId="77777777" w:rsidR="00D74DFF" w:rsidRPr="00D74DFF" w:rsidRDefault="00D74DFF" w:rsidP="00D74DFF">
      <w:pPr>
        <w:spacing w:line="360" w:lineRule="auto"/>
        <w:jc w:val="both"/>
        <w:rPr>
          <w:rFonts w:eastAsia="Arial"/>
          <w:lang w:val="es-PE" w:eastAsia="en-US"/>
        </w:rPr>
      </w:pPr>
    </w:p>
    <w:p w14:paraId="6EAF25AD" w14:textId="77777777" w:rsidR="00D74DFF" w:rsidRPr="00D74DFF" w:rsidRDefault="00D74DFF" w:rsidP="00D74DFF">
      <w:pPr>
        <w:spacing w:line="360" w:lineRule="auto"/>
        <w:rPr>
          <w:rFonts w:eastAsia="Calibri"/>
          <w:bCs/>
          <w:lang w:val="es-MX" w:eastAsia="en-US"/>
        </w:rPr>
      </w:pPr>
    </w:p>
    <w:bookmarkEnd w:id="1"/>
    <w:p w14:paraId="50455E0D" w14:textId="77777777" w:rsidR="00D74DFF" w:rsidRPr="00D74DFF" w:rsidRDefault="00D74DFF" w:rsidP="00D74DFF">
      <w:pPr>
        <w:spacing w:line="360" w:lineRule="auto"/>
        <w:jc w:val="center"/>
        <w:rPr>
          <w:rFonts w:eastAsia="Calibri"/>
          <w:b/>
          <w:sz w:val="32"/>
          <w:szCs w:val="32"/>
          <w:lang w:val="es-MX" w:eastAsia="en-US"/>
        </w:rPr>
      </w:pPr>
      <w:r w:rsidRPr="00D74DFF">
        <w:rPr>
          <w:rFonts w:eastAsia="Calibri"/>
          <w:b/>
          <w:sz w:val="32"/>
          <w:szCs w:val="32"/>
          <w:lang w:val="es-MX" w:eastAsia="en-US"/>
        </w:rPr>
        <w:t>RESULTADOS</w:t>
      </w:r>
    </w:p>
    <w:p w14:paraId="1035EA79" w14:textId="77777777" w:rsidR="00D74DFF" w:rsidRPr="00D74DFF" w:rsidRDefault="00D74DFF" w:rsidP="00D74DFF">
      <w:pPr>
        <w:spacing w:line="360" w:lineRule="auto"/>
        <w:jc w:val="center"/>
        <w:rPr>
          <w:rFonts w:eastAsia="Calibri"/>
          <w:b/>
          <w:bCs/>
          <w:sz w:val="28"/>
          <w:szCs w:val="28"/>
          <w:lang w:val="es-ES" w:eastAsia="en-US"/>
        </w:rPr>
      </w:pPr>
      <w:r w:rsidRPr="00D74DFF">
        <w:rPr>
          <w:rFonts w:eastAsia="Calibri"/>
          <w:b/>
          <w:bCs/>
          <w:sz w:val="28"/>
          <w:szCs w:val="28"/>
          <w:lang w:val="es-ES" w:eastAsia="en-US"/>
        </w:rPr>
        <w:t>Estudios elegibles</w:t>
      </w:r>
    </w:p>
    <w:p w14:paraId="7F70DDF3"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 xml:space="preserve">Se identificaron un total de 1 475 publicaciones. Después de remover los duplicados (364) se evaluaron 1 111 manuscritos a través del título y resumen. Luego se excluyeron 1 079 estudios y se obtuvieron 32 artículos a texto completo. Finalmente, luego de aplicar los criterios de selección, se quedó con 7 artículos (Fig. 1). </w:t>
      </w:r>
    </w:p>
    <w:p w14:paraId="01D335EA" w14:textId="77777777" w:rsidR="006D02F5" w:rsidRDefault="006D02F5" w:rsidP="00557BB0">
      <w:pPr>
        <w:spacing w:line="360" w:lineRule="auto"/>
        <w:jc w:val="center"/>
        <w:rPr>
          <w:rFonts w:eastAsia="Calibri"/>
          <w:b/>
          <w:bCs/>
          <w:sz w:val="28"/>
          <w:szCs w:val="28"/>
          <w:lang w:val="es-ES" w:eastAsia="en-US"/>
        </w:rPr>
      </w:pPr>
    </w:p>
    <w:p w14:paraId="27FFA3BF" w14:textId="77777777" w:rsidR="00D74DFF" w:rsidRPr="00D74DFF" w:rsidRDefault="00D74DFF" w:rsidP="00D74DFF">
      <w:pPr>
        <w:spacing w:line="360" w:lineRule="auto"/>
        <w:jc w:val="both"/>
        <w:rPr>
          <w:rFonts w:eastAsia="Calibri"/>
          <w:lang w:val="es-ES" w:eastAsia="en-US"/>
        </w:rPr>
      </w:pPr>
    </w:p>
    <w:p w14:paraId="1539A297" w14:textId="1FFDC977" w:rsidR="00D74DFF" w:rsidRPr="00D74DFF" w:rsidRDefault="00503C1E" w:rsidP="00503C1E">
      <w:pPr>
        <w:spacing w:line="360" w:lineRule="auto"/>
        <w:jc w:val="center"/>
        <w:rPr>
          <w:rFonts w:eastAsia="Calibri"/>
          <w:lang w:val="es-ES" w:eastAsia="en-US"/>
        </w:rPr>
      </w:pPr>
      <w:r>
        <w:rPr>
          <w:rFonts w:eastAsia="Calibri"/>
          <w:noProof/>
          <w:lang w:val="es-ES" w:eastAsia="en-US"/>
        </w:rPr>
        <w:drawing>
          <wp:inline distT="0" distB="0" distL="0" distR="0" wp14:anchorId="6626A9CD" wp14:editId="1809D181">
            <wp:extent cx="5238000" cy="5648400"/>
            <wp:effectExtent l="0" t="0" r="127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pic:cNvPicPr/>
                  </pic:nvPicPr>
                  <pic:blipFill>
                    <a:blip r:embed="rId17">
                      <a:extLst>
                        <a:ext uri="{28A0092B-C50C-407E-A947-70E740481C1C}">
                          <a14:useLocalDpi xmlns:a14="http://schemas.microsoft.com/office/drawing/2010/main" val="0"/>
                        </a:ext>
                      </a:extLst>
                    </a:blip>
                    <a:stretch>
                      <a:fillRect/>
                    </a:stretch>
                  </pic:blipFill>
                  <pic:spPr>
                    <a:xfrm>
                      <a:off x="0" y="0"/>
                      <a:ext cx="5238000" cy="5648400"/>
                    </a:xfrm>
                    <a:prstGeom prst="rect">
                      <a:avLst/>
                    </a:prstGeom>
                  </pic:spPr>
                </pic:pic>
              </a:graphicData>
            </a:graphic>
          </wp:inline>
        </w:drawing>
      </w:r>
    </w:p>
    <w:p w14:paraId="5F1F4A47" w14:textId="77777777" w:rsidR="00D74DFF" w:rsidRPr="00D74DFF" w:rsidRDefault="00D74DFF" w:rsidP="00D74DFF">
      <w:pPr>
        <w:spacing w:line="360" w:lineRule="auto"/>
        <w:jc w:val="center"/>
        <w:rPr>
          <w:rFonts w:eastAsia="Calibri"/>
          <w:sz w:val="22"/>
          <w:szCs w:val="22"/>
          <w:lang w:val="es-ES" w:eastAsia="en-US"/>
        </w:rPr>
      </w:pPr>
      <w:r w:rsidRPr="00D74DFF">
        <w:rPr>
          <w:rFonts w:eastAsia="Calibri"/>
          <w:b/>
          <w:bCs/>
          <w:sz w:val="22"/>
          <w:szCs w:val="22"/>
          <w:lang w:val="es-ES" w:eastAsia="en-US"/>
        </w:rPr>
        <w:t>Fig. 1 -</w:t>
      </w:r>
      <w:r w:rsidRPr="00D74DFF">
        <w:rPr>
          <w:rFonts w:eastAsia="Calibri"/>
          <w:sz w:val="22"/>
          <w:szCs w:val="22"/>
          <w:lang w:val="es-ES" w:eastAsia="en-US"/>
        </w:rPr>
        <w:t xml:space="preserve"> Diagrama de flujo.</w:t>
      </w:r>
    </w:p>
    <w:p w14:paraId="4E717450" w14:textId="77777777" w:rsidR="00D74DFF" w:rsidRPr="00D74DFF" w:rsidRDefault="00D74DFF" w:rsidP="00D74DFF">
      <w:pPr>
        <w:spacing w:line="360" w:lineRule="auto"/>
        <w:jc w:val="both"/>
        <w:rPr>
          <w:rFonts w:eastAsia="Calibri"/>
          <w:i/>
          <w:iCs/>
          <w:lang w:val="es-ES" w:eastAsia="en-US"/>
        </w:rPr>
      </w:pPr>
    </w:p>
    <w:p w14:paraId="4E4C420F" w14:textId="77777777" w:rsidR="006D02F5" w:rsidRDefault="006D02F5">
      <w:pPr>
        <w:rPr>
          <w:rFonts w:eastAsia="Calibri"/>
          <w:b/>
          <w:bCs/>
          <w:sz w:val="28"/>
          <w:szCs w:val="28"/>
          <w:lang w:val="es-ES" w:eastAsia="en-US"/>
        </w:rPr>
      </w:pPr>
      <w:r>
        <w:rPr>
          <w:rFonts w:eastAsia="Calibri"/>
          <w:b/>
          <w:bCs/>
          <w:sz w:val="28"/>
          <w:szCs w:val="28"/>
          <w:lang w:val="es-ES" w:eastAsia="en-US"/>
        </w:rPr>
        <w:br w:type="page"/>
      </w:r>
    </w:p>
    <w:p w14:paraId="273BF86E" w14:textId="7316D73D" w:rsidR="006D02F5" w:rsidRPr="00D74DFF" w:rsidRDefault="006D02F5" w:rsidP="006D02F5">
      <w:pPr>
        <w:spacing w:line="360" w:lineRule="auto"/>
        <w:jc w:val="center"/>
        <w:rPr>
          <w:rFonts w:eastAsia="Calibri"/>
          <w:b/>
          <w:bCs/>
          <w:sz w:val="28"/>
          <w:szCs w:val="28"/>
          <w:lang w:val="es-ES" w:eastAsia="en-US"/>
        </w:rPr>
      </w:pPr>
      <w:r w:rsidRPr="00D74DFF">
        <w:rPr>
          <w:rFonts w:eastAsia="Calibri"/>
          <w:b/>
          <w:bCs/>
          <w:sz w:val="28"/>
          <w:szCs w:val="28"/>
          <w:lang w:val="es-ES" w:eastAsia="en-US"/>
        </w:rPr>
        <w:lastRenderedPageBreak/>
        <w:t>Características de los estudios</w:t>
      </w:r>
    </w:p>
    <w:p w14:paraId="42B659A5" w14:textId="77777777" w:rsidR="006D02F5" w:rsidRPr="00D74DFF" w:rsidRDefault="006D02F5" w:rsidP="006D02F5">
      <w:pPr>
        <w:spacing w:line="360" w:lineRule="auto"/>
        <w:jc w:val="both"/>
        <w:rPr>
          <w:rFonts w:eastAsia="Calibri"/>
          <w:lang w:val="es-ES" w:eastAsia="en-US"/>
        </w:rPr>
      </w:pPr>
      <w:r w:rsidRPr="00D74DFF">
        <w:rPr>
          <w:rFonts w:eastAsia="Calibri"/>
          <w:lang w:val="es-ES" w:eastAsia="en-US"/>
        </w:rPr>
        <w:t>En la tabla 1 se encuentran las principales características de los estudios. De los 7 estudios incluidos, la muestra estuvo conformada desde 109 hasta 2 640 gestantes. Todos los incluidos fueron ensayos clínicos controlados aleatorizados. Del total de casos, el riesgo de preeclampsia con suplementación con las vitaminas C y E tuvo una incidencia del 3,1 % hasta 41,6 %. Mientras que el riesgo de preeclampsia con placebo tuvo una incidencia del 4,1 % hasta 41,3 %. Las mujeres tuvieron un tratamiento diario con vitamina C (1 000 mg) y vitamina E (400 UI) en 6 estudios. En 1 estudio solo se utilizó vitamina C (1 000 mg). Las mujeres tomaron como placebo la celulosa microcristalina, que era idéntica a las tabletas de vitamina C en forma, color y tamaño, y aceite de semilla de girasol, que era idéntica a las tabletas de vitamina E. Las participantes de los estudios tuvieron visitas prenatales de rutina; en cada visita se les tomaba la presión arterial, el peso y excreción de proteínas urinarias.</w:t>
      </w:r>
    </w:p>
    <w:p w14:paraId="6899E5EE" w14:textId="77777777" w:rsidR="006D02F5" w:rsidRPr="00D74DFF" w:rsidRDefault="006D02F5" w:rsidP="006D02F5">
      <w:pPr>
        <w:spacing w:line="360" w:lineRule="auto"/>
        <w:jc w:val="both"/>
        <w:rPr>
          <w:rFonts w:eastAsia="Calibri"/>
          <w:lang w:val="es-ES" w:eastAsia="en-US"/>
        </w:rPr>
      </w:pPr>
      <w:r w:rsidRPr="00D74DFF">
        <w:rPr>
          <w:rFonts w:eastAsia="Calibri"/>
          <w:lang w:val="es-ES" w:eastAsia="en-US"/>
        </w:rPr>
        <w:t>Un total de 6 estudios definían preeclampsia como 2 tomas de presión arterial con un intervalo de 4 horas entre toma y toma, en el cual la presión arterial sistólica sea mayor de 140 mmHg o una diastólica de 90 mmHg después de la semana 20. La proteinuria se midió con una tira reactiva, en una muestra de orina limpia y en el chorro medio. En 6 estudios lo definieron como proteinuria 300 mg por 24 horas, o 2 o más cruces en 2 o más ocasiones, con 4 horas de diferencia. Finalmente, un estudio no describió como evaluó el evento.</w:t>
      </w:r>
    </w:p>
    <w:p w14:paraId="6308A1AB" w14:textId="77777777" w:rsidR="00D74DFF" w:rsidRPr="00D74DFF" w:rsidRDefault="00D74DFF" w:rsidP="00D74DFF">
      <w:pPr>
        <w:spacing w:line="360" w:lineRule="auto"/>
        <w:jc w:val="both"/>
        <w:rPr>
          <w:rFonts w:eastAsia="Calibri"/>
          <w:lang w:val="es-ES" w:eastAsia="en-US"/>
        </w:rPr>
      </w:pPr>
    </w:p>
    <w:p w14:paraId="5D2F020C" w14:textId="77777777" w:rsidR="00D74DFF" w:rsidRPr="00D74DFF" w:rsidRDefault="00D74DFF" w:rsidP="00D74DFF">
      <w:pPr>
        <w:spacing w:line="360" w:lineRule="auto"/>
        <w:jc w:val="both"/>
        <w:rPr>
          <w:rFonts w:eastAsia="Calibri"/>
          <w:lang w:val="es-ES" w:eastAsia="en-US"/>
        </w:rPr>
      </w:pPr>
    </w:p>
    <w:p w14:paraId="6F6E79E5" w14:textId="77777777" w:rsidR="00D74DFF" w:rsidRPr="00D74DFF" w:rsidRDefault="00D74DFF" w:rsidP="00D74DFF">
      <w:pPr>
        <w:spacing w:line="360" w:lineRule="auto"/>
        <w:jc w:val="both"/>
        <w:rPr>
          <w:rFonts w:eastAsia="Calibri"/>
          <w:lang w:val="es-ES" w:eastAsia="en-US"/>
        </w:rPr>
        <w:sectPr w:rsidR="00D74DFF" w:rsidRPr="00D74DFF" w:rsidSect="00C60B97">
          <w:headerReference w:type="default" r:id="rId18"/>
          <w:footerReference w:type="default" r:id="rId19"/>
          <w:type w:val="continuous"/>
          <w:pgSz w:w="12242" w:h="15842" w:code="1"/>
          <w:pgMar w:top="1134" w:right="1134" w:bottom="1134" w:left="1134" w:header="1418" w:footer="1134" w:gutter="0"/>
          <w:cols w:space="708"/>
          <w:docGrid w:linePitch="360"/>
        </w:sectPr>
      </w:pPr>
    </w:p>
    <w:p w14:paraId="7C4749D6" w14:textId="77777777" w:rsidR="00D74DFF" w:rsidRPr="00D74DFF" w:rsidRDefault="00D74DFF" w:rsidP="00D74DFF">
      <w:pPr>
        <w:spacing w:line="360" w:lineRule="auto"/>
        <w:jc w:val="center"/>
        <w:rPr>
          <w:rFonts w:eastAsia="Calibri"/>
          <w:sz w:val="22"/>
          <w:szCs w:val="22"/>
          <w:lang w:val="es-MX" w:eastAsia="en-US"/>
        </w:rPr>
      </w:pPr>
      <w:r w:rsidRPr="00D74DFF">
        <w:rPr>
          <w:rFonts w:eastAsia="Calibri"/>
          <w:b/>
          <w:bCs/>
          <w:sz w:val="22"/>
          <w:szCs w:val="22"/>
          <w:lang w:val="es-MX" w:eastAsia="en-US"/>
        </w:rPr>
        <w:lastRenderedPageBreak/>
        <w:t xml:space="preserve">Tabla 1 - </w:t>
      </w:r>
      <w:r w:rsidRPr="00D74DFF">
        <w:rPr>
          <w:rFonts w:eastAsia="Calibri"/>
          <w:sz w:val="22"/>
          <w:szCs w:val="22"/>
          <w:lang w:val="es-MX" w:eastAsia="en-US"/>
        </w:rPr>
        <w:t>Características y resultados de los estudios incluidos sobre la asociación entre las vitaminas C y E y preeclampsia</w:t>
      </w:r>
    </w:p>
    <w:p w14:paraId="55E89C7D" w14:textId="6D05E0D7" w:rsidR="00D74DFF" w:rsidRPr="00D74DFF" w:rsidRDefault="00D74DFF" w:rsidP="00D74DFF">
      <w:pPr>
        <w:spacing w:after="160" w:line="259" w:lineRule="auto"/>
        <w:jc w:val="center"/>
        <w:rPr>
          <w:rFonts w:ascii="Verdana" w:eastAsia="Calibri" w:hAnsi="Verdana"/>
          <w:sz w:val="18"/>
          <w:szCs w:val="18"/>
          <w:lang w:val="es-MX" w:eastAsia="en-US"/>
        </w:rPr>
      </w:pPr>
      <w:r w:rsidRPr="00D74DFF">
        <w:rPr>
          <w:rFonts w:ascii="Verdana" w:eastAsia="Calibri" w:hAnsi="Verdana"/>
          <w:noProof/>
          <w:sz w:val="18"/>
          <w:szCs w:val="18"/>
          <w:lang w:val="es-MX" w:eastAsia="en-US"/>
        </w:rPr>
        <w:drawing>
          <wp:inline distT="0" distB="0" distL="0" distR="0" wp14:anchorId="221D883C" wp14:editId="0270AF88">
            <wp:extent cx="8324850" cy="4320374"/>
            <wp:effectExtent l="0" t="0" r="0" b="4445"/>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0744" cy="4333812"/>
                    </a:xfrm>
                    <a:prstGeom prst="rect">
                      <a:avLst/>
                    </a:prstGeom>
                    <a:noFill/>
                    <a:ln>
                      <a:noFill/>
                    </a:ln>
                  </pic:spPr>
                </pic:pic>
              </a:graphicData>
            </a:graphic>
          </wp:inline>
        </w:drawing>
      </w:r>
    </w:p>
    <w:p w14:paraId="39CF36A9" w14:textId="380AA5A3" w:rsidR="00D74DFF" w:rsidRPr="00D74DFF" w:rsidRDefault="00D74DFF" w:rsidP="00D74DFF">
      <w:pPr>
        <w:spacing w:after="160" w:line="259" w:lineRule="auto"/>
        <w:jc w:val="center"/>
        <w:rPr>
          <w:rFonts w:eastAsia="Calibri"/>
          <w:lang w:val="es-MX" w:eastAsia="en-US"/>
        </w:rPr>
      </w:pPr>
      <w:r w:rsidRPr="00D74DFF">
        <w:rPr>
          <w:rFonts w:eastAsia="Calibri"/>
          <w:sz w:val="16"/>
          <w:szCs w:val="16"/>
          <w:lang w:val="es-MX" w:eastAsia="en-US"/>
        </w:rPr>
        <w:t>ECA: Ensayo clínico aleatorio; PA: presión arterial; PAS: presión arterial sistólica; PAD: presión arterial diastólica.</w:t>
      </w:r>
    </w:p>
    <w:p w14:paraId="5D70D738" w14:textId="77777777" w:rsidR="00D74DFF" w:rsidRPr="00D74DFF" w:rsidRDefault="00D74DFF" w:rsidP="00D74DFF">
      <w:pPr>
        <w:spacing w:line="360" w:lineRule="auto"/>
        <w:jc w:val="both"/>
        <w:rPr>
          <w:rFonts w:eastAsia="Calibri"/>
          <w:lang w:val="es-ES" w:eastAsia="en-US"/>
        </w:rPr>
        <w:sectPr w:rsidR="00D74DFF" w:rsidRPr="00D74DFF" w:rsidSect="0083376C">
          <w:headerReference w:type="default" r:id="rId21"/>
          <w:footerReference w:type="default" r:id="rId22"/>
          <w:pgSz w:w="15842" w:h="12242" w:orient="landscape" w:code="1"/>
          <w:pgMar w:top="1134" w:right="1134" w:bottom="1134" w:left="1134" w:header="1418" w:footer="1134" w:gutter="0"/>
          <w:cols w:space="708"/>
          <w:docGrid w:linePitch="360"/>
        </w:sectPr>
      </w:pPr>
    </w:p>
    <w:p w14:paraId="4CFD79C7" w14:textId="77777777" w:rsidR="00D74DFF" w:rsidRPr="00D74DFF" w:rsidRDefault="00D74DFF" w:rsidP="00D74DFF">
      <w:pPr>
        <w:spacing w:line="360" w:lineRule="auto"/>
        <w:jc w:val="center"/>
        <w:rPr>
          <w:rFonts w:eastAsia="Calibri"/>
          <w:b/>
          <w:bCs/>
          <w:sz w:val="28"/>
          <w:szCs w:val="28"/>
          <w:lang w:val="es-ES" w:eastAsia="en-US"/>
        </w:rPr>
      </w:pPr>
      <w:r w:rsidRPr="00D74DFF">
        <w:rPr>
          <w:rFonts w:eastAsia="Calibri"/>
          <w:b/>
          <w:bCs/>
          <w:sz w:val="28"/>
          <w:szCs w:val="28"/>
          <w:lang w:val="es-ES" w:eastAsia="en-US"/>
        </w:rPr>
        <w:lastRenderedPageBreak/>
        <w:t>Evaluación del riesgo de sesgo</w:t>
      </w:r>
    </w:p>
    <w:p w14:paraId="3335997E"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Los 7 estudios seleccionados fueron evaluados usando la herramienta Rob 2 para ensayos clínicos aleatorios. Seis manuscritos tuvieron una calidad moderada/alta, mientras que uno tuvo una calidad baja. No se evaluó sesgo de publicación debido a la poca cantidad de manuscritos (menos de 10) (Fig. 2).</w:t>
      </w:r>
    </w:p>
    <w:p w14:paraId="2A4E3437" w14:textId="77777777" w:rsidR="00D74DFF" w:rsidRPr="00D74DFF" w:rsidRDefault="00D74DFF" w:rsidP="00D74DFF">
      <w:pPr>
        <w:spacing w:line="360" w:lineRule="auto"/>
        <w:jc w:val="both"/>
        <w:rPr>
          <w:rFonts w:eastAsia="Calibri"/>
          <w:lang w:val="es-ES" w:eastAsia="en-US"/>
        </w:rPr>
      </w:pPr>
    </w:p>
    <w:p w14:paraId="1535F9B9" w14:textId="33B1C734" w:rsidR="00D74DFF" w:rsidRPr="00D74DFF" w:rsidRDefault="00383FDA" w:rsidP="00D74DFF">
      <w:pPr>
        <w:spacing w:line="360" w:lineRule="auto"/>
        <w:jc w:val="center"/>
        <w:rPr>
          <w:rFonts w:eastAsia="Calibri"/>
          <w:lang w:val="es-MX" w:eastAsia="en-US"/>
        </w:rPr>
      </w:pPr>
      <w:r>
        <w:rPr>
          <w:rFonts w:eastAsia="Calibri"/>
          <w:noProof/>
          <w:lang w:val="es-MX" w:eastAsia="en-US"/>
        </w:rPr>
        <w:drawing>
          <wp:inline distT="0" distB="0" distL="0" distR="0" wp14:anchorId="4633E551" wp14:editId="29FC7515">
            <wp:extent cx="2994467" cy="5587344"/>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23">
                      <a:extLst>
                        <a:ext uri="{28A0092B-C50C-407E-A947-70E740481C1C}">
                          <a14:useLocalDpi xmlns:a14="http://schemas.microsoft.com/office/drawing/2010/main" val="0"/>
                        </a:ext>
                      </a:extLst>
                    </a:blip>
                    <a:stretch>
                      <a:fillRect/>
                    </a:stretch>
                  </pic:blipFill>
                  <pic:spPr>
                    <a:xfrm>
                      <a:off x="0" y="0"/>
                      <a:ext cx="2999453" cy="5596647"/>
                    </a:xfrm>
                    <a:prstGeom prst="rect">
                      <a:avLst/>
                    </a:prstGeom>
                  </pic:spPr>
                </pic:pic>
              </a:graphicData>
            </a:graphic>
          </wp:inline>
        </w:drawing>
      </w:r>
    </w:p>
    <w:p w14:paraId="52B9FC95" w14:textId="30F953D2" w:rsidR="00D74DFF" w:rsidRPr="00D74DFF" w:rsidRDefault="00D74DFF" w:rsidP="00D74DFF">
      <w:pPr>
        <w:spacing w:line="360" w:lineRule="auto"/>
        <w:jc w:val="center"/>
        <w:rPr>
          <w:rFonts w:eastAsia="Calibri"/>
          <w:b/>
          <w:sz w:val="22"/>
          <w:szCs w:val="22"/>
          <w:lang w:val="es-MX" w:eastAsia="en-US"/>
        </w:rPr>
      </w:pPr>
      <w:r w:rsidRPr="00D74DFF">
        <w:rPr>
          <w:rFonts w:eastAsia="Calibri"/>
          <w:b/>
          <w:sz w:val="22"/>
          <w:szCs w:val="22"/>
          <w:lang w:val="es-MX" w:eastAsia="en-US"/>
        </w:rPr>
        <w:t>Fig. 2</w:t>
      </w:r>
      <w:r w:rsidR="00DC140F">
        <w:rPr>
          <w:rFonts w:eastAsia="Calibri"/>
          <w:b/>
          <w:sz w:val="22"/>
          <w:szCs w:val="22"/>
          <w:lang w:val="es-MX" w:eastAsia="en-US"/>
        </w:rPr>
        <w:t xml:space="preserve"> </w:t>
      </w:r>
      <w:r w:rsidRPr="00D74DFF">
        <w:rPr>
          <w:rFonts w:eastAsia="Calibri"/>
          <w:b/>
          <w:sz w:val="22"/>
          <w:szCs w:val="22"/>
          <w:lang w:val="es-MX" w:eastAsia="en-US"/>
        </w:rPr>
        <w:t xml:space="preserve">- </w:t>
      </w:r>
      <w:r w:rsidRPr="00D74DFF">
        <w:rPr>
          <w:rFonts w:eastAsia="Calibri"/>
          <w:sz w:val="22"/>
          <w:szCs w:val="22"/>
          <w:lang w:val="es-MX" w:eastAsia="en-US"/>
        </w:rPr>
        <w:t>Riesgo de sesgo.</w:t>
      </w:r>
    </w:p>
    <w:p w14:paraId="441BB9D1" w14:textId="77777777" w:rsidR="00D74DFF" w:rsidRPr="00D74DFF" w:rsidRDefault="00D74DFF" w:rsidP="00D74DFF">
      <w:pPr>
        <w:spacing w:line="360" w:lineRule="auto"/>
        <w:jc w:val="center"/>
        <w:rPr>
          <w:rFonts w:eastAsia="Calibri"/>
          <w:sz w:val="16"/>
          <w:szCs w:val="16"/>
          <w:lang w:val="es-MX" w:eastAsia="en-US"/>
        </w:rPr>
      </w:pPr>
    </w:p>
    <w:p w14:paraId="76B47105" w14:textId="7C34FA26" w:rsidR="00D74DFF" w:rsidRPr="00D74DFF" w:rsidRDefault="00D74DFF" w:rsidP="00D74DFF">
      <w:pPr>
        <w:spacing w:line="360" w:lineRule="auto"/>
        <w:jc w:val="center"/>
        <w:rPr>
          <w:rFonts w:eastAsia="Calibri"/>
          <w:b/>
          <w:bCs/>
          <w:sz w:val="28"/>
          <w:szCs w:val="28"/>
          <w:lang w:val="es-ES" w:eastAsia="en-US"/>
        </w:rPr>
      </w:pPr>
      <w:r w:rsidRPr="00D74DFF">
        <w:rPr>
          <w:rFonts w:eastAsia="Calibri"/>
          <w:b/>
          <w:bCs/>
          <w:sz w:val="28"/>
          <w:szCs w:val="28"/>
          <w:lang w:val="es-ES" w:eastAsia="en-US"/>
        </w:rPr>
        <w:t>Metanálisis para Vitamina C y E por preeclampsia</w:t>
      </w:r>
    </w:p>
    <w:p w14:paraId="0360D4D1" w14:textId="77777777" w:rsidR="00D74DFF" w:rsidRPr="00D74DFF" w:rsidRDefault="00D74DFF" w:rsidP="00D74DFF">
      <w:pPr>
        <w:spacing w:line="360" w:lineRule="auto"/>
        <w:jc w:val="both"/>
        <w:rPr>
          <w:rFonts w:eastAsia="Calibri"/>
          <w:lang w:val="es-MX" w:eastAsia="en-US"/>
        </w:rPr>
      </w:pPr>
      <w:r w:rsidRPr="00D74DFF">
        <w:rPr>
          <w:rFonts w:eastAsia="Calibri"/>
          <w:lang w:val="es-ES" w:eastAsia="en-US"/>
        </w:rPr>
        <w:t xml:space="preserve">Los estudios de forma independiente no presentaron una asociación estadísticamente significativa. De igual manera, al unir los estudios, </w:t>
      </w:r>
      <w:r w:rsidRPr="00D74DFF">
        <w:rPr>
          <w:rFonts w:eastAsia="Calibri"/>
          <w:lang w:val="es-MX" w:eastAsia="en-US"/>
        </w:rPr>
        <w:t>de manera global, tampoco hubo una asociación estadísticamente significativa entre ambas variables de interés (RR: 1,03; IC95 %: 0,78-1,26) (Fig. 3).</w:t>
      </w:r>
    </w:p>
    <w:p w14:paraId="34D0FD1D" w14:textId="77777777" w:rsidR="00D74DFF" w:rsidRPr="00D74DFF" w:rsidRDefault="00D74DFF" w:rsidP="00D74DFF">
      <w:pPr>
        <w:spacing w:line="360" w:lineRule="auto"/>
        <w:jc w:val="both"/>
        <w:rPr>
          <w:rFonts w:eastAsia="Calibri"/>
          <w:lang w:val="es-MX" w:eastAsia="en-US"/>
        </w:rPr>
      </w:pPr>
    </w:p>
    <w:p w14:paraId="508B1B4C" w14:textId="77777777" w:rsidR="00D74DFF" w:rsidRPr="00D74DFF" w:rsidRDefault="00D74DFF" w:rsidP="00D74DFF">
      <w:pPr>
        <w:spacing w:line="360" w:lineRule="auto"/>
        <w:jc w:val="both"/>
        <w:rPr>
          <w:rFonts w:eastAsia="Calibri"/>
          <w:lang w:val="es-MX" w:eastAsia="en-US"/>
        </w:rPr>
      </w:pPr>
      <w:r w:rsidRPr="00D74DFF">
        <w:rPr>
          <w:rFonts w:eastAsia="Calibri"/>
          <w:lang w:val="es-MX" w:eastAsia="en-US"/>
        </w:rPr>
        <w:t xml:space="preserve">Todos los estudios incluidos en el análisis presentaron baja heterogeneidad: </w:t>
      </w:r>
      <w:proofErr w:type="gramStart"/>
      <w:r w:rsidRPr="00D74DFF">
        <w:rPr>
          <w:rFonts w:eastAsia="Calibri"/>
          <w:i/>
          <w:iCs/>
          <w:lang w:val="es-MX" w:eastAsia="en-US"/>
        </w:rPr>
        <w:t>ji</w:t>
      </w:r>
      <w:r w:rsidRPr="00D74DFF">
        <w:rPr>
          <w:rFonts w:eastAsia="Calibri"/>
          <w:lang w:val="es-MX" w:eastAsia="en-US"/>
        </w:rPr>
        <w:t xml:space="preserve"> cuadrado</w:t>
      </w:r>
      <w:proofErr w:type="gramEnd"/>
      <w:r w:rsidRPr="00D74DFF">
        <w:rPr>
          <w:rFonts w:eastAsia="Calibri"/>
          <w:lang w:val="es-MX" w:eastAsia="en-US"/>
        </w:rPr>
        <w:t xml:space="preserve"> (p= 0,85) e I cuadrado (0 %).</w:t>
      </w:r>
    </w:p>
    <w:p w14:paraId="03A323AE" w14:textId="77777777" w:rsidR="00D74DFF" w:rsidRPr="00D74DFF" w:rsidRDefault="00D74DFF" w:rsidP="00D74DFF">
      <w:pPr>
        <w:spacing w:line="360" w:lineRule="auto"/>
        <w:jc w:val="both"/>
        <w:rPr>
          <w:rFonts w:eastAsia="Calibri"/>
          <w:lang w:val="es-MX" w:eastAsia="en-US"/>
        </w:rPr>
      </w:pPr>
    </w:p>
    <w:p w14:paraId="249C815C" w14:textId="66487A1D" w:rsidR="00D74DFF" w:rsidRPr="00D74DFF" w:rsidRDefault="00747968" w:rsidP="00D74DFF">
      <w:pPr>
        <w:spacing w:line="360" w:lineRule="auto"/>
        <w:jc w:val="center"/>
        <w:rPr>
          <w:rFonts w:eastAsia="Calibri"/>
          <w:lang w:val="es-ES" w:eastAsia="en-US"/>
        </w:rPr>
      </w:pPr>
      <w:r>
        <w:rPr>
          <w:rFonts w:eastAsia="Calibri"/>
          <w:noProof/>
          <w:lang w:val="es-ES" w:eastAsia="en-US"/>
        </w:rPr>
        <w:drawing>
          <wp:inline distT="0" distB="0" distL="0" distR="0" wp14:anchorId="058190F7" wp14:editId="6654738A">
            <wp:extent cx="5791200" cy="200977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5791200" cy="2009775"/>
                    </a:xfrm>
                    <a:prstGeom prst="rect">
                      <a:avLst/>
                    </a:prstGeom>
                  </pic:spPr>
                </pic:pic>
              </a:graphicData>
            </a:graphic>
          </wp:inline>
        </w:drawing>
      </w:r>
    </w:p>
    <w:p w14:paraId="231B7446" w14:textId="5627F4DB" w:rsidR="00D74DFF" w:rsidRPr="00D74DFF" w:rsidRDefault="00D74DFF" w:rsidP="00D74DFF">
      <w:pPr>
        <w:spacing w:line="360" w:lineRule="auto"/>
        <w:jc w:val="center"/>
        <w:rPr>
          <w:rFonts w:eastAsia="Calibri"/>
          <w:sz w:val="22"/>
          <w:szCs w:val="22"/>
          <w:lang w:val="es-ES" w:eastAsia="en-US"/>
        </w:rPr>
      </w:pPr>
      <w:r w:rsidRPr="00D74DFF">
        <w:rPr>
          <w:rFonts w:eastAsia="Calibri"/>
          <w:b/>
          <w:sz w:val="22"/>
          <w:szCs w:val="22"/>
          <w:lang w:val="es-ES" w:eastAsia="en-US"/>
        </w:rPr>
        <w:t xml:space="preserve">Fig. 3 </w:t>
      </w:r>
      <w:r w:rsidRPr="00D74DFF">
        <w:rPr>
          <w:rFonts w:eastAsia="Calibri"/>
          <w:sz w:val="22"/>
          <w:szCs w:val="22"/>
          <w:lang w:val="es-ES" w:eastAsia="en-US"/>
        </w:rPr>
        <w:t xml:space="preserve">- </w:t>
      </w:r>
      <w:r w:rsidRPr="00D74DFF">
        <w:rPr>
          <w:rFonts w:eastAsia="Calibri"/>
          <w:i/>
          <w:iCs/>
          <w:sz w:val="22"/>
          <w:szCs w:val="22"/>
          <w:lang w:val="es-ES" w:eastAsia="en-US"/>
        </w:rPr>
        <w:t xml:space="preserve">Forest </w:t>
      </w:r>
      <w:proofErr w:type="spellStart"/>
      <w:r w:rsidRPr="00D74DFF">
        <w:rPr>
          <w:rFonts w:eastAsia="Calibri"/>
          <w:i/>
          <w:iCs/>
          <w:sz w:val="22"/>
          <w:szCs w:val="22"/>
          <w:lang w:val="es-ES" w:eastAsia="en-US"/>
        </w:rPr>
        <w:t>plot</w:t>
      </w:r>
      <w:proofErr w:type="spellEnd"/>
      <w:r w:rsidRPr="00D74DFF">
        <w:rPr>
          <w:rFonts w:eastAsia="Calibri"/>
          <w:sz w:val="22"/>
          <w:szCs w:val="22"/>
          <w:lang w:val="es-ES" w:eastAsia="en-US"/>
        </w:rPr>
        <w:t xml:space="preserve"> de efectos aleatorios en vitamina C y E vs</w:t>
      </w:r>
      <w:r w:rsidR="0096522D">
        <w:rPr>
          <w:rFonts w:eastAsia="Calibri"/>
          <w:sz w:val="22"/>
          <w:szCs w:val="22"/>
          <w:lang w:val="es-ES" w:eastAsia="en-US"/>
        </w:rPr>
        <w:t>.</w:t>
      </w:r>
      <w:r w:rsidRPr="00D74DFF">
        <w:rPr>
          <w:rFonts w:eastAsia="Calibri"/>
          <w:sz w:val="22"/>
          <w:szCs w:val="22"/>
          <w:lang w:val="es-ES" w:eastAsia="en-US"/>
        </w:rPr>
        <w:t xml:space="preserve"> </w:t>
      </w:r>
      <w:r w:rsidR="0096522D">
        <w:rPr>
          <w:rFonts w:eastAsia="Calibri"/>
          <w:sz w:val="22"/>
          <w:szCs w:val="22"/>
          <w:lang w:val="es-ES" w:eastAsia="en-US"/>
        </w:rPr>
        <w:t>p</w:t>
      </w:r>
      <w:r w:rsidRPr="00D74DFF">
        <w:rPr>
          <w:rFonts w:eastAsia="Calibri"/>
          <w:sz w:val="22"/>
          <w:szCs w:val="22"/>
          <w:lang w:val="es-ES" w:eastAsia="en-US"/>
        </w:rPr>
        <w:t xml:space="preserve">lacebo en </w:t>
      </w:r>
      <w:r w:rsidR="00747968">
        <w:rPr>
          <w:rFonts w:eastAsia="Calibri"/>
          <w:sz w:val="22"/>
          <w:szCs w:val="22"/>
          <w:lang w:val="es-ES" w:eastAsia="en-US"/>
        </w:rPr>
        <w:t xml:space="preserve">la </w:t>
      </w:r>
      <w:r w:rsidRPr="00D74DFF">
        <w:rPr>
          <w:rFonts w:eastAsia="Calibri"/>
          <w:sz w:val="22"/>
          <w:szCs w:val="22"/>
          <w:lang w:val="es-ES" w:eastAsia="en-US"/>
        </w:rPr>
        <w:t>preeclampsia.</w:t>
      </w:r>
    </w:p>
    <w:p w14:paraId="6F4870B4" w14:textId="77777777" w:rsidR="00D74DFF" w:rsidRPr="00D74DFF" w:rsidRDefault="00D74DFF" w:rsidP="00D74DFF">
      <w:pPr>
        <w:spacing w:line="360" w:lineRule="auto"/>
        <w:jc w:val="center"/>
        <w:rPr>
          <w:rFonts w:eastAsia="Calibri"/>
          <w:sz w:val="16"/>
          <w:szCs w:val="16"/>
          <w:lang w:val="es-ES" w:eastAsia="en-US"/>
        </w:rPr>
      </w:pPr>
    </w:p>
    <w:p w14:paraId="491889F9" w14:textId="77777777" w:rsidR="00D74DFF" w:rsidRPr="00D74DFF" w:rsidRDefault="00D74DFF" w:rsidP="00D74DFF">
      <w:pPr>
        <w:spacing w:line="360" w:lineRule="auto"/>
        <w:jc w:val="center"/>
        <w:rPr>
          <w:rFonts w:eastAsia="Calibri"/>
          <w:sz w:val="16"/>
          <w:szCs w:val="16"/>
          <w:lang w:val="es-ES" w:eastAsia="en-US"/>
        </w:rPr>
      </w:pPr>
    </w:p>
    <w:p w14:paraId="4D71F48A" w14:textId="77777777" w:rsidR="00D74DFF" w:rsidRPr="00D74DFF" w:rsidRDefault="00D74DFF" w:rsidP="00D74DFF">
      <w:pPr>
        <w:spacing w:line="360" w:lineRule="auto"/>
        <w:jc w:val="center"/>
        <w:rPr>
          <w:rFonts w:eastAsia="Calibri"/>
          <w:b/>
          <w:sz w:val="32"/>
          <w:szCs w:val="32"/>
          <w:lang w:val="es-MX" w:eastAsia="en-US"/>
        </w:rPr>
      </w:pPr>
      <w:r w:rsidRPr="00D74DFF">
        <w:rPr>
          <w:rFonts w:eastAsia="Calibri"/>
          <w:b/>
          <w:sz w:val="32"/>
          <w:szCs w:val="32"/>
          <w:lang w:val="es-MX" w:eastAsia="en-US"/>
        </w:rPr>
        <w:t>DISCUSIÓN</w:t>
      </w:r>
    </w:p>
    <w:p w14:paraId="27BF3F3B"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La preeclampsia desencadena efectos materno fetales adversos, por lo que existe una urgencia mayor en identificar predictores clínicos y de laboratorio, es aún más importante identificar formas seguras de prevenir esta enfermedad.</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{"citationID":"H6NgYfoK","properties":{"formattedCitation":"\\super (23)\\nosupersub{}","plainCitation":"(23)","noteIndex":0},"citationItems":[{"id":"FRUDbNut/ZwcgxwmW","uris":["http://www.mendeley.com/documents/?uuid=5f960545-0838-498e-829b-eda81bd51c11"],"uri":["http://www.mendeley.com/documents/?uuid=5f960545-0838-498e-829b-eda81bd51c11"],"itemData":{"ISBN":"9789241548335","author":[{"dropping-particle":"","family":"Organizacion Mundial de la Salud","given":"","non-dropping-particle":"","parse-names":false,"suffix":""}],"id":"ITEM-1","issued":{"date-parts":[["2014"]]},"title":"Recomendaciones de la OMS para la prevención y el tratamiento de la preeclampsia y la eclampsia","type":"book"}}],"schema":"https://github.com/citation-style-language/schema/raw/master/csl-citation.json"}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(23)</w:t>
      </w:r>
      <w:r w:rsidRPr="00D74DFF">
        <w:rPr>
          <w:rFonts w:eastAsia="Calibri"/>
          <w:lang w:val="es-ES" w:eastAsia="en-US"/>
        </w:rPr>
        <w:fldChar w:fldCharType="end"/>
      </w:r>
      <w:r w:rsidRPr="00D74DFF">
        <w:rPr>
          <w:rFonts w:eastAsia="Calibri"/>
          <w:lang w:val="es-ES" w:eastAsia="en-US"/>
        </w:rPr>
        <w:t xml:space="preserve"> El presente estudio encontró que la suplementación de estas vitaminas en forma conjunta durante el embarazo, no reduce el riesgo de preeclampsia.</w:t>
      </w:r>
    </w:p>
    <w:p w14:paraId="6EE97FE4"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Si bien ya han existido revisiones sistemáticas, con un tiempo de antigüedad de hace más de 10 años,</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{"citationID":"QJjkzSxj","properties":{"formattedCitation":"\\super (24)\\nosupersub{}","plainCitation":"(24)","noteIndex":0},"citationItems":[{"id":"FRUDbNut/YuiKCUeX","uris":["http://www.mendeley.com/documents/?uuid=7f09d982-85e9-48a6-b5c5-7858decf88aa"],"uri":["http://www.mendeley.com/documents/?uuid=7f09d982-85e9-48a6-b5c5-7858decf88aa"],"itemData":{"DOI":"10.1016/j.ajog.2011.02.020","ISSN":"10976868","abstract":"Objective: To determine whether supplementation with vitamins C and E during pregnancy reduces the risk of preeclampsia and other adverse maternal and perinatal outcomes. Study Design: Systematic review and metaanalysis of randomized controlled trials. Results: Nine trials involving a total of 19,810 women were included. Overall, there were no significant differences between the vitamin and placebo groups in the risk of preeclampsia (9.6% vs 9.6%; relative risk, 1.00, 95% confidence interval, 0.921.09). Similar results were obtained when subgroup analyses were restricted to women at high risk or low/moderate risk for preeclampsia. Women supplemented with vitamins C and E were at increased risk of developing gestational hypertension and premature rupture of membranes, and decreased risk of abruptio placentae. There were no significant differences between the vitamin and placebo groups in the risk of other adverse maternal or fetal/perinatal outcomes. Conclusion: Supplementation with vitamins C and E during pregnancy does not prevent preeclampsia. © 2011 Published by Mosby, Inc.","author":[{"dropping-particle":"","family":"Conde-Agudelo","given":"Agustn","non-dropping-particle":"","parse-names":false,"suffix":""},{"dropping-particle":"","family":"Romero","given":"Roberto","non-dropping-particle":"","parse-names":false,"suffix":""},{"dropping-particle":"","family":"Kusanovic","given":"Juan Pedro","non-dropping-particle":"","parse-names":false,"suffix":""},{"dropping-particle":"","family":"Hassan","given":"Sonia S.","non-dropping-particle":"","parse-names":false,"suffix":""}],"container-title":"American Journal of Obstetrics and Gynecology","id":"ITEM-1","issue":"6","issued":{"date-parts":[["2011"]]},"page":"503.e1-503.e12","publisher":"Elsevier Inc.","title":"Supplementation with vitamins C and e during pregnancy for the prevention of preeclampsia and other adverse maternal and perinatal outcomes: A systematic review and metaanalysis","type":"article-journal","volume":"204"}}],"schema":"https://github.com/citation-style-language/schema/raw/master/csl-citation.json"}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(24,</w:t>
      </w:r>
      <w:r w:rsidRPr="00D74DFF">
        <w:rPr>
          <w:rFonts w:eastAsia="Calibri"/>
          <w:lang w:val="es-ES" w:eastAsia="en-US"/>
        </w:rPr>
        <w:fldChar w:fldCharType="end"/>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{"citationID":"8HsVuX8O","properties":{"formattedCitation":"\\super (25)\\nosupersub{}","plainCitation":"(25)","noteIndex":0},"citationItems":[{"id":"FRUDbNut/W69sVba8","uris":["http://www.mendeley.com/documents/?uuid=80629ba4-7e93-49b7-adaa-71e1720470f5"],"uri":["http://www.mendeley.com/documents/?uuid=80629ba4-7e93-49b7-adaa-71e1720470f5"],"itemData":{"DOI":"10.1097/01.ogx.0000256787.04807.da","ISSN":"00297828","PMID":"17306042","abstract":"The effect of combined vitamin C and E supplementation during pregnancy on the prevention of preeclampsia and major adverse infant outcomes has been reviewed. We searched MEDLINE and the Central Library of Controlled Trials of the Cochrane Library through August 2006 for relevant clinical trials. Interstudy heterogeneity was evaluated using the χ statistic (Q statistic) test. Pooled relative risks (RRs) and 95% confidence intervals (CIs) were calculated with a fixed or random-effects model as appropriate. Four trials that collectively randomized 4680 pregnant women to either the combination of vitamin C and vitamin E or placebo were included in the analysis. There were no significant differences between the vitamin and placebo groups in the risk of preeclampsia, 11% versus 11.4%, RR 0.97 (95% CI 0.82-1.13), fetal or neonatal loss, 2.6% versus 2.3%, RR 1.10 (95% CI 0.78-1.57), or small for gestational age (SGA) infant, 20.6% versus 20%, RR 0.94 (95% CI 0.74-1.19). Although there was a higher risk for preterm birth in the vitamin group, 19.5% versus 18%, RR 1.07 (95% CI 0.96-1.20), this finding was not significant. Combined vitamin C and E supplementation during pregnancy does not reduce the risk of preeclampsia, fetal or neonatal loss, small for gestational age infant, or preterm birth. Such supplementation should be discouraged unless solid supporting data from randomized trials become available. TARGET AUDIENCE: Obstetricians &amp; Gynecologists, Family Physicians LEARNING OBJECTIVES: After completion of this article, the reader should be able to recall that many methods have been used to prevent preeclampsia, state that increased oxidative stress has been postulated and many trials have used antioxidants to prevent the disease, and explain that MEDLINE analysis of the literature questions the use of vitamin C and E supplements. © 2007 Lippincott Williams &amp; Wilkins, Inc.","author":[{"dropping-particle":"","family":"Polyzos","given":"Nikolaos P.","non-dropping-particle":"","parse-names":false,"suffix":""},{"dropping-particle":"","family":"Mauri","given":"Davide","non-dropping-particle":"","parse-names":false,"suffix":""},{"dropping-particle":"","family":"Tsappi","given":"Maria","non-dropping-particle":"","parse-names":false,"suffix":""},{"dropping-particle":"","family":"Tzioras","given":"Spyridon","non-dropping-particle":"","parse-names":false,"suffix":""},{"dropping-particle":"","family":"Kamposioras","given":"Konstantinos","non-dropping-particle":"","parse-names":false,"suffix":""},{"dropping-particle":"","family":"Cortinovis","given":"Ivan","non-dropping-particle":"","parse-names":false,"suffix":""},{"dropping-particle":"","family":"Casazza","given":"Giovanni","non-dropping-particle":"","parse-names":false,"suffix":""}],"container-title":"Obstetrical and Gynecological Survey","id":"ITEM-1","issue":"3","issued":{"date-parts":[["2007"]]},"page":"202-206","title":"Combined vitamin C and E supplementation during pregnancy for preeclampsia prevention: A systematic review","type":"article-journal","volume":"62"}}],"schema":"https://github.com/citation-style-language/schema/raw/master/csl-citation.json"}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25)</w:t>
      </w:r>
      <w:r w:rsidRPr="00D74DFF">
        <w:rPr>
          <w:rFonts w:eastAsia="Calibri"/>
          <w:lang w:val="es-ES" w:eastAsia="en-US"/>
        </w:rPr>
        <w:fldChar w:fldCharType="end"/>
      </w:r>
      <w:r w:rsidRPr="00D74DFF">
        <w:rPr>
          <w:rFonts w:eastAsia="Calibri"/>
          <w:lang w:val="es-ES" w:eastAsia="en-US"/>
        </w:rPr>
        <w:t xml:space="preserve"> se consideró necesario una nueva, para detallar si las conclusiones anteriores, de la no utilidad de estas vitaminas, podría haber cambiado con la inclusión de nuevos estudios. </w:t>
      </w:r>
    </w:p>
    <w:p w14:paraId="0EDC3648" w14:textId="4B26E926" w:rsidR="00D74DFF" w:rsidRPr="00D74DFF" w:rsidRDefault="00D74DFF" w:rsidP="00D74DFF">
      <w:pPr>
        <w:spacing w:line="360" w:lineRule="auto"/>
        <w:jc w:val="both"/>
        <w:rPr>
          <w:rFonts w:eastAsia="Calibri"/>
          <w:lang w:val="es-ES" w:eastAsia="en-US"/>
        </w:rPr>
      </w:pPr>
      <w:r w:rsidRPr="00D74DFF">
        <w:rPr>
          <w:rFonts w:eastAsia="Calibri"/>
          <w:lang w:val="es-ES" w:eastAsia="en-US"/>
        </w:rPr>
        <w:lastRenderedPageBreak/>
        <w:t>Las razones detrás de la hipótesis del uso de estas vitaminas para la preeclampsia, recaen en el rol oxidativo que se presenta en esta enfermedad.</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{"citationID":"DiuLq56B","properties":{"formattedCitation":"\\super (28)\\nosupersub{}","plainCitation":"(28)","noteIndex":0},"citationItems":[{"id":"FRUDbNut/muzTnnsg","uris":["http://www.mendeley.com/documents/?uuid=75ce0fe7-e1bf-4f80-bf4d-8f0ced667ac0"],"uri":["http://www.mendeley.com/documents/?uuid=75ce0fe7-e1bf-4f80-bf4d-8f0ced667ac0"],"itemData":{"abstract":"The generation of reactive oxygen species and other free radicals during cellular metabolism is a normal process that is compensated by a complex antioxidant system. However, exposition to environmental , lifestyle, and pathological stressors can lead to the accumulation and excess of free radicals, resulting in oxidative stress. Oxidative stress has been related to aging and chronic diseases that account for a major portion of deaths nowadays. Antioxidants are compounds that hinder the oxidative processes and thereby delay or prevent oxidative stress. This article examines oxidative stress process and the pathways by which it relates to many chronic diseases. We also discuss the role that antioxidants may play in controlling oxidation and review the evidence of their role in disease prevention. La generación de especies reactivas de oxígeno y otros radicales libres son un proceso normal durante el metabolismo celular, el cual está compensado por un complejo sistema antioxidante. Sin embargo, la exposición a contaminantes, medio ambiente, estilo de vida y situaciones patológicas, pueden generar exceso y acumu-lación de radicales, resultando en el establecimiento de estrés oxi-dativo. El estrés oxidativo se ha relacionado con el envejecimiento y enfermedades crónicas, promoviendo un alto índice de mortali-dad en los últimos años. Los antioxidantes son compuestos que impiden los procesos de oxidación y, por lo tanto, retrasan o previe-nen el estrés oxidativo. En este artículo se examina de forma general el proceso de estrés oxidativo y las vías por las que refiere a múltiples enfermedades crónicas. También se analizará el papel de los antioxidantes en el control de la oxidación, revisando la evidencia bibliográfica de su participación en la prevención de enfermedades. Palabras clave. Palabras clave. Palabras clave. Palabras clave. Palabras clave. Especies reactivas de oxígeno. Enzimas antioxi-dantes. Terapia antioxidante. INTRODUCCIÓN Los seres humanos necesitan oxígeno (O 2) para la pro-ducción de energía. Sin embargo, el exceso de O 2 en las células es nocivo debido a la formación de especies reac-tivas generadas durante su oxidación. Para contrarrestar el efecto nocivo del O 2 y derivados, la célula cuenta con mecanismos capaces de remover los productos tóxicos del O 2. Estos mecanismos de defensa son conocidos como sistema antioxidante (AOX), encargado de mantener el equilibrio de las reacciones de óxido reducción y sobrevi-vencia celular. El sistema …","author":[{"dropping-particle":"","family":"Sánchez-Valle","given":"Vicente","non-dropping-particle":"","parse-names":false,"suffix":""},{"dropping-particle":"","family":"Méndez-Sánchez","given":"Nahum","non-dropping-particle":"","parse-names":false,"suffix":""}],"container-title":"Rev Invest Med Sur Mex, Julio-Septiembre","id":"ITEM-1","issue":"3","issued":{"date-parts":[["2013"]]},"page":"161-168","title":"Estrés oxidativo, antioxidantes y enfermedad. Artículo de revisión","type":"article-journal","volume":"20"}}],"schema":"https://github.com/citation-style-language/schema/raw/master/csl-citation.json"}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w:t>
      </w:r>
      <w:r w:rsidR="00AD41A6">
        <w:rPr>
          <w:rFonts w:eastAsia="Calibri"/>
          <w:vertAlign w:val="superscript"/>
          <w:lang w:val="es-PE" w:eastAsia="en-US"/>
        </w:rPr>
        <w:t>6</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t xml:space="preserve"> Es así como el uso de sustancias antioxidantes podrían servir como un mecanismo preventivo.</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{"citationID":"AQ4pBf9j","properties":{"formattedCitation":"\\super (10)\\nosupersub{}","plainCitation":"(10)","noteIndex":0},"citationItems":[{"id":"FRUDbNut/w9kHe9Vj","uris":["http://www.mendeley.com/documents/?uuid=868c1f7e-712b-45d8-bce4-014f87c42dec"],"uri":["http://www.mendeley.com/documents/?uuid=868c1f7e-712b-45d8-bce4-014f87c42dec"],"itemData":{"DOI":"10.1016/j.semnephrol.2004.07.004","ISSN":"02709295","abstract":"Preeclampsia is a 2-stage disorder. Stage 1 is decreased placental perfusion and generates stage 2 of the disorder, the maternal syndrome characteristic of preeclampsia. How the 2 stages are linked has been a topic of intense investigation for many years. One candidate phenomenon, which includes many other suggested linkages, is oxidative stress. This hypothesis predicts that the administration of antioxidants would decrease oxidative stress and modify stage 2. Experience with the treatment of preeclampsia including a small trial of antioxidants in women with manifest preeclampsia makes it clear that the use of any therapy once preeclampsia is evident will not be successful. Trials evaluating prophylactic aspirin and supplemental calcium from early pregnancy suggest that therapy before evident preeclampsia may be successful in selected populations. Guided by these concepts and by experience with antioxidant therapy in other settings, 1 small study (&lt;80 women in the treatment arm) was very encouraging with an almost two-thirds reduction of the frequency of preeclampsia in high-risk women. Antioxidants currently are being evaluated in several larger trials in the United States, Canada, Mexico, England, and in several developing nations. These studies should definitively establish the efficacy and safety of this therapy for the mother and fetus. © 2004 Elsevier Inc. All rights reserved.","author":[{"dropping-particle":"","family":"Spinnato","given":"Joseph A.","non-dropping-particle":"","parse-names":false,"suffix":""},{"dropping-particle":"","family":"Freire","given":"Salvio","non-dropping-particle":"","parse-names":false,"suffix":""},{"dropping-particle":"","family":"Pinto","given":"Joao Luiz","non-dropping-particle":"","parse-names":false,"suffix":""},{"dropping-particle":"","family":"Rudge","given":"Marilza Cunha","non-dropping-particle":"","parse-names":false,"suffix":""},{"dropping-particle":"","family":"Martins-Costa","given":"Sergio","non-dropping-particle":"","parse-names":false,"suffix":""},{"dropping-particle":"","family":"Koch","given":"Matthew A.","non-dropping-particle":"","parse-names":false,"suffix":""},{"dropping-particle":"","family":"Goco","given":"Norman","non-dropping-particle":"","parse-names":false,"suffix":""},{"dropping-particle":"","family":"Santos","given":"Cleide de Barros","non-dropping-particle":"","parse-names":false,"suffix":""},{"dropping-particle":"","family":"Cecatti","given":"Jose Guilgerme","non-dropping-particle":"","parse-names":false,"suffix":""},{"dropping-particle":"","family":"Costa","given":"Roberto","non-dropping-particle":"","parse-names":false,"suffix":""},{"dropping-particle":"","family":"Ramos","given":"José","non-dropping-particle":"","parse-names":false,"suffix":""},{"dropping-particle":"","family":"Moss","given":"Nancy","non-dropping-particle":"","parse-names":false,"suffix":""},{"dropping-particle":"","family":"Sibai","given":"Baha M.","non-dropping-particle":"","parse-names":false,"suffix":""}],"container-title":"Seminars in Nephrology","id":"ITEM-1","issue":"6 SPEC.ISS.","issued":{"date-parts":[["2004"]]},"page":"557-564","title":"Antioxidant therapy to prevent preeclampsia","type":"article-journal","volume":"24"}}],"schema":"https://github.com/citation-style-language/schema/raw/master/csl-citation.json"}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(10,</w:t>
      </w:r>
      <w:r w:rsidRPr="00D74DFF">
        <w:rPr>
          <w:rFonts w:eastAsia="Calibri"/>
          <w:lang w:val="es-ES" w:eastAsia="en-US"/>
        </w:rPr>
        <w:fldChar w:fldCharType="end"/>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{"citationID":"LjRRpSSi","properties":{"formattedCitation":"\\super (11)\\nosupersub{}","plainCitation":"(11)","noteIndex":0},"citationItems":[{"id":"FRUDbNut/UIe6rxGE","uris":["http://www.mendeley.com/documents/?uuid=3840b49c-95ac-423f-a1f6-5211b37ae4af"],"uri":["http://www.mendeley.com/documents/?uuid=3840b49c-95ac-423f-a1f6-5211b37ae4af"],"itemData":{"DOI":"10.1016/j.ajog.2010.01.050","ISSN":"00029378","abstract":"Objective: We sought to investigate whether prenatal vitamin C and E supplementation reduces the incidence of gestational hypertension (GH) and its adverse conditions among high- and low-risk women. Study Design: In a multicenter randomized controlled trial, women were stratified by the risk status and assigned to daily treatment (1 g vitamin C and 400 IU vitamin E) or placebo. The primary outcome was GH and its adverse conditions. Results: Of the 2647 women randomized, 2363 were included in the analysis. There was no difference in the risk of GH and its adverse conditions between groups (relative risk, 0.99; 95% confidence interval, 0.78-1.26). However, vitamins C and E increased the risk of fetal loss or perinatal death (nonprespecified) as well as preterm prelabor rupture of membranes. Conclusion: Vitamin C and E supplementation did not reduce the rate of preeclampsia or GH, but increased the risk of fetal loss or perinatal death and preterm prelabor rupture of membranes. © 2010 Mosby, Inc. All rights reserved.","author":[{"dropping-particle":"","family":"Xu","given":"Hairong","non-dropping-particle":"","parse-names":false,"suffix":""},{"dropping-particle":"","family":"Perez-Cuevas","given":"Ricardo","non-dropping-particle":"","parse-names":false,"suffix":""},{"dropping-particle":"","family":"Xiong","given":"Xu","non-dropping-particle":"","parse-names":false,"suffix":""},{"dropping-particle":"","family":"Reyes","given":"Hortensia","non-dropping-particle":"","parse-names":false,"suffix":""},{"dropping-particle":"","family":"Roy","given":"Chantal","non-dropping-particle":"","parse-names":false,"suffix":""},{"dropping-particle":"","family":"Julien","given":"Pierre","non-dropping-particle":"","parse-names":false,"suffix":""},{"dropping-particle":"","family":"Smith","given":"Graeme","non-dropping-particle":"","parse-names":false,"suffix":""},{"dropping-particle":"","family":"Dadelszen","given":"Peter","non-dropping-particle":"von","parse-names":false,"suffix":""},{"dropping-particle":"","family":"Leduc","given":"Line","non-dropping-particle":"","parse-names":false,"suffix":""},{"dropping-particle":"","family":"Audibert","given":"François","non-dropping-particle":"","parse-names":false,"suffix":""},{"dropping-particle":"","family":"Moutquin","given":"Jean Marie","non-dropping-particle":"","parse-names":false,"suffix":""},{"dropping-particle":"","family":"Piedboeuf","given":"Bruno","non-dropping-particle":"","parse-names":false,"suffix":""},{"dropping-particle":"","family":"Shatenstein","given":"Bryna","non-dropping-particle":"","parse-names":false,"suffix":""},{"dropping-particle":"","family":"Parra-Cabrera","given":"Socorro","non-dropping-particle":"","parse-names":false,"suffix":""},{"dropping-particle":"","family":"Choquette","given":"Pierre","non-dropping-particle":"","parse-names":false,"suffix":""},{"dropping-particle":"","family":"Winsor","given":"Stephanie","non-dropping-particle":"","parse-names":false,"suffix":""},{"dropping-particle":"","family":"Wood","given":"Stephen","non-dropping-particle":"","parse-names":false,"suffix":""},{"dropping-particle":"","family":"Benjamin","given":"Alice","non-dropping-particle":"","parse-names":false,"suffix":""},{"dropping-particle":"","family":"Walker","given":"Mark","non-dropping-particle":"","parse-names":false,"suffix":""},{"dropping-particle":"","family":"Helewa","given":"Michael","non-dropping-particle":"","parse-names":false,"suffix":""},{"dropping-particle":"","family":"Dubé","given":"Johanne","non-dropping-particle":"","parse-names":false,"suffix":""},{"dropping-particle":"","family":"Tawagi","given":"Georges","non-dropping-particle":"","parse-names":false,"suffix":""},{"dropping-particle":"","family":"Seaward","given":"Gareth","non-dropping-particle":"","parse-names":false,"suffix":""},{"dropping-particle":"","family":"Ohlsson","given":"Arne","non-dropping-particle":"","parse-names":false,"suffix":""},{"dropping-particle":"","family":"Magee","given":"Laura A.","non-dropping-particle":"","parse-names":false,"suffix":""},{"dropping-particle":"","family":"Olatunbosun","given":"Femi","non-dropping-particle":"","parse-names":false,"suffix":""},{"dropping-particle":"","family":"Gratton","given":"Robert","non-dropping-particle":"","parse-names":false,"suffix":""},{"dropping-particle":"","family":"Shear","given":"Roberta","non-dropping-particle":"","parse-names":false,"suffix":""},{"dropping-particle":"","family":"Demianczuk","given":"Nestor","non-dropping-particle":"","parse-names":false,"suffix":""},{"dropping-particle":"","family":"Collet","given":"Jean Paul","non-dropping-particle":"","parse-names":false,"suffix":""},{"dropping-particle":"","family":"Wei","given":"Shuqin","non-dropping-particle":"","parse-names":false,"suffix":""},{"dropping-particle":"","family":"Fraser","given":"William D.","non-dropping-particle":"","parse-names":false,"suffix":""}],"container-title":"American Journal of Obstetrics and Gynecology","id":"ITEM-1","issue":"3","issued":{"date-parts":[["2010"]]},"page":"239.e1-239.e10","publisher":"Elsevier Inc.","title":"An international trial of antioxidants in the prevention of preeclampsia (INTAPP)","type":"article-journal","volume":"202"}}],"schema":"https://github.com/citation-style-language/schema/raw/master/csl-citation.json"}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11)</w:t>
      </w:r>
      <w:r w:rsidRPr="00D74DFF">
        <w:rPr>
          <w:rFonts w:eastAsia="Calibri"/>
          <w:lang w:val="es-ES" w:eastAsia="en-US"/>
        </w:rPr>
        <w:fldChar w:fldCharType="end"/>
      </w:r>
      <w:r w:rsidRPr="00D74DFF">
        <w:rPr>
          <w:rFonts w:eastAsia="Calibri"/>
          <w:lang w:val="es-ES" w:eastAsia="en-US"/>
        </w:rPr>
        <w:t xml:space="preserve"> Además, el suplemento de otras vitaminas, como la vitamina D,</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{"citationID":"Gspkj4eF","properties":{"formattedCitation":"\\super (29)\\nosupersub{}","plainCitation":"(29)","noteIndex":0},"citationItems":[{"id":"FRUDbNut/mWymmEIT","uris":["http://www.mendeley.com/documents/?uuid=cc2906a0-2e6d-4a9d-8606-966b497b7858"],"uri":["http://www.mendeley.com/documents/?uuid=cc2906a0-2e6d-4a9d-8606-966b497b7858"],"itemData":{"DOI":"10.3390/nu9101141","ISBN":"4201502538","ISSN":"20726643","PMID":"29057843","abstract":"Vitamin D supplementation effects with or without calcium in pregnancy for reducing risk of preeclampsia and gestational or pregnancy induced hypertension are controversial. Literature was systematically searched in Medline, Scopus and Cochrane databases from inception to July 2017. Only randomized controlled trials (RCTs) in English were selected if they had any pair of interventions (calcium, vitamin D, both, or placebo). Systematic review with two-step network-meta-analysis was used to indirectly estimate supplementary effects. Twenty-seven RCTs with 28,000 women were eligible. A direct meta-analysis suggested that calcium, vitamin D, and calcium plus vitamin D could lower risk of preeclampsia when compared to placebo with the pooled risk ratios (RRs) of 0.54 (0.41, 0.70), 0.47 (0.24, 0.89) and 0.50 (0.32, 0.78), respectively. Results of network meta-analysis were similar with the corresponding RRs of 0.49 (0.35, 0.69), 0.43 (0.17, 1.11), and 0.57 (0.30, 1.10), respectively. None of the controls were significant. Efficacy of supplementation, which was ranked by surface under cumulative ranking probabilities, were: vitamin D (47.4%), calcium (31.6%) and calcium plus vitamin D (19.6%), respectively. Calcium supplementation may be used for prevention for preeclampsia. Vitamin D might also worked well but further large scale RCTs are warranted to confirm our findings.","author":[{"dropping-particle":"","family":"Khaing","given":"Win","non-dropping-particle":"","parse-names":false,"suffix":""},{"dropping-particle":"","family":"Vallibhakara","given":"Sakda Arj Ong","non-dropping-particle":"","parse-names":false,"suffix":""},{"dropping-particle":"","family":"Tantrakul","given":"Visasiri","non-dropping-particle":"","parse-names":false,"suffix":""},{"dropping-particle":"","family":"Vallibhakara","given":"Orawin","non-dropping-particle":"","parse-names":false,"suffix":""},{"dropping-particle":"","family":"Rattanasiri","given":"Sasivimol","non-dropping-particle":"","parse-names":false,"suffix":""},{"dropping-particle":"","family":"McEvoy","given":"Mark","non-dropping-particle":"","parse-names":false,"suffix":""},{"dropping-particle":"","family":"Attia","given":"John","non-dropping-particle":"","parse-names":false,"suffix":""},{"dropping-particle":"","family":"Thakkinstian","given":"Ammarin","non-dropping-particle":"","parse-names":false,"suffix":""}],"container-title":"Nutrients","id":"ITEM-1","issue":"10","issued":{"date-parts":[["2017"]]},"page":"1-23","title":"Calcium and vitamin D supplementation for prevention of preeclampsia: A systematic review and network meta-analysis","type":"article-journal","volume":"9"}}],"schema":"https://github.com/citation-style-language/schema/raw/master/csl-citation.json"}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w:t>
      </w:r>
      <w:r w:rsidR="00AD41A6">
        <w:rPr>
          <w:rFonts w:eastAsia="Calibri"/>
          <w:vertAlign w:val="superscript"/>
          <w:lang w:val="es-PE" w:eastAsia="en-US"/>
        </w:rPr>
        <w:t>7</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{"citationID":"av5YyTTo","properties":{"formattedCitation":"\\super (30)\\nosupersub{}","plainCitation":"(30)","noteIndex":0},"citationItems":[{"id":"FRUDbNut/5f5wT8rr","uris":["http://www.mendeley.com/documents/?uuid=aba3537f-998d-4713-a361-06f3ac2e5eef"],"uri":["http://www.mendeley.com/documents/?uuid=aba3537f-998d-4713-a361-06f3ac2e5eef"],"itemData":{"DOI":"10.1016/j.clnu.2019.08.015","ISSN":"15321983","PMID":"31526611","abstract":"Background: Maternal vitamin D deficiency has been associated with an increased risk for preeclampsia. Despite this, the current evidence regarding the efficacy of vitamin D supplementation in preventing preeclampsia is controversial. To assess the impact of vitamin D supplementation on the risk of preeclampsia, we performed a systematic review of the literature and a meta-analysis of the available randomized clinical trials (RCTs). Methods: The primary outcome was preeclampsia. Subgroup analyses were carried out considering the timing of the supplementation, type of intervention and the study design. Meta-regression analysis, including the amount of vitamin D and maternal age, were planned to explore heterogeneity (PROSPERO database registration number: CRD42019119207). Results: Data were pooled from 27 RCTs comprising 59 arms, which included overall 4777 participants, of whom 2487 were in the vitamin D-treated arm and 2290 in the control arm. Vitamin D administration in pregnancy was associated with a reduced risk of preeclampsia (odd ratio [OR] 0.37, 95% confidence interval [CI]: 0.26, 0.52; I2 = 0%). If the vitamin D supplementation was started up to 20 weeks' gestation, the odds was a little lower (OR 0.35, 95% CI: 0.24, 0.50, p &lt; 0.001). The effect was largely independent of the supplementation cessation (until delivery or not), type of intervention (vitamin D alone or in association with calcium), and study design. Increasing dose of vitamin D was associated with reduced incidence of preeclampsia (slope of log OR: −1.1, 95% CI: −1.73, −0.46; p &lt; 0.001). Conclusions: Results suggest that vitamin D supplementation may be useful in preventing preeclampsia. These data are especially useful for health-care providers who engage in the management of pregnant women at risk for preeclampsia. Our findings are a call for action to definitively address vitamin D supplementation as a possible intervention strategy in preventing preeclampsia in pregnancy.","author":[{"dropping-particle":"","family":"Fogacci","given":"Silvia","non-dropping-particle":"","parse-names":false,"suffix":""},{"dropping-particle":"","family":"Fogacci","given":"Federica","non-dropping-particle":"","parse-names":false,"suffix":""},{"dropping-particle":"","family":"Banach","given":"Maciej","non-dropping-particle":"","parse-names":false,"suffix":""},{"dropping-particle":"","family":"Michos","given":"Erin D.","non-dropping-particle":"","parse-names":false,"suffix":""},{"dropping-particle":"V.","family":"Hernandez","given":"Adrian","non-dropping-particle":"","parse-names":false,"suffix":""},{"dropping-particle":"","family":"Lip","given":"Gregory Y.H.","non-dropping-particle":"","parse-names":false,"suffix":""},{"dropping-particle":"","family":"Blaha","given":"Michael J.","non-dropping-particle":"","parse-names":false,"suffix":""},{"dropping-particle":"","family":"Toth","given":"Peter P.","non-dropping-particle":"","parse-names":false,"suffix":""},{"dropping-particle":"","family":"Borghi","given":"Claudio","non-dropping-particle":"","parse-names":false,"suffix":""},{"dropping-particle":"","family":"Cicero","given":"Arrigo F.G.","non-dropping-particle":"","parse-names":false,"suffix":""}],"container-title":"Clinical Nutrition","id":"ITEM-1","issue":"6","issued":{"date-parts":[["2020"]]},"page":"1742-1752","publisher":"Elsevier Ltd","title":"Vitamin D supplementation and incident preeclampsia: A systematic review and meta-analysis of randomized clinical trials","type":"article-journal","volume":"39"}}],"schema":"https://github.com/citation-style-language/schema/raw/master/csl-citation.json"} </w:instrText>
      </w:r>
      <w:r w:rsidRPr="00D74DFF">
        <w:rPr>
          <w:rFonts w:eastAsia="Calibri"/>
          <w:lang w:val="es-ES" w:eastAsia="en-US"/>
        </w:rPr>
        <w:fldChar w:fldCharType="separate"/>
      </w:r>
      <w:r w:rsidR="00AD41A6">
        <w:rPr>
          <w:rFonts w:eastAsia="Calibri"/>
          <w:vertAlign w:val="superscript"/>
          <w:lang w:val="es-PE" w:eastAsia="en-US"/>
        </w:rPr>
        <w:t>28</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t xml:space="preserve"> ha demostrado tener un rol preventivo en la preeclamsia, sin embargo, dado los resultados, no se vio dicho efecto. </w:t>
      </w:r>
    </w:p>
    <w:p w14:paraId="311B23BA"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A partir de aquí se pueden abordar diferentes explicaciones. Por un lado, es probable que, si bien el estrés oxidativo esté presente en la preeclampsia, su papel no sea muy importante; por lo tanto, no sería posible que su reversión reduzca el riesgo de preeclampsia. Sin embargo, se debe considerar que hay estudios, que han demostrado su rol patogénico en las enfermedades crónicas, incluida esta, por lo que no se puede ignorar su importancia.</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{"citationID":"Z9RlUG8X","properties":{"formattedCitation":"\\super (24)\\nosupersub{}","plainCitation":"(24)","noteIndex":0},"citationItems":[{"id":"FRUDbNut/YuiKCUeX","uris":["http://www.mendeley.com/documents/?uuid=7f09d982-85e9-48a6-b5c5-7858decf88aa"],"uri":["http://www.mendeley.com/documents/?uuid=7f09d982-85e9-48a6-b5c5-7858decf88aa"],"itemData":{"DOI":"10.1016/j.ajog.2011.02.020","ISSN":"10976868","abstract":"Objective: To determine whether supplementation with vitamins C and E during pregnancy reduces the risk of preeclampsia and other adverse maternal and perinatal outcomes. Study Design: Systematic review and metaanalysis of randomized controlled trials. Results: Nine trials involving a total of 19,810 women were included. Overall, there were no significant differences between the vitamin and placebo groups in the risk of preeclampsia (9.6% vs 9.6%; relative risk, 1.00, 95% confidence interval, 0.921.09). Similar results were obtained when subgroup analyses were restricted to women at high risk or low/moderate risk for preeclampsia. Women supplemented with vitamins C and E were at increased risk of developing gestational hypertension and premature rupture of membranes, and decreased risk of abruptio placentae. There were no significant differences between the vitamin and placebo groups in the risk of other adverse maternal or fetal/perinatal outcomes. Conclusion: Supplementation with vitamins C and E during pregnancy does not prevent preeclampsia. © 2011 Published by Mosby, Inc.","author":[{"dropping-particle":"","family":"Conde-Agudelo","given":"Agustn","non-dropping-particle":"","parse-names":false,"suffix":""},{"dropping-particle":"","family":"Romero","given":"Roberto","non-dropping-particle":"","parse-names":false,"suffix":""},{"dropping-particle":"","family":"Kusanovic","given":"Juan Pedro","non-dropping-particle":"","parse-names":false,"suffix":""},{"dropping-particle":"","family":"Hassan","given":"Sonia S.","non-dropping-particle":"","parse-names":false,"suffix":""}],"container-title":"American Journal of Obstetrics and Gynecology","id":"ITEM-1","issue":"6","issued":{"date-parts":[["2011"]]},"page":"503.e1-503.e12","publisher":"Elsevier Inc.","title":"Supplementation with vitamins C and e during pregnancy for the prevention of preeclampsia and other adverse maternal and perinatal outcomes: A systematic review and metaanalysis","type":"article-journal","volume":"204"}}],"schema":"https://github.com/citation-style-language/schema/raw/master/csl-citation.json"}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(24)</w:t>
      </w:r>
      <w:r w:rsidRPr="00D74DFF">
        <w:rPr>
          <w:rFonts w:eastAsia="Calibri"/>
          <w:lang w:val="es-ES" w:eastAsia="en-US"/>
        </w:rPr>
        <w:fldChar w:fldCharType="end"/>
      </w:r>
      <w:r w:rsidRPr="00D74DFF">
        <w:rPr>
          <w:rFonts w:eastAsia="Calibri"/>
          <w:lang w:val="es-ES" w:eastAsia="en-US"/>
        </w:rPr>
        <w:t xml:space="preserve"> Frente a ello, otra explicación, </w:t>
      </w:r>
      <w:r w:rsidRPr="00D74DFF">
        <w:rPr>
          <w:rFonts w:eastAsia="Calibri"/>
          <w:color w:val="000000"/>
          <w:lang w:val="es-ES" w:eastAsia="en-US"/>
        </w:rPr>
        <w:t>y la más acertada, es el factor tiempo</w:t>
      </w:r>
      <w:r w:rsidRPr="00D74DFF">
        <w:rPr>
          <w:rFonts w:eastAsia="Calibri"/>
          <w:lang w:val="es-ES" w:eastAsia="en-US"/>
        </w:rPr>
        <w:t>; la ingesta de estas vitaminas en los ensayos clínicos inició después del embarazo. Justamente, se sabe que el rol nutricional es importante, pero no actúa de manera inmediata, necesita tiempo para ejercer su efecto.</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{"citationID":"AVFNuO0F","properties":{"formattedCitation":"\\super (24)\\nosupersub{}","plainCitation":"(24)","noteIndex":0},"citationItems":[{"id":"FRUDbNut/YuiKCUeX","uris":["http://www.mendeley.com/documents/?uuid=7f09d982-85e9-48a6-b5c5-7858decf88aa"],"uri":["http://www.mendeley.com/documents/?uuid=7f09d982-85e9-48a6-b5c5-7858decf88aa"],"itemData":{"DOI":"10.1016/j.ajog.2011.02.020","ISSN":"10976868","abstract":"Objective: To determine whether supplementation with vitamins C and E during pregnancy reduces the risk of preeclampsia and other adverse maternal and perinatal outcomes. Study Design: Systematic review and metaanalysis of randomized controlled trials. Results: Nine trials involving a total of 19,810 women were included. Overall, there were no significant differences between the vitamin and placebo groups in the risk of preeclampsia (9.6% vs 9.6%; relative risk, 1.00, 95% confidence interval, 0.921.09). Similar results were obtained when subgroup analyses were restricted to women at high risk or low/moderate risk for preeclampsia. Women supplemented with vitamins C and E were at increased risk of developing gestational hypertension and premature rupture of membranes, and decreased risk of abruptio placentae. There were no significant differences between the vitamin and placebo groups in the risk of other adverse maternal or fetal/perinatal outcomes. Conclusion: Supplementation with vitamins C and E during pregnancy does not prevent preeclampsia. © 2011 Published by Mosby, Inc.","author":[{"dropping-particle":"","family":"Conde-Agudelo","given":"Agustn","non-dropping-particle":"","parse-names":false,"suffix":""},{"dropping-particle":"","family":"Romero","given":"Roberto","non-dropping-particle":"","parse-names":false,"suffix":""},{"dropping-particle":"","family":"Kusanovic","given":"Juan Pedro","non-dropping-particle":"","parse-names":false,"suffix":""},{"dropping-particle":"","family":"Hassan","given":"Sonia S.","non-dropping-particle":"","parse-names":false,"suffix":""}],"container-title":"American Journal of Obstetrics and Gynecology","id":"ITEM-1","issue":"6","issued":{"date-parts":[["2011"]]},"page":"503.e1-503.e12","publisher":"Elsevier Inc.","title":"Supplementation with vitamins C and e during pregnancy for the prevention of preeclampsia and other adverse maternal and perinatal outcomes: A systematic review and metaanalysis","type":"article-journal","volume":"204"}}],"schema":"https://github.com/citation-style-language/schema/raw/master/csl-citation.json"}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(24)</w:t>
      </w:r>
      <w:r w:rsidRPr="00D74DFF">
        <w:rPr>
          <w:rFonts w:eastAsia="Calibri"/>
          <w:lang w:val="es-ES" w:eastAsia="en-US"/>
        </w:rPr>
        <w:fldChar w:fldCharType="end"/>
      </w:r>
      <w:r w:rsidRPr="00D74DFF">
        <w:rPr>
          <w:rFonts w:eastAsia="Calibri"/>
          <w:lang w:val="es-ES" w:eastAsia="en-US"/>
        </w:rPr>
        <w:t xml:space="preserve"> Si se inició la ingesta en el mismo periodo que inició el embarazo, es probable que no haya tiempo suficiente para actuar sobre la </w:t>
      </w:r>
      <w:proofErr w:type="spellStart"/>
      <w:r w:rsidRPr="00D74DFF">
        <w:rPr>
          <w:rFonts w:eastAsia="Calibri"/>
          <w:lang w:val="es-ES" w:eastAsia="en-US"/>
        </w:rPr>
        <w:t>placentogénesis</w:t>
      </w:r>
      <w:proofErr w:type="spellEnd"/>
      <w:r w:rsidRPr="00D74DFF">
        <w:rPr>
          <w:rFonts w:eastAsia="Calibri"/>
          <w:lang w:val="es-ES" w:eastAsia="en-US"/>
        </w:rPr>
        <w:fldChar w:fldCharType="begin" w:fldLock="1"/>
      </w:r>
      <w:r w:rsidRPr="00D74DFF">
        <w:rPr>
          <w:rFonts w:eastAsia="Calibri"/>
          <w:lang w:val="es-ES" w:eastAsia="en-US"/>
        </w:rPr>
        <w:instrText xml:space="preserve"> ADDIN ZOTERO_ITEM CSL_CITATION {"citationID":"0TMmBXTm","properties":{"formattedCitation":"\\super (13)\\nosupersub{}","plainCitation":"(13)","noteIndex":0},"citationItems":[{"id":"FRUDbNut/nnEL7nY1","uris":["http://www.mendeley.com/documents/?uuid=0faee3f1-2ef9-4670-9fd0-2c3ab6607dae"],"uri":["http://www.mendeley.com/documents/?uuid=0faee3f1-2ef9-4670-9fd0-2c3ab6607dae"],"itemData":{"DOI":"10.1111/j.1471-0528.2009.02158.x","ISSN":"14700328","PMID":"19432566","abstract":"Please cite this paper as: Villar J, Purwar M, Merialdi M, Zavaleta N, thi Nhu Ngoc N, Anthony J, De Greeff A, Poston L, Shennan A. World Health Organisation multicentre randomised trial of supplementation with vitamins C and E among pregnant women at high risk for pre-eclampsia in populations of low nutritional status from developing countries. BJOG 2009;116:780-788.Objective To determine if vitamin C and E supplementation in high-risk pregnant women with low nutritional status reduces pre-eclampsia. Design Multicentred, randomised, controlled, double-blinded trial. Setting Antenatal care clinics and Hospitals in four countries. Population Pregnant women between 14 and 22 weeks' gestation. Method Randomised women received 1000 mg vitamin C and 400 iu of vitamin E or placebo daily until delivery. Main outcome measures Pre-eclampsia, low birthweight, small for gestational age and perinatal death. Results Six hundred and eighty-seven women were randomised to the vitamin group and 678 to the placebo group. Groups had similar gestational ages (18.1; SD 2.4 weeks), socio-economic, clinical and demographical characteristics and blood pressure at trial entry. Risk factors for eligibility were similar, except for multiple pregnancies: placebo group (14.7%), vitamins group (11.8%). Previous pre-eclampsia, or its complications, was the most common risk factor at entry (vitamins 41.6%, placebo 41.3%). Treatment compliance was 87% in the two groups and loss to follow-up was low (vitamins 2.0%, placebo 1.3%). Supplementation was not associated with a reduction of pre-eclampsia (RR: 1.0; 95% CI: 0.9-1.3), eclampsia (RR: 1.5; 95% CI: 0.3-8.9), gestational hypertension (RR: 1.2; 95% CI: 0.9-1.7), nor any other maternal outcome. Low birthweight (RR: 0.9; 95% CI: 0.8-1.1), small for gestational age (RR: 0.9; 95% CI: 0.8-1.1) and perinatal deaths (RR: 0.8; 95% CI: 0.6-1.2) were also unaffected. Conclusion Vitamins C and E at the doses used did not prevent pre-eclampsia in these high-risk women. © RCOG 2009 BJOG An International Journal of Obstetrics and Gynaecology.","author":[{"dropping-particle":"","family":"Villar","given":"J.","non-dropping-particle":"","parse-names":false,"suffix":""},{"dropping-particle":"","family":"Purwar","given":"M.","non-dropping-particle":"","parse-names":false,"suffix":""},{"dropping-particle":"","family":"Merialdi","given":"M.","non-dropping-particle":"","parse-names":false,"suffix":""},{"dropping-particle":"","family":"Zavaleta","given":"N.","non-dropping-particle":"","parse-names":false,"suffix":""},{"dropping-particle":"","family":"Thi Nhu Ngoc","given":"N.","non-dropping-particle":"","parse-names":false,"suffix":""},{"dropping-particle":"","family":"Anthony","given":"J.","non-dropping-particle":"","parse-names":false,"suffix":""},{"dropping-particle":"","family":"Greeff","given":"A.","non-dropping-particle":"De","parse-names":false,"suffix":""},{"dropping-particle":"","family":"Poston","given":"L.","non-dropping-particle":"","parse-names":false,"suffix":""},{"dropping-particle":"","family":"Shennan","given":"A.","non-dropping-particle":"","parse-names":false,"suffix":""}],"container-title":"BJOG: An International Journal of Obstetrics and Gynaecology","id":"ITEM-1","issue":"6","issued":{"date-parts":[["2009"]]},"page":"780-788","title":"World Health Organisation multicentre randomised trial of supplementation with vitamins C and e among pregnant women at high risk for pre-eclampsia in populations of low nutritional status from developing countries","type":"article-journal","volume":"116"}}],"schema":"https://github.com/citation-style-language/schema/raw/master/csl-citation.json"}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(13)</w:t>
      </w:r>
      <w:r w:rsidRPr="00D74DFF">
        <w:rPr>
          <w:rFonts w:eastAsia="Calibri"/>
          <w:lang w:val="es-ES" w:eastAsia="en-US"/>
        </w:rPr>
        <w:fldChar w:fldCharType="end"/>
      </w:r>
      <w:r w:rsidRPr="00D74DFF">
        <w:rPr>
          <w:rFonts w:eastAsia="Calibri"/>
          <w:lang w:val="es-ES" w:eastAsia="en-US"/>
        </w:rPr>
        <w:t xml:space="preserve"> y prevenir el desarrollo de la preeclampsia.</w:t>
      </w:r>
    </w:p>
    <w:p w14:paraId="7936598E" w14:textId="6E9B74D1" w:rsidR="00D74DFF" w:rsidRPr="00D74DFF" w:rsidRDefault="00D74DFF" w:rsidP="00D74DFF">
      <w:pPr>
        <w:spacing w:line="360" w:lineRule="auto"/>
        <w:jc w:val="both"/>
        <w:rPr>
          <w:rFonts w:eastAsia="Calibri"/>
          <w:lang w:val="es-ES" w:eastAsia="en-US"/>
        </w:rPr>
      </w:pPr>
      <w:r w:rsidRPr="00D74DFF">
        <w:rPr>
          <w:rFonts w:eastAsia="Calibri"/>
          <w:lang w:val="es-ES" w:eastAsia="en-US"/>
        </w:rPr>
        <w:t>Por otro lado, no se puede ignorar el efecto que tiene la vitamina C y E sobre las enfermedades crónicas. Por citar un ejemplo, se ha encontrado que los pacientes con diabetes mellitus tipo 2 tienen niveles bajos de antioxidantes, por lo que se investigó la hipótesis de que estas deficiencias representan una compensación inadecuada de un aumento del estrés oxidativo.</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{"citationID":"qa2xmbRx","properties":{"formattedCitation":"\\super (31)\\nosupersub{}","plainCitation":"(31)","noteIndex":0},"citationItems":[{"id":"FRUDbNut/W4oUZxqg","uris":["http://www.mendeley.com/documents/?uuid=e4a57986-864d-422c-85da-5f1201dd6683"],"uri":["http://www.mendeley.com/documents/?uuid=e4a57986-864d-422c-85da-5f1201dd6683"],"itemData":{"DOI":"10.24875/GMM.M20000434","ISSN":"00163813","PMID":"33373348","abstract":"Health promotion and disease prevention are essential components of prenatal care. Maternal nutrient insufficiencies could negatively impact the morbidity and mortality of the mother-fetus pair as well as the health of the next generations. Although a healthy diet is usually sufficient to meet the increased nutrient needs, supplementation is part of routine care to ensure a healthy pregnancy and optimal fetal development. Currently, iron and folic acid supplementation is the only globally accepted recommendation for all pregnant women. However, there are vulnerable groups of women who could benefit from complemen-tary individualized supplementation schemes. Recently, relevant information has been published related to the supplementation of single and multiple micronutrients with significant effects on maternal and fetal health, which could have implications in the clinical practice of health professionals. This review presents scientific evidence and the recommendations of different entities on the supplementation of iron, folic acid, calcium, vitamin D and multiple micronutrient supplementation during pregnancy.","author":[{"dropping-particle":"","family":"Perichart-Perera","given":"Otilia","non-dropping-particle":"","parse-names":false,"suffix":""},{"dropping-particle":"","family":"Rodríguez-Cano","given":"Ameyalli M.","non-dropping-particle":"","parse-names":false,"suffix":""},{"dropping-particle":"","family":"Gutiérrez-Castrellón","given":"Pedro","non-dropping-particle":"","parse-names":false,"suffix":""}],"container-title":"Gaceta Medica de Mexico","id":"ITEM-1","issue":"Supl 3","issued":{"date-parts":[["2020"]]},"page":"S1-S26","title":"Relevance of nutritional supplements during pregnancy: Role of iron, folic acid, vitamin d, calcium and multiple micronutrients","type":"article-journal","volume":"156"}}],"schema":"https://github.com/citation-style-language/schema/raw/master/csl-citation.json"}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w:t>
      </w:r>
      <w:r w:rsidR="00AD41A6">
        <w:rPr>
          <w:rFonts w:eastAsia="Calibri"/>
          <w:vertAlign w:val="superscript"/>
          <w:lang w:val="es-PE" w:eastAsia="en-US"/>
        </w:rPr>
        <w:t>29</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t xml:space="preserve"> Frente a ello, en un ensayo clínico aleatorizado</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{"citationID":"WJwxYug2","properties":{"formattedCitation":"\\super (32)\\nosupersub{}","plainCitation":"(32)","noteIndex":0},"citationItems":[{"id":"FRUDbNut/5ZNOrdFE","uris":["http://www.mendeley.com/documents/?uuid=89675fd8-435a-42f6-8e01-0e1e9f564fee"],"uri":["http://www.mendeley.com/documents/?uuid=89675fd8-435a-42f6-8e01-0e1e9f564fee"],"itemData":{"DOI":"10.1155/2011/195271","ISSN":"16876334","abstract":"No study has ever examined the effect of vitamin C with metformin on fasting (FBS) and postmeal blood glucose (PMBG) as well as glycosylated hemoglobin (HbA1c) in the treatment of type 2 diabetes mellitus (DM). The goal was to examine the effect of oral vitamin C with metformin on FBS, PMBG, HbA1c, and plasma ascorbic acid level (PAA) with type 2 DM. Seventy patients with type 2 DM participated in a prospective, double-blind, placebo-controlled, 12-week study. The patients with type 2 DM were divided randomly into placebo and vitamin C group of 35 each. Both groups received the treatment for twelve weeks. Decreased PAA levels were found in patients with type 2 diabetes mellitus. This level was reversed significantly after treatment with vitamin C along with metformin compared to placebo with metformin. FBS, PMBG, and HbA1c levels showed significant improvement after 12 weeks of treatment with vitamin C. In conclusion, oral supplementation of vitamin C with metformin reverses ascorbic acid levels, reduces FBS, PMBG, and improves HbA1c. Hence, both the drugs in combination may be used in the treatment of type 2 DM to maintain good glycemic control. © 2011 Ganesh N. Dakhale et al.","author":[{"dropping-particle":"","family":"Dakhale","given":"Ganesh N.","non-dropping-particle":"","parse-names":false,"suffix":""},{"dropping-particle":"V.","family":"Chaudhari","given":"Harshal","non-dropping-particle":"","parse-names":false,"suffix":""},{"dropping-particle":"","family":"Shrivastava","given":"Meena","non-dropping-particle":"","parse-names":false,"suffix":""}],"container-title":"Advances in Pharmacological Sciences","id":"ITEM-1","issued":{"date-parts":[["2011"]]},"title":"Supplementation of vitamin C reduces blood glucose and improves glycosylated hemoglobin in type 2 diabetes mellitus: A randomized, double-blind study","type":"article-journal","volume":"2011"}}],"schema":"https://github.com/citation-style-language/schema/raw/master/csl-citation.json"}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(3</w:t>
      </w:r>
      <w:r w:rsidR="00AD41A6">
        <w:rPr>
          <w:rFonts w:eastAsia="Calibri"/>
          <w:vertAlign w:val="superscript"/>
          <w:lang w:val="es-PE" w:eastAsia="en-US"/>
        </w:rPr>
        <w:t>0</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t xml:space="preserve"> se mostró que los pacientes diabéticos que recibieron suplementación con vitamina C (</w:t>
      </w:r>
      <w:r w:rsidRPr="00D74DFF">
        <w:rPr>
          <w:rFonts w:eastAsia="Calibri"/>
          <w:color w:val="000000"/>
          <w:lang w:val="es-ES" w:eastAsia="en-US"/>
        </w:rPr>
        <w:t xml:space="preserve">1 000 mg) </w:t>
      </w:r>
      <w:r w:rsidRPr="00D74DFF">
        <w:rPr>
          <w:rFonts w:eastAsia="Calibri"/>
          <w:lang w:val="es-ES" w:eastAsia="en-US"/>
        </w:rPr>
        <w:t xml:space="preserve">presentaban niveles más bajos de glucosa en sangre, a diferencia de los que no lo tomaron. </w:t>
      </w:r>
    </w:p>
    <w:p w14:paraId="35168543" w14:textId="3374AAEB" w:rsidR="00D74DFF" w:rsidRPr="00D74DFF" w:rsidRDefault="00D74DFF" w:rsidP="00D74DFF">
      <w:pPr>
        <w:spacing w:line="360" w:lineRule="auto"/>
        <w:jc w:val="both"/>
        <w:rPr>
          <w:rFonts w:eastAsia="Calibri"/>
          <w:lang w:val="es-ES" w:eastAsia="en-US"/>
        </w:rPr>
      </w:pPr>
      <w:r w:rsidRPr="00D74DFF">
        <w:rPr>
          <w:rFonts w:eastAsia="Calibri"/>
          <w:lang w:val="es-ES" w:eastAsia="en-US"/>
        </w:rPr>
        <w:t>Es importante reconocer que en el embarazo existe mayor demanda nutricional, en el que una alimentación materna inadecuada estaría más propensa a complicaciones, como preeclampsia, partos prematuros e incluso aumento de mortalidad.</w:t>
      </w:r>
      <w:r w:rsidRPr="00D74DFF">
        <w:rPr>
          <w:rFonts w:eastAsia="Calibri"/>
          <w:lang w:val="es-ES" w:eastAsia="en-US"/>
        </w:rPr>
        <w:fldChar w:fldCharType="begin" w:fldLock="1"/>
      </w:r>
      <w:r w:rsidRPr="00D74DFF">
        <w:rPr>
          <w:rFonts w:eastAsia="Calibri"/>
          <w:lang w:val="es-ES" w:eastAsia="en-US"/>
        </w:rPr>
        <w:instrText xml:space="preserve"> ADDIN ZOTERO_ITEM CSL_CITATION {"citationID":"45CLmRUl","properties":{"formattedCitation":"\\super (33)\\nosupersub{}","plainCitation":"(33)","noteIndex":0},"citationItems":[{"id":"FRUDbNut/xTjcs8LG","uris":["http://www.mendeley.com/documents/?uuid=07c2b775-e143-4d03-a314-6bb17dc85352"],"uri":["http://www.mendeley.com/documents/?uuid=07c2b775-e143-4d03-a314-6bb17dc85352"],"itemData":{"DOI":"10.3390/nu7115467","ISSN":"20726643","PMID":"26593940","abstract":"Exposure to environmental factors in early life can influence developmental processes and long-term health in humans. Early life nutrition and maternal diet are well-known examples of conditions shown to influence the risk of developing metabolic diseases, including type 2 diabetes mellitus and cardiovascular diseases, in adulthood. It is increasingly accepted that environmental compounds, including nutrients, can produce changes in the genome activity that, in spite of not altering the DNA sequence, can produce important, stable and, in some instances, transgenerational alterations in the phenotype. Epigenetics refers to changes in gene function that cannot be explained by changes in the DNA sequence, with DNA methylation patterns/histone modifications that can make important contributions to epigenetic memory. The epigenome can be considered as an interface between the genome and the environment that is central to the generation of phenotypes and their stability throughout the life course. To better understand the role of maternal health and nutrition in the initiation and progression of diseases in childhood and adulthood, it is necessary to identify the physiological and/or pathological roles of specific nutrients on the epigenome and how dietary interventions in utero and early life could modulate disease risk through epigenomic alteration.","author":[{"dropping-particle":"","family":"Lee","given":"Ho Sun","non-dropping-particle":"","parse-names":false,"suffix":""}],"container-title":"Nutrients","id":"ITEM-1","issue":"11","issued":{"date-parts":[["2015"]]},"page":"9492-9507","title":"Impact of maternal diet on the epigenome during in utero life and the developmental programming of diseases in childhood and adulthood","type":"article-journal","volume":"7"}}],"schema":"https://github.com/citation-style-language/schema/raw/master/csl-citation.json"} </w:instrText>
      </w:r>
      <w:r w:rsidRPr="00D74DFF">
        <w:rPr>
          <w:rFonts w:eastAsia="Calibri"/>
          <w:lang w:val="es-ES" w:eastAsia="en-US"/>
        </w:rPr>
        <w:fldChar w:fldCharType="separate"/>
      </w:r>
      <w:r w:rsidRPr="00D74DFF">
        <w:rPr>
          <w:rFonts w:eastAsia="Calibri"/>
          <w:vertAlign w:val="superscript"/>
          <w:lang w:val="es-PE" w:eastAsia="en-US"/>
        </w:rPr>
        <w:t>(3</w:t>
      </w:r>
      <w:r w:rsidR="00AD41A6">
        <w:rPr>
          <w:rFonts w:eastAsia="Calibri"/>
          <w:vertAlign w:val="superscript"/>
          <w:lang w:val="es-PE" w:eastAsia="en-US"/>
        </w:rPr>
        <w:t>1</w:t>
      </w:r>
      <w:r w:rsidRPr="00D74DFF">
        <w:rPr>
          <w:rFonts w:eastAsia="Calibri"/>
          <w:vertAlign w:val="superscript"/>
          <w:lang w:val="es-PE" w:eastAsia="en-US"/>
        </w:rPr>
        <w:t>)</w:t>
      </w:r>
      <w:r w:rsidRPr="00D74DFF">
        <w:rPr>
          <w:rFonts w:eastAsia="Calibri"/>
          <w:lang w:val="es-ES" w:eastAsia="en-US"/>
        </w:rPr>
        <w:fldChar w:fldCharType="end"/>
      </w:r>
      <w:r w:rsidRPr="00D74DFF">
        <w:rPr>
          <w:rFonts w:eastAsia="Calibri"/>
          <w:lang w:val="es-ES" w:eastAsia="en-US"/>
        </w:rPr>
        <w:t xml:space="preserve"> Por ello, también es importante cuantificar los niveles de vitaminas en este grupo de pacientes.</w:t>
      </w:r>
    </w:p>
    <w:p w14:paraId="3C032BBD"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 xml:space="preserve">El presente trabajo presenta las siguientes limitaciones: en primer lugar, varios de los estudios seleccionados presentaron diferencias de cómo fueron seleccionados los criterios para definir la preeclampsia. Incluso, uno de ellos no mencionaba cómo fue medido dicho resultado. En segundo lugar, </w:t>
      </w:r>
      <w:r w:rsidRPr="00D74DFF">
        <w:rPr>
          <w:rFonts w:eastAsia="Calibri"/>
          <w:lang w:val="es-ES" w:eastAsia="en-US"/>
        </w:rPr>
        <w:lastRenderedPageBreak/>
        <w:t>existen diferencias en la variación de los tamaños de muestra, el mínimo fue 109 mujeres y el máximo 2 640. Otro aspecto es la duración de la terapia con la suplementación de vitamina C y E, algunas fueron reclutadas entre las 12 y 22 semanas de embarazo, hasta el momento del nacimiento. Esta variación puede ser debido a falta de conocimiento sobre estos aspectos por parte de la comunidad científica.</w:t>
      </w:r>
    </w:p>
    <w:p w14:paraId="60B1C7AD" w14:textId="77777777" w:rsidR="00D74DFF" w:rsidRPr="00D74DFF" w:rsidRDefault="00D74DFF" w:rsidP="00D74DFF">
      <w:pPr>
        <w:spacing w:line="360" w:lineRule="auto"/>
        <w:jc w:val="both"/>
        <w:rPr>
          <w:rFonts w:eastAsia="Calibri"/>
          <w:lang w:val="es-ES" w:eastAsia="en-US"/>
        </w:rPr>
      </w:pPr>
      <w:r w:rsidRPr="00D74DFF">
        <w:rPr>
          <w:rFonts w:eastAsia="Calibri"/>
          <w:lang w:val="es-ES" w:eastAsia="en-US"/>
        </w:rPr>
        <w:t>A pesar de estas limitaciones, la fiabilidad de los resultados está respaldada por el uso de la metodología más rigurosa para realizar una revisión sistemática de ensayos controlados aleatorizados; la inclusión de ensayos planificados que investigaron la eficacia de las vitaminas C y E para la prevención de preeclampsia y los estrechos intervalos de confianza obtenidos, que hicieron que estos resultados sean más precisos.</w:t>
      </w:r>
    </w:p>
    <w:p w14:paraId="1F4625C5"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 xml:space="preserve">La suplementación dual de vitamina C y E no previene la preeclamsia en gestantes con riesgo de padecer la enfermedad. </w:t>
      </w:r>
    </w:p>
    <w:p w14:paraId="6123BBF3" w14:textId="77777777" w:rsidR="00D74DFF" w:rsidRPr="00D74DFF" w:rsidRDefault="00D74DFF" w:rsidP="00D74DFF">
      <w:pPr>
        <w:spacing w:line="360" w:lineRule="auto"/>
        <w:rPr>
          <w:rFonts w:eastAsia="Calibri"/>
          <w:b/>
          <w:bCs/>
          <w:lang w:val="es-PE" w:eastAsia="en-US"/>
        </w:rPr>
      </w:pPr>
    </w:p>
    <w:p w14:paraId="32EE3AC3" w14:textId="77777777" w:rsidR="00D74DFF" w:rsidRPr="00D74DFF" w:rsidRDefault="00D74DFF" w:rsidP="00D74DFF">
      <w:pPr>
        <w:spacing w:line="360" w:lineRule="auto"/>
        <w:jc w:val="center"/>
        <w:rPr>
          <w:rFonts w:eastAsia="Calibri"/>
          <w:b/>
          <w:bCs/>
          <w:sz w:val="32"/>
          <w:szCs w:val="32"/>
          <w:lang w:val="es-CU" w:eastAsia="en-US"/>
        </w:rPr>
      </w:pPr>
    </w:p>
    <w:p w14:paraId="78510A60" w14:textId="77777777" w:rsidR="00D74DFF" w:rsidRPr="00D74DFF" w:rsidRDefault="00D74DFF" w:rsidP="00D74DFF">
      <w:pPr>
        <w:spacing w:line="360" w:lineRule="auto"/>
        <w:jc w:val="center"/>
        <w:rPr>
          <w:rFonts w:eastAsia="Calibri"/>
          <w:b/>
          <w:bCs/>
          <w:sz w:val="32"/>
          <w:szCs w:val="32"/>
          <w:lang w:val="en-US" w:eastAsia="en-US"/>
        </w:rPr>
      </w:pPr>
      <w:r w:rsidRPr="00D74DFF">
        <w:rPr>
          <w:rFonts w:eastAsia="Calibri"/>
          <w:b/>
          <w:bCs/>
          <w:sz w:val="32"/>
          <w:szCs w:val="32"/>
          <w:lang w:val="en-US" w:eastAsia="en-US"/>
        </w:rPr>
        <w:t>REFERENCIAS BIBLIOGRÁFICAS</w:t>
      </w:r>
    </w:p>
    <w:p w14:paraId="58080646" w14:textId="77777777" w:rsidR="00D74DFF" w:rsidRPr="00D74DFF" w:rsidRDefault="00D74DFF" w:rsidP="00D74DFF">
      <w:pPr>
        <w:spacing w:line="360" w:lineRule="auto"/>
        <w:jc w:val="both"/>
        <w:rPr>
          <w:rFonts w:eastAsia="Calibri"/>
          <w:lang w:val="en-US" w:eastAsia="en-US"/>
        </w:rPr>
      </w:pPr>
      <w:r w:rsidRPr="00D74DFF">
        <w:rPr>
          <w:rFonts w:eastAsia="Calibri"/>
          <w:lang w:val="en-US" w:eastAsia="en-US"/>
        </w:rPr>
        <w:t>1. ACOG. Clinical Management Guidelines for Obstetrician – Gynecologists. Obstetrics &amp; Gynecology. 2019; 133(76):168–86. DOI: 10.1097/00006250-200610000-00046</w:t>
      </w:r>
    </w:p>
    <w:p w14:paraId="46E59FF1"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2. </w:t>
      </w:r>
      <w:proofErr w:type="spellStart"/>
      <w:r w:rsidRPr="00D74DFF">
        <w:rPr>
          <w:rFonts w:eastAsia="Calibri"/>
          <w:lang w:val="en-US" w:eastAsia="en-US"/>
        </w:rPr>
        <w:t>Norwitz</w:t>
      </w:r>
      <w:proofErr w:type="spellEnd"/>
      <w:r w:rsidRPr="00D74DFF">
        <w:rPr>
          <w:rFonts w:eastAsia="Calibri"/>
          <w:lang w:val="en-US" w:eastAsia="en-US"/>
        </w:rPr>
        <w:t xml:space="preserve"> ER, </w:t>
      </w:r>
      <w:proofErr w:type="spellStart"/>
      <w:r w:rsidRPr="00D74DFF">
        <w:rPr>
          <w:rFonts w:eastAsia="Calibri"/>
          <w:lang w:val="en-US" w:eastAsia="en-US"/>
        </w:rPr>
        <w:t>Repke</w:t>
      </w:r>
      <w:proofErr w:type="spellEnd"/>
      <w:r w:rsidRPr="00D74DFF">
        <w:rPr>
          <w:rFonts w:eastAsia="Calibri"/>
          <w:lang w:val="en-US" w:eastAsia="en-US"/>
        </w:rPr>
        <w:t xml:space="preserve"> JT. Preeclampsia Prevention and Management. Journal of the Society for Gynecologic Investigation. 2000; 7(1):21–36. DOI: 10.1177/107155760000700105</w:t>
      </w:r>
    </w:p>
    <w:p w14:paraId="7235CBB2"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3. Ives CW, </w:t>
      </w:r>
      <w:proofErr w:type="spellStart"/>
      <w:r w:rsidRPr="00D74DFF">
        <w:rPr>
          <w:rFonts w:eastAsia="Calibri"/>
          <w:lang w:val="en-US" w:eastAsia="en-US"/>
        </w:rPr>
        <w:t>Sinkey</w:t>
      </w:r>
      <w:proofErr w:type="spellEnd"/>
      <w:r w:rsidRPr="00D74DFF">
        <w:rPr>
          <w:rFonts w:eastAsia="Calibri"/>
          <w:lang w:val="en-US" w:eastAsia="en-US"/>
        </w:rPr>
        <w:t xml:space="preserve"> R, </w:t>
      </w:r>
      <w:proofErr w:type="spellStart"/>
      <w:r w:rsidRPr="00D74DFF">
        <w:rPr>
          <w:rFonts w:eastAsia="Calibri"/>
          <w:lang w:val="en-US" w:eastAsia="en-US"/>
        </w:rPr>
        <w:t>Rajapreyar</w:t>
      </w:r>
      <w:proofErr w:type="spellEnd"/>
      <w:r w:rsidRPr="00D74DFF">
        <w:rPr>
          <w:rFonts w:eastAsia="Calibri"/>
          <w:lang w:val="en-US" w:eastAsia="en-US"/>
        </w:rPr>
        <w:t xml:space="preserve"> I, </w:t>
      </w:r>
      <w:proofErr w:type="spellStart"/>
      <w:r w:rsidRPr="00D74DFF">
        <w:rPr>
          <w:rFonts w:eastAsia="Calibri"/>
          <w:lang w:val="en-US" w:eastAsia="en-US"/>
        </w:rPr>
        <w:t>Tita</w:t>
      </w:r>
      <w:proofErr w:type="spellEnd"/>
      <w:r w:rsidRPr="00D74DFF">
        <w:rPr>
          <w:rFonts w:eastAsia="Calibri"/>
          <w:lang w:val="en-US" w:eastAsia="en-US"/>
        </w:rPr>
        <w:t xml:space="preserve"> </w:t>
      </w:r>
      <w:proofErr w:type="spellStart"/>
      <w:r w:rsidRPr="00D74DFF">
        <w:rPr>
          <w:rFonts w:eastAsia="Calibri"/>
          <w:lang w:val="en-US" w:eastAsia="en-US"/>
        </w:rPr>
        <w:t>ATN</w:t>
      </w:r>
      <w:proofErr w:type="spellEnd"/>
      <w:r w:rsidRPr="00D74DFF">
        <w:rPr>
          <w:rFonts w:eastAsia="Calibri"/>
          <w:lang w:val="en-US" w:eastAsia="en-US"/>
        </w:rPr>
        <w:t xml:space="preserve">, </w:t>
      </w:r>
      <w:proofErr w:type="spellStart"/>
      <w:r w:rsidRPr="00D74DFF">
        <w:rPr>
          <w:rFonts w:eastAsia="Calibri"/>
          <w:lang w:val="en-US" w:eastAsia="en-US"/>
        </w:rPr>
        <w:t>Oparil</w:t>
      </w:r>
      <w:proofErr w:type="spellEnd"/>
      <w:r w:rsidRPr="00D74DFF">
        <w:rPr>
          <w:rFonts w:eastAsia="Calibri"/>
          <w:lang w:val="en-US" w:eastAsia="en-US"/>
        </w:rPr>
        <w:t xml:space="preserve"> S. Preeclampsia Pathophysiology and Clinical Presentations: JACC State of the Art Review. Journal of the American College of Cardiology. 2020; 76(14):1690–702. DOI: 10.1016/j.jacc.2020.08.014</w:t>
      </w:r>
    </w:p>
    <w:p w14:paraId="14D46221" w14:textId="66424C52" w:rsidR="00D74DFF" w:rsidRPr="00D74DFF" w:rsidRDefault="00D74DFF" w:rsidP="00D74DFF">
      <w:pPr>
        <w:spacing w:line="360" w:lineRule="auto"/>
        <w:rPr>
          <w:rFonts w:eastAsia="Calibri"/>
          <w:lang w:val="es-PE" w:eastAsia="en-US"/>
        </w:rPr>
      </w:pPr>
      <w:r w:rsidRPr="00D74DFF">
        <w:rPr>
          <w:rFonts w:eastAsia="Calibri"/>
          <w:lang w:val="es-PE" w:eastAsia="en-US"/>
        </w:rPr>
        <w:t xml:space="preserve">4. </w:t>
      </w:r>
      <w:proofErr w:type="spellStart"/>
      <w:r w:rsidRPr="00D74DFF">
        <w:rPr>
          <w:rFonts w:eastAsia="Calibri"/>
          <w:lang w:val="es-PE" w:eastAsia="en-US"/>
        </w:rPr>
        <w:t>Kirby</w:t>
      </w:r>
      <w:proofErr w:type="spellEnd"/>
      <w:r w:rsidRPr="00D74DFF">
        <w:rPr>
          <w:rFonts w:eastAsia="Calibri"/>
          <w:lang w:val="es-PE" w:eastAsia="en-US"/>
        </w:rPr>
        <w:t xml:space="preserve"> Ojeda CP. Síndrome hipertensivo del embarazo en Ecuador y Latinoamérica</w:t>
      </w:r>
      <w:r w:rsidR="00763AA1">
        <w:rPr>
          <w:rFonts w:eastAsia="Calibri"/>
          <w:lang w:val="es-PE" w:eastAsia="en-US"/>
        </w:rPr>
        <w:t xml:space="preserve"> [</w:t>
      </w:r>
      <w:r w:rsidR="00763AA1" w:rsidRPr="00D74DFF">
        <w:rPr>
          <w:rFonts w:eastAsia="Calibri"/>
          <w:lang w:val="es-PE" w:eastAsia="en-US"/>
        </w:rPr>
        <w:t>Tesis Universitaria</w:t>
      </w:r>
      <w:r w:rsidR="00763AA1">
        <w:rPr>
          <w:rFonts w:eastAsia="Calibri"/>
          <w:lang w:val="es-PE" w:eastAsia="en-US"/>
        </w:rPr>
        <w:t>]</w:t>
      </w:r>
      <w:r w:rsidRPr="00D74DFF">
        <w:rPr>
          <w:rFonts w:eastAsia="Calibri"/>
          <w:lang w:val="es-PE" w:eastAsia="en-US"/>
        </w:rPr>
        <w:t xml:space="preserve">. </w:t>
      </w:r>
      <w:r w:rsidR="00763AA1">
        <w:rPr>
          <w:rFonts w:eastAsia="Calibri"/>
          <w:lang w:val="es-PE" w:eastAsia="en-US"/>
        </w:rPr>
        <w:t xml:space="preserve">Machala: Universidad Técnica de Machala; </w:t>
      </w:r>
      <w:r w:rsidRPr="00D74DFF">
        <w:rPr>
          <w:rFonts w:eastAsia="Calibri"/>
          <w:lang w:val="es-PE" w:eastAsia="en-US"/>
        </w:rPr>
        <w:t>2019</w:t>
      </w:r>
      <w:r w:rsidR="00763AA1">
        <w:rPr>
          <w:rFonts w:eastAsia="Calibri"/>
          <w:lang w:val="es-PE" w:eastAsia="en-US"/>
        </w:rPr>
        <w:t>.</w:t>
      </w:r>
      <w:r w:rsidRPr="00D74DFF">
        <w:rPr>
          <w:rFonts w:eastAsia="Calibri"/>
          <w:lang w:val="es-PE" w:eastAsia="en-US"/>
        </w:rPr>
        <w:t xml:space="preserve"> [acceso: 16/09/2021]</w:t>
      </w:r>
      <w:r w:rsidR="00763AA1">
        <w:rPr>
          <w:rFonts w:eastAsia="Calibri"/>
          <w:lang w:val="es-PE" w:eastAsia="en-US"/>
        </w:rPr>
        <w:t>.</w:t>
      </w:r>
      <w:r w:rsidRPr="00D74DFF">
        <w:rPr>
          <w:rFonts w:eastAsia="Calibri"/>
          <w:lang w:val="es-PE" w:eastAsia="en-US"/>
        </w:rPr>
        <w:t xml:space="preserve"> Disponible en: </w:t>
      </w:r>
      <w:hyperlink r:id="rId25" w:history="1">
        <w:r w:rsidRPr="00D74DFF">
          <w:rPr>
            <w:rFonts w:eastAsia="Calibri"/>
            <w:color w:val="0563C1"/>
            <w:u w:val="single"/>
            <w:lang w:val="es-PE" w:eastAsia="en-US"/>
          </w:rPr>
          <w:t>http://repositorio.utmachala.edu.ec/handle/48000/13616</w:t>
        </w:r>
      </w:hyperlink>
      <w:r w:rsidRPr="00D74DFF">
        <w:rPr>
          <w:rFonts w:eastAsia="Calibri"/>
          <w:lang w:val="es-PE" w:eastAsia="en-US"/>
        </w:rPr>
        <w:t xml:space="preserve">  </w:t>
      </w:r>
    </w:p>
    <w:p w14:paraId="32C54635"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 xml:space="preserve">5. Cantillano Aburto VM., Meléndez AIO. Factores de riesgo asociados a </w:t>
      </w:r>
      <w:proofErr w:type="spellStart"/>
      <w:r w:rsidRPr="00D74DFF">
        <w:rPr>
          <w:rFonts w:eastAsia="Calibri"/>
          <w:lang w:val="es-PE" w:eastAsia="en-US"/>
        </w:rPr>
        <w:t>Preclampsia</w:t>
      </w:r>
      <w:proofErr w:type="spellEnd"/>
      <w:r w:rsidRPr="00D74DFF">
        <w:rPr>
          <w:rFonts w:eastAsia="Calibri"/>
          <w:lang w:val="es-PE" w:eastAsia="en-US"/>
        </w:rPr>
        <w:t xml:space="preserve">-eclampsia en mujeres hospitalizadas en el Hospital Alemán Nicaragüense, durante el periodo comprendido de </w:t>
      </w:r>
      <w:r w:rsidRPr="00D74DFF">
        <w:rPr>
          <w:rFonts w:eastAsia="Calibri"/>
          <w:lang w:val="es-PE" w:eastAsia="en-US"/>
        </w:rPr>
        <w:lastRenderedPageBreak/>
        <w:t xml:space="preserve">noviembre 2018 a febrero del 2019 [Tesis Universitaria]. Managua: Universidad Nacional Autónoma de Nicaragua; 2019. [acceso: 16/09/2021]. Disponible en: </w:t>
      </w:r>
      <w:hyperlink r:id="rId26" w:history="1">
        <w:r w:rsidRPr="00D74DFF">
          <w:rPr>
            <w:rFonts w:eastAsia="Calibri"/>
            <w:color w:val="0563C1"/>
            <w:u w:val="single"/>
            <w:lang w:val="es-PE" w:eastAsia="en-US"/>
          </w:rPr>
          <w:t>https://repositorio.unan.edu.ni/11144/</w:t>
        </w:r>
      </w:hyperlink>
      <w:r w:rsidRPr="00D74DFF">
        <w:rPr>
          <w:rFonts w:eastAsia="Calibri"/>
          <w:lang w:val="es-PE" w:eastAsia="en-US"/>
        </w:rPr>
        <w:t xml:space="preserve"> </w:t>
      </w:r>
    </w:p>
    <w:p w14:paraId="55233E43"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 xml:space="preserve">6. </w:t>
      </w:r>
      <w:proofErr w:type="spellStart"/>
      <w:r w:rsidRPr="00D74DFF">
        <w:rPr>
          <w:rFonts w:eastAsia="Calibri"/>
          <w:lang w:val="es-PE" w:eastAsia="en-US"/>
        </w:rPr>
        <w:t>Vasquez</w:t>
      </w:r>
      <w:proofErr w:type="spellEnd"/>
      <w:r w:rsidRPr="00D74DFF">
        <w:rPr>
          <w:rFonts w:eastAsia="Calibri"/>
          <w:lang w:val="es-PE" w:eastAsia="en-US"/>
        </w:rPr>
        <w:t xml:space="preserve"> </w:t>
      </w:r>
      <w:proofErr w:type="spellStart"/>
      <w:r w:rsidRPr="00D74DFF">
        <w:rPr>
          <w:rFonts w:eastAsia="Calibri"/>
          <w:lang w:val="es-PE" w:eastAsia="en-US"/>
        </w:rPr>
        <w:t>Martinez</w:t>
      </w:r>
      <w:proofErr w:type="spellEnd"/>
      <w:r w:rsidRPr="00D74DFF">
        <w:rPr>
          <w:rFonts w:eastAsia="Calibri"/>
          <w:lang w:val="es-PE" w:eastAsia="en-US"/>
        </w:rPr>
        <w:t xml:space="preserve"> J. Prevalencia De Preeclampsia En Embarazadas En El Servicio De </w:t>
      </w:r>
      <w:proofErr w:type="spellStart"/>
      <w:r w:rsidRPr="00D74DFF">
        <w:rPr>
          <w:rFonts w:eastAsia="Calibri"/>
          <w:lang w:val="es-PE" w:eastAsia="en-US"/>
        </w:rPr>
        <w:t>Ginecologia</w:t>
      </w:r>
      <w:proofErr w:type="spellEnd"/>
      <w:r w:rsidRPr="00D74DFF">
        <w:rPr>
          <w:rFonts w:eastAsia="Calibri"/>
          <w:lang w:val="es-PE" w:eastAsia="en-US"/>
        </w:rPr>
        <w:t xml:space="preserve"> Y Obstetricia Del Hospital Central Del Instituto De Previsión Social, 2017; 2018 [Trabajo de fin de grado]. Paraguay: Universidad Nacional de Caaguazú, Facultad de Ciencias Médicas; 2018 [acceso: 16/09/2021]. Disponible en: </w:t>
      </w:r>
      <w:hyperlink r:id="rId27" w:history="1">
        <w:r w:rsidRPr="00D74DFF">
          <w:rPr>
            <w:rFonts w:eastAsia="Calibri"/>
            <w:color w:val="0563C1"/>
            <w:u w:val="single"/>
            <w:lang w:val="es-PE" w:eastAsia="en-US"/>
          </w:rPr>
          <w:t>https://docs.bvsalud.org/biblioref/2019/10/1021596/prevalencia-de-preeclampsia-en-embarazadas-en-el-servicio-de-g_rJ6BEgR.pdf</w:t>
        </w:r>
      </w:hyperlink>
      <w:r w:rsidRPr="00D74DFF">
        <w:rPr>
          <w:rFonts w:eastAsia="Calibri"/>
          <w:lang w:val="es-PE" w:eastAsia="en-US"/>
        </w:rPr>
        <w:t xml:space="preserve"> </w:t>
      </w:r>
    </w:p>
    <w:p w14:paraId="44187678"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 xml:space="preserve">7. </w:t>
      </w:r>
      <w:proofErr w:type="spellStart"/>
      <w:r w:rsidRPr="00D74DFF">
        <w:rPr>
          <w:rFonts w:eastAsia="Calibri"/>
          <w:lang w:val="es-PE" w:eastAsia="en-US"/>
        </w:rPr>
        <w:t>Herrrera</w:t>
      </w:r>
      <w:proofErr w:type="spellEnd"/>
      <w:r w:rsidRPr="00D74DFF">
        <w:rPr>
          <w:rFonts w:eastAsia="Calibri"/>
          <w:lang w:val="es-PE" w:eastAsia="en-US"/>
        </w:rPr>
        <w:t xml:space="preserve"> MM. Mortalidad materna en el mundo. Revista chilena de obstetricia y ginecología. 2003; 68(6):536–43. DOI:10.4067/S0717-75262003000600015</w:t>
      </w:r>
    </w:p>
    <w:p w14:paraId="7985A32C" w14:textId="77777777" w:rsidR="00D74DFF" w:rsidRPr="00D74DFF" w:rsidRDefault="00D74DFF" w:rsidP="00D74DFF">
      <w:pPr>
        <w:spacing w:line="360" w:lineRule="auto"/>
        <w:rPr>
          <w:rFonts w:eastAsia="Calibri"/>
          <w:lang w:val="en-US" w:eastAsia="en-US"/>
        </w:rPr>
      </w:pPr>
      <w:r w:rsidRPr="00D74DFF">
        <w:rPr>
          <w:rFonts w:eastAsia="Calibri"/>
          <w:lang w:val="es-PE" w:eastAsia="en-US"/>
        </w:rPr>
        <w:t xml:space="preserve">8. Guevara </w:t>
      </w:r>
      <w:proofErr w:type="spellStart"/>
      <w:r w:rsidRPr="00D74DFF">
        <w:rPr>
          <w:rFonts w:eastAsia="Calibri"/>
          <w:lang w:val="es-PE" w:eastAsia="en-US"/>
        </w:rPr>
        <w:t>Rios</w:t>
      </w:r>
      <w:proofErr w:type="spellEnd"/>
      <w:r w:rsidRPr="00D74DFF">
        <w:rPr>
          <w:rFonts w:eastAsia="Calibri"/>
          <w:lang w:val="es-PE" w:eastAsia="en-US"/>
        </w:rPr>
        <w:t xml:space="preserve"> E. Impacto de la pandemia en la salud materna en el Perú. </w:t>
      </w:r>
      <w:r w:rsidRPr="00D74DFF">
        <w:rPr>
          <w:rFonts w:eastAsia="Calibri"/>
          <w:lang w:val="en-US" w:eastAsia="en-US"/>
        </w:rPr>
        <w:t>The Lancet Global Health. 2014; 2(6):334–45. DOI: 10.33421/inmp.2021230</w:t>
      </w:r>
    </w:p>
    <w:p w14:paraId="16D1B710" w14:textId="77777777" w:rsidR="00D74DFF" w:rsidRPr="00D74DFF" w:rsidRDefault="00D74DFF" w:rsidP="00D74DFF">
      <w:pPr>
        <w:spacing w:line="360" w:lineRule="auto"/>
        <w:rPr>
          <w:rFonts w:eastAsia="Calibri"/>
          <w:lang w:val="en-US" w:eastAsia="en-US"/>
        </w:rPr>
      </w:pPr>
      <w:r w:rsidRPr="00EE32BC">
        <w:rPr>
          <w:rFonts w:eastAsia="Calibri"/>
          <w:lang w:val="es-CU" w:eastAsia="en-US"/>
        </w:rPr>
        <w:t xml:space="preserve">9. Conde-Agudelo A, Romero R, Kusanovic JP, Hassan SS. </w:t>
      </w:r>
      <w:r w:rsidRPr="00D74DFF">
        <w:rPr>
          <w:rFonts w:eastAsia="Calibri"/>
          <w:lang w:val="en-US" w:eastAsia="en-US"/>
        </w:rPr>
        <w:t xml:space="preserve">Supplementation with vitamins C and e during pregnancy for the prevention of preeclampsia and other adverse maternal and perinatal outcomes: A systematic review and </w:t>
      </w:r>
      <w:proofErr w:type="spellStart"/>
      <w:r w:rsidRPr="00D74DFF">
        <w:rPr>
          <w:rFonts w:eastAsia="Calibri"/>
          <w:lang w:val="en-US" w:eastAsia="en-US"/>
        </w:rPr>
        <w:t>metaanalysis</w:t>
      </w:r>
      <w:proofErr w:type="spellEnd"/>
      <w:r w:rsidRPr="00D74DFF">
        <w:rPr>
          <w:rFonts w:eastAsia="Calibri"/>
          <w:lang w:val="en-US" w:eastAsia="en-US"/>
        </w:rPr>
        <w:t>. American Journal of Obstetrics and Gynecology. 2011; 204(6</w:t>
      </w:r>
      <w:proofErr w:type="gramStart"/>
      <w:r w:rsidRPr="00D74DFF">
        <w:rPr>
          <w:rFonts w:eastAsia="Calibri"/>
          <w:lang w:val="en-US" w:eastAsia="en-US"/>
        </w:rPr>
        <w:t>):503.e</w:t>
      </w:r>
      <w:proofErr w:type="gramEnd"/>
      <w:r w:rsidRPr="00D74DFF">
        <w:rPr>
          <w:rFonts w:eastAsia="Calibri"/>
          <w:lang w:val="en-US" w:eastAsia="en-US"/>
        </w:rPr>
        <w:t xml:space="preserve">1-503.e12. DOI: 10.1016/j.ajog.2011.02.020 </w:t>
      </w:r>
    </w:p>
    <w:p w14:paraId="06689FD5" w14:textId="5250F470" w:rsidR="00D74DFF" w:rsidRPr="00D74DFF" w:rsidRDefault="00D74DFF" w:rsidP="00D74DFF">
      <w:pPr>
        <w:spacing w:line="360" w:lineRule="auto"/>
        <w:rPr>
          <w:rFonts w:eastAsia="Calibri"/>
          <w:lang w:val="es-CU" w:eastAsia="en-US"/>
        </w:rPr>
      </w:pPr>
      <w:r w:rsidRPr="00D74DFF">
        <w:rPr>
          <w:rFonts w:eastAsia="Calibri"/>
          <w:lang w:val="en-US" w:eastAsia="en-US"/>
        </w:rPr>
        <w:t xml:space="preserve">10. Spinnato JA, Freire S, Pinto JL, Rudge MC, Martins-Costa S, Koch MA, et al. Antioxidant therapy to prevent preeclampsia: a randomized controlled trial. </w:t>
      </w:r>
      <w:proofErr w:type="spellStart"/>
      <w:r w:rsidR="00205F5B" w:rsidRPr="00205F5B">
        <w:rPr>
          <w:rFonts w:eastAsia="Calibri"/>
          <w:lang w:val="en-US" w:eastAsia="en-US"/>
        </w:rPr>
        <w:t>Obstet</w:t>
      </w:r>
      <w:proofErr w:type="spellEnd"/>
      <w:r w:rsidR="00205F5B" w:rsidRPr="00205F5B">
        <w:rPr>
          <w:rFonts w:eastAsia="Calibri"/>
          <w:lang w:val="en-US" w:eastAsia="en-US"/>
        </w:rPr>
        <w:t xml:space="preserve"> Gynecol</w:t>
      </w:r>
      <w:r w:rsidR="00205F5B">
        <w:rPr>
          <w:rFonts w:eastAsia="Calibri"/>
          <w:lang w:val="en-US" w:eastAsia="en-US"/>
        </w:rPr>
        <w:t xml:space="preserve">. </w:t>
      </w:r>
      <w:r w:rsidRPr="00D74DFF">
        <w:rPr>
          <w:rFonts w:eastAsia="Calibri"/>
          <w:lang w:val="en-US" w:eastAsia="en-US"/>
        </w:rPr>
        <w:t xml:space="preserve">2004; 24(6 SPEC.ISS.):557–64. </w:t>
      </w:r>
      <w:r w:rsidRPr="00D74DFF">
        <w:rPr>
          <w:rFonts w:eastAsia="Calibri"/>
          <w:lang w:val="es-CU" w:eastAsia="en-US"/>
        </w:rPr>
        <w:t>DOI: 10.1097/01.AOG.0000289576.43441.1f</w:t>
      </w:r>
    </w:p>
    <w:p w14:paraId="76C858A3" w14:textId="77777777" w:rsidR="00D74DFF" w:rsidRPr="00D74DFF" w:rsidRDefault="00D74DFF" w:rsidP="00D74DFF">
      <w:pPr>
        <w:spacing w:line="360" w:lineRule="auto"/>
        <w:rPr>
          <w:rFonts w:eastAsia="Calibri"/>
          <w:lang w:val="en-US" w:eastAsia="en-US"/>
        </w:rPr>
      </w:pPr>
      <w:r w:rsidRPr="00D74DFF">
        <w:rPr>
          <w:rFonts w:eastAsia="Calibri"/>
          <w:lang w:val="es-CU" w:eastAsia="en-US"/>
        </w:rPr>
        <w:t xml:space="preserve">11. </w:t>
      </w:r>
      <w:proofErr w:type="spellStart"/>
      <w:r w:rsidRPr="00D74DFF">
        <w:rPr>
          <w:rFonts w:eastAsia="Calibri"/>
          <w:lang w:val="es-CU" w:eastAsia="en-US"/>
        </w:rPr>
        <w:t>Xu</w:t>
      </w:r>
      <w:proofErr w:type="spellEnd"/>
      <w:r w:rsidRPr="00D74DFF">
        <w:rPr>
          <w:rFonts w:eastAsia="Calibri"/>
          <w:lang w:val="es-CU" w:eastAsia="en-US"/>
        </w:rPr>
        <w:t xml:space="preserve"> H, </w:t>
      </w:r>
      <w:proofErr w:type="spellStart"/>
      <w:r w:rsidRPr="00D74DFF">
        <w:rPr>
          <w:rFonts w:eastAsia="Calibri"/>
          <w:lang w:val="es-CU" w:eastAsia="en-US"/>
        </w:rPr>
        <w:t>Perez</w:t>
      </w:r>
      <w:proofErr w:type="spellEnd"/>
      <w:r w:rsidRPr="00D74DFF">
        <w:rPr>
          <w:rFonts w:eastAsia="Calibri"/>
          <w:lang w:val="es-CU" w:eastAsia="en-US"/>
        </w:rPr>
        <w:t xml:space="preserve">-Cuevas R, </w:t>
      </w:r>
      <w:proofErr w:type="spellStart"/>
      <w:r w:rsidRPr="00D74DFF">
        <w:rPr>
          <w:rFonts w:eastAsia="Calibri"/>
          <w:lang w:val="es-CU" w:eastAsia="en-US"/>
        </w:rPr>
        <w:t>Xiong</w:t>
      </w:r>
      <w:proofErr w:type="spellEnd"/>
      <w:r w:rsidRPr="00D74DFF">
        <w:rPr>
          <w:rFonts w:eastAsia="Calibri"/>
          <w:lang w:val="es-CU" w:eastAsia="en-US"/>
        </w:rPr>
        <w:t xml:space="preserve"> X, Reyes H, Roy C, Julien P, et al. </w:t>
      </w:r>
      <w:r w:rsidRPr="00D74DFF">
        <w:rPr>
          <w:rFonts w:eastAsia="Calibri"/>
          <w:lang w:val="en-US" w:eastAsia="en-US"/>
        </w:rPr>
        <w:t>An international trial of antioxidants in the prevention of preeclampsia (INTAPP). American Journal of Obstetrics and Gynecology. 2010; 202(3</w:t>
      </w:r>
      <w:proofErr w:type="gramStart"/>
      <w:r w:rsidRPr="00D74DFF">
        <w:rPr>
          <w:rFonts w:eastAsia="Calibri"/>
          <w:lang w:val="en-US" w:eastAsia="en-US"/>
        </w:rPr>
        <w:t>):239.e</w:t>
      </w:r>
      <w:proofErr w:type="gramEnd"/>
      <w:r w:rsidRPr="00D74DFF">
        <w:rPr>
          <w:rFonts w:eastAsia="Calibri"/>
          <w:lang w:val="en-US" w:eastAsia="en-US"/>
        </w:rPr>
        <w:t>1-239.e10. DOI: 10.1016/j.ajog.2010.01.050</w:t>
      </w:r>
    </w:p>
    <w:p w14:paraId="7EFD5022" w14:textId="4FD76E1E" w:rsidR="00D74DFF" w:rsidRPr="00D74DFF" w:rsidRDefault="00D74DFF" w:rsidP="00D74DFF">
      <w:pPr>
        <w:spacing w:line="360" w:lineRule="auto"/>
        <w:rPr>
          <w:rFonts w:eastAsia="Calibri"/>
          <w:lang w:val="en-US" w:eastAsia="en-US"/>
        </w:rPr>
      </w:pPr>
      <w:r w:rsidRPr="00D74DFF">
        <w:rPr>
          <w:rFonts w:eastAsia="Calibri"/>
          <w:lang w:val="en-US" w:eastAsia="en-US"/>
        </w:rPr>
        <w:t xml:space="preserve">12. Roberts JM, Myatt L, Spong CY, Thom EA, John </w:t>
      </w:r>
      <w:proofErr w:type="gramStart"/>
      <w:r w:rsidRPr="00D74DFF">
        <w:rPr>
          <w:rFonts w:eastAsia="Calibri"/>
          <w:lang w:val="en-US" w:eastAsia="en-US"/>
        </w:rPr>
        <w:t>C .</w:t>
      </w:r>
      <w:proofErr w:type="gramEnd"/>
      <w:r w:rsidRPr="00D74DFF">
        <w:rPr>
          <w:rFonts w:eastAsia="Calibri"/>
          <w:lang w:val="en-US" w:eastAsia="en-US"/>
        </w:rPr>
        <w:t xml:space="preserve"> </w:t>
      </w:r>
      <w:proofErr w:type="spellStart"/>
      <w:r w:rsidRPr="00D74DFF">
        <w:rPr>
          <w:rFonts w:eastAsia="Calibri"/>
          <w:lang w:val="en-US" w:eastAsia="en-US"/>
        </w:rPr>
        <w:t>Hauth</w:t>
      </w:r>
      <w:proofErr w:type="spellEnd"/>
      <w:r w:rsidRPr="00D74DFF">
        <w:rPr>
          <w:rFonts w:eastAsia="Calibri"/>
          <w:lang w:val="en-US" w:eastAsia="en-US"/>
        </w:rPr>
        <w:t xml:space="preserve">, </w:t>
      </w:r>
      <w:proofErr w:type="spellStart"/>
      <w:r w:rsidRPr="00D74DFF">
        <w:rPr>
          <w:rFonts w:eastAsia="Calibri"/>
          <w:lang w:val="en-US" w:eastAsia="en-US"/>
        </w:rPr>
        <w:t>Leveno</w:t>
      </w:r>
      <w:proofErr w:type="spellEnd"/>
      <w:r w:rsidRPr="00D74DFF">
        <w:rPr>
          <w:rFonts w:eastAsia="Calibri"/>
          <w:lang w:val="en-US" w:eastAsia="en-US"/>
        </w:rPr>
        <w:t xml:space="preserve"> KJ, et al. Vitamins C and E to Prevent Complications of Pregnancy-Associated Hypertension. </w:t>
      </w:r>
      <w:r w:rsidR="004C57A8" w:rsidRPr="004C57A8">
        <w:rPr>
          <w:rFonts w:eastAsia="Calibri"/>
          <w:lang w:val="en-US" w:eastAsia="en-US"/>
        </w:rPr>
        <w:t>N Engl J Med</w:t>
      </w:r>
      <w:r w:rsidRPr="00D74DFF">
        <w:rPr>
          <w:rFonts w:eastAsia="Calibri"/>
          <w:lang w:val="en-US" w:eastAsia="en-US"/>
        </w:rPr>
        <w:t>. 2005; 23(1):1–7. DOI: 10.1056/NEJMoa0908056</w:t>
      </w:r>
    </w:p>
    <w:p w14:paraId="56F83058" w14:textId="492681F1" w:rsidR="00D74DFF" w:rsidRPr="00D74DFF" w:rsidRDefault="00D74DFF" w:rsidP="00D74DFF">
      <w:pPr>
        <w:spacing w:line="360" w:lineRule="auto"/>
        <w:rPr>
          <w:rFonts w:eastAsia="Calibri"/>
          <w:lang w:val="en-US" w:eastAsia="en-US"/>
        </w:rPr>
      </w:pPr>
      <w:r w:rsidRPr="00D74DFF">
        <w:rPr>
          <w:rFonts w:eastAsia="Calibri"/>
          <w:lang w:val="en-US" w:eastAsia="en-US"/>
        </w:rPr>
        <w:t xml:space="preserve">13. Villar J, </w:t>
      </w:r>
      <w:proofErr w:type="spellStart"/>
      <w:r w:rsidRPr="00D74DFF">
        <w:rPr>
          <w:rFonts w:eastAsia="Calibri"/>
          <w:lang w:val="en-US" w:eastAsia="en-US"/>
        </w:rPr>
        <w:t>Purwar</w:t>
      </w:r>
      <w:proofErr w:type="spellEnd"/>
      <w:r w:rsidRPr="00D74DFF">
        <w:rPr>
          <w:rFonts w:eastAsia="Calibri"/>
          <w:lang w:val="en-US" w:eastAsia="en-US"/>
        </w:rPr>
        <w:t xml:space="preserve"> M, </w:t>
      </w:r>
      <w:proofErr w:type="spellStart"/>
      <w:r w:rsidRPr="00D74DFF">
        <w:rPr>
          <w:rFonts w:eastAsia="Calibri"/>
          <w:lang w:val="en-US" w:eastAsia="en-US"/>
        </w:rPr>
        <w:t>Merialdi</w:t>
      </w:r>
      <w:proofErr w:type="spellEnd"/>
      <w:r w:rsidRPr="00D74DFF">
        <w:rPr>
          <w:rFonts w:eastAsia="Calibri"/>
          <w:lang w:val="en-US" w:eastAsia="en-US"/>
        </w:rPr>
        <w:t xml:space="preserve"> M, </w:t>
      </w:r>
      <w:proofErr w:type="spellStart"/>
      <w:r w:rsidRPr="00D74DFF">
        <w:rPr>
          <w:rFonts w:eastAsia="Calibri"/>
          <w:lang w:val="en-US" w:eastAsia="en-US"/>
        </w:rPr>
        <w:t>Zavaleta</w:t>
      </w:r>
      <w:proofErr w:type="spellEnd"/>
      <w:r w:rsidRPr="00D74DFF">
        <w:rPr>
          <w:rFonts w:eastAsia="Calibri"/>
          <w:lang w:val="en-US" w:eastAsia="en-US"/>
        </w:rPr>
        <w:t xml:space="preserve"> N, </w:t>
      </w:r>
      <w:proofErr w:type="spellStart"/>
      <w:r w:rsidRPr="00D74DFF">
        <w:rPr>
          <w:rFonts w:eastAsia="Calibri"/>
          <w:lang w:val="en-US" w:eastAsia="en-US"/>
        </w:rPr>
        <w:t>Thi</w:t>
      </w:r>
      <w:proofErr w:type="spellEnd"/>
      <w:r w:rsidRPr="00D74DFF">
        <w:rPr>
          <w:rFonts w:eastAsia="Calibri"/>
          <w:lang w:val="en-US" w:eastAsia="en-US"/>
        </w:rPr>
        <w:t xml:space="preserve"> </w:t>
      </w:r>
      <w:proofErr w:type="spellStart"/>
      <w:r w:rsidRPr="00D74DFF">
        <w:rPr>
          <w:rFonts w:eastAsia="Calibri"/>
          <w:lang w:val="en-US" w:eastAsia="en-US"/>
        </w:rPr>
        <w:t>Nhu</w:t>
      </w:r>
      <w:proofErr w:type="spellEnd"/>
      <w:r w:rsidRPr="00D74DFF">
        <w:rPr>
          <w:rFonts w:eastAsia="Calibri"/>
          <w:lang w:val="en-US" w:eastAsia="en-US"/>
        </w:rPr>
        <w:t xml:space="preserve"> Ngoc N, Anthony J, et al. World Health </w:t>
      </w:r>
      <w:proofErr w:type="spellStart"/>
      <w:r w:rsidRPr="00D74DFF">
        <w:rPr>
          <w:rFonts w:eastAsia="Calibri"/>
          <w:lang w:val="en-US" w:eastAsia="en-US"/>
        </w:rPr>
        <w:t>Organisation</w:t>
      </w:r>
      <w:proofErr w:type="spellEnd"/>
      <w:r w:rsidRPr="00D74DFF">
        <w:rPr>
          <w:rFonts w:eastAsia="Calibri"/>
          <w:lang w:val="en-US" w:eastAsia="en-US"/>
        </w:rPr>
        <w:t xml:space="preserve"> </w:t>
      </w:r>
      <w:proofErr w:type="spellStart"/>
      <w:r w:rsidRPr="00D74DFF">
        <w:rPr>
          <w:rFonts w:eastAsia="Calibri"/>
          <w:lang w:val="en-US" w:eastAsia="en-US"/>
        </w:rPr>
        <w:t>multicentre</w:t>
      </w:r>
      <w:proofErr w:type="spellEnd"/>
      <w:r w:rsidRPr="00D74DFF">
        <w:rPr>
          <w:rFonts w:eastAsia="Calibri"/>
          <w:lang w:val="en-US" w:eastAsia="en-US"/>
        </w:rPr>
        <w:t xml:space="preserve"> </w:t>
      </w:r>
      <w:proofErr w:type="spellStart"/>
      <w:r w:rsidRPr="00D74DFF">
        <w:rPr>
          <w:rFonts w:eastAsia="Calibri"/>
          <w:lang w:val="en-US" w:eastAsia="en-US"/>
        </w:rPr>
        <w:t>randomised</w:t>
      </w:r>
      <w:proofErr w:type="spellEnd"/>
      <w:r w:rsidRPr="00D74DFF">
        <w:rPr>
          <w:rFonts w:eastAsia="Calibri"/>
          <w:lang w:val="en-US" w:eastAsia="en-US"/>
        </w:rPr>
        <w:t xml:space="preserve"> trial of supplementation with vitamins C and e among pregnant </w:t>
      </w:r>
      <w:r w:rsidRPr="00D74DFF">
        <w:rPr>
          <w:rFonts w:eastAsia="Calibri"/>
          <w:lang w:val="en-US" w:eastAsia="en-US"/>
        </w:rPr>
        <w:lastRenderedPageBreak/>
        <w:t>women at high risk for pre-eclampsia in populations of low nutritional status from developing countries. BJOG. 2009; 116(6):780–8. DOI: 10.1111/j.1471-0528.</w:t>
      </w:r>
      <w:proofErr w:type="gramStart"/>
      <w:r w:rsidRPr="00D74DFF">
        <w:rPr>
          <w:rFonts w:eastAsia="Calibri"/>
          <w:lang w:val="en-US" w:eastAsia="en-US"/>
        </w:rPr>
        <w:t>2009.02158.x</w:t>
      </w:r>
      <w:proofErr w:type="gramEnd"/>
    </w:p>
    <w:p w14:paraId="0A6393E3"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14. Poston L, </w:t>
      </w:r>
      <w:proofErr w:type="spellStart"/>
      <w:r w:rsidRPr="00D74DFF">
        <w:rPr>
          <w:rFonts w:eastAsia="Calibri"/>
          <w:lang w:val="en-US" w:eastAsia="en-US"/>
        </w:rPr>
        <w:t>Raijmakers</w:t>
      </w:r>
      <w:proofErr w:type="spellEnd"/>
      <w:r w:rsidRPr="00D74DFF">
        <w:rPr>
          <w:rFonts w:eastAsia="Calibri"/>
          <w:lang w:val="en-US" w:eastAsia="en-US"/>
        </w:rPr>
        <w:t xml:space="preserve"> M, Kelly F. Vitamin E in preeclampsia. Annals of the New York Academy of Sciences. 2004; 1031(44):242–8. DOI: 10.1196/annals.1331.024</w:t>
      </w:r>
    </w:p>
    <w:p w14:paraId="292D1EDE"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15. Rumbold A, Ota E, Hori H, Miyazaki C, Crowther CA. Vitamin E supplementation in pregnancy. Cochrane Database of Systematic Reviews. 2015; (9):CD004069. DOI: 10.1002/14651858.CD004069.pub3</w:t>
      </w:r>
    </w:p>
    <w:p w14:paraId="4305F55A" w14:textId="77777777" w:rsidR="00D74DFF" w:rsidRPr="00D74DFF" w:rsidRDefault="00D74DFF" w:rsidP="00D74DFF">
      <w:pPr>
        <w:spacing w:line="360" w:lineRule="auto"/>
        <w:rPr>
          <w:rFonts w:eastAsia="Calibri"/>
          <w:lang w:val="es-PE" w:eastAsia="en-US"/>
        </w:rPr>
      </w:pPr>
      <w:r w:rsidRPr="00D74DFF">
        <w:rPr>
          <w:rFonts w:eastAsia="Calibri"/>
          <w:lang w:val="en-US" w:eastAsia="en-US"/>
        </w:rPr>
        <w:t xml:space="preserve">16. </w:t>
      </w:r>
      <w:proofErr w:type="spellStart"/>
      <w:r w:rsidRPr="00D74DFF">
        <w:rPr>
          <w:rFonts w:eastAsia="Calibri"/>
          <w:lang w:val="en-US" w:eastAsia="en-US"/>
        </w:rPr>
        <w:t>Kiondo</w:t>
      </w:r>
      <w:proofErr w:type="spellEnd"/>
      <w:r w:rsidRPr="00D74DFF">
        <w:rPr>
          <w:rFonts w:eastAsia="Calibri"/>
          <w:lang w:val="en-US" w:eastAsia="en-US"/>
        </w:rPr>
        <w:t xml:space="preserve"> P, </w:t>
      </w:r>
      <w:proofErr w:type="spellStart"/>
      <w:r w:rsidRPr="00D74DFF">
        <w:rPr>
          <w:rFonts w:eastAsia="Calibri"/>
          <w:lang w:val="en-US" w:eastAsia="en-US"/>
        </w:rPr>
        <w:t>Wamuyu-Maina</w:t>
      </w:r>
      <w:proofErr w:type="spellEnd"/>
      <w:r w:rsidRPr="00D74DFF">
        <w:rPr>
          <w:rFonts w:eastAsia="Calibri"/>
          <w:lang w:val="en-US" w:eastAsia="en-US"/>
        </w:rPr>
        <w:t xml:space="preserve"> G, </w:t>
      </w:r>
      <w:proofErr w:type="spellStart"/>
      <w:r w:rsidRPr="00D74DFF">
        <w:rPr>
          <w:rFonts w:eastAsia="Calibri"/>
          <w:lang w:val="en-US" w:eastAsia="en-US"/>
        </w:rPr>
        <w:t>Wandabwa</w:t>
      </w:r>
      <w:proofErr w:type="spellEnd"/>
      <w:r w:rsidRPr="00D74DFF">
        <w:rPr>
          <w:rFonts w:eastAsia="Calibri"/>
          <w:lang w:val="en-US" w:eastAsia="en-US"/>
        </w:rPr>
        <w:t xml:space="preserve"> J, </w:t>
      </w:r>
      <w:proofErr w:type="spellStart"/>
      <w:r w:rsidRPr="00D74DFF">
        <w:rPr>
          <w:rFonts w:eastAsia="Calibri"/>
          <w:lang w:val="en-US" w:eastAsia="en-US"/>
        </w:rPr>
        <w:t>Bimenya</w:t>
      </w:r>
      <w:proofErr w:type="spellEnd"/>
      <w:r w:rsidRPr="00D74DFF">
        <w:rPr>
          <w:rFonts w:eastAsia="Calibri"/>
          <w:lang w:val="en-US" w:eastAsia="en-US"/>
        </w:rPr>
        <w:t xml:space="preserve"> GS, </w:t>
      </w:r>
      <w:proofErr w:type="spellStart"/>
      <w:r w:rsidRPr="00D74DFF">
        <w:rPr>
          <w:rFonts w:eastAsia="Calibri"/>
          <w:lang w:val="en-US" w:eastAsia="en-US"/>
        </w:rPr>
        <w:t>Tumwesigye</w:t>
      </w:r>
      <w:proofErr w:type="spellEnd"/>
      <w:r w:rsidRPr="00D74DFF">
        <w:rPr>
          <w:rFonts w:eastAsia="Calibri"/>
          <w:lang w:val="en-US" w:eastAsia="en-US"/>
        </w:rPr>
        <w:t xml:space="preserve"> NM, </w:t>
      </w:r>
      <w:proofErr w:type="spellStart"/>
      <w:r w:rsidRPr="00D74DFF">
        <w:rPr>
          <w:rFonts w:eastAsia="Calibri"/>
          <w:lang w:val="en-US" w:eastAsia="en-US"/>
        </w:rPr>
        <w:t>Okong</w:t>
      </w:r>
      <w:proofErr w:type="spellEnd"/>
      <w:r w:rsidRPr="00D74DFF">
        <w:rPr>
          <w:rFonts w:eastAsia="Calibri"/>
          <w:lang w:val="en-US" w:eastAsia="en-US"/>
        </w:rPr>
        <w:t xml:space="preserve"> P. The effects of vitamin C supplementation on pre-eclampsia in Mulago Hospital, Kampala, Uganda: A randomized placebo controlled clinical trial. </w:t>
      </w:r>
      <w:proofErr w:type="spellStart"/>
      <w:r w:rsidRPr="00D74DFF">
        <w:rPr>
          <w:rFonts w:eastAsia="Calibri"/>
          <w:lang w:val="es-PE" w:eastAsia="en-US"/>
        </w:rPr>
        <w:t>BMC</w:t>
      </w:r>
      <w:proofErr w:type="spellEnd"/>
      <w:r w:rsidRPr="00D74DFF">
        <w:rPr>
          <w:rFonts w:eastAsia="Calibri"/>
          <w:lang w:val="es-PE" w:eastAsia="en-US"/>
        </w:rPr>
        <w:t xml:space="preserve"> </w:t>
      </w:r>
      <w:proofErr w:type="spellStart"/>
      <w:r w:rsidRPr="00D74DFF">
        <w:rPr>
          <w:rFonts w:eastAsia="Calibri"/>
          <w:lang w:val="es-PE" w:eastAsia="en-US"/>
        </w:rPr>
        <w:t>Pregnancy</w:t>
      </w:r>
      <w:proofErr w:type="spellEnd"/>
      <w:r w:rsidRPr="00D74DFF">
        <w:rPr>
          <w:rFonts w:eastAsia="Calibri"/>
          <w:lang w:val="es-PE" w:eastAsia="en-US"/>
        </w:rPr>
        <w:t xml:space="preserve"> and </w:t>
      </w:r>
      <w:proofErr w:type="spellStart"/>
      <w:r w:rsidRPr="00D74DFF">
        <w:rPr>
          <w:rFonts w:eastAsia="Calibri"/>
          <w:lang w:val="es-PE" w:eastAsia="en-US"/>
        </w:rPr>
        <w:t>Childbirth</w:t>
      </w:r>
      <w:proofErr w:type="spellEnd"/>
      <w:r w:rsidRPr="00D74DFF">
        <w:rPr>
          <w:rFonts w:eastAsia="Calibri"/>
          <w:lang w:val="es-PE" w:eastAsia="en-US"/>
        </w:rPr>
        <w:t>. 2014; 14(1):1–10. DOI: 10.1186/1471-2393-14-283</w:t>
      </w:r>
    </w:p>
    <w:p w14:paraId="56A25B34" w14:textId="77777777" w:rsidR="00D74DFF" w:rsidRPr="00D74DFF" w:rsidRDefault="00D74DFF" w:rsidP="00D74DFF">
      <w:pPr>
        <w:spacing w:line="360" w:lineRule="auto"/>
        <w:rPr>
          <w:rFonts w:eastAsia="Calibri"/>
          <w:lang w:val="es-CU" w:eastAsia="en-US"/>
        </w:rPr>
      </w:pPr>
      <w:r w:rsidRPr="00D74DFF">
        <w:rPr>
          <w:rFonts w:eastAsia="Calibri"/>
          <w:lang w:val="es-PE" w:eastAsia="en-US"/>
        </w:rPr>
        <w:t xml:space="preserve">17. Castillo Velarde ER. Vitamina C En La Salud Y En La Enfermedad. Revista de la Facultad de Medicina Humana. </w:t>
      </w:r>
      <w:r w:rsidRPr="00D74DFF">
        <w:rPr>
          <w:rFonts w:eastAsia="Calibri"/>
          <w:lang w:val="es-CU" w:eastAsia="en-US"/>
        </w:rPr>
        <w:t>2019; 19(4):95–100. DOI: 10.25176/</w:t>
      </w:r>
      <w:proofErr w:type="gramStart"/>
      <w:r w:rsidRPr="00D74DFF">
        <w:rPr>
          <w:rFonts w:eastAsia="Calibri"/>
          <w:lang w:val="es-CU" w:eastAsia="en-US"/>
        </w:rPr>
        <w:t>rfmh.v</w:t>
      </w:r>
      <w:proofErr w:type="gramEnd"/>
      <w:r w:rsidRPr="00D74DFF">
        <w:rPr>
          <w:rFonts w:eastAsia="Calibri"/>
          <w:lang w:val="es-CU" w:eastAsia="en-US"/>
        </w:rPr>
        <w:t>19i4.2351</w:t>
      </w:r>
    </w:p>
    <w:p w14:paraId="2D91CE1B"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18. </w:t>
      </w:r>
      <w:proofErr w:type="spellStart"/>
      <w:r w:rsidRPr="00D74DFF">
        <w:rPr>
          <w:rFonts w:eastAsia="Calibri"/>
          <w:lang w:val="en-US" w:eastAsia="en-US"/>
        </w:rPr>
        <w:t>Taravati</w:t>
      </w:r>
      <w:proofErr w:type="spellEnd"/>
      <w:r w:rsidRPr="00D74DFF">
        <w:rPr>
          <w:rFonts w:eastAsia="Calibri"/>
          <w:lang w:val="en-US" w:eastAsia="en-US"/>
        </w:rPr>
        <w:t xml:space="preserve"> A, </w:t>
      </w:r>
      <w:proofErr w:type="spellStart"/>
      <w:r w:rsidRPr="00D74DFF">
        <w:rPr>
          <w:rFonts w:eastAsia="Calibri"/>
          <w:lang w:val="en-US" w:eastAsia="en-US"/>
        </w:rPr>
        <w:t>Tohidi</w:t>
      </w:r>
      <w:proofErr w:type="spellEnd"/>
      <w:r w:rsidRPr="00D74DFF">
        <w:rPr>
          <w:rFonts w:eastAsia="Calibri"/>
          <w:lang w:val="en-US" w:eastAsia="en-US"/>
        </w:rPr>
        <w:t xml:space="preserve"> F. Comprehensive analysis of oxidative stress markers and antioxidants status in preeclampsia. Taiwanese Journal of Obstetrics and Gynecology. 2018; 57(6):779–90. </w:t>
      </w:r>
      <w:proofErr w:type="gramStart"/>
      <w:r w:rsidRPr="00D74DFF">
        <w:rPr>
          <w:rFonts w:eastAsia="Calibri"/>
          <w:lang w:val="en-US" w:eastAsia="en-US"/>
        </w:rPr>
        <w:t>DOI:10.1016/j.tjog</w:t>
      </w:r>
      <w:proofErr w:type="gramEnd"/>
      <w:r w:rsidRPr="00D74DFF">
        <w:rPr>
          <w:rFonts w:eastAsia="Calibri"/>
          <w:lang w:val="en-US" w:eastAsia="en-US"/>
        </w:rPr>
        <w:t>.2018.10.002</w:t>
      </w:r>
    </w:p>
    <w:p w14:paraId="4D9CB115"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19. Moher D, Liberati A, Tetzlaff J, Altman DG, PRISMA Group. Preferred reporting items for systematic reviews and meta-analyses: the PRISMA statement. </w:t>
      </w:r>
      <w:proofErr w:type="spellStart"/>
      <w:r w:rsidRPr="00D74DFF">
        <w:rPr>
          <w:rFonts w:eastAsia="Calibri"/>
          <w:lang w:val="en-US" w:eastAsia="en-US"/>
        </w:rPr>
        <w:t>PLoS</w:t>
      </w:r>
      <w:proofErr w:type="spellEnd"/>
      <w:r w:rsidRPr="00D74DFF">
        <w:rPr>
          <w:rFonts w:eastAsia="Calibri"/>
          <w:lang w:val="en-US" w:eastAsia="en-US"/>
        </w:rPr>
        <w:t xml:space="preserve"> Med. 2009; 6(7</w:t>
      </w:r>
      <w:proofErr w:type="gramStart"/>
      <w:r w:rsidRPr="00D74DFF">
        <w:rPr>
          <w:rFonts w:eastAsia="Calibri"/>
          <w:lang w:val="en-US" w:eastAsia="en-US"/>
        </w:rPr>
        <w:t>):e</w:t>
      </w:r>
      <w:proofErr w:type="gramEnd"/>
      <w:r w:rsidRPr="00D74DFF">
        <w:rPr>
          <w:rFonts w:eastAsia="Calibri"/>
          <w:lang w:val="en-US" w:eastAsia="en-US"/>
        </w:rPr>
        <w:t>1000097. DOI: 10.1371/journal.pmed.1000097</w:t>
      </w:r>
    </w:p>
    <w:p w14:paraId="0F425337"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20. </w:t>
      </w:r>
      <w:r w:rsidRPr="00D74DFF">
        <w:rPr>
          <w:rFonts w:eastAsia="Calibri"/>
          <w:szCs w:val="22"/>
          <w:lang w:val="en-US" w:eastAsia="en-US"/>
        </w:rPr>
        <w:t xml:space="preserve">Higgins JP, Savović J, Page MJ, Elbers RG, Sterne JA. Assessing risk of bias in a randomized trial. </w:t>
      </w:r>
      <w:proofErr w:type="spellStart"/>
      <w:r w:rsidRPr="00D74DFF">
        <w:rPr>
          <w:rFonts w:eastAsia="Calibri"/>
          <w:szCs w:val="22"/>
          <w:lang w:val="en-US" w:eastAsia="en-US"/>
        </w:rPr>
        <w:t>En</w:t>
      </w:r>
      <w:proofErr w:type="spellEnd"/>
      <w:r w:rsidRPr="00D74DFF">
        <w:rPr>
          <w:rFonts w:eastAsia="Calibri"/>
          <w:szCs w:val="22"/>
          <w:lang w:val="en-US" w:eastAsia="en-US"/>
        </w:rPr>
        <w:t>: Higgins PT, Thomas J, Chandler J, Cumpston M, Li T, Matthew J, et al (editors). Handbook for Systematic Reviews of Interventions. John Wiley &amp; Sons, Ltd; 2019. [</w:t>
      </w:r>
      <w:proofErr w:type="spellStart"/>
      <w:r w:rsidRPr="00D74DFF">
        <w:rPr>
          <w:rFonts w:eastAsia="Calibri"/>
          <w:szCs w:val="22"/>
          <w:lang w:val="en-US" w:eastAsia="en-US"/>
        </w:rPr>
        <w:t>acceso</w:t>
      </w:r>
      <w:proofErr w:type="spellEnd"/>
      <w:r w:rsidRPr="00D74DFF">
        <w:rPr>
          <w:rFonts w:eastAsia="Calibri"/>
          <w:szCs w:val="22"/>
          <w:lang w:val="en-US" w:eastAsia="en-US"/>
        </w:rPr>
        <w:t xml:space="preserve">: 20/01/22]. p. 205–28. DOI: 10.1002/9781119536604.ch8 </w:t>
      </w:r>
    </w:p>
    <w:p w14:paraId="7E7F1D9F"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21. Higgins JPT, Thompson SG. Quantifying heterogeneity in a meta-analysis. Stat Med. 2002; 21(11):1539–58. DOI: 10.1002/sim.1186</w:t>
      </w:r>
    </w:p>
    <w:p w14:paraId="6DA06940" w14:textId="77777777" w:rsidR="00D74DFF" w:rsidRPr="00D74DFF" w:rsidRDefault="00D74DFF" w:rsidP="00D74DFF">
      <w:pPr>
        <w:spacing w:line="360" w:lineRule="auto"/>
        <w:rPr>
          <w:rFonts w:eastAsia="Calibri"/>
          <w:lang w:val="es-PE" w:eastAsia="en-US"/>
        </w:rPr>
      </w:pPr>
      <w:r w:rsidRPr="00D74DFF">
        <w:rPr>
          <w:rFonts w:eastAsia="Calibri"/>
          <w:lang w:val="en-US" w:eastAsia="en-US"/>
        </w:rPr>
        <w:lastRenderedPageBreak/>
        <w:t xml:space="preserve">22. Higgins JP, Thomas J, Chandler J, Cumpston M, Li T, Page MJ, et al. Cochrane handbook for systematic reviews of interventions. John Wiley &amp; Sons; 2019. </w:t>
      </w:r>
      <w:r w:rsidRPr="00D74DFF">
        <w:rPr>
          <w:rFonts w:eastAsia="Calibri"/>
          <w:lang w:val="es-PE" w:eastAsia="en-US"/>
        </w:rPr>
        <w:t>[acceso 27/09/2021].  DOI:10.1002/9780470712184</w:t>
      </w:r>
    </w:p>
    <w:p w14:paraId="3DF2AC45" w14:textId="77777777" w:rsidR="00D74DFF" w:rsidRPr="00D74DFF" w:rsidRDefault="00D74DFF" w:rsidP="00D74DFF">
      <w:pPr>
        <w:spacing w:line="360" w:lineRule="auto"/>
        <w:rPr>
          <w:rFonts w:eastAsia="Calibri"/>
          <w:lang w:val="es-PE" w:eastAsia="en-US"/>
        </w:rPr>
      </w:pPr>
      <w:r w:rsidRPr="00D74DFF">
        <w:rPr>
          <w:rFonts w:eastAsia="Calibri"/>
          <w:lang w:val="es-PE" w:eastAsia="en-US"/>
        </w:rPr>
        <w:t xml:space="preserve">23. Organización Mundial de la Salud. Recomendaciones de la OMS para la prevención y el tratamiento de la preeclampsia y la eclampsia. Ginebra: Organización Mundial de la Salud; 2014. [acceso: 27/09/2021]. Disponible en: </w:t>
      </w:r>
      <w:hyperlink r:id="rId28" w:history="1">
        <w:r w:rsidRPr="00D74DFF">
          <w:rPr>
            <w:rFonts w:eastAsia="Calibri"/>
            <w:color w:val="0563C1"/>
            <w:u w:val="single"/>
            <w:lang w:val="es-PE" w:eastAsia="en-US"/>
          </w:rPr>
          <w:t>https://apps.who.int/iris/bitstream/handle/10665/138405/9789243548333_spa.pdf</w:t>
        </w:r>
      </w:hyperlink>
      <w:r w:rsidRPr="00D74DFF">
        <w:rPr>
          <w:rFonts w:eastAsia="Calibri"/>
          <w:lang w:val="es-PE" w:eastAsia="en-US"/>
        </w:rPr>
        <w:t xml:space="preserve"> </w:t>
      </w:r>
    </w:p>
    <w:p w14:paraId="21C79BD3" w14:textId="77777777" w:rsidR="00D74DFF" w:rsidRPr="00D74DFF" w:rsidRDefault="00D74DFF" w:rsidP="00D74DFF">
      <w:pPr>
        <w:spacing w:line="360" w:lineRule="auto"/>
        <w:rPr>
          <w:rFonts w:eastAsia="Calibri"/>
          <w:lang w:val="en-US" w:eastAsia="en-US"/>
        </w:rPr>
      </w:pPr>
      <w:r w:rsidRPr="00D74DFF">
        <w:rPr>
          <w:rFonts w:eastAsia="Calibri"/>
          <w:lang w:val="es-PE" w:eastAsia="en-US"/>
        </w:rPr>
        <w:t xml:space="preserve">24. Conde-Agudelo A, Romero R, </w:t>
      </w:r>
      <w:proofErr w:type="spellStart"/>
      <w:r w:rsidRPr="00D74DFF">
        <w:rPr>
          <w:rFonts w:eastAsia="Calibri"/>
          <w:lang w:val="es-PE" w:eastAsia="en-US"/>
        </w:rPr>
        <w:t>Kusanovic</w:t>
      </w:r>
      <w:proofErr w:type="spellEnd"/>
      <w:r w:rsidRPr="00D74DFF">
        <w:rPr>
          <w:rFonts w:eastAsia="Calibri"/>
          <w:lang w:val="es-PE" w:eastAsia="en-US"/>
        </w:rPr>
        <w:t xml:space="preserve"> JP, Hassan SS. </w:t>
      </w:r>
      <w:r w:rsidRPr="00D74DFF">
        <w:rPr>
          <w:rFonts w:eastAsia="Calibri"/>
          <w:lang w:val="en-US" w:eastAsia="en-US"/>
        </w:rPr>
        <w:t xml:space="preserve">Supplementation with vitamins C and e during pregnancy for the prevention of preeclampsia and other adverse maternal and perinatal outcomes: A systematic review and </w:t>
      </w:r>
      <w:proofErr w:type="spellStart"/>
      <w:r w:rsidRPr="00D74DFF">
        <w:rPr>
          <w:rFonts w:eastAsia="Calibri"/>
          <w:lang w:val="en-US" w:eastAsia="en-US"/>
        </w:rPr>
        <w:t>metaanalysis</w:t>
      </w:r>
      <w:proofErr w:type="spellEnd"/>
      <w:r w:rsidRPr="00D74DFF">
        <w:rPr>
          <w:rFonts w:eastAsia="Calibri"/>
          <w:lang w:val="en-US" w:eastAsia="en-US"/>
        </w:rPr>
        <w:t>. American Journal of Obstetrics and Gynecology. 2011; 204(6</w:t>
      </w:r>
      <w:proofErr w:type="gramStart"/>
      <w:r w:rsidRPr="00D74DFF">
        <w:rPr>
          <w:rFonts w:eastAsia="Calibri"/>
          <w:lang w:val="en-US" w:eastAsia="en-US"/>
        </w:rPr>
        <w:t>):503.e</w:t>
      </w:r>
      <w:proofErr w:type="gramEnd"/>
      <w:r w:rsidRPr="00D74DFF">
        <w:rPr>
          <w:rFonts w:eastAsia="Calibri"/>
          <w:lang w:val="en-US" w:eastAsia="en-US"/>
        </w:rPr>
        <w:t>1-503.e12. DOI: 10.1016/j.ajog.2011.02.020</w:t>
      </w:r>
    </w:p>
    <w:p w14:paraId="01B1AF72" w14:textId="77777777" w:rsidR="00D74DFF" w:rsidRPr="00D74DFF" w:rsidRDefault="00D74DFF" w:rsidP="00D74DFF">
      <w:pPr>
        <w:spacing w:line="360" w:lineRule="auto"/>
        <w:rPr>
          <w:rFonts w:eastAsia="Calibri"/>
          <w:lang w:val="en-US" w:eastAsia="en-US"/>
        </w:rPr>
      </w:pPr>
      <w:r w:rsidRPr="00D74DFF">
        <w:rPr>
          <w:rFonts w:eastAsia="Calibri"/>
          <w:lang w:val="en-US" w:eastAsia="en-US"/>
        </w:rPr>
        <w:t xml:space="preserve">25. Polyzos NP, Mauri D, </w:t>
      </w:r>
      <w:proofErr w:type="spellStart"/>
      <w:r w:rsidRPr="00D74DFF">
        <w:rPr>
          <w:rFonts w:eastAsia="Calibri"/>
          <w:lang w:val="en-US" w:eastAsia="en-US"/>
        </w:rPr>
        <w:t>Tsappi</w:t>
      </w:r>
      <w:proofErr w:type="spellEnd"/>
      <w:r w:rsidRPr="00D74DFF">
        <w:rPr>
          <w:rFonts w:eastAsia="Calibri"/>
          <w:lang w:val="en-US" w:eastAsia="en-US"/>
        </w:rPr>
        <w:t xml:space="preserve"> M, </w:t>
      </w:r>
      <w:proofErr w:type="spellStart"/>
      <w:r w:rsidRPr="00D74DFF">
        <w:rPr>
          <w:rFonts w:eastAsia="Calibri"/>
          <w:lang w:val="en-US" w:eastAsia="en-US"/>
        </w:rPr>
        <w:t>Tzioras</w:t>
      </w:r>
      <w:proofErr w:type="spellEnd"/>
      <w:r w:rsidRPr="00D74DFF">
        <w:rPr>
          <w:rFonts w:eastAsia="Calibri"/>
          <w:lang w:val="en-US" w:eastAsia="en-US"/>
        </w:rPr>
        <w:t xml:space="preserve"> S, </w:t>
      </w:r>
      <w:proofErr w:type="spellStart"/>
      <w:r w:rsidRPr="00D74DFF">
        <w:rPr>
          <w:rFonts w:eastAsia="Calibri"/>
          <w:lang w:val="en-US" w:eastAsia="en-US"/>
        </w:rPr>
        <w:t>Kamposioras</w:t>
      </w:r>
      <w:proofErr w:type="spellEnd"/>
      <w:r w:rsidRPr="00D74DFF">
        <w:rPr>
          <w:rFonts w:eastAsia="Calibri"/>
          <w:lang w:val="en-US" w:eastAsia="en-US"/>
        </w:rPr>
        <w:t xml:space="preserve"> K, </w:t>
      </w:r>
      <w:proofErr w:type="spellStart"/>
      <w:r w:rsidRPr="00D74DFF">
        <w:rPr>
          <w:rFonts w:eastAsia="Calibri"/>
          <w:lang w:val="en-US" w:eastAsia="en-US"/>
        </w:rPr>
        <w:t>Cortinovis</w:t>
      </w:r>
      <w:proofErr w:type="spellEnd"/>
      <w:r w:rsidRPr="00D74DFF">
        <w:rPr>
          <w:rFonts w:eastAsia="Calibri"/>
          <w:lang w:val="en-US" w:eastAsia="en-US"/>
        </w:rPr>
        <w:t xml:space="preserve"> I, et al. Combined vitamin C and E supplementation during pregnancy for preeclampsia prevention: A systematic review. Obstetrical and Gynecological Survey. 2007; 62(3):202–6. DOI: 10.1097/01.ogx.</w:t>
      </w:r>
      <w:proofErr w:type="gramStart"/>
      <w:r w:rsidRPr="00D74DFF">
        <w:rPr>
          <w:rFonts w:eastAsia="Calibri"/>
          <w:lang w:val="en-US" w:eastAsia="en-US"/>
        </w:rPr>
        <w:t>0000256787.04807.da</w:t>
      </w:r>
      <w:proofErr w:type="gramEnd"/>
    </w:p>
    <w:p w14:paraId="74AA16F9" w14:textId="41C9832B" w:rsidR="00D74DFF" w:rsidRPr="00D74DFF" w:rsidRDefault="00D74DFF" w:rsidP="00D74DFF">
      <w:pPr>
        <w:spacing w:line="360" w:lineRule="auto"/>
        <w:rPr>
          <w:rFonts w:eastAsia="Calibri"/>
          <w:lang w:val="es-PE" w:eastAsia="en-US"/>
        </w:rPr>
      </w:pPr>
      <w:r w:rsidRPr="00D74DFF">
        <w:rPr>
          <w:rFonts w:eastAsia="Calibri"/>
          <w:lang w:val="es-PE" w:eastAsia="en-US"/>
        </w:rPr>
        <w:t>2</w:t>
      </w:r>
      <w:r w:rsidR="0002130C">
        <w:rPr>
          <w:rFonts w:eastAsia="Calibri"/>
          <w:lang w:val="es-PE" w:eastAsia="en-US"/>
        </w:rPr>
        <w:t>6</w:t>
      </w:r>
      <w:r w:rsidRPr="00D74DFF">
        <w:rPr>
          <w:rFonts w:eastAsia="Calibri"/>
          <w:lang w:val="es-PE" w:eastAsia="en-US"/>
        </w:rPr>
        <w:t xml:space="preserve">. Sánchez-Valle V, Méndez-Sánchez N. Estrés oxidativo, antioxidantes y enfermedad. Artículo de revisión. </w:t>
      </w:r>
      <w:proofErr w:type="spellStart"/>
      <w:r w:rsidRPr="00D74DFF">
        <w:rPr>
          <w:rFonts w:eastAsia="Calibri"/>
          <w:lang w:val="es-PE" w:eastAsia="en-US"/>
        </w:rPr>
        <w:t>Rev</w:t>
      </w:r>
      <w:proofErr w:type="spellEnd"/>
      <w:r w:rsidRPr="00D74DFF">
        <w:rPr>
          <w:rFonts w:eastAsia="Calibri"/>
          <w:lang w:val="es-PE" w:eastAsia="en-US"/>
        </w:rPr>
        <w:t xml:space="preserve"> </w:t>
      </w:r>
      <w:proofErr w:type="spellStart"/>
      <w:r w:rsidRPr="00D74DFF">
        <w:rPr>
          <w:rFonts w:eastAsia="Calibri"/>
          <w:lang w:val="es-PE" w:eastAsia="en-US"/>
        </w:rPr>
        <w:t>Invest</w:t>
      </w:r>
      <w:proofErr w:type="spellEnd"/>
      <w:r w:rsidRPr="00D74DFF">
        <w:rPr>
          <w:rFonts w:eastAsia="Calibri"/>
          <w:lang w:val="es-PE" w:eastAsia="en-US"/>
        </w:rPr>
        <w:t xml:space="preserve"> </w:t>
      </w:r>
      <w:proofErr w:type="spellStart"/>
      <w:r w:rsidRPr="00D74DFF">
        <w:rPr>
          <w:rFonts w:eastAsia="Calibri"/>
          <w:lang w:val="es-PE" w:eastAsia="en-US"/>
        </w:rPr>
        <w:t>Med</w:t>
      </w:r>
      <w:proofErr w:type="spellEnd"/>
      <w:r w:rsidRPr="00D74DFF">
        <w:rPr>
          <w:rFonts w:eastAsia="Calibri"/>
          <w:lang w:val="es-PE" w:eastAsia="en-US"/>
        </w:rPr>
        <w:t xml:space="preserve"> Sur Mex. 2013 [acceso: 27/09/2021]; 20(3):161–8. Disponible en: </w:t>
      </w:r>
      <w:hyperlink r:id="rId29" w:history="1">
        <w:r w:rsidRPr="00D74DFF">
          <w:rPr>
            <w:rFonts w:eastAsia="Calibri"/>
            <w:color w:val="0563C1"/>
            <w:u w:val="single"/>
            <w:lang w:val="es-PE" w:eastAsia="en-US"/>
          </w:rPr>
          <w:t>https://xdoc.mx/documents/estres-oxidativo-antioxidantes-y-enfermedad-600669ad79293</w:t>
        </w:r>
      </w:hyperlink>
      <w:r w:rsidRPr="00D74DFF">
        <w:rPr>
          <w:rFonts w:eastAsia="Calibri"/>
          <w:lang w:val="es-PE" w:eastAsia="en-US"/>
        </w:rPr>
        <w:t xml:space="preserve">  </w:t>
      </w:r>
    </w:p>
    <w:p w14:paraId="3C404991" w14:textId="77F53D40" w:rsidR="00D74DFF" w:rsidRPr="00D74DFF" w:rsidRDefault="00D74DFF" w:rsidP="00D74DFF">
      <w:pPr>
        <w:spacing w:line="360" w:lineRule="auto"/>
        <w:rPr>
          <w:rFonts w:eastAsia="Calibri"/>
          <w:lang w:val="en-US" w:eastAsia="en-US"/>
        </w:rPr>
      </w:pPr>
      <w:r w:rsidRPr="00D74DFF">
        <w:rPr>
          <w:rFonts w:eastAsia="Calibri"/>
          <w:lang w:val="es-PE" w:eastAsia="en-US"/>
        </w:rPr>
        <w:t>2</w:t>
      </w:r>
      <w:r w:rsidR="0002130C">
        <w:rPr>
          <w:rFonts w:eastAsia="Calibri"/>
          <w:lang w:val="es-PE" w:eastAsia="en-US"/>
        </w:rPr>
        <w:t>7</w:t>
      </w:r>
      <w:r w:rsidRPr="00D74DFF">
        <w:rPr>
          <w:rFonts w:eastAsia="Calibri"/>
          <w:lang w:val="es-PE" w:eastAsia="en-US"/>
        </w:rPr>
        <w:t xml:space="preserve">. </w:t>
      </w:r>
      <w:proofErr w:type="spellStart"/>
      <w:r w:rsidRPr="00D74DFF">
        <w:rPr>
          <w:rFonts w:eastAsia="Calibri"/>
          <w:lang w:val="es-PE" w:eastAsia="en-US"/>
        </w:rPr>
        <w:t>Khaing</w:t>
      </w:r>
      <w:proofErr w:type="spellEnd"/>
      <w:r w:rsidRPr="00D74DFF">
        <w:rPr>
          <w:rFonts w:eastAsia="Calibri"/>
          <w:lang w:val="es-PE" w:eastAsia="en-US"/>
        </w:rPr>
        <w:t xml:space="preserve"> W, </w:t>
      </w:r>
      <w:proofErr w:type="spellStart"/>
      <w:r w:rsidRPr="00D74DFF">
        <w:rPr>
          <w:rFonts w:eastAsia="Calibri"/>
          <w:lang w:val="es-PE" w:eastAsia="en-US"/>
        </w:rPr>
        <w:t>Vallibhakara</w:t>
      </w:r>
      <w:proofErr w:type="spellEnd"/>
      <w:r w:rsidRPr="00D74DFF">
        <w:rPr>
          <w:rFonts w:eastAsia="Calibri"/>
          <w:lang w:val="es-PE" w:eastAsia="en-US"/>
        </w:rPr>
        <w:t xml:space="preserve"> SAO, </w:t>
      </w:r>
      <w:proofErr w:type="spellStart"/>
      <w:r w:rsidRPr="00D74DFF">
        <w:rPr>
          <w:rFonts w:eastAsia="Calibri"/>
          <w:lang w:val="es-PE" w:eastAsia="en-US"/>
        </w:rPr>
        <w:t>Tantrakul</w:t>
      </w:r>
      <w:proofErr w:type="spellEnd"/>
      <w:r w:rsidRPr="00D74DFF">
        <w:rPr>
          <w:rFonts w:eastAsia="Calibri"/>
          <w:lang w:val="es-PE" w:eastAsia="en-US"/>
        </w:rPr>
        <w:t xml:space="preserve"> V, </w:t>
      </w:r>
      <w:proofErr w:type="spellStart"/>
      <w:r w:rsidRPr="00D74DFF">
        <w:rPr>
          <w:rFonts w:eastAsia="Calibri"/>
          <w:lang w:val="es-PE" w:eastAsia="en-US"/>
        </w:rPr>
        <w:t>Vallibhakara</w:t>
      </w:r>
      <w:proofErr w:type="spellEnd"/>
      <w:r w:rsidRPr="00D74DFF">
        <w:rPr>
          <w:rFonts w:eastAsia="Calibri"/>
          <w:lang w:val="es-PE" w:eastAsia="en-US"/>
        </w:rPr>
        <w:t xml:space="preserve"> O, </w:t>
      </w:r>
      <w:proofErr w:type="spellStart"/>
      <w:r w:rsidRPr="00D74DFF">
        <w:rPr>
          <w:rFonts w:eastAsia="Calibri"/>
          <w:lang w:val="es-PE" w:eastAsia="en-US"/>
        </w:rPr>
        <w:t>Rattanasiri</w:t>
      </w:r>
      <w:proofErr w:type="spellEnd"/>
      <w:r w:rsidRPr="00D74DFF">
        <w:rPr>
          <w:rFonts w:eastAsia="Calibri"/>
          <w:lang w:val="es-PE" w:eastAsia="en-US"/>
        </w:rPr>
        <w:t xml:space="preserve"> S, </w:t>
      </w:r>
      <w:proofErr w:type="spellStart"/>
      <w:r w:rsidRPr="00D74DFF">
        <w:rPr>
          <w:rFonts w:eastAsia="Calibri"/>
          <w:lang w:val="es-PE" w:eastAsia="en-US"/>
        </w:rPr>
        <w:t>McEvoy</w:t>
      </w:r>
      <w:proofErr w:type="spellEnd"/>
      <w:r w:rsidRPr="00D74DFF">
        <w:rPr>
          <w:rFonts w:eastAsia="Calibri"/>
          <w:lang w:val="es-PE" w:eastAsia="en-US"/>
        </w:rPr>
        <w:t xml:space="preserve"> M, et al. </w:t>
      </w:r>
      <w:r w:rsidRPr="00D74DFF">
        <w:rPr>
          <w:rFonts w:eastAsia="Calibri"/>
          <w:lang w:val="en-US" w:eastAsia="en-US"/>
        </w:rPr>
        <w:t>Calcium and vitamin D supplementation for prevention of preeclampsia: A systematic review and network meta-analysis. Nutrients. 2017; 9(10):1–23. DOI: 10.3390/nu9101141</w:t>
      </w:r>
    </w:p>
    <w:p w14:paraId="095303F0" w14:textId="1F91C737" w:rsidR="00D74DFF" w:rsidRPr="00D74DFF" w:rsidRDefault="0002130C" w:rsidP="00D74DFF">
      <w:pPr>
        <w:spacing w:line="360" w:lineRule="auto"/>
        <w:rPr>
          <w:rFonts w:eastAsia="Calibri"/>
          <w:lang w:val="en-US" w:eastAsia="en-US"/>
        </w:rPr>
      </w:pPr>
      <w:r>
        <w:rPr>
          <w:rFonts w:eastAsia="Calibri"/>
          <w:lang w:val="en-US" w:eastAsia="en-US"/>
        </w:rPr>
        <w:t>28</w:t>
      </w:r>
      <w:r w:rsidR="00D74DFF" w:rsidRPr="00D74DFF">
        <w:rPr>
          <w:rFonts w:eastAsia="Calibri"/>
          <w:lang w:val="en-US" w:eastAsia="en-US"/>
        </w:rPr>
        <w:t xml:space="preserve">. </w:t>
      </w:r>
      <w:proofErr w:type="spellStart"/>
      <w:r w:rsidR="00D74DFF" w:rsidRPr="00D74DFF">
        <w:rPr>
          <w:rFonts w:eastAsia="Calibri"/>
          <w:lang w:val="en-US" w:eastAsia="en-US"/>
        </w:rPr>
        <w:t>Fogacci</w:t>
      </w:r>
      <w:proofErr w:type="spellEnd"/>
      <w:r w:rsidR="00D74DFF" w:rsidRPr="00D74DFF">
        <w:rPr>
          <w:rFonts w:eastAsia="Calibri"/>
          <w:lang w:val="en-US" w:eastAsia="en-US"/>
        </w:rPr>
        <w:t xml:space="preserve"> S, </w:t>
      </w:r>
      <w:proofErr w:type="spellStart"/>
      <w:r w:rsidR="00D74DFF" w:rsidRPr="00D74DFF">
        <w:rPr>
          <w:rFonts w:eastAsia="Calibri"/>
          <w:lang w:val="en-US" w:eastAsia="en-US"/>
        </w:rPr>
        <w:t>Fogacci</w:t>
      </w:r>
      <w:proofErr w:type="spellEnd"/>
      <w:r w:rsidR="00D74DFF" w:rsidRPr="00D74DFF">
        <w:rPr>
          <w:rFonts w:eastAsia="Calibri"/>
          <w:lang w:val="en-US" w:eastAsia="en-US"/>
        </w:rPr>
        <w:t xml:space="preserve"> F, Banach M, Michos ED, Hernandez A V., Lip GYH, et al. Vitamin D supplementation and incident preeclampsia: A systematic review and meta-analysis of randomized clinical trials. Clinical Nutrition. 2020; 39(6):1742–52. DOI: 10.1016/j.clnu.2019.08.015</w:t>
      </w:r>
    </w:p>
    <w:p w14:paraId="50CAD3DF" w14:textId="11E23276" w:rsidR="00D74DFF" w:rsidRPr="00D74DFF" w:rsidRDefault="0002130C" w:rsidP="00D74DFF">
      <w:pPr>
        <w:spacing w:line="360" w:lineRule="auto"/>
        <w:rPr>
          <w:rFonts w:eastAsia="Calibri"/>
          <w:lang w:val="en-US" w:eastAsia="en-US"/>
        </w:rPr>
      </w:pPr>
      <w:r>
        <w:rPr>
          <w:rFonts w:eastAsia="Calibri"/>
          <w:lang w:val="en-US" w:eastAsia="en-US"/>
        </w:rPr>
        <w:t>29</w:t>
      </w:r>
      <w:r w:rsidR="00D74DFF" w:rsidRPr="00D74DFF">
        <w:rPr>
          <w:rFonts w:eastAsia="Calibri"/>
          <w:lang w:val="en-US" w:eastAsia="en-US"/>
        </w:rPr>
        <w:t xml:space="preserve">. </w:t>
      </w:r>
      <w:proofErr w:type="spellStart"/>
      <w:r w:rsidR="00D74DFF" w:rsidRPr="00D74DFF">
        <w:rPr>
          <w:rFonts w:eastAsia="Calibri"/>
          <w:lang w:val="en-US" w:eastAsia="en-US"/>
        </w:rPr>
        <w:t>Perichart-Perera</w:t>
      </w:r>
      <w:proofErr w:type="spellEnd"/>
      <w:r w:rsidR="00D74DFF" w:rsidRPr="00D74DFF">
        <w:rPr>
          <w:rFonts w:eastAsia="Calibri"/>
          <w:lang w:val="en-US" w:eastAsia="en-US"/>
        </w:rPr>
        <w:t xml:space="preserve"> O, Rodríguez-Cano AM, Gutiérrez-</w:t>
      </w:r>
      <w:proofErr w:type="spellStart"/>
      <w:r w:rsidR="00D74DFF" w:rsidRPr="00D74DFF">
        <w:rPr>
          <w:rFonts w:eastAsia="Calibri"/>
          <w:lang w:val="en-US" w:eastAsia="en-US"/>
        </w:rPr>
        <w:t>Castrellón</w:t>
      </w:r>
      <w:proofErr w:type="spellEnd"/>
      <w:r w:rsidR="00D74DFF" w:rsidRPr="00D74DFF">
        <w:rPr>
          <w:rFonts w:eastAsia="Calibri"/>
          <w:lang w:val="en-US" w:eastAsia="en-US"/>
        </w:rPr>
        <w:t xml:space="preserve"> P. Relevance of nutritional supplements during pregnancy: Role of iron, folic acid, vitamin d, calcium and multiple micronutrients. Gaceta Medica de Mexico. 2020; 156(</w:t>
      </w:r>
      <w:proofErr w:type="spellStart"/>
      <w:r w:rsidR="00D74DFF" w:rsidRPr="00D74DFF">
        <w:rPr>
          <w:rFonts w:eastAsia="Calibri"/>
          <w:lang w:val="en-US" w:eastAsia="en-US"/>
        </w:rPr>
        <w:t>Supl</w:t>
      </w:r>
      <w:proofErr w:type="spellEnd"/>
      <w:r w:rsidR="00D74DFF" w:rsidRPr="00D74DFF">
        <w:rPr>
          <w:rFonts w:eastAsia="Calibri"/>
          <w:lang w:val="en-US" w:eastAsia="en-US"/>
        </w:rPr>
        <w:t xml:space="preserve"> 3</w:t>
      </w:r>
      <w:proofErr w:type="gramStart"/>
      <w:r w:rsidR="00D74DFF" w:rsidRPr="00D74DFF">
        <w:rPr>
          <w:rFonts w:eastAsia="Calibri"/>
          <w:lang w:val="en-US" w:eastAsia="en-US"/>
        </w:rPr>
        <w:t>):</w:t>
      </w:r>
      <w:proofErr w:type="spellStart"/>
      <w:r w:rsidR="00D74DFF" w:rsidRPr="00D74DFF">
        <w:rPr>
          <w:rFonts w:eastAsia="Calibri"/>
          <w:lang w:val="en-US" w:eastAsia="en-US"/>
        </w:rPr>
        <w:t>S</w:t>
      </w:r>
      <w:proofErr w:type="gramEnd"/>
      <w:r w:rsidR="00D74DFF" w:rsidRPr="00D74DFF">
        <w:rPr>
          <w:rFonts w:eastAsia="Calibri"/>
          <w:lang w:val="en-US" w:eastAsia="en-US"/>
        </w:rPr>
        <w:t>1</w:t>
      </w:r>
      <w:proofErr w:type="spellEnd"/>
      <w:r w:rsidR="00D74DFF" w:rsidRPr="00D74DFF">
        <w:rPr>
          <w:rFonts w:eastAsia="Calibri"/>
          <w:lang w:val="en-US" w:eastAsia="en-US"/>
        </w:rPr>
        <w:t>–26. DOI: 10.24875/GMM.M20000434</w:t>
      </w:r>
    </w:p>
    <w:p w14:paraId="102EE902" w14:textId="526BD886" w:rsidR="00D74DFF" w:rsidRPr="00D74DFF" w:rsidRDefault="00D74DFF" w:rsidP="00D74DFF">
      <w:pPr>
        <w:spacing w:line="360" w:lineRule="auto"/>
        <w:rPr>
          <w:rFonts w:eastAsia="Calibri"/>
          <w:lang w:val="en-US" w:eastAsia="en-US"/>
        </w:rPr>
      </w:pPr>
      <w:r w:rsidRPr="00D74DFF">
        <w:rPr>
          <w:rFonts w:eastAsia="Calibri"/>
          <w:lang w:val="en-US" w:eastAsia="en-US"/>
        </w:rPr>
        <w:lastRenderedPageBreak/>
        <w:t>3</w:t>
      </w:r>
      <w:r w:rsidR="0002130C">
        <w:rPr>
          <w:rFonts w:eastAsia="Calibri"/>
          <w:lang w:val="en-US" w:eastAsia="en-US"/>
        </w:rPr>
        <w:t>0</w:t>
      </w:r>
      <w:r w:rsidRPr="00D74DFF">
        <w:rPr>
          <w:rFonts w:eastAsia="Calibri"/>
          <w:lang w:val="en-US" w:eastAsia="en-US"/>
        </w:rPr>
        <w:t xml:space="preserve">. </w:t>
      </w:r>
      <w:proofErr w:type="spellStart"/>
      <w:r w:rsidRPr="00D74DFF">
        <w:rPr>
          <w:rFonts w:eastAsia="Calibri"/>
          <w:lang w:val="en-US" w:eastAsia="en-US"/>
        </w:rPr>
        <w:t>Dakhale</w:t>
      </w:r>
      <w:proofErr w:type="spellEnd"/>
      <w:r w:rsidRPr="00D74DFF">
        <w:rPr>
          <w:rFonts w:eastAsia="Calibri"/>
          <w:lang w:val="en-US" w:eastAsia="en-US"/>
        </w:rPr>
        <w:t xml:space="preserve"> </w:t>
      </w:r>
      <w:proofErr w:type="spellStart"/>
      <w:r w:rsidRPr="00D74DFF">
        <w:rPr>
          <w:rFonts w:eastAsia="Calibri"/>
          <w:lang w:val="en-US" w:eastAsia="en-US"/>
        </w:rPr>
        <w:t>GN</w:t>
      </w:r>
      <w:proofErr w:type="spellEnd"/>
      <w:r w:rsidRPr="00D74DFF">
        <w:rPr>
          <w:rFonts w:eastAsia="Calibri"/>
          <w:lang w:val="en-US" w:eastAsia="en-US"/>
        </w:rPr>
        <w:t>, Chaudhari H V., Shrivastava M. Supplementation of vitamin C reduces blood glucose and improves glycosylated hemoglobin in type 2 diabetes mellitus: A randomized, double-blind study. Advances in Pharmacological Sciences. 2011; 2011. DOI: 10.1155/2011/195271</w:t>
      </w:r>
    </w:p>
    <w:p w14:paraId="72ADA0C7" w14:textId="5778A383" w:rsidR="00D74DFF" w:rsidRPr="00D74DFF" w:rsidRDefault="00D74DFF" w:rsidP="00D74DFF">
      <w:pPr>
        <w:spacing w:line="360" w:lineRule="auto"/>
        <w:rPr>
          <w:rFonts w:eastAsia="Calibri"/>
          <w:lang w:val="es-PE" w:eastAsia="en-US"/>
        </w:rPr>
      </w:pPr>
      <w:r w:rsidRPr="00D74DFF">
        <w:rPr>
          <w:rFonts w:eastAsia="Calibri"/>
          <w:lang w:val="en-US" w:eastAsia="en-US"/>
        </w:rPr>
        <w:t>3</w:t>
      </w:r>
      <w:r w:rsidR="0002130C">
        <w:rPr>
          <w:rFonts w:eastAsia="Calibri"/>
          <w:lang w:val="en-US" w:eastAsia="en-US"/>
        </w:rPr>
        <w:t>1</w:t>
      </w:r>
      <w:r w:rsidRPr="00D74DFF">
        <w:rPr>
          <w:rFonts w:eastAsia="Calibri"/>
          <w:lang w:val="en-US" w:eastAsia="en-US"/>
        </w:rPr>
        <w:t xml:space="preserve">. Lee HS. Impact of maternal diet on the epigenome during in utero life and the developmental programming of diseases in childhood and adulthood. </w:t>
      </w:r>
      <w:proofErr w:type="spellStart"/>
      <w:r w:rsidRPr="00D74DFF">
        <w:rPr>
          <w:rFonts w:eastAsia="Calibri"/>
          <w:lang w:val="es-CU" w:eastAsia="en-US"/>
        </w:rPr>
        <w:t>Nutrients</w:t>
      </w:r>
      <w:proofErr w:type="spellEnd"/>
      <w:r w:rsidRPr="00D74DFF">
        <w:rPr>
          <w:rFonts w:eastAsia="Calibri"/>
          <w:lang w:val="es-CU" w:eastAsia="en-US"/>
        </w:rPr>
        <w:t xml:space="preserve">. 2015; 7(11):9492–507. </w:t>
      </w:r>
      <w:r w:rsidRPr="00D74DFF">
        <w:rPr>
          <w:rFonts w:eastAsia="Calibri"/>
          <w:lang w:val="es-PE" w:eastAsia="en-US"/>
        </w:rPr>
        <w:t>DOI: 10.3390/nu7115467</w:t>
      </w:r>
    </w:p>
    <w:p w14:paraId="09FDF532" w14:textId="77777777" w:rsidR="00D74DFF" w:rsidRPr="00D74DFF" w:rsidRDefault="00D74DFF" w:rsidP="00D74DFF">
      <w:pPr>
        <w:spacing w:line="360" w:lineRule="auto"/>
        <w:jc w:val="both"/>
        <w:rPr>
          <w:rFonts w:eastAsia="Calibri"/>
          <w:b/>
          <w:bCs/>
          <w:lang w:val="es-CU" w:eastAsia="en-US"/>
        </w:rPr>
      </w:pPr>
    </w:p>
    <w:p w14:paraId="6EB43F3A" w14:textId="77777777" w:rsidR="00D74DFF" w:rsidRPr="00D74DFF" w:rsidRDefault="00D74DFF" w:rsidP="00D74DFF">
      <w:pPr>
        <w:spacing w:line="360" w:lineRule="auto"/>
        <w:jc w:val="center"/>
        <w:rPr>
          <w:rFonts w:eastAsia="Calibri"/>
          <w:b/>
          <w:bCs/>
          <w:lang w:val="es-PE" w:eastAsia="en-US"/>
        </w:rPr>
      </w:pPr>
    </w:p>
    <w:p w14:paraId="13EA7987" w14:textId="77777777" w:rsidR="00D74DFF" w:rsidRPr="00D74DFF" w:rsidRDefault="00D74DFF" w:rsidP="00D74DFF">
      <w:pPr>
        <w:spacing w:line="360" w:lineRule="auto"/>
        <w:jc w:val="center"/>
        <w:rPr>
          <w:rFonts w:eastAsia="Calibri"/>
          <w:b/>
          <w:bCs/>
          <w:lang w:val="es-PE" w:eastAsia="en-US"/>
        </w:rPr>
      </w:pPr>
      <w:r w:rsidRPr="00D74DFF">
        <w:rPr>
          <w:rFonts w:eastAsia="Calibri"/>
          <w:b/>
          <w:bCs/>
          <w:lang w:val="es-PE" w:eastAsia="en-US"/>
        </w:rPr>
        <w:t>Conflictos de interés</w:t>
      </w:r>
    </w:p>
    <w:p w14:paraId="2544E16C" w14:textId="77777777" w:rsidR="00D74DFF" w:rsidRPr="00D74DFF" w:rsidRDefault="00D74DFF" w:rsidP="00D74DFF">
      <w:pPr>
        <w:spacing w:line="360" w:lineRule="auto"/>
        <w:jc w:val="both"/>
        <w:rPr>
          <w:rFonts w:eastAsia="Calibri"/>
          <w:lang w:val="es-PE" w:eastAsia="en-US"/>
        </w:rPr>
      </w:pPr>
      <w:r w:rsidRPr="00D74DFF">
        <w:rPr>
          <w:rFonts w:eastAsia="Calibri"/>
          <w:lang w:val="es-PE" w:eastAsia="en-US"/>
        </w:rPr>
        <w:t>Los autores declaran no tener ningún conflicto de interés.</w:t>
      </w:r>
    </w:p>
    <w:p w14:paraId="5E88BA9C" w14:textId="77777777" w:rsidR="00D74DFF" w:rsidRPr="00D74DFF" w:rsidRDefault="00D74DFF" w:rsidP="00D74DFF">
      <w:pPr>
        <w:spacing w:line="360" w:lineRule="auto"/>
        <w:jc w:val="center"/>
        <w:rPr>
          <w:rFonts w:eastAsia="Calibri"/>
          <w:b/>
          <w:lang w:val="es-PE" w:eastAsia="en-US"/>
        </w:rPr>
      </w:pPr>
    </w:p>
    <w:p w14:paraId="3E6BCC5D" w14:textId="77777777" w:rsidR="00D74DFF" w:rsidRPr="00D74DFF" w:rsidRDefault="00D74DFF" w:rsidP="00D74DFF">
      <w:pPr>
        <w:spacing w:line="360" w:lineRule="auto"/>
        <w:jc w:val="center"/>
        <w:rPr>
          <w:rFonts w:eastAsia="Calibri"/>
          <w:b/>
          <w:lang w:val="es-PE" w:eastAsia="en-US"/>
        </w:rPr>
      </w:pPr>
      <w:r w:rsidRPr="00D74DFF">
        <w:rPr>
          <w:rFonts w:eastAsia="Calibri"/>
          <w:b/>
          <w:lang w:val="es-PE" w:eastAsia="en-US"/>
        </w:rPr>
        <w:t>Contribuciones de los autores</w:t>
      </w:r>
    </w:p>
    <w:p w14:paraId="488BCF85" w14:textId="77777777" w:rsidR="00D74DFF" w:rsidRPr="00D74DFF" w:rsidRDefault="00D74DFF" w:rsidP="00D74DFF">
      <w:pPr>
        <w:spacing w:line="360" w:lineRule="auto"/>
        <w:rPr>
          <w:rFonts w:eastAsia="Calibri"/>
          <w:bCs/>
          <w:i/>
          <w:iCs/>
          <w:lang w:val="es-PE" w:eastAsia="en-US"/>
        </w:rPr>
      </w:pPr>
      <w:r w:rsidRPr="00D74DFF">
        <w:rPr>
          <w:rFonts w:eastAsia="Calibri"/>
          <w:bCs/>
          <w:lang w:val="es-PE" w:eastAsia="en-US"/>
        </w:rPr>
        <w:t xml:space="preserve">Conceptualización: </w:t>
      </w:r>
      <w:r w:rsidRPr="00D74DFF">
        <w:rPr>
          <w:rFonts w:eastAsia="Calibri"/>
          <w:bCs/>
          <w:i/>
          <w:iCs/>
          <w:lang w:val="es-PE" w:eastAsia="en-US"/>
        </w:rPr>
        <w:t>María Teresa Perdomo Rebaza</w:t>
      </w:r>
      <w:r w:rsidRPr="00D74DFF">
        <w:rPr>
          <w:rFonts w:eastAsia="Calibri"/>
          <w:i/>
          <w:iCs/>
          <w:lang w:val="es-PE" w:eastAsia="en-US"/>
        </w:rPr>
        <w:t>, Víctor Vera Ponce.</w:t>
      </w:r>
    </w:p>
    <w:p w14:paraId="36A502F3"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Curación de datos: </w:t>
      </w:r>
      <w:r w:rsidRPr="00D74DFF">
        <w:rPr>
          <w:rFonts w:eastAsia="Calibri"/>
          <w:bCs/>
          <w:i/>
          <w:iCs/>
          <w:lang w:val="es-PE" w:eastAsia="en-US"/>
        </w:rPr>
        <w:t>Jesús Talavera, Jenny Torres Malca.</w:t>
      </w:r>
    </w:p>
    <w:p w14:paraId="736EF1C0"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Análisis formal: </w:t>
      </w:r>
      <w:r w:rsidRPr="00D74DFF">
        <w:rPr>
          <w:rFonts w:eastAsia="Calibri"/>
          <w:i/>
          <w:iCs/>
          <w:lang w:val="es-PE" w:eastAsia="en-US"/>
        </w:rPr>
        <w:t xml:space="preserve">Víctor Vera Ponce, </w:t>
      </w:r>
      <w:r w:rsidRPr="00D74DFF">
        <w:rPr>
          <w:rFonts w:eastAsia="Calibri"/>
          <w:bCs/>
          <w:i/>
          <w:iCs/>
          <w:lang w:val="es-PE" w:eastAsia="en-US"/>
        </w:rPr>
        <w:t>Jesús Talavera</w:t>
      </w:r>
      <w:r w:rsidRPr="00D74DFF">
        <w:rPr>
          <w:rFonts w:eastAsia="Calibri"/>
          <w:i/>
          <w:iCs/>
          <w:lang w:val="es-PE" w:eastAsia="en-US"/>
        </w:rPr>
        <w:t>.</w:t>
      </w:r>
    </w:p>
    <w:p w14:paraId="023D4BEA"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Investigación: </w:t>
      </w:r>
      <w:r w:rsidRPr="00D74DFF">
        <w:rPr>
          <w:rFonts w:eastAsia="Calibri"/>
          <w:bCs/>
          <w:i/>
          <w:iCs/>
          <w:lang w:val="es-PE" w:eastAsia="en-US"/>
        </w:rPr>
        <w:t>María Teresa Perdomo Rebaza</w:t>
      </w:r>
      <w:r w:rsidRPr="00D74DFF">
        <w:rPr>
          <w:rFonts w:eastAsia="Calibri"/>
          <w:i/>
          <w:iCs/>
          <w:lang w:val="es-PE" w:eastAsia="en-US"/>
        </w:rPr>
        <w:t>, Fiorella E. Zuzunaga-Montoya.</w:t>
      </w:r>
    </w:p>
    <w:p w14:paraId="0495F88C"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Metodología: </w:t>
      </w:r>
      <w:r w:rsidRPr="00D74DFF">
        <w:rPr>
          <w:rFonts w:eastAsia="Calibri"/>
          <w:i/>
          <w:iCs/>
          <w:lang w:val="es-PE" w:eastAsia="en-US"/>
        </w:rPr>
        <w:t xml:space="preserve">Víctor Vera Ponce, </w:t>
      </w:r>
      <w:r w:rsidRPr="00D74DFF">
        <w:rPr>
          <w:rFonts w:eastAsia="Calibri"/>
          <w:bCs/>
          <w:i/>
          <w:iCs/>
          <w:lang w:val="es-PE" w:eastAsia="en-US"/>
        </w:rPr>
        <w:t>Jenny Torres Malca</w:t>
      </w:r>
      <w:r w:rsidRPr="00D74DFF">
        <w:rPr>
          <w:rFonts w:eastAsia="Calibri"/>
          <w:i/>
          <w:iCs/>
          <w:lang w:val="es-PE" w:eastAsia="en-US"/>
        </w:rPr>
        <w:t>.</w:t>
      </w:r>
    </w:p>
    <w:p w14:paraId="086CD09B"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Administración del proyecto: </w:t>
      </w:r>
      <w:r w:rsidRPr="00D74DFF">
        <w:rPr>
          <w:rFonts w:eastAsia="Calibri"/>
          <w:bCs/>
          <w:i/>
          <w:iCs/>
          <w:lang w:val="es-PE" w:eastAsia="en-US"/>
        </w:rPr>
        <w:t>María Teresa Perdomo Rebaza</w:t>
      </w:r>
      <w:r w:rsidRPr="00D74DFF">
        <w:rPr>
          <w:rFonts w:eastAsia="Calibri"/>
          <w:i/>
          <w:iCs/>
          <w:lang w:val="es-PE" w:eastAsia="en-US"/>
        </w:rPr>
        <w:t>, Víctor Vera Ponce.</w:t>
      </w:r>
    </w:p>
    <w:p w14:paraId="518B8830"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Supervisión: </w:t>
      </w:r>
      <w:r w:rsidRPr="00D74DFF">
        <w:rPr>
          <w:rFonts w:eastAsia="Calibri"/>
          <w:i/>
          <w:iCs/>
          <w:lang w:val="es-PE" w:eastAsia="en-US"/>
        </w:rPr>
        <w:t xml:space="preserve">Víctor Vera Ponce, </w:t>
      </w:r>
      <w:r w:rsidRPr="00D74DFF">
        <w:rPr>
          <w:rFonts w:eastAsia="Calibri"/>
          <w:bCs/>
          <w:i/>
          <w:iCs/>
          <w:lang w:val="es-PE" w:eastAsia="en-US"/>
        </w:rPr>
        <w:t>Jhony De La Cruz Vargas.</w:t>
      </w:r>
    </w:p>
    <w:p w14:paraId="70F48BBB" w14:textId="77777777" w:rsidR="00D74DFF" w:rsidRPr="00D74DFF" w:rsidRDefault="00D74DFF" w:rsidP="00D74DFF">
      <w:pPr>
        <w:spacing w:line="360" w:lineRule="auto"/>
        <w:rPr>
          <w:rFonts w:eastAsia="Calibri"/>
          <w:bCs/>
          <w:lang w:val="es-PE" w:eastAsia="en-US"/>
        </w:rPr>
      </w:pPr>
      <w:r w:rsidRPr="00D74DFF">
        <w:rPr>
          <w:rFonts w:eastAsia="Calibri"/>
          <w:bCs/>
          <w:lang w:val="es-PE" w:eastAsia="en-US"/>
        </w:rPr>
        <w:t xml:space="preserve">Visualización: </w:t>
      </w:r>
      <w:r w:rsidRPr="00D74DFF">
        <w:rPr>
          <w:rFonts w:eastAsia="Calibri"/>
          <w:bCs/>
          <w:i/>
          <w:iCs/>
          <w:lang w:val="es-PE" w:eastAsia="en-US"/>
        </w:rPr>
        <w:t>Jesús Talavera, Jenny Torres Malca.</w:t>
      </w:r>
    </w:p>
    <w:p w14:paraId="70A16643" w14:textId="77777777" w:rsidR="00D74DFF" w:rsidRPr="00D74DFF" w:rsidRDefault="00D74DFF" w:rsidP="00D74DFF">
      <w:pPr>
        <w:spacing w:line="360" w:lineRule="auto"/>
        <w:rPr>
          <w:rFonts w:eastAsia="Calibri"/>
          <w:b/>
          <w:lang w:val="es-PE" w:eastAsia="en-US"/>
        </w:rPr>
      </w:pPr>
      <w:r w:rsidRPr="00D74DFF">
        <w:rPr>
          <w:rFonts w:eastAsia="Calibri"/>
          <w:bCs/>
          <w:lang w:val="es-PE" w:eastAsia="en-US"/>
        </w:rPr>
        <w:t>Redacción – borrador original:</w:t>
      </w:r>
      <w:r w:rsidRPr="00D74DFF">
        <w:rPr>
          <w:rFonts w:eastAsia="Calibri"/>
          <w:i/>
          <w:iCs/>
          <w:lang w:val="es-PE" w:eastAsia="en-US"/>
        </w:rPr>
        <w:t xml:space="preserve"> </w:t>
      </w:r>
      <w:r w:rsidRPr="00D74DFF">
        <w:rPr>
          <w:rFonts w:eastAsia="Calibri"/>
          <w:bCs/>
          <w:i/>
          <w:iCs/>
          <w:lang w:val="es-PE" w:eastAsia="en-US"/>
        </w:rPr>
        <w:t xml:space="preserve">María Teresa Perdomo Rebaza, Jesús Talavera, Jenny Torres Malca, </w:t>
      </w:r>
      <w:r w:rsidRPr="00D74DFF">
        <w:rPr>
          <w:rFonts w:eastAsia="Calibri"/>
          <w:i/>
          <w:iCs/>
          <w:lang w:val="es-PE" w:eastAsia="en-US"/>
        </w:rPr>
        <w:t>Fiorella E. Zuzunaga-Montoya</w:t>
      </w:r>
      <w:r w:rsidRPr="00D74DFF">
        <w:rPr>
          <w:rFonts w:eastAsia="Calibri"/>
          <w:bCs/>
          <w:i/>
          <w:iCs/>
          <w:lang w:val="es-PE" w:eastAsia="en-US"/>
        </w:rPr>
        <w:t>.</w:t>
      </w:r>
    </w:p>
    <w:p w14:paraId="7ADD16BE" w14:textId="77777777" w:rsidR="00D74DFF" w:rsidRPr="00D74DFF" w:rsidRDefault="00D74DFF" w:rsidP="00D74DFF">
      <w:pPr>
        <w:spacing w:line="360" w:lineRule="auto"/>
        <w:rPr>
          <w:rFonts w:eastAsia="Calibri"/>
          <w:b/>
          <w:lang w:val="es-PE" w:eastAsia="en-US"/>
        </w:rPr>
      </w:pPr>
      <w:r w:rsidRPr="00D74DFF">
        <w:rPr>
          <w:rFonts w:eastAsia="Calibri"/>
          <w:bCs/>
          <w:lang w:val="es-PE" w:eastAsia="en-US"/>
        </w:rPr>
        <w:t xml:space="preserve">Redacción – revisión y edición: </w:t>
      </w:r>
      <w:r w:rsidRPr="00D74DFF">
        <w:rPr>
          <w:rFonts w:eastAsia="Calibri"/>
          <w:bCs/>
          <w:i/>
          <w:iCs/>
          <w:lang w:val="es-PE" w:eastAsia="en-US"/>
        </w:rPr>
        <w:t>María Teresa Perdomo Rebaza</w:t>
      </w:r>
      <w:r w:rsidRPr="00D74DFF">
        <w:rPr>
          <w:rFonts w:eastAsia="Calibri"/>
          <w:i/>
          <w:iCs/>
          <w:lang w:val="es-PE" w:eastAsia="en-US"/>
        </w:rPr>
        <w:t xml:space="preserve">, Víctor Vera </w:t>
      </w:r>
      <w:r w:rsidRPr="00D74DFF">
        <w:rPr>
          <w:rFonts w:eastAsia="Calibri"/>
          <w:bCs/>
          <w:i/>
          <w:iCs/>
          <w:lang w:val="es-PE" w:eastAsia="en-US"/>
        </w:rPr>
        <w:t xml:space="preserve">Ponce, Jenny Torres Malca, Jesús Talavera, </w:t>
      </w:r>
      <w:r w:rsidRPr="00D74DFF">
        <w:rPr>
          <w:rFonts w:eastAsia="Calibri"/>
          <w:i/>
          <w:iCs/>
          <w:lang w:val="es-PE" w:eastAsia="en-US"/>
        </w:rPr>
        <w:t xml:space="preserve">Fiorella E. Zuzunaga-Montoya, </w:t>
      </w:r>
      <w:r w:rsidRPr="00D74DFF">
        <w:rPr>
          <w:rFonts w:eastAsia="Calibri"/>
          <w:bCs/>
          <w:i/>
          <w:iCs/>
          <w:lang w:val="es-PE" w:eastAsia="en-US"/>
        </w:rPr>
        <w:t>Jhony De La Cruz Vargas.</w:t>
      </w:r>
    </w:p>
    <w:p w14:paraId="178DF9D8" w14:textId="77777777" w:rsidR="00675476" w:rsidRPr="00D74DFF" w:rsidRDefault="00675476" w:rsidP="00EA1FEF">
      <w:pPr>
        <w:pStyle w:val="PDFRevista"/>
        <w:rPr>
          <w:lang w:val="es-PE"/>
        </w:rPr>
      </w:pPr>
    </w:p>
    <w:sectPr w:rsidR="00675476" w:rsidRPr="00D74DFF" w:rsidSect="0083376C">
      <w:headerReference w:type="even" r:id="rId30"/>
      <w:headerReference w:type="default" r:id="rId31"/>
      <w:footerReference w:type="even" r:id="rId32"/>
      <w:footerReference w:type="default" r:id="rId33"/>
      <w:headerReference w:type="first" r:id="rId34"/>
      <w:footerReference w:type="first" r:id="rId35"/>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8322" w14:textId="77777777" w:rsidR="00EF0919" w:rsidRDefault="00EF0919">
      <w:r>
        <w:separator/>
      </w:r>
    </w:p>
  </w:endnote>
  <w:endnote w:type="continuationSeparator" w:id="0">
    <w:p w14:paraId="783D68F8" w14:textId="77777777" w:rsidR="00EF0919" w:rsidRDefault="00EF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A2FC" w14:textId="4B45EC0A" w:rsidR="00BE09BC" w:rsidRPr="00AE044C" w:rsidRDefault="00BE09BC" w:rsidP="00BE09BC">
    <w:pPr>
      <w:pStyle w:val="Piedepgina"/>
      <w:ind w:right="360"/>
      <w:rPr>
        <w:sz w:val="22"/>
        <w:szCs w:val="22"/>
      </w:rPr>
    </w:pPr>
    <w:r>
      <w:rPr>
        <w:noProof/>
      </w:rPr>
      <mc:AlternateContent>
        <mc:Choice Requires="wps">
          <w:drawing>
            <wp:anchor distT="0" distB="0" distL="114300" distR="114300" simplePos="0" relativeHeight="251668480" behindDoc="0" locked="0" layoutInCell="1" allowOverlap="1" wp14:anchorId="6600C0A8" wp14:editId="05528F08">
              <wp:simplePos x="0" y="0"/>
              <wp:positionH relativeFrom="column">
                <wp:posOffset>3810</wp:posOffset>
              </wp:positionH>
              <wp:positionV relativeFrom="paragraph">
                <wp:posOffset>50165</wp:posOffset>
              </wp:positionV>
              <wp:extent cx="6286500" cy="19050"/>
              <wp:effectExtent l="19050" t="19050" r="19050" b="19050"/>
              <wp:wrapNone/>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5A03D7" id="Conector recto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7985166" w14:textId="77777777" w:rsidR="00BE09BC" w:rsidRPr="00AE044C" w:rsidRDefault="00000000" w:rsidP="00BE09BC">
    <w:pPr>
      <w:pStyle w:val="Piedepgina"/>
      <w:ind w:right="360"/>
      <w:rPr>
        <w:sz w:val="22"/>
        <w:szCs w:val="22"/>
      </w:rPr>
    </w:pPr>
    <w:hyperlink r:id="rId1" w:history="1">
      <w:r w:rsidR="00BE09BC" w:rsidRPr="00AE044C">
        <w:rPr>
          <w:rStyle w:val="Hipervnculo"/>
          <w:sz w:val="22"/>
          <w:szCs w:val="22"/>
        </w:rPr>
        <w:t>http://scielo.sld.cu</w:t>
      </w:r>
    </w:hyperlink>
  </w:p>
  <w:p w14:paraId="39778435" w14:textId="77777777" w:rsidR="00BE09BC" w:rsidRPr="00AE044C" w:rsidRDefault="00000000" w:rsidP="00BE09BC">
    <w:pPr>
      <w:pStyle w:val="Piedepgina"/>
      <w:tabs>
        <w:tab w:val="clear" w:pos="4252"/>
        <w:tab w:val="left" w:pos="8504"/>
      </w:tabs>
      <w:ind w:right="360"/>
      <w:rPr>
        <w:sz w:val="22"/>
        <w:szCs w:val="22"/>
      </w:rPr>
    </w:pPr>
    <w:hyperlink r:id="rId2" w:history="1">
      <w:r w:rsidR="00BE09BC" w:rsidRPr="00AE044C">
        <w:rPr>
          <w:rStyle w:val="Hipervnculo"/>
          <w:sz w:val="22"/>
          <w:szCs w:val="22"/>
        </w:rPr>
        <w:t>http://www.revmedmilitar.sld.cu</w:t>
      </w:r>
    </w:hyperlink>
    <w:r w:rsidR="00BE09BC" w:rsidRPr="00AE044C">
      <w:rPr>
        <w:sz w:val="22"/>
        <w:szCs w:val="22"/>
      </w:rPr>
      <w:t xml:space="preserve"> </w:t>
    </w:r>
    <w:r w:rsidR="00BE09BC">
      <w:rPr>
        <w:sz w:val="22"/>
        <w:szCs w:val="22"/>
      </w:rPr>
      <w:tab/>
    </w:r>
  </w:p>
  <w:p w14:paraId="3917AA0A" w14:textId="4DDCB3E6" w:rsidR="00BE09BC" w:rsidRPr="00CC376A" w:rsidRDefault="00BE09BC" w:rsidP="00BE09BC">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Pr="00AC13C1">
      <w:rPr>
        <w:rFonts w:ascii="Verdana" w:hAnsi="Verdana"/>
        <w:noProof/>
        <w:sz w:val="18"/>
        <w:szCs w:val="18"/>
        <w:lang w:val="en-US" w:eastAsia="en-US"/>
      </w:rPr>
      <w:drawing>
        <wp:inline distT="0" distB="0" distL="0" distR="0" wp14:anchorId="45EBDDE0" wp14:editId="373D8323">
          <wp:extent cx="638175" cy="152400"/>
          <wp:effectExtent l="0" t="0" r="9525" b="0"/>
          <wp:docPr id="56" name="Imagen 5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455854C4" w14:textId="77777777" w:rsidR="0083376C" w:rsidRDefault="008337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008" w14:textId="77777777" w:rsidR="007A6481" w:rsidRPr="00AE044C" w:rsidRDefault="007A6481" w:rsidP="00BE09BC">
    <w:pPr>
      <w:pStyle w:val="Piedepgina"/>
      <w:ind w:right="360"/>
      <w:rPr>
        <w:sz w:val="22"/>
        <w:szCs w:val="22"/>
      </w:rPr>
    </w:pPr>
    <w:r>
      <w:rPr>
        <w:noProof/>
      </w:rPr>
      <mc:AlternateContent>
        <mc:Choice Requires="wps">
          <w:drawing>
            <wp:anchor distT="0" distB="0" distL="114300" distR="114300" simplePos="0" relativeHeight="251673600" behindDoc="0" locked="0" layoutInCell="1" allowOverlap="1" wp14:anchorId="6D15D206" wp14:editId="6970DBF3">
              <wp:simplePos x="0" y="0"/>
              <wp:positionH relativeFrom="margin">
                <wp:align>left</wp:align>
              </wp:positionH>
              <wp:positionV relativeFrom="paragraph">
                <wp:posOffset>63501</wp:posOffset>
              </wp:positionV>
              <wp:extent cx="8534400" cy="19050"/>
              <wp:effectExtent l="19050" t="19050" r="19050" b="1905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FE9CD" id="Conector recto 60"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6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" strokecolor="blue" strokeweight="2.25pt">
              <w10:wrap anchorx="margin"/>
            </v:line>
          </w:pict>
        </mc:Fallback>
      </mc:AlternateContent>
    </w:r>
  </w:p>
  <w:p w14:paraId="17BACC73" w14:textId="77777777" w:rsidR="007A6481" w:rsidRPr="00AE044C" w:rsidRDefault="00000000" w:rsidP="00BE09BC">
    <w:pPr>
      <w:pStyle w:val="Piedepgina"/>
      <w:ind w:right="360"/>
      <w:rPr>
        <w:sz w:val="22"/>
        <w:szCs w:val="22"/>
      </w:rPr>
    </w:pPr>
    <w:hyperlink r:id="rId1" w:history="1">
      <w:r w:rsidR="007A6481" w:rsidRPr="00AE044C">
        <w:rPr>
          <w:rStyle w:val="Hipervnculo"/>
          <w:sz w:val="22"/>
          <w:szCs w:val="22"/>
        </w:rPr>
        <w:t>http://scielo.sld.cu</w:t>
      </w:r>
    </w:hyperlink>
  </w:p>
  <w:p w14:paraId="74420D93" w14:textId="77777777" w:rsidR="007A6481" w:rsidRPr="00AE044C" w:rsidRDefault="00000000" w:rsidP="00BE09BC">
    <w:pPr>
      <w:pStyle w:val="Piedepgina"/>
      <w:tabs>
        <w:tab w:val="clear" w:pos="4252"/>
        <w:tab w:val="left" w:pos="8504"/>
      </w:tabs>
      <w:ind w:right="360"/>
      <w:rPr>
        <w:sz w:val="22"/>
        <w:szCs w:val="22"/>
      </w:rPr>
    </w:pPr>
    <w:hyperlink r:id="rId2" w:history="1">
      <w:r w:rsidR="007A6481" w:rsidRPr="00AE044C">
        <w:rPr>
          <w:rStyle w:val="Hipervnculo"/>
          <w:sz w:val="22"/>
          <w:szCs w:val="22"/>
        </w:rPr>
        <w:t>http://www.revmedmilitar.sld.cu</w:t>
      </w:r>
    </w:hyperlink>
    <w:r w:rsidR="007A6481" w:rsidRPr="00AE044C">
      <w:rPr>
        <w:sz w:val="22"/>
        <w:szCs w:val="22"/>
      </w:rPr>
      <w:t xml:space="preserve"> </w:t>
    </w:r>
    <w:r w:rsidR="007A6481">
      <w:rPr>
        <w:sz w:val="22"/>
        <w:szCs w:val="22"/>
      </w:rPr>
      <w:tab/>
    </w:r>
  </w:p>
  <w:p w14:paraId="250FAA47" w14:textId="77777777" w:rsidR="007A6481" w:rsidRPr="00CC376A" w:rsidRDefault="007A6481" w:rsidP="00BE09BC">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Pr="00AC13C1">
      <w:rPr>
        <w:rFonts w:ascii="Verdana" w:hAnsi="Verdana"/>
        <w:noProof/>
        <w:sz w:val="18"/>
        <w:szCs w:val="18"/>
        <w:lang w:val="en-US" w:eastAsia="en-US"/>
      </w:rPr>
      <w:drawing>
        <wp:inline distT="0" distB="0" distL="0" distR="0" wp14:anchorId="6DA0868E" wp14:editId="4256EDB2">
          <wp:extent cx="638175" cy="152400"/>
          <wp:effectExtent l="0" t="0" r="9525" b="0"/>
          <wp:docPr id="61" name="Imagen 6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65043298" w14:textId="77777777" w:rsidR="007A6481" w:rsidRDefault="007A64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7CE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3EF206" w14:textId="77777777" w:rsidR="00FE40CB" w:rsidRDefault="00FE40CB" w:rsidP="00FE40CB">
    <w:pPr>
      <w:pStyle w:val="Piedepgina"/>
      <w:ind w:right="360"/>
    </w:pPr>
  </w:p>
  <w:p w14:paraId="5A7E1014" w14:textId="77777777" w:rsidR="00692AEE" w:rsidRDefault="00692A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B4DA" w14:textId="44974C2F" w:rsidR="000F3690" w:rsidRPr="00AE044C" w:rsidRDefault="00D74DF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C0A02D" wp14:editId="62CBEEDC">
              <wp:simplePos x="0" y="0"/>
              <wp:positionH relativeFrom="column">
                <wp:posOffset>3810</wp:posOffset>
              </wp:positionH>
              <wp:positionV relativeFrom="paragraph">
                <wp:posOffset>50165</wp:posOffset>
              </wp:positionV>
              <wp:extent cx="6286500" cy="19050"/>
              <wp:effectExtent l="1905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32297A" id="Conector recto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173040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46DA16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CD512BA" w14:textId="0689358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74DFF" w:rsidRPr="00D74DFF">
      <w:rPr>
        <w:rFonts w:ascii="Verdana" w:hAnsi="Verdana"/>
        <w:noProof/>
        <w:sz w:val="18"/>
        <w:szCs w:val="18"/>
        <w:lang w:val="en-US" w:eastAsia="en-US"/>
      </w:rPr>
      <w:drawing>
        <wp:inline distT="0" distB="0" distL="0" distR="0" wp14:anchorId="2DCDBB7C" wp14:editId="13FDB158">
          <wp:extent cx="638175" cy="152400"/>
          <wp:effectExtent l="0" t="0" r="0" b="0"/>
          <wp:docPr id="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E056"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766" w14:textId="77777777" w:rsidR="00EF0919" w:rsidRDefault="00EF0919">
      <w:r>
        <w:separator/>
      </w:r>
    </w:p>
  </w:footnote>
  <w:footnote w:type="continuationSeparator" w:id="0">
    <w:p w14:paraId="608E2E43" w14:textId="77777777" w:rsidR="00EF0919" w:rsidRDefault="00EF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F8BB" w14:textId="77777777" w:rsidR="002B43AF" w:rsidRPr="00AE044C" w:rsidRDefault="002B43AF" w:rsidP="002B43AF">
    <w:pPr>
      <w:pStyle w:val="Encabezado"/>
      <w:tabs>
        <w:tab w:val="left" w:pos="420"/>
      </w:tabs>
      <w:jc w:val="center"/>
      <w:rPr>
        <w:sz w:val="22"/>
        <w:szCs w:val="22"/>
      </w:rPr>
    </w:pPr>
    <w:r>
      <w:rPr>
        <w:sz w:val="22"/>
        <w:szCs w:val="22"/>
      </w:rPr>
      <w:t>2022;51</w:t>
    </w:r>
    <w:r w:rsidRPr="00AE044C">
      <w:rPr>
        <w:sz w:val="22"/>
        <w:szCs w:val="22"/>
      </w:rPr>
      <w:t>(</w:t>
    </w:r>
    <w:r>
      <w:rPr>
        <w:sz w:val="22"/>
        <w:szCs w:val="22"/>
      </w:rPr>
      <w:t>3</w:t>
    </w:r>
    <w:r w:rsidRPr="00AE044C">
      <w:rPr>
        <w:sz w:val="22"/>
        <w:szCs w:val="22"/>
      </w:rPr>
      <w:t>):</w:t>
    </w:r>
    <w:r>
      <w:rPr>
        <w:noProof/>
      </w:rPr>
      <w:drawing>
        <wp:anchor distT="0" distB="0" distL="114300" distR="114300" simplePos="0" relativeHeight="251666432" behindDoc="1" locked="0" layoutInCell="1" allowOverlap="1" wp14:anchorId="11B079C6" wp14:editId="3A3C5561">
          <wp:simplePos x="0" y="0"/>
          <wp:positionH relativeFrom="column">
            <wp:posOffset>2540</wp:posOffset>
          </wp:positionH>
          <wp:positionV relativeFrom="paragraph">
            <wp:posOffset>-598805</wp:posOffset>
          </wp:positionV>
          <wp:extent cx="6333490" cy="593725"/>
          <wp:effectExtent l="0" t="0" r="0" b="0"/>
          <wp:wrapNone/>
          <wp:docPr id="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e02202098</w:t>
    </w:r>
  </w:p>
  <w:p w14:paraId="79C2F8E5" w14:textId="77777777" w:rsidR="002B43AF" w:rsidRDefault="002B43AF" w:rsidP="002B43AF">
    <w:r>
      <w:rPr>
        <w:noProof/>
      </w:rPr>
      <mc:AlternateContent>
        <mc:Choice Requires="wps">
          <w:drawing>
            <wp:anchor distT="0" distB="0" distL="114300" distR="114300" simplePos="0" relativeHeight="251665408" behindDoc="0" locked="0" layoutInCell="1" allowOverlap="1" wp14:anchorId="37A449C6" wp14:editId="34AEFB1C">
              <wp:simplePos x="0" y="0"/>
              <wp:positionH relativeFrom="column">
                <wp:posOffset>635</wp:posOffset>
              </wp:positionH>
              <wp:positionV relativeFrom="paragraph">
                <wp:posOffset>42545</wp:posOffset>
              </wp:positionV>
              <wp:extent cx="6307455" cy="28575"/>
              <wp:effectExtent l="19050" t="19050" r="17145" b="952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7543A0" id="Conector recto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p w14:paraId="1C81A54D" w14:textId="77777777" w:rsidR="00D74DFF" w:rsidRDefault="00D74DFF" w:rsidP="00A63F3D">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85A" w14:textId="0D92332A" w:rsidR="007A6481" w:rsidRPr="00AE044C" w:rsidRDefault="007A6481" w:rsidP="002B43AF">
    <w:pPr>
      <w:pStyle w:val="Encabezado"/>
      <w:tabs>
        <w:tab w:val="left" w:pos="420"/>
      </w:tabs>
      <w:jc w:val="center"/>
      <w:rPr>
        <w:sz w:val="22"/>
        <w:szCs w:val="22"/>
      </w:rPr>
    </w:pPr>
    <w:r>
      <w:rPr>
        <w:noProof/>
      </w:rPr>
      <w:drawing>
        <wp:anchor distT="0" distB="0" distL="114300" distR="114300" simplePos="0" relativeHeight="251671552" behindDoc="1" locked="0" layoutInCell="1" allowOverlap="1" wp14:anchorId="726DCAD5" wp14:editId="6F679D3C">
          <wp:simplePos x="0" y="0"/>
          <wp:positionH relativeFrom="margin">
            <wp:align>center</wp:align>
          </wp:positionH>
          <wp:positionV relativeFrom="paragraph">
            <wp:posOffset>-608330</wp:posOffset>
          </wp:positionV>
          <wp:extent cx="6333490" cy="593725"/>
          <wp:effectExtent l="0" t="0" r="0" b="0"/>
          <wp:wrapNone/>
          <wp:docPr id="5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2022;51</w:t>
    </w:r>
    <w:r w:rsidRPr="00AE044C">
      <w:rPr>
        <w:sz w:val="22"/>
        <w:szCs w:val="22"/>
      </w:rPr>
      <w:t>(</w:t>
    </w:r>
    <w:r>
      <w:rPr>
        <w:sz w:val="22"/>
        <w:szCs w:val="22"/>
      </w:rPr>
      <w:t>3</w:t>
    </w:r>
    <w:proofErr w:type="gramStart"/>
    <w:r w:rsidRPr="00AE044C">
      <w:rPr>
        <w:sz w:val="22"/>
        <w:szCs w:val="22"/>
      </w:rPr>
      <w:t>):</w:t>
    </w:r>
    <w:r>
      <w:rPr>
        <w:sz w:val="22"/>
        <w:szCs w:val="22"/>
      </w:rPr>
      <w:t>e</w:t>
    </w:r>
    <w:proofErr w:type="gramEnd"/>
    <w:r>
      <w:rPr>
        <w:sz w:val="22"/>
        <w:szCs w:val="22"/>
      </w:rPr>
      <w:t>02202098</w:t>
    </w:r>
  </w:p>
  <w:p w14:paraId="3C0925CE" w14:textId="77777777" w:rsidR="007A6481" w:rsidRDefault="007A6481" w:rsidP="002B43AF">
    <w:r>
      <w:rPr>
        <w:noProof/>
      </w:rPr>
      <mc:AlternateContent>
        <mc:Choice Requires="wps">
          <w:drawing>
            <wp:anchor distT="0" distB="0" distL="114300" distR="114300" simplePos="0" relativeHeight="251670528" behindDoc="0" locked="0" layoutInCell="1" allowOverlap="1" wp14:anchorId="3FA0F66A" wp14:editId="62527C71">
              <wp:simplePos x="0" y="0"/>
              <wp:positionH relativeFrom="margin">
                <wp:posOffset>99060</wp:posOffset>
              </wp:positionH>
              <wp:positionV relativeFrom="paragraph">
                <wp:posOffset>53340</wp:posOffset>
              </wp:positionV>
              <wp:extent cx="8467725" cy="0"/>
              <wp:effectExtent l="0" t="19050" r="28575" b="19050"/>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7725" cy="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285B4A" id="Conector recto 5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4.2pt" to="67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" strokecolor="blue" strokeweight="2.25pt">
              <w10:wrap anchorx="margin"/>
            </v:line>
          </w:pict>
        </mc:Fallback>
      </mc:AlternateContent>
    </w:r>
  </w:p>
  <w:p w14:paraId="45FC12E6" w14:textId="77777777" w:rsidR="007A6481" w:rsidRDefault="007A6481" w:rsidP="00A63F3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9908" w14:textId="77777777" w:rsidR="00EE301D" w:rsidRDefault="00EE301D">
    <w:pPr>
      <w:pStyle w:val="Encabezado"/>
    </w:pPr>
  </w:p>
  <w:p w14:paraId="28C8468C" w14:textId="77777777" w:rsidR="00692AEE" w:rsidRDefault="00692A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71E2" w14:textId="216B562E" w:rsidR="00CC376A" w:rsidRPr="00AE044C" w:rsidRDefault="00D74DF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2295124E" wp14:editId="14E146F1">
          <wp:simplePos x="0" y="0"/>
          <wp:positionH relativeFrom="column">
            <wp:posOffset>2540</wp:posOffset>
          </wp:positionH>
          <wp:positionV relativeFrom="paragraph">
            <wp:posOffset>-598805</wp:posOffset>
          </wp:positionV>
          <wp:extent cx="6333490" cy="593725"/>
          <wp:effectExtent l="0" t="0" r="0" b="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e02202098</w:t>
    </w:r>
  </w:p>
  <w:p w14:paraId="6CD4E4B5" w14:textId="6F380402" w:rsidR="00A477DE" w:rsidRDefault="00D74DFF">
    <w:r>
      <w:rPr>
        <w:noProof/>
      </w:rPr>
      <mc:AlternateContent>
        <mc:Choice Requires="wps">
          <w:drawing>
            <wp:anchor distT="0" distB="0" distL="114300" distR="114300" simplePos="0" relativeHeight="251654144" behindDoc="0" locked="0" layoutInCell="1" allowOverlap="1" wp14:anchorId="4BEC0D22" wp14:editId="26A6FCAB">
              <wp:simplePos x="0" y="0"/>
              <wp:positionH relativeFrom="column">
                <wp:posOffset>635</wp:posOffset>
              </wp:positionH>
              <wp:positionV relativeFrom="paragraph">
                <wp:posOffset>42545</wp:posOffset>
              </wp:positionV>
              <wp:extent cx="6307455" cy="28575"/>
              <wp:effectExtent l="19050" t="19050" r="17145" b="952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E1F9E6" id="Conector recto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p w14:paraId="6621DEB1" w14:textId="77777777" w:rsidR="00692AEE" w:rsidRDefault="00692A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EAB"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EA4"/>
    <w:multiLevelType w:val="hybridMultilevel"/>
    <w:tmpl w:val="5A7EEA40"/>
    <w:lvl w:ilvl="0" w:tplc="533A73D2">
      <w:start w:val="1111"/>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23E40F11"/>
    <w:multiLevelType w:val="hybridMultilevel"/>
    <w:tmpl w:val="BA2E044A"/>
    <w:lvl w:ilvl="0" w:tplc="533A73D2">
      <w:start w:val="111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AAA74E8"/>
    <w:multiLevelType w:val="hybridMultilevel"/>
    <w:tmpl w:val="732CB7B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645C68A0"/>
    <w:multiLevelType w:val="hybridMultilevel"/>
    <w:tmpl w:val="29B2DC00"/>
    <w:lvl w:ilvl="0" w:tplc="12F0DE4A">
      <w:start w:val="25"/>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6EDD571B"/>
    <w:multiLevelType w:val="hybridMultilevel"/>
    <w:tmpl w:val="E460D30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547989169">
    <w:abstractNumId w:val="2"/>
  </w:num>
  <w:num w:numId="2" w16cid:durableId="1821922460">
    <w:abstractNumId w:val="1"/>
  </w:num>
  <w:num w:numId="3" w16cid:durableId="1851869703">
    <w:abstractNumId w:val="4"/>
  </w:num>
  <w:num w:numId="4" w16cid:durableId="110367627">
    <w:abstractNumId w:val="0"/>
  </w:num>
  <w:num w:numId="5" w16cid:durableId="1957321724">
    <w:abstractNumId w:val="5"/>
  </w:num>
  <w:num w:numId="6" w16cid:durableId="5972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F"/>
    <w:rsid w:val="0002130C"/>
    <w:rsid w:val="00057F45"/>
    <w:rsid w:val="00067CBF"/>
    <w:rsid w:val="000D3958"/>
    <w:rsid w:val="000E1BB3"/>
    <w:rsid w:val="000F3690"/>
    <w:rsid w:val="001221D1"/>
    <w:rsid w:val="00165CB5"/>
    <w:rsid w:val="00180CE9"/>
    <w:rsid w:val="001A2CF4"/>
    <w:rsid w:val="00205F5B"/>
    <w:rsid w:val="00230DD5"/>
    <w:rsid w:val="00250AE9"/>
    <w:rsid w:val="002B43AF"/>
    <w:rsid w:val="00380D64"/>
    <w:rsid w:val="00383FDA"/>
    <w:rsid w:val="00391509"/>
    <w:rsid w:val="003E03D5"/>
    <w:rsid w:val="00445905"/>
    <w:rsid w:val="00486BFA"/>
    <w:rsid w:val="00493701"/>
    <w:rsid w:val="0049702B"/>
    <w:rsid w:val="004C57A8"/>
    <w:rsid w:val="004E2065"/>
    <w:rsid w:val="00503C1E"/>
    <w:rsid w:val="005508A2"/>
    <w:rsid w:val="0055115D"/>
    <w:rsid w:val="00557BB0"/>
    <w:rsid w:val="00566F71"/>
    <w:rsid w:val="005918BD"/>
    <w:rsid w:val="005D0F6E"/>
    <w:rsid w:val="006173A6"/>
    <w:rsid w:val="00675476"/>
    <w:rsid w:val="00692AEE"/>
    <w:rsid w:val="006D02F5"/>
    <w:rsid w:val="006D4C54"/>
    <w:rsid w:val="00734737"/>
    <w:rsid w:val="00747968"/>
    <w:rsid w:val="00763AA1"/>
    <w:rsid w:val="007A6481"/>
    <w:rsid w:val="007B6D57"/>
    <w:rsid w:val="007C430F"/>
    <w:rsid w:val="007C7A33"/>
    <w:rsid w:val="007D2D0C"/>
    <w:rsid w:val="007D614D"/>
    <w:rsid w:val="0083376C"/>
    <w:rsid w:val="00903B36"/>
    <w:rsid w:val="00937D06"/>
    <w:rsid w:val="00960D6A"/>
    <w:rsid w:val="0096522D"/>
    <w:rsid w:val="009A0560"/>
    <w:rsid w:val="009B0917"/>
    <w:rsid w:val="009C3854"/>
    <w:rsid w:val="009F0F96"/>
    <w:rsid w:val="00A23C0C"/>
    <w:rsid w:val="00A477DE"/>
    <w:rsid w:val="00A71E65"/>
    <w:rsid w:val="00AD3A64"/>
    <w:rsid w:val="00AD41A6"/>
    <w:rsid w:val="00AE044C"/>
    <w:rsid w:val="00B31971"/>
    <w:rsid w:val="00B36A4E"/>
    <w:rsid w:val="00B4380A"/>
    <w:rsid w:val="00B66ECB"/>
    <w:rsid w:val="00BE09BC"/>
    <w:rsid w:val="00BF0331"/>
    <w:rsid w:val="00C55F5A"/>
    <w:rsid w:val="00C60B97"/>
    <w:rsid w:val="00C7523A"/>
    <w:rsid w:val="00CC1B6E"/>
    <w:rsid w:val="00CC376A"/>
    <w:rsid w:val="00CC48A1"/>
    <w:rsid w:val="00CF50E0"/>
    <w:rsid w:val="00D74DFF"/>
    <w:rsid w:val="00D85951"/>
    <w:rsid w:val="00D94268"/>
    <w:rsid w:val="00DC140F"/>
    <w:rsid w:val="00E57D0D"/>
    <w:rsid w:val="00E62606"/>
    <w:rsid w:val="00EA1FEF"/>
    <w:rsid w:val="00EC5A6B"/>
    <w:rsid w:val="00EE301D"/>
    <w:rsid w:val="00EE32BC"/>
    <w:rsid w:val="00EE4E0F"/>
    <w:rsid w:val="00EF0919"/>
    <w:rsid w:val="00FA7CC1"/>
    <w:rsid w:val="00FD3DF8"/>
    <w:rsid w:val="00FE40CB"/>
    <w:rsid w:val="00FE4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FCDBF"/>
  <w15:docId w15:val="{C51C087D-ACCB-49B2-8697-306BA50A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74DFF"/>
  </w:style>
  <w:style w:type="paragraph" w:styleId="Prrafodelista">
    <w:name w:val="List Paragraph"/>
    <w:basedOn w:val="Normal"/>
    <w:link w:val="PrrafodelistaCar"/>
    <w:uiPriority w:val="34"/>
    <w:qFormat/>
    <w:rsid w:val="00D74DFF"/>
    <w:pPr>
      <w:spacing w:after="200" w:line="276" w:lineRule="auto"/>
      <w:ind w:left="720"/>
      <w:contextualSpacing/>
    </w:pPr>
    <w:rPr>
      <w:rFonts w:ascii="Calibri" w:eastAsia="Calibri" w:hAnsi="Calibri"/>
      <w:sz w:val="22"/>
      <w:szCs w:val="22"/>
      <w:lang w:val="es-PE" w:eastAsia="en-US"/>
    </w:rPr>
  </w:style>
  <w:style w:type="character" w:customStyle="1" w:styleId="Mencinsinresolver1">
    <w:name w:val="Mención sin resolver1"/>
    <w:uiPriority w:val="99"/>
    <w:semiHidden/>
    <w:unhideWhenUsed/>
    <w:rsid w:val="00D74DFF"/>
    <w:rPr>
      <w:color w:val="605E5C"/>
      <w:shd w:val="clear" w:color="auto" w:fill="E1DFDD"/>
    </w:rPr>
  </w:style>
  <w:style w:type="table" w:customStyle="1" w:styleId="Tablaconcuadrcula1">
    <w:name w:val="Tabla con cuadrícula1"/>
    <w:basedOn w:val="Tablanormal"/>
    <w:next w:val="Tablaconcuadrcula"/>
    <w:uiPriority w:val="39"/>
    <w:rsid w:val="00D74DFF"/>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74DFF"/>
    <w:pPr>
      <w:tabs>
        <w:tab w:val="left" w:pos="504"/>
      </w:tabs>
      <w:spacing w:after="240"/>
      <w:ind w:left="504" w:hanging="504"/>
    </w:pPr>
    <w:rPr>
      <w:rFonts w:ascii="Calibri" w:eastAsia="Calibri" w:hAnsi="Calibri"/>
      <w:sz w:val="22"/>
      <w:szCs w:val="22"/>
      <w:lang w:val="es-PE" w:eastAsia="en-US"/>
    </w:rPr>
  </w:style>
  <w:style w:type="character" w:customStyle="1" w:styleId="PrrafodelistaCar">
    <w:name w:val="Párrafo de lista Car"/>
    <w:link w:val="Prrafodelista"/>
    <w:uiPriority w:val="34"/>
    <w:locked/>
    <w:rsid w:val="00D74DFF"/>
    <w:rPr>
      <w:rFonts w:ascii="Calibri" w:eastAsia="Calibri" w:hAnsi="Calibri"/>
      <w:sz w:val="22"/>
      <w:szCs w:val="22"/>
      <w:lang w:val="es-PE" w:eastAsia="en-US"/>
    </w:rPr>
  </w:style>
  <w:style w:type="table" w:customStyle="1" w:styleId="Tablanormal41">
    <w:name w:val="Tabla normal 41"/>
    <w:basedOn w:val="Tablanormal"/>
    <w:uiPriority w:val="44"/>
    <w:rsid w:val="00D74DFF"/>
    <w:rPr>
      <w:rFonts w:ascii="Calibri" w:hAnsi="Calibri"/>
      <w:sz w:val="22"/>
      <w:szCs w:val="22"/>
      <w:lang w:val="en-US"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1clara-nfasis11">
    <w:name w:val="Tabla de lista 1 clara - Énfasis 11"/>
    <w:basedOn w:val="Tablanormal"/>
    <w:uiPriority w:val="46"/>
    <w:rsid w:val="00D74DFF"/>
    <w:rPr>
      <w:rFonts w:ascii="Calibri" w:hAnsi="Calibri"/>
      <w:sz w:val="22"/>
      <w:szCs w:val="22"/>
      <w:lang w:val="en-US" w:eastAsia="zh-TW"/>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inespaciado">
    <w:name w:val="No Spacing"/>
    <w:uiPriority w:val="1"/>
    <w:qFormat/>
    <w:rsid w:val="00D74DFF"/>
    <w:rPr>
      <w:rFonts w:ascii="Calibri" w:eastAsia="Calibri" w:hAnsi="Calibri"/>
      <w:sz w:val="22"/>
      <w:szCs w:val="22"/>
      <w:lang w:val="es-PE" w:eastAsia="en-US"/>
    </w:rPr>
  </w:style>
  <w:style w:type="character" w:customStyle="1" w:styleId="id-label">
    <w:name w:val="id-label"/>
    <w:basedOn w:val="Fuentedeprrafopredeter"/>
    <w:rsid w:val="00D74DFF"/>
  </w:style>
  <w:style w:type="character" w:styleId="Refdecomentario">
    <w:name w:val="annotation reference"/>
    <w:uiPriority w:val="99"/>
    <w:semiHidden/>
    <w:unhideWhenUsed/>
    <w:rsid w:val="00D74DFF"/>
    <w:rPr>
      <w:sz w:val="16"/>
      <w:szCs w:val="16"/>
    </w:rPr>
  </w:style>
  <w:style w:type="paragraph" w:styleId="Textocomentario">
    <w:name w:val="annotation text"/>
    <w:basedOn w:val="Normal"/>
    <w:link w:val="TextocomentarioCar"/>
    <w:uiPriority w:val="99"/>
    <w:semiHidden/>
    <w:unhideWhenUsed/>
    <w:rsid w:val="00D74DFF"/>
    <w:pPr>
      <w:spacing w:after="20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D74DFF"/>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D74DFF"/>
    <w:rPr>
      <w:b/>
      <w:bCs/>
    </w:rPr>
  </w:style>
  <w:style w:type="character" w:customStyle="1" w:styleId="AsuntodelcomentarioCar">
    <w:name w:val="Asunto del comentario Car"/>
    <w:basedOn w:val="TextocomentarioCar"/>
    <w:link w:val="Asuntodelcomentario"/>
    <w:uiPriority w:val="99"/>
    <w:semiHidden/>
    <w:rsid w:val="00D74DFF"/>
    <w:rPr>
      <w:rFonts w:ascii="Calibri" w:eastAsia="Calibri" w:hAnsi="Calibri"/>
      <w:b/>
      <w:bCs/>
      <w:lang w:val="es-PE" w:eastAsia="en-US"/>
    </w:rPr>
  </w:style>
  <w:style w:type="paragraph" w:styleId="Revisin">
    <w:name w:val="Revision"/>
    <w:hidden/>
    <w:uiPriority w:val="99"/>
    <w:semiHidden/>
    <w:rsid w:val="00D74DFF"/>
    <w:rPr>
      <w:rFonts w:ascii="Calibri" w:eastAsia="Calibri" w:hAnsi="Calibri"/>
      <w:sz w:val="22"/>
      <w:szCs w:val="22"/>
      <w:lang w:val="es-PE" w:eastAsia="en-US"/>
    </w:rPr>
  </w:style>
  <w:style w:type="character" w:styleId="Mencinsinresolver">
    <w:name w:val="Unresolved Mention"/>
    <w:uiPriority w:val="99"/>
    <w:semiHidden/>
    <w:unhideWhenUsed/>
    <w:rsid w:val="00D74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733-780X" TargetMode="External"/><Relationship Id="rId13" Type="http://schemas.openxmlformats.org/officeDocument/2006/relationships/hyperlink" Target="https://orcid.org/0000-0002-5592-0504" TargetMode="External"/><Relationship Id="rId18" Type="http://schemas.openxmlformats.org/officeDocument/2006/relationships/header" Target="header1.xml"/><Relationship Id="rId26" Type="http://schemas.openxmlformats.org/officeDocument/2006/relationships/hyperlink" Target="https://repositorio.unan.edu.ni/11144/"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orcid.org/0000-0002-2354-273X" TargetMode="External"/><Relationship Id="rId17" Type="http://schemas.openxmlformats.org/officeDocument/2006/relationships/image" Target="media/image1.jpg"/><Relationship Id="rId25" Type="http://schemas.openxmlformats.org/officeDocument/2006/relationships/hyperlink" Target="http://repositorio.utmachala.edu.ec/handle/48000/13616"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ayyan.qcri.org" TargetMode="External"/><Relationship Id="rId20" Type="http://schemas.openxmlformats.org/officeDocument/2006/relationships/image" Target="media/image4.png"/><Relationship Id="rId29" Type="http://schemas.openxmlformats.org/officeDocument/2006/relationships/hyperlink" Target="https://xdoc.mx/documents/estres-oxidativo-antioxidantes-y-enfermedad-600669ad79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0267-2105" TargetMode="External"/><Relationship Id="rId24" Type="http://schemas.openxmlformats.org/officeDocument/2006/relationships/image" Target="media/image6.jp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d.york.ac.uk/prospero/display_record.php?RecordID=287051" TargetMode="External"/><Relationship Id="rId23" Type="http://schemas.openxmlformats.org/officeDocument/2006/relationships/image" Target="media/image5.jpg"/><Relationship Id="rId28" Type="http://schemas.openxmlformats.org/officeDocument/2006/relationships/hyperlink" Target="https://apps.who.int/iris/bitstream/handle/10665/138405/9789243548333_spa.pdf" TargetMode="External"/><Relationship Id="rId36" Type="http://schemas.openxmlformats.org/officeDocument/2006/relationships/fontTable" Target="fontTable.xml"/><Relationship Id="rId10" Type="http://schemas.openxmlformats.org/officeDocument/2006/relationships/hyperlink" Target="https://orcid.org/0000-0002-7199-8475" TargetMode="Externa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orcid.org/0000-0003-4075-9049" TargetMode="External"/><Relationship Id="rId14" Type="http://schemas.openxmlformats.org/officeDocument/2006/relationships/hyperlink" Target="mailto:goodliferesearchgroup@gmail.com" TargetMode="External"/><Relationship Id="rId22" Type="http://schemas.openxmlformats.org/officeDocument/2006/relationships/footer" Target="footer2.xml"/><Relationship Id="rId27" Type="http://schemas.openxmlformats.org/officeDocument/2006/relationships/hyperlink" Target="https://docs.bvsalud.org/biblioref/2019/10/1021596/prevalencia-de-preeclampsia-en-embarazadas-en-el-servicio-de-g_rJ6BEgR.pdf" TargetMode="External"/><Relationship Id="rId30" Type="http://schemas.openxmlformats.org/officeDocument/2006/relationships/header" Target="header3.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5D74-C953-4227-9E5B-EAC009C2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1</TotalTime>
  <Pages>17</Pages>
  <Words>19085</Words>
  <Characters>104968</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123806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2022-09-09T22:01:00Z</cp:lastPrinted>
  <dcterms:created xsi:type="dcterms:W3CDTF">2022-09-12T16:03:00Z</dcterms:created>
  <dcterms:modified xsi:type="dcterms:W3CDTF">2022-09-12T16:03:00Z</dcterms:modified>
</cp:coreProperties>
</file>