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627A" w14:textId="77777777" w:rsidR="00AD7EBB" w:rsidRPr="00AD7EBB" w:rsidRDefault="00AD7EBB" w:rsidP="00AD7EBB">
      <w:pPr>
        <w:tabs>
          <w:tab w:val="left" w:pos="0"/>
        </w:tabs>
        <w:spacing w:line="360" w:lineRule="auto"/>
        <w:ind w:right="-567"/>
        <w:jc w:val="right"/>
        <w:rPr>
          <w:sz w:val="20"/>
          <w:szCs w:val="20"/>
          <w:lang w:val="es-PE" w:eastAsia="es-MX"/>
        </w:rPr>
      </w:pPr>
      <w:r w:rsidRPr="00AD7EBB">
        <w:rPr>
          <w:sz w:val="20"/>
          <w:szCs w:val="20"/>
          <w:lang w:val="es-PE" w:eastAsia="es-MX"/>
        </w:rPr>
        <w:t>Artículo de investigación</w:t>
      </w:r>
    </w:p>
    <w:p w14:paraId="0419B27F" w14:textId="77777777" w:rsidR="00AD7EBB" w:rsidRPr="00AD7EBB" w:rsidRDefault="00AD7EBB" w:rsidP="00AD7EBB">
      <w:pPr>
        <w:tabs>
          <w:tab w:val="left" w:pos="0"/>
        </w:tabs>
        <w:spacing w:line="360" w:lineRule="auto"/>
        <w:ind w:right="-567"/>
        <w:rPr>
          <w:color w:val="FF0000"/>
          <w:lang w:val="es-PE" w:eastAsia="es-MX"/>
        </w:rPr>
      </w:pPr>
    </w:p>
    <w:p w14:paraId="68E1733F" w14:textId="77777777" w:rsidR="00AD7EBB" w:rsidRPr="00AD7EBB" w:rsidRDefault="00AD7EBB" w:rsidP="00AD7EBB">
      <w:pPr>
        <w:tabs>
          <w:tab w:val="left" w:pos="0"/>
        </w:tabs>
        <w:spacing w:line="360" w:lineRule="auto"/>
        <w:ind w:right="-567"/>
        <w:jc w:val="center"/>
        <w:rPr>
          <w:b/>
          <w:sz w:val="28"/>
          <w:szCs w:val="28"/>
          <w:lang w:val="es-PE" w:eastAsia="es-MX"/>
        </w:rPr>
      </w:pPr>
      <w:r w:rsidRPr="00AD7EBB">
        <w:rPr>
          <w:b/>
          <w:sz w:val="28"/>
          <w:szCs w:val="28"/>
          <w:lang w:val="es-PE" w:eastAsia="es-MX"/>
        </w:rPr>
        <w:t>Factores relacionados con el estrés postraumático en pacientes con alta médica por la COVID-19</w:t>
      </w:r>
    </w:p>
    <w:p w14:paraId="2C0F322C" w14:textId="77777777" w:rsidR="00AD7EBB" w:rsidRPr="00AD7EBB" w:rsidRDefault="00AD7EBB" w:rsidP="00AD7EBB">
      <w:pPr>
        <w:tabs>
          <w:tab w:val="left" w:pos="0"/>
        </w:tabs>
        <w:spacing w:line="360" w:lineRule="auto"/>
        <w:ind w:right="-567"/>
        <w:jc w:val="center"/>
        <w:rPr>
          <w:b/>
          <w:sz w:val="28"/>
          <w:szCs w:val="28"/>
          <w:lang w:val="en-US" w:eastAsia="es-MX"/>
        </w:rPr>
      </w:pPr>
      <w:r w:rsidRPr="00AD7EBB">
        <w:rPr>
          <w:sz w:val="28"/>
          <w:szCs w:val="28"/>
          <w:lang w:val="en-US" w:eastAsia="es-MX"/>
        </w:rPr>
        <w:t>Factors related to post-traumatic stress in patients with medical discharge due to COVID-19</w:t>
      </w:r>
    </w:p>
    <w:p w14:paraId="5E04863E" w14:textId="77777777" w:rsidR="00AD7EBB" w:rsidRPr="00AD7EBB" w:rsidRDefault="00AD7EBB" w:rsidP="00AD7EBB">
      <w:pPr>
        <w:spacing w:line="360" w:lineRule="auto"/>
        <w:rPr>
          <w:lang w:val="en-US" w:eastAsia="es-MX"/>
        </w:rPr>
      </w:pPr>
    </w:p>
    <w:p w14:paraId="6E9EE491" w14:textId="3FE6773E" w:rsidR="00AD7EBB" w:rsidRPr="00AD7EBB" w:rsidRDefault="00AD7EBB" w:rsidP="00AD7EBB">
      <w:pPr>
        <w:spacing w:line="360" w:lineRule="auto"/>
        <w:rPr>
          <w:color w:val="0000FF"/>
          <w:u w:val="single"/>
          <w:lang w:val="es-PE" w:eastAsia="es-MX"/>
        </w:rPr>
      </w:pPr>
      <w:bookmarkStart w:id="0" w:name="_Hlk113137373"/>
      <w:r w:rsidRPr="00AD7EBB">
        <w:rPr>
          <w:lang w:val="es-PE" w:eastAsia="es-MX"/>
        </w:rPr>
        <w:t xml:space="preserve">Miguel Eduardo Rioja </w:t>
      </w:r>
      <w:proofErr w:type="spellStart"/>
      <w:r w:rsidRPr="00AD7EBB">
        <w:rPr>
          <w:lang w:val="es-PE" w:eastAsia="es-MX"/>
        </w:rPr>
        <w:t>Castañeda</w:t>
      </w:r>
      <w:r w:rsidRPr="00AD7EBB">
        <w:rPr>
          <w:vertAlign w:val="superscript"/>
          <w:lang w:val="es-PE" w:eastAsia="es-MX"/>
        </w:rPr>
        <w:t>1</w:t>
      </w:r>
      <w:proofErr w:type="spellEnd"/>
      <w:r w:rsidRPr="00AD7EBB">
        <w:rPr>
          <w:vertAlign w:val="superscript"/>
          <w:lang w:val="es-PE" w:eastAsia="es-MX"/>
        </w:rPr>
        <w:t xml:space="preserve"> </w:t>
      </w:r>
      <w:hyperlink r:id="rId7">
        <w:r w:rsidRPr="00AD7EBB">
          <w:rPr>
            <w:color w:val="0000FF"/>
            <w:u w:val="single"/>
            <w:lang w:val="es-PE" w:eastAsia="es-MX"/>
          </w:rPr>
          <w:t>https://orcid.org/0000-0001-9320-6136</w:t>
        </w:r>
      </w:hyperlink>
    </w:p>
    <w:p w14:paraId="60B38C07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  <w:r w:rsidRPr="00AD7EBB">
        <w:rPr>
          <w:lang w:val="es-PE" w:eastAsia="es-MX"/>
        </w:rPr>
        <w:t xml:space="preserve">Henry Santa Cruz </w:t>
      </w:r>
      <w:proofErr w:type="spellStart"/>
      <w:r w:rsidRPr="00AD7EBB">
        <w:rPr>
          <w:lang w:val="es-PE" w:eastAsia="es-MX"/>
        </w:rPr>
        <w:t>Espinoza</w:t>
      </w:r>
      <w:bookmarkEnd w:id="0"/>
      <w:r w:rsidRPr="00AD7EBB">
        <w:rPr>
          <w:vertAlign w:val="superscript"/>
          <w:lang w:val="es-PE" w:eastAsia="es-MX"/>
        </w:rPr>
        <w:t>2</w:t>
      </w:r>
      <w:proofErr w:type="spellEnd"/>
      <w:r w:rsidRPr="00AD7EBB">
        <w:rPr>
          <w:lang w:val="es-PE" w:eastAsia="es-MX"/>
        </w:rPr>
        <w:t>*</w:t>
      </w:r>
      <w:r w:rsidRPr="00AD7EBB">
        <w:rPr>
          <w:vertAlign w:val="superscript"/>
          <w:lang w:val="es-PE" w:eastAsia="es-MX"/>
        </w:rPr>
        <w:t xml:space="preserve"> </w:t>
      </w:r>
      <w:hyperlink r:id="rId8" w:history="1">
        <w:r w:rsidRPr="00AD7EBB">
          <w:rPr>
            <w:color w:val="0000FF"/>
            <w:u w:val="single"/>
            <w:lang w:val="es-PE" w:eastAsia="es-MX"/>
          </w:rPr>
          <w:t>https://orcid.org/0000-0002-6475-9724</w:t>
        </w:r>
      </w:hyperlink>
      <w:r w:rsidRPr="00AD7EBB">
        <w:rPr>
          <w:lang w:val="es-PE" w:eastAsia="es-MX"/>
        </w:rPr>
        <w:t xml:space="preserve"> </w:t>
      </w:r>
    </w:p>
    <w:p w14:paraId="630FE466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</w:p>
    <w:p w14:paraId="73BA008E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  <w:proofErr w:type="spellStart"/>
      <w:r w:rsidRPr="00AD7EBB">
        <w:rPr>
          <w:vertAlign w:val="superscript"/>
          <w:lang w:val="es-PE" w:eastAsia="es-MX"/>
        </w:rPr>
        <w:t>1</w:t>
      </w:r>
      <w:r w:rsidRPr="00AD7EBB">
        <w:rPr>
          <w:lang w:val="es-PE" w:eastAsia="es-MX"/>
        </w:rPr>
        <w:t>Universidad</w:t>
      </w:r>
      <w:proofErr w:type="spellEnd"/>
      <w:r w:rsidRPr="00AD7EBB">
        <w:rPr>
          <w:lang w:val="es-PE" w:eastAsia="es-MX"/>
        </w:rPr>
        <w:t xml:space="preserve"> César Vallejo. Trujillo, Perú.</w:t>
      </w:r>
    </w:p>
    <w:p w14:paraId="41B4502E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  <w:proofErr w:type="spellStart"/>
      <w:r w:rsidRPr="00AD7EBB">
        <w:rPr>
          <w:vertAlign w:val="superscript"/>
          <w:lang w:val="es-PE" w:eastAsia="es-MX"/>
        </w:rPr>
        <w:t>2</w:t>
      </w:r>
      <w:r w:rsidRPr="00AD7EBB">
        <w:rPr>
          <w:lang w:val="es-PE" w:eastAsia="es-MX"/>
        </w:rPr>
        <w:t>Universidad</w:t>
      </w:r>
      <w:proofErr w:type="spellEnd"/>
      <w:r w:rsidRPr="00AD7EBB">
        <w:rPr>
          <w:lang w:val="es-PE" w:eastAsia="es-MX"/>
        </w:rPr>
        <w:t xml:space="preserve"> Autónoma del Perú. Lima, Perú.</w:t>
      </w:r>
    </w:p>
    <w:p w14:paraId="3D74D3A5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</w:p>
    <w:p w14:paraId="45E8401A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  <w:r w:rsidRPr="00AD7EBB">
        <w:rPr>
          <w:lang w:val="es-PE" w:eastAsia="es-MX"/>
        </w:rPr>
        <w:t xml:space="preserve">*Autor para la correspondencia. Correo electrónico: </w:t>
      </w:r>
      <w:hyperlink r:id="rId9">
        <w:r w:rsidRPr="00AD7EBB">
          <w:rPr>
            <w:color w:val="0563C1"/>
            <w:u w:val="single"/>
            <w:lang w:val="es-PE" w:eastAsia="es-MX"/>
          </w:rPr>
          <w:t>hsantacruze@gmail.com</w:t>
        </w:r>
      </w:hyperlink>
      <w:r w:rsidRPr="00AD7EBB">
        <w:rPr>
          <w:lang w:val="es-PE" w:eastAsia="es-MX"/>
        </w:rPr>
        <w:t xml:space="preserve"> </w:t>
      </w:r>
    </w:p>
    <w:p w14:paraId="79EFF325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</w:p>
    <w:p w14:paraId="054FBA25" w14:textId="77777777" w:rsidR="00AD7EBB" w:rsidRPr="00AD7EBB" w:rsidRDefault="00AD7EBB" w:rsidP="00AD7EBB">
      <w:pPr>
        <w:spacing w:line="360" w:lineRule="auto"/>
        <w:rPr>
          <w:lang w:val="es-PE" w:eastAsia="es-MX"/>
        </w:rPr>
      </w:pPr>
      <w:r w:rsidRPr="00AD7EBB">
        <w:rPr>
          <w:b/>
          <w:lang w:val="es-PE" w:eastAsia="es-MX"/>
        </w:rPr>
        <w:t>RESUMEN</w:t>
      </w:r>
    </w:p>
    <w:p w14:paraId="5EA4DFE7" w14:textId="77777777" w:rsidR="00AD7EBB" w:rsidRPr="00AD7EBB" w:rsidRDefault="00AD7EBB" w:rsidP="00AD7EBB">
      <w:pPr>
        <w:spacing w:line="360" w:lineRule="auto"/>
        <w:jc w:val="both"/>
        <w:rPr>
          <w:b/>
          <w:lang w:val="es-PE" w:eastAsia="es-MX"/>
        </w:rPr>
      </w:pPr>
      <w:r w:rsidRPr="00AD7EBB">
        <w:rPr>
          <w:b/>
          <w:lang w:val="es-PE" w:eastAsia="es-MX"/>
        </w:rPr>
        <w:t xml:space="preserve">Introducción: </w:t>
      </w:r>
      <w:r w:rsidRPr="00AD7EBB">
        <w:rPr>
          <w:lang w:val="es-PE" w:eastAsia="es-MX"/>
        </w:rPr>
        <w:t xml:space="preserve">La hospitalización a causa de la COVID-19 puede predisponer a la aparición de posibles secuelas psicológicas a largo plazo. </w:t>
      </w:r>
    </w:p>
    <w:p w14:paraId="762E7F2D" w14:textId="77777777" w:rsidR="00AD7EBB" w:rsidRPr="00AD7EBB" w:rsidRDefault="00AD7EBB" w:rsidP="00AD7EBB">
      <w:pPr>
        <w:spacing w:line="360" w:lineRule="auto"/>
        <w:jc w:val="both"/>
        <w:rPr>
          <w:b/>
          <w:lang w:val="es-PE" w:eastAsia="es-MX"/>
        </w:rPr>
      </w:pPr>
      <w:r w:rsidRPr="00AD7EBB">
        <w:rPr>
          <w:b/>
          <w:lang w:val="es-PE" w:eastAsia="es-MX"/>
        </w:rPr>
        <w:t xml:space="preserve">Objetivo: </w:t>
      </w:r>
      <w:r w:rsidRPr="00AD7EBB">
        <w:rPr>
          <w:lang w:val="es-PE" w:eastAsia="es-MX"/>
        </w:rPr>
        <w:t xml:space="preserve">Determinar la relación entre los factores hospitalarios y no hospitalarios con el estrés postraumático en pacientes con alta médica por la COVID-19. </w:t>
      </w:r>
    </w:p>
    <w:p w14:paraId="70D1CE84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b/>
          <w:lang w:val="es-PE" w:eastAsia="es-MX"/>
        </w:rPr>
        <w:t xml:space="preserve">Métodos: </w:t>
      </w:r>
      <w:r w:rsidRPr="00AD7EBB">
        <w:rPr>
          <w:lang w:val="es-PE" w:eastAsia="es-MX"/>
        </w:rPr>
        <w:t xml:space="preserve">Estudio de corte transversal y diseño correlacional. La muestra no probabilística estuvo compuesta por 126 participantes con la COVID-19, evaluados mediante un cuestionario autoadministrado y la Escala de Trauma de Davidson. Para el procesamiento de datos se aplicó la prueba </w:t>
      </w:r>
      <w:r w:rsidRPr="00AD7EBB">
        <w:rPr>
          <w:i/>
          <w:iCs/>
          <w:lang w:val="es-PE" w:eastAsia="es-MX"/>
        </w:rPr>
        <w:t>ji</w:t>
      </w:r>
      <w:r w:rsidRPr="00AD7EBB">
        <w:rPr>
          <w:lang w:val="es-PE" w:eastAsia="es-MX"/>
        </w:rPr>
        <w:t xml:space="preserve"> cuadrado y la V de Cramer como medida de magnitud de efecto.  </w:t>
      </w:r>
    </w:p>
    <w:p w14:paraId="3BEC90D2" w14:textId="77777777" w:rsidR="00AD7EBB" w:rsidRPr="00AD7EBB" w:rsidRDefault="00AD7EBB" w:rsidP="00AD7EBB">
      <w:pPr>
        <w:spacing w:line="360" w:lineRule="auto"/>
        <w:jc w:val="both"/>
        <w:rPr>
          <w:b/>
          <w:lang w:val="es-PE" w:eastAsia="es-MX"/>
        </w:rPr>
      </w:pPr>
      <w:r w:rsidRPr="00AD7EBB">
        <w:rPr>
          <w:b/>
          <w:lang w:val="es-PE" w:eastAsia="es-MX"/>
        </w:rPr>
        <w:t xml:space="preserve">Resultados: </w:t>
      </w:r>
      <w:r w:rsidRPr="00AD7EBB">
        <w:rPr>
          <w:lang w:val="es-PE" w:eastAsia="es-MX"/>
        </w:rPr>
        <w:t xml:space="preserve">El trastorno por estrés postraumático presenta asociaciones moderadas con los factores hospitalarios: tiempo de hospitalización (p&lt; 0,001) (V de Cramer= 0,33), tipo clínico de COVID-19 (p&lt; 0,001) (V de Cramer= 0,49) y soporte ventilatorio invasivo (p&lt; 0,001) (V de Cramer= 0,39); y con los factores no hospitalarios: oxigenoterapia en rehabilitación (p&lt; 0,001) (V de Cramer= 0,33), secuelas neurológicas (p&lt; 0,001) (V de Cramer= 0,41), dificultad respiratoria (p&lt; 0,001) (V de Cramer= 0,53), </w:t>
      </w:r>
      <w:r w:rsidRPr="00AD7EBB">
        <w:rPr>
          <w:lang w:val="es-PE" w:eastAsia="es-MX"/>
        </w:rPr>
        <w:lastRenderedPageBreak/>
        <w:t xml:space="preserve">percepción de discriminación social (p&lt; 0,05) (V de Cramer= 0,29), dificultad para reincorporarse a las actividades diarias (p&lt; 0,001) (V de Cramer= 0,40)  y  familiares infectados con la COVID-19 (p&lt; 0,001) (V de Cramer= 0,30). </w:t>
      </w:r>
    </w:p>
    <w:p w14:paraId="7D7C8D4B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b/>
          <w:lang w:val="es-PE" w:eastAsia="es-MX"/>
        </w:rPr>
        <w:t xml:space="preserve">Conclusiones: </w:t>
      </w:r>
      <w:r w:rsidRPr="00AD7EBB">
        <w:rPr>
          <w:lang w:val="es-PE" w:eastAsia="es-MX"/>
        </w:rPr>
        <w:t xml:space="preserve">Existen factores, tanto intra como extrahospitalarios, que se relacionan con el trastorno por estrés postraumático luego del alta médica por la COVID-19. </w:t>
      </w:r>
    </w:p>
    <w:p w14:paraId="2E45819D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b/>
          <w:lang w:val="es-PE" w:eastAsia="es-MX"/>
        </w:rPr>
        <w:t xml:space="preserve">Palabras clave: </w:t>
      </w:r>
      <w:r w:rsidRPr="00AD7EBB">
        <w:rPr>
          <w:lang w:val="es-PE" w:eastAsia="es-MX"/>
        </w:rPr>
        <w:t xml:space="preserve">trastornos por estrés postraumático; infecciones por coronavirus; salud mental. </w:t>
      </w:r>
    </w:p>
    <w:p w14:paraId="3B8A382E" w14:textId="77777777" w:rsidR="00AD7EBB" w:rsidRPr="00AD7EBB" w:rsidRDefault="00AD7EBB" w:rsidP="00AD7EBB">
      <w:pPr>
        <w:spacing w:line="360" w:lineRule="auto"/>
        <w:jc w:val="center"/>
        <w:rPr>
          <w:lang w:val="es-PE" w:eastAsia="es-MX"/>
        </w:rPr>
      </w:pPr>
    </w:p>
    <w:p w14:paraId="409A15E0" w14:textId="77777777" w:rsidR="00AD7EBB" w:rsidRPr="00AD7EBB" w:rsidRDefault="00AD7EBB" w:rsidP="00AD7EBB">
      <w:pPr>
        <w:spacing w:line="360" w:lineRule="auto"/>
        <w:rPr>
          <w:b/>
          <w:lang w:val="en-US" w:eastAsia="es-MX"/>
        </w:rPr>
      </w:pPr>
      <w:r w:rsidRPr="00AD7EBB">
        <w:rPr>
          <w:b/>
          <w:lang w:val="en-US" w:eastAsia="es-MX"/>
        </w:rPr>
        <w:t>ABSTRACT</w:t>
      </w:r>
    </w:p>
    <w:p w14:paraId="7246120E" w14:textId="77777777" w:rsidR="00AD7EBB" w:rsidRPr="00AD7EBB" w:rsidRDefault="00AD7EBB" w:rsidP="00AD7EBB">
      <w:pPr>
        <w:spacing w:line="360" w:lineRule="auto"/>
        <w:jc w:val="both"/>
        <w:rPr>
          <w:b/>
          <w:lang w:val="en-US" w:eastAsia="es-MX"/>
        </w:rPr>
      </w:pPr>
      <w:r w:rsidRPr="00AD7EBB">
        <w:rPr>
          <w:b/>
          <w:lang w:val="en-US" w:eastAsia="es-MX"/>
        </w:rPr>
        <w:t xml:space="preserve">Introduction: </w:t>
      </w:r>
      <w:r w:rsidRPr="00AD7EBB">
        <w:rPr>
          <w:lang w:val="en-US" w:eastAsia="es-MX"/>
        </w:rPr>
        <w:t>Hospitalization due to COVID-19 can predispose to the appearance of possible long-term psychological sequelae.</w:t>
      </w:r>
    </w:p>
    <w:p w14:paraId="052FA192" w14:textId="77777777" w:rsidR="00AD7EBB" w:rsidRPr="00AD7EBB" w:rsidRDefault="00AD7EBB" w:rsidP="00AD7EBB">
      <w:pPr>
        <w:spacing w:line="360" w:lineRule="auto"/>
        <w:jc w:val="both"/>
        <w:rPr>
          <w:lang w:val="en-US" w:eastAsia="es-MX"/>
        </w:rPr>
      </w:pPr>
      <w:r w:rsidRPr="00AD7EBB">
        <w:rPr>
          <w:b/>
          <w:lang w:val="en-US" w:eastAsia="es-MX"/>
        </w:rPr>
        <w:t>Objective</w:t>
      </w:r>
      <w:r w:rsidRPr="00AD7EBB">
        <w:rPr>
          <w:lang w:val="en-US" w:eastAsia="es-MX"/>
        </w:rPr>
        <w:t>: To determine the relationship between hospital and non-hospital factors with post-traumatic stress in patients discharged for COVID-19 from a hospital in Peru.</w:t>
      </w:r>
    </w:p>
    <w:p w14:paraId="0F560288" w14:textId="77777777" w:rsidR="00AD7EBB" w:rsidRPr="00AD7EBB" w:rsidRDefault="00AD7EBB" w:rsidP="00AD7EBB">
      <w:pPr>
        <w:spacing w:line="360" w:lineRule="auto"/>
        <w:jc w:val="both"/>
        <w:rPr>
          <w:b/>
          <w:lang w:val="en-US" w:eastAsia="es-MX"/>
        </w:rPr>
      </w:pPr>
      <w:r w:rsidRPr="00AD7EBB">
        <w:rPr>
          <w:b/>
          <w:lang w:val="en-US" w:eastAsia="es-MX"/>
        </w:rPr>
        <w:t xml:space="preserve">Methods: </w:t>
      </w:r>
      <w:r w:rsidRPr="00AD7EBB">
        <w:rPr>
          <w:lang w:val="en-US" w:eastAsia="es-MX"/>
        </w:rPr>
        <w:t xml:space="preserve">Cross-sectional study and correlational design. The non-probabilistic sample consisted of 126 participants, evaluated through a self-administered questionnaire and the Davidson Trauma Scale. For data processing, the chi-square test and Cramer's V were used as measures of the magnitude of effect.  </w:t>
      </w:r>
    </w:p>
    <w:p w14:paraId="71ABE07D" w14:textId="77777777" w:rsidR="00AD7EBB" w:rsidRPr="00AD7EBB" w:rsidRDefault="00AD7EBB" w:rsidP="00AD7EBB">
      <w:pPr>
        <w:spacing w:line="360" w:lineRule="auto"/>
        <w:jc w:val="both"/>
        <w:rPr>
          <w:b/>
          <w:lang w:val="en-US" w:eastAsia="es-MX"/>
        </w:rPr>
      </w:pPr>
      <w:r w:rsidRPr="00AD7EBB">
        <w:rPr>
          <w:b/>
          <w:lang w:val="en-US" w:eastAsia="es-MX"/>
        </w:rPr>
        <w:t xml:space="preserve">Results:  </w:t>
      </w:r>
      <w:r w:rsidRPr="00AD7EBB">
        <w:rPr>
          <w:lang w:val="en-US" w:eastAsia="es-MX"/>
        </w:rPr>
        <w:t>Post-traumatic stress disorder presents moderate associations with hospital factors: hospitalization time (p&lt;0.001) (Cramer's V = 0.33), clinical type of COVID-19 (p&lt;0.001) (Cramer's V = 0 .49) and invasive ventilatory support (p&lt;0.001) (Cramer's V = 0.39); and with non-hospital factors: oxygen therapy in rehabilitation (p&lt;0.001) (Cramer's V = 0.33), neurological sequelae (p&lt;0.001) (Cramer's V = 0.41), respiratory distress (p&lt;0.001) (Cramer's V = 0.53), perception of social discrimination (p&lt;0.05) (Cramer's V = 0.29), difficulty returning to daily activities (p&lt;0.001) (Cramer's V = 0.40) and family members infected with COVID-19 (p&lt;0.001) (Cramer's V = 0.30).</w:t>
      </w:r>
    </w:p>
    <w:p w14:paraId="69D00761" w14:textId="77777777" w:rsidR="00AD7EBB" w:rsidRPr="00AD7EBB" w:rsidRDefault="00AD7EBB" w:rsidP="00AD7EBB">
      <w:pPr>
        <w:spacing w:line="360" w:lineRule="auto"/>
        <w:jc w:val="both"/>
        <w:rPr>
          <w:lang w:val="en-US" w:eastAsia="es-MX"/>
        </w:rPr>
      </w:pPr>
      <w:r w:rsidRPr="00AD7EBB">
        <w:rPr>
          <w:b/>
          <w:lang w:val="en-US" w:eastAsia="es-MX"/>
        </w:rPr>
        <w:t xml:space="preserve">Conclusions:  </w:t>
      </w:r>
      <w:r w:rsidRPr="00AD7EBB">
        <w:rPr>
          <w:lang w:val="en-US" w:eastAsia="es-MX"/>
        </w:rPr>
        <w:t>There are both in-hospital and out-of-hospital factors associated with post-traumatic stress disorder following discharge from COVID-19.</w:t>
      </w:r>
    </w:p>
    <w:p w14:paraId="6CB80AB3" w14:textId="77777777" w:rsidR="00AD7EBB" w:rsidRPr="00AD7EBB" w:rsidRDefault="00AD7EBB" w:rsidP="00AD7EBB">
      <w:pPr>
        <w:spacing w:line="360" w:lineRule="auto"/>
        <w:jc w:val="both"/>
        <w:rPr>
          <w:lang w:val="en-US" w:eastAsia="es-MX"/>
        </w:rPr>
      </w:pPr>
      <w:r w:rsidRPr="00AD7EBB">
        <w:rPr>
          <w:b/>
          <w:lang w:val="en-US" w:eastAsia="es-MX"/>
        </w:rPr>
        <w:t xml:space="preserve">Keywords:  </w:t>
      </w:r>
      <w:r w:rsidRPr="00AD7EBB">
        <w:rPr>
          <w:lang w:val="en-US" w:eastAsia="es-MX"/>
        </w:rPr>
        <w:t>stress disorders post-traumatic; coronavirus infections; mental health.</w:t>
      </w:r>
    </w:p>
    <w:p w14:paraId="6B7F5588" w14:textId="77777777" w:rsidR="00AD7EBB" w:rsidRPr="00AD7EBB" w:rsidRDefault="00AD7EBB" w:rsidP="00AD7EBB">
      <w:pPr>
        <w:spacing w:line="360" w:lineRule="auto"/>
        <w:jc w:val="both"/>
        <w:rPr>
          <w:lang w:val="en-US" w:eastAsia="es-MX"/>
        </w:rPr>
      </w:pPr>
    </w:p>
    <w:p w14:paraId="0F0140D0" w14:textId="77777777" w:rsidR="00AD7EBB" w:rsidRPr="00AD7EBB" w:rsidRDefault="00AD7EBB" w:rsidP="00AD7EBB">
      <w:pPr>
        <w:spacing w:line="360" w:lineRule="auto"/>
        <w:jc w:val="both"/>
        <w:rPr>
          <w:lang w:val="en-US" w:eastAsia="es-MX"/>
        </w:rPr>
      </w:pPr>
    </w:p>
    <w:p w14:paraId="01076970" w14:textId="77777777" w:rsidR="003A0CCC" w:rsidRDefault="003A0CCC">
      <w:pPr>
        <w:rPr>
          <w:lang w:val="es-PE" w:eastAsia="es-MX"/>
        </w:rPr>
      </w:pPr>
      <w:r>
        <w:rPr>
          <w:lang w:val="es-PE" w:eastAsia="es-MX"/>
        </w:rPr>
        <w:br w:type="page"/>
      </w:r>
    </w:p>
    <w:p w14:paraId="3E202F86" w14:textId="5B08F0B6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lastRenderedPageBreak/>
        <w:t>Recibido: 15/06/2022</w:t>
      </w:r>
    </w:p>
    <w:p w14:paraId="73CBF7DA" w14:textId="77777777" w:rsidR="00AD7EBB" w:rsidRPr="00AD7EBB" w:rsidRDefault="00AD7EBB" w:rsidP="00AD7EBB">
      <w:pPr>
        <w:spacing w:line="360" w:lineRule="auto"/>
        <w:jc w:val="both"/>
        <w:rPr>
          <w:b/>
          <w:lang w:val="es-PE" w:eastAsia="es-MX"/>
        </w:rPr>
      </w:pPr>
      <w:r w:rsidRPr="00AD7EBB">
        <w:rPr>
          <w:lang w:val="es-PE" w:eastAsia="es-MX"/>
        </w:rPr>
        <w:t>Aprobado: 06/09/2022</w:t>
      </w:r>
    </w:p>
    <w:p w14:paraId="72F04DAB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</w:p>
    <w:p w14:paraId="07E0937C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</w:p>
    <w:p w14:paraId="4D86A0FC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  <w:r w:rsidRPr="00AD7EBB">
        <w:rPr>
          <w:b/>
          <w:sz w:val="32"/>
          <w:szCs w:val="32"/>
          <w:lang w:val="es-PE" w:eastAsia="es-MX"/>
        </w:rPr>
        <w:t>INTRODUCCIÓN</w:t>
      </w:r>
    </w:p>
    <w:p w14:paraId="40DAD271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El trastorno por estrés postraumático (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) es un síndrome que abarca momentos de ansiedad y estrés luego de la exposición a un evento </w:t>
      </w:r>
      <w:proofErr w:type="gramStart"/>
      <w:r w:rsidRPr="00AD7EBB">
        <w:rPr>
          <w:lang w:val="es-PE" w:eastAsia="es-MX"/>
        </w:rPr>
        <w:t>traumático.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 xml:space="preserve">1) </w:t>
      </w:r>
      <w:r w:rsidRPr="00AD7EBB">
        <w:rPr>
          <w:lang w:val="es-PE" w:eastAsia="es-MX"/>
        </w:rPr>
        <w:t>Las manifestaciones clínicas incluyen 3 campos: recuerdos intrusivos respecto al trauma, evitación de situaciones que conlleven al recuerdo y síntomas del estado de ánimo y disociativos.</w:t>
      </w:r>
      <w:r w:rsidRPr="00AD7EBB">
        <w:rPr>
          <w:vertAlign w:val="superscript"/>
          <w:lang w:val="es-PE" w:eastAsia="es-MX"/>
        </w:rPr>
        <w:t>(2,3)</w:t>
      </w:r>
    </w:p>
    <w:p w14:paraId="25C80C4C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A largo plazo, el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 se asocia con ideación suicida, intento de suicidio, autolesiones, abuso de alcohol y riesgos psicosociales, como desconexión social, anomia e incluso la </w:t>
      </w:r>
      <w:proofErr w:type="gramStart"/>
      <w:r w:rsidRPr="00AD7EBB">
        <w:rPr>
          <w:lang w:val="es-PE" w:eastAsia="es-MX"/>
        </w:rPr>
        <w:t>muerte.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>4)</w:t>
      </w:r>
    </w:p>
    <w:p w14:paraId="068C91E2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Los desastres naturales, la exposición a la guerra y a la violencia se encuentran entre las causas más comunes del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. De la misma forma, el ingreso hospitalario debido a una enfermedad aguda ha sido reconocido como un potencial evento </w:t>
      </w:r>
      <w:proofErr w:type="gramStart"/>
      <w:r w:rsidRPr="00AD7EBB">
        <w:rPr>
          <w:color w:val="000000"/>
          <w:lang w:val="es-PE" w:eastAsia="es-MX"/>
        </w:rPr>
        <w:t>traumático.</w:t>
      </w:r>
      <w:r w:rsidRPr="00AD7EBB">
        <w:rPr>
          <w:color w:val="000000"/>
          <w:vertAlign w:val="superscript"/>
          <w:lang w:val="es-PE" w:eastAsia="es-MX"/>
        </w:rPr>
        <w:t>(</w:t>
      </w:r>
      <w:proofErr w:type="gramEnd"/>
      <w:r w:rsidRPr="00AD7EBB">
        <w:rPr>
          <w:color w:val="000000"/>
          <w:vertAlign w:val="superscript"/>
          <w:lang w:val="es-PE" w:eastAsia="es-MX"/>
        </w:rPr>
        <w:t xml:space="preserve">5) </w:t>
      </w:r>
      <w:r w:rsidRPr="00AD7EBB">
        <w:rPr>
          <w:color w:val="000000"/>
          <w:lang w:val="es-PE" w:eastAsia="es-MX"/>
        </w:rPr>
        <w:t>Al respecto, la literatura ha identificado la aparición de este trastorno en sobrevivientes de la unidad de cuidados intensivos.</w:t>
      </w:r>
      <w:r w:rsidRPr="00AD7EBB">
        <w:rPr>
          <w:color w:val="000000"/>
          <w:vertAlign w:val="superscript"/>
          <w:lang w:val="es-PE" w:eastAsia="es-MX"/>
        </w:rPr>
        <w:t xml:space="preserve">(6) </w:t>
      </w:r>
    </w:p>
    <w:p w14:paraId="59C54F83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vertAlign w:val="superscript"/>
          <w:lang w:val="es-PE" w:eastAsia="es-MX"/>
        </w:rPr>
      </w:pPr>
      <w:r w:rsidRPr="00AD7EBB">
        <w:rPr>
          <w:color w:val="000000"/>
          <w:lang w:val="es-PE" w:eastAsia="es-MX"/>
        </w:rPr>
        <w:t xml:space="preserve">En marzo del 2020, la Organización Mundial de la Salud declaró el brote de la enfermedad por un nuevo coronavirus (COVID-19) como una </w:t>
      </w:r>
      <w:proofErr w:type="gramStart"/>
      <w:r w:rsidRPr="00AD7EBB">
        <w:rPr>
          <w:color w:val="000000"/>
          <w:lang w:val="es-PE" w:eastAsia="es-MX"/>
        </w:rPr>
        <w:t>pandemia.</w:t>
      </w:r>
      <w:r w:rsidRPr="00AD7EBB">
        <w:rPr>
          <w:color w:val="000000"/>
          <w:vertAlign w:val="superscript"/>
          <w:lang w:val="es-PE" w:eastAsia="es-MX"/>
        </w:rPr>
        <w:t>(</w:t>
      </w:r>
      <w:proofErr w:type="gramEnd"/>
      <w:r w:rsidRPr="00AD7EBB">
        <w:rPr>
          <w:color w:val="000000"/>
          <w:vertAlign w:val="superscript"/>
          <w:lang w:val="es-PE" w:eastAsia="es-MX"/>
        </w:rPr>
        <w:t>7)</w:t>
      </w:r>
      <w:r w:rsidRPr="00AD7EBB">
        <w:rPr>
          <w:color w:val="000000"/>
          <w:lang w:val="es-PE" w:eastAsia="es-MX"/>
        </w:rPr>
        <w:t xml:space="preserve"> En los meses siguientes al brote inicial, surgió una gran cantidad de información relacionada con la acelerada propagación de la infección y su letalidad, e incluso especulaciones falaces sobre la pandemia; lo que generó afectación en la salud mental a nivel mundial.</w:t>
      </w:r>
      <w:r w:rsidRPr="00AD7EBB">
        <w:rPr>
          <w:color w:val="000000"/>
          <w:vertAlign w:val="superscript"/>
          <w:lang w:val="es-PE" w:eastAsia="es-MX"/>
        </w:rPr>
        <w:t>(8)</w:t>
      </w:r>
    </w:p>
    <w:p w14:paraId="01882837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Datos procedentes de anteriores brotes de coronavirus han señalado efectos perjudiciales en la salud mental de la población </w:t>
      </w:r>
      <w:proofErr w:type="gramStart"/>
      <w:r w:rsidRPr="00AD7EBB">
        <w:rPr>
          <w:color w:val="000000"/>
          <w:lang w:val="es-PE" w:eastAsia="es-MX"/>
        </w:rPr>
        <w:t>general.</w:t>
      </w:r>
      <w:r w:rsidRPr="00AD7EBB">
        <w:rPr>
          <w:color w:val="000000"/>
          <w:vertAlign w:val="superscript"/>
          <w:lang w:val="es-PE" w:eastAsia="es-MX"/>
        </w:rPr>
        <w:t>(</w:t>
      </w:r>
      <w:proofErr w:type="gramEnd"/>
      <w:r w:rsidRPr="00AD7EBB">
        <w:rPr>
          <w:color w:val="000000"/>
          <w:vertAlign w:val="superscript"/>
          <w:lang w:val="es-PE" w:eastAsia="es-MX"/>
        </w:rPr>
        <w:t>9)</w:t>
      </w:r>
      <w:r w:rsidRPr="00AD7EBB">
        <w:rPr>
          <w:color w:val="000000"/>
          <w:lang w:val="es-PE" w:eastAsia="es-MX"/>
        </w:rPr>
        <w:t xml:space="preserve"> Igualmente, en el brote actual, expertos indican un incremento del 30 al 50 % de la incidencia de alteraciones mentales, como el estrés, síntomas depresivos, ansiedad, insomnio y miedo.</w:t>
      </w:r>
      <w:r w:rsidRPr="00AD7EBB">
        <w:rPr>
          <w:color w:val="000000"/>
          <w:vertAlign w:val="superscript"/>
          <w:lang w:val="es-PE" w:eastAsia="es-MX"/>
        </w:rPr>
        <w:t xml:space="preserve">(10,11) </w:t>
      </w:r>
    </w:p>
    <w:p w14:paraId="5F7B6E5D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>Es posible que las medidas para evitar la propagación del virus y las cifras sobre el número de fallecimientos diarios hayan despertado el miedo colectivo por la letalidad del nuevo coronavirus y la hospitalización por la COVID-19 haya pasado a ser una amenaza importante para la vida.</w:t>
      </w:r>
      <w:r w:rsidRPr="00AD7EBB">
        <w:rPr>
          <w:color w:val="000000"/>
          <w:vertAlign w:val="superscript"/>
          <w:lang w:val="es-PE" w:eastAsia="es-MX"/>
        </w:rPr>
        <w:t>(5)</w:t>
      </w:r>
      <w:r w:rsidRPr="00AD7EBB">
        <w:rPr>
          <w:color w:val="FF0000"/>
          <w:lang w:val="es-PE" w:eastAsia="es-MX"/>
        </w:rPr>
        <w:t xml:space="preserve"> </w:t>
      </w:r>
      <w:r w:rsidRPr="00AD7EBB">
        <w:rPr>
          <w:color w:val="000000"/>
          <w:lang w:val="es-PE" w:eastAsia="es-MX"/>
        </w:rPr>
        <w:t>Estudios recientes</w:t>
      </w:r>
      <w:r w:rsidRPr="00AD7EBB">
        <w:rPr>
          <w:color w:val="000000"/>
          <w:vertAlign w:val="superscript"/>
          <w:lang w:val="es-PE" w:eastAsia="es-MX"/>
        </w:rPr>
        <w:t>(5,12,13)</w:t>
      </w:r>
      <w:r w:rsidRPr="00AD7EBB">
        <w:rPr>
          <w:color w:val="000000"/>
          <w:lang w:val="es-PE" w:eastAsia="es-MX"/>
        </w:rPr>
        <w:t xml:space="preserve"> destacan la presencia de síntomas significativos de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 luego del alta médica por la </w:t>
      </w:r>
      <w:r w:rsidRPr="00AD7EBB">
        <w:rPr>
          <w:color w:val="000000"/>
          <w:lang w:val="es-PE" w:eastAsia="es-MX"/>
        </w:rPr>
        <w:lastRenderedPageBreak/>
        <w:t>COVID-19,</w:t>
      </w:r>
      <w:r w:rsidRPr="00AD7EBB">
        <w:rPr>
          <w:color w:val="000000"/>
          <w:vertAlign w:val="superscript"/>
          <w:lang w:val="es-PE" w:eastAsia="es-MX"/>
        </w:rPr>
        <w:t xml:space="preserve"> </w:t>
      </w:r>
      <w:r w:rsidRPr="00AD7EBB">
        <w:rPr>
          <w:color w:val="000000"/>
          <w:lang w:val="es-PE" w:eastAsia="es-MX"/>
        </w:rPr>
        <w:t>en una proporción del 40 %.</w:t>
      </w:r>
      <w:r w:rsidRPr="00AD7EBB">
        <w:rPr>
          <w:color w:val="000000"/>
          <w:vertAlign w:val="superscript"/>
          <w:lang w:val="es-PE" w:eastAsia="es-MX"/>
        </w:rPr>
        <w:t>(14) </w:t>
      </w:r>
      <w:r w:rsidRPr="00AD7EBB">
        <w:rPr>
          <w:color w:val="000000"/>
          <w:lang w:val="es-PE" w:eastAsia="es-MX"/>
        </w:rPr>
        <w:t>Ello ha despertado el interés de otros autores,</w:t>
      </w:r>
      <w:r w:rsidRPr="00AD7EBB">
        <w:rPr>
          <w:color w:val="000000"/>
          <w:vertAlign w:val="superscript"/>
          <w:lang w:val="es-PE" w:eastAsia="es-MX"/>
        </w:rPr>
        <w:t>(15,16,17)</w:t>
      </w:r>
      <w:r w:rsidRPr="00AD7EBB">
        <w:rPr>
          <w:color w:val="000000"/>
          <w:lang w:val="es-PE" w:eastAsia="es-MX"/>
        </w:rPr>
        <w:t xml:space="preserve"> quienes han indagado sobre el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 en tiempos de pandemia. </w:t>
      </w:r>
    </w:p>
    <w:p w14:paraId="1D45E252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La COVID-19 ha perpetuado la sensación de peligro e incertidumbre en la población y hasta el momento, no se cuenta con gran número de datos epidemiológicos sobre problemas de salud mental y morbilidades psiquiátricas, de los pacientes que han sido diagnosticados con esta enfermedad. Por ello, es importante identificar tempranamente los factores sociodemográficos, sociales e individuales que puedan predisponer al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 mediante rastreo de pacientes sobrevivientes. </w:t>
      </w:r>
    </w:p>
    <w:p w14:paraId="1D081E63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El presente estudio tiene como objetivo determinar la relación entre los factores hospitalarios y no hospitalarios con el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 en pacientes con alta médica por la COVID-19 de un hospital en Perú. </w:t>
      </w:r>
    </w:p>
    <w:p w14:paraId="5B827116" w14:textId="77777777" w:rsidR="00AD7EBB" w:rsidRPr="00AD7EBB" w:rsidRDefault="00AD7EBB" w:rsidP="00AD7EBB">
      <w:pPr>
        <w:spacing w:line="360" w:lineRule="auto"/>
        <w:jc w:val="center"/>
        <w:rPr>
          <w:b/>
          <w:lang w:val="es-PE" w:eastAsia="es-MX"/>
        </w:rPr>
      </w:pPr>
    </w:p>
    <w:p w14:paraId="363950E1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</w:p>
    <w:p w14:paraId="4FE09331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  <w:r w:rsidRPr="00AD7EBB">
        <w:rPr>
          <w:b/>
          <w:sz w:val="32"/>
          <w:szCs w:val="32"/>
          <w:lang w:val="es-PE" w:eastAsia="es-MX"/>
        </w:rPr>
        <w:t>MÉTODOS</w:t>
      </w:r>
    </w:p>
    <w:p w14:paraId="757B9544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Este estudio observacional, de corte transversal y diseño correlacional; se desarrolló en un hospital peruano durante el año 2021.</w:t>
      </w:r>
    </w:p>
    <w:p w14:paraId="211A4312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La población estuvo constituida por 318 pacientes. Todos fueron contactados mediante llamada telefónica, sin embargo 192 personas quedaron fuera del estudio debido a que no contestaron (63), tenían números telefónicos erróneos (38), no cumplieron con los criterios de inclusión (33) o habían fallecido (5). Finalmente, la muestra no probabilística quedó conformada por 126 participantes. </w:t>
      </w:r>
    </w:p>
    <w:p w14:paraId="078BDCA3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Los criterios de inclusión fueron: mayor de 18 años, de ambos sexos, diagnosticados como positivos a la COVID-19 según sus síntomas o prueba antigénica o prueba rápida, recuperados, que se les dio alta y que estuvieron estabilizados en su estado médico general durante el año 2021.</w:t>
      </w:r>
    </w:p>
    <w:p w14:paraId="1B9C1D8D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Las variables incluidas en el estudio fueron: </w:t>
      </w:r>
    </w:p>
    <w:p w14:paraId="4F2676E0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Factores hospitalarios: </w:t>
      </w:r>
    </w:p>
    <w:p w14:paraId="11AB4240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</w:p>
    <w:p w14:paraId="721940AD" w14:textId="26B327EE" w:rsidR="00AD7EBB" w:rsidRPr="00AD7EBB" w:rsidRDefault="00AD7EBB" w:rsidP="00495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>Tiempo de hospitalización: menos de 14 días, 14 días</w:t>
      </w:r>
      <w:r w:rsidR="00385B32">
        <w:rPr>
          <w:color w:val="000000"/>
          <w:lang w:val="es-PE" w:eastAsia="es-MX"/>
        </w:rPr>
        <w:t xml:space="preserve"> o más</w:t>
      </w:r>
      <w:r w:rsidRPr="00AD7EBB">
        <w:rPr>
          <w:color w:val="000000"/>
          <w:lang w:val="es-PE" w:eastAsia="es-MX"/>
        </w:rPr>
        <w:t xml:space="preserve">. </w:t>
      </w:r>
    </w:p>
    <w:p w14:paraId="4DD32C3A" w14:textId="77777777" w:rsidR="00AD7EBB" w:rsidRPr="00AD7EBB" w:rsidRDefault="00AD7EBB" w:rsidP="00495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lastRenderedPageBreak/>
        <w:t xml:space="preserve">Tipo clínico: leve (hospitalizados con síntomas respiratorios y comorbilidades), moderado (hospitalizado por neumonía con soporte respiratorio) y grave (hospitalizado en unidad de cuidados intensivos). </w:t>
      </w:r>
    </w:p>
    <w:p w14:paraId="39547ED1" w14:textId="77777777" w:rsidR="00AD7EBB" w:rsidRPr="00AD7EBB" w:rsidRDefault="00AD7EBB" w:rsidP="004956A6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lang w:val="es-PE" w:eastAsia="es-MX"/>
        </w:rPr>
        <w:t xml:space="preserve">Soporte respiratorio: invasivo (intubación orotraqueal y conexión a ventilador mecánico), no invasivo (máscara o cánula con alto flujo de oxígeno). </w:t>
      </w:r>
    </w:p>
    <w:p w14:paraId="7991F848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</w:p>
    <w:p w14:paraId="6FEED29F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Factores no hospitalarios: </w:t>
      </w:r>
    </w:p>
    <w:p w14:paraId="38131054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</w:p>
    <w:p w14:paraId="4E663604" w14:textId="77777777" w:rsidR="00AD7EBB" w:rsidRPr="00AD7EBB" w:rsidRDefault="00AD7EBB" w:rsidP="004956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Oxigenoterapia en rehabilitación. </w:t>
      </w:r>
    </w:p>
    <w:p w14:paraId="42330694" w14:textId="77777777" w:rsidR="00AD7EBB" w:rsidRPr="00AD7EBB" w:rsidRDefault="00AD7EBB" w:rsidP="004956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Complicaciones después del alta: dificultad respiratoria, secuela neurológica. </w:t>
      </w:r>
    </w:p>
    <w:p w14:paraId="3A902E6A" w14:textId="77777777" w:rsidR="00AD7EBB" w:rsidRPr="00AD7EBB" w:rsidRDefault="00AD7EBB" w:rsidP="004956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Percepción de discriminación social. </w:t>
      </w:r>
    </w:p>
    <w:p w14:paraId="48515965" w14:textId="77777777" w:rsidR="00AD7EBB" w:rsidRPr="00AD7EBB" w:rsidRDefault="00AD7EBB" w:rsidP="004956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Reincorporación a actividades diarias. </w:t>
      </w:r>
    </w:p>
    <w:p w14:paraId="73DF5D11" w14:textId="77777777" w:rsidR="00AD7EBB" w:rsidRPr="00AD7EBB" w:rsidRDefault="00AD7EBB" w:rsidP="004956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Familiares con diagnóstico de la COVID-19. </w:t>
      </w:r>
    </w:p>
    <w:p w14:paraId="5B024C29" w14:textId="77777777" w:rsidR="00AD7EBB" w:rsidRPr="00AD7EBB" w:rsidRDefault="00AD7EBB" w:rsidP="004956A6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color w:val="000000"/>
          <w:lang w:val="es-PE" w:eastAsia="es-MX"/>
        </w:rPr>
      </w:pPr>
      <w:r w:rsidRPr="00AD7EBB">
        <w:rPr>
          <w:lang w:val="es-PE" w:eastAsia="es-MX"/>
        </w:rPr>
        <w:t xml:space="preserve">Familiares fallecidos a causa de la COVID-19. </w:t>
      </w:r>
    </w:p>
    <w:p w14:paraId="0230ABD2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</w:p>
    <w:p w14:paraId="203C527C" w14:textId="77777777" w:rsidR="00AD7EBB" w:rsidRPr="00AD7EBB" w:rsidRDefault="00AD7EBB" w:rsidP="004956A6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La recolección de datos se realizó de forma remota. Al contar con el permiso institucional del hospital se accedió a las historias clínicas y se obtuvieron datos de las fichas epidemiológicas. Los participantes fueron contactados mediante llamadas telefónicas en las cuales se les informó sobre el objetivo del estudio, la confidencialidad y el consentimiento informado. Posteriormente se procedió a la aplicación del instrumento en 2 modalidades: mediante la misma llamada telefónica o a través de un enlace de acceso a un formulario de Google en el cual se encontraba el cuestionario. </w:t>
      </w:r>
    </w:p>
    <w:p w14:paraId="4535258F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Se elaboró una ficha sociodemográfica la cual contenía preguntas cerradas, que indagaban los factores hospitalarios y no hospitalarios. </w:t>
      </w:r>
    </w:p>
    <w:p w14:paraId="22EEA682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Se usó además, la Escala de Trauma de Davidson (</w:t>
      </w:r>
      <w:proofErr w:type="spellStart"/>
      <w:r w:rsidRPr="00AD7EBB">
        <w:rPr>
          <w:lang w:val="es-PE" w:eastAsia="es-MX"/>
        </w:rPr>
        <w:t>DTS</w:t>
      </w:r>
      <w:proofErr w:type="spellEnd"/>
      <w:r w:rsidRPr="00AD7EBB">
        <w:rPr>
          <w:lang w:val="es-PE" w:eastAsia="es-MX"/>
        </w:rPr>
        <w:t>, por su denominación en inglés</w:t>
      </w:r>
      <w:proofErr w:type="gramStart"/>
      <w:r w:rsidRPr="00AD7EBB">
        <w:rPr>
          <w:lang w:val="es-PE" w:eastAsia="es-MX"/>
        </w:rPr>
        <w:t>).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>18)</w:t>
      </w:r>
      <w:r w:rsidRPr="00AD7EBB">
        <w:rPr>
          <w:color w:val="FF0000"/>
          <w:lang w:val="es-PE" w:eastAsia="es-MX"/>
        </w:rPr>
        <w:t xml:space="preserve"> </w:t>
      </w:r>
      <w:r w:rsidRPr="00AD7EBB">
        <w:rPr>
          <w:lang w:val="es-PE" w:eastAsia="es-MX"/>
        </w:rPr>
        <w:t>Está conformada por 17 ítems que evalúan los 17 síntomas del trastorno por estrés post traumático incluidos en el DSM-IV. Los ítems 1, 2, 3, 4, 17 representan el criterio B (reexperimentación intrusiva), los ítems 5, 6, 7, 8, 9, 10, 11 el criterio C (evasión y entumecimiento) y los ítems 12, 13, 14, 15, 16 el criterio D (</w:t>
      </w:r>
      <w:proofErr w:type="spellStart"/>
      <w:r w:rsidRPr="00AD7EBB">
        <w:rPr>
          <w:lang w:val="es-PE" w:eastAsia="es-MX"/>
        </w:rPr>
        <w:t>hiperexcitación</w:t>
      </w:r>
      <w:proofErr w:type="spellEnd"/>
      <w:r w:rsidRPr="00AD7EBB">
        <w:rPr>
          <w:lang w:val="es-PE" w:eastAsia="es-MX"/>
        </w:rPr>
        <w:t xml:space="preserve">). Las alternativas de respuesta se presentan en una escala Likert de 5 puntos (0= nunca </w:t>
      </w:r>
      <w:r w:rsidRPr="00AD7EBB">
        <w:rPr>
          <w:lang w:val="es-PE" w:eastAsia="es-MX"/>
        </w:rPr>
        <w:lastRenderedPageBreak/>
        <w:t xml:space="preserve">o gravedad nula a 4= diario o gravedad extrema), mediante la cual el sujeto puntúa la frecuencia de presentación y gravedad de los síntomas. Posee un puntaje total de 136, sin embargo, una puntuación mayor a 40 indica presencia de trastorno por estrés postraumático. </w:t>
      </w:r>
    </w:p>
    <w:p w14:paraId="38768E9C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La escala fue validada en su versión al español en un estudio multicéntrico.</w:t>
      </w:r>
      <w:r w:rsidRPr="00AD7EBB">
        <w:rPr>
          <w:vertAlign w:val="superscript"/>
          <w:lang w:val="es-PE" w:eastAsia="es-MX"/>
        </w:rPr>
        <w:t>(19)</w:t>
      </w:r>
      <w:r w:rsidRPr="00AD7EBB">
        <w:rPr>
          <w:lang w:val="es-PE" w:eastAsia="es-MX"/>
        </w:rPr>
        <w:t xml:space="preserve"> Se obtuvo un coeficiente α de Cronbach de 0,89, una fiabilidad de test-</w:t>
      </w:r>
      <w:proofErr w:type="spellStart"/>
      <w:r w:rsidRPr="00AD7EBB">
        <w:rPr>
          <w:lang w:val="es-PE" w:eastAsia="es-MX"/>
        </w:rPr>
        <w:t>retest</w:t>
      </w:r>
      <w:proofErr w:type="spellEnd"/>
      <w:r w:rsidRPr="00AD7EBB">
        <w:rPr>
          <w:lang w:val="es-PE" w:eastAsia="es-MX"/>
        </w:rPr>
        <w:t xml:space="preserve"> (intervalo de 15 días) de 0,87 y un coeficiente de correlación con la Escala </w:t>
      </w:r>
      <w:proofErr w:type="spellStart"/>
      <w:r w:rsidRPr="00AD7EBB">
        <w:rPr>
          <w:i/>
          <w:iCs/>
          <w:lang w:val="es-PE" w:eastAsia="es-MX"/>
        </w:rPr>
        <w:t>Clinical</w:t>
      </w:r>
      <w:proofErr w:type="spellEnd"/>
      <w:r w:rsidRPr="00AD7EBB">
        <w:rPr>
          <w:i/>
          <w:iCs/>
          <w:lang w:val="es-PE" w:eastAsia="es-MX"/>
        </w:rPr>
        <w:t xml:space="preserve"> Global </w:t>
      </w:r>
      <w:proofErr w:type="spellStart"/>
      <w:r w:rsidRPr="00AD7EBB">
        <w:rPr>
          <w:i/>
          <w:iCs/>
          <w:lang w:val="es-PE" w:eastAsia="es-MX"/>
        </w:rPr>
        <w:t>Impression</w:t>
      </w:r>
      <w:proofErr w:type="spellEnd"/>
      <w:r w:rsidRPr="00AD7EBB">
        <w:rPr>
          <w:lang w:val="es-PE" w:eastAsia="es-MX"/>
        </w:rPr>
        <w:t xml:space="preserve"> de 0,62. Para fines de esta investigación, el contenido de los ítems fue sometido al juicio de 5 expertos en el área de la salud mental: 4 psicólogos y 1 psiquiatra; quienes los verificaron en función a su relevancia, coherencia y claridad. </w:t>
      </w:r>
    </w:p>
    <w:p w14:paraId="3749D828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El procesamiento estadístico se realizó mediante el programa Proyecto </w:t>
      </w:r>
      <w:proofErr w:type="spellStart"/>
      <w:r w:rsidRPr="00AD7EBB">
        <w:rPr>
          <w:lang w:val="es-PE" w:eastAsia="es-MX"/>
        </w:rPr>
        <w:t>Jamovi</w:t>
      </w:r>
      <w:proofErr w:type="spellEnd"/>
      <w:r w:rsidRPr="00AD7EBB">
        <w:rPr>
          <w:lang w:val="es-PE" w:eastAsia="es-MX"/>
        </w:rPr>
        <w:t xml:space="preserve"> versión 1.6.  Para identificar la asociación entre variables se usó la prueba de ji cuadrado y un valor de significación estadística (p) menor que 0,05. En adición al valor p y prestando atención al tipo de muestreo no probabilístico, se optó también por el uso de la V de Cramer para el reporte de la magnitud de efecto de las relaciones (0,10: pequeña, 0,30: moderada y 0,50: grande</w:t>
      </w:r>
      <w:proofErr w:type="gramStart"/>
      <w:r w:rsidRPr="00AD7EBB">
        <w:rPr>
          <w:lang w:val="es-PE" w:eastAsia="es-MX"/>
        </w:rPr>
        <w:t>).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>20)</w:t>
      </w:r>
      <w:r w:rsidRPr="00AD7EBB">
        <w:rPr>
          <w:lang w:val="es-PE" w:eastAsia="es-MX"/>
        </w:rPr>
        <w:t xml:space="preserve"> </w:t>
      </w:r>
    </w:p>
    <w:p w14:paraId="26F63613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Fueron seguidas las indicaciones de la Declaración de Helsinki para la investigación con humanos. En consecuencia, se conservó la confidencialidad, se evaluó el riesgo y beneficio de la participación y se solicitó el consentimiento informado.  </w:t>
      </w:r>
    </w:p>
    <w:p w14:paraId="4E852B94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</w:p>
    <w:p w14:paraId="65E59AD7" w14:textId="77777777" w:rsidR="00AD7EBB" w:rsidRPr="00AD7EBB" w:rsidRDefault="00AD7EBB" w:rsidP="00AD7EBB">
      <w:pPr>
        <w:spacing w:line="360" w:lineRule="auto"/>
        <w:jc w:val="center"/>
        <w:rPr>
          <w:b/>
          <w:lang w:val="es-PE" w:eastAsia="es-MX"/>
        </w:rPr>
      </w:pPr>
    </w:p>
    <w:p w14:paraId="34720E49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  <w:r w:rsidRPr="00AD7EBB">
        <w:rPr>
          <w:b/>
          <w:sz w:val="32"/>
          <w:szCs w:val="32"/>
          <w:lang w:val="es-PE" w:eastAsia="es-MX"/>
        </w:rPr>
        <w:t>RESULTADOS</w:t>
      </w:r>
    </w:p>
    <w:p w14:paraId="169ADABE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Participaron 57,10 % mujeres y 42,90 % varones. Del total, se identificó presencia de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 en el 51,60 %. </w:t>
      </w:r>
    </w:p>
    <w:p w14:paraId="4DC664CB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En la tabla 1 se observan asociaciones estadísticamente significativas y de magnitud de efectos moderadas entre todos los factores hospitalarios y el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, excepto en el factor soporte ventilatorio no invasivo. </w:t>
      </w:r>
    </w:p>
    <w:p w14:paraId="4F159B4F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</w:p>
    <w:p w14:paraId="0F1CE66F" w14:textId="77777777" w:rsidR="004956A6" w:rsidRDefault="004956A6">
      <w:pPr>
        <w:rPr>
          <w:b/>
          <w:sz w:val="22"/>
          <w:szCs w:val="22"/>
          <w:lang w:val="es-PE" w:eastAsia="es-MX"/>
        </w:rPr>
      </w:pPr>
      <w:r>
        <w:rPr>
          <w:b/>
          <w:sz w:val="22"/>
          <w:szCs w:val="22"/>
          <w:lang w:val="es-PE" w:eastAsia="es-MX"/>
        </w:rPr>
        <w:br w:type="page"/>
      </w:r>
    </w:p>
    <w:p w14:paraId="0AF3FE31" w14:textId="6E56B2F9" w:rsidR="00AD7EBB" w:rsidRPr="00AD7EBB" w:rsidRDefault="00AD7EBB" w:rsidP="00AD7EBB">
      <w:pPr>
        <w:spacing w:line="360" w:lineRule="auto"/>
        <w:jc w:val="center"/>
        <w:rPr>
          <w:sz w:val="22"/>
          <w:szCs w:val="22"/>
          <w:lang w:val="es-PE" w:eastAsia="es-MX"/>
        </w:rPr>
      </w:pPr>
      <w:r w:rsidRPr="00AD7EBB">
        <w:rPr>
          <w:b/>
          <w:sz w:val="22"/>
          <w:szCs w:val="22"/>
          <w:lang w:val="es-PE" w:eastAsia="es-MX"/>
        </w:rPr>
        <w:lastRenderedPageBreak/>
        <w:t>Tabla 1 -</w:t>
      </w:r>
      <w:r w:rsidRPr="00AD7EBB">
        <w:rPr>
          <w:sz w:val="22"/>
          <w:szCs w:val="22"/>
          <w:lang w:val="es-PE" w:eastAsia="es-MX"/>
        </w:rPr>
        <w:t xml:space="preserve"> Relación entre factores hospitalarios y el trastorno por estrés postraumático en pacientes con alta médica por la COVID-19</w:t>
      </w:r>
    </w:p>
    <w:p w14:paraId="1E5F008E" w14:textId="2D1A90E6" w:rsidR="00FA6B9F" w:rsidRDefault="0019781E" w:rsidP="00AD7EBB">
      <w:pPr>
        <w:spacing w:line="360" w:lineRule="auto"/>
        <w:jc w:val="center"/>
        <w:rPr>
          <w:sz w:val="16"/>
          <w:szCs w:val="16"/>
          <w:lang w:val="es-PE" w:eastAsia="es-MX"/>
        </w:rPr>
      </w:pPr>
      <w:r>
        <w:rPr>
          <w:noProof/>
          <w:sz w:val="16"/>
          <w:szCs w:val="16"/>
          <w:lang w:val="es-PE" w:eastAsia="es-MX"/>
        </w:rPr>
        <w:drawing>
          <wp:inline distT="0" distB="0" distL="0" distR="0" wp14:anchorId="6F359D92" wp14:editId="025E302E">
            <wp:extent cx="4685714" cy="3076190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3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939F7" w14:textId="43E409F6" w:rsidR="00AD7EBB" w:rsidRPr="00AD7EBB" w:rsidRDefault="00AD7EBB" w:rsidP="00AD7EBB">
      <w:pPr>
        <w:spacing w:line="360" w:lineRule="auto"/>
        <w:jc w:val="center"/>
        <w:rPr>
          <w:rFonts w:eastAsia="Calibri"/>
          <w:sz w:val="16"/>
          <w:szCs w:val="16"/>
          <w:lang w:val="es-PE" w:eastAsia="es-MX"/>
        </w:rPr>
      </w:pPr>
      <w:r w:rsidRPr="00AD7EBB">
        <w:rPr>
          <w:sz w:val="16"/>
          <w:szCs w:val="16"/>
          <w:lang w:val="es-PE" w:eastAsia="es-MX"/>
        </w:rPr>
        <w:t>X</w:t>
      </w:r>
      <w:r w:rsidRPr="00AD7EBB">
        <w:rPr>
          <w:sz w:val="16"/>
          <w:szCs w:val="16"/>
          <w:vertAlign w:val="superscript"/>
          <w:lang w:val="es-PE" w:eastAsia="es-MX"/>
        </w:rPr>
        <w:t>2</w:t>
      </w:r>
      <w:r w:rsidRPr="00AD7EBB">
        <w:rPr>
          <w:sz w:val="16"/>
          <w:szCs w:val="16"/>
          <w:lang w:val="es-PE" w:eastAsia="es-MX"/>
        </w:rPr>
        <w:t xml:space="preserve">: </w:t>
      </w:r>
      <w:proofErr w:type="gramStart"/>
      <w:r w:rsidRPr="00AD7EBB">
        <w:rPr>
          <w:i/>
          <w:iCs/>
          <w:sz w:val="16"/>
          <w:szCs w:val="16"/>
          <w:lang w:val="es-PE" w:eastAsia="es-MX"/>
        </w:rPr>
        <w:t>ji</w:t>
      </w:r>
      <w:r w:rsidRPr="00AD7EBB">
        <w:rPr>
          <w:sz w:val="16"/>
          <w:szCs w:val="16"/>
          <w:lang w:val="es-PE" w:eastAsia="es-MX"/>
        </w:rPr>
        <w:t xml:space="preserve"> cuadrado</w:t>
      </w:r>
      <w:proofErr w:type="gramEnd"/>
      <w:r w:rsidRPr="00AD7EBB">
        <w:rPr>
          <w:sz w:val="16"/>
          <w:szCs w:val="16"/>
          <w:lang w:val="es-PE" w:eastAsia="es-MX"/>
        </w:rPr>
        <w:t>, gl: grados de libertad, p= significación estadística, V Cramer: medida de magnitud de efecto.</w:t>
      </w:r>
    </w:p>
    <w:p w14:paraId="2E617580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</w:p>
    <w:p w14:paraId="6BE56EE3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En la</w:t>
      </w:r>
      <w:r w:rsidRPr="00AD7EBB">
        <w:rPr>
          <w:b/>
          <w:lang w:val="es-PE" w:eastAsia="es-MX"/>
        </w:rPr>
        <w:t xml:space="preserve"> </w:t>
      </w:r>
      <w:r w:rsidRPr="00AD7EBB">
        <w:rPr>
          <w:bCs/>
          <w:lang w:val="es-PE" w:eastAsia="es-MX"/>
        </w:rPr>
        <w:t>tabla 2</w:t>
      </w:r>
      <w:r w:rsidRPr="00AD7EBB">
        <w:rPr>
          <w:b/>
          <w:lang w:val="es-PE" w:eastAsia="es-MX"/>
        </w:rPr>
        <w:t xml:space="preserve"> </w:t>
      </w:r>
      <w:r w:rsidRPr="00AD7EBB">
        <w:rPr>
          <w:lang w:val="es-PE" w:eastAsia="es-MX"/>
        </w:rPr>
        <w:t xml:space="preserve">se identifican relaciones estadísticamente significativas con magnitud de efecto grande y moderadas entre el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 y los factores no hospitalarios, excepto en el factor familiares fallecidos a causa de la COVID-19. </w:t>
      </w:r>
    </w:p>
    <w:p w14:paraId="5BDBEDEE" w14:textId="77777777" w:rsidR="00AD7EBB" w:rsidRPr="00AD7EBB" w:rsidRDefault="00AD7EBB" w:rsidP="00AD7EBB">
      <w:pPr>
        <w:spacing w:line="360" w:lineRule="auto"/>
        <w:rPr>
          <w:b/>
          <w:lang w:val="es-PE" w:eastAsia="es-MX"/>
        </w:rPr>
      </w:pPr>
    </w:p>
    <w:p w14:paraId="7969C06B" w14:textId="77777777" w:rsidR="00FA6B9F" w:rsidRDefault="00FA6B9F">
      <w:pPr>
        <w:rPr>
          <w:b/>
          <w:sz w:val="22"/>
          <w:szCs w:val="22"/>
          <w:lang w:val="es-PE" w:eastAsia="es-MX"/>
        </w:rPr>
      </w:pPr>
      <w:r>
        <w:rPr>
          <w:b/>
          <w:sz w:val="22"/>
          <w:szCs w:val="22"/>
          <w:lang w:val="es-PE" w:eastAsia="es-MX"/>
        </w:rPr>
        <w:br w:type="page"/>
      </w:r>
    </w:p>
    <w:p w14:paraId="1F4399DB" w14:textId="35397C7E" w:rsidR="00AD7EBB" w:rsidRPr="00AD7EBB" w:rsidRDefault="00AD7EBB" w:rsidP="00AD7EBB">
      <w:pPr>
        <w:spacing w:line="360" w:lineRule="auto"/>
        <w:jc w:val="center"/>
        <w:rPr>
          <w:sz w:val="22"/>
          <w:szCs w:val="22"/>
          <w:lang w:val="es-PE" w:eastAsia="es-MX"/>
        </w:rPr>
      </w:pPr>
      <w:r w:rsidRPr="00AD7EBB">
        <w:rPr>
          <w:b/>
          <w:sz w:val="22"/>
          <w:szCs w:val="22"/>
          <w:lang w:val="es-PE" w:eastAsia="es-MX"/>
        </w:rPr>
        <w:lastRenderedPageBreak/>
        <w:t xml:space="preserve">Tabla 2 - </w:t>
      </w:r>
      <w:r w:rsidRPr="00AD7EBB">
        <w:rPr>
          <w:sz w:val="22"/>
          <w:szCs w:val="22"/>
          <w:lang w:val="es-PE" w:eastAsia="es-MX"/>
        </w:rPr>
        <w:t>Relación entre factores no hospitalarios y el trastorno por estrés postraumático en pacientes con alta médica por la COVID-19</w:t>
      </w:r>
    </w:p>
    <w:p w14:paraId="1D606DC2" w14:textId="34BC2C8A" w:rsidR="001174DF" w:rsidRDefault="0019781E" w:rsidP="00AD7EBB">
      <w:pPr>
        <w:spacing w:line="360" w:lineRule="auto"/>
        <w:jc w:val="center"/>
        <w:rPr>
          <w:sz w:val="16"/>
          <w:szCs w:val="16"/>
          <w:lang w:val="es-PE" w:eastAsia="es-MX"/>
        </w:rPr>
      </w:pPr>
      <w:r>
        <w:rPr>
          <w:noProof/>
          <w:sz w:val="16"/>
          <w:szCs w:val="16"/>
          <w:lang w:val="es-PE" w:eastAsia="es-MX"/>
        </w:rPr>
        <w:drawing>
          <wp:inline distT="0" distB="0" distL="0" distR="0" wp14:anchorId="32057403" wp14:editId="41C8E5AB">
            <wp:extent cx="5609524" cy="513333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5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D8E7" w14:textId="2420E791" w:rsidR="00AD7EBB" w:rsidRPr="00AD7EBB" w:rsidRDefault="00AD7EBB" w:rsidP="00AD7EBB">
      <w:pPr>
        <w:spacing w:line="360" w:lineRule="auto"/>
        <w:jc w:val="center"/>
        <w:rPr>
          <w:sz w:val="16"/>
          <w:szCs w:val="16"/>
          <w:lang w:val="es-PE" w:eastAsia="es-MX"/>
        </w:rPr>
      </w:pPr>
      <w:r w:rsidRPr="00AD7EBB">
        <w:rPr>
          <w:sz w:val="16"/>
          <w:szCs w:val="16"/>
          <w:lang w:val="es-PE" w:eastAsia="es-MX"/>
        </w:rPr>
        <w:t>X</w:t>
      </w:r>
      <w:r w:rsidRPr="00AD7EBB">
        <w:rPr>
          <w:sz w:val="16"/>
          <w:szCs w:val="16"/>
          <w:vertAlign w:val="superscript"/>
          <w:lang w:val="es-PE" w:eastAsia="es-MX"/>
        </w:rPr>
        <w:t>2</w:t>
      </w:r>
      <w:r w:rsidRPr="00AD7EBB">
        <w:rPr>
          <w:sz w:val="16"/>
          <w:szCs w:val="16"/>
          <w:lang w:val="es-PE" w:eastAsia="es-MX"/>
        </w:rPr>
        <w:t xml:space="preserve">: </w:t>
      </w:r>
      <w:proofErr w:type="gramStart"/>
      <w:r w:rsidRPr="00AD7EBB">
        <w:rPr>
          <w:i/>
          <w:iCs/>
          <w:sz w:val="16"/>
          <w:szCs w:val="16"/>
          <w:lang w:val="es-PE" w:eastAsia="es-MX"/>
        </w:rPr>
        <w:t>ji</w:t>
      </w:r>
      <w:r w:rsidRPr="00AD7EBB">
        <w:rPr>
          <w:sz w:val="16"/>
          <w:szCs w:val="16"/>
          <w:lang w:val="es-PE" w:eastAsia="es-MX"/>
        </w:rPr>
        <w:t xml:space="preserve"> cuadrado</w:t>
      </w:r>
      <w:proofErr w:type="gramEnd"/>
      <w:r w:rsidRPr="00AD7EBB">
        <w:rPr>
          <w:sz w:val="16"/>
          <w:szCs w:val="16"/>
          <w:lang w:val="es-PE" w:eastAsia="es-MX"/>
        </w:rPr>
        <w:t>, gl: grados de libertad, p= significación estadística, V Cramer: medida de magnitud de efecto.</w:t>
      </w:r>
    </w:p>
    <w:p w14:paraId="43CABB62" w14:textId="77777777" w:rsidR="00AD7EBB" w:rsidRPr="00AD7EBB" w:rsidRDefault="00AD7EBB" w:rsidP="00AD7EBB">
      <w:pPr>
        <w:spacing w:line="360" w:lineRule="auto"/>
        <w:rPr>
          <w:b/>
          <w:lang w:val="es-PE" w:eastAsia="es-MX"/>
        </w:rPr>
      </w:pPr>
    </w:p>
    <w:p w14:paraId="5383718C" w14:textId="77777777" w:rsidR="00AD7EBB" w:rsidRPr="00AD7EBB" w:rsidRDefault="00AD7EBB" w:rsidP="00AD7EBB">
      <w:pPr>
        <w:spacing w:line="360" w:lineRule="auto"/>
        <w:jc w:val="center"/>
        <w:rPr>
          <w:b/>
          <w:lang w:val="es-PE" w:eastAsia="es-MX"/>
        </w:rPr>
      </w:pPr>
    </w:p>
    <w:p w14:paraId="12A7EF36" w14:textId="77777777" w:rsidR="0096074C" w:rsidRDefault="0096074C">
      <w:pPr>
        <w:rPr>
          <w:b/>
          <w:sz w:val="32"/>
          <w:szCs w:val="32"/>
          <w:lang w:val="es-PE" w:eastAsia="es-MX"/>
        </w:rPr>
      </w:pPr>
      <w:r>
        <w:rPr>
          <w:b/>
          <w:sz w:val="32"/>
          <w:szCs w:val="32"/>
          <w:lang w:val="es-PE" w:eastAsia="es-MX"/>
        </w:rPr>
        <w:br w:type="page"/>
      </w:r>
    </w:p>
    <w:p w14:paraId="74A7E49E" w14:textId="2AEE4A5F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  <w:r w:rsidRPr="00AD7EBB">
        <w:rPr>
          <w:b/>
          <w:sz w:val="32"/>
          <w:szCs w:val="32"/>
          <w:lang w:val="es-PE" w:eastAsia="es-MX"/>
        </w:rPr>
        <w:lastRenderedPageBreak/>
        <w:t>DISCUSIÓN</w:t>
      </w:r>
    </w:p>
    <w:p w14:paraId="67FA7CA7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Durante la actual pandemia, los rezagos en la salud mental de aquellos que vivenciaron el proceso clínico, terapéutico y de rehabilitación de la COVID-19 pueden desencadenar el inicio de la sintomatología de </w:t>
      </w:r>
      <w:proofErr w:type="spellStart"/>
      <w:proofErr w:type="gram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>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>21)</w:t>
      </w:r>
      <w:r w:rsidRPr="00AD7EBB">
        <w:rPr>
          <w:color w:val="FF0000"/>
          <w:lang w:val="es-PE" w:eastAsia="es-MX"/>
        </w:rPr>
        <w:t xml:space="preserve"> </w:t>
      </w:r>
    </w:p>
    <w:p w14:paraId="0F8D0B3B" w14:textId="77777777" w:rsidR="00AD7EBB" w:rsidRPr="00AD7EBB" w:rsidRDefault="00AD7EBB" w:rsidP="00AD7EBB">
      <w:pP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lang w:val="es-PE" w:eastAsia="es-MX"/>
        </w:rPr>
        <w:t xml:space="preserve">Durante la hospitalización se incrementa la percepción de la situación crítica y el peligro que representa el proceso de la COVID-19, además el haber percibido las consecuencias sanitarias de la primera ola, conduce a una respuesta de estrés alta y </w:t>
      </w:r>
      <w:proofErr w:type="gramStart"/>
      <w:r w:rsidRPr="00AD7EBB">
        <w:rPr>
          <w:lang w:val="es-PE" w:eastAsia="es-MX"/>
        </w:rPr>
        <w:t>constante.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 xml:space="preserve">22) </w:t>
      </w:r>
      <w:r w:rsidRPr="00AD7EBB">
        <w:rPr>
          <w:color w:val="000000"/>
          <w:lang w:val="es-PE" w:eastAsia="es-MX"/>
        </w:rPr>
        <w:t xml:space="preserve">Al respecto, permanecer más de 14 días hospitalizado se asoció en mayor medida al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>, resultados similares fueron hallados en otros estudios.</w:t>
      </w:r>
      <w:r w:rsidRPr="00AD7EBB">
        <w:rPr>
          <w:color w:val="000000"/>
          <w:vertAlign w:val="superscript"/>
          <w:lang w:val="es-PE" w:eastAsia="es-MX"/>
        </w:rPr>
        <w:t>(23,24)</w:t>
      </w:r>
    </w:p>
    <w:p w14:paraId="30F493E0" w14:textId="77777777" w:rsidR="00AD7EBB" w:rsidRPr="00AD7EBB" w:rsidRDefault="00AD7EBB" w:rsidP="00AD7EBB">
      <w:pP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En cuanto al tipo clínico, quienes permanecieron hospitalizados con tipo moderado presentaron en mayor medida manifestaciones de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. Esto debido a que la percepción de síntomas moderados o graves de la COVID-19, aumentan la posibilidad de manifestaciones clínicas de este </w:t>
      </w:r>
      <w:proofErr w:type="gramStart"/>
      <w:r w:rsidRPr="00AD7EBB">
        <w:rPr>
          <w:color w:val="000000"/>
          <w:lang w:val="es-PE" w:eastAsia="es-MX"/>
        </w:rPr>
        <w:t>trastorno,</w:t>
      </w:r>
      <w:r w:rsidRPr="00AD7EBB">
        <w:rPr>
          <w:color w:val="000000"/>
          <w:vertAlign w:val="superscript"/>
          <w:lang w:val="es-PE" w:eastAsia="es-MX"/>
        </w:rPr>
        <w:t>(</w:t>
      </w:r>
      <w:proofErr w:type="gramEnd"/>
      <w:r w:rsidRPr="00AD7EBB">
        <w:rPr>
          <w:color w:val="000000"/>
          <w:vertAlign w:val="superscript"/>
          <w:lang w:val="es-PE" w:eastAsia="es-MX"/>
        </w:rPr>
        <w:t>12)</w:t>
      </w:r>
      <w:r w:rsidRPr="00AD7EBB">
        <w:rPr>
          <w:color w:val="000000"/>
          <w:lang w:val="es-PE" w:eastAsia="es-MX"/>
        </w:rPr>
        <w:t xml:space="preserve"> debido a los distintos procedimientos médicos cada vez más invasivos, según la gravedad del cuadro y mayor cantidad de días en hospitalización. </w:t>
      </w:r>
    </w:p>
    <w:p w14:paraId="31D9D01E" w14:textId="77777777" w:rsidR="00AD7EBB" w:rsidRPr="00AD7EBB" w:rsidRDefault="00AD7EBB" w:rsidP="00AD7EBB">
      <w:pP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Respecto a lo anterior, las intervenciones médicas integrales e invasivas para mantener o restaurar las funciones vitales, aumentan la probabilidad del desarrollo de síntomas de </w:t>
      </w:r>
      <w:proofErr w:type="spellStart"/>
      <w:proofErr w:type="gram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>,</w:t>
      </w:r>
      <w:r w:rsidRPr="00AD7EBB">
        <w:rPr>
          <w:color w:val="000000"/>
          <w:vertAlign w:val="superscript"/>
          <w:lang w:val="es-PE" w:eastAsia="es-MX"/>
        </w:rPr>
        <w:t>(</w:t>
      </w:r>
      <w:proofErr w:type="gramEnd"/>
      <w:r w:rsidRPr="00AD7EBB">
        <w:rPr>
          <w:color w:val="000000"/>
          <w:vertAlign w:val="superscript"/>
          <w:lang w:val="es-PE" w:eastAsia="es-MX"/>
        </w:rPr>
        <w:t>25)</w:t>
      </w:r>
      <w:r w:rsidRPr="00AD7EBB">
        <w:rPr>
          <w:color w:val="000000"/>
          <w:lang w:val="es-PE" w:eastAsia="es-MX"/>
        </w:rPr>
        <w:t xml:space="preserve"> lo cual es demostrado en este estudio, en el cual el uso de soporte ventilatorio invasivo se asoció en mayor medida al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>.</w:t>
      </w:r>
    </w:p>
    <w:p w14:paraId="0C11DD47" w14:textId="77777777" w:rsidR="00AD7EBB" w:rsidRPr="00AD7EBB" w:rsidRDefault="00AD7EBB" w:rsidP="00AD7EBB">
      <w:pP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>Las secuelas por la COVID-19: uso de oxígeno como parte de rehabilitación, secuelas neurológicas y dificultad respiratoria también mostraron relación. Estas secuelas pueden generar un menor desempeño en los pacientes dados de alta, generarse recuerdos intrusivos al seguir presentando sintomatología compatible con la COVID-19 y expectativa incierta de cuándo desaparecerán. Están alteraciones pueden tener repercusión en el desarrollo del trastorno.</w:t>
      </w:r>
    </w:p>
    <w:p w14:paraId="2462A01F" w14:textId="77777777" w:rsidR="00AD7EBB" w:rsidRPr="00AD7EBB" w:rsidRDefault="00AD7EBB" w:rsidP="00AD7EBB">
      <w:pPr>
        <w:spacing w:line="360" w:lineRule="auto"/>
        <w:jc w:val="both"/>
        <w:rPr>
          <w:color w:val="000000"/>
          <w:vertAlign w:val="superscript"/>
          <w:lang w:val="es-PE" w:eastAsia="es-MX"/>
        </w:rPr>
      </w:pPr>
      <w:r w:rsidRPr="00AD7EBB">
        <w:rPr>
          <w:color w:val="000000"/>
          <w:lang w:val="es-PE" w:eastAsia="es-MX"/>
        </w:rPr>
        <w:t xml:space="preserve">Del mismo modo se observa mayor presencia de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 en quienes perciben discriminación social o tienen dificultad para reincorporarse a sus actividades cotidianas luego del alta médica. Al respecto, el bajo apoyo social se ha asociado con sintomatología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 puesto que los pacientes consideran más importante los recursos externos para superar su </w:t>
      </w:r>
      <w:proofErr w:type="gramStart"/>
      <w:r w:rsidRPr="00AD7EBB">
        <w:rPr>
          <w:color w:val="000000"/>
          <w:lang w:val="es-PE" w:eastAsia="es-MX"/>
        </w:rPr>
        <w:t>situación.</w:t>
      </w:r>
      <w:r w:rsidRPr="00AD7EBB">
        <w:rPr>
          <w:color w:val="000000"/>
          <w:vertAlign w:val="superscript"/>
          <w:lang w:val="es-PE" w:eastAsia="es-MX"/>
        </w:rPr>
        <w:t>(</w:t>
      </w:r>
      <w:proofErr w:type="gramEnd"/>
      <w:r w:rsidRPr="00AD7EBB">
        <w:rPr>
          <w:color w:val="000000"/>
          <w:vertAlign w:val="superscript"/>
          <w:lang w:val="es-PE" w:eastAsia="es-MX"/>
        </w:rPr>
        <w:t>26)</w:t>
      </w:r>
      <w:r w:rsidRPr="00AD7EBB">
        <w:rPr>
          <w:color w:val="000000"/>
          <w:lang w:val="es-PE" w:eastAsia="es-MX"/>
        </w:rPr>
        <w:t xml:space="preserve"> De igual forma, otra investigación señala que la percepción de apoyo social se asocia con síntomas de estrés emocional asociados a eventos </w:t>
      </w:r>
      <w:r w:rsidRPr="00AD7EBB">
        <w:rPr>
          <w:color w:val="000000"/>
          <w:lang w:val="es-PE" w:eastAsia="es-MX"/>
        </w:rPr>
        <w:lastRenderedPageBreak/>
        <w:t>traumáticos menos graves.</w:t>
      </w:r>
      <w:r w:rsidRPr="00AD7EBB">
        <w:rPr>
          <w:color w:val="000000"/>
          <w:vertAlign w:val="superscript"/>
          <w:lang w:val="es-PE" w:eastAsia="es-MX"/>
        </w:rPr>
        <w:t>(27)</w:t>
      </w:r>
      <w:r w:rsidRPr="00AD7EBB">
        <w:rPr>
          <w:color w:val="000000"/>
          <w:lang w:val="es-PE" w:eastAsia="es-MX"/>
        </w:rPr>
        <w:t xml:space="preserve"> Además, la discapacidad temporal en los centros de trabajo de las personas dadas de alta hospitalaria se asocia a la gravedad de sintomatología.</w:t>
      </w:r>
      <w:r w:rsidRPr="00AD7EBB">
        <w:rPr>
          <w:color w:val="000000"/>
          <w:vertAlign w:val="superscript"/>
          <w:lang w:val="es-PE" w:eastAsia="es-MX"/>
        </w:rPr>
        <w:t>(12)</w:t>
      </w:r>
    </w:p>
    <w:p w14:paraId="76A588FE" w14:textId="77777777" w:rsidR="00AD7EBB" w:rsidRPr="00AD7EBB" w:rsidRDefault="00AD7EBB" w:rsidP="00AD7EBB">
      <w:pPr>
        <w:spacing w:line="360" w:lineRule="auto"/>
        <w:jc w:val="both"/>
        <w:rPr>
          <w:vertAlign w:val="superscript"/>
          <w:lang w:val="es-PE" w:eastAsia="es-MX"/>
        </w:rPr>
      </w:pPr>
      <w:r w:rsidRPr="00AD7EBB">
        <w:rPr>
          <w:color w:val="000000"/>
          <w:lang w:val="es-PE" w:eastAsia="es-MX"/>
        </w:rPr>
        <w:t xml:space="preserve">Otro factor asociado al </w:t>
      </w:r>
      <w:proofErr w:type="spellStart"/>
      <w:r w:rsidRPr="00AD7EBB">
        <w:rPr>
          <w:color w:val="000000"/>
          <w:lang w:val="es-PE" w:eastAsia="es-MX"/>
        </w:rPr>
        <w:t>TEPT</w:t>
      </w:r>
      <w:proofErr w:type="spellEnd"/>
      <w:r w:rsidRPr="00AD7EBB">
        <w:rPr>
          <w:color w:val="000000"/>
          <w:lang w:val="es-PE" w:eastAsia="es-MX"/>
        </w:rPr>
        <w:t xml:space="preserve"> fue tener un familiar enfermo por la COVID-19. L</w:t>
      </w:r>
      <w:r w:rsidRPr="00AD7EBB">
        <w:rPr>
          <w:lang w:val="es-PE" w:eastAsia="es-MX"/>
        </w:rPr>
        <w:t xml:space="preserve">as preocupaciones sobre los problemas de salud de los miembros de la familia infectados y la culpa de ser una fuente de infección, conducen al deterioro del estado de ánimo, que pueden degradarse y desaparecer a medida que los seres queridos se recuperan, o deteriorarse y persistir de ser de mayor gravedad la COVID-19 en sus </w:t>
      </w:r>
      <w:proofErr w:type="gramStart"/>
      <w:r w:rsidRPr="00AD7EBB">
        <w:rPr>
          <w:lang w:val="es-PE" w:eastAsia="es-MX"/>
        </w:rPr>
        <w:t>familiares.</w:t>
      </w:r>
      <w:r w:rsidRPr="00AD7EBB">
        <w:rPr>
          <w:vertAlign w:val="superscript"/>
          <w:lang w:val="es-PE" w:eastAsia="es-MX"/>
        </w:rPr>
        <w:t>(</w:t>
      </w:r>
      <w:proofErr w:type="gramEnd"/>
      <w:r w:rsidRPr="00AD7EBB">
        <w:rPr>
          <w:vertAlign w:val="superscript"/>
          <w:lang w:val="es-PE" w:eastAsia="es-MX"/>
        </w:rPr>
        <w:t>27)</w:t>
      </w:r>
    </w:p>
    <w:p w14:paraId="47858045" w14:textId="77777777" w:rsidR="00AD7EBB" w:rsidRPr="00AD7EBB" w:rsidRDefault="00AD7EBB" w:rsidP="00AD7EBB">
      <w:pPr>
        <w:spacing w:line="360" w:lineRule="auto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El estudio presenta como limitaciones, que el tipo de muestreo no probabilístico empleado afecta la validez externa, además, el uso de una encuesta autoadministrada pudo proporcionar una medición subjetiva. </w:t>
      </w:r>
    </w:p>
    <w:p w14:paraId="6796A49D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 xml:space="preserve">La identificación de factores intrahospitalarios y extrahospitalarios relacionados con el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 brindan un alcance sobre las características que predispongan a padecerlo. Mediante ello, la toma de decisiones respecto a una atención integral del paciente durante y después de la hospitalización, al considerar, tanto su recuperación física como mental primordiales para su reincorporación a sus actividades cotidianas y laborales luego del alta médica. Se abre la posibilidad de seguir indagando sobre los factores asociados al </w:t>
      </w:r>
      <w:proofErr w:type="spellStart"/>
      <w:r w:rsidRPr="00AD7EBB">
        <w:rPr>
          <w:lang w:val="es-PE" w:eastAsia="es-MX"/>
        </w:rPr>
        <w:t>TEPT</w:t>
      </w:r>
      <w:proofErr w:type="spellEnd"/>
      <w:r w:rsidRPr="00AD7EBB">
        <w:rPr>
          <w:lang w:val="es-PE" w:eastAsia="es-MX"/>
        </w:rPr>
        <w:t xml:space="preserve">, con el fin de contribuir a su prevención o detección precoz en el contexto hospitalario. </w:t>
      </w:r>
    </w:p>
    <w:p w14:paraId="19361B2A" w14:textId="77777777" w:rsidR="00AD7EBB" w:rsidRPr="00AD7EBB" w:rsidRDefault="00AD7EBB" w:rsidP="00AD7EBB">
      <w:pPr>
        <w:spacing w:line="360" w:lineRule="auto"/>
        <w:jc w:val="both"/>
        <w:rPr>
          <w:lang w:val="es-PE" w:eastAsia="es-MX"/>
        </w:rPr>
      </w:pPr>
      <w:r w:rsidRPr="00AD7EBB">
        <w:rPr>
          <w:lang w:val="es-PE" w:eastAsia="es-MX"/>
        </w:rPr>
        <w:t>Los factores hospitalarios y no hospitalarios relacionados con el estrés postraumático en pacientes con alta médica por la COVID-19 son tiempo de hospitalización, tipo clínico de COVID-19, soporte ventilatorio invasivo, oxigenoterapia en rehabilitación, secuelas neurológicas, dificultad respiratoria, percepción de discriminación social, dificultad para reincorporarse a las actividades diarias y familiares infectados con la COVID-19.</w:t>
      </w:r>
    </w:p>
    <w:p w14:paraId="4BBCE4F6" w14:textId="77777777" w:rsidR="00AD7EBB" w:rsidRPr="00AD7EBB" w:rsidRDefault="00AD7EBB" w:rsidP="00AD7EBB">
      <w:pPr>
        <w:spacing w:line="360" w:lineRule="auto"/>
        <w:jc w:val="center"/>
        <w:rPr>
          <w:b/>
          <w:lang w:val="es-PE" w:eastAsia="es-MX"/>
        </w:rPr>
      </w:pPr>
    </w:p>
    <w:p w14:paraId="28A88EE1" w14:textId="77777777" w:rsidR="00AD7EBB" w:rsidRPr="00AD7EBB" w:rsidRDefault="00AD7EBB" w:rsidP="00AD7EBB">
      <w:pPr>
        <w:spacing w:line="360" w:lineRule="auto"/>
        <w:jc w:val="center"/>
        <w:rPr>
          <w:b/>
          <w:lang w:val="es-PE" w:eastAsia="es-MX"/>
        </w:rPr>
      </w:pPr>
    </w:p>
    <w:p w14:paraId="657E1B96" w14:textId="77777777" w:rsidR="00AD7EBB" w:rsidRPr="00AD7EBB" w:rsidRDefault="00AD7EBB" w:rsidP="00AD7EBB">
      <w:pPr>
        <w:spacing w:line="360" w:lineRule="auto"/>
        <w:jc w:val="center"/>
        <w:rPr>
          <w:b/>
          <w:sz w:val="32"/>
          <w:szCs w:val="32"/>
          <w:lang w:val="es-PE" w:eastAsia="es-MX"/>
        </w:rPr>
      </w:pPr>
      <w:r w:rsidRPr="00AD7EBB">
        <w:rPr>
          <w:b/>
          <w:sz w:val="32"/>
          <w:szCs w:val="32"/>
          <w:lang w:val="es-PE" w:eastAsia="es-MX"/>
        </w:rPr>
        <w:t xml:space="preserve">REFERENCIAS BIBLIOGRÁFICAS </w:t>
      </w:r>
    </w:p>
    <w:p w14:paraId="31F53F21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t xml:space="preserve">1. James B, </w:t>
      </w:r>
      <w:proofErr w:type="spellStart"/>
      <w:r w:rsidRPr="00AD7EBB">
        <w:rPr>
          <w:lang w:val="es-PE" w:eastAsia="es-MX"/>
        </w:rPr>
        <w:t>Alcott</w:t>
      </w:r>
      <w:proofErr w:type="spellEnd"/>
      <w:r w:rsidRPr="00AD7EBB">
        <w:rPr>
          <w:lang w:val="es-PE" w:eastAsia="es-MX"/>
        </w:rPr>
        <w:t xml:space="preserve"> V, Ruiz P. Manual de Psiquiatría Clínica. Barcelona: Wolters </w:t>
      </w:r>
      <w:proofErr w:type="spellStart"/>
      <w:r w:rsidRPr="00AD7EBB">
        <w:rPr>
          <w:lang w:val="es-PE" w:eastAsia="es-MX"/>
        </w:rPr>
        <w:t>Kluwer</w:t>
      </w:r>
      <w:proofErr w:type="spellEnd"/>
      <w:r w:rsidRPr="00AD7EBB">
        <w:rPr>
          <w:lang w:val="es-PE" w:eastAsia="es-MX"/>
        </w:rPr>
        <w:t xml:space="preserve">; 2017. </w:t>
      </w:r>
    </w:p>
    <w:p w14:paraId="2883B593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color w:val="000000"/>
          <w:lang w:val="es-PE" w:eastAsia="es-MX"/>
        </w:rPr>
        <w:t xml:space="preserve">2. Kaplan S. Sinopsis de la psiquiatría. </w:t>
      </w:r>
      <w:proofErr w:type="spellStart"/>
      <w:r w:rsidRPr="00AD7EBB">
        <w:rPr>
          <w:color w:val="000000"/>
          <w:lang w:val="es-PE" w:eastAsia="es-MX"/>
        </w:rPr>
        <w:t>11va</w:t>
      </w:r>
      <w:proofErr w:type="spellEnd"/>
      <w:r w:rsidRPr="00AD7EBB">
        <w:rPr>
          <w:color w:val="000000"/>
          <w:lang w:val="es-PE" w:eastAsia="es-MX"/>
        </w:rPr>
        <w:t xml:space="preserve"> ed. Barcelona: Wolters </w:t>
      </w:r>
      <w:proofErr w:type="spellStart"/>
      <w:r w:rsidRPr="00AD7EBB">
        <w:rPr>
          <w:color w:val="000000"/>
          <w:lang w:val="es-PE" w:eastAsia="es-MX"/>
        </w:rPr>
        <w:t>Kluwer</w:t>
      </w:r>
      <w:proofErr w:type="spellEnd"/>
      <w:r w:rsidRPr="00AD7EBB">
        <w:rPr>
          <w:color w:val="000000"/>
          <w:lang w:val="es-PE" w:eastAsia="es-MX"/>
        </w:rPr>
        <w:t>; 2015.</w:t>
      </w:r>
    </w:p>
    <w:p w14:paraId="5FD9810C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color w:val="000000"/>
          <w:lang w:val="es-PE" w:eastAsia="es-MX"/>
        </w:rPr>
        <w:t>3. Black D, Andreasen N. Texto Introductorio de Psiquiatría. México: Manual Moderno; 2015.</w:t>
      </w:r>
    </w:p>
    <w:p w14:paraId="36388F7D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lastRenderedPageBreak/>
        <w:t xml:space="preserve">4. </w:t>
      </w:r>
      <w:proofErr w:type="spellStart"/>
      <w:r w:rsidRPr="00AD7EBB">
        <w:rPr>
          <w:lang w:val="es-PE" w:eastAsia="es-MX"/>
        </w:rPr>
        <w:t>Fhur</w:t>
      </w:r>
      <w:proofErr w:type="spellEnd"/>
      <w:r w:rsidRPr="00AD7EBB">
        <w:rPr>
          <w:lang w:val="es-PE" w:eastAsia="es-MX"/>
        </w:rPr>
        <w:t xml:space="preserve"> D, </w:t>
      </w:r>
      <w:proofErr w:type="spellStart"/>
      <w:r w:rsidRPr="00AD7EBB">
        <w:rPr>
          <w:lang w:val="es-PE" w:eastAsia="es-MX"/>
        </w:rPr>
        <w:t>Acarturk</w:t>
      </w:r>
      <w:proofErr w:type="spellEnd"/>
      <w:r w:rsidRPr="00AD7EBB">
        <w:rPr>
          <w:lang w:val="es-PE" w:eastAsia="es-MX"/>
        </w:rPr>
        <w:t xml:space="preserve"> C, McGrath C, </w:t>
      </w:r>
      <w:proofErr w:type="spellStart"/>
      <w:r w:rsidRPr="00AD7EBB">
        <w:rPr>
          <w:lang w:val="es-PE" w:eastAsia="es-MX"/>
        </w:rPr>
        <w:t>Ilkkursun</w:t>
      </w:r>
      <w:proofErr w:type="spellEnd"/>
      <w:r w:rsidRPr="00AD7EBB">
        <w:rPr>
          <w:lang w:val="es-PE" w:eastAsia="es-MX"/>
        </w:rPr>
        <w:t xml:space="preserve"> Z, </w:t>
      </w:r>
      <w:proofErr w:type="spellStart"/>
      <w:r w:rsidRPr="00AD7EBB">
        <w:rPr>
          <w:lang w:val="es-PE" w:eastAsia="es-MX"/>
        </w:rPr>
        <w:t>Sondorp</w:t>
      </w:r>
      <w:proofErr w:type="spellEnd"/>
      <w:r w:rsidRPr="00AD7EBB">
        <w:rPr>
          <w:lang w:val="es-PE" w:eastAsia="es-MX"/>
        </w:rPr>
        <w:t xml:space="preserve"> E, </w:t>
      </w:r>
      <w:proofErr w:type="spellStart"/>
      <w:r w:rsidRPr="00AD7EBB">
        <w:rPr>
          <w:lang w:val="es-PE" w:eastAsia="es-MX"/>
        </w:rPr>
        <w:t>Sijbrandij</w:t>
      </w:r>
      <w:proofErr w:type="spellEnd"/>
      <w:r w:rsidRPr="00AD7EBB">
        <w:rPr>
          <w:lang w:val="es-PE" w:eastAsia="es-MX"/>
        </w:rPr>
        <w:t xml:space="preserve"> M, et al. </w:t>
      </w:r>
      <w:r w:rsidRPr="00AD7EBB">
        <w:rPr>
          <w:lang w:val="en-US" w:eastAsia="es-MX"/>
        </w:rPr>
        <w:t xml:space="preserve">Treatment gap and mental health service use among Syrian refugees in </w:t>
      </w:r>
      <w:proofErr w:type="spellStart"/>
      <w:r w:rsidRPr="00AD7EBB">
        <w:rPr>
          <w:lang w:val="en-US" w:eastAsia="es-MX"/>
        </w:rPr>
        <w:t>Sultanbeyli</w:t>
      </w:r>
      <w:proofErr w:type="spellEnd"/>
      <w:r w:rsidRPr="00AD7EBB">
        <w:rPr>
          <w:lang w:val="en-US" w:eastAsia="es-MX"/>
        </w:rPr>
        <w:t xml:space="preserve">, Istanbul: a cross-sectional survey. </w:t>
      </w:r>
      <w:proofErr w:type="spellStart"/>
      <w:r w:rsidRPr="00AD7EBB">
        <w:rPr>
          <w:lang w:val="es-PE" w:eastAsia="es-MX"/>
        </w:rPr>
        <w:t>Epidemiol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Psychiatr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Sci</w:t>
      </w:r>
      <w:proofErr w:type="spellEnd"/>
      <w:r w:rsidRPr="00AD7EBB">
        <w:rPr>
          <w:lang w:val="es-PE" w:eastAsia="es-MX"/>
        </w:rPr>
        <w:t xml:space="preserve">. 2020 [acceso: 09/06/2021]; </w:t>
      </w:r>
      <w:proofErr w:type="spellStart"/>
      <w:proofErr w:type="gramStart"/>
      <w:r w:rsidRPr="00AD7EBB">
        <w:rPr>
          <w:lang w:val="es-PE" w:eastAsia="es-MX"/>
        </w:rPr>
        <w:t>29:e</w:t>
      </w:r>
      <w:proofErr w:type="gramEnd"/>
      <w:r w:rsidRPr="00AD7EBB">
        <w:rPr>
          <w:lang w:val="es-PE" w:eastAsia="es-MX"/>
        </w:rPr>
        <w:t>70</w:t>
      </w:r>
      <w:proofErr w:type="spellEnd"/>
      <w:r w:rsidRPr="00AD7EBB">
        <w:rPr>
          <w:lang w:val="es-PE" w:eastAsia="es-MX"/>
        </w:rPr>
        <w:t xml:space="preserve">. Disponible en:  </w:t>
      </w:r>
      <w:hyperlink r:id="rId12">
        <w:r w:rsidRPr="00AD7EBB">
          <w:rPr>
            <w:color w:val="0563C1"/>
            <w:u w:val="single"/>
            <w:lang w:val="es-PE" w:eastAsia="es-MX"/>
          </w:rPr>
          <w:t>https://doi.org/10.1017/S2045796019000660</w:t>
        </w:r>
      </w:hyperlink>
    </w:p>
    <w:p w14:paraId="32E577FE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t xml:space="preserve">5. </w:t>
      </w:r>
      <w:proofErr w:type="spellStart"/>
      <w:r w:rsidRPr="00AD7EBB">
        <w:rPr>
          <w:lang w:val="es-PE" w:eastAsia="es-MX"/>
        </w:rPr>
        <w:t>Tarsitani</w:t>
      </w:r>
      <w:proofErr w:type="spellEnd"/>
      <w:r w:rsidRPr="00AD7EBB">
        <w:rPr>
          <w:lang w:val="es-PE" w:eastAsia="es-MX"/>
        </w:rPr>
        <w:t xml:space="preserve"> L, </w:t>
      </w:r>
      <w:proofErr w:type="spellStart"/>
      <w:r w:rsidRPr="00AD7EBB">
        <w:rPr>
          <w:lang w:val="es-PE" w:eastAsia="es-MX"/>
        </w:rPr>
        <w:t>Vassalini</w:t>
      </w:r>
      <w:proofErr w:type="spellEnd"/>
      <w:r w:rsidRPr="00AD7EBB">
        <w:rPr>
          <w:lang w:val="es-PE" w:eastAsia="es-MX"/>
        </w:rPr>
        <w:t xml:space="preserve"> P, </w:t>
      </w:r>
      <w:proofErr w:type="spellStart"/>
      <w:r w:rsidRPr="00AD7EBB">
        <w:rPr>
          <w:lang w:val="es-PE" w:eastAsia="es-MX"/>
        </w:rPr>
        <w:t>Koukopoulos</w:t>
      </w:r>
      <w:proofErr w:type="spellEnd"/>
      <w:r w:rsidRPr="00AD7EBB">
        <w:rPr>
          <w:lang w:val="es-PE" w:eastAsia="es-MX"/>
        </w:rPr>
        <w:t xml:space="preserve"> A, </w:t>
      </w:r>
      <w:proofErr w:type="spellStart"/>
      <w:r w:rsidRPr="00AD7EBB">
        <w:rPr>
          <w:lang w:val="es-PE" w:eastAsia="es-MX"/>
        </w:rPr>
        <w:t>Borrazzo</w:t>
      </w:r>
      <w:proofErr w:type="spellEnd"/>
      <w:r w:rsidRPr="00AD7EBB">
        <w:rPr>
          <w:lang w:val="es-PE" w:eastAsia="es-MX"/>
        </w:rPr>
        <w:t xml:space="preserve"> C, Alessi F, </w:t>
      </w:r>
      <w:proofErr w:type="spellStart"/>
      <w:r w:rsidRPr="00AD7EBB">
        <w:rPr>
          <w:lang w:val="es-PE" w:eastAsia="es-MX"/>
        </w:rPr>
        <w:t>Nicolantonio</w:t>
      </w:r>
      <w:proofErr w:type="spellEnd"/>
      <w:r w:rsidRPr="00AD7EBB">
        <w:rPr>
          <w:lang w:val="es-PE" w:eastAsia="es-MX"/>
        </w:rPr>
        <w:t xml:space="preserve"> C, et al. </w:t>
      </w:r>
      <w:r w:rsidRPr="00AD7EBB">
        <w:rPr>
          <w:lang w:val="en-US" w:eastAsia="es-MX"/>
        </w:rPr>
        <w:t xml:space="preserve">Post-traumatic Stress Disorder Among COVID-19 Survivors at 3-Month Follow-up After Hospital Discharge. </w:t>
      </w:r>
      <w:r w:rsidRPr="00AD7EBB">
        <w:rPr>
          <w:shd w:val="clear" w:color="auto" w:fill="FCFCFC"/>
          <w:lang w:val="es-PE" w:eastAsia="es-MX"/>
        </w:rPr>
        <w:t xml:space="preserve">J Gen </w:t>
      </w:r>
      <w:proofErr w:type="spellStart"/>
      <w:r w:rsidRPr="00AD7EBB">
        <w:rPr>
          <w:shd w:val="clear" w:color="auto" w:fill="FCFCFC"/>
          <w:lang w:val="es-PE" w:eastAsia="es-MX"/>
        </w:rPr>
        <w:t>Intern</w:t>
      </w:r>
      <w:proofErr w:type="spellEnd"/>
      <w:r w:rsidRPr="00AD7EBB">
        <w:rPr>
          <w:shd w:val="clear" w:color="auto" w:fill="FCFCFC"/>
          <w:lang w:val="es-PE" w:eastAsia="es-MX"/>
        </w:rPr>
        <w:t xml:space="preserve"> </w:t>
      </w:r>
      <w:proofErr w:type="spellStart"/>
      <w:r w:rsidRPr="00AD7EBB">
        <w:rPr>
          <w:shd w:val="clear" w:color="auto" w:fill="FCFCFC"/>
          <w:lang w:val="es-PE" w:eastAsia="es-MX"/>
        </w:rPr>
        <w:t>Med</w:t>
      </w:r>
      <w:proofErr w:type="spellEnd"/>
      <w:r w:rsidRPr="00AD7EBB">
        <w:rPr>
          <w:shd w:val="clear" w:color="auto" w:fill="FCFCFC"/>
          <w:lang w:val="es-PE" w:eastAsia="es-MX"/>
        </w:rPr>
        <w:t xml:space="preserve">. 2021 </w:t>
      </w:r>
      <w:r w:rsidRPr="00AD7EBB">
        <w:rPr>
          <w:lang w:val="es-PE" w:eastAsia="es-MX"/>
        </w:rPr>
        <w:t>[acceso: 09/06/2021];</w:t>
      </w:r>
      <w:r w:rsidRPr="00AD7EBB">
        <w:rPr>
          <w:shd w:val="clear" w:color="auto" w:fill="FCFCFC"/>
          <w:lang w:val="es-PE" w:eastAsia="es-MX"/>
        </w:rPr>
        <w:t xml:space="preserve">36(6):1702–7. </w:t>
      </w:r>
      <w:r w:rsidRPr="00AD7EBB">
        <w:rPr>
          <w:lang w:val="es-PE" w:eastAsia="es-MX"/>
        </w:rPr>
        <w:t xml:space="preserve">Disponible en: </w:t>
      </w:r>
      <w:r w:rsidRPr="00AD7EBB">
        <w:rPr>
          <w:shd w:val="clear" w:color="auto" w:fill="FCFCFC"/>
          <w:lang w:val="es-PE" w:eastAsia="es-MX"/>
        </w:rPr>
        <w:t xml:space="preserve"> </w:t>
      </w:r>
      <w:hyperlink r:id="rId13">
        <w:r w:rsidRPr="00AD7EBB">
          <w:rPr>
            <w:color w:val="0563C1"/>
            <w:u w:val="single"/>
            <w:lang w:val="es-PE" w:eastAsia="es-MX"/>
          </w:rPr>
          <w:t>https://doi.org/10.1007/s11606-021-06731-7</w:t>
        </w:r>
      </w:hyperlink>
    </w:p>
    <w:p w14:paraId="28390CFD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n-US" w:eastAsia="es-MX"/>
        </w:rPr>
        <w:t xml:space="preserve">6. Battle </w:t>
      </w:r>
      <w:proofErr w:type="spellStart"/>
      <w:r w:rsidRPr="00AD7EBB">
        <w:rPr>
          <w:lang w:val="en-US" w:eastAsia="es-MX"/>
        </w:rPr>
        <w:t>Ceri</w:t>
      </w:r>
      <w:proofErr w:type="spellEnd"/>
      <w:r w:rsidRPr="00AD7EBB">
        <w:rPr>
          <w:lang w:val="en-US" w:eastAsia="es-MX"/>
        </w:rPr>
        <w:t xml:space="preserve"> E, James K, Bromfield T, </w:t>
      </w:r>
      <w:proofErr w:type="spellStart"/>
      <w:r w:rsidRPr="00AD7EBB">
        <w:rPr>
          <w:lang w:val="en-US" w:eastAsia="es-MX"/>
        </w:rPr>
        <w:t>Temblett</w:t>
      </w:r>
      <w:proofErr w:type="spellEnd"/>
      <w:r w:rsidRPr="00AD7EBB">
        <w:rPr>
          <w:lang w:val="en-US" w:eastAsia="es-MX"/>
        </w:rPr>
        <w:t xml:space="preserve"> P. Predictors of post-traumatic stress disorder following critical illness: A mixed methods study. </w:t>
      </w:r>
      <w:r w:rsidRPr="00AD7EBB">
        <w:rPr>
          <w:lang w:val="es-PE" w:eastAsia="es-MX"/>
        </w:rPr>
        <w:t xml:space="preserve">J Intensive Care Soc. 2017 [acceso: 10/06/2021];18(4):289-93. Disponible en:  </w:t>
      </w:r>
      <w:hyperlink r:id="rId14">
        <w:r w:rsidRPr="00AD7EBB">
          <w:rPr>
            <w:lang w:val="es-PE" w:eastAsia="es-MX"/>
          </w:rPr>
          <w:t>https://doi.org/10.1177%2F1751143717713853</w:t>
        </w:r>
      </w:hyperlink>
    </w:p>
    <w:p w14:paraId="2FB404DA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t xml:space="preserve">7. Organización Mundial de la Salud. Pandemia por enfermedad por coronavirus. Ginebra: OMS; 2021 [acceso: 18/04/2021]. Disponible en: </w:t>
      </w:r>
      <w:hyperlink r:id="rId15">
        <w:r w:rsidRPr="00AD7EBB">
          <w:rPr>
            <w:color w:val="0563C1"/>
            <w:u w:val="single"/>
            <w:lang w:val="es-PE" w:eastAsia="es-MX"/>
          </w:rPr>
          <w:t>https://www.who.int/emergencies/diseases/novel-coronavirus-2019</w:t>
        </w:r>
      </w:hyperlink>
    </w:p>
    <w:p w14:paraId="282AE8DA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n-US" w:eastAsia="es-MX"/>
        </w:rPr>
        <w:t xml:space="preserve">8. </w:t>
      </w:r>
      <w:proofErr w:type="spellStart"/>
      <w:r w:rsidRPr="00AD7EBB">
        <w:rPr>
          <w:lang w:val="en-US" w:eastAsia="es-MX"/>
        </w:rPr>
        <w:t>Torales</w:t>
      </w:r>
      <w:proofErr w:type="spellEnd"/>
      <w:r w:rsidRPr="00AD7EBB">
        <w:rPr>
          <w:lang w:val="en-US" w:eastAsia="es-MX"/>
        </w:rPr>
        <w:t xml:space="preserve"> J, O'Higgins M, </w:t>
      </w:r>
      <w:proofErr w:type="spellStart"/>
      <w:r w:rsidRPr="00AD7EBB">
        <w:rPr>
          <w:lang w:val="en-US" w:eastAsia="es-MX"/>
        </w:rPr>
        <w:t>Castaldelli</w:t>
      </w:r>
      <w:proofErr w:type="spellEnd"/>
      <w:r w:rsidRPr="00AD7EBB">
        <w:rPr>
          <w:lang w:val="en-US" w:eastAsia="es-MX"/>
        </w:rPr>
        <w:t xml:space="preserve">-Maia J, </w:t>
      </w:r>
      <w:proofErr w:type="spellStart"/>
      <w:r w:rsidRPr="00AD7EBB">
        <w:rPr>
          <w:lang w:val="en-US" w:eastAsia="es-MX"/>
        </w:rPr>
        <w:t>Ventriglio</w:t>
      </w:r>
      <w:proofErr w:type="spellEnd"/>
      <w:r w:rsidRPr="00AD7EBB">
        <w:rPr>
          <w:lang w:val="en-US" w:eastAsia="es-MX"/>
        </w:rPr>
        <w:t xml:space="preserve"> A. The outbreak of COVID-19 coronavirus and its impact on global mental health. </w:t>
      </w:r>
      <w:proofErr w:type="spellStart"/>
      <w:r w:rsidRPr="00AD7EBB">
        <w:rPr>
          <w:lang w:val="es-PE" w:eastAsia="es-MX"/>
        </w:rPr>
        <w:t>Int</w:t>
      </w:r>
      <w:proofErr w:type="spellEnd"/>
      <w:r w:rsidRPr="00AD7EBB">
        <w:rPr>
          <w:lang w:val="es-PE" w:eastAsia="es-MX"/>
        </w:rPr>
        <w:t xml:space="preserve"> J </w:t>
      </w:r>
      <w:proofErr w:type="spellStart"/>
      <w:r w:rsidRPr="00AD7EBB">
        <w:rPr>
          <w:lang w:val="es-PE" w:eastAsia="es-MX"/>
        </w:rPr>
        <w:t>Soc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Psychiatry</w:t>
      </w:r>
      <w:proofErr w:type="spellEnd"/>
      <w:r w:rsidRPr="00AD7EBB">
        <w:rPr>
          <w:lang w:val="es-PE" w:eastAsia="es-MX"/>
        </w:rPr>
        <w:t xml:space="preserve">. 2020 [acceso: 11/06/2021]; 66(4):317-20. Disponible en:  </w:t>
      </w:r>
      <w:hyperlink r:id="rId16">
        <w:r w:rsidRPr="00AD7EBB">
          <w:rPr>
            <w:color w:val="0563C1"/>
            <w:u w:val="single"/>
            <w:lang w:val="es-PE" w:eastAsia="es-MX"/>
          </w:rPr>
          <w:t>https://doi.org/</w:t>
        </w:r>
      </w:hyperlink>
      <w:hyperlink r:id="rId17">
        <w:r w:rsidRPr="00AD7EBB">
          <w:rPr>
            <w:color w:val="0563C1"/>
            <w:u w:val="single"/>
            <w:lang w:val="es-PE" w:eastAsia="es-MX"/>
          </w:rPr>
          <w:t>10.1177/0020764020915212</w:t>
        </w:r>
      </w:hyperlink>
    </w:p>
    <w:p w14:paraId="1133BBE1" w14:textId="77777777" w:rsidR="00AD7EBB" w:rsidRPr="00AD7EBB" w:rsidRDefault="00AD7EBB" w:rsidP="00AD7EBB">
      <w:pPr>
        <w:spacing w:line="360" w:lineRule="auto"/>
        <w:ind w:left="-76"/>
        <w:rPr>
          <w:lang w:val="es-PE" w:eastAsia="es-MX"/>
        </w:rPr>
      </w:pPr>
      <w:r w:rsidRPr="00AD7EBB">
        <w:rPr>
          <w:lang w:val="en-US" w:eastAsia="es-MX"/>
        </w:rPr>
        <w:t xml:space="preserve">9. </w:t>
      </w:r>
      <w:proofErr w:type="spellStart"/>
      <w:r w:rsidRPr="00AD7EBB">
        <w:rPr>
          <w:lang w:val="en-US" w:eastAsia="es-MX"/>
        </w:rPr>
        <w:t>Jeong</w:t>
      </w:r>
      <w:proofErr w:type="spellEnd"/>
      <w:r w:rsidRPr="00AD7EBB">
        <w:rPr>
          <w:lang w:val="en-US" w:eastAsia="es-MX"/>
        </w:rPr>
        <w:t xml:space="preserve"> H, </w:t>
      </w:r>
      <w:proofErr w:type="spellStart"/>
      <w:r w:rsidRPr="00AD7EBB">
        <w:rPr>
          <w:lang w:val="en-US" w:eastAsia="es-MX"/>
        </w:rPr>
        <w:t>Yim</w:t>
      </w:r>
      <w:proofErr w:type="spellEnd"/>
      <w:r w:rsidRPr="00AD7EBB">
        <w:rPr>
          <w:lang w:val="en-US" w:eastAsia="es-MX"/>
        </w:rPr>
        <w:t xml:space="preserve"> </w:t>
      </w:r>
      <w:proofErr w:type="spellStart"/>
      <w:r w:rsidRPr="00AD7EBB">
        <w:rPr>
          <w:lang w:val="en-US" w:eastAsia="es-MX"/>
        </w:rPr>
        <w:t>HW</w:t>
      </w:r>
      <w:proofErr w:type="spellEnd"/>
      <w:r w:rsidRPr="00AD7EBB">
        <w:rPr>
          <w:lang w:val="en-US" w:eastAsia="es-MX"/>
        </w:rPr>
        <w:t xml:space="preserve">, Song </w:t>
      </w:r>
      <w:proofErr w:type="spellStart"/>
      <w:r w:rsidRPr="00AD7EBB">
        <w:rPr>
          <w:lang w:val="en-US" w:eastAsia="es-MX"/>
        </w:rPr>
        <w:t>YJ</w:t>
      </w:r>
      <w:proofErr w:type="spellEnd"/>
      <w:r w:rsidRPr="00AD7EBB">
        <w:rPr>
          <w:lang w:val="en-US" w:eastAsia="es-MX"/>
        </w:rPr>
        <w:t xml:space="preserve">, Ki M, Min JA, Cho J, Chae J. Mental health status of people isolated due to Middle East Respiratory Syndrome. </w:t>
      </w:r>
      <w:proofErr w:type="spellStart"/>
      <w:r w:rsidRPr="00AD7EBB">
        <w:rPr>
          <w:lang w:val="es-PE" w:eastAsia="es-MX"/>
        </w:rPr>
        <w:t>Epidemiol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Health</w:t>
      </w:r>
      <w:proofErr w:type="spellEnd"/>
      <w:r w:rsidRPr="00AD7EBB">
        <w:rPr>
          <w:lang w:val="es-PE" w:eastAsia="es-MX"/>
        </w:rPr>
        <w:t xml:space="preserve">. 2016 [acceso: 09/06/2021]; </w:t>
      </w:r>
      <w:proofErr w:type="spellStart"/>
      <w:proofErr w:type="gramStart"/>
      <w:r w:rsidRPr="00AD7EBB">
        <w:rPr>
          <w:lang w:val="es-PE" w:eastAsia="es-MX"/>
        </w:rPr>
        <w:t>38:e</w:t>
      </w:r>
      <w:proofErr w:type="gramEnd"/>
      <w:r w:rsidRPr="00AD7EBB">
        <w:rPr>
          <w:lang w:val="es-PE" w:eastAsia="es-MX"/>
        </w:rPr>
        <w:t>2016048</w:t>
      </w:r>
      <w:proofErr w:type="spellEnd"/>
      <w:r w:rsidRPr="00AD7EBB">
        <w:rPr>
          <w:lang w:val="es-PE" w:eastAsia="es-MX"/>
        </w:rPr>
        <w:t xml:space="preserve">. Disponible en: </w:t>
      </w:r>
      <w:hyperlink r:id="rId18">
        <w:r w:rsidRPr="00AD7EBB">
          <w:rPr>
            <w:color w:val="0563C1"/>
            <w:u w:val="single"/>
            <w:lang w:val="es-PE" w:eastAsia="es-MX"/>
          </w:rPr>
          <w:t>https://doi.org/10.4178/epih.e2016048</w:t>
        </w:r>
      </w:hyperlink>
    </w:p>
    <w:p w14:paraId="08BB6190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n-US" w:eastAsia="es-MX"/>
        </w:rPr>
        <w:t xml:space="preserve">10. Wing I, Ming C, </w:t>
      </w:r>
      <w:proofErr w:type="spellStart"/>
      <w:r w:rsidRPr="00AD7EBB">
        <w:rPr>
          <w:lang w:val="en-US" w:eastAsia="es-MX"/>
        </w:rPr>
        <w:t>Chyou</w:t>
      </w:r>
      <w:proofErr w:type="spellEnd"/>
      <w:r w:rsidRPr="00AD7EBB">
        <w:rPr>
          <w:lang w:val="en-US" w:eastAsia="es-MX"/>
        </w:rPr>
        <w:t xml:space="preserve"> P, Chung M, Lee V. Long-term psychiatric morbidities among SARS survivors. </w:t>
      </w:r>
      <w:r w:rsidRPr="00AD7EBB">
        <w:rPr>
          <w:lang w:val="es-PE" w:eastAsia="es-MX"/>
        </w:rPr>
        <w:t xml:space="preserve">Gen </w:t>
      </w:r>
      <w:proofErr w:type="spellStart"/>
      <w:r w:rsidRPr="00AD7EBB">
        <w:rPr>
          <w:lang w:val="es-PE" w:eastAsia="es-MX"/>
        </w:rPr>
        <w:t>Hosp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Psychiatry</w:t>
      </w:r>
      <w:proofErr w:type="spellEnd"/>
      <w:r w:rsidRPr="00AD7EBB">
        <w:rPr>
          <w:lang w:val="es-PE" w:eastAsia="es-MX"/>
        </w:rPr>
        <w:t xml:space="preserve">. 2009 [acceso: 09/06/2021]; 31(4):318–26. Disponible en: </w:t>
      </w:r>
      <w:hyperlink r:id="rId19">
        <w:r w:rsidRPr="00AD7EBB">
          <w:rPr>
            <w:color w:val="0563C1"/>
            <w:u w:val="single"/>
            <w:lang w:val="es-PE" w:eastAsia="es-MX"/>
          </w:rPr>
          <w:t>https://doi.org/10.1016/j.genhosppsych.2009.03.001</w:t>
        </w:r>
      </w:hyperlink>
    </w:p>
    <w:p w14:paraId="179A74FB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n-US" w:eastAsia="es-MX"/>
        </w:rPr>
        <w:t xml:space="preserve">11. </w:t>
      </w:r>
      <w:proofErr w:type="spellStart"/>
      <w:r w:rsidRPr="00AD7EBB">
        <w:rPr>
          <w:lang w:val="en-US" w:eastAsia="es-MX"/>
        </w:rPr>
        <w:t>Jakovljevic</w:t>
      </w:r>
      <w:proofErr w:type="spellEnd"/>
      <w:r w:rsidRPr="00AD7EBB">
        <w:rPr>
          <w:lang w:val="en-US" w:eastAsia="es-MX"/>
        </w:rPr>
        <w:t xml:space="preserve"> M, </w:t>
      </w:r>
      <w:proofErr w:type="spellStart"/>
      <w:r w:rsidRPr="00AD7EBB">
        <w:rPr>
          <w:lang w:val="en-US" w:eastAsia="es-MX"/>
        </w:rPr>
        <w:t>Bjedov</w:t>
      </w:r>
      <w:proofErr w:type="spellEnd"/>
      <w:r w:rsidRPr="00AD7EBB">
        <w:rPr>
          <w:lang w:val="en-US" w:eastAsia="es-MX"/>
        </w:rPr>
        <w:t xml:space="preserve"> S, </w:t>
      </w:r>
      <w:proofErr w:type="spellStart"/>
      <w:r w:rsidRPr="00AD7EBB">
        <w:rPr>
          <w:lang w:val="en-US" w:eastAsia="es-MX"/>
        </w:rPr>
        <w:t>Jacksic</w:t>
      </w:r>
      <w:proofErr w:type="spellEnd"/>
      <w:r w:rsidRPr="00AD7EBB">
        <w:rPr>
          <w:lang w:val="en-US" w:eastAsia="es-MX"/>
        </w:rPr>
        <w:t xml:space="preserve"> N, </w:t>
      </w:r>
      <w:proofErr w:type="spellStart"/>
      <w:r w:rsidRPr="00AD7EBB">
        <w:rPr>
          <w:lang w:val="en-US" w:eastAsia="es-MX"/>
        </w:rPr>
        <w:t>Jakovljevic</w:t>
      </w:r>
      <w:proofErr w:type="spellEnd"/>
      <w:r w:rsidRPr="00AD7EBB">
        <w:rPr>
          <w:lang w:val="en-US" w:eastAsia="es-MX"/>
        </w:rPr>
        <w:t xml:space="preserve"> I. COVID-19 </w:t>
      </w:r>
      <w:proofErr w:type="spellStart"/>
      <w:r w:rsidRPr="00AD7EBB">
        <w:rPr>
          <w:lang w:val="en-US" w:eastAsia="es-MX"/>
        </w:rPr>
        <w:t>Pandemia</w:t>
      </w:r>
      <w:proofErr w:type="spellEnd"/>
      <w:r w:rsidRPr="00AD7EBB">
        <w:rPr>
          <w:lang w:val="en-US" w:eastAsia="es-MX"/>
        </w:rPr>
        <w:t xml:space="preserve"> and Public and Global Mental Health from the perspective of Global Health Security. </w:t>
      </w:r>
      <w:proofErr w:type="spellStart"/>
      <w:r w:rsidRPr="00AD7EBB">
        <w:rPr>
          <w:lang w:val="es-PE" w:eastAsia="es-MX"/>
        </w:rPr>
        <w:t>Psychiatr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Danub</w:t>
      </w:r>
      <w:proofErr w:type="spellEnd"/>
      <w:r w:rsidRPr="00AD7EBB">
        <w:rPr>
          <w:lang w:val="es-PE" w:eastAsia="es-MX"/>
        </w:rPr>
        <w:t xml:space="preserve">. 2020 [acceso: 08/06/2021]; 32(1):6-14. Disponible en:  </w:t>
      </w:r>
      <w:hyperlink r:id="rId20">
        <w:r w:rsidRPr="00AD7EBB">
          <w:rPr>
            <w:color w:val="0563C1"/>
            <w:u w:val="single"/>
            <w:lang w:val="es-PE" w:eastAsia="es-MX"/>
          </w:rPr>
          <w:t>https://doi.org/10.24869/psyd.2020.6</w:t>
        </w:r>
      </w:hyperlink>
    </w:p>
    <w:p w14:paraId="1B868658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lastRenderedPageBreak/>
        <w:t xml:space="preserve">12. </w:t>
      </w:r>
      <w:proofErr w:type="spellStart"/>
      <w:r w:rsidRPr="00AD7EBB">
        <w:rPr>
          <w:lang w:val="es-PE" w:eastAsia="es-MX"/>
        </w:rPr>
        <w:t>Poyraz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BÇ</w:t>
      </w:r>
      <w:proofErr w:type="spellEnd"/>
      <w:r w:rsidRPr="00AD7EBB">
        <w:rPr>
          <w:lang w:val="es-PE" w:eastAsia="es-MX"/>
        </w:rPr>
        <w:t xml:space="preserve">, </w:t>
      </w:r>
      <w:proofErr w:type="spellStart"/>
      <w:r w:rsidRPr="00AD7EBB">
        <w:rPr>
          <w:lang w:val="es-PE" w:eastAsia="es-MX"/>
        </w:rPr>
        <w:t>Poyraz</w:t>
      </w:r>
      <w:proofErr w:type="spellEnd"/>
      <w:r w:rsidRPr="00AD7EBB">
        <w:rPr>
          <w:lang w:val="es-PE" w:eastAsia="es-MX"/>
        </w:rPr>
        <w:t xml:space="preserve"> C, </w:t>
      </w:r>
      <w:proofErr w:type="spellStart"/>
      <w:r w:rsidRPr="00AD7EBB">
        <w:rPr>
          <w:lang w:val="es-PE" w:eastAsia="es-MX"/>
        </w:rPr>
        <w:t>Olgun</w:t>
      </w:r>
      <w:proofErr w:type="spellEnd"/>
      <w:r w:rsidRPr="00AD7EBB">
        <w:rPr>
          <w:lang w:val="es-PE" w:eastAsia="es-MX"/>
        </w:rPr>
        <w:t xml:space="preserve"> Y, </w:t>
      </w:r>
      <w:proofErr w:type="spellStart"/>
      <w:r w:rsidRPr="00AD7EBB">
        <w:rPr>
          <w:lang w:val="es-PE" w:eastAsia="es-MX"/>
        </w:rPr>
        <w:t>Gurel</w:t>
      </w:r>
      <w:proofErr w:type="spellEnd"/>
      <w:r w:rsidRPr="00AD7EBB">
        <w:rPr>
          <w:lang w:val="es-PE" w:eastAsia="es-MX"/>
        </w:rPr>
        <w:t xml:space="preserve"> O, </w:t>
      </w:r>
      <w:proofErr w:type="spellStart"/>
      <w:r w:rsidRPr="00AD7EBB">
        <w:rPr>
          <w:lang w:val="es-PE" w:eastAsia="es-MX"/>
        </w:rPr>
        <w:t>Alkan</w:t>
      </w:r>
      <w:proofErr w:type="spellEnd"/>
      <w:r w:rsidRPr="00AD7EBB">
        <w:rPr>
          <w:lang w:val="es-PE" w:eastAsia="es-MX"/>
        </w:rPr>
        <w:t xml:space="preserve"> S, </w:t>
      </w:r>
      <w:proofErr w:type="spellStart"/>
      <w:r w:rsidRPr="00AD7EBB">
        <w:rPr>
          <w:lang w:val="es-PE" w:eastAsia="es-MX"/>
        </w:rPr>
        <w:t>Ozdemir</w:t>
      </w:r>
      <w:proofErr w:type="spellEnd"/>
      <w:r w:rsidRPr="00AD7EBB">
        <w:rPr>
          <w:lang w:val="es-PE" w:eastAsia="es-MX"/>
        </w:rPr>
        <w:t xml:space="preserve"> Y, et al. </w:t>
      </w:r>
      <w:r w:rsidRPr="00AD7EBB">
        <w:rPr>
          <w:lang w:val="en-US" w:eastAsia="es-MX"/>
        </w:rPr>
        <w:t xml:space="preserve">Psychiatric morbidity and protracted symptoms after COVID-19. </w:t>
      </w:r>
      <w:proofErr w:type="spellStart"/>
      <w:r w:rsidRPr="00AD7EBB">
        <w:rPr>
          <w:lang w:val="en-US" w:eastAsia="es-MX"/>
        </w:rPr>
        <w:t>Psichiatry</w:t>
      </w:r>
      <w:proofErr w:type="spellEnd"/>
      <w:r w:rsidRPr="00AD7EBB">
        <w:rPr>
          <w:lang w:val="en-US" w:eastAsia="es-MX"/>
        </w:rPr>
        <w:t xml:space="preserve"> Res. 2021 [</w:t>
      </w:r>
      <w:proofErr w:type="spellStart"/>
      <w:r w:rsidRPr="00AD7EBB">
        <w:rPr>
          <w:lang w:val="en-US" w:eastAsia="es-MX"/>
        </w:rPr>
        <w:t>acceso</w:t>
      </w:r>
      <w:proofErr w:type="spellEnd"/>
      <w:r w:rsidRPr="00AD7EBB">
        <w:rPr>
          <w:lang w:val="en-US" w:eastAsia="es-MX"/>
        </w:rPr>
        <w:t xml:space="preserve">: 08/06/2021]; 295:113604. </w:t>
      </w:r>
      <w:r w:rsidRPr="00AD7EBB">
        <w:rPr>
          <w:lang w:val="es-PE" w:eastAsia="es-MX"/>
        </w:rPr>
        <w:t xml:space="preserve">Disponible en:  </w:t>
      </w:r>
      <w:hyperlink r:id="rId21">
        <w:r w:rsidRPr="00AD7EBB">
          <w:rPr>
            <w:color w:val="0563C1"/>
            <w:u w:val="single"/>
            <w:lang w:val="es-PE" w:eastAsia="es-MX"/>
          </w:rPr>
          <w:t>https://doi.org/10.1016/j.psychres.2020.113604</w:t>
        </w:r>
      </w:hyperlink>
    </w:p>
    <w:p w14:paraId="12DCAA8C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lang w:val="es-PE" w:eastAsia="es-MX"/>
        </w:rPr>
        <w:t xml:space="preserve">13. </w:t>
      </w:r>
      <w:proofErr w:type="spellStart"/>
      <w:r w:rsidRPr="00AD7EBB">
        <w:rPr>
          <w:lang w:val="es-PE" w:eastAsia="es-MX"/>
        </w:rPr>
        <w:t>Bellan</w:t>
      </w:r>
      <w:proofErr w:type="spellEnd"/>
      <w:r w:rsidRPr="00AD7EBB">
        <w:rPr>
          <w:lang w:val="es-PE" w:eastAsia="es-MX"/>
        </w:rPr>
        <w:t xml:space="preserve"> M, </w:t>
      </w:r>
      <w:proofErr w:type="spellStart"/>
      <w:r w:rsidRPr="00AD7EBB">
        <w:rPr>
          <w:lang w:val="es-PE" w:eastAsia="es-MX"/>
        </w:rPr>
        <w:t>Baricich</w:t>
      </w:r>
      <w:proofErr w:type="spellEnd"/>
      <w:r w:rsidRPr="00AD7EBB">
        <w:rPr>
          <w:lang w:val="es-PE" w:eastAsia="es-MX"/>
        </w:rPr>
        <w:t xml:space="preserve"> A, Patrucco F, </w:t>
      </w:r>
      <w:proofErr w:type="spellStart"/>
      <w:r w:rsidRPr="00AD7EBB">
        <w:rPr>
          <w:lang w:val="es-PE" w:eastAsia="es-MX"/>
        </w:rPr>
        <w:t>Zeppegno</w:t>
      </w:r>
      <w:proofErr w:type="spellEnd"/>
      <w:r w:rsidRPr="00AD7EBB">
        <w:rPr>
          <w:lang w:val="es-PE" w:eastAsia="es-MX"/>
        </w:rPr>
        <w:t xml:space="preserve"> P, </w:t>
      </w:r>
      <w:proofErr w:type="spellStart"/>
      <w:r w:rsidRPr="00AD7EBB">
        <w:rPr>
          <w:lang w:val="es-PE" w:eastAsia="es-MX"/>
        </w:rPr>
        <w:t>Gramaglia</w:t>
      </w:r>
      <w:proofErr w:type="spellEnd"/>
      <w:r w:rsidRPr="00AD7EBB">
        <w:rPr>
          <w:lang w:val="es-PE" w:eastAsia="es-MX"/>
        </w:rPr>
        <w:t xml:space="preserve"> C, Balbo P, et al. </w:t>
      </w:r>
      <w:r w:rsidRPr="00AD7EBB">
        <w:rPr>
          <w:lang w:val="en-US" w:eastAsia="es-MX"/>
        </w:rPr>
        <w:t>Long-term sequelae are highly prevalent one year after hospitalization for severe COVID-19. Sci Rep. 2021 [</w:t>
      </w:r>
      <w:proofErr w:type="spellStart"/>
      <w:r w:rsidRPr="00AD7EBB">
        <w:rPr>
          <w:lang w:val="en-US" w:eastAsia="es-MX"/>
        </w:rPr>
        <w:t>acceso</w:t>
      </w:r>
      <w:proofErr w:type="spellEnd"/>
      <w:r w:rsidRPr="00AD7EBB">
        <w:rPr>
          <w:lang w:val="en-US" w:eastAsia="es-MX"/>
        </w:rPr>
        <w:t xml:space="preserve">: 09/06/2021]; 11:22666. Disponible </w:t>
      </w:r>
      <w:proofErr w:type="spellStart"/>
      <w:r w:rsidRPr="00AD7EBB">
        <w:rPr>
          <w:lang w:val="en-US" w:eastAsia="es-MX"/>
        </w:rPr>
        <w:t>en</w:t>
      </w:r>
      <w:proofErr w:type="spellEnd"/>
      <w:r w:rsidRPr="00AD7EBB">
        <w:rPr>
          <w:lang w:val="en-US" w:eastAsia="es-MX"/>
        </w:rPr>
        <w:t xml:space="preserve">:  </w:t>
      </w:r>
      <w:hyperlink r:id="rId22">
        <w:r w:rsidRPr="00AD7EBB">
          <w:rPr>
            <w:color w:val="0563C1"/>
            <w:u w:val="single"/>
            <w:lang w:val="en-US" w:eastAsia="es-MX"/>
          </w:rPr>
          <w:t>https://doi.org/10.1038/s41598-021-01215-4</w:t>
        </w:r>
      </w:hyperlink>
    </w:p>
    <w:p w14:paraId="368788C3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color w:val="000000"/>
          <w:lang w:val="en-US" w:eastAsia="es-MX"/>
        </w:rPr>
        <w:t xml:space="preserve">14. Tang W, Hu T, Hu B, </w:t>
      </w:r>
      <w:proofErr w:type="spellStart"/>
      <w:r w:rsidRPr="00AD7EBB">
        <w:rPr>
          <w:color w:val="000000"/>
          <w:lang w:val="en-US" w:eastAsia="es-MX"/>
        </w:rPr>
        <w:t>Chunchan</w:t>
      </w:r>
      <w:proofErr w:type="spellEnd"/>
      <w:r w:rsidRPr="00AD7EBB">
        <w:rPr>
          <w:color w:val="000000"/>
          <w:lang w:val="en-US" w:eastAsia="es-MX"/>
        </w:rPr>
        <w:t xml:space="preserve"> J, Wang G, </w:t>
      </w:r>
      <w:proofErr w:type="spellStart"/>
      <w:r w:rsidRPr="00AD7EBB">
        <w:rPr>
          <w:color w:val="000000"/>
          <w:lang w:val="en-US" w:eastAsia="es-MX"/>
        </w:rPr>
        <w:t>Xie</w:t>
      </w:r>
      <w:proofErr w:type="spellEnd"/>
      <w:r w:rsidRPr="00AD7EBB">
        <w:rPr>
          <w:color w:val="000000"/>
          <w:lang w:val="en-US" w:eastAsia="es-MX"/>
        </w:rPr>
        <w:t xml:space="preserve"> C, et al. Prevalence and correlates of PTSD and depressive symptoms one month after the outbreak of the COVID-19 epidemic in a sample of home-quarantined Chinese university students. J. Affect. </w:t>
      </w:r>
      <w:proofErr w:type="spellStart"/>
      <w:r w:rsidRPr="00AD7EBB">
        <w:rPr>
          <w:color w:val="000000"/>
          <w:lang w:val="en-US" w:eastAsia="es-MX"/>
        </w:rPr>
        <w:t>Disord</w:t>
      </w:r>
      <w:proofErr w:type="spellEnd"/>
      <w:r w:rsidRPr="00AD7EBB">
        <w:rPr>
          <w:color w:val="000000"/>
          <w:lang w:val="en-US" w:eastAsia="es-MX"/>
        </w:rPr>
        <w:t>. 2020 [</w:t>
      </w:r>
      <w:proofErr w:type="spellStart"/>
      <w:r w:rsidRPr="00AD7EBB">
        <w:rPr>
          <w:color w:val="000000"/>
          <w:lang w:val="en-US" w:eastAsia="es-MX"/>
        </w:rPr>
        <w:t>acceso</w:t>
      </w:r>
      <w:proofErr w:type="spellEnd"/>
      <w:r w:rsidRPr="00AD7EBB">
        <w:rPr>
          <w:color w:val="000000"/>
          <w:lang w:val="en-US" w:eastAsia="es-MX"/>
        </w:rPr>
        <w:t xml:space="preserve">: 09/06/2021]; 274:1-7. Disponible </w:t>
      </w:r>
      <w:proofErr w:type="spellStart"/>
      <w:r w:rsidRPr="00AD7EBB">
        <w:rPr>
          <w:color w:val="000000"/>
          <w:lang w:val="en-US" w:eastAsia="es-MX"/>
        </w:rPr>
        <w:t>en</w:t>
      </w:r>
      <w:proofErr w:type="spellEnd"/>
      <w:r w:rsidRPr="00AD7EBB">
        <w:rPr>
          <w:color w:val="000000"/>
          <w:lang w:val="en-US" w:eastAsia="es-MX"/>
        </w:rPr>
        <w:t xml:space="preserve">: </w:t>
      </w:r>
      <w:hyperlink r:id="rId23">
        <w:r w:rsidRPr="00AD7EBB">
          <w:rPr>
            <w:color w:val="0563C1"/>
            <w:u w:val="single"/>
            <w:lang w:val="en-US" w:eastAsia="es-MX"/>
          </w:rPr>
          <w:t>https://doi.org/10.1016/j.jad.2020.05.009</w:t>
        </w:r>
      </w:hyperlink>
    </w:p>
    <w:p w14:paraId="08967AC2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color w:val="000000"/>
          <w:lang w:val="en-US" w:eastAsia="es-MX"/>
        </w:rPr>
        <w:t xml:space="preserve">15. </w:t>
      </w:r>
      <w:proofErr w:type="spellStart"/>
      <w:r w:rsidRPr="00AD7EBB">
        <w:rPr>
          <w:color w:val="000000"/>
          <w:lang w:val="en-US" w:eastAsia="es-MX"/>
        </w:rPr>
        <w:t>Einvik</w:t>
      </w:r>
      <w:proofErr w:type="spellEnd"/>
      <w:r w:rsidRPr="00AD7EBB">
        <w:rPr>
          <w:color w:val="000000"/>
          <w:lang w:val="en-US" w:eastAsia="es-MX"/>
        </w:rPr>
        <w:t xml:space="preserve"> G, </w:t>
      </w:r>
      <w:proofErr w:type="spellStart"/>
      <w:r w:rsidRPr="00AD7EBB">
        <w:rPr>
          <w:color w:val="000000"/>
          <w:lang w:val="en-US" w:eastAsia="es-MX"/>
        </w:rPr>
        <w:t>Dammen</w:t>
      </w:r>
      <w:proofErr w:type="spellEnd"/>
      <w:r w:rsidRPr="00AD7EBB">
        <w:rPr>
          <w:color w:val="000000"/>
          <w:lang w:val="en-US" w:eastAsia="es-MX"/>
        </w:rPr>
        <w:t xml:space="preserve"> T, </w:t>
      </w:r>
      <w:proofErr w:type="spellStart"/>
      <w:r w:rsidRPr="00AD7EBB">
        <w:rPr>
          <w:color w:val="000000"/>
          <w:lang w:val="en-US" w:eastAsia="es-MX"/>
        </w:rPr>
        <w:t>Ghanima</w:t>
      </w:r>
      <w:proofErr w:type="spellEnd"/>
      <w:r w:rsidRPr="00AD7EBB">
        <w:rPr>
          <w:color w:val="000000"/>
          <w:lang w:val="en-US" w:eastAsia="es-MX"/>
        </w:rPr>
        <w:t xml:space="preserve"> W, Heir T, </w:t>
      </w:r>
      <w:proofErr w:type="spellStart"/>
      <w:r w:rsidRPr="00AD7EBB">
        <w:rPr>
          <w:color w:val="000000"/>
          <w:lang w:val="en-US" w:eastAsia="es-MX"/>
        </w:rPr>
        <w:t>Stavem</w:t>
      </w:r>
      <w:proofErr w:type="spellEnd"/>
      <w:r w:rsidRPr="00AD7EBB">
        <w:rPr>
          <w:color w:val="000000"/>
          <w:lang w:val="en-US" w:eastAsia="es-MX"/>
        </w:rPr>
        <w:t xml:space="preserve"> K. Prevalence and risk factors for post-traumatic stress in hospitalized and non-hospitalized COVID-19 patients. Int. J. Environ Res Public Health. 2021 [</w:t>
      </w:r>
      <w:proofErr w:type="spellStart"/>
      <w:r w:rsidRPr="00AD7EBB">
        <w:rPr>
          <w:color w:val="000000"/>
          <w:lang w:val="en-US" w:eastAsia="es-MX"/>
        </w:rPr>
        <w:t>acceso</w:t>
      </w:r>
      <w:proofErr w:type="spellEnd"/>
      <w:r w:rsidRPr="00AD7EBB">
        <w:rPr>
          <w:color w:val="000000"/>
          <w:lang w:val="en-US" w:eastAsia="es-MX"/>
        </w:rPr>
        <w:t xml:space="preserve">: 09/06/2021]; 18(4):2079. Disponible </w:t>
      </w:r>
      <w:proofErr w:type="spellStart"/>
      <w:r w:rsidRPr="00AD7EBB">
        <w:rPr>
          <w:color w:val="000000"/>
          <w:lang w:val="en-US" w:eastAsia="es-MX"/>
        </w:rPr>
        <w:t>en</w:t>
      </w:r>
      <w:proofErr w:type="spellEnd"/>
      <w:r w:rsidRPr="00AD7EBB">
        <w:rPr>
          <w:color w:val="000000"/>
          <w:lang w:val="en-US" w:eastAsia="es-MX"/>
        </w:rPr>
        <w:t xml:space="preserve">: </w:t>
      </w:r>
      <w:hyperlink r:id="rId24">
        <w:r w:rsidRPr="00AD7EBB">
          <w:rPr>
            <w:color w:val="0563C1"/>
            <w:u w:val="single"/>
            <w:lang w:val="en-US" w:eastAsia="es-MX"/>
          </w:rPr>
          <w:t>https://doi.org/10.3390/ijerph18042079</w:t>
        </w:r>
      </w:hyperlink>
    </w:p>
    <w:p w14:paraId="0FF016C2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lang w:val="en-US" w:eastAsia="es-MX"/>
        </w:rPr>
        <w:t xml:space="preserve">16. </w:t>
      </w:r>
      <w:proofErr w:type="spellStart"/>
      <w:r w:rsidRPr="00AD7EBB">
        <w:rPr>
          <w:lang w:val="en-US" w:eastAsia="es-MX"/>
        </w:rPr>
        <w:t>Martillo</w:t>
      </w:r>
      <w:proofErr w:type="spellEnd"/>
      <w:r w:rsidRPr="00AD7EBB">
        <w:rPr>
          <w:lang w:val="en-US" w:eastAsia="es-MX"/>
        </w:rPr>
        <w:t xml:space="preserve"> M, </w:t>
      </w:r>
      <w:proofErr w:type="spellStart"/>
      <w:r w:rsidRPr="00AD7EBB">
        <w:rPr>
          <w:lang w:val="en-US" w:eastAsia="es-MX"/>
        </w:rPr>
        <w:t>Dangayach</w:t>
      </w:r>
      <w:proofErr w:type="spellEnd"/>
      <w:r w:rsidRPr="00AD7EBB">
        <w:rPr>
          <w:lang w:val="en-US" w:eastAsia="es-MX"/>
        </w:rPr>
        <w:t xml:space="preserve"> N, </w:t>
      </w:r>
      <w:proofErr w:type="spellStart"/>
      <w:r w:rsidRPr="00AD7EBB">
        <w:rPr>
          <w:lang w:val="en-US" w:eastAsia="es-MX"/>
        </w:rPr>
        <w:t>Tabacof</w:t>
      </w:r>
      <w:proofErr w:type="spellEnd"/>
      <w:r w:rsidRPr="00AD7EBB">
        <w:rPr>
          <w:lang w:val="en-US" w:eastAsia="es-MX"/>
        </w:rPr>
        <w:t xml:space="preserve"> L, Spielman L, Dams-O’Connor K, Chan C, et al. </w:t>
      </w:r>
      <w:proofErr w:type="spellStart"/>
      <w:r w:rsidRPr="00AD7EBB">
        <w:rPr>
          <w:lang w:val="en-US" w:eastAsia="es-MX"/>
        </w:rPr>
        <w:t>Postintensive</w:t>
      </w:r>
      <w:proofErr w:type="spellEnd"/>
      <w:r w:rsidRPr="00AD7EBB">
        <w:rPr>
          <w:lang w:val="en-US" w:eastAsia="es-MX"/>
        </w:rPr>
        <w:t xml:space="preserve"> Care Syndrome in Survivors of Critical Illness Related to Coronavirus Disease 2019: Cohort Study </w:t>
      </w:r>
      <w:proofErr w:type="gramStart"/>
      <w:r w:rsidRPr="00AD7EBB">
        <w:rPr>
          <w:lang w:val="en-US" w:eastAsia="es-MX"/>
        </w:rPr>
        <w:t>From</w:t>
      </w:r>
      <w:proofErr w:type="gramEnd"/>
      <w:r w:rsidRPr="00AD7EBB">
        <w:rPr>
          <w:lang w:val="en-US" w:eastAsia="es-MX"/>
        </w:rPr>
        <w:t xml:space="preserve"> a New York City Critical Care Recovery Clinic. Crit. Care Med. 2021 [</w:t>
      </w:r>
      <w:proofErr w:type="spellStart"/>
      <w:r w:rsidRPr="00AD7EBB">
        <w:rPr>
          <w:lang w:val="en-US" w:eastAsia="es-MX"/>
        </w:rPr>
        <w:t>acceso</w:t>
      </w:r>
      <w:proofErr w:type="spellEnd"/>
      <w:r w:rsidRPr="00AD7EBB">
        <w:rPr>
          <w:lang w:val="en-US" w:eastAsia="es-MX"/>
        </w:rPr>
        <w:t xml:space="preserve">: 09/06/2021]; 49(9):1427-38. Disponible </w:t>
      </w:r>
      <w:proofErr w:type="spellStart"/>
      <w:r w:rsidRPr="00AD7EBB">
        <w:rPr>
          <w:lang w:val="en-US" w:eastAsia="es-MX"/>
        </w:rPr>
        <w:t>en</w:t>
      </w:r>
      <w:proofErr w:type="spellEnd"/>
      <w:r w:rsidRPr="00AD7EBB">
        <w:rPr>
          <w:lang w:val="en-US" w:eastAsia="es-MX"/>
        </w:rPr>
        <w:t xml:space="preserve">:  </w:t>
      </w:r>
      <w:hyperlink r:id="rId25">
        <w:r w:rsidRPr="00AD7EBB">
          <w:rPr>
            <w:color w:val="0563C1"/>
            <w:u w:val="single"/>
            <w:lang w:val="en-US" w:eastAsia="es-MX"/>
          </w:rPr>
          <w:t>https://doi.org/10.1097/ccm.0000000000005014</w:t>
        </w:r>
      </w:hyperlink>
    </w:p>
    <w:p w14:paraId="08A5BF63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color w:val="000000"/>
          <w:lang w:val="en-US" w:eastAsia="es-MX"/>
        </w:rPr>
        <w:t xml:space="preserve">17. </w:t>
      </w:r>
      <w:proofErr w:type="spellStart"/>
      <w:r w:rsidRPr="00AD7EBB">
        <w:rPr>
          <w:color w:val="000000"/>
          <w:lang w:val="en-US" w:eastAsia="es-MX"/>
        </w:rPr>
        <w:t>Karatzias</w:t>
      </w:r>
      <w:proofErr w:type="spellEnd"/>
      <w:r w:rsidRPr="00AD7EBB">
        <w:rPr>
          <w:color w:val="000000"/>
          <w:lang w:val="en-US" w:eastAsia="es-MX"/>
        </w:rPr>
        <w:t xml:space="preserve"> T, Shevlin M, Murphy J, McBride, O, Ben-Ezra M, Bentall R, et al. Posttraumatic stress symptoms and associated comorbidity during the COVID-19 pandemic in Ireland: A population- based study. </w:t>
      </w:r>
      <w:r w:rsidRPr="00AD7EBB">
        <w:rPr>
          <w:color w:val="000000"/>
          <w:lang w:val="es-PE" w:eastAsia="es-MX"/>
        </w:rPr>
        <w:t xml:space="preserve">J. Trauma. Stress. 2020 [acceso: 09/06/2021]; 33(4):365-70. Disponible en:  </w:t>
      </w:r>
      <w:hyperlink r:id="rId26">
        <w:r w:rsidRPr="00AD7EBB">
          <w:rPr>
            <w:color w:val="0563C1"/>
            <w:u w:val="single"/>
            <w:lang w:val="es-PE" w:eastAsia="es-MX"/>
          </w:rPr>
          <w:t>https://doi.org/10.1002/jts.22565</w:t>
        </w:r>
      </w:hyperlink>
    </w:p>
    <w:p w14:paraId="59ABE133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color w:val="000000"/>
          <w:lang w:val="en-US" w:eastAsia="es-MX"/>
        </w:rPr>
        <w:t xml:space="preserve">18. Davidson J, Book S, </w:t>
      </w:r>
      <w:proofErr w:type="spellStart"/>
      <w:r w:rsidRPr="00AD7EBB">
        <w:rPr>
          <w:color w:val="000000"/>
          <w:lang w:val="en-US" w:eastAsia="es-MX"/>
        </w:rPr>
        <w:t>Colket</w:t>
      </w:r>
      <w:proofErr w:type="spellEnd"/>
      <w:r w:rsidRPr="00AD7EBB">
        <w:rPr>
          <w:color w:val="000000"/>
          <w:lang w:val="en-US" w:eastAsia="es-MX"/>
        </w:rPr>
        <w:t xml:space="preserve"> J, </w:t>
      </w:r>
      <w:proofErr w:type="spellStart"/>
      <w:r w:rsidRPr="00AD7EBB">
        <w:rPr>
          <w:color w:val="000000"/>
          <w:lang w:val="en-US" w:eastAsia="es-MX"/>
        </w:rPr>
        <w:t>Tupler</w:t>
      </w:r>
      <w:proofErr w:type="spellEnd"/>
      <w:r w:rsidRPr="00AD7EBB">
        <w:rPr>
          <w:color w:val="000000"/>
          <w:lang w:val="en-US" w:eastAsia="es-MX"/>
        </w:rPr>
        <w:t xml:space="preserve"> L, Roth S, David D, et al. Assessment of a new self- rating scale for </w:t>
      </w:r>
      <w:proofErr w:type="spellStart"/>
      <w:r w:rsidRPr="00AD7EBB">
        <w:rPr>
          <w:color w:val="000000"/>
          <w:lang w:val="en-US" w:eastAsia="es-MX"/>
        </w:rPr>
        <w:t>postraumatic</w:t>
      </w:r>
      <w:proofErr w:type="spellEnd"/>
      <w:r w:rsidRPr="00AD7EBB">
        <w:rPr>
          <w:color w:val="000000"/>
          <w:lang w:val="en-US" w:eastAsia="es-MX"/>
        </w:rPr>
        <w:t xml:space="preserve"> disorder. </w:t>
      </w:r>
      <w:proofErr w:type="spellStart"/>
      <w:r w:rsidRPr="00AD7EBB">
        <w:rPr>
          <w:color w:val="000000"/>
          <w:lang w:val="es-PE" w:eastAsia="es-MX"/>
        </w:rPr>
        <w:t>Psychol</w:t>
      </w:r>
      <w:proofErr w:type="spellEnd"/>
      <w:r w:rsidRPr="00AD7EBB">
        <w:rPr>
          <w:color w:val="000000"/>
          <w:lang w:val="es-PE" w:eastAsia="es-MX"/>
        </w:rPr>
        <w:t xml:space="preserve"> </w:t>
      </w:r>
      <w:proofErr w:type="spellStart"/>
      <w:r w:rsidRPr="00AD7EBB">
        <w:rPr>
          <w:color w:val="000000"/>
          <w:lang w:val="es-PE" w:eastAsia="es-MX"/>
        </w:rPr>
        <w:t>Med</w:t>
      </w:r>
      <w:proofErr w:type="spellEnd"/>
      <w:r w:rsidRPr="00AD7EBB">
        <w:rPr>
          <w:color w:val="000000"/>
          <w:lang w:val="es-PE" w:eastAsia="es-MX"/>
        </w:rPr>
        <w:t xml:space="preserve">. 1997 [acceso: 09/06/2021]; 27(1):153-60. Disponible en:  </w:t>
      </w:r>
      <w:hyperlink r:id="rId27">
        <w:r w:rsidRPr="00AD7EBB">
          <w:rPr>
            <w:color w:val="0563C1"/>
            <w:u w:val="single"/>
            <w:lang w:val="es-PE" w:eastAsia="es-MX"/>
          </w:rPr>
          <w:t>https://doi.org/10.1017/s0033291796004229</w:t>
        </w:r>
      </w:hyperlink>
    </w:p>
    <w:p w14:paraId="31EB501F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t xml:space="preserve">19. Bobes J, </w:t>
      </w:r>
      <w:proofErr w:type="spellStart"/>
      <w:r w:rsidRPr="00AD7EBB">
        <w:rPr>
          <w:lang w:val="es-PE" w:eastAsia="es-MX"/>
        </w:rPr>
        <w:t>Calcedo</w:t>
      </w:r>
      <w:proofErr w:type="spellEnd"/>
      <w:r w:rsidRPr="00AD7EBB">
        <w:rPr>
          <w:lang w:val="es-PE" w:eastAsia="es-MX"/>
        </w:rPr>
        <w:t xml:space="preserve">-Barba A, García M, </w:t>
      </w:r>
      <w:proofErr w:type="spellStart"/>
      <w:r w:rsidRPr="00AD7EBB">
        <w:rPr>
          <w:lang w:val="es-PE" w:eastAsia="es-MX"/>
        </w:rPr>
        <w:t>Francois</w:t>
      </w:r>
      <w:proofErr w:type="spellEnd"/>
      <w:r w:rsidRPr="00AD7EBB">
        <w:rPr>
          <w:lang w:val="es-PE" w:eastAsia="es-MX"/>
        </w:rPr>
        <w:t xml:space="preserve"> M, Rico-</w:t>
      </w:r>
      <w:proofErr w:type="spellStart"/>
      <w:r w:rsidRPr="00AD7EBB">
        <w:rPr>
          <w:lang w:val="es-PE" w:eastAsia="es-MX"/>
        </w:rPr>
        <w:t>Villademoros</w:t>
      </w:r>
      <w:proofErr w:type="spellEnd"/>
      <w:r w:rsidRPr="00AD7EBB">
        <w:rPr>
          <w:lang w:val="es-PE" w:eastAsia="es-MX"/>
        </w:rPr>
        <w:t xml:space="preserve"> F, González M, et al. </w:t>
      </w:r>
      <w:r w:rsidRPr="00AD7EBB">
        <w:rPr>
          <w:lang w:val="en-US" w:eastAsia="es-MX"/>
        </w:rPr>
        <w:t xml:space="preserve">Evaluation of the psychometric properties of the Spanish version of 5 questionnaires for the evaluation of post-traumatic stress syndrome. </w:t>
      </w:r>
      <w:r w:rsidRPr="00AD7EBB">
        <w:rPr>
          <w:lang w:val="es-PE" w:eastAsia="es-MX"/>
        </w:rPr>
        <w:t xml:space="preserve">Actas </w:t>
      </w:r>
      <w:proofErr w:type="spellStart"/>
      <w:r w:rsidRPr="00AD7EBB">
        <w:rPr>
          <w:lang w:val="es-PE" w:eastAsia="es-MX"/>
        </w:rPr>
        <w:t>Esp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Psiquiatr</w:t>
      </w:r>
      <w:proofErr w:type="spellEnd"/>
      <w:r w:rsidRPr="00AD7EBB">
        <w:rPr>
          <w:lang w:val="es-PE" w:eastAsia="es-MX"/>
        </w:rPr>
        <w:t xml:space="preserve">. 2000 [acceso: 10/06/2021]; 28(4):207-18. Disponible en: </w:t>
      </w:r>
      <w:hyperlink r:id="rId28">
        <w:r w:rsidRPr="00AD7EBB">
          <w:rPr>
            <w:color w:val="0563C1"/>
            <w:u w:val="single"/>
            <w:lang w:val="es-PE" w:eastAsia="es-MX"/>
          </w:rPr>
          <w:t>https://pubmed.ncbi.nlm.nih.gov/11116791/</w:t>
        </w:r>
      </w:hyperlink>
    </w:p>
    <w:p w14:paraId="2B6D9300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s-PE" w:eastAsia="es-MX"/>
        </w:rPr>
        <w:lastRenderedPageBreak/>
        <w:t xml:space="preserve">20. Domínguez-Lara S. Magnitud del efecto, una guía rápida. Educación Médica. 2018 [acceso: 09/06/2021]; 19(4):251-54. Disponible en:  </w:t>
      </w:r>
      <w:hyperlink r:id="rId29">
        <w:r w:rsidRPr="00AD7EBB">
          <w:rPr>
            <w:color w:val="0563C1"/>
            <w:u w:val="single"/>
            <w:lang w:val="es-PE" w:eastAsia="es-MX"/>
          </w:rPr>
          <w:t>https://www.elsevier.es/es-revista-educacion-medica-71-articulo-magnitud-del-efecto-una-guia-S1575181317301390</w:t>
        </w:r>
      </w:hyperlink>
    </w:p>
    <w:p w14:paraId="25AD2365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n-US" w:eastAsia="es-MX"/>
        </w:rPr>
        <w:t xml:space="preserve">21. Costa A, </w:t>
      </w:r>
      <w:proofErr w:type="spellStart"/>
      <w:r w:rsidRPr="00AD7EBB">
        <w:rPr>
          <w:lang w:val="en-US" w:eastAsia="es-MX"/>
        </w:rPr>
        <w:t>Bak</w:t>
      </w:r>
      <w:proofErr w:type="spellEnd"/>
      <w:r w:rsidRPr="00AD7EBB">
        <w:rPr>
          <w:lang w:val="en-US" w:eastAsia="es-MX"/>
        </w:rPr>
        <w:t xml:space="preserve"> T, </w:t>
      </w:r>
      <w:proofErr w:type="spellStart"/>
      <w:r w:rsidRPr="00AD7EBB">
        <w:rPr>
          <w:lang w:val="en-US" w:eastAsia="es-MX"/>
        </w:rPr>
        <w:t>Caffarra</w:t>
      </w:r>
      <w:proofErr w:type="spellEnd"/>
      <w:r w:rsidRPr="00AD7EBB">
        <w:rPr>
          <w:lang w:val="en-US" w:eastAsia="es-MX"/>
        </w:rPr>
        <w:t xml:space="preserve"> P, </w:t>
      </w:r>
      <w:proofErr w:type="spellStart"/>
      <w:r w:rsidRPr="00AD7EBB">
        <w:rPr>
          <w:lang w:val="en-US" w:eastAsia="es-MX"/>
        </w:rPr>
        <w:t>Caltagirone</w:t>
      </w:r>
      <w:proofErr w:type="spellEnd"/>
      <w:r w:rsidRPr="00AD7EBB">
        <w:rPr>
          <w:lang w:val="en-US" w:eastAsia="es-MX"/>
        </w:rPr>
        <w:t xml:space="preserve"> C, </w:t>
      </w:r>
      <w:proofErr w:type="spellStart"/>
      <w:r w:rsidRPr="00AD7EBB">
        <w:rPr>
          <w:lang w:val="en-US" w:eastAsia="es-MX"/>
        </w:rPr>
        <w:t>Ceccaldi</w:t>
      </w:r>
      <w:proofErr w:type="spellEnd"/>
      <w:r w:rsidRPr="00AD7EBB">
        <w:rPr>
          <w:lang w:val="en-US" w:eastAsia="es-MX"/>
        </w:rPr>
        <w:t xml:space="preserve"> M, Collette F, et al. The need for </w:t>
      </w:r>
      <w:proofErr w:type="spellStart"/>
      <w:r w:rsidRPr="00AD7EBB">
        <w:rPr>
          <w:lang w:val="en-US" w:eastAsia="es-MX"/>
        </w:rPr>
        <w:t>harmonisation</w:t>
      </w:r>
      <w:proofErr w:type="spellEnd"/>
      <w:r w:rsidRPr="00AD7EBB">
        <w:rPr>
          <w:lang w:val="en-US" w:eastAsia="es-MX"/>
        </w:rPr>
        <w:t xml:space="preserve"> and innovation of neuropsychological assessment in neurodegenerative dementias in Europe: consensus document of the Joint Program for Neurodegenerative Diseases Working Group. </w:t>
      </w:r>
      <w:proofErr w:type="spellStart"/>
      <w:r w:rsidRPr="00AD7EBB">
        <w:rPr>
          <w:lang w:val="es-PE" w:eastAsia="es-MX"/>
        </w:rPr>
        <w:t>Alzheimers</w:t>
      </w:r>
      <w:proofErr w:type="spellEnd"/>
      <w:r w:rsidRPr="00AD7EBB">
        <w:rPr>
          <w:lang w:val="es-PE" w:eastAsia="es-MX"/>
        </w:rPr>
        <w:t xml:space="preserve"> Res </w:t>
      </w:r>
      <w:proofErr w:type="spellStart"/>
      <w:r w:rsidRPr="00AD7EBB">
        <w:rPr>
          <w:lang w:val="es-PE" w:eastAsia="es-MX"/>
        </w:rPr>
        <w:t>Ther</w:t>
      </w:r>
      <w:proofErr w:type="spellEnd"/>
      <w:r w:rsidRPr="00AD7EBB">
        <w:rPr>
          <w:lang w:val="es-PE" w:eastAsia="es-MX"/>
        </w:rPr>
        <w:t xml:space="preserve">. 2017 [acceso: 09/06/2021]; 9(27):1-15. Disponible en:  </w:t>
      </w:r>
      <w:hyperlink r:id="rId30">
        <w:r w:rsidRPr="00AD7EBB">
          <w:rPr>
            <w:color w:val="0563C1"/>
            <w:u w:val="single"/>
            <w:lang w:val="es-PE" w:eastAsia="es-MX"/>
          </w:rPr>
          <w:t>https://doi.org/10.1186/s13195-017-0254-x</w:t>
        </w:r>
      </w:hyperlink>
    </w:p>
    <w:p w14:paraId="7E339C99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color w:val="000000"/>
          <w:lang w:val="en-US" w:eastAsia="es-MX"/>
        </w:rPr>
        <w:t>22. Bryant R. Post-traumatic stress disorder: a state-of-the-art review of evidence and challenges. World Psychiatry. 2019 [</w:t>
      </w:r>
      <w:proofErr w:type="spellStart"/>
      <w:r w:rsidRPr="00AD7EBB">
        <w:rPr>
          <w:color w:val="000000"/>
          <w:lang w:val="en-US" w:eastAsia="es-MX"/>
        </w:rPr>
        <w:t>acceso</w:t>
      </w:r>
      <w:proofErr w:type="spellEnd"/>
      <w:r w:rsidRPr="00AD7EBB">
        <w:rPr>
          <w:color w:val="000000"/>
          <w:lang w:val="en-US" w:eastAsia="es-MX"/>
        </w:rPr>
        <w:t xml:space="preserve">: 09/06/2021]; 18(3):259-69. Disponible </w:t>
      </w:r>
      <w:proofErr w:type="spellStart"/>
      <w:r w:rsidRPr="00AD7EBB">
        <w:rPr>
          <w:color w:val="000000"/>
          <w:lang w:val="en-US" w:eastAsia="es-MX"/>
        </w:rPr>
        <w:t>en</w:t>
      </w:r>
      <w:proofErr w:type="spellEnd"/>
      <w:r w:rsidRPr="00AD7EBB">
        <w:rPr>
          <w:color w:val="000000"/>
          <w:lang w:val="en-US" w:eastAsia="es-MX"/>
        </w:rPr>
        <w:t xml:space="preserve">: </w:t>
      </w:r>
      <w:hyperlink r:id="rId31">
        <w:r w:rsidRPr="00AD7EBB">
          <w:rPr>
            <w:color w:val="0563C1"/>
            <w:u w:val="single"/>
            <w:lang w:val="en-US" w:eastAsia="es-MX"/>
          </w:rPr>
          <w:t>https://doi.org/10.1002/wps.20656</w:t>
        </w:r>
      </w:hyperlink>
    </w:p>
    <w:p w14:paraId="1D0BA1A7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color w:val="000000"/>
          <w:lang w:val="en-US" w:eastAsia="es-MX"/>
        </w:rPr>
        <w:t xml:space="preserve">23. Liu D, Baumeister R, Veilleux J, Chen C, Liu W, Yue Y, et a. Risk factors associated with mental illness in hospital discharged patients infected with COVID-19 in Wuhan, China. </w:t>
      </w:r>
      <w:proofErr w:type="spellStart"/>
      <w:r w:rsidRPr="00AD7EBB">
        <w:rPr>
          <w:color w:val="000000"/>
          <w:lang w:val="es-PE" w:eastAsia="es-MX"/>
        </w:rPr>
        <w:t>Psychiatry</w:t>
      </w:r>
      <w:proofErr w:type="spellEnd"/>
      <w:r w:rsidRPr="00AD7EBB">
        <w:rPr>
          <w:color w:val="000000"/>
          <w:lang w:val="es-PE" w:eastAsia="es-MX"/>
        </w:rPr>
        <w:t xml:space="preserve"> Res. 2020 [acceso: 09/06/2021]; 292:113297. Disponible en: </w:t>
      </w:r>
      <w:hyperlink r:id="rId32">
        <w:r w:rsidRPr="00AD7EBB">
          <w:rPr>
            <w:color w:val="0563C1"/>
            <w:u w:val="single"/>
            <w:lang w:val="es-PE" w:eastAsia="es-MX"/>
          </w:rPr>
          <w:t>https://doi.org/10.1016/j.psychres.2020.113297</w:t>
        </w:r>
      </w:hyperlink>
    </w:p>
    <w:p w14:paraId="6245581C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lang w:val="es-PE" w:eastAsia="es-MX"/>
        </w:rPr>
        <w:t>24. Huarcaya J, Barreto J, Aire L, Podestá A, Caqui M, Guija-</w:t>
      </w:r>
      <w:proofErr w:type="spellStart"/>
      <w:r w:rsidRPr="00AD7EBB">
        <w:rPr>
          <w:lang w:val="es-PE" w:eastAsia="es-MX"/>
        </w:rPr>
        <w:t>Igreda</w:t>
      </w:r>
      <w:proofErr w:type="spellEnd"/>
      <w:r w:rsidRPr="00AD7EBB">
        <w:rPr>
          <w:lang w:val="es-PE" w:eastAsia="es-MX"/>
        </w:rPr>
        <w:t xml:space="preserve"> R, et al. </w:t>
      </w:r>
      <w:r w:rsidRPr="00AD7EBB">
        <w:rPr>
          <w:lang w:val="en-US" w:eastAsia="es-MX"/>
        </w:rPr>
        <w:t>Mental health in COVID-19 survivors from a general hospital: association with sociodemographic, clinical, and inflammatory variables. Research Square. 2021 [</w:t>
      </w:r>
      <w:proofErr w:type="spellStart"/>
      <w:r w:rsidRPr="00AD7EBB">
        <w:rPr>
          <w:lang w:val="en-US" w:eastAsia="es-MX"/>
        </w:rPr>
        <w:t>acceso</w:t>
      </w:r>
      <w:proofErr w:type="spellEnd"/>
      <w:r w:rsidRPr="00AD7EBB">
        <w:rPr>
          <w:lang w:val="en-US" w:eastAsia="es-MX"/>
        </w:rPr>
        <w:t xml:space="preserve">: 09/06/2021];1-19. Disponible </w:t>
      </w:r>
      <w:proofErr w:type="spellStart"/>
      <w:r w:rsidRPr="00AD7EBB">
        <w:rPr>
          <w:lang w:val="en-US" w:eastAsia="es-MX"/>
        </w:rPr>
        <w:t>en</w:t>
      </w:r>
      <w:proofErr w:type="spellEnd"/>
      <w:r w:rsidRPr="00AD7EBB">
        <w:rPr>
          <w:lang w:val="en-US" w:eastAsia="es-MX"/>
        </w:rPr>
        <w:t xml:space="preserve">:  </w:t>
      </w:r>
      <w:hyperlink r:id="rId33">
        <w:r w:rsidRPr="00AD7EBB">
          <w:rPr>
            <w:color w:val="0563C1"/>
            <w:u w:val="single"/>
            <w:lang w:val="en-US" w:eastAsia="es-MX"/>
          </w:rPr>
          <w:t>https://doi.org/10.21203/rs.3.rs-146200/v1</w:t>
        </w:r>
      </w:hyperlink>
    </w:p>
    <w:p w14:paraId="19521F36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lang w:val="en-US" w:eastAsia="es-MX"/>
        </w:rPr>
        <w:t xml:space="preserve">25. Abdelghani M, Hassan M, </w:t>
      </w:r>
      <w:proofErr w:type="spellStart"/>
      <w:r w:rsidRPr="00AD7EBB">
        <w:rPr>
          <w:lang w:val="en-US" w:eastAsia="es-MX"/>
        </w:rPr>
        <w:t>Alsadik</w:t>
      </w:r>
      <w:proofErr w:type="spellEnd"/>
      <w:r w:rsidRPr="00AD7EBB">
        <w:rPr>
          <w:lang w:val="en-US" w:eastAsia="es-MX"/>
        </w:rPr>
        <w:t xml:space="preserve"> M, </w:t>
      </w:r>
      <w:proofErr w:type="spellStart"/>
      <w:r w:rsidRPr="00AD7EBB">
        <w:rPr>
          <w:lang w:val="en-US" w:eastAsia="es-MX"/>
        </w:rPr>
        <w:t>Abdelmoaty</w:t>
      </w:r>
      <w:proofErr w:type="spellEnd"/>
      <w:r w:rsidRPr="00AD7EBB">
        <w:rPr>
          <w:lang w:val="en-US" w:eastAsia="es-MX"/>
        </w:rPr>
        <w:t xml:space="preserve"> A, Said A, </w:t>
      </w:r>
      <w:proofErr w:type="spellStart"/>
      <w:r w:rsidRPr="00AD7EBB">
        <w:rPr>
          <w:lang w:val="en-US" w:eastAsia="es-MX"/>
        </w:rPr>
        <w:t>Atwa</w:t>
      </w:r>
      <w:proofErr w:type="spellEnd"/>
      <w:r w:rsidRPr="00AD7EBB">
        <w:rPr>
          <w:lang w:val="en-US" w:eastAsia="es-MX"/>
        </w:rPr>
        <w:t xml:space="preserve"> S. Post-traumatic stress symptoms among an Egyptian sample of post-remission COVID-19 survivors: prevalence and sociodemographic and clinical correlates. Middle East </w:t>
      </w:r>
      <w:proofErr w:type="spellStart"/>
      <w:r w:rsidRPr="00AD7EBB">
        <w:rPr>
          <w:lang w:val="en-US" w:eastAsia="es-MX"/>
        </w:rPr>
        <w:t>Curr</w:t>
      </w:r>
      <w:proofErr w:type="spellEnd"/>
      <w:r w:rsidRPr="00AD7EBB">
        <w:rPr>
          <w:lang w:val="en-US" w:eastAsia="es-MX"/>
        </w:rPr>
        <w:t>. Psychiatry. 2021 [</w:t>
      </w:r>
      <w:proofErr w:type="spellStart"/>
      <w:r w:rsidRPr="00AD7EBB">
        <w:rPr>
          <w:lang w:val="en-US" w:eastAsia="es-MX"/>
        </w:rPr>
        <w:t>acceso</w:t>
      </w:r>
      <w:proofErr w:type="spellEnd"/>
      <w:r w:rsidRPr="00AD7EBB">
        <w:rPr>
          <w:lang w:val="en-US" w:eastAsia="es-MX"/>
        </w:rPr>
        <w:t xml:space="preserve">: 09/06/2021]; 28(20):1-8. Disponible </w:t>
      </w:r>
      <w:proofErr w:type="spellStart"/>
      <w:r w:rsidRPr="00AD7EBB">
        <w:rPr>
          <w:lang w:val="en-US" w:eastAsia="es-MX"/>
        </w:rPr>
        <w:t>en</w:t>
      </w:r>
      <w:proofErr w:type="spellEnd"/>
      <w:r w:rsidRPr="00AD7EBB">
        <w:rPr>
          <w:lang w:val="en-US" w:eastAsia="es-MX"/>
        </w:rPr>
        <w:t xml:space="preserve">: </w:t>
      </w:r>
      <w:hyperlink r:id="rId34">
        <w:r w:rsidRPr="00AD7EBB">
          <w:rPr>
            <w:color w:val="0563C1"/>
            <w:u w:val="single"/>
            <w:lang w:val="en-US" w:eastAsia="es-MX"/>
          </w:rPr>
          <w:t>https://doi.org/10.1186/s43045-021-00102-y</w:t>
        </w:r>
      </w:hyperlink>
    </w:p>
    <w:p w14:paraId="7E8429D0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n-US" w:eastAsia="es-MX"/>
        </w:rPr>
      </w:pPr>
      <w:r w:rsidRPr="00AD7EBB">
        <w:rPr>
          <w:color w:val="000000"/>
          <w:lang w:val="es-CU" w:eastAsia="es-MX"/>
        </w:rPr>
        <w:t xml:space="preserve">26. Chen Y, Huang X, Zhang C, </w:t>
      </w:r>
      <w:proofErr w:type="spellStart"/>
      <w:r w:rsidRPr="00AD7EBB">
        <w:rPr>
          <w:color w:val="000000"/>
          <w:lang w:val="es-CU" w:eastAsia="es-MX"/>
        </w:rPr>
        <w:t>An</w:t>
      </w:r>
      <w:proofErr w:type="spellEnd"/>
      <w:r w:rsidRPr="00AD7EBB">
        <w:rPr>
          <w:color w:val="000000"/>
          <w:lang w:val="es-CU" w:eastAsia="es-MX"/>
        </w:rPr>
        <w:t xml:space="preserve"> Y, </w:t>
      </w:r>
      <w:proofErr w:type="spellStart"/>
      <w:r w:rsidRPr="00AD7EBB">
        <w:rPr>
          <w:color w:val="000000"/>
          <w:lang w:val="es-CU" w:eastAsia="es-MX"/>
        </w:rPr>
        <w:t>Liang</w:t>
      </w:r>
      <w:proofErr w:type="spellEnd"/>
      <w:r w:rsidRPr="00AD7EBB">
        <w:rPr>
          <w:color w:val="000000"/>
          <w:lang w:val="es-CU" w:eastAsia="es-MX"/>
        </w:rPr>
        <w:t xml:space="preserve"> Y, Yang Y, et al. </w:t>
      </w:r>
      <w:r w:rsidRPr="00AD7EBB">
        <w:rPr>
          <w:color w:val="000000"/>
          <w:lang w:val="en-US" w:eastAsia="es-MX"/>
        </w:rPr>
        <w:t>Prevalence and predictors of posttraumatic stress disorder, depression and anxiety among hospitalized patients with coronavirus disease 2019 in China. BMC Psychiatry. 2021 [</w:t>
      </w:r>
      <w:proofErr w:type="spellStart"/>
      <w:r w:rsidRPr="00AD7EBB">
        <w:rPr>
          <w:color w:val="000000"/>
          <w:lang w:val="en-US" w:eastAsia="es-MX"/>
        </w:rPr>
        <w:t>acceso</w:t>
      </w:r>
      <w:proofErr w:type="spellEnd"/>
      <w:r w:rsidRPr="00AD7EBB">
        <w:rPr>
          <w:color w:val="000000"/>
          <w:lang w:val="en-US" w:eastAsia="es-MX"/>
        </w:rPr>
        <w:t xml:space="preserve">: 09/06/2021]; 21(80):1-8. Disponible </w:t>
      </w:r>
      <w:proofErr w:type="spellStart"/>
      <w:r w:rsidRPr="00AD7EBB">
        <w:rPr>
          <w:color w:val="000000"/>
          <w:lang w:val="en-US" w:eastAsia="es-MX"/>
        </w:rPr>
        <w:t>en</w:t>
      </w:r>
      <w:proofErr w:type="spellEnd"/>
      <w:r w:rsidRPr="00AD7EBB">
        <w:rPr>
          <w:color w:val="000000"/>
          <w:lang w:val="en-US" w:eastAsia="es-MX"/>
        </w:rPr>
        <w:t xml:space="preserve">:  </w:t>
      </w:r>
      <w:hyperlink r:id="rId35">
        <w:r w:rsidRPr="00AD7EBB">
          <w:rPr>
            <w:color w:val="0563C1"/>
            <w:u w:val="single"/>
            <w:lang w:val="en-US" w:eastAsia="es-MX"/>
          </w:rPr>
          <w:t>https://doi.org/10.1186/s12888-021-03076-7</w:t>
        </w:r>
      </w:hyperlink>
    </w:p>
    <w:p w14:paraId="2F45108B" w14:textId="77777777" w:rsidR="00AD7EBB" w:rsidRPr="00AD7EBB" w:rsidRDefault="00AD7EBB" w:rsidP="00AD7EBB">
      <w:pPr>
        <w:spacing w:line="360" w:lineRule="auto"/>
        <w:ind w:left="-76"/>
        <w:rPr>
          <w:rFonts w:ascii="Calibri" w:eastAsia="Calibri" w:hAnsi="Calibri" w:cs="Calibri"/>
          <w:sz w:val="22"/>
          <w:szCs w:val="22"/>
          <w:lang w:val="es-PE" w:eastAsia="es-MX"/>
        </w:rPr>
      </w:pPr>
      <w:r w:rsidRPr="00AD7EBB">
        <w:rPr>
          <w:lang w:val="en-US" w:eastAsia="es-MX"/>
        </w:rPr>
        <w:t xml:space="preserve">27. Cai X, Hu X, Pharm M, </w:t>
      </w:r>
      <w:proofErr w:type="spellStart"/>
      <w:r w:rsidRPr="00AD7EBB">
        <w:rPr>
          <w:lang w:val="en-US" w:eastAsia="es-MX"/>
        </w:rPr>
        <w:t>Ekumi</w:t>
      </w:r>
      <w:proofErr w:type="spellEnd"/>
      <w:r w:rsidRPr="00AD7EBB">
        <w:rPr>
          <w:lang w:val="en-US" w:eastAsia="es-MX"/>
        </w:rPr>
        <w:t xml:space="preserve"> I, Wang J, </w:t>
      </w:r>
      <w:proofErr w:type="gramStart"/>
      <w:r w:rsidRPr="00AD7EBB">
        <w:rPr>
          <w:lang w:val="en-US" w:eastAsia="es-MX"/>
        </w:rPr>
        <w:t>An</w:t>
      </w:r>
      <w:proofErr w:type="gramEnd"/>
      <w:r w:rsidRPr="00AD7EBB">
        <w:rPr>
          <w:lang w:val="en-US" w:eastAsia="es-MX"/>
        </w:rPr>
        <w:t xml:space="preserve"> Y, et al. Psychological distress and its correlates among COVID-19 survivors during early convalescence across age groups. </w:t>
      </w:r>
      <w:r w:rsidRPr="00AD7EBB">
        <w:rPr>
          <w:lang w:val="es-PE" w:eastAsia="es-MX"/>
        </w:rPr>
        <w:t xml:space="preserve">Am J </w:t>
      </w:r>
      <w:proofErr w:type="spellStart"/>
      <w:r w:rsidRPr="00AD7EBB">
        <w:rPr>
          <w:lang w:val="es-PE" w:eastAsia="es-MX"/>
        </w:rPr>
        <w:t>Geriatr</w:t>
      </w:r>
      <w:proofErr w:type="spellEnd"/>
      <w:r w:rsidRPr="00AD7EBB">
        <w:rPr>
          <w:lang w:val="es-PE" w:eastAsia="es-MX"/>
        </w:rPr>
        <w:t xml:space="preserve"> </w:t>
      </w:r>
      <w:proofErr w:type="spellStart"/>
      <w:r w:rsidRPr="00AD7EBB">
        <w:rPr>
          <w:lang w:val="es-PE" w:eastAsia="es-MX"/>
        </w:rPr>
        <w:t>Psychiatry</w:t>
      </w:r>
      <w:proofErr w:type="spellEnd"/>
      <w:r w:rsidRPr="00AD7EBB">
        <w:rPr>
          <w:lang w:val="es-PE" w:eastAsia="es-MX"/>
        </w:rPr>
        <w:t xml:space="preserve">. 2020 [acceso: 09/06/2021]; 28(10):1030-39. Disponible en:  </w:t>
      </w:r>
      <w:hyperlink r:id="rId36">
        <w:r w:rsidRPr="00AD7EBB">
          <w:rPr>
            <w:color w:val="0563C1"/>
            <w:u w:val="single"/>
            <w:lang w:val="es-PE" w:eastAsia="es-MX"/>
          </w:rPr>
          <w:t>https://doi.org/10.1016/j.jagp.2020.07.003</w:t>
        </w:r>
      </w:hyperlink>
    </w:p>
    <w:p w14:paraId="07986144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es-PE" w:eastAsia="es-MX"/>
        </w:rPr>
      </w:pPr>
    </w:p>
    <w:p w14:paraId="7BD82D17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jc w:val="center"/>
        <w:rPr>
          <w:b/>
          <w:color w:val="000000"/>
          <w:lang w:val="es-PE" w:eastAsia="es-MX"/>
        </w:rPr>
      </w:pPr>
    </w:p>
    <w:p w14:paraId="2F46BED2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jc w:val="center"/>
        <w:rPr>
          <w:color w:val="000000"/>
          <w:lang w:val="es-PE" w:eastAsia="es-MX"/>
        </w:rPr>
      </w:pPr>
      <w:r w:rsidRPr="00AD7EBB">
        <w:rPr>
          <w:b/>
          <w:color w:val="000000"/>
          <w:lang w:val="es-PE" w:eastAsia="es-MX"/>
        </w:rPr>
        <w:t>Conflictos de interés</w:t>
      </w:r>
    </w:p>
    <w:p w14:paraId="481354AE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jc w:val="both"/>
        <w:rPr>
          <w:color w:val="000000"/>
          <w:lang w:val="es-PE" w:eastAsia="es-MX"/>
        </w:rPr>
      </w:pPr>
      <w:r w:rsidRPr="00AD7EBB">
        <w:rPr>
          <w:color w:val="000000"/>
          <w:lang w:val="es-PE" w:eastAsia="es-MX"/>
        </w:rPr>
        <w:t xml:space="preserve">Los autores declaran no presentar conflicto de intereses. </w:t>
      </w:r>
    </w:p>
    <w:p w14:paraId="28A4819C" w14:textId="77777777" w:rsidR="00AD7EBB" w:rsidRPr="00AD7EBB" w:rsidRDefault="00AD7EBB" w:rsidP="00AD7E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jc w:val="both"/>
        <w:rPr>
          <w:color w:val="000000"/>
          <w:lang w:val="es-PE" w:eastAsia="es-MX"/>
        </w:rPr>
      </w:pPr>
    </w:p>
    <w:p w14:paraId="4A0D14D0" w14:textId="77777777" w:rsidR="00AD7EBB" w:rsidRPr="00AD7EBB" w:rsidRDefault="00AD7EBB" w:rsidP="00AD7EBB">
      <w:pPr>
        <w:spacing w:line="360" w:lineRule="auto"/>
        <w:ind w:left="-142"/>
        <w:jc w:val="center"/>
        <w:rPr>
          <w:b/>
          <w:color w:val="000000"/>
          <w:lang w:val="es-PE" w:eastAsia="es-MX"/>
        </w:rPr>
      </w:pPr>
      <w:r w:rsidRPr="00AD7EBB">
        <w:rPr>
          <w:b/>
          <w:color w:val="000000"/>
          <w:lang w:val="es-PE" w:eastAsia="es-MX"/>
        </w:rPr>
        <w:t>Contribuciones de los autores</w:t>
      </w:r>
    </w:p>
    <w:p w14:paraId="72E452EA" w14:textId="77777777" w:rsidR="00AD7EBB" w:rsidRPr="00AD7EBB" w:rsidRDefault="00AD7EBB" w:rsidP="00AD7EBB">
      <w:pPr>
        <w:spacing w:line="360" w:lineRule="auto"/>
        <w:ind w:left="-142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Conceptualización: </w:t>
      </w:r>
      <w:r w:rsidRPr="00AD7EBB">
        <w:rPr>
          <w:bCs/>
          <w:i/>
          <w:iCs/>
          <w:color w:val="000000"/>
          <w:lang w:val="es-PE" w:eastAsia="es-MX"/>
        </w:rPr>
        <w:t>Miguel Rioja Castañeda,</w:t>
      </w:r>
      <w:r w:rsidRPr="00AD7EBB"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val="es-PE" w:eastAsia="es-MX"/>
        </w:rPr>
        <w:t xml:space="preserve">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3C4DD5AA" w14:textId="77777777" w:rsidR="00AD7EBB" w:rsidRPr="00AD7EBB" w:rsidRDefault="00AD7EBB" w:rsidP="00AD7EBB">
      <w:pPr>
        <w:spacing w:line="360" w:lineRule="auto"/>
        <w:ind w:left="-142"/>
        <w:jc w:val="both"/>
        <w:rPr>
          <w:bCs/>
          <w:i/>
          <w:i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Curación de datos: </w:t>
      </w:r>
      <w:r w:rsidRPr="00AD7EBB">
        <w:rPr>
          <w:bCs/>
          <w:i/>
          <w:iCs/>
          <w:color w:val="000000"/>
          <w:lang w:val="es-PE" w:eastAsia="es-MX"/>
        </w:rPr>
        <w:t>Miguel Rioja Castañeda,</w:t>
      </w:r>
      <w:r w:rsidRPr="00AD7EBB"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val="es-PE" w:eastAsia="es-MX"/>
        </w:rPr>
        <w:t xml:space="preserve">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110AC1F0" w14:textId="77777777" w:rsidR="00AD7EBB" w:rsidRPr="00AD7EBB" w:rsidRDefault="00AD7EBB" w:rsidP="00AD7EBB">
      <w:pPr>
        <w:spacing w:line="360" w:lineRule="auto"/>
        <w:ind w:left="-142"/>
        <w:jc w:val="both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>Análisis formal:</w:t>
      </w:r>
      <w:r w:rsidRPr="00AD7EBB">
        <w:rPr>
          <w:bCs/>
          <w:i/>
          <w:iCs/>
          <w:color w:val="000000"/>
          <w:lang w:val="es-PE" w:eastAsia="es-MX"/>
        </w:rPr>
        <w:t xml:space="preserve"> Miguel Rioja Castañeda.</w:t>
      </w:r>
    </w:p>
    <w:p w14:paraId="64BECC3B" w14:textId="77777777" w:rsidR="00AD7EBB" w:rsidRPr="00AD7EBB" w:rsidRDefault="00AD7EBB" w:rsidP="00AD7EBB">
      <w:pPr>
        <w:spacing w:line="360" w:lineRule="auto"/>
        <w:ind w:left="-142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Investigación: </w:t>
      </w:r>
      <w:r w:rsidRPr="00AD7EBB">
        <w:rPr>
          <w:bCs/>
          <w:i/>
          <w:iCs/>
          <w:color w:val="000000"/>
          <w:lang w:val="es-PE" w:eastAsia="es-MX"/>
        </w:rPr>
        <w:t>Miguel Rioja Castañeda.</w:t>
      </w:r>
    </w:p>
    <w:p w14:paraId="06ADEE8B" w14:textId="77777777" w:rsidR="00AD7EBB" w:rsidRPr="00AD7EBB" w:rsidRDefault="00AD7EBB" w:rsidP="00AD7EBB">
      <w:pPr>
        <w:spacing w:line="360" w:lineRule="auto"/>
        <w:ind w:left="-142"/>
        <w:rPr>
          <w:bCs/>
          <w:i/>
          <w:i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Metodología: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59A50EAE" w14:textId="77777777" w:rsidR="00AD7EBB" w:rsidRPr="00AD7EBB" w:rsidRDefault="00AD7EBB" w:rsidP="00AD7EBB">
      <w:pPr>
        <w:spacing w:line="360" w:lineRule="auto"/>
        <w:ind w:left="-142"/>
        <w:rPr>
          <w:bCs/>
          <w:i/>
          <w:i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Administración del proyecto: </w:t>
      </w:r>
      <w:r w:rsidRPr="00AD7EBB">
        <w:rPr>
          <w:bCs/>
          <w:i/>
          <w:iCs/>
          <w:color w:val="000000"/>
          <w:lang w:val="es-PE" w:eastAsia="es-MX"/>
        </w:rPr>
        <w:t>Miguel Rioja Castañeda.</w:t>
      </w:r>
    </w:p>
    <w:p w14:paraId="2C310E4A" w14:textId="77777777" w:rsidR="00AD7EBB" w:rsidRPr="00AD7EBB" w:rsidRDefault="00AD7EBB" w:rsidP="00AD7EBB">
      <w:pPr>
        <w:spacing w:line="360" w:lineRule="auto"/>
        <w:ind w:left="-142"/>
        <w:rPr>
          <w:bCs/>
          <w:i/>
          <w:i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Recursos: </w:t>
      </w:r>
      <w:r w:rsidRPr="00AD7EBB">
        <w:rPr>
          <w:bCs/>
          <w:i/>
          <w:iCs/>
          <w:color w:val="000000"/>
          <w:lang w:val="es-PE" w:eastAsia="es-MX"/>
        </w:rPr>
        <w:t>Miguel Rioja Castañeda.</w:t>
      </w:r>
    </w:p>
    <w:p w14:paraId="70FE07FE" w14:textId="77777777" w:rsidR="00AD7EBB" w:rsidRPr="00AD7EBB" w:rsidRDefault="00AD7EBB" w:rsidP="00AD7EBB">
      <w:pPr>
        <w:spacing w:line="360" w:lineRule="auto"/>
        <w:ind w:left="-142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Supervisión: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5C8596AE" w14:textId="77777777" w:rsidR="00AD7EBB" w:rsidRPr="00AD7EBB" w:rsidRDefault="00AD7EBB" w:rsidP="00AD7EBB">
      <w:pPr>
        <w:spacing w:line="360" w:lineRule="auto"/>
        <w:ind w:left="-142"/>
        <w:rPr>
          <w:bCs/>
          <w:i/>
          <w:i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Validación: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0BF27159" w14:textId="77777777" w:rsidR="00AD7EBB" w:rsidRPr="00AD7EBB" w:rsidRDefault="00AD7EBB" w:rsidP="00AD7EBB">
      <w:pPr>
        <w:spacing w:line="360" w:lineRule="auto"/>
        <w:ind w:left="-142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Visualización: </w:t>
      </w:r>
      <w:r w:rsidRPr="00AD7EBB">
        <w:rPr>
          <w:bCs/>
          <w:i/>
          <w:iCs/>
          <w:color w:val="000000"/>
          <w:lang w:val="es-PE" w:eastAsia="es-MX"/>
        </w:rPr>
        <w:t>Miguel Rioja Castañeda,</w:t>
      </w:r>
      <w:r w:rsidRPr="00AD7EBB"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val="es-PE" w:eastAsia="es-MX"/>
        </w:rPr>
        <w:t xml:space="preserve">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6EF31887" w14:textId="77777777" w:rsidR="00AD7EBB" w:rsidRPr="00AD7EBB" w:rsidRDefault="00AD7EBB" w:rsidP="00AD7EBB">
      <w:pPr>
        <w:spacing w:line="360" w:lineRule="auto"/>
        <w:ind w:left="-142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Redacción – borrador original: </w:t>
      </w:r>
      <w:r w:rsidRPr="00AD7EBB">
        <w:rPr>
          <w:bCs/>
          <w:i/>
          <w:iCs/>
          <w:color w:val="000000"/>
          <w:lang w:val="es-PE" w:eastAsia="es-MX"/>
        </w:rPr>
        <w:t>Miguel Rioja Castañeda,</w:t>
      </w:r>
      <w:r w:rsidRPr="00AD7EBB"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val="es-PE" w:eastAsia="es-MX"/>
        </w:rPr>
        <w:t xml:space="preserve"> </w:t>
      </w:r>
      <w:r w:rsidRPr="00AD7EBB">
        <w:rPr>
          <w:bCs/>
          <w:i/>
          <w:iCs/>
          <w:color w:val="000000"/>
          <w:lang w:val="es-PE" w:eastAsia="es-MX"/>
        </w:rPr>
        <w:t>Henry Santa Cruz Espinoza.</w:t>
      </w:r>
    </w:p>
    <w:p w14:paraId="7F00F1E5" w14:textId="77777777" w:rsidR="00AD7EBB" w:rsidRPr="00AD7EBB" w:rsidRDefault="00AD7EBB" w:rsidP="00AD7EBB">
      <w:pPr>
        <w:spacing w:line="360" w:lineRule="auto"/>
        <w:ind w:left="-142"/>
        <w:jc w:val="both"/>
        <w:rPr>
          <w:bCs/>
          <w:color w:val="000000"/>
          <w:lang w:val="es-PE" w:eastAsia="es-MX"/>
        </w:rPr>
      </w:pPr>
      <w:r w:rsidRPr="00AD7EBB">
        <w:rPr>
          <w:bCs/>
          <w:color w:val="000000"/>
          <w:lang w:val="es-PE" w:eastAsia="es-MX"/>
        </w:rPr>
        <w:t xml:space="preserve">Redacción – revisión y edición: </w:t>
      </w:r>
      <w:bookmarkStart w:id="1" w:name="_Hlk113137443"/>
      <w:r w:rsidRPr="00AD7EBB">
        <w:rPr>
          <w:bCs/>
          <w:i/>
          <w:iCs/>
          <w:color w:val="000000"/>
          <w:lang w:val="es-PE" w:eastAsia="es-MX"/>
        </w:rPr>
        <w:t>Henry Santa Cruz Espinoza</w:t>
      </w:r>
      <w:bookmarkEnd w:id="1"/>
      <w:r w:rsidRPr="00AD7EBB">
        <w:rPr>
          <w:bCs/>
          <w:i/>
          <w:iCs/>
          <w:color w:val="000000"/>
          <w:lang w:val="es-PE" w:eastAsia="es-MX"/>
        </w:rPr>
        <w:t>.</w:t>
      </w:r>
    </w:p>
    <w:p w14:paraId="1A832645" w14:textId="77777777" w:rsidR="00675476" w:rsidRPr="00AD7EBB" w:rsidRDefault="00675476" w:rsidP="00EA1FEF">
      <w:pPr>
        <w:pStyle w:val="PDFRevista"/>
        <w:rPr>
          <w:lang w:val="es-PE"/>
        </w:rPr>
      </w:pPr>
    </w:p>
    <w:sectPr w:rsidR="00675476" w:rsidRPr="00AD7EBB" w:rsidSect="00FD3DF8">
      <w:headerReference w:type="default" r:id="rId37"/>
      <w:footerReference w:type="even" r:id="rId38"/>
      <w:footerReference w:type="default" r:id="rId39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D0C7" w14:textId="77777777" w:rsidR="00B743D4" w:rsidRDefault="00B743D4">
      <w:r>
        <w:separator/>
      </w:r>
    </w:p>
  </w:endnote>
  <w:endnote w:type="continuationSeparator" w:id="0">
    <w:p w14:paraId="14624114" w14:textId="77777777" w:rsidR="00B743D4" w:rsidRDefault="00B7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8FFC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E28586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0776" w14:textId="2C6B8AD7" w:rsidR="000F3690" w:rsidRPr="00AE044C" w:rsidRDefault="00AD7EBB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E99B54" wp14:editId="751E7496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C43C7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21C6F823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692A0804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0C826F3A" w14:textId="22559E30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AD7EBB" w:rsidRPr="00AD7EBB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1FF8D516" wp14:editId="130783BD">
          <wp:extent cx="641350" cy="14986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94AE" w14:textId="77777777" w:rsidR="00B743D4" w:rsidRDefault="00B743D4">
      <w:r>
        <w:separator/>
      </w:r>
    </w:p>
  </w:footnote>
  <w:footnote w:type="continuationSeparator" w:id="0">
    <w:p w14:paraId="4F0C4222" w14:textId="77777777" w:rsidR="00B743D4" w:rsidRDefault="00B7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CC50" w14:textId="67AACE2A" w:rsidR="00CC376A" w:rsidRPr="00AE044C" w:rsidRDefault="00AD7EBB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2022</w:t>
    </w:r>
    <w:r w:rsidR="007D2D0C">
      <w:rPr>
        <w:sz w:val="22"/>
        <w:szCs w:val="22"/>
      </w:rPr>
      <w:t>;</w:t>
    </w:r>
    <w:r>
      <w:rPr>
        <w:sz w:val="22"/>
        <w:szCs w:val="22"/>
      </w:rPr>
      <w:t>51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3</w:t>
    </w:r>
    <w:proofErr w:type="gramStart"/>
    <w:r w:rsidR="007D2D0C" w:rsidRPr="00AE044C">
      <w:rPr>
        <w:sz w:val="22"/>
        <w:szCs w:val="22"/>
      </w:rPr>
      <w:t>):</w:t>
    </w:r>
    <w:proofErr w:type="spellStart"/>
    <w:r>
      <w:rPr>
        <w:sz w:val="22"/>
        <w:szCs w:val="22"/>
      </w:rPr>
      <w:t>e</w:t>
    </w:r>
    <w:proofErr w:type="gramEnd"/>
    <w:r>
      <w:rPr>
        <w:sz w:val="22"/>
        <w:szCs w:val="22"/>
      </w:rPr>
      <w:t>02202128</w:t>
    </w:r>
    <w:proofErr w:type="spellEnd"/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361BAB5B" wp14:editId="503DA333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1E573" w14:textId="2FEB0454" w:rsidR="00A477DE" w:rsidRDefault="00AD7EBB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899A19" wp14:editId="3A642BA4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26DD0" id="Conector recto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36CFB"/>
    <w:multiLevelType w:val="multilevel"/>
    <w:tmpl w:val="032C1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D05A67"/>
    <w:multiLevelType w:val="multilevel"/>
    <w:tmpl w:val="D4EAB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43303612">
    <w:abstractNumId w:val="0"/>
  </w:num>
  <w:num w:numId="2" w16cid:durableId="166677487">
    <w:abstractNumId w:val="2"/>
  </w:num>
  <w:num w:numId="3" w16cid:durableId="155604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B"/>
    <w:rsid w:val="00057F45"/>
    <w:rsid w:val="000D3958"/>
    <w:rsid w:val="000F3690"/>
    <w:rsid w:val="001174DF"/>
    <w:rsid w:val="001221D1"/>
    <w:rsid w:val="00165CB5"/>
    <w:rsid w:val="00180CE9"/>
    <w:rsid w:val="0019781E"/>
    <w:rsid w:val="00230DD5"/>
    <w:rsid w:val="00250AE9"/>
    <w:rsid w:val="00380D64"/>
    <w:rsid w:val="00385B32"/>
    <w:rsid w:val="00391509"/>
    <w:rsid w:val="003A0CCC"/>
    <w:rsid w:val="003E03D5"/>
    <w:rsid w:val="00486BFA"/>
    <w:rsid w:val="00493701"/>
    <w:rsid w:val="004956A6"/>
    <w:rsid w:val="004C39C0"/>
    <w:rsid w:val="004E2065"/>
    <w:rsid w:val="005508A2"/>
    <w:rsid w:val="0055115D"/>
    <w:rsid w:val="00566F71"/>
    <w:rsid w:val="005918BD"/>
    <w:rsid w:val="006173A6"/>
    <w:rsid w:val="00675476"/>
    <w:rsid w:val="007C430F"/>
    <w:rsid w:val="007D2D0C"/>
    <w:rsid w:val="007D614D"/>
    <w:rsid w:val="0096074C"/>
    <w:rsid w:val="00960D6A"/>
    <w:rsid w:val="009A0560"/>
    <w:rsid w:val="009B0917"/>
    <w:rsid w:val="009F0F96"/>
    <w:rsid w:val="00A23C0C"/>
    <w:rsid w:val="00A477DE"/>
    <w:rsid w:val="00A71E65"/>
    <w:rsid w:val="00AD7EBB"/>
    <w:rsid w:val="00AE044C"/>
    <w:rsid w:val="00B31971"/>
    <w:rsid w:val="00B4380A"/>
    <w:rsid w:val="00B66ECB"/>
    <w:rsid w:val="00B743D4"/>
    <w:rsid w:val="00BC15E6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A6B9F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1EE9E"/>
  <w15:docId w15:val="{90EC7972-56C6-4016-B5E3-8CD427CE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475-9724" TargetMode="External"/><Relationship Id="rId13" Type="http://schemas.openxmlformats.org/officeDocument/2006/relationships/hyperlink" Target="https://doi.org/10.1007/s11606-021-06731-7" TargetMode="External"/><Relationship Id="rId18" Type="http://schemas.openxmlformats.org/officeDocument/2006/relationships/hyperlink" Target="https://doi.org/10.4178/epih.e2016048" TargetMode="External"/><Relationship Id="rId26" Type="http://schemas.openxmlformats.org/officeDocument/2006/relationships/hyperlink" Target="https://doi.org/10.1002/jts.22565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psychres.2020.113604" TargetMode="External"/><Relationship Id="rId34" Type="http://schemas.openxmlformats.org/officeDocument/2006/relationships/hyperlink" Target="https://doi.org/10.1186/s43045-021-00102-y" TargetMode="External"/><Relationship Id="rId7" Type="http://schemas.openxmlformats.org/officeDocument/2006/relationships/hyperlink" Target="https://orcid.org/0000-0001-9320-6136" TargetMode="External"/><Relationship Id="rId12" Type="http://schemas.openxmlformats.org/officeDocument/2006/relationships/hyperlink" Target="https://doi.org/10.1017/S2045796019000660" TargetMode="External"/><Relationship Id="rId17" Type="http://schemas.openxmlformats.org/officeDocument/2006/relationships/hyperlink" Target="https://doi.org/10.1177%2F0020764020915212" TargetMode="External"/><Relationship Id="rId25" Type="http://schemas.openxmlformats.org/officeDocument/2006/relationships/hyperlink" Target="https://doi.org/10.1097/ccm.0000000000005014" TargetMode="External"/><Relationship Id="rId33" Type="http://schemas.openxmlformats.org/officeDocument/2006/relationships/hyperlink" Target="https://doi.org/10.21203/rs.3.rs-146200/v1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177/0020764020915212" TargetMode="External"/><Relationship Id="rId20" Type="http://schemas.openxmlformats.org/officeDocument/2006/relationships/hyperlink" Target="https://doi.org/10.24869/psyd.2020.6" TargetMode="External"/><Relationship Id="rId29" Type="http://schemas.openxmlformats.org/officeDocument/2006/relationships/hyperlink" Target="https://www.elsevier.es/es-revista-educacion-medica-71-articulo-magnitud-del-efecto-una-guia-S157518131730139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doi.org/10.3390/ijerph18042079" TargetMode="External"/><Relationship Id="rId32" Type="http://schemas.openxmlformats.org/officeDocument/2006/relationships/hyperlink" Target="https://doi.org/10.1016/j.psychres.2020.113297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ho.int/emergencies/diseases/novel-coronavirus-2019" TargetMode="External"/><Relationship Id="rId23" Type="http://schemas.openxmlformats.org/officeDocument/2006/relationships/hyperlink" Target="https://doi.org/10.1016/j.jad.2020.05.009" TargetMode="External"/><Relationship Id="rId28" Type="http://schemas.openxmlformats.org/officeDocument/2006/relationships/hyperlink" Target="https://pubmed.ncbi.nlm.nih.gov/11116791/" TargetMode="External"/><Relationship Id="rId36" Type="http://schemas.openxmlformats.org/officeDocument/2006/relationships/hyperlink" Target="https://doi.org/10.1016/j.jagp.2020.07.003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oi.org/10.1016/j.genhosppsych.2009.03.001" TargetMode="External"/><Relationship Id="rId31" Type="http://schemas.openxmlformats.org/officeDocument/2006/relationships/hyperlink" Target="https://doi.org/10.1002/wps.20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antacruze@gmail.com" TargetMode="External"/><Relationship Id="rId14" Type="http://schemas.openxmlformats.org/officeDocument/2006/relationships/hyperlink" Target="https://doi.org/10.1177%2F1751143717713853" TargetMode="External"/><Relationship Id="rId22" Type="http://schemas.openxmlformats.org/officeDocument/2006/relationships/hyperlink" Target="https://doi.org/10.1038/s41598-021-01215-4" TargetMode="External"/><Relationship Id="rId27" Type="http://schemas.openxmlformats.org/officeDocument/2006/relationships/hyperlink" Target="https://doi.org/10.1017/s0033291796004229" TargetMode="External"/><Relationship Id="rId30" Type="http://schemas.openxmlformats.org/officeDocument/2006/relationships/hyperlink" Target="https://doi.org/10.1186/s13195-017-0254-x" TargetMode="External"/><Relationship Id="rId35" Type="http://schemas.openxmlformats.org/officeDocument/2006/relationships/hyperlink" Target="https://doi.org/10.1186/s12888-021-03076-7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84</TotalTime>
  <Pages>14</Pages>
  <Words>4010</Words>
  <Characters>22055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26013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SG</dc:creator>
  <cp:lastModifiedBy>SG</cp:lastModifiedBy>
  <cp:revision>10</cp:revision>
  <cp:lastPrinted>2022-09-10T17:13:00Z</cp:lastPrinted>
  <dcterms:created xsi:type="dcterms:W3CDTF">2022-09-10T16:33:00Z</dcterms:created>
  <dcterms:modified xsi:type="dcterms:W3CDTF">2022-09-10T18:01:00Z</dcterms:modified>
</cp:coreProperties>
</file>