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6AC6A" w14:textId="77777777" w:rsidR="003C52A0" w:rsidRPr="003C52A0" w:rsidRDefault="003C52A0" w:rsidP="003C52A0">
      <w:pPr>
        <w:spacing w:line="360" w:lineRule="auto"/>
        <w:jc w:val="right"/>
        <w:outlineLvl w:val="0"/>
        <w:rPr>
          <w:kern w:val="36"/>
          <w:lang w:val="es-ES" w:eastAsia="es-ES"/>
        </w:rPr>
      </w:pPr>
      <w:r w:rsidRPr="003C52A0">
        <w:rPr>
          <w:kern w:val="36"/>
          <w:lang w:val="es-ES" w:eastAsia="es-ES"/>
        </w:rPr>
        <w:t xml:space="preserve">Comunicación breve </w:t>
      </w:r>
    </w:p>
    <w:p w14:paraId="44F15139" w14:textId="77777777" w:rsidR="003C52A0" w:rsidRPr="003C52A0" w:rsidRDefault="003C52A0" w:rsidP="003C52A0">
      <w:pPr>
        <w:spacing w:line="360" w:lineRule="auto"/>
        <w:jc w:val="right"/>
        <w:rPr>
          <w:rFonts w:eastAsia="Calibri"/>
          <w:lang w:val="es-ES" w:eastAsia="en-US"/>
        </w:rPr>
      </w:pPr>
    </w:p>
    <w:p w14:paraId="78C5D524" w14:textId="77777777" w:rsidR="003C52A0" w:rsidRPr="003C52A0" w:rsidRDefault="003C52A0" w:rsidP="003C52A0">
      <w:pPr>
        <w:spacing w:line="360" w:lineRule="auto"/>
        <w:jc w:val="center"/>
        <w:rPr>
          <w:rFonts w:eastAsia="Calibri"/>
          <w:b/>
          <w:sz w:val="28"/>
          <w:szCs w:val="28"/>
          <w:lang w:val="es-ES" w:eastAsia="en-US"/>
        </w:rPr>
      </w:pPr>
      <w:r w:rsidRPr="003C52A0">
        <w:rPr>
          <w:rFonts w:eastAsia="Calibri"/>
          <w:b/>
          <w:sz w:val="28"/>
          <w:szCs w:val="28"/>
          <w:lang w:val="es-ES" w:eastAsia="en-US"/>
        </w:rPr>
        <w:t xml:space="preserve">Corrección del prolapso de cúpula vaginal mediante </w:t>
      </w:r>
      <w:proofErr w:type="spellStart"/>
      <w:r w:rsidRPr="003C52A0">
        <w:rPr>
          <w:rFonts w:eastAsia="Calibri"/>
          <w:b/>
          <w:sz w:val="28"/>
          <w:szCs w:val="28"/>
          <w:lang w:val="es-ES" w:eastAsia="en-US"/>
        </w:rPr>
        <w:t>colpopexia</w:t>
      </w:r>
      <w:proofErr w:type="spellEnd"/>
      <w:r w:rsidRPr="003C52A0">
        <w:rPr>
          <w:rFonts w:eastAsia="Calibri"/>
          <w:b/>
          <w:sz w:val="28"/>
          <w:szCs w:val="28"/>
          <w:lang w:val="es-ES" w:eastAsia="en-US"/>
        </w:rPr>
        <w:t xml:space="preserve"> vía abdominal</w:t>
      </w:r>
    </w:p>
    <w:p w14:paraId="588EB353" w14:textId="77777777" w:rsidR="003C52A0" w:rsidRPr="003C52A0" w:rsidRDefault="003C52A0" w:rsidP="003C52A0">
      <w:pPr>
        <w:spacing w:line="360" w:lineRule="auto"/>
        <w:jc w:val="center"/>
        <w:rPr>
          <w:rFonts w:eastAsia="Calibri"/>
          <w:bCs/>
          <w:sz w:val="28"/>
          <w:szCs w:val="28"/>
          <w:lang w:val="en" w:eastAsia="en-US"/>
        </w:rPr>
      </w:pPr>
      <w:r w:rsidRPr="003C52A0">
        <w:rPr>
          <w:rFonts w:eastAsia="Calibri"/>
          <w:bCs/>
          <w:sz w:val="28"/>
          <w:szCs w:val="28"/>
          <w:lang w:val="en" w:eastAsia="en-US"/>
        </w:rPr>
        <w:t>Correction of vaginal vault prolapse by abdominal colpopexy</w:t>
      </w:r>
    </w:p>
    <w:p w14:paraId="75824AB2" w14:textId="77777777" w:rsidR="003C52A0" w:rsidRPr="003C52A0" w:rsidRDefault="003C52A0" w:rsidP="003C52A0">
      <w:pPr>
        <w:spacing w:line="360" w:lineRule="auto"/>
        <w:rPr>
          <w:rFonts w:eastAsia="Calibri"/>
          <w:lang w:val="en-US" w:eastAsia="en-US"/>
        </w:rPr>
      </w:pPr>
    </w:p>
    <w:p w14:paraId="22787CD0" w14:textId="77777777" w:rsidR="003C52A0" w:rsidRPr="003C52A0" w:rsidRDefault="003C52A0" w:rsidP="003C52A0">
      <w:pPr>
        <w:spacing w:line="360" w:lineRule="auto"/>
        <w:rPr>
          <w:rFonts w:eastAsia="Calibri"/>
          <w:vertAlign w:val="superscript"/>
          <w:lang w:val="es-CU" w:eastAsia="en-US"/>
        </w:rPr>
      </w:pPr>
      <w:r w:rsidRPr="003C52A0">
        <w:rPr>
          <w:rFonts w:eastAsia="Calibri"/>
          <w:lang w:val="es-CU" w:eastAsia="en-US"/>
        </w:rPr>
        <w:t xml:space="preserve">Enrique Jesús Reyes </w:t>
      </w:r>
      <w:proofErr w:type="spellStart"/>
      <w:r w:rsidRPr="003C52A0">
        <w:rPr>
          <w:rFonts w:eastAsia="Calibri"/>
          <w:lang w:val="es-CU" w:eastAsia="en-US"/>
        </w:rPr>
        <w:t>Guerrero</w:t>
      </w:r>
      <w:r w:rsidRPr="003C52A0">
        <w:rPr>
          <w:rFonts w:eastAsia="Calibri"/>
          <w:vertAlign w:val="superscript"/>
          <w:lang w:val="es-CU" w:eastAsia="en-US"/>
        </w:rPr>
        <w:t>1</w:t>
      </w:r>
      <w:proofErr w:type="spellEnd"/>
      <w:r w:rsidRPr="003C52A0">
        <w:rPr>
          <w:rFonts w:eastAsia="Calibri"/>
          <w:vertAlign w:val="superscript"/>
          <w:lang w:val="es-CU" w:eastAsia="en-US"/>
        </w:rPr>
        <w:t xml:space="preserve"> </w:t>
      </w:r>
      <w:hyperlink r:id="rId7" w:tgtFrame="_blank" w:history="1">
        <w:r w:rsidRPr="003C52A0">
          <w:rPr>
            <w:rFonts w:eastAsia="Calibri"/>
            <w:color w:val="0000FF"/>
            <w:u w:val="single"/>
            <w:lang w:val="es-ES" w:eastAsia="en-US"/>
          </w:rPr>
          <w:t>http://orcid.org/0000-0002-0420-4428</w:t>
        </w:r>
      </w:hyperlink>
    </w:p>
    <w:p w14:paraId="0358EBA4" w14:textId="77777777" w:rsidR="003C52A0" w:rsidRPr="003C52A0" w:rsidRDefault="003C52A0" w:rsidP="003C52A0">
      <w:pPr>
        <w:spacing w:line="360" w:lineRule="auto"/>
        <w:rPr>
          <w:rFonts w:eastAsia="Calibri"/>
          <w:lang w:val="es-CU" w:eastAsia="en-US"/>
        </w:rPr>
      </w:pPr>
      <w:r w:rsidRPr="003C52A0">
        <w:rPr>
          <w:rFonts w:eastAsia="Calibri"/>
          <w:lang w:val="es-CU" w:eastAsia="en-US"/>
        </w:rPr>
        <w:t xml:space="preserve">Sara Amneris </w:t>
      </w:r>
      <w:proofErr w:type="spellStart"/>
      <w:r w:rsidRPr="003C52A0">
        <w:rPr>
          <w:rFonts w:eastAsia="Calibri"/>
          <w:lang w:val="es-CU" w:eastAsia="en-US"/>
        </w:rPr>
        <w:t>Urgellés</w:t>
      </w:r>
      <w:proofErr w:type="spellEnd"/>
      <w:r w:rsidRPr="003C52A0">
        <w:rPr>
          <w:rFonts w:eastAsia="Calibri"/>
          <w:lang w:val="es-CU" w:eastAsia="en-US"/>
        </w:rPr>
        <w:t xml:space="preserve"> </w:t>
      </w:r>
      <w:proofErr w:type="spellStart"/>
      <w:r w:rsidRPr="003C52A0">
        <w:rPr>
          <w:rFonts w:eastAsia="Calibri"/>
          <w:lang w:val="es-CU" w:eastAsia="en-US"/>
        </w:rPr>
        <w:t>Carreras</w:t>
      </w:r>
      <w:r w:rsidRPr="003C52A0">
        <w:rPr>
          <w:rFonts w:eastAsia="Calibri"/>
          <w:vertAlign w:val="superscript"/>
          <w:lang w:val="es-CU" w:eastAsia="en-US"/>
        </w:rPr>
        <w:t>1</w:t>
      </w:r>
      <w:proofErr w:type="spellEnd"/>
      <w:r w:rsidRPr="003C52A0">
        <w:rPr>
          <w:rFonts w:eastAsia="Calibri"/>
          <w:lang w:val="es-CU" w:eastAsia="en-US"/>
        </w:rPr>
        <w:t xml:space="preserve">* </w:t>
      </w:r>
      <w:hyperlink r:id="rId8" w:tgtFrame="_blank" w:history="1">
        <w:r w:rsidRPr="003C52A0">
          <w:rPr>
            <w:rFonts w:eastAsia="Calibri"/>
            <w:color w:val="0000FF"/>
            <w:u w:val="single"/>
            <w:lang w:val="es-ES" w:eastAsia="en-US"/>
          </w:rPr>
          <w:t>http://orcid.org/0000-0002-5832-9250</w:t>
        </w:r>
      </w:hyperlink>
    </w:p>
    <w:p w14:paraId="0554AF46" w14:textId="77777777" w:rsidR="003C52A0" w:rsidRPr="003C52A0" w:rsidRDefault="003C52A0" w:rsidP="003C52A0">
      <w:pPr>
        <w:spacing w:line="360" w:lineRule="auto"/>
        <w:rPr>
          <w:rFonts w:eastAsia="Calibri"/>
          <w:lang w:val="es-CU" w:eastAsia="en-US"/>
        </w:rPr>
      </w:pPr>
      <w:r w:rsidRPr="003C52A0">
        <w:rPr>
          <w:rFonts w:eastAsia="Calibri"/>
          <w:lang w:val="es-CU" w:eastAsia="en-US"/>
        </w:rPr>
        <w:t xml:space="preserve">Guillermo Rodríguez </w:t>
      </w:r>
      <w:proofErr w:type="spellStart"/>
      <w:r w:rsidRPr="003C52A0">
        <w:rPr>
          <w:rFonts w:eastAsia="Calibri"/>
          <w:lang w:val="es-CU" w:eastAsia="en-US"/>
        </w:rPr>
        <w:t>Iglesias</w:t>
      </w:r>
      <w:r w:rsidRPr="003C52A0">
        <w:rPr>
          <w:rFonts w:eastAsia="Calibri"/>
          <w:vertAlign w:val="superscript"/>
          <w:lang w:val="es-CU" w:eastAsia="en-US"/>
        </w:rPr>
        <w:t>1</w:t>
      </w:r>
      <w:proofErr w:type="spellEnd"/>
      <w:r w:rsidRPr="003C52A0">
        <w:rPr>
          <w:rFonts w:eastAsia="Calibri"/>
          <w:lang w:val="es-CU" w:eastAsia="en-US"/>
        </w:rPr>
        <w:t xml:space="preserve"> </w:t>
      </w:r>
      <w:hyperlink r:id="rId9" w:tgtFrame="_blank" w:history="1">
        <w:r w:rsidRPr="003C52A0">
          <w:rPr>
            <w:rFonts w:eastAsia="Calibri"/>
            <w:color w:val="0000FF"/>
            <w:u w:val="single"/>
            <w:lang w:val="es-ES" w:eastAsia="en-US"/>
          </w:rPr>
          <w:t>http://orcid.org/0000-0002-2338-0208</w:t>
        </w:r>
      </w:hyperlink>
    </w:p>
    <w:p w14:paraId="1CD4C8DA" w14:textId="77777777" w:rsidR="003C52A0" w:rsidRPr="003C52A0" w:rsidRDefault="003C52A0" w:rsidP="003C52A0">
      <w:pPr>
        <w:spacing w:line="360" w:lineRule="auto"/>
        <w:rPr>
          <w:rFonts w:eastAsia="Calibri"/>
          <w:lang w:val="es-CU" w:eastAsia="en-US"/>
        </w:rPr>
      </w:pPr>
      <w:proofErr w:type="spellStart"/>
      <w:r w:rsidRPr="003C52A0">
        <w:rPr>
          <w:rFonts w:eastAsia="Calibri"/>
          <w:lang w:val="es-CU" w:eastAsia="en-US"/>
        </w:rPr>
        <w:t>Raiza</w:t>
      </w:r>
      <w:proofErr w:type="spellEnd"/>
      <w:r w:rsidRPr="003C52A0">
        <w:rPr>
          <w:rFonts w:eastAsia="Calibri"/>
          <w:lang w:val="es-CU" w:eastAsia="en-US"/>
        </w:rPr>
        <w:t xml:space="preserve"> González </w:t>
      </w:r>
      <w:proofErr w:type="spellStart"/>
      <w:r w:rsidRPr="003C52A0">
        <w:rPr>
          <w:rFonts w:eastAsia="Calibri"/>
          <w:lang w:val="es-CU" w:eastAsia="en-US"/>
        </w:rPr>
        <w:t>Marshall</w:t>
      </w:r>
      <w:r w:rsidRPr="003C52A0">
        <w:rPr>
          <w:rFonts w:eastAsia="Calibri"/>
          <w:vertAlign w:val="superscript"/>
          <w:lang w:val="es-CU" w:eastAsia="en-US"/>
        </w:rPr>
        <w:t>1</w:t>
      </w:r>
      <w:proofErr w:type="spellEnd"/>
      <w:r w:rsidRPr="003C52A0">
        <w:rPr>
          <w:rFonts w:eastAsia="Calibri"/>
          <w:lang w:val="es-CU" w:eastAsia="en-US"/>
        </w:rPr>
        <w:t xml:space="preserve"> </w:t>
      </w:r>
      <w:hyperlink r:id="rId10" w:history="1">
        <w:r w:rsidRPr="003C52A0">
          <w:rPr>
            <w:rFonts w:eastAsia="Calibri"/>
            <w:color w:val="0000FF"/>
            <w:u w:val="single"/>
            <w:lang w:val="es-ES" w:eastAsia="en-US"/>
          </w:rPr>
          <w:t>http://orcid.org/0000-0002-6307-2808</w:t>
        </w:r>
      </w:hyperlink>
    </w:p>
    <w:p w14:paraId="2A2A246B" w14:textId="77777777" w:rsidR="003C52A0" w:rsidRPr="003C52A0" w:rsidRDefault="003C52A0" w:rsidP="003C52A0">
      <w:pPr>
        <w:spacing w:line="360" w:lineRule="auto"/>
        <w:rPr>
          <w:rFonts w:eastAsia="Calibri"/>
          <w:lang w:val="pt-BR" w:eastAsia="en-US"/>
        </w:rPr>
      </w:pPr>
      <w:proofErr w:type="spellStart"/>
      <w:r w:rsidRPr="003C52A0">
        <w:rPr>
          <w:rFonts w:eastAsia="Calibri"/>
          <w:lang w:val="pt-BR" w:eastAsia="en-US"/>
        </w:rPr>
        <w:t>Vilvia</w:t>
      </w:r>
      <w:proofErr w:type="spellEnd"/>
      <w:r w:rsidRPr="003C52A0">
        <w:rPr>
          <w:rFonts w:eastAsia="Calibri"/>
          <w:lang w:val="pt-BR" w:eastAsia="en-US"/>
        </w:rPr>
        <w:t xml:space="preserve"> Ramos </w:t>
      </w:r>
      <w:proofErr w:type="spellStart"/>
      <w:r w:rsidRPr="003C52A0">
        <w:rPr>
          <w:rFonts w:eastAsia="Calibri"/>
          <w:lang w:val="pt-BR" w:eastAsia="en-US"/>
        </w:rPr>
        <w:t>Zamora</w:t>
      </w:r>
      <w:r w:rsidRPr="003C52A0">
        <w:rPr>
          <w:rFonts w:eastAsia="Calibri"/>
          <w:vertAlign w:val="superscript"/>
          <w:lang w:val="pt-BR" w:eastAsia="en-US"/>
        </w:rPr>
        <w:t>1</w:t>
      </w:r>
      <w:proofErr w:type="spellEnd"/>
      <w:r w:rsidRPr="003C52A0">
        <w:rPr>
          <w:rFonts w:eastAsia="Calibri"/>
          <w:lang w:val="pt-BR" w:eastAsia="en-US"/>
        </w:rPr>
        <w:t xml:space="preserve"> </w:t>
      </w:r>
      <w:hyperlink r:id="rId11" w:tgtFrame="_blank" w:history="1">
        <w:r w:rsidRPr="003C52A0">
          <w:rPr>
            <w:rFonts w:eastAsia="Calibri"/>
            <w:color w:val="0000FF"/>
            <w:u w:val="single"/>
            <w:lang w:val="pt-BR" w:eastAsia="en-US"/>
          </w:rPr>
          <w:t>http://orcid.org/0000-0001-7497-1158</w:t>
        </w:r>
      </w:hyperlink>
    </w:p>
    <w:p w14:paraId="2DC3F2D1" w14:textId="77777777" w:rsidR="003C52A0" w:rsidRPr="003C52A0" w:rsidRDefault="003C52A0" w:rsidP="003C52A0">
      <w:pPr>
        <w:spacing w:line="360" w:lineRule="auto"/>
        <w:rPr>
          <w:rFonts w:eastAsia="Calibri"/>
          <w:lang w:val="es-CU" w:eastAsia="en-US"/>
        </w:rPr>
      </w:pPr>
      <w:r w:rsidRPr="003C52A0">
        <w:rPr>
          <w:rFonts w:eastAsia="Calibri"/>
          <w:lang w:val="es-CU" w:eastAsia="en-US"/>
        </w:rPr>
        <w:t xml:space="preserve">Eneida Gil </w:t>
      </w:r>
      <w:proofErr w:type="spellStart"/>
      <w:r w:rsidRPr="003C52A0">
        <w:rPr>
          <w:rFonts w:eastAsia="Calibri"/>
          <w:lang w:val="es-CU" w:eastAsia="en-US"/>
        </w:rPr>
        <w:t>Agramonte</w:t>
      </w:r>
      <w:r w:rsidRPr="003C52A0">
        <w:rPr>
          <w:rFonts w:eastAsia="Calibri"/>
          <w:vertAlign w:val="superscript"/>
          <w:lang w:val="es-CU" w:eastAsia="en-US"/>
        </w:rPr>
        <w:t>1</w:t>
      </w:r>
      <w:proofErr w:type="spellEnd"/>
      <w:r w:rsidRPr="003C52A0">
        <w:rPr>
          <w:rFonts w:eastAsia="Calibri"/>
          <w:lang w:val="es-CU" w:eastAsia="en-US"/>
        </w:rPr>
        <w:t xml:space="preserve"> </w:t>
      </w:r>
      <w:hyperlink r:id="rId12" w:tgtFrame="_blank" w:history="1">
        <w:r w:rsidRPr="003C52A0">
          <w:rPr>
            <w:rFonts w:eastAsia="Calibri"/>
            <w:color w:val="0000FF"/>
            <w:u w:val="single"/>
            <w:lang w:val="es-ES" w:eastAsia="en-US"/>
          </w:rPr>
          <w:t>http://orcid.org/0000-0002-0192-6134</w:t>
        </w:r>
      </w:hyperlink>
    </w:p>
    <w:p w14:paraId="5146FC83" w14:textId="77777777" w:rsidR="003C52A0" w:rsidRPr="003C52A0" w:rsidRDefault="003C52A0" w:rsidP="003C52A0">
      <w:pPr>
        <w:spacing w:line="360" w:lineRule="auto"/>
        <w:rPr>
          <w:rFonts w:eastAsia="Calibri"/>
          <w:bCs/>
          <w:lang w:val="es-CU" w:eastAsia="en-US"/>
        </w:rPr>
      </w:pPr>
    </w:p>
    <w:p w14:paraId="2B521D76" w14:textId="77777777" w:rsidR="003C52A0" w:rsidRPr="003C52A0" w:rsidRDefault="003C52A0" w:rsidP="003C52A0">
      <w:pPr>
        <w:spacing w:line="360" w:lineRule="auto"/>
        <w:rPr>
          <w:rFonts w:eastAsia="Calibri"/>
          <w:bCs/>
          <w:lang w:val="es-CU" w:eastAsia="en-US"/>
        </w:rPr>
      </w:pPr>
      <w:proofErr w:type="spellStart"/>
      <w:r w:rsidRPr="003C52A0">
        <w:rPr>
          <w:rFonts w:eastAsia="Calibri"/>
          <w:bCs/>
          <w:vertAlign w:val="superscript"/>
          <w:lang w:val="es-CU" w:eastAsia="en-US"/>
        </w:rPr>
        <w:t>1</w:t>
      </w:r>
      <w:r w:rsidRPr="003C52A0">
        <w:rPr>
          <w:rFonts w:eastAsia="Calibri"/>
          <w:bCs/>
          <w:lang w:val="es-CU" w:eastAsia="en-US"/>
        </w:rPr>
        <w:t>Hospital</w:t>
      </w:r>
      <w:proofErr w:type="spellEnd"/>
      <w:r w:rsidRPr="003C52A0">
        <w:rPr>
          <w:rFonts w:eastAsia="Calibri"/>
          <w:bCs/>
          <w:lang w:val="es-CU" w:eastAsia="en-US"/>
        </w:rPr>
        <w:t xml:space="preserve"> Militar Central "Dr. Luis Díaz Soto". La Habana, Cuba.</w:t>
      </w:r>
    </w:p>
    <w:p w14:paraId="0840F29D" w14:textId="77777777" w:rsidR="003C52A0" w:rsidRPr="003C52A0" w:rsidRDefault="003C52A0" w:rsidP="003C52A0">
      <w:pPr>
        <w:spacing w:line="360" w:lineRule="auto"/>
        <w:rPr>
          <w:rFonts w:eastAsia="Calibri"/>
          <w:bCs/>
          <w:lang w:val="es-CU" w:eastAsia="en-US"/>
        </w:rPr>
      </w:pPr>
    </w:p>
    <w:p w14:paraId="3EA83419" w14:textId="77777777" w:rsidR="003C52A0" w:rsidRPr="003C52A0" w:rsidRDefault="003C52A0" w:rsidP="003C52A0">
      <w:pPr>
        <w:spacing w:line="360" w:lineRule="auto"/>
        <w:rPr>
          <w:rFonts w:eastAsia="Calibri"/>
          <w:bCs/>
          <w:lang w:val="es-CU" w:eastAsia="en-US"/>
        </w:rPr>
      </w:pPr>
      <w:r w:rsidRPr="003C52A0">
        <w:rPr>
          <w:rFonts w:eastAsia="Calibri"/>
          <w:bCs/>
          <w:lang w:val="es-CU" w:eastAsia="en-US"/>
        </w:rPr>
        <w:t xml:space="preserve">*Autor para la correspondencia. Correo electrónico: </w:t>
      </w:r>
      <w:hyperlink r:id="rId13" w:history="1">
        <w:r w:rsidRPr="003C52A0">
          <w:rPr>
            <w:rFonts w:eastAsia="Calibri"/>
            <w:bCs/>
            <w:color w:val="0000FF"/>
            <w:u w:val="single"/>
            <w:lang w:val="es-CU" w:eastAsia="en-US"/>
          </w:rPr>
          <w:t>sarauc@infomed.sld.cu</w:t>
        </w:r>
      </w:hyperlink>
      <w:r w:rsidRPr="003C52A0">
        <w:rPr>
          <w:rFonts w:eastAsia="Calibri"/>
          <w:bCs/>
          <w:lang w:val="es-CU" w:eastAsia="en-US"/>
        </w:rPr>
        <w:t xml:space="preserve"> </w:t>
      </w:r>
    </w:p>
    <w:p w14:paraId="55E36C5C" w14:textId="77777777" w:rsidR="003C52A0" w:rsidRPr="003C52A0" w:rsidRDefault="003C52A0" w:rsidP="003C52A0">
      <w:pPr>
        <w:spacing w:line="360" w:lineRule="auto"/>
        <w:rPr>
          <w:rFonts w:eastAsia="Calibri"/>
          <w:bCs/>
          <w:lang w:val="es-CU" w:eastAsia="en-US"/>
        </w:rPr>
      </w:pPr>
    </w:p>
    <w:p w14:paraId="10C0F7FE" w14:textId="77777777" w:rsidR="003C52A0" w:rsidRPr="003C52A0" w:rsidRDefault="003C52A0" w:rsidP="003C52A0">
      <w:pPr>
        <w:spacing w:line="360" w:lineRule="auto"/>
        <w:rPr>
          <w:rFonts w:eastAsia="Calibri"/>
          <w:b/>
          <w:bCs/>
          <w:lang w:val="es-ES" w:eastAsia="en-US"/>
        </w:rPr>
      </w:pPr>
      <w:r w:rsidRPr="003C52A0">
        <w:rPr>
          <w:rFonts w:eastAsia="Calibri"/>
          <w:b/>
          <w:bCs/>
          <w:lang w:val="es-ES" w:eastAsia="en-US"/>
        </w:rPr>
        <w:t>RESUMEN</w:t>
      </w:r>
    </w:p>
    <w:p w14:paraId="55F67455" w14:textId="77777777" w:rsidR="003C52A0" w:rsidRPr="003C52A0" w:rsidRDefault="003C52A0" w:rsidP="003C52A0">
      <w:pPr>
        <w:autoSpaceDE w:val="0"/>
        <w:autoSpaceDN w:val="0"/>
        <w:adjustRightInd w:val="0"/>
        <w:spacing w:line="360" w:lineRule="auto"/>
        <w:jc w:val="both"/>
        <w:rPr>
          <w:b/>
          <w:bCs/>
          <w:lang w:val="es-ES" w:eastAsia="es-ES"/>
        </w:rPr>
      </w:pPr>
      <w:r w:rsidRPr="003C52A0">
        <w:rPr>
          <w:b/>
          <w:bCs/>
          <w:lang w:val="es-ES" w:eastAsia="es-ES"/>
        </w:rPr>
        <w:t xml:space="preserve">Introducción: </w:t>
      </w:r>
      <w:r w:rsidRPr="003C52A0">
        <w:rPr>
          <w:color w:val="000000"/>
          <w:lang w:val="es-ES" w:eastAsia="es-ES"/>
        </w:rPr>
        <w:t>Las disfunciones del suelo pélvico se considera</w:t>
      </w:r>
      <w:r w:rsidRPr="003C52A0">
        <w:rPr>
          <w:color w:val="000000"/>
          <w:lang w:val="es-ES" w:eastAsia="es-ES"/>
        </w:rPr>
        <w:softHyphen/>
        <w:t>n un problema de salud en el mundo y constituyen una de las indicaciones de operaciones ginecológicas más comunes</w:t>
      </w:r>
      <w:r w:rsidRPr="003C52A0">
        <w:rPr>
          <w:bCs/>
          <w:lang w:val="es-ES" w:eastAsia="es-ES"/>
        </w:rPr>
        <w:t xml:space="preserve">. Entre sus variantes está el prolapso de la cúpula vaginal.  </w:t>
      </w:r>
    </w:p>
    <w:p w14:paraId="6AD9CF65" w14:textId="77777777" w:rsidR="003C52A0" w:rsidRPr="003C52A0" w:rsidRDefault="003C52A0" w:rsidP="003C52A0">
      <w:pPr>
        <w:autoSpaceDE w:val="0"/>
        <w:autoSpaceDN w:val="0"/>
        <w:adjustRightInd w:val="0"/>
        <w:spacing w:line="360" w:lineRule="auto"/>
        <w:jc w:val="both"/>
        <w:rPr>
          <w:bCs/>
          <w:lang w:val="es-ES" w:eastAsia="es-ES"/>
        </w:rPr>
      </w:pPr>
      <w:r w:rsidRPr="003C52A0">
        <w:rPr>
          <w:b/>
          <w:bCs/>
          <w:lang w:val="es-ES" w:eastAsia="es-ES"/>
        </w:rPr>
        <w:t>Objetivos:</w:t>
      </w:r>
      <w:r w:rsidRPr="003C52A0">
        <w:rPr>
          <w:bCs/>
          <w:lang w:val="es-ES" w:eastAsia="es-ES"/>
        </w:rPr>
        <w:t xml:space="preserve"> Evaluar los resultados de la corrección del prolapso de cúpula vaginal por la técnica de </w:t>
      </w:r>
      <w:proofErr w:type="spellStart"/>
      <w:r w:rsidRPr="003C52A0">
        <w:rPr>
          <w:bCs/>
          <w:lang w:val="es-ES" w:eastAsia="es-ES"/>
        </w:rPr>
        <w:t>colpopexia</w:t>
      </w:r>
      <w:proofErr w:type="spellEnd"/>
      <w:r w:rsidRPr="003C52A0">
        <w:rPr>
          <w:bCs/>
          <w:lang w:val="es-ES" w:eastAsia="es-ES"/>
        </w:rPr>
        <w:t xml:space="preserve">, mediante fijación con tiras aponeuróticas a la pared abdominal anterior.  </w:t>
      </w:r>
    </w:p>
    <w:p w14:paraId="40F652D2" w14:textId="77777777" w:rsidR="003C52A0" w:rsidRPr="003C52A0" w:rsidRDefault="003C52A0" w:rsidP="003C52A0">
      <w:pPr>
        <w:autoSpaceDE w:val="0"/>
        <w:autoSpaceDN w:val="0"/>
        <w:adjustRightInd w:val="0"/>
        <w:spacing w:line="360" w:lineRule="auto"/>
        <w:jc w:val="both"/>
        <w:rPr>
          <w:lang w:val="es-ES" w:eastAsia="es-ES"/>
        </w:rPr>
      </w:pPr>
      <w:r w:rsidRPr="003C52A0">
        <w:rPr>
          <w:b/>
          <w:bCs/>
          <w:lang w:val="es-ES" w:eastAsia="es-ES"/>
        </w:rPr>
        <w:t>Métodos</w:t>
      </w:r>
      <w:r w:rsidRPr="003C52A0">
        <w:rPr>
          <w:b/>
          <w:lang w:val="es-ES" w:eastAsia="es-ES"/>
        </w:rPr>
        <w:t xml:space="preserve">: </w:t>
      </w:r>
      <w:r w:rsidRPr="003C52A0">
        <w:rPr>
          <w:lang w:val="es-ES" w:eastAsia="es-ES"/>
        </w:rPr>
        <w:t xml:space="preserve">Se realizó un estudio observacional, descriptivo. Las variables utilizadas fueron la edad, presencia de comorbilidades, el número de cirugías previas y el grado de satisfacción subjetivo de las pacientes, luego del procedimiento.  </w:t>
      </w:r>
    </w:p>
    <w:p w14:paraId="44D42951" w14:textId="77777777" w:rsidR="003C52A0" w:rsidRPr="003C52A0" w:rsidRDefault="003C52A0" w:rsidP="003C52A0">
      <w:pPr>
        <w:autoSpaceDE w:val="0"/>
        <w:autoSpaceDN w:val="0"/>
        <w:adjustRightInd w:val="0"/>
        <w:spacing w:line="360" w:lineRule="auto"/>
        <w:jc w:val="both"/>
        <w:rPr>
          <w:color w:val="000000"/>
          <w:lang w:val="es-ES" w:eastAsia="es-ES"/>
        </w:rPr>
      </w:pPr>
      <w:r w:rsidRPr="003C52A0">
        <w:rPr>
          <w:b/>
          <w:lang w:val="es-ES" w:eastAsia="es-ES"/>
        </w:rPr>
        <w:t>Resultados:</w:t>
      </w:r>
      <w:r w:rsidRPr="003C52A0">
        <w:rPr>
          <w:lang w:val="es-ES" w:eastAsia="es-ES"/>
        </w:rPr>
        <w:t xml:space="preserve"> Hubo predominio de edades avanzadas en la muestra estudiada con 89,5 % de pacientes mayores de 55 años. En la mayoría de las pacientes se encontró una o más comorbilidades que favorecieron la presencia de esta afección. Un total de 8 pacientes habían sido sometidas a una cirugía </w:t>
      </w:r>
      <w:r w:rsidRPr="003C52A0">
        <w:rPr>
          <w:lang w:val="es-ES" w:eastAsia="es-ES"/>
        </w:rPr>
        <w:lastRenderedPageBreak/>
        <w:t xml:space="preserve">correctora previa para el prolapso (30,7 %). </w:t>
      </w:r>
      <w:r w:rsidRPr="003C52A0">
        <w:rPr>
          <w:color w:val="000000"/>
          <w:lang w:val="es-ES" w:eastAsia="es-ES"/>
        </w:rPr>
        <w:t xml:space="preserve">Al mes de la cirugía el 80,7 % tenía una puntuación de 1-3 de la escala de evaluación PGI-I, valor que fue en ascenso y alcanzó el 96,1 % a los 3 meses, el 100 % a los 6 meses y al año.  </w:t>
      </w:r>
    </w:p>
    <w:p w14:paraId="1A41D8E7" w14:textId="77777777" w:rsidR="003C52A0" w:rsidRPr="003C52A0" w:rsidRDefault="003C52A0" w:rsidP="003C52A0">
      <w:pPr>
        <w:autoSpaceDE w:val="0"/>
        <w:autoSpaceDN w:val="0"/>
        <w:adjustRightInd w:val="0"/>
        <w:spacing w:line="360" w:lineRule="auto"/>
        <w:jc w:val="both"/>
        <w:rPr>
          <w:lang w:val="es-ES" w:eastAsia="es-ES"/>
        </w:rPr>
      </w:pPr>
      <w:r w:rsidRPr="003C52A0">
        <w:rPr>
          <w:b/>
          <w:bCs/>
          <w:lang w:val="es-ES" w:eastAsia="es-ES"/>
        </w:rPr>
        <w:t>Conclusiones:</w:t>
      </w:r>
      <w:r w:rsidRPr="003C52A0">
        <w:rPr>
          <w:lang w:val="es-ES" w:eastAsia="es-ES"/>
        </w:rPr>
        <w:t xml:space="preserve"> La corrección del prolapso de la cúpula vaginal, mediante </w:t>
      </w:r>
      <w:proofErr w:type="spellStart"/>
      <w:r w:rsidRPr="003C52A0">
        <w:rPr>
          <w:lang w:val="es-ES" w:eastAsia="es-ES"/>
        </w:rPr>
        <w:t>colpopexia</w:t>
      </w:r>
      <w:proofErr w:type="spellEnd"/>
      <w:r w:rsidRPr="003C52A0">
        <w:rPr>
          <w:lang w:val="es-ES" w:eastAsia="es-ES"/>
        </w:rPr>
        <w:t xml:space="preserve"> por vía abdominal es una alternativa de tratamiento para las pacientes, fundamentalmente jóvenes o que quieren conservar la funcionalidad vaginal y la vida sexual activa.</w:t>
      </w:r>
    </w:p>
    <w:p w14:paraId="6B2ACC8A" w14:textId="77777777" w:rsidR="003C52A0" w:rsidRPr="003C52A0" w:rsidRDefault="003C52A0" w:rsidP="003C52A0">
      <w:pPr>
        <w:autoSpaceDE w:val="0"/>
        <w:autoSpaceDN w:val="0"/>
        <w:adjustRightInd w:val="0"/>
        <w:spacing w:line="360" w:lineRule="auto"/>
        <w:jc w:val="both"/>
        <w:rPr>
          <w:lang w:val="es-ES" w:eastAsia="es-ES"/>
        </w:rPr>
      </w:pPr>
      <w:r w:rsidRPr="003C52A0">
        <w:rPr>
          <w:b/>
          <w:lang w:val="es-ES" w:eastAsia="es-ES"/>
        </w:rPr>
        <w:t xml:space="preserve">Palabras clave: </w:t>
      </w:r>
      <w:r w:rsidRPr="003C52A0">
        <w:rPr>
          <w:lang w:val="es-ES" w:eastAsia="es-ES"/>
        </w:rPr>
        <w:t xml:space="preserve">prolapso de cúpula vaginal, </w:t>
      </w:r>
      <w:proofErr w:type="spellStart"/>
      <w:r w:rsidRPr="003C52A0">
        <w:rPr>
          <w:lang w:val="es-ES" w:eastAsia="es-ES"/>
        </w:rPr>
        <w:t>colpopexia</w:t>
      </w:r>
      <w:proofErr w:type="spellEnd"/>
      <w:r w:rsidRPr="003C52A0">
        <w:rPr>
          <w:lang w:val="es-ES" w:eastAsia="es-ES"/>
        </w:rPr>
        <w:t xml:space="preserve"> abdominal.</w:t>
      </w:r>
    </w:p>
    <w:p w14:paraId="63F5B3EE" w14:textId="77777777" w:rsidR="003C52A0" w:rsidRPr="003C52A0" w:rsidRDefault="003C52A0" w:rsidP="003C52A0">
      <w:pPr>
        <w:autoSpaceDE w:val="0"/>
        <w:autoSpaceDN w:val="0"/>
        <w:adjustRightInd w:val="0"/>
        <w:spacing w:line="360" w:lineRule="auto"/>
        <w:jc w:val="both"/>
        <w:rPr>
          <w:b/>
          <w:lang w:val="es-CU" w:eastAsia="es-ES"/>
        </w:rPr>
      </w:pPr>
    </w:p>
    <w:p w14:paraId="64049D95" w14:textId="77777777" w:rsidR="003C52A0" w:rsidRPr="003C52A0" w:rsidRDefault="003C52A0" w:rsidP="003C52A0">
      <w:pPr>
        <w:autoSpaceDE w:val="0"/>
        <w:autoSpaceDN w:val="0"/>
        <w:adjustRightInd w:val="0"/>
        <w:spacing w:line="360" w:lineRule="auto"/>
        <w:jc w:val="both"/>
        <w:rPr>
          <w:b/>
          <w:lang w:val="en-US" w:eastAsia="es-ES"/>
        </w:rPr>
      </w:pPr>
      <w:r w:rsidRPr="003C52A0">
        <w:rPr>
          <w:b/>
          <w:lang w:val="en-US" w:eastAsia="es-ES"/>
        </w:rPr>
        <w:t>ABSTRACT</w:t>
      </w:r>
    </w:p>
    <w:p w14:paraId="201E3B17" w14:textId="77777777" w:rsidR="003C52A0" w:rsidRPr="003C52A0" w:rsidRDefault="003C52A0" w:rsidP="003C5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3C52A0">
        <w:rPr>
          <w:b/>
          <w:lang w:val="en" w:eastAsia="es-ES"/>
        </w:rPr>
        <w:t>Introduction</w:t>
      </w:r>
      <w:r w:rsidRPr="003C52A0">
        <w:rPr>
          <w:b/>
          <w:bCs/>
          <w:lang w:val="en" w:eastAsia="es-ES"/>
        </w:rPr>
        <w:t>:</w:t>
      </w:r>
      <w:r w:rsidRPr="003C52A0">
        <w:rPr>
          <w:lang w:val="en" w:eastAsia="es-ES"/>
        </w:rPr>
        <w:t xml:space="preserve"> Pelvic floor dysfunctions are considered a health problem in the world, and constitute one of the most common indications for gynecological surgery. Among its variants is the prolapse of the vaginal vault.</w:t>
      </w:r>
    </w:p>
    <w:p w14:paraId="42CDB2A7" w14:textId="77777777" w:rsidR="003C52A0" w:rsidRPr="003C52A0" w:rsidRDefault="003C52A0" w:rsidP="003C5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3C52A0">
        <w:rPr>
          <w:b/>
          <w:lang w:val="en" w:eastAsia="es-ES"/>
        </w:rPr>
        <w:t>Objectives</w:t>
      </w:r>
      <w:r w:rsidRPr="003C52A0">
        <w:rPr>
          <w:b/>
          <w:bCs/>
          <w:lang w:val="en" w:eastAsia="es-ES"/>
        </w:rPr>
        <w:t>:</w:t>
      </w:r>
      <w:r w:rsidRPr="003C52A0">
        <w:rPr>
          <w:lang w:val="en" w:eastAsia="es-ES"/>
        </w:rPr>
        <w:t xml:space="preserve"> To evaluate the results of the correction of the vaginal vault prolapse by the colpopexy technique by means of fixation with aponeurotic strips to the anterior abdominal wall.</w:t>
      </w:r>
    </w:p>
    <w:p w14:paraId="684B8D94" w14:textId="77777777" w:rsidR="003C52A0" w:rsidRPr="003C52A0" w:rsidRDefault="003C52A0" w:rsidP="003C5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3C52A0">
        <w:rPr>
          <w:b/>
          <w:lang w:val="en" w:eastAsia="es-ES"/>
        </w:rPr>
        <w:t>Methods:</w:t>
      </w:r>
      <w:r w:rsidRPr="003C52A0">
        <w:rPr>
          <w:lang w:val="en" w:eastAsia="es-ES"/>
        </w:rPr>
        <w:t xml:space="preserve"> An observational, descriptive, retrospective study was carried out. The variables used were age, presence of comorbidities, the number of previous surgeries and the degree of subjective satisfaction of the patients after the procedure.</w:t>
      </w:r>
    </w:p>
    <w:p w14:paraId="35834999" w14:textId="77777777" w:rsidR="003C52A0" w:rsidRPr="003C52A0" w:rsidRDefault="003C52A0" w:rsidP="003C5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3C52A0">
        <w:rPr>
          <w:b/>
          <w:lang w:val="en" w:eastAsia="es-ES"/>
        </w:rPr>
        <w:t>Results</w:t>
      </w:r>
      <w:r w:rsidRPr="003C52A0">
        <w:rPr>
          <w:b/>
          <w:bCs/>
          <w:lang w:val="en" w:eastAsia="es-ES"/>
        </w:rPr>
        <w:t>:</w:t>
      </w:r>
      <w:r w:rsidRPr="003C52A0">
        <w:rPr>
          <w:lang w:val="en" w:eastAsia="es-ES"/>
        </w:rPr>
        <w:t xml:space="preserve"> There was a predominance of advanced ages in the sample studied with 89.5% of patients older than 55 years. In most of the patients, one or more comorbidities were found that favored the presence of this condition. A total of 8 patients had undergone previous corrective surgery for the prolapse (30.7%). One month after surgery, 80.7% had a score of 1-3 on the evaluation, a value that increased and reached 96.1% at 3 months, and 100% at 6 months, and one year.</w:t>
      </w:r>
    </w:p>
    <w:p w14:paraId="08AB3C77" w14:textId="77777777" w:rsidR="003C52A0" w:rsidRPr="003C52A0" w:rsidRDefault="003C52A0" w:rsidP="003C5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3C52A0">
        <w:rPr>
          <w:b/>
          <w:lang w:val="en" w:eastAsia="es-ES"/>
        </w:rPr>
        <w:t>Conclusions</w:t>
      </w:r>
      <w:r w:rsidRPr="003C52A0">
        <w:rPr>
          <w:b/>
          <w:bCs/>
          <w:lang w:val="en" w:eastAsia="es-ES"/>
        </w:rPr>
        <w:t>:</w:t>
      </w:r>
      <w:r w:rsidRPr="003C52A0">
        <w:rPr>
          <w:lang w:val="en" w:eastAsia="es-ES"/>
        </w:rPr>
        <w:t xml:space="preserve"> Vaginal vault prolapse correction by mean of abdominal way colpopexy is therapeutic alternative, mainly young, and those who want to preserve vaginal functionality, and active sexual life.</w:t>
      </w:r>
    </w:p>
    <w:p w14:paraId="2C3B5874" w14:textId="77777777" w:rsidR="003C52A0" w:rsidRPr="003C52A0" w:rsidRDefault="003C52A0" w:rsidP="003C5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3C52A0">
        <w:rPr>
          <w:b/>
          <w:lang w:val="en" w:eastAsia="es-ES"/>
        </w:rPr>
        <w:t>Keywords</w:t>
      </w:r>
      <w:r w:rsidRPr="003C52A0">
        <w:rPr>
          <w:b/>
          <w:bCs/>
          <w:lang w:val="en" w:eastAsia="es-ES"/>
        </w:rPr>
        <w:t>:</w:t>
      </w:r>
      <w:r w:rsidRPr="003C52A0">
        <w:rPr>
          <w:lang w:val="en" w:eastAsia="es-ES"/>
        </w:rPr>
        <w:t xml:space="preserve"> vaginal vault prolapse, abdominal colpopexy.</w:t>
      </w:r>
    </w:p>
    <w:p w14:paraId="7BBD2EF5" w14:textId="77777777" w:rsidR="003C52A0" w:rsidRPr="003C52A0" w:rsidRDefault="003C52A0" w:rsidP="003C5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p>
    <w:p w14:paraId="23BF5E86" w14:textId="77777777" w:rsidR="003C52A0" w:rsidRPr="003C52A0" w:rsidRDefault="003C52A0" w:rsidP="003C5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p>
    <w:p w14:paraId="00921E2D" w14:textId="77777777" w:rsidR="00530E2F" w:rsidRDefault="00530E2F">
      <w:pPr>
        <w:rPr>
          <w:lang w:val="es-CU" w:eastAsia="es-ES"/>
        </w:rPr>
      </w:pPr>
      <w:r>
        <w:rPr>
          <w:lang w:val="es-CU" w:eastAsia="es-ES"/>
        </w:rPr>
        <w:br w:type="page"/>
      </w:r>
    </w:p>
    <w:p w14:paraId="7F99F558" w14:textId="1CD05D25" w:rsidR="003C52A0" w:rsidRPr="003C52A0" w:rsidRDefault="003C52A0" w:rsidP="003C5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CU" w:eastAsia="es-ES"/>
        </w:rPr>
      </w:pPr>
      <w:r w:rsidRPr="003C52A0">
        <w:rPr>
          <w:lang w:val="es-CU" w:eastAsia="es-ES"/>
        </w:rPr>
        <w:lastRenderedPageBreak/>
        <w:t>Recibido: 16/06/2022</w:t>
      </w:r>
    </w:p>
    <w:p w14:paraId="506639CA" w14:textId="77777777" w:rsidR="003C52A0" w:rsidRPr="003C52A0" w:rsidRDefault="003C52A0" w:rsidP="003C5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CU" w:eastAsia="es-ES"/>
        </w:rPr>
      </w:pPr>
      <w:r w:rsidRPr="003C52A0">
        <w:rPr>
          <w:lang w:val="es-CU" w:eastAsia="es-ES"/>
        </w:rPr>
        <w:t>Aprobado: 30/11/2022</w:t>
      </w:r>
    </w:p>
    <w:p w14:paraId="7CC3C7EE" w14:textId="77777777" w:rsidR="003C52A0" w:rsidRPr="003C52A0" w:rsidRDefault="003C52A0" w:rsidP="003C52A0">
      <w:pPr>
        <w:spacing w:line="360" w:lineRule="auto"/>
        <w:jc w:val="both"/>
        <w:rPr>
          <w:lang w:val="es-CU" w:eastAsia="es-ES"/>
        </w:rPr>
      </w:pPr>
    </w:p>
    <w:p w14:paraId="7DD9F596" w14:textId="77777777" w:rsidR="003C52A0" w:rsidRPr="003C52A0" w:rsidRDefault="003C52A0" w:rsidP="003C52A0">
      <w:pPr>
        <w:autoSpaceDE w:val="0"/>
        <w:autoSpaceDN w:val="0"/>
        <w:adjustRightInd w:val="0"/>
        <w:spacing w:line="360" w:lineRule="auto"/>
        <w:jc w:val="both"/>
        <w:rPr>
          <w:b/>
          <w:bCs/>
          <w:color w:val="000000"/>
          <w:lang w:val="es-ES" w:eastAsia="es-ES"/>
        </w:rPr>
      </w:pPr>
    </w:p>
    <w:p w14:paraId="2DAF6CB6" w14:textId="77777777" w:rsidR="003C52A0" w:rsidRPr="003C52A0" w:rsidRDefault="003C52A0" w:rsidP="003C52A0">
      <w:pPr>
        <w:autoSpaceDE w:val="0"/>
        <w:autoSpaceDN w:val="0"/>
        <w:adjustRightInd w:val="0"/>
        <w:spacing w:line="360" w:lineRule="auto"/>
        <w:jc w:val="center"/>
        <w:rPr>
          <w:color w:val="000000"/>
          <w:sz w:val="32"/>
          <w:szCs w:val="32"/>
          <w:lang w:val="es-ES" w:eastAsia="es-ES"/>
        </w:rPr>
      </w:pPr>
      <w:r w:rsidRPr="003C52A0">
        <w:rPr>
          <w:b/>
          <w:bCs/>
          <w:color w:val="000000"/>
          <w:sz w:val="32"/>
          <w:szCs w:val="32"/>
          <w:lang w:val="es-ES" w:eastAsia="es-ES"/>
        </w:rPr>
        <w:t>INTRODUCCIÓN</w:t>
      </w:r>
    </w:p>
    <w:p w14:paraId="3DEA4747" w14:textId="77777777" w:rsidR="003C52A0" w:rsidRPr="003C52A0" w:rsidRDefault="003C52A0" w:rsidP="003C52A0">
      <w:pPr>
        <w:autoSpaceDE w:val="0"/>
        <w:autoSpaceDN w:val="0"/>
        <w:adjustRightInd w:val="0"/>
        <w:spacing w:line="360" w:lineRule="auto"/>
        <w:jc w:val="both"/>
        <w:rPr>
          <w:color w:val="000000"/>
          <w:vertAlign w:val="superscript"/>
          <w:lang w:val="es-ES" w:eastAsia="es-ES"/>
        </w:rPr>
      </w:pPr>
      <w:r w:rsidRPr="003C52A0">
        <w:rPr>
          <w:color w:val="000000"/>
          <w:lang w:val="es-ES" w:eastAsia="es-ES"/>
        </w:rPr>
        <w:t>Las disfunciones del suelo pélvico se considera</w:t>
      </w:r>
      <w:r w:rsidRPr="003C52A0">
        <w:rPr>
          <w:color w:val="000000"/>
          <w:lang w:val="es-ES" w:eastAsia="es-ES"/>
        </w:rPr>
        <w:softHyphen/>
        <w:t>n un problema de salud en el mundo y constituyen una de las indicaciones de operaciones ginecológicas más comunes</w:t>
      </w:r>
      <w:r w:rsidRPr="003C52A0">
        <w:rPr>
          <w:bCs/>
          <w:lang w:val="es-ES" w:eastAsia="es-ES"/>
        </w:rPr>
        <w:t>. Entre sus variantes está el prolapso de la cúpula vaginal. A</w:t>
      </w:r>
      <w:r w:rsidRPr="003C52A0">
        <w:rPr>
          <w:color w:val="000000"/>
          <w:lang w:val="es-ES" w:eastAsia="es-ES"/>
        </w:rPr>
        <w:t xml:space="preserve">lrededor del 10 al 20 % de las pacientes que lo presenta refiere síntomas, fundamentalmente tumoración o sensación de pesadez en los genitales. Puede presentar también alteración del sistema urinario, intestinal o disfunción </w:t>
      </w:r>
      <w:proofErr w:type="gramStart"/>
      <w:r w:rsidRPr="003C52A0">
        <w:rPr>
          <w:color w:val="000000"/>
          <w:lang w:val="es-ES" w:eastAsia="es-ES"/>
        </w:rPr>
        <w:t>sexual.</w:t>
      </w:r>
      <w:r w:rsidRPr="003C52A0">
        <w:rPr>
          <w:color w:val="000000"/>
          <w:vertAlign w:val="superscript"/>
          <w:lang w:val="es-ES" w:eastAsia="es-ES"/>
        </w:rPr>
        <w:t>(</w:t>
      </w:r>
      <w:proofErr w:type="gramEnd"/>
      <w:r w:rsidRPr="003C52A0">
        <w:rPr>
          <w:color w:val="000000"/>
          <w:vertAlign w:val="superscript"/>
          <w:lang w:val="es-ES" w:eastAsia="es-ES"/>
        </w:rPr>
        <w:t>1,2)</w:t>
      </w:r>
    </w:p>
    <w:p w14:paraId="5FBD3B5E" w14:textId="77777777" w:rsidR="003C52A0" w:rsidRPr="003C52A0" w:rsidRDefault="003C52A0" w:rsidP="003C52A0">
      <w:pPr>
        <w:spacing w:line="360" w:lineRule="auto"/>
        <w:jc w:val="both"/>
        <w:rPr>
          <w:color w:val="000000"/>
          <w:lang w:val="es-ES" w:eastAsia="es-ES"/>
        </w:rPr>
      </w:pPr>
      <w:r w:rsidRPr="003C52A0">
        <w:rPr>
          <w:color w:val="000000"/>
          <w:lang w:val="es-ES" w:eastAsia="es-ES"/>
        </w:rPr>
        <w:t xml:space="preserve">La incidencia de prolapso de cúpula vaginal se encuentra según la literatura revisada entre 3 y 4 por cada 1 000 mujeres, con un riesgo de 1 % a los 3 años y de un 5 % a los 17 años después de una histerectomía. La mayoría de los reportes coinciden en </w:t>
      </w:r>
      <w:r w:rsidRPr="003C52A0">
        <w:rPr>
          <w:lang w:val="es-ES" w:eastAsia="es-ES"/>
        </w:rPr>
        <w:t>que</w:t>
      </w:r>
      <w:r w:rsidRPr="003C52A0">
        <w:rPr>
          <w:color w:val="000000"/>
          <w:lang w:val="es-ES" w:eastAsia="es-ES"/>
        </w:rPr>
        <w:t xml:space="preserve"> </w:t>
      </w:r>
      <w:r w:rsidRPr="003C52A0">
        <w:rPr>
          <w:lang w:val="es-ES" w:eastAsia="es-ES"/>
        </w:rPr>
        <w:t xml:space="preserve">aproximadamente la tercera parte de la población femenina sería candidata a algún grado de relajación del suelo pélvico y el 45 % resulta histerectomizada antes de los 58 a 60 años, cifras de recurrencia no </w:t>
      </w:r>
      <w:proofErr w:type="gramStart"/>
      <w:r w:rsidRPr="003C52A0">
        <w:rPr>
          <w:lang w:val="es-ES" w:eastAsia="es-ES"/>
        </w:rPr>
        <w:t>despreciable.</w:t>
      </w:r>
      <w:r w:rsidRPr="003C52A0">
        <w:rPr>
          <w:vertAlign w:val="superscript"/>
          <w:lang w:val="es-ES" w:eastAsia="es-ES"/>
        </w:rPr>
        <w:t>(</w:t>
      </w:r>
      <w:proofErr w:type="gramEnd"/>
      <w:r w:rsidRPr="003C52A0">
        <w:rPr>
          <w:vertAlign w:val="superscript"/>
          <w:lang w:val="es-ES" w:eastAsia="es-ES"/>
        </w:rPr>
        <w:t>3,4)</w:t>
      </w:r>
    </w:p>
    <w:p w14:paraId="799B7769" w14:textId="77777777" w:rsidR="003C52A0" w:rsidRPr="003C52A0" w:rsidRDefault="003C52A0" w:rsidP="003C52A0">
      <w:pPr>
        <w:autoSpaceDE w:val="0"/>
        <w:autoSpaceDN w:val="0"/>
        <w:adjustRightInd w:val="0"/>
        <w:spacing w:line="360" w:lineRule="auto"/>
        <w:jc w:val="both"/>
        <w:rPr>
          <w:lang w:val="es-ES" w:eastAsia="es-ES"/>
        </w:rPr>
      </w:pPr>
      <w:r w:rsidRPr="003C52A0">
        <w:rPr>
          <w:lang w:val="es-ES" w:eastAsia="es-ES"/>
        </w:rPr>
        <w:t xml:space="preserve">El tratamiento tiene como opciones la </w:t>
      </w:r>
      <w:proofErr w:type="spellStart"/>
      <w:r w:rsidRPr="003C52A0">
        <w:rPr>
          <w:lang w:val="es-ES" w:eastAsia="es-ES"/>
        </w:rPr>
        <w:t>cleisis</w:t>
      </w:r>
      <w:proofErr w:type="spellEnd"/>
      <w:r w:rsidRPr="003C52A0">
        <w:rPr>
          <w:lang w:val="es-ES" w:eastAsia="es-ES"/>
        </w:rPr>
        <w:t xml:space="preserve"> o cierre total de la vagina (en pacientes que no tienen relaciones sexuales, que por su edad y comorbilidades pudieran tener algún riesgo desde el punto de vista quirúrgico o anestésico) y la </w:t>
      </w:r>
      <w:proofErr w:type="spellStart"/>
      <w:r w:rsidRPr="003C52A0">
        <w:rPr>
          <w:lang w:val="es-ES" w:eastAsia="es-ES"/>
        </w:rPr>
        <w:t>colposuspensión</w:t>
      </w:r>
      <w:proofErr w:type="spellEnd"/>
      <w:r w:rsidRPr="003C52A0">
        <w:rPr>
          <w:lang w:val="es-ES" w:eastAsia="es-ES"/>
        </w:rPr>
        <w:t xml:space="preserve"> por vía abdominal, técnica que se utiliza en las mujeres que mantienen la funcionalidad vaginal, con vida sexual activa. El abordaje quirúrgico puede ser </w:t>
      </w:r>
      <w:proofErr w:type="spellStart"/>
      <w:proofErr w:type="gramStart"/>
      <w:r w:rsidRPr="003C52A0">
        <w:rPr>
          <w:lang w:val="es-ES" w:eastAsia="es-ES"/>
        </w:rPr>
        <w:t>videolaparoscópico</w:t>
      </w:r>
      <w:proofErr w:type="spellEnd"/>
      <w:r w:rsidRPr="003C52A0">
        <w:rPr>
          <w:lang w:val="es-ES" w:eastAsia="es-ES"/>
        </w:rPr>
        <w:t>.</w:t>
      </w:r>
      <w:r w:rsidRPr="003C52A0">
        <w:rPr>
          <w:vertAlign w:val="superscript"/>
          <w:lang w:val="es-ES" w:eastAsia="es-ES"/>
        </w:rPr>
        <w:t>(</w:t>
      </w:r>
      <w:proofErr w:type="gramEnd"/>
      <w:r w:rsidRPr="003C52A0">
        <w:rPr>
          <w:vertAlign w:val="superscript"/>
          <w:lang w:val="es-ES" w:eastAsia="es-ES"/>
        </w:rPr>
        <w:t>5)</w:t>
      </w:r>
    </w:p>
    <w:p w14:paraId="5C40F76C" w14:textId="77777777" w:rsidR="003C52A0" w:rsidRPr="003C52A0" w:rsidRDefault="003C52A0" w:rsidP="003C52A0">
      <w:pPr>
        <w:autoSpaceDE w:val="0"/>
        <w:autoSpaceDN w:val="0"/>
        <w:adjustRightInd w:val="0"/>
        <w:spacing w:line="360" w:lineRule="auto"/>
        <w:jc w:val="both"/>
        <w:rPr>
          <w:lang w:val="es-ES" w:eastAsia="es-ES"/>
        </w:rPr>
      </w:pPr>
      <w:r w:rsidRPr="003C52A0">
        <w:rPr>
          <w:lang w:val="es-ES" w:eastAsia="es-ES"/>
        </w:rPr>
        <w:t>Las referencias en la literatura abarcan varias técnicas quirúrgicas para el abordaje de esta disfunción. Los primeros reportes fueron publicados por Ward</w:t>
      </w:r>
      <w:r w:rsidRPr="003C52A0">
        <w:rPr>
          <w:i/>
          <w:iCs/>
          <w:lang w:val="es-ES" w:eastAsia="es-ES"/>
        </w:rPr>
        <w:t xml:space="preserve"> </w:t>
      </w:r>
      <w:r w:rsidRPr="003C52A0">
        <w:rPr>
          <w:lang w:val="es-ES" w:eastAsia="es-ES"/>
        </w:rPr>
        <w:t>en 1938 y describen la fijación de la cúpula vaginal a la pared abdominal; le siguen los de Richardson y Williams</w:t>
      </w:r>
      <w:r w:rsidRPr="003C52A0">
        <w:rPr>
          <w:i/>
          <w:iCs/>
          <w:lang w:val="es-ES" w:eastAsia="es-ES"/>
        </w:rPr>
        <w:t xml:space="preserve"> </w:t>
      </w:r>
      <w:r w:rsidRPr="003C52A0">
        <w:rPr>
          <w:lang w:val="es-ES" w:eastAsia="es-ES"/>
        </w:rPr>
        <w:t xml:space="preserve">en 1952. En 1954, Arthur y </w:t>
      </w:r>
      <w:proofErr w:type="spellStart"/>
      <w:r w:rsidRPr="003C52A0">
        <w:rPr>
          <w:lang w:val="es-ES" w:eastAsia="es-ES"/>
        </w:rPr>
        <w:t>Savage</w:t>
      </w:r>
      <w:proofErr w:type="spellEnd"/>
      <w:r w:rsidRPr="003C52A0">
        <w:rPr>
          <w:i/>
          <w:iCs/>
          <w:lang w:val="es-ES" w:eastAsia="es-ES"/>
        </w:rPr>
        <w:t xml:space="preserve"> </w:t>
      </w:r>
      <w:r w:rsidRPr="003C52A0">
        <w:rPr>
          <w:iCs/>
          <w:lang w:val="es-ES" w:eastAsia="es-ES"/>
        </w:rPr>
        <w:t>propusieron la fijación</w:t>
      </w:r>
      <w:r w:rsidRPr="003C52A0">
        <w:rPr>
          <w:i/>
          <w:iCs/>
          <w:lang w:val="es-ES" w:eastAsia="es-ES"/>
        </w:rPr>
        <w:t xml:space="preserve"> </w:t>
      </w:r>
      <w:r w:rsidRPr="003C52A0">
        <w:rPr>
          <w:iCs/>
          <w:lang w:val="es-ES" w:eastAsia="es-ES"/>
        </w:rPr>
        <w:t>de la vagina</w:t>
      </w:r>
      <w:r w:rsidRPr="003C52A0">
        <w:rPr>
          <w:i/>
          <w:iCs/>
          <w:lang w:val="es-ES" w:eastAsia="es-ES"/>
        </w:rPr>
        <w:t xml:space="preserve"> </w:t>
      </w:r>
      <w:r w:rsidRPr="003C52A0">
        <w:rPr>
          <w:lang w:val="es-ES" w:eastAsia="es-ES"/>
        </w:rPr>
        <w:t xml:space="preserve">a la cara anterior del sacro, sin modificar la inclinación y el eje axial. Actualmente se preconiza el tratamiento quirúrgico por mínimo acceso, a través de la laparoscopia, con el uso de materiales </w:t>
      </w:r>
      <w:proofErr w:type="gramStart"/>
      <w:r w:rsidRPr="003C52A0">
        <w:rPr>
          <w:lang w:val="es-ES" w:eastAsia="es-ES"/>
        </w:rPr>
        <w:t>biodegradables.</w:t>
      </w:r>
      <w:r w:rsidRPr="003C52A0">
        <w:rPr>
          <w:vertAlign w:val="superscript"/>
          <w:lang w:val="es-ES" w:eastAsia="es-ES"/>
        </w:rPr>
        <w:t>(</w:t>
      </w:r>
      <w:proofErr w:type="gramEnd"/>
      <w:r w:rsidRPr="003C52A0">
        <w:rPr>
          <w:vertAlign w:val="superscript"/>
          <w:lang w:val="es-ES" w:eastAsia="es-ES"/>
        </w:rPr>
        <w:t>6)</w:t>
      </w:r>
    </w:p>
    <w:p w14:paraId="4360C2E0" w14:textId="77777777" w:rsidR="003C52A0" w:rsidRPr="003C52A0" w:rsidRDefault="003C52A0" w:rsidP="003C52A0">
      <w:pPr>
        <w:autoSpaceDE w:val="0"/>
        <w:autoSpaceDN w:val="0"/>
        <w:adjustRightInd w:val="0"/>
        <w:spacing w:line="360" w:lineRule="auto"/>
        <w:jc w:val="both"/>
        <w:rPr>
          <w:lang w:val="es-ES" w:eastAsia="es-ES"/>
        </w:rPr>
      </w:pPr>
      <w:r w:rsidRPr="003C52A0">
        <w:rPr>
          <w:lang w:val="es-ES" w:eastAsia="es-ES"/>
        </w:rPr>
        <w:t xml:space="preserve">Independientemente de la preferencia que tengan los cirujanos por uno u otro método de abordaje quirúrgico, las ventajas y desventajas han sido motivo de estudio y análisis. La </w:t>
      </w:r>
      <w:proofErr w:type="spellStart"/>
      <w:r w:rsidRPr="003C52A0">
        <w:rPr>
          <w:lang w:val="es-ES" w:eastAsia="es-ES"/>
        </w:rPr>
        <w:t>colposuspensión</w:t>
      </w:r>
      <w:proofErr w:type="spellEnd"/>
      <w:r w:rsidRPr="003C52A0">
        <w:rPr>
          <w:lang w:val="es-ES" w:eastAsia="es-ES"/>
        </w:rPr>
        <w:t xml:space="preserve"> por vía </w:t>
      </w:r>
      <w:r w:rsidRPr="003C52A0">
        <w:rPr>
          <w:lang w:val="es-ES" w:eastAsia="es-ES"/>
        </w:rPr>
        <w:lastRenderedPageBreak/>
        <w:t xml:space="preserve">abdominal utiliza bandas aponeuróticas de los rectos abdominales, para la fijación del ápex a la pared </w:t>
      </w:r>
      <w:proofErr w:type="gramStart"/>
      <w:r w:rsidRPr="003C52A0">
        <w:rPr>
          <w:lang w:val="es-ES" w:eastAsia="es-ES"/>
        </w:rPr>
        <w:t>abdominal.</w:t>
      </w:r>
      <w:r w:rsidRPr="003C52A0">
        <w:rPr>
          <w:vertAlign w:val="superscript"/>
          <w:lang w:val="es-ES" w:eastAsia="es-ES"/>
        </w:rPr>
        <w:t>(</w:t>
      </w:r>
      <w:proofErr w:type="gramEnd"/>
      <w:r w:rsidRPr="003C52A0">
        <w:rPr>
          <w:vertAlign w:val="superscript"/>
          <w:lang w:val="es-ES" w:eastAsia="es-ES"/>
        </w:rPr>
        <w:t xml:space="preserve">7) </w:t>
      </w:r>
      <w:r w:rsidRPr="003C52A0">
        <w:rPr>
          <w:lang w:val="es-ES" w:eastAsia="es-ES"/>
        </w:rPr>
        <w:t xml:space="preserve">En Cuba no existen referencias que relacionen el tratamiento del prolapso de la cúpula con esta técnica. </w:t>
      </w:r>
    </w:p>
    <w:p w14:paraId="7220E0A4" w14:textId="77777777" w:rsidR="003C52A0" w:rsidRPr="003C52A0" w:rsidRDefault="003C52A0" w:rsidP="003C52A0">
      <w:pPr>
        <w:autoSpaceDE w:val="0"/>
        <w:autoSpaceDN w:val="0"/>
        <w:adjustRightInd w:val="0"/>
        <w:spacing w:line="360" w:lineRule="auto"/>
        <w:jc w:val="both"/>
        <w:rPr>
          <w:vertAlign w:val="superscript"/>
          <w:lang w:val="es-ES" w:eastAsia="es-ES"/>
        </w:rPr>
      </w:pPr>
      <w:r w:rsidRPr="003C52A0">
        <w:rPr>
          <w:lang w:val="es-ES" w:eastAsia="es-ES"/>
        </w:rPr>
        <w:t xml:space="preserve">Varios autores plantean que la </w:t>
      </w:r>
      <w:proofErr w:type="spellStart"/>
      <w:r w:rsidRPr="003C52A0">
        <w:rPr>
          <w:lang w:val="es-ES" w:eastAsia="es-ES"/>
        </w:rPr>
        <w:t>colpopexia</w:t>
      </w:r>
      <w:proofErr w:type="spellEnd"/>
      <w:r w:rsidRPr="003C52A0">
        <w:rPr>
          <w:lang w:val="es-ES" w:eastAsia="es-ES"/>
        </w:rPr>
        <w:t xml:space="preserve"> abdominal presenta menor riesgo de recurrencia y menor índice de dispareunia, que la fijación vaginal al sacro espinoso, aunque se asocia con mayor número de complicaciones. No obstante, se recomienda como opción para las mujeres </w:t>
      </w:r>
      <w:proofErr w:type="gramStart"/>
      <w:r w:rsidRPr="003C52A0">
        <w:rPr>
          <w:lang w:val="es-ES" w:eastAsia="es-ES"/>
        </w:rPr>
        <w:t>jóvenes.</w:t>
      </w:r>
      <w:r w:rsidRPr="003C52A0">
        <w:rPr>
          <w:vertAlign w:val="superscript"/>
          <w:lang w:val="es-ES" w:eastAsia="es-ES"/>
        </w:rPr>
        <w:t>(</w:t>
      </w:r>
      <w:proofErr w:type="gramEnd"/>
      <w:r w:rsidRPr="003C52A0">
        <w:rPr>
          <w:vertAlign w:val="superscript"/>
          <w:lang w:val="es-ES" w:eastAsia="es-ES"/>
        </w:rPr>
        <w:t xml:space="preserve">7,8) </w:t>
      </w:r>
    </w:p>
    <w:p w14:paraId="7256E88A" w14:textId="77777777" w:rsidR="003C52A0" w:rsidRPr="003C52A0" w:rsidRDefault="003C52A0" w:rsidP="003C52A0">
      <w:pPr>
        <w:autoSpaceDE w:val="0"/>
        <w:autoSpaceDN w:val="0"/>
        <w:adjustRightInd w:val="0"/>
        <w:spacing w:line="360" w:lineRule="auto"/>
        <w:jc w:val="both"/>
        <w:rPr>
          <w:bCs/>
          <w:lang w:val="es-ES" w:eastAsia="es-ES"/>
        </w:rPr>
      </w:pPr>
      <w:r w:rsidRPr="003C52A0">
        <w:rPr>
          <w:lang w:val="es-ES" w:eastAsia="es-ES"/>
        </w:rPr>
        <w:t xml:space="preserve">Este trabajo se propuso </w:t>
      </w:r>
      <w:r w:rsidRPr="003C52A0">
        <w:rPr>
          <w:bCs/>
          <w:lang w:val="es-ES" w:eastAsia="es-ES"/>
        </w:rPr>
        <w:t xml:space="preserve">evaluar los resultados de la corrección del prolapso de cúpula vaginal por la técnica de </w:t>
      </w:r>
      <w:proofErr w:type="spellStart"/>
      <w:r w:rsidRPr="003C52A0">
        <w:rPr>
          <w:bCs/>
          <w:lang w:val="es-ES" w:eastAsia="es-ES"/>
        </w:rPr>
        <w:t>colpopexia</w:t>
      </w:r>
      <w:proofErr w:type="spellEnd"/>
      <w:r w:rsidRPr="003C52A0">
        <w:rPr>
          <w:bCs/>
          <w:lang w:val="es-ES" w:eastAsia="es-ES"/>
        </w:rPr>
        <w:t xml:space="preserve">, mediante fijación con tiras aponeuróticas a la pared abdominal anterior.   </w:t>
      </w:r>
    </w:p>
    <w:p w14:paraId="0B23E4CE" w14:textId="77777777" w:rsidR="003C52A0" w:rsidRPr="003C52A0" w:rsidRDefault="003C52A0" w:rsidP="003C52A0">
      <w:pPr>
        <w:autoSpaceDE w:val="0"/>
        <w:autoSpaceDN w:val="0"/>
        <w:adjustRightInd w:val="0"/>
        <w:spacing w:line="360" w:lineRule="auto"/>
        <w:jc w:val="both"/>
        <w:rPr>
          <w:lang w:val="es-ES" w:eastAsia="es-ES"/>
        </w:rPr>
      </w:pPr>
    </w:p>
    <w:p w14:paraId="7B0D713F" w14:textId="77777777" w:rsidR="003C52A0" w:rsidRPr="003C52A0" w:rsidRDefault="003C52A0" w:rsidP="003C52A0">
      <w:pPr>
        <w:autoSpaceDE w:val="0"/>
        <w:autoSpaceDN w:val="0"/>
        <w:adjustRightInd w:val="0"/>
        <w:spacing w:line="360" w:lineRule="auto"/>
        <w:jc w:val="center"/>
        <w:rPr>
          <w:b/>
          <w:lang w:val="es-ES" w:eastAsia="es-ES"/>
        </w:rPr>
      </w:pPr>
    </w:p>
    <w:p w14:paraId="4DBE89DA" w14:textId="77777777" w:rsidR="003C52A0" w:rsidRPr="003C52A0" w:rsidRDefault="003C52A0" w:rsidP="003C52A0">
      <w:pPr>
        <w:autoSpaceDE w:val="0"/>
        <w:autoSpaceDN w:val="0"/>
        <w:adjustRightInd w:val="0"/>
        <w:spacing w:line="360" w:lineRule="auto"/>
        <w:jc w:val="center"/>
        <w:rPr>
          <w:b/>
          <w:sz w:val="32"/>
          <w:szCs w:val="32"/>
          <w:lang w:val="es-ES" w:eastAsia="es-ES"/>
        </w:rPr>
      </w:pPr>
      <w:r w:rsidRPr="003C52A0">
        <w:rPr>
          <w:b/>
          <w:sz w:val="32"/>
          <w:szCs w:val="32"/>
          <w:lang w:val="es-ES" w:eastAsia="es-ES"/>
        </w:rPr>
        <w:t>MÉTODOS</w:t>
      </w:r>
    </w:p>
    <w:p w14:paraId="21BB55BA" w14:textId="77777777" w:rsidR="003C52A0" w:rsidRPr="003C52A0" w:rsidRDefault="003C52A0" w:rsidP="003C52A0">
      <w:pPr>
        <w:autoSpaceDE w:val="0"/>
        <w:autoSpaceDN w:val="0"/>
        <w:adjustRightInd w:val="0"/>
        <w:spacing w:line="360" w:lineRule="auto"/>
        <w:jc w:val="both"/>
        <w:rPr>
          <w:lang w:val="es-ES" w:eastAsia="es-ES"/>
        </w:rPr>
      </w:pPr>
      <w:r w:rsidRPr="003C52A0">
        <w:rPr>
          <w:lang w:val="es-ES" w:eastAsia="es-ES"/>
        </w:rPr>
        <w:t xml:space="preserve">Se realizó un estudio observacional, descriptivo, en una serie de pacientes con diagnóstico de prolapso total de la cúpula vaginal intervenidas en un periodo de 8 años, en el servicio de ginecología del Hospital Militar Central “Dr. Luís Díaz Soto”. </w:t>
      </w:r>
    </w:p>
    <w:p w14:paraId="2AD478C5" w14:textId="77777777" w:rsidR="003C52A0" w:rsidRPr="003C52A0" w:rsidRDefault="003C52A0" w:rsidP="003C52A0">
      <w:pPr>
        <w:autoSpaceDE w:val="0"/>
        <w:autoSpaceDN w:val="0"/>
        <w:adjustRightInd w:val="0"/>
        <w:spacing w:line="360" w:lineRule="auto"/>
        <w:jc w:val="both"/>
        <w:rPr>
          <w:lang w:val="es-ES" w:eastAsia="es-ES"/>
        </w:rPr>
      </w:pPr>
      <w:r w:rsidRPr="003C52A0">
        <w:rPr>
          <w:lang w:val="es-ES" w:eastAsia="es-ES"/>
        </w:rPr>
        <w:t>Fueron estudiadas 26 pacientes, 14 con antecedentes de histerectomía abdominal y 12 de histerectomía por prolapso uterino, operadas por vía vaginal.</w:t>
      </w:r>
    </w:p>
    <w:p w14:paraId="3429D9E2" w14:textId="77777777" w:rsidR="003C52A0" w:rsidRPr="003C52A0" w:rsidRDefault="003C52A0" w:rsidP="003C52A0">
      <w:pPr>
        <w:autoSpaceDE w:val="0"/>
        <w:autoSpaceDN w:val="0"/>
        <w:adjustRightInd w:val="0"/>
        <w:spacing w:line="360" w:lineRule="auto"/>
        <w:jc w:val="both"/>
        <w:rPr>
          <w:lang w:val="es-ES" w:eastAsia="es-ES"/>
        </w:rPr>
      </w:pPr>
      <w:r w:rsidRPr="003C52A0">
        <w:rPr>
          <w:lang w:val="es-ES" w:eastAsia="es-ES"/>
        </w:rPr>
        <w:t xml:space="preserve">Las variables recogidas fueron: </w:t>
      </w:r>
    </w:p>
    <w:p w14:paraId="44989568" w14:textId="77777777" w:rsidR="003C52A0" w:rsidRPr="003C52A0" w:rsidRDefault="003C52A0" w:rsidP="0088147E">
      <w:pPr>
        <w:autoSpaceDE w:val="0"/>
        <w:autoSpaceDN w:val="0"/>
        <w:adjustRightInd w:val="0"/>
        <w:spacing w:line="360" w:lineRule="auto"/>
        <w:jc w:val="both"/>
        <w:rPr>
          <w:lang w:val="es-ES" w:eastAsia="es-ES"/>
        </w:rPr>
      </w:pPr>
    </w:p>
    <w:p w14:paraId="2CA89C9C" w14:textId="77777777" w:rsidR="003C52A0" w:rsidRPr="003C52A0" w:rsidRDefault="003C52A0" w:rsidP="0088147E">
      <w:pPr>
        <w:numPr>
          <w:ilvl w:val="0"/>
          <w:numId w:val="15"/>
        </w:numPr>
        <w:autoSpaceDE w:val="0"/>
        <w:autoSpaceDN w:val="0"/>
        <w:adjustRightInd w:val="0"/>
        <w:spacing w:line="360" w:lineRule="auto"/>
        <w:contextualSpacing/>
        <w:jc w:val="both"/>
        <w:rPr>
          <w:lang w:val="es-ES" w:eastAsia="es-ES"/>
        </w:rPr>
      </w:pPr>
      <w:r w:rsidRPr="003C52A0">
        <w:rPr>
          <w:lang w:val="es-ES" w:eastAsia="es-ES"/>
        </w:rPr>
        <w:t>Edad (agrupada en 35-55 años; 56-69 años; más de 70 años).</w:t>
      </w:r>
    </w:p>
    <w:p w14:paraId="5B8CE0BD" w14:textId="77777777" w:rsidR="003C52A0" w:rsidRPr="003C52A0" w:rsidRDefault="003C52A0" w:rsidP="0088147E">
      <w:pPr>
        <w:numPr>
          <w:ilvl w:val="0"/>
          <w:numId w:val="15"/>
        </w:numPr>
        <w:autoSpaceDE w:val="0"/>
        <w:autoSpaceDN w:val="0"/>
        <w:adjustRightInd w:val="0"/>
        <w:spacing w:line="360" w:lineRule="auto"/>
        <w:contextualSpacing/>
        <w:jc w:val="both"/>
        <w:rPr>
          <w:lang w:val="es-ES" w:eastAsia="es-ES"/>
        </w:rPr>
      </w:pPr>
      <w:r w:rsidRPr="003C52A0">
        <w:rPr>
          <w:lang w:val="es-ES" w:eastAsia="es-ES"/>
        </w:rPr>
        <w:t>Tipo de cirugía (vía de abordaje de la histerectomía previa).</w:t>
      </w:r>
    </w:p>
    <w:p w14:paraId="4696AB38" w14:textId="77777777" w:rsidR="003C52A0" w:rsidRPr="003C52A0" w:rsidRDefault="003C52A0" w:rsidP="0088147E">
      <w:pPr>
        <w:numPr>
          <w:ilvl w:val="0"/>
          <w:numId w:val="15"/>
        </w:numPr>
        <w:autoSpaceDE w:val="0"/>
        <w:autoSpaceDN w:val="0"/>
        <w:adjustRightInd w:val="0"/>
        <w:spacing w:line="360" w:lineRule="auto"/>
        <w:contextualSpacing/>
        <w:jc w:val="both"/>
        <w:rPr>
          <w:lang w:val="es-ES" w:eastAsia="es-ES"/>
        </w:rPr>
      </w:pPr>
      <w:r w:rsidRPr="003C52A0">
        <w:rPr>
          <w:lang w:val="es-ES" w:eastAsia="es-ES"/>
        </w:rPr>
        <w:t>Comorbilidades (diabetes, tabaquismo, enfermedad pulmonar obstructiva crónica y obesidad).</w:t>
      </w:r>
    </w:p>
    <w:p w14:paraId="1D336727" w14:textId="77777777" w:rsidR="003C52A0" w:rsidRPr="003C52A0" w:rsidRDefault="003C52A0" w:rsidP="0088147E">
      <w:pPr>
        <w:numPr>
          <w:ilvl w:val="0"/>
          <w:numId w:val="15"/>
        </w:numPr>
        <w:autoSpaceDE w:val="0"/>
        <w:autoSpaceDN w:val="0"/>
        <w:adjustRightInd w:val="0"/>
        <w:spacing w:line="360" w:lineRule="auto"/>
        <w:contextualSpacing/>
        <w:jc w:val="both"/>
        <w:rPr>
          <w:lang w:val="es-ES" w:eastAsia="es-ES"/>
        </w:rPr>
      </w:pPr>
      <w:r w:rsidRPr="003C52A0">
        <w:rPr>
          <w:lang w:val="es-ES" w:eastAsia="es-ES"/>
        </w:rPr>
        <w:t>Cifra de o</w:t>
      </w:r>
      <w:r w:rsidRPr="003C52A0">
        <w:rPr>
          <w:color w:val="000000"/>
          <w:lang w:val="es-ES" w:eastAsia="es-ES"/>
        </w:rPr>
        <w:t>peraciones previas para corrección del prolapso.</w:t>
      </w:r>
    </w:p>
    <w:p w14:paraId="5808F48B" w14:textId="77777777" w:rsidR="003C52A0" w:rsidRPr="003C52A0" w:rsidRDefault="003C52A0" w:rsidP="0088147E">
      <w:pPr>
        <w:numPr>
          <w:ilvl w:val="0"/>
          <w:numId w:val="15"/>
        </w:numPr>
        <w:autoSpaceDE w:val="0"/>
        <w:autoSpaceDN w:val="0"/>
        <w:adjustRightInd w:val="0"/>
        <w:spacing w:line="360" w:lineRule="auto"/>
        <w:contextualSpacing/>
        <w:jc w:val="both"/>
        <w:rPr>
          <w:lang w:val="es-ES" w:eastAsia="es-ES"/>
        </w:rPr>
      </w:pPr>
      <w:r w:rsidRPr="003C52A0">
        <w:rPr>
          <w:lang w:val="es-ES" w:eastAsia="es-ES"/>
        </w:rPr>
        <w:t xml:space="preserve">Resultados de la encuesta de satisfacción después de la cirugía. </w:t>
      </w:r>
    </w:p>
    <w:p w14:paraId="6A9A6D3B" w14:textId="77777777" w:rsidR="003C52A0" w:rsidRPr="003C52A0" w:rsidRDefault="003C52A0" w:rsidP="0088147E">
      <w:pPr>
        <w:autoSpaceDE w:val="0"/>
        <w:autoSpaceDN w:val="0"/>
        <w:adjustRightInd w:val="0"/>
        <w:spacing w:line="360" w:lineRule="auto"/>
        <w:jc w:val="both"/>
        <w:rPr>
          <w:lang w:val="es-ES" w:eastAsia="es-ES"/>
        </w:rPr>
      </w:pPr>
    </w:p>
    <w:p w14:paraId="415D707C" w14:textId="77777777" w:rsidR="003C52A0" w:rsidRPr="003C52A0" w:rsidRDefault="003C52A0" w:rsidP="003C52A0">
      <w:pPr>
        <w:autoSpaceDE w:val="0"/>
        <w:autoSpaceDN w:val="0"/>
        <w:adjustRightInd w:val="0"/>
        <w:spacing w:line="360" w:lineRule="auto"/>
        <w:jc w:val="both"/>
        <w:rPr>
          <w:lang w:val="es-ES" w:eastAsia="es-ES"/>
        </w:rPr>
      </w:pPr>
      <w:r w:rsidRPr="003C52A0">
        <w:rPr>
          <w:lang w:val="es-ES" w:eastAsia="es-ES"/>
        </w:rPr>
        <w:t xml:space="preserve">Se tomaron los datos del seguimiento clínico en consulta externa al mes, 3 meses, 6 meses y 1 al año de operadas. Para la evaluación de la satisfacción de las pacientes se utilizó el índice </w:t>
      </w:r>
      <w:proofErr w:type="spellStart"/>
      <w:r w:rsidRPr="003C52A0">
        <w:rPr>
          <w:i/>
          <w:iCs/>
          <w:lang w:val="es-ES" w:eastAsia="es-ES"/>
        </w:rPr>
        <w:t>Patient</w:t>
      </w:r>
      <w:proofErr w:type="spellEnd"/>
      <w:r w:rsidRPr="003C52A0">
        <w:rPr>
          <w:i/>
          <w:iCs/>
          <w:lang w:val="es-ES" w:eastAsia="es-ES"/>
        </w:rPr>
        <w:t xml:space="preserve"> Global </w:t>
      </w:r>
      <w:proofErr w:type="spellStart"/>
      <w:r w:rsidRPr="003C52A0">
        <w:rPr>
          <w:i/>
          <w:iCs/>
          <w:lang w:val="es-ES" w:eastAsia="es-ES"/>
        </w:rPr>
        <w:t>Impression</w:t>
      </w:r>
      <w:proofErr w:type="spellEnd"/>
      <w:r w:rsidRPr="003C52A0">
        <w:rPr>
          <w:i/>
          <w:iCs/>
          <w:lang w:val="es-ES" w:eastAsia="es-ES"/>
        </w:rPr>
        <w:t xml:space="preserve"> </w:t>
      </w:r>
      <w:proofErr w:type="spellStart"/>
      <w:r w:rsidRPr="003C52A0">
        <w:rPr>
          <w:i/>
          <w:iCs/>
          <w:lang w:val="es-ES" w:eastAsia="es-ES"/>
        </w:rPr>
        <w:t>of</w:t>
      </w:r>
      <w:proofErr w:type="spellEnd"/>
      <w:r w:rsidRPr="003C52A0">
        <w:rPr>
          <w:i/>
          <w:iCs/>
          <w:lang w:val="es-ES" w:eastAsia="es-ES"/>
        </w:rPr>
        <w:t xml:space="preserve"> </w:t>
      </w:r>
      <w:proofErr w:type="spellStart"/>
      <w:r w:rsidRPr="003C52A0">
        <w:rPr>
          <w:i/>
          <w:iCs/>
          <w:lang w:val="es-ES" w:eastAsia="es-ES"/>
        </w:rPr>
        <w:t>Improvement</w:t>
      </w:r>
      <w:proofErr w:type="spellEnd"/>
      <w:r w:rsidRPr="003C52A0">
        <w:rPr>
          <w:lang w:val="es-ES" w:eastAsia="es-ES"/>
        </w:rPr>
        <w:t xml:space="preserve"> (PGI-I</w:t>
      </w:r>
      <w:proofErr w:type="gramStart"/>
      <w:r w:rsidRPr="003C52A0">
        <w:rPr>
          <w:lang w:val="es-ES" w:eastAsia="es-ES"/>
        </w:rPr>
        <w:t>),</w:t>
      </w:r>
      <w:r w:rsidRPr="003C52A0">
        <w:rPr>
          <w:vertAlign w:val="superscript"/>
          <w:lang w:val="es-ES" w:eastAsia="es-ES"/>
        </w:rPr>
        <w:t>(</w:t>
      </w:r>
      <w:proofErr w:type="gramEnd"/>
      <w:r w:rsidRPr="003C52A0">
        <w:rPr>
          <w:vertAlign w:val="superscript"/>
          <w:lang w:val="es-ES" w:eastAsia="es-ES"/>
        </w:rPr>
        <w:t>9)</w:t>
      </w:r>
      <w:r w:rsidRPr="003C52A0">
        <w:rPr>
          <w:lang w:val="es-ES" w:eastAsia="es-ES"/>
        </w:rPr>
        <w:t xml:space="preserve"> escala subjetiva que solicita a la paciente clasificar el alivio obtenido con el tratamiento</w:t>
      </w:r>
      <w:r w:rsidRPr="003C52A0">
        <w:rPr>
          <w:vertAlign w:val="superscript"/>
          <w:lang w:val="es-ES" w:eastAsia="es-ES"/>
        </w:rPr>
        <w:t xml:space="preserve"> </w:t>
      </w:r>
      <w:r w:rsidRPr="003C52A0">
        <w:rPr>
          <w:lang w:val="es-ES" w:eastAsia="es-ES"/>
        </w:rPr>
        <w:t>y se determina a través del puntaje, con la siguiente interpretación:</w:t>
      </w:r>
    </w:p>
    <w:p w14:paraId="38B12F25" w14:textId="77777777" w:rsidR="003C52A0" w:rsidRPr="003C52A0" w:rsidRDefault="003C52A0" w:rsidP="0088147E">
      <w:pPr>
        <w:autoSpaceDE w:val="0"/>
        <w:autoSpaceDN w:val="0"/>
        <w:adjustRightInd w:val="0"/>
        <w:spacing w:line="360" w:lineRule="auto"/>
        <w:jc w:val="both"/>
        <w:rPr>
          <w:lang w:val="es-ES" w:eastAsia="es-ES"/>
        </w:rPr>
      </w:pPr>
    </w:p>
    <w:p w14:paraId="006A8014" w14:textId="77777777" w:rsidR="003C52A0" w:rsidRPr="003C52A0" w:rsidRDefault="003C52A0" w:rsidP="0088147E">
      <w:pPr>
        <w:numPr>
          <w:ilvl w:val="0"/>
          <w:numId w:val="16"/>
        </w:numPr>
        <w:autoSpaceDE w:val="0"/>
        <w:autoSpaceDN w:val="0"/>
        <w:adjustRightInd w:val="0"/>
        <w:spacing w:line="360" w:lineRule="auto"/>
        <w:ind w:left="709" w:hanging="425"/>
        <w:contextualSpacing/>
        <w:jc w:val="both"/>
        <w:rPr>
          <w:lang w:val="es-ES" w:eastAsia="es-ES"/>
        </w:rPr>
      </w:pPr>
      <w:r w:rsidRPr="003C52A0">
        <w:rPr>
          <w:lang w:val="es-ES" w:eastAsia="es-ES"/>
        </w:rPr>
        <w:t>Muchísimo mejor: 1 punto.</w:t>
      </w:r>
    </w:p>
    <w:p w14:paraId="10C02662" w14:textId="77777777" w:rsidR="003C52A0" w:rsidRPr="003C52A0" w:rsidRDefault="003C52A0" w:rsidP="0088147E">
      <w:pPr>
        <w:numPr>
          <w:ilvl w:val="0"/>
          <w:numId w:val="16"/>
        </w:numPr>
        <w:autoSpaceDE w:val="0"/>
        <w:autoSpaceDN w:val="0"/>
        <w:adjustRightInd w:val="0"/>
        <w:spacing w:line="360" w:lineRule="auto"/>
        <w:ind w:left="709" w:hanging="425"/>
        <w:contextualSpacing/>
        <w:jc w:val="both"/>
        <w:rPr>
          <w:lang w:val="es-ES" w:eastAsia="es-ES"/>
        </w:rPr>
      </w:pPr>
      <w:r w:rsidRPr="003C52A0">
        <w:rPr>
          <w:lang w:val="es-ES" w:eastAsia="es-ES"/>
        </w:rPr>
        <w:t>Mucho mejor: 2 puntos.</w:t>
      </w:r>
    </w:p>
    <w:p w14:paraId="368D2A09" w14:textId="77777777" w:rsidR="003C52A0" w:rsidRPr="003C52A0" w:rsidRDefault="003C52A0" w:rsidP="0088147E">
      <w:pPr>
        <w:numPr>
          <w:ilvl w:val="0"/>
          <w:numId w:val="16"/>
        </w:numPr>
        <w:autoSpaceDE w:val="0"/>
        <w:autoSpaceDN w:val="0"/>
        <w:adjustRightInd w:val="0"/>
        <w:spacing w:line="360" w:lineRule="auto"/>
        <w:ind w:left="709" w:hanging="425"/>
        <w:contextualSpacing/>
        <w:jc w:val="both"/>
        <w:rPr>
          <w:lang w:val="es-ES" w:eastAsia="es-ES"/>
        </w:rPr>
      </w:pPr>
      <w:r w:rsidRPr="003C52A0">
        <w:rPr>
          <w:lang w:val="es-ES" w:eastAsia="es-ES"/>
        </w:rPr>
        <w:t>Un poco mejor: 3 puntos.</w:t>
      </w:r>
    </w:p>
    <w:p w14:paraId="60927598" w14:textId="77777777" w:rsidR="003C52A0" w:rsidRPr="003C52A0" w:rsidRDefault="003C52A0" w:rsidP="0088147E">
      <w:pPr>
        <w:numPr>
          <w:ilvl w:val="0"/>
          <w:numId w:val="16"/>
        </w:numPr>
        <w:autoSpaceDE w:val="0"/>
        <w:autoSpaceDN w:val="0"/>
        <w:adjustRightInd w:val="0"/>
        <w:spacing w:line="360" w:lineRule="auto"/>
        <w:ind w:left="709" w:hanging="425"/>
        <w:contextualSpacing/>
        <w:jc w:val="both"/>
        <w:rPr>
          <w:lang w:val="es-ES" w:eastAsia="es-ES"/>
        </w:rPr>
      </w:pPr>
      <w:r w:rsidRPr="003C52A0">
        <w:rPr>
          <w:lang w:val="es-ES" w:eastAsia="es-ES"/>
        </w:rPr>
        <w:t>Ningún cambio: 4 puntos.</w:t>
      </w:r>
    </w:p>
    <w:p w14:paraId="6DB633F7" w14:textId="77777777" w:rsidR="003C52A0" w:rsidRPr="003C52A0" w:rsidRDefault="003C52A0" w:rsidP="0088147E">
      <w:pPr>
        <w:numPr>
          <w:ilvl w:val="0"/>
          <w:numId w:val="16"/>
        </w:numPr>
        <w:autoSpaceDE w:val="0"/>
        <w:autoSpaceDN w:val="0"/>
        <w:adjustRightInd w:val="0"/>
        <w:spacing w:line="360" w:lineRule="auto"/>
        <w:ind w:left="709" w:hanging="425"/>
        <w:contextualSpacing/>
        <w:jc w:val="both"/>
        <w:rPr>
          <w:lang w:val="es-ES" w:eastAsia="es-ES"/>
        </w:rPr>
      </w:pPr>
      <w:r w:rsidRPr="003C52A0">
        <w:rPr>
          <w:lang w:val="es-ES" w:eastAsia="es-ES"/>
        </w:rPr>
        <w:t>Un poco peor: 5 puntos.</w:t>
      </w:r>
    </w:p>
    <w:p w14:paraId="01F46C37" w14:textId="77777777" w:rsidR="003C52A0" w:rsidRPr="003C52A0" w:rsidRDefault="003C52A0" w:rsidP="0088147E">
      <w:pPr>
        <w:numPr>
          <w:ilvl w:val="0"/>
          <w:numId w:val="16"/>
        </w:numPr>
        <w:autoSpaceDE w:val="0"/>
        <w:autoSpaceDN w:val="0"/>
        <w:adjustRightInd w:val="0"/>
        <w:spacing w:line="360" w:lineRule="auto"/>
        <w:ind w:left="709" w:hanging="425"/>
        <w:contextualSpacing/>
        <w:jc w:val="both"/>
        <w:rPr>
          <w:lang w:val="es-ES" w:eastAsia="es-ES"/>
        </w:rPr>
      </w:pPr>
      <w:r w:rsidRPr="003C52A0">
        <w:rPr>
          <w:lang w:val="es-ES" w:eastAsia="es-ES"/>
        </w:rPr>
        <w:t>Mucho peor: 6 puntos.</w:t>
      </w:r>
    </w:p>
    <w:p w14:paraId="18E83999" w14:textId="77777777" w:rsidR="003C52A0" w:rsidRPr="003C52A0" w:rsidRDefault="003C52A0" w:rsidP="0088147E">
      <w:pPr>
        <w:numPr>
          <w:ilvl w:val="0"/>
          <w:numId w:val="16"/>
        </w:numPr>
        <w:autoSpaceDE w:val="0"/>
        <w:autoSpaceDN w:val="0"/>
        <w:adjustRightInd w:val="0"/>
        <w:spacing w:line="360" w:lineRule="auto"/>
        <w:ind w:left="709" w:hanging="425"/>
        <w:contextualSpacing/>
        <w:jc w:val="both"/>
        <w:rPr>
          <w:lang w:val="es-ES" w:eastAsia="es-ES"/>
        </w:rPr>
      </w:pPr>
      <w:r w:rsidRPr="003C52A0">
        <w:rPr>
          <w:lang w:val="es-ES" w:eastAsia="es-ES"/>
        </w:rPr>
        <w:t>Muchísimo peor: 7 puntos.</w:t>
      </w:r>
    </w:p>
    <w:p w14:paraId="1FF65E3B" w14:textId="77777777" w:rsidR="003C52A0" w:rsidRPr="003C52A0" w:rsidRDefault="003C52A0" w:rsidP="003C52A0">
      <w:pPr>
        <w:autoSpaceDE w:val="0"/>
        <w:autoSpaceDN w:val="0"/>
        <w:adjustRightInd w:val="0"/>
        <w:spacing w:line="360" w:lineRule="auto"/>
        <w:jc w:val="both"/>
        <w:rPr>
          <w:lang w:val="es-ES" w:eastAsia="es-ES"/>
        </w:rPr>
      </w:pPr>
    </w:p>
    <w:p w14:paraId="4989B807" w14:textId="77777777" w:rsidR="003C52A0" w:rsidRPr="003C52A0" w:rsidRDefault="003C52A0" w:rsidP="003C52A0">
      <w:pPr>
        <w:autoSpaceDE w:val="0"/>
        <w:autoSpaceDN w:val="0"/>
        <w:adjustRightInd w:val="0"/>
        <w:spacing w:line="360" w:lineRule="auto"/>
        <w:jc w:val="both"/>
        <w:rPr>
          <w:lang w:val="es-ES" w:eastAsia="es-ES"/>
        </w:rPr>
      </w:pPr>
      <w:r w:rsidRPr="003C52A0">
        <w:rPr>
          <w:lang w:val="es-ES" w:eastAsia="es-ES"/>
        </w:rPr>
        <w:t xml:space="preserve">Se consideró como resultado exitoso un PGI-I entre 1 y 3. </w:t>
      </w:r>
    </w:p>
    <w:p w14:paraId="4365C008" w14:textId="77777777" w:rsidR="003C52A0" w:rsidRPr="003C52A0" w:rsidRDefault="003C52A0" w:rsidP="003C52A0">
      <w:pPr>
        <w:autoSpaceDE w:val="0"/>
        <w:autoSpaceDN w:val="0"/>
        <w:adjustRightInd w:val="0"/>
        <w:spacing w:line="360" w:lineRule="auto"/>
        <w:jc w:val="both"/>
        <w:rPr>
          <w:lang w:val="es-ES" w:eastAsia="es-ES"/>
        </w:rPr>
      </w:pPr>
      <w:r w:rsidRPr="003C52A0">
        <w:rPr>
          <w:lang w:val="es-ES" w:eastAsia="es-ES"/>
        </w:rPr>
        <w:t xml:space="preserve">La técnica quirúrgica realizada fue la </w:t>
      </w:r>
      <w:proofErr w:type="spellStart"/>
      <w:r w:rsidRPr="003C52A0">
        <w:rPr>
          <w:lang w:val="es-ES" w:eastAsia="es-ES"/>
        </w:rPr>
        <w:t>colpopexia</w:t>
      </w:r>
      <w:proofErr w:type="spellEnd"/>
      <w:r w:rsidRPr="003C52A0">
        <w:rPr>
          <w:lang w:val="es-ES" w:eastAsia="es-ES"/>
        </w:rPr>
        <w:t xml:space="preserve"> abdominal, mediante fijación del ápex con bandas aponeuróticas a la pared anterior del abdomen. Consiste en colocar a la paciente en posición de decúbito supino, se realiza anestesia general orotraqueal, asepsia, antisepsia del campo quirúrgico y colocación de una prótesis en la vagina, para que ascienda y facilitar su localización. Se realiza incisión de </w:t>
      </w:r>
      <w:proofErr w:type="spellStart"/>
      <w:r w:rsidRPr="003C52A0">
        <w:rPr>
          <w:iCs/>
          <w:lang w:val="es-ES" w:eastAsia="es-ES"/>
        </w:rPr>
        <w:t>Pfannestiel</w:t>
      </w:r>
      <w:proofErr w:type="spellEnd"/>
      <w:r w:rsidRPr="003C52A0">
        <w:rPr>
          <w:lang w:val="es-ES" w:eastAsia="es-ES"/>
        </w:rPr>
        <w:t xml:space="preserve"> por planos, hasta la aponeurosis anterior de los rectos abdominales. Se diseca la aponeurosis resecando 2 tiras aponeuróticas de 1,5 cm de ancho, que se seccionan en la línea media y se accede a la cavidad abdominal. Se localiza la cúpula vaginal y se toma con pinzas de Allis, se labra un túnel </w:t>
      </w:r>
      <w:proofErr w:type="spellStart"/>
      <w:r w:rsidRPr="003C52A0">
        <w:rPr>
          <w:lang w:val="es-ES" w:eastAsia="es-ES"/>
        </w:rPr>
        <w:t>subperitoneal</w:t>
      </w:r>
      <w:proofErr w:type="spellEnd"/>
      <w:r w:rsidRPr="003C52A0">
        <w:rPr>
          <w:lang w:val="es-ES" w:eastAsia="es-ES"/>
        </w:rPr>
        <w:t xml:space="preserve"> hasta la cúpula vaginal, con incisión y apertura del peritoneo visceral a nivel de la cúpula, se fijan ambas tiras aponeuróticas al ápex de la vagina mediante sutura no absorbible. Se cierra el peritoneo con sutura absorbible a corto plazo y se complementa con el cierre del saco de </w:t>
      </w:r>
      <w:r w:rsidRPr="003C52A0">
        <w:rPr>
          <w:iCs/>
          <w:lang w:val="es-ES" w:eastAsia="es-ES"/>
        </w:rPr>
        <w:t>Douglas</w:t>
      </w:r>
      <w:r w:rsidRPr="003C52A0">
        <w:rPr>
          <w:lang w:val="es-ES" w:eastAsia="es-ES"/>
        </w:rPr>
        <w:t xml:space="preserve"> mediante suturas de material no absorbible, en bolsa de tabaco, según la técnica de </w:t>
      </w:r>
      <w:proofErr w:type="spellStart"/>
      <w:proofErr w:type="gramStart"/>
      <w:r w:rsidRPr="003C52A0">
        <w:rPr>
          <w:iCs/>
          <w:lang w:val="es-ES" w:eastAsia="es-ES"/>
        </w:rPr>
        <w:t>Moscowitz</w:t>
      </w:r>
      <w:proofErr w:type="spellEnd"/>
      <w:r w:rsidRPr="003C52A0">
        <w:rPr>
          <w:iCs/>
          <w:lang w:val="es-ES" w:eastAsia="es-ES"/>
        </w:rPr>
        <w:t xml:space="preserve">, </w:t>
      </w:r>
      <w:r w:rsidRPr="003C52A0">
        <w:rPr>
          <w:i/>
          <w:lang w:val="es-ES" w:eastAsia="es-ES"/>
        </w:rPr>
        <w:t xml:space="preserve"> </w:t>
      </w:r>
      <w:r w:rsidRPr="003C52A0">
        <w:rPr>
          <w:lang w:val="es-ES" w:eastAsia="es-ES"/>
        </w:rPr>
        <w:t>con</w:t>
      </w:r>
      <w:proofErr w:type="gramEnd"/>
      <w:r w:rsidRPr="003C52A0">
        <w:rPr>
          <w:lang w:val="es-ES" w:eastAsia="es-ES"/>
        </w:rPr>
        <w:t xml:space="preserve"> el objetivo de reparar el </w:t>
      </w:r>
      <w:proofErr w:type="spellStart"/>
      <w:r w:rsidRPr="003C52A0">
        <w:rPr>
          <w:lang w:val="es-ES" w:eastAsia="es-ES"/>
        </w:rPr>
        <w:t>enterocele</w:t>
      </w:r>
      <w:proofErr w:type="spellEnd"/>
      <w:r w:rsidRPr="003C52A0">
        <w:rPr>
          <w:lang w:val="es-ES" w:eastAsia="es-ES"/>
        </w:rPr>
        <w:t xml:space="preserve"> y evitar recidivas. Se culmina con el cierre habitual de la pared abdominal por </w:t>
      </w:r>
      <w:proofErr w:type="gramStart"/>
      <w:r w:rsidRPr="003C52A0">
        <w:rPr>
          <w:lang w:val="es-ES" w:eastAsia="es-ES"/>
        </w:rPr>
        <w:t>planos.</w:t>
      </w:r>
      <w:r w:rsidRPr="003C52A0">
        <w:rPr>
          <w:vertAlign w:val="superscript"/>
          <w:lang w:val="es-ES" w:eastAsia="es-ES"/>
        </w:rPr>
        <w:t>(</w:t>
      </w:r>
      <w:proofErr w:type="gramEnd"/>
      <w:r w:rsidRPr="003C52A0">
        <w:rPr>
          <w:vertAlign w:val="superscript"/>
          <w:lang w:val="es-ES" w:eastAsia="es-ES"/>
        </w:rPr>
        <w:t>10)</w:t>
      </w:r>
      <w:r w:rsidRPr="003C52A0">
        <w:rPr>
          <w:lang w:val="es-ES" w:eastAsia="es-ES"/>
        </w:rPr>
        <w:t xml:space="preserve"> </w:t>
      </w:r>
    </w:p>
    <w:p w14:paraId="3184C46E" w14:textId="77777777" w:rsidR="003C52A0" w:rsidRPr="003C52A0" w:rsidRDefault="003C52A0" w:rsidP="003C52A0">
      <w:pPr>
        <w:autoSpaceDE w:val="0"/>
        <w:autoSpaceDN w:val="0"/>
        <w:adjustRightInd w:val="0"/>
        <w:spacing w:line="360" w:lineRule="auto"/>
        <w:jc w:val="both"/>
        <w:rPr>
          <w:rFonts w:eastAsia="Calibri"/>
          <w:lang w:val="es-ES" w:eastAsia="es-ES"/>
        </w:rPr>
      </w:pPr>
      <w:r w:rsidRPr="003C52A0">
        <w:rPr>
          <w:lang w:val="es-ES" w:eastAsia="es-ES"/>
        </w:rPr>
        <w:t xml:space="preserve">Se confeccionó una base de datos en Excel, partir de la información obtenida de las historias clínicas de las pacientes. Las variables fueron analizadas mediante frecuencias absolutas y relativas, los </w:t>
      </w:r>
      <w:r w:rsidRPr="003C52A0">
        <w:rPr>
          <w:rFonts w:eastAsia="Calibri"/>
          <w:lang w:val="es-ES" w:eastAsia="es-ES"/>
        </w:rPr>
        <w:t xml:space="preserve">resultados se exponen en tablas.  </w:t>
      </w:r>
    </w:p>
    <w:p w14:paraId="4D707B6A" w14:textId="77777777" w:rsidR="003C52A0" w:rsidRPr="003C52A0" w:rsidRDefault="003C52A0" w:rsidP="003C52A0">
      <w:pPr>
        <w:spacing w:line="360" w:lineRule="auto"/>
        <w:jc w:val="both"/>
        <w:rPr>
          <w:lang w:val="es-ES" w:eastAsia="es-ES"/>
        </w:rPr>
      </w:pPr>
      <w:r w:rsidRPr="003C52A0">
        <w:rPr>
          <w:lang w:val="es-ES" w:eastAsia="es-ES"/>
        </w:rPr>
        <w:t xml:space="preserve">La investigación se realizó de acuerdo con los principios de la declaración de </w:t>
      </w:r>
      <w:proofErr w:type="gramStart"/>
      <w:r w:rsidRPr="003C52A0">
        <w:rPr>
          <w:lang w:val="es-ES" w:eastAsia="es-ES"/>
        </w:rPr>
        <w:t>Helsinki</w:t>
      </w:r>
      <w:r w:rsidRPr="003C52A0">
        <w:rPr>
          <w:vertAlign w:val="superscript"/>
          <w:lang w:val="es-ES" w:eastAsia="es-ES"/>
        </w:rPr>
        <w:t>(</w:t>
      </w:r>
      <w:proofErr w:type="gramEnd"/>
      <w:r w:rsidRPr="003C52A0">
        <w:rPr>
          <w:vertAlign w:val="superscript"/>
          <w:lang w:val="es-ES" w:eastAsia="es-ES"/>
        </w:rPr>
        <w:t>11)</w:t>
      </w:r>
      <w:r w:rsidRPr="003C52A0">
        <w:rPr>
          <w:lang w:val="es-ES" w:eastAsia="es-ES"/>
        </w:rPr>
        <w:t xml:space="preserve"> y las reglas éticas de confidencialidad con los datos utilizados en el estudio. Todos los datos fueron anonimizados para su análisis.  </w:t>
      </w:r>
    </w:p>
    <w:p w14:paraId="6F3B67F9" w14:textId="77777777" w:rsidR="003C52A0" w:rsidRPr="003C52A0" w:rsidRDefault="003C52A0" w:rsidP="003C52A0">
      <w:pPr>
        <w:autoSpaceDE w:val="0"/>
        <w:autoSpaceDN w:val="0"/>
        <w:adjustRightInd w:val="0"/>
        <w:spacing w:line="360" w:lineRule="auto"/>
        <w:jc w:val="both"/>
        <w:rPr>
          <w:b/>
          <w:lang w:val="es-ES" w:eastAsia="es-ES"/>
        </w:rPr>
      </w:pPr>
    </w:p>
    <w:p w14:paraId="5510ACD3" w14:textId="77777777" w:rsidR="003C52A0" w:rsidRPr="003C52A0" w:rsidRDefault="003C52A0" w:rsidP="003C52A0">
      <w:pPr>
        <w:autoSpaceDE w:val="0"/>
        <w:autoSpaceDN w:val="0"/>
        <w:adjustRightInd w:val="0"/>
        <w:spacing w:line="360" w:lineRule="auto"/>
        <w:jc w:val="both"/>
        <w:rPr>
          <w:b/>
          <w:lang w:val="es-ES" w:eastAsia="es-ES"/>
        </w:rPr>
      </w:pPr>
    </w:p>
    <w:p w14:paraId="7BC2EDBF" w14:textId="77777777" w:rsidR="003C52A0" w:rsidRPr="003C52A0" w:rsidRDefault="003C52A0" w:rsidP="003C52A0">
      <w:pPr>
        <w:autoSpaceDE w:val="0"/>
        <w:autoSpaceDN w:val="0"/>
        <w:adjustRightInd w:val="0"/>
        <w:spacing w:line="360" w:lineRule="auto"/>
        <w:jc w:val="center"/>
        <w:rPr>
          <w:b/>
          <w:sz w:val="32"/>
          <w:szCs w:val="32"/>
          <w:lang w:val="es-ES" w:eastAsia="es-ES"/>
        </w:rPr>
      </w:pPr>
      <w:r w:rsidRPr="003C52A0">
        <w:rPr>
          <w:b/>
          <w:sz w:val="32"/>
          <w:szCs w:val="32"/>
          <w:lang w:val="es-ES" w:eastAsia="es-ES"/>
        </w:rPr>
        <w:t>RESULTADOS</w:t>
      </w:r>
    </w:p>
    <w:p w14:paraId="0027A317" w14:textId="77777777" w:rsidR="003C52A0" w:rsidRPr="003C52A0" w:rsidRDefault="003C52A0" w:rsidP="003C52A0">
      <w:pPr>
        <w:autoSpaceDE w:val="0"/>
        <w:autoSpaceDN w:val="0"/>
        <w:adjustRightInd w:val="0"/>
        <w:spacing w:line="360" w:lineRule="auto"/>
        <w:jc w:val="both"/>
        <w:rPr>
          <w:color w:val="000000"/>
          <w:lang w:val="es-ES" w:eastAsia="es-ES"/>
        </w:rPr>
      </w:pPr>
      <w:r w:rsidRPr="003C52A0">
        <w:rPr>
          <w:color w:val="000000"/>
          <w:lang w:val="es-ES" w:eastAsia="es-ES"/>
        </w:rPr>
        <w:t xml:space="preserve">Se aprecia en la tabla 1 que el 46,1 % de las pacientes con prolapso de cúpula tenían como intervención quirúrgica previa una histerectomía abdominal y el 53,8 % una histerectomía por vía vaginal. La mayoría de los casos tratados tuvieron 56 o más años de edad (88,5 %).   </w:t>
      </w:r>
    </w:p>
    <w:p w14:paraId="0BA84FA6" w14:textId="77777777" w:rsidR="003C52A0" w:rsidRPr="003C52A0" w:rsidRDefault="003C52A0" w:rsidP="003C52A0">
      <w:pPr>
        <w:autoSpaceDE w:val="0"/>
        <w:autoSpaceDN w:val="0"/>
        <w:adjustRightInd w:val="0"/>
        <w:spacing w:line="360" w:lineRule="auto"/>
        <w:jc w:val="both"/>
        <w:rPr>
          <w:color w:val="000000"/>
          <w:lang w:val="es-ES" w:eastAsia="es-ES"/>
        </w:rPr>
      </w:pPr>
    </w:p>
    <w:p w14:paraId="53043FD0" w14:textId="77777777" w:rsidR="003C52A0" w:rsidRPr="003C52A0" w:rsidRDefault="003C52A0" w:rsidP="003C52A0">
      <w:pPr>
        <w:tabs>
          <w:tab w:val="right" w:pos="8504"/>
        </w:tabs>
        <w:autoSpaceDE w:val="0"/>
        <w:autoSpaceDN w:val="0"/>
        <w:adjustRightInd w:val="0"/>
        <w:spacing w:line="360" w:lineRule="auto"/>
        <w:jc w:val="center"/>
        <w:rPr>
          <w:color w:val="000000"/>
          <w:sz w:val="22"/>
          <w:szCs w:val="22"/>
          <w:lang w:val="es-ES" w:eastAsia="es-ES"/>
        </w:rPr>
      </w:pPr>
      <w:r w:rsidRPr="003C52A0">
        <w:rPr>
          <w:b/>
          <w:bCs/>
          <w:color w:val="000000"/>
          <w:sz w:val="22"/>
          <w:szCs w:val="22"/>
          <w:lang w:val="es-ES" w:eastAsia="es-ES"/>
        </w:rPr>
        <w:t>Tabla 1 -</w:t>
      </w:r>
      <w:r w:rsidRPr="003C52A0">
        <w:rPr>
          <w:color w:val="000000"/>
          <w:sz w:val="22"/>
          <w:szCs w:val="22"/>
          <w:lang w:val="es-ES" w:eastAsia="es-ES"/>
        </w:rPr>
        <w:t xml:space="preserve"> Distribución de las pacientes según la edad y tipo de cirugía previa</w:t>
      </w:r>
    </w:p>
    <w:tbl>
      <w:tblPr>
        <w:tblStyle w:val="Tablaconcuadrcula1"/>
        <w:tblW w:w="0" w:type="auto"/>
        <w:jc w:val="center"/>
        <w:tblLayout w:type="fixed"/>
        <w:tblLook w:val="04A0" w:firstRow="1" w:lastRow="0" w:firstColumn="1" w:lastColumn="0" w:noHBand="0" w:noVBand="1"/>
      </w:tblPr>
      <w:tblGrid>
        <w:gridCol w:w="1479"/>
        <w:gridCol w:w="756"/>
        <w:gridCol w:w="804"/>
        <w:gridCol w:w="709"/>
        <w:gridCol w:w="756"/>
        <w:gridCol w:w="628"/>
        <w:gridCol w:w="594"/>
      </w:tblGrid>
      <w:tr w:rsidR="003C52A0" w:rsidRPr="003C52A0" w14:paraId="19A6DBDD" w14:textId="77777777" w:rsidTr="0060234B">
        <w:trPr>
          <w:jc w:val="center"/>
        </w:trPr>
        <w:tc>
          <w:tcPr>
            <w:tcW w:w="1479" w:type="dxa"/>
            <w:vMerge w:val="restart"/>
            <w:vAlign w:val="center"/>
          </w:tcPr>
          <w:p w14:paraId="6510F2BB" w14:textId="77777777" w:rsidR="003C52A0" w:rsidRPr="003C52A0" w:rsidRDefault="003C52A0" w:rsidP="003C52A0">
            <w:pPr>
              <w:autoSpaceDE w:val="0"/>
              <w:autoSpaceDN w:val="0"/>
              <w:adjustRightInd w:val="0"/>
              <w:spacing w:line="360" w:lineRule="auto"/>
              <w:jc w:val="center"/>
              <w:rPr>
                <w:rFonts w:ascii="Times New Roman" w:hAnsi="Times New Roman"/>
                <w:b/>
                <w:bCs/>
                <w:color w:val="000000"/>
                <w:sz w:val="18"/>
                <w:szCs w:val="18"/>
                <w:lang w:val="es-ES" w:eastAsia="es-ES"/>
              </w:rPr>
            </w:pPr>
            <w:r w:rsidRPr="003C52A0">
              <w:rPr>
                <w:rFonts w:ascii="Times New Roman" w:hAnsi="Times New Roman"/>
                <w:b/>
                <w:bCs/>
                <w:color w:val="000000"/>
                <w:sz w:val="18"/>
                <w:szCs w:val="18"/>
                <w:lang w:val="es-ES" w:eastAsia="es-ES"/>
              </w:rPr>
              <w:t>Edades</w:t>
            </w:r>
          </w:p>
        </w:tc>
        <w:tc>
          <w:tcPr>
            <w:tcW w:w="3025" w:type="dxa"/>
            <w:gridSpan w:val="4"/>
            <w:vAlign w:val="center"/>
          </w:tcPr>
          <w:p w14:paraId="563CDB3B" w14:textId="77777777" w:rsidR="003C52A0" w:rsidRPr="003C52A0" w:rsidRDefault="003C52A0" w:rsidP="003C52A0">
            <w:pPr>
              <w:autoSpaceDE w:val="0"/>
              <w:autoSpaceDN w:val="0"/>
              <w:adjustRightInd w:val="0"/>
              <w:spacing w:line="360" w:lineRule="auto"/>
              <w:jc w:val="center"/>
              <w:rPr>
                <w:rFonts w:ascii="Times New Roman" w:hAnsi="Times New Roman"/>
                <w:b/>
                <w:bCs/>
                <w:color w:val="000000"/>
                <w:sz w:val="18"/>
                <w:szCs w:val="18"/>
                <w:lang w:val="es-ES" w:eastAsia="es-ES"/>
              </w:rPr>
            </w:pPr>
            <w:r w:rsidRPr="003C52A0">
              <w:rPr>
                <w:rFonts w:ascii="Times New Roman" w:hAnsi="Times New Roman"/>
                <w:b/>
                <w:bCs/>
                <w:color w:val="000000"/>
                <w:sz w:val="18"/>
                <w:szCs w:val="18"/>
                <w:lang w:val="es-ES" w:eastAsia="es-ES"/>
              </w:rPr>
              <w:t>Tipo de cirugía previa</w:t>
            </w:r>
          </w:p>
        </w:tc>
        <w:tc>
          <w:tcPr>
            <w:tcW w:w="628" w:type="dxa"/>
            <w:vMerge w:val="restart"/>
            <w:vAlign w:val="center"/>
          </w:tcPr>
          <w:p w14:paraId="77B34477" w14:textId="77777777" w:rsidR="003C52A0" w:rsidRPr="003C52A0" w:rsidRDefault="003C52A0" w:rsidP="003C52A0">
            <w:pPr>
              <w:autoSpaceDE w:val="0"/>
              <w:autoSpaceDN w:val="0"/>
              <w:adjustRightInd w:val="0"/>
              <w:spacing w:line="360" w:lineRule="auto"/>
              <w:jc w:val="center"/>
              <w:rPr>
                <w:rFonts w:ascii="Times New Roman" w:hAnsi="Times New Roman"/>
                <w:b/>
                <w:bCs/>
                <w:color w:val="000000"/>
                <w:sz w:val="18"/>
                <w:szCs w:val="18"/>
                <w:lang w:val="es-ES" w:eastAsia="es-ES"/>
              </w:rPr>
            </w:pPr>
            <w:r w:rsidRPr="003C52A0">
              <w:rPr>
                <w:rFonts w:ascii="Times New Roman" w:hAnsi="Times New Roman"/>
                <w:b/>
                <w:bCs/>
                <w:color w:val="000000"/>
                <w:sz w:val="18"/>
                <w:szCs w:val="18"/>
                <w:lang w:val="es-ES" w:eastAsia="es-ES"/>
              </w:rPr>
              <w:t>Total</w:t>
            </w:r>
          </w:p>
        </w:tc>
        <w:tc>
          <w:tcPr>
            <w:tcW w:w="594" w:type="dxa"/>
            <w:vMerge w:val="restart"/>
            <w:vAlign w:val="center"/>
          </w:tcPr>
          <w:p w14:paraId="335687DC" w14:textId="77777777" w:rsidR="003C52A0" w:rsidRPr="003C52A0" w:rsidRDefault="003C52A0" w:rsidP="003C52A0">
            <w:pPr>
              <w:autoSpaceDE w:val="0"/>
              <w:autoSpaceDN w:val="0"/>
              <w:adjustRightInd w:val="0"/>
              <w:spacing w:line="360" w:lineRule="auto"/>
              <w:jc w:val="center"/>
              <w:rPr>
                <w:rFonts w:ascii="Times New Roman" w:hAnsi="Times New Roman"/>
                <w:b/>
                <w:bCs/>
                <w:color w:val="000000"/>
                <w:sz w:val="18"/>
                <w:szCs w:val="18"/>
                <w:lang w:val="es-ES" w:eastAsia="es-ES"/>
              </w:rPr>
            </w:pPr>
            <w:r w:rsidRPr="003C52A0">
              <w:rPr>
                <w:rFonts w:ascii="Times New Roman" w:hAnsi="Times New Roman"/>
                <w:b/>
                <w:bCs/>
                <w:color w:val="000000"/>
                <w:sz w:val="18"/>
                <w:szCs w:val="18"/>
                <w:lang w:val="es-ES" w:eastAsia="es-ES"/>
              </w:rPr>
              <w:t>%</w:t>
            </w:r>
          </w:p>
        </w:tc>
      </w:tr>
      <w:tr w:rsidR="003C52A0" w:rsidRPr="003C52A0" w14:paraId="10D30570" w14:textId="77777777" w:rsidTr="0060234B">
        <w:trPr>
          <w:trHeight w:val="332"/>
          <w:jc w:val="center"/>
        </w:trPr>
        <w:tc>
          <w:tcPr>
            <w:tcW w:w="1479" w:type="dxa"/>
            <w:vMerge/>
            <w:vAlign w:val="center"/>
          </w:tcPr>
          <w:p w14:paraId="314D7811" w14:textId="77777777" w:rsidR="003C52A0" w:rsidRPr="003C52A0" w:rsidRDefault="003C52A0" w:rsidP="003C52A0">
            <w:pPr>
              <w:autoSpaceDE w:val="0"/>
              <w:autoSpaceDN w:val="0"/>
              <w:adjustRightInd w:val="0"/>
              <w:spacing w:line="360" w:lineRule="auto"/>
              <w:jc w:val="center"/>
              <w:rPr>
                <w:rFonts w:ascii="Times New Roman" w:hAnsi="Times New Roman"/>
                <w:b/>
                <w:bCs/>
                <w:color w:val="000000"/>
                <w:sz w:val="18"/>
                <w:szCs w:val="18"/>
                <w:lang w:val="es-ES" w:eastAsia="es-ES"/>
              </w:rPr>
            </w:pPr>
          </w:p>
        </w:tc>
        <w:tc>
          <w:tcPr>
            <w:tcW w:w="1560" w:type="dxa"/>
            <w:gridSpan w:val="2"/>
            <w:tcBorders>
              <w:bottom w:val="single" w:sz="4" w:space="0" w:color="auto"/>
            </w:tcBorders>
            <w:vAlign w:val="center"/>
          </w:tcPr>
          <w:p w14:paraId="0403E24C" w14:textId="77777777" w:rsidR="003C52A0" w:rsidRPr="003C52A0" w:rsidRDefault="003C52A0" w:rsidP="003C52A0">
            <w:pPr>
              <w:autoSpaceDE w:val="0"/>
              <w:autoSpaceDN w:val="0"/>
              <w:adjustRightInd w:val="0"/>
              <w:spacing w:line="360" w:lineRule="auto"/>
              <w:jc w:val="center"/>
              <w:rPr>
                <w:rFonts w:ascii="Times New Roman" w:hAnsi="Times New Roman"/>
                <w:b/>
                <w:bCs/>
                <w:color w:val="000000"/>
                <w:sz w:val="18"/>
                <w:szCs w:val="18"/>
                <w:lang w:val="es-ES" w:eastAsia="es-ES"/>
              </w:rPr>
            </w:pPr>
            <w:r w:rsidRPr="003C52A0">
              <w:rPr>
                <w:rFonts w:ascii="Times New Roman" w:hAnsi="Times New Roman"/>
                <w:b/>
                <w:bCs/>
                <w:color w:val="000000"/>
                <w:sz w:val="18"/>
                <w:szCs w:val="18"/>
                <w:lang w:val="es-ES" w:eastAsia="es-ES"/>
              </w:rPr>
              <w:t>Histerectomía abdominal</w:t>
            </w:r>
          </w:p>
        </w:tc>
        <w:tc>
          <w:tcPr>
            <w:tcW w:w="1465" w:type="dxa"/>
            <w:gridSpan w:val="2"/>
            <w:tcBorders>
              <w:bottom w:val="single" w:sz="4" w:space="0" w:color="auto"/>
            </w:tcBorders>
            <w:vAlign w:val="center"/>
          </w:tcPr>
          <w:p w14:paraId="240D20FA" w14:textId="77777777" w:rsidR="003C52A0" w:rsidRPr="003C52A0" w:rsidRDefault="003C52A0" w:rsidP="003C52A0">
            <w:pPr>
              <w:autoSpaceDE w:val="0"/>
              <w:autoSpaceDN w:val="0"/>
              <w:adjustRightInd w:val="0"/>
              <w:spacing w:line="360" w:lineRule="auto"/>
              <w:jc w:val="center"/>
              <w:rPr>
                <w:rFonts w:ascii="Times New Roman" w:hAnsi="Times New Roman"/>
                <w:b/>
                <w:bCs/>
                <w:color w:val="000000"/>
                <w:sz w:val="18"/>
                <w:szCs w:val="18"/>
                <w:lang w:val="es-ES" w:eastAsia="es-ES"/>
              </w:rPr>
            </w:pPr>
            <w:r w:rsidRPr="003C52A0">
              <w:rPr>
                <w:rFonts w:ascii="Times New Roman" w:hAnsi="Times New Roman"/>
                <w:b/>
                <w:bCs/>
                <w:color w:val="000000"/>
                <w:sz w:val="18"/>
                <w:szCs w:val="18"/>
                <w:lang w:val="es-ES" w:eastAsia="es-ES"/>
              </w:rPr>
              <w:t>Histerectomía vaginal</w:t>
            </w:r>
          </w:p>
        </w:tc>
        <w:tc>
          <w:tcPr>
            <w:tcW w:w="628" w:type="dxa"/>
            <w:vMerge/>
            <w:vAlign w:val="center"/>
          </w:tcPr>
          <w:p w14:paraId="26B6E679" w14:textId="77777777" w:rsidR="003C52A0" w:rsidRPr="003C52A0" w:rsidRDefault="003C52A0" w:rsidP="003C52A0">
            <w:pPr>
              <w:autoSpaceDE w:val="0"/>
              <w:autoSpaceDN w:val="0"/>
              <w:adjustRightInd w:val="0"/>
              <w:spacing w:line="360" w:lineRule="auto"/>
              <w:jc w:val="center"/>
              <w:rPr>
                <w:rFonts w:ascii="Times New Roman" w:hAnsi="Times New Roman"/>
                <w:b/>
                <w:bCs/>
                <w:color w:val="000000"/>
                <w:sz w:val="18"/>
                <w:szCs w:val="18"/>
                <w:lang w:val="es-ES" w:eastAsia="es-ES"/>
              </w:rPr>
            </w:pPr>
          </w:p>
        </w:tc>
        <w:tc>
          <w:tcPr>
            <w:tcW w:w="594" w:type="dxa"/>
            <w:vMerge/>
            <w:vAlign w:val="center"/>
          </w:tcPr>
          <w:p w14:paraId="51B466A7" w14:textId="77777777" w:rsidR="003C52A0" w:rsidRPr="003C52A0" w:rsidRDefault="003C52A0" w:rsidP="003C52A0">
            <w:pPr>
              <w:autoSpaceDE w:val="0"/>
              <w:autoSpaceDN w:val="0"/>
              <w:adjustRightInd w:val="0"/>
              <w:spacing w:line="360" w:lineRule="auto"/>
              <w:jc w:val="center"/>
              <w:rPr>
                <w:rFonts w:ascii="Times New Roman" w:hAnsi="Times New Roman"/>
                <w:b/>
                <w:bCs/>
                <w:color w:val="000000"/>
                <w:sz w:val="18"/>
                <w:szCs w:val="18"/>
                <w:lang w:val="es-ES" w:eastAsia="es-ES"/>
              </w:rPr>
            </w:pPr>
          </w:p>
        </w:tc>
      </w:tr>
      <w:tr w:rsidR="003C52A0" w:rsidRPr="003C52A0" w14:paraId="442D30B4" w14:textId="77777777" w:rsidTr="0060234B">
        <w:trPr>
          <w:trHeight w:val="226"/>
          <w:jc w:val="center"/>
        </w:trPr>
        <w:tc>
          <w:tcPr>
            <w:tcW w:w="1479" w:type="dxa"/>
            <w:vMerge/>
            <w:vAlign w:val="center"/>
          </w:tcPr>
          <w:p w14:paraId="0A845B54" w14:textId="77777777" w:rsidR="003C52A0" w:rsidRPr="003C52A0" w:rsidRDefault="003C52A0" w:rsidP="003C52A0">
            <w:pPr>
              <w:autoSpaceDE w:val="0"/>
              <w:autoSpaceDN w:val="0"/>
              <w:adjustRightInd w:val="0"/>
              <w:spacing w:line="360" w:lineRule="auto"/>
              <w:jc w:val="both"/>
              <w:rPr>
                <w:rFonts w:ascii="Times New Roman" w:hAnsi="Times New Roman"/>
                <w:color w:val="000000"/>
                <w:sz w:val="18"/>
                <w:szCs w:val="18"/>
                <w:lang w:val="es-ES" w:eastAsia="es-ES"/>
              </w:rPr>
            </w:pPr>
          </w:p>
        </w:tc>
        <w:tc>
          <w:tcPr>
            <w:tcW w:w="756" w:type="dxa"/>
            <w:tcBorders>
              <w:top w:val="single" w:sz="4" w:space="0" w:color="auto"/>
              <w:right w:val="single" w:sz="4" w:space="0" w:color="auto"/>
            </w:tcBorders>
            <w:vAlign w:val="center"/>
          </w:tcPr>
          <w:p w14:paraId="12B05D7D"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n</w:t>
            </w:r>
          </w:p>
        </w:tc>
        <w:tc>
          <w:tcPr>
            <w:tcW w:w="804" w:type="dxa"/>
            <w:tcBorders>
              <w:top w:val="single" w:sz="4" w:space="0" w:color="auto"/>
              <w:left w:val="single" w:sz="4" w:space="0" w:color="auto"/>
            </w:tcBorders>
            <w:vAlign w:val="center"/>
          </w:tcPr>
          <w:p w14:paraId="12FF5230"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w:t>
            </w:r>
          </w:p>
        </w:tc>
        <w:tc>
          <w:tcPr>
            <w:tcW w:w="709" w:type="dxa"/>
            <w:tcBorders>
              <w:top w:val="single" w:sz="4" w:space="0" w:color="auto"/>
              <w:right w:val="single" w:sz="4" w:space="0" w:color="auto"/>
            </w:tcBorders>
            <w:vAlign w:val="center"/>
          </w:tcPr>
          <w:p w14:paraId="6800C3BE"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n</w:t>
            </w:r>
          </w:p>
        </w:tc>
        <w:tc>
          <w:tcPr>
            <w:tcW w:w="756" w:type="dxa"/>
            <w:tcBorders>
              <w:top w:val="single" w:sz="4" w:space="0" w:color="auto"/>
              <w:left w:val="single" w:sz="4" w:space="0" w:color="auto"/>
            </w:tcBorders>
            <w:vAlign w:val="center"/>
          </w:tcPr>
          <w:p w14:paraId="006234BB"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w:t>
            </w:r>
          </w:p>
        </w:tc>
        <w:tc>
          <w:tcPr>
            <w:tcW w:w="628" w:type="dxa"/>
            <w:vMerge/>
            <w:vAlign w:val="center"/>
          </w:tcPr>
          <w:p w14:paraId="528DA234"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p>
        </w:tc>
        <w:tc>
          <w:tcPr>
            <w:tcW w:w="594" w:type="dxa"/>
            <w:vMerge/>
            <w:vAlign w:val="center"/>
          </w:tcPr>
          <w:p w14:paraId="1E948E8B"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p>
        </w:tc>
      </w:tr>
      <w:tr w:rsidR="003C52A0" w:rsidRPr="003C52A0" w14:paraId="69B585CD" w14:textId="77777777" w:rsidTr="0060234B">
        <w:trPr>
          <w:jc w:val="center"/>
        </w:trPr>
        <w:tc>
          <w:tcPr>
            <w:tcW w:w="1479" w:type="dxa"/>
            <w:vAlign w:val="center"/>
          </w:tcPr>
          <w:p w14:paraId="14B24ACD" w14:textId="77777777" w:rsidR="003C52A0" w:rsidRPr="003C52A0" w:rsidRDefault="003C52A0" w:rsidP="003C52A0">
            <w:pPr>
              <w:autoSpaceDE w:val="0"/>
              <w:autoSpaceDN w:val="0"/>
              <w:adjustRightInd w:val="0"/>
              <w:spacing w:line="360" w:lineRule="auto"/>
              <w:jc w:val="both"/>
              <w:rPr>
                <w:rFonts w:ascii="Times New Roman" w:hAnsi="Times New Roman"/>
                <w:b/>
                <w:color w:val="000000"/>
                <w:sz w:val="18"/>
                <w:szCs w:val="18"/>
                <w:lang w:val="es-ES" w:eastAsia="es-ES"/>
              </w:rPr>
            </w:pPr>
            <w:r w:rsidRPr="003C52A0">
              <w:rPr>
                <w:rFonts w:ascii="Times New Roman" w:hAnsi="Times New Roman"/>
                <w:color w:val="000000"/>
                <w:sz w:val="18"/>
                <w:szCs w:val="18"/>
                <w:lang w:val="es-ES" w:eastAsia="es-ES"/>
              </w:rPr>
              <w:t xml:space="preserve">35-55 años </w:t>
            </w:r>
          </w:p>
        </w:tc>
        <w:tc>
          <w:tcPr>
            <w:tcW w:w="756" w:type="dxa"/>
            <w:tcBorders>
              <w:right w:val="single" w:sz="4" w:space="0" w:color="auto"/>
            </w:tcBorders>
            <w:vAlign w:val="center"/>
          </w:tcPr>
          <w:p w14:paraId="16EC530C"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1</w:t>
            </w:r>
          </w:p>
        </w:tc>
        <w:tc>
          <w:tcPr>
            <w:tcW w:w="804" w:type="dxa"/>
            <w:tcBorders>
              <w:left w:val="single" w:sz="4" w:space="0" w:color="auto"/>
            </w:tcBorders>
            <w:vAlign w:val="center"/>
          </w:tcPr>
          <w:p w14:paraId="033AAC29"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8,3</w:t>
            </w:r>
          </w:p>
        </w:tc>
        <w:tc>
          <w:tcPr>
            <w:tcW w:w="709" w:type="dxa"/>
            <w:tcBorders>
              <w:right w:val="single" w:sz="4" w:space="0" w:color="auto"/>
            </w:tcBorders>
            <w:vAlign w:val="center"/>
          </w:tcPr>
          <w:p w14:paraId="7CEB483A"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2</w:t>
            </w:r>
          </w:p>
        </w:tc>
        <w:tc>
          <w:tcPr>
            <w:tcW w:w="756" w:type="dxa"/>
            <w:tcBorders>
              <w:left w:val="single" w:sz="4" w:space="0" w:color="auto"/>
            </w:tcBorders>
            <w:vAlign w:val="center"/>
          </w:tcPr>
          <w:p w14:paraId="693EE722"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14,2</w:t>
            </w:r>
          </w:p>
        </w:tc>
        <w:tc>
          <w:tcPr>
            <w:tcW w:w="628" w:type="dxa"/>
            <w:vAlign w:val="center"/>
          </w:tcPr>
          <w:p w14:paraId="2D360341"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3</w:t>
            </w:r>
          </w:p>
        </w:tc>
        <w:tc>
          <w:tcPr>
            <w:tcW w:w="594" w:type="dxa"/>
            <w:vAlign w:val="center"/>
          </w:tcPr>
          <w:p w14:paraId="0C27B0C7"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11,5</w:t>
            </w:r>
          </w:p>
        </w:tc>
      </w:tr>
      <w:tr w:rsidR="003C52A0" w:rsidRPr="003C52A0" w14:paraId="77137475" w14:textId="77777777" w:rsidTr="0060234B">
        <w:trPr>
          <w:jc w:val="center"/>
        </w:trPr>
        <w:tc>
          <w:tcPr>
            <w:tcW w:w="1479" w:type="dxa"/>
            <w:vAlign w:val="center"/>
          </w:tcPr>
          <w:p w14:paraId="73DAFC8F" w14:textId="77777777" w:rsidR="003C52A0" w:rsidRPr="003C52A0" w:rsidRDefault="003C52A0" w:rsidP="003C52A0">
            <w:pPr>
              <w:autoSpaceDE w:val="0"/>
              <w:autoSpaceDN w:val="0"/>
              <w:adjustRightInd w:val="0"/>
              <w:spacing w:line="360" w:lineRule="auto"/>
              <w:jc w:val="both"/>
              <w:rPr>
                <w:rFonts w:ascii="Times New Roman" w:hAnsi="Times New Roman"/>
                <w:b/>
                <w:color w:val="000000"/>
                <w:sz w:val="18"/>
                <w:szCs w:val="18"/>
                <w:lang w:val="es-ES" w:eastAsia="es-ES"/>
              </w:rPr>
            </w:pPr>
            <w:r w:rsidRPr="003C52A0">
              <w:rPr>
                <w:rFonts w:ascii="Times New Roman" w:hAnsi="Times New Roman"/>
                <w:color w:val="000000"/>
                <w:sz w:val="18"/>
                <w:szCs w:val="18"/>
                <w:lang w:val="es-ES" w:eastAsia="es-ES"/>
              </w:rPr>
              <w:t xml:space="preserve">56-69 años </w:t>
            </w:r>
          </w:p>
        </w:tc>
        <w:tc>
          <w:tcPr>
            <w:tcW w:w="756" w:type="dxa"/>
            <w:tcBorders>
              <w:right w:val="single" w:sz="4" w:space="0" w:color="auto"/>
            </w:tcBorders>
            <w:vAlign w:val="center"/>
          </w:tcPr>
          <w:p w14:paraId="3317FA27"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9</w:t>
            </w:r>
          </w:p>
        </w:tc>
        <w:tc>
          <w:tcPr>
            <w:tcW w:w="804" w:type="dxa"/>
            <w:tcBorders>
              <w:left w:val="single" w:sz="4" w:space="0" w:color="auto"/>
            </w:tcBorders>
            <w:vAlign w:val="center"/>
          </w:tcPr>
          <w:p w14:paraId="39E47BEA"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75</w:t>
            </w:r>
          </w:p>
        </w:tc>
        <w:tc>
          <w:tcPr>
            <w:tcW w:w="709" w:type="dxa"/>
            <w:tcBorders>
              <w:right w:val="single" w:sz="4" w:space="0" w:color="auto"/>
            </w:tcBorders>
            <w:vAlign w:val="center"/>
          </w:tcPr>
          <w:p w14:paraId="0D72A05E"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9</w:t>
            </w:r>
          </w:p>
        </w:tc>
        <w:tc>
          <w:tcPr>
            <w:tcW w:w="756" w:type="dxa"/>
            <w:tcBorders>
              <w:left w:val="single" w:sz="4" w:space="0" w:color="auto"/>
            </w:tcBorders>
            <w:vAlign w:val="center"/>
          </w:tcPr>
          <w:p w14:paraId="017F0042"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64,2</w:t>
            </w:r>
          </w:p>
        </w:tc>
        <w:tc>
          <w:tcPr>
            <w:tcW w:w="628" w:type="dxa"/>
            <w:vAlign w:val="center"/>
          </w:tcPr>
          <w:p w14:paraId="003989BF"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18</w:t>
            </w:r>
          </w:p>
        </w:tc>
        <w:tc>
          <w:tcPr>
            <w:tcW w:w="594" w:type="dxa"/>
            <w:vAlign w:val="center"/>
          </w:tcPr>
          <w:p w14:paraId="3A66067B"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69,2</w:t>
            </w:r>
          </w:p>
        </w:tc>
      </w:tr>
      <w:tr w:rsidR="003C52A0" w:rsidRPr="003C52A0" w14:paraId="13F3D168" w14:textId="77777777" w:rsidTr="0060234B">
        <w:trPr>
          <w:jc w:val="center"/>
        </w:trPr>
        <w:tc>
          <w:tcPr>
            <w:tcW w:w="1479" w:type="dxa"/>
            <w:vAlign w:val="center"/>
          </w:tcPr>
          <w:p w14:paraId="4067A3CA" w14:textId="77777777" w:rsidR="003C52A0" w:rsidRPr="003C52A0" w:rsidRDefault="003C52A0" w:rsidP="003C52A0">
            <w:pPr>
              <w:autoSpaceDE w:val="0"/>
              <w:autoSpaceDN w:val="0"/>
              <w:adjustRightInd w:val="0"/>
              <w:spacing w:line="360" w:lineRule="auto"/>
              <w:jc w:val="both"/>
              <w:rPr>
                <w:rFonts w:ascii="Times New Roman" w:hAnsi="Times New Roman"/>
                <w:b/>
                <w:color w:val="000000"/>
                <w:sz w:val="18"/>
                <w:szCs w:val="18"/>
                <w:lang w:val="es-ES" w:eastAsia="es-ES"/>
              </w:rPr>
            </w:pPr>
            <w:r w:rsidRPr="003C52A0">
              <w:rPr>
                <w:rFonts w:ascii="Times New Roman" w:hAnsi="Times New Roman"/>
                <w:color w:val="000000"/>
                <w:sz w:val="18"/>
                <w:szCs w:val="18"/>
                <w:lang w:val="es-ES" w:eastAsia="es-ES"/>
              </w:rPr>
              <w:t xml:space="preserve">Más de 70 años </w:t>
            </w:r>
          </w:p>
        </w:tc>
        <w:tc>
          <w:tcPr>
            <w:tcW w:w="756" w:type="dxa"/>
            <w:tcBorders>
              <w:right w:val="single" w:sz="4" w:space="0" w:color="auto"/>
            </w:tcBorders>
            <w:vAlign w:val="center"/>
          </w:tcPr>
          <w:p w14:paraId="63035CD0"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2</w:t>
            </w:r>
          </w:p>
        </w:tc>
        <w:tc>
          <w:tcPr>
            <w:tcW w:w="804" w:type="dxa"/>
            <w:tcBorders>
              <w:left w:val="single" w:sz="4" w:space="0" w:color="auto"/>
            </w:tcBorders>
            <w:vAlign w:val="center"/>
          </w:tcPr>
          <w:p w14:paraId="130C8F00"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16,6</w:t>
            </w:r>
          </w:p>
        </w:tc>
        <w:tc>
          <w:tcPr>
            <w:tcW w:w="709" w:type="dxa"/>
            <w:tcBorders>
              <w:right w:val="single" w:sz="4" w:space="0" w:color="auto"/>
            </w:tcBorders>
            <w:vAlign w:val="center"/>
          </w:tcPr>
          <w:p w14:paraId="63D6BB01"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3</w:t>
            </w:r>
          </w:p>
        </w:tc>
        <w:tc>
          <w:tcPr>
            <w:tcW w:w="756" w:type="dxa"/>
            <w:tcBorders>
              <w:left w:val="single" w:sz="4" w:space="0" w:color="auto"/>
            </w:tcBorders>
            <w:vAlign w:val="center"/>
          </w:tcPr>
          <w:p w14:paraId="3FD1048F"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21,4</w:t>
            </w:r>
          </w:p>
        </w:tc>
        <w:tc>
          <w:tcPr>
            <w:tcW w:w="628" w:type="dxa"/>
            <w:vAlign w:val="center"/>
          </w:tcPr>
          <w:p w14:paraId="50A8AAB4"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5</w:t>
            </w:r>
          </w:p>
        </w:tc>
        <w:tc>
          <w:tcPr>
            <w:tcW w:w="594" w:type="dxa"/>
            <w:vAlign w:val="center"/>
          </w:tcPr>
          <w:p w14:paraId="71A9A38A"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19,3</w:t>
            </w:r>
          </w:p>
        </w:tc>
      </w:tr>
      <w:tr w:rsidR="003C52A0" w:rsidRPr="003C52A0" w14:paraId="635D7636" w14:textId="77777777" w:rsidTr="0060234B">
        <w:trPr>
          <w:jc w:val="center"/>
        </w:trPr>
        <w:tc>
          <w:tcPr>
            <w:tcW w:w="1479" w:type="dxa"/>
            <w:vAlign w:val="center"/>
          </w:tcPr>
          <w:p w14:paraId="0BB54865" w14:textId="77777777" w:rsidR="003C52A0" w:rsidRPr="003C52A0" w:rsidRDefault="003C52A0" w:rsidP="003C52A0">
            <w:pPr>
              <w:autoSpaceDE w:val="0"/>
              <w:autoSpaceDN w:val="0"/>
              <w:adjustRightInd w:val="0"/>
              <w:spacing w:line="360" w:lineRule="auto"/>
              <w:jc w:val="both"/>
              <w:rPr>
                <w:rFonts w:ascii="Times New Roman" w:hAnsi="Times New Roman"/>
                <w:b/>
                <w:color w:val="000000"/>
                <w:sz w:val="18"/>
                <w:szCs w:val="18"/>
                <w:lang w:val="es-ES" w:eastAsia="es-ES"/>
              </w:rPr>
            </w:pPr>
            <w:r w:rsidRPr="003C52A0">
              <w:rPr>
                <w:rFonts w:ascii="Times New Roman" w:hAnsi="Times New Roman"/>
                <w:color w:val="000000"/>
                <w:sz w:val="18"/>
                <w:szCs w:val="18"/>
                <w:lang w:val="es-ES" w:eastAsia="es-ES"/>
              </w:rPr>
              <w:t>Total</w:t>
            </w:r>
          </w:p>
        </w:tc>
        <w:tc>
          <w:tcPr>
            <w:tcW w:w="756" w:type="dxa"/>
            <w:tcBorders>
              <w:right w:val="single" w:sz="4" w:space="0" w:color="auto"/>
            </w:tcBorders>
            <w:vAlign w:val="center"/>
          </w:tcPr>
          <w:p w14:paraId="44A6F45A"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12</w:t>
            </w:r>
          </w:p>
        </w:tc>
        <w:tc>
          <w:tcPr>
            <w:tcW w:w="804" w:type="dxa"/>
            <w:tcBorders>
              <w:left w:val="single" w:sz="4" w:space="0" w:color="auto"/>
            </w:tcBorders>
            <w:vAlign w:val="center"/>
          </w:tcPr>
          <w:p w14:paraId="53F8FA3C"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46,1</w:t>
            </w:r>
          </w:p>
        </w:tc>
        <w:tc>
          <w:tcPr>
            <w:tcW w:w="709" w:type="dxa"/>
            <w:tcBorders>
              <w:right w:val="single" w:sz="4" w:space="0" w:color="auto"/>
            </w:tcBorders>
            <w:vAlign w:val="center"/>
          </w:tcPr>
          <w:p w14:paraId="11A4ABF6"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14</w:t>
            </w:r>
          </w:p>
        </w:tc>
        <w:tc>
          <w:tcPr>
            <w:tcW w:w="756" w:type="dxa"/>
            <w:tcBorders>
              <w:left w:val="single" w:sz="4" w:space="0" w:color="auto"/>
            </w:tcBorders>
            <w:vAlign w:val="center"/>
          </w:tcPr>
          <w:p w14:paraId="7565BFE0"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53,8</w:t>
            </w:r>
          </w:p>
        </w:tc>
        <w:tc>
          <w:tcPr>
            <w:tcW w:w="628" w:type="dxa"/>
            <w:vAlign w:val="center"/>
          </w:tcPr>
          <w:p w14:paraId="5B7EE777"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26</w:t>
            </w:r>
          </w:p>
        </w:tc>
        <w:tc>
          <w:tcPr>
            <w:tcW w:w="594" w:type="dxa"/>
            <w:vAlign w:val="center"/>
          </w:tcPr>
          <w:p w14:paraId="2E829A12"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100</w:t>
            </w:r>
          </w:p>
        </w:tc>
      </w:tr>
    </w:tbl>
    <w:p w14:paraId="138CCF02" w14:textId="77777777" w:rsidR="003C52A0" w:rsidRPr="003C52A0" w:rsidRDefault="003C52A0" w:rsidP="003C52A0">
      <w:pPr>
        <w:autoSpaceDE w:val="0"/>
        <w:autoSpaceDN w:val="0"/>
        <w:adjustRightInd w:val="0"/>
        <w:spacing w:line="360" w:lineRule="auto"/>
        <w:jc w:val="both"/>
        <w:rPr>
          <w:color w:val="000000"/>
          <w:lang w:val="es-ES" w:eastAsia="es-ES"/>
        </w:rPr>
      </w:pPr>
    </w:p>
    <w:p w14:paraId="1BEE4DF4" w14:textId="77777777" w:rsidR="003C52A0" w:rsidRPr="003C52A0" w:rsidRDefault="003C52A0" w:rsidP="003C52A0">
      <w:pPr>
        <w:autoSpaceDE w:val="0"/>
        <w:autoSpaceDN w:val="0"/>
        <w:adjustRightInd w:val="0"/>
        <w:spacing w:line="360" w:lineRule="auto"/>
        <w:jc w:val="both"/>
        <w:rPr>
          <w:color w:val="000000"/>
          <w:lang w:val="es-ES" w:eastAsia="es-ES"/>
        </w:rPr>
      </w:pPr>
      <w:r w:rsidRPr="003C52A0">
        <w:rPr>
          <w:color w:val="000000"/>
          <w:lang w:val="es-ES" w:eastAsia="es-ES"/>
        </w:rPr>
        <w:t xml:space="preserve">Se observa en la tabla 2 la presencia de comorbilidades previas al procedimiento. El 42,3 % presentó varias comorbilidades; el tabaquismo con 23,07 % y la obesidad con 15,3 % fueron las más frecuentes.  </w:t>
      </w:r>
    </w:p>
    <w:p w14:paraId="20315565" w14:textId="77777777" w:rsidR="003C52A0" w:rsidRPr="003C52A0" w:rsidRDefault="003C52A0" w:rsidP="003C52A0">
      <w:pPr>
        <w:autoSpaceDE w:val="0"/>
        <w:autoSpaceDN w:val="0"/>
        <w:adjustRightInd w:val="0"/>
        <w:spacing w:line="360" w:lineRule="auto"/>
        <w:jc w:val="both"/>
        <w:rPr>
          <w:color w:val="000000"/>
          <w:lang w:val="es-ES" w:eastAsia="es-ES"/>
        </w:rPr>
      </w:pPr>
    </w:p>
    <w:p w14:paraId="1FA5CFAC" w14:textId="77777777" w:rsidR="003C52A0" w:rsidRPr="003C52A0" w:rsidRDefault="003C52A0" w:rsidP="003C52A0">
      <w:pPr>
        <w:autoSpaceDE w:val="0"/>
        <w:autoSpaceDN w:val="0"/>
        <w:adjustRightInd w:val="0"/>
        <w:spacing w:line="360" w:lineRule="auto"/>
        <w:jc w:val="center"/>
        <w:rPr>
          <w:color w:val="000000"/>
          <w:sz w:val="22"/>
          <w:szCs w:val="22"/>
          <w:lang w:val="es-ES" w:eastAsia="es-ES"/>
        </w:rPr>
      </w:pPr>
      <w:r w:rsidRPr="003C52A0">
        <w:rPr>
          <w:b/>
          <w:bCs/>
          <w:color w:val="000000"/>
          <w:sz w:val="22"/>
          <w:szCs w:val="22"/>
          <w:lang w:val="es-ES" w:eastAsia="es-ES"/>
        </w:rPr>
        <w:t>Tabla 2 -</w:t>
      </w:r>
      <w:r w:rsidRPr="003C52A0">
        <w:rPr>
          <w:color w:val="000000"/>
          <w:sz w:val="22"/>
          <w:szCs w:val="22"/>
          <w:lang w:val="es-ES" w:eastAsia="es-ES"/>
        </w:rPr>
        <w:t xml:space="preserve"> Distribución de las pacientes según comorbilidades presentes al momento de la cirugía</w:t>
      </w:r>
    </w:p>
    <w:tbl>
      <w:tblPr>
        <w:tblStyle w:val="Tablaconcuadrcula1"/>
        <w:tblW w:w="4361" w:type="dxa"/>
        <w:jc w:val="center"/>
        <w:tblLayout w:type="fixed"/>
        <w:tblLook w:val="04A0" w:firstRow="1" w:lastRow="0" w:firstColumn="1" w:lastColumn="0" w:noHBand="0" w:noVBand="1"/>
      </w:tblPr>
      <w:tblGrid>
        <w:gridCol w:w="2518"/>
        <w:gridCol w:w="992"/>
        <w:gridCol w:w="851"/>
      </w:tblGrid>
      <w:tr w:rsidR="003C52A0" w:rsidRPr="003C52A0" w14:paraId="1DA43F78" w14:textId="77777777" w:rsidTr="0060234B">
        <w:trPr>
          <w:jc w:val="center"/>
        </w:trPr>
        <w:tc>
          <w:tcPr>
            <w:tcW w:w="2518" w:type="dxa"/>
            <w:vAlign w:val="center"/>
          </w:tcPr>
          <w:p w14:paraId="371CB401" w14:textId="77777777" w:rsidR="003C52A0" w:rsidRPr="003C52A0" w:rsidRDefault="003C52A0" w:rsidP="003C52A0">
            <w:pPr>
              <w:autoSpaceDE w:val="0"/>
              <w:autoSpaceDN w:val="0"/>
              <w:adjustRightInd w:val="0"/>
              <w:spacing w:line="360" w:lineRule="auto"/>
              <w:jc w:val="center"/>
              <w:rPr>
                <w:rFonts w:ascii="Times New Roman" w:hAnsi="Times New Roman"/>
                <w:b/>
                <w:bCs/>
                <w:color w:val="000000"/>
                <w:sz w:val="18"/>
                <w:szCs w:val="18"/>
                <w:lang w:val="es-ES" w:eastAsia="es-ES"/>
              </w:rPr>
            </w:pPr>
            <w:r w:rsidRPr="003C52A0">
              <w:rPr>
                <w:rFonts w:ascii="Times New Roman" w:hAnsi="Times New Roman"/>
                <w:b/>
                <w:bCs/>
                <w:color w:val="000000"/>
                <w:sz w:val="18"/>
                <w:szCs w:val="18"/>
                <w:lang w:val="es-ES" w:eastAsia="es-ES"/>
              </w:rPr>
              <w:t>Comorbilidades</w:t>
            </w:r>
          </w:p>
        </w:tc>
        <w:tc>
          <w:tcPr>
            <w:tcW w:w="992" w:type="dxa"/>
            <w:tcBorders>
              <w:right w:val="single" w:sz="4" w:space="0" w:color="auto"/>
            </w:tcBorders>
            <w:vAlign w:val="center"/>
          </w:tcPr>
          <w:p w14:paraId="63325EE1" w14:textId="77777777" w:rsidR="003C52A0" w:rsidRPr="003C52A0" w:rsidRDefault="003C52A0" w:rsidP="003C52A0">
            <w:pPr>
              <w:autoSpaceDE w:val="0"/>
              <w:autoSpaceDN w:val="0"/>
              <w:adjustRightInd w:val="0"/>
              <w:spacing w:line="360" w:lineRule="auto"/>
              <w:jc w:val="center"/>
              <w:rPr>
                <w:rFonts w:ascii="Times New Roman" w:hAnsi="Times New Roman"/>
                <w:b/>
                <w:bCs/>
                <w:color w:val="000000"/>
                <w:sz w:val="18"/>
                <w:szCs w:val="18"/>
                <w:lang w:val="es-ES" w:eastAsia="es-ES"/>
              </w:rPr>
            </w:pPr>
            <w:r w:rsidRPr="003C52A0">
              <w:rPr>
                <w:rFonts w:ascii="Times New Roman" w:hAnsi="Times New Roman"/>
                <w:b/>
                <w:bCs/>
                <w:color w:val="000000"/>
                <w:sz w:val="18"/>
                <w:szCs w:val="18"/>
                <w:lang w:val="es-ES" w:eastAsia="es-ES"/>
              </w:rPr>
              <w:t>n</w:t>
            </w:r>
          </w:p>
        </w:tc>
        <w:tc>
          <w:tcPr>
            <w:tcW w:w="851" w:type="dxa"/>
            <w:tcBorders>
              <w:left w:val="single" w:sz="4" w:space="0" w:color="auto"/>
            </w:tcBorders>
            <w:vAlign w:val="center"/>
          </w:tcPr>
          <w:p w14:paraId="1E6ED9BF" w14:textId="77777777" w:rsidR="003C52A0" w:rsidRPr="003C52A0" w:rsidRDefault="003C52A0" w:rsidP="003C52A0">
            <w:pPr>
              <w:autoSpaceDE w:val="0"/>
              <w:autoSpaceDN w:val="0"/>
              <w:adjustRightInd w:val="0"/>
              <w:spacing w:line="360" w:lineRule="auto"/>
              <w:jc w:val="center"/>
              <w:rPr>
                <w:rFonts w:ascii="Times New Roman" w:hAnsi="Times New Roman"/>
                <w:b/>
                <w:bCs/>
                <w:color w:val="000000"/>
                <w:sz w:val="18"/>
                <w:szCs w:val="18"/>
                <w:lang w:val="es-ES" w:eastAsia="es-ES"/>
              </w:rPr>
            </w:pPr>
            <w:r w:rsidRPr="003C52A0">
              <w:rPr>
                <w:rFonts w:ascii="Times New Roman" w:hAnsi="Times New Roman"/>
                <w:b/>
                <w:bCs/>
                <w:color w:val="000000"/>
                <w:sz w:val="18"/>
                <w:szCs w:val="18"/>
                <w:lang w:val="es-ES" w:eastAsia="es-ES"/>
              </w:rPr>
              <w:t>%</w:t>
            </w:r>
          </w:p>
        </w:tc>
      </w:tr>
      <w:tr w:rsidR="003C52A0" w:rsidRPr="003C52A0" w14:paraId="296BC65C" w14:textId="77777777" w:rsidTr="0060234B">
        <w:trPr>
          <w:jc w:val="center"/>
        </w:trPr>
        <w:tc>
          <w:tcPr>
            <w:tcW w:w="2518" w:type="dxa"/>
            <w:vAlign w:val="center"/>
          </w:tcPr>
          <w:p w14:paraId="41239238" w14:textId="77777777" w:rsidR="003C52A0" w:rsidRPr="003C52A0" w:rsidRDefault="003C52A0" w:rsidP="003C52A0">
            <w:pPr>
              <w:autoSpaceDE w:val="0"/>
              <w:autoSpaceDN w:val="0"/>
              <w:adjustRightInd w:val="0"/>
              <w:spacing w:line="360" w:lineRule="auto"/>
              <w:jc w:val="both"/>
              <w:rPr>
                <w:rFonts w:ascii="Times New Roman" w:hAnsi="Times New Roman"/>
                <w:b/>
                <w:color w:val="000000"/>
                <w:sz w:val="18"/>
                <w:szCs w:val="18"/>
                <w:lang w:val="es-ES" w:eastAsia="es-ES"/>
              </w:rPr>
            </w:pPr>
            <w:r w:rsidRPr="003C52A0">
              <w:rPr>
                <w:rFonts w:ascii="Times New Roman" w:hAnsi="Times New Roman"/>
                <w:color w:val="000000"/>
                <w:sz w:val="18"/>
                <w:szCs w:val="18"/>
                <w:lang w:val="es-ES" w:eastAsia="es-ES"/>
              </w:rPr>
              <w:t>Diabetes mellitus</w:t>
            </w:r>
          </w:p>
        </w:tc>
        <w:tc>
          <w:tcPr>
            <w:tcW w:w="992" w:type="dxa"/>
            <w:tcBorders>
              <w:right w:val="single" w:sz="4" w:space="0" w:color="auto"/>
            </w:tcBorders>
            <w:vAlign w:val="center"/>
          </w:tcPr>
          <w:p w14:paraId="0CAD4DF5"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2</w:t>
            </w:r>
          </w:p>
        </w:tc>
        <w:tc>
          <w:tcPr>
            <w:tcW w:w="851" w:type="dxa"/>
            <w:tcBorders>
              <w:left w:val="single" w:sz="4" w:space="0" w:color="auto"/>
            </w:tcBorders>
            <w:vAlign w:val="center"/>
          </w:tcPr>
          <w:p w14:paraId="6F945AC9"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7,6</w:t>
            </w:r>
          </w:p>
        </w:tc>
      </w:tr>
      <w:tr w:rsidR="003C52A0" w:rsidRPr="003C52A0" w14:paraId="33A6B123" w14:textId="77777777" w:rsidTr="0060234B">
        <w:trPr>
          <w:jc w:val="center"/>
        </w:trPr>
        <w:tc>
          <w:tcPr>
            <w:tcW w:w="2518" w:type="dxa"/>
            <w:vAlign w:val="center"/>
          </w:tcPr>
          <w:p w14:paraId="26A57C48" w14:textId="77777777" w:rsidR="003C52A0" w:rsidRPr="003C52A0" w:rsidRDefault="003C52A0" w:rsidP="003C52A0">
            <w:pPr>
              <w:autoSpaceDE w:val="0"/>
              <w:autoSpaceDN w:val="0"/>
              <w:adjustRightInd w:val="0"/>
              <w:spacing w:line="360" w:lineRule="auto"/>
              <w:jc w:val="both"/>
              <w:rPr>
                <w:rFonts w:ascii="Times New Roman" w:hAnsi="Times New Roman"/>
                <w:b/>
                <w:color w:val="000000"/>
                <w:sz w:val="18"/>
                <w:szCs w:val="18"/>
                <w:lang w:val="es-ES" w:eastAsia="es-ES"/>
              </w:rPr>
            </w:pPr>
            <w:r w:rsidRPr="003C52A0">
              <w:rPr>
                <w:rFonts w:ascii="Times New Roman" w:hAnsi="Times New Roman"/>
                <w:color w:val="000000"/>
                <w:sz w:val="18"/>
                <w:szCs w:val="18"/>
                <w:lang w:val="es-ES" w:eastAsia="es-ES"/>
              </w:rPr>
              <w:t>EPOC</w:t>
            </w:r>
          </w:p>
        </w:tc>
        <w:tc>
          <w:tcPr>
            <w:tcW w:w="992" w:type="dxa"/>
            <w:tcBorders>
              <w:right w:val="single" w:sz="4" w:space="0" w:color="auto"/>
            </w:tcBorders>
            <w:vAlign w:val="center"/>
          </w:tcPr>
          <w:p w14:paraId="359DAD39"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3</w:t>
            </w:r>
          </w:p>
        </w:tc>
        <w:tc>
          <w:tcPr>
            <w:tcW w:w="851" w:type="dxa"/>
            <w:tcBorders>
              <w:left w:val="single" w:sz="4" w:space="0" w:color="auto"/>
            </w:tcBorders>
            <w:vAlign w:val="center"/>
          </w:tcPr>
          <w:p w14:paraId="7D0B4017"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11,5</w:t>
            </w:r>
          </w:p>
        </w:tc>
      </w:tr>
      <w:tr w:rsidR="003C52A0" w:rsidRPr="003C52A0" w14:paraId="60B3A26E" w14:textId="77777777" w:rsidTr="0060234B">
        <w:trPr>
          <w:jc w:val="center"/>
        </w:trPr>
        <w:tc>
          <w:tcPr>
            <w:tcW w:w="2518" w:type="dxa"/>
            <w:vAlign w:val="center"/>
          </w:tcPr>
          <w:p w14:paraId="1CE64C15" w14:textId="77777777" w:rsidR="003C52A0" w:rsidRPr="003C52A0" w:rsidRDefault="003C52A0" w:rsidP="003C52A0">
            <w:pPr>
              <w:autoSpaceDE w:val="0"/>
              <w:autoSpaceDN w:val="0"/>
              <w:adjustRightInd w:val="0"/>
              <w:spacing w:line="360" w:lineRule="auto"/>
              <w:jc w:val="both"/>
              <w:rPr>
                <w:rFonts w:ascii="Times New Roman" w:hAnsi="Times New Roman"/>
                <w:b/>
                <w:color w:val="000000"/>
                <w:sz w:val="18"/>
                <w:szCs w:val="18"/>
                <w:lang w:val="es-ES" w:eastAsia="es-ES"/>
              </w:rPr>
            </w:pPr>
            <w:r w:rsidRPr="003C52A0">
              <w:rPr>
                <w:rFonts w:ascii="Times New Roman" w:hAnsi="Times New Roman"/>
                <w:color w:val="000000"/>
                <w:sz w:val="18"/>
                <w:szCs w:val="18"/>
                <w:lang w:val="es-ES" w:eastAsia="es-ES"/>
              </w:rPr>
              <w:t>Obesidad</w:t>
            </w:r>
          </w:p>
        </w:tc>
        <w:tc>
          <w:tcPr>
            <w:tcW w:w="992" w:type="dxa"/>
            <w:tcBorders>
              <w:right w:val="single" w:sz="4" w:space="0" w:color="auto"/>
            </w:tcBorders>
            <w:vAlign w:val="center"/>
          </w:tcPr>
          <w:p w14:paraId="4A01763A"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4</w:t>
            </w:r>
          </w:p>
        </w:tc>
        <w:tc>
          <w:tcPr>
            <w:tcW w:w="851" w:type="dxa"/>
            <w:tcBorders>
              <w:left w:val="single" w:sz="4" w:space="0" w:color="auto"/>
            </w:tcBorders>
            <w:vAlign w:val="center"/>
          </w:tcPr>
          <w:p w14:paraId="35217C8B"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15,3</w:t>
            </w:r>
          </w:p>
        </w:tc>
      </w:tr>
      <w:tr w:rsidR="003C52A0" w:rsidRPr="003C52A0" w14:paraId="265BAA33" w14:textId="77777777" w:rsidTr="0060234B">
        <w:trPr>
          <w:jc w:val="center"/>
        </w:trPr>
        <w:tc>
          <w:tcPr>
            <w:tcW w:w="2518" w:type="dxa"/>
            <w:vAlign w:val="center"/>
          </w:tcPr>
          <w:p w14:paraId="666B502B" w14:textId="77777777" w:rsidR="003C52A0" w:rsidRPr="003C52A0" w:rsidRDefault="003C52A0" w:rsidP="003C52A0">
            <w:pPr>
              <w:autoSpaceDE w:val="0"/>
              <w:autoSpaceDN w:val="0"/>
              <w:adjustRightInd w:val="0"/>
              <w:spacing w:line="360" w:lineRule="auto"/>
              <w:jc w:val="both"/>
              <w:rPr>
                <w:rFonts w:ascii="Times New Roman" w:hAnsi="Times New Roman"/>
                <w:b/>
                <w:color w:val="000000"/>
                <w:sz w:val="18"/>
                <w:szCs w:val="18"/>
                <w:lang w:val="es-ES" w:eastAsia="es-ES"/>
              </w:rPr>
            </w:pPr>
            <w:r w:rsidRPr="003C52A0">
              <w:rPr>
                <w:rFonts w:ascii="Times New Roman" w:hAnsi="Times New Roman"/>
                <w:color w:val="000000"/>
                <w:sz w:val="18"/>
                <w:szCs w:val="18"/>
                <w:lang w:val="es-ES" w:eastAsia="es-ES"/>
              </w:rPr>
              <w:t>Tabaquismo</w:t>
            </w:r>
          </w:p>
        </w:tc>
        <w:tc>
          <w:tcPr>
            <w:tcW w:w="992" w:type="dxa"/>
            <w:tcBorders>
              <w:right w:val="single" w:sz="4" w:space="0" w:color="auto"/>
            </w:tcBorders>
            <w:vAlign w:val="center"/>
          </w:tcPr>
          <w:p w14:paraId="3DEF6547"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6</w:t>
            </w:r>
          </w:p>
        </w:tc>
        <w:tc>
          <w:tcPr>
            <w:tcW w:w="851" w:type="dxa"/>
            <w:tcBorders>
              <w:left w:val="single" w:sz="4" w:space="0" w:color="auto"/>
            </w:tcBorders>
            <w:vAlign w:val="center"/>
          </w:tcPr>
          <w:p w14:paraId="240D1E99"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23,07</w:t>
            </w:r>
          </w:p>
        </w:tc>
      </w:tr>
      <w:tr w:rsidR="003C52A0" w:rsidRPr="003C52A0" w14:paraId="3A6F2B01" w14:textId="77777777" w:rsidTr="0060234B">
        <w:trPr>
          <w:jc w:val="center"/>
        </w:trPr>
        <w:tc>
          <w:tcPr>
            <w:tcW w:w="2518" w:type="dxa"/>
            <w:vAlign w:val="center"/>
          </w:tcPr>
          <w:p w14:paraId="259D3F78" w14:textId="77777777" w:rsidR="003C52A0" w:rsidRPr="003C52A0" w:rsidRDefault="003C52A0" w:rsidP="003C52A0">
            <w:pPr>
              <w:autoSpaceDE w:val="0"/>
              <w:autoSpaceDN w:val="0"/>
              <w:adjustRightInd w:val="0"/>
              <w:spacing w:line="360" w:lineRule="auto"/>
              <w:jc w:val="both"/>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 xml:space="preserve">Varias comorbilidades </w:t>
            </w:r>
          </w:p>
        </w:tc>
        <w:tc>
          <w:tcPr>
            <w:tcW w:w="992" w:type="dxa"/>
            <w:tcBorders>
              <w:right w:val="single" w:sz="4" w:space="0" w:color="auto"/>
            </w:tcBorders>
            <w:vAlign w:val="center"/>
          </w:tcPr>
          <w:p w14:paraId="1C98A960"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11</w:t>
            </w:r>
          </w:p>
        </w:tc>
        <w:tc>
          <w:tcPr>
            <w:tcW w:w="851" w:type="dxa"/>
            <w:tcBorders>
              <w:left w:val="single" w:sz="4" w:space="0" w:color="auto"/>
            </w:tcBorders>
            <w:vAlign w:val="center"/>
          </w:tcPr>
          <w:p w14:paraId="27A685FE"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42,3</w:t>
            </w:r>
          </w:p>
        </w:tc>
      </w:tr>
      <w:tr w:rsidR="003C52A0" w:rsidRPr="003C52A0" w14:paraId="2EF75C0A" w14:textId="77777777" w:rsidTr="0060234B">
        <w:trPr>
          <w:jc w:val="center"/>
        </w:trPr>
        <w:tc>
          <w:tcPr>
            <w:tcW w:w="2518" w:type="dxa"/>
            <w:vAlign w:val="center"/>
          </w:tcPr>
          <w:p w14:paraId="55D19503" w14:textId="77777777" w:rsidR="003C52A0" w:rsidRPr="003C52A0" w:rsidRDefault="003C52A0" w:rsidP="003C52A0">
            <w:pPr>
              <w:autoSpaceDE w:val="0"/>
              <w:autoSpaceDN w:val="0"/>
              <w:adjustRightInd w:val="0"/>
              <w:spacing w:line="360" w:lineRule="auto"/>
              <w:jc w:val="both"/>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 xml:space="preserve">Total </w:t>
            </w:r>
          </w:p>
        </w:tc>
        <w:tc>
          <w:tcPr>
            <w:tcW w:w="992" w:type="dxa"/>
            <w:tcBorders>
              <w:right w:val="single" w:sz="4" w:space="0" w:color="auto"/>
            </w:tcBorders>
            <w:vAlign w:val="center"/>
          </w:tcPr>
          <w:p w14:paraId="644E7126"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26</w:t>
            </w:r>
          </w:p>
        </w:tc>
        <w:tc>
          <w:tcPr>
            <w:tcW w:w="851" w:type="dxa"/>
            <w:tcBorders>
              <w:left w:val="single" w:sz="4" w:space="0" w:color="auto"/>
            </w:tcBorders>
            <w:vAlign w:val="center"/>
          </w:tcPr>
          <w:p w14:paraId="3057AF93"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100</w:t>
            </w:r>
          </w:p>
        </w:tc>
      </w:tr>
    </w:tbl>
    <w:p w14:paraId="6292C9F7" w14:textId="77777777" w:rsidR="003C52A0" w:rsidRPr="003C52A0" w:rsidRDefault="003C52A0" w:rsidP="003C52A0">
      <w:pPr>
        <w:autoSpaceDE w:val="0"/>
        <w:autoSpaceDN w:val="0"/>
        <w:adjustRightInd w:val="0"/>
        <w:spacing w:line="360" w:lineRule="auto"/>
        <w:jc w:val="center"/>
        <w:rPr>
          <w:color w:val="000000"/>
          <w:sz w:val="16"/>
          <w:szCs w:val="16"/>
          <w:lang w:val="es-ES" w:eastAsia="es-ES"/>
        </w:rPr>
      </w:pPr>
      <w:r w:rsidRPr="003C52A0">
        <w:rPr>
          <w:color w:val="000000"/>
          <w:sz w:val="16"/>
          <w:szCs w:val="16"/>
          <w:lang w:val="es-ES" w:eastAsia="es-ES"/>
        </w:rPr>
        <w:t>EPOC: enfermedad pulmonar obstructiva crónica.</w:t>
      </w:r>
    </w:p>
    <w:p w14:paraId="345AFCDF" w14:textId="77777777" w:rsidR="003C52A0" w:rsidRPr="003C52A0" w:rsidRDefault="003C52A0" w:rsidP="003C52A0">
      <w:pPr>
        <w:autoSpaceDE w:val="0"/>
        <w:autoSpaceDN w:val="0"/>
        <w:adjustRightInd w:val="0"/>
        <w:spacing w:line="360" w:lineRule="auto"/>
        <w:jc w:val="center"/>
        <w:rPr>
          <w:color w:val="000000"/>
          <w:lang w:val="es-ES" w:eastAsia="es-ES"/>
        </w:rPr>
      </w:pPr>
    </w:p>
    <w:p w14:paraId="21A3BF52" w14:textId="77777777" w:rsidR="003C52A0" w:rsidRPr="003C52A0" w:rsidRDefault="003C52A0" w:rsidP="003C52A0">
      <w:pPr>
        <w:autoSpaceDE w:val="0"/>
        <w:autoSpaceDN w:val="0"/>
        <w:adjustRightInd w:val="0"/>
        <w:spacing w:line="360" w:lineRule="auto"/>
        <w:jc w:val="both"/>
        <w:rPr>
          <w:color w:val="000000"/>
          <w:lang w:val="es-ES" w:eastAsia="es-ES"/>
        </w:rPr>
      </w:pPr>
      <w:r w:rsidRPr="003C52A0">
        <w:rPr>
          <w:color w:val="000000"/>
          <w:lang w:val="es-ES" w:eastAsia="es-ES"/>
        </w:rPr>
        <w:t xml:space="preserve">En la tabla 3 se muestra la frecuencia de pacientes con intervenciones quirúrgicas previas. El 30,5 % tuvo el antecedente; 2 pacientes fueron tratadas en 2 ocasiones (7,6 %) y un en 3 (3,8 %). </w:t>
      </w:r>
    </w:p>
    <w:p w14:paraId="21EF6B22" w14:textId="77777777" w:rsidR="003C52A0" w:rsidRPr="003C52A0" w:rsidRDefault="003C52A0" w:rsidP="003C52A0">
      <w:pPr>
        <w:autoSpaceDE w:val="0"/>
        <w:autoSpaceDN w:val="0"/>
        <w:adjustRightInd w:val="0"/>
        <w:spacing w:line="360" w:lineRule="auto"/>
        <w:jc w:val="both"/>
        <w:rPr>
          <w:color w:val="000000"/>
          <w:lang w:val="es-ES" w:eastAsia="es-ES"/>
        </w:rPr>
      </w:pPr>
    </w:p>
    <w:p w14:paraId="78EDAF9F" w14:textId="77777777" w:rsidR="003C52A0" w:rsidRPr="003C52A0" w:rsidRDefault="003C52A0" w:rsidP="003C52A0">
      <w:pPr>
        <w:autoSpaceDE w:val="0"/>
        <w:autoSpaceDN w:val="0"/>
        <w:adjustRightInd w:val="0"/>
        <w:spacing w:line="360" w:lineRule="auto"/>
        <w:jc w:val="center"/>
        <w:rPr>
          <w:color w:val="000000"/>
          <w:sz w:val="22"/>
          <w:szCs w:val="22"/>
          <w:lang w:val="es-ES" w:eastAsia="es-ES"/>
        </w:rPr>
      </w:pPr>
      <w:r w:rsidRPr="003C52A0">
        <w:rPr>
          <w:b/>
          <w:bCs/>
          <w:color w:val="000000"/>
          <w:sz w:val="22"/>
          <w:szCs w:val="22"/>
          <w:lang w:val="es-ES" w:eastAsia="es-ES"/>
        </w:rPr>
        <w:t>Tabla 3 -</w:t>
      </w:r>
      <w:r w:rsidRPr="003C52A0">
        <w:rPr>
          <w:color w:val="000000"/>
          <w:sz w:val="22"/>
          <w:szCs w:val="22"/>
          <w:lang w:val="es-ES" w:eastAsia="es-ES"/>
        </w:rPr>
        <w:t xml:space="preserve"> Distribución de las pacientes según antecedentes de cirugías previas para corrección del prolapso</w:t>
      </w:r>
    </w:p>
    <w:tbl>
      <w:tblPr>
        <w:tblStyle w:val="Tablaconcuadrcula1"/>
        <w:tblW w:w="0" w:type="auto"/>
        <w:jc w:val="center"/>
        <w:tblLook w:val="04A0" w:firstRow="1" w:lastRow="0" w:firstColumn="1" w:lastColumn="0" w:noHBand="0" w:noVBand="1"/>
      </w:tblPr>
      <w:tblGrid>
        <w:gridCol w:w="1969"/>
        <w:gridCol w:w="709"/>
        <w:gridCol w:w="992"/>
      </w:tblGrid>
      <w:tr w:rsidR="003C52A0" w:rsidRPr="003C52A0" w14:paraId="235ABD2D" w14:textId="77777777" w:rsidTr="0060234B">
        <w:trPr>
          <w:jc w:val="center"/>
        </w:trPr>
        <w:tc>
          <w:tcPr>
            <w:tcW w:w="1969" w:type="dxa"/>
            <w:vAlign w:val="center"/>
          </w:tcPr>
          <w:p w14:paraId="51775069" w14:textId="77777777" w:rsidR="003C52A0" w:rsidRPr="003C52A0" w:rsidRDefault="003C52A0" w:rsidP="003C52A0">
            <w:pPr>
              <w:autoSpaceDE w:val="0"/>
              <w:autoSpaceDN w:val="0"/>
              <w:adjustRightInd w:val="0"/>
              <w:spacing w:line="360" w:lineRule="auto"/>
              <w:jc w:val="center"/>
              <w:rPr>
                <w:rFonts w:ascii="Times New Roman" w:hAnsi="Times New Roman"/>
                <w:b/>
                <w:bCs/>
                <w:color w:val="000000"/>
                <w:sz w:val="18"/>
                <w:szCs w:val="18"/>
                <w:lang w:val="es-ES" w:eastAsia="es-ES"/>
              </w:rPr>
            </w:pPr>
            <w:r w:rsidRPr="003C52A0">
              <w:rPr>
                <w:rFonts w:ascii="Times New Roman" w:hAnsi="Times New Roman"/>
                <w:b/>
                <w:bCs/>
                <w:color w:val="000000"/>
                <w:sz w:val="18"/>
                <w:szCs w:val="18"/>
                <w:lang w:val="es-ES" w:eastAsia="es-ES"/>
              </w:rPr>
              <w:t>Número de correcciones previas</w:t>
            </w:r>
          </w:p>
        </w:tc>
        <w:tc>
          <w:tcPr>
            <w:tcW w:w="709" w:type="dxa"/>
            <w:vAlign w:val="center"/>
          </w:tcPr>
          <w:p w14:paraId="6954AA7A" w14:textId="77777777" w:rsidR="003C52A0" w:rsidRPr="003C52A0" w:rsidRDefault="003C52A0" w:rsidP="003C52A0">
            <w:pPr>
              <w:autoSpaceDE w:val="0"/>
              <w:autoSpaceDN w:val="0"/>
              <w:adjustRightInd w:val="0"/>
              <w:spacing w:line="360" w:lineRule="auto"/>
              <w:jc w:val="center"/>
              <w:rPr>
                <w:rFonts w:ascii="Times New Roman" w:hAnsi="Times New Roman"/>
                <w:b/>
                <w:bCs/>
                <w:color w:val="000000"/>
                <w:sz w:val="18"/>
                <w:szCs w:val="18"/>
                <w:lang w:val="es-ES" w:eastAsia="es-ES"/>
              </w:rPr>
            </w:pPr>
            <w:r w:rsidRPr="003C52A0">
              <w:rPr>
                <w:rFonts w:ascii="Times New Roman" w:hAnsi="Times New Roman"/>
                <w:b/>
                <w:bCs/>
                <w:color w:val="000000"/>
                <w:sz w:val="18"/>
                <w:szCs w:val="18"/>
                <w:lang w:val="es-ES" w:eastAsia="es-ES"/>
              </w:rPr>
              <w:t>n</w:t>
            </w:r>
          </w:p>
        </w:tc>
        <w:tc>
          <w:tcPr>
            <w:tcW w:w="992" w:type="dxa"/>
            <w:vAlign w:val="center"/>
          </w:tcPr>
          <w:p w14:paraId="701CFE75" w14:textId="77777777" w:rsidR="003C52A0" w:rsidRPr="003C52A0" w:rsidRDefault="003C52A0" w:rsidP="003C52A0">
            <w:pPr>
              <w:autoSpaceDE w:val="0"/>
              <w:autoSpaceDN w:val="0"/>
              <w:adjustRightInd w:val="0"/>
              <w:spacing w:line="360" w:lineRule="auto"/>
              <w:jc w:val="center"/>
              <w:rPr>
                <w:rFonts w:ascii="Times New Roman" w:hAnsi="Times New Roman"/>
                <w:b/>
                <w:bCs/>
                <w:color w:val="000000"/>
                <w:sz w:val="18"/>
                <w:szCs w:val="18"/>
                <w:lang w:val="es-ES" w:eastAsia="es-ES"/>
              </w:rPr>
            </w:pPr>
            <w:r w:rsidRPr="003C52A0">
              <w:rPr>
                <w:rFonts w:ascii="Times New Roman" w:hAnsi="Times New Roman"/>
                <w:b/>
                <w:bCs/>
                <w:color w:val="000000"/>
                <w:sz w:val="18"/>
                <w:szCs w:val="18"/>
                <w:lang w:val="es-ES" w:eastAsia="es-ES"/>
              </w:rPr>
              <w:t>%</w:t>
            </w:r>
          </w:p>
        </w:tc>
      </w:tr>
      <w:tr w:rsidR="003C52A0" w:rsidRPr="003C52A0" w14:paraId="24095754" w14:textId="77777777" w:rsidTr="0060234B">
        <w:trPr>
          <w:jc w:val="center"/>
        </w:trPr>
        <w:tc>
          <w:tcPr>
            <w:tcW w:w="1969" w:type="dxa"/>
            <w:vAlign w:val="center"/>
          </w:tcPr>
          <w:p w14:paraId="6B1825C3" w14:textId="77777777" w:rsidR="003C52A0" w:rsidRPr="003C52A0" w:rsidRDefault="003C52A0" w:rsidP="003C52A0">
            <w:pPr>
              <w:autoSpaceDE w:val="0"/>
              <w:autoSpaceDN w:val="0"/>
              <w:adjustRightInd w:val="0"/>
              <w:spacing w:line="360" w:lineRule="auto"/>
              <w:jc w:val="both"/>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1</w:t>
            </w:r>
          </w:p>
        </w:tc>
        <w:tc>
          <w:tcPr>
            <w:tcW w:w="709" w:type="dxa"/>
            <w:vAlign w:val="center"/>
          </w:tcPr>
          <w:p w14:paraId="186D8F72"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5</w:t>
            </w:r>
          </w:p>
        </w:tc>
        <w:tc>
          <w:tcPr>
            <w:tcW w:w="992" w:type="dxa"/>
            <w:vAlign w:val="center"/>
          </w:tcPr>
          <w:p w14:paraId="3E24C794"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19,2</w:t>
            </w:r>
          </w:p>
        </w:tc>
      </w:tr>
      <w:tr w:rsidR="003C52A0" w:rsidRPr="003C52A0" w14:paraId="16A21C7E" w14:textId="77777777" w:rsidTr="0060234B">
        <w:trPr>
          <w:jc w:val="center"/>
        </w:trPr>
        <w:tc>
          <w:tcPr>
            <w:tcW w:w="1969" w:type="dxa"/>
            <w:vAlign w:val="center"/>
          </w:tcPr>
          <w:p w14:paraId="1567EDD6" w14:textId="77777777" w:rsidR="003C52A0" w:rsidRPr="003C52A0" w:rsidRDefault="003C52A0" w:rsidP="003C52A0">
            <w:pPr>
              <w:autoSpaceDE w:val="0"/>
              <w:autoSpaceDN w:val="0"/>
              <w:adjustRightInd w:val="0"/>
              <w:spacing w:line="360" w:lineRule="auto"/>
              <w:jc w:val="both"/>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2</w:t>
            </w:r>
          </w:p>
        </w:tc>
        <w:tc>
          <w:tcPr>
            <w:tcW w:w="709" w:type="dxa"/>
            <w:vAlign w:val="center"/>
          </w:tcPr>
          <w:p w14:paraId="4F1BE6AF"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2</w:t>
            </w:r>
          </w:p>
        </w:tc>
        <w:tc>
          <w:tcPr>
            <w:tcW w:w="992" w:type="dxa"/>
            <w:vAlign w:val="center"/>
          </w:tcPr>
          <w:p w14:paraId="7C6DAD66"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7,6</w:t>
            </w:r>
          </w:p>
        </w:tc>
      </w:tr>
      <w:tr w:rsidR="003C52A0" w:rsidRPr="003C52A0" w14:paraId="77F2ADA5" w14:textId="77777777" w:rsidTr="0060234B">
        <w:trPr>
          <w:jc w:val="center"/>
        </w:trPr>
        <w:tc>
          <w:tcPr>
            <w:tcW w:w="1969" w:type="dxa"/>
            <w:vAlign w:val="center"/>
          </w:tcPr>
          <w:p w14:paraId="642BB9C1" w14:textId="77777777" w:rsidR="003C52A0" w:rsidRPr="003C52A0" w:rsidRDefault="003C52A0" w:rsidP="003C52A0">
            <w:pPr>
              <w:autoSpaceDE w:val="0"/>
              <w:autoSpaceDN w:val="0"/>
              <w:adjustRightInd w:val="0"/>
              <w:spacing w:line="360" w:lineRule="auto"/>
              <w:jc w:val="both"/>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 xml:space="preserve">3 o más </w:t>
            </w:r>
          </w:p>
        </w:tc>
        <w:tc>
          <w:tcPr>
            <w:tcW w:w="709" w:type="dxa"/>
            <w:vAlign w:val="center"/>
          </w:tcPr>
          <w:p w14:paraId="7C8212DA"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1</w:t>
            </w:r>
          </w:p>
        </w:tc>
        <w:tc>
          <w:tcPr>
            <w:tcW w:w="992" w:type="dxa"/>
            <w:vAlign w:val="center"/>
          </w:tcPr>
          <w:p w14:paraId="251A2B0F"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3,8</w:t>
            </w:r>
          </w:p>
        </w:tc>
      </w:tr>
      <w:tr w:rsidR="003C52A0" w:rsidRPr="003C52A0" w14:paraId="26AB12DE" w14:textId="77777777" w:rsidTr="0060234B">
        <w:trPr>
          <w:jc w:val="center"/>
        </w:trPr>
        <w:tc>
          <w:tcPr>
            <w:tcW w:w="1969" w:type="dxa"/>
            <w:vAlign w:val="center"/>
          </w:tcPr>
          <w:p w14:paraId="33FC92EC" w14:textId="77777777" w:rsidR="003C52A0" w:rsidRPr="003C52A0" w:rsidRDefault="003C52A0" w:rsidP="003C52A0">
            <w:pPr>
              <w:autoSpaceDE w:val="0"/>
              <w:autoSpaceDN w:val="0"/>
              <w:adjustRightInd w:val="0"/>
              <w:spacing w:line="360" w:lineRule="auto"/>
              <w:jc w:val="both"/>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 xml:space="preserve">Total </w:t>
            </w:r>
          </w:p>
        </w:tc>
        <w:tc>
          <w:tcPr>
            <w:tcW w:w="709" w:type="dxa"/>
            <w:vAlign w:val="center"/>
          </w:tcPr>
          <w:p w14:paraId="7B9D247F"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8</w:t>
            </w:r>
          </w:p>
        </w:tc>
        <w:tc>
          <w:tcPr>
            <w:tcW w:w="992" w:type="dxa"/>
            <w:vAlign w:val="center"/>
          </w:tcPr>
          <w:p w14:paraId="568E2840"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30,7</w:t>
            </w:r>
          </w:p>
        </w:tc>
      </w:tr>
    </w:tbl>
    <w:p w14:paraId="0BFF8C8B" w14:textId="77777777" w:rsidR="003C52A0" w:rsidRPr="003C52A0" w:rsidRDefault="003C52A0" w:rsidP="003C52A0">
      <w:pPr>
        <w:autoSpaceDE w:val="0"/>
        <w:autoSpaceDN w:val="0"/>
        <w:adjustRightInd w:val="0"/>
        <w:spacing w:line="360" w:lineRule="auto"/>
        <w:jc w:val="both"/>
        <w:rPr>
          <w:color w:val="000000"/>
          <w:lang w:val="es-ES" w:eastAsia="es-ES"/>
        </w:rPr>
      </w:pPr>
    </w:p>
    <w:p w14:paraId="65BF6552" w14:textId="77777777" w:rsidR="003C52A0" w:rsidRPr="003C52A0" w:rsidRDefault="003C52A0" w:rsidP="003C52A0">
      <w:pPr>
        <w:autoSpaceDE w:val="0"/>
        <w:autoSpaceDN w:val="0"/>
        <w:adjustRightInd w:val="0"/>
        <w:spacing w:line="360" w:lineRule="auto"/>
        <w:jc w:val="both"/>
        <w:rPr>
          <w:color w:val="000000"/>
          <w:lang w:val="es-ES" w:eastAsia="es-ES"/>
        </w:rPr>
      </w:pPr>
      <w:r w:rsidRPr="003C52A0">
        <w:rPr>
          <w:color w:val="000000"/>
          <w:lang w:val="es-ES" w:eastAsia="es-ES"/>
        </w:rPr>
        <w:t xml:space="preserve">La mejoría clínica, evaluada a través de la escala </w:t>
      </w:r>
      <w:r w:rsidRPr="003C52A0">
        <w:rPr>
          <w:lang w:val="es-ES" w:eastAsia="es-ES"/>
        </w:rPr>
        <w:t xml:space="preserve">PGI-I se muestra en </w:t>
      </w:r>
      <w:r w:rsidRPr="003C52A0">
        <w:rPr>
          <w:color w:val="000000"/>
          <w:lang w:val="es-ES" w:eastAsia="es-ES"/>
        </w:rPr>
        <w:t xml:space="preserve">la tabla 4. Al mes de la cirugía, el 80,7 % tenía una puntuación de 1-3 de la escala; a los 3 meses el 96,1 % y el 100 % a los 6 meses.  </w:t>
      </w:r>
    </w:p>
    <w:p w14:paraId="7A9ED6CC" w14:textId="77777777" w:rsidR="003C52A0" w:rsidRPr="003C52A0" w:rsidRDefault="003C52A0" w:rsidP="003C52A0">
      <w:pPr>
        <w:autoSpaceDE w:val="0"/>
        <w:autoSpaceDN w:val="0"/>
        <w:adjustRightInd w:val="0"/>
        <w:spacing w:line="360" w:lineRule="auto"/>
        <w:jc w:val="both"/>
        <w:rPr>
          <w:color w:val="000000"/>
          <w:lang w:val="es-ES" w:eastAsia="es-ES"/>
        </w:rPr>
      </w:pPr>
    </w:p>
    <w:p w14:paraId="3AA35269" w14:textId="77777777" w:rsidR="003C52A0" w:rsidRPr="003C52A0" w:rsidRDefault="003C52A0" w:rsidP="003C52A0">
      <w:pPr>
        <w:autoSpaceDE w:val="0"/>
        <w:autoSpaceDN w:val="0"/>
        <w:adjustRightInd w:val="0"/>
        <w:spacing w:line="360" w:lineRule="auto"/>
        <w:jc w:val="center"/>
        <w:rPr>
          <w:color w:val="000000"/>
          <w:sz w:val="22"/>
          <w:szCs w:val="22"/>
          <w:lang w:val="es-ES" w:eastAsia="es-ES"/>
        </w:rPr>
      </w:pPr>
      <w:r w:rsidRPr="003C52A0">
        <w:rPr>
          <w:b/>
          <w:bCs/>
          <w:color w:val="000000"/>
          <w:sz w:val="22"/>
          <w:szCs w:val="22"/>
          <w:lang w:val="es-ES" w:eastAsia="es-ES"/>
        </w:rPr>
        <w:t>Tabla 4 –</w:t>
      </w:r>
      <w:r w:rsidRPr="003C52A0">
        <w:rPr>
          <w:color w:val="000000"/>
          <w:sz w:val="22"/>
          <w:szCs w:val="22"/>
          <w:lang w:val="es-ES" w:eastAsia="es-ES"/>
        </w:rPr>
        <w:t xml:space="preserve"> Mejoría clínica de las pacientes según el tiempo de evolución y resultados del índice PGI-I</w:t>
      </w:r>
    </w:p>
    <w:tbl>
      <w:tblPr>
        <w:tblStyle w:val="Tablaconcuadrcula1"/>
        <w:tblW w:w="0" w:type="auto"/>
        <w:jc w:val="center"/>
        <w:tblLook w:val="04A0" w:firstRow="1" w:lastRow="0" w:firstColumn="1" w:lastColumn="0" w:noHBand="0" w:noVBand="1"/>
      </w:tblPr>
      <w:tblGrid>
        <w:gridCol w:w="1527"/>
        <w:gridCol w:w="640"/>
        <w:gridCol w:w="637"/>
        <w:gridCol w:w="614"/>
        <w:gridCol w:w="636"/>
        <w:gridCol w:w="10"/>
        <w:gridCol w:w="446"/>
        <w:gridCol w:w="562"/>
        <w:gridCol w:w="614"/>
        <w:gridCol w:w="732"/>
      </w:tblGrid>
      <w:tr w:rsidR="003C52A0" w:rsidRPr="003C52A0" w14:paraId="4EAB7CBB" w14:textId="77777777" w:rsidTr="0060234B">
        <w:trPr>
          <w:trHeight w:val="105"/>
          <w:jc w:val="center"/>
        </w:trPr>
        <w:tc>
          <w:tcPr>
            <w:tcW w:w="1527" w:type="dxa"/>
            <w:vMerge w:val="restart"/>
            <w:vAlign w:val="center"/>
          </w:tcPr>
          <w:p w14:paraId="269D5B31" w14:textId="77777777" w:rsidR="003C52A0" w:rsidRPr="003C52A0" w:rsidRDefault="003C52A0" w:rsidP="003C52A0">
            <w:pPr>
              <w:autoSpaceDE w:val="0"/>
              <w:autoSpaceDN w:val="0"/>
              <w:adjustRightInd w:val="0"/>
              <w:spacing w:line="360" w:lineRule="auto"/>
              <w:jc w:val="center"/>
              <w:rPr>
                <w:rFonts w:ascii="Times New Roman" w:hAnsi="Times New Roman"/>
                <w:b/>
                <w:bCs/>
                <w:color w:val="000000"/>
                <w:sz w:val="18"/>
                <w:szCs w:val="18"/>
                <w:lang w:val="es-ES" w:eastAsia="es-ES"/>
              </w:rPr>
            </w:pPr>
            <w:r w:rsidRPr="003C52A0">
              <w:rPr>
                <w:rFonts w:ascii="Times New Roman" w:hAnsi="Times New Roman"/>
                <w:b/>
                <w:bCs/>
                <w:color w:val="000000"/>
                <w:sz w:val="18"/>
                <w:szCs w:val="18"/>
                <w:lang w:val="es-ES" w:eastAsia="es-ES"/>
              </w:rPr>
              <w:t>Índice PGI-I</w:t>
            </w:r>
          </w:p>
        </w:tc>
        <w:tc>
          <w:tcPr>
            <w:tcW w:w="4891" w:type="dxa"/>
            <w:gridSpan w:val="9"/>
            <w:tcBorders>
              <w:top w:val="single" w:sz="4" w:space="0" w:color="auto"/>
              <w:bottom w:val="single" w:sz="4" w:space="0" w:color="auto"/>
            </w:tcBorders>
            <w:vAlign w:val="center"/>
          </w:tcPr>
          <w:p w14:paraId="7DC0207E" w14:textId="77777777" w:rsidR="003C52A0" w:rsidRPr="003C52A0" w:rsidRDefault="003C52A0" w:rsidP="003C52A0">
            <w:pPr>
              <w:autoSpaceDE w:val="0"/>
              <w:autoSpaceDN w:val="0"/>
              <w:adjustRightInd w:val="0"/>
              <w:spacing w:line="360" w:lineRule="auto"/>
              <w:jc w:val="center"/>
              <w:rPr>
                <w:rFonts w:ascii="Times New Roman" w:hAnsi="Times New Roman"/>
                <w:b/>
                <w:bCs/>
                <w:color w:val="000000"/>
                <w:sz w:val="18"/>
                <w:szCs w:val="18"/>
                <w:lang w:val="es-ES" w:eastAsia="es-ES"/>
              </w:rPr>
            </w:pPr>
            <w:r w:rsidRPr="003C52A0">
              <w:rPr>
                <w:rFonts w:ascii="Times New Roman" w:hAnsi="Times New Roman"/>
                <w:b/>
                <w:bCs/>
                <w:color w:val="000000"/>
                <w:sz w:val="18"/>
                <w:szCs w:val="18"/>
                <w:lang w:val="es-ES" w:eastAsia="es-ES"/>
              </w:rPr>
              <w:t>Tiempo de evolución posoperatoria</w:t>
            </w:r>
          </w:p>
        </w:tc>
      </w:tr>
      <w:tr w:rsidR="003C52A0" w:rsidRPr="003C52A0" w14:paraId="020FFBA6" w14:textId="77777777" w:rsidTr="0060234B">
        <w:trPr>
          <w:trHeight w:val="81"/>
          <w:jc w:val="center"/>
        </w:trPr>
        <w:tc>
          <w:tcPr>
            <w:tcW w:w="1527" w:type="dxa"/>
            <w:vMerge/>
            <w:vAlign w:val="center"/>
          </w:tcPr>
          <w:p w14:paraId="23DCEE9F" w14:textId="77777777" w:rsidR="003C52A0" w:rsidRPr="003C52A0" w:rsidRDefault="003C52A0" w:rsidP="003C52A0">
            <w:pPr>
              <w:autoSpaceDE w:val="0"/>
              <w:autoSpaceDN w:val="0"/>
              <w:adjustRightInd w:val="0"/>
              <w:spacing w:line="360" w:lineRule="auto"/>
              <w:jc w:val="both"/>
              <w:rPr>
                <w:rFonts w:ascii="Times New Roman" w:hAnsi="Times New Roman"/>
                <w:b/>
                <w:bCs/>
                <w:color w:val="000000"/>
                <w:sz w:val="18"/>
                <w:szCs w:val="18"/>
                <w:lang w:val="es-ES" w:eastAsia="es-ES"/>
              </w:rPr>
            </w:pPr>
          </w:p>
        </w:tc>
        <w:tc>
          <w:tcPr>
            <w:tcW w:w="1277" w:type="dxa"/>
            <w:gridSpan w:val="2"/>
            <w:tcBorders>
              <w:top w:val="single" w:sz="4" w:space="0" w:color="auto"/>
              <w:bottom w:val="single" w:sz="4" w:space="0" w:color="auto"/>
              <w:right w:val="single" w:sz="4" w:space="0" w:color="auto"/>
            </w:tcBorders>
            <w:vAlign w:val="center"/>
          </w:tcPr>
          <w:p w14:paraId="6DBB17AF" w14:textId="77777777" w:rsidR="003C52A0" w:rsidRPr="003C52A0" w:rsidRDefault="003C52A0" w:rsidP="003C52A0">
            <w:pPr>
              <w:autoSpaceDE w:val="0"/>
              <w:autoSpaceDN w:val="0"/>
              <w:adjustRightInd w:val="0"/>
              <w:spacing w:line="360" w:lineRule="auto"/>
              <w:jc w:val="center"/>
              <w:rPr>
                <w:rFonts w:ascii="Times New Roman" w:hAnsi="Times New Roman"/>
                <w:b/>
                <w:bCs/>
                <w:color w:val="000000"/>
                <w:sz w:val="18"/>
                <w:szCs w:val="18"/>
                <w:lang w:val="es-ES" w:eastAsia="es-ES"/>
              </w:rPr>
            </w:pPr>
            <w:r w:rsidRPr="003C52A0">
              <w:rPr>
                <w:rFonts w:ascii="Times New Roman" w:hAnsi="Times New Roman"/>
                <w:b/>
                <w:bCs/>
                <w:color w:val="000000"/>
                <w:sz w:val="18"/>
                <w:szCs w:val="18"/>
                <w:lang w:val="es-ES" w:eastAsia="es-ES"/>
              </w:rPr>
              <w:t>1 mes</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3D88912E" w14:textId="77777777" w:rsidR="003C52A0" w:rsidRPr="003C52A0" w:rsidRDefault="003C52A0" w:rsidP="003C52A0">
            <w:pPr>
              <w:autoSpaceDE w:val="0"/>
              <w:autoSpaceDN w:val="0"/>
              <w:adjustRightInd w:val="0"/>
              <w:spacing w:line="360" w:lineRule="auto"/>
              <w:jc w:val="center"/>
              <w:rPr>
                <w:rFonts w:ascii="Times New Roman" w:hAnsi="Times New Roman"/>
                <w:b/>
                <w:bCs/>
                <w:color w:val="000000"/>
                <w:sz w:val="18"/>
                <w:szCs w:val="18"/>
                <w:lang w:val="es-ES" w:eastAsia="es-ES"/>
              </w:rPr>
            </w:pPr>
            <w:r w:rsidRPr="003C52A0">
              <w:rPr>
                <w:rFonts w:ascii="Times New Roman" w:hAnsi="Times New Roman"/>
                <w:b/>
                <w:bCs/>
                <w:color w:val="000000"/>
                <w:sz w:val="18"/>
                <w:szCs w:val="18"/>
                <w:lang w:val="es-ES" w:eastAsia="es-ES"/>
              </w:rPr>
              <w:t>3 meses</w:t>
            </w:r>
          </w:p>
        </w:tc>
        <w:tc>
          <w:tcPr>
            <w:tcW w:w="1008" w:type="dxa"/>
            <w:gridSpan w:val="2"/>
            <w:tcBorders>
              <w:top w:val="single" w:sz="4" w:space="0" w:color="auto"/>
              <w:left w:val="single" w:sz="4" w:space="0" w:color="auto"/>
              <w:bottom w:val="single" w:sz="4" w:space="0" w:color="auto"/>
              <w:right w:val="single" w:sz="4" w:space="0" w:color="auto"/>
            </w:tcBorders>
            <w:vAlign w:val="center"/>
          </w:tcPr>
          <w:p w14:paraId="3B366E3F" w14:textId="77777777" w:rsidR="003C52A0" w:rsidRPr="003C52A0" w:rsidRDefault="003C52A0" w:rsidP="003C52A0">
            <w:pPr>
              <w:autoSpaceDE w:val="0"/>
              <w:autoSpaceDN w:val="0"/>
              <w:adjustRightInd w:val="0"/>
              <w:spacing w:line="360" w:lineRule="auto"/>
              <w:jc w:val="center"/>
              <w:rPr>
                <w:rFonts w:ascii="Times New Roman" w:hAnsi="Times New Roman"/>
                <w:b/>
                <w:bCs/>
                <w:color w:val="000000"/>
                <w:sz w:val="18"/>
                <w:szCs w:val="18"/>
                <w:lang w:val="es-ES" w:eastAsia="es-ES"/>
              </w:rPr>
            </w:pPr>
            <w:r w:rsidRPr="003C52A0">
              <w:rPr>
                <w:rFonts w:ascii="Times New Roman" w:hAnsi="Times New Roman"/>
                <w:b/>
                <w:bCs/>
                <w:color w:val="000000"/>
                <w:sz w:val="18"/>
                <w:szCs w:val="18"/>
                <w:lang w:val="es-ES" w:eastAsia="es-ES"/>
              </w:rPr>
              <w:t>6 meses</w:t>
            </w:r>
          </w:p>
        </w:tc>
        <w:tc>
          <w:tcPr>
            <w:tcW w:w="1346" w:type="dxa"/>
            <w:gridSpan w:val="2"/>
            <w:tcBorders>
              <w:top w:val="single" w:sz="4" w:space="0" w:color="auto"/>
              <w:left w:val="single" w:sz="4" w:space="0" w:color="auto"/>
              <w:bottom w:val="single" w:sz="4" w:space="0" w:color="auto"/>
            </w:tcBorders>
            <w:vAlign w:val="center"/>
          </w:tcPr>
          <w:p w14:paraId="32304D3D" w14:textId="77777777" w:rsidR="003C52A0" w:rsidRPr="003C52A0" w:rsidRDefault="003C52A0" w:rsidP="003C52A0">
            <w:pPr>
              <w:autoSpaceDE w:val="0"/>
              <w:autoSpaceDN w:val="0"/>
              <w:adjustRightInd w:val="0"/>
              <w:spacing w:line="360" w:lineRule="auto"/>
              <w:jc w:val="center"/>
              <w:rPr>
                <w:rFonts w:ascii="Times New Roman" w:hAnsi="Times New Roman"/>
                <w:b/>
                <w:bCs/>
                <w:color w:val="000000"/>
                <w:sz w:val="18"/>
                <w:szCs w:val="18"/>
                <w:lang w:val="es-ES" w:eastAsia="es-ES"/>
              </w:rPr>
            </w:pPr>
            <w:r w:rsidRPr="003C52A0">
              <w:rPr>
                <w:rFonts w:ascii="Times New Roman" w:hAnsi="Times New Roman"/>
                <w:b/>
                <w:bCs/>
                <w:color w:val="000000"/>
                <w:sz w:val="18"/>
                <w:szCs w:val="18"/>
                <w:lang w:val="es-ES" w:eastAsia="es-ES"/>
              </w:rPr>
              <w:t>1 año</w:t>
            </w:r>
          </w:p>
        </w:tc>
      </w:tr>
      <w:tr w:rsidR="003C52A0" w:rsidRPr="003C52A0" w14:paraId="7526F17F" w14:textId="77777777" w:rsidTr="0060234B">
        <w:trPr>
          <w:trHeight w:val="180"/>
          <w:jc w:val="center"/>
        </w:trPr>
        <w:tc>
          <w:tcPr>
            <w:tcW w:w="1527" w:type="dxa"/>
            <w:vMerge/>
            <w:vAlign w:val="center"/>
          </w:tcPr>
          <w:p w14:paraId="3A35C4A8" w14:textId="77777777" w:rsidR="003C52A0" w:rsidRPr="003C52A0" w:rsidRDefault="003C52A0" w:rsidP="003C52A0">
            <w:pPr>
              <w:autoSpaceDE w:val="0"/>
              <w:autoSpaceDN w:val="0"/>
              <w:adjustRightInd w:val="0"/>
              <w:spacing w:line="360" w:lineRule="auto"/>
              <w:jc w:val="both"/>
              <w:rPr>
                <w:rFonts w:ascii="Times New Roman" w:hAnsi="Times New Roman"/>
                <w:color w:val="000000"/>
                <w:sz w:val="18"/>
                <w:szCs w:val="18"/>
                <w:lang w:val="es-ES" w:eastAsia="es-ES"/>
              </w:rPr>
            </w:pPr>
          </w:p>
        </w:tc>
        <w:tc>
          <w:tcPr>
            <w:tcW w:w="640" w:type="dxa"/>
            <w:tcBorders>
              <w:top w:val="single" w:sz="4" w:space="0" w:color="auto"/>
              <w:right w:val="single" w:sz="4" w:space="0" w:color="auto"/>
            </w:tcBorders>
            <w:vAlign w:val="center"/>
          </w:tcPr>
          <w:p w14:paraId="3BC62119" w14:textId="77777777" w:rsidR="003C52A0" w:rsidRPr="003C52A0" w:rsidRDefault="003C52A0" w:rsidP="003C52A0">
            <w:pPr>
              <w:autoSpaceDE w:val="0"/>
              <w:autoSpaceDN w:val="0"/>
              <w:adjustRightInd w:val="0"/>
              <w:spacing w:line="360" w:lineRule="auto"/>
              <w:jc w:val="center"/>
              <w:rPr>
                <w:rFonts w:ascii="Times New Roman" w:hAnsi="Times New Roman"/>
                <w:b/>
                <w:bCs/>
                <w:color w:val="000000"/>
                <w:sz w:val="18"/>
                <w:szCs w:val="18"/>
                <w:lang w:val="es-ES" w:eastAsia="es-ES"/>
              </w:rPr>
            </w:pPr>
            <w:r w:rsidRPr="003C52A0">
              <w:rPr>
                <w:rFonts w:ascii="Times New Roman" w:hAnsi="Times New Roman"/>
                <w:b/>
                <w:bCs/>
                <w:color w:val="000000"/>
                <w:sz w:val="18"/>
                <w:szCs w:val="18"/>
                <w:lang w:val="es-ES" w:eastAsia="es-ES"/>
              </w:rPr>
              <w:t>n</w:t>
            </w:r>
          </w:p>
        </w:tc>
        <w:tc>
          <w:tcPr>
            <w:tcW w:w="637" w:type="dxa"/>
            <w:tcBorders>
              <w:top w:val="single" w:sz="4" w:space="0" w:color="auto"/>
              <w:right w:val="single" w:sz="4" w:space="0" w:color="auto"/>
            </w:tcBorders>
            <w:vAlign w:val="center"/>
          </w:tcPr>
          <w:p w14:paraId="3AF0922D" w14:textId="77777777" w:rsidR="003C52A0" w:rsidRPr="003C52A0" w:rsidRDefault="003C52A0" w:rsidP="003C52A0">
            <w:pPr>
              <w:autoSpaceDE w:val="0"/>
              <w:autoSpaceDN w:val="0"/>
              <w:adjustRightInd w:val="0"/>
              <w:spacing w:line="360" w:lineRule="auto"/>
              <w:jc w:val="center"/>
              <w:rPr>
                <w:rFonts w:ascii="Times New Roman" w:hAnsi="Times New Roman"/>
                <w:b/>
                <w:bCs/>
                <w:color w:val="000000"/>
                <w:sz w:val="18"/>
                <w:szCs w:val="18"/>
                <w:lang w:val="es-ES" w:eastAsia="es-ES"/>
              </w:rPr>
            </w:pPr>
            <w:r w:rsidRPr="003C52A0">
              <w:rPr>
                <w:rFonts w:ascii="Times New Roman" w:hAnsi="Times New Roman"/>
                <w:b/>
                <w:bCs/>
                <w:color w:val="000000"/>
                <w:sz w:val="18"/>
                <w:szCs w:val="18"/>
                <w:lang w:val="es-ES" w:eastAsia="es-ES"/>
              </w:rPr>
              <w:t>%</w:t>
            </w:r>
          </w:p>
        </w:tc>
        <w:tc>
          <w:tcPr>
            <w:tcW w:w="614" w:type="dxa"/>
            <w:tcBorders>
              <w:top w:val="single" w:sz="4" w:space="0" w:color="auto"/>
              <w:left w:val="single" w:sz="4" w:space="0" w:color="auto"/>
              <w:right w:val="single" w:sz="4" w:space="0" w:color="auto"/>
            </w:tcBorders>
            <w:vAlign w:val="center"/>
          </w:tcPr>
          <w:p w14:paraId="3A2496E0" w14:textId="77777777" w:rsidR="003C52A0" w:rsidRPr="003C52A0" w:rsidRDefault="003C52A0" w:rsidP="003C52A0">
            <w:pPr>
              <w:autoSpaceDE w:val="0"/>
              <w:autoSpaceDN w:val="0"/>
              <w:adjustRightInd w:val="0"/>
              <w:spacing w:line="360" w:lineRule="auto"/>
              <w:jc w:val="center"/>
              <w:rPr>
                <w:rFonts w:ascii="Times New Roman" w:hAnsi="Times New Roman"/>
                <w:b/>
                <w:bCs/>
                <w:color w:val="000000"/>
                <w:sz w:val="18"/>
                <w:szCs w:val="18"/>
                <w:lang w:val="es-ES" w:eastAsia="es-ES"/>
              </w:rPr>
            </w:pPr>
            <w:r w:rsidRPr="003C52A0">
              <w:rPr>
                <w:rFonts w:ascii="Times New Roman" w:hAnsi="Times New Roman"/>
                <w:b/>
                <w:bCs/>
                <w:color w:val="000000"/>
                <w:sz w:val="18"/>
                <w:szCs w:val="18"/>
                <w:lang w:val="es-ES" w:eastAsia="es-ES"/>
              </w:rPr>
              <w:t>n</w:t>
            </w:r>
          </w:p>
        </w:tc>
        <w:tc>
          <w:tcPr>
            <w:tcW w:w="636" w:type="dxa"/>
            <w:tcBorders>
              <w:top w:val="single" w:sz="4" w:space="0" w:color="auto"/>
              <w:left w:val="single" w:sz="4" w:space="0" w:color="auto"/>
              <w:right w:val="single" w:sz="4" w:space="0" w:color="auto"/>
            </w:tcBorders>
            <w:vAlign w:val="center"/>
          </w:tcPr>
          <w:p w14:paraId="28BCD0A4" w14:textId="77777777" w:rsidR="003C52A0" w:rsidRPr="003C52A0" w:rsidRDefault="003C52A0" w:rsidP="003C52A0">
            <w:pPr>
              <w:autoSpaceDE w:val="0"/>
              <w:autoSpaceDN w:val="0"/>
              <w:adjustRightInd w:val="0"/>
              <w:spacing w:line="360" w:lineRule="auto"/>
              <w:jc w:val="center"/>
              <w:rPr>
                <w:rFonts w:ascii="Times New Roman" w:hAnsi="Times New Roman"/>
                <w:b/>
                <w:bCs/>
                <w:color w:val="000000"/>
                <w:sz w:val="18"/>
                <w:szCs w:val="18"/>
                <w:lang w:val="es-ES" w:eastAsia="es-ES"/>
              </w:rPr>
            </w:pPr>
            <w:r w:rsidRPr="003C52A0">
              <w:rPr>
                <w:rFonts w:ascii="Times New Roman" w:hAnsi="Times New Roman"/>
                <w:b/>
                <w:bCs/>
                <w:color w:val="000000"/>
                <w:sz w:val="18"/>
                <w:szCs w:val="18"/>
                <w:lang w:val="es-ES" w:eastAsia="es-ES"/>
              </w:rPr>
              <w:t>%</w:t>
            </w:r>
          </w:p>
        </w:tc>
        <w:tc>
          <w:tcPr>
            <w:tcW w:w="456" w:type="dxa"/>
            <w:gridSpan w:val="2"/>
            <w:tcBorders>
              <w:top w:val="single" w:sz="4" w:space="0" w:color="auto"/>
              <w:left w:val="single" w:sz="4" w:space="0" w:color="auto"/>
              <w:right w:val="single" w:sz="4" w:space="0" w:color="auto"/>
            </w:tcBorders>
            <w:vAlign w:val="center"/>
          </w:tcPr>
          <w:p w14:paraId="6E9CDF12" w14:textId="77777777" w:rsidR="003C52A0" w:rsidRPr="003C52A0" w:rsidRDefault="003C52A0" w:rsidP="003C52A0">
            <w:pPr>
              <w:autoSpaceDE w:val="0"/>
              <w:autoSpaceDN w:val="0"/>
              <w:adjustRightInd w:val="0"/>
              <w:spacing w:line="360" w:lineRule="auto"/>
              <w:jc w:val="center"/>
              <w:rPr>
                <w:rFonts w:ascii="Times New Roman" w:hAnsi="Times New Roman"/>
                <w:b/>
                <w:bCs/>
                <w:color w:val="000000"/>
                <w:sz w:val="18"/>
                <w:szCs w:val="18"/>
                <w:lang w:val="es-ES" w:eastAsia="es-ES"/>
              </w:rPr>
            </w:pPr>
            <w:r w:rsidRPr="003C52A0">
              <w:rPr>
                <w:rFonts w:ascii="Times New Roman" w:hAnsi="Times New Roman"/>
                <w:b/>
                <w:bCs/>
                <w:color w:val="000000"/>
                <w:sz w:val="18"/>
                <w:szCs w:val="18"/>
                <w:lang w:val="es-ES" w:eastAsia="es-ES"/>
              </w:rPr>
              <w:t>n</w:t>
            </w:r>
          </w:p>
        </w:tc>
        <w:tc>
          <w:tcPr>
            <w:tcW w:w="562" w:type="dxa"/>
            <w:tcBorders>
              <w:top w:val="single" w:sz="4" w:space="0" w:color="auto"/>
              <w:left w:val="single" w:sz="4" w:space="0" w:color="auto"/>
              <w:right w:val="single" w:sz="4" w:space="0" w:color="auto"/>
            </w:tcBorders>
            <w:vAlign w:val="center"/>
          </w:tcPr>
          <w:p w14:paraId="132697EC" w14:textId="77777777" w:rsidR="003C52A0" w:rsidRPr="003C52A0" w:rsidRDefault="003C52A0" w:rsidP="003C52A0">
            <w:pPr>
              <w:autoSpaceDE w:val="0"/>
              <w:autoSpaceDN w:val="0"/>
              <w:adjustRightInd w:val="0"/>
              <w:spacing w:line="360" w:lineRule="auto"/>
              <w:jc w:val="center"/>
              <w:rPr>
                <w:rFonts w:ascii="Times New Roman" w:hAnsi="Times New Roman"/>
                <w:b/>
                <w:bCs/>
                <w:color w:val="000000"/>
                <w:sz w:val="18"/>
                <w:szCs w:val="18"/>
                <w:lang w:val="es-ES" w:eastAsia="es-ES"/>
              </w:rPr>
            </w:pPr>
            <w:r w:rsidRPr="003C52A0">
              <w:rPr>
                <w:rFonts w:ascii="Times New Roman" w:hAnsi="Times New Roman"/>
                <w:b/>
                <w:bCs/>
                <w:color w:val="000000"/>
                <w:sz w:val="18"/>
                <w:szCs w:val="18"/>
                <w:lang w:val="es-ES" w:eastAsia="es-ES"/>
              </w:rPr>
              <w:t>%</w:t>
            </w:r>
          </w:p>
        </w:tc>
        <w:tc>
          <w:tcPr>
            <w:tcW w:w="614" w:type="dxa"/>
            <w:tcBorders>
              <w:top w:val="single" w:sz="4" w:space="0" w:color="auto"/>
              <w:left w:val="single" w:sz="4" w:space="0" w:color="auto"/>
              <w:right w:val="single" w:sz="4" w:space="0" w:color="auto"/>
            </w:tcBorders>
            <w:vAlign w:val="center"/>
          </w:tcPr>
          <w:p w14:paraId="4A9EFF3E" w14:textId="77777777" w:rsidR="003C52A0" w:rsidRPr="003C52A0" w:rsidRDefault="003C52A0" w:rsidP="003C52A0">
            <w:pPr>
              <w:autoSpaceDE w:val="0"/>
              <w:autoSpaceDN w:val="0"/>
              <w:adjustRightInd w:val="0"/>
              <w:spacing w:line="360" w:lineRule="auto"/>
              <w:jc w:val="center"/>
              <w:rPr>
                <w:rFonts w:ascii="Times New Roman" w:hAnsi="Times New Roman"/>
                <w:b/>
                <w:bCs/>
                <w:color w:val="000000"/>
                <w:sz w:val="18"/>
                <w:szCs w:val="18"/>
                <w:lang w:val="es-ES" w:eastAsia="es-ES"/>
              </w:rPr>
            </w:pPr>
            <w:r w:rsidRPr="003C52A0">
              <w:rPr>
                <w:rFonts w:ascii="Times New Roman" w:hAnsi="Times New Roman"/>
                <w:b/>
                <w:bCs/>
                <w:color w:val="000000"/>
                <w:sz w:val="18"/>
                <w:szCs w:val="18"/>
                <w:lang w:val="es-ES" w:eastAsia="es-ES"/>
              </w:rPr>
              <w:t>n</w:t>
            </w:r>
          </w:p>
        </w:tc>
        <w:tc>
          <w:tcPr>
            <w:tcW w:w="732" w:type="dxa"/>
            <w:tcBorders>
              <w:top w:val="single" w:sz="4" w:space="0" w:color="auto"/>
              <w:left w:val="single" w:sz="4" w:space="0" w:color="auto"/>
            </w:tcBorders>
            <w:vAlign w:val="center"/>
          </w:tcPr>
          <w:p w14:paraId="50B2C471" w14:textId="77777777" w:rsidR="003C52A0" w:rsidRPr="003C52A0" w:rsidRDefault="003C52A0" w:rsidP="003C52A0">
            <w:pPr>
              <w:autoSpaceDE w:val="0"/>
              <w:autoSpaceDN w:val="0"/>
              <w:adjustRightInd w:val="0"/>
              <w:spacing w:line="360" w:lineRule="auto"/>
              <w:jc w:val="center"/>
              <w:rPr>
                <w:rFonts w:ascii="Times New Roman" w:hAnsi="Times New Roman"/>
                <w:b/>
                <w:bCs/>
                <w:color w:val="000000"/>
                <w:sz w:val="18"/>
                <w:szCs w:val="18"/>
                <w:lang w:val="es-ES" w:eastAsia="es-ES"/>
              </w:rPr>
            </w:pPr>
            <w:r w:rsidRPr="003C52A0">
              <w:rPr>
                <w:rFonts w:ascii="Times New Roman" w:hAnsi="Times New Roman"/>
                <w:b/>
                <w:bCs/>
                <w:color w:val="000000"/>
                <w:sz w:val="18"/>
                <w:szCs w:val="18"/>
                <w:lang w:val="es-ES" w:eastAsia="es-ES"/>
              </w:rPr>
              <w:t>%</w:t>
            </w:r>
          </w:p>
        </w:tc>
      </w:tr>
      <w:tr w:rsidR="003C52A0" w:rsidRPr="003C52A0" w14:paraId="445FCFAE" w14:textId="77777777" w:rsidTr="0060234B">
        <w:trPr>
          <w:jc w:val="center"/>
        </w:trPr>
        <w:tc>
          <w:tcPr>
            <w:tcW w:w="1527" w:type="dxa"/>
            <w:vAlign w:val="center"/>
          </w:tcPr>
          <w:p w14:paraId="720B9C28" w14:textId="77777777" w:rsidR="003C52A0" w:rsidRPr="003C52A0" w:rsidRDefault="003C52A0" w:rsidP="003C52A0">
            <w:pPr>
              <w:autoSpaceDE w:val="0"/>
              <w:autoSpaceDN w:val="0"/>
              <w:adjustRightInd w:val="0"/>
              <w:spacing w:line="360" w:lineRule="auto"/>
              <w:jc w:val="both"/>
              <w:rPr>
                <w:rFonts w:ascii="Times New Roman" w:hAnsi="Times New Roman"/>
                <w:b/>
                <w:color w:val="000000"/>
                <w:sz w:val="18"/>
                <w:szCs w:val="18"/>
                <w:lang w:val="es-ES" w:eastAsia="es-ES"/>
              </w:rPr>
            </w:pPr>
            <w:r w:rsidRPr="003C52A0">
              <w:rPr>
                <w:rFonts w:ascii="Times New Roman" w:hAnsi="Times New Roman"/>
                <w:color w:val="000000"/>
                <w:sz w:val="18"/>
                <w:szCs w:val="18"/>
                <w:lang w:val="es-ES" w:eastAsia="es-ES"/>
              </w:rPr>
              <w:t xml:space="preserve">1-3 </w:t>
            </w:r>
          </w:p>
        </w:tc>
        <w:tc>
          <w:tcPr>
            <w:tcW w:w="640" w:type="dxa"/>
            <w:tcBorders>
              <w:right w:val="single" w:sz="4" w:space="0" w:color="auto"/>
            </w:tcBorders>
            <w:vAlign w:val="center"/>
          </w:tcPr>
          <w:p w14:paraId="427290A9"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21</w:t>
            </w:r>
          </w:p>
        </w:tc>
        <w:tc>
          <w:tcPr>
            <w:tcW w:w="637" w:type="dxa"/>
            <w:tcBorders>
              <w:right w:val="single" w:sz="4" w:space="0" w:color="auto"/>
            </w:tcBorders>
            <w:vAlign w:val="center"/>
          </w:tcPr>
          <w:p w14:paraId="40246D0D"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80,7</w:t>
            </w:r>
          </w:p>
        </w:tc>
        <w:tc>
          <w:tcPr>
            <w:tcW w:w="614" w:type="dxa"/>
            <w:tcBorders>
              <w:left w:val="single" w:sz="4" w:space="0" w:color="auto"/>
              <w:right w:val="single" w:sz="4" w:space="0" w:color="auto"/>
            </w:tcBorders>
            <w:vAlign w:val="center"/>
          </w:tcPr>
          <w:p w14:paraId="50785467"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25</w:t>
            </w:r>
          </w:p>
        </w:tc>
        <w:tc>
          <w:tcPr>
            <w:tcW w:w="636" w:type="dxa"/>
            <w:tcBorders>
              <w:left w:val="single" w:sz="4" w:space="0" w:color="auto"/>
              <w:right w:val="single" w:sz="4" w:space="0" w:color="auto"/>
            </w:tcBorders>
            <w:vAlign w:val="center"/>
          </w:tcPr>
          <w:p w14:paraId="334AD49A"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96,1</w:t>
            </w:r>
          </w:p>
        </w:tc>
        <w:tc>
          <w:tcPr>
            <w:tcW w:w="456" w:type="dxa"/>
            <w:gridSpan w:val="2"/>
            <w:tcBorders>
              <w:left w:val="single" w:sz="4" w:space="0" w:color="auto"/>
              <w:right w:val="single" w:sz="4" w:space="0" w:color="auto"/>
            </w:tcBorders>
            <w:vAlign w:val="center"/>
          </w:tcPr>
          <w:p w14:paraId="58CAE1F9"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26</w:t>
            </w:r>
          </w:p>
        </w:tc>
        <w:tc>
          <w:tcPr>
            <w:tcW w:w="562" w:type="dxa"/>
            <w:tcBorders>
              <w:left w:val="single" w:sz="4" w:space="0" w:color="auto"/>
              <w:right w:val="single" w:sz="4" w:space="0" w:color="auto"/>
            </w:tcBorders>
            <w:vAlign w:val="center"/>
          </w:tcPr>
          <w:p w14:paraId="7A4BF8FA"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100</w:t>
            </w:r>
          </w:p>
        </w:tc>
        <w:tc>
          <w:tcPr>
            <w:tcW w:w="614" w:type="dxa"/>
            <w:tcBorders>
              <w:left w:val="single" w:sz="4" w:space="0" w:color="auto"/>
              <w:right w:val="single" w:sz="4" w:space="0" w:color="auto"/>
            </w:tcBorders>
            <w:vAlign w:val="center"/>
          </w:tcPr>
          <w:p w14:paraId="4F9B81C2"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26</w:t>
            </w:r>
          </w:p>
        </w:tc>
        <w:tc>
          <w:tcPr>
            <w:tcW w:w="732" w:type="dxa"/>
            <w:tcBorders>
              <w:left w:val="single" w:sz="4" w:space="0" w:color="auto"/>
            </w:tcBorders>
            <w:vAlign w:val="center"/>
          </w:tcPr>
          <w:p w14:paraId="1BCDE1E5"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100</w:t>
            </w:r>
          </w:p>
        </w:tc>
      </w:tr>
      <w:tr w:rsidR="003C52A0" w:rsidRPr="003C52A0" w14:paraId="180F7904" w14:textId="77777777" w:rsidTr="0060234B">
        <w:trPr>
          <w:jc w:val="center"/>
        </w:trPr>
        <w:tc>
          <w:tcPr>
            <w:tcW w:w="1527" w:type="dxa"/>
            <w:vAlign w:val="center"/>
          </w:tcPr>
          <w:p w14:paraId="2AAF169C" w14:textId="77777777" w:rsidR="003C52A0" w:rsidRPr="003C52A0" w:rsidRDefault="003C52A0" w:rsidP="003C52A0">
            <w:pPr>
              <w:autoSpaceDE w:val="0"/>
              <w:autoSpaceDN w:val="0"/>
              <w:adjustRightInd w:val="0"/>
              <w:spacing w:line="360" w:lineRule="auto"/>
              <w:jc w:val="both"/>
              <w:rPr>
                <w:rFonts w:ascii="Times New Roman" w:hAnsi="Times New Roman"/>
                <w:b/>
                <w:color w:val="000000"/>
                <w:sz w:val="18"/>
                <w:szCs w:val="18"/>
                <w:lang w:val="es-ES" w:eastAsia="es-ES"/>
              </w:rPr>
            </w:pPr>
            <w:r w:rsidRPr="003C52A0">
              <w:rPr>
                <w:rFonts w:ascii="Times New Roman" w:hAnsi="Times New Roman"/>
                <w:color w:val="000000"/>
                <w:sz w:val="18"/>
                <w:szCs w:val="18"/>
                <w:lang w:val="es-ES" w:eastAsia="es-ES"/>
              </w:rPr>
              <w:t xml:space="preserve">4-5 </w:t>
            </w:r>
          </w:p>
        </w:tc>
        <w:tc>
          <w:tcPr>
            <w:tcW w:w="640" w:type="dxa"/>
            <w:tcBorders>
              <w:right w:val="single" w:sz="4" w:space="0" w:color="auto"/>
            </w:tcBorders>
            <w:vAlign w:val="center"/>
          </w:tcPr>
          <w:p w14:paraId="1A0334B1"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4</w:t>
            </w:r>
          </w:p>
        </w:tc>
        <w:tc>
          <w:tcPr>
            <w:tcW w:w="637" w:type="dxa"/>
            <w:tcBorders>
              <w:right w:val="single" w:sz="4" w:space="0" w:color="auto"/>
            </w:tcBorders>
            <w:vAlign w:val="center"/>
          </w:tcPr>
          <w:p w14:paraId="080931DC"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15,3</w:t>
            </w:r>
          </w:p>
        </w:tc>
        <w:tc>
          <w:tcPr>
            <w:tcW w:w="614" w:type="dxa"/>
            <w:tcBorders>
              <w:left w:val="single" w:sz="4" w:space="0" w:color="auto"/>
              <w:right w:val="single" w:sz="4" w:space="0" w:color="auto"/>
            </w:tcBorders>
            <w:vAlign w:val="center"/>
          </w:tcPr>
          <w:p w14:paraId="63CA8A4E"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1</w:t>
            </w:r>
          </w:p>
        </w:tc>
        <w:tc>
          <w:tcPr>
            <w:tcW w:w="636" w:type="dxa"/>
            <w:tcBorders>
              <w:left w:val="single" w:sz="4" w:space="0" w:color="auto"/>
              <w:right w:val="single" w:sz="4" w:space="0" w:color="auto"/>
            </w:tcBorders>
            <w:vAlign w:val="center"/>
          </w:tcPr>
          <w:p w14:paraId="6C28B3D1"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3,8</w:t>
            </w:r>
          </w:p>
        </w:tc>
        <w:tc>
          <w:tcPr>
            <w:tcW w:w="456" w:type="dxa"/>
            <w:gridSpan w:val="2"/>
            <w:tcBorders>
              <w:left w:val="single" w:sz="4" w:space="0" w:color="auto"/>
              <w:right w:val="single" w:sz="4" w:space="0" w:color="auto"/>
            </w:tcBorders>
            <w:vAlign w:val="center"/>
          </w:tcPr>
          <w:p w14:paraId="70873ED3"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w:t>
            </w:r>
          </w:p>
        </w:tc>
        <w:tc>
          <w:tcPr>
            <w:tcW w:w="562" w:type="dxa"/>
            <w:tcBorders>
              <w:left w:val="single" w:sz="4" w:space="0" w:color="auto"/>
              <w:right w:val="single" w:sz="4" w:space="0" w:color="auto"/>
            </w:tcBorders>
            <w:vAlign w:val="center"/>
          </w:tcPr>
          <w:p w14:paraId="0F82260F"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w:t>
            </w:r>
          </w:p>
        </w:tc>
        <w:tc>
          <w:tcPr>
            <w:tcW w:w="614" w:type="dxa"/>
            <w:tcBorders>
              <w:left w:val="single" w:sz="4" w:space="0" w:color="auto"/>
              <w:right w:val="single" w:sz="4" w:space="0" w:color="auto"/>
            </w:tcBorders>
            <w:vAlign w:val="center"/>
          </w:tcPr>
          <w:p w14:paraId="0EFAB53D"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w:t>
            </w:r>
          </w:p>
        </w:tc>
        <w:tc>
          <w:tcPr>
            <w:tcW w:w="732" w:type="dxa"/>
            <w:tcBorders>
              <w:left w:val="single" w:sz="4" w:space="0" w:color="auto"/>
            </w:tcBorders>
            <w:vAlign w:val="center"/>
          </w:tcPr>
          <w:p w14:paraId="4307A9F2"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w:t>
            </w:r>
          </w:p>
        </w:tc>
      </w:tr>
      <w:tr w:rsidR="003C52A0" w:rsidRPr="003C52A0" w14:paraId="12437606" w14:textId="77777777" w:rsidTr="0060234B">
        <w:trPr>
          <w:jc w:val="center"/>
        </w:trPr>
        <w:tc>
          <w:tcPr>
            <w:tcW w:w="1527" w:type="dxa"/>
            <w:vAlign w:val="center"/>
          </w:tcPr>
          <w:p w14:paraId="24A24899" w14:textId="77777777" w:rsidR="003C52A0" w:rsidRPr="003C52A0" w:rsidRDefault="003C52A0" w:rsidP="003C52A0">
            <w:pPr>
              <w:autoSpaceDE w:val="0"/>
              <w:autoSpaceDN w:val="0"/>
              <w:adjustRightInd w:val="0"/>
              <w:spacing w:line="360" w:lineRule="auto"/>
              <w:jc w:val="both"/>
              <w:rPr>
                <w:rFonts w:ascii="Times New Roman" w:hAnsi="Times New Roman"/>
                <w:b/>
                <w:color w:val="000000"/>
                <w:sz w:val="18"/>
                <w:szCs w:val="18"/>
                <w:lang w:val="es-ES" w:eastAsia="es-ES"/>
              </w:rPr>
            </w:pPr>
            <w:r w:rsidRPr="003C52A0">
              <w:rPr>
                <w:rFonts w:ascii="Times New Roman" w:hAnsi="Times New Roman"/>
                <w:color w:val="000000"/>
                <w:sz w:val="18"/>
                <w:szCs w:val="18"/>
                <w:lang w:val="es-ES" w:eastAsia="es-ES"/>
              </w:rPr>
              <w:t xml:space="preserve">6-7 </w:t>
            </w:r>
          </w:p>
        </w:tc>
        <w:tc>
          <w:tcPr>
            <w:tcW w:w="640" w:type="dxa"/>
            <w:tcBorders>
              <w:right w:val="single" w:sz="4" w:space="0" w:color="auto"/>
            </w:tcBorders>
            <w:vAlign w:val="center"/>
          </w:tcPr>
          <w:p w14:paraId="00C7EDA1"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1</w:t>
            </w:r>
          </w:p>
        </w:tc>
        <w:tc>
          <w:tcPr>
            <w:tcW w:w="637" w:type="dxa"/>
            <w:tcBorders>
              <w:right w:val="single" w:sz="4" w:space="0" w:color="auto"/>
            </w:tcBorders>
            <w:vAlign w:val="center"/>
          </w:tcPr>
          <w:p w14:paraId="10F3D703"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3,8</w:t>
            </w:r>
          </w:p>
        </w:tc>
        <w:tc>
          <w:tcPr>
            <w:tcW w:w="614" w:type="dxa"/>
            <w:tcBorders>
              <w:left w:val="single" w:sz="4" w:space="0" w:color="auto"/>
              <w:right w:val="single" w:sz="4" w:space="0" w:color="auto"/>
            </w:tcBorders>
            <w:vAlign w:val="center"/>
          </w:tcPr>
          <w:p w14:paraId="758C574B"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w:t>
            </w:r>
          </w:p>
        </w:tc>
        <w:tc>
          <w:tcPr>
            <w:tcW w:w="636" w:type="dxa"/>
            <w:tcBorders>
              <w:left w:val="single" w:sz="4" w:space="0" w:color="auto"/>
              <w:right w:val="single" w:sz="4" w:space="0" w:color="auto"/>
            </w:tcBorders>
            <w:vAlign w:val="center"/>
          </w:tcPr>
          <w:p w14:paraId="23FDCF59"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w:t>
            </w:r>
          </w:p>
        </w:tc>
        <w:tc>
          <w:tcPr>
            <w:tcW w:w="456" w:type="dxa"/>
            <w:gridSpan w:val="2"/>
            <w:tcBorders>
              <w:left w:val="single" w:sz="4" w:space="0" w:color="auto"/>
              <w:right w:val="single" w:sz="4" w:space="0" w:color="auto"/>
            </w:tcBorders>
            <w:vAlign w:val="center"/>
          </w:tcPr>
          <w:p w14:paraId="5B084533"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w:t>
            </w:r>
          </w:p>
        </w:tc>
        <w:tc>
          <w:tcPr>
            <w:tcW w:w="562" w:type="dxa"/>
            <w:tcBorders>
              <w:left w:val="single" w:sz="4" w:space="0" w:color="auto"/>
              <w:right w:val="single" w:sz="4" w:space="0" w:color="auto"/>
            </w:tcBorders>
            <w:vAlign w:val="center"/>
          </w:tcPr>
          <w:p w14:paraId="67539462"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w:t>
            </w:r>
          </w:p>
        </w:tc>
        <w:tc>
          <w:tcPr>
            <w:tcW w:w="614" w:type="dxa"/>
            <w:tcBorders>
              <w:left w:val="single" w:sz="4" w:space="0" w:color="auto"/>
              <w:right w:val="single" w:sz="4" w:space="0" w:color="auto"/>
            </w:tcBorders>
            <w:vAlign w:val="center"/>
          </w:tcPr>
          <w:p w14:paraId="0C707229"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w:t>
            </w:r>
          </w:p>
        </w:tc>
        <w:tc>
          <w:tcPr>
            <w:tcW w:w="732" w:type="dxa"/>
            <w:tcBorders>
              <w:left w:val="single" w:sz="4" w:space="0" w:color="auto"/>
            </w:tcBorders>
            <w:vAlign w:val="center"/>
          </w:tcPr>
          <w:p w14:paraId="50D83A5A"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w:t>
            </w:r>
          </w:p>
        </w:tc>
      </w:tr>
      <w:tr w:rsidR="003C52A0" w:rsidRPr="003C52A0" w14:paraId="743779DE" w14:textId="77777777" w:rsidTr="0060234B">
        <w:trPr>
          <w:jc w:val="center"/>
        </w:trPr>
        <w:tc>
          <w:tcPr>
            <w:tcW w:w="1527" w:type="dxa"/>
            <w:vAlign w:val="center"/>
          </w:tcPr>
          <w:p w14:paraId="41138A2A" w14:textId="77777777" w:rsidR="003C52A0" w:rsidRPr="003C52A0" w:rsidRDefault="003C52A0" w:rsidP="003C52A0">
            <w:pPr>
              <w:autoSpaceDE w:val="0"/>
              <w:autoSpaceDN w:val="0"/>
              <w:adjustRightInd w:val="0"/>
              <w:spacing w:line="360" w:lineRule="auto"/>
              <w:jc w:val="both"/>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 xml:space="preserve">Total </w:t>
            </w:r>
          </w:p>
        </w:tc>
        <w:tc>
          <w:tcPr>
            <w:tcW w:w="640" w:type="dxa"/>
            <w:tcBorders>
              <w:right w:val="single" w:sz="4" w:space="0" w:color="auto"/>
            </w:tcBorders>
            <w:vAlign w:val="center"/>
          </w:tcPr>
          <w:p w14:paraId="25A839C3"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26</w:t>
            </w:r>
          </w:p>
        </w:tc>
        <w:tc>
          <w:tcPr>
            <w:tcW w:w="637" w:type="dxa"/>
            <w:tcBorders>
              <w:right w:val="single" w:sz="4" w:space="0" w:color="auto"/>
            </w:tcBorders>
            <w:vAlign w:val="center"/>
          </w:tcPr>
          <w:p w14:paraId="41BCB2C6"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100</w:t>
            </w:r>
          </w:p>
        </w:tc>
        <w:tc>
          <w:tcPr>
            <w:tcW w:w="614" w:type="dxa"/>
            <w:tcBorders>
              <w:left w:val="single" w:sz="4" w:space="0" w:color="auto"/>
              <w:right w:val="single" w:sz="4" w:space="0" w:color="auto"/>
            </w:tcBorders>
            <w:vAlign w:val="center"/>
          </w:tcPr>
          <w:p w14:paraId="7F2333F6"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26</w:t>
            </w:r>
          </w:p>
        </w:tc>
        <w:tc>
          <w:tcPr>
            <w:tcW w:w="636" w:type="dxa"/>
            <w:tcBorders>
              <w:left w:val="single" w:sz="4" w:space="0" w:color="auto"/>
              <w:right w:val="single" w:sz="4" w:space="0" w:color="auto"/>
            </w:tcBorders>
            <w:vAlign w:val="center"/>
          </w:tcPr>
          <w:p w14:paraId="048D6300"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100</w:t>
            </w:r>
          </w:p>
        </w:tc>
        <w:tc>
          <w:tcPr>
            <w:tcW w:w="456" w:type="dxa"/>
            <w:gridSpan w:val="2"/>
            <w:tcBorders>
              <w:left w:val="single" w:sz="4" w:space="0" w:color="auto"/>
              <w:right w:val="single" w:sz="4" w:space="0" w:color="auto"/>
            </w:tcBorders>
            <w:vAlign w:val="center"/>
          </w:tcPr>
          <w:p w14:paraId="3F1BA994"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26</w:t>
            </w:r>
          </w:p>
        </w:tc>
        <w:tc>
          <w:tcPr>
            <w:tcW w:w="562" w:type="dxa"/>
            <w:tcBorders>
              <w:left w:val="single" w:sz="4" w:space="0" w:color="auto"/>
              <w:right w:val="single" w:sz="4" w:space="0" w:color="auto"/>
            </w:tcBorders>
            <w:vAlign w:val="center"/>
          </w:tcPr>
          <w:p w14:paraId="23455D8C"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100</w:t>
            </w:r>
          </w:p>
        </w:tc>
        <w:tc>
          <w:tcPr>
            <w:tcW w:w="614" w:type="dxa"/>
            <w:tcBorders>
              <w:left w:val="single" w:sz="4" w:space="0" w:color="auto"/>
              <w:right w:val="single" w:sz="4" w:space="0" w:color="auto"/>
            </w:tcBorders>
            <w:vAlign w:val="center"/>
          </w:tcPr>
          <w:p w14:paraId="372281FA"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26</w:t>
            </w:r>
          </w:p>
        </w:tc>
        <w:tc>
          <w:tcPr>
            <w:tcW w:w="732" w:type="dxa"/>
            <w:tcBorders>
              <w:left w:val="single" w:sz="4" w:space="0" w:color="auto"/>
            </w:tcBorders>
            <w:vAlign w:val="center"/>
          </w:tcPr>
          <w:p w14:paraId="41E11D8D" w14:textId="77777777" w:rsidR="003C52A0" w:rsidRPr="003C52A0" w:rsidRDefault="003C52A0" w:rsidP="003C52A0">
            <w:pPr>
              <w:autoSpaceDE w:val="0"/>
              <w:autoSpaceDN w:val="0"/>
              <w:adjustRightInd w:val="0"/>
              <w:spacing w:line="360" w:lineRule="auto"/>
              <w:jc w:val="center"/>
              <w:rPr>
                <w:rFonts w:ascii="Times New Roman" w:hAnsi="Times New Roman"/>
                <w:color w:val="000000"/>
                <w:sz w:val="18"/>
                <w:szCs w:val="18"/>
                <w:lang w:val="es-ES" w:eastAsia="es-ES"/>
              </w:rPr>
            </w:pPr>
            <w:r w:rsidRPr="003C52A0">
              <w:rPr>
                <w:rFonts w:ascii="Times New Roman" w:hAnsi="Times New Roman"/>
                <w:color w:val="000000"/>
                <w:sz w:val="18"/>
                <w:szCs w:val="18"/>
                <w:lang w:val="es-ES" w:eastAsia="es-ES"/>
              </w:rPr>
              <w:t>100</w:t>
            </w:r>
          </w:p>
        </w:tc>
      </w:tr>
    </w:tbl>
    <w:p w14:paraId="0F4B3D13" w14:textId="77777777" w:rsidR="003C52A0" w:rsidRPr="003C52A0" w:rsidRDefault="003C52A0" w:rsidP="003C52A0">
      <w:pPr>
        <w:autoSpaceDE w:val="0"/>
        <w:autoSpaceDN w:val="0"/>
        <w:adjustRightInd w:val="0"/>
        <w:spacing w:line="360" w:lineRule="auto"/>
        <w:jc w:val="both"/>
        <w:rPr>
          <w:color w:val="000000"/>
          <w:lang w:val="es-ES" w:eastAsia="es-ES"/>
        </w:rPr>
      </w:pPr>
    </w:p>
    <w:p w14:paraId="5472CC74" w14:textId="77777777" w:rsidR="003C52A0" w:rsidRPr="003C52A0" w:rsidRDefault="003C52A0" w:rsidP="003C52A0">
      <w:pPr>
        <w:autoSpaceDE w:val="0"/>
        <w:autoSpaceDN w:val="0"/>
        <w:adjustRightInd w:val="0"/>
        <w:spacing w:line="360" w:lineRule="auto"/>
        <w:jc w:val="both"/>
        <w:rPr>
          <w:b/>
          <w:color w:val="000000"/>
          <w:lang w:val="es-ES" w:eastAsia="es-ES"/>
        </w:rPr>
      </w:pPr>
    </w:p>
    <w:p w14:paraId="531A7414" w14:textId="77777777" w:rsidR="003C52A0" w:rsidRPr="003C52A0" w:rsidRDefault="003C52A0" w:rsidP="003C52A0">
      <w:pPr>
        <w:autoSpaceDE w:val="0"/>
        <w:autoSpaceDN w:val="0"/>
        <w:adjustRightInd w:val="0"/>
        <w:spacing w:line="360" w:lineRule="auto"/>
        <w:jc w:val="center"/>
        <w:rPr>
          <w:b/>
          <w:color w:val="000000"/>
          <w:sz w:val="32"/>
          <w:szCs w:val="32"/>
          <w:lang w:val="es-ES" w:eastAsia="es-ES"/>
        </w:rPr>
      </w:pPr>
      <w:r w:rsidRPr="003C52A0">
        <w:rPr>
          <w:b/>
          <w:color w:val="000000"/>
          <w:sz w:val="32"/>
          <w:szCs w:val="32"/>
          <w:lang w:val="es-ES" w:eastAsia="es-ES"/>
        </w:rPr>
        <w:t>DISCUSIÓN</w:t>
      </w:r>
    </w:p>
    <w:p w14:paraId="38E3F95C" w14:textId="77777777" w:rsidR="003C52A0" w:rsidRPr="003C52A0" w:rsidRDefault="003C52A0" w:rsidP="003C52A0">
      <w:pPr>
        <w:autoSpaceDE w:val="0"/>
        <w:autoSpaceDN w:val="0"/>
        <w:adjustRightInd w:val="0"/>
        <w:spacing w:line="360" w:lineRule="auto"/>
        <w:jc w:val="both"/>
        <w:rPr>
          <w:lang w:val="es-ES" w:eastAsia="es-ES"/>
        </w:rPr>
      </w:pPr>
      <w:r w:rsidRPr="003C52A0">
        <w:rPr>
          <w:color w:val="000000"/>
          <w:lang w:val="es-ES" w:eastAsia="es-ES"/>
        </w:rPr>
        <w:t xml:space="preserve">A medida que avanza la edad se produce mayor disrupción del suelo pélvico en la mujer, lo cual es más notorio con el </w:t>
      </w:r>
      <w:r w:rsidRPr="003C52A0">
        <w:rPr>
          <w:lang w:val="es-ES" w:eastAsia="es-ES"/>
        </w:rPr>
        <w:t xml:space="preserve">aumento en la expectativa de vida. El resultado de esta serie en relación a la edad coincide con otros estudios </w:t>
      </w:r>
      <w:proofErr w:type="gramStart"/>
      <w:r w:rsidRPr="003C52A0">
        <w:rPr>
          <w:lang w:val="es-ES" w:eastAsia="es-ES"/>
        </w:rPr>
        <w:t>revisados.</w:t>
      </w:r>
      <w:r w:rsidRPr="003C52A0">
        <w:rPr>
          <w:vertAlign w:val="superscript"/>
          <w:lang w:val="es-ES" w:eastAsia="es-ES"/>
        </w:rPr>
        <w:t>(</w:t>
      </w:r>
      <w:proofErr w:type="gramEnd"/>
      <w:r w:rsidRPr="003C52A0">
        <w:rPr>
          <w:vertAlign w:val="superscript"/>
          <w:lang w:val="es-ES" w:eastAsia="es-ES"/>
        </w:rPr>
        <w:t>12)</w:t>
      </w:r>
    </w:p>
    <w:p w14:paraId="1CE20CF3" w14:textId="77777777" w:rsidR="003C52A0" w:rsidRPr="003C52A0" w:rsidRDefault="003C52A0" w:rsidP="003C52A0">
      <w:pPr>
        <w:autoSpaceDE w:val="0"/>
        <w:autoSpaceDN w:val="0"/>
        <w:adjustRightInd w:val="0"/>
        <w:spacing w:line="360" w:lineRule="auto"/>
        <w:jc w:val="both"/>
        <w:rPr>
          <w:lang w:val="es-ES" w:eastAsia="es-ES"/>
        </w:rPr>
      </w:pPr>
      <w:r w:rsidRPr="003C52A0">
        <w:rPr>
          <w:lang w:val="es-ES" w:eastAsia="es-ES"/>
        </w:rPr>
        <w:t xml:space="preserve">Existen evidencias de la asociación de enfermedades crónicas, como la diabetes mellitus, la hipertensión arterial, la enfermedad pulmonar obstructiva crónica, el tabaquismo y la obesidad, con la aparición de prolapso ginecológico. Estos factores, además se relacionan con la evolución desfavorable, tanto del tratamiento quirúrgico como del rehabilitador. El tabaquismo, principalmente en las que consumen cantidades superiores a 20 cigarrillos, y los trabajos que requieren esfuerzo físico, son factores de riesgo, </w:t>
      </w:r>
      <w:r w:rsidRPr="003C52A0">
        <w:rPr>
          <w:lang w:val="es-ES" w:eastAsia="es-ES"/>
        </w:rPr>
        <w:lastRenderedPageBreak/>
        <w:t xml:space="preserve">relacionados significativamente con el desarrollo de los prolapsos del aparato </w:t>
      </w:r>
      <w:proofErr w:type="gramStart"/>
      <w:r w:rsidRPr="003C52A0">
        <w:rPr>
          <w:lang w:val="es-ES" w:eastAsia="es-ES"/>
        </w:rPr>
        <w:t>ginecológico.</w:t>
      </w:r>
      <w:r w:rsidRPr="003C52A0">
        <w:rPr>
          <w:vertAlign w:val="superscript"/>
          <w:lang w:val="es-ES" w:eastAsia="es-ES"/>
        </w:rPr>
        <w:t>(</w:t>
      </w:r>
      <w:proofErr w:type="gramEnd"/>
      <w:r w:rsidRPr="003C52A0">
        <w:rPr>
          <w:vertAlign w:val="superscript"/>
          <w:lang w:val="es-ES" w:eastAsia="es-ES"/>
        </w:rPr>
        <w:t xml:space="preserve">13,14) </w:t>
      </w:r>
      <w:r w:rsidRPr="003C52A0">
        <w:rPr>
          <w:lang w:val="es-ES" w:eastAsia="es-ES"/>
        </w:rPr>
        <w:t>Tal y como se describe, el porcentaje de pacientes que fuman es de casi el 25 %; resultados similares han sido encontrados en la literatura revisada.</w:t>
      </w:r>
      <w:r w:rsidRPr="003C52A0">
        <w:rPr>
          <w:vertAlign w:val="superscript"/>
          <w:lang w:val="es-ES" w:eastAsia="es-ES"/>
        </w:rPr>
        <w:t>(13,14)</w:t>
      </w:r>
    </w:p>
    <w:p w14:paraId="2717878B" w14:textId="77777777" w:rsidR="003C52A0" w:rsidRPr="003C52A0" w:rsidRDefault="003C52A0" w:rsidP="003C52A0">
      <w:pPr>
        <w:spacing w:line="360" w:lineRule="auto"/>
        <w:jc w:val="both"/>
        <w:rPr>
          <w:lang w:val="es-ES" w:eastAsia="es-ES"/>
        </w:rPr>
      </w:pPr>
      <w:r w:rsidRPr="003C52A0">
        <w:rPr>
          <w:lang w:val="es-ES" w:eastAsia="es-ES"/>
        </w:rPr>
        <w:t xml:space="preserve">De las pacientes del estudio, un tercio habían sido operadas con anterioridad, mediante alguna técnica de reparación del prolapso. En todas, la disfunción fue resuelta definitivamente con la técnica realizada. </w:t>
      </w:r>
    </w:p>
    <w:p w14:paraId="4CB79AFD" w14:textId="77777777" w:rsidR="003C52A0" w:rsidRPr="003C52A0" w:rsidRDefault="003C52A0" w:rsidP="003C52A0">
      <w:pPr>
        <w:spacing w:line="360" w:lineRule="auto"/>
        <w:jc w:val="both"/>
        <w:rPr>
          <w:vertAlign w:val="superscript"/>
          <w:lang w:val="es-ES" w:eastAsia="es-ES"/>
        </w:rPr>
      </w:pPr>
      <w:r w:rsidRPr="003C52A0">
        <w:rPr>
          <w:lang w:val="es-ES" w:eastAsia="es-ES"/>
        </w:rPr>
        <w:t>Las tasas de éxito reportadas en la bibliografía consultada, oscilan entre 70 % y el 100 </w:t>
      </w:r>
      <w:proofErr w:type="gramStart"/>
      <w:r w:rsidRPr="003C52A0">
        <w:rPr>
          <w:lang w:val="es-ES" w:eastAsia="es-ES"/>
        </w:rPr>
        <w:t>%,</w:t>
      </w:r>
      <w:r w:rsidRPr="003C52A0">
        <w:rPr>
          <w:vertAlign w:val="superscript"/>
          <w:lang w:val="es-ES" w:eastAsia="es-ES"/>
        </w:rPr>
        <w:t>(</w:t>
      </w:r>
      <w:proofErr w:type="gramEnd"/>
      <w:r w:rsidRPr="003C52A0">
        <w:rPr>
          <w:vertAlign w:val="superscript"/>
          <w:lang w:val="es-ES" w:eastAsia="es-ES"/>
        </w:rPr>
        <w:t>15,16,17)</w:t>
      </w:r>
      <w:r w:rsidRPr="003C52A0">
        <w:rPr>
          <w:lang w:val="es-ES" w:eastAsia="es-ES"/>
        </w:rPr>
        <w:t xml:space="preserve"> similar a lo encontrado en este trabajo. Otros autores presentan cifras de 89 % al 98 </w:t>
      </w:r>
      <w:proofErr w:type="gramStart"/>
      <w:r w:rsidRPr="003C52A0">
        <w:rPr>
          <w:lang w:val="es-ES" w:eastAsia="es-ES"/>
        </w:rPr>
        <w:t>%.</w:t>
      </w:r>
      <w:r w:rsidRPr="003C52A0">
        <w:rPr>
          <w:vertAlign w:val="superscript"/>
          <w:lang w:val="es-ES" w:eastAsia="es-ES"/>
        </w:rPr>
        <w:t>(</w:t>
      </w:r>
      <w:proofErr w:type="gramEnd"/>
      <w:r w:rsidRPr="003C52A0">
        <w:rPr>
          <w:vertAlign w:val="superscript"/>
          <w:lang w:val="es-ES" w:eastAsia="es-ES"/>
        </w:rPr>
        <w:t xml:space="preserve">18,19) </w:t>
      </w:r>
    </w:p>
    <w:p w14:paraId="3AC1BE4B" w14:textId="77777777" w:rsidR="003C52A0" w:rsidRPr="003C52A0" w:rsidRDefault="003C52A0" w:rsidP="003C52A0">
      <w:pPr>
        <w:spacing w:line="360" w:lineRule="auto"/>
        <w:jc w:val="both"/>
        <w:rPr>
          <w:lang w:val="es-ES" w:eastAsia="es-ES"/>
        </w:rPr>
      </w:pPr>
      <w:r w:rsidRPr="003C52A0">
        <w:rPr>
          <w:lang w:val="es-ES" w:eastAsia="es-ES"/>
        </w:rPr>
        <w:t>La restitución funcional del suelo pélvico es un proceso complejo y hay autores que describen tasas de curación objetiva, que van de 75 % al 100 %, y de curación subjetiva mayores de 89 </w:t>
      </w:r>
      <w:proofErr w:type="gramStart"/>
      <w:r w:rsidRPr="003C52A0">
        <w:rPr>
          <w:lang w:val="es-ES" w:eastAsia="es-ES"/>
        </w:rPr>
        <w:t>%.</w:t>
      </w:r>
      <w:r w:rsidRPr="003C52A0">
        <w:rPr>
          <w:vertAlign w:val="superscript"/>
          <w:lang w:val="es-ES" w:eastAsia="es-ES"/>
        </w:rPr>
        <w:t>(</w:t>
      </w:r>
      <w:proofErr w:type="gramEnd"/>
      <w:r w:rsidRPr="003C52A0">
        <w:rPr>
          <w:vertAlign w:val="superscript"/>
          <w:lang w:val="es-ES" w:eastAsia="es-ES"/>
        </w:rPr>
        <w:t>19)</w:t>
      </w:r>
    </w:p>
    <w:p w14:paraId="35AE09AE" w14:textId="77777777" w:rsidR="003C52A0" w:rsidRPr="003C52A0" w:rsidRDefault="003C52A0" w:rsidP="003C52A0">
      <w:pPr>
        <w:autoSpaceDE w:val="0"/>
        <w:autoSpaceDN w:val="0"/>
        <w:adjustRightInd w:val="0"/>
        <w:spacing w:line="360" w:lineRule="auto"/>
        <w:jc w:val="both"/>
        <w:rPr>
          <w:lang w:val="es-ES" w:eastAsia="es-ES"/>
        </w:rPr>
      </w:pPr>
      <w:r w:rsidRPr="003C52A0">
        <w:rPr>
          <w:lang w:val="es-ES" w:eastAsia="es-ES"/>
        </w:rPr>
        <w:t xml:space="preserve">La corrección del prolapso de la cúpula vaginal, mediante </w:t>
      </w:r>
      <w:proofErr w:type="spellStart"/>
      <w:r w:rsidRPr="003C52A0">
        <w:rPr>
          <w:lang w:val="es-ES" w:eastAsia="es-ES"/>
        </w:rPr>
        <w:t>colpopexia</w:t>
      </w:r>
      <w:proofErr w:type="spellEnd"/>
      <w:r w:rsidRPr="003C52A0">
        <w:rPr>
          <w:lang w:val="es-ES" w:eastAsia="es-ES"/>
        </w:rPr>
        <w:t xml:space="preserve"> por vía abdominal es una alternativa de tratamiento para las pacientes, fundamentalmente jóvenes o que quieren conservar la funcionalidad vaginal y la vida sexual activa.</w:t>
      </w:r>
    </w:p>
    <w:p w14:paraId="70B62828" w14:textId="77777777" w:rsidR="003C52A0" w:rsidRPr="003C52A0" w:rsidRDefault="003C52A0" w:rsidP="003C52A0">
      <w:pPr>
        <w:tabs>
          <w:tab w:val="left" w:pos="7309"/>
        </w:tabs>
        <w:autoSpaceDE w:val="0"/>
        <w:autoSpaceDN w:val="0"/>
        <w:adjustRightInd w:val="0"/>
        <w:spacing w:line="360" w:lineRule="auto"/>
        <w:jc w:val="both"/>
        <w:rPr>
          <w:lang w:val="es-ES" w:eastAsia="es-ES"/>
        </w:rPr>
      </w:pPr>
      <w:r w:rsidRPr="003C52A0">
        <w:rPr>
          <w:lang w:val="es-ES" w:eastAsia="es-ES"/>
        </w:rPr>
        <w:tab/>
      </w:r>
    </w:p>
    <w:p w14:paraId="172F7F78" w14:textId="77777777" w:rsidR="003C52A0" w:rsidRPr="003C52A0" w:rsidRDefault="003C52A0" w:rsidP="003C52A0">
      <w:pPr>
        <w:autoSpaceDE w:val="0"/>
        <w:autoSpaceDN w:val="0"/>
        <w:adjustRightInd w:val="0"/>
        <w:spacing w:line="360" w:lineRule="auto"/>
        <w:jc w:val="both"/>
        <w:rPr>
          <w:b/>
          <w:lang w:val="es-ES" w:eastAsia="es-ES"/>
        </w:rPr>
      </w:pPr>
    </w:p>
    <w:p w14:paraId="1439D8AB" w14:textId="77777777" w:rsidR="003C52A0" w:rsidRPr="003C52A0" w:rsidRDefault="003C52A0" w:rsidP="003C52A0">
      <w:pPr>
        <w:autoSpaceDE w:val="0"/>
        <w:autoSpaceDN w:val="0"/>
        <w:adjustRightInd w:val="0"/>
        <w:spacing w:line="360" w:lineRule="auto"/>
        <w:jc w:val="center"/>
        <w:rPr>
          <w:b/>
          <w:sz w:val="32"/>
          <w:szCs w:val="32"/>
          <w:lang w:val="es-ES" w:eastAsia="es-ES"/>
        </w:rPr>
      </w:pPr>
      <w:r w:rsidRPr="003C52A0">
        <w:rPr>
          <w:b/>
          <w:sz w:val="32"/>
          <w:szCs w:val="32"/>
          <w:lang w:val="es-ES" w:eastAsia="es-ES"/>
        </w:rPr>
        <w:t>REFERENCIAS BIBLIOGRÁFICAS</w:t>
      </w:r>
    </w:p>
    <w:p w14:paraId="0A39C2D5" w14:textId="77777777" w:rsidR="003C52A0" w:rsidRPr="003C52A0" w:rsidRDefault="003C52A0" w:rsidP="003C52A0">
      <w:pPr>
        <w:tabs>
          <w:tab w:val="left" w:pos="142"/>
          <w:tab w:val="left" w:pos="284"/>
          <w:tab w:val="left" w:pos="426"/>
        </w:tabs>
        <w:spacing w:line="360" w:lineRule="auto"/>
        <w:rPr>
          <w:lang w:val="es-CU" w:eastAsia="es-ES"/>
        </w:rPr>
      </w:pPr>
      <w:r w:rsidRPr="003C52A0">
        <w:rPr>
          <w:lang w:val="es-CU" w:eastAsia="es-ES"/>
        </w:rPr>
        <w:t>1.</w:t>
      </w:r>
      <w:r w:rsidRPr="003C52A0">
        <w:rPr>
          <w:lang w:val="es-CU" w:eastAsia="es-ES"/>
        </w:rPr>
        <w:tab/>
        <w:t xml:space="preserve">Pérez-Rodríguez N, Martínez-Torres J, García-Delgado J, Rodríguez-Adams E, Rodríguez-Lara H. Disfunción de suelo pélvico y sexual en mujeres. Investigaciones Medico quirúrgicas. 2019 [acceso: 18/04/2022]; 11(1):1-25. Disponible en: </w:t>
      </w:r>
      <w:hyperlink r:id="rId14" w:history="1">
        <w:r w:rsidRPr="003C52A0">
          <w:rPr>
            <w:color w:val="0000FF"/>
            <w:u w:val="single"/>
            <w:lang w:val="es-CU" w:eastAsia="es-ES"/>
          </w:rPr>
          <w:t>http://www.revcimeq.sld.cu/index.php/imq/article/view/470</w:t>
        </w:r>
      </w:hyperlink>
      <w:r w:rsidRPr="003C52A0">
        <w:rPr>
          <w:lang w:val="es-CU" w:eastAsia="es-ES"/>
        </w:rPr>
        <w:t xml:space="preserve"> </w:t>
      </w:r>
    </w:p>
    <w:p w14:paraId="64F42D62" w14:textId="77777777" w:rsidR="003C52A0" w:rsidRPr="003C52A0" w:rsidRDefault="003C52A0" w:rsidP="003C52A0">
      <w:pPr>
        <w:tabs>
          <w:tab w:val="left" w:pos="142"/>
          <w:tab w:val="left" w:pos="284"/>
          <w:tab w:val="left" w:pos="426"/>
        </w:tabs>
        <w:spacing w:line="360" w:lineRule="auto"/>
        <w:rPr>
          <w:lang w:val="es-CU" w:eastAsia="es-ES"/>
        </w:rPr>
      </w:pPr>
      <w:r w:rsidRPr="003C52A0">
        <w:rPr>
          <w:lang w:val="es-CU" w:eastAsia="es-ES"/>
        </w:rPr>
        <w:t>2.</w:t>
      </w:r>
      <w:r w:rsidRPr="003C52A0">
        <w:rPr>
          <w:lang w:val="es-CU" w:eastAsia="es-ES"/>
        </w:rPr>
        <w:tab/>
        <w:t xml:space="preserve">Cruz-Hernández M, Barreras-González J, </w:t>
      </w:r>
      <w:proofErr w:type="spellStart"/>
      <w:r w:rsidRPr="003C52A0">
        <w:rPr>
          <w:lang w:val="es-CU" w:eastAsia="es-ES"/>
        </w:rPr>
        <w:t>Gallinat</w:t>
      </w:r>
      <w:proofErr w:type="spellEnd"/>
      <w:r w:rsidRPr="003C52A0">
        <w:rPr>
          <w:lang w:val="es-CU" w:eastAsia="es-ES"/>
        </w:rPr>
        <w:t xml:space="preserve">-Martin Y, Morera-Pérez M. </w:t>
      </w:r>
      <w:proofErr w:type="spellStart"/>
      <w:r w:rsidRPr="003C52A0">
        <w:rPr>
          <w:lang w:val="es-CU" w:eastAsia="es-ES"/>
        </w:rPr>
        <w:t>Sacrocolpopexia</w:t>
      </w:r>
      <w:proofErr w:type="spellEnd"/>
      <w:r w:rsidRPr="003C52A0">
        <w:rPr>
          <w:lang w:val="es-CU" w:eastAsia="es-ES"/>
        </w:rPr>
        <w:t xml:space="preserve"> laparoscópica como modalidad de tratamiento en las pacientes con prolapso de cúpula vaginal. Revista Cubana de Obstetricia y Ginecología. 2018 [acceso: 16/04/2022]; 43(4</w:t>
      </w:r>
      <w:proofErr w:type="gramStart"/>
      <w:r w:rsidRPr="003C52A0">
        <w:rPr>
          <w:lang w:val="es-CU" w:eastAsia="es-ES"/>
        </w:rPr>
        <w:t>):[</w:t>
      </w:r>
      <w:proofErr w:type="gramEnd"/>
      <w:r w:rsidRPr="003C52A0">
        <w:rPr>
          <w:lang w:val="es-CU" w:eastAsia="es-ES"/>
        </w:rPr>
        <w:t xml:space="preserve">aprox. 6 p.].  Disponible en: </w:t>
      </w:r>
      <w:hyperlink r:id="rId15" w:history="1">
        <w:r w:rsidRPr="003C52A0">
          <w:rPr>
            <w:color w:val="0000FF"/>
            <w:u w:val="single"/>
            <w:lang w:val="es-CU" w:eastAsia="es-ES"/>
          </w:rPr>
          <w:t>http://www.revginecobstetricia.sld.cu/index.php/gin/article/view/193</w:t>
        </w:r>
      </w:hyperlink>
      <w:r w:rsidRPr="003C52A0">
        <w:rPr>
          <w:lang w:val="es-CU" w:eastAsia="es-ES"/>
        </w:rPr>
        <w:t xml:space="preserve"> </w:t>
      </w:r>
    </w:p>
    <w:p w14:paraId="067DF7CD" w14:textId="77777777" w:rsidR="003C52A0" w:rsidRPr="003C52A0" w:rsidRDefault="003C52A0" w:rsidP="003C52A0">
      <w:pPr>
        <w:tabs>
          <w:tab w:val="left" w:pos="142"/>
          <w:tab w:val="left" w:pos="284"/>
          <w:tab w:val="left" w:pos="426"/>
        </w:tabs>
        <w:spacing w:line="360" w:lineRule="auto"/>
        <w:rPr>
          <w:lang w:val="es-CU" w:eastAsia="es-ES"/>
        </w:rPr>
      </w:pPr>
      <w:r w:rsidRPr="003C52A0">
        <w:rPr>
          <w:lang w:val="es-CU" w:eastAsia="es-ES"/>
        </w:rPr>
        <w:t>3.</w:t>
      </w:r>
      <w:r w:rsidRPr="003C52A0">
        <w:rPr>
          <w:lang w:val="es-CU" w:eastAsia="es-ES"/>
        </w:rPr>
        <w:tab/>
        <w:t>Leyva-Vázquez F, García-Rodríguez M. Histerectomía vaginal convencional y vaginal asistida por laparoscopia en pacientes sin prolapso uterino. Archivo Médico Camagüey. 2021 [acceso: 11/04/2022]; 25(3</w:t>
      </w:r>
      <w:proofErr w:type="gramStart"/>
      <w:r w:rsidRPr="003C52A0">
        <w:rPr>
          <w:lang w:val="es-CU" w:eastAsia="es-ES"/>
        </w:rPr>
        <w:t>):[</w:t>
      </w:r>
      <w:proofErr w:type="gramEnd"/>
      <w:r w:rsidRPr="003C52A0">
        <w:rPr>
          <w:lang w:val="es-CU" w:eastAsia="es-ES"/>
        </w:rPr>
        <w:t xml:space="preserve">aprox. 12 p.]. Disponible en: </w:t>
      </w:r>
      <w:hyperlink r:id="rId16" w:history="1">
        <w:r w:rsidRPr="003C52A0">
          <w:rPr>
            <w:color w:val="0000FF"/>
            <w:u w:val="single"/>
            <w:lang w:val="es-CU" w:eastAsia="es-ES"/>
          </w:rPr>
          <w:t>http://revistaamc.sld.cu/index.php/amc/article/view/7848</w:t>
        </w:r>
      </w:hyperlink>
      <w:r w:rsidRPr="003C52A0">
        <w:rPr>
          <w:lang w:val="es-CU" w:eastAsia="es-ES"/>
        </w:rPr>
        <w:t xml:space="preserve"> </w:t>
      </w:r>
    </w:p>
    <w:p w14:paraId="299815DE" w14:textId="77777777" w:rsidR="003C52A0" w:rsidRPr="003C52A0" w:rsidRDefault="003C52A0" w:rsidP="003C52A0">
      <w:pPr>
        <w:tabs>
          <w:tab w:val="left" w:pos="142"/>
          <w:tab w:val="left" w:pos="284"/>
          <w:tab w:val="left" w:pos="426"/>
        </w:tabs>
        <w:spacing w:line="360" w:lineRule="auto"/>
        <w:rPr>
          <w:lang w:val="es-CU" w:eastAsia="es-ES"/>
        </w:rPr>
      </w:pPr>
      <w:r w:rsidRPr="003C52A0">
        <w:rPr>
          <w:lang w:val="es-CU" w:eastAsia="es-ES"/>
        </w:rPr>
        <w:t>4.</w:t>
      </w:r>
      <w:r w:rsidRPr="003C52A0">
        <w:rPr>
          <w:lang w:val="es-CU" w:eastAsia="es-ES"/>
        </w:rPr>
        <w:tab/>
        <w:t xml:space="preserve">Romero Barra P, Viguera Torrealba S, Pineda Alarcón R, Miranda Hermosilla V. </w:t>
      </w:r>
      <w:proofErr w:type="spellStart"/>
      <w:r w:rsidRPr="003C52A0">
        <w:rPr>
          <w:lang w:val="es-CU" w:eastAsia="es-ES"/>
        </w:rPr>
        <w:t>Histeropexia</w:t>
      </w:r>
      <w:proofErr w:type="spellEnd"/>
      <w:r w:rsidRPr="003C52A0">
        <w:rPr>
          <w:lang w:val="es-CU" w:eastAsia="es-ES"/>
        </w:rPr>
        <w:t xml:space="preserve"> vs </w:t>
      </w:r>
      <w:proofErr w:type="spellStart"/>
      <w:r w:rsidRPr="003C52A0">
        <w:rPr>
          <w:lang w:val="es-CU" w:eastAsia="es-ES"/>
        </w:rPr>
        <w:t>histerectomí¬a</w:t>
      </w:r>
      <w:proofErr w:type="spellEnd"/>
      <w:r w:rsidRPr="003C52A0">
        <w:rPr>
          <w:lang w:val="es-CU" w:eastAsia="es-ES"/>
        </w:rPr>
        <w:t xml:space="preserve"> para el tratamiento quirúrgico del prolapso genital: revisión sistemática. </w:t>
      </w:r>
      <w:proofErr w:type="spellStart"/>
      <w:r w:rsidRPr="003C52A0">
        <w:rPr>
          <w:lang w:val="es-CU" w:eastAsia="es-ES"/>
        </w:rPr>
        <w:t>Ars</w:t>
      </w:r>
      <w:proofErr w:type="spellEnd"/>
      <w:r w:rsidRPr="003C52A0">
        <w:rPr>
          <w:lang w:val="es-CU" w:eastAsia="es-ES"/>
        </w:rPr>
        <w:t xml:space="preserve"> Medica. 2019 [acceso: 18/04/2022]; 44(3):54–61. </w:t>
      </w:r>
      <w:hyperlink r:id="rId17" w:history="1">
        <w:r w:rsidRPr="003C52A0">
          <w:rPr>
            <w:color w:val="0000FF"/>
            <w:u w:val="single"/>
            <w:lang w:val="es-CU" w:eastAsia="es-ES"/>
          </w:rPr>
          <w:t>https://doi.org/10.11565/arsmed.v44i3.1555</w:t>
        </w:r>
      </w:hyperlink>
      <w:r w:rsidRPr="003C52A0">
        <w:rPr>
          <w:lang w:val="es-CU" w:eastAsia="es-ES"/>
        </w:rPr>
        <w:t xml:space="preserve"> </w:t>
      </w:r>
    </w:p>
    <w:p w14:paraId="4A8BA76F" w14:textId="77777777" w:rsidR="003C52A0" w:rsidRPr="003C52A0" w:rsidRDefault="003C52A0" w:rsidP="003C52A0">
      <w:pPr>
        <w:tabs>
          <w:tab w:val="left" w:pos="142"/>
          <w:tab w:val="left" w:pos="284"/>
          <w:tab w:val="left" w:pos="426"/>
        </w:tabs>
        <w:spacing w:line="360" w:lineRule="auto"/>
        <w:rPr>
          <w:lang w:val="es-CU" w:eastAsia="es-ES"/>
        </w:rPr>
      </w:pPr>
      <w:r w:rsidRPr="003C52A0">
        <w:rPr>
          <w:lang w:val="es-CU" w:eastAsia="es-ES"/>
        </w:rPr>
        <w:lastRenderedPageBreak/>
        <w:t>5.</w:t>
      </w:r>
      <w:r w:rsidRPr="003C52A0">
        <w:rPr>
          <w:lang w:val="es-CU" w:eastAsia="es-ES"/>
        </w:rPr>
        <w:tab/>
        <w:t xml:space="preserve">De </w:t>
      </w:r>
      <w:proofErr w:type="spellStart"/>
      <w:r w:rsidRPr="003C52A0">
        <w:rPr>
          <w:lang w:val="es-CU" w:eastAsia="es-ES"/>
        </w:rPr>
        <w:t>Petris</w:t>
      </w:r>
      <w:proofErr w:type="spellEnd"/>
      <w:r w:rsidRPr="003C52A0">
        <w:rPr>
          <w:lang w:val="es-CU" w:eastAsia="es-ES"/>
        </w:rPr>
        <w:t xml:space="preserve"> Valentina V, </w:t>
      </w:r>
      <w:proofErr w:type="spellStart"/>
      <w:r w:rsidRPr="003C52A0">
        <w:rPr>
          <w:lang w:val="es-CU" w:eastAsia="es-ES"/>
        </w:rPr>
        <w:t>Laiz</w:t>
      </w:r>
      <w:proofErr w:type="spellEnd"/>
      <w:r w:rsidRPr="003C52A0">
        <w:rPr>
          <w:lang w:val="es-CU" w:eastAsia="es-ES"/>
        </w:rPr>
        <w:t xml:space="preserve"> Domingo R, Castro Francisco L. Técnicas </w:t>
      </w:r>
      <w:proofErr w:type="spellStart"/>
      <w:r w:rsidRPr="003C52A0">
        <w:rPr>
          <w:lang w:val="es-CU" w:eastAsia="es-ES"/>
        </w:rPr>
        <w:t>obliterativas</w:t>
      </w:r>
      <w:proofErr w:type="spellEnd"/>
      <w:r w:rsidRPr="003C52A0">
        <w:rPr>
          <w:lang w:val="es-CU" w:eastAsia="es-ES"/>
        </w:rPr>
        <w:t xml:space="preserve"> en el tratamiento quirúrgico del prolapso genital femenino. Experiencia en el Servicio de Salud Metropolitano Oriente, Santiago-Chile. Rev. </w:t>
      </w:r>
      <w:proofErr w:type="spellStart"/>
      <w:r w:rsidRPr="003C52A0">
        <w:rPr>
          <w:lang w:val="es-CU" w:eastAsia="es-ES"/>
        </w:rPr>
        <w:t>Chil</w:t>
      </w:r>
      <w:proofErr w:type="spellEnd"/>
      <w:r w:rsidRPr="003C52A0">
        <w:rPr>
          <w:lang w:val="es-CU" w:eastAsia="es-ES"/>
        </w:rPr>
        <w:t xml:space="preserve">. </w:t>
      </w:r>
      <w:proofErr w:type="spellStart"/>
      <w:r w:rsidRPr="003C52A0">
        <w:rPr>
          <w:lang w:val="es-CU" w:eastAsia="es-ES"/>
        </w:rPr>
        <w:t>Obstet</w:t>
      </w:r>
      <w:proofErr w:type="spellEnd"/>
      <w:r w:rsidRPr="003C52A0">
        <w:rPr>
          <w:lang w:val="es-CU" w:eastAsia="es-ES"/>
        </w:rPr>
        <w:t xml:space="preserve">. </w:t>
      </w:r>
      <w:proofErr w:type="spellStart"/>
      <w:r w:rsidRPr="003C52A0">
        <w:rPr>
          <w:lang w:val="es-CU" w:eastAsia="es-ES"/>
        </w:rPr>
        <w:t>Ginecol</w:t>
      </w:r>
      <w:proofErr w:type="spellEnd"/>
      <w:r w:rsidRPr="003C52A0">
        <w:rPr>
          <w:lang w:val="es-CU" w:eastAsia="es-ES"/>
        </w:rPr>
        <w:t xml:space="preserve">. 2017 [acceso: 18/04/2022]; 82(5):480-90. Disponible en: </w:t>
      </w:r>
      <w:hyperlink r:id="rId18" w:history="1">
        <w:r w:rsidRPr="003C52A0">
          <w:rPr>
            <w:color w:val="0000FF"/>
            <w:u w:val="single"/>
            <w:lang w:val="es-CU" w:eastAsia="es-ES"/>
          </w:rPr>
          <w:t>https://dx.doi.org/10.4067/s0717-75262017000500480</w:t>
        </w:r>
      </w:hyperlink>
      <w:r w:rsidRPr="003C52A0">
        <w:rPr>
          <w:lang w:val="es-CU" w:eastAsia="es-ES"/>
        </w:rPr>
        <w:t xml:space="preserve">  </w:t>
      </w:r>
    </w:p>
    <w:p w14:paraId="6AA33998" w14:textId="77777777" w:rsidR="003C52A0" w:rsidRPr="003C52A0" w:rsidRDefault="003C52A0" w:rsidP="003C52A0">
      <w:pPr>
        <w:tabs>
          <w:tab w:val="left" w:pos="142"/>
          <w:tab w:val="left" w:pos="284"/>
          <w:tab w:val="left" w:pos="426"/>
        </w:tabs>
        <w:spacing w:line="360" w:lineRule="auto"/>
        <w:rPr>
          <w:lang w:val="es-CU" w:eastAsia="es-ES"/>
        </w:rPr>
      </w:pPr>
      <w:r w:rsidRPr="003C52A0">
        <w:rPr>
          <w:lang w:val="es-CU" w:eastAsia="es-ES"/>
        </w:rPr>
        <w:t>6.</w:t>
      </w:r>
      <w:r w:rsidRPr="003C52A0">
        <w:rPr>
          <w:lang w:val="es-CU" w:eastAsia="es-ES"/>
        </w:rPr>
        <w:tab/>
        <w:t xml:space="preserve">Fonnegra Miramón A, Guzmán </w:t>
      </w:r>
      <w:proofErr w:type="spellStart"/>
      <w:r w:rsidRPr="003C52A0">
        <w:rPr>
          <w:lang w:val="es-CU" w:eastAsia="es-ES"/>
        </w:rPr>
        <w:t>Alandete</w:t>
      </w:r>
      <w:proofErr w:type="spellEnd"/>
      <w:r w:rsidRPr="003C52A0">
        <w:rPr>
          <w:lang w:val="es-CU" w:eastAsia="es-ES"/>
        </w:rPr>
        <w:t xml:space="preserve"> RD. Tratamiento del prolapso de cúpula vaginal por la </w:t>
      </w:r>
      <w:proofErr w:type="spellStart"/>
      <w:r w:rsidRPr="003C52A0">
        <w:rPr>
          <w:lang w:val="es-CU" w:eastAsia="es-ES"/>
        </w:rPr>
        <w:t>colpocistopexia</w:t>
      </w:r>
      <w:proofErr w:type="spellEnd"/>
      <w:r w:rsidRPr="003C52A0">
        <w:rPr>
          <w:lang w:val="es-CU" w:eastAsia="es-ES"/>
        </w:rPr>
        <w:t xml:space="preserve"> vía abdominal. Rev. </w:t>
      </w:r>
      <w:proofErr w:type="spellStart"/>
      <w:r w:rsidRPr="003C52A0">
        <w:rPr>
          <w:lang w:val="es-CU" w:eastAsia="es-ES"/>
        </w:rPr>
        <w:t>Colomb</w:t>
      </w:r>
      <w:proofErr w:type="spellEnd"/>
      <w:r w:rsidRPr="003C52A0">
        <w:rPr>
          <w:lang w:val="es-CU" w:eastAsia="es-ES"/>
        </w:rPr>
        <w:t xml:space="preserve">. </w:t>
      </w:r>
      <w:proofErr w:type="spellStart"/>
      <w:r w:rsidRPr="003C52A0">
        <w:rPr>
          <w:lang w:val="es-CU" w:eastAsia="es-ES"/>
        </w:rPr>
        <w:t>Obstet</w:t>
      </w:r>
      <w:proofErr w:type="spellEnd"/>
      <w:r w:rsidRPr="003C52A0">
        <w:rPr>
          <w:lang w:val="es-CU" w:eastAsia="es-ES"/>
        </w:rPr>
        <w:t xml:space="preserve">. </w:t>
      </w:r>
      <w:proofErr w:type="spellStart"/>
      <w:r w:rsidRPr="003C52A0">
        <w:rPr>
          <w:lang w:val="es-CU" w:eastAsia="es-ES"/>
        </w:rPr>
        <w:t>Ginecol</w:t>
      </w:r>
      <w:proofErr w:type="spellEnd"/>
      <w:r w:rsidRPr="003C52A0">
        <w:rPr>
          <w:lang w:val="es-CU" w:eastAsia="es-ES"/>
        </w:rPr>
        <w:t xml:space="preserve">. 1963 [acceso: 10/04/2022]; 14(6):631-5. Disponible en: </w:t>
      </w:r>
      <w:hyperlink r:id="rId19" w:history="1">
        <w:r w:rsidRPr="003C52A0">
          <w:rPr>
            <w:color w:val="0000FF"/>
            <w:u w:val="single"/>
            <w:lang w:val="es-CU" w:eastAsia="es-ES"/>
          </w:rPr>
          <w:t>https://revista.fecolsog.org/index.php/rcog/article/view/2421</w:t>
        </w:r>
      </w:hyperlink>
      <w:r w:rsidRPr="003C52A0">
        <w:rPr>
          <w:lang w:val="es-CU" w:eastAsia="es-ES"/>
        </w:rPr>
        <w:t xml:space="preserve"> </w:t>
      </w:r>
    </w:p>
    <w:p w14:paraId="12E5681E" w14:textId="77777777" w:rsidR="003C52A0" w:rsidRPr="003C52A0" w:rsidRDefault="003C52A0" w:rsidP="003C52A0">
      <w:pPr>
        <w:tabs>
          <w:tab w:val="left" w:pos="142"/>
          <w:tab w:val="left" w:pos="284"/>
          <w:tab w:val="left" w:pos="426"/>
        </w:tabs>
        <w:spacing w:line="360" w:lineRule="auto"/>
        <w:rPr>
          <w:lang w:val="es-CU" w:eastAsia="es-ES"/>
        </w:rPr>
      </w:pPr>
      <w:r w:rsidRPr="003C52A0">
        <w:rPr>
          <w:lang w:val="es-CU" w:eastAsia="es-ES"/>
        </w:rPr>
        <w:t>7.</w:t>
      </w:r>
      <w:r w:rsidRPr="003C52A0">
        <w:rPr>
          <w:lang w:val="es-CU" w:eastAsia="es-ES"/>
        </w:rPr>
        <w:tab/>
        <w:t xml:space="preserve">Kaplan F, Quinchavil H, Riera P, Flores R, Becerra O, Hevia T. </w:t>
      </w:r>
      <w:proofErr w:type="spellStart"/>
      <w:r w:rsidRPr="003C52A0">
        <w:rPr>
          <w:lang w:val="es-CU" w:eastAsia="es-ES"/>
        </w:rPr>
        <w:t>Colposacropexia</w:t>
      </w:r>
      <w:proofErr w:type="spellEnd"/>
      <w:r w:rsidRPr="003C52A0">
        <w:rPr>
          <w:lang w:val="es-CU" w:eastAsia="es-ES"/>
        </w:rPr>
        <w:t xml:space="preserve"> abdominal abierta con malla mixta en el prolapso de cúpula vaginal: experiencia en el Hospital de Quilpué, Chile. Rev. </w:t>
      </w:r>
      <w:proofErr w:type="spellStart"/>
      <w:r w:rsidRPr="003C52A0">
        <w:rPr>
          <w:lang w:val="es-CU" w:eastAsia="es-ES"/>
        </w:rPr>
        <w:t>Chil</w:t>
      </w:r>
      <w:proofErr w:type="spellEnd"/>
      <w:r w:rsidRPr="003C52A0">
        <w:rPr>
          <w:lang w:val="es-CU" w:eastAsia="es-ES"/>
        </w:rPr>
        <w:t xml:space="preserve">. </w:t>
      </w:r>
      <w:proofErr w:type="spellStart"/>
      <w:r w:rsidRPr="003C52A0">
        <w:rPr>
          <w:lang w:val="es-CU" w:eastAsia="es-ES"/>
        </w:rPr>
        <w:t>Obstet</w:t>
      </w:r>
      <w:proofErr w:type="spellEnd"/>
      <w:r w:rsidRPr="003C52A0">
        <w:rPr>
          <w:lang w:val="es-CU" w:eastAsia="es-ES"/>
        </w:rPr>
        <w:t xml:space="preserve">. </w:t>
      </w:r>
      <w:proofErr w:type="spellStart"/>
      <w:r w:rsidRPr="003C52A0">
        <w:rPr>
          <w:lang w:val="es-CU" w:eastAsia="es-ES"/>
        </w:rPr>
        <w:t>Ginecol</w:t>
      </w:r>
      <w:proofErr w:type="spellEnd"/>
      <w:r w:rsidRPr="003C52A0">
        <w:rPr>
          <w:lang w:val="es-CU" w:eastAsia="es-ES"/>
        </w:rPr>
        <w:t xml:space="preserve">.  2015 [acceso: 22/09/2022]; 80(3):215-20. Disponible en: </w:t>
      </w:r>
      <w:hyperlink r:id="rId20" w:history="1">
        <w:r w:rsidRPr="003C52A0">
          <w:rPr>
            <w:color w:val="0000FF"/>
            <w:u w:val="single"/>
            <w:lang w:val="es-CU" w:eastAsia="es-ES"/>
          </w:rPr>
          <w:t>https://www.scielo.cl/scielo.php?script=sci_arttext&amp;pid=S0717-75262015000300003</w:t>
        </w:r>
      </w:hyperlink>
      <w:r w:rsidRPr="003C52A0">
        <w:rPr>
          <w:lang w:val="es-CU" w:eastAsia="es-ES"/>
        </w:rPr>
        <w:t xml:space="preserve"> </w:t>
      </w:r>
    </w:p>
    <w:p w14:paraId="05D80FF5" w14:textId="77777777" w:rsidR="003C52A0" w:rsidRPr="003C52A0" w:rsidRDefault="003C52A0" w:rsidP="003C52A0">
      <w:pPr>
        <w:tabs>
          <w:tab w:val="left" w:pos="142"/>
          <w:tab w:val="left" w:pos="284"/>
          <w:tab w:val="left" w:pos="426"/>
        </w:tabs>
        <w:spacing w:line="360" w:lineRule="auto"/>
        <w:rPr>
          <w:lang w:val="es-CU" w:eastAsia="es-ES"/>
        </w:rPr>
      </w:pPr>
      <w:r w:rsidRPr="003C52A0">
        <w:rPr>
          <w:lang w:val="es-CU" w:eastAsia="es-ES"/>
        </w:rPr>
        <w:t>8.</w:t>
      </w:r>
      <w:r w:rsidRPr="003C52A0">
        <w:rPr>
          <w:lang w:val="es-CU" w:eastAsia="es-ES"/>
        </w:rPr>
        <w:tab/>
        <w:t xml:space="preserve">Espinal- Rodríguez </w:t>
      </w:r>
      <w:proofErr w:type="spellStart"/>
      <w:r w:rsidRPr="003C52A0">
        <w:rPr>
          <w:lang w:val="es-CU" w:eastAsia="es-ES"/>
        </w:rPr>
        <w:t>JM</w:t>
      </w:r>
      <w:proofErr w:type="spellEnd"/>
      <w:r w:rsidRPr="003C52A0">
        <w:rPr>
          <w:lang w:val="es-CU" w:eastAsia="es-ES"/>
        </w:rPr>
        <w:t xml:space="preserve">, Espinal-Madrid </w:t>
      </w:r>
      <w:proofErr w:type="spellStart"/>
      <w:r w:rsidRPr="003C52A0">
        <w:rPr>
          <w:lang w:val="es-CU" w:eastAsia="es-ES"/>
        </w:rPr>
        <w:t>JM</w:t>
      </w:r>
      <w:proofErr w:type="spellEnd"/>
      <w:r w:rsidRPr="003C52A0">
        <w:rPr>
          <w:lang w:val="es-CU" w:eastAsia="es-ES"/>
        </w:rPr>
        <w:t xml:space="preserve">, </w:t>
      </w:r>
      <w:proofErr w:type="spellStart"/>
      <w:r w:rsidRPr="003C52A0">
        <w:rPr>
          <w:lang w:val="es-CU" w:eastAsia="es-ES"/>
        </w:rPr>
        <w:t>Sabillón</w:t>
      </w:r>
      <w:proofErr w:type="spellEnd"/>
      <w:r w:rsidRPr="003C52A0">
        <w:rPr>
          <w:lang w:val="es-CU" w:eastAsia="es-ES"/>
        </w:rPr>
        <w:t xml:space="preserve">-Vallejo JE, Bustillo-Fiallos M, Rosales A. Prolapso de cúpula vaginal y su corrección. Caso clínico y revisión de literatura. </w:t>
      </w:r>
      <w:proofErr w:type="spellStart"/>
      <w:r w:rsidRPr="003C52A0">
        <w:rPr>
          <w:lang w:val="es-CU" w:eastAsia="es-ES"/>
        </w:rPr>
        <w:t>Rev</w:t>
      </w:r>
      <w:proofErr w:type="spellEnd"/>
      <w:r w:rsidRPr="003C52A0">
        <w:rPr>
          <w:lang w:val="es-CU" w:eastAsia="es-ES"/>
        </w:rPr>
        <w:t xml:space="preserve"> </w:t>
      </w:r>
      <w:proofErr w:type="spellStart"/>
      <w:r w:rsidRPr="003C52A0">
        <w:rPr>
          <w:lang w:val="es-CU" w:eastAsia="es-ES"/>
        </w:rPr>
        <w:t>Med</w:t>
      </w:r>
      <w:proofErr w:type="spellEnd"/>
      <w:r w:rsidRPr="003C52A0">
        <w:rPr>
          <w:lang w:val="es-CU" w:eastAsia="es-ES"/>
        </w:rPr>
        <w:t xml:space="preserve"> </w:t>
      </w:r>
      <w:proofErr w:type="spellStart"/>
      <w:r w:rsidRPr="003C52A0">
        <w:rPr>
          <w:lang w:val="es-CU" w:eastAsia="es-ES"/>
        </w:rPr>
        <w:t>Hondur</w:t>
      </w:r>
      <w:proofErr w:type="spellEnd"/>
      <w:r w:rsidRPr="003C52A0">
        <w:rPr>
          <w:lang w:val="es-CU" w:eastAsia="es-ES"/>
        </w:rPr>
        <w:t xml:space="preserve">. 2016 [acceso: 12/05/2022]; 84(1,2):41-4. Disponible en: </w:t>
      </w:r>
      <w:hyperlink r:id="rId21" w:history="1">
        <w:r w:rsidRPr="003C52A0">
          <w:rPr>
            <w:color w:val="0000FF"/>
            <w:u w:val="single"/>
            <w:lang w:val="es-CU" w:eastAsia="es-ES"/>
          </w:rPr>
          <w:t>http://www.bvs.hn/RMH/pdf/2016/pdf/Vol84-1-2-2016-9.pdf</w:t>
        </w:r>
      </w:hyperlink>
      <w:r w:rsidRPr="003C52A0">
        <w:rPr>
          <w:lang w:val="es-CU" w:eastAsia="es-ES"/>
        </w:rPr>
        <w:t xml:space="preserve"> </w:t>
      </w:r>
    </w:p>
    <w:p w14:paraId="4CE8E14D" w14:textId="77777777" w:rsidR="003C52A0" w:rsidRPr="003C52A0" w:rsidRDefault="003C52A0" w:rsidP="003C52A0">
      <w:pPr>
        <w:tabs>
          <w:tab w:val="left" w:pos="142"/>
          <w:tab w:val="left" w:pos="284"/>
          <w:tab w:val="left" w:pos="426"/>
        </w:tabs>
        <w:spacing w:line="360" w:lineRule="auto"/>
        <w:rPr>
          <w:lang w:val="es-CU" w:eastAsia="es-ES"/>
        </w:rPr>
      </w:pPr>
      <w:r w:rsidRPr="003C52A0">
        <w:rPr>
          <w:lang w:val="en-US" w:eastAsia="es-ES"/>
        </w:rPr>
        <w:t>9.</w:t>
      </w:r>
      <w:r w:rsidRPr="003C52A0">
        <w:rPr>
          <w:lang w:val="en-US" w:eastAsia="es-ES"/>
        </w:rPr>
        <w:tab/>
        <w:t xml:space="preserve">Douglas S, Lutz A, </w:t>
      </w:r>
      <w:proofErr w:type="spellStart"/>
      <w:r w:rsidRPr="003C52A0">
        <w:rPr>
          <w:lang w:val="en-US" w:eastAsia="es-ES"/>
        </w:rPr>
        <w:t>McVary</w:t>
      </w:r>
      <w:proofErr w:type="spellEnd"/>
      <w:r w:rsidRPr="003C52A0">
        <w:rPr>
          <w:lang w:val="en-US" w:eastAsia="es-ES"/>
        </w:rPr>
        <w:t xml:space="preserve"> KT, Masson P, Winters JC, Laborde E. Validation of the Patient Global Impression of Improvement for Penile Prosthesis. </w:t>
      </w:r>
      <w:proofErr w:type="spellStart"/>
      <w:r w:rsidRPr="003C52A0">
        <w:rPr>
          <w:lang w:val="es-CU" w:eastAsia="es-ES"/>
        </w:rPr>
        <w:t>Ochsner</w:t>
      </w:r>
      <w:proofErr w:type="spellEnd"/>
      <w:r w:rsidRPr="003C52A0">
        <w:rPr>
          <w:lang w:val="es-CU" w:eastAsia="es-ES"/>
        </w:rPr>
        <w:t xml:space="preserve"> J. 2016 [acceso: 12/05/2022]; 16(4):492-5. Disponible en: </w:t>
      </w:r>
      <w:hyperlink r:id="rId22" w:history="1">
        <w:r w:rsidRPr="003C52A0">
          <w:rPr>
            <w:color w:val="0000FF"/>
            <w:u w:val="single"/>
            <w:lang w:val="es-CU" w:eastAsia="es-ES"/>
          </w:rPr>
          <w:t>https://www.ncbi.nlm.nih.gov/pmc/articles/PMC5158156/</w:t>
        </w:r>
      </w:hyperlink>
      <w:r w:rsidRPr="003C52A0">
        <w:rPr>
          <w:lang w:val="es-CU" w:eastAsia="es-ES"/>
        </w:rPr>
        <w:t xml:space="preserve"> </w:t>
      </w:r>
    </w:p>
    <w:p w14:paraId="1D1822C3" w14:textId="77777777" w:rsidR="003C52A0" w:rsidRPr="003C52A0" w:rsidRDefault="003C52A0" w:rsidP="003C52A0">
      <w:pPr>
        <w:tabs>
          <w:tab w:val="left" w:pos="142"/>
          <w:tab w:val="left" w:pos="284"/>
          <w:tab w:val="left" w:pos="426"/>
        </w:tabs>
        <w:spacing w:line="360" w:lineRule="auto"/>
        <w:rPr>
          <w:lang w:val="es-CU" w:eastAsia="es-ES"/>
        </w:rPr>
      </w:pPr>
      <w:r w:rsidRPr="003C52A0">
        <w:rPr>
          <w:lang w:val="es-CU" w:eastAsia="es-ES"/>
        </w:rPr>
        <w:t>10.</w:t>
      </w:r>
      <w:r w:rsidRPr="003C52A0">
        <w:rPr>
          <w:lang w:val="es-CU" w:eastAsia="es-ES"/>
        </w:rPr>
        <w:tab/>
      </w:r>
      <w:proofErr w:type="spellStart"/>
      <w:r w:rsidRPr="003C52A0">
        <w:rPr>
          <w:lang w:val="es-CU" w:eastAsia="es-ES"/>
        </w:rPr>
        <w:t>Clavien</w:t>
      </w:r>
      <w:proofErr w:type="spellEnd"/>
      <w:r w:rsidRPr="003C52A0">
        <w:rPr>
          <w:lang w:val="es-CU" w:eastAsia="es-ES"/>
        </w:rPr>
        <w:t xml:space="preserve"> </w:t>
      </w:r>
      <w:proofErr w:type="spellStart"/>
      <w:r w:rsidRPr="003C52A0">
        <w:rPr>
          <w:lang w:val="es-CU" w:eastAsia="es-ES"/>
        </w:rPr>
        <w:t>PA</w:t>
      </w:r>
      <w:proofErr w:type="spellEnd"/>
      <w:r w:rsidRPr="003C52A0">
        <w:rPr>
          <w:lang w:val="es-CU" w:eastAsia="es-ES"/>
        </w:rPr>
        <w:t xml:space="preserve">, </w:t>
      </w:r>
      <w:proofErr w:type="spellStart"/>
      <w:r w:rsidRPr="003C52A0">
        <w:rPr>
          <w:lang w:val="es-CU" w:eastAsia="es-ES"/>
        </w:rPr>
        <w:t>Barkun</w:t>
      </w:r>
      <w:proofErr w:type="spellEnd"/>
      <w:r w:rsidRPr="003C52A0">
        <w:rPr>
          <w:lang w:val="es-CU" w:eastAsia="es-ES"/>
        </w:rPr>
        <w:t xml:space="preserve"> J, de Oliveira ML, </w:t>
      </w:r>
      <w:proofErr w:type="spellStart"/>
      <w:r w:rsidRPr="003C52A0">
        <w:rPr>
          <w:lang w:val="es-CU" w:eastAsia="es-ES"/>
        </w:rPr>
        <w:t>Vauthey</w:t>
      </w:r>
      <w:proofErr w:type="spellEnd"/>
      <w:r w:rsidRPr="003C52A0">
        <w:rPr>
          <w:lang w:val="es-CU" w:eastAsia="es-ES"/>
        </w:rPr>
        <w:t xml:space="preserve"> </w:t>
      </w:r>
      <w:proofErr w:type="spellStart"/>
      <w:r w:rsidRPr="003C52A0">
        <w:rPr>
          <w:lang w:val="es-CU" w:eastAsia="es-ES"/>
        </w:rPr>
        <w:t>JN</w:t>
      </w:r>
      <w:proofErr w:type="spellEnd"/>
      <w:r w:rsidRPr="003C52A0">
        <w:rPr>
          <w:lang w:val="es-CU" w:eastAsia="es-ES"/>
        </w:rPr>
        <w:t xml:space="preserve">, </w:t>
      </w:r>
      <w:proofErr w:type="spellStart"/>
      <w:r w:rsidRPr="003C52A0">
        <w:rPr>
          <w:lang w:val="es-CU" w:eastAsia="es-ES"/>
        </w:rPr>
        <w:t>Dindo</w:t>
      </w:r>
      <w:proofErr w:type="spellEnd"/>
      <w:r w:rsidRPr="003C52A0">
        <w:rPr>
          <w:lang w:val="es-CU" w:eastAsia="es-ES"/>
        </w:rPr>
        <w:t xml:space="preserve"> D, </w:t>
      </w:r>
      <w:proofErr w:type="spellStart"/>
      <w:r w:rsidRPr="003C52A0">
        <w:rPr>
          <w:lang w:val="es-CU" w:eastAsia="es-ES"/>
        </w:rPr>
        <w:t>Schulick</w:t>
      </w:r>
      <w:proofErr w:type="spellEnd"/>
      <w:r w:rsidRPr="003C52A0">
        <w:rPr>
          <w:lang w:val="es-CU" w:eastAsia="es-ES"/>
        </w:rPr>
        <w:t xml:space="preserve"> RD, et al. </w:t>
      </w:r>
      <w:r w:rsidRPr="003C52A0">
        <w:rPr>
          <w:lang w:val="en-US" w:eastAsia="es-ES"/>
        </w:rPr>
        <w:t xml:space="preserve">The </w:t>
      </w:r>
      <w:proofErr w:type="spellStart"/>
      <w:r w:rsidRPr="003C52A0">
        <w:rPr>
          <w:lang w:val="en-US" w:eastAsia="es-ES"/>
        </w:rPr>
        <w:t>Clavien-Dindo</w:t>
      </w:r>
      <w:proofErr w:type="spellEnd"/>
      <w:r w:rsidRPr="003C52A0">
        <w:rPr>
          <w:lang w:val="en-US" w:eastAsia="es-ES"/>
        </w:rPr>
        <w:t xml:space="preserve"> classification of surgical complications: five-year experience. </w:t>
      </w:r>
      <w:r w:rsidRPr="003C52A0">
        <w:rPr>
          <w:lang w:val="es-CU" w:eastAsia="es-ES"/>
        </w:rPr>
        <w:t xml:space="preserve">Ann </w:t>
      </w:r>
      <w:proofErr w:type="spellStart"/>
      <w:r w:rsidRPr="003C52A0">
        <w:rPr>
          <w:lang w:val="es-CU" w:eastAsia="es-ES"/>
        </w:rPr>
        <w:t>Surg</w:t>
      </w:r>
      <w:proofErr w:type="spellEnd"/>
      <w:r w:rsidRPr="003C52A0">
        <w:rPr>
          <w:lang w:val="es-CU" w:eastAsia="es-ES"/>
        </w:rPr>
        <w:t xml:space="preserve">. 2009; 250(2):187-96. </w:t>
      </w:r>
      <w:proofErr w:type="spellStart"/>
      <w:r w:rsidRPr="003C52A0">
        <w:rPr>
          <w:lang w:val="es-CU" w:eastAsia="es-ES"/>
        </w:rPr>
        <w:t>DOI</w:t>
      </w:r>
      <w:proofErr w:type="spellEnd"/>
      <w:r w:rsidRPr="003C52A0">
        <w:rPr>
          <w:lang w:val="es-CU" w:eastAsia="es-ES"/>
        </w:rPr>
        <w:t>: 10.1097/</w:t>
      </w:r>
      <w:proofErr w:type="spellStart"/>
      <w:r w:rsidRPr="003C52A0">
        <w:rPr>
          <w:lang w:val="es-CU" w:eastAsia="es-ES"/>
        </w:rPr>
        <w:t>SLA.0b013e3181b13ca2</w:t>
      </w:r>
      <w:proofErr w:type="spellEnd"/>
    </w:p>
    <w:p w14:paraId="41FA59DF" w14:textId="77777777" w:rsidR="003C52A0" w:rsidRPr="003C52A0" w:rsidRDefault="003C52A0" w:rsidP="003C52A0">
      <w:pPr>
        <w:tabs>
          <w:tab w:val="left" w:pos="142"/>
          <w:tab w:val="left" w:pos="284"/>
          <w:tab w:val="left" w:pos="426"/>
        </w:tabs>
        <w:spacing w:line="360" w:lineRule="auto"/>
        <w:rPr>
          <w:lang w:val="es-CU" w:eastAsia="es-ES"/>
        </w:rPr>
      </w:pPr>
      <w:r w:rsidRPr="003C52A0">
        <w:rPr>
          <w:lang w:val="es-CU" w:eastAsia="es-ES"/>
        </w:rPr>
        <w:t>11.</w:t>
      </w:r>
      <w:r w:rsidRPr="003C52A0">
        <w:rPr>
          <w:lang w:val="es-CU" w:eastAsia="es-ES"/>
        </w:rPr>
        <w:tab/>
        <w:t xml:space="preserve">Asociación Médica Mundial (AMM). Declaración de Helsinki de la AMM: Principios éticos para las investigaciones médicas en seres humanos. Brasil, Fortaleza: 64ª Asamblea General AMM; 2013 [acceso: 18/04/2020]. Disponible en: </w:t>
      </w:r>
      <w:hyperlink r:id="rId23" w:history="1">
        <w:r w:rsidRPr="003C52A0">
          <w:rPr>
            <w:color w:val="0000FF"/>
            <w:u w:val="single"/>
            <w:lang w:val="es-CU" w:eastAsia="es-ES"/>
          </w:rPr>
          <w:t>http://repositorio.mederi.com.co/bitstream/handle/123456789/386/-Declaracion-Helsinki-2013-Esp.pdf?sequence=1</w:t>
        </w:r>
      </w:hyperlink>
      <w:r w:rsidRPr="003C52A0">
        <w:rPr>
          <w:lang w:val="es-CU" w:eastAsia="es-ES"/>
        </w:rPr>
        <w:t xml:space="preserve">  </w:t>
      </w:r>
    </w:p>
    <w:p w14:paraId="3C56A158" w14:textId="77777777" w:rsidR="003C52A0" w:rsidRPr="003C52A0" w:rsidRDefault="003C52A0" w:rsidP="003C52A0">
      <w:pPr>
        <w:tabs>
          <w:tab w:val="left" w:pos="142"/>
          <w:tab w:val="left" w:pos="284"/>
          <w:tab w:val="left" w:pos="426"/>
        </w:tabs>
        <w:spacing w:line="360" w:lineRule="auto"/>
        <w:rPr>
          <w:lang w:val="es-CU" w:eastAsia="es-ES"/>
        </w:rPr>
      </w:pPr>
      <w:r w:rsidRPr="003C52A0">
        <w:rPr>
          <w:lang w:val="es-CU" w:eastAsia="es-ES"/>
        </w:rPr>
        <w:lastRenderedPageBreak/>
        <w:t>12.</w:t>
      </w:r>
      <w:r w:rsidRPr="003C52A0">
        <w:rPr>
          <w:lang w:val="es-CU" w:eastAsia="es-ES"/>
        </w:rPr>
        <w:tab/>
        <w:t xml:space="preserve">Pisón R, </w:t>
      </w:r>
      <w:proofErr w:type="spellStart"/>
      <w:r w:rsidRPr="003C52A0">
        <w:rPr>
          <w:lang w:val="es-CU" w:eastAsia="es-ES"/>
        </w:rPr>
        <w:t>Laufer</w:t>
      </w:r>
      <w:proofErr w:type="spellEnd"/>
      <w:r w:rsidRPr="003C52A0">
        <w:rPr>
          <w:lang w:val="es-CU" w:eastAsia="es-ES"/>
        </w:rPr>
        <w:t xml:space="preserve"> J, </w:t>
      </w:r>
      <w:proofErr w:type="spellStart"/>
      <w:r w:rsidRPr="003C52A0">
        <w:rPr>
          <w:lang w:val="es-CU" w:eastAsia="es-ES"/>
        </w:rPr>
        <w:t>Scasso</w:t>
      </w:r>
      <w:proofErr w:type="spellEnd"/>
      <w:r w:rsidRPr="003C52A0">
        <w:rPr>
          <w:lang w:val="es-CU" w:eastAsia="es-ES"/>
        </w:rPr>
        <w:t xml:space="preserve"> S, </w:t>
      </w:r>
      <w:proofErr w:type="spellStart"/>
      <w:r w:rsidRPr="003C52A0">
        <w:rPr>
          <w:lang w:val="es-CU" w:eastAsia="es-ES"/>
        </w:rPr>
        <w:t>Blengio</w:t>
      </w:r>
      <w:proofErr w:type="spellEnd"/>
      <w:r w:rsidRPr="003C52A0">
        <w:rPr>
          <w:lang w:val="es-CU" w:eastAsia="es-ES"/>
        </w:rPr>
        <w:t xml:space="preserve"> V, </w:t>
      </w:r>
      <w:proofErr w:type="spellStart"/>
      <w:r w:rsidRPr="003C52A0">
        <w:rPr>
          <w:lang w:val="es-CU" w:eastAsia="es-ES"/>
        </w:rPr>
        <w:t>Pertuso</w:t>
      </w:r>
      <w:proofErr w:type="spellEnd"/>
      <w:r w:rsidRPr="003C52A0">
        <w:rPr>
          <w:lang w:val="es-CU" w:eastAsia="es-ES"/>
        </w:rPr>
        <w:t xml:space="preserve"> I, Bentancor V, et al. Corrección del defecto apical. Revisión y serie de casos. Archivos de Ginecología y Obstetricia. 2021 [acceso: 24/04/2022]; 59(2):106-18. Disponible en: </w:t>
      </w:r>
      <w:r w:rsidRPr="003C52A0">
        <w:rPr>
          <w:rFonts w:ascii="Calibri" w:hAnsi="Calibri"/>
          <w:sz w:val="22"/>
          <w:szCs w:val="22"/>
          <w:lang w:val="es-ES" w:eastAsia="es-ES"/>
        </w:rPr>
        <w:t xml:space="preserve"> </w:t>
      </w:r>
      <w:hyperlink r:id="rId24" w:history="1">
        <w:r w:rsidRPr="003C52A0">
          <w:rPr>
            <w:color w:val="0000FF"/>
            <w:u w:val="single"/>
            <w:lang w:val="es-CU" w:eastAsia="es-ES"/>
          </w:rPr>
          <w:t>https://ago.uy/descargar/adjunto/76-jkofeq-ago59-2-art3.pdf</w:t>
        </w:r>
      </w:hyperlink>
      <w:r w:rsidRPr="003C52A0">
        <w:rPr>
          <w:lang w:val="es-CU" w:eastAsia="es-ES"/>
        </w:rPr>
        <w:t xml:space="preserve"> </w:t>
      </w:r>
    </w:p>
    <w:p w14:paraId="627884EF" w14:textId="77777777" w:rsidR="003C52A0" w:rsidRPr="003C52A0" w:rsidRDefault="003C52A0" w:rsidP="003C52A0">
      <w:pPr>
        <w:tabs>
          <w:tab w:val="left" w:pos="142"/>
          <w:tab w:val="left" w:pos="284"/>
          <w:tab w:val="left" w:pos="426"/>
        </w:tabs>
        <w:spacing w:line="360" w:lineRule="auto"/>
        <w:rPr>
          <w:lang w:val="en-US" w:eastAsia="es-ES"/>
        </w:rPr>
      </w:pPr>
      <w:r w:rsidRPr="003C52A0">
        <w:rPr>
          <w:lang w:val="en-US" w:eastAsia="es-ES"/>
        </w:rPr>
        <w:t>13.</w:t>
      </w:r>
      <w:r w:rsidRPr="003C52A0">
        <w:rPr>
          <w:lang w:val="en-US" w:eastAsia="es-ES"/>
        </w:rPr>
        <w:tab/>
        <w:t xml:space="preserve">Dahl Pedersen K, </w:t>
      </w:r>
      <w:proofErr w:type="spellStart"/>
      <w:r w:rsidRPr="003C52A0">
        <w:rPr>
          <w:lang w:val="en-US" w:eastAsia="es-ES"/>
        </w:rPr>
        <w:t>Hojriis</w:t>
      </w:r>
      <w:proofErr w:type="spellEnd"/>
      <w:r w:rsidRPr="003C52A0">
        <w:rPr>
          <w:lang w:val="en-US" w:eastAsia="es-ES"/>
        </w:rPr>
        <w:t xml:space="preserve"> </w:t>
      </w:r>
      <w:proofErr w:type="spellStart"/>
      <w:r w:rsidRPr="003C52A0">
        <w:rPr>
          <w:lang w:val="en-US" w:eastAsia="es-ES"/>
        </w:rPr>
        <w:t>Storkholm</w:t>
      </w:r>
      <w:proofErr w:type="spellEnd"/>
      <w:r w:rsidRPr="003C52A0">
        <w:rPr>
          <w:lang w:val="en-US" w:eastAsia="es-ES"/>
        </w:rPr>
        <w:t xml:space="preserve"> </w:t>
      </w:r>
      <w:proofErr w:type="gramStart"/>
      <w:r w:rsidRPr="003C52A0">
        <w:rPr>
          <w:lang w:val="en-US" w:eastAsia="es-ES"/>
        </w:rPr>
        <w:t>M,  Moller</w:t>
      </w:r>
      <w:proofErr w:type="gramEnd"/>
      <w:r w:rsidRPr="003C52A0">
        <w:rPr>
          <w:lang w:val="en-US" w:eastAsia="es-ES"/>
        </w:rPr>
        <w:t xml:space="preserve"> </w:t>
      </w:r>
      <w:proofErr w:type="spellStart"/>
      <w:r w:rsidRPr="003C52A0">
        <w:rPr>
          <w:lang w:val="en-US" w:eastAsia="es-ES"/>
        </w:rPr>
        <w:t>Bek</w:t>
      </w:r>
      <w:proofErr w:type="spellEnd"/>
      <w:r w:rsidRPr="003C52A0">
        <w:rPr>
          <w:lang w:val="en-US" w:eastAsia="es-ES"/>
        </w:rPr>
        <w:t xml:space="preserve"> K , </w:t>
      </w:r>
      <w:proofErr w:type="spellStart"/>
      <w:r w:rsidRPr="003C52A0">
        <w:rPr>
          <w:lang w:val="en-US" w:eastAsia="es-ES"/>
        </w:rPr>
        <w:t>Glavind</w:t>
      </w:r>
      <w:proofErr w:type="spellEnd"/>
      <w:r w:rsidRPr="003C52A0">
        <w:rPr>
          <w:lang w:val="en-US" w:eastAsia="es-ES"/>
        </w:rPr>
        <w:t xml:space="preserve">-Kristensen M, Greisen S. Recurrent apical prolapse after high uterosacral ligament suspension in a heterogenous cohort </w:t>
      </w:r>
      <w:proofErr w:type="spellStart"/>
      <w:r w:rsidRPr="003C52A0">
        <w:rPr>
          <w:lang w:val="en-US" w:eastAsia="es-ES"/>
        </w:rPr>
        <w:t>characterised</w:t>
      </w:r>
      <w:proofErr w:type="spellEnd"/>
      <w:r w:rsidRPr="003C52A0">
        <w:rPr>
          <w:lang w:val="en-US" w:eastAsia="es-ES"/>
        </w:rPr>
        <w:t xml:space="preserve"> by a high prevalence of previous pelvic operations. BMC Women's Health. 2019 [</w:t>
      </w:r>
      <w:proofErr w:type="spellStart"/>
      <w:r w:rsidRPr="003C52A0">
        <w:rPr>
          <w:lang w:val="en-US" w:eastAsia="es-ES"/>
        </w:rPr>
        <w:t>acceso</w:t>
      </w:r>
      <w:proofErr w:type="spellEnd"/>
      <w:r w:rsidRPr="003C52A0">
        <w:rPr>
          <w:lang w:val="en-US" w:eastAsia="es-ES"/>
        </w:rPr>
        <w:t xml:space="preserve">: 24/04/2022]; 19:96. Disponible </w:t>
      </w:r>
      <w:proofErr w:type="spellStart"/>
      <w:r w:rsidRPr="003C52A0">
        <w:rPr>
          <w:lang w:val="en-US" w:eastAsia="es-ES"/>
        </w:rPr>
        <w:t>en</w:t>
      </w:r>
      <w:proofErr w:type="spellEnd"/>
      <w:r w:rsidRPr="003C52A0">
        <w:rPr>
          <w:lang w:val="en-US" w:eastAsia="es-ES"/>
        </w:rPr>
        <w:t xml:space="preserve"> </w:t>
      </w:r>
      <w:hyperlink r:id="rId25" w:history="1">
        <w:r w:rsidRPr="003C52A0">
          <w:rPr>
            <w:color w:val="0000FF"/>
            <w:u w:val="single"/>
            <w:lang w:val="en-US" w:eastAsia="es-ES"/>
          </w:rPr>
          <w:t>https://doi.org/10.1186/s12905-019-0800-8</w:t>
        </w:r>
      </w:hyperlink>
      <w:r w:rsidRPr="003C52A0">
        <w:rPr>
          <w:lang w:val="en-US" w:eastAsia="es-ES"/>
        </w:rPr>
        <w:t xml:space="preserve"> </w:t>
      </w:r>
    </w:p>
    <w:p w14:paraId="4490A81B" w14:textId="77777777" w:rsidR="003C52A0" w:rsidRPr="003C52A0" w:rsidRDefault="003C52A0" w:rsidP="003C52A0">
      <w:pPr>
        <w:tabs>
          <w:tab w:val="left" w:pos="142"/>
          <w:tab w:val="left" w:pos="284"/>
          <w:tab w:val="left" w:pos="426"/>
        </w:tabs>
        <w:spacing w:line="360" w:lineRule="auto"/>
        <w:rPr>
          <w:lang w:val="es-CU" w:eastAsia="es-ES"/>
        </w:rPr>
      </w:pPr>
      <w:r w:rsidRPr="003C52A0">
        <w:rPr>
          <w:lang w:val="es-CU" w:eastAsia="es-ES"/>
        </w:rPr>
        <w:t>14.</w:t>
      </w:r>
      <w:r w:rsidRPr="003C52A0">
        <w:rPr>
          <w:lang w:val="es-CU" w:eastAsia="es-ES"/>
        </w:rPr>
        <w:tab/>
        <w:t xml:space="preserve">Franklin JE. Prolapso de cúpula vaginal, prevalencia en mujeres en climaterio, en el Quindío, Colombia, 2007-2017. </w:t>
      </w:r>
      <w:proofErr w:type="spellStart"/>
      <w:r w:rsidRPr="003C52A0">
        <w:rPr>
          <w:lang w:val="es-CU" w:eastAsia="es-ES"/>
        </w:rPr>
        <w:t>Urol</w:t>
      </w:r>
      <w:proofErr w:type="spellEnd"/>
      <w:r w:rsidRPr="003C52A0">
        <w:rPr>
          <w:lang w:val="es-CU" w:eastAsia="es-ES"/>
        </w:rPr>
        <w:t xml:space="preserve"> </w:t>
      </w:r>
      <w:proofErr w:type="spellStart"/>
      <w:r w:rsidRPr="003C52A0">
        <w:rPr>
          <w:lang w:val="es-CU" w:eastAsia="es-ES"/>
        </w:rPr>
        <w:t>Colomb</w:t>
      </w:r>
      <w:proofErr w:type="spellEnd"/>
      <w:r w:rsidRPr="003C52A0">
        <w:rPr>
          <w:lang w:val="es-CU" w:eastAsia="es-ES"/>
        </w:rPr>
        <w:t xml:space="preserve">. 2021 [acceso: 24/04/2022]; 30:40–47. Disponible en: </w:t>
      </w:r>
      <w:hyperlink r:id="rId26" w:history="1">
        <w:r w:rsidRPr="003C52A0">
          <w:rPr>
            <w:color w:val="0000FF"/>
            <w:u w:val="single"/>
            <w:lang w:val="es-CU" w:eastAsia="es-ES"/>
          </w:rPr>
          <w:t>https://www.thieme-connect.com/products/ejournals/pdf/10.1055/s-0040-1714723.pdf</w:t>
        </w:r>
      </w:hyperlink>
      <w:r w:rsidRPr="003C52A0">
        <w:rPr>
          <w:lang w:val="es-CU" w:eastAsia="es-ES"/>
        </w:rPr>
        <w:t xml:space="preserve"> </w:t>
      </w:r>
    </w:p>
    <w:p w14:paraId="7C8DE122" w14:textId="77777777" w:rsidR="003C52A0" w:rsidRPr="003C52A0" w:rsidRDefault="003C52A0" w:rsidP="003C52A0">
      <w:pPr>
        <w:tabs>
          <w:tab w:val="left" w:pos="142"/>
          <w:tab w:val="left" w:pos="284"/>
          <w:tab w:val="left" w:pos="426"/>
        </w:tabs>
        <w:spacing w:line="360" w:lineRule="auto"/>
        <w:rPr>
          <w:lang w:val="es-CU" w:eastAsia="es-ES"/>
        </w:rPr>
      </w:pPr>
      <w:r w:rsidRPr="003C52A0">
        <w:rPr>
          <w:lang w:val="es-CU" w:eastAsia="es-ES"/>
        </w:rPr>
        <w:t>15.</w:t>
      </w:r>
      <w:r w:rsidRPr="003C52A0">
        <w:rPr>
          <w:lang w:val="es-CU" w:eastAsia="es-ES"/>
        </w:rPr>
        <w:tab/>
        <w:t xml:space="preserve">De </w:t>
      </w:r>
      <w:proofErr w:type="spellStart"/>
      <w:r w:rsidRPr="003C52A0">
        <w:rPr>
          <w:lang w:val="es-CU" w:eastAsia="es-ES"/>
        </w:rPr>
        <w:t>Petris</w:t>
      </w:r>
      <w:proofErr w:type="spellEnd"/>
      <w:r w:rsidRPr="003C52A0">
        <w:rPr>
          <w:lang w:val="es-CU" w:eastAsia="es-ES"/>
        </w:rPr>
        <w:t xml:space="preserve"> V, </w:t>
      </w:r>
      <w:proofErr w:type="spellStart"/>
      <w:r w:rsidRPr="003C52A0">
        <w:rPr>
          <w:lang w:val="es-CU" w:eastAsia="es-ES"/>
        </w:rPr>
        <w:t>Laiz</w:t>
      </w:r>
      <w:proofErr w:type="spellEnd"/>
      <w:r w:rsidRPr="003C52A0">
        <w:rPr>
          <w:lang w:val="es-CU" w:eastAsia="es-ES"/>
        </w:rPr>
        <w:t xml:space="preserve"> D, Castro F. Técnicas </w:t>
      </w:r>
      <w:proofErr w:type="spellStart"/>
      <w:r w:rsidRPr="003C52A0">
        <w:rPr>
          <w:lang w:val="es-CU" w:eastAsia="es-ES"/>
        </w:rPr>
        <w:t>obliterativas</w:t>
      </w:r>
      <w:proofErr w:type="spellEnd"/>
      <w:r w:rsidRPr="003C52A0">
        <w:rPr>
          <w:lang w:val="es-CU" w:eastAsia="es-ES"/>
        </w:rPr>
        <w:t xml:space="preserve"> en el tratamiento quirúrgico del prolapso genital femenino. Experiencia en el Servicio de Salud Metropolitano Oriente, Santiago-Chile. Rev. </w:t>
      </w:r>
      <w:proofErr w:type="spellStart"/>
      <w:r w:rsidRPr="003C52A0">
        <w:rPr>
          <w:lang w:val="es-CU" w:eastAsia="es-ES"/>
        </w:rPr>
        <w:t>Chil</w:t>
      </w:r>
      <w:proofErr w:type="spellEnd"/>
      <w:r w:rsidRPr="003C52A0">
        <w:rPr>
          <w:lang w:val="es-CU" w:eastAsia="es-ES"/>
        </w:rPr>
        <w:t xml:space="preserve">. </w:t>
      </w:r>
      <w:proofErr w:type="spellStart"/>
      <w:r w:rsidRPr="003C52A0">
        <w:rPr>
          <w:lang w:val="es-CU" w:eastAsia="es-ES"/>
        </w:rPr>
        <w:t>Obstet</w:t>
      </w:r>
      <w:proofErr w:type="spellEnd"/>
      <w:r w:rsidRPr="003C52A0">
        <w:rPr>
          <w:lang w:val="es-CU" w:eastAsia="es-ES"/>
        </w:rPr>
        <w:t xml:space="preserve">. </w:t>
      </w:r>
      <w:proofErr w:type="spellStart"/>
      <w:r w:rsidRPr="003C52A0">
        <w:rPr>
          <w:lang w:val="es-CU" w:eastAsia="es-ES"/>
        </w:rPr>
        <w:t>Ginecol</w:t>
      </w:r>
      <w:proofErr w:type="spellEnd"/>
      <w:r w:rsidRPr="003C52A0">
        <w:rPr>
          <w:lang w:val="es-CU" w:eastAsia="es-ES"/>
        </w:rPr>
        <w:t xml:space="preserve">. 2017 [acceso: 19/03/2022]; 82(5):480-90. </w:t>
      </w:r>
      <w:hyperlink r:id="rId27" w:history="1">
        <w:r w:rsidRPr="003C52A0">
          <w:rPr>
            <w:color w:val="0000FF"/>
            <w:u w:val="single"/>
            <w:lang w:val="es-CU" w:eastAsia="es-ES"/>
          </w:rPr>
          <w:t>https://dx.doi.org/10.4067/s0717-75262017000500480</w:t>
        </w:r>
      </w:hyperlink>
      <w:r w:rsidRPr="003C52A0">
        <w:rPr>
          <w:lang w:val="es-CU" w:eastAsia="es-ES"/>
        </w:rPr>
        <w:t xml:space="preserve"> </w:t>
      </w:r>
    </w:p>
    <w:p w14:paraId="6A02C092" w14:textId="77777777" w:rsidR="003C52A0" w:rsidRPr="003C52A0" w:rsidRDefault="003C52A0" w:rsidP="003C52A0">
      <w:pPr>
        <w:tabs>
          <w:tab w:val="left" w:pos="142"/>
          <w:tab w:val="left" w:pos="284"/>
          <w:tab w:val="left" w:pos="426"/>
        </w:tabs>
        <w:spacing w:line="360" w:lineRule="auto"/>
        <w:rPr>
          <w:lang w:val="es-CU" w:eastAsia="es-ES"/>
        </w:rPr>
      </w:pPr>
      <w:r w:rsidRPr="003C52A0">
        <w:rPr>
          <w:lang w:val="es-CU" w:eastAsia="es-ES"/>
        </w:rPr>
        <w:t>16.</w:t>
      </w:r>
      <w:r w:rsidRPr="003C52A0">
        <w:rPr>
          <w:lang w:val="es-CU" w:eastAsia="es-ES"/>
        </w:rPr>
        <w:tab/>
        <w:t xml:space="preserve">Cruz-Hernández M, Barreras-González J, </w:t>
      </w:r>
      <w:proofErr w:type="spellStart"/>
      <w:r w:rsidRPr="003C52A0">
        <w:rPr>
          <w:lang w:val="es-CU" w:eastAsia="es-ES"/>
        </w:rPr>
        <w:t>Gallinat</w:t>
      </w:r>
      <w:proofErr w:type="spellEnd"/>
      <w:r w:rsidRPr="003C52A0">
        <w:rPr>
          <w:lang w:val="es-CU" w:eastAsia="es-ES"/>
        </w:rPr>
        <w:t xml:space="preserve">-Martin Y, Morera-Pérez M. Recurrencia en pacientes intervenidas mediante </w:t>
      </w:r>
      <w:proofErr w:type="spellStart"/>
      <w:r w:rsidRPr="003C52A0">
        <w:rPr>
          <w:lang w:val="es-CU" w:eastAsia="es-ES"/>
        </w:rPr>
        <w:t>sacrocolpopexia</w:t>
      </w:r>
      <w:proofErr w:type="spellEnd"/>
      <w:r w:rsidRPr="003C52A0">
        <w:rPr>
          <w:lang w:val="es-CU" w:eastAsia="es-ES"/>
        </w:rPr>
        <w:t xml:space="preserve"> laparoscópica por prolapso de cúpula vaginal </w:t>
      </w:r>
      <w:proofErr w:type="spellStart"/>
      <w:r w:rsidRPr="003C52A0">
        <w:rPr>
          <w:lang w:val="es-CU" w:eastAsia="es-ES"/>
        </w:rPr>
        <w:t>posthisterectomía</w:t>
      </w:r>
      <w:proofErr w:type="spellEnd"/>
      <w:r w:rsidRPr="003C52A0">
        <w:rPr>
          <w:lang w:val="es-CU" w:eastAsia="es-ES"/>
        </w:rPr>
        <w:t xml:space="preserve">. </w:t>
      </w:r>
      <w:proofErr w:type="spellStart"/>
      <w:r w:rsidRPr="003C52A0">
        <w:rPr>
          <w:lang w:val="es-CU" w:eastAsia="es-ES"/>
        </w:rPr>
        <w:t>Rev</w:t>
      </w:r>
      <w:proofErr w:type="spellEnd"/>
      <w:r w:rsidRPr="003C52A0">
        <w:rPr>
          <w:lang w:val="es-CU" w:eastAsia="es-ES"/>
        </w:rPr>
        <w:t xml:space="preserve"> </w:t>
      </w:r>
      <w:proofErr w:type="spellStart"/>
      <w:r w:rsidRPr="003C52A0">
        <w:rPr>
          <w:lang w:val="es-CU" w:eastAsia="es-ES"/>
        </w:rPr>
        <w:t>Cub</w:t>
      </w:r>
      <w:proofErr w:type="spellEnd"/>
      <w:r w:rsidRPr="003C52A0">
        <w:rPr>
          <w:lang w:val="es-CU" w:eastAsia="es-ES"/>
        </w:rPr>
        <w:t xml:space="preserve"> </w:t>
      </w:r>
      <w:proofErr w:type="spellStart"/>
      <w:r w:rsidRPr="003C52A0">
        <w:rPr>
          <w:lang w:val="es-CU" w:eastAsia="es-ES"/>
        </w:rPr>
        <w:t>Obst</w:t>
      </w:r>
      <w:proofErr w:type="spellEnd"/>
      <w:r w:rsidRPr="003C52A0">
        <w:rPr>
          <w:lang w:val="es-CU" w:eastAsia="es-ES"/>
        </w:rPr>
        <w:t xml:space="preserve"> </w:t>
      </w:r>
      <w:proofErr w:type="spellStart"/>
      <w:r w:rsidRPr="003C52A0">
        <w:rPr>
          <w:lang w:val="es-CU" w:eastAsia="es-ES"/>
        </w:rPr>
        <w:t>Ginecol</w:t>
      </w:r>
      <w:proofErr w:type="spellEnd"/>
      <w:r w:rsidRPr="003C52A0">
        <w:rPr>
          <w:lang w:val="es-CU" w:eastAsia="es-ES"/>
        </w:rPr>
        <w:t xml:space="preserve">. 2018 [acceso: 19/03/2022]; 43(4):33-42. Disponible en: </w:t>
      </w:r>
      <w:hyperlink r:id="rId28" w:history="1">
        <w:r w:rsidRPr="003C52A0">
          <w:rPr>
            <w:color w:val="0000FF"/>
            <w:u w:val="single"/>
            <w:lang w:val="es-CU" w:eastAsia="es-ES"/>
          </w:rPr>
          <w:t>http://www.revginecobstetricia.sld.cu/index.php/gin/article/view/222</w:t>
        </w:r>
      </w:hyperlink>
      <w:r w:rsidRPr="003C52A0">
        <w:rPr>
          <w:lang w:val="es-CU" w:eastAsia="es-ES"/>
        </w:rPr>
        <w:t xml:space="preserve"> </w:t>
      </w:r>
    </w:p>
    <w:p w14:paraId="06A29E8C" w14:textId="77777777" w:rsidR="003C52A0" w:rsidRPr="003C52A0" w:rsidRDefault="003C52A0" w:rsidP="003C52A0">
      <w:pPr>
        <w:tabs>
          <w:tab w:val="left" w:pos="142"/>
          <w:tab w:val="left" w:pos="284"/>
          <w:tab w:val="left" w:pos="426"/>
        </w:tabs>
        <w:spacing w:line="360" w:lineRule="auto"/>
        <w:rPr>
          <w:lang w:val="es-CU" w:eastAsia="es-ES"/>
        </w:rPr>
      </w:pPr>
      <w:r w:rsidRPr="003C52A0">
        <w:rPr>
          <w:lang w:val="en-US" w:eastAsia="es-ES"/>
        </w:rPr>
        <w:t>17.</w:t>
      </w:r>
      <w:r w:rsidRPr="003C52A0">
        <w:rPr>
          <w:lang w:val="en-US" w:eastAsia="es-ES"/>
        </w:rPr>
        <w:tab/>
        <w:t xml:space="preserve">Park </w:t>
      </w:r>
      <w:proofErr w:type="spellStart"/>
      <w:r w:rsidRPr="003C52A0">
        <w:rPr>
          <w:lang w:val="en-US" w:eastAsia="es-ES"/>
        </w:rPr>
        <w:t>YH</w:t>
      </w:r>
      <w:proofErr w:type="spellEnd"/>
      <w:r w:rsidRPr="003C52A0">
        <w:rPr>
          <w:lang w:val="en-US" w:eastAsia="es-ES"/>
        </w:rPr>
        <w:t xml:space="preserve">, Yang SC, Park ST, Park SH, Kim HB. Laparoscopic reconstructive surgery is superior to vaginal reconstruction in the pelvic organ prolapse. </w:t>
      </w:r>
      <w:proofErr w:type="spellStart"/>
      <w:r w:rsidRPr="003C52A0">
        <w:rPr>
          <w:lang w:val="es-CU" w:eastAsia="es-ES"/>
        </w:rPr>
        <w:t>Int</w:t>
      </w:r>
      <w:proofErr w:type="spellEnd"/>
      <w:r w:rsidRPr="003C52A0">
        <w:rPr>
          <w:lang w:val="es-CU" w:eastAsia="es-ES"/>
        </w:rPr>
        <w:t xml:space="preserve"> J </w:t>
      </w:r>
      <w:proofErr w:type="spellStart"/>
      <w:r w:rsidRPr="003C52A0">
        <w:rPr>
          <w:lang w:val="es-CU" w:eastAsia="es-ES"/>
        </w:rPr>
        <w:t>Med</w:t>
      </w:r>
      <w:proofErr w:type="spellEnd"/>
      <w:r w:rsidRPr="003C52A0">
        <w:rPr>
          <w:lang w:val="es-CU" w:eastAsia="es-ES"/>
        </w:rPr>
        <w:t xml:space="preserve"> </w:t>
      </w:r>
      <w:proofErr w:type="spellStart"/>
      <w:r w:rsidRPr="003C52A0">
        <w:rPr>
          <w:lang w:val="es-CU" w:eastAsia="es-ES"/>
        </w:rPr>
        <w:t>Sci</w:t>
      </w:r>
      <w:proofErr w:type="spellEnd"/>
      <w:r w:rsidRPr="003C52A0">
        <w:rPr>
          <w:lang w:val="es-CU" w:eastAsia="es-ES"/>
        </w:rPr>
        <w:t xml:space="preserve">.  2014 [acceso: 19/03/2022]; 11(11):1082-8. Disponible en:  </w:t>
      </w:r>
      <w:hyperlink r:id="rId29" w:history="1">
        <w:r w:rsidRPr="003C52A0">
          <w:rPr>
            <w:color w:val="0000FF"/>
            <w:u w:val="single"/>
            <w:lang w:val="es-CU" w:eastAsia="es-ES"/>
          </w:rPr>
          <w:t>http://www.ncbi.nlm.nih.gov/pmc/articles/PMC4147633/</w:t>
        </w:r>
      </w:hyperlink>
      <w:r w:rsidRPr="003C52A0">
        <w:rPr>
          <w:lang w:val="es-CU" w:eastAsia="es-ES"/>
        </w:rPr>
        <w:t xml:space="preserve"> </w:t>
      </w:r>
    </w:p>
    <w:p w14:paraId="27A91DDA" w14:textId="77777777" w:rsidR="003C52A0" w:rsidRPr="003C52A0" w:rsidRDefault="003C52A0" w:rsidP="003C52A0">
      <w:pPr>
        <w:tabs>
          <w:tab w:val="left" w:pos="142"/>
          <w:tab w:val="left" w:pos="284"/>
          <w:tab w:val="left" w:pos="426"/>
        </w:tabs>
        <w:spacing w:line="360" w:lineRule="auto"/>
        <w:rPr>
          <w:lang w:val="es-CU" w:eastAsia="es-ES"/>
        </w:rPr>
      </w:pPr>
      <w:r w:rsidRPr="003C52A0">
        <w:rPr>
          <w:lang w:val="es-CU" w:eastAsia="es-ES"/>
        </w:rPr>
        <w:t>18.</w:t>
      </w:r>
      <w:r w:rsidRPr="003C52A0">
        <w:rPr>
          <w:lang w:val="es-CU" w:eastAsia="es-ES"/>
        </w:rPr>
        <w:tab/>
        <w:t xml:space="preserve">Rondón-Tapia M, Reyna-Villasmil E, Mejía-Montilla J, Reyna-Villasmil N, Torres-Cepeda D, Fernández-Ramírez A. </w:t>
      </w:r>
      <w:proofErr w:type="spellStart"/>
      <w:r w:rsidRPr="003C52A0">
        <w:rPr>
          <w:lang w:val="es-CU" w:eastAsia="es-ES"/>
        </w:rPr>
        <w:t>Culdoplastía</w:t>
      </w:r>
      <w:proofErr w:type="spellEnd"/>
      <w:r w:rsidRPr="003C52A0">
        <w:rPr>
          <w:lang w:val="es-CU" w:eastAsia="es-ES"/>
        </w:rPr>
        <w:t xml:space="preserve"> de </w:t>
      </w:r>
      <w:proofErr w:type="gramStart"/>
      <w:r w:rsidRPr="003C52A0">
        <w:rPr>
          <w:lang w:val="es-CU" w:eastAsia="es-ES"/>
        </w:rPr>
        <w:t>Mayo</w:t>
      </w:r>
      <w:proofErr w:type="gramEnd"/>
      <w:r w:rsidRPr="003C52A0">
        <w:rPr>
          <w:lang w:val="es-CU" w:eastAsia="es-ES"/>
        </w:rPr>
        <w:t xml:space="preserve"> o </w:t>
      </w:r>
      <w:proofErr w:type="spellStart"/>
      <w:r w:rsidRPr="003C52A0">
        <w:rPr>
          <w:lang w:val="es-CU" w:eastAsia="es-ES"/>
        </w:rPr>
        <w:t>colposacropexia</w:t>
      </w:r>
      <w:proofErr w:type="spellEnd"/>
      <w:r w:rsidRPr="003C52A0">
        <w:rPr>
          <w:lang w:val="es-CU" w:eastAsia="es-ES"/>
        </w:rPr>
        <w:t xml:space="preserve"> abdominal en la corrección del prolapso de la cúpula vaginal post histerectomía. Revista científica </w:t>
      </w:r>
      <w:proofErr w:type="spellStart"/>
      <w:r w:rsidRPr="003C52A0">
        <w:rPr>
          <w:lang w:val="es-CU" w:eastAsia="es-ES"/>
        </w:rPr>
        <w:t>INSPILIP</w:t>
      </w:r>
      <w:proofErr w:type="spellEnd"/>
      <w:r w:rsidRPr="003C52A0">
        <w:rPr>
          <w:lang w:val="es-CU" w:eastAsia="es-ES"/>
        </w:rPr>
        <w:t xml:space="preserve">. 2018 [acceso: 19/03/2022]; 2(2):1-15.  Disponible en:  </w:t>
      </w:r>
      <w:hyperlink r:id="rId30" w:history="1">
        <w:r w:rsidRPr="003C52A0">
          <w:rPr>
            <w:color w:val="0000FF"/>
            <w:u w:val="single"/>
            <w:lang w:val="es-CU" w:eastAsia="es-ES"/>
          </w:rPr>
          <w:t>https://docs.bvsalud.org/biblioref/2019/02/980300/culdoplastia-de-mayo-o-colposacropexia-abdominal.pdf</w:t>
        </w:r>
      </w:hyperlink>
      <w:r w:rsidRPr="003C52A0">
        <w:rPr>
          <w:lang w:val="es-CU" w:eastAsia="es-ES"/>
        </w:rPr>
        <w:t xml:space="preserve"> </w:t>
      </w:r>
    </w:p>
    <w:p w14:paraId="1DEB087E" w14:textId="77777777" w:rsidR="003C52A0" w:rsidRPr="003C52A0" w:rsidRDefault="003C52A0" w:rsidP="003C52A0">
      <w:pPr>
        <w:tabs>
          <w:tab w:val="left" w:pos="142"/>
          <w:tab w:val="left" w:pos="284"/>
          <w:tab w:val="left" w:pos="426"/>
        </w:tabs>
        <w:spacing w:line="360" w:lineRule="auto"/>
        <w:rPr>
          <w:lang w:val="es-CU" w:eastAsia="es-ES"/>
        </w:rPr>
      </w:pPr>
      <w:r w:rsidRPr="003C52A0">
        <w:rPr>
          <w:lang w:val="es-CU" w:eastAsia="es-ES"/>
        </w:rPr>
        <w:lastRenderedPageBreak/>
        <w:t xml:space="preserve">19. </w:t>
      </w:r>
      <w:proofErr w:type="spellStart"/>
      <w:r w:rsidRPr="003C52A0">
        <w:rPr>
          <w:lang w:val="es-CU" w:eastAsia="es-ES"/>
        </w:rPr>
        <w:t>Sutkin</w:t>
      </w:r>
      <w:proofErr w:type="spellEnd"/>
      <w:r w:rsidRPr="003C52A0">
        <w:rPr>
          <w:lang w:val="es-CU" w:eastAsia="es-ES"/>
        </w:rPr>
        <w:t xml:space="preserve"> G, </w:t>
      </w:r>
      <w:proofErr w:type="spellStart"/>
      <w:r w:rsidRPr="003C52A0">
        <w:rPr>
          <w:lang w:val="es-CU" w:eastAsia="es-ES"/>
        </w:rPr>
        <w:t>Zyczynski</w:t>
      </w:r>
      <w:proofErr w:type="spellEnd"/>
      <w:r w:rsidRPr="003C52A0">
        <w:rPr>
          <w:lang w:val="es-CU" w:eastAsia="es-ES"/>
        </w:rPr>
        <w:t xml:space="preserve"> HM, </w:t>
      </w:r>
      <w:proofErr w:type="spellStart"/>
      <w:r w:rsidRPr="003C52A0">
        <w:rPr>
          <w:lang w:val="es-CU" w:eastAsia="es-ES"/>
        </w:rPr>
        <w:t>Sridhar</w:t>
      </w:r>
      <w:proofErr w:type="spellEnd"/>
      <w:r w:rsidRPr="003C52A0">
        <w:rPr>
          <w:lang w:val="es-CU" w:eastAsia="es-ES"/>
        </w:rPr>
        <w:t xml:space="preserve"> A, </w:t>
      </w:r>
      <w:proofErr w:type="spellStart"/>
      <w:r w:rsidRPr="003C52A0">
        <w:rPr>
          <w:lang w:val="es-CU" w:eastAsia="es-ES"/>
        </w:rPr>
        <w:t>Jelovsek</w:t>
      </w:r>
      <w:proofErr w:type="spellEnd"/>
      <w:r w:rsidRPr="003C52A0">
        <w:rPr>
          <w:lang w:val="es-CU" w:eastAsia="es-ES"/>
        </w:rPr>
        <w:t xml:space="preserve"> JE, </w:t>
      </w:r>
      <w:proofErr w:type="spellStart"/>
      <w:r w:rsidRPr="003C52A0">
        <w:rPr>
          <w:lang w:val="es-CU" w:eastAsia="es-ES"/>
        </w:rPr>
        <w:t>Rardin</w:t>
      </w:r>
      <w:proofErr w:type="spellEnd"/>
      <w:r w:rsidRPr="003C52A0">
        <w:rPr>
          <w:lang w:val="es-CU" w:eastAsia="es-ES"/>
        </w:rPr>
        <w:t xml:space="preserve"> CR, </w:t>
      </w:r>
      <w:proofErr w:type="spellStart"/>
      <w:r w:rsidRPr="003C52A0">
        <w:rPr>
          <w:lang w:val="es-CU" w:eastAsia="es-ES"/>
        </w:rPr>
        <w:t>Mazloomdoost</w:t>
      </w:r>
      <w:proofErr w:type="spellEnd"/>
      <w:r w:rsidRPr="003C52A0">
        <w:rPr>
          <w:lang w:val="es-CU" w:eastAsia="es-ES"/>
        </w:rPr>
        <w:t xml:space="preserve"> D, et al. </w:t>
      </w:r>
      <w:r w:rsidRPr="003C52A0">
        <w:rPr>
          <w:lang w:val="en-US" w:eastAsia="es-ES"/>
        </w:rPr>
        <w:t xml:space="preserve">Association between Adjuvant Posterior Repair and Success of Native Tissue Apical Suspension. </w:t>
      </w:r>
      <w:r w:rsidRPr="003C52A0">
        <w:rPr>
          <w:lang w:val="es-CU" w:eastAsia="es-ES"/>
        </w:rPr>
        <w:t xml:space="preserve">Am J </w:t>
      </w:r>
      <w:proofErr w:type="spellStart"/>
      <w:r w:rsidRPr="003C52A0">
        <w:rPr>
          <w:lang w:val="es-CU" w:eastAsia="es-ES"/>
        </w:rPr>
        <w:t>Obstet</w:t>
      </w:r>
      <w:proofErr w:type="spellEnd"/>
      <w:r w:rsidRPr="003C52A0">
        <w:rPr>
          <w:lang w:val="es-CU" w:eastAsia="es-ES"/>
        </w:rPr>
        <w:t xml:space="preserve"> </w:t>
      </w:r>
      <w:proofErr w:type="spellStart"/>
      <w:r w:rsidRPr="003C52A0">
        <w:rPr>
          <w:lang w:val="es-CU" w:eastAsia="es-ES"/>
        </w:rPr>
        <w:t>Gynecol</w:t>
      </w:r>
      <w:proofErr w:type="spellEnd"/>
      <w:r w:rsidRPr="003C52A0">
        <w:rPr>
          <w:lang w:val="es-CU" w:eastAsia="es-ES"/>
        </w:rPr>
        <w:t>. 2020 [acceso: 19/03/2022]; 222(2</w:t>
      </w:r>
      <w:proofErr w:type="gramStart"/>
      <w:r w:rsidRPr="003C52A0">
        <w:rPr>
          <w:lang w:val="es-CU" w:eastAsia="es-ES"/>
        </w:rPr>
        <w:t>):</w:t>
      </w:r>
      <w:proofErr w:type="spellStart"/>
      <w:r w:rsidRPr="003C52A0">
        <w:rPr>
          <w:lang w:val="es-CU" w:eastAsia="es-ES"/>
        </w:rPr>
        <w:t>161.e</w:t>
      </w:r>
      <w:proofErr w:type="gramEnd"/>
      <w:r w:rsidRPr="003C52A0">
        <w:rPr>
          <w:lang w:val="es-CU" w:eastAsia="es-ES"/>
        </w:rPr>
        <w:t>1</w:t>
      </w:r>
      <w:proofErr w:type="spellEnd"/>
      <w:r w:rsidRPr="003C52A0">
        <w:rPr>
          <w:lang w:val="es-CU" w:eastAsia="es-ES"/>
        </w:rPr>
        <w:t>–</w:t>
      </w:r>
      <w:proofErr w:type="spellStart"/>
      <w:r w:rsidRPr="003C52A0">
        <w:rPr>
          <w:lang w:val="es-CU" w:eastAsia="es-ES"/>
        </w:rPr>
        <w:t>161.e8</w:t>
      </w:r>
      <w:proofErr w:type="spellEnd"/>
      <w:r w:rsidRPr="003C52A0">
        <w:rPr>
          <w:lang w:val="es-CU" w:eastAsia="es-ES"/>
        </w:rPr>
        <w:t xml:space="preserve">. Disponible en </w:t>
      </w:r>
      <w:hyperlink r:id="rId31" w:history="1">
        <w:r w:rsidRPr="003C52A0">
          <w:rPr>
            <w:color w:val="0000FF"/>
            <w:u w:val="single"/>
            <w:lang w:val="es-CU" w:eastAsia="es-ES"/>
          </w:rPr>
          <w:t>https://doi.org/10.1016/j.ajog.2019.08.024</w:t>
        </w:r>
      </w:hyperlink>
      <w:r w:rsidRPr="003C52A0">
        <w:rPr>
          <w:lang w:val="es-CU" w:eastAsia="es-ES"/>
        </w:rPr>
        <w:t xml:space="preserve"> </w:t>
      </w:r>
    </w:p>
    <w:p w14:paraId="5CB18A83" w14:textId="77777777" w:rsidR="003C52A0" w:rsidRPr="003C52A0" w:rsidRDefault="003C52A0" w:rsidP="003C52A0">
      <w:pPr>
        <w:spacing w:line="360" w:lineRule="auto"/>
        <w:jc w:val="both"/>
        <w:rPr>
          <w:b/>
          <w:bCs/>
          <w:color w:val="000000"/>
          <w:lang w:val="es-CU" w:eastAsia="es-ES"/>
        </w:rPr>
      </w:pPr>
    </w:p>
    <w:p w14:paraId="221B9B09" w14:textId="77777777" w:rsidR="003C52A0" w:rsidRPr="003C52A0" w:rsidRDefault="003C52A0" w:rsidP="003C52A0">
      <w:pPr>
        <w:spacing w:line="360" w:lineRule="auto"/>
        <w:jc w:val="both"/>
        <w:rPr>
          <w:b/>
          <w:bCs/>
          <w:color w:val="000000"/>
          <w:lang w:val="es-CU" w:eastAsia="es-ES"/>
        </w:rPr>
      </w:pPr>
    </w:p>
    <w:p w14:paraId="18175AC6" w14:textId="77777777" w:rsidR="003C52A0" w:rsidRPr="003C52A0" w:rsidRDefault="003C52A0" w:rsidP="003C52A0">
      <w:pPr>
        <w:spacing w:line="360" w:lineRule="auto"/>
        <w:jc w:val="center"/>
        <w:rPr>
          <w:lang w:val="es-ES" w:eastAsia="es-ES"/>
        </w:rPr>
      </w:pPr>
      <w:r w:rsidRPr="003C52A0">
        <w:rPr>
          <w:b/>
          <w:bCs/>
          <w:color w:val="000000"/>
          <w:lang w:val="es-ES" w:eastAsia="es-ES"/>
        </w:rPr>
        <w:t>Conflictos de intereses</w:t>
      </w:r>
    </w:p>
    <w:p w14:paraId="530221BD" w14:textId="77777777" w:rsidR="003C52A0" w:rsidRPr="003C52A0" w:rsidRDefault="003C52A0" w:rsidP="003C52A0">
      <w:pPr>
        <w:spacing w:line="360" w:lineRule="auto"/>
        <w:jc w:val="both"/>
        <w:rPr>
          <w:lang w:val="es-ES" w:eastAsia="es-ES"/>
        </w:rPr>
      </w:pPr>
      <w:r w:rsidRPr="003C52A0">
        <w:rPr>
          <w:color w:val="000000"/>
          <w:lang w:val="es-ES" w:eastAsia="es-ES"/>
        </w:rPr>
        <w:t xml:space="preserve">No existen conflictos de intereses declarados por todos los autores. </w:t>
      </w:r>
    </w:p>
    <w:p w14:paraId="13D53843" w14:textId="77777777" w:rsidR="003C52A0" w:rsidRPr="003C52A0" w:rsidRDefault="003C52A0" w:rsidP="003C52A0">
      <w:pPr>
        <w:spacing w:line="360" w:lineRule="auto"/>
        <w:jc w:val="both"/>
        <w:rPr>
          <w:rFonts w:eastAsia="Calibri"/>
          <w:b/>
          <w:lang w:val="es-ES" w:eastAsia="es-ES"/>
        </w:rPr>
      </w:pPr>
    </w:p>
    <w:p w14:paraId="75DC2BB1" w14:textId="77777777" w:rsidR="003C52A0" w:rsidRPr="003C52A0" w:rsidRDefault="003C52A0" w:rsidP="003C52A0">
      <w:pPr>
        <w:spacing w:line="360" w:lineRule="auto"/>
        <w:jc w:val="center"/>
        <w:rPr>
          <w:rFonts w:eastAsia="Calibri"/>
          <w:b/>
          <w:lang w:val="es-ES" w:eastAsia="es-ES"/>
        </w:rPr>
      </w:pPr>
      <w:r w:rsidRPr="003C52A0">
        <w:rPr>
          <w:rFonts w:eastAsia="Calibri"/>
          <w:b/>
          <w:lang w:val="es-ES" w:eastAsia="es-ES"/>
        </w:rPr>
        <w:t>Contribuciones de los autores</w:t>
      </w:r>
    </w:p>
    <w:p w14:paraId="1A851ED6" w14:textId="77777777" w:rsidR="003C52A0" w:rsidRPr="003C52A0" w:rsidRDefault="003C52A0" w:rsidP="003C52A0">
      <w:pPr>
        <w:spacing w:line="360" w:lineRule="auto"/>
        <w:jc w:val="both"/>
        <w:rPr>
          <w:lang w:val="es-ES" w:eastAsia="es-ES"/>
        </w:rPr>
      </w:pPr>
      <w:r w:rsidRPr="003C52A0">
        <w:rPr>
          <w:lang w:val="es-ES" w:eastAsia="es-ES"/>
        </w:rPr>
        <w:t xml:space="preserve">Conceptualización: </w:t>
      </w:r>
      <w:r w:rsidRPr="003C52A0">
        <w:rPr>
          <w:i/>
          <w:iCs/>
          <w:lang w:val="es-ES" w:eastAsia="es-ES"/>
        </w:rPr>
        <w:t>Enrique Reyes Guerrero.</w:t>
      </w:r>
    </w:p>
    <w:p w14:paraId="7FFCC331" w14:textId="77777777" w:rsidR="003C52A0" w:rsidRPr="003C52A0" w:rsidRDefault="003C52A0" w:rsidP="003C52A0">
      <w:pPr>
        <w:spacing w:line="360" w:lineRule="auto"/>
        <w:jc w:val="both"/>
        <w:rPr>
          <w:i/>
          <w:iCs/>
          <w:lang w:val="es-ES" w:eastAsia="es-ES"/>
        </w:rPr>
      </w:pPr>
      <w:r w:rsidRPr="003C52A0">
        <w:rPr>
          <w:lang w:val="es-ES" w:eastAsia="es-ES"/>
        </w:rPr>
        <w:t xml:space="preserve">Investigación: </w:t>
      </w:r>
      <w:r w:rsidRPr="003C52A0">
        <w:rPr>
          <w:i/>
          <w:iCs/>
          <w:lang w:val="es-ES" w:eastAsia="es-ES"/>
        </w:rPr>
        <w:t xml:space="preserve">Sara </w:t>
      </w:r>
      <w:proofErr w:type="spellStart"/>
      <w:r w:rsidRPr="003C52A0">
        <w:rPr>
          <w:i/>
          <w:iCs/>
          <w:lang w:val="es-ES" w:eastAsia="es-ES"/>
        </w:rPr>
        <w:t>Urgellés</w:t>
      </w:r>
      <w:proofErr w:type="spellEnd"/>
      <w:r w:rsidRPr="003C52A0">
        <w:rPr>
          <w:i/>
          <w:iCs/>
          <w:lang w:val="es-ES" w:eastAsia="es-ES"/>
        </w:rPr>
        <w:t xml:space="preserve"> Carreras, Guillermo Rodríguez Iglesias.</w:t>
      </w:r>
    </w:p>
    <w:p w14:paraId="1ED92BA2" w14:textId="77777777" w:rsidR="003C52A0" w:rsidRPr="003C52A0" w:rsidRDefault="003C52A0" w:rsidP="003C52A0">
      <w:pPr>
        <w:spacing w:line="360" w:lineRule="auto"/>
        <w:jc w:val="both"/>
        <w:rPr>
          <w:i/>
          <w:iCs/>
          <w:lang w:val="es-ES" w:eastAsia="es-ES"/>
        </w:rPr>
      </w:pPr>
      <w:r w:rsidRPr="003C52A0">
        <w:rPr>
          <w:lang w:val="es-ES" w:eastAsia="es-ES"/>
        </w:rPr>
        <w:t xml:space="preserve">Metodología: </w:t>
      </w:r>
      <w:proofErr w:type="spellStart"/>
      <w:r w:rsidRPr="003C52A0">
        <w:rPr>
          <w:i/>
          <w:iCs/>
          <w:lang w:val="es-ES" w:eastAsia="es-ES"/>
        </w:rPr>
        <w:t>Raiza</w:t>
      </w:r>
      <w:proofErr w:type="spellEnd"/>
      <w:r w:rsidRPr="003C52A0">
        <w:rPr>
          <w:i/>
          <w:iCs/>
          <w:lang w:val="es-ES" w:eastAsia="es-ES"/>
        </w:rPr>
        <w:t xml:space="preserve"> González Marshall, </w:t>
      </w:r>
      <w:proofErr w:type="spellStart"/>
      <w:r w:rsidRPr="003C52A0">
        <w:rPr>
          <w:i/>
          <w:iCs/>
          <w:lang w:val="es-ES" w:eastAsia="es-ES"/>
        </w:rPr>
        <w:t>Vilvia</w:t>
      </w:r>
      <w:proofErr w:type="spellEnd"/>
      <w:r w:rsidRPr="003C52A0">
        <w:rPr>
          <w:i/>
          <w:iCs/>
          <w:lang w:val="es-ES" w:eastAsia="es-ES"/>
        </w:rPr>
        <w:t xml:space="preserve"> Ramos Zamora. </w:t>
      </w:r>
    </w:p>
    <w:p w14:paraId="0C6BB102" w14:textId="77777777" w:rsidR="003C52A0" w:rsidRPr="003C52A0" w:rsidRDefault="003C52A0" w:rsidP="003C52A0">
      <w:pPr>
        <w:spacing w:line="360" w:lineRule="auto"/>
        <w:jc w:val="both"/>
        <w:rPr>
          <w:i/>
          <w:iCs/>
          <w:lang w:val="es-ES" w:eastAsia="es-ES"/>
        </w:rPr>
      </w:pPr>
      <w:r w:rsidRPr="003C52A0">
        <w:rPr>
          <w:lang w:val="es-ES" w:eastAsia="es-ES"/>
        </w:rPr>
        <w:t xml:space="preserve">Validación: </w:t>
      </w:r>
      <w:r w:rsidRPr="003C52A0">
        <w:rPr>
          <w:i/>
          <w:iCs/>
          <w:lang w:val="es-ES" w:eastAsia="es-ES"/>
        </w:rPr>
        <w:t>Enrique Reyes Guerrero.</w:t>
      </w:r>
    </w:p>
    <w:p w14:paraId="1A725453" w14:textId="77777777" w:rsidR="003C52A0" w:rsidRPr="003C52A0" w:rsidRDefault="003C52A0" w:rsidP="003C52A0">
      <w:pPr>
        <w:spacing w:line="360" w:lineRule="auto"/>
        <w:jc w:val="both"/>
        <w:rPr>
          <w:lang w:val="es-ES" w:eastAsia="es-ES"/>
        </w:rPr>
      </w:pPr>
      <w:r w:rsidRPr="003C52A0">
        <w:rPr>
          <w:lang w:val="es-ES" w:eastAsia="es-ES"/>
        </w:rPr>
        <w:t xml:space="preserve">Visualización: </w:t>
      </w:r>
      <w:r w:rsidRPr="003C52A0">
        <w:rPr>
          <w:i/>
          <w:iCs/>
          <w:lang w:val="es-ES" w:eastAsia="es-ES"/>
        </w:rPr>
        <w:t>Enrique Reyes Guerrero.</w:t>
      </w:r>
    </w:p>
    <w:p w14:paraId="2F19A947" w14:textId="77777777" w:rsidR="003C52A0" w:rsidRPr="003C52A0" w:rsidRDefault="003C52A0" w:rsidP="003C52A0">
      <w:pPr>
        <w:spacing w:line="360" w:lineRule="auto"/>
        <w:jc w:val="both"/>
        <w:rPr>
          <w:lang w:val="es-ES" w:eastAsia="es-ES"/>
        </w:rPr>
      </w:pPr>
      <w:r w:rsidRPr="003C52A0">
        <w:rPr>
          <w:lang w:val="es-ES" w:eastAsia="es-ES"/>
        </w:rPr>
        <w:t xml:space="preserve">Redacción – borrador original: </w:t>
      </w:r>
      <w:r w:rsidRPr="003C52A0">
        <w:rPr>
          <w:i/>
          <w:iCs/>
          <w:lang w:val="es-ES" w:eastAsia="es-ES"/>
        </w:rPr>
        <w:t xml:space="preserve">Sara </w:t>
      </w:r>
      <w:proofErr w:type="spellStart"/>
      <w:r w:rsidRPr="003C52A0">
        <w:rPr>
          <w:i/>
          <w:iCs/>
          <w:lang w:val="es-ES" w:eastAsia="es-ES"/>
        </w:rPr>
        <w:t>Urgellés</w:t>
      </w:r>
      <w:proofErr w:type="spellEnd"/>
      <w:r w:rsidRPr="003C52A0">
        <w:rPr>
          <w:i/>
          <w:iCs/>
          <w:lang w:val="es-ES" w:eastAsia="es-ES"/>
        </w:rPr>
        <w:t xml:space="preserve"> Carreras.</w:t>
      </w:r>
    </w:p>
    <w:p w14:paraId="067FDA52" w14:textId="77777777" w:rsidR="003C52A0" w:rsidRPr="003C52A0" w:rsidRDefault="003C52A0" w:rsidP="003C52A0">
      <w:pPr>
        <w:spacing w:line="360" w:lineRule="auto"/>
        <w:jc w:val="both"/>
        <w:rPr>
          <w:lang w:val="es-ES" w:eastAsia="es-ES"/>
        </w:rPr>
      </w:pPr>
      <w:r w:rsidRPr="003C52A0">
        <w:rPr>
          <w:lang w:val="es-ES" w:eastAsia="es-ES"/>
        </w:rPr>
        <w:t xml:space="preserve">Redacción – revisión y edición: </w:t>
      </w:r>
      <w:r w:rsidRPr="003C52A0">
        <w:rPr>
          <w:i/>
          <w:iCs/>
          <w:lang w:val="es-ES" w:eastAsia="es-ES"/>
        </w:rPr>
        <w:t>Eneida Gil Agramonte.</w:t>
      </w:r>
      <w:r w:rsidRPr="003C52A0">
        <w:rPr>
          <w:lang w:val="es-ES" w:eastAsia="es-ES"/>
        </w:rPr>
        <w:t xml:space="preserve"> </w:t>
      </w:r>
    </w:p>
    <w:p w14:paraId="5B1AEBF2" w14:textId="77777777" w:rsidR="00675476" w:rsidRPr="003C52A0" w:rsidRDefault="00675476" w:rsidP="00EA1FEF">
      <w:pPr>
        <w:pStyle w:val="PDFRevista"/>
        <w:rPr>
          <w:lang w:val="es-ES"/>
        </w:rPr>
      </w:pPr>
    </w:p>
    <w:sectPr w:rsidR="00675476" w:rsidRPr="003C52A0" w:rsidSect="00FD3DF8">
      <w:headerReference w:type="default" r:id="rId32"/>
      <w:footerReference w:type="even" r:id="rId33"/>
      <w:footerReference w:type="default" r:id="rId3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04F2C" w14:textId="77777777" w:rsidR="00311FEC" w:rsidRDefault="00311FEC">
      <w:r>
        <w:separator/>
      </w:r>
    </w:p>
  </w:endnote>
  <w:endnote w:type="continuationSeparator" w:id="0">
    <w:p w14:paraId="45E3A12E" w14:textId="77777777" w:rsidR="00311FEC" w:rsidRDefault="00311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F12F0"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EC6604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024B8" w14:textId="4851EBE3" w:rsidR="000F3690" w:rsidRPr="00AE044C" w:rsidRDefault="003C52A0"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4E1134FF" wp14:editId="3423466F">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3D1F18"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8CD68EF"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6B3F543D"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78FA9EF" w14:textId="6F734F08"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3C52A0" w:rsidRPr="003C52A0">
      <w:rPr>
        <w:rFonts w:ascii="Verdana" w:hAnsi="Verdana"/>
        <w:noProof/>
        <w:sz w:val="18"/>
        <w:szCs w:val="18"/>
        <w:lang w:val="en-US" w:eastAsia="en-US"/>
      </w:rPr>
      <w:drawing>
        <wp:inline distT="0" distB="0" distL="0" distR="0" wp14:anchorId="052AE9EA" wp14:editId="5B1C804F">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F6C23" w14:textId="77777777" w:rsidR="00311FEC" w:rsidRDefault="00311FEC">
      <w:r>
        <w:separator/>
      </w:r>
    </w:p>
  </w:footnote>
  <w:footnote w:type="continuationSeparator" w:id="0">
    <w:p w14:paraId="52F4CAE5" w14:textId="77777777" w:rsidR="00311FEC" w:rsidRDefault="00311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6C09" w14:textId="65E91D23" w:rsidR="00CC376A" w:rsidRPr="00AE044C" w:rsidRDefault="003C52A0"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1</w:t>
    </w:r>
    <w:proofErr w:type="gramStart"/>
    <w:r w:rsidR="007D2D0C" w:rsidRPr="00AE044C">
      <w:rPr>
        <w:sz w:val="22"/>
        <w:szCs w:val="22"/>
      </w:rPr>
      <w:t>):</w:t>
    </w:r>
    <w:proofErr w:type="spellStart"/>
    <w:r>
      <w:rPr>
        <w:sz w:val="22"/>
        <w:szCs w:val="22"/>
      </w:rPr>
      <w:t>e</w:t>
    </w:r>
    <w:proofErr w:type="gramEnd"/>
    <w:r>
      <w:rPr>
        <w:sz w:val="22"/>
        <w:szCs w:val="22"/>
      </w:rPr>
      <w:t>02302139</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01DD2255" wp14:editId="5AD62F80">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0F727C" w14:textId="4CE498BD" w:rsidR="00A477DE" w:rsidRDefault="003C52A0">
    <w:r>
      <w:rPr>
        <w:noProof/>
      </w:rPr>
      <mc:AlternateContent>
        <mc:Choice Requires="wps">
          <w:drawing>
            <wp:anchor distT="0" distB="0" distL="114300" distR="114300" simplePos="0" relativeHeight="251654144" behindDoc="0" locked="0" layoutInCell="1" allowOverlap="1" wp14:anchorId="1B7AB8D3" wp14:editId="031EBA7A">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C1240B"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1C5"/>
    <w:multiLevelType w:val="hybridMultilevel"/>
    <w:tmpl w:val="1D521362"/>
    <w:lvl w:ilvl="0" w:tplc="5C0A0001">
      <w:start w:val="1"/>
      <w:numFmt w:val="bullet"/>
      <w:lvlText w:val=""/>
      <w:lvlJc w:val="left"/>
      <w:pPr>
        <w:ind w:left="360" w:hanging="360"/>
      </w:pPr>
      <w:rPr>
        <w:rFonts w:ascii="Symbol" w:hAnsi="Symbol"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1" w15:restartNumberingAfterBreak="0">
    <w:nsid w:val="0ACB4600"/>
    <w:multiLevelType w:val="hybridMultilevel"/>
    <w:tmpl w:val="911ECCFE"/>
    <w:lvl w:ilvl="0" w:tplc="6CD6AD02">
      <w:numFmt w:val="bullet"/>
      <w:lvlText w:val=""/>
      <w:lvlJc w:val="left"/>
      <w:pPr>
        <w:ind w:left="720" w:hanging="360"/>
      </w:pPr>
      <w:rPr>
        <w:rFonts w:ascii="Symbol" w:eastAsiaTheme="minorEastAsia" w:hAnsi="Symbol" w:cs="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953C87"/>
    <w:multiLevelType w:val="hybridMultilevel"/>
    <w:tmpl w:val="41F4901C"/>
    <w:lvl w:ilvl="0" w:tplc="1C66FCEA">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E87228"/>
    <w:multiLevelType w:val="hybridMultilevel"/>
    <w:tmpl w:val="B69868D6"/>
    <w:lvl w:ilvl="0" w:tplc="A0D462A4">
      <w:numFmt w:val="bullet"/>
      <w:lvlText w:val=""/>
      <w:lvlJc w:val="left"/>
      <w:pPr>
        <w:ind w:left="720" w:hanging="360"/>
      </w:pPr>
      <w:rPr>
        <w:rFonts w:ascii="Symbol" w:eastAsiaTheme="minorEastAsia" w:hAnsi="Symbol" w:cs="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A9232C"/>
    <w:multiLevelType w:val="hybridMultilevel"/>
    <w:tmpl w:val="59A2125A"/>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0102FFC"/>
    <w:multiLevelType w:val="hybridMultilevel"/>
    <w:tmpl w:val="91CE06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2A0F54"/>
    <w:multiLevelType w:val="hybridMultilevel"/>
    <w:tmpl w:val="9E10686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C0153AF"/>
    <w:multiLevelType w:val="hybridMultilevel"/>
    <w:tmpl w:val="F33A818A"/>
    <w:lvl w:ilvl="0" w:tplc="D4AA1264">
      <w:start w:val="1"/>
      <w:numFmt w:val="decimal"/>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03A356C"/>
    <w:multiLevelType w:val="hybridMultilevel"/>
    <w:tmpl w:val="475E55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4D90C63"/>
    <w:multiLevelType w:val="hybridMultilevel"/>
    <w:tmpl w:val="D76873A4"/>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1" w15:restartNumberingAfterBreak="0">
    <w:nsid w:val="70E852F7"/>
    <w:multiLevelType w:val="hybridMultilevel"/>
    <w:tmpl w:val="23BC404A"/>
    <w:lvl w:ilvl="0" w:tplc="2042FFBA">
      <w:start w:val="1"/>
      <w:numFmt w:val="decimal"/>
      <w:lvlText w:val="%1."/>
      <w:lvlJc w:val="left"/>
      <w:pPr>
        <w:ind w:left="436" w:hanging="360"/>
      </w:pPr>
      <w:rPr>
        <w:rFonts w:hint="default"/>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12" w15:restartNumberingAfterBreak="0">
    <w:nsid w:val="72974E3A"/>
    <w:multiLevelType w:val="hybridMultilevel"/>
    <w:tmpl w:val="B2A635DC"/>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3" w15:restartNumberingAfterBreak="0">
    <w:nsid w:val="7A402A92"/>
    <w:multiLevelType w:val="hybridMultilevel"/>
    <w:tmpl w:val="AE4065F4"/>
    <w:lvl w:ilvl="0" w:tplc="31C80B12">
      <w:start w:val="16"/>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C8973DF"/>
    <w:multiLevelType w:val="hybridMultilevel"/>
    <w:tmpl w:val="1B80795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5" w15:restartNumberingAfterBreak="0">
    <w:nsid w:val="7D295C19"/>
    <w:multiLevelType w:val="hybridMultilevel"/>
    <w:tmpl w:val="F33A818A"/>
    <w:lvl w:ilvl="0" w:tplc="D4AA1264">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58777451">
    <w:abstractNumId w:val="10"/>
  </w:num>
  <w:num w:numId="2" w16cid:durableId="2071027778">
    <w:abstractNumId w:val="3"/>
  </w:num>
  <w:num w:numId="3" w16cid:durableId="2095661636">
    <w:abstractNumId w:val="1"/>
  </w:num>
  <w:num w:numId="4" w16cid:durableId="1854605109">
    <w:abstractNumId w:val="12"/>
  </w:num>
  <w:num w:numId="5" w16cid:durableId="555317633">
    <w:abstractNumId w:val="6"/>
  </w:num>
  <w:num w:numId="6" w16cid:durableId="508376602">
    <w:abstractNumId w:val="5"/>
  </w:num>
  <w:num w:numId="7" w16cid:durableId="1366129701">
    <w:abstractNumId w:val="7"/>
  </w:num>
  <w:num w:numId="8" w16cid:durableId="1547794923">
    <w:abstractNumId w:val="8"/>
  </w:num>
  <w:num w:numId="9" w16cid:durableId="161891760">
    <w:abstractNumId w:val="4"/>
  </w:num>
  <w:num w:numId="10" w16cid:durableId="1149663793">
    <w:abstractNumId w:val="11"/>
  </w:num>
  <w:num w:numId="11" w16cid:durableId="2054183752">
    <w:abstractNumId w:val="13"/>
  </w:num>
  <w:num w:numId="12" w16cid:durableId="828525126">
    <w:abstractNumId w:val="15"/>
  </w:num>
  <w:num w:numId="13" w16cid:durableId="565532282">
    <w:abstractNumId w:val="2"/>
  </w:num>
  <w:num w:numId="14" w16cid:durableId="1227764245">
    <w:abstractNumId w:val="9"/>
  </w:num>
  <w:num w:numId="15" w16cid:durableId="257253786">
    <w:abstractNumId w:val="14"/>
  </w:num>
  <w:num w:numId="16" w16cid:durableId="519439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A0"/>
    <w:rsid w:val="00057F45"/>
    <w:rsid w:val="000D3958"/>
    <w:rsid w:val="000F3690"/>
    <w:rsid w:val="001221D1"/>
    <w:rsid w:val="00165CB5"/>
    <w:rsid w:val="00180CE9"/>
    <w:rsid w:val="00230DD5"/>
    <w:rsid w:val="00250AE9"/>
    <w:rsid w:val="00311FEC"/>
    <w:rsid w:val="00380D64"/>
    <w:rsid w:val="00391509"/>
    <w:rsid w:val="003C52A0"/>
    <w:rsid w:val="003E03D5"/>
    <w:rsid w:val="00486BFA"/>
    <w:rsid w:val="00493701"/>
    <w:rsid w:val="004E2065"/>
    <w:rsid w:val="00530E2F"/>
    <w:rsid w:val="005508A2"/>
    <w:rsid w:val="0055115D"/>
    <w:rsid w:val="00566F71"/>
    <w:rsid w:val="005918BD"/>
    <w:rsid w:val="006173A6"/>
    <w:rsid w:val="00675476"/>
    <w:rsid w:val="00741359"/>
    <w:rsid w:val="007C430F"/>
    <w:rsid w:val="007D2D0C"/>
    <w:rsid w:val="007D614D"/>
    <w:rsid w:val="0088147E"/>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A4015"/>
  <w15:docId w15:val="{774B9DA9-A8C1-4C84-B63D-4AAC75393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link w:val="Ttulo1Car"/>
    <w:uiPriority w:val="9"/>
    <w:qFormat/>
    <w:rsid w:val="003C52A0"/>
    <w:pPr>
      <w:spacing w:before="100" w:beforeAutospacing="1" w:after="100" w:afterAutospacing="1"/>
      <w:outlineLvl w:val="0"/>
    </w:pPr>
    <w:rPr>
      <w:b/>
      <w:bCs/>
      <w:kern w:val="36"/>
      <w:sz w:val="48"/>
      <w:szCs w:val="48"/>
      <w:lang w:val="es-ES" w:eastAsia="es-ES"/>
    </w:rPr>
  </w:style>
  <w:style w:type="paragraph" w:styleId="Ttulo2">
    <w:name w:val="heading 2"/>
    <w:basedOn w:val="Normal"/>
    <w:next w:val="Normal"/>
    <w:link w:val="Ttulo2Car"/>
    <w:uiPriority w:val="9"/>
    <w:semiHidden/>
    <w:unhideWhenUsed/>
    <w:qFormat/>
    <w:rsid w:val="003C52A0"/>
    <w:pPr>
      <w:keepNext/>
      <w:spacing w:before="240" w:after="60"/>
      <w:outlineLvl w:val="1"/>
    </w:pPr>
    <w:rPr>
      <w:rFonts w:ascii="Cambria" w:hAnsi="Cambria"/>
      <w:color w:val="365F91"/>
      <w:sz w:val="26"/>
      <w:szCs w:val="26"/>
      <w:lang w:val="es-CU"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customStyle="1" w:styleId="Ttulo1Car">
    <w:name w:val="Título 1 Car"/>
    <w:basedOn w:val="Fuentedeprrafopredeter"/>
    <w:link w:val="Ttulo1"/>
    <w:uiPriority w:val="9"/>
    <w:rsid w:val="003C52A0"/>
    <w:rPr>
      <w:b/>
      <w:bCs/>
      <w:kern w:val="36"/>
      <w:sz w:val="48"/>
      <w:szCs w:val="48"/>
      <w:lang w:val="es-ES" w:eastAsia="es-ES"/>
    </w:rPr>
  </w:style>
  <w:style w:type="paragraph" w:customStyle="1" w:styleId="Ttulo21">
    <w:name w:val="Título 21"/>
    <w:basedOn w:val="Normal"/>
    <w:next w:val="Normal"/>
    <w:uiPriority w:val="9"/>
    <w:semiHidden/>
    <w:unhideWhenUsed/>
    <w:qFormat/>
    <w:rsid w:val="003C52A0"/>
    <w:pPr>
      <w:keepNext/>
      <w:keepLines/>
      <w:spacing w:before="40" w:line="276" w:lineRule="auto"/>
      <w:outlineLvl w:val="1"/>
    </w:pPr>
    <w:rPr>
      <w:rFonts w:ascii="Cambria" w:hAnsi="Cambria"/>
      <w:color w:val="365F91"/>
      <w:sz w:val="26"/>
      <w:szCs w:val="26"/>
      <w:lang w:val="es-ES" w:eastAsia="es-ES"/>
    </w:rPr>
  </w:style>
  <w:style w:type="numbering" w:customStyle="1" w:styleId="Sinlista1">
    <w:name w:val="Sin lista1"/>
    <w:next w:val="Sinlista"/>
    <w:uiPriority w:val="99"/>
    <w:semiHidden/>
    <w:unhideWhenUsed/>
    <w:rsid w:val="003C52A0"/>
  </w:style>
  <w:style w:type="paragraph" w:customStyle="1" w:styleId="Pa2">
    <w:name w:val="Pa2"/>
    <w:basedOn w:val="Normal"/>
    <w:next w:val="Normal"/>
    <w:uiPriority w:val="99"/>
    <w:rsid w:val="003C52A0"/>
    <w:pPr>
      <w:autoSpaceDE w:val="0"/>
      <w:autoSpaceDN w:val="0"/>
      <w:adjustRightInd w:val="0"/>
      <w:spacing w:line="241" w:lineRule="atLeast"/>
    </w:pPr>
    <w:rPr>
      <w:rFonts w:ascii="Arial" w:hAnsi="Arial" w:cs="Arial"/>
      <w:lang w:val="es-ES" w:eastAsia="es-ES"/>
    </w:rPr>
  </w:style>
  <w:style w:type="character" w:customStyle="1" w:styleId="A0">
    <w:name w:val="A0"/>
    <w:uiPriority w:val="99"/>
    <w:rsid w:val="003C52A0"/>
    <w:rPr>
      <w:color w:val="000000"/>
      <w:sz w:val="20"/>
      <w:szCs w:val="20"/>
    </w:rPr>
  </w:style>
  <w:style w:type="paragraph" w:customStyle="1" w:styleId="Pa11">
    <w:name w:val="Pa11"/>
    <w:basedOn w:val="Normal"/>
    <w:next w:val="Normal"/>
    <w:uiPriority w:val="99"/>
    <w:rsid w:val="003C52A0"/>
    <w:pPr>
      <w:autoSpaceDE w:val="0"/>
      <w:autoSpaceDN w:val="0"/>
      <w:adjustRightInd w:val="0"/>
      <w:spacing w:line="241" w:lineRule="atLeast"/>
    </w:pPr>
    <w:rPr>
      <w:rFonts w:ascii="Arial" w:hAnsi="Arial" w:cs="Arial"/>
      <w:lang w:val="es-ES" w:eastAsia="es-ES"/>
    </w:rPr>
  </w:style>
  <w:style w:type="character" w:customStyle="1" w:styleId="A7">
    <w:name w:val="A7"/>
    <w:uiPriority w:val="99"/>
    <w:rsid w:val="003C52A0"/>
    <w:rPr>
      <w:color w:val="000000"/>
      <w:sz w:val="11"/>
      <w:szCs w:val="11"/>
    </w:rPr>
  </w:style>
  <w:style w:type="table" w:customStyle="1" w:styleId="Tablaconcuadrcula1">
    <w:name w:val="Tabla con cuadrícula1"/>
    <w:basedOn w:val="Tablanormal"/>
    <w:next w:val="Tablaconcuadrcula"/>
    <w:uiPriority w:val="59"/>
    <w:rsid w:val="003C52A0"/>
    <w:rPr>
      <w:rFonts w:ascii="Calibri" w:hAnsi="Calibri"/>
      <w:sz w:val="22"/>
      <w:szCs w:val="22"/>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
    <w:name w:val="Sombreado claro1"/>
    <w:basedOn w:val="Tablanormal"/>
    <w:uiPriority w:val="60"/>
    <w:rsid w:val="003C52A0"/>
    <w:rPr>
      <w:rFonts w:ascii="Calibri" w:hAnsi="Calibri"/>
      <w:color w:val="000000"/>
      <w:sz w:val="22"/>
      <w:szCs w:val="22"/>
      <w:lang w:val="es-ES"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1">
    <w:name w:val="Sombreado claro - Énfasis 11"/>
    <w:basedOn w:val="Tablanormal"/>
    <w:uiPriority w:val="60"/>
    <w:rsid w:val="003C52A0"/>
    <w:rPr>
      <w:rFonts w:ascii="Calibri" w:hAnsi="Calibri"/>
      <w:color w:val="365F91"/>
      <w:sz w:val="22"/>
      <w:szCs w:val="22"/>
      <w:lang w:val="es-ES" w:eastAsia="es-E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nfasis21">
    <w:name w:val="Sombreado claro - Énfasis 21"/>
    <w:basedOn w:val="Tablanormal"/>
    <w:next w:val="Sombreadoclaro-nfasis2"/>
    <w:uiPriority w:val="60"/>
    <w:rsid w:val="003C52A0"/>
    <w:rPr>
      <w:rFonts w:ascii="Calibri" w:hAnsi="Calibri"/>
      <w:color w:val="943634"/>
      <w:sz w:val="22"/>
      <w:szCs w:val="22"/>
      <w:lang w:val="es-ES" w:eastAsia="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31">
    <w:name w:val="Sombreado claro - Énfasis 31"/>
    <w:basedOn w:val="Tablanormal"/>
    <w:next w:val="Sombreadoclaro-nfasis3"/>
    <w:uiPriority w:val="60"/>
    <w:rsid w:val="003C52A0"/>
    <w:rPr>
      <w:rFonts w:ascii="Calibri" w:hAnsi="Calibri"/>
      <w:color w:val="76923C"/>
      <w:sz w:val="22"/>
      <w:szCs w:val="22"/>
      <w:lang w:val="es-ES" w:eastAsia="es-E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41">
    <w:name w:val="Sombreado claro - Énfasis 41"/>
    <w:basedOn w:val="Tablanormal"/>
    <w:next w:val="Sombreadoclaro-nfasis4"/>
    <w:uiPriority w:val="60"/>
    <w:rsid w:val="003C52A0"/>
    <w:rPr>
      <w:rFonts w:ascii="Calibri" w:hAnsi="Calibri"/>
      <w:color w:val="5F497A"/>
      <w:sz w:val="22"/>
      <w:szCs w:val="22"/>
      <w:lang w:val="es-ES" w:eastAsia="es-E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markedcontent">
    <w:name w:val="markedcontent"/>
    <w:basedOn w:val="Fuentedeprrafopredeter"/>
    <w:rsid w:val="003C52A0"/>
  </w:style>
  <w:style w:type="paragraph" w:styleId="Prrafodelista">
    <w:name w:val="List Paragraph"/>
    <w:basedOn w:val="Normal"/>
    <w:uiPriority w:val="34"/>
    <w:qFormat/>
    <w:rsid w:val="003C52A0"/>
    <w:pPr>
      <w:spacing w:after="200" w:line="276" w:lineRule="auto"/>
      <w:ind w:left="720"/>
      <w:contextualSpacing/>
    </w:pPr>
    <w:rPr>
      <w:rFonts w:ascii="Calibri" w:hAnsi="Calibri"/>
      <w:sz w:val="22"/>
      <w:szCs w:val="22"/>
      <w:lang w:val="es-ES" w:eastAsia="es-ES"/>
    </w:rPr>
  </w:style>
  <w:style w:type="character" w:customStyle="1" w:styleId="Hipervnculovisitado1">
    <w:name w:val="Hipervínculo visitado1"/>
    <w:uiPriority w:val="99"/>
    <w:semiHidden/>
    <w:unhideWhenUsed/>
    <w:rsid w:val="003C52A0"/>
    <w:rPr>
      <w:color w:val="800080"/>
      <w:u w:val="single"/>
    </w:rPr>
  </w:style>
  <w:style w:type="character" w:styleId="Textoennegrita">
    <w:name w:val="Strong"/>
    <w:uiPriority w:val="22"/>
    <w:qFormat/>
    <w:rsid w:val="003C52A0"/>
    <w:rPr>
      <w:b/>
      <w:bCs/>
    </w:rPr>
  </w:style>
  <w:style w:type="paragraph" w:customStyle="1" w:styleId="author">
    <w:name w:val="author"/>
    <w:basedOn w:val="Normal"/>
    <w:rsid w:val="003C52A0"/>
    <w:pPr>
      <w:spacing w:before="100" w:beforeAutospacing="1" w:after="100" w:afterAutospacing="1"/>
    </w:pPr>
    <w:rPr>
      <w:lang w:val="es-ES" w:eastAsia="es-ES"/>
    </w:rPr>
  </w:style>
  <w:style w:type="character" w:customStyle="1" w:styleId="author-name">
    <w:name w:val="author-name"/>
    <w:basedOn w:val="Fuentedeprrafopredeter"/>
    <w:rsid w:val="003C52A0"/>
  </w:style>
  <w:style w:type="paragraph" w:customStyle="1" w:styleId="Ttulo10">
    <w:name w:val="Título1"/>
    <w:basedOn w:val="Normal"/>
    <w:rsid w:val="003C52A0"/>
    <w:pPr>
      <w:spacing w:before="100" w:beforeAutospacing="1" w:after="100" w:afterAutospacing="1"/>
    </w:pPr>
    <w:rPr>
      <w:lang w:val="es-ES" w:eastAsia="es-ES"/>
    </w:rPr>
  </w:style>
  <w:style w:type="character" w:styleId="nfasis">
    <w:name w:val="Emphasis"/>
    <w:uiPriority w:val="20"/>
    <w:qFormat/>
    <w:rsid w:val="003C52A0"/>
    <w:rPr>
      <w:i/>
      <w:iCs/>
    </w:rPr>
  </w:style>
  <w:style w:type="paragraph" w:customStyle="1" w:styleId="Default">
    <w:name w:val="Default"/>
    <w:rsid w:val="003C52A0"/>
    <w:pPr>
      <w:autoSpaceDE w:val="0"/>
      <w:autoSpaceDN w:val="0"/>
      <w:adjustRightInd w:val="0"/>
    </w:pPr>
    <w:rPr>
      <w:rFonts w:ascii="Arial" w:hAnsi="Arial" w:cs="Arial"/>
      <w:color w:val="000000"/>
      <w:sz w:val="24"/>
      <w:szCs w:val="24"/>
      <w:lang w:val="es-ES" w:eastAsia="es-ES"/>
    </w:rPr>
  </w:style>
  <w:style w:type="paragraph" w:customStyle="1" w:styleId="Sinespaciado1">
    <w:name w:val="Sin espaciado1"/>
    <w:next w:val="Sinespaciado"/>
    <w:uiPriority w:val="1"/>
    <w:qFormat/>
    <w:rsid w:val="003C52A0"/>
    <w:rPr>
      <w:rFonts w:ascii="Calibri" w:eastAsia="Calibri" w:hAnsi="Calibri"/>
      <w:sz w:val="22"/>
      <w:szCs w:val="22"/>
      <w:lang w:val="es-ES" w:eastAsia="en-US"/>
    </w:rPr>
  </w:style>
  <w:style w:type="paragraph" w:styleId="HTMLconformatoprevio">
    <w:name w:val="HTML Preformatted"/>
    <w:basedOn w:val="Normal"/>
    <w:link w:val="HTMLconformatoprevioCar"/>
    <w:uiPriority w:val="99"/>
    <w:semiHidden/>
    <w:unhideWhenUsed/>
    <w:rsid w:val="003C5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3C52A0"/>
    <w:rPr>
      <w:rFonts w:ascii="Courier New" w:hAnsi="Courier New" w:cs="Courier New"/>
      <w:lang w:val="es-ES" w:eastAsia="es-ES"/>
    </w:rPr>
  </w:style>
  <w:style w:type="character" w:customStyle="1" w:styleId="y2iqfc">
    <w:name w:val="y2iqfc"/>
    <w:basedOn w:val="Fuentedeprrafopredeter"/>
    <w:rsid w:val="003C52A0"/>
  </w:style>
  <w:style w:type="character" w:styleId="Refdecomentario">
    <w:name w:val="annotation reference"/>
    <w:uiPriority w:val="99"/>
    <w:semiHidden/>
    <w:unhideWhenUsed/>
    <w:rsid w:val="003C52A0"/>
    <w:rPr>
      <w:sz w:val="16"/>
      <w:szCs w:val="16"/>
    </w:rPr>
  </w:style>
  <w:style w:type="paragraph" w:styleId="Textocomentario">
    <w:name w:val="annotation text"/>
    <w:basedOn w:val="Normal"/>
    <w:link w:val="TextocomentarioCar"/>
    <w:uiPriority w:val="99"/>
    <w:semiHidden/>
    <w:unhideWhenUsed/>
    <w:rsid w:val="003C52A0"/>
    <w:pPr>
      <w:spacing w:after="200"/>
    </w:pPr>
    <w:rPr>
      <w:rFonts w:ascii="Calibri" w:hAnsi="Calibri"/>
      <w:sz w:val="20"/>
      <w:szCs w:val="20"/>
      <w:lang w:val="es-ES" w:eastAsia="es-ES"/>
    </w:rPr>
  </w:style>
  <w:style w:type="character" w:customStyle="1" w:styleId="TextocomentarioCar">
    <w:name w:val="Texto comentario Car"/>
    <w:basedOn w:val="Fuentedeprrafopredeter"/>
    <w:link w:val="Textocomentario"/>
    <w:uiPriority w:val="99"/>
    <w:semiHidden/>
    <w:rsid w:val="003C52A0"/>
    <w:rPr>
      <w:rFonts w:ascii="Calibri" w:hAnsi="Calibri"/>
      <w:lang w:val="es-ES" w:eastAsia="es-ES"/>
    </w:rPr>
  </w:style>
  <w:style w:type="paragraph" w:styleId="Asuntodelcomentario">
    <w:name w:val="annotation subject"/>
    <w:basedOn w:val="Textocomentario"/>
    <w:next w:val="Textocomentario"/>
    <w:link w:val="AsuntodelcomentarioCar"/>
    <w:uiPriority w:val="99"/>
    <w:semiHidden/>
    <w:unhideWhenUsed/>
    <w:rsid w:val="003C52A0"/>
    <w:rPr>
      <w:b/>
      <w:bCs/>
    </w:rPr>
  </w:style>
  <w:style w:type="character" w:customStyle="1" w:styleId="AsuntodelcomentarioCar">
    <w:name w:val="Asunto del comentario Car"/>
    <w:basedOn w:val="TextocomentarioCar"/>
    <w:link w:val="Asuntodelcomentario"/>
    <w:uiPriority w:val="99"/>
    <w:semiHidden/>
    <w:rsid w:val="003C52A0"/>
    <w:rPr>
      <w:rFonts w:ascii="Calibri" w:hAnsi="Calibri"/>
      <w:b/>
      <w:bCs/>
      <w:lang w:val="es-ES" w:eastAsia="es-ES"/>
    </w:rPr>
  </w:style>
  <w:style w:type="character" w:customStyle="1" w:styleId="Ttulo2Car">
    <w:name w:val="Título 2 Car"/>
    <w:link w:val="Ttulo2"/>
    <w:uiPriority w:val="9"/>
    <w:semiHidden/>
    <w:rsid w:val="003C52A0"/>
    <w:rPr>
      <w:rFonts w:ascii="Cambria" w:eastAsia="Times New Roman" w:hAnsi="Cambria" w:cs="Times New Roman"/>
      <w:color w:val="365F91"/>
      <w:sz w:val="26"/>
      <w:szCs w:val="26"/>
    </w:rPr>
  </w:style>
  <w:style w:type="character" w:customStyle="1" w:styleId="Mencinsinresolver1">
    <w:name w:val="Mención sin resolver1"/>
    <w:uiPriority w:val="99"/>
    <w:semiHidden/>
    <w:unhideWhenUsed/>
    <w:rsid w:val="003C52A0"/>
    <w:rPr>
      <w:color w:val="605E5C"/>
      <w:shd w:val="clear" w:color="auto" w:fill="E1DFDD"/>
    </w:rPr>
  </w:style>
  <w:style w:type="paragraph" w:customStyle="1" w:styleId="n2">
    <w:name w:val="n2"/>
    <w:basedOn w:val="Normal"/>
    <w:rsid w:val="003C52A0"/>
    <w:pPr>
      <w:spacing w:before="100" w:beforeAutospacing="1" w:after="100" w:afterAutospacing="1"/>
    </w:pPr>
    <w:rPr>
      <w:lang w:val="es-CU" w:eastAsia="es-CU"/>
    </w:rPr>
  </w:style>
  <w:style w:type="paragraph" w:customStyle="1" w:styleId="j">
    <w:name w:val="j"/>
    <w:basedOn w:val="Normal"/>
    <w:rsid w:val="003C52A0"/>
    <w:pPr>
      <w:spacing w:before="100" w:beforeAutospacing="1" w:after="100" w:afterAutospacing="1"/>
    </w:pPr>
    <w:rPr>
      <w:lang w:val="es-CU" w:eastAsia="es-CU"/>
    </w:rPr>
  </w:style>
  <w:style w:type="character" w:customStyle="1" w:styleId="nacep">
    <w:name w:val="n_acep"/>
    <w:basedOn w:val="Fuentedeprrafopredeter"/>
    <w:rsid w:val="003C52A0"/>
  </w:style>
  <w:style w:type="character" w:customStyle="1" w:styleId="h">
    <w:name w:val="h"/>
    <w:basedOn w:val="Fuentedeprrafopredeter"/>
    <w:rsid w:val="003C52A0"/>
  </w:style>
  <w:style w:type="character" w:customStyle="1" w:styleId="i1">
    <w:name w:val="i1"/>
    <w:basedOn w:val="Fuentedeprrafopredeter"/>
    <w:rsid w:val="003C52A0"/>
  </w:style>
  <w:style w:type="character" w:customStyle="1" w:styleId="contribid">
    <w:name w:val="contribid"/>
    <w:basedOn w:val="Fuentedeprrafopredeter"/>
    <w:rsid w:val="003C52A0"/>
  </w:style>
  <w:style w:type="paragraph" w:styleId="Revisin">
    <w:name w:val="Revision"/>
    <w:hidden/>
    <w:uiPriority w:val="99"/>
    <w:semiHidden/>
    <w:rsid w:val="003C52A0"/>
    <w:rPr>
      <w:rFonts w:ascii="Calibri" w:hAnsi="Calibri"/>
      <w:sz w:val="22"/>
      <w:szCs w:val="22"/>
      <w:lang w:val="es-ES" w:eastAsia="es-ES"/>
    </w:rPr>
  </w:style>
  <w:style w:type="character" w:styleId="Mencinsinresolver">
    <w:name w:val="Unresolved Mention"/>
    <w:uiPriority w:val="99"/>
    <w:semiHidden/>
    <w:unhideWhenUsed/>
    <w:rsid w:val="003C52A0"/>
    <w:rPr>
      <w:color w:val="605E5C"/>
      <w:shd w:val="clear" w:color="auto" w:fill="E1DFDD"/>
    </w:rPr>
  </w:style>
  <w:style w:type="table" w:styleId="Sombreadoclaro-nfasis2">
    <w:name w:val="Light Shading Accent 2"/>
    <w:basedOn w:val="Tablanormal"/>
    <w:uiPriority w:val="60"/>
    <w:semiHidden/>
    <w:unhideWhenUsed/>
    <w:rsid w:val="003C52A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semiHidden/>
    <w:unhideWhenUsed/>
    <w:rsid w:val="003C52A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semiHidden/>
    <w:unhideWhenUsed/>
    <w:rsid w:val="003C52A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Hipervnculovisitado">
    <w:name w:val="FollowedHyperlink"/>
    <w:basedOn w:val="Fuentedeprrafopredeter"/>
    <w:semiHidden/>
    <w:unhideWhenUsed/>
    <w:rsid w:val="003C52A0"/>
    <w:rPr>
      <w:color w:val="800080" w:themeColor="followedHyperlink"/>
      <w:u w:val="single"/>
    </w:rPr>
  </w:style>
  <w:style w:type="paragraph" w:styleId="Sinespaciado">
    <w:name w:val="No Spacing"/>
    <w:uiPriority w:val="1"/>
    <w:qFormat/>
    <w:rsid w:val="003C52A0"/>
    <w:rPr>
      <w:sz w:val="24"/>
      <w:szCs w:val="24"/>
      <w:lang w:val="es-ES_tradnl" w:eastAsia="es-ES_tradnl"/>
    </w:rPr>
  </w:style>
  <w:style w:type="character" w:customStyle="1" w:styleId="Ttulo2Car1">
    <w:name w:val="Título 2 Car1"/>
    <w:basedOn w:val="Fuentedeprrafopredeter"/>
    <w:link w:val="Ttulo2"/>
    <w:semiHidden/>
    <w:rsid w:val="003C52A0"/>
    <w:rPr>
      <w:rFonts w:asciiTheme="majorHAnsi" w:eastAsiaTheme="majorEastAsia" w:hAnsiTheme="majorHAnsi" w:cstheme="majorBidi"/>
      <w:b/>
      <w:bCs/>
      <w:i/>
      <w:iCs/>
      <w:sz w:val="28"/>
      <w:szCs w:val="2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elo.sld.cu/scielo.php?pid=S1996-35212021000200015&amp;script=sci_arttext&amp;tlng=en" TargetMode="External"/><Relationship Id="rId13" Type="http://schemas.openxmlformats.org/officeDocument/2006/relationships/hyperlink" Target="mailto:sarauc@infomed.sld.cu" TargetMode="External"/><Relationship Id="rId18" Type="http://schemas.openxmlformats.org/officeDocument/2006/relationships/hyperlink" Target="https://dx.doi.org/10.4067/s0717-75262017000500480" TargetMode="External"/><Relationship Id="rId26" Type="http://schemas.openxmlformats.org/officeDocument/2006/relationships/hyperlink" Target="https://www.thieme-connect.com/products/ejournals/pdf/10.1055/s-0040-1714723.pdf" TargetMode="External"/><Relationship Id="rId3" Type="http://schemas.openxmlformats.org/officeDocument/2006/relationships/settings" Target="settings.xml"/><Relationship Id="rId21" Type="http://schemas.openxmlformats.org/officeDocument/2006/relationships/hyperlink" Target="http://www.bvs.hn/RMH/pdf/2016/pdf/Vol84-1-2-2016-9.pdf" TargetMode="External"/><Relationship Id="rId34" Type="http://schemas.openxmlformats.org/officeDocument/2006/relationships/footer" Target="footer2.xml"/><Relationship Id="rId7" Type="http://schemas.openxmlformats.org/officeDocument/2006/relationships/hyperlink" Target="http://scielo.sld.cu/scielo.php?script=sci_arttext&amp;pid=S0138-65572021000100006" TargetMode="External"/><Relationship Id="rId12" Type="http://schemas.openxmlformats.org/officeDocument/2006/relationships/hyperlink" Target="http://scielo.sld.cu/scielo.php?pid=S1996-35212021000200015&amp;script=sci_arttext&amp;tlng=en" TargetMode="External"/><Relationship Id="rId17" Type="http://schemas.openxmlformats.org/officeDocument/2006/relationships/hyperlink" Target="https://doi.org/10.11565/arsmed.v44i3.1555" TargetMode="External"/><Relationship Id="rId25" Type="http://schemas.openxmlformats.org/officeDocument/2006/relationships/hyperlink" Target="https://doi.org/10.1186/s12905-019-0800-8"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revistaamc.sld.cu/index.php/amc/article/view/7848" TargetMode="External"/><Relationship Id="rId20" Type="http://schemas.openxmlformats.org/officeDocument/2006/relationships/hyperlink" Target="https://www.scielo.cl/scielo.php?script=sci_arttext&amp;pid=S0717-75262015000300003" TargetMode="External"/><Relationship Id="rId29" Type="http://schemas.openxmlformats.org/officeDocument/2006/relationships/hyperlink" Target="http://www.ncbi.nlm.nih.gov/pmc/articles/PMC414763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elo.sld.cu/scielo.php?script=sci_arttext&amp;pid=S0138-65572021000100006" TargetMode="External"/><Relationship Id="rId24" Type="http://schemas.openxmlformats.org/officeDocument/2006/relationships/hyperlink" Target="https://ago.uy/descargar/adjunto/76-jkofeq-ago59-2-art3.pdf"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revginecobstetricia.sld.cu/index.php/gin/article/view/193" TargetMode="External"/><Relationship Id="rId23" Type="http://schemas.openxmlformats.org/officeDocument/2006/relationships/hyperlink" Target="http://repositorio.mederi.com.co/bitstream/handle/123456789/386/-Declaracion-Helsinki-2013-Esp.pdf?sequence=1" TargetMode="External"/><Relationship Id="rId28" Type="http://schemas.openxmlformats.org/officeDocument/2006/relationships/hyperlink" Target="http://www.revginecobstetricia.sld.cu/index.php/gin/article/view/222" TargetMode="External"/><Relationship Id="rId36" Type="http://schemas.openxmlformats.org/officeDocument/2006/relationships/theme" Target="theme/theme1.xml"/><Relationship Id="rId10" Type="http://schemas.openxmlformats.org/officeDocument/2006/relationships/hyperlink" Target="http://orcid.org/0000-0002-6307-2808" TargetMode="External"/><Relationship Id="rId19" Type="http://schemas.openxmlformats.org/officeDocument/2006/relationships/hyperlink" Target="https://revista.fecolsog.org/index.php/rcog/article/view/2421" TargetMode="External"/><Relationship Id="rId31" Type="http://schemas.openxmlformats.org/officeDocument/2006/relationships/hyperlink" Target="https://doi.org/10.1016/j.ajog.2019.08.024" TargetMode="External"/><Relationship Id="rId4" Type="http://schemas.openxmlformats.org/officeDocument/2006/relationships/webSettings" Target="webSettings.xml"/><Relationship Id="rId9" Type="http://schemas.openxmlformats.org/officeDocument/2006/relationships/hyperlink" Target="http://scielo.sld.cu/scielo.php?pid=S1996-35212021000200015&amp;script=sci_arttext&amp;tlng=en" TargetMode="External"/><Relationship Id="rId14" Type="http://schemas.openxmlformats.org/officeDocument/2006/relationships/hyperlink" Target="http://www.revcimeq.sld.cu/index.php/imq/article/view/470" TargetMode="External"/><Relationship Id="rId22" Type="http://schemas.openxmlformats.org/officeDocument/2006/relationships/hyperlink" Target="https://www.ncbi.nlm.nih.gov/pmc/articles/PMC5158156/" TargetMode="External"/><Relationship Id="rId27" Type="http://schemas.openxmlformats.org/officeDocument/2006/relationships/hyperlink" Target="https://dx.doi.org/10.4067/s0717-75262017000500480" TargetMode="External"/><Relationship Id="rId30" Type="http://schemas.openxmlformats.org/officeDocument/2006/relationships/hyperlink" Target="https://docs.bvsalud.org/biblioref/2019/02/980300/culdoplastia-de-mayo-o-colposacropexia-abdominal.pdf"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11</Pages>
  <Words>3398</Words>
  <Characters>18694</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22048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4</cp:revision>
  <cp:lastPrinted>2010-09-13T21:29:00Z</cp:lastPrinted>
  <dcterms:created xsi:type="dcterms:W3CDTF">2022-12-30T00:18:00Z</dcterms:created>
  <dcterms:modified xsi:type="dcterms:W3CDTF">2022-12-30T00:20:00Z</dcterms:modified>
</cp:coreProperties>
</file>