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9AB62" w14:textId="77777777" w:rsidR="00AB6F2B" w:rsidRPr="00AB6F2B" w:rsidRDefault="00AB6F2B" w:rsidP="00AB6F2B">
      <w:pPr>
        <w:spacing w:line="360" w:lineRule="auto"/>
        <w:jc w:val="right"/>
        <w:rPr>
          <w:rFonts w:eastAsia="Calibri"/>
          <w:sz w:val="20"/>
          <w:szCs w:val="20"/>
          <w:lang w:val="es-ES" w:eastAsia="en-US"/>
        </w:rPr>
      </w:pPr>
      <w:r w:rsidRPr="00AB6F2B">
        <w:rPr>
          <w:rFonts w:eastAsia="Calibri"/>
          <w:sz w:val="20"/>
          <w:szCs w:val="20"/>
          <w:lang w:val="es-ES" w:eastAsia="en-US"/>
        </w:rPr>
        <w:t>Artículo de investigación</w:t>
      </w:r>
    </w:p>
    <w:p w14:paraId="1E40BCAC" w14:textId="77777777" w:rsidR="00AB6F2B" w:rsidRPr="00AB6F2B" w:rsidRDefault="00AB6F2B" w:rsidP="00AB6F2B">
      <w:pPr>
        <w:spacing w:line="360" w:lineRule="auto"/>
        <w:jc w:val="right"/>
        <w:rPr>
          <w:rFonts w:eastAsia="Calibri"/>
          <w:b/>
          <w:bCs/>
          <w:lang w:val="es-ES" w:eastAsia="en-US"/>
        </w:rPr>
      </w:pPr>
    </w:p>
    <w:p w14:paraId="3492E5CE" w14:textId="77777777" w:rsidR="00AB6F2B" w:rsidRPr="00AB6F2B" w:rsidRDefault="00AB6F2B" w:rsidP="00AB6F2B">
      <w:pPr>
        <w:spacing w:line="360" w:lineRule="auto"/>
        <w:jc w:val="center"/>
        <w:rPr>
          <w:rFonts w:eastAsia="Calibri"/>
          <w:b/>
          <w:bCs/>
          <w:sz w:val="28"/>
          <w:szCs w:val="28"/>
          <w:lang w:val="es-ES" w:eastAsia="en-US"/>
        </w:rPr>
      </w:pPr>
      <w:r w:rsidRPr="00AB6F2B">
        <w:rPr>
          <w:rFonts w:eastAsia="Calibri"/>
          <w:b/>
          <w:bCs/>
          <w:sz w:val="28"/>
          <w:szCs w:val="28"/>
          <w:lang w:val="es-ES" w:eastAsia="en-US"/>
        </w:rPr>
        <w:t>Índice pronóstico de mortalidad posoperatoria para pacientes con hematoma intracerebral primario</w:t>
      </w:r>
    </w:p>
    <w:p w14:paraId="0286E914" w14:textId="77777777" w:rsidR="00AB6F2B" w:rsidRPr="00AB6F2B" w:rsidRDefault="00AB6F2B" w:rsidP="00AB6F2B">
      <w:pPr>
        <w:spacing w:line="360" w:lineRule="auto"/>
        <w:jc w:val="center"/>
        <w:rPr>
          <w:rFonts w:eastAsia="Calibri"/>
          <w:sz w:val="28"/>
          <w:szCs w:val="28"/>
          <w:lang w:val="en-US" w:eastAsia="en-US"/>
        </w:rPr>
      </w:pPr>
      <w:r w:rsidRPr="00AB6F2B">
        <w:rPr>
          <w:rFonts w:eastAsia="Calibri"/>
          <w:sz w:val="28"/>
          <w:szCs w:val="28"/>
          <w:lang w:val="en-US" w:eastAsia="en-US"/>
        </w:rPr>
        <w:t>Prognostic index of postoperative mortality for patients with primary intracerebral hemorrhage</w:t>
      </w:r>
    </w:p>
    <w:p w14:paraId="0CA8648F" w14:textId="77777777" w:rsidR="00AB6F2B" w:rsidRPr="00AB6F2B" w:rsidRDefault="00AB6F2B" w:rsidP="00AB6F2B">
      <w:pPr>
        <w:spacing w:line="360" w:lineRule="auto"/>
        <w:jc w:val="both"/>
        <w:rPr>
          <w:rFonts w:eastAsia="Calibri"/>
          <w:lang w:val="en-US" w:eastAsia="en-US"/>
        </w:rPr>
      </w:pPr>
    </w:p>
    <w:p w14:paraId="33266F96" w14:textId="77777777" w:rsidR="00AB6F2B" w:rsidRPr="00AB6F2B" w:rsidRDefault="00AB6F2B" w:rsidP="00AB6F2B">
      <w:pPr>
        <w:spacing w:line="360" w:lineRule="auto"/>
        <w:jc w:val="both"/>
        <w:rPr>
          <w:rFonts w:eastAsia="Calibri"/>
          <w:bCs/>
          <w:lang w:val="es-ES" w:eastAsia="en-US"/>
        </w:rPr>
      </w:pPr>
      <w:r w:rsidRPr="00AB6F2B">
        <w:rPr>
          <w:rFonts w:eastAsia="Calibri"/>
          <w:bCs/>
          <w:lang w:val="es-ES" w:eastAsia="en-US"/>
        </w:rPr>
        <w:t xml:space="preserve">Margarita Elena Sánchez </w:t>
      </w:r>
      <w:proofErr w:type="spellStart"/>
      <w:r w:rsidRPr="00AB6F2B">
        <w:rPr>
          <w:rFonts w:eastAsia="Calibri"/>
          <w:bCs/>
          <w:lang w:val="es-ES" w:eastAsia="en-US"/>
        </w:rPr>
        <w:t>Padín</w:t>
      </w:r>
      <w:r w:rsidRPr="00AB6F2B">
        <w:rPr>
          <w:rFonts w:eastAsia="Calibri"/>
          <w:bCs/>
          <w:vertAlign w:val="superscript"/>
          <w:lang w:val="es-ES" w:eastAsia="en-US"/>
        </w:rPr>
        <w:t>1</w:t>
      </w:r>
      <w:proofErr w:type="spellEnd"/>
      <w:r w:rsidRPr="00AB6F2B">
        <w:rPr>
          <w:rFonts w:eastAsia="Calibri"/>
          <w:bCs/>
          <w:lang w:val="es-ES" w:eastAsia="en-US"/>
        </w:rPr>
        <w:t>*</w:t>
      </w:r>
      <w:r w:rsidRPr="00AB6F2B">
        <w:rPr>
          <w:rFonts w:eastAsia="Calibri"/>
          <w:bCs/>
          <w:vertAlign w:val="superscript"/>
          <w:lang w:val="es-ES" w:eastAsia="en-US"/>
        </w:rPr>
        <w:t xml:space="preserve"> </w:t>
      </w:r>
      <w:hyperlink r:id="rId7" w:history="1">
        <w:r w:rsidRPr="00AB6F2B">
          <w:rPr>
            <w:rFonts w:eastAsia="Calibri"/>
            <w:bCs/>
            <w:color w:val="0000FF"/>
            <w:u w:val="single"/>
            <w:lang w:val="es-ES" w:eastAsia="en-US"/>
          </w:rPr>
          <w:t>https://orcid.org/0000-0002-2860-4039</w:t>
        </w:r>
      </w:hyperlink>
    </w:p>
    <w:p w14:paraId="64938959" w14:textId="77777777" w:rsidR="00AB6F2B" w:rsidRPr="00AB6F2B" w:rsidRDefault="00AB6F2B" w:rsidP="00AB6F2B">
      <w:pPr>
        <w:spacing w:line="360" w:lineRule="auto"/>
        <w:jc w:val="both"/>
        <w:rPr>
          <w:rFonts w:eastAsia="Calibri"/>
          <w:bCs/>
          <w:lang w:val="es-ES" w:eastAsia="en-US"/>
        </w:rPr>
      </w:pPr>
      <w:proofErr w:type="spellStart"/>
      <w:r w:rsidRPr="00AB6F2B">
        <w:rPr>
          <w:rFonts w:eastAsia="Calibri"/>
          <w:bCs/>
          <w:lang w:val="es-ES" w:eastAsia="en-US"/>
        </w:rPr>
        <w:t>Jhonaiky</w:t>
      </w:r>
      <w:proofErr w:type="spellEnd"/>
      <w:r w:rsidRPr="00AB6F2B">
        <w:rPr>
          <w:rFonts w:eastAsia="Calibri"/>
          <w:bCs/>
          <w:lang w:val="es-ES" w:eastAsia="en-US"/>
        </w:rPr>
        <w:t xml:space="preserve"> </w:t>
      </w:r>
      <w:proofErr w:type="spellStart"/>
      <w:r w:rsidRPr="00AB6F2B">
        <w:rPr>
          <w:rFonts w:eastAsia="Calibri"/>
          <w:bCs/>
          <w:lang w:val="es-ES" w:eastAsia="en-US"/>
        </w:rPr>
        <w:t>Armanda</w:t>
      </w:r>
      <w:proofErr w:type="spellEnd"/>
      <w:r w:rsidRPr="00AB6F2B">
        <w:rPr>
          <w:rFonts w:eastAsia="Calibri"/>
          <w:bCs/>
          <w:lang w:val="es-ES" w:eastAsia="en-US"/>
        </w:rPr>
        <w:t xml:space="preserve"> Peguero </w:t>
      </w:r>
      <w:proofErr w:type="spellStart"/>
      <w:r w:rsidRPr="00AB6F2B">
        <w:rPr>
          <w:rFonts w:eastAsia="Calibri"/>
          <w:bCs/>
          <w:lang w:val="es-ES" w:eastAsia="en-US"/>
        </w:rPr>
        <w:t>Garó</w:t>
      </w:r>
      <w:r w:rsidRPr="00AB6F2B">
        <w:rPr>
          <w:rFonts w:eastAsia="Calibri"/>
          <w:bCs/>
          <w:vertAlign w:val="superscript"/>
          <w:lang w:val="es-ES" w:eastAsia="en-US"/>
        </w:rPr>
        <w:t>2</w:t>
      </w:r>
      <w:proofErr w:type="spellEnd"/>
      <w:r w:rsidRPr="00AB6F2B">
        <w:rPr>
          <w:rFonts w:eastAsia="Calibri"/>
          <w:bCs/>
          <w:vertAlign w:val="superscript"/>
          <w:lang w:val="es-ES" w:eastAsia="en-US"/>
        </w:rPr>
        <w:t xml:space="preserve"> </w:t>
      </w:r>
      <w:hyperlink r:id="rId8" w:history="1">
        <w:r w:rsidRPr="00AB6F2B">
          <w:rPr>
            <w:rFonts w:eastAsia="Calibri"/>
            <w:bCs/>
            <w:color w:val="0000FF"/>
            <w:u w:val="single"/>
            <w:lang w:val="es-ES" w:eastAsia="en-US"/>
          </w:rPr>
          <w:t>https://orcid.org/0000-0002-7775-8173</w:t>
        </w:r>
      </w:hyperlink>
    </w:p>
    <w:p w14:paraId="0B09114F" w14:textId="77777777" w:rsidR="00AB6F2B" w:rsidRPr="00AB6F2B" w:rsidRDefault="00AB6F2B" w:rsidP="00AB6F2B">
      <w:pPr>
        <w:spacing w:line="360" w:lineRule="auto"/>
        <w:jc w:val="both"/>
        <w:rPr>
          <w:rFonts w:eastAsia="Calibri"/>
          <w:bCs/>
          <w:lang w:val="es-ES" w:eastAsia="en-US"/>
        </w:rPr>
      </w:pPr>
      <w:r w:rsidRPr="00AB6F2B">
        <w:rPr>
          <w:rFonts w:eastAsia="Calibri"/>
          <w:bCs/>
          <w:lang w:val="es-ES" w:eastAsia="en-US"/>
        </w:rPr>
        <w:t xml:space="preserve">María Teresa Solomon </w:t>
      </w:r>
      <w:proofErr w:type="spellStart"/>
      <w:r w:rsidRPr="00AB6F2B">
        <w:rPr>
          <w:rFonts w:eastAsia="Calibri"/>
          <w:bCs/>
          <w:lang w:val="es-ES" w:eastAsia="en-US"/>
        </w:rPr>
        <w:t>Cardona</w:t>
      </w:r>
      <w:r w:rsidRPr="00AB6F2B">
        <w:rPr>
          <w:rFonts w:eastAsia="Calibri"/>
          <w:bCs/>
          <w:vertAlign w:val="superscript"/>
          <w:lang w:val="es-ES" w:eastAsia="en-US"/>
        </w:rPr>
        <w:t>3</w:t>
      </w:r>
      <w:proofErr w:type="spellEnd"/>
      <w:r w:rsidRPr="00AB6F2B">
        <w:rPr>
          <w:rFonts w:eastAsia="Calibri"/>
          <w:bCs/>
          <w:vertAlign w:val="superscript"/>
          <w:lang w:val="es-ES" w:eastAsia="en-US"/>
        </w:rPr>
        <w:t xml:space="preserve"> </w:t>
      </w:r>
      <w:hyperlink r:id="rId9" w:history="1">
        <w:r w:rsidRPr="00AB6F2B">
          <w:rPr>
            <w:rFonts w:eastAsia="Calibri"/>
            <w:bCs/>
            <w:color w:val="0000FF"/>
            <w:u w:val="single"/>
            <w:lang w:val="es-ES" w:eastAsia="en-US"/>
          </w:rPr>
          <w:t>https://orcid.org/0000-0003-4057-4503</w:t>
        </w:r>
      </w:hyperlink>
    </w:p>
    <w:p w14:paraId="75E9CA21" w14:textId="77777777" w:rsidR="00AB6F2B" w:rsidRPr="00AB6F2B" w:rsidRDefault="00AB6F2B" w:rsidP="00AB6F2B">
      <w:pPr>
        <w:spacing w:line="360" w:lineRule="auto"/>
        <w:jc w:val="both"/>
        <w:rPr>
          <w:rFonts w:eastAsia="Calibri"/>
          <w:bCs/>
          <w:lang w:val="es-ES" w:eastAsia="en-US"/>
        </w:rPr>
      </w:pPr>
      <w:r w:rsidRPr="00AB6F2B">
        <w:rPr>
          <w:rFonts w:eastAsia="Calibri"/>
          <w:bCs/>
          <w:lang w:val="es-ES" w:eastAsia="en-US"/>
        </w:rPr>
        <w:t xml:space="preserve">Carmen Elena Viada </w:t>
      </w:r>
      <w:proofErr w:type="spellStart"/>
      <w:r w:rsidRPr="00AB6F2B">
        <w:rPr>
          <w:rFonts w:eastAsia="Calibri"/>
          <w:bCs/>
          <w:lang w:val="es-ES" w:eastAsia="en-US"/>
        </w:rPr>
        <w:t>González</w:t>
      </w:r>
      <w:r w:rsidRPr="00AB6F2B">
        <w:rPr>
          <w:rFonts w:eastAsia="Calibri"/>
          <w:bCs/>
          <w:vertAlign w:val="superscript"/>
          <w:lang w:val="es-ES" w:eastAsia="en-US"/>
        </w:rPr>
        <w:t>4</w:t>
      </w:r>
      <w:proofErr w:type="spellEnd"/>
      <w:r w:rsidRPr="00AB6F2B">
        <w:rPr>
          <w:rFonts w:eastAsia="Calibri"/>
          <w:bCs/>
          <w:vertAlign w:val="superscript"/>
          <w:lang w:val="es-ES" w:eastAsia="en-US"/>
        </w:rPr>
        <w:t xml:space="preserve"> </w:t>
      </w:r>
      <w:hyperlink r:id="rId10" w:history="1">
        <w:r w:rsidRPr="00AB6F2B">
          <w:rPr>
            <w:rFonts w:eastAsia="Calibri"/>
            <w:bCs/>
            <w:color w:val="0000FF"/>
            <w:u w:val="single"/>
            <w:lang w:val="es-ES" w:eastAsia="en-US"/>
          </w:rPr>
          <w:t>https://orcid.org/0000-0002-1604-3545</w:t>
        </w:r>
      </w:hyperlink>
    </w:p>
    <w:p w14:paraId="24FC4A4D" w14:textId="77777777" w:rsidR="00AB6F2B" w:rsidRPr="00AB6F2B" w:rsidRDefault="00AB6F2B" w:rsidP="00AB6F2B">
      <w:pPr>
        <w:spacing w:line="360" w:lineRule="auto"/>
        <w:jc w:val="both"/>
        <w:rPr>
          <w:rFonts w:eastAsia="Calibri"/>
          <w:bCs/>
          <w:lang w:val="es-ES" w:eastAsia="en-US"/>
        </w:rPr>
      </w:pPr>
    </w:p>
    <w:p w14:paraId="7DBB3E9D" w14:textId="77777777" w:rsidR="00AB6F2B" w:rsidRPr="00AB6F2B" w:rsidRDefault="00AB6F2B" w:rsidP="00AB6F2B">
      <w:pPr>
        <w:spacing w:line="360" w:lineRule="auto"/>
        <w:jc w:val="both"/>
        <w:rPr>
          <w:rFonts w:eastAsia="Calibri"/>
          <w:bCs/>
          <w:lang w:val="es-ES" w:eastAsia="en-US"/>
        </w:rPr>
      </w:pPr>
      <w:proofErr w:type="spellStart"/>
      <w:r w:rsidRPr="00AB6F2B">
        <w:rPr>
          <w:rFonts w:eastAsia="Calibri"/>
          <w:bCs/>
          <w:vertAlign w:val="superscript"/>
          <w:lang w:val="es-ES" w:eastAsia="en-US"/>
        </w:rPr>
        <w:t>1</w:t>
      </w:r>
      <w:r w:rsidRPr="00AB6F2B">
        <w:rPr>
          <w:rFonts w:eastAsia="Calibri"/>
          <w:bCs/>
          <w:lang w:val="es-ES" w:eastAsia="en-US"/>
        </w:rPr>
        <w:t>Universidad</w:t>
      </w:r>
      <w:proofErr w:type="spellEnd"/>
      <w:r w:rsidRPr="00AB6F2B">
        <w:rPr>
          <w:rFonts w:eastAsia="Calibri"/>
          <w:bCs/>
          <w:lang w:val="es-ES" w:eastAsia="en-US"/>
        </w:rPr>
        <w:t xml:space="preserve"> de Ciencias Médicas de La Habana. Facultad de Ciencias Médicas “Calixto García”. La Habana, Cuba.</w:t>
      </w:r>
    </w:p>
    <w:p w14:paraId="135E1AA7" w14:textId="77777777" w:rsidR="00AB6F2B" w:rsidRPr="00AB6F2B" w:rsidRDefault="00AB6F2B" w:rsidP="00AB6F2B">
      <w:pPr>
        <w:spacing w:line="360" w:lineRule="auto"/>
        <w:jc w:val="both"/>
        <w:rPr>
          <w:rFonts w:eastAsia="Calibri"/>
          <w:bCs/>
          <w:lang w:val="es-ES" w:eastAsia="en-US"/>
        </w:rPr>
      </w:pPr>
      <w:proofErr w:type="spellStart"/>
      <w:r w:rsidRPr="00AB6F2B">
        <w:rPr>
          <w:rFonts w:eastAsia="Calibri"/>
          <w:bCs/>
          <w:vertAlign w:val="superscript"/>
          <w:lang w:val="es-ES" w:eastAsia="en-US"/>
        </w:rPr>
        <w:t>2</w:t>
      </w:r>
      <w:r w:rsidRPr="00AB6F2B">
        <w:rPr>
          <w:rFonts w:eastAsia="Calibri"/>
          <w:bCs/>
          <w:lang w:val="es-ES" w:eastAsia="en-US"/>
        </w:rPr>
        <w:t>Grupo</w:t>
      </w:r>
      <w:proofErr w:type="spellEnd"/>
      <w:r w:rsidRPr="00AB6F2B">
        <w:rPr>
          <w:rFonts w:eastAsia="Calibri"/>
          <w:bCs/>
          <w:lang w:val="es-ES" w:eastAsia="en-US"/>
        </w:rPr>
        <w:t xml:space="preserve"> Médico Dr. Baltazar &amp; Asociados. Higüey, República Dominicana.</w:t>
      </w:r>
    </w:p>
    <w:p w14:paraId="1C3137D6" w14:textId="77777777" w:rsidR="00AB6F2B" w:rsidRPr="00AB6F2B" w:rsidRDefault="00AB6F2B" w:rsidP="00AB6F2B">
      <w:pPr>
        <w:spacing w:line="360" w:lineRule="auto"/>
        <w:jc w:val="both"/>
        <w:rPr>
          <w:rFonts w:eastAsia="Calibri"/>
          <w:bCs/>
          <w:lang w:val="es-ES" w:eastAsia="en-US"/>
        </w:rPr>
      </w:pPr>
      <w:proofErr w:type="spellStart"/>
      <w:r w:rsidRPr="00AB6F2B">
        <w:rPr>
          <w:rFonts w:eastAsia="Calibri"/>
          <w:bCs/>
          <w:vertAlign w:val="superscript"/>
          <w:lang w:val="es-ES" w:eastAsia="en-US"/>
        </w:rPr>
        <w:t>3</w:t>
      </w:r>
      <w:r w:rsidRPr="00AB6F2B">
        <w:rPr>
          <w:rFonts w:eastAsia="Calibri"/>
          <w:bCs/>
          <w:lang w:val="es-ES" w:eastAsia="en-US"/>
        </w:rPr>
        <w:t>Centro</w:t>
      </w:r>
      <w:proofErr w:type="spellEnd"/>
      <w:r w:rsidRPr="00AB6F2B">
        <w:rPr>
          <w:rFonts w:eastAsia="Calibri"/>
          <w:bCs/>
          <w:lang w:val="es-ES" w:eastAsia="en-US"/>
        </w:rPr>
        <w:t xml:space="preserve"> Internacional de Restauración Neurológica (</w:t>
      </w:r>
      <w:proofErr w:type="spellStart"/>
      <w:r w:rsidRPr="00AB6F2B">
        <w:rPr>
          <w:rFonts w:eastAsia="Calibri"/>
          <w:bCs/>
          <w:lang w:val="es-ES" w:eastAsia="en-US"/>
        </w:rPr>
        <w:t>CIREN</w:t>
      </w:r>
      <w:proofErr w:type="spellEnd"/>
      <w:r w:rsidRPr="00AB6F2B">
        <w:rPr>
          <w:rFonts w:eastAsia="Calibri"/>
          <w:bCs/>
          <w:lang w:val="es-ES" w:eastAsia="en-US"/>
        </w:rPr>
        <w:t>). La Habana, Cuba.</w:t>
      </w:r>
    </w:p>
    <w:p w14:paraId="2737C4F1" w14:textId="77777777" w:rsidR="00AB6F2B" w:rsidRPr="00AB6F2B" w:rsidRDefault="00AB6F2B" w:rsidP="00AB6F2B">
      <w:pPr>
        <w:spacing w:line="360" w:lineRule="auto"/>
        <w:jc w:val="both"/>
        <w:rPr>
          <w:rFonts w:eastAsia="Calibri"/>
          <w:bCs/>
          <w:lang w:val="es-ES" w:eastAsia="en-US"/>
        </w:rPr>
      </w:pPr>
      <w:proofErr w:type="spellStart"/>
      <w:r w:rsidRPr="00AB6F2B">
        <w:rPr>
          <w:rFonts w:eastAsia="Calibri"/>
          <w:bCs/>
          <w:vertAlign w:val="superscript"/>
          <w:lang w:val="es-ES" w:eastAsia="en-US"/>
        </w:rPr>
        <w:t>4</w:t>
      </w:r>
      <w:r w:rsidRPr="00AB6F2B">
        <w:rPr>
          <w:rFonts w:eastAsia="Calibri"/>
          <w:bCs/>
          <w:lang w:val="es-ES" w:eastAsia="en-US"/>
        </w:rPr>
        <w:t>Centro</w:t>
      </w:r>
      <w:proofErr w:type="spellEnd"/>
      <w:r w:rsidRPr="00AB6F2B">
        <w:rPr>
          <w:rFonts w:eastAsia="Calibri"/>
          <w:bCs/>
          <w:lang w:val="es-ES" w:eastAsia="en-US"/>
        </w:rPr>
        <w:t xml:space="preserve"> de Inmunoensayo. La Habana, Cuba.</w:t>
      </w:r>
    </w:p>
    <w:p w14:paraId="218B0DDF" w14:textId="77777777" w:rsidR="00AB6F2B" w:rsidRPr="00AB6F2B" w:rsidRDefault="00AB6F2B" w:rsidP="00AB6F2B">
      <w:pPr>
        <w:spacing w:line="360" w:lineRule="auto"/>
        <w:jc w:val="both"/>
        <w:rPr>
          <w:rFonts w:eastAsia="Calibri"/>
          <w:bCs/>
          <w:lang w:val="es-ES" w:eastAsia="en-US"/>
        </w:rPr>
      </w:pPr>
    </w:p>
    <w:p w14:paraId="6E9FDFF4" w14:textId="77777777" w:rsidR="00AB6F2B" w:rsidRPr="00AB6F2B" w:rsidRDefault="00AB6F2B" w:rsidP="00AB6F2B">
      <w:pPr>
        <w:spacing w:line="360" w:lineRule="auto"/>
        <w:jc w:val="both"/>
        <w:rPr>
          <w:rFonts w:eastAsia="Calibri"/>
          <w:bCs/>
          <w:lang w:val="es-ES" w:eastAsia="en-US"/>
        </w:rPr>
      </w:pPr>
      <w:r w:rsidRPr="00AB6F2B">
        <w:rPr>
          <w:rFonts w:eastAsia="Calibri"/>
          <w:bCs/>
          <w:lang w:val="es-ES" w:eastAsia="en-US"/>
        </w:rPr>
        <w:t xml:space="preserve">*Autor para la correspondencia. Correo electrónico: </w:t>
      </w:r>
      <w:hyperlink r:id="rId11" w:history="1">
        <w:r w:rsidRPr="00AB6F2B">
          <w:rPr>
            <w:rFonts w:eastAsia="Calibri"/>
            <w:bCs/>
            <w:color w:val="0000FF"/>
            <w:u w:val="single"/>
            <w:lang w:val="es-ES" w:eastAsia="en-US"/>
          </w:rPr>
          <w:t>mesanchezpadin@gmail.com</w:t>
        </w:r>
      </w:hyperlink>
    </w:p>
    <w:p w14:paraId="065F7979" w14:textId="77777777" w:rsidR="00AB6F2B" w:rsidRPr="00AB6F2B" w:rsidRDefault="00AB6F2B" w:rsidP="00AB6F2B">
      <w:pPr>
        <w:spacing w:line="360" w:lineRule="auto"/>
        <w:jc w:val="both"/>
        <w:rPr>
          <w:rFonts w:eastAsia="Calibri"/>
          <w:bCs/>
          <w:lang w:val="es-ES" w:eastAsia="en-US"/>
        </w:rPr>
      </w:pPr>
    </w:p>
    <w:p w14:paraId="17C3C4BE" w14:textId="77777777" w:rsidR="00AB6F2B" w:rsidRPr="00AB6F2B" w:rsidRDefault="00AB6F2B" w:rsidP="00AB6F2B">
      <w:pPr>
        <w:spacing w:line="360" w:lineRule="auto"/>
        <w:rPr>
          <w:rFonts w:eastAsia="Calibri"/>
          <w:b/>
          <w:lang w:val="es-ES" w:eastAsia="en-US"/>
        </w:rPr>
      </w:pPr>
      <w:r w:rsidRPr="00AB6F2B">
        <w:rPr>
          <w:rFonts w:eastAsia="Calibri"/>
          <w:b/>
          <w:lang w:val="es-ES" w:eastAsia="en-US"/>
        </w:rPr>
        <w:t>RESUMEN</w:t>
      </w:r>
    </w:p>
    <w:p w14:paraId="4C5F5FD3" w14:textId="77777777" w:rsidR="00AB6F2B" w:rsidRPr="00AB6F2B" w:rsidRDefault="00AB6F2B" w:rsidP="00AB6F2B">
      <w:pPr>
        <w:spacing w:line="360" w:lineRule="auto"/>
        <w:jc w:val="both"/>
        <w:rPr>
          <w:rFonts w:eastAsia="Calibri"/>
          <w:lang w:val="es-ES" w:eastAsia="en-US"/>
        </w:rPr>
      </w:pPr>
      <w:r w:rsidRPr="00AB6F2B">
        <w:rPr>
          <w:rFonts w:eastAsia="Calibri"/>
          <w:b/>
          <w:lang w:val="es-ES" w:eastAsia="en-US"/>
        </w:rPr>
        <w:t>Introducción:</w:t>
      </w:r>
      <w:r w:rsidRPr="00AB6F2B">
        <w:rPr>
          <w:rFonts w:eastAsia="Calibri"/>
          <w:lang w:val="es-ES" w:eastAsia="en-US"/>
        </w:rPr>
        <w:t xml:space="preserve"> El hematoma intracerebral espontáneo es la forma de ictus con mayores índices de mortalidad y morbilidad. No existe un consenso en cuanto a qué pacientes se benefician con la evacuación quirúrgica del hematoma y, además, la mortalidad posoperatoria es elevada. </w:t>
      </w:r>
    </w:p>
    <w:p w14:paraId="01EC0157" w14:textId="77777777" w:rsidR="00AB6F2B" w:rsidRPr="00AB6F2B" w:rsidRDefault="00AB6F2B" w:rsidP="00AB6F2B">
      <w:pPr>
        <w:spacing w:line="360" w:lineRule="auto"/>
        <w:jc w:val="both"/>
        <w:rPr>
          <w:rFonts w:eastAsia="Calibri"/>
          <w:lang w:val="es-ES" w:eastAsia="en-US"/>
        </w:rPr>
      </w:pPr>
      <w:r w:rsidRPr="00AB6F2B">
        <w:rPr>
          <w:rFonts w:eastAsia="Calibri"/>
          <w:b/>
          <w:lang w:val="es-ES" w:eastAsia="en-US"/>
        </w:rPr>
        <w:t xml:space="preserve">Objetivo: </w:t>
      </w:r>
      <w:r w:rsidRPr="00AB6F2B">
        <w:rPr>
          <w:rFonts w:eastAsia="Calibri"/>
          <w:lang w:val="es-ES" w:eastAsia="en-US"/>
        </w:rPr>
        <w:t xml:space="preserve">Crear un índice pronóstico de mortalidad posoperatoria para los pacientes con hematoma intracerebral tratados mediante craneotomía y evacuación del hematoma. </w:t>
      </w:r>
    </w:p>
    <w:p w14:paraId="55FC185B" w14:textId="77777777" w:rsidR="00AB6F2B" w:rsidRPr="00AB6F2B" w:rsidRDefault="00AB6F2B" w:rsidP="00AB6F2B">
      <w:pPr>
        <w:spacing w:line="360" w:lineRule="auto"/>
        <w:jc w:val="both"/>
        <w:rPr>
          <w:rFonts w:eastAsia="Calibri"/>
          <w:lang w:val="es-ES" w:eastAsia="en-US"/>
        </w:rPr>
      </w:pPr>
      <w:r w:rsidRPr="00AB6F2B">
        <w:rPr>
          <w:rFonts w:eastAsia="Calibri"/>
          <w:b/>
          <w:bCs/>
          <w:color w:val="000000"/>
          <w:lang w:val="es-ES" w:eastAsia="en-US"/>
        </w:rPr>
        <w:t xml:space="preserve">Métodos: </w:t>
      </w:r>
      <w:r w:rsidRPr="00AB6F2B">
        <w:rPr>
          <w:rFonts w:eastAsia="Calibri"/>
          <w:lang w:val="es-ES" w:eastAsia="en-US"/>
        </w:rPr>
        <w:t xml:space="preserve">Se realizó un estudio observacional, prospectivo de 116 pacientes con hematoma intracerebral tratados quirúrgicamente. Se identificaron factores preoperatorios relacionados con la mortalidad </w:t>
      </w:r>
      <w:r w:rsidRPr="00AB6F2B">
        <w:rPr>
          <w:rFonts w:eastAsia="Calibri"/>
          <w:lang w:val="es-ES" w:eastAsia="en-US"/>
        </w:rPr>
        <w:lastRenderedPageBreak/>
        <w:t xml:space="preserve">posoperatoria. Los factores pronósticos identificados se combinaron en un índice para estimar la capacidad predictiva y esta capacidad se comprobó en una muestra diferente. </w:t>
      </w:r>
    </w:p>
    <w:p w14:paraId="433F4C47" w14:textId="77777777" w:rsidR="00AB6F2B" w:rsidRPr="00AB6F2B" w:rsidRDefault="00AB6F2B" w:rsidP="00AB6F2B">
      <w:pPr>
        <w:spacing w:line="360" w:lineRule="auto"/>
        <w:jc w:val="both"/>
        <w:rPr>
          <w:rFonts w:eastAsia="Calibri"/>
          <w:color w:val="000000"/>
          <w:lang w:val="es-ES" w:eastAsia="en-US"/>
        </w:rPr>
      </w:pPr>
      <w:r w:rsidRPr="00AB6F2B">
        <w:rPr>
          <w:rFonts w:eastAsia="Calibri"/>
          <w:b/>
          <w:color w:val="000000"/>
          <w:lang w:val="es-ES" w:eastAsia="en-US"/>
        </w:rPr>
        <w:t xml:space="preserve">Resultados: </w:t>
      </w:r>
      <w:r w:rsidRPr="00AB6F2B">
        <w:rPr>
          <w:rFonts w:eastAsia="Calibri"/>
          <w:lang w:val="es-ES" w:eastAsia="en-US"/>
        </w:rPr>
        <w:t xml:space="preserve">La edad ≥ 60 años, la puntuación ≤ 10 puntos en la Escala de Coma de Glasgow y la profundidad del hematoma ≥ 1,25 cm, </w:t>
      </w:r>
      <w:r w:rsidRPr="00AB6F2B">
        <w:rPr>
          <w:rFonts w:eastAsia="Calibri"/>
          <w:color w:val="000000"/>
          <w:lang w:val="es-ES" w:eastAsia="en-US"/>
        </w:rPr>
        <w:t xml:space="preserve">constituyen predictores independientes de mortalidad posoperatoria. </w:t>
      </w:r>
      <w:r w:rsidRPr="00AB6F2B">
        <w:rPr>
          <w:rFonts w:eastAsia="Calibri"/>
          <w:lang w:val="es-ES" w:eastAsia="en-US"/>
        </w:rPr>
        <w:t xml:space="preserve">El área bajo la curva para la probabilidad de fallecer calculada por el modelo de regresión logística en la muestra de estimación fue 0,953 (IC: 0,905-1,000). </w:t>
      </w:r>
      <w:r w:rsidRPr="00AB6F2B">
        <w:rPr>
          <w:rFonts w:eastAsia="Calibri"/>
          <w:color w:val="000000"/>
          <w:lang w:val="es-ES" w:eastAsia="en-US"/>
        </w:rPr>
        <w:t xml:space="preserve">El índice pronóstico de mortalidad posoperatoria propuesto clasifica a los pacientes en bajo riesgo, intermedio, alto y muy alto riesgo de fallecer. </w:t>
      </w:r>
    </w:p>
    <w:p w14:paraId="6E5E1BE1" w14:textId="77777777" w:rsidR="00AB6F2B" w:rsidRPr="00AB6F2B" w:rsidRDefault="00AB6F2B" w:rsidP="00AB6F2B">
      <w:pPr>
        <w:spacing w:line="360" w:lineRule="auto"/>
        <w:jc w:val="both"/>
        <w:rPr>
          <w:rFonts w:eastAsia="Calibri"/>
          <w:lang w:val="es-ES" w:eastAsia="en-US"/>
        </w:rPr>
      </w:pPr>
      <w:r w:rsidRPr="00AB6F2B">
        <w:rPr>
          <w:rFonts w:eastAsia="Calibri"/>
          <w:b/>
          <w:bCs/>
          <w:color w:val="000000"/>
          <w:lang w:val="es-ES" w:eastAsia="en-US"/>
        </w:rPr>
        <w:t xml:space="preserve">Conclusiones: </w:t>
      </w:r>
      <w:r w:rsidRPr="00AB6F2B">
        <w:rPr>
          <w:rFonts w:eastAsia="Calibri"/>
          <w:bCs/>
          <w:lang w:val="es-ES" w:eastAsia="en-US"/>
        </w:rPr>
        <w:t>El índice pronóstico que se propone predice de forma correcta la mortalidad posoperatoria de los pacientes con hematoma intracerebral tratados mediante craneotomía y evacuación del hematoma.</w:t>
      </w:r>
    </w:p>
    <w:p w14:paraId="2B6069A5" w14:textId="77777777" w:rsidR="00AB6F2B" w:rsidRPr="00AB6F2B" w:rsidRDefault="00AB6F2B" w:rsidP="00AB6F2B">
      <w:pPr>
        <w:spacing w:line="360" w:lineRule="auto"/>
        <w:rPr>
          <w:rFonts w:eastAsia="Calibri"/>
          <w:lang w:val="es-ES" w:eastAsia="en-US"/>
        </w:rPr>
      </w:pPr>
      <w:r w:rsidRPr="00AB6F2B">
        <w:rPr>
          <w:rFonts w:eastAsia="Calibri"/>
          <w:b/>
          <w:lang w:val="es-ES" w:eastAsia="en-US"/>
        </w:rPr>
        <w:t xml:space="preserve">Palabras clave: </w:t>
      </w:r>
      <w:r w:rsidRPr="00AB6F2B">
        <w:rPr>
          <w:rFonts w:eastAsia="Calibri"/>
          <w:lang w:val="es-ES" w:eastAsia="en-US"/>
        </w:rPr>
        <w:t>hematoma intracerebral; mortalidad; pronóstico.</w:t>
      </w:r>
    </w:p>
    <w:p w14:paraId="2CC1AFCA" w14:textId="77777777" w:rsidR="00AB6F2B" w:rsidRPr="00AB6F2B" w:rsidRDefault="00AB6F2B" w:rsidP="00AB6F2B">
      <w:pPr>
        <w:spacing w:line="360" w:lineRule="auto"/>
        <w:rPr>
          <w:rFonts w:eastAsia="Calibri"/>
          <w:lang w:val="es-ES" w:eastAsia="en-US"/>
        </w:rPr>
      </w:pPr>
    </w:p>
    <w:p w14:paraId="1D81B1DA" w14:textId="77777777" w:rsidR="00AB6F2B" w:rsidRPr="00AB6F2B" w:rsidRDefault="00AB6F2B" w:rsidP="00AB6F2B">
      <w:pPr>
        <w:spacing w:line="360" w:lineRule="auto"/>
        <w:rPr>
          <w:rFonts w:eastAsia="Calibri"/>
          <w:b/>
          <w:lang w:val="en-US" w:eastAsia="en-US"/>
        </w:rPr>
      </w:pPr>
      <w:r w:rsidRPr="00AB6F2B">
        <w:rPr>
          <w:rFonts w:eastAsia="Calibri"/>
          <w:b/>
          <w:lang w:val="en-US" w:eastAsia="en-US"/>
        </w:rPr>
        <w:t>ABSTRACT</w:t>
      </w:r>
    </w:p>
    <w:p w14:paraId="1390A707" w14:textId="77777777" w:rsidR="00AB6F2B" w:rsidRPr="00AB6F2B" w:rsidRDefault="00AB6F2B" w:rsidP="00AB6F2B">
      <w:pPr>
        <w:spacing w:line="360" w:lineRule="auto"/>
        <w:jc w:val="both"/>
        <w:rPr>
          <w:rFonts w:eastAsia="Calibri"/>
          <w:lang w:val="en-US" w:eastAsia="en-US"/>
        </w:rPr>
      </w:pPr>
      <w:r w:rsidRPr="00AB6F2B">
        <w:rPr>
          <w:rFonts w:eastAsia="Calibri"/>
          <w:b/>
          <w:lang w:val="en-US" w:eastAsia="en-US"/>
        </w:rPr>
        <w:t>Introduction:</w:t>
      </w:r>
      <w:r w:rsidRPr="00AB6F2B">
        <w:rPr>
          <w:rFonts w:eastAsia="Calibri"/>
          <w:lang w:val="en-US" w:eastAsia="en-US"/>
        </w:rPr>
        <w:t xml:space="preserve"> Spontaneous intracerebral hematoma is the form of stroke with the highest mortality and morbidity rates. There is no consensus as to which patients benefit from surgical evacuation of the hematoma and, furthermore, postoperative mortality is high in most series. </w:t>
      </w:r>
    </w:p>
    <w:p w14:paraId="2F647F2D" w14:textId="77777777" w:rsidR="00AB6F2B" w:rsidRPr="00AB6F2B" w:rsidRDefault="00AB6F2B" w:rsidP="00AB6F2B">
      <w:pPr>
        <w:spacing w:line="360" w:lineRule="auto"/>
        <w:jc w:val="both"/>
        <w:rPr>
          <w:rFonts w:eastAsia="Calibri"/>
          <w:lang w:val="en-US" w:eastAsia="en-US"/>
        </w:rPr>
      </w:pPr>
      <w:r w:rsidRPr="00AB6F2B">
        <w:rPr>
          <w:rFonts w:eastAsia="Calibri"/>
          <w:b/>
          <w:lang w:val="en-US" w:eastAsia="en-US"/>
        </w:rPr>
        <w:t>Objective:</w:t>
      </w:r>
      <w:r w:rsidRPr="00AB6F2B">
        <w:rPr>
          <w:rFonts w:eastAsia="Calibri"/>
          <w:lang w:val="en-US" w:eastAsia="en-US"/>
        </w:rPr>
        <w:t xml:space="preserve"> To create a prognostic index of postoperative mortality for patients with intracerebral hematoma treated by craniotomy and hematoma evacuation. </w:t>
      </w:r>
    </w:p>
    <w:p w14:paraId="3D6FADB3" w14:textId="77777777" w:rsidR="00AB6F2B" w:rsidRPr="00AB6F2B" w:rsidRDefault="00AB6F2B" w:rsidP="00AB6F2B">
      <w:pPr>
        <w:spacing w:line="360" w:lineRule="auto"/>
        <w:jc w:val="both"/>
        <w:rPr>
          <w:rFonts w:eastAsia="Calibri"/>
          <w:lang w:val="en-US" w:eastAsia="en-US"/>
        </w:rPr>
      </w:pPr>
      <w:r w:rsidRPr="00AB6F2B">
        <w:rPr>
          <w:rFonts w:eastAsia="Calibri"/>
          <w:b/>
          <w:lang w:val="en-US" w:eastAsia="en-US"/>
        </w:rPr>
        <w:t>Methods:</w:t>
      </w:r>
      <w:r w:rsidRPr="00AB6F2B">
        <w:rPr>
          <w:rFonts w:eastAsia="Calibri"/>
          <w:lang w:val="en-US" w:eastAsia="en-US"/>
        </w:rPr>
        <w:t xml:space="preserve"> An observational, prospective study of 116 patients with intracerebral hematoma treated surgically was carried out. Preoperative factors related to postoperative mortality were identified. The identified prognostic factors were combined in an index to estimate its predictive capacity, and this capacity was verified in a different sample. </w:t>
      </w:r>
    </w:p>
    <w:p w14:paraId="00678964" w14:textId="77777777" w:rsidR="00AB6F2B" w:rsidRPr="00AB6F2B" w:rsidRDefault="00AB6F2B" w:rsidP="00AB6F2B">
      <w:pPr>
        <w:spacing w:line="360" w:lineRule="auto"/>
        <w:jc w:val="both"/>
        <w:rPr>
          <w:rFonts w:eastAsia="Calibri"/>
          <w:lang w:val="en-US" w:eastAsia="en-US"/>
        </w:rPr>
      </w:pPr>
      <w:r w:rsidRPr="00AB6F2B">
        <w:rPr>
          <w:rFonts w:eastAsia="Calibri"/>
          <w:b/>
          <w:lang w:val="en-US" w:eastAsia="en-US"/>
        </w:rPr>
        <w:t>Results:</w:t>
      </w:r>
      <w:r w:rsidRPr="00AB6F2B">
        <w:rPr>
          <w:rFonts w:eastAsia="Calibri"/>
          <w:lang w:val="en-US" w:eastAsia="en-US"/>
        </w:rPr>
        <w:t xml:space="preserve"> Age ≥ 60 years, Glasgow Coma Scale score ≤ 10 points, and hematoma depth ≥ 1.25 cm are independent predictors of postoperative mortality. The area under the curve for the probability of dying calculated by the logistic regression model in the estimation sample was 0.953 (CI: 0.905-1.000). The proposed postoperative mortality prognostic index classifies patients as low, intermediate, high risk and very high risk of death. </w:t>
      </w:r>
    </w:p>
    <w:p w14:paraId="1F0E813F" w14:textId="77777777" w:rsidR="00AB6F2B" w:rsidRPr="00AB6F2B" w:rsidRDefault="00AB6F2B" w:rsidP="00AB6F2B">
      <w:pPr>
        <w:spacing w:line="360" w:lineRule="auto"/>
        <w:jc w:val="both"/>
        <w:rPr>
          <w:rFonts w:eastAsia="Calibri"/>
          <w:lang w:val="en-US" w:eastAsia="en-US"/>
        </w:rPr>
      </w:pPr>
      <w:r w:rsidRPr="00AB6F2B">
        <w:rPr>
          <w:rFonts w:eastAsia="Calibri"/>
          <w:b/>
          <w:lang w:val="en-US" w:eastAsia="en-US"/>
        </w:rPr>
        <w:lastRenderedPageBreak/>
        <w:t>Conclusions:</w:t>
      </w:r>
      <w:r w:rsidRPr="00AB6F2B">
        <w:rPr>
          <w:rFonts w:eastAsia="Calibri"/>
          <w:lang w:val="en-US" w:eastAsia="en-US"/>
        </w:rPr>
        <w:t xml:space="preserve"> The proposed prognostic index correctly predicts postoperative mortality in patients with intracerebral hematoma treated by craniotomy and evacuation of the hematoma.</w:t>
      </w:r>
    </w:p>
    <w:p w14:paraId="0A80FF0B" w14:textId="77777777" w:rsidR="00AB6F2B" w:rsidRPr="00AB6F2B" w:rsidRDefault="00AB6F2B" w:rsidP="00AB6F2B">
      <w:pPr>
        <w:spacing w:line="360" w:lineRule="auto"/>
        <w:jc w:val="both"/>
        <w:rPr>
          <w:rFonts w:eastAsia="Calibri"/>
          <w:lang w:val="en-US" w:eastAsia="en-US"/>
        </w:rPr>
      </w:pPr>
      <w:r w:rsidRPr="00AB6F2B">
        <w:rPr>
          <w:rFonts w:eastAsia="Calibri"/>
          <w:b/>
          <w:lang w:val="en-US" w:eastAsia="en-US"/>
        </w:rPr>
        <w:t>Keywords:</w:t>
      </w:r>
      <w:r w:rsidRPr="00AB6F2B">
        <w:rPr>
          <w:rFonts w:eastAsia="Calibri"/>
          <w:lang w:val="en-US" w:eastAsia="en-US"/>
        </w:rPr>
        <w:t xml:space="preserve"> intracerebral hematoma; mortality; prognosis.</w:t>
      </w:r>
    </w:p>
    <w:p w14:paraId="11C510DB" w14:textId="77777777" w:rsidR="00AB6F2B" w:rsidRPr="00AB6F2B" w:rsidRDefault="00AB6F2B" w:rsidP="00AB6F2B">
      <w:pPr>
        <w:spacing w:line="360" w:lineRule="auto"/>
        <w:jc w:val="both"/>
        <w:rPr>
          <w:rFonts w:eastAsia="Calibri"/>
          <w:lang w:val="en-US" w:eastAsia="en-US"/>
        </w:rPr>
      </w:pPr>
    </w:p>
    <w:p w14:paraId="50245C74" w14:textId="77777777" w:rsidR="00AB6F2B" w:rsidRPr="00AB6F2B" w:rsidRDefault="00AB6F2B" w:rsidP="00AB6F2B">
      <w:pPr>
        <w:spacing w:line="360" w:lineRule="auto"/>
        <w:jc w:val="both"/>
        <w:rPr>
          <w:rFonts w:eastAsia="Calibri"/>
          <w:lang w:val="en-US" w:eastAsia="en-US"/>
        </w:rPr>
      </w:pPr>
    </w:p>
    <w:p w14:paraId="1DFB9F24"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Recibido: 16/06/2022</w:t>
      </w:r>
    </w:p>
    <w:p w14:paraId="5914E91D"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Aprobado: 31/08/2022</w:t>
      </w:r>
    </w:p>
    <w:p w14:paraId="123FF0DA" w14:textId="77777777" w:rsidR="00AB6F2B" w:rsidRPr="00AB6F2B" w:rsidRDefault="00AB6F2B" w:rsidP="00AB6F2B">
      <w:pPr>
        <w:spacing w:line="360" w:lineRule="auto"/>
        <w:jc w:val="both"/>
        <w:rPr>
          <w:rFonts w:eastAsia="Calibri"/>
          <w:lang w:val="es-ES" w:eastAsia="en-US"/>
        </w:rPr>
      </w:pPr>
    </w:p>
    <w:p w14:paraId="3A07A394" w14:textId="77777777" w:rsidR="00AB6F2B" w:rsidRPr="00AB6F2B" w:rsidRDefault="00AB6F2B" w:rsidP="00AB6F2B">
      <w:pPr>
        <w:spacing w:line="360" w:lineRule="auto"/>
        <w:rPr>
          <w:rFonts w:eastAsia="Calibri"/>
          <w:b/>
          <w:lang w:val="es-ES" w:eastAsia="en-US"/>
        </w:rPr>
      </w:pPr>
    </w:p>
    <w:p w14:paraId="521B2A13" w14:textId="77777777" w:rsidR="00AB6F2B" w:rsidRPr="00AB6F2B" w:rsidRDefault="00AB6F2B" w:rsidP="00AB6F2B">
      <w:pPr>
        <w:spacing w:line="360" w:lineRule="auto"/>
        <w:jc w:val="center"/>
        <w:rPr>
          <w:rFonts w:eastAsia="Calibri"/>
          <w:b/>
          <w:sz w:val="32"/>
          <w:szCs w:val="32"/>
          <w:lang w:val="es-ES" w:eastAsia="en-US"/>
        </w:rPr>
      </w:pPr>
      <w:r w:rsidRPr="00AB6F2B">
        <w:rPr>
          <w:rFonts w:eastAsia="Calibri"/>
          <w:b/>
          <w:sz w:val="32"/>
          <w:szCs w:val="32"/>
          <w:lang w:val="es-ES" w:eastAsia="en-US"/>
        </w:rPr>
        <w:t>INTRODUCCIÓN</w:t>
      </w:r>
    </w:p>
    <w:p w14:paraId="7729F56A" w14:textId="77777777" w:rsidR="00AB6F2B" w:rsidRPr="00AB6F2B" w:rsidRDefault="00AB6F2B" w:rsidP="00AB6F2B">
      <w:pPr>
        <w:autoSpaceDE w:val="0"/>
        <w:autoSpaceDN w:val="0"/>
        <w:adjustRightInd w:val="0"/>
        <w:spacing w:line="360" w:lineRule="auto"/>
        <w:jc w:val="both"/>
        <w:rPr>
          <w:rFonts w:eastAsia="Calibri"/>
          <w:vertAlign w:val="superscript"/>
          <w:lang w:val="es-ES" w:eastAsia="en-US"/>
        </w:rPr>
      </w:pPr>
      <w:r w:rsidRPr="00AB6F2B">
        <w:rPr>
          <w:rFonts w:eastAsia="Calibri"/>
          <w:color w:val="000000"/>
          <w:lang w:val="es-ES" w:eastAsia="en-US"/>
        </w:rPr>
        <w:t xml:space="preserve">El hematoma intracerebral (HIC) constituye una de las formas clínicas de </w:t>
      </w:r>
      <w:proofErr w:type="gramStart"/>
      <w:r w:rsidRPr="00AB6F2B">
        <w:rPr>
          <w:rFonts w:eastAsia="Calibri"/>
          <w:color w:val="000000"/>
          <w:lang w:val="es-ES" w:eastAsia="en-US"/>
        </w:rPr>
        <w:t>ictus.</w:t>
      </w:r>
      <w:r w:rsidRPr="00AB6F2B">
        <w:rPr>
          <w:rFonts w:eastAsia="Calibri"/>
          <w:color w:val="000000"/>
          <w:vertAlign w:val="superscript"/>
          <w:lang w:val="es-ES" w:eastAsia="en-US"/>
        </w:rPr>
        <w:t>(</w:t>
      </w:r>
      <w:proofErr w:type="gramEnd"/>
      <w:r w:rsidRPr="00AB6F2B">
        <w:rPr>
          <w:rFonts w:eastAsia="Calibri"/>
          <w:color w:val="000000"/>
          <w:vertAlign w:val="superscript"/>
          <w:lang w:val="es-ES" w:eastAsia="en-US"/>
        </w:rPr>
        <w:t>1)</w:t>
      </w:r>
      <w:r w:rsidRPr="00AB6F2B">
        <w:rPr>
          <w:rFonts w:eastAsia="Calibri"/>
          <w:color w:val="000000"/>
          <w:lang w:val="es-ES" w:eastAsia="en-US"/>
        </w:rPr>
        <w:t xml:space="preserve"> Según reportes ocupa el tercer lugar después del infarto cerebral aterotrombótico y embólico.</w:t>
      </w:r>
      <w:r w:rsidRPr="00AB6F2B">
        <w:rPr>
          <w:rFonts w:eastAsia="Calibri"/>
          <w:color w:val="000000"/>
          <w:vertAlign w:val="superscript"/>
          <w:lang w:val="es-ES" w:eastAsia="en-US"/>
        </w:rPr>
        <w:t>(2,3)</w:t>
      </w:r>
      <w:r w:rsidRPr="00AB6F2B">
        <w:rPr>
          <w:rFonts w:eastAsia="Calibri"/>
          <w:color w:val="000000"/>
          <w:lang w:val="es-ES" w:eastAsia="en-US"/>
        </w:rPr>
        <w:t xml:space="preserve"> S</w:t>
      </w:r>
      <w:r w:rsidRPr="00AB6F2B">
        <w:rPr>
          <w:rFonts w:eastAsia="Calibri"/>
          <w:lang w:val="es-ES" w:eastAsia="en-US"/>
        </w:rPr>
        <w:t>e considera la forma más devastadora de ictus, con elevada mortalidad y alta probabilidad de secuelas en la mayoría de los que sobreviven al ictus.</w:t>
      </w:r>
      <w:r w:rsidRPr="00AB6F2B">
        <w:rPr>
          <w:rFonts w:eastAsia="Calibri"/>
          <w:vertAlign w:val="superscript"/>
          <w:lang w:val="es-ES" w:eastAsia="en-US"/>
        </w:rPr>
        <w:t>(1)</w:t>
      </w:r>
      <w:r w:rsidRPr="00AB6F2B">
        <w:rPr>
          <w:rFonts w:eastAsia="Calibri"/>
          <w:lang w:val="es-ES" w:eastAsia="en-US"/>
        </w:rPr>
        <w:t xml:space="preserve"> Con frecuencia, el paciente necesita de la intervención de un neurocirujano, como parte de la atención multidisciplinaria.</w:t>
      </w:r>
    </w:p>
    <w:p w14:paraId="1FB8CD89" w14:textId="77777777" w:rsidR="00AB6F2B" w:rsidRPr="00AB6F2B" w:rsidRDefault="00AB6F2B" w:rsidP="00AB6F2B">
      <w:pPr>
        <w:spacing w:line="360" w:lineRule="auto"/>
        <w:jc w:val="both"/>
        <w:rPr>
          <w:rFonts w:eastAsia="Calibri"/>
          <w:vertAlign w:val="superscript"/>
          <w:lang w:val="es-ES" w:eastAsia="en-US"/>
        </w:rPr>
      </w:pPr>
      <w:r w:rsidRPr="00AB6F2B">
        <w:rPr>
          <w:rFonts w:eastAsia="Calibri"/>
          <w:lang w:val="es-ES" w:eastAsia="en-US"/>
        </w:rPr>
        <w:t xml:space="preserve">Desde la década de los años noventa, el tratamiento quirúrgico brindaba, según los criterios de entonces, una variante favorable para disminuir la mortalidad, al intervenir y modular varias de las posibles complicaciones intracraneales originadas durante evolución clínica. Sin embargo, la revisión sistemática en relación con la mortalidad posoperatoria, muestra resultados controvertidos en cuanto a la conveniencia de la evacuación quirúrgica de los HIC o localizados en el espacio </w:t>
      </w:r>
      <w:proofErr w:type="gramStart"/>
      <w:r w:rsidRPr="00AB6F2B">
        <w:rPr>
          <w:rFonts w:eastAsia="Calibri"/>
          <w:lang w:val="es-ES" w:eastAsia="en-US"/>
        </w:rPr>
        <w:t>supratentorial.</w:t>
      </w:r>
      <w:r w:rsidRPr="00AB6F2B">
        <w:rPr>
          <w:rFonts w:eastAsia="Calibri"/>
          <w:vertAlign w:val="superscript"/>
          <w:lang w:val="es-ES" w:eastAsia="en-US"/>
        </w:rPr>
        <w:t>(</w:t>
      </w:r>
      <w:proofErr w:type="gramEnd"/>
      <w:r w:rsidRPr="00AB6F2B">
        <w:rPr>
          <w:rFonts w:eastAsia="Calibri"/>
          <w:vertAlign w:val="superscript"/>
          <w:lang w:val="es-ES" w:eastAsia="en-US"/>
        </w:rPr>
        <w:t xml:space="preserve">4,5,6,7) </w:t>
      </w:r>
      <w:r w:rsidRPr="00AB6F2B">
        <w:rPr>
          <w:rFonts w:eastAsia="Calibri"/>
          <w:lang w:val="es-ES" w:eastAsia="en-US"/>
        </w:rPr>
        <w:t>Al contrario de los hematomas supratentoriales o intracerebrales, no existe discusión en cuanto a los criterios quirúrgicos para los hematomas cerebelosos, los cuales están bien definidos, según evidencias históricas reportadas, desde finales del  siglo XX.</w:t>
      </w:r>
      <w:r w:rsidRPr="00AB6F2B">
        <w:rPr>
          <w:rFonts w:eastAsia="Calibri"/>
          <w:vertAlign w:val="superscript"/>
          <w:lang w:val="es-ES" w:eastAsia="en-US"/>
        </w:rPr>
        <w:t>(1)</w:t>
      </w:r>
    </w:p>
    <w:p w14:paraId="0FB1B526" w14:textId="59E34A59" w:rsidR="00AB6F2B" w:rsidRPr="00AB6F2B" w:rsidRDefault="00AB6F2B" w:rsidP="00AB6F2B">
      <w:pPr>
        <w:spacing w:line="360" w:lineRule="auto"/>
        <w:jc w:val="both"/>
        <w:rPr>
          <w:rFonts w:eastAsia="Calibri"/>
          <w:vertAlign w:val="superscript"/>
          <w:lang w:val="es-ES" w:eastAsia="en-US"/>
        </w:rPr>
      </w:pPr>
      <w:r w:rsidRPr="00AB6F2B">
        <w:rPr>
          <w:rFonts w:eastAsia="Calibri"/>
          <w:lang w:val="es-ES" w:eastAsia="en-US"/>
        </w:rPr>
        <w:t xml:space="preserve">El Servicio de Neurocirugía del Hospital Universitario “General Calixto García” tiene estas eventualidades clínicas. En el año 2015 inició un proyecto de investigación institucional, sobre el tratamiento quirúrgico del HIC, a partir de la elevada mortalidad posoperatoria, superior al 50 % durante 2 años consecutivos, según los informes quirúrgicos anuales del Comité </w:t>
      </w:r>
      <w:proofErr w:type="gramStart"/>
      <w:r w:rsidRPr="00AB6F2B">
        <w:rPr>
          <w:rFonts w:eastAsia="Calibri"/>
          <w:lang w:val="es-ES" w:eastAsia="en-US"/>
        </w:rPr>
        <w:t>Quirúrgico.</w:t>
      </w:r>
      <w:r w:rsidRPr="00AB6F2B">
        <w:rPr>
          <w:rFonts w:eastAsia="Calibri"/>
          <w:vertAlign w:val="superscript"/>
          <w:lang w:val="es-ES" w:eastAsia="en-US"/>
        </w:rPr>
        <w:t>(</w:t>
      </w:r>
      <w:proofErr w:type="gramEnd"/>
      <w:r w:rsidRPr="00AB6F2B">
        <w:rPr>
          <w:rFonts w:eastAsia="Calibri"/>
          <w:vertAlign w:val="superscript"/>
          <w:lang w:val="es-ES" w:eastAsia="en-US"/>
        </w:rPr>
        <w:t>8,9)</w:t>
      </w:r>
    </w:p>
    <w:p w14:paraId="2F7F2502"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lastRenderedPageBreak/>
        <w:t xml:space="preserve">La alta letalidad y las graves secuelas en los supervivientes, demandan un análisis crítico de los tratamientos con potencial terapéutico; aún la comunidad neuroquirúrgica no tiene un consenso en cuanto a los beneficios que pudiera ofrecer la evacuación quirúrgica del hematoma. Se practican intervenciones que no modifican la evolución clínica, sobreañaden complicaciones al paciente, relacionadas con el acto quirúrgico y pueden elevar la mortalidad. </w:t>
      </w:r>
    </w:p>
    <w:p w14:paraId="3BBB8C07" w14:textId="77777777" w:rsidR="00AB6F2B" w:rsidRPr="00AB6F2B" w:rsidRDefault="00AB6F2B" w:rsidP="00AB6F2B">
      <w:pPr>
        <w:widowControl w:val="0"/>
        <w:autoSpaceDE w:val="0"/>
        <w:autoSpaceDN w:val="0"/>
        <w:adjustRightInd w:val="0"/>
        <w:spacing w:line="360" w:lineRule="auto"/>
        <w:jc w:val="both"/>
        <w:rPr>
          <w:lang w:val="es-ES" w:eastAsia="en-US"/>
        </w:rPr>
      </w:pPr>
      <w:r w:rsidRPr="00AB6F2B">
        <w:rPr>
          <w:lang w:val="es-ES" w:eastAsia="en-US"/>
        </w:rPr>
        <w:t xml:space="preserve">Se impone la necesidad de disponer de indicadores pronósticos, para plantear el nivel de asistencia, facilitar la toma de decisiones, evitar la futilidad terapéutica y el consumo de recursos innecesarios. La identificación precoz de factores pronósticos, ayuda a establecer subgrupos de pacientes que pueden </w:t>
      </w:r>
      <w:r w:rsidRPr="00AB6F2B">
        <w:rPr>
          <w:i/>
          <w:iCs/>
          <w:lang w:val="es-ES" w:eastAsia="en-US"/>
        </w:rPr>
        <w:t>a priori</w:t>
      </w:r>
      <w:r w:rsidRPr="00AB6F2B">
        <w:rPr>
          <w:lang w:val="es-ES" w:eastAsia="en-US"/>
        </w:rPr>
        <w:t>,</w:t>
      </w:r>
      <w:r w:rsidRPr="00AB6F2B">
        <w:rPr>
          <w:i/>
          <w:iCs/>
          <w:lang w:val="es-ES" w:eastAsia="en-US"/>
        </w:rPr>
        <w:t xml:space="preserve"> </w:t>
      </w:r>
      <w:r w:rsidRPr="00AB6F2B">
        <w:rPr>
          <w:lang w:val="es-ES" w:eastAsia="en-US"/>
        </w:rPr>
        <w:t xml:space="preserve">conseguir un mayor beneficio de la terapia intensiva o del tratamiento neuroquirúrgico. </w:t>
      </w:r>
    </w:p>
    <w:p w14:paraId="24F7BB44" w14:textId="77777777" w:rsidR="00AB6F2B" w:rsidRPr="00AB6F2B" w:rsidRDefault="00AB6F2B" w:rsidP="00AB6F2B">
      <w:pPr>
        <w:widowControl w:val="0"/>
        <w:autoSpaceDE w:val="0"/>
        <w:autoSpaceDN w:val="0"/>
        <w:adjustRightInd w:val="0"/>
        <w:spacing w:line="360" w:lineRule="auto"/>
        <w:jc w:val="both"/>
        <w:rPr>
          <w:lang w:val="es-ES" w:eastAsia="en-US"/>
        </w:rPr>
      </w:pPr>
      <w:r w:rsidRPr="00AB6F2B">
        <w:rPr>
          <w:lang w:val="es-ES" w:eastAsia="en-US"/>
        </w:rPr>
        <w:t xml:space="preserve">La mortalidad posoperatoria tras la evacuación de un HIC, mediante cualquiera de las técnicas quirúrgicas disponibles, no ha disminuido de forma significativa en la última década, por lo que sería de gran utilidad disponer de índices o escalas de fácil aplicación en el servicio de urgencias, que permitan pronosticar la evolución posoperatoria del </w:t>
      </w:r>
      <w:proofErr w:type="gramStart"/>
      <w:r w:rsidRPr="00AB6F2B">
        <w:rPr>
          <w:lang w:val="es-ES" w:eastAsia="en-US"/>
        </w:rPr>
        <w:t>paciente.</w:t>
      </w:r>
      <w:r w:rsidRPr="00AB6F2B">
        <w:rPr>
          <w:vertAlign w:val="superscript"/>
          <w:lang w:val="es-ES" w:eastAsia="en-US"/>
        </w:rPr>
        <w:t>(</w:t>
      </w:r>
      <w:proofErr w:type="gramEnd"/>
      <w:r w:rsidRPr="00AB6F2B">
        <w:rPr>
          <w:vertAlign w:val="superscript"/>
          <w:lang w:val="es-ES" w:eastAsia="en-US"/>
        </w:rPr>
        <w:t>10)</w:t>
      </w:r>
    </w:p>
    <w:p w14:paraId="4ED7E78F"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Esta investigación tiene como objetivo crear un índice pronóstico de mortalidad posoperatoria para los pacientes con HIC, intervenidos quirúrgicamente a través de craneotomía y evacuación del hematoma.</w:t>
      </w:r>
    </w:p>
    <w:p w14:paraId="4BDB3A35" w14:textId="77777777" w:rsidR="00AB6F2B" w:rsidRPr="00AB6F2B" w:rsidRDefault="00AB6F2B" w:rsidP="00AB6F2B">
      <w:pPr>
        <w:spacing w:line="360" w:lineRule="auto"/>
        <w:jc w:val="both"/>
        <w:rPr>
          <w:rFonts w:eastAsia="Calibri"/>
          <w:b/>
          <w:lang w:val="es-ES" w:eastAsia="en-US"/>
        </w:rPr>
      </w:pPr>
    </w:p>
    <w:p w14:paraId="3454D441" w14:textId="77777777" w:rsidR="00AB6F2B" w:rsidRPr="00AB6F2B" w:rsidRDefault="00AB6F2B" w:rsidP="00AB6F2B">
      <w:pPr>
        <w:spacing w:line="360" w:lineRule="auto"/>
        <w:jc w:val="both"/>
        <w:rPr>
          <w:rFonts w:eastAsia="Calibri"/>
          <w:b/>
          <w:lang w:val="es-ES" w:eastAsia="en-US"/>
        </w:rPr>
      </w:pPr>
    </w:p>
    <w:p w14:paraId="355F82A7" w14:textId="77777777" w:rsidR="00AB6F2B" w:rsidRPr="00AB6F2B" w:rsidRDefault="00AB6F2B" w:rsidP="00AB6F2B">
      <w:pPr>
        <w:spacing w:line="360" w:lineRule="auto"/>
        <w:jc w:val="center"/>
        <w:rPr>
          <w:rFonts w:eastAsia="Calibri"/>
          <w:b/>
          <w:sz w:val="32"/>
          <w:szCs w:val="32"/>
          <w:lang w:val="es-ES" w:eastAsia="en-US"/>
        </w:rPr>
      </w:pPr>
      <w:r w:rsidRPr="00AB6F2B">
        <w:rPr>
          <w:rFonts w:eastAsia="Calibri"/>
          <w:b/>
          <w:sz w:val="32"/>
          <w:szCs w:val="32"/>
          <w:lang w:val="es-ES" w:eastAsia="en-US"/>
        </w:rPr>
        <w:t>MÉTODOS</w:t>
      </w:r>
    </w:p>
    <w:p w14:paraId="2C240D9F" w14:textId="77777777" w:rsidR="00AB6F2B" w:rsidRPr="00AB6F2B" w:rsidRDefault="00AB6F2B" w:rsidP="00AB6F2B">
      <w:pPr>
        <w:tabs>
          <w:tab w:val="left" w:pos="4253"/>
        </w:tabs>
        <w:spacing w:line="360" w:lineRule="auto"/>
        <w:jc w:val="center"/>
        <w:rPr>
          <w:rFonts w:eastAsia="Calibri"/>
          <w:b/>
          <w:bCs/>
          <w:sz w:val="28"/>
          <w:szCs w:val="28"/>
          <w:lang w:val="es-ES" w:eastAsia="en-US"/>
        </w:rPr>
      </w:pPr>
      <w:r w:rsidRPr="00AB6F2B">
        <w:rPr>
          <w:rFonts w:eastAsia="Calibri"/>
          <w:b/>
          <w:bCs/>
          <w:sz w:val="28"/>
          <w:szCs w:val="28"/>
          <w:lang w:val="es-ES" w:eastAsia="en-US"/>
        </w:rPr>
        <w:t>Diseño</w:t>
      </w:r>
    </w:p>
    <w:p w14:paraId="7E2B5524" w14:textId="77777777" w:rsidR="00AB6F2B" w:rsidRPr="00AB6F2B" w:rsidRDefault="00AB6F2B" w:rsidP="00AB6F2B">
      <w:pPr>
        <w:tabs>
          <w:tab w:val="left" w:pos="4253"/>
        </w:tabs>
        <w:spacing w:line="360" w:lineRule="auto"/>
        <w:jc w:val="both"/>
        <w:rPr>
          <w:rFonts w:eastAsia="Calibri"/>
          <w:lang w:val="es-ES" w:eastAsia="en-US"/>
        </w:rPr>
      </w:pPr>
      <w:r w:rsidRPr="00AB6F2B">
        <w:rPr>
          <w:rFonts w:eastAsia="Calibri"/>
          <w:lang w:val="es-ES" w:eastAsia="en-US"/>
        </w:rPr>
        <w:t xml:space="preserve">Se realizó un estudio prospectivo en una serie de casos, entre el </w:t>
      </w:r>
      <w:proofErr w:type="spellStart"/>
      <w:r w:rsidRPr="00AB6F2B">
        <w:rPr>
          <w:rFonts w:eastAsia="Calibri"/>
          <w:lang w:val="es-ES" w:eastAsia="en-US"/>
        </w:rPr>
        <w:t>1</w:t>
      </w:r>
      <w:r w:rsidRPr="00AB6F2B">
        <w:rPr>
          <w:rFonts w:eastAsia="Calibri"/>
          <w:vertAlign w:val="superscript"/>
          <w:lang w:val="es-ES" w:eastAsia="en-US"/>
        </w:rPr>
        <w:t>ro</w:t>
      </w:r>
      <w:proofErr w:type="spellEnd"/>
      <w:r w:rsidRPr="00AB6F2B">
        <w:rPr>
          <w:rFonts w:eastAsia="Calibri"/>
          <w:lang w:val="es-ES" w:eastAsia="en-US"/>
        </w:rPr>
        <w:t xml:space="preserve"> de enero de 2016 y el 31 de diciembre de 2019, en el Hospital Universitario “General Calixto García”.</w:t>
      </w:r>
    </w:p>
    <w:p w14:paraId="5F6E31C0" w14:textId="77777777" w:rsidR="00AB6F2B" w:rsidRPr="00AB6F2B" w:rsidRDefault="00AB6F2B" w:rsidP="00AB6F2B">
      <w:pPr>
        <w:tabs>
          <w:tab w:val="left" w:pos="4253"/>
        </w:tabs>
        <w:spacing w:line="360" w:lineRule="auto"/>
        <w:jc w:val="center"/>
        <w:rPr>
          <w:rFonts w:eastAsia="Calibri"/>
          <w:b/>
          <w:bCs/>
          <w:sz w:val="28"/>
          <w:szCs w:val="28"/>
          <w:lang w:val="es-ES" w:eastAsia="en-US"/>
        </w:rPr>
      </w:pPr>
      <w:r w:rsidRPr="00AB6F2B">
        <w:rPr>
          <w:rFonts w:eastAsia="Calibri"/>
          <w:b/>
          <w:bCs/>
          <w:sz w:val="28"/>
          <w:szCs w:val="28"/>
          <w:lang w:val="es-ES" w:eastAsia="en-US"/>
        </w:rPr>
        <w:t>Sujetos</w:t>
      </w:r>
    </w:p>
    <w:p w14:paraId="21776D57" w14:textId="77777777" w:rsidR="00AB6F2B" w:rsidRPr="00AB6F2B" w:rsidRDefault="00AB6F2B" w:rsidP="00AB6F2B">
      <w:pPr>
        <w:tabs>
          <w:tab w:val="left" w:pos="4253"/>
        </w:tabs>
        <w:spacing w:line="360" w:lineRule="auto"/>
        <w:jc w:val="both"/>
        <w:rPr>
          <w:rFonts w:eastAsia="Calibri"/>
          <w:lang w:val="es-ES" w:eastAsia="en-US"/>
        </w:rPr>
      </w:pPr>
      <w:r w:rsidRPr="00AB6F2B">
        <w:rPr>
          <w:rFonts w:eastAsia="Calibri"/>
          <w:lang w:val="es-ES" w:eastAsia="en-US"/>
        </w:rPr>
        <w:t xml:space="preserve">Fueron seleccionados los pacientes con diagnóstico de HIC, tratados mediante craneotomía y evacuación del hematoma, que en la tomografía simple de cráneo (TC) mostraron una imagen intraparenquimatosa, predominantemente homogénea e hiperdensa, localizada en los hemisferios cerebrales. No se incluyeron si tenían los siguientes antecedentes: discrasias sanguíneas, tratamiento con anticoagulantes o consumo de drogas, trauma craneoencefálico asociado al ictus hemorrágico, intervención quirúrgica realizada 24 </w:t>
      </w:r>
      <w:r w:rsidRPr="00AB6F2B">
        <w:rPr>
          <w:rFonts w:eastAsia="Calibri"/>
          <w:lang w:val="es-ES" w:eastAsia="en-US"/>
        </w:rPr>
        <w:lastRenderedPageBreak/>
        <w:t>horas o más después del inicio de los síntomas, técnica quirúrgica diferente a la craneotomía y evacuación del hematoma o derivación ventricular al exterior en el acto quirúrgico, si la TC o el informe operatorio mostró presencia de hidrocefalia aguda o hematoma secundario a tumor cerebral, malformación vascular o infarto cerebral, o en fase terminal de alguna enfermedad previa.</w:t>
      </w:r>
    </w:p>
    <w:p w14:paraId="7DAA6D3B"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 xml:space="preserve">Resultaron 116 pacientes. La serie fue dividida aleatoriamente en 2 grupos (mediante la función aleatorizar del SPSS), de 58 pacientes para cada uno. </w:t>
      </w:r>
    </w:p>
    <w:p w14:paraId="0E2D6D58"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 xml:space="preserve">Un grupo se denominó muestra de estimación (ME), en el cual se identificaron los factores pronósticos de mortalidad posoperatoria y se construyó el índice pronóstico (IP). </w:t>
      </w:r>
    </w:p>
    <w:p w14:paraId="7FC874A6"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El otro grupo se denominó muestra de comprobación (MC) y se calculó el IP para comprobar la capacidad predictiva del índice obtenido en la ME.</w:t>
      </w:r>
    </w:p>
    <w:p w14:paraId="48300089" w14:textId="77777777" w:rsidR="00AB6F2B" w:rsidRPr="00AB6F2B" w:rsidRDefault="00AB6F2B" w:rsidP="00AB6F2B">
      <w:pPr>
        <w:spacing w:line="360" w:lineRule="auto"/>
        <w:jc w:val="center"/>
        <w:rPr>
          <w:rFonts w:eastAsia="Calibri"/>
          <w:b/>
          <w:bCs/>
          <w:sz w:val="28"/>
          <w:szCs w:val="28"/>
          <w:lang w:val="es-ES" w:eastAsia="en-US"/>
        </w:rPr>
      </w:pPr>
      <w:r w:rsidRPr="00AB6F2B">
        <w:rPr>
          <w:rFonts w:eastAsia="Calibri"/>
          <w:b/>
          <w:bCs/>
          <w:sz w:val="28"/>
          <w:szCs w:val="28"/>
          <w:lang w:val="es-ES" w:eastAsia="en-US"/>
        </w:rPr>
        <w:t>Variables</w:t>
      </w:r>
    </w:p>
    <w:p w14:paraId="749167E6"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 xml:space="preserve">El estado al egreso fue la variable dependiente del estudio. Se obtuvo según el paciente estuviera vivo o fallecido al alta hospitalaria o a los 30 días desde el ingreso. Las variables independientes fueron: </w:t>
      </w:r>
    </w:p>
    <w:p w14:paraId="094BE47C" w14:textId="77777777" w:rsidR="00AB6F2B" w:rsidRPr="00AB6F2B" w:rsidRDefault="00AB6F2B" w:rsidP="00AB6F2B">
      <w:pPr>
        <w:spacing w:line="360" w:lineRule="auto"/>
        <w:jc w:val="both"/>
        <w:rPr>
          <w:rFonts w:eastAsia="Calibri"/>
          <w:lang w:val="es-ES" w:eastAsia="en-US"/>
        </w:rPr>
      </w:pPr>
    </w:p>
    <w:p w14:paraId="3F891B53" w14:textId="77777777" w:rsidR="00AB6F2B" w:rsidRPr="00AB6F2B" w:rsidRDefault="00AB6F2B" w:rsidP="00BB5D39">
      <w:pPr>
        <w:numPr>
          <w:ilvl w:val="0"/>
          <w:numId w:val="13"/>
        </w:numPr>
        <w:spacing w:line="360" w:lineRule="auto"/>
        <w:ind w:left="284" w:hanging="284"/>
        <w:contextualSpacing/>
        <w:jc w:val="both"/>
        <w:rPr>
          <w:lang w:val="es-ES" w:eastAsia="es-ES"/>
        </w:rPr>
      </w:pPr>
      <w:r w:rsidRPr="00AB6F2B">
        <w:rPr>
          <w:lang w:val="es-ES" w:eastAsia="es-ES"/>
        </w:rPr>
        <w:t>Edad: años cumplidos al ingreso.</w:t>
      </w:r>
    </w:p>
    <w:p w14:paraId="09EA146D" w14:textId="77777777" w:rsidR="00AB6F2B" w:rsidRPr="00AB6F2B" w:rsidRDefault="00AB6F2B" w:rsidP="00BB5D39">
      <w:pPr>
        <w:numPr>
          <w:ilvl w:val="0"/>
          <w:numId w:val="13"/>
        </w:numPr>
        <w:spacing w:line="360" w:lineRule="auto"/>
        <w:ind w:left="284" w:hanging="284"/>
        <w:contextualSpacing/>
        <w:jc w:val="both"/>
        <w:rPr>
          <w:lang w:val="es-ES" w:eastAsia="es-ES"/>
        </w:rPr>
      </w:pPr>
      <w:r w:rsidRPr="00AB6F2B">
        <w:rPr>
          <w:lang w:val="es-ES" w:eastAsia="es-ES"/>
        </w:rPr>
        <w:t>Sexo.</w:t>
      </w:r>
    </w:p>
    <w:p w14:paraId="741E41D5" w14:textId="77777777" w:rsidR="00AB6F2B" w:rsidRPr="00AB6F2B" w:rsidRDefault="00AB6F2B" w:rsidP="00BB5D39">
      <w:pPr>
        <w:numPr>
          <w:ilvl w:val="0"/>
          <w:numId w:val="13"/>
        </w:numPr>
        <w:spacing w:line="360" w:lineRule="auto"/>
        <w:ind w:left="284" w:hanging="284"/>
        <w:contextualSpacing/>
        <w:jc w:val="both"/>
        <w:rPr>
          <w:lang w:val="es-ES" w:eastAsia="es-ES"/>
        </w:rPr>
      </w:pPr>
      <w:r w:rsidRPr="00AB6F2B">
        <w:rPr>
          <w:bCs/>
          <w:lang w:val="es-ES" w:eastAsia="es-ES"/>
        </w:rPr>
        <w:t xml:space="preserve">Escala de Coma de </w:t>
      </w:r>
      <w:proofErr w:type="spellStart"/>
      <w:r w:rsidRPr="00AB6F2B">
        <w:rPr>
          <w:bCs/>
          <w:lang w:val="es-ES" w:eastAsia="es-ES"/>
        </w:rPr>
        <w:t>Glagow</w:t>
      </w:r>
      <w:proofErr w:type="spellEnd"/>
      <w:r w:rsidRPr="00AB6F2B">
        <w:rPr>
          <w:bCs/>
          <w:lang w:val="es-ES" w:eastAsia="es-ES"/>
        </w:rPr>
        <w:t xml:space="preserve"> </w:t>
      </w:r>
      <w:r w:rsidRPr="00AB6F2B">
        <w:rPr>
          <w:lang w:val="es-ES" w:eastAsia="es-ES"/>
        </w:rPr>
        <w:t>al ingreso.</w:t>
      </w:r>
    </w:p>
    <w:p w14:paraId="47D076F9" w14:textId="77777777" w:rsidR="00AB6F2B" w:rsidRPr="00AB6F2B" w:rsidRDefault="00AB6F2B" w:rsidP="00BB5D39">
      <w:pPr>
        <w:numPr>
          <w:ilvl w:val="0"/>
          <w:numId w:val="13"/>
        </w:numPr>
        <w:spacing w:line="360" w:lineRule="auto"/>
        <w:ind w:left="284" w:hanging="284"/>
        <w:contextualSpacing/>
        <w:jc w:val="both"/>
        <w:rPr>
          <w:lang w:val="es-ES" w:eastAsia="es-ES"/>
        </w:rPr>
      </w:pPr>
      <w:r w:rsidRPr="00AB6F2B">
        <w:rPr>
          <w:lang w:val="es-ES" w:eastAsia="es-ES"/>
        </w:rPr>
        <w:t xml:space="preserve">Localización: sitio topográfico del hematoma en los hemisferios cerebrales: lobar o núcleos grises de la base (tálamo, </w:t>
      </w:r>
      <w:proofErr w:type="spellStart"/>
      <w:r w:rsidRPr="00AB6F2B">
        <w:rPr>
          <w:lang w:val="es-ES" w:eastAsia="es-ES"/>
        </w:rPr>
        <w:t>putamen</w:t>
      </w:r>
      <w:proofErr w:type="spellEnd"/>
      <w:r w:rsidRPr="00AB6F2B">
        <w:rPr>
          <w:lang w:val="es-ES" w:eastAsia="es-ES"/>
        </w:rPr>
        <w:t>, caudado).</w:t>
      </w:r>
    </w:p>
    <w:p w14:paraId="23710C32" w14:textId="77777777" w:rsidR="00AB6F2B" w:rsidRPr="00AB6F2B" w:rsidRDefault="00AB6F2B" w:rsidP="00BB5D39">
      <w:pPr>
        <w:numPr>
          <w:ilvl w:val="0"/>
          <w:numId w:val="13"/>
        </w:numPr>
        <w:spacing w:line="360" w:lineRule="auto"/>
        <w:ind w:left="284" w:hanging="284"/>
        <w:contextualSpacing/>
        <w:jc w:val="both"/>
        <w:rPr>
          <w:lang w:val="es-ES" w:eastAsia="es-ES"/>
        </w:rPr>
      </w:pPr>
      <w:r w:rsidRPr="00AB6F2B">
        <w:rPr>
          <w:lang w:val="es-ES" w:eastAsia="es-ES"/>
        </w:rPr>
        <w:t>Profundidad del hematoma: menor distancia del borde externo del hematoma a la corteza cerebral, en cm.</w:t>
      </w:r>
    </w:p>
    <w:p w14:paraId="42ED968E" w14:textId="77777777" w:rsidR="00AB6F2B" w:rsidRPr="00AB6F2B" w:rsidRDefault="00AB6F2B" w:rsidP="00BB5D39">
      <w:pPr>
        <w:numPr>
          <w:ilvl w:val="0"/>
          <w:numId w:val="13"/>
        </w:numPr>
        <w:spacing w:line="360" w:lineRule="auto"/>
        <w:ind w:left="284" w:hanging="284"/>
        <w:contextualSpacing/>
        <w:jc w:val="both"/>
        <w:rPr>
          <w:lang w:val="es-ES" w:eastAsia="es-ES"/>
        </w:rPr>
      </w:pPr>
      <w:r w:rsidRPr="00AB6F2B">
        <w:rPr>
          <w:lang w:val="es-ES" w:eastAsia="es-ES"/>
        </w:rPr>
        <w:t xml:space="preserve">Volumen del hematoma: según el método ABC/2, expresado en </w:t>
      </w:r>
      <w:proofErr w:type="gramStart"/>
      <w:r w:rsidRPr="00AB6F2B">
        <w:rPr>
          <w:lang w:val="es-ES" w:eastAsia="es-ES"/>
        </w:rPr>
        <w:t>mL.</w:t>
      </w:r>
      <w:r w:rsidRPr="00AB6F2B">
        <w:rPr>
          <w:vertAlign w:val="superscript"/>
          <w:lang w:val="es-ES" w:eastAsia="es-ES"/>
        </w:rPr>
        <w:t>(</w:t>
      </w:r>
      <w:proofErr w:type="gramEnd"/>
      <w:r w:rsidRPr="00AB6F2B">
        <w:rPr>
          <w:vertAlign w:val="superscript"/>
          <w:lang w:val="es-ES" w:eastAsia="es-ES"/>
        </w:rPr>
        <w:t>11)</w:t>
      </w:r>
    </w:p>
    <w:p w14:paraId="2FB5AEDD" w14:textId="77777777" w:rsidR="00AB6F2B" w:rsidRPr="00AB6F2B" w:rsidRDefault="00AB6F2B" w:rsidP="00BB5D39">
      <w:pPr>
        <w:numPr>
          <w:ilvl w:val="0"/>
          <w:numId w:val="13"/>
        </w:numPr>
        <w:spacing w:line="360" w:lineRule="auto"/>
        <w:ind w:left="284" w:hanging="284"/>
        <w:contextualSpacing/>
        <w:jc w:val="both"/>
        <w:rPr>
          <w:lang w:val="es-ES" w:eastAsia="es-ES"/>
        </w:rPr>
      </w:pPr>
      <w:r w:rsidRPr="00AB6F2B">
        <w:rPr>
          <w:lang w:val="es-ES" w:eastAsia="es-ES"/>
        </w:rPr>
        <w:t>Hemorragia ventricular (HIV): presencia de sangre en el sistema ventricular a punto de partida de la extensión del hematoma (sí; no).</w:t>
      </w:r>
    </w:p>
    <w:p w14:paraId="68020FA0" w14:textId="77777777" w:rsidR="00AB6F2B" w:rsidRPr="00AB6F2B" w:rsidRDefault="00AB6F2B" w:rsidP="00AB6F2B">
      <w:pPr>
        <w:spacing w:line="360" w:lineRule="auto"/>
        <w:jc w:val="both"/>
        <w:rPr>
          <w:rFonts w:eastAsia="Calibri"/>
          <w:lang w:val="es-ES" w:eastAsia="en-US"/>
        </w:rPr>
      </w:pPr>
    </w:p>
    <w:p w14:paraId="321E67EF" w14:textId="77777777" w:rsidR="00AB6F2B" w:rsidRPr="00AB6F2B" w:rsidRDefault="00AB6F2B" w:rsidP="00AB6F2B">
      <w:pPr>
        <w:spacing w:line="360" w:lineRule="auto"/>
        <w:jc w:val="center"/>
        <w:rPr>
          <w:rFonts w:eastAsia="Calibri"/>
          <w:b/>
          <w:bCs/>
          <w:sz w:val="28"/>
          <w:szCs w:val="28"/>
          <w:lang w:val="es-ES" w:eastAsia="en-US"/>
        </w:rPr>
      </w:pPr>
      <w:r w:rsidRPr="00AB6F2B">
        <w:rPr>
          <w:rFonts w:eastAsia="Calibri"/>
          <w:b/>
          <w:bCs/>
          <w:sz w:val="28"/>
          <w:szCs w:val="28"/>
          <w:lang w:val="es-ES" w:eastAsia="en-US"/>
        </w:rPr>
        <w:t>Procedimientos</w:t>
      </w:r>
    </w:p>
    <w:p w14:paraId="53860A80" w14:textId="77777777" w:rsidR="00AB6F2B" w:rsidRPr="00AB6F2B" w:rsidRDefault="00AB6F2B" w:rsidP="00AB6F2B">
      <w:pPr>
        <w:spacing w:line="360" w:lineRule="auto"/>
        <w:jc w:val="both"/>
        <w:rPr>
          <w:rFonts w:eastAsia="Calibri"/>
          <w:bCs/>
          <w:lang w:val="es-ES" w:eastAsia="en-US"/>
        </w:rPr>
      </w:pPr>
      <w:r w:rsidRPr="00AB6F2B">
        <w:rPr>
          <w:rFonts w:eastAsia="Calibri"/>
          <w:lang w:val="es-ES" w:eastAsia="en-US"/>
        </w:rPr>
        <w:t>Los pacientes se atendieron según el protocolo de actuación médica para el tratamiento quirúrgico de pacientes con HIC, vigente en el Hospital Universitario “General Calixto García</w:t>
      </w:r>
      <w:proofErr w:type="gramStart"/>
      <w:r w:rsidRPr="00AB6F2B">
        <w:rPr>
          <w:rFonts w:eastAsia="Calibri"/>
          <w:lang w:val="es-ES" w:eastAsia="en-US"/>
        </w:rPr>
        <w:t>”</w:t>
      </w:r>
      <w:r w:rsidRPr="00AB6F2B">
        <w:rPr>
          <w:rFonts w:eastAsia="Calibri"/>
          <w:bCs/>
          <w:lang w:val="es-ES" w:eastAsia="en-US"/>
        </w:rPr>
        <w:t>.</w:t>
      </w:r>
      <w:r w:rsidRPr="00AB6F2B">
        <w:rPr>
          <w:rFonts w:eastAsia="Calibri"/>
          <w:vertAlign w:val="superscript"/>
          <w:lang w:val="es-ES" w:eastAsia="en-US"/>
        </w:rPr>
        <w:t>(</w:t>
      </w:r>
      <w:proofErr w:type="gramEnd"/>
      <w:r w:rsidRPr="00AB6F2B">
        <w:rPr>
          <w:rFonts w:eastAsia="Calibri"/>
          <w:vertAlign w:val="superscript"/>
          <w:lang w:val="es-ES" w:eastAsia="en-US"/>
        </w:rPr>
        <w:t>9)</w:t>
      </w:r>
      <w:r w:rsidRPr="00AB6F2B">
        <w:rPr>
          <w:rFonts w:eastAsia="Calibri"/>
          <w:bCs/>
          <w:lang w:val="es-ES" w:eastAsia="en-US"/>
        </w:rPr>
        <w:t xml:space="preserve"> Se siguieron hasta </w:t>
      </w:r>
      <w:r w:rsidRPr="00AB6F2B">
        <w:rPr>
          <w:rFonts w:eastAsia="Calibri"/>
          <w:bCs/>
          <w:lang w:val="es-ES" w:eastAsia="en-US"/>
        </w:rPr>
        <w:lastRenderedPageBreak/>
        <w:t>el egreso o hasta 30 días después del ingreso. Los datos para las variables fueron obtenidos a partir de los registros de las historias clínicas.</w:t>
      </w:r>
    </w:p>
    <w:p w14:paraId="584D9FB3"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 xml:space="preserve">En los sujetos de la ME se identificaron los factores preoperatorios pronósticos de mortalidad posoperatoria. La influencia de cada variable sobre el estado al egreso se determinó de forma independiente, para estimar la probabilidad de fallecer según cada factor pronóstico mediante el cálculo del </w:t>
      </w:r>
      <w:proofErr w:type="spellStart"/>
      <w:r w:rsidRPr="00AB6F2B">
        <w:rPr>
          <w:rFonts w:eastAsia="Calibri"/>
          <w:i/>
          <w:lang w:val="es-ES" w:eastAsia="en-US"/>
        </w:rPr>
        <w:t>odd</w:t>
      </w:r>
      <w:proofErr w:type="spellEnd"/>
      <w:r w:rsidRPr="00AB6F2B">
        <w:rPr>
          <w:rFonts w:eastAsia="Calibri"/>
          <w:i/>
          <w:lang w:val="es-ES" w:eastAsia="en-US"/>
        </w:rPr>
        <w:t xml:space="preserve"> ratio</w:t>
      </w:r>
      <w:r w:rsidRPr="00AB6F2B">
        <w:rPr>
          <w:rFonts w:eastAsia="Calibri"/>
          <w:lang w:val="es-ES" w:eastAsia="en-US"/>
        </w:rPr>
        <w:t xml:space="preserve"> (</w:t>
      </w:r>
      <w:proofErr w:type="spellStart"/>
      <w:r w:rsidRPr="00AB6F2B">
        <w:rPr>
          <w:rFonts w:eastAsia="Calibri"/>
          <w:lang w:val="es-ES" w:eastAsia="en-US"/>
        </w:rPr>
        <w:t>OR</w:t>
      </w:r>
      <w:proofErr w:type="spellEnd"/>
      <w:r w:rsidRPr="00AB6F2B">
        <w:rPr>
          <w:rFonts w:eastAsia="Calibri"/>
          <w:lang w:val="es-ES" w:eastAsia="en-US"/>
        </w:rPr>
        <w:t>) y exponencial (</w:t>
      </w:r>
      <w:proofErr w:type="spellStart"/>
      <w:r w:rsidRPr="00AB6F2B">
        <w:rPr>
          <w:rFonts w:eastAsia="Calibri"/>
          <w:lang w:val="es-ES" w:eastAsia="en-US"/>
        </w:rPr>
        <w:t>EXP</w:t>
      </w:r>
      <w:proofErr w:type="spellEnd"/>
      <w:r w:rsidRPr="00AB6F2B">
        <w:rPr>
          <w:rFonts w:eastAsia="Calibri"/>
          <w:lang w:val="es-ES" w:eastAsia="en-US"/>
        </w:rPr>
        <w:t>), con intervalo de confianza del 95 % (</w:t>
      </w:r>
      <w:proofErr w:type="spellStart"/>
      <w:r w:rsidRPr="00AB6F2B">
        <w:rPr>
          <w:rFonts w:eastAsia="Calibri"/>
          <w:lang w:val="es-ES" w:eastAsia="en-US"/>
        </w:rPr>
        <w:t>IC95</w:t>
      </w:r>
      <w:proofErr w:type="spellEnd"/>
      <w:r w:rsidRPr="00AB6F2B">
        <w:rPr>
          <w:rFonts w:eastAsia="Calibri"/>
          <w:lang w:val="es-ES" w:eastAsia="en-US"/>
        </w:rPr>
        <w:t xml:space="preserve"> %). La relación entre el estado al egreso y las variables sexo, localización del hematoma y HIV se determinó mediante la prueba exacta de Fisher. La relación entre el estado al egreso y las variables edad, Escala de Coma de </w:t>
      </w:r>
      <w:proofErr w:type="spellStart"/>
      <w:r w:rsidRPr="00AB6F2B">
        <w:rPr>
          <w:rFonts w:eastAsia="Calibri"/>
          <w:lang w:val="es-ES" w:eastAsia="en-US"/>
        </w:rPr>
        <w:t>Glasglow</w:t>
      </w:r>
      <w:proofErr w:type="spellEnd"/>
      <w:r w:rsidRPr="00AB6F2B">
        <w:rPr>
          <w:rFonts w:eastAsia="Calibri"/>
          <w:lang w:val="es-ES" w:eastAsia="en-US"/>
        </w:rPr>
        <w:t>, volumen y profundidad del hematoma se determinó mediante la prueba t de Student. Se realizó la regresión logística para determinar la capacidad de ser predictor independiente de mortalidad, cuando se asocian varios factores, así como su coeficiente correspondiente.</w:t>
      </w:r>
    </w:p>
    <w:p w14:paraId="34F46FA5"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 xml:space="preserve">El modelo de regresión logística se ajustó con todas las variables; se utilizó el </w:t>
      </w:r>
      <w:proofErr w:type="gramStart"/>
      <w:r w:rsidRPr="00AB6F2B">
        <w:rPr>
          <w:rFonts w:eastAsia="Calibri"/>
          <w:i/>
          <w:iCs/>
          <w:lang w:val="es-ES" w:eastAsia="en-US"/>
        </w:rPr>
        <w:t>ji</w:t>
      </w:r>
      <w:r w:rsidRPr="00AB6F2B">
        <w:rPr>
          <w:rFonts w:eastAsia="Calibri"/>
          <w:lang w:val="es-ES" w:eastAsia="en-US"/>
        </w:rPr>
        <w:t xml:space="preserve"> cuadrado</w:t>
      </w:r>
      <w:proofErr w:type="gramEnd"/>
      <w:r w:rsidRPr="00AB6F2B">
        <w:rPr>
          <w:rFonts w:eastAsia="Calibri"/>
          <w:lang w:val="es-ES" w:eastAsia="en-US"/>
        </w:rPr>
        <w:t xml:space="preserve"> (</w:t>
      </w:r>
      <w:r w:rsidRPr="00AB6F2B">
        <w:rPr>
          <w:rFonts w:eastAsia="Calibri"/>
          <w:lang w:val="es-ES" w:eastAsia="en-US"/>
        </w:rPr>
        <w:sym w:font="Symbol" w:char="F063"/>
      </w:r>
      <w:r w:rsidRPr="00AB6F2B">
        <w:rPr>
          <w:rFonts w:eastAsia="Calibri"/>
          <w:vertAlign w:val="superscript"/>
          <w:lang w:val="es-ES" w:eastAsia="en-US"/>
        </w:rPr>
        <w:t>2</w:t>
      </w:r>
      <w:r w:rsidRPr="00AB6F2B">
        <w:rPr>
          <w:rFonts w:eastAsia="Calibri"/>
          <w:lang w:val="es-ES" w:eastAsia="en-US"/>
        </w:rPr>
        <w:t xml:space="preserve">) de </w:t>
      </w:r>
      <w:r w:rsidRPr="00AB6F2B">
        <w:rPr>
          <w:rFonts w:eastAsia="Calibri"/>
          <w:iCs/>
          <w:lang w:val="es-ES" w:eastAsia="en-US"/>
        </w:rPr>
        <w:t>ómnibus</w:t>
      </w:r>
      <w:r w:rsidRPr="00AB6F2B">
        <w:rPr>
          <w:rFonts w:eastAsia="Calibri"/>
          <w:lang w:val="es-ES" w:eastAsia="en-US"/>
        </w:rPr>
        <w:t xml:space="preserve"> para determinar la bondad del modelo y la prueba de </w:t>
      </w:r>
      <w:proofErr w:type="spellStart"/>
      <w:r w:rsidRPr="00AB6F2B">
        <w:rPr>
          <w:rFonts w:eastAsia="Calibri"/>
          <w:lang w:val="es-ES" w:eastAsia="en-US"/>
        </w:rPr>
        <w:t>Hosmer-Lemeshow</w:t>
      </w:r>
      <w:proofErr w:type="spellEnd"/>
      <w:r w:rsidRPr="00AB6F2B">
        <w:rPr>
          <w:rFonts w:eastAsia="Calibri"/>
          <w:lang w:val="es-ES" w:eastAsia="en-US"/>
        </w:rPr>
        <w:t xml:space="preserve"> para evaluar la calidad del ajuste a la regresión, es decir, si la probabilidad de fallecer predicha refleja correctamente el índice de fallecidos. Si al aplicar el estadígrafo de </w:t>
      </w:r>
      <w:proofErr w:type="spellStart"/>
      <w:r w:rsidRPr="00AB6F2B">
        <w:rPr>
          <w:rFonts w:eastAsia="Calibri"/>
          <w:lang w:val="es-ES" w:eastAsia="en-US"/>
        </w:rPr>
        <w:t>Hosmer-Lemeshow</w:t>
      </w:r>
      <w:proofErr w:type="spellEnd"/>
      <w:r w:rsidRPr="00AB6F2B">
        <w:rPr>
          <w:rFonts w:eastAsia="Calibri"/>
          <w:lang w:val="es-ES" w:eastAsia="en-US"/>
        </w:rPr>
        <w:t xml:space="preserve"> el valor de </w:t>
      </w:r>
      <w:r w:rsidRPr="00AB6F2B">
        <w:rPr>
          <w:rFonts w:eastAsia="Calibri"/>
          <w:i/>
          <w:lang w:val="es-ES" w:eastAsia="en-US"/>
        </w:rPr>
        <w:t>p</w:t>
      </w:r>
      <w:r w:rsidRPr="00AB6F2B">
        <w:rPr>
          <w:rFonts w:eastAsia="Calibri"/>
          <w:lang w:val="es-ES" w:eastAsia="en-US"/>
        </w:rPr>
        <w:t xml:space="preserve">&gt; 0,05 se concluye que el índice calibra </w:t>
      </w:r>
      <w:proofErr w:type="gramStart"/>
      <w:r w:rsidRPr="00AB6F2B">
        <w:rPr>
          <w:rFonts w:eastAsia="Calibri"/>
          <w:lang w:val="es-ES" w:eastAsia="en-US"/>
        </w:rPr>
        <w:t>adecuadamente.</w:t>
      </w:r>
      <w:r w:rsidRPr="00AB6F2B">
        <w:rPr>
          <w:rFonts w:eastAsia="Calibri"/>
          <w:vertAlign w:val="superscript"/>
          <w:lang w:val="es-ES" w:eastAsia="en-US"/>
        </w:rPr>
        <w:t>(</w:t>
      </w:r>
      <w:proofErr w:type="gramEnd"/>
      <w:r w:rsidRPr="00AB6F2B">
        <w:rPr>
          <w:rFonts w:eastAsia="Calibri"/>
          <w:vertAlign w:val="superscript"/>
          <w:lang w:val="es-ES" w:eastAsia="en-US"/>
        </w:rPr>
        <w:t>12)</w:t>
      </w:r>
    </w:p>
    <w:p w14:paraId="206BC9B6" w14:textId="77777777" w:rsidR="00AB6F2B" w:rsidRPr="00AB6F2B" w:rsidRDefault="00AB6F2B" w:rsidP="00AB6F2B">
      <w:pPr>
        <w:spacing w:line="360" w:lineRule="auto"/>
        <w:ind w:left="60" w:right="60"/>
        <w:jc w:val="both"/>
        <w:rPr>
          <w:rFonts w:eastAsia="Calibri"/>
          <w:lang w:val="es-ES" w:eastAsia="en-US"/>
        </w:rPr>
      </w:pPr>
      <w:r w:rsidRPr="00AB6F2B">
        <w:rPr>
          <w:rFonts w:eastAsia="Calibri"/>
          <w:lang w:val="es-ES" w:eastAsia="en-US"/>
        </w:rPr>
        <w:t xml:space="preserve">Con la función de regresión logística obtenida a partir del análisis de los sujetos de la ME se construyó una curva ROC, </w:t>
      </w:r>
      <w:proofErr w:type="gramStart"/>
      <w:r w:rsidRPr="00AB6F2B">
        <w:rPr>
          <w:rFonts w:eastAsia="Calibri"/>
          <w:lang w:val="es-ES" w:eastAsia="en-US"/>
        </w:rPr>
        <w:t>con  la</w:t>
      </w:r>
      <w:proofErr w:type="gramEnd"/>
      <w:r w:rsidRPr="00AB6F2B">
        <w:rPr>
          <w:rFonts w:eastAsia="Calibri"/>
          <w:lang w:val="es-ES" w:eastAsia="en-US"/>
        </w:rPr>
        <w:t xml:space="preserve"> proporción de pacientes fallecidos previstos por el índice pronóstico (eje Y) versus pacientes vivos previstos como fallecidos (eje X). Se calculó el área bajo la curva (ABC) para determinar la </w:t>
      </w:r>
      <w:r w:rsidRPr="00AB6F2B">
        <w:rPr>
          <w:rFonts w:eastAsia="Calibri"/>
          <w:iCs/>
          <w:lang w:val="es-ES" w:eastAsia="en-US"/>
        </w:rPr>
        <w:t>capacidad de discriminación del modelo; se consideró buena si el valor de ABC&gt; </w:t>
      </w:r>
      <w:r w:rsidRPr="00AB6F2B">
        <w:rPr>
          <w:rFonts w:eastAsia="Calibri"/>
          <w:lang w:val="es-ES" w:eastAsia="en-US"/>
        </w:rPr>
        <w:t>0,</w:t>
      </w:r>
      <w:proofErr w:type="gramStart"/>
      <w:r w:rsidRPr="00AB6F2B">
        <w:rPr>
          <w:rFonts w:eastAsia="Calibri"/>
          <w:lang w:val="es-ES" w:eastAsia="en-US"/>
        </w:rPr>
        <w:t>75.</w:t>
      </w:r>
      <w:r w:rsidRPr="00AB6F2B">
        <w:rPr>
          <w:rFonts w:eastAsia="Calibri"/>
          <w:vertAlign w:val="superscript"/>
          <w:lang w:val="es-ES" w:eastAsia="en-US"/>
        </w:rPr>
        <w:t>(</w:t>
      </w:r>
      <w:proofErr w:type="gramEnd"/>
      <w:r w:rsidRPr="00AB6F2B">
        <w:rPr>
          <w:rFonts w:eastAsia="Calibri"/>
          <w:vertAlign w:val="superscript"/>
          <w:lang w:val="es-ES" w:eastAsia="en-US"/>
        </w:rPr>
        <w:t xml:space="preserve">12) </w:t>
      </w:r>
      <w:r w:rsidRPr="00AB6F2B">
        <w:rPr>
          <w:rFonts w:eastAsia="Calibri"/>
          <w:lang w:val="es-ES" w:eastAsia="en-US"/>
        </w:rPr>
        <w:t xml:space="preserve">A partir de los coeficientes obtenidos en la función de regresión logística, se construyó el índice pronóstico (IP) de la siguiente forma: </w:t>
      </w:r>
    </w:p>
    <w:p w14:paraId="62260A81" w14:textId="77777777" w:rsidR="00AB6F2B" w:rsidRPr="00AB6F2B" w:rsidRDefault="00AB6F2B" w:rsidP="00AB6F2B">
      <w:pPr>
        <w:spacing w:line="360" w:lineRule="auto"/>
        <w:ind w:left="60" w:right="60"/>
        <w:jc w:val="both"/>
        <w:rPr>
          <w:rFonts w:eastAsia="Calibri"/>
          <w:lang w:val="es-ES" w:eastAsia="en-US"/>
        </w:rPr>
      </w:pPr>
    </w:p>
    <w:p w14:paraId="686DEA53" w14:textId="77777777" w:rsidR="00AB6F2B" w:rsidRPr="00AB6F2B" w:rsidRDefault="00AB6F2B" w:rsidP="00AB6F2B">
      <w:pPr>
        <w:spacing w:line="360" w:lineRule="auto"/>
        <w:ind w:left="60" w:right="60"/>
        <w:jc w:val="both"/>
        <w:rPr>
          <w:rFonts w:eastAsia="Calibri"/>
          <w:lang w:val="es-ES" w:eastAsia="en-US"/>
        </w:rPr>
      </w:pPr>
      <w:r w:rsidRPr="00AB6F2B">
        <w:rPr>
          <w:rFonts w:eastAsia="Calibri"/>
          <w:lang w:val="es-ES" w:eastAsia="en-US"/>
        </w:rPr>
        <w:t xml:space="preserve">IP= </w:t>
      </w:r>
      <w:proofErr w:type="spellStart"/>
      <w:r w:rsidRPr="00AB6F2B">
        <w:rPr>
          <w:rFonts w:eastAsia="Calibri"/>
          <w:lang w:val="es-ES" w:eastAsia="en-US"/>
        </w:rPr>
        <w:t>W</w:t>
      </w:r>
      <w:r w:rsidRPr="00AB6F2B">
        <w:rPr>
          <w:rFonts w:eastAsia="Calibri"/>
          <w:vertAlign w:val="subscript"/>
          <w:lang w:val="es-ES" w:eastAsia="en-US"/>
        </w:rPr>
        <w:t>1</w:t>
      </w:r>
      <w:r w:rsidRPr="00AB6F2B">
        <w:rPr>
          <w:rFonts w:eastAsia="Calibri"/>
          <w:lang w:val="es-ES" w:eastAsia="en-US"/>
        </w:rPr>
        <w:t>X</w:t>
      </w:r>
      <w:r w:rsidRPr="00AB6F2B">
        <w:rPr>
          <w:rFonts w:eastAsia="Calibri"/>
          <w:vertAlign w:val="subscript"/>
          <w:lang w:val="es-ES" w:eastAsia="en-US"/>
        </w:rPr>
        <w:t>1</w:t>
      </w:r>
      <w:proofErr w:type="spellEnd"/>
      <w:r w:rsidRPr="00AB6F2B">
        <w:rPr>
          <w:rFonts w:eastAsia="Calibri"/>
          <w:lang w:val="es-ES" w:eastAsia="en-US"/>
        </w:rPr>
        <w:t xml:space="preserve"> + </w:t>
      </w:r>
      <w:proofErr w:type="spellStart"/>
      <w:r w:rsidRPr="00AB6F2B">
        <w:rPr>
          <w:rFonts w:eastAsia="Calibri"/>
          <w:lang w:val="es-ES" w:eastAsia="en-US"/>
        </w:rPr>
        <w:t>W</w:t>
      </w:r>
      <w:r w:rsidRPr="00AB6F2B">
        <w:rPr>
          <w:rFonts w:eastAsia="Calibri"/>
          <w:vertAlign w:val="subscript"/>
          <w:lang w:val="es-ES" w:eastAsia="en-US"/>
        </w:rPr>
        <w:t>2</w:t>
      </w:r>
      <w:r w:rsidRPr="00AB6F2B">
        <w:rPr>
          <w:rFonts w:eastAsia="Calibri"/>
          <w:lang w:val="es-ES" w:eastAsia="en-US"/>
        </w:rPr>
        <w:t>X</w:t>
      </w:r>
      <w:r w:rsidRPr="00AB6F2B">
        <w:rPr>
          <w:rFonts w:eastAsia="Calibri"/>
          <w:vertAlign w:val="subscript"/>
          <w:lang w:val="es-ES" w:eastAsia="en-US"/>
        </w:rPr>
        <w:t>2</w:t>
      </w:r>
      <w:proofErr w:type="spellEnd"/>
      <w:r w:rsidRPr="00AB6F2B">
        <w:rPr>
          <w:rFonts w:eastAsia="Calibri"/>
          <w:lang w:val="es-ES" w:eastAsia="en-US"/>
        </w:rPr>
        <w:t xml:space="preserve"> + … + </w:t>
      </w:r>
      <w:proofErr w:type="spellStart"/>
      <w:r w:rsidRPr="00AB6F2B">
        <w:rPr>
          <w:rFonts w:eastAsia="Calibri"/>
          <w:lang w:val="es-ES" w:eastAsia="en-US"/>
        </w:rPr>
        <w:t>W</w:t>
      </w:r>
      <w:r w:rsidRPr="00AB6F2B">
        <w:rPr>
          <w:rFonts w:eastAsia="Calibri"/>
          <w:vertAlign w:val="subscript"/>
          <w:lang w:val="es-ES" w:eastAsia="en-US"/>
        </w:rPr>
        <w:t>k</w:t>
      </w:r>
      <w:r w:rsidRPr="00AB6F2B">
        <w:rPr>
          <w:rFonts w:eastAsia="Calibri"/>
          <w:lang w:val="es-ES" w:eastAsia="en-US"/>
        </w:rPr>
        <w:t>X</w:t>
      </w:r>
      <w:r w:rsidRPr="00AB6F2B">
        <w:rPr>
          <w:rFonts w:eastAsia="Calibri"/>
          <w:vertAlign w:val="subscript"/>
          <w:lang w:val="es-ES" w:eastAsia="en-US"/>
        </w:rPr>
        <w:t>k</w:t>
      </w:r>
      <w:proofErr w:type="spellEnd"/>
    </w:p>
    <w:p w14:paraId="5BC36ED5" w14:textId="77777777" w:rsidR="00AB6F2B" w:rsidRPr="00AB6F2B" w:rsidRDefault="00AB6F2B" w:rsidP="00AB6F2B">
      <w:pPr>
        <w:spacing w:line="360" w:lineRule="auto"/>
        <w:ind w:left="60" w:right="60"/>
        <w:jc w:val="both"/>
        <w:rPr>
          <w:rFonts w:eastAsia="Calibri"/>
          <w:lang w:val="es-ES" w:eastAsia="en-US"/>
        </w:rPr>
      </w:pPr>
    </w:p>
    <w:p w14:paraId="737FC4CE" w14:textId="77777777" w:rsidR="00AB6F2B" w:rsidRPr="00AB6F2B" w:rsidRDefault="00AB6F2B" w:rsidP="00AB6F2B">
      <w:pPr>
        <w:spacing w:line="360" w:lineRule="auto"/>
        <w:ind w:left="60" w:right="60"/>
        <w:jc w:val="both"/>
        <w:rPr>
          <w:rFonts w:eastAsia="Calibri"/>
          <w:lang w:val="es-ES" w:eastAsia="en-US"/>
        </w:rPr>
      </w:pPr>
      <w:r w:rsidRPr="00AB6F2B">
        <w:rPr>
          <w:rFonts w:eastAsia="Calibri"/>
          <w:lang w:val="es-ES" w:eastAsia="en-US"/>
        </w:rPr>
        <w:t xml:space="preserve">Donde W es el valor del coeficiente que aporta la variable y X el valor de la categoría de la variable para cada paciente. Se calculó el puntaje para cada paciente en la ME y se construyó otra curva ROC </w:t>
      </w:r>
      <w:r w:rsidRPr="00AB6F2B">
        <w:rPr>
          <w:rFonts w:eastAsia="Calibri"/>
          <w:lang w:val="es-ES" w:eastAsia="en-US"/>
        </w:rPr>
        <w:lastRenderedPageBreak/>
        <w:t xml:space="preserve">con los sujetos de la MC y su correspondiente ABC, para analizar la capacidad discriminatoria del IP creado, en una muestra diferente. </w:t>
      </w:r>
    </w:p>
    <w:p w14:paraId="07AE1477" w14:textId="77777777" w:rsidR="00AB6F2B" w:rsidRPr="00AB6F2B" w:rsidRDefault="00AB6F2B" w:rsidP="00AB6F2B">
      <w:pPr>
        <w:spacing w:line="360" w:lineRule="auto"/>
        <w:ind w:left="60" w:right="60"/>
        <w:jc w:val="both"/>
        <w:rPr>
          <w:rFonts w:eastAsia="Calibri"/>
          <w:lang w:val="es-ES" w:eastAsia="en-US"/>
        </w:rPr>
      </w:pPr>
      <w:r w:rsidRPr="00AB6F2B">
        <w:rPr>
          <w:rFonts w:eastAsia="Calibri"/>
          <w:lang w:val="es-ES" w:eastAsia="en-US"/>
        </w:rPr>
        <w:t xml:space="preserve">Por último, se dividió la distribución empírica de los valores del IP creado a partir de la ME en 4 zonas o rangos iguales, delimitados por los percentiles 25, 50 y 75, en bajo riesgo, riesgo intermedio, alto riesgo y muy alto riesgo de mortalidad. Para comprobar la validez de estas divisiones, se calculó el porcentaje de mortalidad para cada zona con todos los sujetos de la serie (116 pacientes) y se evaluó si había relación significativa entre la mortalidad real y la predicha por el índice calculado, mediante la prueba </w:t>
      </w:r>
      <w:r w:rsidRPr="00AB6F2B">
        <w:rPr>
          <w:rFonts w:eastAsia="Calibri"/>
          <w:i/>
          <w:iCs/>
          <w:lang w:val="es-ES" w:eastAsia="en-US"/>
        </w:rPr>
        <w:t>ji</w:t>
      </w:r>
      <w:r w:rsidRPr="00AB6F2B">
        <w:rPr>
          <w:rFonts w:eastAsia="Calibri"/>
          <w:lang w:val="es-ES" w:eastAsia="en-US"/>
        </w:rPr>
        <w:t xml:space="preserve"> cuadrado de Pearson.</w:t>
      </w:r>
    </w:p>
    <w:p w14:paraId="3C53D5FF" w14:textId="77777777" w:rsidR="00AB6F2B" w:rsidRPr="00AB6F2B" w:rsidRDefault="00AB6F2B" w:rsidP="00AB6F2B">
      <w:pPr>
        <w:spacing w:line="360" w:lineRule="auto"/>
        <w:jc w:val="center"/>
        <w:rPr>
          <w:rFonts w:eastAsia="Calibri"/>
          <w:b/>
          <w:bCs/>
          <w:sz w:val="28"/>
          <w:szCs w:val="28"/>
          <w:lang w:val="es-ES" w:eastAsia="en-US"/>
        </w:rPr>
      </w:pPr>
      <w:r w:rsidRPr="00AB6F2B">
        <w:rPr>
          <w:rFonts w:eastAsia="Calibri"/>
          <w:b/>
          <w:bCs/>
          <w:sz w:val="28"/>
          <w:szCs w:val="28"/>
          <w:lang w:val="es-ES" w:eastAsia="en-US"/>
        </w:rPr>
        <w:t>Aspectos bioéticos</w:t>
      </w:r>
    </w:p>
    <w:p w14:paraId="77457D63" w14:textId="77777777" w:rsidR="00AB6F2B" w:rsidRPr="00AB6F2B" w:rsidRDefault="00AB6F2B" w:rsidP="00AB6F2B">
      <w:pPr>
        <w:autoSpaceDE w:val="0"/>
        <w:autoSpaceDN w:val="0"/>
        <w:adjustRightInd w:val="0"/>
        <w:spacing w:line="360" w:lineRule="auto"/>
        <w:jc w:val="both"/>
        <w:rPr>
          <w:rFonts w:eastAsia="Calibri"/>
          <w:lang w:val="es-ES" w:eastAsia="en-US"/>
        </w:rPr>
      </w:pPr>
      <w:r w:rsidRPr="00AB6F2B">
        <w:rPr>
          <w:rFonts w:eastAsia="Calibri"/>
          <w:lang w:val="es-CO" w:eastAsia="en-US"/>
        </w:rPr>
        <w:t xml:space="preserve">En esta investigación, que utilizó datos tomados de las historias clínicas de los pacientes, </w:t>
      </w:r>
      <w:r w:rsidRPr="00AB6F2B">
        <w:rPr>
          <w:rFonts w:eastAsia="Calibri"/>
          <w:lang w:val="es-ES" w:eastAsia="en-US"/>
        </w:rPr>
        <w:t xml:space="preserve">no se obtuvo el consentimiento informado. Se garantizó el anonimato de los datos recogidos y se resguardó la confidencialidad con la identidad de cada paciente. </w:t>
      </w:r>
    </w:p>
    <w:p w14:paraId="3FE8326E" w14:textId="77777777" w:rsidR="00AB6F2B" w:rsidRPr="00AB6F2B" w:rsidRDefault="00AB6F2B" w:rsidP="00AB6F2B">
      <w:pPr>
        <w:autoSpaceDE w:val="0"/>
        <w:autoSpaceDN w:val="0"/>
        <w:adjustRightInd w:val="0"/>
        <w:spacing w:line="360" w:lineRule="auto"/>
        <w:jc w:val="both"/>
        <w:rPr>
          <w:rFonts w:eastAsia="Calibri"/>
          <w:lang w:val="es-ES" w:eastAsia="en-US"/>
        </w:rPr>
      </w:pPr>
    </w:p>
    <w:p w14:paraId="49E37C5A" w14:textId="77777777" w:rsidR="00AB6F2B" w:rsidRPr="00AB6F2B" w:rsidRDefault="00AB6F2B" w:rsidP="00AB6F2B">
      <w:pPr>
        <w:spacing w:line="360" w:lineRule="auto"/>
        <w:jc w:val="both"/>
        <w:rPr>
          <w:rFonts w:eastAsia="Calibri"/>
          <w:b/>
          <w:lang w:val="es-ES" w:eastAsia="en-US"/>
        </w:rPr>
      </w:pPr>
    </w:p>
    <w:p w14:paraId="37267318" w14:textId="77777777" w:rsidR="00AB6F2B" w:rsidRPr="00AB6F2B" w:rsidRDefault="00AB6F2B" w:rsidP="00AB6F2B">
      <w:pPr>
        <w:spacing w:line="360" w:lineRule="auto"/>
        <w:jc w:val="center"/>
        <w:rPr>
          <w:rFonts w:eastAsia="Calibri"/>
          <w:b/>
          <w:sz w:val="32"/>
          <w:szCs w:val="32"/>
          <w:lang w:val="es-ES" w:eastAsia="en-US"/>
        </w:rPr>
      </w:pPr>
      <w:r w:rsidRPr="00AB6F2B">
        <w:rPr>
          <w:rFonts w:eastAsia="Calibri"/>
          <w:b/>
          <w:sz w:val="32"/>
          <w:szCs w:val="32"/>
          <w:lang w:val="es-ES" w:eastAsia="en-US"/>
        </w:rPr>
        <w:t>RESULTADOS</w:t>
      </w:r>
    </w:p>
    <w:p w14:paraId="591A36DC" w14:textId="77777777" w:rsidR="00AB6F2B" w:rsidRPr="00AB6F2B" w:rsidRDefault="00AB6F2B" w:rsidP="00AB6F2B">
      <w:pPr>
        <w:spacing w:line="360" w:lineRule="auto"/>
        <w:jc w:val="center"/>
        <w:rPr>
          <w:rFonts w:eastAsia="Calibri"/>
          <w:b/>
          <w:bCs/>
          <w:sz w:val="28"/>
          <w:szCs w:val="28"/>
          <w:lang w:val="es-ES" w:eastAsia="en-US"/>
        </w:rPr>
      </w:pPr>
      <w:r w:rsidRPr="00AB6F2B">
        <w:rPr>
          <w:rFonts w:eastAsia="Calibri"/>
          <w:b/>
          <w:bCs/>
          <w:sz w:val="28"/>
          <w:szCs w:val="28"/>
          <w:lang w:val="es-ES" w:eastAsia="en-US"/>
        </w:rPr>
        <w:t xml:space="preserve">Análisis </w:t>
      </w:r>
      <w:proofErr w:type="spellStart"/>
      <w:r w:rsidRPr="00AB6F2B">
        <w:rPr>
          <w:rFonts w:eastAsia="Calibri"/>
          <w:b/>
          <w:bCs/>
          <w:sz w:val="28"/>
          <w:szCs w:val="28"/>
          <w:lang w:val="es-ES" w:eastAsia="en-US"/>
        </w:rPr>
        <w:t>univariado</w:t>
      </w:r>
      <w:proofErr w:type="spellEnd"/>
    </w:p>
    <w:p w14:paraId="5DB77946" w14:textId="77777777" w:rsidR="00AB6F2B" w:rsidRPr="00AB6F2B" w:rsidRDefault="00AB6F2B" w:rsidP="00AB6F2B">
      <w:pPr>
        <w:tabs>
          <w:tab w:val="left" w:pos="5790"/>
        </w:tabs>
        <w:spacing w:line="360" w:lineRule="auto"/>
        <w:jc w:val="both"/>
        <w:rPr>
          <w:rFonts w:eastAsia="Calibri"/>
          <w:lang w:val="es-ES" w:eastAsia="en-US"/>
        </w:rPr>
      </w:pPr>
      <w:r w:rsidRPr="00AB6F2B">
        <w:rPr>
          <w:rFonts w:eastAsia="Calibri"/>
          <w:lang w:val="es-ES" w:eastAsia="en-US"/>
        </w:rPr>
        <w:t>En la ME predominó el sexo masculino, tanto en los egresados fallecidos como en los egresados vivos. Hubo relación estadísticamente significativa entre mayor edad y la mortalidad (p= 0,036); la media de edad en los fallecidos fue 64,1 años y en los vivos fue 57,3 años. La menor puntuación en la Escala de Coma de Glasgow al ingreso se relacionó con la mortalidad (p˂ 0,001); la media en los fallecidos fue de 9 puntos y en los egresados vivos, 12 puntos (tabla 1).</w:t>
      </w:r>
    </w:p>
    <w:p w14:paraId="62B46D16"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La localización lobar predominó en los egresados vivos (79,2 %) y en los núcleos grises en los fallecidos (79,4 %; p˂ 0,001). La diferencia en la profundidad del hematoma fue estadísticamente significativa (p˂ 0,001). La presencia de HIV se distribuyó a partes iguales en los egresados fallecidos; en los egresados vivos, solo en el 25 % la tuvo (p= 0,064) (tabla 1).</w:t>
      </w:r>
    </w:p>
    <w:p w14:paraId="3EC9CC18" w14:textId="77777777" w:rsidR="00AB6F2B" w:rsidRPr="00AB6F2B" w:rsidRDefault="00AB6F2B" w:rsidP="00AB6F2B">
      <w:pPr>
        <w:spacing w:line="360" w:lineRule="auto"/>
        <w:jc w:val="both"/>
        <w:rPr>
          <w:rFonts w:eastAsia="Calibri"/>
          <w:lang w:val="es-ES" w:eastAsia="en-US"/>
        </w:rPr>
      </w:pPr>
    </w:p>
    <w:p w14:paraId="76BD3304" w14:textId="77777777" w:rsidR="007B074F" w:rsidRDefault="007B074F">
      <w:pPr>
        <w:rPr>
          <w:rFonts w:eastAsia="Calibri"/>
          <w:b/>
          <w:sz w:val="22"/>
          <w:szCs w:val="22"/>
          <w:lang w:val="es-ES" w:eastAsia="en-US"/>
        </w:rPr>
      </w:pPr>
      <w:r>
        <w:rPr>
          <w:rFonts w:eastAsia="Calibri"/>
          <w:b/>
          <w:sz w:val="22"/>
          <w:szCs w:val="22"/>
          <w:lang w:val="es-ES" w:eastAsia="en-US"/>
        </w:rPr>
        <w:br w:type="page"/>
      </w:r>
    </w:p>
    <w:p w14:paraId="5EA78C29" w14:textId="19D91417" w:rsidR="00AB6F2B" w:rsidRDefault="00AB6F2B" w:rsidP="00AB6F2B">
      <w:pPr>
        <w:spacing w:line="360" w:lineRule="auto"/>
        <w:jc w:val="center"/>
        <w:rPr>
          <w:rFonts w:eastAsia="Calibri"/>
          <w:sz w:val="22"/>
          <w:szCs w:val="22"/>
          <w:lang w:val="es-ES" w:eastAsia="en-US"/>
        </w:rPr>
      </w:pPr>
      <w:r w:rsidRPr="00AB6F2B">
        <w:rPr>
          <w:rFonts w:eastAsia="Calibri"/>
          <w:b/>
          <w:sz w:val="22"/>
          <w:szCs w:val="22"/>
          <w:lang w:val="es-ES" w:eastAsia="en-US"/>
        </w:rPr>
        <w:lastRenderedPageBreak/>
        <w:t>Tabla 1 -</w:t>
      </w:r>
      <w:r w:rsidRPr="00AB6F2B">
        <w:rPr>
          <w:rFonts w:eastAsia="Calibri"/>
          <w:sz w:val="22"/>
          <w:szCs w:val="22"/>
          <w:lang w:val="es-ES" w:eastAsia="en-US"/>
        </w:rPr>
        <w:t xml:space="preserve"> Relación de la mortalidad posoperatoria con el sexo, la edad, la Escala de Coma de Glasgow y las características tomográficas del hematoma en la ME</w:t>
      </w:r>
    </w:p>
    <w:p w14:paraId="37E47BE4" w14:textId="27EA6150" w:rsidR="0077508F" w:rsidRPr="00AB6F2B" w:rsidRDefault="0077508F" w:rsidP="00AB6F2B">
      <w:pPr>
        <w:spacing w:line="360" w:lineRule="auto"/>
        <w:jc w:val="center"/>
        <w:rPr>
          <w:rFonts w:eastAsia="Calibri"/>
          <w:sz w:val="22"/>
          <w:szCs w:val="22"/>
          <w:lang w:val="es-ES" w:eastAsia="en-US"/>
        </w:rPr>
      </w:pPr>
      <w:r w:rsidRPr="00AB6F2B">
        <w:rPr>
          <w:rFonts w:eastAsia="Calibri"/>
          <w:noProof/>
          <w:sz w:val="16"/>
          <w:szCs w:val="16"/>
          <w:lang w:val="es-ES" w:eastAsia="en-US"/>
        </w:rPr>
        <w:drawing>
          <wp:inline distT="0" distB="0" distL="0" distR="0" wp14:anchorId="65A4061D" wp14:editId="608B6E62">
            <wp:extent cx="3776980" cy="2465070"/>
            <wp:effectExtent l="0" t="0" r="0" b="0"/>
            <wp:docPr id="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6980" cy="2465070"/>
                    </a:xfrm>
                    <a:prstGeom prst="rect">
                      <a:avLst/>
                    </a:prstGeom>
                    <a:noFill/>
                    <a:ln>
                      <a:noFill/>
                    </a:ln>
                  </pic:spPr>
                </pic:pic>
              </a:graphicData>
            </a:graphic>
          </wp:inline>
        </w:drawing>
      </w:r>
    </w:p>
    <w:p w14:paraId="3A86D1A7" w14:textId="77777777" w:rsidR="00AB6F2B" w:rsidRPr="00AB6F2B" w:rsidRDefault="00AB6F2B" w:rsidP="00AB6F2B">
      <w:pPr>
        <w:spacing w:line="360" w:lineRule="auto"/>
        <w:jc w:val="center"/>
        <w:rPr>
          <w:rFonts w:eastAsia="Calibri"/>
          <w:sz w:val="16"/>
          <w:szCs w:val="16"/>
          <w:lang w:val="es-ES" w:eastAsia="en-US"/>
        </w:rPr>
      </w:pPr>
      <w:r w:rsidRPr="00AB6F2B">
        <w:rPr>
          <w:rFonts w:eastAsia="Calibri"/>
          <w:sz w:val="16"/>
          <w:szCs w:val="16"/>
          <w:lang w:val="es-ES" w:eastAsia="en-US"/>
        </w:rPr>
        <w:t>a: prueba exacta de Fisher; b: prueba t de Student; p: significación estadística.</w:t>
      </w:r>
    </w:p>
    <w:p w14:paraId="6125B5E7" w14:textId="77777777" w:rsidR="00AB6F2B" w:rsidRPr="00AB6F2B" w:rsidRDefault="00AB6F2B" w:rsidP="00AB6F2B">
      <w:pPr>
        <w:spacing w:line="360" w:lineRule="auto"/>
        <w:jc w:val="both"/>
        <w:rPr>
          <w:rFonts w:eastAsia="Calibri"/>
          <w:u w:val="single"/>
          <w:lang w:val="es-ES" w:eastAsia="en-US"/>
        </w:rPr>
      </w:pPr>
    </w:p>
    <w:p w14:paraId="7EC04EA2" w14:textId="77777777" w:rsidR="00AB6F2B" w:rsidRPr="00AB6F2B" w:rsidRDefault="00AB6F2B" w:rsidP="00AB6F2B">
      <w:pPr>
        <w:spacing w:line="360" w:lineRule="auto"/>
        <w:jc w:val="center"/>
        <w:rPr>
          <w:rFonts w:eastAsia="Calibri"/>
          <w:b/>
          <w:bCs/>
          <w:sz w:val="28"/>
          <w:szCs w:val="28"/>
          <w:lang w:val="es-ES" w:eastAsia="en-US"/>
        </w:rPr>
      </w:pPr>
      <w:r w:rsidRPr="00AB6F2B">
        <w:rPr>
          <w:rFonts w:eastAsia="Calibri"/>
          <w:b/>
          <w:bCs/>
          <w:sz w:val="28"/>
          <w:szCs w:val="28"/>
          <w:lang w:val="es-ES" w:eastAsia="en-US"/>
        </w:rPr>
        <w:t>Análisis multivariado</w:t>
      </w:r>
    </w:p>
    <w:p w14:paraId="32959663"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 xml:space="preserve">En la ME, el resultado de la regresión logística reveló que las variables edad, Escala de Coma de Glasgow y profundidad del hematoma fueron predictores independientes de mortalidad posoperatoria (tabla 2). </w:t>
      </w:r>
    </w:p>
    <w:p w14:paraId="2FB71F6B"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El ABC para la probabilidad de fallecer fue 0,953 (</w:t>
      </w:r>
      <w:proofErr w:type="spellStart"/>
      <w:r w:rsidRPr="00AB6F2B">
        <w:rPr>
          <w:rFonts w:eastAsia="Calibri"/>
          <w:lang w:val="es-ES" w:eastAsia="en-US"/>
        </w:rPr>
        <w:t>IC95</w:t>
      </w:r>
      <w:proofErr w:type="spellEnd"/>
      <w:r w:rsidRPr="00AB6F2B">
        <w:rPr>
          <w:rFonts w:eastAsia="Calibri"/>
          <w:lang w:val="es-ES" w:eastAsia="en-US"/>
        </w:rPr>
        <w:t xml:space="preserve"> %: 0,905 – 1,000), lo que evidencia una buena discriminación del modelo entre egresados vivos y fallecidos (Fig. 1). El ajuste del modelo con el estadígrafo </w:t>
      </w:r>
      <w:r w:rsidRPr="00AB6F2B">
        <w:rPr>
          <w:rFonts w:eastAsia="Calibri"/>
          <w:iCs/>
          <w:lang w:val="es-ES" w:eastAsia="en-US"/>
        </w:rPr>
        <w:t>ómnibus</w:t>
      </w:r>
      <w:r w:rsidRPr="00AB6F2B">
        <w:rPr>
          <w:rFonts w:eastAsia="Calibri"/>
          <w:lang w:val="es-ES" w:eastAsia="en-US"/>
        </w:rPr>
        <w:t xml:space="preserve"> fue significativo (p˂ 0,001) y tuvo buena calibración, comprobada con la prueba de </w:t>
      </w:r>
      <w:proofErr w:type="spellStart"/>
      <w:r w:rsidRPr="00AB6F2B">
        <w:rPr>
          <w:rFonts w:eastAsia="Calibri"/>
          <w:lang w:val="es-ES" w:eastAsia="en-US"/>
        </w:rPr>
        <w:t>Hosmer-Lemeshow</w:t>
      </w:r>
      <w:proofErr w:type="spellEnd"/>
      <w:r w:rsidRPr="00AB6F2B">
        <w:rPr>
          <w:rFonts w:eastAsia="Calibri"/>
          <w:lang w:val="es-ES" w:eastAsia="en-US"/>
        </w:rPr>
        <w:t xml:space="preserve"> (p= 0,728).</w:t>
      </w:r>
    </w:p>
    <w:p w14:paraId="1F3D2257" w14:textId="77777777" w:rsidR="00AB6F2B" w:rsidRPr="00AB6F2B" w:rsidRDefault="00AB6F2B" w:rsidP="00AB6F2B">
      <w:pPr>
        <w:spacing w:line="360" w:lineRule="auto"/>
        <w:jc w:val="both"/>
        <w:rPr>
          <w:rFonts w:eastAsia="Calibri"/>
          <w:b/>
          <w:lang w:val="es-ES" w:eastAsia="en-US"/>
        </w:rPr>
      </w:pPr>
    </w:p>
    <w:p w14:paraId="45A840C6" w14:textId="77777777" w:rsidR="00DC28C2" w:rsidRDefault="00DC28C2">
      <w:pPr>
        <w:rPr>
          <w:rFonts w:eastAsia="Calibri"/>
          <w:b/>
          <w:sz w:val="22"/>
          <w:szCs w:val="22"/>
          <w:lang w:val="es-ES" w:eastAsia="en-US"/>
        </w:rPr>
      </w:pPr>
      <w:r>
        <w:rPr>
          <w:rFonts w:eastAsia="Calibri"/>
          <w:b/>
          <w:sz w:val="22"/>
          <w:szCs w:val="22"/>
          <w:lang w:val="es-ES" w:eastAsia="en-US"/>
        </w:rPr>
        <w:br w:type="page"/>
      </w:r>
    </w:p>
    <w:p w14:paraId="075B2E9D" w14:textId="64D11F3D" w:rsidR="00AB6F2B" w:rsidRPr="00AB6F2B" w:rsidRDefault="00AB6F2B" w:rsidP="00AB6F2B">
      <w:pPr>
        <w:spacing w:line="360" w:lineRule="auto"/>
        <w:jc w:val="center"/>
        <w:rPr>
          <w:rFonts w:eastAsia="Calibri"/>
          <w:sz w:val="22"/>
          <w:szCs w:val="22"/>
          <w:lang w:val="es-ES" w:eastAsia="en-US"/>
        </w:rPr>
      </w:pPr>
      <w:r w:rsidRPr="00AB6F2B">
        <w:rPr>
          <w:rFonts w:eastAsia="Calibri"/>
          <w:b/>
          <w:sz w:val="22"/>
          <w:szCs w:val="22"/>
          <w:lang w:val="es-ES" w:eastAsia="en-US"/>
        </w:rPr>
        <w:lastRenderedPageBreak/>
        <w:t>Tabla 2 -</w:t>
      </w:r>
      <w:r w:rsidRPr="00AB6F2B">
        <w:rPr>
          <w:rFonts w:eastAsia="Calibri"/>
          <w:sz w:val="22"/>
          <w:szCs w:val="22"/>
          <w:lang w:val="es-ES" w:eastAsia="en-US"/>
        </w:rPr>
        <w:t xml:space="preserve"> Resultados de la regresión logística para la búsqueda de factores pronósticos de mortalidad posoperatoria</w:t>
      </w:r>
    </w:p>
    <w:tbl>
      <w:tblPr>
        <w:tblStyle w:val="Tablaconcuadrcula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992"/>
        <w:gridCol w:w="2033"/>
        <w:gridCol w:w="816"/>
        <w:gridCol w:w="798"/>
      </w:tblGrid>
      <w:tr w:rsidR="00AB6F2B" w:rsidRPr="00AB6F2B" w14:paraId="17D609CC" w14:textId="77777777" w:rsidTr="00412B10">
        <w:trPr>
          <w:jc w:val="center"/>
        </w:trPr>
        <w:tc>
          <w:tcPr>
            <w:tcW w:w="2972" w:type="dxa"/>
            <w:shd w:val="clear" w:color="auto" w:fill="auto"/>
            <w:vAlign w:val="center"/>
          </w:tcPr>
          <w:p w14:paraId="5017E9B1" w14:textId="77777777" w:rsidR="00AB6F2B" w:rsidRPr="00AB6F2B" w:rsidRDefault="00AB6F2B" w:rsidP="00AB6F2B">
            <w:pPr>
              <w:spacing w:line="360" w:lineRule="auto"/>
              <w:jc w:val="center"/>
              <w:rPr>
                <w:rFonts w:ascii="Times New Roman" w:hAnsi="Times New Roman"/>
                <w:b/>
                <w:sz w:val="18"/>
                <w:szCs w:val="18"/>
                <w:lang w:val="es-ES" w:eastAsia="en-US"/>
              </w:rPr>
            </w:pPr>
            <w:r w:rsidRPr="00AB6F2B">
              <w:rPr>
                <w:rFonts w:ascii="Times New Roman" w:hAnsi="Times New Roman"/>
                <w:b/>
                <w:sz w:val="18"/>
                <w:szCs w:val="18"/>
                <w:lang w:val="es-ES" w:eastAsia="en-US"/>
              </w:rPr>
              <w:t>Variables</w:t>
            </w:r>
          </w:p>
        </w:tc>
        <w:tc>
          <w:tcPr>
            <w:tcW w:w="992" w:type="dxa"/>
            <w:shd w:val="clear" w:color="auto" w:fill="auto"/>
            <w:vAlign w:val="center"/>
          </w:tcPr>
          <w:p w14:paraId="406D0F08" w14:textId="77777777" w:rsidR="00AB6F2B" w:rsidRPr="00AB6F2B" w:rsidRDefault="00AB6F2B" w:rsidP="00AB6F2B">
            <w:pPr>
              <w:spacing w:line="360" w:lineRule="auto"/>
              <w:jc w:val="center"/>
              <w:rPr>
                <w:rFonts w:ascii="Times New Roman" w:hAnsi="Times New Roman"/>
                <w:b/>
                <w:sz w:val="18"/>
                <w:szCs w:val="18"/>
                <w:lang w:val="es-ES" w:eastAsia="en-US"/>
              </w:rPr>
            </w:pPr>
            <w:proofErr w:type="spellStart"/>
            <w:r w:rsidRPr="00AB6F2B">
              <w:rPr>
                <w:rFonts w:ascii="Times New Roman" w:hAnsi="Times New Roman"/>
                <w:b/>
                <w:sz w:val="18"/>
                <w:szCs w:val="18"/>
                <w:lang w:val="es-ES" w:eastAsia="en-US"/>
              </w:rPr>
              <w:t>OR</w:t>
            </w:r>
            <w:proofErr w:type="spellEnd"/>
          </w:p>
        </w:tc>
        <w:tc>
          <w:tcPr>
            <w:tcW w:w="2033" w:type="dxa"/>
            <w:shd w:val="clear" w:color="auto" w:fill="auto"/>
            <w:vAlign w:val="center"/>
          </w:tcPr>
          <w:p w14:paraId="32E676AE" w14:textId="77777777" w:rsidR="00AB6F2B" w:rsidRPr="00AB6F2B" w:rsidRDefault="00AB6F2B" w:rsidP="00AB6F2B">
            <w:pPr>
              <w:spacing w:line="360" w:lineRule="auto"/>
              <w:jc w:val="center"/>
              <w:rPr>
                <w:rFonts w:ascii="Times New Roman" w:hAnsi="Times New Roman"/>
                <w:b/>
                <w:sz w:val="18"/>
                <w:szCs w:val="18"/>
                <w:lang w:val="es-ES" w:eastAsia="en-US"/>
              </w:rPr>
            </w:pPr>
            <w:r w:rsidRPr="00AB6F2B">
              <w:rPr>
                <w:rFonts w:ascii="Times New Roman" w:hAnsi="Times New Roman"/>
                <w:b/>
                <w:sz w:val="18"/>
                <w:szCs w:val="18"/>
                <w:lang w:val="es-ES" w:eastAsia="en-US"/>
              </w:rPr>
              <w:t>IC al 95 %</w:t>
            </w:r>
          </w:p>
        </w:tc>
        <w:tc>
          <w:tcPr>
            <w:tcW w:w="816" w:type="dxa"/>
            <w:shd w:val="clear" w:color="auto" w:fill="auto"/>
            <w:vAlign w:val="center"/>
          </w:tcPr>
          <w:p w14:paraId="4E63C3B5" w14:textId="77777777" w:rsidR="00AB6F2B" w:rsidRPr="00AB6F2B" w:rsidRDefault="00AB6F2B" w:rsidP="00AB6F2B">
            <w:pPr>
              <w:spacing w:line="360" w:lineRule="auto"/>
              <w:jc w:val="center"/>
              <w:rPr>
                <w:rFonts w:ascii="Times New Roman" w:hAnsi="Times New Roman"/>
                <w:b/>
                <w:sz w:val="18"/>
                <w:szCs w:val="18"/>
                <w:lang w:val="es-ES" w:eastAsia="en-US"/>
              </w:rPr>
            </w:pPr>
            <w:r w:rsidRPr="00AB6F2B">
              <w:rPr>
                <w:rFonts w:ascii="Times New Roman" w:hAnsi="Times New Roman"/>
                <w:b/>
                <w:sz w:val="18"/>
                <w:szCs w:val="18"/>
                <w:lang w:val="es-ES" w:eastAsia="en-US"/>
              </w:rPr>
              <w:t>b</w:t>
            </w:r>
          </w:p>
        </w:tc>
        <w:tc>
          <w:tcPr>
            <w:tcW w:w="798" w:type="dxa"/>
            <w:shd w:val="clear" w:color="auto" w:fill="auto"/>
            <w:vAlign w:val="center"/>
          </w:tcPr>
          <w:p w14:paraId="6457D011" w14:textId="77777777" w:rsidR="00AB6F2B" w:rsidRPr="00AB6F2B" w:rsidRDefault="00AB6F2B" w:rsidP="00AB6F2B">
            <w:pPr>
              <w:spacing w:line="360" w:lineRule="auto"/>
              <w:jc w:val="center"/>
              <w:rPr>
                <w:rFonts w:ascii="Times New Roman" w:hAnsi="Times New Roman"/>
                <w:b/>
                <w:sz w:val="18"/>
                <w:szCs w:val="18"/>
                <w:lang w:val="es-ES" w:eastAsia="en-US"/>
              </w:rPr>
            </w:pPr>
            <w:r w:rsidRPr="00AB6F2B">
              <w:rPr>
                <w:rFonts w:ascii="Times New Roman" w:hAnsi="Times New Roman"/>
                <w:b/>
                <w:sz w:val="18"/>
                <w:szCs w:val="18"/>
                <w:lang w:val="es-ES" w:eastAsia="en-US"/>
              </w:rPr>
              <w:t>p</w:t>
            </w:r>
          </w:p>
        </w:tc>
      </w:tr>
      <w:tr w:rsidR="00AB6F2B" w:rsidRPr="00AB6F2B" w14:paraId="4515776A" w14:textId="77777777" w:rsidTr="00412B10">
        <w:trPr>
          <w:jc w:val="center"/>
        </w:trPr>
        <w:tc>
          <w:tcPr>
            <w:tcW w:w="2972" w:type="dxa"/>
            <w:shd w:val="clear" w:color="auto" w:fill="auto"/>
            <w:vAlign w:val="center"/>
          </w:tcPr>
          <w:p w14:paraId="0942A6FD" w14:textId="77777777" w:rsidR="00AB6F2B" w:rsidRPr="00AB6F2B" w:rsidRDefault="00AB6F2B" w:rsidP="00AB6F2B">
            <w:pPr>
              <w:spacing w:line="360" w:lineRule="auto"/>
              <w:rPr>
                <w:rFonts w:ascii="Times New Roman" w:hAnsi="Times New Roman"/>
                <w:bCs/>
                <w:sz w:val="18"/>
                <w:szCs w:val="18"/>
                <w:lang w:val="es-ES" w:eastAsia="en-US"/>
              </w:rPr>
            </w:pPr>
            <w:r w:rsidRPr="00AB6F2B">
              <w:rPr>
                <w:rFonts w:ascii="Times New Roman" w:hAnsi="Times New Roman"/>
                <w:bCs/>
                <w:sz w:val="18"/>
                <w:szCs w:val="18"/>
                <w:lang w:val="es-ES" w:eastAsia="en-US"/>
              </w:rPr>
              <w:t>Edad</w:t>
            </w:r>
          </w:p>
        </w:tc>
        <w:tc>
          <w:tcPr>
            <w:tcW w:w="992" w:type="dxa"/>
            <w:shd w:val="clear" w:color="auto" w:fill="auto"/>
            <w:vAlign w:val="center"/>
          </w:tcPr>
          <w:p w14:paraId="5D0CDD26"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2,496</w:t>
            </w:r>
          </w:p>
        </w:tc>
        <w:tc>
          <w:tcPr>
            <w:tcW w:w="2033" w:type="dxa"/>
            <w:shd w:val="clear" w:color="auto" w:fill="auto"/>
            <w:vAlign w:val="center"/>
          </w:tcPr>
          <w:p w14:paraId="518CDF35"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1,156 – 5,390</w:t>
            </w:r>
          </w:p>
        </w:tc>
        <w:tc>
          <w:tcPr>
            <w:tcW w:w="816" w:type="dxa"/>
            <w:shd w:val="clear" w:color="auto" w:fill="auto"/>
            <w:vAlign w:val="center"/>
          </w:tcPr>
          <w:p w14:paraId="245BDD61"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0,176</w:t>
            </w:r>
          </w:p>
        </w:tc>
        <w:tc>
          <w:tcPr>
            <w:tcW w:w="798" w:type="dxa"/>
            <w:shd w:val="clear" w:color="auto" w:fill="auto"/>
            <w:vAlign w:val="center"/>
          </w:tcPr>
          <w:p w14:paraId="7348A601"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0,004</w:t>
            </w:r>
          </w:p>
        </w:tc>
      </w:tr>
      <w:tr w:rsidR="00AB6F2B" w:rsidRPr="00AB6F2B" w14:paraId="02710330" w14:textId="77777777" w:rsidTr="00412B10">
        <w:trPr>
          <w:jc w:val="center"/>
        </w:trPr>
        <w:tc>
          <w:tcPr>
            <w:tcW w:w="2972" w:type="dxa"/>
            <w:shd w:val="clear" w:color="auto" w:fill="auto"/>
            <w:vAlign w:val="center"/>
          </w:tcPr>
          <w:p w14:paraId="6392EB82" w14:textId="77777777" w:rsidR="00AB6F2B" w:rsidRPr="00AB6F2B" w:rsidRDefault="00AB6F2B" w:rsidP="00AB6F2B">
            <w:pPr>
              <w:spacing w:line="360" w:lineRule="auto"/>
              <w:rPr>
                <w:rFonts w:ascii="Times New Roman" w:hAnsi="Times New Roman"/>
                <w:bCs/>
                <w:sz w:val="18"/>
                <w:szCs w:val="18"/>
                <w:lang w:val="es-ES" w:eastAsia="en-US"/>
              </w:rPr>
            </w:pPr>
            <w:r w:rsidRPr="00AB6F2B">
              <w:rPr>
                <w:rFonts w:ascii="Times New Roman" w:hAnsi="Times New Roman"/>
                <w:bCs/>
                <w:sz w:val="18"/>
                <w:szCs w:val="18"/>
                <w:lang w:val="es-ES" w:eastAsia="en-US"/>
              </w:rPr>
              <w:t>ECG</w:t>
            </w:r>
          </w:p>
        </w:tc>
        <w:tc>
          <w:tcPr>
            <w:tcW w:w="992" w:type="dxa"/>
            <w:shd w:val="clear" w:color="auto" w:fill="auto"/>
            <w:vAlign w:val="center"/>
          </w:tcPr>
          <w:p w14:paraId="1661B771"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2,293</w:t>
            </w:r>
          </w:p>
        </w:tc>
        <w:tc>
          <w:tcPr>
            <w:tcW w:w="2033" w:type="dxa"/>
            <w:shd w:val="clear" w:color="auto" w:fill="auto"/>
            <w:vAlign w:val="center"/>
          </w:tcPr>
          <w:p w14:paraId="3DC71C07"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1,156 – 4,548</w:t>
            </w:r>
          </w:p>
        </w:tc>
        <w:tc>
          <w:tcPr>
            <w:tcW w:w="816" w:type="dxa"/>
            <w:shd w:val="clear" w:color="auto" w:fill="auto"/>
            <w:vAlign w:val="center"/>
          </w:tcPr>
          <w:p w14:paraId="1A8B184E"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0,83</w:t>
            </w:r>
          </w:p>
        </w:tc>
        <w:tc>
          <w:tcPr>
            <w:tcW w:w="798" w:type="dxa"/>
            <w:shd w:val="clear" w:color="auto" w:fill="auto"/>
            <w:vAlign w:val="center"/>
          </w:tcPr>
          <w:p w14:paraId="6530210E"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0,018</w:t>
            </w:r>
          </w:p>
        </w:tc>
      </w:tr>
      <w:tr w:rsidR="00AB6F2B" w:rsidRPr="00AB6F2B" w14:paraId="32451C56" w14:textId="77777777" w:rsidTr="00412B10">
        <w:trPr>
          <w:jc w:val="center"/>
        </w:trPr>
        <w:tc>
          <w:tcPr>
            <w:tcW w:w="2972" w:type="dxa"/>
            <w:shd w:val="clear" w:color="auto" w:fill="auto"/>
            <w:vAlign w:val="center"/>
          </w:tcPr>
          <w:p w14:paraId="4493E788" w14:textId="77777777" w:rsidR="00AB6F2B" w:rsidRPr="00AB6F2B" w:rsidRDefault="00AB6F2B" w:rsidP="00AB6F2B">
            <w:pPr>
              <w:spacing w:line="360" w:lineRule="auto"/>
              <w:rPr>
                <w:rFonts w:ascii="Times New Roman" w:hAnsi="Times New Roman"/>
                <w:bCs/>
                <w:sz w:val="18"/>
                <w:szCs w:val="18"/>
                <w:lang w:val="es-ES" w:eastAsia="en-US"/>
              </w:rPr>
            </w:pPr>
            <w:r w:rsidRPr="00AB6F2B">
              <w:rPr>
                <w:rFonts w:ascii="Times New Roman" w:hAnsi="Times New Roman"/>
                <w:bCs/>
                <w:sz w:val="18"/>
                <w:szCs w:val="18"/>
                <w:lang w:val="es-ES" w:eastAsia="en-US"/>
              </w:rPr>
              <w:t>Localización del hematoma</w:t>
            </w:r>
          </w:p>
        </w:tc>
        <w:tc>
          <w:tcPr>
            <w:tcW w:w="992" w:type="dxa"/>
            <w:shd w:val="clear" w:color="auto" w:fill="auto"/>
            <w:vAlign w:val="center"/>
          </w:tcPr>
          <w:p w14:paraId="792634DB"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4,657</w:t>
            </w:r>
          </w:p>
        </w:tc>
        <w:tc>
          <w:tcPr>
            <w:tcW w:w="2033" w:type="dxa"/>
            <w:shd w:val="clear" w:color="auto" w:fill="auto"/>
            <w:vAlign w:val="center"/>
          </w:tcPr>
          <w:p w14:paraId="49C6AE58"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4,039 – 53,193</w:t>
            </w:r>
          </w:p>
        </w:tc>
        <w:tc>
          <w:tcPr>
            <w:tcW w:w="816" w:type="dxa"/>
            <w:shd w:val="clear" w:color="auto" w:fill="auto"/>
            <w:vAlign w:val="center"/>
          </w:tcPr>
          <w:p w14:paraId="661B3850"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0,174</w:t>
            </w:r>
          </w:p>
        </w:tc>
        <w:tc>
          <w:tcPr>
            <w:tcW w:w="798" w:type="dxa"/>
            <w:shd w:val="clear" w:color="auto" w:fill="auto"/>
            <w:vAlign w:val="center"/>
          </w:tcPr>
          <w:p w14:paraId="3D4C46CE"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0,058</w:t>
            </w:r>
          </w:p>
        </w:tc>
      </w:tr>
      <w:tr w:rsidR="00AB6F2B" w:rsidRPr="00AB6F2B" w14:paraId="5EB1C9D3" w14:textId="77777777" w:rsidTr="00412B10">
        <w:trPr>
          <w:jc w:val="center"/>
        </w:trPr>
        <w:tc>
          <w:tcPr>
            <w:tcW w:w="2972" w:type="dxa"/>
            <w:shd w:val="clear" w:color="auto" w:fill="auto"/>
            <w:vAlign w:val="center"/>
          </w:tcPr>
          <w:p w14:paraId="205CDE5E" w14:textId="77777777" w:rsidR="00AB6F2B" w:rsidRPr="00AB6F2B" w:rsidRDefault="00AB6F2B" w:rsidP="00AB6F2B">
            <w:pPr>
              <w:spacing w:line="360" w:lineRule="auto"/>
              <w:rPr>
                <w:rFonts w:ascii="Times New Roman" w:hAnsi="Times New Roman"/>
                <w:bCs/>
                <w:sz w:val="18"/>
                <w:szCs w:val="18"/>
                <w:lang w:val="es-ES" w:eastAsia="en-US"/>
              </w:rPr>
            </w:pPr>
            <w:r w:rsidRPr="00AB6F2B">
              <w:rPr>
                <w:rFonts w:ascii="Times New Roman" w:hAnsi="Times New Roman"/>
                <w:bCs/>
                <w:sz w:val="18"/>
                <w:szCs w:val="18"/>
                <w:lang w:val="es-ES" w:eastAsia="en-US"/>
              </w:rPr>
              <w:t>Volumen del hematoma</w:t>
            </w:r>
          </w:p>
        </w:tc>
        <w:tc>
          <w:tcPr>
            <w:tcW w:w="992" w:type="dxa"/>
            <w:shd w:val="clear" w:color="auto" w:fill="auto"/>
            <w:vAlign w:val="center"/>
          </w:tcPr>
          <w:p w14:paraId="25CB8ECC"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1,418</w:t>
            </w:r>
          </w:p>
        </w:tc>
        <w:tc>
          <w:tcPr>
            <w:tcW w:w="2033" w:type="dxa"/>
            <w:shd w:val="clear" w:color="auto" w:fill="auto"/>
            <w:vAlign w:val="center"/>
          </w:tcPr>
          <w:p w14:paraId="0D31E900"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 xml:space="preserve">0,624 – 3,227 </w:t>
            </w:r>
          </w:p>
        </w:tc>
        <w:tc>
          <w:tcPr>
            <w:tcW w:w="816" w:type="dxa"/>
            <w:shd w:val="clear" w:color="auto" w:fill="auto"/>
            <w:vAlign w:val="center"/>
          </w:tcPr>
          <w:p w14:paraId="4EC46404"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0,057</w:t>
            </w:r>
          </w:p>
        </w:tc>
        <w:tc>
          <w:tcPr>
            <w:tcW w:w="798" w:type="dxa"/>
            <w:shd w:val="clear" w:color="auto" w:fill="auto"/>
            <w:vAlign w:val="center"/>
          </w:tcPr>
          <w:p w14:paraId="5F3DBE13"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0,421</w:t>
            </w:r>
          </w:p>
        </w:tc>
      </w:tr>
      <w:tr w:rsidR="00AB6F2B" w:rsidRPr="00AB6F2B" w14:paraId="52799604" w14:textId="77777777" w:rsidTr="00412B10">
        <w:trPr>
          <w:jc w:val="center"/>
        </w:trPr>
        <w:tc>
          <w:tcPr>
            <w:tcW w:w="2972" w:type="dxa"/>
            <w:shd w:val="clear" w:color="auto" w:fill="auto"/>
            <w:vAlign w:val="center"/>
          </w:tcPr>
          <w:p w14:paraId="65988535" w14:textId="77777777" w:rsidR="00AB6F2B" w:rsidRPr="00AB6F2B" w:rsidRDefault="00AB6F2B" w:rsidP="00AB6F2B">
            <w:pPr>
              <w:spacing w:line="360" w:lineRule="auto"/>
              <w:rPr>
                <w:rFonts w:ascii="Times New Roman" w:hAnsi="Times New Roman"/>
                <w:bCs/>
                <w:sz w:val="18"/>
                <w:szCs w:val="18"/>
                <w:lang w:val="es-ES" w:eastAsia="en-US"/>
              </w:rPr>
            </w:pPr>
            <w:r w:rsidRPr="00AB6F2B">
              <w:rPr>
                <w:rFonts w:ascii="Times New Roman" w:hAnsi="Times New Roman"/>
                <w:bCs/>
                <w:sz w:val="18"/>
                <w:szCs w:val="18"/>
                <w:lang w:val="es-ES" w:eastAsia="en-US"/>
              </w:rPr>
              <w:t>Profundidad del hematoma</w:t>
            </w:r>
          </w:p>
        </w:tc>
        <w:tc>
          <w:tcPr>
            <w:tcW w:w="992" w:type="dxa"/>
            <w:shd w:val="clear" w:color="auto" w:fill="auto"/>
            <w:vAlign w:val="center"/>
          </w:tcPr>
          <w:p w14:paraId="273B2F20"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14,394</w:t>
            </w:r>
          </w:p>
        </w:tc>
        <w:tc>
          <w:tcPr>
            <w:tcW w:w="2033" w:type="dxa"/>
            <w:shd w:val="clear" w:color="auto" w:fill="auto"/>
            <w:vAlign w:val="center"/>
          </w:tcPr>
          <w:p w14:paraId="248BB58B"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5,314 – 38,985</w:t>
            </w:r>
          </w:p>
        </w:tc>
        <w:tc>
          <w:tcPr>
            <w:tcW w:w="816" w:type="dxa"/>
            <w:shd w:val="clear" w:color="auto" w:fill="auto"/>
            <w:vAlign w:val="center"/>
          </w:tcPr>
          <w:p w14:paraId="1EC063F3"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3,951</w:t>
            </w:r>
          </w:p>
        </w:tc>
        <w:tc>
          <w:tcPr>
            <w:tcW w:w="798" w:type="dxa"/>
            <w:shd w:val="clear" w:color="auto" w:fill="auto"/>
            <w:vAlign w:val="center"/>
          </w:tcPr>
          <w:p w14:paraId="55C71B92"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0,027</w:t>
            </w:r>
          </w:p>
        </w:tc>
      </w:tr>
      <w:tr w:rsidR="00AB6F2B" w:rsidRPr="00AB6F2B" w14:paraId="4ABEE83D" w14:textId="77777777" w:rsidTr="00412B10">
        <w:trPr>
          <w:jc w:val="center"/>
        </w:trPr>
        <w:tc>
          <w:tcPr>
            <w:tcW w:w="2972" w:type="dxa"/>
            <w:shd w:val="clear" w:color="auto" w:fill="auto"/>
            <w:vAlign w:val="center"/>
          </w:tcPr>
          <w:p w14:paraId="1D7CF976" w14:textId="77777777" w:rsidR="00AB6F2B" w:rsidRPr="00AB6F2B" w:rsidRDefault="00AB6F2B" w:rsidP="00AB6F2B">
            <w:pPr>
              <w:spacing w:line="360" w:lineRule="auto"/>
              <w:rPr>
                <w:rFonts w:ascii="Times New Roman" w:hAnsi="Times New Roman"/>
                <w:bCs/>
                <w:sz w:val="18"/>
                <w:szCs w:val="18"/>
                <w:lang w:val="es-ES" w:eastAsia="en-US"/>
              </w:rPr>
            </w:pPr>
            <w:r w:rsidRPr="00AB6F2B">
              <w:rPr>
                <w:rFonts w:ascii="Times New Roman" w:hAnsi="Times New Roman"/>
                <w:bCs/>
                <w:sz w:val="18"/>
                <w:szCs w:val="18"/>
                <w:lang w:val="es-ES" w:eastAsia="en-US"/>
              </w:rPr>
              <w:t>Presencia de HIV</w:t>
            </w:r>
          </w:p>
        </w:tc>
        <w:tc>
          <w:tcPr>
            <w:tcW w:w="992" w:type="dxa"/>
            <w:shd w:val="clear" w:color="auto" w:fill="auto"/>
            <w:vAlign w:val="center"/>
          </w:tcPr>
          <w:p w14:paraId="5E7AEDD2"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1,034</w:t>
            </w:r>
          </w:p>
        </w:tc>
        <w:tc>
          <w:tcPr>
            <w:tcW w:w="2033" w:type="dxa"/>
            <w:shd w:val="clear" w:color="auto" w:fill="auto"/>
            <w:vAlign w:val="center"/>
          </w:tcPr>
          <w:p w14:paraId="2D0275D8"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0,991 – 1,077</w:t>
            </w:r>
          </w:p>
        </w:tc>
        <w:tc>
          <w:tcPr>
            <w:tcW w:w="816" w:type="dxa"/>
            <w:shd w:val="clear" w:color="auto" w:fill="auto"/>
            <w:vAlign w:val="center"/>
          </w:tcPr>
          <w:p w14:paraId="526FB02A"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0,207</w:t>
            </w:r>
          </w:p>
        </w:tc>
        <w:tc>
          <w:tcPr>
            <w:tcW w:w="798" w:type="dxa"/>
            <w:shd w:val="clear" w:color="auto" w:fill="auto"/>
            <w:vAlign w:val="center"/>
          </w:tcPr>
          <w:p w14:paraId="21C62D27" w14:textId="77777777" w:rsidR="00AB6F2B" w:rsidRPr="00AB6F2B" w:rsidRDefault="00AB6F2B" w:rsidP="00AB6F2B">
            <w:pPr>
              <w:spacing w:line="360" w:lineRule="auto"/>
              <w:jc w:val="center"/>
              <w:rPr>
                <w:rFonts w:ascii="Times New Roman" w:hAnsi="Times New Roman"/>
                <w:bCs/>
                <w:sz w:val="18"/>
                <w:szCs w:val="18"/>
                <w:lang w:val="es-ES" w:eastAsia="en-US"/>
              </w:rPr>
            </w:pPr>
            <w:r w:rsidRPr="00AB6F2B">
              <w:rPr>
                <w:rFonts w:ascii="Times New Roman" w:hAnsi="Times New Roman"/>
                <w:bCs/>
                <w:sz w:val="18"/>
                <w:szCs w:val="18"/>
                <w:lang w:val="es-ES" w:eastAsia="en-US"/>
              </w:rPr>
              <w:t>0,087</w:t>
            </w:r>
          </w:p>
        </w:tc>
      </w:tr>
    </w:tbl>
    <w:p w14:paraId="18E05969" w14:textId="77777777" w:rsidR="00AB6F2B" w:rsidRPr="00AB6F2B" w:rsidRDefault="00AB6F2B" w:rsidP="00AB6F2B">
      <w:pPr>
        <w:spacing w:line="360" w:lineRule="auto"/>
        <w:jc w:val="center"/>
        <w:rPr>
          <w:rFonts w:eastAsia="Calibri"/>
          <w:sz w:val="16"/>
          <w:szCs w:val="16"/>
          <w:lang w:val="es-ES" w:eastAsia="en-US"/>
        </w:rPr>
      </w:pPr>
      <w:r w:rsidRPr="00AB6F2B">
        <w:rPr>
          <w:rFonts w:eastAsia="Calibri"/>
          <w:sz w:val="16"/>
          <w:szCs w:val="16"/>
          <w:lang w:val="es-ES" w:eastAsia="en-US"/>
        </w:rPr>
        <w:t>b: coeficiente de la variable; p: significación estadística.</w:t>
      </w:r>
    </w:p>
    <w:p w14:paraId="71D2BE2C" w14:textId="77777777" w:rsidR="00AB6F2B" w:rsidRPr="00AB6F2B" w:rsidRDefault="00AB6F2B" w:rsidP="00AB6F2B">
      <w:pPr>
        <w:spacing w:line="360" w:lineRule="auto"/>
        <w:jc w:val="both"/>
        <w:rPr>
          <w:rFonts w:eastAsia="Calibri"/>
          <w:lang w:val="es-ES" w:eastAsia="en-US"/>
        </w:rPr>
      </w:pPr>
    </w:p>
    <w:p w14:paraId="3CD6A48E" w14:textId="7F9FE9B0" w:rsidR="00AB6F2B" w:rsidRPr="00AB6F2B" w:rsidRDefault="00AB6F2B" w:rsidP="00AB6F2B">
      <w:pPr>
        <w:spacing w:line="360" w:lineRule="auto"/>
        <w:jc w:val="center"/>
        <w:rPr>
          <w:rFonts w:eastAsia="Calibri"/>
          <w:lang w:val="es-ES" w:eastAsia="en-US"/>
        </w:rPr>
      </w:pPr>
      <w:r w:rsidRPr="00AB6F2B">
        <w:rPr>
          <w:rFonts w:eastAsia="Calibri"/>
          <w:noProof/>
          <w:lang w:val="es-ES" w:eastAsia="en-US"/>
        </w:rPr>
        <w:drawing>
          <wp:inline distT="0" distB="0" distL="0" distR="0" wp14:anchorId="300C8AB6" wp14:editId="537312D2">
            <wp:extent cx="3673558" cy="3659588"/>
            <wp:effectExtent l="0" t="0" r="3175"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8342" cy="3674315"/>
                    </a:xfrm>
                    <a:prstGeom prst="rect">
                      <a:avLst/>
                    </a:prstGeom>
                    <a:noFill/>
                    <a:ln>
                      <a:noFill/>
                    </a:ln>
                  </pic:spPr>
                </pic:pic>
              </a:graphicData>
            </a:graphic>
          </wp:inline>
        </w:drawing>
      </w:r>
    </w:p>
    <w:p w14:paraId="1173BE1F" w14:textId="77777777" w:rsidR="00AB6F2B" w:rsidRPr="00AB6F2B" w:rsidRDefault="00AB6F2B" w:rsidP="00AB6F2B">
      <w:pPr>
        <w:spacing w:line="360" w:lineRule="auto"/>
        <w:jc w:val="center"/>
        <w:rPr>
          <w:rFonts w:eastAsia="Calibri"/>
          <w:sz w:val="22"/>
          <w:szCs w:val="22"/>
          <w:lang w:val="es-ES" w:eastAsia="en-US"/>
        </w:rPr>
      </w:pPr>
      <w:r w:rsidRPr="00AB6F2B">
        <w:rPr>
          <w:rFonts w:eastAsia="Calibri"/>
          <w:b/>
          <w:sz w:val="22"/>
          <w:szCs w:val="22"/>
          <w:lang w:val="es-ES" w:eastAsia="en-US"/>
        </w:rPr>
        <w:t>Fig. 1 -</w:t>
      </w:r>
      <w:r w:rsidRPr="00AB6F2B">
        <w:rPr>
          <w:rFonts w:eastAsia="Calibri"/>
          <w:sz w:val="22"/>
          <w:szCs w:val="22"/>
          <w:lang w:val="es-ES" w:eastAsia="en-US"/>
        </w:rPr>
        <w:t xml:space="preserve"> Curva ROC para la probabilidad de fallecer en la ME.</w:t>
      </w:r>
    </w:p>
    <w:p w14:paraId="20515945" w14:textId="77777777" w:rsidR="00AB6F2B" w:rsidRPr="00AB6F2B" w:rsidRDefault="00AB6F2B" w:rsidP="00AB6F2B">
      <w:pPr>
        <w:spacing w:line="360" w:lineRule="auto"/>
        <w:jc w:val="both"/>
        <w:rPr>
          <w:rFonts w:eastAsia="Calibri"/>
          <w:lang w:val="es-ES" w:eastAsia="en-US"/>
        </w:rPr>
      </w:pPr>
    </w:p>
    <w:p w14:paraId="6BDA73C5" w14:textId="77777777" w:rsidR="00AB6F2B" w:rsidRPr="00AB6F2B" w:rsidRDefault="00AB6F2B" w:rsidP="00AB6F2B">
      <w:pPr>
        <w:spacing w:line="360" w:lineRule="auto"/>
        <w:jc w:val="center"/>
        <w:rPr>
          <w:rFonts w:eastAsia="Calibri"/>
          <w:b/>
          <w:bCs/>
          <w:sz w:val="28"/>
          <w:szCs w:val="28"/>
          <w:lang w:val="es-ES" w:eastAsia="en-US"/>
        </w:rPr>
      </w:pPr>
      <w:r w:rsidRPr="00AB6F2B">
        <w:rPr>
          <w:rFonts w:eastAsia="Calibri"/>
          <w:b/>
          <w:bCs/>
          <w:sz w:val="28"/>
          <w:szCs w:val="28"/>
          <w:lang w:val="es-ES" w:eastAsia="en-US"/>
        </w:rPr>
        <w:t>Estimación y comprobación del índice pronóstico</w:t>
      </w:r>
    </w:p>
    <w:p w14:paraId="36984640"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 xml:space="preserve">De la función de regresión logística en la ME se obtuvieron los coeficientes para cada variable (tabla 2), a partir de los cuales se creó el IP de mortalidad, que se calcula mediante la fórmula: </w:t>
      </w:r>
    </w:p>
    <w:p w14:paraId="0ACBDE7E" w14:textId="77777777" w:rsidR="00AB6F2B" w:rsidRPr="00AB6F2B" w:rsidRDefault="00AB6F2B" w:rsidP="00AB6F2B">
      <w:pPr>
        <w:spacing w:line="360" w:lineRule="auto"/>
        <w:jc w:val="both"/>
        <w:rPr>
          <w:rFonts w:eastAsia="Calibri"/>
          <w:lang w:val="es-ES" w:eastAsia="en-US"/>
        </w:rPr>
      </w:pPr>
    </w:p>
    <w:p w14:paraId="4A234810" w14:textId="77777777" w:rsidR="00AB6F2B" w:rsidRPr="00AB6F2B" w:rsidRDefault="00AB6F2B" w:rsidP="00AB6F2B">
      <w:pPr>
        <w:spacing w:line="360" w:lineRule="auto"/>
        <w:jc w:val="center"/>
        <w:rPr>
          <w:rFonts w:eastAsia="Calibri"/>
          <w:bCs/>
          <w:lang w:val="es-ES" w:eastAsia="en-US"/>
        </w:rPr>
      </w:pPr>
      <w:r w:rsidRPr="00AB6F2B">
        <w:rPr>
          <w:rFonts w:eastAsia="Calibri"/>
          <w:bCs/>
          <w:lang w:val="es-ES" w:eastAsia="en-US"/>
        </w:rPr>
        <w:t xml:space="preserve">IP= 0,176 x Edad - 0,830 x </w:t>
      </w:r>
      <w:proofErr w:type="spellStart"/>
      <w:r w:rsidRPr="00AB6F2B">
        <w:rPr>
          <w:rFonts w:eastAsia="Calibri"/>
          <w:bCs/>
          <w:lang w:val="es-ES" w:eastAsia="en-US"/>
        </w:rPr>
        <w:t>EGC</w:t>
      </w:r>
      <w:proofErr w:type="spellEnd"/>
      <w:r w:rsidRPr="00AB6F2B">
        <w:rPr>
          <w:rFonts w:eastAsia="Calibri"/>
          <w:bCs/>
          <w:lang w:val="es-ES" w:eastAsia="en-US"/>
        </w:rPr>
        <w:t xml:space="preserve"> + 0,174 x localización + 0,057 x volumen + 3,951 x profundidad + 0,207 x HIV</w:t>
      </w:r>
    </w:p>
    <w:p w14:paraId="469061CF" w14:textId="77777777" w:rsidR="00AB6F2B" w:rsidRPr="00AB6F2B" w:rsidRDefault="00AB6F2B" w:rsidP="00AB6F2B">
      <w:pPr>
        <w:spacing w:line="360" w:lineRule="auto"/>
        <w:jc w:val="both"/>
        <w:rPr>
          <w:rFonts w:eastAsia="Calibri"/>
          <w:lang w:val="es-ES" w:eastAsia="en-US"/>
        </w:rPr>
      </w:pPr>
    </w:p>
    <w:p w14:paraId="2C050D6E"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Se calculó el puntaje del IP en la MC y se construyó una curva ROC, con un ABC de 0,884 (</w:t>
      </w:r>
      <w:proofErr w:type="spellStart"/>
      <w:r w:rsidRPr="00AB6F2B">
        <w:rPr>
          <w:rFonts w:eastAsia="Calibri"/>
          <w:lang w:val="es-ES" w:eastAsia="en-US"/>
        </w:rPr>
        <w:t>IC95</w:t>
      </w:r>
      <w:proofErr w:type="spellEnd"/>
      <w:r w:rsidRPr="00AB6F2B">
        <w:rPr>
          <w:rFonts w:eastAsia="Calibri"/>
          <w:lang w:val="es-ES" w:eastAsia="en-US"/>
        </w:rPr>
        <w:t> %: 0,787-0,981), que mostró buena discriminación entre egresados vivos y fallecidos (Fig. 2).</w:t>
      </w:r>
    </w:p>
    <w:p w14:paraId="58E0F686" w14:textId="77777777" w:rsidR="00AB6F2B" w:rsidRPr="00AB6F2B" w:rsidRDefault="00AB6F2B" w:rsidP="00AB6F2B">
      <w:pPr>
        <w:spacing w:line="360" w:lineRule="auto"/>
        <w:jc w:val="both"/>
        <w:rPr>
          <w:rFonts w:eastAsia="Calibri"/>
          <w:lang w:val="es-ES" w:eastAsia="en-US"/>
        </w:rPr>
      </w:pPr>
    </w:p>
    <w:p w14:paraId="495E4A0C" w14:textId="16C73304" w:rsidR="00AB6F2B" w:rsidRPr="00AB6F2B" w:rsidRDefault="00AB6F2B" w:rsidP="00AB6F2B">
      <w:pPr>
        <w:spacing w:line="360" w:lineRule="auto"/>
        <w:jc w:val="center"/>
        <w:rPr>
          <w:rFonts w:eastAsia="Calibri"/>
          <w:lang w:val="es-ES" w:eastAsia="en-US"/>
        </w:rPr>
      </w:pPr>
      <w:r w:rsidRPr="00AB6F2B">
        <w:rPr>
          <w:rFonts w:eastAsia="Calibri"/>
          <w:noProof/>
          <w:lang w:val="es-ES" w:eastAsia="en-US"/>
        </w:rPr>
        <w:drawing>
          <wp:inline distT="0" distB="0" distL="0" distR="0" wp14:anchorId="1E33F64B" wp14:editId="6E2CDB93">
            <wp:extent cx="3824605" cy="3788092"/>
            <wp:effectExtent l="0" t="0" r="4445" b="3175"/>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3085" cy="3796491"/>
                    </a:xfrm>
                    <a:prstGeom prst="rect">
                      <a:avLst/>
                    </a:prstGeom>
                    <a:noFill/>
                    <a:ln>
                      <a:noFill/>
                    </a:ln>
                  </pic:spPr>
                </pic:pic>
              </a:graphicData>
            </a:graphic>
          </wp:inline>
        </w:drawing>
      </w:r>
    </w:p>
    <w:p w14:paraId="414B8042" w14:textId="77777777" w:rsidR="00AB6F2B" w:rsidRPr="00AB6F2B" w:rsidRDefault="00AB6F2B" w:rsidP="00AB6F2B">
      <w:pPr>
        <w:spacing w:line="360" w:lineRule="auto"/>
        <w:jc w:val="center"/>
        <w:rPr>
          <w:rFonts w:eastAsia="Calibri"/>
          <w:sz w:val="22"/>
          <w:szCs w:val="22"/>
          <w:lang w:val="es-ES" w:eastAsia="en-US"/>
        </w:rPr>
      </w:pPr>
      <w:r w:rsidRPr="00AB6F2B">
        <w:rPr>
          <w:rFonts w:eastAsia="Calibri"/>
          <w:b/>
          <w:sz w:val="22"/>
          <w:szCs w:val="22"/>
          <w:lang w:val="es-ES" w:eastAsia="en-US"/>
        </w:rPr>
        <w:t>Fig. 2 -</w:t>
      </w:r>
      <w:r w:rsidRPr="00AB6F2B">
        <w:rPr>
          <w:rFonts w:eastAsia="Calibri"/>
          <w:sz w:val="22"/>
          <w:szCs w:val="22"/>
          <w:lang w:val="es-ES" w:eastAsia="en-US"/>
        </w:rPr>
        <w:t xml:space="preserve"> Curva ROC del valor del índice pronóstico de mortalidad en la MC.</w:t>
      </w:r>
    </w:p>
    <w:p w14:paraId="08842BE9" w14:textId="77777777" w:rsidR="00AB6F2B" w:rsidRPr="00AB6F2B" w:rsidRDefault="00AB6F2B" w:rsidP="00AB6F2B">
      <w:pPr>
        <w:spacing w:line="360" w:lineRule="auto"/>
        <w:jc w:val="both"/>
        <w:rPr>
          <w:rFonts w:eastAsia="Calibri"/>
          <w:lang w:val="es-ES" w:eastAsia="en-US"/>
        </w:rPr>
      </w:pPr>
    </w:p>
    <w:p w14:paraId="51954B81" w14:textId="78B5C3DF" w:rsidR="00AB6F2B" w:rsidRPr="00AB6F2B" w:rsidRDefault="00AB6F2B" w:rsidP="00AB6F2B">
      <w:pPr>
        <w:spacing w:line="360" w:lineRule="auto"/>
        <w:jc w:val="both"/>
        <w:rPr>
          <w:rFonts w:eastAsia="Calibri"/>
          <w:lang w:val="es-ES" w:eastAsia="en-US"/>
        </w:rPr>
      </w:pPr>
      <w:r w:rsidRPr="00AB6F2B">
        <w:rPr>
          <w:rFonts w:eastAsia="Calibri"/>
          <w:lang w:val="es-ES" w:eastAsia="en-US"/>
        </w:rPr>
        <w:t>Con la fórmula se calcul</w:t>
      </w:r>
      <w:r w:rsidR="00591DD1">
        <w:rPr>
          <w:rFonts w:eastAsia="Calibri"/>
          <w:lang w:val="es-ES" w:eastAsia="en-US"/>
        </w:rPr>
        <w:t>ó</w:t>
      </w:r>
      <w:r w:rsidRPr="00AB6F2B">
        <w:rPr>
          <w:rFonts w:eastAsia="Calibri"/>
          <w:lang w:val="es-ES" w:eastAsia="en-US"/>
        </w:rPr>
        <w:t xml:space="preserve"> el IP de mortalidad posoperatoria y se clasificó a cada paciente en: bajo riesgo (IP˂ 8,65); riesgo intermedio (IP= 8,65 a 12,84), alto riesgo (IP= 12,84 a 16,98) y muy alto riesgo de mortalidad (IP ˃ 16,98). </w:t>
      </w:r>
    </w:p>
    <w:p w14:paraId="677E871A"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lastRenderedPageBreak/>
        <w:t xml:space="preserve">La distribución del total de pacientes de la serie, según la categoría de riesgo y la mortalidad real, mostró que a medida que aumenta el riesgo de mortalidad predicha por el modelo se incrementa el índice de fallecidos (p˂ 0,001). El 62,5 % de los egresados fallecidos se distribuyeron entre las categorías de alto y muy alto riesgo de mortalidad; mientras que el 68,2 % de quienes sobrevivieron se encontraron en la categoría de bajo riesgo (tabla 3). </w:t>
      </w:r>
    </w:p>
    <w:p w14:paraId="7C11D838" w14:textId="77777777" w:rsidR="00AB6F2B" w:rsidRPr="00AB6F2B" w:rsidRDefault="00AB6F2B" w:rsidP="00AB6F2B">
      <w:pPr>
        <w:spacing w:line="360" w:lineRule="auto"/>
        <w:jc w:val="both"/>
        <w:rPr>
          <w:rFonts w:eastAsia="Calibri"/>
          <w:b/>
          <w:lang w:val="es-ES" w:eastAsia="en-US"/>
        </w:rPr>
      </w:pPr>
    </w:p>
    <w:p w14:paraId="53A0CC23" w14:textId="49F08A3E" w:rsidR="00AB6F2B" w:rsidRPr="00AB6F2B" w:rsidRDefault="00AB6F2B" w:rsidP="00AB6F2B">
      <w:pPr>
        <w:spacing w:line="360" w:lineRule="auto"/>
        <w:jc w:val="center"/>
        <w:rPr>
          <w:rFonts w:eastAsia="Calibri"/>
          <w:sz w:val="22"/>
          <w:szCs w:val="22"/>
          <w:lang w:val="es-ES" w:eastAsia="en-US"/>
        </w:rPr>
      </w:pPr>
      <w:r w:rsidRPr="00AB6F2B">
        <w:rPr>
          <w:rFonts w:eastAsia="Calibri"/>
          <w:b/>
          <w:sz w:val="22"/>
          <w:szCs w:val="22"/>
          <w:lang w:val="es-ES" w:eastAsia="en-US"/>
        </w:rPr>
        <w:t>Tabla 3 -</w:t>
      </w:r>
      <w:r w:rsidRPr="00AB6F2B">
        <w:rPr>
          <w:rFonts w:eastAsia="Calibri"/>
          <w:sz w:val="22"/>
          <w:szCs w:val="22"/>
          <w:lang w:val="es-ES" w:eastAsia="en-US"/>
        </w:rPr>
        <w:t xml:space="preserve"> Distribución de los pacientes del total de la serie, según la categoría de riesgo predicha y la mortalidad real</w:t>
      </w:r>
    </w:p>
    <w:p w14:paraId="5AC434DA" w14:textId="1B28986E" w:rsidR="00AB6F2B" w:rsidRPr="00AB6F2B" w:rsidRDefault="0077508F" w:rsidP="00AB6F2B">
      <w:pPr>
        <w:spacing w:line="360" w:lineRule="auto"/>
        <w:jc w:val="center"/>
        <w:rPr>
          <w:rFonts w:eastAsia="Calibri"/>
          <w:sz w:val="16"/>
          <w:szCs w:val="16"/>
          <w:lang w:val="es-ES" w:eastAsia="en-US"/>
        </w:rPr>
      </w:pPr>
      <w:r w:rsidRPr="00AB6F2B">
        <w:rPr>
          <w:rFonts w:eastAsia="Calibri"/>
          <w:noProof/>
          <w:sz w:val="16"/>
          <w:szCs w:val="16"/>
          <w:lang w:val="es-ES" w:eastAsia="en-US"/>
        </w:rPr>
        <w:drawing>
          <wp:inline distT="0" distB="0" distL="0" distR="0" wp14:anchorId="7F6C6ACE" wp14:editId="7D4A5F89">
            <wp:extent cx="3840480" cy="1654175"/>
            <wp:effectExtent l="0" t="0" r="0" b="0"/>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0480" cy="1654175"/>
                    </a:xfrm>
                    <a:prstGeom prst="rect">
                      <a:avLst/>
                    </a:prstGeom>
                    <a:noFill/>
                    <a:ln>
                      <a:noFill/>
                    </a:ln>
                  </pic:spPr>
                </pic:pic>
              </a:graphicData>
            </a:graphic>
          </wp:inline>
        </w:drawing>
      </w:r>
    </w:p>
    <w:p w14:paraId="342C7CBE" w14:textId="77777777" w:rsidR="00AB6F2B" w:rsidRPr="00AB6F2B" w:rsidRDefault="00AB6F2B" w:rsidP="00AB6F2B">
      <w:pPr>
        <w:spacing w:line="360" w:lineRule="auto"/>
        <w:jc w:val="center"/>
        <w:rPr>
          <w:rFonts w:eastAsia="Calibri"/>
          <w:sz w:val="16"/>
          <w:szCs w:val="16"/>
          <w:lang w:val="es-ES" w:eastAsia="en-US"/>
        </w:rPr>
      </w:pPr>
      <w:r w:rsidRPr="00AB6F2B">
        <w:rPr>
          <w:rFonts w:eastAsia="Calibri"/>
          <w:sz w:val="16"/>
          <w:szCs w:val="16"/>
          <w:lang w:val="es-ES" w:eastAsia="en-US"/>
        </w:rPr>
        <w:t xml:space="preserve">Prueba </w:t>
      </w:r>
      <w:r w:rsidRPr="00AB6F2B">
        <w:rPr>
          <w:rFonts w:eastAsia="Calibri"/>
          <w:i/>
          <w:iCs/>
          <w:sz w:val="16"/>
          <w:szCs w:val="16"/>
          <w:lang w:val="es-ES" w:eastAsia="en-US"/>
        </w:rPr>
        <w:t>ji</w:t>
      </w:r>
      <w:r w:rsidRPr="00AB6F2B">
        <w:rPr>
          <w:rFonts w:eastAsia="Calibri"/>
          <w:sz w:val="16"/>
          <w:szCs w:val="16"/>
          <w:lang w:val="es-ES" w:eastAsia="en-US"/>
        </w:rPr>
        <w:t xml:space="preserve"> cuadrado de Pearson: p˂ 0,001.</w:t>
      </w:r>
    </w:p>
    <w:p w14:paraId="29BA4DEE" w14:textId="77777777" w:rsidR="00AB6F2B" w:rsidRPr="00AB6F2B" w:rsidRDefault="00AB6F2B" w:rsidP="00AB6F2B">
      <w:pPr>
        <w:spacing w:line="360" w:lineRule="auto"/>
        <w:jc w:val="both"/>
        <w:rPr>
          <w:rFonts w:eastAsia="Calibri"/>
          <w:b/>
          <w:lang w:val="es-ES" w:eastAsia="en-US"/>
        </w:rPr>
      </w:pPr>
    </w:p>
    <w:p w14:paraId="6B4C732F" w14:textId="77777777" w:rsidR="00AB6F2B" w:rsidRPr="00AB6F2B" w:rsidRDefault="00AB6F2B" w:rsidP="00AB6F2B">
      <w:pPr>
        <w:spacing w:line="360" w:lineRule="auto"/>
        <w:jc w:val="both"/>
        <w:rPr>
          <w:rFonts w:eastAsia="Calibri"/>
          <w:b/>
          <w:lang w:val="es-ES" w:eastAsia="en-US"/>
        </w:rPr>
      </w:pPr>
    </w:p>
    <w:p w14:paraId="6EEBB61A" w14:textId="77777777" w:rsidR="00AB6F2B" w:rsidRPr="00AB6F2B" w:rsidRDefault="00AB6F2B" w:rsidP="00AB6F2B">
      <w:pPr>
        <w:spacing w:line="360" w:lineRule="auto"/>
        <w:jc w:val="center"/>
        <w:rPr>
          <w:rFonts w:eastAsia="Calibri"/>
          <w:b/>
          <w:sz w:val="32"/>
          <w:szCs w:val="32"/>
          <w:lang w:val="es-ES" w:eastAsia="en-US"/>
        </w:rPr>
      </w:pPr>
      <w:r w:rsidRPr="00AB6F2B">
        <w:rPr>
          <w:rFonts w:eastAsia="Calibri"/>
          <w:b/>
          <w:sz w:val="32"/>
          <w:szCs w:val="32"/>
          <w:lang w:val="es-ES" w:eastAsia="en-US"/>
        </w:rPr>
        <w:t>DISCUSIÓN</w:t>
      </w:r>
    </w:p>
    <w:p w14:paraId="63B5F02A" w14:textId="77777777" w:rsidR="00AB6F2B" w:rsidRPr="00AB6F2B" w:rsidRDefault="00AB6F2B" w:rsidP="00AB6F2B">
      <w:pPr>
        <w:widowControl w:val="0"/>
        <w:autoSpaceDE w:val="0"/>
        <w:autoSpaceDN w:val="0"/>
        <w:adjustRightInd w:val="0"/>
        <w:spacing w:line="360" w:lineRule="auto"/>
        <w:jc w:val="both"/>
        <w:rPr>
          <w:rFonts w:eastAsia="Calibri"/>
          <w:lang w:val="es-ES" w:eastAsia="en-US"/>
        </w:rPr>
      </w:pPr>
      <w:r w:rsidRPr="00AB6F2B">
        <w:rPr>
          <w:rFonts w:eastAsia="Calibri"/>
          <w:lang w:val="es-ES" w:eastAsia="en-US"/>
        </w:rPr>
        <w:t xml:space="preserve">Desde el año 2012 se han publicado los resultados de algunos estudios cubanos, relacionados con el pronóstico de mortalidad del HIC como entidad </w:t>
      </w:r>
      <w:proofErr w:type="gramStart"/>
      <w:r w:rsidRPr="00AB6F2B">
        <w:rPr>
          <w:rFonts w:eastAsia="Calibri"/>
          <w:lang w:val="es-ES" w:eastAsia="en-US"/>
        </w:rPr>
        <w:t>nosológica,</w:t>
      </w:r>
      <w:r w:rsidRPr="00AB6F2B">
        <w:rPr>
          <w:rFonts w:eastAsia="Calibri"/>
          <w:vertAlign w:val="superscript"/>
          <w:lang w:val="es-ES" w:eastAsia="en-US"/>
        </w:rPr>
        <w:t>(</w:t>
      </w:r>
      <w:proofErr w:type="gramEnd"/>
      <w:r w:rsidRPr="00AB6F2B">
        <w:rPr>
          <w:rFonts w:eastAsia="Calibri"/>
          <w:vertAlign w:val="superscript"/>
          <w:lang w:val="es-ES" w:eastAsia="en-US"/>
        </w:rPr>
        <w:t>13,14,15,16)</w:t>
      </w:r>
      <w:r w:rsidRPr="00AB6F2B">
        <w:rPr>
          <w:rFonts w:eastAsia="Calibri"/>
          <w:lang w:val="es-ES" w:eastAsia="en-US"/>
        </w:rPr>
        <w:t xml:space="preserve"> pero ninguno hace referencia a un índice o escala de riesgo que oriente al neurocirujano actuante, en la toma de decisiones terapéuticas durante la atención de estos pacientes.</w:t>
      </w:r>
    </w:p>
    <w:p w14:paraId="55CB6AAD" w14:textId="77777777" w:rsidR="00AB6F2B" w:rsidRPr="00AB6F2B" w:rsidRDefault="00AB6F2B" w:rsidP="00AB6F2B">
      <w:pPr>
        <w:widowControl w:val="0"/>
        <w:autoSpaceDE w:val="0"/>
        <w:autoSpaceDN w:val="0"/>
        <w:adjustRightInd w:val="0"/>
        <w:spacing w:line="360" w:lineRule="auto"/>
        <w:jc w:val="both"/>
        <w:rPr>
          <w:rFonts w:eastAsia="Calibri"/>
          <w:vertAlign w:val="superscript"/>
          <w:lang w:val="es-ES" w:eastAsia="en-US"/>
        </w:rPr>
      </w:pPr>
      <w:r w:rsidRPr="00AB6F2B">
        <w:rPr>
          <w:rFonts w:eastAsia="Calibri"/>
          <w:lang w:val="es-ES" w:eastAsia="en-US"/>
        </w:rPr>
        <w:t>Los resultados de este estudio mostraron que la edad, la Escala de Coma de Glasgow y la profundidad del hematoma son factores pronósticos preoperatorios, que constituyen predictores independientes de mortalidad posoperatoria</w:t>
      </w:r>
      <w:r w:rsidRPr="00AB6F2B">
        <w:rPr>
          <w:rFonts w:eastAsia="Calibri"/>
          <w:bCs/>
          <w:lang w:val="es-ES" w:eastAsia="en-US"/>
        </w:rPr>
        <w:t xml:space="preserve">. Casi todos los estudios revisados coinciden en que la edad y la Escala de Coma de Glasgow son factores pronóstico fuertes e independientes, de </w:t>
      </w:r>
      <w:proofErr w:type="gramStart"/>
      <w:r w:rsidRPr="00AB6F2B">
        <w:rPr>
          <w:rFonts w:eastAsia="Calibri"/>
          <w:bCs/>
          <w:lang w:val="es-ES" w:eastAsia="en-US"/>
        </w:rPr>
        <w:t>mortalidad.</w:t>
      </w:r>
      <w:r w:rsidRPr="00AB6F2B">
        <w:rPr>
          <w:rFonts w:eastAsia="Calibri"/>
          <w:bCs/>
          <w:vertAlign w:val="superscript"/>
          <w:lang w:val="es-ES" w:eastAsia="en-US"/>
        </w:rPr>
        <w:t>(</w:t>
      </w:r>
      <w:proofErr w:type="gramEnd"/>
      <w:r w:rsidRPr="00AB6F2B">
        <w:rPr>
          <w:rFonts w:eastAsia="Calibri"/>
          <w:bCs/>
          <w:vertAlign w:val="superscript"/>
          <w:lang w:val="es-ES" w:eastAsia="en-US"/>
        </w:rPr>
        <w:t>17,18)</w:t>
      </w:r>
      <w:r w:rsidRPr="00AB6F2B">
        <w:rPr>
          <w:rFonts w:eastAsia="Calibri"/>
          <w:bCs/>
          <w:lang w:val="es-ES" w:eastAsia="en-US"/>
        </w:rPr>
        <w:t xml:space="preserve"> El </w:t>
      </w:r>
      <w:proofErr w:type="spellStart"/>
      <w:r w:rsidRPr="00AB6F2B">
        <w:rPr>
          <w:rFonts w:eastAsia="Calibri"/>
          <w:bCs/>
          <w:i/>
          <w:lang w:val="es-ES" w:eastAsia="en-US"/>
        </w:rPr>
        <w:t>Surgical</w:t>
      </w:r>
      <w:proofErr w:type="spellEnd"/>
      <w:r w:rsidRPr="00AB6F2B">
        <w:rPr>
          <w:rFonts w:eastAsia="Calibri"/>
          <w:bCs/>
          <w:i/>
          <w:lang w:val="es-ES" w:eastAsia="en-US"/>
        </w:rPr>
        <w:t xml:space="preserve"> Trial Intracerebral </w:t>
      </w:r>
      <w:proofErr w:type="spellStart"/>
      <w:r w:rsidRPr="00AB6F2B">
        <w:rPr>
          <w:rFonts w:eastAsia="Calibri"/>
          <w:bCs/>
          <w:i/>
          <w:lang w:val="es-ES" w:eastAsia="en-US"/>
        </w:rPr>
        <w:t>Hemorrhage</w:t>
      </w:r>
      <w:proofErr w:type="spellEnd"/>
      <w:r w:rsidRPr="00AB6F2B">
        <w:rPr>
          <w:rFonts w:eastAsia="Calibri"/>
          <w:bCs/>
          <w:lang w:val="es-ES" w:eastAsia="en-US"/>
        </w:rPr>
        <w:t xml:space="preserve"> (STICH), estudio quirúrgico más importante de este siglo, utiliza la profundidad del hematoma como criterio de exclusión para la variante quirúrgica, ya que reconoce en </w:t>
      </w:r>
      <w:r w:rsidRPr="00AB6F2B">
        <w:rPr>
          <w:rFonts w:eastAsia="Calibri"/>
          <w:bCs/>
          <w:lang w:val="es-ES" w:eastAsia="en-US"/>
        </w:rPr>
        <w:lastRenderedPageBreak/>
        <w:t>este a un factor de mal pronóstico, tanto para mortalidad como para resultados a los 6 meses de operados los pacientes.</w:t>
      </w:r>
      <w:r w:rsidRPr="00AB6F2B">
        <w:rPr>
          <w:rFonts w:eastAsia="Calibri"/>
          <w:bCs/>
          <w:vertAlign w:val="superscript"/>
          <w:lang w:val="es-ES" w:eastAsia="en-US"/>
        </w:rPr>
        <w:t>(4)</w:t>
      </w:r>
    </w:p>
    <w:p w14:paraId="77C84C81" w14:textId="77777777" w:rsidR="00AB6F2B" w:rsidRPr="00AB6F2B" w:rsidRDefault="00AB6F2B" w:rsidP="00AB6F2B">
      <w:pPr>
        <w:widowControl w:val="0"/>
        <w:autoSpaceDE w:val="0"/>
        <w:autoSpaceDN w:val="0"/>
        <w:adjustRightInd w:val="0"/>
        <w:spacing w:line="360" w:lineRule="auto"/>
        <w:jc w:val="both"/>
        <w:rPr>
          <w:rFonts w:eastAsia="Calibri"/>
          <w:iCs/>
          <w:lang w:val="es-ES" w:eastAsia="en-US"/>
        </w:rPr>
      </w:pPr>
      <w:r w:rsidRPr="00AB6F2B">
        <w:rPr>
          <w:rFonts w:eastAsia="Calibri"/>
          <w:iCs/>
          <w:lang w:val="es-ES" w:eastAsia="en-US"/>
        </w:rPr>
        <w:t xml:space="preserve">Se han desarrollado numerosas escalas de riesgo para predecir mortalidad y evolución en los pacientes con HIC. La </w:t>
      </w:r>
      <w:proofErr w:type="spellStart"/>
      <w:r w:rsidRPr="00AB6F2B">
        <w:rPr>
          <w:rFonts w:eastAsia="Calibri"/>
          <w:i/>
          <w:iCs/>
          <w:lang w:val="es-ES" w:eastAsia="en-US"/>
        </w:rPr>
        <w:t>ICH</w:t>
      </w:r>
      <w:proofErr w:type="spellEnd"/>
      <w:r w:rsidRPr="00AB6F2B">
        <w:rPr>
          <w:rFonts w:eastAsia="Calibri"/>
          <w:i/>
          <w:iCs/>
          <w:lang w:val="es-ES" w:eastAsia="en-US"/>
        </w:rPr>
        <w:t xml:space="preserve"> score</w:t>
      </w:r>
      <w:r w:rsidRPr="00AB6F2B">
        <w:rPr>
          <w:rFonts w:eastAsia="Calibri"/>
          <w:iCs/>
          <w:lang w:val="es-ES" w:eastAsia="en-US"/>
        </w:rPr>
        <w:t xml:space="preserve"> es, por mucho, la más extensamente validada y, en ausencia de predictores superiores, debe ser utilizada como elección. Varios autores han propuesto escalas que modifican la original, para mejorar la precisión del pronóstico, pero ninguna muestra una superioridad </w:t>
      </w:r>
      <w:proofErr w:type="gramStart"/>
      <w:r w:rsidRPr="00AB6F2B">
        <w:rPr>
          <w:rFonts w:eastAsia="Calibri"/>
          <w:iCs/>
          <w:lang w:val="es-ES" w:eastAsia="en-US"/>
        </w:rPr>
        <w:t>consistente.</w:t>
      </w:r>
      <w:r w:rsidRPr="00AB6F2B">
        <w:rPr>
          <w:rFonts w:eastAsia="Calibri"/>
          <w:iCs/>
          <w:vertAlign w:val="superscript"/>
          <w:lang w:val="es-ES" w:eastAsia="en-US"/>
        </w:rPr>
        <w:t>(</w:t>
      </w:r>
      <w:proofErr w:type="gramEnd"/>
      <w:r w:rsidRPr="00AB6F2B">
        <w:rPr>
          <w:rFonts w:eastAsia="Calibri"/>
          <w:iCs/>
          <w:vertAlign w:val="superscript"/>
          <w:lang w:val="es-ES" w:eastAsia="en-US"/>
        </w:rPr>
        <w:t>19,20)</w:t>
      </w:r>
    </w:p>
    <w:p w14:paraId="5A2BF303" w14:textId="77777777" w:rsidR="00AB6F2B" w:rsidRPr="00AB6F2B" w:rsidRDefault="00AB6F2B" w:rsidP="00AB6F2B">
      <w:pPr>
        <w:widowControl w:val="0"/>
        <w:autoSpaceDE w:val="0"/>
        <w:autoSpaceDN w:val="0"/>
        <w:adjustRightInd w:val="0"/>
        <w:spacing w:line="360" w:lineRule="auto"/>
        <w:jc w:val="both"/>
        <w:rPr>
          <w:rFonts w:eastAsia="Calibri"/>
          <w:iCs/>
          <w:lang w:val="es-ES" w:eastAsia="en-US"/>
        </w:rPr>
      </w:pPr>
      <w:r w:rsidRPr="00AB6F2B">
        <w:rPr>
          <w:rFonts w:eastAsia="Calibri"/>
          <w:iCs/>
          <w:lang w:val="es-ES" w:eastAsia="en-US"/>
        </w:rPr>
        <w:t>El índice pronóstico construido resultó útil para predecir el riesgo de mortalidad posoperatoria en los pacientes con HIC primario, tratados mediante craneotomía y evacuación del hematoma. La utilización sistemática de este índice permitiría contar con una herramienta objetiva y de fácil aplicación a la cabecera del paciente, que ofrece un pronóstico en cuanto a quiénes se beneficiarán o no con el tratamiento quirúrgico y podría ayudar en la toma de decisiones para optimizar la intervención del neurocirujano.</w:t>
      </w:r>
    </w:p>
    <w:p w14:paraId="6316A78F" w14:textId="77777777" w:rsidR="00AB6F2B" w:rsidRPr="00AB6F2B" w:rsidRDefault="00AB6F2B" w:rsidP="00AB6F2B">
      <w:pPr>
        <w:spacing w:line="360" w:lineRule="auto"/>
        <w:jc w:val="both"/>
        <w:rPr>
          <w:lang w:val="es-ES" w:eastAsia="es-ES"/>
        </w:rPr>
      </w:pPr>
      <w:r w:rsidRPr="00AB6F2B">
        <w:rPr>
          <w:lang w:val="es-ES" w:eastAsia="es-ES"/>
        </w:rPr>
        <w:t xml:space="preserve">En el 2019, investigadores suecos publicaron los resultados del estudio que originó la primera escala para predecir mortalidad posoperatoria a los 30 días, en pacientes con HIC, a quienes se realizó craneotomía y evacuación del </w:t>
      </w:r>
      <w:proofErr w:type="gramStart"/>
      <w:r w:rsidRPr="00AB6F2B">
        <w:rPr>
          <w:lang w:val="es-ES" w:eastAsia="es-ES"/>
        </w:rPr>
        <w:t>hematoma.</w:t>
      </w:r>
      <w:r w:rsidRPr="00AB6F2B">
        <w:rPr>
          <w:vertAlign w:val="superscript"/>
          <w:lang w:val="es-ES" w:eastAsia="es-ES"/>
        </w:rPr>
        <w:t>(</w:t>
      </w:r>
      <w:proofErr w:type="gramEnd"/>
      <w:r w:rsidRPr="00AB6F2B">
        <w:rPr>
          <w:vertAlign w:val="superscript"/>
          <w:lang w:val="es-ES" w:eastAsia="es-ES"/>
        </w:rPr>
        <w:t>21)</w:t>
      </w:r>
      <w:r w:rsidRPr="00AB6F2B">
        <w:rPr>
          <w:lang w:val="es-ES" w:eastAsia="es-ES"/>
        </w:rPr>
        <w:t xml:space="preserve"> Este estudio involucró 401 pacientes de todos los centros neuroquirúrgicos del país, durante 5 años. Se identifican la Escala de Coma de Glasgow, el volumen del hematoma, la edad, el infarto agudo </w:t>
      </w:r>
      <w:proofErr w:type="spellStart"/>
      <w:r w:rsidRPr="00AB6F2B">
        <w:rPr>
          <w:lang w:val="es-ES" w:eastAsia="es-ES"/>
        </w:rPr>
        <w:t>del</w:t>
      </w:r>
      <w:proofErr w:type="spellEnd"/>
      <w:r w:rsidRPr="00AB6F2B">
        <w:rPr>
          <w:lang w:val="es-ES" w:eastAsia="es-ES"/>
        </w:rPr>
        <w:t xml:space="preserve"> miocardio previo y la diabetes mellitus tipo 2, como factores independientes asociados a la mortalidad y concluye que la escala es útil como predictor de esta, aunque se necesitaba una validación externa para evaluar el valor predictivo y generalizar la utilización de la misma.</w:t>
      </w:r>
    </w:p>
    <w:p w14:paraId="7727013F" w14:textId="77777777" w:rsidR="00AB6F2B" w:rsidRPr="00AB6F2B" w:rsidRDefault="00AB6F2B" w:rsidP="00AB6F2B">
      <w:pPr>
        <w:spacing w:line="360" w:lineRule="auto"/>
        <w:jc w:val="both"/>
        <w:rPr>
          <w:lang w:val="es-ES" w:eastAsia="es-ES"/>
        </w:rPr>
      </w:pPr>
      <w:r w:rsidRPr="00AB6F2B">
        <w:rPr>
          <w:lang w:val="es-ES" w:eastAsia="es-ES"/>
        </w:rPr>
        <w:t xml:space="preserve">En fecha reciente se dio a conocer el resultado de la validación externa de esta escala. Se comprobó que es un buen predictor de mortalidad a los 30 días, sin embargo, también demostró que no supera a la </w:t>
      </w:r>
      <w:proofErr w:type="spellStart"/>
      <w:r w:rsidRPr="00AB6F2B">
        <w:rPr>
          <w:i/>
          <w:lang w:val="es-ES" w:eastAsia="es-ES"/>
        </w:rPr>
        <w:t>ICH</w:t>
      </w:r>
      <w:proofErr w:type="spellEnd"/>
      <w:r w:rsidRPr="00AB6F2B">
        <w:rPr>
          <w:i/>
          <w:lang w:val="es-ES" w:eastAsia="es-ES"/>
        </w:rPr>
        <w:t xml:space="preserve"> score</w:t>
      </w:r>
      <w:r w:rsidRPr="00AB6F2B">
        <w:rPr>
          <w:lang w:val="es-ES" w:eastAsia="es-ES"/>
        </w:rPr>
        <w:t xml:space="preserve"> como predictor de </w:t>
      </w:r>
      <w:proofErr w:type="gramStart"/>
      <w:r w:rsidRPr="00AB6F2B">
        <w:rPr>
          <w:lang w:val="es-ES" w:eastAsia="es-ES"/>
        </w:rPr>
        <w:t>riesgo.</w:t>
      </w:r>
      <w:r w:rsidRPr="00AB6F2B">
        <w:rPr>
          <w:vertAlign w:val="superscript"/>
          <w:lang w:val="es-ES" w:eastAsia="es-ES"/>
        </w:rPr>
        <w:t>(</w:t>
      </w:r>
      <w:proofErr w:type="gramEnd"/>
      <w:r w:rsidRPr="00AB6F2B">
        <w:rPr>
          <w:vertAlign w:val="superscript"/>
          <w:lang w:val="es-ES" w:eastAsia="es-ES"/>
        </w:rPr>
        <w:t>22)</w:t>
      </w:r>
    </w:p>
    <w:p w14:paraId="2E67C819" w14:textId="77777777" w:rsidR="00AB6F2B" w:rsidRPr="00AB6F2B" w:rsidRDefault="00AB6F2B" w:rsidP="00AB6F2B">
      <w:pPr>
        <w:spacing w:line="360" w:lineRule="auto"/>
        <w:jc w:val="both"/>
        <w:rPr>
          <w:vertAlign w:val="superscript"/>
          <w:lang w:val="es-ES" w:eastAsia="es-ES"/>
        </w:rPr>
      </w:pPr>
      <w:r w:rsidRPr="00AB6F2B">
        <w:rPr>
          <w:lang w:val="es-ES" w:eastAsia="es-ES"/>
        </w:rPr>
        <w:t xml:space="preserve">Investigadores japoneses evaluaron la eficacia de la </w:t>
      </w:r>
      <w:proofErr w:type="spellStart"/>
      <w:r w:rsidRPr="00AB6F2B">
        <w:rPr>
          <w:i/>
          <w:lang w:val="es-ES" w:eastAsia="es-ES"/>
        </w:rPr>
        <w:t>ICH</w:t>
      </w:r>
      <w:proofErr w:type="spellEnd"/>
      <w:r w:rsidRPr="00AB6F2B">
        <w:rPr>
          <w:i/>
          <w:lang w:val="es-ES" w:eastAsia="es-ES"/>
        </w:rPr>
        <w:t xml:space="preserve"> score </w:t>
      </w:r>
      <w:r w:rsidRPr="00AB6F2B">
        <w:rPr>
          <w:lang w:val="es-ES" w:eastAsia="es-ES"/>
        </w:rPr>
        <w:t xml:space="preserve">y la propia escala sueca. Revisaron de forma retrospectiva 203 pacientes tratados quirúrgicamente entre 2012 y 2019. La mortalidad a los 30 días fue de 7 %; resultado significativamente inferior a la predicha por la </w:t>
      </w:r>
      <w:proofErr w:type="spellStart"/>
      <w:r w:rsidRPr="00AB6F2B">
        <w:rPr>
          <w:i/>
          <w:lang w:val="es-ES" w:eastAsia="es-ES"/>
        </w:rPr>
        <w:t>ICH</w:t>
      </w:r>
      <w:proofErr w:type="spellEnd"/>
      <w:r w:rsidRPr="00AB6F2B">
        <w:rPr>
          <w:i/>
          <w:lang w:val="es-ES" w:eastAsia="es-ES"/>
        </w:rPr>
        <w:t xml:space="preserve"> score</w:t>
      </w:r>
      <w:r w:rsidRPr="00AB6F2B">
        <w:rPr>
          <w:lang w:val="es-ES" w:eastAsia="es-ES"/>
        </w:rPr>
        <w:t xml:space="preserve"> y la escala sueca</w:t>
      </w:r>
      <w:r w:rsidRPr="00AB6F2B">
        <w:rPr>
          <w:i/>
          <w:lang w:val="es-ES" w:eastAsia="es-ES"/>
        </w:rPr>
        <w:t xml:space="preserve"> </w:t>
      </w:r>
      <w:r w:rsidRPr="00AB6F2B">
        <w:rPr>
          <w:lang w:val="es-ES" w:eastAsia="es-ES"/>
        </w:rPr>
        <w:lastRenderedPageBreak/>
        <w:t xml:space="preserve">(55 % y 16 %; p˂ 0,001). Concluyen que ambas tienen más acierto en la predicción de morbilidad al alta, que en la mortalidad </w:t>
      </w:r>
      <w:proofErr w:type="gramStart"/>
      <w:r w:rsidRPr="00AB6F2B">
        <w:rPr>
          <w:lang w:val="es-ES" w:eastAsia="es-ES"/>
        </w:rPr>
        <w:t>posoperatoria.</w:t>
      </w:r>
      <w:r w:rsidRPr="00AB6F2B">
        <w:rPr>
          <w:vertAlign w:val="superscript"/>
          <w:lang w:val="es-ES" w:eastAsia="es-ES"/>
        </w:rPr>
        <w:t>(</w:t>
      </w:r>
      <w:proofErr w:type="gramEnd"/>
      <w:r w:rsidRPr="00AB6F2B">
        <w:rPr>
          <w:vertAlign w:val="superscript"/>
          <w:lang w:val="es-ES" w:eastAsia="es-ES"/>
        </w:rPr>
        <w:t>23)</w:t>
      </w:r>
    </w:p>
    <w:p w14:paraId="5E742472" w14:textId="77777777" w:rsidR="00AB6F2B" w:rsidRPr="00AB6F2B" w:rsidRDefault="00AB6F2B" w:rsidP="00AB6F2B">
      <w:pPr>
        <w:spacing w:line="360" w:lineRule="auto"/>
        <w:jc w:val="both"/>
        <w:rPr>
          <w:lang w:val="es-ES" w:eastAsia="es-ES"/>
        </w:rPr>
      </w:pPr>
      <w:r w:rsidRPr="00AB6F2B">
        <w:rPr>
          <w:lang w:val="es-ES" w:eastAsia="es-ES"/>
        </w:rPr>
        <w:t>Las herramientas de pronóstico para los pacientes con HIC tienen limitaciones y al parecer, sobrestiman el riesgo de malos resultados. En la medida que las técnicas quirúrgicas se desarrollen, las escalas de riesgo deberán tenerlas en cuenta para definir el pronóstico de los pacientes que serán llevados al quirófano.</w:t>
      </w:r>
    </w:p>
    <w:p w14:paraId="28A7208D" w14:textId="77777777" w:rsidR="00AB6F2B" w:rsidRPr="00AB6F2B" w:rsidRDefault="00AB6F2B" w:rsidP="00AB6F2B">
      <w:pPr>
        <w:widowControl w:val="0"/>
        <w:autoSpaceDE w:val="0"/>
        <w:autoSpaceDN w:val="0"/>
        <w:adjustRightInd w:val="0"/>
        <w:spacing w:line="360" w:lineRule="auto"/>
        <w:jc w:val="both"/>
        <w:rPr>
          <w:rFonts w:eastAsia="Calibri"/>
          <w:lang w:val="es-ES" w:eastAsia="en-US"/>
        </w:rPr>
      </w:pPr>
      <w:r w:rsidRPr="00AB6F2B">
        <w:rPr>
          <w:rFonts w:eastAsia="Calibri"/>
          <w:lang w:val="es-ES" w:eastAsia="en-US"/>
        </w:rPr>
        <w:t xml:space="preserve">A pesar que una escala cuente con amplia validación, nunca debe utilizarse aisladamente para limitar las intervenciones terapéuticas iniciales de los pacientes con HIC, ya que se corre el riesgo de excluir a un paciente, que potencialmente puede ser salvado. Las escalas y los protocolos de actuación ayudan al médico en su práctica diaria, pero es necesario tener en cuenta que son normas, pero deben ser flexibles. El juicio clínico individualizado y la discusión colectiva deben siempre prevalecer a la hora de decidir sobre el mejor tratamiento para un paciente. </w:t>
      </w:r>
    </w:p>
    <w:p w14:paraId="2E9893B8"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 xml:space="preserve">Como limitaciones del presente estudio; primero, se realizó en una serie de casos pequeña; segundo, los pacientes fueron operados según los criterios de selección de un único centro hospitalario, que permite flexibilidad al juicio personal del cirujano actuante en cada caso, por tanto, las pautas de tratamiento de otras instituciones pudieran influir en obtener resultados diferentes; tercero, la técnica quirúrgica utilizada en todos los casos fue la craneotomía y evacuación del hematoma, sin asistencia endoscópica o microscópica. Tomar en consideración las técnicas de cirugía mínimamente invasiva, pudiera aportar nuevos resultados en cuanto a evolución y pronóstico de mortalidad. </w:t>
      </w:r>
    </w:p>
    <w:p w14:paraId="2E67D329" w14:textId="77777777" w:rsidR="00AB6F2B" w:rsidRPr="00AB6F2B" w:rsidRDefault="00AB6F2B" w:rsidP="00AB6F2B">
      <w:pPr>
        <w:spacing w:line="360" w:lineRule="auto"/>
        <w:jc w:val="both"/>
        <w:rPr>
          <w:rFonts w:eastAsia="Calibri"/>
          <w:color w:val="000000"/>
          <w:lang w:val="es-ES" w:eastAsia="en-US"/>
        </w:rPr>
      </w:pPr>
      <w:r w:rsidRPr="00AB6F2B">
        <w:rPr>
          <w:rFonts w:eastAsia="Calibri"/>
          <w:lang w:val="es-ES" w:eastAsia="en-US"/>
        </w:rPr>
        <w:t xml:space="preserve">Los factores preoperatorios que constituyen factores pronósticos independientes de mortalidad posoperatoria por hematoma intracerebral son la mayor edad, la menor puntuación en la Escala de Coma de Glasgow y la mayor profundidad del hematoma. </w:t>
      </w:r>
      <w:r w:rsidRPr="00AB6F2B">
        <w:rPr>
          <w:rFonts w:eastAsia="Calibri"/>
          <w:bCs/>
          <w:lang w:val="es-ES" w:eastAsia="en-US"/>
        </w:rPr>
        <w:t>El IP creado predice de forma correcta la mortalidad posoperatoria de los pacientes con hematoma intracerebral tratados mediante craneotomía y evacuación del hematoma</w:t>
      </w:r>
      <w:r w:rsidRPr="00AB6F2B">
        <w:rPr>
          <w:rFonts w:eastAsia="Calibri"/>
          <w:color w:val="000000"/>
          <w:lang w:val="es-ES" w:eastAsia="en-US"/>
        </w:rPr>
        <w:t xml:space="preserve">. </w:t>
      </w:r>
    </w:p>
    <w:p w14:paraId="601C9326" w14:textId="77777777" w:rsidR="00AB6F2B" w:rsidRPr="00AB6F2B" w:rsidRDefault="00AB6F2B" w:rsidP="00AB6F2B">
      <w:pPr>
        <w:spacing w:line="360" w:lineRule="auto"/>
        <w:jc w:val="both"/>
        <w:rPr>
          <w:rFonts w:eastAsia="Calibri"/>
          <w:color w:val="000000"/>
          <w:lang w:val="es-ES" w:eastAsia="en-US"/>
        </w:rPr>
      </w:pPr>
      <w:r w:rsidRPr="00AB6F2B">
        <w:rPr>
          <w:rFonts w:eastAsia="Calibri"/>
          <w:color w:val="000000"/>
          <w:lang w:val="es-ES" w:eastAsia="en-US"/>
        </w:rPr>
        <w:t>Se creó un índice pronóstico que posee buen poder de discriminación entre pacientes egresados vivos y fallecidos, y predice de forma correcta la mortalidad posoperatoria de los pacientes operados.</w:t>
      </w:r>
    </w:p>
    <w:p w14:paraId="43460F0B" w14:textId="77777777" w:rsidR="00AB6F2B" w:rsidRPr="00AB6F2B" w:rsidRDefault="00AB6F2B" w:rsidP="00AB6F2B">
      <w:pPr>
        <w:spacing w:line="360" w:lineRule="auto"/>
        <w:jc w:val="both"/>
        <w:rPr>
          <w:rFonts w:eastAsia="Calibri"/>
          <w:b/>
          <w:color w:val="000000"/>
          <w:lang w:val="es-ES" w:eastAsia="en-US"/>
        </w:rPr>
      </w:pPr>
    </w:p>
    <w:p w14:paraId="71BBE499" w14:textId="77777777" w:rsidR="00AB6F2B" w:rsidRPr="00AB6F2B" w:rsidRDefault="00AB6F2B" w:rsidP="00AB6F2B">
      <w:pPr>
        <w:spacing w:line="360" w:lineRule="auto"/>
        <w:jc w:val="both"/>
        <w:rPr>
          <w:rFonts w:eastAsia="Calibri"/>
          <w:b/>
          <w:color w:val="000000"/>
          <w:lang w:val="es-ES" w:eastAsia="en-US"/>
        </w:rPr>
      </w:pPr>
    </w:p>
    <w:p w14:paraId="503DA5FC" w14:textId="77777777" w:rsidR="00AB6F2B" w:rsidRPr="00AB6F2B" w:rsidRDefault="00AB6F2B" w:rsidP="00AB6F2B">
      <w:pPr>
        <w:spacing w:line="360" w:lineRule="auto"/>
        <w:jc w:val="center"/>
        <w:rPr>
          <w:rFonts w:eastAsia="Calibri"/>
          <w:b/>
          <w:color w:val="000000"/>
          <w:sz w:val="32"/>
          <w:szCs w:val="32"/>
          <w:lang w:val="es-ES" w:eastAsia="en-US"/>
        </w:rPr>
      </w:pPr>
      <w:r w:rsidRPr="00AB6F2B">
        <w:rPr>
          <w:rFonts w:eastAsia="Calibri"/>
          <w:b/>
          <w:color w:val="000000"/>
          <w:sz w:val="32"/>
          <w:szCs w:val="32"/>
          <w:lang w:val="es-ES" w:eastAsia="en-US"/>
        </w:rPr>
        <w:lastRenderedPageBreak/>
        <w:t>REFERENCIAS BIBLIOGRÁFICAS</w:t>
      </w:r>
    </w:p>
    <w:p w14:paraId="68159DAB" w14:textId="77777777" w:rsidR="00AB6F2B" w:rsidRPr="00AB6F2B" w:rsidRDefault="00AB6F2B" w:rsidP="00AB6F2B">
      <w:pPr>
        <w:autoSpaceDE w:val="0"/>
        <w:autoSpaceDN w:val="0"/>
        <w:adjustRightInd w:val="0"/>
        <w:spacing w:line="360" w:lineRule="auto"/>
        <w:rPr>
          <w:rFonts w:eastAsia="Calibri"/>
          <w:lang w:val="es-CU" w:eastAsia="en-US"/>
        </w:rPr>
      </w:pPr>
      <w:r w:rsidRPr="0077508F">
        <w:rPr>
          <w:rFonts w:eastAsia="Calibri"/>
          <w:color w:val="000000"/>
          <w:lang w:val="en-US" w:eastAsia="en-US"/>
        </w:rPr>
        <w:t xml:space="preserve">1. Qureshi AI, </w:t>
      </w:r>
      <w:proofErr w:type="spellStart"/>
      <w:r w:rsidRPr="0077508F">
        <w:rPr>
          <w:rFonts w:eastAsia="Calibri"/>
          <w:color w:val="000000"/>
          <w:lang w:val="en-US" w:eastAsia="en-US"/>
        </w:rPr>
        <w:t>Mendelow</w:t>
      </w:r>
      <w:proofErr w:type="spellEnd"/>
      <w:r w:rsidRPr="0077508F">
        <w:rPr>
          <w:rFonts w:eastAsia="Calibri"/>
          <w:color w:val="000000"/>
          <w:lang w:val="en-US" w:eastAsia="en-US"/>
        </w:rPr>
        <w:t xml:space="preserve"> AD, Hanley DF. </w:t>
      </w:r>
      <w:r w:rsidRPr="00AB6F2B">
        <w:rPr>
          <w:rFonts w:eastAsia="Calibri"/>
          <w:color w:val="000000"/>
          <w:lang w:val="en-US" w:eastAsia="en-US"/>
        </w:rPr>
        <w:t xml:space="preserve">Intracerebral </w:t>
      </w:r>
      <w:proofErr w:type="spellStart"/>
      <w:r w:rsidRPr="00AB6F2B">
        <w:rPr>
          <w:rFonts w:eastAsia="Calibri"/>
          <w:color w:val="000000"/>
          <w:lang w:val="en-US" w:eastAsia="en-US"/>
        </w:rPr>
        <w:t>haemorrhage</w:t>
      </w:r>
      <w:proofErr w:type="spellEnd"/>
      <w:r w:rsidRPr="00AB6F2B">
        <w:rPr>
          <w:rFonts w:eastAsia="Calibri"/>
          <w:color w:val="000000"/>
          <w:lang w:val="en-US" w:eastAsia="en-US"/>
        </w:rPr>
        <w:t xml:space="preserve">. Lancet. 2009; 373(9675):1632-44. DOI: </w:t>
      </w:r>
      <w:r w:rsidRPr="00AB6F2B">
        <w:rPr>
          <w:rFonts w:eastAsia="Calibri"/>
          <w:lang w:val="en-US" w:eastAsia="en-US"/>
        </w:rPr>
        <w:t>10.1016/</w:t>
      </w:r>
      <w:proofErr w:type="spellStart"/>
      <w:r w:rsidRPr="00AB6F2B">
        <w:rPr>
          <w:rFonts w:eastAsia="Calibri"/>
          <w:lang w:val="en-US" w:eastAsia="en-US"/>
        </w:rPr>
        <w:t>S0140</w:t>
      </w:r>
      <w:proofErr w:type="spellEnd"/>
      <w:r w:rsidRPr="00AB6F2B">
        <w:rPr>
          <w:rFonts w:eastAsia="Calibri"/>
          <w:lang w:val="en-US" w:eastAsia="en-US"/>
        </w:rPr>
        <w:t>-6736(09)60371-8</w:t>
      </w:r>
      <w:r w:rsidRPr="00AB6F2B">
        <w:rPr>
          <w:rFonts w:eastAsia="Calibri"/>
          <w:color w:val="000000"/>
          <w:u w:val="single"/>
          <w:lang w:val="en-US" w:eastAsia="en-US"/>
        </w:rPr>
        <w:br/>
      </w:r>
      <w:r w:rsidRPr="00AB6F2B">
        <w:rPr>
          <w:rFonts w:eastAsia="Calibri"/>
          <w:color w:val="000000"/>
          <w:lang w:val="en-US" w:eastAsia="en-US"/>
        </w:rPr>
        <w:t xml:space="preserve">2. </w:t>
      </w:r>
      <w:r w:rsidRPr="00AB6F2B">
        <w:rPr>
          <w:rFonts w:eastAsia="Calibri"/>
          <w:lang w:val="en-US" w:eastAsia="en-US"/>
        </w:rPr>
        <w:t xml:space="preserve">Greenberg SM, </w:t>
      </w:r>
      <w:proofErr w:type="spellStart"/>
      <w:r w:rsidRPr="00AB6F2B">
        <w:rPr>
          <w:rFonts w:eastAsia="Calibri"/>
          <w:lang w:val="en-US" w:eastAsia="en-US"/>
        </w:rPr>
        <w:t>Ziai</w:t>
      </w:r>
      <w:proofErr w:type="spellEnd"/>
      <w:r w:rsidRPr="00AB6F2B">
        <w:rPr>
          <w:rFonts w:eastAsia="Calibri"/>
          <w:lang w:val="en-US" w:eastAsia="en-US"/>
        </w:rPr>
        <w:t xml:space="preserve"> WC, </w:t>
      </w:r>
      <w:proofErr w:type="spellStart"/>
      <w:r w:rsidRPr="00AB6F2B">
        <w:rPr>
          <w:rFonts w:eastAsia="Calibri"/>
          <w:lang w:val="en-US" w:eastAsia="en-US"/>
        </w:rPr>
        <w:t>Cordonnier</w:t>
      </w:r>
      <w:proofErr w:type="spellEnd"/>
      <w:r w:rsidRPr="00AB6F2B">
        <w:rPr>
          <w:rFonts w:eastAsia="Calibri"/>
          <w:lang w:val="en-US" w:eastAsia="en-US"/>
        </w:rPr>
        <w:t xml:space="preserve"> C, </w:t>
      </w:r>
      <w:proofErr w:type="spellStart"/>
      <w:r w:rsidRPr="00AB6F2B">
        <w:rPr>
          <w:rFonts w:eastAsia="Calibri"/>
          <w:lang w:val="en-US" w:eastAsia="en-US"/>
        </w:rPr>
        <w:t>Dowlatshahi</w:t>
      </w:r>
      <w:proofErr w:type="spellEnd"/>
      <w:r w:rsidRPr="00AB6F2B">
        <w:rPr>
          <w:rFonts w:eastAsia="Calibri"/>
          <w:lang w:val="en-US" w:eastAsia="en-US"/>
        </w:rPr>
        <w:t xml:space="preserve"> D, Francis B, Goldstein JN, et al. 2022 Guideline for the Management of Patients </w:t>
      </w:r>
      <w:proofErr w:type="gramStart"/>
      <w:r w:rsidRPr="00AB6F2B">
        <w:rPr>
          <w:rFonts w:eastAsia="Calibri"/>
          <w:lang w:val="en-US" w:eastAsia="en-US"/>
        </w:rPr>
        <w:t>With</w:t>
      </w:r>
      <w:proofErr w:type="gramEnd"/>
      <w:r w:rsidRPr="00AB6F2B">
        <w:rPr>
          <w:rFonts w:eastAsia="Calibri"/>
          <w:lang w:val="en-US" w:eastAsia="en-US"/>
        </w:rPr>
        <w:t xml:space="preserve"> Spontaneous Intracerebral Hemorrhage: A Guideline From the American Heart Association/American Stroke Association. </w:t>
      </w:r>
      <w:proofErr w:type="spellStart"/>
      <w:r w:rsidRPr="00AB6F2B">
        <w:rPr>
          <w:rFonts w:eastAsia="Calibri"/>
          <w:lang w:val="es-CU" w:eastAsia="en-US"/>
        </w:rPr>
        <w:t>Stroke</w:t>
      </w:r>
      <w:proofErr w:type="spellEnd"/>
      <w:r w:rsidRPr="00AB6F2B">
        <w:rPr>
          <w:rFonts w:eastAsia="Calibri"/>
          <w:lang w:val="es-CU" w:eastAsia="en-US"/>
        </w:rPr>
        <w:t>. 2022; 53(7</w:t>
      </w:r>
      <w:proofErr w:type="gramStart"/>
      <w:r w:rsidRPr="00AB6F2B">
        <w:rPr>
          <w:rFonts w:eastAsia="Calibri"/>
          <w:lang w:val="es-CU" w:eastAsia="en-US"/>
        </w:rPr>
        <w:t>):</w:t>
      </w:r>
      <w:proofErr w:type="spellStart"/>
      <w:r w:rsidRPr="00AB6F2B">
        <w:rPr>
          <w:lang w:val="es-CU" w:eastAsia="es-ES"/>
        </w:rPr>
        <w:t>e</w:t>
      </w:r>
      <w:proofErr w:type="gramEnd"/>
      <w:r w:rsidRPr="00AB6F2B">
        <w:rPr>
          <w:lang w:val="es-CU" w:eastAsia="es-ES"/>
        </w:rPr>
        <w:t>282-e361</w:t>
      </w:r>
      <w:proofErr w:type="spellEnd"/>
      <w:r w:rsidRPr="00AB6F2B">
        <w:rPr>
          <w:lang w:val="es-CU" w:eastAsia="es-ES"/>
        </w:rPr>
        <w:t xml:space="preserve">. </w:t>
      </w:r>
      <w:proofErr w:type="spellStart"/>
      <w:r w:rsidRPr="00AB6F2B">
        <w:rPr>
          <w:lang w:val="es-CU" w:eastAsia="es-ES"/>
        </w:rPr>
        <w:t>DOI</w:t>
      </w:r>
      <w:proofErr w:type="spellEnd"/>
      <w:r w:rsidRPr="00AB6F2B">
        <w:rPr>
          <w:lang w:val="es-CU" w:eastAsia="es-ES"/>
        </w:rPr>
        <w:t>: 10.1161/</w:t>
      </w:r>
      <w:proofErr w:type="spellStart"/>
      <w:r w:rsidRPr="00AB6F2B">
        <w:rPr>
          <w:lang w:val="es-CU" w:eastAsia="es-ES"/>
        </w:rPr>
        <w:t>STR.0000000000000407</w:t>
      </w:r>
      <w:proofErr w:type="spellEnd"/>
    </w:p>
    <w:p w14:paraId="204EA342" w14:textId="77777777" w:rsidR="00AB6F2B" w:rsidRPr="00AB6F2B" w:rsidRDefault="00AB6F2B" w:rsidP="00AB6F2B">
      <w:pPr>
        <w:autoSpaceDE w:val="0"/>
        <w:autoSpaceDN w:val="0"/>
        <w:adjustRightInd w:val="0"/>
        <w:spacing w:line="360" w:lineRule="auto"/>
        <w:rPr>
          <w:rFonts w:eastAsia="Calibri"/>
          <w:color w:val="0000FF"/>
          <w:lang w:val="en-US" w:eastAsia="en-US"/>
        </w:rPr>
      </w:pPr>
      <w:r w:rsidRPr="00AB6F2B">
        <w:rPr>
          <w:rFonts w:eastAsia="Calibri"/>
          <w:color w:val="000000"/>
          <w:lang w:val="es-ES" w:eastAsia="en-US"/>
        </w:rPr>
        <w:t>3. Ministerio de Salud Pública. Anuario estadístico de salud 2020. La Habana: Dirección de Registros Médicos y Estadísticas de Salud (</w:t>
      </w:r>
      <w:proofErr w:type="spellStart"/>
      <w:r w:rsidRPr="00AB6F2B">
        <w:rPr>
          <w:rFonts w:eastAsia="Calibri"/>
          <w:color w:val="000000"/>
          <w:lang w:val="es-ES" w:eastAsia="en-US"/>
        </w:rPr>
        <w:t>DNE</w:t>
      </w:r>
      <w:proofErr w:type="spellEnd"/>
      <w:r w:rsidRPr="00AB6F2B">
        <w:rPr>
          <w:rFonts w:eastAsia="Calibri"/>
          <w:color w:val="000000"/>
          <w:lang w:val="es-ES" w:eastAsia="en-US"/>
        </w:rPr>
        <w:t xml:space="preserve">); 2021. </w:t>
      </w:r>
      <w:r w:rsidRPr="00AB6F2B">
        <w:rPr>
          <w:rFonts w:eastAsia="Calibri"/>
          <w:color w:val="000000"/>
          <w:lang w:val="en-US" w:eastAsia="en-US"/>
        </w:rPr>
        <w:t xml:space="preserve">Disponible </w:t>
      </w:r>
      <w:proofErr w:type="spellStart"/>
      <w:r w:rsidRPr="00AB6F2B">
        <w:rPr>
          <w:rFonts w:eastAsia="Calibri"/>
          <w:color w:val="000000"/>
          <w:lang w:val="en-US" w:eastAsia="en-US"/>
        </w:rPr>
        <w:t>en</w:t>
      </w:r>
      <w:proofErr w:type="spellEnd"/>
      <w:r w:rsidRPr="00AB6F2B">
        <w:rPr>
          <w:rFonts w:eastAsia="Calibri"/>
          <w:color w:val="000000"/>
          <w:lang w:val="en-US" w:eastAsia="en-US"/>
        </w:rPr>
        <w:t xml:space="preserve">: </w:t>
      </w:r>
      <w:hyperlink w:history="1"/>
      <w:hyperlink r:id="rId16" w:history="1">
        <w:r w:rsidRPr="00AB6F2B">
          <w:rPr>
            <w:rFonts w:eastAsia="Calibri"/>
            <w:color w:val="0000FF"/>
            <w:u w:val="single"/>
            <w:lang w:val="en-US" w:eastAsia="en-US"/>
          </w:rPr>
          <w:t>http://bvscuba.sld.cu/anuario-estadisticode-cuba/</w:t>
        </w:r>
      </w:hyperlink>
    </w:p>
    <w:p w14:paraId="03D9D14E" w14:textId="77777777" w:rsidR="00AB6F2B" w:rsidRPr="00AB6F2B" w:rsidRDefault="00AB6F2B" w:rsidP="00AB6F2B">
      <w:pPr>
        <w:autoSpaceDE w:val="0"/>
        <w:autoSpaceDN w:val="0"/>
        <w:adjustRightInd w:val="0"/>
        <w:spacing w:line="360" w:lineRule="auto"/>
        <w:rPr>
          <w:rFonts w:eastAsia="Calibri"/>
          <w:color w:val="0000FF"/>
          <w:lang w:val="en-US" w:eastAsia="en-US"/>
        </w:rPr>
      </w:pPr>
      <w:r w:rsidRPr="00AB6F2B">
        <w:rPr>
          <w:rFonts w:eastAsia="Calibri"/>
          <w:color w:val="000000"/>
          <w:lang w:val="en-US" w:eastAsia="en-US"/>
        </w:rPr>
        <w:t xml:space="preserve">4. </w:t>
      </w:r>
      <w:proofErr w:type="spellStart"/>
      <w:r w:rsidRPr="00AB6F2B">
        <w:rPr>
          <w:rFonts w:eastAsia="Calibri"/>
          <w:color w:val="000000"/>
          <w:lang w:val="en-US" w:eastAsia="en-US"/>
        </w:rPr>
        <w:t>Mendelow</w:t>
      </w:r>
      <w:proofErr w:type="spellEnd"/>
      <w:r w:rsidRPr="00AB6F2B">
        <w:rPr>
          <w:rFonts w:eastAsia="Calibri"/>
          <w:color w:val="000000"/>
          <w:lang w:val="en-US" w:eastAsia="en-US"/>
        </w:rPr>
        <w:t xml:space="preserve"> AD, Gregson BA, Rowan </w:t>
      </w:r>
      <w:proofErr w:type="spellStart"/>
      <w:r w:rsidRPr="00AB6F2B">
        <w:rPr>
          <w:rFonts w:eastAsia="Calibri"/>
          <w:color w:val="000000"/>
          <w:lang w:val="en-US" w:eastAsia="en-US"/>
        </w:rPr>
        <w:t>EN</w:t>
      </w:r>
      <w:proofErr w:type="spellEnd"/>
      <w:r w:rsidRPr="00AB6F2B">
        <w:rPr>
          <w:rFonts w:eastAsia="Calibri"/>
          <w:color w:val="000000"/>
          <w:lang w:val="en-US" w:eastAsia="en-US"/>
        </w:rPr>
        <w:t xml:space="preserve">, Murray GD, </w:t>
      </w:r>
      <w:proofErr w:type="spellStart"/>
      <w:r w:rsidRPr="00AB6F2B">
        <w:rPr>
          <w:rFonts w:eastAsia="Calibri"/>
          <w:color w:val="000000"/>
          <w:lang w:val="en-US" w:eastAsia="en-US"/>
        </w:rPr>
        <w:t>Gholkar</w:t>
      </w:r>
      <w:proofErr w:type="spellEnd"/>
      <w:r w:rsidRPr="00AB6F2B">
        <w:rPr>
          <w:rFonts w:eastAsia="Calibri"/>
          <w:color w:val="000000"/>
          <w:lang w:val="en-US" w:eastAsia="en-US"/>
        </w:rPr>
        <w:t xml:space="preserve"> A, Mitchell PM, et al. Early surgery versus initial conservative treatment in patients with spontaneous supratentorial lobar intracerebral </w:t>
      </w:r>
      <w:proofErr w:type="spellStart"/>
      <w:r w:rsidRPr="00AB6F2B">
        <w:rPr>
          <w:rFonts w:eastAsia="Calibri"/>
          <w:color w:val="000000"/>
          <w:lang w:val="en-US" w:eastAsia="en-US"/>
        </w:rPr>
        <w:t>haematomas</w:t>
      </w:r>
      <w:proofErr w:type="spellEnd"/>
      <w:r w:rsidRPr="00AB6F2B">
        <w:rPr>
          <w:rFonts w:eastAsia="Calibri"/>
          <w:color w:val="000000"/>
          <w:lang w:val="en-US" w:eastAsia="en-US"/>
        </w:rPr>
        <w:t xml:space="preserve"> (STICH II): a </w:t>
      </w:r>
      <w:proofErr w:type="spellStart"/>
      <w:r w:rsidRPr="00AB6F2B">
        <w:rPr>
          <w:rFonts w:eastAsia="Calibri"/>
          <w:color w:val="000000"/>
          <w:lang w:val="en-US" w:eastAsia="en-US"/>
        </w:rPr>
        <w:t>randomised</w:t>
      </w:r>
      <w:proofErr w:type="spellEnd"/>
      <w:r w:rsidRPr="00AB6F2B">
        <w:rPr>
          <w:rFonts w:eastAsia="Calibri"/>
          <w:color w:val="000000"/>
          <w:lang w:val="en-US" w:eastAsia="en-US"/>
        </w:rPr>
        <w:t xml:space="preserve"> trial. Lancet. 2013; 382(9890):397-408. DOI: </w:t>
      </w:r>
      <w:r w:rsidRPr="00AB6F2B">
        <w:rPr>
          <w:rFonts w:eastAsia="Calibri"/>
          <w:lang w:val="en-US" w:eastAsia="en-US"/>
        </w:rPr>
        <w:t>10.1016/</w:t>
      </w:r>
      <w:proofErr w:type="spellStart"/>
      <w:r w:rsidRPr="00AB6F2B">
        <w:rPr>
          <w:rFonts w:eastAsia="Calibri"/>
          <w:lang w:val="en-US" w:eastAsia="en-US"/>
        </w:rPr>
        <w:t>S0140</w:t>
      </w:r>
      <w:proofErr w:type="spellEnd"/>
      <w:r w:rsidRPr="00AB6F2B">
        <w:rPr>
          <w:rFonts w:eastAsia="Calibri"/>
          <w:lang w:val="en-US" w:eastAsia="en-US"/>
        </w:rPr>
        <w:t>-6736(13)60986-1</w:t>
      </w:r>
    </w:p>
    <w:p w14:paraId="563F44E6" w14:textId="77777777" w:rsidR="00AB6F2B" w:rsidRPr="00AB6F2B" w:rsidRDefault="00AB6F2B" w:rsidP="00AB6F2B">
      <w:pPr>
        <w:autoSpaceDE w:val="0"/>
        <w:autoSpaceDN w:val="0"/>
        <w:adjustRightInd w:val="0"/>
        <w:spacing w:line="360" w:lineRule="auto"/>
        <w:rPr>
          <w:lang w:val="en-US" w:eastAsia="es-ES"/>
        </w:rPr>
      </w:pPr>
      <w:r w:rsidRPr="00AB6F2B">
        <w:rPr>
          <w:bCs/>
          <w:kern w:val="36"/>
          <w:lang w:val="en-US" w:eastAsia="es-ES"/>
        </w:rPr>
        <w:t xml:space="preserve">5. </w:t>
      </w:r>
      <w:proofErr w:type="spellStart"/>
      <w:r w:rsidRPr="00AB6F2B">
        <w:rPr>
          <w:bCs/>
          <w:kern w:val="36"/>
          <w:lang w:val="en-US" w:eastAsia="es-ES"/>
        </w:rPr>
        <w:t>Scaggiante</w:t>
      </w:r>
      <w:proofErr w:type="spellEnd"/>
      <w:r w:rsidRPr="00AB6F2B">
        <w:rPr>
          <w:bCs/>
          <w:kern w:val="36"/>
          <w:lang w:val="en-US" w:eastAsia="es-ES"/>
        </w:rPr>
        <w:t xml:space="preserve"> J, Zhang X, </w:t>
      </w:r>
      <w:proofErr w:type="spellStart"/>
      <w:r w:rsidRPr="00AB6F2B">
        <w:rPr>
          <w:bCs/>
          <w:kern w:val="36"/>
          <w:lang w:val="en-US" w:eastAsia="es-ES"/>
        </w:rPr>
        <w:t>Mocco</w:t>
      </w:r>
      <w:proofErr w:type="spellEnd"/>
      <w:r w:rsidRPr="00AB6F2B">
        <w:rPr>
          <w:bCs/>
          <w:kern w:val="36"/>
          <w:lang w:val="en-US" w:eastAsia="es-ES"/>
        </w:rPr>
        <w:t xml:space="preserve"> J, Kellner CP. Minimally Invasive Surgery for Intracerebral Hemorrhage. </w:t>
      </w:r>
      <w:r w:rsidRPr="00AB6F2B">
        <w:rPr>
          <w:lang w:val="en-US" w:eastAsia="es-ES"/>
        </w:rPr>
        <w:t xml:space="preserve">An Updated Meta-Analysis of Randomized Controlled Trials. Stroke. </w:t>
      </w:r>
      <w:r w:rsidRPr="00AB6F2B">
        <w:rPr>
          <w:rFonts w:eastAsia="Calibri"/>
          <w:color w:val="000000"/>
          <w:lang w:val="en-US" w:eastAsia="en-US"/>
        </w:rPr>
        <w:t>2018</w:t>
      </w:r>
      <w:r w:rsidRPr="00AB6F2B">
        <w:rPr>
          <w:lang w:val="en-US" w:eastAsia="es-ES"/>
        </w:rPr>
        <w:t xml:space="preserve">; 49(11):2612-20. DOI: </w:t>
      </w:r>
      <w:r w:rsidRPr="00AB6F2B">
        <w:rPr>
          <w:rFonts w:eastAsia="Calibri"/>
          <w:lang w:val="en-US" w:eastAsia="en-US"/>
        </w:rPr>
        <w:t>10.1161/</w:t>
      </w:r>
      <w:proofErr w:type="spellStart"/>
      <w:r w:rsidRPr="00AB6F2B">
        <w:rPr>
          <w:rFonts w:eastAsia="Calibri"/>
          <w:lang w:val="en-US" w:eastAsia="en-US"/>
        </w:rPr>
        <w:t>STROKEAHA.118.020688</w:t>
      </w:r>
      <w:proofErr w:type="spellEnd"/>
    </w:p>
    <w:p w14:paraId="544301CC" w14:textId="77777777" w:rsidR="00AB6F2B" w:rsidRPr="00AB6F2B" w:rsidRDefault="00AB6F2B" w:rsidP="00AB6F2B">
      <w:pPr>
        <w:spacing w:line="360" w:lineRule="auto"/>
        <w:rPr>
          <w:rFonts w:eastAsia="Calibri"/>
          <w:lang w:val="en-US" w:eastAsia="en-US"/>
        </w:rPr>
      </w:pPr>
      <w:r w:rsidRPr="00AB6F2B">
        <w:rPr>
          <w:rFonts w:eastAsia="Calibri"/>
          <w:color w:val="000000"/>
          <w:lang w:val="en-US" w:eastAsia="en-US"/>
        </w:rPr>
        <w:t xml:space="preserve">6. Zheng J, Li H, Zhao </w:t>
      </w:r>
      <w:proofErr w:type="spellStart"/>
      <w:r w:rsidRPr="00AB6F2B">
        <w:rPr>
          <w:rFonts w:eastAsia="Calibri"/>
          <w:color w:val="000000"/>
          <w:lang w:val="en-US" w:eastAsia="en-US"/>
        </w:rPr>
        <w:t>HX</w:t>
      </w:r>
      <w:proofErr w:type="spellEnd"/>
      <w:r w:rsidRPr="00AB6F2B">
        <w:rPr>
          <w:rFonts w:eastAsia="Calibri"/>
          <w:color w:val="000000"/>
          <w:lang w:val="en-US" w:eastAsia="en-US"/>
        </w:rPr>
        <w:t xml:space="preserve">, Guo R, Lin S, Dong W, et al. Surgery for Patients </w:t>
      </w:r>
      <w:proofErr w:type="gramStart"/>
      <w:r w:rsidRPr="00AB6F2B">
        <w:rPr>
          <w:rFonts w:eastAsia="Calibri"/>
          <w:color w:val="000000"/>
          <w:lang w:val="en-US" w:eastAsia="en-US"/>
        </w:rPr>
        <w:t>With</w:t>
      </w:r>
      <w:proofErr w:type="gramEnd"/>
      <w:r w:rsidRPr="00AB6F2B">
        <w:rPr>
          <w:rFonts w:eastAsia="Calibri"/>
          <w:color w:val="000000"/>
          <w:lang w:val="en-US" w:eastAsia="en-US"/>
        </w:rPr>
        <w:t xml:space="preserve"> Spontaneous Deep Supratentorial Intracerebral Hemorrhage: A Retrospective Case-Control Study Using Propensity Score Matching. Medicine. 2016; 95(11</w:t>
      </w:r>
      <w:proofErr w:type="gramStart"/>
      <w:r w:rsidRPr="00AB6F2B">
        <w:rPr>
          <w:rFonts w:eastAsia="Calibri"/>
          <w:color w:val="000000"/>
          <w:lang w:val="en-US" w:eastAsia="en-US"/>
        </w:rPr>
        <w:t>):</w:t>
      </w:r>
      <w:proofErr w:type="spellStart"/>
      <w:r w:rsidRPr="00AB6F2B">
        <w:rPr>
          <w:rFonts w:eastAsia="Calibri"/>
          <w:color w:val="000000"/>
          <w:lang w:val="en-US" w:eastAsia="en-US"/>
        </w:rPr>
        <w:t>e</w:t>
      </w:r>
      <w:proofErr w:type="gramEnd"/>
      <w:r w:rsidRPr="00AB6F2B">
        <w:rPr>
          <w:rFonts w:eastAsia="Calibri"/>
          <w:color w:val="000000"/>
          <w:lang w:val="en-US" w:eastAsia="en-US"/>
        </w:rPr>
        <w:t>3024</w:t>
      </w:r>
      <w:proofErr w:type="spellEnd"/>
      <w:r w:rsidRPr="00AB6F2B">
        <w:rPr>
          <w:rFonts w:eastAsia="Calibri"/>
          <w:color w:val="000000"/>
          <w:lang w:val="en-US" w:eastAsia="en-US"/>
        </w:rPr>
        <w:t xml:space="preserve">. DOI: </w:t>
      </w:r>
      <w:r w:rsidRPr="00AB6F2B">
        <w:rPr>
          <w:rFonts w:eastAsia="Calibri"/>
          <w:lang w:val="en-US" w:eastAsia="en-US"/>
        </w:rPr>
        <w:t>10.1097/</w:t>
      </w:r>
      <w:proofErr w:type="spellStart"/>
      <w:r w:rsidRPr="00AB6F2B">
        <w:rPr>
          <w:rFonts w:eastAsia="Calibri"/>
          <w:lang w:val="en-US" w:eastAsia="en-US"/>
        </w:rPr>
        <w:t>MD.0000000000003024</w:t>
      </w:r>
      <w:proofErr w:type="spellEnd"/>
    </w:p>
    <w:p w14:paraId="29A8CB93" w14:textId="77777777" w:rsidR="00AB6F2B" w:rsidRPr="00AB6F2B" w:rsidRDefault="00AB6F2B" w:rsidP="00AB6F2B">
      <w:pPr>
        <w:autoSpaceDE w:val="0"/>
        <w:autoSpaceDN w:val="0"/>
        <w:adjustRightInd w:val="0"/>
        <w:spacing w:line="360" w:lineRule="auto"/>
        <w:rPr>
          <w:rFonts w:eastAsia="Calibri"/>
          <w:color w:val="0000FF"/>
          <w:lang w:val="es-ES" w:eastAsia="en-US"/>
        </w:rPr>
      </w:pPr>
      <w:r w:rsidRPr="00AB6F2B">
        <w:rPr>
          <w:rFonts w:eastAsia="Calibri"/>
          <w:iCs/>
          <w:color w:val="231F20"/>
          <w:lang w:val="en-US" w:eastAsia="en-US"/>
        </w:rPr>
        <w:t xml:space="preserve">7. </w:t>
      </w:r>
      <w:proofErr w:type="spellStart"/>
      <w:r w:rsidRPr="00AB6F2B">
        <w:rPr>
          <w:rFonts w:eastAsia="Calibri"/>
          <w:iCs/>
          <w:color w:val="231F20"/>
          <w:lang w:val="en-US" w:eastAsia="en-US"/>
        </w:rPr>
        <w:t>Kobata</w:t>
      </w:r>
      <w:proofErr w:type="spellEnd"/>
      <w:r w:rsidRPr="00AB6F2B">
        <w:rPr>
          <w:rFonts w:eastAsia="Calibri"/>
          <w:iCs/>
          <w:color w:val="231F20"/>
          <w:lang w:val="en-US" w:eastAsia="en-US"/>
        </w:rPr>
        <w:t xml:space="preserve"> H, Ikeda N. Recent Updates in Neurosurgical Interventions for Spontaneous Intracerebral Hemorrhage: Minimally Invasive Surgery to Improve Surgical Performance. </w:t>
      </w:r>
      <w:r w:rsidRPr="00AB6F2B">
        <w:rPr>
          <w:rFonts w:eastAsia="Calibri"/>
          <w:color w:val="000000"/>
          <w:lang w:val="es-ES" w:eastAsia="en-US"/>
        </w:rPr>
        <w:t xml:space="preserve">Front Neurol. 2021; 12:703189. </w:t>
      </w:r>
      <w:proofErr w:type="spellStart"/>
      <w:r w:rsidRPr="00AB6F2B">
        <w:rPr>
          <w:rFonts w:eastAsia="Calibri"/>
          <w:color w:val="000000"/>
          <w:lang w:val="es-ES" w:eastAsia="en-US"/>
        </w:rPr>
        <w:t>DOI</w:t>
      </w:r>
      <w:proofErr w:type="spellEnd"/>
      <w:r w:rsidRPr="00AB6F2B">
        <w:rPr>
          <w:rFonts w:eastAsia="Calibri"/>
          <w:color w:val="000000"/>
          <w:lang w:val="es-ES" w:eastAsia="en-US"/>
        </w:rPr>
        <w:t xml:space="preserve">: </w:t>
      </w:r>
      <w:r w:rsidRPr="00AB6F2B">
        <w:rPr>
          <w:rFonts w:eastAsia="Calibri"/>
          <w:lang w:val="es-ES" w:eastAsia="en-US"/>
        </w:rPr>
        <w:t>10.3389/</w:t>
      </w:r>
      <w:proofErr w:type="spellStart"/>
      <w:r w:rsidRPr="00AB6F2B">
        <w:rPr>
          <w:rFonts w:eastAsia="Calibri"/>
          <w:lang w:val="es-ES" w:eastAsia="en-US"/>
        </w:rPr>
        <w:t>fneur.2021.703189</w:t>
      </w:r>
      <w:proofErr w:type="spellEnd"/>
    </w:p>
    <w:p w14:paraId="4B967F6C" w14:textId="77777777" w:rsidR="00AB6F2B" w:rsidRPr="00AB6F2B" w:rsidRDefault="00AB6F2B" w:rsidP="00AB6F2B">
      <w:pPr>
        <w:spacing w:line="360" w:lineRule="auto"/>
        <w:rPr>
          <w:rFonts w:eastAsia="Calibri"/>
          <w:lang w:val="es-ES" w:eastAsia="en-US"/>
        </w:rPr>
      </w:pPr>
      <w:r w:rsidRPr="00AB6F2B">
        <w:rPr>
          <w:rFonts w:eastAsia="Calibri"/>
          <w:lang w:val="es-ES" w:eastAsia="en-US"/>
        </w:rPr>
        <w:t>8. Sánchez ME.</w:t>
      </w:r>
      <w:r w:rsidRPr="00AB6F2B">
        <w:rPr>
          <w:rFonts w:eastAsia="Calibri"/>
          <w:bCs/>
          <w:lang w:val="es-ES" w:eastAsia="en-US"/>
        </w:rPr>
        <w:t xml:space="preserve"> Factores pronósticos de mortalidad posoperatoria por hematoma intracerebral espontáneo. </w:t>
      </w:r>
      <w:proofErr w:type="spellStart"/>
      <w:r w:rsidRPr="00AB6F2B">
        <w:rPr>
          <w:rFonts w:eastAsia="Calibri"/>
          <w:bCs/>
          <w:lang w:val="es-ES" w:eastAsia="en-US"/>
        </w:rPr>
        <w:t>AHC</w:t>
      </w:r>
      <w:r w:rsidRPr="00AB6F2B">
        <w:rPr>
          <w:rFonts w:eastAsia="Calibri"/>
          <w:bCs/>
          <w:color w:val="000000"/>
          <w:lang w:val="es-ES" w:eastAsia="en-US"/>
        </w:rPr>
        <w:t>G</w:t>
      </w:r>
      <w:proofErr w:type="spellEnd"/>
      <w:r w:rsidRPr="00AB6F2B">
        <w:rPr>
          <w:rFonts w:eastAsia="Calibri"/>
          <w:lang w:val="es-ES" w:eastAsia="en-US"/>
        </w:rPr>
        <w:t>. 2019</w:t>
      </w:r>
      <w:r w:rsidRPr="00AB6F2B">
        <w:rPr>
          <w:rFonts w:eastAsia="Calibri"/>
          <w:color w:val="000000"/>
          <w:lang w:val="es-ES" w:eastAsia="en-US"/>
        </w:rPr>
        <w:t xml:space="preserve"> [acceso: 12/05/2022]; 7(3): [aprox. 12 p.]</w:t>
      </w:r>
      <w:r w:rsidRPr="00AB6F2B">
        <w:rPr>
          <w:rFonts w:eastAsia="Calibri"/>
          <w:bCs/>
          <w:color w:val="000000"/>
          <w:lang w:val="es-ES" w:eastAsia="en-US"/>
        </w:rPr>
        <w:t xml:space="preserve">. </w:t>
      </w:r>
      <w:r w:rsidRPr="00AB6F2B">
        <w:rPr>
          <w:rFonts w:eastAsia="Calibri"/>
          <w:bCs/>
          <w:lang w:val="es-ES" w:eastAsia="en-US"/>
        </w:rPr>
        <w:t xml:space="preserve">Disponible en: </w:t>
      </w:r>
      <w:hyperlink r:id="rId17" w:history="1">
        <w:r w:rsidRPr="00AB6F2B">
          <w:rPr>
            <w:rFonts w:eastAsia="Calibri"/>
            <w:color w:val="0000FF"/>
            <w:u w:val="single"/>
            <w:lang w:val="es-ES" w:eastAsia="en-US"/>
          </w:rPr>
          <w:t>http://www</w:t>
        </w:r>
        <w:r w:rsidRPr="00AB6F2B">
          <w:rPr>
            <w:rFonts w:eastAsia="Calibri"/>
            <w:bCs/>
            <w:color w:val="0000FF"/>
            <w:u w:val="single"/>
            <w:lang w:val="es-ES" w:eastAsia="en-US"/>
          </w:rPr>
          <w:t>.revcalixto.sld.cu/index.php/ahcg/article/view/407</w:t>
        </w:r>
      </w:hyperlink>
    </w:p>
    <w:p w14:paraId="67A334D7" w14:textId="77777777" w:rsidR="00AB6F2B" w:rsidRPr="00AB6F2B" w:rsidRDefault="00AB6F2B" w:rsidP="00AB6F2B">
      <w:pPr>
        <w:spacing w:line="360" w:lineRule="auto"/>
        <w:rPr>
          <w:rFonts w:eastAsia="Calibri"/>
          <w:bCs/>
          <w:lang w:val="es-ES" w:eastAsia="en-US"/>
        </w:rPr>
      </w:pPr>
      <w:r w:rsidRPr="00AB6F2B">
        <w:rPr>
          <w:rFonts w:eastAsia="Calibri"/>
          <w:bCs/>
          <w:lang w:val="es-ES" w:eastAsia="en-US"/>
        </w:rPr>
        <w:t xml:space="preserve">9. Sánchez ME, Verdial R, Menéndez DM, Barbosa A, </w:t>
      </w:r>
      <w:proofErr w:type="spellStart"/>
      <w:r w:rsidRPr="00AB6F2B">
        <w:rPr>
          <w:rFonts w:eastAsia="Calibri"/>
          <w:bCs/>
          <w:lang w:val="es-ES" w:eastAsia="en-US"/>
        </w:rPr>
        <w:t>Manfugás</w:t>
      </w:r>
      <w:proofErr w:type="spellEnd"/>
      <w:r w:rsidRPr="00AB6F2B">
        <w:rPr>
          <w:rFonts w:eastAsia="Calibri"/>
          <w:bCs/>
          <w:lang w:val="es-ES" w:eastAsia="en-US"/>
        </w:rPr>
        <w:t xml:space="preserve"> G, Domínguez A. Protocolo de actuación médica para el tratamiento quirúrgico del hematoma intracerebral espontáneo. </w:t>
      </w:r>
      <w:proofErr w:type="spellStart"/>
      <w:r w:rsidRPr="00AB6F2B">
        <w:rPr>
          <w:rFonts w:eastAsia="Calibri"/>
          <w:bCs/>
          <w:lang w:val="es-ES" w:eastAsia="en-US"/>
        </w:rPr>
        <w:t>AHCG</w:t>
      </w:r>
      <w:proofErr w:type="spellEnd"/>
      <w:r w:rsidRPr="00AB6F2B">
        <w:rPr>
          <w:rFonts w:eastAsia="Calibri"/>
          <w:lang w:val="es-ES" w:eastAsia="en-US"/>
        </w:rPr>
        <w:t xml:space="preserve">. 2020 </w:t>
      </w:r>
      <w:r w:rsidRPr="00AB6F2B">
        <w:rPr>
          <w:rFonts w:eastAsia="Calibri"/>
          <w:color w:val="000000"/>
          <w:lang w:val="es-ES" w:eastAsia="en-US"/>
        </w:rPr>
        <w:lastRenderedPageBreak/>
        <w:t>[acceso: 12/05/2022]; 8(1</w:t>
      </w:r>
      <w:proofErr w:type="gramStart"/>
      <w:r w:rsidRPr="00AB6F2B">
        <w:rPr>
          <w:rFonts w:eastAsia="Calibri"/>
          <w:color w:val="000000"/>
          <w:lang w:val="es-ES" w:eastAsia="en-US"/>
        </w:rPr>
        <w:t>):[</w:t>
      </w:r>
      <w:proofErr w:type="gramEnd"/>
      <w:r w:rsidRPr="00AB6F2B">
        <w:rPr>
          <w:rFonts w:eastAsia="Calibri"/>
          <w:color w:val="000000"/>
          <w:lang w:val="es-ES" w:eastAsia="en-US"/>
        </w:rPr>
        <w:t xml:space="preserve">aprox. 16 p.]. </w:t>
      </w:r>
      <w:r w:rsidRPr="00AB6F2B">
        <w:rPr>
          <w:rFonts w:eastAsia="Calibri"/>
          <w:bCs/>
          <w:lang w:val="es-ES" w:eastAsia="en-US"/>
        </w:rPr>
        <w:t xml:space="preserve">Disponible en: </w:t>
      </w:r>
      <w:hyperlink r:id="rId18" w:history="1">
        <w:r w:rsidRPr="00AB6F2B">
          <w:rPr>
            <w:rFonts w:eastAsia="Calibri"/>
            <w:color w:val="0000FF"/>
            <w:u w:val="single"/>
            <w:lang w:val="es-ES" w:eastAsia="en-US"/>
          </w:rPr>
          <w:t>http://www.</w:t>
        </w:r>
        <w:r w:rsidRPr="00AB6F2B">
          <w:rPr>
            <w:rFonts w:eastAsia="Calibri"/>
            <w:bCs/>
            <w:color w:val="0000FF"/>
            <w:u w:val="single"/>
            <w:lang w:val="es-ES" w:eastAsia="en-US"/>
          </w:rPr>
          <w:t>revcalixto.sld.cu/index.php/ahcg/article/view/457</w:t>
        </w:r>
        <w:r w:rsidRPr="00AB6F2B">
          <w:rPr>
            <w:rFonts w:eastAsia="Calibri"/>
            <w:color w:val="0000FF"/>
            <w:u w:val="single"/>
            <w:lang w:val="es-ES" w:eastAsia="en-US"/>
          </w:rPr>
          <w:t>/411</w:t>
        </w:r>
      </w:hyperlink>
    </w:p>
    <w:p w14:paraId="7B2EF771" w14:textId="77777777" w:rsidR="00AB6F2B" w:rsidRPr="00AB6F2B" w:rsidRDefault="00AB6F2B" w:rsidP="00AB6F2B">
      <w:pPr>
        <w:autoSpaceDE w:val="0"/>
        <w:autoSpaceDN w:val="0"/>
        <w:adjustRightInd w:val="0"/>
        <w:spacing w:line="360" w:lineRule="auto"/>
        <w:rPr>
          <w:rFonts w:eastAsia="Calibri"/>
          <w:lang w:val="en-US" w:eastAsia="en-US"/>
        </w:rPr>
      </w:pPr>
      <w:r w:rsidRPr="00AB6F2B">
        <w:rPr>
          <w:rFonts w:eastAsia="Calibri"/>
          <w:lang w:val="en-US" w:eastAsia="en-US"/>
        </w:rPr>
        <w:t xml:space="preserve">10. Carpenter AB, Lara-Reyna J, </w:t>
      </w:r>
      <w:proofErr w:type="spellStart"/>
      <w:r w:rsidRPr="00AB6F2B">
        <w:rPr>
          <w:rFonts w:eastAsia="Calibri"/>
          <w:lang w:val="en-US" w:eastAsia="en-US"/>
        </w:rPr>
        <w:t>Hardigan</w:t>
      </w:r>
      <w:proofErr w:type="spellEnd"/>
      <w:r w:rsidRPr="00AB6F2B">
        <w:rPr>
          <w:rFonts w:eastAsia="Calibri"/>
          <w:lang w:val="en-US" w:eastAsia="en-US"/>
        </w:rPr>
        <w:t xml:space="preserve"> T, Ladner T, Kellner C, Yaeger K. Use of emerging technologies to enhance the treatment paradigm for spontaneous intraventricular hemorrhage. </w:t>
      </w:r>
      <w:proofErr w:type="spellStart"/>
      <w:r w:rsidRPr="00AB6F2B">
        <w:rPr>
          <w:rFonts w:eastAsia="Calibri"/>
          <w:lang w:val="en-US" w:eastAsia="en-US"/>
        </w:rPr>
        <w:t>Neurosurg</w:t>
      </w:r>
      <w:proofErr w:type="spellEnd"/>
      <w:r w:rsidRPr="00AB6F2B">
        <w:rPr>
          <w:rFonts w:eastAsia="Calibri"/>
          <w:lang w:val="en-US" w:eastAsia="en-US"/>
        </w:rPr>
        <w:t xml:space="preserve"> Rev. </w:t>
      </w:r>
      <w:r w:rsidRPr="00AB6F2B">
        <w:rPr>
          <w:rFonts w:eastAsia="Calibri"/>
          <w:color w:val="000000"/>
          <w:lang w:val="en-US" w:eastAsia="en-US"/>
        </w:rPr>
        <w:t xml:space="preserve">2021; 45(1):317-28.  DOI: </w:t>
      </w:r>
      <w:r w:rsidRPr="00AB6F2B">
        <w:rPr>
          <w:rFonts w:eastAsia="Calibri"/>
          <w:lang w:val="en-US" w:eastAsia="en-US"/>
        </w:rPr>
        <w:t>10.1007/</w:t>
      </w:r>
      <w:proofErr w:type="spellStart"/>
      <w:r w:rsidRPr="00AB6F2B">
        <w:rPr>
          <w:rFonts w:eastAsia="Calibri"/>
          <w:lang w:val="en-US" w:eastAsia="en-US"/>
        </w:rPr>
        <w:t>s10143</w:t>
      </w:r>
      <w:proofErr w:type="spellEnd"/>
      <w:r w:rsidRPr="00AB6F2B">
        <w:rPr>
          <w:rFonts w:eastAsia="Calibri"/>
          <w:lang w:val="en-US" w:eastAsia="en-US"/>
        </w:rPr>
        <w:t>-021-01616-z</w:t>
      </w:r>
    </w:p>
    <w:p w14:paraId="53D79400" w14:textId="77777777" w:rsidR="00AB6F2B" w:rsidRPr="00AB6F2B" w:rsidRDefault="00AB6F2B" w:rsidP="00AB6F2B">
      <w:pPr>
        <w:autoSpaceDE w:val="0"/>
        <w:autoSpaceDN w:val="0"/>
        <w:adjustRightInd w:val="0"/>
        <w:spacing w:line="360" w:lineRule="auto"/>
        <w:rPr>
          <w:rFonts w:eastAsia="Calibri"/>
          <w:lang w:val="es-ES" w:eastAsia="en-US"/>
        </w:rPr>
      </w:pPr>
      <w:r w:rsidRPr="00AB6F2B">
        <w:rPr>
          <w:rFonts w:eastAsia="Calibri"/>
          <w:color w:val="231F20"/>
          <w:lang w:val="en-US" w:eastAsia="en-US"/>
        </w:rPr>
        <w:t xml:space="preserve">11. Kothari RU, </w:t>
      </w:r>
      <w:proofErr w:type="spellStart"/>
      <w:r w:rsidRPr="00AB6F2B">
        <w:rPr>
          <w:rFonts w:eastAsia="Calibri"/>
          <w:color w:val="231F20"/>
          <w:lang w:val="en-US" w:eastAsia="en-US"/>
        </w:rPr>
        <w:t>Brott</w:t>
      </w:r>
      <w:proofErr w:type="spellEnd"/>
      <w:r w:rsidRPr="00AB6F2B">
        <w:rPr>
          <w:rFonts w:eastAsia="Calibri"/>
          <w:color w:val="231F20"/>
          <w:lang w:val="en-US" w:eastAsia="en-US"/>
        </w:rPr>
        <w:t xml:space="preserve"> T, Broderick JP, </w:t>
      </w:r>
      <w:proofErr w:type="spellStart"/>
      <w:r w:rsidRPr="00AB6F2B">
        <w:rPr>
          <w:rFonts w:eastAsia="Calibri"/>
          <w:color w:val="231F20"/>
          <w:lang w:val="en-US" w:eastAsia="en-US"/>
        </w:rPr>
        <w:t>BarsanWG</w:t>
      </w:r>
      <w:proofErr w:type="spellEnd"/>
      <w:r w:rsidRPr="00AB6F2B">
        <w:rPr>
          <w:rFonts w:eastAsia="Calibri"/>
          <w:color w:val="231F20"/>
          <w:lang w:val="en-US" w:eastAsia="en-US"/>
        </w:rPr>
        <w:t xml:space="preserve">, Sauerbeck LR, Zuccarello M, Khoury J. The ABCs of measuring intracerebral hemorrhage volumes. </w:t>
      </w:r>
      <w:proofErr w:type="spellStart"/>
      <w:r w:rsidRPr="00AB6F2B">
        <w:rPr>
          <w:rFonts w:eastAsia="Calibri"/>
          <w:iCs/>
          <w:color w:val="231F20"/>
          <w:lang w:val="es-ES" w:eastAsia="en-US"/>
        </w:rPr>
        <w:t>Stroke</w:t>
      </w:r>
      <w:proofErr w:type="spellEnd"/>
      <w:r w:rsidRPr="00AB6F2B">
        <w:rPr>
          <w:rFonts w:eastAsia="Calibri"/>
          <w:color w:val="231F20"/>
          <w:lang w:val="es-ES" w:eastAsia="en-US"/>
        </w:rPr>
        <w:t xml:space="preserve">. </w:t>
      </w:r>
      <w:r w:rsidRPr="00AB6F2B">
        <w:rPr>
          <w:rFonts w:eastAsia="Calibri"/>
          <w:color w:val="000000"/>
          <w:lang w:val="es-ES" w:eastAsia="en-US"/>
        </w:rPr>
        <w:t xml:space="preserve">1996; 27(8):1304-5. </w:t>
      </w:r>
      <w:proofErr w:type="spellStart"/>
      <w:r w:rsidRPr="00AB6F2B">
        <w:rPr>
          <w:rFonts w:eastAsia="Calibri"/>
          <w:color w:val="000000"/>
          <w:lang w:val="es-ES" w:eastAsia="en-US"/>
        </w:rPr>
        <w:t>DOI</w:t>
      </w:r>
      <w:proofErr w:type="spellEnd"/>
      <w:r w:rsidRPr="00AB6F2B">
        <w:rPr>
          <w:rFonts w:eastAsia="Calibri"/>
          <w:color w:val="000000"/>
          <w:lang w:val="es-ES" w:eastAsia="en-US"/>
        </w:rPr>
        <w:t xml:space="preserve">: </w:t>
      </w:r>
      <w:r w:rsidRPr="00AB6F2B">
        <w:rPr>
          <w:rFonts w:eastAsia="Calibri"/>
          <w:lang w:val="es-ES" w:eastAsia="en-US"/>
        </w:rPr>
        <w:t>10.1161/</w:t>
      </w:r>
      <w:proofErr w:type="spellStart"/>
      <w:r w:rsidRPr="00AB6F2B">
        <w:rPr>
          <w:rFonts w:eastAsia="Calibri"/>
          <w:lang w:val="es-ES" w:eastAsia="en-US"/>
        </w:rPr>
        <w:t>01.str.27.8.1304</w:t>
      </w:r>
      <w:proofErr w:type="spellEnd"/>
    </w:p>
    <w:p w14:paraId="105597D9" w14:textId="77777777" w:rsidR="00AB6F2B" w:rsidRPr="00AB6F2B" w:rsidRDefault="00AB6F2B" w:rsidP="00AB6F2B">
      <w:pPr>
        <w:autoSpaceDE w:val="0"/>
        <w:autoSpaceDN w:val="0"/>
        <w:adjustRightInd w:val="0"/>
        <w:spacing w:line="360" w:lineRule="auto"/>
        <w:contextualSpacing/>
        <w:rPr>
          <w:rFonts w:eastAsia="Calibri"/>
          <w:color w:val="0000FF"/>
          <w:u w:val="single"/>
          <w:lang w:val="es-ES" w:eastAsia="en-US"/>
        </w:rPr>
      </w:pPr>
      <w:r w:rsidRPr="00AB6F2B">
        <w:rPr>
          <w:rFonts w:eastAsia="Calibri"/>
          <w:lang w:val="es-ES" w:eastAsia="en-US"/>
        </w:rPr>
        <w:t xml:space="preserve">12. Cerda J, Cifuentes L. Usos de curvas ROC en investigación clínica. Aspectos teórico-prácticos. </w:t>
      </w:r>
      <w:proofErr w:type="spellStart"/>
      <w:r w:rsidRPr="00AB6F2B">
        <w:rPr>
          <w:rFonts w:eastAsia="Calibri"/>
          <w:lang w:val="es-ES" w:eastAsia="en-US"/>
        </w:rPr>
        <w:t>Rev</w:t>
      </w:r>
      <w:proofErr w:type="spellEnd"/>
      <w:r w:rsidRPr="00AB6F2B">
        <w:rPr>
          <w:rFonts w:eastAsia="Calibri"/>
          <w:lang w:val="es-ES" w:eastAsia="en-US"/>
        </w:rPr>
        <w:t xml:space="preserve"> </w:t>
      </w:r>
      <w:proofErr w:type="spellStart"/>
      <w:r w:rsidRPr="00AB6F2B">
        <w:rPr>
          <w:rFonts w:eastAsia="Calibri"/>
          <w:lang w:val="es-ES" w:eastAsia="en-US"/>
        </w:rPr>
        <w:t>Chil</w:t>
      </w:r>
      <w:proofErr w:type="spellEnd"/>
      <w:r w:rsidRPr="00AB6F2B">
        <w:rPr>
          <w:rFonts w:eastAsia="Calibri"/>
          <w:lang w:val="es-ES" w:eastAsia="en-US"/>
        </w:rPr>
        <w:t xml:space="preserve"> </w:t>
      </w:r>
      <w:proofErr w:type="spellStart"/>
      <w:r w:rsidRPr="00AB6F2B">
        <w:rPr>
          <w:rFonts w:eastAsia="Calibri"/>
          <w:lang w:val="es-ES" w:eastAsia="en-US"/>
        </w:rPr>
        <w:t>Infect</w:t>
      </w:r>
      <w:proofErr w:type="spellEnd"/>
      <w:r w:rsidRPr="00AB6F2B">
        <w:rPr>
          <w:rFonts w:eastAsia="Calibri"/>
          <w:lang w:val="es-ES" w:eastAsia="en-US"/>
        </w:rPr>
        <w:t>.</w:t>
      </w:r>
      <w:r w:rsidRPr="00AB6F2B">
        <w:rPr>
          <w:rFonts w:eastAsia="Calibri"/>
          <w:color w:val="000000"/>
          <w:lang w:val="es-ES" w:eastAsia="en-US"/>
        </w:rPr>
        <w:t xml:space="preserve"> 2012</w:t>
      </w:r>
      <w:r w:rsidRPr="00AB6F2B">
        <w:rPr>
          <w:rFonts w:eastAsia="Calibri"/>
          <w:lang w:val="es-ES" w:eastAsia="en-US"/>
        </w:rPr>
        <w:t xml:space="preserve">; 29(2):138-41. </w:t>
      </w:r>
      <w:proofErr w:type="spellStart"/>
      <w:r w:rsidRPr="00AB6F2B">
        <w:rPr>
          <w:rFonts w:eastAsia="Calibri"/>
          <w:lang w:val="es-ES" w:eastAsia="en-US"/>
        </w:rPr>
        <w:t>DOI:10.4067</w:t>
      </w:r>
      <w:proofErr w:type="spellEnd"/>
      <w:r w:rsidRPr="00AB6F2B">
        <w:rPr>
          <w:rFonts w:eastAsia="Calibri"/>
          <w:lang w:val="es-ES" w:eastAsia="en-US"/>
        </w:rPr>
        <w:t>/</w:t>
      </w:r>
      <w:proofErr w:type="spellStart"/>
      <w:r w:rsidRPr="00AB6F2B">
        <w:rPr>
          <w:rFonts w:eastAsia="Calibri"/>
          <w:lang w:val="es-ES" w:eastAsia="en-US"/>
        </w:rPr>
        <w:t>S0716</w:t>
      </w:r>
      <w:proofErr w:type="spellEnd"/>
      <w:r w:rsidRPr="00AB6F2B">
        <w:rPr>
          <w:rFonts w:eastAsia="Calibri"/>
          <w:lang w:val="es-ES" w:eastAsia="en-US"/>
        </w:rPr>
        <w:t xml:space="preserve">-10182012000200003  </w:t>
      </w:r>
    </w:p>
    <w:p w14:paraId="3EAF1D20" w14:textId="77777777" w:rsidR="00AB6F2B" w:rsidRPr="00AB6F2B" w:rsidRDefault="00AB6F2B" w:rsidP="00AB6F2B">
      <w:pPr>
        <w:spacing w:line="360" w:lineRule="auto"/>
        <w:rPr>
          <w:rFonts w:eastAsia="Calibri"/>
          <w:lang w:val="es-ES" w:eastAsia="en-US"/>
        </w:rPr>
      </w:pPr>
      <w:r w:rsidRPr="00AB6F2B">
        <w:rPr>
          <w:rFonts w:eastAsia="Calibri"/>
          <w:color w:val="303030"/>
          <w:lang w:val="es-ES" w:eastAsia="en-US"/>
        </w:rPr>
        <w:t xml:space="preserve">13. Suárez A, Álvarez A, López E, </w:t>
      </w:r>
      <w:proofErr w:type="spellStart"/>
      <w:r w:rsidRPr="00AB6F2B">
        <w:rPr>
          <w:rFonts w:eastAsia="Calibri"/>
          <w:color w:val="303030"/>
          <w:lang w:val="es-ES" w:eastAsia="en-US"/>
        </w:rPr>
        <w:t>Bárzaga</w:t>
      </w:r>
      <w:proofErr w:type="spellEnd"/>
      <w:r w:rsidRPr="00AB6F2B">
        <w:rPr>
          <w:rFonts w:eastAsia="Calibri"/>
          <w:color w:val="303030"/>
          <w:lang w:val="es-ES" w:eastAsia="en-US"/>
        </w:rPr>
        <w:t xml:space="preserve"> S, Santisteban A. Pronóstico de muerte en pacientes con hemorragia intracerebral supratentorial espontánea. </w:t>
      </w:r>
      <w:r w:rsidRPr="00AB6F2B">
        <w:rPr>
          <w:rFonts w:eastAsia="Calibri"/>
          <w:bCs/>
          <w:color w:val="303030"/>
          <w:lang w:val="es-ES" w:eastAsia="en-US"/>
        </w:rPr>
        <w:t xml:space="preserve">Revista </w:t>
      </w:r>
      <w:proofErr w:type="spellStart"/>
      <w:r w:rsidRPr="00AB6F2B">
        <w:rPr>
          <w:rFonts w:eastAsia="Calibri"/>
          <w:bCs/>
          <w:color w:val="303030"/>
          <w:lang w:val="es-ES" w:eastAsia="en-US"/>
        </w:rPr>
        <w:t>Finlay</w:t>
      </w:r>
      <w:proofErr w:type="spellEnd"/>
      <w:r w:rsidRPr="00AB6F2B">
        <w:rPr>
          <w:rFonts w:eastAsia="Calibri"/>
          <w:color w:val="303030"/>
          <w:lang w:val="es-ES" w:eastAsia="en-US"/>
        </w:rPr>
        <w:t xml:space="preserve">. </w:t>
      </w:r>
      <w:r w:rsidRPr="00AB6F2B">
        <w:rPr>
          <w:rFonts w:eastAsia="Calibri"/>
          <w:color w:val="000000"/>
          <w:lang w:val="es-ES" w:eastAsia="en-US"/>
        </w:rPr>
        <w:t xml:space="preserve">2016 [acceso: 29/05/2022]; </w:t>
      </w:r>
      <w:r w:rsidRPr="00AB6F2B">
        <w:rPr>
          <w:rFonts w:eastAsia="Calibri"/>
          <w:color w:val="303030"/>
          <w:lang w:val="es-ES" w:eastAsia="en-US"/>
        </w:rPr>
        <w:t xml:space="preserve">2016;6(1):32-40. Disponible en: </w:t>
      </w:r>
      <w:hyperlink r:id="rId19" w:history="1">
        <w:r w:rsidRPr="00AB6F2B">
          <w:rPr>
            <w:rFonts w:eastAsia="Calibri"/>
            <w:color w:val="0000FF"/>
            <w:u w:val="single"/>
            <w:lang w:val="es-ES" w:eastAsia="en-US"/>
          </w:rPr>
          <w:t>http://www.revfinlay.sld.cu/index.php/finlay/article/view/408</w:t>
        </w:r>
      </w:hyperlink>
    </w:p>
    <w:p w14:paraId="5EFD1E6E" w14:textId="77777777" w:rsidR="00AB6F2B" w:rsidRPr="00AB6F2B" w:rsidRDefault="00AB6F2B" w:rsidP="00AB6F2B">
      <w:pPr>
        <w:spacing w:line="360" w:lineRule="auto"/>
        <w:rPr>
          <w:rFonts w:eastAsia="Calibri"/>
          <w:color w:val="0000FF"/>
          <w:lang w:val="es-ES" w:eastAsia="en-US"/>
        </w:rPr>
      </w:pPr>
      <w:r w:rsidRPr="00AB6F2B">
        <w:rPr>
          <w:rFonts w:eastAsia="Calibri"/>
          <w:bCs/>
          <w:color w:val="000000"/>
          <w:lang w:val="es-ES" w:eastAsia="en-US"/>
        </w:rPr>
        <w:t xml:space="preserve">14. Aguilera </w:t>
      </w:r>
      <w:proofErr w:type="spellStart"/>
      <w:r w:rsidRPr="00AB6F2B">
        <w:rPr>
          <w:rFonts w:eastAsia="Calibri"/>
          <w:bCs/>
          <w:color w:val="000000"/>
          <w:lang w:val="es-ES" w:eastAsia="en-US"/>
        </w:rPr>
        <w:t>OR</w:t>
      </w:r>
      <w:proofErr w:type="spellEnd"/>
      <w:r w:rsidRPr="00AB6F2B">
        <w:rPr>
          <w:rFonts w:eastAsia="Calibri"/>
          <w:bCs/>
          <w:color w:val="000000"/>
          <w:lang w:val="es-ES" w:eastAsia="en-US"/>
        </w:rPr>
        <w:t xml:space="preserve">, González D. Factores pronósticos en la hemorragia cerebral intraparenquimatosa. </w:t>
      </w:r>
      <w:proofErr w:type="spellStart"/>
      <w:r w:rsidRPr="00AB6F2B">
        <w:rPr>
          <w:rFonts w:eastAsia="Calibri"/>
          <w:color w:val="000000"/>
          <w:lang w:val="es-ES" w:eastAsia="en-US"/>
        </w:rPr>
        <w:t>MEDISAN</w:t>
      </w:r>
      <w:proofErr w:type="spellEnd"/>
      <w:r w:rsidRPr="00AB6F2B">
        <w:rPr>
          <w:rFonts w:eastAsia="Calibri"/>
          <w:color w:val="000000"/>
          <w:lang w:val="es-ES" w:eastAsia="en-US"/>
        </w:rPr>
        <w:t xml:space="preserve">. 2012 [acceso: 29/05/2022]; 16(1):21-8. Disponible en: </w:t>
      </w:r>
      <w:hyperlink r:id="rId20" w:history="1">
        <w:r w:rsidRPr="00AB6F2B">
          <w:rPr>
            <w:rFonts w:eastAsia="Calibri"/>
            <w:color w:val="0000FF"/>
            <w:u w:val="single"/>
            <w:lang w:val="es-ES" w:eastAsia="en-US"/>
          </w:rPr>
          <w:t>http://scielo.sld.cu/pdf/san/v16n1/san03112.pdf</w:t>
        </w:r>
      </w:hyperlink>
    </w:p>
    <w:p w14:paraId="2F853894" w14:textId="77777777" w:rsidR="00AB6F2B" w:rsidRPr="00AB6F2B" w:rsidRDefault="00AB6F2B" w:rsidP="00AB6F2B">
      <w:pPr>
        <w:spacing w:line="360" w:lineRule="auto"/>
        <w:rPr>
          <w:rFonts w:eastAsia="Calibri"/>
          <w:lang w:val="es-ES" w:eastAsia="en-US"/>
        </w:rPr>
      </w:pPr>
      <w:r w:rsidRPr="00AB6F2B">
        <w:rPr>
          <w:rFonts w:eastAsia="Calibri"/>
          <w:lang w:val="es-ES" w:eastAsia="en-US"/>
        </w:rPr>
        <w:t xml:space="preserve">15. Rodríguez LA. Indicadores morfométricos predictores de mortalidad en pacientes con hemorragias intracerebrales lobares espontaneas. </w:t>
      </w:r>
      <w:proofErr w:type="spellStart"/>
      <w:r w:rsidRPr="00AB6F2B">
        <w:rPr>
          <w:rFonts w:eastAsia="Calibri"/>
          <w:lang w:val="es-ES" w:eastAsia="en-US"/>
        </w:rPr>
        <w:t>MEDICIEGO</w:t>
      </w:r>
      <w:proofErr w:type="spellEnd"/>
      <w:r w:rsidRPr="00AB6F2B">
        <w:rPr>
          <w:rFonts w:eastAsia="Calibri"/>
          <w:lang w:val="es-ES" w:eastAsia="en-US"/>
        </w:rPr>
        <w:t xml:space="preserve">. </w:t>
      </w:r>
      <w:r w:rsidRPr="00AB6F2B">
        <w:rPr>
          <w:rFonts w:eastAsia="Calibri"/>
          <w:color w:val="000000"/>
          <w:lang w:val="es-ES" w:eastAsia="en-US"/>
        </w:rPr>
        <w:t xml:space="preserve">2016 [acceso: 29/05/2022]; </w:t>
      </w:r>
      <w:r w:rsidRPr="00AB6F2B">
        <w:rPr>
          <w:rFonts w:eastAsia="Calibri"/>
          <w:lang w:val="es-ES" w:eastAsia="en-US"/>
        </w:rPr>
        <w:t xml:space="preserve">22(3):37-42. Disponible en: </w:t>
      </w:r>
      <w:hyperlink r:id="rId21" w:history="1">
        <w:r w:rsidRPr="00AB6F2B">
          <w:rPr>
            <w:rFonts w:eastAsia="Calibri"/>
            <w:color w:val="0000FF"/>
            <w:u w:val="single"/>
            <w:lang w:val="es-ES" w:eastAsia="en-US"/>
          </w:rPr>
          <w:t>http://www.revmediciego.sld.cu/index.php/mediciego/article/view/512/1010</w:t>
        </w:r>
      </w:hyperlink>
    </w:p>
    <w:p w14:paraId="24D85EB5" w14:textId="77777777" w:rsidR="00AB6F2B" w:rsidRPr="00AB6F2B" w:rsidRDefault="00AB6F2B" w:rsidP="00AB6F2B">
      <w:pPr>
        <w:spacing w:line="360" w:lineRule="auto"/>
        <w:rPr>
          <w:rFonts w:eastAsia="Calibri"/>
          <w:bCs/>
          <w:lang w:val="es-ES" w:eastAsia="en-US"/>
        </w:rPr>
      </w:pPr>
      <w:r w:rsidRPr="00AB6F2B">
        <w:rPr>
          <w:rFonts w:eastAsia="Calibri"/>
          <w:bCs/>
          <w:color w:val="000000"/>
          <w:lang w:val="es-ES" w:eastAsia="en-US"/>
        </w:rPr>
        <w:t xml:space="preserve">16. Pérez AR, García A, Sosa EF, Padrón F. Factores pronósticos de </w:t>
      </w:r>
      <w:r w:rsidRPr="00AB6F2B">
        <w:rPr>
          <w:rFonts w:eastAsia="Calibri"/>
          <w:bCs/>
          <w:lang w:val="es-ES" w:eastAsia="en-US"/>
        </w:rPr>
        <w:t xml:space="preserve">mortalidad por hemorragia intracerebral en el periodo agudo. </w:t>
      </w:r>
      <w:proofErr w:type="spellStart"/>
      <w:r w:rsidRPr="00AB6F2B">
        <w:rPr>
          <w:rFonts w:eastAsia="Calibri"/>
          <w:bCs/>
          <w:lang w:val="es-ES" w:eastAsia="en-US"/>
        </w:rPr>
        <w:t>Rev</w:t>
      </w:r>
      <w:proofErr w:type="spellEnd"/>
      <w:r w:rsidRPr="00AB6F2B">
        <w:rPr>
          <w:rFonts w:eastAsia="Calibri"/>
          <w:bCs/>
          <w:lang w:val="es-ES" w:eastAsia="en-US"/>
        </w:rPr>
        <w:t xml:space="preserve"> </w:t>
      </w:r>
      <w:proofErr w:type="spellStart"/>
      <w:r w:rsidRPr="00AB6F2B">
        <w:rPr>
          <w:rFonts w:eastAsia="Calibri"/>
          <w:bCs/>
          <w:lang w:val="es-ES" w:eastAsia="en-US"/>
        </w:rPr>
        <w:t>Cub</w:t>
      </w:r>
      <w:proofErr w:type="spellEnd"/>
      <w:r w:rsidRPr="00AB6F2B">
        <w:rPr>
          <w:rFonts w:eastAsia="Calibri"/>
          <w:bCs/>
          <w:lang w:val="es-ES" w:eastAsia="en-US"/>
        </w:rPr>
        <w:t xml:space="preserve"> </w:t>
      </w:r>
      <w:proofErr w:type="spellStart"/>
      <w:r w:rsidRPr="00AB6F2B">
        <w:rPr>
          <w:rFonts w:eastAsia="Calibri"/>
          <w:bCs/>
          <w:lang w:val="es-ES" w:eastAsia="en-US"/>
        </w:rPr>
        <w:t>Med</w:t>
      </w:r>
      <w:proofErr w:type="spellEnd"/>
      <w:r w:rsidRPr="00AB6F2B">
        <w:rPr>
          <w:rFonts w:eastAsia="Calibri"/>
          <w:bCs/>
          <w:lang w:val="es-ES" w:eastAsia="en-US"/>
        </w:rPr>
        <w:t xml:space="preserve"> Mil. </w:t>
      </w:r>
      <w:r w:rsidRPr="00AB6F2B">
        <w:rPr>
          <w:rFonts w:eastAsia="Calibri"/>
          <w:color w:val="000000"/>
          <w:lang w:val="es-ES" w:eastAsia="en-US"/>
        </w:rPr>
        <w:t xml:space="preserve">2015 [acceso: 29/05/2022]; </w:t>
      </w:r>
      <w:r w:rsidRPr="00AB6F2B">
        <w:rPr>
          <w:rFonts w:eastAsia="Calibri"/>
          <w:bCs/>
          <w:lang w:val="es-ES" w:eastAsia="en-US"/>
        </w:rPr>
        <w:t>44(3):277-88. Disponible en:</w:t>
      </w:r>
      <w:hyperlink r:id="rId22" w:history="1">
        <w:r w:rsidRPr="00AB6F2B">
          <w:rPr>
            <w:rFonts w:eastAsia="Calibri"/>
            <w:bCs/>
            <w:color w:val="0000FF"/>
            <w:u w:val="single"/>
            <w:lang w:val="es-ES" w:eastAsia="en-US"/>
          </w:rPr>
          <w:t>https://www.medigraphic.com/cgi-bin/new/resumen.cgi?IDARTICULO=64146</w:t>
        </w:r>
      </w:hyperlink>
    </w:p>
    <w:p w14:paraId="1BB61089" w14:textId="77777777" w:rsidR="00AB6F2B" w:rsidRPr="00AB6F2B" w:rsidRDefault="00AB6F2B" w:rsidP="00AB6F2B">
      <w:pPr>
        <w:spacing w:line="360" w:lineRule="auto"/>
        <w:rPr>
          <w:rFonts w:eastAsia="Calibri"/>
          <w:color w:val="231F20"/>
          <w:lang w:val="en-US" w:eastAsia="en-US"/>
        </w:rPr>
      </w:pPr>
      <w:r w:rsidRPr="00AB6F2B">
        <w:rPr>
          <w:rFonts w:eastAsia="Calibri"/>
          <w:color w:val="231F20"/>
          <w:lang w:val="en-US" w:eastAsia="en-US"/>
        </w:rPr>
        <w:t xml:space="preserve">17. Kumar AA, </w:t>
      </w:r>
      <w:proofErr w:type="spellStart"/>
      <w:r w:rsidRPr="00AB6F2B">
        <w:rPr>
          <w:rFonts w:eastAsia="Calibri"/>
          <w:color w:val="231F20"/>
          <w:lang w:val="en-US" w:eastAsia="en-US"/>
        </w:rPr>
        <w:t>Valson</w:t>
      </w:r>
      <w:proofErr w:type="spellEnd"/>
      <w:r w:rsidRPr="00AB6F2B">
        <w:rPr>
          <w:rFonts w:eastAsia="Calibri"/>
          <w:color w:val="231F20"/>
          <w:lang w:val="en-US" w:eastAsia="en-US"/>
        </w:rPr>
        <w:t xml:space="preserve"> JS. Surgery in Spontaneous Intracerebral Hemorrhage– A Series Analysis. J Neurol Stroke.</w:t>
      </w:r>
      <w:r w:rsidRPr="00AB6F2B">
        <w:rPr>
          <w:rFonts w:eastAsia="Calibri"/>
          <w:lang w:val="en-US" w:eastAsia="en-US"/>
        </w:rPr>
        <w:t xml:space="preserve"> 2015; </w:t>
      </w:r>
      <w:r w:rsidRPr="00AB6F2B">
        <w:rPr>
          <w:rFonts w:eastAsia="Calibri"/>
          <w:color w:val="231F20"/>
          <w:lang w:val="en-US" w:eastAsia="en-US"/>
        </w:rPr>
        <w:t>2(4):60-71. DOI: 10.15406/</w:t>
      </w:r>
      <w:proofErr w:type="spellStart"/>
      <w:r w:rsidRPr="00AB6F2B">
        <w:rPr>
          <w:rFonts w:eastAsia="Calibri"/>
          <w:color w:val="231F20"/>
          <w:lang w:val="en-US" w:eastAsia="en-US"/>
        </w:rPr>
        <w:t>jnsk.2015.02.00060</w:t>
      </w:r>
      <w:proofErr w:type="spellEnd"/>
      <w:r w:rsidRPr="00AB6F2B">
        <w:rPr>
          <w:rFonts w:eastAsia="Calibri"/>
          <w:color w:val="231F20"/>
          <w:lang w:val="en-US" w:eastAsia="en-US"/>
        </w:rPr>
        <w:t xml:space="preserve"> </w:t>
      </w:r>
    </w:p>
    <w:p w14:paraId="32A515E3" w14:textId="77777777" w:rsidR="00AB6F2B" w:rsidRPr="00AB6F2B" w:rsidRDefault="00AB6F2B" w:rsidP="00AB6F2B">
      <w:pPr>
        <w:autoSpaceDE w:val="0"/>
        <w:autoSpaceDN w:val="0"/>
        <w:adjustRightInd w:val="0"/>
        <w:spacing w:line="360" w:lineRule="auto"/>
        <w:rPr>
          <w:rFonts w:eastAsia="Calibri"/>
          <w:color w:val="0000FF"/>
          <w:lang w:val="en-US" w:eastAsia="en-US"/>
        </w:rPr>
      </w:pPr>
      <w:r w:rsidRPr="00AB6F2B">
        <w:rPr>
          <w:rFonts w:eastAsia="Calibri"/>
          <w:color w:val="231F20"/>
          <w:lang w:val="en-US" w:eastAsia="en-US"/>
        </w:rPr>
        <w:t xml:space="preserve">18. Hemphill JC, </w:t>
      </w:r>
      <w:proofErr w:type="spellStart"/>
      <w:r w:rsidRPr="00AB6F2B">
        <w:rPr>
          <w:rFonts w:eastAsia="Calibri"/>
          <w:color w:val="231F20"/>
          <w:lang w:val="en-US" w:eastAsia="en-US"/>
        </w:rPr>
        <w:t>Bonovich</w:t>
      </w:r>
      <w:proofErr w:type="spellEnd"/>
      <w:r w:rsidRPr="00AB6F2B">
        <w:rPr>
          <w:rFonts w:eastAsia="Calibri"/>
          <w:color w:val="231F20"/>
          <w:lang w:val="en-US" w:eastAsia="en-US"/>
        </w:rPr>
        <w:t xml:space="preserve"> DC, </w:t>
      </w:r>
      <w:proofErr w:type="spellStart"/>
      <w:r w:rsidRPr="00AB6F2B">
        <w:rPr>
          <w:rFonts w:eastAsia="Calibri"/>
          <w:color w:val="231F20"/>
          <w:lang w:val="en-US" w:eastAsia="en-US"/>
        </w:rPr>
        <w:t>Besmertis</w:t>
      </w:r>
      <w:proofErr w:type="spellEnd"/>
      <w:r w:rsidRPr="00AB6F2B">
        <w:rPr>
          <w:rFonts w:eastAsia="Calibri"/>
          <w:color w:val="231F20"/>
          <w:lang w:val="en-US" w:eastAsia="en-US"/>
        </w:rPr>
        <w:t xml:space="preserve"> L, Manley GT, Johnston SC. </w:t>
      </w:r>
      <w:r w:rsidRPr="00AB6F2B">
        <w:rPr>
          <w:rFonts w:eastAsia="Calibri"/>
          <w:bCs/>
          <w:color w:val="231F20"/>
          <w:lang w:val="en-US" w:eastAsia="en-US"/>
        </w:rPr>
        <w:t>The ICH Score. A simple, reliable Grading Scale for Intracerebral Hemorrhage. S</w:t>
      </w:r>
      <w:r w:rsidRPr="00AB6F2B">
        <w:rPr>
          <w:rFonts w:eastAsia="Calibri"/>
          <w:bCs/>
          <w:iCs/>
          <w:color w:val="231F20"/>
          <w:lang w:val="en-US" w:eastAsia="en-US"/>
        </w:rPr>
        <w:t>troke</w:t>
      </w:r>
      <w:r w:rsidRPr="00AB6F2B">
        <w:rPr>
          <w:rFonts w:eastAsia="Calibri"/>
          <w:bCs/>
          <w:color w:val="231F20"/>
          <w:lang w:val="en-US" w:eastAsia="en-US"/>
        </w:rPr>
        <w:t>.</w:t>
      </w:r>
      <w:r w:rsidRPr="00AB6F2B">
        <w:rPr>
          <w:rFonts w:eastAsia="Calibri"/>
          <w:color w:val="000000"/>
          <w:lang w:val="en-US" w:eastAsia="en-US"/>
        </w:rPr>
        <w:t xml:space="preserve"> 2001; 32(4):891-7. DOI: </w:t>
      </w:r>
      <w:r w:rsidRPr="00AB6F2B">
        <w:rPr>
          <w:rFonts w:eastAsia="Calibri"/>
          <w:lang w:val="en-US" w:eastAsia="en-US"/>
        </w:rPr>
        <w:t>10.1161/</w:t>
      </w:r>
      <w:proofErr w:type="spellStart"/>
      <w:r w:rsidRPr="00AB6F2B">
        <w:rPr>
          <w:rFonts w:eastAsia="Calibri"/>
          <w:lang w:val="en-US" w:eastAsia="en-US"/>
        </w:rPr>
        <w:t>01.str.32.4.891</w:t>
      </w:r>
      <w:proofErr w:type="spellEnd"/>
    </w:p>
    <w:p w14:paraId="02456F33" w14:textId="77777777" w:rsidR="00AB6F2B" w:rsidRPr="00AB6F2B" w:rsidRDefault="00AB6F2B" w:rsidP="00AB6F2B">
      <w:pPr>
        <w:spacing w:line="360" w:lineRule="auto"/>
        <w:rPr>
          <w:lang w:val="en-US" w:eastAsia="es-ES"/>
        </w:rPr>
      </w:pPr>
      <w:r w:rsidRPr="00AB6F2B">
        <w:rPr>
          <w:rFonts w:eastAsia="Calibri"/>
          <w:lang w:val="pt-BR" w:eastAsia="en-US"/>
        </w:rPr>
        <w:lastRenderedPageBreak/>
        <w:t xml:space="preserve">19. </w:t>
      </w:r>
      <w:proofErr w:type="spellStart"/>
      <w:r w:rsidRPr="00AB6F2B">
        <w:rPr>
          <w:rFonts w:eastAsia="Calibri"/>
          <w:lang w:val="pt-BR" w:eastAsia="en-US"/>
        </w:rPr>
        <w:t>Gregorio</w:t>
      </w:r>
      <w:proofErr w:type="spellEnd"/>
      <w:r w:rsidRPr="00AB6F2B">
        <w:rPr>
          <w:rFonts w:eastAsia="Calibri"/>
          <w:lang w:val="pt-BR" w:eastAsia="en-US"/>
        </w:rPr>
        <w:t xml:space="preserve"> T, Pipa S, Cavaleiro P, Atanasio G, Albuquerque I, Castro P, et al. </w:t>
      </w:r>
      <w:r w:rsidRPr="00AB6F2B">
        <w:rPr>
          <w:bCs/>
          <w:kern w:val="36"/>
          <w:lang w:val="en-US" w:eastAsia="es-ES"/>
        </w:rPr>
        <w:t xml:space="preserve">Assessment and Comparison of the Four Most Extensively Validated Prognostic Scales for Intracerebral Hemorrhage: Systematic Review with Meta-analysis. </w:t>
      </w:r>
      <w:proofErr w:type="spellStart"/>
      <w:r w:rsidRPr="00AB6F2B">
        <w:rPr>
          <w:lang w:val="en-US" w:eastAsia="es-ES"/>
        </w:rPr>
        <w:t>Neurocrit</w:t>
      </w:r>
      <w:proofErr w:type="spellEnd"/>
      <w:r w:rsidRPr="00AB6F2B">
        <w:rPr>
          <w:lang w:val="en-US" w:eastAsia="es-ES"/>
        </w:rPr>
        <w:t xml:space="preserve"> Care. </w:t>
      </w:r>
      <w:r w:rsidRPr="00AB6F2B">
        <w:rPr>
          <w:rFonts w:eastAsia="Calibri"/>
          <w:color w:val="000000"/>
          <w:lang w:val="en-US" w:eastAsia="en-US"/>
        </w:rPr>
        <w:t xml:space="preserve">2019; 30(2):449-66. DOI: </w:t>
      </w:r>
      <w:r w:rsidRPr="00AB6F2B">
        <w:rPr>
          <w:rFonts w:eastAsia="Calibri"/>
          <w:lang w:val="en-US" w:eastAsia="en-US"/>
        </w:rPr>
        <w:t>10.1007/</w:t>
      </w:r>
      <w:proofErr w:type="spellStart"/>
      <w:r w:rsidRPr="00AB6F2B">
        <w:rPr>
          <w:rFonts w:eastAsia="Calibri"/>
          <w:lang w:val="en-US" w:eastAsia="en-US"/>
        </w:rPr>
        <w:t>s12028</w:t>
      </w:r>
      <w:proofErr w:type="spellEnd"/>
      <w:r w:rsidRPr="00AB6F2B">
        <w:rPr>
          <w:rFonts w:eastAsia="Calibri"/>
          <w:lang w:val="en-US" w:eastAsia="en-US"/>
        </w:rPr>
        <w:t>-018-0633-6</w:t>
      </w:r>
    </w:p>
    <w:p w14:paraId="3CC7A0D0" w14:textId="77777777" w:rsidR="00AB6F2B" w:rsidRPr="00AB6F2B" w:rsidRDefault="00AB6F2B" w:rsidP="00AB6F2B">
      <w:pPr>
        <w:autoSpaceDE w:val="0"/>
        <w:autoSpaceDN w:val="0"/>
        <w:adjustRightInd w:val="0"/>
        <w:spacing w:line="360" w:lineRule="auto"/>
        <w:outlineLvl w:val="2"/>
        <w:rPr>
          <w:bCs/>
          <w:lang w:val="en-US" w:eastAsia="es-ES"/>
        </w:rPr>
      </w:pPr>
      <w:r w:rsidRPr="00AB6F2B">
        <w:rPr>
          <w:bCs/>
          <w:lang w:val="en-US" w:eastAsia="es-ES"/>
        </w:rPr>
        <w:t xml:space="preserve">20. </w:t>
      </w:r>
      <w:proofErr w:type="spellStart"/>
      <w:r w:rsidRPr="00AB6F2B">
        <w:rPr>
          <w:bCs/>
          <w:lang w:val="en-US" w:eastAsia="es-ES"/>
        </w:rPr>
        <w:t>Zyck</w:t>
      </w:r>
      <w:proofErr w:type="spellEnd"/>
      <w:r w:rsidRPr="00AB6F2B">
        <w:rPr>
          <w:bCs/>
          <w:lang w:val="en-US" w:eastAsia="es-ES"/>
        </w:rPr>
        <w:t xml:space="preserve"> S, Du L, Gould G, </w:t>
      </w:r>
      <w:proofErr w:type="spellStart"/>
      <w:r w:rsidRPr="00AB6F2B">
        <w:rPr>
          <w:bCs/>
          <w:lang w:val="en-US" w:eastAsia="es-ES"/>
        </w:rPr>
        <w:t>Latorre</w:t>
      </w:r>
      <w:proofErr w:type="spellEnd"/>
      <w:r w:rsidRPr="00AB6F2B">
        <w:rPr>
          <w:bCs/>
          <w:lang w:val="en-US" w:eastAsia="es-ES"/>
        </w:rPr>
        <w:t xml:space="preserve"> JG, </w:t>
      </w:r>
      <w:proofErr w:type="spellStart"/>
      <w:r w:rsidRPr="00AB6F2B">
        <w:rPr>
          <w:bCs/>
          <w:lang w:val="en-US" w:eastAsia="es-ES"/>
        </w:rPr>
        <w:t>Beutler</w:t>
      </w:r>
      <w:proofErr w:type="spellEnd"/>
      <w:r w:rsidRPr="00AB6F2B">
        <w:rPr>
          <w:bCs/>
          <w:lang w:val="en-US" w:eastAsia="es-ES"/>
        </w:rPr>
        <w:t xml:space="preserve"> T, </w:t>
      </w:r>
      <w:proofErr w:type="spellStart"/>
      <w:r w:rsidRPr="00AB6F2B">
        <w:rPr>
          <w:bCs/>
          <w:lang w:val="en-US" w:eastAsia="es-ES"/>
        </w:rPr>
        <w:t>Bodman</w:t>
      </w:r>
      <w:proofErr w:type="spellEnd"/>
      <w:r w:rsidRPr="00AB6F2B">
        <w:rPr>
          <w:bCs/>
          <w:lang w:val="en-US" w:eastAsia="es-ES"/>
        </w:rPr>
        <w:t xml:space="preserve"> A, Krishnamurthy S. Scoping review and commentary on prognostication for patients with intracerebral hemorrhage with advances in surgical techniques. </w:t>
      </w:r>
      <w:proofErr w:type="spellStart"/>
      <w:r w:rsidRPr="00AB6F2B">
        <w:rPr>
          <w:bCs/>
          <w:lang w:val="en-US" w:eastAsia="es-ES"/>
        </w:rPr>
        <w:t>Neurocrit</w:t>
      </w:r>
      <w:proofErr w:type="spellEnd"/>
      <w:r w:rsidRPr="00AB6F2B">
        <w:rPr>
          <w:bCs/>
          <w:lang w:val="en-US" w:eastAsia="es-ES"/>
        </w:rPr>
        <w:t xml:space="preserve"> Care.</w:t>
      </w:r>
      <w:r w:rsidRPr="00AB6F2B">
        <w:rPr>
          <w:bCs/>
          <w:color w:val="000000"/>
          <w:lang w:val="en-US" w:eastAsia="es-ES"/>
        </w:rPr>
        <w:t xml:space="preserve"> 2020; 33(1):256-72. DOI: </w:t>
      </w:r>
      <w:r w:rsidRPr="00AB6F2B">
        <w:rPr>
          <w:bCs/>
          <w:lang w:val="en-US" w:eastAsia="es-ES"/>
        </w:rPr>
        <w:t>10.1007/</w:t>
      </w:r>
      <w:proofErr w:type="spellStart"/>
      <w:r w:rsidRPr="00AB6F2B">
        <w:rPr>
          <w:bCs/>
          <w:lang w:val="en-US" w:eastAsia="es-ES"/>
        </w:rPr>
        <w:t>s12028</w:t>
      </w:r>
      <w:proofErr w:type="spellEnd"/>
      <w:r w:rsidRPr="00AB6F2B">
        <w:rPr>
          <w:bCs/>
          <w:lang w:val="en-US" w:eastAsia="es-ES"/>
        </w:rPr>
        <w:t>-020-00962-y</w:t>
      </w:r>
    </w:p>
    <w:p w14:paraId="517128A0" w14:textId="77777777" w:rsidR="00AB6F2B" w:rsidRPr="00AB6F2B" w:rsidRDefault="00AB6F2B" w:rsidP="00AB6F2B">
      <w:pPr>
        <w:autoSpaceDE w:val="0"/>
        <w:autoSpaceDN w:val="0"/>
        <w:adjustRightInd w:val="0"/>
        <w:spacing w:line="360" w:lineRule="auto"/>
        <w:rPr>
          <w:lang w:val="en-US" w:eastAsia="es-ES"/>
        </w:rPr>
      </w:pPr>
      <w:r w:rsidRPr="00AB6F2B">
        <w:rPr>
          <w:rFonts w:eastAsia="Calibri"/>
          <w:lang w:val="en-US" w:eastAsia="en-US"/>
        </w:rPr>
        <w:t xml:space="preserve">21. </w:t>
      </w:r>
      <w:hyperlink r:id="rId23" w:history="1">
        <w:proofErr w:type="spellStart"/>
        <w:r w:rsidRPr="00AB6F2B">
          <w:rPr>
            <w:lang w:val="en-US" w:eastAsia="es-ES"/>
          </w:rPr>
          <w:t>Fahlström</w:t>
        </w:r>
        <w:proofErr w:type="spellEnd"/>
      </w:hyperlink>
      <w:r w:rsidRPr="00AB6F2B">
        <w:rPr>
          <w:rFonts w:eastAsia="Calibri"/>
          <w:lang w:val="en-US" w:eastAsia="en-US"/>
        </w:rPr>
        <w:t xml:space="preserve"> A</w:t>
      </w:r>
      <w:r w:rsidRPr="00AB6F2B">
        <w:rPr>
          <w:lang w:val="en-US" w:eastAsia="es-ES"/>
        </w:rPr>
        <w:t>, </w:t>
      </w:r>
      <w:proofErr w:type="spellStart"/>
      <w:r w:rsidRPr="00AB6F2B">
        <w:rPr>
          <w:rFonts w:eastAsia="Calibri"/>
          <w:lang w:val="es-ES" w:eastAsia="en-US"/>
        </w:rPr>
        <w:fldChar w:fldCharType="begin"/>
      </w:r>
      <w:r w:rsidRPr="00AB6F2B">
        <w:rPr>
          <w:rFonts w:eastAsia="Calibri"/>
          <w:lang w:val="en-US" w:eastAsia="en-US"/>
        </w:rPr>
        <w:instrText xml:space="preserve"> HYPERLINK "https://pubmed.ncbi.nlm.nih.gov/?term=Nittby+Redebrandt+H&amp;cauthor_id=31443074" </w:instrText>
      </w:r>
      <w:r w:rsidRPr="00AB6F2B">
        <w:rPr>
          <w:rFonts w:eastAsia="Calibri"/>
          <w:lang w:val="es-ES" w:eastAsia="en-US"/>
        </w:rPr>
        <w:fldChar w:fldCharType="separate"/>
      </w:r>
      <w:r w:rsidRPr="00AB6F2B">
        <w:rPr>
          <w:lang w:val="en-US" w:eastAsia="es-ES"/>
        </w:rPr>
        <w:t>Nittby</w:t>
      </w:r>
      <w:proofErr w:type="spellEnd"/>
      <w:r w:rsidRPr="00AB6F2B">
        <w:rPr>
          <w:lang w:val="en-US" w:eastAsia="es-ES"/>
        </w:rPr>
        <w:t xml:space="preserve"> H</w:t>
      </w:r>
      <w:r w:rsidRPr="00AB6F2B">
        <w:rPr>
          <w:lang w:val="en-US" w:eastAsia="es-ES"/>
        </w:rPr>
        <w:fldChar w:fldCharType="end"/>
      </w:r>
      <w:r w:rsidRPr="00AB6F2B">
        <w:rPr>
          <w:lang w:val="en-US" w:eastAsia="es-ES"/>
        </w:rPr>
        <w:t>, </w:t>
      </w:r>
      <w:proofErr w:type="spellStart"/>
      <w:r w:rsidRPr="00AB6F2B">
        <w:rPr>
          <w:rFonts w:eastAsia="Calibri"/>
          <w:lang w:val="es-ES" w:eastAsia="en-US"/>
        </w:rPr>
        <w:fldChar w:fldCharType="begin"/>
      </w:r>
      <w:r w:rsidRPr="00AB6F2B">
        <w:rPr>
          <w:rFonts w:eastAsia="Calibri"/>
          <w:lang w:val="en-US" w:eastAsia="en-US"/>
        </w:rPr>
        <w:instrText xml:space="preserve"> HYPERLINK "https://pubmed.ncbi.nlm.nih.gov/?term=Zeberg+H&amp;cauthor_id=31443074" </w:instrText>
      </w:r>
      <w:r w:rsidRPr="00AB6F2B">
        <w:rPr>
          <w:rFonts w:eastAsia="Calibri"/>
          <w:lang w:val="es-ES" w:eastAsia="en-US"/>
        </w:rPr>
        <w:fldChar w:fldCharType="separate"/>
      </w:r>
      <w:r w:rsidRPr="00AB6F2B">
        <w:rPr>
          <w:lang w:val="en-US" w:eastAsia="es-ES"/>
        </w:rPr>
        <w:t>Zeberg</w:t>
      </w:r>
      <w:proofErr w:type="spellEnd"/>
      <w:r w:rsidRPr="00AB6F2B">
        <w:rPr>
          <w:lang w:val="en-US" w:eastAsia="es-ES"/>
        </w:rPr>
        <w:fldChar w:fldCharType="end"/>
      </w:r>
      <w:r w:rsidRPr="00AB6F2B">
        <w:rPr>
          <w:rFonts w:eastAsia="Calibri"/>
          <w:lang w:val="en-US" w:eastAsia="en-US"/>
        </w:rPr>
        <w:t xml:space="preserve"> H</w:t>
      </w:r>
      <w:r w:rsidRPr="00AB6F2B">
        <w:rPr>
          <w:lang w:val="en-US" w:eastAsia="es-ES"/>
        </w:rPr>
        <w:t>, </w:t>
      </w:r>
      <w:hyperlink r:id="rId24" w:history="1">
        <w:r w:rsidRPr="00AB6F2B">
          <w:rPr>
            <w:lang w:val="en-US" w:eastAsia="es-ES"/>
          </w:rPr>
          <w:t>Bartek J Jr</w:t>
        </w:r>
      </w:hyperlink>
      <w:r w:rsidRPr="00AB6F2B">
        <w:rPr>
          <w:lang w:val="en-US" w:eastAsia="es-ES"/>
        </w:rPr>
        <w:t>, </w:t>
      </w:r>
      <w:hyperlink r:id="rId25" w:history="1">
        <w:r w:rsidRPr="00AB6F2B">
          <w:rPr>
            <w:lang w:val="en-US" w:eastAsia="es-ES"/>
          </w:rPr>
          <w:t>Bartley</w:t>
        </w:r>
      </w:hyperlink>
      <w:r w:rsidRPr="00AB6F2B">
        <w:rPr>
          <w:rFonts w:eastAsia="Calibri"/>
          <w:lang w:val="en-US" w:eastAsia="en-US"/>
        </w:rPr>
        <w:t xml:space="preserve"> A</w:t>
      </w:r>
      <w:r w:rsidRPr="00AB6F2B">
        <w:rPr>
          <w:lang w:val="en-US" w:eastAsia="es-ES"/>
        </w:rPr>
        <w:t>, </w:t>
      </w:r>
      <w:proofErr w:type="spellStart"/>
      <w:r w:rsidRPr="00AB6F2B">
        <w:rPr>
          <w:rFonts w:eastAsia="Calibri"/>
          <w:lang w:val="es-ES" w:eastAsia="en-US"/>
        </w:rPr>
        <w:fldChar w:fldCharType="begin"/>
      </w:r>
      <w:r w:rsidRPr="00AB6F2B">
        <w:rPr>
          <w:rFonts w:eastAsia="Calibri"/>
          <w:lang w:val="en-US" w:eastAsia="en-US"/>
        </w:rPr>
        <w:instrText xml:space="preserve"> HYPERLINK "https://pubmed.ncbi.nlm.nih.gov/?term=Tobieson+L&amp;cauthor_id=31443074" </w:instrText>
      </w:r>
      <w:r w:rsidRPr="00AB6F2B">
        <w:rPr>
          <w:rFonts w:eastAsia="Calibri"/>
          <w:lang w:val="es-ES" w:eastAsia="en-US"/>
        </w:rPr>
        <w:fldChar w:fldCharType="separate"/>
      </w:r>
      <w:r w:rsidRPr="00AB6F2B">
        <w:rPr>
          <w:lang w:val="en-US" w:eastAsia="es-ES"/>
        </w:rPr>
        <w:t>Tobieson</w:t>
      </w:r>
      <w:proofErr w:type="spellEnd"/>
      <w:r w:rsidRPr="00AB6F2B">
        <w:rPr>
          <w:lang w:val="en-US" w:eastAsia="es-ES"/>
        </w:rPr>
        <w:fldChar w:fldCharType="end"/>
      </w:r>
      <w:r w:rsidRPr="00AB6F2B">
        <w:rPr>
          <w:lang w:val="en-US" w:eastAsia="es-ES"/>
        </w:rPr>
        <w:t xml:space="preserve"> L, et al. </w:t>
      </w:r>
      <w:r w:rsidRPr="00AB6F2B">
        <w:rPr>
          <w:bCs/>
          <w:kern w:val="36"/>
          <w:lang w:val="en-US" w:eastAsia="es-ES"/>
        </w:rPr>
        <w:t xml:space="preserve">A grading scale for surgically treated patients with spontaneous supratentorial intracerebral hemorrhage: the Surgical Swedish ICH Score. </w:t>
      </w:r>
      <w:r w:rsidRPr="00AB6F2B">
        <w:rPr>
          <w:lang w:val="en-US" w:eastAsia="es-ES"/>
        </w:rPr>
        <w:t xml:space="preserve">J </w:t>
      </w:r>
      <w:proofErr w:type="spellStart"/>
      <w:r w:rsidRPr="00AB6F2B">
        <w:rPr>
          <w:lang w:val="en-US" w:eastAsia="es-ES"/>
        </w:rPr>
        <w:t>Neurosurg</w:t>
      </w:r>
      <w:proofErr w:type="spellEnd"/>
      <w:r w:rsidRPr="00AB6F2B">
        <w:rPr>
          <w:lang w:val="en-US" w:eastAsia="es-ES"/>
        </w:rPr>
        <w:t xml:space="preserve">. </w:t>
      </w:r>
      <w:r w:rsidRPr="00AB6F2B">
        <w:rPr>
          <w:rFonts w:eastAsia="Calibri"/>
          <w:color w:val="000000"/>
          <w:lang w:val="en-US" w:eastAsia="en-US"/>
        </w:rPr>
        <w:t xml:space="preserve">2019;1-8. DOI: </w:t>
      </w:r>
      <w:r w:rsidRPr="00AB6F2B">
        <w:rPr>
          <w:rFonts w:eastAsia="Calibri"/>
          <w:lang w:val="en-US" w:eastAsia="en-US"/>
        </w:rPr>
        <w:t>10.3171/</w:t>
      </w:r>
      <w:proofErr w:type="spellStart"/>
      <w:r w:rsidRPr="00AB6F2B">
        <w:rPr>
          <w:rFonts w:eastAsia="Calibri"/>
          <w:lang w:val="en-US" w:eastAsia="en-US"/>
        </w:rPr>
        <w:t>2019.</w:t>
      </w:r>
      <w:proofErr w:type="gramStart"/>
      <w:r w:rsidRPr="00AB6F2B">
        <w:rPr>
          <w:rFonts w:eastAsia="Calibri"/>
          <w:lang w:val="en-US" w:eastAsia="en-US"/>
        </w:rPr>
        <w:t>5.JNS</w:t>
      </w:r>
      <w:proofErr w:type="gramEnd"/>
      <w:r w:rsidRPr="00AB6F2B">
        <w:rPr>
          <w:rFonts w:eastAsia="Calibri"/>
          <w:lang w:val="en-US" w:eastAsia="en-US"/>
        </w:rPr>
        <w:t>19622</w:t>
      </w:r>
      <w:proofErr w:type="spellEnd"/>
    </w:p>
    <w:p w14:paraId="7D306387" w14:textId="77777777" w:rsidR="00AB6F2B" w:rsidRPr="00AB6F2B" w:rsidRDefault="00AB6F2B" w:rsidP="00AB6F2B">
      <w:pPr>
        <w:spacing w:line="360" w:lineRule="auto"/>
        <w:rPr>
          <w:rFonts w:eastAsia="Calibri"/>
          <w:color w:val="000000"/>
          <w:lang w:val="en-US" w:eastAsia="en-US"/>
        </w:rPr>
      </w:pPr>
      <w:r w:rsidRPr="00AB6F2B">
        <w:rPr>
          <w:rFonts w:eastAsia="Calibri"/>
          <w:color w:val="000000"/>
          <w:lang w:val="en-US" w:eastAsia="en-US"/>
        </w:rPr>
        <w:t xml:space="preserve">22. </w:t>
      </w:r>
      <w:proofErr w:type="spellStart"/>
      <w:r w:rsidRPr="00AB6F2B">
        <w:rPr>
          <w:rFonts w:eastAsia="Calibri"/>
          <w:color w:val="000000"/>
          <w:lang w:val="en-US" w:eastAsia="en-US"/>
        </w:rPr>
        <w:t>Haga</w:t>
      </w:r>
      <w:proofErr w:type="spellEnd"/>
      <w:r w:rsidRPr="00AB6F2B">
        <w:rPr>
          <w:rFonts w:eastAsia="Calibri"/>
          <w:color w:val="000000"/>
          <w:lang w:val="en-US" w:eastAsia="en-US"/>
        </w:rPr>
        <w:t xml:space="preserve"> JA, Poulsen FR, </w:t>
      </w:r>
      <w:proofErr w:type="spellStart"/>
      <w:r w:rsidRPr="00AB6F2B">
        <w:rPr>
          <w:rFonts w:eastAsia="Calibri"/>
          <w:color w:val="000000"/>
          <w:lang w:val="en-US" w:eastAsia="en-US"/>
        </w:rPr>
        <w:t>Forsse</w:t>
      </w:r>
      <w:proofErr w:type="spellEnd"/>
      <w:r w:rsidRPr="00AB6F2B">
        <w:rPr>
          <w:rFonts w:eastAsia="Calibri"/>
          <w:color w:val="000000"/>
          <w:lang w:val="en-US" w:eastAsia="en-US"/>
        </w:rPr>
        <w:t xml:space="preserve"> A. Validation of the newly conceived Surgical Swedish ICH grading scale for surgically treated patients with intracerebral hemorrhage: patient series. J </w:t>
      </w:r>
      <w:proofErr w:type="spellStart"/>
      <w:r w:rsidRPr="00AB6F2B">
        <w:rPr>
          <w:rFonts w:eastAsia="Calibri"/>
          <w:color w:val="000000"/>
          <w:lang w:val="en-US" w:eastAsia="en-US"/>
        </w:rPr>
        <w:t>Neurosurg</w:t>
      </w:r>
      <w:proofErr w:type="spellEnd"/>
      <w:r w:rsidRPr="00AB6F2B">
        <w:rPr>
          <w:rFonts w:eastAsia="Calibri"/>
          <w:color w:val="000000"/>
          <w:lang w:val="en-US" w:eastAsia="en-US"/>
        </w:rPr>
        <w:t xml:space="preserve"> Case Lessons. 2021; 1(1</w:t>
      </w:r>
      <w:proofErr w:type="gramStart"/>
      <w:r w:rsidRPr="00AB6F2B">
        <w:rPr>
          <w:rFonts w:eastAsia="Calibri"/>
          <w:color w:val="000000"/>
          <w:lang w:val="en-US" w:eastAsia="en-US"/>
        </w:rPr>
        <w:t>):</w:t>
      </w:r>
      <w:proofErr w:type="spellStart"/>
      <w:r w:rsidRPr="00AB6F2B">
        <w:rPr>
          <w:rFonts w:eastAsia="Calibri"/>
          <w:color w:val="000000"/>
          <w:lang w:val="en-US" w:eastAsia="en-US"/>
        </w:rPr>
        <w:t>CASE</w:t>
      </w:r>
      <w:proofErr w:type="gramEnd"/>
      <w:r w:rsidRPr="00AB6F2B">
        <w:rPr>
          <w:rFonts w:eastAsia="Calibri"/>
          <w:color w:val="000000"/>
          <w:lang w:val="en-US" w:eastAsia="en-US"/>
        </w:rPr>
        <w:t>2044</w:t>
      </w:r>
      <w:proofErr w:type="spellEnd"/>
      <w:r w:rsidRPr="00AB6F2B">
        <w:rPr>
          <w:rFonts w:eastAsia="Calibri"/>
          <w:color w:val="000000"/>
          <w:lang w:val="en-US" w:eastAsia="en-US"/>
        </w:rPr>
        <w:t xml:space="preserve">-9. DOI: </w:t>
      </w:r>
      <w:r w:rsidRPr="00AB6F2B">
        <w:rPr>
          <w:rFonts w:eastAsia="Calibri"/>
          <w:lang w:val="en-US" w:eastAsia="en-US"/>
        </w:rPr>
        <w:t>10.3171/</w:t>
      </w:r>
      <w:proofErr w:type="spellStart"/>
      <w:r w:rsidRPr="00AB6F2B">
        <w:rPr>
          <w:rFonts w:eastAsia="Calibri"/>
          <w:lang w:val="en-US" w:eastAsia="en-US"/>
        </w:rPr>
        <w:t>CASE2044</w:t>
      </w:r>
      <w:proofErr w:type="spellEnd"/>
    </w:p>
    <w:p w14:paraId="44673757" w14:textId="77777777" w:rsidR="00AB6F2B" w:rsidRPr="00AB6F2B" w:rsidRDefault="00AB6F2B" w:rsidP="00AB6F2B">
      <w:pPr>
        <w:spacing w:line="360" w:lineRule="auto"/>
        <w:rPr>
          <w:rFonts w:eastAsia="Calibri"/>
          <w:color w:val="000000"/>
          <w:lang w:val="es-ES" w:eastAsia="en-US"/>
        </w:rPr>
      </w:pPr>
      <w:r w:rsidRPr="00AB6F2B">
        <w:rPr>
          <w:rFonts w:eastAsia="Calibri"/>
          <w:lang w:val="en-US" w:eastAsia="en-US"/>
        </w:rPr>
        <w:t xml:space="preserve">23. Hong S, Maruyama K, Noguchi A, Hirano T, </w:t>
      </w:r>
      <w:proofErr w:type="spellStart"/>
      <w:r w:rsidRPr="00AB6F2B">
        <w:rPr>
          <w:rFonts w:eastAsia="Calibri"/>
          <w:lang w:val="en-US" w:eastAsia="en-US"/>
        </w:rPr>
        <w:t>Nagane</w:t>
      </w:r>
      <w:proofErr w:type="spellEnd"/>
      <w:r w:rsidRPr="00AB6F2B">
        <w:rPr>
          <w:rFonts w:eastAsia="Calibri"/>
          <w:lang w:val="en-US" w:eastAsia="en-US"/>
        </w:rPr>
        <w:t xml:space="preserve"> M, </w:t>
      </w:r>
      <w:proofErr w:type="spellStart"/>
      <w:r w:rsidRPr="00AB6F2B">
        <w:rPr>
          <w:rFonts w:eastAsia="Calibri"/>
          <w:lang w:val="en-US" w:eastAsia="en-US"/>
        </w:rPr>
        <w:t>Shiokawa</w:t>
      </w:r>
      <w:proofErr w:type="spellEnd"/>
      <w:r w:rsidRPr="00AB6F2B">
        <w:rPr>
          <w:rFonts w:eastAsia="Calibri"/>
          <w:lang w:val="en-US" w:eastAsia="en-US"/>
        </w:rPr>
        <w:t xml:space="preserve"> Y. Is using intracerebral hemorrhage scoring systems valid for mortality prediction in surgically treated patients? </w:t>
      </w:r>
      <w:proofErr w:type="spellStart"/>
      <w:r w:rsidRPr="00AB6F2B">
        <w:rPr>
          <w:rFonts w:eastAsia="Calibri"/>
          <w:lang w:val="es-ES" w:eastAsia="en-US"/>
        </w:rPr>
        <w:t>Neurosurg</w:t>
      </w:r>
      <w:proofErr w:type="spellEnd"/>
      <w:r w:rsidRPr="00AB6F2B">
        <w:rPr>
          <w:rFonts w:eastAsia="Calibri"/>
          <w:lang w:val="es-ES" w:eastAsia="en-US"/>
        </w:rPr>
        <w:t xml:space="preserve"> Rev. </w:t>
      </w:r>
      <w:r w:rsidRPr="00AB6F2B">
        <w:rPr>
          <w:rFonts w:eastAsia="Calibri"/>
          <w:color w:val="000000"/>
          <w:lang w:val="es-ES" w:eastAsia="en-US"/>
        </w:rPr>
        <w:t xml:space="preserve">2021; 44(5):2747-53. </w:t>
      </w:r>
      <w:proofErr w:type="spellStart"/>
      <w:r w:rsidRPr="00AB6F2B">
        <w:rPr>
          <w:rFonts w:eastAsia="Calibri"/>
          <w:color w:val="000000"/>
          <w:lang w:val="es-ES" w:eastAsia="en-US"/>
        </w:rPr>
        <w:t>DOI</w:t>
      </w:r>
      <w:proofErr w:type="spellEnd"/>
      <w:r w:rsidRPr="00AB6F2B">
        <w:rPr>
          <w:rFonts w:eastAsia="Calibri"/>
          <w:color w:val="000000"/>
          <w:lang w:val="es-ES" w:eastAsia="en-US"/>
        </w:rPr>
        <w:t xml:space="preserve">: </w:t>
      </w:r>
      <w:r w:rsidRPr="00AB6F2B">
        <w:rPr>
          <w:rFonts w:eastAsia="Calibri"/>
          <w:lang w:val="es-ES" w:eastAsia="en-US"/>
        </w:rPr>
        <w:t>10.1007/</w:t>
      </w:r>
      <w:proofErr w:type="spellStart"/>
      <w:r w:rsidRPr="00AB6F2B">
        <w:rPr>
          <w:rFonts w:eastAsia="Calibri"/>
          <w:lang w:val="es-ES" w:eastAsia="en-US"/>
        </w:rPr>
        <w:t>s10143</w:t>
      </w:r>
      <w:proofErr w:type="spellEnd"/>
      <w:r w:rsidRPr="00AB6F2B">
        <w:rPr>
          <w:rFonts w:eastAsia="Calibri"/>
          <w:lang w:val="es-ES" w:eastAsia="en-US"/>
        </w:rPr>
        <w:t>-020-01451-8</w:t>
      </w:r>
    </w:p>
    <w:p w14:paraId="46C2E3D7" w14:textId="77777777" w:rsidR="00AB6F2B" w:rsidRPr="00AB6F2B" w:rsidRDefault="00AB6F2B" w:rsidP="00AB6F2B">
      <w:pPr>
        <w:spacing w:line="360" w:lineRule="auto"/>
        <w:rPr>
          <w:rFonts w:eastAsia="Calibri"/>
          <w:lang w:val="es-ES" w:eastAsia="en-US"/>
        </w:rPr>
      </w:pPr>
    </w:p>
    <w:p w14:paraId="3DAB83C6" w14:textId="77777777" w:rsidR="00AB6F2B" w:rsidRPr="00AB6F2B" w:rsidRDefault="00AB6F2B" w:rsidP="00AB6F2B">
      <w:pPr>
        <w:spacing w:line="360" w:lineRule="auto"/>
        <w:jc w:val="both"/>
        <w:rPr>
          <w:rFonts w:eastAsia="Calibri"/>
          <w:b/>
          <w:color w:val="000000"/>
          <w:lang w:val="es-ES" w:eastAsia="en-US"/>
        </w:rPr>
      </w:pPr>
    </w:p>
    <w:p w14:paraId="77EB2682" w14:textId="77777777" w:rsidR="00AB6F2B" w:rsidRPr="00AB6F2B" w:rsidRDefault="00AB6F2B" w:rsidP="00AB6F2B">
      <w:pPr>
        <w:spacing w:line="360" w:lineRule="auto"/>
        <w:jc w:val="center"/>
        <w:rPr>
          <w:rFonts w:eastAsia="Calibri"/>
          <w:b/>
          <w:color w:val="000000"/>
          <w:lang w:val="es-ES" w:eastAsia="en-US"/>
        </w:rPr>
      </w:pPr>
      <w:r w:rsidRPr="00AB6F2B">
        <w:rPr>
          <w:rFonts w:eastAsia="Calibri"/>
          <w:b/>
          <w:color w:val="000000"/>
          <w:lang w:val="es-ES" w:eastAsia="en-US"/>
        </w:rPr>
        <w:t>Conflictos de interés</w:t>
      </w:r>
    </w:p>
    <w:p w14:paraId="1331326E" w14:textId="77777777" w:rsidR="00AB6F2B" w:rsidRPr="00AB6F2B" w:rsidRDefault="00AB6F2B" w:rsidP="00AB6F2B">
      <w:pPr>
        <w:spacing w:line="360" w:lineRule="auto"/>
        <w:jc w:val="both"/>
        <w:rPr>
          <w:rFonts w:eastAsia="Calibri"/>
          <w:color w:val="000000"/>
          <w:lang w:val="es-ES" w:eastAsia="en-US"/>
        </w:rPr>
      </w:pPr>
      <w:r w:rsidRPr="00AB6F2B">
        <w:rPr>
          <w:rFonts w:eastAsia="Calibri"/>
          <w:color w:val="000000"/>
          <w:lang w:val="es-ES" w:eastAsia="en-US"/>
        </w:rPr>
        <w:t>Los autores declaran que no existen conflictos de interés.</w:t>
      </w:r>
    </w:p>
    <w:p w14:paraId="61685A56" w14:textId="77777777" w:rsidR="00AB6F2B" w:rsidRPr="00AB6F2B" w:rsidRDefault="00AB6F2B" w:rsidP="00AB6F2B">
      <w:pPr>
        <w:spacing w:line="360" w:lineRule="auto"/>
        <w:rPr>
          <w:rFonts w:eastAsia="Calibri"/>
          <w:b/>
          <w:lang w:val="es-ES" w:eastAsia="en-US"/>
        </w:rPr>
      </w:pPr>
    </w:p>
    <w:p w14:paraId="7B5E6DCE" w14:textId="77777777" w:rsidR="00AB6F2B" w:rsidRPr="00AB6F2B" w:rsidRDefault="00AB6F2B" w:rsidP="00AB6F2B">
      <w:pPr>
        <w:spacing w:line="360" w:lineRule="auto"/>
        <w:jc w:val="center"/>
        <w:rPr>
          <w:rFonts w:eastAsia="Calibri"/>
          <w:b/>
          <w:lang w:val="es-ES" w:eastAsia="en-US"/>
        </w:rPr>
      </w:pPr>
      <w:r w:rsidRPr="00AB6F2B">
        <w:rPr>
          <w:rFonts w:eastAsia="Calibri"/>
          <w:b/>
          <w:lang w:val="es-ES" w:eastAsia="en-US"/>
        </w:rPr>
        <w:t>Contribuciones de los autores</w:t>
      </w:r>
    </w:p>
    <w:p w14:paraId="70A76C7F"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 xml:space="preserve">Conceptualización: </w:t>
      </w:r>
      <w:r w:rsidRPr="00AB6F2B">
        <w:rPr>
          <w:rFonts w:eastAsia="Calibri"/>
          <w:i/>
          <w:iCs/>
          <w:lang w:val="es-ES" w:eastAsia="en-US"/>
        </w:rPr>
        <w:t xml:space="preserve">Margarita Elena Sánchez Padín. </w:t>
      </w:r>
    </w:p>
    <w:p w14:paraId="61FA3D4B"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 xml:space="preserve">Curación de datos: </w:t>
      </w:r>
      <w:r w:rsidRPr="00AB6F2B">
        <w:rPr>
          <w:rFonts w:eastAsia="Calibri"/>
          <w:i/>
          <w:iCs/>
          <w:lang w:val="es-ES" w:eastAsia="en-US"/>
        </w:rPr>
        <w:t xml:space="preserve">Margarita Elena Sánchez Padín, </w:t>
      </w:r>
      <w:proofErr w:type="spellStart"/>
      <w:r w:rsidRPr="00AB6F2B">
        <w:rPr>
          <w:rFonts w:eastAsia="Calibri"/>
          <w:i/>
          <w:iCs/>
          <w:lang w:val="es-ES" w:eastAsia="en-US"/>
        </w:rPr>
        <w:t>Jhonaiky</w:t>
      </w:r>
      <w:proofErr w:type="spellEnd"/>
      <w:r w:rsidRPr="00AB6F2B">
        <w:rPr>
          <w:rFonts w:eastAsia="Calibri"/>
          <w:i/>
          <w:iCs/>
          <w:lang w:val="es-ES" w:eastAsia="en-US"/>
        </w:rPr>
        <w:t xml:space="preserve"> </w:t>
      </w:r>
      <w:proofErr w:type="spellStart"/>
      <w:r w:rsidRPr="00AB6F2B">
        <w:rPr>
          <w:rFonts w:eastAsia="Calibri"/>
          <w:i/>
          <w:iCs/>
          <w:lang w:val="es-ES" w:eastAsia="en-US"/>
        </w:rPr>
        <w:t>Armanda</w:t>
      </w:r>
      <w:proofErr w:type="spellEnd"/>
      <w:r w:rsidRPr="00AB6F2B">
        <w:rPr>
          <w:rFonts w:eastAsia="Calibri"/>
          <w:i/>
          <w:iCs/>
          <w:lang w:val="es-ES" w:eastAsia="en-US"/>
        </w:rPr>
        <w:t xml:space="preserve"> Peguero </w:t>
      </w:r>
      <w:proofErr w:type="spellStart"/>
      <w:r w:rsidRPr="00AB6F2B">
        <w:rPr>
          <w:rFonts w:eastAsia="Calibri"/>
          <w:i/>
          <w:iCs/>
          <w:lang w:val="es-ES" w:eastAsia="en-US"/>
        </w:rPr>
        <w:t>Garó</w:t>
      </w:r>
      <w:proofErr w:type="spellEnd"/>
      <w:r w:rsidRPr="00AB6F2B">
        <w:rPr>
          <w:rFonts w:eastAsia="Calibri"/>
          <w:i/>
          <w:iCs/>
          <w:lang w:val="es-ES" w:eastAsia="en-US"/>
        </w:rPr>
        <w:t>.</w:t>
      </w:r>
    </w:p>
    <w:p w14:paraId="580E5B82" w14:textId="77777777" w:rsidR="00AB6F2B" w:rsidRPr="00AB6F2B" w:rsidRDefault="00AB6F2B" w:rsidP="00AB6F2B">
      <w:pPr>
        <w:spacing w:line="360" w:lineRule="auto"/>
        <w:jc w:val="both"/>
        <w:rPr>
          <w:rFonts w:eastAsia="Calibri"/>
          <w:i/>
          <w:iCs/>
          <w:lang w:val="es-ES" w:eastAsia="en-US"/>
        </w:rPr>
      </w:pPr>
      <w:r w:rsidRPr="00AB6F2B">
        <w:rPr>
          <w:rFonts w:eastAsia="Calibri"/>
          <w:lang w:val="es-ES" w:eastAsia="en-US"/>
        </w:rPr>
        <w:t xml:space="preserve">Análisis formal: </w:t>
      </w:r>
      <w:r w:rsidRPr="00AB6F2B">
        <w:rPr>
          <w:rFonts w:eastAsia="Calibri"/>
          <w:i/>
          <w:iCs/>
          <w:lang w:val="es-ES" w:eastAsia="en-US"/>
        </w:rPr>
        <w:t xml:space="preserve">Margarita Elena Sánchez Padín, Carmen Elena Viada González. </w:t>
      </w:r>
    </w:p>
    <w:p w14:paraId="39D96E55"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 xml:space="preserve">Investigación: </w:t>
      </w:r>
      <w:r w:rsidRPr="00AB6F2B">
        <w:rPr>
          <w:rFonts w:eastAsia="Calibri"/>
          <w:i/>
          <w:iCs/>
          <w:lang w:val="es-ES" w:eastAsia="en-US"/>
        </w:rPr>
        <w:t xml:space="preserve">Margarita Elena Sánchez Padín, </w:t>
      </w:r>
      <w:proofErr w:type="spellStart"/>
      <w:r w:rsidRPr="00AB6F2B">
        <w:rPr>
          <w:rFonts w:eastAsia="Calibri"/>
          <w:i/>
          <w:iCs/>
          <w:lang w:val="es-ES" w:eastAsia="en-US"/>
        </w:rPr>
        <w:t>Jhonaiky</w:t>
      </w:r>
      <w:proofErr w:type="spellEnd"/>
      <w:r w:rsidRPr="00AB6F2B">
        <w:rPr>
          <w:rFonts w:eastAsia="Calibri"/>
          <w:i/>
          <w:iCs/>
          <w:lang w:val="es-ES" w:eastAsia="en-US"/>
        </w:rPr>
        <w:t xml:space="preserve"> </w:t>
      </w:r>
      <w:proofErr w:type="spellStart"/>
      <w:r w:rsidRPr="00AB6F2B">
        <w:rPr>
          <w:rFonts w:eastAsia="Calibri"/>
          <w:i/>
          <w:iCs/>
          <w:lang w:val="es-ES" w:eastAsia="en-US"/>
        </w:rPr>
        <w:t>Armanda</w:t>
      </w:r>
      <w:proofErr w:type="spellEnd"/>
      <w:r w:rsidRPr="00AB6F2B">
        <w:rPr>
          <w:rFonts w:eastAsia="Calibri"/>
          <w:i/>
          <w:iCs/>
          <w:lang w:val="es-ES" w:eastAsia="en-US"/>
        </w:rPr>
        <w:t xml:space="preserve"> Peguero </w:t>
      </w:r>
      <w:proofErr w:type="spellStart"/>
      <w:r w:rsidRPr="00AB6F2B">
        <w:rPr>
          <w:rFonts w:eastAsia="Calibri"/>
          <w:i/>
          <w:iCs/>
          <w:lang w:val="es-ES" w:eastAsia="en-US"/>
        </w:rPr>
        <w:t>Garó</w:t>
      </w:r>
      <w:proofErr w:type="spellEnd"/>
      <w:r w:rsidRPr="00AB6F2B">
        <w:rPr>
          <w:rFonts w:eastAsia="Calibri"/>
          <w:i/>
          <w:iCs/>
          <w:lang w:val="es-ES" w:eastAsia="en-US"/>
        </w:rPr>
        <w:t>.</w:t>
      </w:r>
    </w:p>
    <w:p w14:paraId="656A8021"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 xml:space="preserve">Metodología: </w:t>
      </w:r>
      <w:r w:rsidRPr="00AB6F2B">
        <w:rPr>
          <w:rFonts w:eastAsia="Calibri"/>
          <w:i/>
          <w:iCs/>
          <w:lang w:val="es-ES" w:eastAsia="en-US"/>
        </w:rPr>
        <w:t>Margarita Elena Sánchez Padín, Carmen Elena Viada González.</w:t>
      </w:r>
    </w:p>
    <w:p w14:paraId="41C2563E"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 xml:space="preserve">Administración del proyecto: </w:t>
      </w:r>
      <w:r w:rsidRPr="00AB6F2B">
        <w:rPr>
          <w:rFonts w:eastAsia="Calibri"/>
          <w:i/>
          <w:iCs/>
          <w:lang w:val="es-ES" w:eastAsia="en-US"/>
        </w:rPr>
        <w:t>Margarita Elena Sánchez Padín.</w:t>
      </w:r>
    </w:p>
    <w:p w14:paraId="577363B6"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lastRenderedPageBreak/>
        <w:t xml:space="preserve">Recursos materiales: </w:t>
      </w:r>
      <w:r w:rsidRPr="00AB6F2B">
        <w:rPr>
          <w:rFonts w:eastAsia="Calibri"/>
          <w:i/>
          <w:iCs/>
          <w:lang w:val="es-ES" w:eastAsia="en-US"/>
        </w:rPr>
        <w:t xml:space="preserve">Margarita Elena Sánchez Padín, </w:t>
      </w:r>
      <w:proofErr w:type="spellStart"/>
      <w:r w:rsidRPr="00AB6F2B">
        <w:rPr>
          <w:rFonts w:eastAsia="Calibri"/>
          <w:i/>
          <w:iCs/>
          <w:lang w:val="es-ES" w:eastAsia="en-US"/>
        </w:rPr>
        <w:t>Jhonaiky</w:t>
      </w:r>
      <w:proofErr w:type="spellEnd"/>
      <w:r w:rsidRPr="00AB6F2B">
        <w:rPr>
          <w:rFonts w:eastAsia="Calibri"/>
          <w:i/>
          <w:iCs/>
          <w:lang w:val="es-ES" w:eastAsia="en-US"/>
        </w:rPr>
        <w:t xml:space="preserve"> </w:t>
      </w:r>
      <w:proofErr w:type="spellStart"/>
      <w:r w:rsidRPr="00AB6F2B">
        <w:rPr>
          <w:rFonts w:eastAsia="Calibri"/>
          <w:i/>
          <w:iCs/>
          <w:lang w:val="es-ES" w:eastAsia="en-US"/>
        </w:rPr>
        <w:t>Armanda</w:t>
      </w:r>
      <w:proofErr w:type="spellEnd"/>
      <w:r w:rsidRPr="00AB6F2B">
        <w:rPr>
          <w:rFonts w:eastAsia="Calibri"/>
          <w:i/>
          <w:iCs/>
          <w:lang w:val="es-ES" w:eastAsia="en-US"/>
        </w:rPr>
        <w:t xml:space="preserve"> Peguero </w:t>
      </w:r>
      <w:proofErr w:type="spellStart"/>
      <w:r w:rsidRPr="00AB6F2B">
        <w:rPr>
          <w:rFonts w:eastAsia="Calibri"/>
          <w:i/>
          <w:iCs/>
          <w:lang w:val="es-ES" w:eastAsia="en-US"/>
        </w:rPr>
        <w:t>Garó</w:t>
      </w:r>
      <w:proofErr w:type="spellEnd"/>
      <w:r w:rsidRPr="00AB6F2B">
        <w:rPr>
          <w:rFonts w:eastAsia="Calibri"/>
          <w:i/>
          <w:iCs/>
          <w:lang w:val="es-ES" w:eastAsia="en-US"/>
        </w:rPr>
        <w:t>, Carmen Elena Viada González.</w:t>
      </w:r>
    </w:p>
    <w:p w14:paraId="00C51922"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 xml:space="preserve">Supervisión: </w:t>
      </w:r>
      <w:r w:rsidRPr="00AB6F2B">
        <w:rPr>
          <w:rFonts w:eastAsia="Calibri"/>
          <w:i/>
          <w:iCs/>
          <w:lang w:val="es-ES" w:eastAsia="en-US"/>
        </w:rPr>
        <w:t xml:space="preserve">Margarita Elena Sánchez Padín, </w:t>
      </w:r>
      <w:proofErr w:type="spellStart"/>
      <w:r w:rsidRPr="00AB6F2B">
        <w:rPr>
          <w:rFonts w:eastAsia="Calibri"/>
          <w:i/>
          <w:iCs/>
          <w:lang w:val="es-ES" w:eastAsia="en-US"/>
        </w:rPr>
        <w:t>Maria</w:t>
      </w:r>
      <w:proofErr w:type="spellEnd"/>
      <w:r w:rsidRPr="00AB6F2B">
        <w:rPr>
          <w:rFonts w:eastAsia="Calibri"/>
          <w:i/>
          <w:iCs/>
          <w:lang w:val="es-ES" w:eastAsia="en-US"/>
        </w:rPr>
        <w:t xml:space="preserve"> Teresa Solomon Cardona.</w:t>
      </w:r>
    </w:p>
    <w:p w14:paraId="2461E2ED"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 xml:space="preserve">Validación: </w:t>
      </w:r>
      <w:proofErr w:type="spellStart"/>
      <w:r w:rsidRPr="00AB6F2B">
        <w:rPr>
          <w:rFonts w:eastAsia="Calibri"/>
          <w:i/>
          <w:iCs/>
          <w:lang w:val="es-ES" w:eastAsia="en-US"/>
        </w:rPr>
        <w:t>Maria</w:t>
      </w:r>
      <w:proofErr w:type="spellEnd"/>
      <w:r w:rsidRPr="00AB6F2B">
        <w:rPr>
          <w:rFonts w:eastAsia="Calibri"/>
          <w:i/>
          <w:iCs/>
          <w:lang w:val="es-ES" w:eastAsia="en-US"/>
        </w:rPr>
        <w:t xml:space="preserve"> Teresa Solomon Cardona.</w:t>
      </w:r>
    </w:p>
    <w:p w14:paraId="5A4B7311"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 xml:space="preserve">Visualización: </w:t>
      </w:r>
      <w:r w:rsidRPr="00AB6F2B">
        <w:rPr>
          <w:rFonts w:eastAsia="Calibri"/>
          <w:i/>
          <w:iCs/>
          <w:lang w:val="es-ES" w:eastAsia="en-US"/>
        </w:rPr>
        <w:t>Margarita Elena Sánchez Padín.</w:t>
      </w:r>
    </w:p>
    <w:p w14:paraId="1B8A37C5"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 xml:space="preserve">Redacción – borrador original: </w:t>
      </w:r>
      <w:r w:rsidRPr="00AB6F2B">
        <w:rPr>
          <w:rFonts w:eastAsia="Calibri"/>
          <w:i/>
          <w:iCs/>
          <w:lang w:val="es-ES" w:eastAsia="en-US"/>
        </w:rPr>
        <w:t xml:space="preserve">Margarita Elena Sánchez Padín, </w:t>
      </w:r>
      <w:proofErr w:type="spellStart"/>
      <w:r w:rsidRPr="00AB6F2B">
        <w:rPr>
          <w:rFonts w:eastAsia="Calibri"/>
          <w:i/>
          <w:iCs/>
          <w:lang w:val="es-ES" w:eastAsia="en-US"/>
        </w:rPr>
        <w:t>Jhonaiky</w:t>
      </w:r>
      <w:proofErr w:type="spellEnd"/>
      <w:r w:rsidRPr="00AB6F2B">
        <w:rPr>
          <w:rFonts w:eastAsia="Calibri"/>
          <w:i/>
          <w:iCs/>
          <w:lang w:val="es-ES" w:eastAsia="en-US"/>
        </w:rPr>
        <w:t xml:space="preserve"> </w:t>
      </w:r>
      <w:proofErr w:type="spellStart"/>
      <w:r w:rsidRPr="00AB6F2B">
        <w:rPr>
          <w:rFonts w:eastAsia="Calibri"/>
          <w:i/>
          <w:iCs/>
          <w:lang w:val="es-ES" w:eastAsia="en-US"/>
        </w:rPr>
        <w:t>Armanda</w:t>
      </w:r>
      <w:proofErr w:type="spellEnd"/>
      <w:r w:rsidRPr="00AB6F2B">
        <w:rPr>
          <w:rFonts w:eastAsia="Calibri"/>
          <w:i/>
          <w:iCs/>
          <w:lang w:val="es-ES" w:eastAsia="en-US"/>
        </w:rPr>
        <w:t xml:space="preserve"> Peguero </w:t>
      </w:r>
      <w:proofErr w:type="spellStart"/>
      <w:r w:rsidRPr="00AB6F2B">
        <w:rPr>
          <w:rFonts w:eastAsia="Calibri"/>
          <w:i/>
          <w:iCs/>
          <w:lang w:val="es-ES" w:eastAsia="en-US"/>
        </w:rPr>
        <w:t>Garó</w:t>
      </w:r>
      <w:proofErr w:type="spellEnd"/>
      <w:r w:rsidRPr="00AB6F2B">
        <w:rPr>
          <w:rFonts w:eastAsia="Calibri"/>
          <w:i/>
          <w:iCs/>
          <w:lang w:val="es-ES" w:eastAsia="en-US"/>
        </w:rPr>
        <w:t>.</w:t>
      </w:r>
    </w:p>
    <w:p w14:paraId="208A419B" w14:textId="77777777" w:rsidR="00AB6F2B" w:rsidRPr="00AB6F2B" w:rsidRDefault="00AB6F2B" w:rsidP="00AB6F2B">
      <w:pPr>
        <w:spacing w:line="360" w:lineRule="auto"/>
        <w:jc w:val="both"/>
        <w:rPr>
          <w:rFonts w:eastAsia="Calibri"/>
          <w:lang w:val="es-ES" w:eastAsia="en-US"/>
        </w:rPr>
      </w:pPr>
      <w:r w:rsidRPr="00AB6F2B">
        <w:rPr>
          <w:rFonts w:eastAsia="Calibri"/>
          <w:lang w:val="es-ES" w:eastAsia="en-US"/>
        </w:rPr>
        <w:t xml:space="preserve">Redacción – revisión y edición: </w:t>
      </w:r>
      <w:r w:rsidRPr="00AB6F2B">
        <w:rPr>
          <w:rFonts w:eastAsia="Calibri"/>
          <w:i/>
          <w:iCs/>
          <w:lang w:val="es-ES" w:eastAsia="en-US"/>
        </w:rPr>
        <w:t xml:space="preserve">Margarita Elena Sánchez Padín, </w:t>
      </w:r>
      <w:proofErr w:type="spellStart"/>
      <w:r w:rsidRPr="00AB6F2B">
        <w:rPr>
          <w:rFonts w:eastAsia="Calibri"/>
          <w:i/>
          <w:iCs/>
          <w:lang w:val="es-ES" w:eastAsia="en-US"/>
        </w:rPr>
        <w:t>Maria</w:t>
      </w:r>
      <w:proofErr w:type="spellEnd"/>
      <w:r w:rsidRPr="00AB6F2B">
        <w:rPr>
          <w:rFonts w:eastAsia="Calibri"/>
          <w:i/>
          <w:iCs/>
          <w:lang w:val="es-ES" w:eastAsia="en-US"/>
        </w:rPr>
        <w:t xml:space="preserve"> Teresa Solomon Cardona.</w:t>
      </w:r>
    </w:p>
    <w:p w14:paraId="111CE8CB" w14:textId="77777777" w:rsidR="00675476" w:rsidRPr="00AB6F2B" w:rsidRDefault="00675476" w:rsidP="00EA1FEF">
      <w:pPr>
        <w:pStyle w:val="PDFRevista"/>
        <w:rPr>
          <w:lang w:val="es-ES"/>
        </w:rPr>
      </w:pPr>
    </w:p>
    <w:sectPr w:rsidR="00675476" w:rsidRPr="00AB6F2B" w:rsidSect="00FD3DF8">
      <w:headerReference w:type="default" r:id="rId26"/>
      <w:footerReference w:type="even" r:id="rId27"/>
      <w:footerReference w:type="default" r:id="rId2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C5786" w14:textId="77777777" w:rsidR="005536DA" w:rsidRDefault="005536DA">
      <w:r>
        <w:separator/>
      </w:r>
    </w:p>
  </w:endnote>
  <w:endnote w:type="continuationSeparator" w:id="0">
    <w:p w14:paraId="0E85DD1A" w14:textId="77777777" w:rsidR="005536DA" w:rsidRDefault="0055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7F5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4C083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B3C2" w14:textId="5E852C59" w:rsidR="000F3690" w:rsidRPr="00AE044C" w:rsidRDefault="00AB6F2B"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5550E5D" wp14:editId="523BE320">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3B8A66"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3CFF0C5"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B54807E"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3D25430" w14:textId="40D9F851"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AB6F2B" w:rsidRPr="00AB6F2B">
      <w:rPr>
        <w:rFonts w:ascii="Verdana" w:hAnsi="Verdana"/>
        <w:noProof/>
        <w:sz w:val="18"/>
        <w:szCs w:val="18"/>
        <w:lang w:val="en-US" w:eastAsia="en-US"/>
      </w:rPr>
      <w:drawing>
        <wp:inline distT="0" distB="0" distL="0" distR="0" wp14:anchorId="4B14C46D" wp14:editId="584A98EF">
          <wp:extent cx="643890" cy="15113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62987" w14:textId="77777777" w:rsidR="005536DA" w:rsidRDefault="005536DA">
      <w:r>
        <w:separator/>
      </w:r>
    </w:p>
  </w:footnote>
  <w:footnote w:type="continuationSeparator" w:id="0">
    <w:p w14:paraId="438B2C39" w14:textId="77777777" w:rsidR="005536DA" w:rsidRDefault="00553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2DD5" w14:textId="31D4E4DB" w:rsidR="00CC376A" w:rsidRPr="00AE044C" w:rsidRDefault="00AB6F2B"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proofErr w:type="gramStart"/>
    <w:r w:rsidR="007D2D0C" w:rsidRPr="00AE044C">
      <w:rPr>
        <w:sz w:val="22"/>
        <w:szCs w:val="22"/>
      </w:rPr>
      <w:t>):</w:t>
    </w:r>
    <w:proofErr w:type="spellStart"/>
    <w:r>
      <w:rPr>
        <w:sz w:val="22"/>
        <w:szCs w:val="22"/>
      </w:rPr>
      <w:t>e</w:t>
    </w:r>
    <w:proofErr w:type="gramEnd"/>
    <w:r>
      <w:rPr>
        <w:sz w:val="22"/>
        <w:szCs w:val="22"/>
      </w:rPr>
      <w:t>02202170</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0BEB8005" wp14:editId="28070EF0">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F37EC" w14:textId="24101B6A" w:rsidR="00A477DE" w:rsidRDefault="00AB6F2B">
    <w:r>
      <w:rPr>
        <w:noProof/>
      </w:rPr>
      <mc:AlternateContent>
        <mc:Choice Requires="wps">
          <w:drawing>
            <wp:anchor distT="0" distB="0" distL="114300" distR="114300" simplePos="0" relativeHeight="251654144" behindDoc="0" locked="0" layoutInCell="1" allowOverlap="1" wp14:anchorId="649AE521" wp14:editId="4906C714">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9F7B0D"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724A"/>
    <w:multiLevelType w:val="hybridMultilevel"/>
    <w:tmpl w:val="B59480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15:restartNumberingAfterBreak="0">
    <w:nsid w:val="24D06CF7"/>
    <w:multiLevelType w:val="multilevel"/>
    <w:tmpl w:val="C43A8A4C"/>
    <w:lvl w:ilvl="0">
      <w:start w:val="4"/>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D1A6819"/>
    <w:multiLevelType w:val="hybridMultilevel"/>
    <w:tmpl w:val="23E8BD6E"/>
    <w:lvl w:ilvl="0" w:tplc="4EEAD97C">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 w15:restartNumberingAfterBreak="0">
    <w:nsid w:val="2FFE505D"/>
    <w:multiLevelType w:val="multilevel"/>
    <w:tmpl w:val="B4F0D5C0"/>
    <w:lvl w:ilvl="0">
      <w:start w:val="2"/>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3643453"/>
    <w:multiLevelType w:val="hybridMultilevel"/>
    <w:tmpl w:val="03123A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90C3818"/>
    <w:multiLevelType w:val="hybridMultilevel"/>
    <w:tmpl w:val="6234CF1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 w15:restartNumberingAfterBreak="0">
    <w:nsid w:val="51A324F6"/>
    <w:multiLevelType w:val="multilevel"/>
    <w:tmpl w:val="DB76B60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C37194"/>
    <w:multiLevelType w:val="hybridMultilevel"/>
    <w:tmpl w:val="377CE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0805E25"/>
    <w:multiLevelType w:val="hybridMultilevel"/>
    <w:tmpl w:val="8A080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8A54A5F"/>
    <w:multiLevelType w:val="hybridMultilevel"/>
    <w:tmpl w:val="EA541EB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1" w15:restartNumberingAfterBreak="0">
    <w:nsid w:val="6B944C92"/>
    <w:multiLevelType w:val="hybridMultilevel"/>
    <w:tmpl w:val="CC988732"/>
    <w:lvl w:ilvl="0" w:tplc="EA648BCE">
      <w:start w:val="1995"/>
      <w:numFmt w:val="bullet"/>
      <w:lvlText w:val="-"/>
      <w:lvlJc w:val="left"/>
      <w:pPr>
        <w:ind w:left="720" w:hanging="360"/>
      </w:pPr>
      <w:rPr>
        <w:rFonts w:ascii="Calibri" w:eastAsiaTheme="minorHAnsi" w:hAnsi="Calibri" w:cs="Calibri"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2" w15:restartNumberingAfterBreak="0">
    <w:nsid w:val="74C15E6B"/>
    <w:multiLevelType w:val="hybridMultilevel"/>
    <w:tmpl w:val="1ED67288"/>
    <w:lvl w:ilvl="0" w:tplc="2CC6FE7A">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16cid:durableId="1054425747">
    <w:abstractNumId w:val="6"/>
  </w:num>
  <w:num w:numId="2" w16cid:durableId="160826689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8307906">
    <w:abstractNumId w:val="4"/>
  </w:num>
  <w:num w:numId="4" w16cid:durableId="264652969">
    <w:abstractNumId w:val="3"/>
  </w:num>
  <w:num w:numId="5" w16cid:durableId="928582831">
    <w:abstractNumId w:val="1"/>
  </w:num>
  <w:num w:numId="6" w16cid:durableId="1283029449">
    <w:abstractNumId w:val="8"/>
  </w:num>
  <w:num w:numId="7" w16cid:durableId="2007584916">
    <w:abstractNumId w:val="7"/>
  </w:num>
  <w:num w:numId="8" w16cid:durableId="2009283817">
    <w:abstractNumId w:val="11"/>
  </w:num>
  <w:num w:numId="9" w16cid:durableId="1825855530">
    <w:abstractNumId w:val="12"/>
  </w:num>
  <w:num w:numId="10" w16cid:durableId="171920776">
    <w:abstractNumId w:val="9"/>
  </w:num>
  <w:num w:numId="11" w16cid:durableId="271057898">
    <w:abstractNumId w:val="5"/>
  </w:num>
  <w:num w:numId="12" w16cid:durableId="1446919693">
    <w:abstractNumId w:val="2"/>
  </w:num>
  <w:num w:numId="13" w16cid:durableId="1012991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2B"/>
    <w:rsid w:val="00057F45"/>
    <w:rsid w:val="000D3958"/>
    <w:rsid w:val="000F3690"/>
    <w:rsid w:val="00115049"/>
    <w:rsid w:val="001221D1"/>
    <w:rsid w:val="00165CB5"/>
    <w:rsid w:val="00180CE9"/>
    <w:rsid w:val="00230DD5"/>
    <w:rsid w:val="00250AE9"/>
    <w:rsid w:val="00380D64"/>
    <w:rsid w:val="00391509"/>
    <w:rsid w:val="003E03D5"/>
    <w:rsid w:val="00461BCE"/>
    <w:rsid w:val="00486BFA"/>
    <w:rsid w:val="00493701"/>
    <w:rsid w:val="004E2065"/>
    <w:rsid w:val="005508A2"/>
    <w:rsid w:val="0055115D"/>
    <w:rsid w:val="005536DA"/>
    <w:rsid w:val="00566F71"/>
    <w:rsid w:val="005918BD"/>
    <w:rsid w:val="00591DD1"/>
    <w:rsid w:val="006173A6"/>
    <w:rsid w:val="00675476"/>
    <w:rsid w:val="0077508F"/>
    <w:rsid w:val="007B074F"/>
    <w:rsid w:val="007C430F"/>
    <w:rsid w:val="007D2D0C"/>
    <w:rsid w:val="007D614D"/>
    <w:rsid w:val="008414FE"/>
    <w:rsid w:val="008C4541"/>
    <w:rsid w:val="00960D6A"/>
    <w:rsid w:val="009A0560"/>
    <w:rsid w:val="009B0917"/>
    <w:rsid w:val="009F0F96"/>
    <w:rsid w:val="00A23C0C"/>
    <w:rsid w:val="00A477DE"/>
    <w:rsid w:val="00A71E65"/>
    <w:rsid w:val="00AB6F2B"/>
    <w:rsid w:val="00AE044C"/>
    <w:rsid w:val="00B31971"/>
    <w:rsid w:val="00B4380A"/>
    <w:rsid w:val="00B66ECB"/>
    <w:rsid w:val="00BB5D39"/>
    <w:rsid w:val="00C7523A"/>
    <w:rsid w:val="00CC1B6E"/>
    <w:rsid w:val="00CC376A"/>
    <w:rsid w:val="00CC48A1"/>
    <w:rsid w:val="00CF50E0"/>
    <w:rsid w:val="00D85951"/>
    <w:rsid w:val="00DC28C2"/>
    <w:rsid w:val="00E41676"/>
    <w:rsid w:val="00E62606"/>
    <w:rsid w:val="00EA1FEF"/>
    <w:rsid w:val="00EC5A6B"/>
    <w:rsid w:val="00EE301D"/>
    <w:rsid w:val="00FA7CC1"/>
    <w:rsid w:val="00FC0669"/>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91B30"/>
  <w15:docId w15:val="{32825AB0-84E3-4E63-A968-2FF916EB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3">
    <w:name w:val="heading 3"/>
    <w:basedOn w:val="Normal"/>
    <w:link w:val="Ttulo3Car"/>
    <w:uiPriority w:val="9"/>
    <w:qFormat/>
    <w:rsid w:val="00AB6F2B"/>
    <w:pPr>
      <w:spacing w:before="100" w:beforeAutospacing="1" w:after="100" w:afterAutospacing="1"/>
      <w:outlineLvl w:val="2"/>
    </w:pPr>
    <w:rPr>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3Car">
    <w:name w:val="Título 3 Car"/>
    <w:basedOn w:val="Fuentedeprrafopredeter"/>
    <w:link w:val="Ttulo3"/>
    <w:uiPriority w:val="9"/>
    <w:rsid w:val="00AB6F2B"/>
    <w:rPr>
      <w:b/>
      <w:bCs/>
      <w:sz w:val="27"/>
      <w:szCs w:val="27"/>
      <w:lang w:val="es-ES" w:eastAsia="es-ES"/>
    </w:rPr>
  </w:style>
  <w:style w:type="numbering" w:customStyle="1" w:styleId="Sinlista1">
    <w:name w:val="Sin lista1"/>
    <w:next w:val="Sinlista"/>
    <w:uiPriority w:val="99"/>
    <w:semiHidden/>
    <w:unhideWhenUsed/>
    <w:rsid w:val="00AB6F2B"/>
  </w:style>
  <w:style w:type="paragraph" w:styleId="Prrafodelista">
    <w:name w:val="List Paragraph"/>
    <w:basedOn w:val="Normal"/>
    <w:uiPriority w:val="34"/>
    <w:qFormat/>
    <w:rsid w:val="00AB6F2B"/>
    <w:pPr>
      <w:spacing w:after="200" w:line="276" w:lineRule="auto"/>
      <w:ind w:left="720"/>
      <w:contextualSpacing/>
    </w:pPr>
    <w:rPr>
      <w:rFonts w:ascii="Calibri" w:hAnsi="Calibri" w:cs="Calibri"/>
      <w:sz w:val="22"/>
      <w:szCs w:val="22"/>
      <w:lang w:val="es-ES" w:eastAsia="es-ES"/>
    </w:rPr>
  </w:style>
  <w:style w:type="table" w:customStyle="1" w:styleId="Tablaconcuadrcula1">
    <w:name w:val="Tabla con cuadrícula1"/>
    <w:basedOn w:val="Tablanormal"/>
    <w:next w:val="Tablaconcuadrcula"/>
    <w:uiPriority w:val="59"/>
    <w:rsid w:val="00AB6F2B"/>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lqj4b">
    <w:name w:val="jlqj4b"/>
    <w:basedOn w:val="Fuentedeprrafopredeter"/>
    <w:rsid w:val="00AB6F2B"/>
  </w:style>
  <w:style w:type="paragraph" w:styleId="Textocomentario">
    <w:name w:val="annotation text"/>
    <w:basedOn w:val="Normal"/>
    <w:link w:val="TextocomentarioCar"/>
    <w:uiPriority w:val="99"/>
    <w:unhideWhenUsed/>
    <w:rsid w:val="00AB6F2B"/>
    <w:pPr>
      <w:spacing w:after="20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rsid w:val="00AB6F2B"/>
    <w:rPr>
      <w:rFonts w:ascii="Calibri" w:eastAsia="Calibri" w:hAnsi="Calibri"/>
      <w:lang w:val="es-ES" w:eastAsia="en-US"/>
    </w:rPr>
  </w:style>
  <w:style w:type="character" w:customStyle="1" w:styleId="q4iawc">
    <w:name w:val="q4iawc"/>
    <w:basedOn w:val="Fuentedeprrafopredeter"/>
    <w:rsid w:val="00AB6F2B"/>
  </w:style>
  <w:style w:type="character" w:styleId="Refdecomentario">
    <w:name w:val="annotation reference"/>
    <w:uiPriority w:val="99"/>
    <w:semiHidden/>
    <w:unhideWhenUsed/>
    <w:rsid w:val="00AB6F2B"/>
    <w:rPr>
      <w:sz w:val="16"/>
      <w:szCs w:val="16"/>
    </w:rPr>
  </w:style>
  <w:style w:type="paragraph" w:styleId="Asuntodelcomentario">
    <w:name w:val="annotation subject"/>
    <w:basedOn w:val="Textocomentario"/>
    <w:next w:val="Textocomentario"/>
    <w:link w:val="AsuntodelcomentarioCar"/>
    <w:uiPriority w:val="99"/>
    <w:semiHidden/>
    <w:unhideWhenUsed/>
    <w:rsid w:val="00AB6F2B"/>
    <w:rPr>
      <w:b/>
      <w:bCs/>
    </w:rPr>
  </w:style>
  <w:style w:type="character" w:customStyle="1" w:styleId="AsuntodelcomentarioCar">
    <w:name w:val="Asunto del comentario Car"/>
    <w:basedOn w:val="TextocomentarioCar"/>
    <w:link w:val="Asuntodelcomentario"/>
    <w:uiPriority w:val="99"/>
    <w:semiHidden/>
    <w:rsid w:val="00AB6F2B"/>
    <w:rPr>
      <w:rFonts w:ascii="Calibri" w:eastAsia="Calibri" w:hAnsi="Calibri"/>
      <w:b/>
      <w:bCs/>
      <w:lang w:val="es-ES" w:eastAsia="en-US"/>
    </w:rPr>
  </w:style>
  <w:style w:type="character" w:customStyle="1" w:styleId="Mencinsinresolver1">
    <w:name w:val="Mención sin resolver1"/>
    <w:uiPriority w:val="99"/>
    <w:semiHidden/>
    <w:unhideWhenUsed/>
    <w:rsid w:val="00AB6F2B"/>
    <w:rPr>
      <w:color w:val="605E5C"/>
      <w:shd w:val="clear" w:color="auto" w:fill="E1DFDD"/>
    </w:rPr>
  </w:style>
  <w:style w:type="character" w:styleId="Mencinsinresolver">
    <w:name w:val="Unresolved Mention"/>
    <w:uiPriority w:val="99"/>
    <w:semiHidden/>
    <w:unhideWhenUsed/>
    <w:rsid w:val="00AB6F2B"/>
    <w:rPr>
      <w:color w:val="605E5C"/>
      <w:shd w:val="clear" w:color="auto" w:fill="E1DFDD"/>
    </w:rPr>
  </w:style>
  <w:style w:type="paragraph" w:styleId="Revisin">
    <w:name w:val="Revision"/>
    <w:hidden/>
    <w:uiPriority w:val="99"/>
    <w:semiHidden/>
    <w:rsid w:val="00AB6F2B"/>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775-8173" TargetMode="External"/><Relationship Id="rId13" Type="http://schemas.openxmlformats.org/officeDocument/2006/relationships/image" Target="media/image2.jpeg"/><Relationship Id="rId18" Type="http://schemas.openxmlformats.org/officeDocument/2006/relationships/hyperlink" Target="http://www.revcalixto.sld.cu/index.php/ahcg/article/view/457/41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revmediciego.sld.cu/index.php/mediciego/article/view/512/1010" TargetMode="External"/><Relationship Id="rId7" Type="http://schemas.openxmlformats.org/officeDocument/2006/relationships/hyperlink" Target="https://orcid.org/0000-0002-2860-4039" TargetMode="External"/><Relationship Id="rId12" Type="http://schemas.openxmlformats.org/officeDocument/2006/relationships/image" Target="media/image1.png"/><Relationship Id="rId17" Type="http://schemas.openxmlformats.org/officeDocument/2006/relationships/hyperlink" Target="http://www.revcalixto.sld.cu/index.php/ahcg/article/view/407" TargetMode="External"/><Relationship Id="rId25" Type="http://schemas.openxmlformats.org/officeDocument/2006/relationships/hyperlink" Target="https://pubmed.ncbi.nlm.nih.gov/?term=Bartley+A&amp;cauthor_id=31443074" TargetMode="External"/><Relationship Id="rId2" Type="http://schemas.openxmlformats.org/officeDocument/2006/relationships/styles" Target="styles.xml"/><Relationship Id="rId16" Type="http://schemas.openxmlformats.org/officeDocument/2006/relationships/hyperlink" Target="http://bvscuba.sld.cu/anuario-estadisticode-cuba/" TargetMode="External"/><Relationship Id="rId20" Type="http://schemas.openxmlformats.org/officeDocument/2006/relationships/hyperlink" Target="http://scielo.sld.cu/pdf/san/v16n1/san03112.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sanchezpadin@gmail.com" TargetMode="External"/><Relationship Id="rId24" Type="http://schemas.openxmlformats.org/officeDocument/2006/relationships/hyperlink" Target="https://pubmed.ncbi.nlm.nih.gov/?term=Bartek+J+Jr&amp;cauthor_id=31443074"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pubmed.ncbi.nlm.nih.gov/?term=Fahlstr%C3%B6m+A&amp;cauthor_id=31443074" TargetMode="External"/><Relationship Id="rId28" Type="http://schemas.openxmlformats.org/officeDocument/2006/relationships/footer" Target="footer2.xml"/><Relationship Id="rId10" Type="http://schemas.openxmlformats.org/officeDocument/2006/relationships/hyperlink" Target="https://orcid.org/0000-0002-1604-3545" TargetMode="External"/><Relationship Id="rId19" Type="http://schemas.openxmlformats.org/officeDocument/2006/relationships/hyperlink" Target="http://www.revfinlay.sld.cu/index.php/finlay/article/view/408" TargetMode="External"/><Relationship Id="rId4" Type="http://schemas.openxmlformats.org/officeDocument/2006/relationships/webSettings" Target="webSettings.xml"/><Relationship Id="rId9" Type="http://schemas.openxmlformats.org/officeDocument/2006/relationships/hyperlink" Target="https://orcid.org/0000-0003-4057-4503" TargetMode="External"/><Relationship Id="rId14" Type="http://schemas.openxmlformats.org/officeDocument/2006/relationships/image" Target="media/image3.jpeg"/><Relationship Id="rId22" Type="http://schemas.openxmlformats.org/officeDocument/2006/relationships/hyperlink" Target="https://www.medigraphic.com/cgi-bin/new/resumen.cgi?IDARTICULO=64146"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24</TotalTime>
  <Pages>17</Pages>
  <Words>4628</Words>
  <Characters>25454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30022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13</cp:revision>
  <cp:lastPrinted>2022-09-26T18:24:00Z</cp:lastPrinted>
  <dcterms:created xsi:type="dcterms:W3CDTF">2022-09-23T15:40:00Z</dcterms:created>
  <dcterms:modified xsi:type="dcterms:W3CDTF">2022-09-26T18:25:00Z</dcterms:modified>
</cp:coreProperties>
</file>