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564F4" w14:textId="77777777" w:rsidR="00FB3535" w:rsidRPr="00FB3535" w:rsidRDefault="00FB3535" w:rsidP="00FB3535">
      <w:pPr>
        <w:spacing w:line="360" w:lineRule="auto"/>
        <w:jc w:val="right"/>
        <w:rPr>
          <w:rFonts w:eastAsia="Calibri"/>
          <w:sz w:val="20"/>
          <w:szCs w:val="20"/>
          <w:lang w:val="es-PE" w:eastAsia="en-US"/>
        </w:rPr>
      </w:pPr>
      <w:r w:rsidRPr="00FB3535">
        <w:rPr>
          <w:rFonts w:eastAsia="Calibri"/>
          <w:sz w:val="20"/>
          <w:szCs w:val="20"/>
          <w:lang w:val="es-PE" w:eastAsia="en-US"/>
        </w:rPr>
        <w:t>Carta al editor</w:t>
      </w:r>
    </w:p>
    <w:p w14:paraId="623EC080" w14:textId="77777777" w:rsidR="00FB3535" w:rsidRPr="00FB3535" w:rsidRDefault="00FB3535" w:rsidP="00FB3535">
      <w:pPr>
        <w:spacing w:line="360" w:lineRule="auto"/>
        <w:jc w:val="right"/>
        <w:rPr>
          <w:rFonts w:eastAsia="Calibri"/>
          <w:highlight w:val="yellow"/>
          <w:lang w:val="es-PE" w:eastAsia="en-US"/>
        </w:rPr>
      </w:pPr>
    </w:p>
    <w:p w14:paraId="1C6BE2DE" w14:textId="77777777" w:rsidR="00FB3535" w:rsidRPr="00FB3535" w:rsidRDefault="00FB3535" w:rsidP="00FB3535">
      <w:pPr>
        <w:spacing w:line="360" w:lineRule="auto"/>
        <w:jc w:val="center"/>
        <w:rPr>
          <w:rFonts w:eastAsia="Calibri"/>
          <w:b/>
          <w:bCs/>
          <w:sz w:val="28"/>
          <w:szCs w:val="28"/>
          <w:lang w:val="es-PE" w:eastAsia="en-US"/>
        </w:rPr>
      </w:pPr>
      <w:r w:rsidRPr="00FB3535">
        <w:rPr>
          <w:rFonts w:eastAsia="Calibri"/>
          <w:b/>
          <w:bCs/>
          <w:sz w:val="28"/>
          <w:szCs w:val="28"/>
          <w:lang w:val="es-PE" w:eastAsia="en-US"/>
        </w:rPr>
        <w:t>Efectos secundarios de las vacunas contra la COVID-19 y cumplimiento de los esquemas de vacunación</w:t>
      </w:r>
    </w:p>
    <w:p w14:paraId="71EB157E" w14:textId="77777777" w:rsidR="00FB3535" w:rsidRPr="00FB3535" w:rsidRDefault="00FB3535" w:rsidP="00FB3535">
      <w:pPr>
        <w:spacing w:line="360" w:lineRule="auto"/>
        <w:jc w:val="center"/>
        <w:rPr>
          <w:rFonts w:eastAsia="Calibri"/>
          <w:sz w:val="28"/>
          <w:szCs w:val="28"/>
          <w:lang w:val="en-US" w:eastAsia="en-US"/>
        </w:rPr>
      </w:pPr>
      <w:r w:rsidRPr="00FB3535">
        <w:rPr>
          <w:rFonts w:eastAsia="Calibri"/>
          <w:sz w:val="28"/>
          <w:szCs w:val="28"/>
          <w:lang w:val="en-US" w:eastAsia="en-US"/>
        </w:rPr>
        <w:t>Side effects of COVID-19 vaccines and compliance with vaccination schedules</w:t>
      </w:r>
    </w:p>
    <w:p w14:paraId="62A4817A" w14:textId="77777777" w:rsidR="00FB3535" w:rsidRPr="00FB3535" w:rsidRDefault="00FB3535" w:rsidP="00FB3535">
      <w:pPr>
        <w:spacing w:line="360" w:lineRule="auto"/>
        <w:jc w:val="both"/>
        <w:rPr>
          <w:rFonts w:eastAsia="Calibri"/>
          <w:lang w:val="en-US" w:eastAsia="en-US"/>
        </w:rPr>
      </w:pPr>
    </w:p>
    <w:p w14:paraId="5C080527" w14:textId="77777777" w:rsidR="00FB3535" w:rsidRPr="00FB3535" w:rsidRDefault="00FB3535" w:rsidP="00FB3535">
      <w:pPr>
        <w:spacing w:line="360" w:lineRule="auto"/>
        <w:jc w:val="both"/>
        <w:rPr>
          <w:rFonts w:eastAsia="Calibri"/>
          <w:lang w:val="es-CU" w:eastAsia="en-US"/>
        </w:rPr>
      </w:pPr>
      <w:r w:rsidRPr="00FB3535">
        <w:rPr>
          <w:rFonts w:eastAsia="Calibri"/>
          <w:lang w:val="es-CU" w:eastAsia="en-US"/>
        </w:rPr>
        <w:t>Edison Salvador-Oscco</w:t>
      </w:r>
      <w:r w:rsidRPr="00FB3535">
        <w:rPr>
          <w:rFonts w:eastAsia="Calibri"/>
          <w:vertAlign w:val="superscript"/>
          <w:lang w:val="es-CU" w:eastAsia="en-US"/>
        </w:rPr>
        <w:t>1</w:t>
      </w:r>
      <w:r w:rsidRPr="00FB3535">
        <w:rPr>
          <w:rFonts w:eastAsia="Calibri"/>
          <w:lang w:val="es-CU" w:eastAsia="en-US"/>
        </w:rPr>
        <w:t xml:space="preserve">* </w:t>
      </w:r>
      <w:hyperlink r:id="rId7" w:history="1">
        <w:r w:rsidRPr="00FB3535">
          <w:rPr>
            <w:rFonts w:eastAsia="Calibri"/>
            <w:color w:val="0563C1"/>
            <w:u w:val="single"/>
            <w:lang w:val="es-CU" w:eastAsia="en-US"/>
          </w:rPr>
          <w:t>https://orcid.org/0000-0003-4837-8929</w:t>
        </w:r>
      </w:hyperlink>
      <w:r w:rsidRPr="00FB3535">
        <w:rPr>
          <w:rFonts w:eastAsia="Calibri"/>
          <w:lang w:val="es-CU" w:eastAsia="en-US"/>
        </w:rPr>
        <w:t xml:space="preserve"> </w:t>
      </w:r>
    </w:p>
    <w:p w14:paraId="3ABA8F39" w14:textId="77777777" w:rsidR="00FB3535" w:rsidRPr="00FB3535" w:rsidRDefault="00FB3535" w:rsidP="00FB3535">
      <w:pPr>
        <w:spacing w:line="360" w:lineRule="auto"/>
        <w:jc w:val="both"/>
        <w:rPr>
          <w:rFonts w:eastAsia="Calibri"/>
          <w:lang w:val="es-CU" w:eastAsia="en-US"/>
        </w:rPr>
      </w:pPr>
      <w:r w:rsidRPr="00FB3535">
        <w:rPr>
          <w:rFonts w:eastAsia="Calibri"/>
          <w:lang w:val="es-CU" w:eastAsia="en-US"/>
        </w:rPr>
        <w:t>Narcisa Reto Otero</w:t>
      </w:r>
      <w:r w:rsidRPr="00FB3535">
        <w:rPr>
          <w:rFonts w:eastAsia="Calibri"/>
          <w:vertAlign w:val="superscript"/>
          <w:lang w:val="es-CU" w:eastAsia="en-US"/>
        </w:rPr>
        <w:t>2</w:t>
      </w:r>
      <w:r w:rsidRPr="00FB3535">
        <w:rPr>
          <w:rFonts w:eastAsia="Calibri"/>
          <w:lang w:val="es-CU" w:eastAsia="en-US"/>
        </w:rPr>
        <w:t xml:space="preserve"> </w:t>
      </w:r>
      <w:hyperlink r:id="rId8" w:history="1">
        <w:r w:rsidRPr="00FB3535">
          <w:rPr>
            <w:rFonts w:eastAsia="Calibri"/>
            <w:color w:val="0563C1"/>
            <w:u w:val="single"/>
            <w:lang w:val="es-CU" w:eastAsia="en-US"/>
          </w:rPr>
          <w:t>https://orcid.org/0000-0002-8107-1657</w:t>
        </w:r>
      </w:hyperlink>
      <w:r w:rsidRPr="00FB3535">
        <w:rPr>
          <w:rFonts w:eastAsia="Calibri"/>
          <w:lang w:val="es-CU" w:eastAsia="en-US"/>
        </w:rPr>
        <w:t xml:space="preserve"> </w:t>
      </w:r>
    </w:p>
    <w:p w14:paraId="22154052" w14:textId="77777777" w:rsidR="00FB3535" w:rsidRPr="00FB3535" w:rsidRDefault="00FB3535" w:rsidP="00FB3535">
      <w:pPr>
        <w:spacing w:line="360" w:lineRule="auto"/>
        <w:jc w:val="both"/>
        <w:rPr>
          <w:rFonts w:eastAsia="Calibri"/>
          <w:lang w:val="es-CU" w:eastAsia="en-US"/>
        </w:rPr>
      </w:pPr>
    </w:p>
    <w:p w14:paraId="24514FA0" w14:textId="77777777" w:rsidR="00FB3535" w:rsidRPr="00FB3535" w:rsidRDefault="00FB3535" w:rsidP="00FB3535">
      <w:pPr>
        <w:spacing w:line="360" w:lineRule="auto"/>
        <w:jc w:val="both"/>
        <w:rPr>
          <w:rFonts w:eastAsia="Calibri"/>
          <w:lang w:val="es-CU" w:eastAsia="en-US"/>
        </w:rPr>
      </w:pPr>
      <w:r w:rsidRPr="00FB3535">
        <w:rPr>
          <w:rFonts w:eastAsia="Calibri"/>
          <w:vertAlign w:val="superscript"/>
          <w:lang w:val="es-CU" w:eastAsia="en-US"/>
        </w:rPr>
        <w:t>1</w:t>
      </w:r>
      <w:r w:rsidRPr="00FB3535">
        <w:rPr>
          <w:rFonts w:eastAsia="Calibri"/>
          <w:lang w:val="es-CU" w:eastAsia="en-US"/>
        </w:rPr>
        <w:t>Universidad Nacional de San Agustín. Arequipa, Perú.</w:t>
      </w:r>
    </w:p>
    <w:p w14:paraId="5E686BB0" w14:textId="77777777" w:rsidR="00FB3535" w:rsidRPr="00FB3535" w:rsidRDefault="00FB3535" w:rsidP="00FB3535">
      <w:pPr>
        <w:spacing w:line="360" w:lineRule="auto"/>
        <w:jc w:val="both"/>
        <w:rPr>
          <w:rFonts w:eastAsia="Calibri"/>
          <w:lang w:val="es-CU" w:eastAsia="en-US"/>
        </w:rPr>
      </w:pPr>
      <w:r w:rsidRPr="00FB3535">
        <w:rPr>
          <w:rFonts w:eastAsia="Calibri"/>
          <w:vertAlign w:val="superscript"/>
          <w:lang w:val="es-CU" w:eastAsia="en-US"/>
        </w:rPr>
        <w:t>2</w:t>
      </w:r>
      <w:r w:rsidRPr="00FB3535">
        <w:rPr>
          <w:rFonts w:eastAsia="Calibri"/>
          <w:lang w:val="es-CU" w:eastAsia="en-US"/>
        </w:rPr>
        <w:t xml:space="preserve">Red Asistencial Tumbes – </w:t>
      </w:r>
      <w:r w:rsidRPr="00FB3535">
        <w:rPr>
          <w:rFonts w:eastAsia="Calibri"/>
          <w:color w:val="000000"/>
          <w:lang w:val="es-CU" w:eastAsia="en-US"/>
        </w:rPr>
        <w:t>EsSalud. Tumbes, Perú</w:t>
      </w:r>
      <w:r w:rsidRPr="00FB3535">
        <w:rPr>
          <w:rFonts w:eastAsia="Calibri"/>
          <w:lang w:val="es-CU" w:eastAsia="en-US"/>
        </w:rPr>
        <w:t>.</w:t>
      </w:r>
    </w:p>
    <w:p w14:paraId="66F8327A" w14:textId="77777777" w:rsidR="00FB3535" w:rsidRPr="00FB3535" w:rsidRDefault="00FB3535" w:rsidP="00FB3535">
      <w:pPr>
        <w:spacing w:line="360" w:lineRule="auto"/>
        <w:jc w:val="both"/>
        <w:rPr>
          <w:rFonts w:eastAsia="Calibri"/>
          <w:lang w:val="es-CU" w:eastAsia="en-US"/>
        </w:rPr>
      </w:pPr>
    </w:p>
    <w:p w14:paraId="5AB54F9B" w14:textId="77777777" w:rsidR="00FB3535" w:rsidRPr="00FB3535" w:rsidRDefault="00FB3535" w:rsidP="00FB3535">
      <w:pPr>
        <w:spacing w:line="360" w:lineRule="auto"/>
        <w:jc w:val="both"/>
        <w:rPr>
          <w:rFonts w:eastAsia="Calibri"/>
          <w:lang w:val="es-CU" w:eastAsia="en-US"/>
        </w:rPr>
      </w:pPr>
      <w:r w:rsidRPr="00FB3535">
        <w:rPr>
          <w:rFonts w:eastAsia="Calibri"/>
          <w:lang w:val="es-CU" w:eastAsia="en-US"/>
        </w:rPr>
        <w:t xml:space="preserve">*Autor para la correspondencia. Correo electrónico: </w:t>
      </w:r>
      <w:hyperlink r:id="rId9" w:history="1">
        <w:r w:rsidRPr="00FB3535">
          <w:rPr>
            <w:rFonts w:eastAsia="Calibri"/>
            <w:color w:val="0563C1"/>
            <w:u w:val="single"/>
            <w:lang w:val="es-CU" w:eastAsia="en-US"/>
          </w:rPr>
          <w:t>esalvadoroscco@gmail.com</w:t>
        </w:r>
      </w:hyperlink>
      <w:r w:rsidRPr="00FB3535">
        <w:rPr>
          <w:rFonts w:eastAsia="Calibri"/>
          <w:lang w:val="es-CU" w:eastAsia="en-US"/>
        </w:rPr>
        <w:t xml:space="preserve"> </w:t>
      </w:r>
    </w:p>
    <w:p w14:paraId="78BBCC9D" w14:textId="77777777" w:rsidR="00FB3535" w:rsidRPr="00FB3535" w:rsidRDefault="00FB3535" w:rsidP="00FB3535">
      <w:pPr>
        <w:spacing w:line="360" w:lineRule="auto"/>
        <w:jc w:val="both"/>
        <w:rPr>
          <w:rFonts w:eastAsia="Calibri"/>
          <w:lang w:val="es-CU" w:eastAsia="en-US"/>
        </w:rPr>
      </w:pPr>
    </w:p>
    <w:p w14:paraId="57A5A509" w14:textId="77777777" w:rsidR="00FB3535" w:rsidRPr="00FB3535" w:rsidRDefault="00FB3535" w:rsidP="00FB3535">
      <w:pPr>
        <w:spacing w:line="360" w:lineRule="auto"/>
        <w:jc w:val="both"/>
        <w:rPr>
          <w:rFonts w:eastAsia="Calibri"/>
          <w:lang w:val="es-PE" w:eastAsia="en-US"/>
        </w:rPr>
      </w:pPr>
      <w:r w:rsidRPr="00FB3535">
        <w:rPr>
          <w:rFonts w:eastAsia="Calibri"/>
          <w:lang w:val="es-PE" w:eastAsia="en-US"/>
        </w:rPr>
        <w:t>Sr. Editor:</w:t>
      </w:r>
    </w:p>
    <w:p w14:paraId="08B929CF" w14:textId="3D61FE25" w:rsidR="00FB3535" w:rsidRPr="00FB3535" w:rsidRDefault="00FB3535" w:rsidP="00FB3535">
      <w:pPr>
        <w:spacing w:line="360" w:lineRule="auto"/>
        <w:jc w:val="both"/>
        <w:rPr>
          <w:rFonts w:eastAsia="Calibri"/>
          <w:lang w:val="es-PE" w:eastAsia="en-US"/>
        </w:rPr>
      </w:pPr>
      <w:r w:rsidRPr="00FB3535">
        <w:rPr>
          <w:rFonts w:eastAsia="Calibri"/>
          <w:lang w:val="es-PE" w:eastAsia="en-US"/>
        </w:rPr>
        <w:t>La vacunación contra la COVID-19 brinda protección contra la enfermedad grave, hospitalización y muerte. Es una estrategia adoptada a nivel mundial, que protege contra diferentes variantes, inclusive delta y ómicron. Estar completamente vacunado con las dosis de refuerzo ayuda a reducir el surgimiento de nuevas variantes. Desde el año 2020 se han desarrollado distintos tipos de vacunas utilizando virus vivos atenuados, virus inactivados, vacunas de subunidades, vacunas de ácido nucleico, como ARN, vacunas de vectores virales no replicantes y otras actualmente aprobadas.</w:t>
      </w:r>
      <w:r w:rsidRPr="00FB3535">
        <w:rPr>
          <w:rFonts w:eastAsia="Calibri"/>
          <w:vertAlign w:val="superscript"/>
          <w:lang w:val="es-PE" w:eastAsia="en-US"/>
        </w:rPr>
        <w:t>(1,2)</w:t>
      </w:r>
    </w:p>
    <w:p w14:paraId="42858E04" w14:textId="36F73B89" w:rsidR="00FB3535" w:rsidRPr="00FB3535" w:rsidRDefault="00FB3535" w:rsidP="00FB3535">
      <w:pPr>
        <w:spacing w:line="360" w:lineRule="auto"/>
        <w:jc w:val="both"/>
        <w:rPr>
          <w:rFonts w:eastAsia="Calibri"/>
          <w:lang w:val="es-PE" w:eastAsia="en-US"/>
        </w:rPr>
      </w:pPr>
      <w:r w:rsidRPr="00FB3535">
        <w:rPr>
          <w:rFonts w:eastAsia="Calibri"/>
          <w:lang w:val="es-PE" w:eastAsia="en-US"/>
        </w:rPr>
        <w:t>En Perú se inició la estrategia de vacunación frente a la COVID-19, desde febrero del 2021, la cual tuvo aceptación por la población. A finales de marzo del 2022 el 47 % de la población ya contaba con 3 dosis.</w:t>
      </w:r>
      <w:r w:rsidRPr="00FB3535">
        <w:rPr>
          <w:rFonts w:eastAsia="Calibri"/>
          <w:vertAlign w:val="superscript"/>
          <w:lang w:val="es-PE" w:eastAsia="en-US"/>
        </w:rPr>
        <w:t>(3)</w:t>
      </w:r>
      <w:r w:rsidRPr="00FB3535">
        <w:rPr>
          <w:rFonts w:eastAsia="Calibri"/>
          <w:lang w:val="es-PE" w:eastAsia="en-US"/>
        </w:rPr>
        <w:t xml:space="preserve"> La recomendación internacional del uso de una cuarta dosis de refuerzo sugiere que debería ser diferente a la vacuna administrada anteriormente.</w:t>
      </w:r>
      <w:r w:rsidRPr="00FB3535">
        <w:rPr>
          <w:rFonts w:eastAsia="Calibri"/>
          <w:vertAlign w:val="superscript"/>
          <w:lang w:val="es-PE" w:eastAsia="en-US"/>
        </w:rPr>
        <w:t>(4)</w:t>
      </w:r>
      <w:r w:rsidRPr="00FB3535">
        <w:rPr>
          <w:rFonts w:eastAsia="Calibri"/>
          <w:lang w:val="es-PE" w:eastAsia="en-US"/>
        </w:rPr>
        <w:t xml:space="preserve"> Para ello se eligió la vacuna ARNm Spikevax (Moderna) la cual tiene una dosis de primovacunación de 100 μg y una dosis de refuerzo de 50 μg.</w:t>
      </w:r>
      <w:r w:rsidRPr="00FB3535">
        <w:rPr>
          <w:rFonts w:eastAsia="Calibri"/>
          <w:vertAlign w:val="superscript"/>
          <w:lang w:val="es-PE" w:eastAsia="en-US"/>
        </w:rPr>
        <w:t>(5)</w:t>
      </w:r>
      <w:r w:rsidRPr="00FB3535">
        <w:rPr>
          <w:rFonts w:eastAsia="Calibri"/>
          <w:lang w:val="es-PE" w:eastAsia="en-US"/>
        </w:rPr>
        <w:t xml:space="preserve"> En abril del 2022 se aplicó esta vacuna como dosis de refuerzo al personal de la salud y la población en riesgo. Sin embargo, la cantidad administrada correspondía a la dosis de primovacunación en vez de la </w:t>
      </w:r>
      <w:r w:rsidRPr="00FB3535">
        <w:rPr>
          <w:rFonts w:eastAsia="Calibri"/>
          <w:lang w:val="es-PE" w:eastAsia="en-US"/>
        </w:rPr>
        <w:lastRenderedPageBreak/>
        <w:t>dosis de refuerzo,</w:t>
      </w:r>
      <w:r w:rsidRPr="00FB3535">
        <w:rPr>
          <w:rFonts w:eastAsia="Calibri"/>
          <w:vertAlign w:val="superscript"/>
          <w:lang w:val="es-PE" w:eastAsia="en-US"/>
        </w:rPr>
        <w:t>(6)</w:t>
      </w:r>
      <w:r w:rsidRPr="00FB3535">
        <w:rPr>
          <w:rFonts w:eastAsia="Calibri"/>
          <w:lang w:val="es-PE" w:eastAsia="en-US"/>
        </w:rPr>
        <w:t xml:space="preserve"> como consecuencia, los vacunados empezaron a presentar dolor en el sitio de inyección, cansancio, dolor de cabeza, mialgia, artralgia y otros síntomas, con mayor intensidad y por más horas, debido a la dosis aplicada.</w:t>
      </w:r>
      <w:r w:rsidRPr="00FB3535">
        <w:rPr>
          <w:rFonts w:eastAsia="Calibri"/>
          <w:vertAlign w:val="superscript"/>
          <w:lang w:val="es-PE" w:eastAsia="en-US"/>
        </w:rPr>
        <w:t>(5,6)</w:t>
      </w:r>
    </w:p>
    <w:p w14:paraId="18A6028D" w14:textId="13840F88" w:rsidR="00FB3535" w:rsidRPr="00FB3535" w:rsidRDefault="00FB3535" w:rsidP="00FB3535">
      <w:pPr>
        <w:spacing w:line="360" w:lineRule="auto"/>
        <w:jc w:val="both"/>
        <w:rPr>
          <w:rFonts w:eastAsia="Calibri"/>
          <w:lang w:val="es-PE" w:eastAsia="en-US"/>
        </w:rPr>
      </w:pPr>
      <w:r w:rsidRPr="00FB3535">
        <w:rPr>
          <w:rFonts w:eastAsia="Calibri"/>
          <w:lang w:val="es-PE" w:eastAsia="en-US"/>
        </w:rPr>
        <w:t>Esto fue reportado a las autoridades encargadas y a los medios de comunicación. El Ministerio de Salud tomó como acción inmediata, cambiar a la dosis de refuerzo,</w:t>
      </w:r>
      <w:r w:rsidRPr="00FB3535">
        <w:rPr>
          <w:rFonts w:eastAsia="Calibri"/>
          <w:vertAlign w:val="superscript"/>
          <w:lang w:val="es-PE" w:eastAsia="en-US"/>
        </w:rPr>
        <w:t>(6)</w:t>
      </w:r>
      <w:r w:rsidRPr="00FB3535">
        <w:rPr>
          <w:rFonts w:eastAsia="Calibri"/>
          <w:lang w:val="es-PE" w:eastAsia="en-US"/>
        </w:rPr>
        <w:t xml:space="preserve"> pero el incidente ya había generado dudas, incertidumbre y confusión en la población acerca de si se deben vacunar o no.  </w:t>
      </w:r>
    </w:p>
    <w:p w14:paraId="33BC9F8F" w14:textId="4C5482C9" w:rsidR="00FB3535" w:rsidRPr="00FB3535" w:rsidRDefault="00FB3535" w:rsidP="00FB3535">
      <w:pPr>
        <w:spacing w:line="360" w:lineRule="auto"/>
        <w:jc w:val="both"/>
        <w:rPr>
          <w:rFonts w:eastAsia="Calibri"/>
          <w:vertAlign w:val="superscript"/>
          <w:lang w:val="es-PE" w:eastAsia="en-US"/>
        </w:rPr>
      </w:pPr>
      <w:r w:rsidRPr="00FB3535">
        <w:rPr>
          <w:rFonts w:eastAsia="Calibri"/>
          <w:lang w:val="es-PE" w:eastAsia="en-US"/>
        </w:rPr>
        <w:t>Esto se vio reflejado, días después, en un menor número de vacunas diarias aplicadas en niños y adultos. La población infantil fue la más afectada, por una disminución brusca de vacunas diarias administradas. El impacto de este hecho dificulta llegar a las metas de vacunación propuestas por los organismos de salud (Fig. 1).</w:t>
      </w:r>
      <w:r w:rsidRPr="00FB3535">
        <w:rPr>
          <w:rFonts w:eastAsia="Calibri"/>
          <w:vertAlign w:val="superscript"/>
          <w:lang w:val="es-PE" w:eastAsia="en-US"/>
        </w:rPr>
        <w:t>(3)</w:t>
      </w:r>
    </w:p>
    <w:p w14:paraId="6641FD99" w14:textId="77777777" w:rsidR="00FB3535" w:rsidRPr="00FB3535" w:rsidRDefault="00FB3535" w:rsidP="00FB3535">
      <w:pPr>
        <w:spacing w:line="360" w:lineRule="auto"/>
        <w:jc w:val="both"/>
        <w:rPr>
          <w:rFonts w:eastAsia="Calibri"/>
          <w:lang w:val="es-PE" w:eastAsia="en-US"/>
        </w:rPr>
      </w:pPr>
    </w:p>
    <w:p w14:paraId="0CAACFD2" w14:textId="7B7697AB" w:rsidR="00FB3535" w:rsidRPr="00FB3535" w:rsidRDefault="00FB3535" w:rsidP="00FB3535">
      <w:pPr>
        <w:spacing w:line="360" w:lineRule="auto"/>
        <w:jc w:val="center"/>
        <w:rPr>
          <w:rFonts w:eastAsia="Calibri"/>
          <w:lang w:val="es-PE" w:eastAsia="en-US"/>
        </w:rPr>
      </w:pPr>
      <w:r w:rsidRPr="00FB3535">
        <w:rPr>
          <w:rFonts w:eastAsia="Calibri"/>
          <w:noProof/>
          <w:lang w:val="es-PE" w:eastAsia="en-US"/>
        </w:rPr>
        <w:drawing>
          <wp:inline distT="0" distB="0" distL="0" distR="0" wp14:anchorId="309906C4" wp14:editId="7E71239C">
            <wp:extent cx="4390139" cy="3777348"/>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1690" cy="3787287"/>
                    </a:xfrm>
                    <a:prstGeom prst="rect">
                      <a:avLst/>
                    </a:prstGeom>
                    <a:noFill/>
                    <a:ln>
                      <a:noFill/>
                    </a:ln>
                  </pic:spPr>
                </pic:pic>
              </a:graphicData>
            </a:graphic>
          </wp:inline>
        </w:drawing>
      </w:r>
    </w:p>
    <w:p w14:paraId="0FF35AB9" w14:textId="73470877" w:rsidR="00FB3535" w:rsidRPr="00FB3535" w:rsidRDefault="00FB3535" w:rsidP="00FB3535">
      <w:pPr>
        <w:spacing w:line="360" w:lineRule="auto"/>
        <w:jc w:val="center"/>
        <w:rPr>
          <w:rFonts w:eastAsia="Calibri"/>
          <w:sz w:val="20"/>
          <w:szCs w:val="20"/>
          <w:lang w:val="es-PE" w:eastAsia="en-US"/>
        </w:rPr>
      </w:pPr>
      <w:r w:rsidRPr="00FB3535">
        <w:rPr>
          <w:rFonts w:eastAsia="Calibri"/>
          <w:i/>
          <w:iCs/>
          <w:sz w:val="20"/>
          <w:szCs w:val="20"/>
          <w:lang w:val="es-PE" w:eastAsia="en-US"/>
        </w:rPr>
        <w:t>Fuente:</w:t>
      </w:r>
      <w:r w:rsidRPr="00FB3535">
        <w:rPr>
          <w:rFonts w:eastAsia="Calibri"/>
          <w:sz w:val="20"/>
          <w:szCs w:val="20"/>
          <w:lang w:val="es-PE" w:eastAsia="en-US"/>
        </w:rPr>
        <w:t xml:space="preserve"> Ministerio de Salud. Perú.</w:t>
      </w:r>
      <w:r w:rsidRPr="00FB3535">
        <w:rPr>
          <w:rFonts w:eastAsia="Calibri"/>
          <w:sz w:val="20"/>
          <w:szCs w:val="20"/>
          <w:vertAlign w:val="superscript"/>
          <w:lang w:val="es-PE" w:eastAsia="en-US"/>
        </w:rPr>
        <w:t>(3)</w:t>
      </w:r>
    </w:p>
    <w:p w14:paraId="05EC1DDD" w14:textId="77777777" w:rsidR="00FB3535" w:rsidRPr="00FB3535" w:rsidRDefault="00FB3535" w:rsidP="00FB3535">
      <w:pPr>
        <w:spacing w:line="360" w:lineRule="auto"/>
        <w:jc w:val="center"/>
        <w:rPr>
          <w:rFonts w:eastAsia="Calibri"/>
          <w:sz w:val="22"/>
          <w:szCs w:val="22"/>
          <w:lang w:val="es-PE" w:eastAsia="en-US"/>
        </w:rPr>
      </w:pPr>
      <w:r w:rsidRPr="00FB3535">
        <w:rPr>
          <w:rFonts w:eastAsia="Calibri"/>
          <w:b/>
          <w:sz w:val="22"/>
          <w:szCs w:val="22"/>
          <w:lang w:val="es-PE" w:eastAsia="en-US"/>
        </w:rPr>
        <w:t>Fig. 1</w:t>
      </w:r>
      <w:r w:rsidRPr="00FB3535">
        <w:rPr>
          <w:rFonts w:eastAsia="Calibri"/>
          <w:sz w:val="22"/>
          <w:szCs w:val="22"/>
          <w:lang w:val="es-PE" w:eastAsia="en-US"/>
        </w:rPr>
        <w:t xml:space="preserve"> - Número de vacunas diarias administradas según tipo de dosis, desde el 14 marzo al 25 de mayo del 2022.</w:t>
      </w:r>
    </w:p>
    <w:p w14:paraId="4E4252AB" w14:textId="77777777" w:rsidR="00FB3535" w:rsidRPr="00FB3535" w:rsidRDefault="00FB3535" w:rsidP="00FB3535">
      <w:pPr>
        <w:spacing w:line="360" w:lineRule="auto"/>
        <w:jc w:val="both"/>
        <w:rPr>
          <w:rFonts w:eastAsia="Calibri"/>
          <w:lang w:val="es-PE" w:eastAsia="en-US"/>
        </w:rPr>
      </w:pPr>
    </w:p>
    <w:p w14:paraId="616A4A7A" w14:textId="612A4391" w:rsidR="00FB3535" w:rsidRPr="00FB3535" w:rsidRDefault="00FB3535" w:rsidP="00FB3535">
      <w:pPr>
        <w:spacing w:line="360" w:lineRule="auto"/>
        <w:jc w:val="both"/>
        <w:rPr>
          <w:rFonts w:eastAsia="Calibri"/>
          <w:lang w:val="es-PE" w:eastAsia="en-US"/>
        </w:rPr>
      </w:pPr>
      <w:r w:rsidRPr="00FB3535">
        <w:rPr>
          <w:rFonts w:eastAsia="Calibri"/>
          <w:lang w:val="es-PE" w:eastAsia="en-US"/>
        </w:rPr>
        <w:t>Al realizar una búsqueda en bases de datos sobre eventos similares solo se encontró un reporte documentado,</w:t>
      </w:r>
      <w:r w:rsidRPr="00FB3535">
        <w:rPr>
          <w:rFonts w:eastAsia="Calibri"/>
          <w:vertAlign w:val="superscript"/>
          <w:lang w:val="es-PE" w:eastAsia="en-US"/>
        </w:rPr>
        <w:t xml:space="preserve">(7) </w:t>
      </w:r>
      <w:r w:rsidRPr="00FB3535">
        <w:rPr>
          <w:rFonts w:eastAsia="Calibri"/>
          <w:lang w:val="es-PE" w:eastAsia="en-US"/>
        </w:rPr>
        <w:t>no obstante, sí hay reportes periodísticos de algunos casos aislados en diferentes países,</w:t>
      </w:r>
      <w:r w:rsidRPr="00FB3535">
        <w:rPr>
          <w:rFonts w:eastAsia="Calibri"/>
          <w:vertAlign w:val="superscript"/>
          <w:lang w:val="es-PE" w:eastAsia="en-US"/>
        </w:rPr>
        <w:t>(8,9,10)</w:t>
      </w:r>
      <w:r w:rsidRPr="00FB3535">
        <w:rPr>
          <w:rFonts w:eastAsia="Calibri"/>
          <w:lang w:val="es-PE" w:eastAsia="en-US"/>
        </w:rPr>
        <w:t xml:space="preserve"> por lo cual se recomienda publicar eventos semejantes y el impacto generado después.  </w:t>
      </w:r>
    </w:p>
    <w:p w14:paraId="45B81ACA" w14:textId="77777777" w:rsidR="00FB3535" w:rsidRPr="00FB3535" w:rsidRDefault="00FB3535" w:rsidP="00FB3535">
      <w:pPr>
        <w:spacing w:line="360" w:lineRule="auto"/>
        <w:jc w:val="both"/>
        <w:rPr>
          <w:rFonts w:eastAsia="Calibri"/>
          <w:lang w:val="es-PE" w:eastAsia="en-US"/>
        </w:rPr>
      </w:pPr>
      <w:r w:rsidRPr="00FB3535">
        <w:rPr>
          <w:rFonts w:eastAsia="Calibri"/>
          <w:lang w:val="es-PE" w:eastAsia="en-US"/>
        </w:rPr>
        <w:t xml:space="preserve">A fin de evitar escenarios similares en un futuro, se deben seguir las normas de aplicación de las vacunas autorizadas por organismos internacionales, realizar revisiones precisas de documentos autorizados, para evitar errores humanos, así como la correcta capacitación del personal. </w:t>
      </w:r>
    </w:p>
    <w:p w14:paraId="42E88383" w14:textId="77777777" w:rsidR="00FB3535" w:rsidRPr="00FB3535" w:rsidRDefault="00FB3535" w:rsidP="00FB3535">
      <w:pPr>
        <w:spacing w:line="360" w:lineRule="auto"/>
        <w:jc w:val="both"/>
        <w:rPr>
          <w:rFonts w:eastAsia="Calibri"/>
          <w:lang w:val="es-PE" w:eastAsia="en-US"/>
        </w:rPr>
      </w:pPr>
      <w:r w:rsidRPr="00FB3535">
        <w:rPr>
          <w:rFonts w:eastAsia="Calibri"/>
          <w:lang w:val="es-PE" w:eastAsia="en-US"/>
        </w:rPr>
        <w:t xml:space="preserve">Frente al impacto generado después de esta situación con la vacunación se sugiere hacer campañas dirigidas a la población, para informar, resolver dudas e inquietudes. Es importante generar confianza en la población y que acudan a recibir sus dosis de refuerzo, para niños, adultos y de esa manera poder alcanzar las metas de vacunación propuestas en la población. </w:t>
      </w:r>
    </w:p>
    <w:p w14:paraId="6D0A010B" w14:textId="77777777" w:rsidR="00FB3535" w:rsidRPr="00FB3535" w:rsidRDefault="00FB3535" w:rsidP="00FB3535">
      <w:pPr>
        <w:spacing w:line="360" w:lineRule="auto"/>
        <w:rPr>
          <w:rFonts w:eastAsia="Calibri"/>
          <w:lang w:val="es-PE" w:eastAsia="en-US"/>
        </w:rPr>
      </w:pPr>
    </w:p>
    <w:p w14:paraId="33D6F5A3" w14:textId="77777777" w:rsidR="00FB3535" w:rsidRPr="00FB3535" w:rsidRDefault="00FB3535" w:rsidP="00FB3535">
      <w:pPr>
        <w:spacing w:line="360" w:lineRule="auto"/>
        <w:rPr>
          <w:rFonts w:eastAsia="Calibri"/>
          <w:lang w:val="es-PE" w:eastAsia="en-US"/>
        </w:rPr>
      </w:pPr>
    </w:p>
    <w:p w14:paraId="589A44C1" w14:textId="77777777" w:rsidR="00FB3535" w:rsidRPr="00FB3535" w:rsidRDefault="00FB3535" w:rsidP="00FB3535">
      <w:pPr>
        <w:spacing w:line="360" w:lineRule="auto"/>
        <w:jc w:val="center"/>
        <w:rPr>
          <w:rFonts w:eastAsia="Calibri"/>
          <w:b/>
          <w:bCs/>
          <w:sz w:val="32"/>
          <w:szCs w:val="32"/>
          <w:lang w:val="en-US" w:eastAsia="en-US"/>
        </w:rPr>
      </w:pPr>
      <w:r w:rsidRPr="00FB3535">
        <w:rPr>
          <w:rFonts w:eastAsia="Calibri"/>
          <w:b/>
          <w:bCs/>
          <w:sz w:val="32"/>
          <w:szCs w:val="32"/>
          <w:lang w:val="en-US" w:eastAsia="en-US"/>
        </w:rPr>
        <w:t>REFERENCIAS BIBLIOGRÁFICAS</w:t>
      </w:r>
    </w:p>
    <w:p w14:paraId="314C9873" w14:textId="77777777" w:rsidR="00FB3535" w:rsidRPr="00FB3535" w:rsidRDefault="00FB3535" w:rsidP="00FB3535">
      <w:pPr>
        <w:spacing w:line="360" w:lineRule="auto"/>
        <w:rPr>
          <w:rFonts w:eastAsia="Calibri"/>
          <w:lang w:val="es-PE" w:eastAsia="en-US"/>
        </w:rPr>
      </w:pPr>
      <w:r w:rsidRPr="00FB3535">
        <w:rPr>
          <w:rFonts w:eastAsia="Calibri"/>
          <w:lang w:val="en-US" w:eastAsia="en-US"/>
        </w:rPr>
        <w:t xml:space="preserve">1. WHO. COVID-19 advice for the public: Getting vaccinated. </w:t>
      </w:r>
      <w:r w:rsidRPr="00FB3535">
        <w:rPr>
          <w:rFonts w:eastAsia="Calibri"/>
          <w:lang w:val="es-PE" w:eastAsia="en-US"/>
        </w:rPr>
        <w:t xml:space="preserve">WHO; 2022 [acceso: 24/06/2022]. Disponible en: </w:t>
      </w:r>
      <w:hyperlink r:id="rId11" w:history="1">
        <w:r w:rsidRPr="00FB3535">
          <w:rPr>
            <w:rFonts w:eastAsia="Calibri"/>
            <w:color w:val="0563C1"/>
            <w:u w:val="single"/>
            <w:lang w:val="es-PE" w:eastAsia="en-US"/>
          </w:rPr>
          <w:t>https://www.who.int/emergencies/diseases/novel-coronavirus-2019/covid-19-vaccines/advice</w:t>
        </w:r>
      </w:hyperlink>
      <w:r w:rsidRPr="00FB3535">
        <w:rPr>
          <w:rFonts w:eastAsia="Calibri"/>
          <w:lang w:val="es-PE" w:eastAsia="en-US"/>
        </w:rPr>
        <w:t xml:space="preserve"> </w:t>
      </w:r>
    </w:p>
    <w:p w14:paraId="628142AD" w14:textId="77777777" w:rsidR="00FB3535" w:rsidRPr="00FB3535" w:rsidRDefault="00FB3535" w:rsidP="00FB3535">
      <w:pPr>
        <w:spacing w:line="360" w:lineRule="auto"/>
        <w:rPr>
          <w:rFonts w:eastAsia="Calibri"/>
          <w:lang w:val="es-PE" w:eastAsia="en-US"/>
        </w:rPr>
      </w:pPr>
      <w:r w:rsidRPr="00FB3535">
        <w:rPr>
          <w:rFonts w:eastAsia="Calibri"/>
          <w:lang w:val="en-US" w:eastAsia="en-US"/>
        </w:rPr>
        <w:t xml:space="preserve">2. Han X, Xu P, Ye Q. Analysis of COVID-19 vaccines: Types, thoughts, and application. </w:t>
      </w:r>
      <w:r w:rsidRPr="00FB3535">
        <w:rPr>
          <w:rFonts w:eastAsia="Calibri"/>
          <w:lang w:val="es-PE" w:eastAsia="en-US"/>
        </w:rPr>
        <w:t xml:space="preserve">Journal of Clinical Laboratory Analysis. 2021 [acceso: 25/06/2022]; 35(9):e23937. Disponible en: </w:t>
      </w:r>
      <w:hyperlink r:id="rId12" w:history="1">
        <w:r w:rsidRPr="00FB3535">
          <w:rPr>
            <w:rFonts w:eastAsia="Calibri"/>
            <w:color w:val="0563C1"/>
            <w:u w:val="single"/>
            <w:lang w:val="es-PE" w:eastAsia="en-US"/>
          </w:rPr>
          <w:t>https://onlinelibrary.wiley.com/doi/abs/10.1002/jcla.23937</w:t>
        </w:r>
      </w:hyperlink>
      <w:r w:rsidRPr="00FB3535">
        <w:rPr>
          <w:rFonts w:eastAsia="Calibri"/>
          <w:lang w:val="es-PE" w:eastAsia="en-US"/>
        </w:rPr>
        <w:t xml:space="preserve"> </w:t>
      </w:r>
    </w:p>
    <w:p w14:paraId="13E7CAF4" w14:textId="77777777" w:rsidR="00FB3535" w:rsidRPr="00FB3535" w:rsidRDefault="00FB3535" w:rsidP="00FB3535">
      <w:pPr>
        <w:spacing w:line="360" w:lineRule="auto"/>
        <w:rPr>
          <w:rFonts w:eastAsia="Calibri"/>
          <w:lang w:val="es-PE" w:eastAsia="en-US"/>
        </w:rPr>
      </w:pPr>
      <w:r w:rsidRPr="00FB3535">
        <w:rPr>
          <w:rFonts w:eastAsia="Calibri"/>
          <w:lang w:val="es-PE" w:eastAsia="en-US"/>
        </w:rPr>
        <w:t xml:space="preserve">3. Ministerio de Salud. Vacuna COVID-19 en el Perú. REUNIS - Repositorio Único Nacional de Información en Salud. MINSA. 2022 [acceso: 22/06/2022]. Disponible en:  </w:t>
      </w:r>
      <w:hyperlink r:id="rId13" w:history="1">
        <w:r w:rsidRPr="00FB3535">
          <w:rPr>
            <w:rFonts w:eastAsia="Calibri"/>
            <w:color w:val="0563C1"/>
            <w:u w:val="single"/>
            <w:lang w:val="es-PE" w:eastAsia="en-US"/>
          </w:rPr>
          <w:t>https://www.minsa.gob.pe/reunis/data/vacunas-covid19.asp</w:t>
        </w:r>
      </w:hyperlink>
      <w:r w:rsidRPr="00FB3535">
        <w:rPr>
          <w:rFonts w:eastAsia="Calibri"/>
          <w:lang w:val="es-PE" w:eastAsia="en-US"/>
        </w:rPr>
        <w:t xml:space="preserve"> </w:t>
      </w:r>
    </w:p>
    <w:p w14:paraId="3E61BFE4" w14:textId="77777777" w:rsidR="00FB3535" w:rsidRPr="00FB3535" w:rsidRDefault="00FB3535" w:rsidP="00FB3535">
      <w:pPr>
        <w:spacing w:line="360" w:lineRule="auto"/>
        <w:rPr>
          <w:rFonts w:eastAsia="Calibri"/>
          <w:lang w:val="en-US" w:eastAsia="en-US"/>
        </w:rPr>
      </w:pPr>
      <w:r w:rsidRPr="00FB3535">
        <w:rPr>
          <w:rFonts w:eastAsia="Calibri"/>
          <w:lang w:val="en-US" w:eastAsia="en-US"/>
        </w:rPr>
        <w:t xml:space="preserve">4. NIH. Mixing and Matching COVID-19 Vaccine Booster Doses. NIH COVID-19 Research. 2022 [acceso: 26/06/2022]. Disponible en: </w:t>
      </w:r>
      <w:hyperlink r:id="rId14" w:history="1">
        <w:r w:rsidRPr="00FB3535">
          <w:rPr>
            <w:rFonts w:eastAsia="Calibri"/>
            <w:color w:val="0563C1"/>
            <w:u w:val="single"/>
            <w:lang w:val="en-US" w:eastAsia="en-US"/>
          </w:rPr>
          <w:t>https://covid19.nih.gov/news-and-stories/mixing-matching-covid-19-vaccine-booster-doses</w:t>
        </w:r>
      </w:hyperlink>
      <w:r w:rsidRPr="00FB3535">
        <w:rPr>
          <w:rFonts w:eastAsia="Calibri"/>
          <w:lang w:val="en-US" w:eastAsia="en-US"/>
        </w:rPr>
        <w:t xml:space="preserve"> </w:t>
      </w:r>
    </w:p>
    <w:p w14:paraId="470B7215" w14:textId="77777777" w:rsidR="00FB3535" w:rsidRPr="00FB3535" w:rsidRDefault="00FB3535" w:rsidP="00FB3535">
      <w:pPr>
        <w:spacing w:line="360" w:lineRule="auto"/>
        <w:rPr>
          <w:rFonts w:eastAsia="Calibri"/>
          <w:lang w:val="es-PE" w:eastAsia="en-US"/>
        </w:rPr>
      </w:pPr>
      <w:r w:rsidRPr="00FB3535">
        <w:rPr>
          <w:rFonts w:eastAsia="Calibri"/>
          <w:lang w:val="en-US" w:eastAsia="en-US"/>
        </w:rPr>
        <w:t xml:space="preserve">5. FDA. Fact Sheet for Healthcare Providers Administering Vaccine (Vaccination Providers) Emergency Use Authorization (EUA) of the Moderna COVID-19 Vaccine to Prevent Coronavirus </w:t>
      </w:r>
      <w:r w:rsidRPr="00FB3535">
        <w:rPr>
          <w:rFonts w:eastAsia="Calibri"/>
          <w:lang w:val="en-US" w:eastAsia="en-US"/>
        </w:rPr>
        <w:lastRenderedPageBreak/>
        <w:t xml:space="preserve">Disease (COVID-19). </w:t>
      </w:r>
      <w:r w:rsidRPr="00FB3535">
        <w:rPr>
          <w:rFonts w:eastAsia="Calibri"/>
          <w:lang w:val="es-PE" w:eastAsia="en-US"/>
        </w:rPr>
        <w:t xml:space="preserve">ModernaTX; 2022 [acceso: 25/06/2022].  Disponible en: </w:t>
      </w:r>
      <w:hyperlink r:id="rId15" w:history="1">
        <w:r w:rsidRPr="00FB3535">
          <w:rPr>
            <w:rFonts w:eastAsia="Calibri"/>
            <w:color w:val="0563C1"/>
            <w:u w:val="single"/>
            <w:lang w:val="es-PE" w:eastAsia="en-US"/>
          </w:rPr>
          <w:t>https://www.fda.gov/media/144637/download</w:t>
        </w:r>
      </w:hyperlink>
      <w:r w:rsidRPr="00FB3535">
        <w:rPr>
          <w:rFonts w:eastAsia="Calibri"/>
          <w:lang w:val="es-PE" w:eastAsia="en-US"/>
        </w:rPr>
        <w:t xml:space="preserve"> </w:t>
      </w:r>
    </w:p>
    <w:p w14:paraId="1D246AD2" w14:textId="77777777" w:rsidR="00FB3535" w:rsidRPr="00FB3535" w:rsidRDefault="00FB3535" w:rsidP="00FB3535">
      <w:pPr>
        <w:spacing w:line="360" w:lineRule="auto"/>
        <w:rPr>
          <w:rFonts w:eastAsia="Calibri"/>
          <w:lang w:val="es-PE" w:eastAsia="en-US"/>
        </w:rPr>
      </w:pPr>
      <w:r w:rsidRPr="00FB3535">
        <w:rPr>
          <w:rFonts w:eastAsia="Calibri"/>
          <w:lang w:val="es-PE" w:eastAsia="en-US"/>
        </w:rPr>
        <w:t xml:space="preserve">6. TVPerú. Reacciones reportadas a cuarta dosis de vacuna Moderna contra el COVID-19 son normales. TVPeNoticias. 2022 [acceso: 03/08/2022]. Disponible en: </w:t>
      </w:r>
      <w:hyperlink r:id="rId16" w:history="1">
        <w:r w:rsidRPr="00FB3535">
          <w:rPr>
            <w:rFonts w:eastAsia="Calibri"/>
            <w:color w:val="0563C1"/>
            <w:u w:val="single"/>
            <w:lang w:val="es-PE" w:eastAsia="en-US"/>
          </w:rPr>
          <w:t>https://www.tvperu.gob.pe/noticias/nacionales/reacciones-reportadas-a-cuarta-dosis-de-vacuna-moderna-contra-el-covid-19-son-normales</w:t>
        </w:r>
      </w:hyperlink>
      <w:r w:rsidRPr="00FB3535">
        <w:rPr>
          <w:rFonts w:eastAsia="Calibri"/>
          <w:lang w:val="es-PE" w:eastAsia="en-US"/>
        </w:rPr>
        <w:t xml:space="preserve"> </w:t>
      </w:r>
    </w:p>
    <w:p w14:paraId="1922AFF1" w14:textId="77777777" w:rsidR="00FB3535" w:rsidRPr="00FB3535" w:rsidRDefault="00FB3535" w:rsidP="00FB3535">
      <w:pPr>
        <w:spacing w:line="360" w:lineRule="auto"/>
        <w:rPr>
          <w:rFonts w:eastAsia="Calibri"/>
          <w:lang w:val="es-PE" w:eastAsia="en-US"/>
        </w:rPr>
      </w:pPr>
      <w:r w:rsidRPr="00FB3535">
        <w:rPr>
          <w:rFonts w:eastAsia="Calibri"/>
          <w:lang w:val="en-US" w:eastAsia="en-US"/>
        </w:rPr>
        <w:t xml:space="preserve">7. Raposo F, Lippi G. Antibody response induced by the boost overdose during COVID-19 heterologous prime-boost vaccination strategy. </w:t>
      </w:r>
      <w:r w:rsidRPr="00FB3535">
        <w:rPr>
          <w:rFonts w:eastAsia="Calibri"/>
          <w:lang w:val="es-PE" w:eastAsia="en-US"/>
        </w:rPr>
        <w:t xml:space="preserve">Clinica Chimica Acta. 2021 [acceso: 21/06/2022]; 523:201-4. Disponible en: </w:t>
      </w:r>
      <w:hyperlink r:id="rId17" w:history="1">
        <w:r w:rsidRPr="00FB3535">
          <w:rPr>
            <w:rFonts w:eastAsia="Calibri"/>
            <w:color w:val="0563C1"/>
            <w:u w:val="single"/>
            <w:lang w:val="es-PE" w:eastAsia="en-US"/>
          </w:rPr>
          <w:t>https://www.sciencedirect.com/science/article/pii/S0009898121003429</w:t>
        </w:r>
      </w:hyperlink>
      <w:r w:rsidRPr="00FB3535">
        <w:rPr>
          <w:rFonts w:eastAsia="Calibri"/>
          <w:lang w:val="es-PE" w:eastAsia="en-US"/>
        </w:rPr>
        <w:t xml:space="preserve"> </w:t>
      </w:r>
    </w:p>
    <w:p w14:paraId="62C4661F" w14:textId="77777777" w:rsidR="00FB3535" w:rsidRPr="00FB3535" w:rsidRDefault="00FB3535" w:rsidP="00FB3535">
      <w:pPr>
        <w:spacing w:line="360" w:lineRule="auto"/>
        <w:rPr>
          <w:rFonts w:eastAsia="Calibri"/>
          <w:lang w:val="es-PE" w:eastAsia="en-US"/>
        </w:rPr>
      </w:pPr>
      <w:r w:rsidRPr="00FB3535">
        <w:rPr>
          <w:rFonts w:eastAsia="Calibri"/>
          <w:lang w:val="en-US" w:eastAsia="en-US"/>
        </w:rPr>
        <w:t xml:space="preserve">8. DW. Coronavirus: German care home workers accidentally given vaccine overdose. </w:t>
      </w:r>
      <w:r w:rsidRPr="00FB3535">
        <w:rPr>
          <w:rFonts w:eastAsia="Calibri"/>
          <w:lang w:val="es-PE" w:eastAsia="en-US"/>
        </w:rPr>
        <w:t xml:space="preserve">Deutsche Welle (DW). 2020. [acceso: 03/08/2022]. Disponible en: </w:t>
      </w:r>
      <w:hyperlink r:id="rId18" w:history="1">
        <w:r w:rsidRPr="00FB3535">
          <w:rPr>
            <w:rFonts w:eastAsia="Calibri"/>
            <w:color w:val="0563C1"/>
            <w:u w:val="single"/>
            <w:lang w:val="es-PE" w:eastAsia="en-US"/>
          </w:rPr>
          <w:t>https://www.dw.com/en/coronavirus-german-care-home-workers-accidentally-given-vaccine-overdose/a-56077717</w:t>
        </w:r>
      </w:hyperlink>
      <w:r w:rsidRPr="00FB3535">
        <w:rPr>
          <w:rFonts w:eastAsia="Calibri"/>
          <w:lang w:val="es-PE" w:eastAsia="en-US"/>
        </w:rPr>
        <w:t xml:space="preserve"> </w:t>
      </w:r>
    </w:p>
    <w:p w14:paraId="238EAE99" w14:textId="77777777" w:rsidR="00FB3535" w:rsidRPr="00FB3535" w:rsidRDefault="00FB3535" w:rsidP="00FB3535">
      <w:pPr>
        <w:spacing w:line="360" w:lineRule="auto"/>
        <w:rPr>
          <w:rFonts w:eastAsia="Calibri"/>
          <w:lang w:val="es-PE" w:eastAsia="en-US"/>
        </w:rPr>
      </w:pPr>
      <w:r w:rsidRPr="00FB3535">
        <w:rPr>
          <w:rFonts w:eastAsia="Calibri"/>
          <w:lang w:val="en-US" w:eastAsia="en-US"/>
        </w:rPr>
        <w:t xml:space="preserve">9. Scott S, Branley L. Excessive dosing of Pfizer COVID-19 vaccine a «well-known risk», expert says. </w:t>
      </w:r>
      <w:r w:rsidRPr="00FB3535">
        <w:rPr>
          <w:rFonts w:eastAsia="Calibri"/>
          <w:lang w:val="es-PE" w:eastAsia="en-US"/>
        </w:rPr>
        <w:t xml:space="preserve">ABC News. 2021 [acceso: 03/08/2022]. Disponible en: </w:t>
      </w:r>
      <w:hyperlink r:id="rId19" w:history="1">
        <w:r w:rsidRPr="00FB3535">
          <w:rPr>
            <w:rFonts w:eastAsia="Calibri"/>
            <w:color w:val="0563C1"/>
            <w:u w:val="single"/>
            <w:lang w:val="es-PE" w:eastAsia="en-US"/>
          </w:rPr>
          <w:t>https://www.abc.net.au/news/2021-02-25/covid19-vaccine-pfizer-dose-mistake-experts/13191010</w:t>
        </w:r>
      </w:hyperlink>
      <w:r w:rsidRPr="00FB3535">
        <w:rPr>
          <w:rFonts w:eastAsia="Calibri"/>
          <w:lang w:val="es-PE" w:eastAsia="en-US"/>
        </w:rPr>
        <w:t xml:space="preserve">  </w:t>
      </w:r>
    </w:p>
    <w:p w14:paraId="33CCD64F" w14:textId="77777777" w:rsidR="00FB3535" w:rsidRPr="00FB3535" w:rsidRDefault="00FB3535" w:rsidP="00FB3535">
      <w:pPr>
        <w:spacing w:line="360" w:lineRule="auto"/>
        <w:rPr>
          <w:rFonts w:eastAsia="Calibri"/>
          <w:lang w:val="es-PE" w:eastAsia="en-US"/>
        </w:rPr>
      </w:pPr>
      <w:r w:rsidRPr="00FB3535">
        <w:rPr>
          <w:rFonts w:eastAsia="Calibri"/>
          <w:lang w:val="en-US" w:eastAsia="en-US"/>
        </w:rPr>
        <w:t xml:space="preserve">10. Rettner R. Woman gets 6 doses of COVID-19 vaccine at once. </w:t>
      </w:r>
      <w:r w:rsidRPr="00FB3535">
        <w:rPr>
          <w:rFonts w:eastAsia="Calibri"/>
          <w:lang w:val="es-PE" w:eastAsia="en-US"/>
        </w:rPr>
        <w:t xml:space="preserve">LIVESCIENCE. 2021 [acceso: 03/08/2022]. Disponible en: </w:t>
      </w:r>
      <w:hyperlink r:id="rId20" w:history="1">
        <w:r w:rsidRPr="00FB3535">
          <w:rPr>
            <w:rFonts w:eastAsia="Calibri"/>
            <w:color w:val="0563C1"/>
            <w:u w:val="single"/>
            <w:lang w:val="es-PE" w:eastAsia="en-US"/>
          </w:rPr>
          <w:t>https://www.livescience.com/woman-covid-19-vaccine-six-doses.html</w:t>
        </w:r>
      </w:hyperlink>
      <w:r w:rsidRPr="00FB3535">
        <w:rPr>
          <w:rFonts w:eastAsia="Calibri"/>
          <w:lang w:val="es-PE" w:eastAsia="en-US"/>
        </w:rPr>
        <w:t xml:space="preserve"> </w:t>
      </w:r>
    </w:p>
    <w:p w14:paraId="54466D6A" w14:textId="77777777" w:rsidR="00FB3535" w:rsidRPr="00FB3535" w:rsidRDefault="00FB3535" w:rsidP="00FB3535">
      <w:pPr>
        <w:spacing w:line="360" w:lineRule="auto"/>
        <w:rPr>
          <w:rFonts w:eastAsia="Calibri"/>
          <w:b/>
          <w:lang w:val="es-PE" w:eastAsia="en-US"/>
        </w:rPr>
      </w:pPr>
    </w:p>
    <w:p w14:paraId="2CE057BF" w14:textId="77777777" w:rsidR="00FB3535" w:rsidRPr="00FB3535" w:rsidRDefault="00FB3535" w:rsidP="00FB3535">
      <w:pPr>
        <w:spacing w:line="360" w:lineRule="auto"/>
        <w:rPr>
          <w:rFonts w:eastAsia="Calibri"/>
          <w:b/>
          <w:lang w:val="es-PE" w:eastAsia="en-US"/>
        </w:rPr>
      </w:pPr>
    </w:p>
    <w:p w14:paraId="359304DE" w14:textId="77777777" w:rsidR="00FB3535" w:rsidRPr="00FB3535" w:rsidRDefault="00FB3535" w:rsidP="00FB3535">
      <w:pPr>
        <w:spacing w:line="360" w:lineRule="auto"/>
        <w:jc w:val="center"/>
        <w:rPr>
          <w:rFonts w:eastAsia="Calibri"/>
          <w:b/>
          <w:lang w:val="es-PE" w:eastAsia="en-US"/>
        </w:rPr>
      </w:pPr>
      <w:r w:rsidRPr="00FB3535">
        <w:rPr>
          <w:rFonts w:eastAsia="Calibri"/>
          <w:b/>
          <w:lang w:val="es-PE" w:eastAsia="en-US"/>
        </w:rPr>
        <w:t>Conflictos de interés</w:t>
      </w:r>
    </w:p>
    <w:p w14:paraId="55616088" w14:textId="2D6EF6C1" w:rsidR="00675476" w:rsidRPr="00EE555D" w:rsidRDefault="00FB3535" w:rsidP="00EE555D">
      <w:pPr>
        <w:spacing w:line="360" w:lineRule="auto"/>
        <w:rPr>
          <w:rFonts w:eastAsia="Calibri"/>
          <w:lang w:val="es-PE" w:eastAsia="en-US"/>
        </w:rPr>
      </w:pPr>
      <w:r w:rsidRPr="00FB3535">
        <w:rPr>
          <w:rFonts w:eastAsia="Calibri"/>
          <w:lang w:val="es-PE" w:eastAsia="en-US"/>
        </w:rPr>
        <w:t>Ninguno de los autores tiene conflictos de interés.</w:t>
      </w:r>
    </w:p>
    <w:sectPr w:rsidR="00675476" w:rsidRPr="00EE555D" w:rsidSect="00FD3DF8">
      <w:headerReference w:type="default" r:id="rId21"/>
      <w:footerReference w:type="even" r:id="rId22"/>
      <w:footerReference w:type="default" r:id="rId2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3EA5D" w14:textId="77777777" w:rsidR="003229B7" w:rsidRDefault="003229B7">
      <w:r>
        <w:separator/>
      </w:r>
    </w:p>
  </w:endnote>
  <w:endnote w:type="continuationSeparator" w:id="0">
    <w:p w14:paraId="1D017F5D" w14:textId="77777777" w:rsidR="003229B7" w:rsidRDefault="0032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2C7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72D30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A53A" w14:textId="4C334CC9" w:rsidR="000F3690" w:rsidRPr="00AE044C" w:rsidRDefault="00FB3535"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4579CCB" wp14:editId="5C3DDC25">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B19875"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1806A86"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6838952"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F37E52F" w14:textId="198970D4"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FB3535" w:rsidRPr="00FB3535">
      <w:rPr>
        <w:rFonts w:ascii="Verdana" w:hAnsi="Verdana"/>
        <w:noProof/>
        <w:sz w:val="18"/>
        <w:szCs w:val="18"/>
        <w:lang w:val="en-US" w:eastAsia="en-US"/>
      </w:rPr>
      <w:drawing>
        <wp:inline distT="0" distB="0" distL="0" distR="0" wp14:anchorId="5026CC7F" wp14:editId="77ABEBFE">
          <wp:extent cx="638175" cy="15240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4DECA" w14:textId="77777777" w:rsidR="003229B7" w:rsidRDefault="003229B7">
      <w:r>
        <w:separator/>
      </w:r>
    </w:p>
  </w:footnote>
  <w:footnote w:type="continuationSeparator" w:id="0">
    <w:p w14:paraId="22F6363C" w14:textId="77777777" w:rsidR="003229B7" w:rsidRDefault="0032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E595" w14:textId="58113AA6" w:rsidR="00CC376A" w:rsidRPr="00AE044C" w:rsidRDefault="00FB3535"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r w:rsidR="007D2D0C" w:rsidRPr="00AE044C">
      <w:rPr>
        <w:sz w:val="22"/>
        <w:szCs w:val="22"/>
      </w:rPr>
      <w:t>):</w:t>
    </w:r>
    <w:r>
      <w:rPr>
        <w:noProof/>
      </w:rPr>
      <w:drawing>
        <wp:anchor distT="0" distB="0" distL="114300" distR="114300" simplePos="0" relativeHeight="251663360" behindDoc="1" locked="0" layoutInCell="1" allowOverlap="1" wp14:anchorId="5545490A" wp14:editId="67D456C2">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e02302208</w:t>
    </w:r>
  </w:p>
  <w:p w14:paraId="10912E6B" w14:textId="27876647" w:rsidR="00A477DE" w:rsidRDefault="00FB3535">
    <w:r>
      <w:rPr>
        <w:noProof/>
      </w:rPr>
      <mc:AlternateContent>
        <mc:Choice Requires="wps">
          <w:drawing>
            <wp:anchor distT="0" distB="0" distL="114300" distR="114300" simplePos="0" relativeHeight="251654144" behindDoc="0" locked="0" layoutInCell="1" allowOverlap="1" wp14:anchorId="5E0FEF2E" wp14:editId="7B3B2856">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CC9A64"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3534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35"/>
    <w:rsid w:val="00057F45"/>
    <w:rsid w:val="000D3958"/>
    <w:rsid w:val="000F3690"/>
    <w:rsid w:val="001221D1"/>
    <w:rsid w:val="00165CB5"/>
    <w:rsid w:val="00180CE9"/>
    <w:rsid w:val="00230DD5"/>
    <w:rsid w:val="00250AE9"/>
    <w:rsid w:val="003229B7"/>
    <w:rsid w:val="00380D64"/>
    <w:rsid w:val="00391509"/>
    <w:rsid w:val="003E03D5"/>
    <w:rsid w:val="00486BFA"/>
    <w:rsid w:val="00493701"/>
    <w:rsid w:val="004A0021"/>
    <w:rsid w:val="004E2065"/>
    <w:rsid w:val="005508A2"/>
    <w:rsid w:val="0055115D"/>
    <w:rsid w:val="00566F71"/>
    <w:rsid w:val="005918BD"/>
    <w:rsid w:val="006173A6"/>
    <w:rsid w:val="00675476"/>
    <w:rsid w:val="00714AAB"/>
    <w:rsid w:val="00767B1F"/>
    <w:rsid w:val="007C430F"/>
    <w:rsid w:val="007D2D0C"/>
    <w:rsid w:val="007D614D"/>
    <w:rsid w:val="00944A80"/>
    <w:rsid w:val="00960D6A"/>
    <w:rsid w:val="009A0560"/>
    <w:rsid w:val="009B0917"/>
    <w:rsid w:val="009F0F96"/>
    <w:rsid w:val="00A23C0C"/>
    <w:rsid w:val="00A477DE"/>
    <w:rsid w:val="00A71E65"/>
    <w:rsid w:val="00AE044C"/>
    <w:rsid w:val="00B31971"/>
    <w:rsid w:val="00B4380A"/>
    <w:rsid w:val="00B66ECB"/>
    <w:rsid w:val="00C7523A"/>
    <w:rsid w:val="00C9343D"/>
    <w:rsid w:val="00CC1B6E"/>
    <w:rsid w:val="00CC376A"/>
    <w:rsid w:val="00CC48A1"/>
    <w:rsid w:val="00CF50E0"/>
    <w:rsid w:val="00D85951"/>
    <w:rsid w:val="00E62606"/>
    <w:rsid w:val="00EA1FEF"/>
    <w:rsid w:val="00EC5A6B"/>
    <w:rsid w:val="00EE301D"/>
    <w:rsid w:val="00EE555D"/>
    <w:rsid w:val="00FA7CC1"/>
    <w:rsid w:val="00FB3535"/>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739C4"/>
  <w15:docId w15:val="{DE7C2E34-10C3-476D-8161-C07ADF1C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107-1657" TargetMode="External"/><Relationship Id="rId13" Type="http://schemas.openxmlformats.org/officeDocument/2006/relationships/hyperlink" Target="https://www.minsa.gob.pe/reunis/data/vacunas-covid19.asp" TargetMode="External"/><Relationship Id="rId18" Type="http://schemas.openxmlformats.org/officeDocument/2006/relationships/hyperlink" Target="https://www.dw.com/en/coronavirus-german-care-home-workers-accidentally-given-vaccine-overdose/a-56077717"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rcid.org/0000-0003-4837-8929" TargetMode="External"/><Relationship Id="rId12" Type="http://schemas.openxmlformats.org/officeDocument/2006/relationships/hyperlink" Target="https://onlinelibrary.wiley.com/doi/abs/10.1002/jcla.23937" TargetMode="External"/><Relationship Id="rId17" Type="http://schemas.openxmlformats.org/officeDocument/2006/relationships/hyperlink" Target="https://www.sciencedirect.com/science/article/pii/S000989812100342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vperu.gob.pe/noticias/nacionales/reacciones-reportadas-a-cuarta-dosis-de-vacuna-moderna-contra-el-covid-19-son-normales" TargetMode="External"/><Relationship Id="rId20" Type="http://schemas.openxmlformats.org/officeDocument/2006/relationships/hyperlink" Target="https://www.livescience.com/woman-covid-19-vaccine-six-dos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emergencies/diseases/novel-coronavirus-2019/covid-19-vaccines/advi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da.gov/media/144637/download"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www.abc.net.au/news/2021-02-25/covid19-vaccine-pfizer-dose-mistake-experts/13191010" TargetMode="External"/><Relationship Id="rId4" Type="http://schemas.openxmlformats.org/officeDocument/2006/relationships/webSettings" Target="webSettings.xml"/><Relationship Id="rId9" Type="http://schemas.openxmlformats.org/officeDocument/2006/relationships/hyperlink" Target="mailto:esalvadoroscco@gmail.com" TargetMode="External"/><Relationship Id="rId14" Type="http://schemas.openxmlformats.org/officeDocument/2006/relationships/hyperlink" Target="https://covid19.nih.gov/news-and-stories/mixing-matching-covid-19-vaccine-booster-dose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9</TotalTime>
  <Pages>4</Pages>
  <Words>1140</Words>
  <Characters>6274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7400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7</cp:revision>
  <cp:lastPrinted>2022-12-30T18:36:00Z</cp:lastPrinted>
  <dcterms:created xsi:type="dcterms:W3CDTF">2022-12-30T18:27:00Z</dcterms:created>
  <dcterms:modified xsi:type="dcterms:W3CDTF">2022-12-30T18:36:00Z</dcterms:modified>
</cp:coreProperties>
</file>