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3266" w14:textId="77777777" w:rsidR="007A3F5D" w:rsidRPr="007A3F5D" w:rsidRDefault="007A3F5D" w:rsidP="007A3F5D">
      <w:pPr>
        <w:spacing w:line="360" w:lineRule="auto"/>
        <w:jc w:val="right"/>
        <w:rPr>
          <w:rFonts w:eastAsia="Calibri"/>
          <w:bCs/>
          <w:sz w:val="20"/>
          <w:szCs w:val="20"/>
          <w:lang w:val="es-ES" w:eastAsia="en-US"/>
        </w:rPr>
      </w:pPr>
      <w:r w:rsidRPr="007A3F5D">
        <w:rPr>
          <w:rFonts w:eastAsia="Calibri"/>
          <w:bCs/>
          <w:sz w:val="20"/>
          <w:szCs w:val="20"/>
          <w:lang w:val="es-ES" w:eastAsia="en-US"/>
        </w:rPr>
        <w:t>Artículo de investigación</w:t>
      </w:r>
    </w:p>
    <w:p w14:paraId="333E360B" w14:textId="77777777" w:rsidR="007A3F5D" w:rsidRPr="007A3F5D" w:rsidRDefault="007A3F5D" w:rsidP="007A3F5D">
      <w:pPr>
        <w:spacing w:line="360" w:lineRule="auto"/>
        <w:jc w:val="right"/>
        <w:rPr>
          <w:rFonts w:eastAsia="Calibri"/>
          <w:b/>
          <w:lang w:val="es-ES" w:eastAsia="en-US"/>
        </w:rPr>
      </w:pPr>
    </w:p>
    <w:p w14:paraId="74AC064E" w14:textId="77777777" w:rsidR="007A3F5D" w:rsidRPr="007A3F5D" w:rsidRDefault="007A3F5D" w:rsidP="007A3F5D">
      <w:pPr>
        <w:spacing w:line="360" w:lineRule="auto"/>
        <w:jc w:val="center"/>
        <w:rPr>
          <w:rFonts w:eastAsia="Calibri"/>
          <w:b/>
          <w:sz w:val="28"/>
          <w:szCs w:val="28"/>
          <w:lang w:val="es-ES" w:eastAsia="en-US"/>
        </w:rPr>
      </w:pPr>
      <w:r w:rsidRPr="007A3F5D">
        <w:rPr>
          <w:rFonts w:eastAsia="Calibri"/>
          <w:b/>
          <w:sz w:val="28"/>
          <w:szCs w:val="28"/>
          <w:lang w:val="es-ES" w:eastAsia="en-US"/>
        </w:rPr>
        <w:t>Características y factores pronósticos de pacientes graves con infecciones adquiridas en la comunidad</w:t>
      </w:r>
    </w:p>
    <w:p w14:paraId="067AE087" w14:textId="77777777" w:rsidR="007A3F5D" w:rsidRPr="007A3F5D" w:rsidRDefault="007A3F5D" w:rsidP="007A3F5D">
      <w:pPr>
        <w:spacing w:line="360" w:lineRule="auto"/>
        <w:jc w:val="center"/>
        <w:rPr>
          <w:rFonts w:eastAsia="Calibri"/>
          <w:lang w:val="en-US" w:eastAsia="en-US"/>
        </w:rPr>
      </w:pPr>
      <w:r w:rsidRPr="007A3F5D">
        <w:rPr>
          <w:rFonts w:eastAsia="Calibri"/>
          <w:sz w:val="28"/>
          <w:szCs w:val="28"/>
          <w:lang w:val="en-US" w:eastAsia="en-US"/>
        </w:rPr>
        <w:t>Characteristics and prognosis factors of critically ill patients with community acquired infections</w:t>
      </w:r>
    </w:p>
    <w:p w14:paraId="3304526B" w14:textId="77777777" w:rsidR="007A3F5D" w:rsidRPr="007A3F5D" w:rsidRDefault="007A3F5D" w:rsidP="007A3F5D">
      <w:pPr>
        <w:spacing w:line="360" w:lineRule="auto"/>
        <w:jc w:val="both"/>
        <w:rPr>
          <w:rFonts w:eastAsia="Calibri"/>
          <w:b/>
          <w:lang w:val="en-US" w:eastAsia="en-US"/>
        </w:rPr>
      </w:pPr>
      <w:r w:rsidRPr="007A3F5D">
        <w:rPr>
          <w:rFonts w:eastAsia="Calibri"/>
          <w:b/>
          <w:lang w:val="en-US" w:eastAsia="en-US"/>
        </w:rPr>
        <w:t xml:space="preserve">        </w:t>
      </w:r>
    </w:p>
    <w:p w14:paraId="47DA8F43" w14:textId="77777777" w:rsidR="007A3F5D" w:rsidRPr="007A3F5D" w:rsidRDefault="007A3F5D" w:rsidP="007A3F5D">
      <w:pPr>
        <w:spacing w:line="360" w:lineRule="auto"/>
        <w:jc w:val="both"/>
        <w:rPr>
          <w:rFonts w:eastAsia="Calibri"/>
          <w:bCs/>
          <w:lang w:val="es-CU" w:eastAsia="en-US"/>
        </w:rPr>
      </w:pPr>
      <w:r w:rsidRPr="007A3F5D">
        <w:rPr>
          <w:rFonts w:eastAsia="Calibri"/>
          <w:bCs/>
          <w:lang w:val="es-CU" w:eastAsia="en-US"/>
        </w:rPr>
        <w:t xml:space="preserve">Julio César González </w:t>
      </w:r>
      <w:proofErr w:type="spellStart"/>
      <w:r w:rsidRPr="007A3F5D">
        <w:rPr>
          <w:rFonts w:eastAsia="Calibri"/>
          <w:bCs/>
          <w:lang w:val="es-CU" w:eastAsia="en-US"/>
        </w:rPr>
        <w:t>Aguilera</w:t>
      </w:r>
      <w:r w:rsidRPr="007A3F5D">
        <w:rPr>
          <w:rFonts w:eastAsia="Calibri"/>
          <w:bCs/>
          <w:vertAlign w:val="superscript"/>
          <w:lang w:val="es-CU" w:eastAsia="en-US"/>
        </w:rPr>
        <w:t>1</w:t>
      </w:r>
      <w:proofErr w:type="spellEnd"/>
      <w:r w:rsidRPr="007A3F5D">
        <w:rPr>
          <w:rFonts w:eastAsia="Calibri"/>
          <w:bCs/>
          <w:lang w:val="es-CU" w:eastAsia="en-US"/>
        </w:rPr>
        <w:t xml:space="preserve">* </w:t>
      </w:r>
      <w:hyperlink r:id="rId7" w:history="1">
        <w:r w:rsidRPr="007A3F5D">
          <w:rPr>
            <w:rFonts w:eastAsia="Calibri"/>
            <w:bCs/>
            <w:color w:val="0000FF"/>
            <w:u w:val="single"/>
            <w:lang w:val="es-CU" w:eastAsia="en-US"/>
          </w:rPr>
          <w:t>https://orcid.org/0000-0003-3914-2631</w:t>
        </w:r>
      </w:hyperlink>
      <w:r w:rsidRPr="007A3F5D">
        <w:rPr>
          <w:rFonts w:eastAsia="Calibri"/>
          <w:bCs/>
          <w:lang w:val="es-CU" w:eastAsia="en-US"/>
        </w:rPr>
        <w:t xml:space="preserve"> </w:t>
      </w:r>
    </w:p>
    <w:p w14:paraId="26B6E69E" w14:textId="77777777" w:rsidR="007A3F5D" w:rsidRPr="007A3F5D" w:rsidRDefault="007A3F5D" w:rsidP="007A3F5D">
      <w:pPr>
        <w:spacing w:line="360" w:lineRule="auto"/>
        <w:jc w:val="both"/>
        <w:rPr>
          <w:rFonts w:eastAsia="Calibri"/>
          <w:bCs/>
          <w:lang w:val="es-CU" w:eastAsia="en-US"/>
        </w:rPr>
      </w:pPr>
      <w:r w:rsidRPr="007A3F5D">
        <w:rPr>
          <w:rFonts w:eastAsia="Calibri"/>
          <w:bCs/>
          <w:lang w:val="es-CU" w:eastAsia="en-US"/>
        </w:rPr>
        <w:t xml:space="preserve">Jorge Omar Cabrera </w:t>
      </w:r>
      <w:proofErr w:type="spellStart"/>
      <w:r w:rsidRPr="007A3F5D">
        <w:rPr>
          <w:rFonts w:eastAsia="Calibri"/>
          <w:bCs/>
          <w:lang w:val="es-CU" w:eastAsia="en-US"/>
        </w:rPr>
        <w:t>Lavernia</w:t>
      </w:r>
      <w:r w:rsidRPr="007A3F5D">
        <w:rPr>
          <w:rFonts w:eastAsia="Calibri"/>
          <w:bCs/>
          <w:vertAlign w:val="superscript"/>
          <w:lang w:val="es-CU" w:eastAsia="en-US"/>
        </w:rPr>
        <w:t>1</w:t>
      </w:r>
      <w:proofErr w:type="spellEnd"/>
      <w:r w:rsidRPr="007A3F5D">
        <w:rPr>
          <w:rFonts w:eastAsia="Calibri"/>
          <w:bCs/>
          <w:lang w:val="es-CU" w:eastAsia="en-US"/>
        </w:rPr>
        <w:t xml:space="preserve"> </w:t>
      </w:r>
      <w:hyperlink r:id="rId8" w:history="1">
        <w:r w:rsidRPr="007A3F5D">
          <w:rPr>
            <w:rFonts w:eastAsia="Calibri"/>
            <w:bCs/>
            <w:color w:val="0000FF"/>
            <w:u w:val="single"/>
            <w:lang w:val="es-CU" w:eastAsia="en-US"/>
          </w:rPr>
          <w:t>https://orcid.org/0000-0002-8560-1651</w:t>
        </w:r>
      </w:hyperlink>
      <w:r w:rsidRPr="007A3F5D">
        <w:rPr>
          <w:rFonts w:eastAsia="Calibri"/>
          <w:bCs/>
          <w:lang w:val="es-CU" w:eastAsia="en-US"/>
        </w:rPr>
        <w:t xml:space="preserve"> </w:t>
      </w:r>
    </w:p>
    <w:p w14:paraId="51B9F6BE" w14:textId="77777777" w:rsidR="007A3F5D" w:rsidRPr="007A3F5D" w:rsidRDefault="007A3F5D" w:rsidP="007A3F5D">
      <w:pPr>
        <w:spacing w:line="360" w:lineRule="auto"/>
        <w:jc w:val="both"/>
        <w:rPr>
          <w:rFonts w:eastAsia="Calibri"/>
          <w:bCs/>
          <w:lang w:val="es-CU" w:eastAsia="en-US"/>
        </w:rPr>
      </w:pPr>
      <w:proofErr w:type="spellStart"/>
      <w:r w:rsidRPr="007A3F5D">
        <w:rPr>
          <w:rFonts w:eastAsia="Calibri"/>
          <w:bCs/>
          <w:lang w:val="es-CU" w:eastAsia="en-US"/>
        </w:rPr>
        <w:t>Yoleinis</w:t>
      </w:r>
      <w:proofErr w:type="spellEnd"/>
      <w:r w:rsidRPr="007A3F5D">
        <w:rPr>
          <w:rFonts w:eastAsia="Calibri"/>
          <w:bCs/>
          <w:lang w:val="es-CU" w:eastAsia="en-US"/>
        </w:rPr>
        <w:t xml:space="preserve"> Esperanza </w:t>
      </w:r>
      <w:proofErr w:type="spellStart"/>
      <w:r w:rsidRPr="007A3F5D">
        <w:rPr>
          <w:rFonts w:eastAsia="Calibri"/>
          <w:bCs/>
          <w:lang w:val="es-CU" w:eastAsia="en-US"/>
        </w:rPr>
        <w:t>Vazquez</w:t>
      </w:r>
      <w:proofErr w:type="spellEnd"/>
      <w:r w:rsidRPr="007A3F5D">
        <w:rPr>
          <w:rFonts w:eastAsia="Calibri"/>
          <w:bCs/>
          <w:lang w:val="es-CU" w:eastAsia="en-US"/>
        </w:rPr>
        <w:t xml:space="preserve"> </w:t>
      </w:r>
      <w:proofErr w:type="spellStart"/>
      <w:r w:rsidRPr="007A3F5D">
        <w:rPr>
          <w:rFonts w:eastAsia="Calibri"/>
          <w:bCs/>
          <w:lang w:val="es-CU" w:eastAsia="en-US"/>
        </w:rPr>
        <w:t>Belizon</w:t>
      </w:r>
      <w:r w:rsidRPr="007A3F5D">
        <w:rPr>
          <w:rFonts w:eastAsia="Calibri"/>
          <w:bCs/>
          <w:vertAlign w:val="superscript"/>
          <w:lang w:val="es-CU" w:eastAsia="en-US"/>
        </w:rPr>
        <w:t>1</w:t>
      </w:r>
      <w:proofErr w:type="spellEnd"/>
      <w:r w:rsidRPr="007A3F5D">
        <w:rPr>
          <w:rFonts w:eastAsia="Calibri"/>
          <w:bCs/>
          <w:lang w:val="es-CU" w:eastAsia="en-US"/>
        </w:rPr>
        <w:t xml:space="preserve"> </w:t>
      </w:r>
      <w:hyperlink r:id="rId9" w:history="1">
        <w:r w:rsidRPr="007A3F5D">
          <w:rPr>
            <w:rFonts w:eastAsia="Calibri"/>
            <w:bCs/>
            <w:color w:val="0000FF"/>
            <w:u w:val="single"/>
            <w:lang w:val="es-CU" w:eastAsia="en-US"/>
          </w:rPr>
          <w:t>https://orcid.org/0000-0001-6500-6049</w:t>
        </w:r>
      </w:hyperlink>
      <w:r w:rsidRPr="007A3F5D">
        <w:rPr>
          <w:rFonts w:eastAsia="Calibri"/>
          <w:bCs/>
          <w:lang w:val="es-CU" w:eastAsia="en-US"/>
        </w:rPr>
        <w:t xml:space="preserve"> </w:t>
      </w:r>
    </w:p>
    <w:p w14:paraId="663BAB77" w14:textId="77777777" w:rsidR="007A3F5D" w:rsidRPr="007A3F5D" w:rsidRDefault="007A3F5D" w:rsidP="007A3F5D">
      <w:pPr>
        <w:spacing w:line="360" w:lineRule="auto"/>
        <w:jc w:val="both"/>
        <w:rPr>
          <w:rFonts w:eastAsia="Calibri"/>
          <w:bCs/>
          <w:lang w:val="es-CU" w:eastAsia="en-US"/>
        </w:rPr>
      </w:pPr>
      <w:r w:rsidRPr="007A3F5D">
        <w:rPr>
          <w:rFonts w:eastAsia="Calibri"/>
          <w:bCs/>
          <w:lang w:val="es-CU" w:eastAsia="en-US"/>
        </w:rPr>
        <w:t xml:space="preserve">Armando Arias </w:t>
      </w:r>
      <w:proofErr w:type="spellStart"/>
      <w:r w:rsidRPr="007A3F5D">
        <w:rPr>
          <w:rFonts w:eastAsia="Calibri"/>
          <w:bCs/>
          <w:lang w:val="es-CU" w:eastAsia="en-US"/>
        </w:rPr>
        <w:t>Ortiz</w:t>
      </w:r>
      <w:r w:rsidRPr="007A3F5D">
        <w:rPr>
          <w:rFonts w:eastAsia="Calibri"/>
          <w:bCs/>
          <w:vertAlign w:val="superscript"/>
          <w:lang w:val="es-CU" w:eastAsia="en-US"/>
        </w:rPr>
        <w:t>1</w:t>
      </w:r>
      <w:proofErr w:type="spellEnd"/>
      <w:r w:rsidRPr="007A3F5D">
        <w:rPr>
          <w:rFonts w:eastAsia="Calibri"/>
          <w:bCs/>
          <w:lang w:val="es-CU" w:eastAsia="en-US"/>
        </w:rPr>
        <w:t xml:space="preserve"> </w:t>
      </w:r>
      <w:hyperlink r:id="rId10" w:history="1">
        <w:r w:rsidRPr="007A3F5D">
          <w:rPr>
            <w:rFonts w:eastAsia="Calibri"/>
            <w:bCs/>
            <w:color w:val="0000FF"/>
            <w:u w:val="single"/>
            <w:lang w:val="es-CU" w:eastAsia="en-US"/>
          </w:rPr>
          <w:t>https://orcid.org/0000-0003-4592-1789</w:t>
        </w:r>
      </w:hyperlink>
      <w:r w:rsidRPr="007A3F5D">
        <w:rPr>
          <w:rFonts w:eastAsia="Calibri"/>
          <w:bCs/>
          <w:lang w:val="es-CU" w:eastAsia="en-US"/>
        </w:rPr>
        <w:t xml:space="preserve"> </w:t>
      </w:r>
    </w:p>
    <w:p w14:paraId="1A2DE945" w14:textId="77777777" w:rsidR="007A3F5D" w:rsidRPr="007A3F5D" w:rsidRDefault="007A3F5D" w:rsidP="007A3F5D">
      <w:pPr>
        <w:spacing w:line="360" w:lineRule="auto"/>
        <w:jc w:val="both"/>
        <w:rPr>
          <w:rFonts w:eastAsia="Calibri"/>
          <w:bCs/>
          <w:lang w:val="es-CU" w:eastAsia="en-US"/>
        </w:rPr>
      </w:pPr>
      <w:r w:rsidRPr="007A3F5D">
        <w:rPr>
          <w:rFonts w:eastAsia="Calibri"/>
          <w:bCs/>
          <w:lang w:val="es-CU" w:eastAsia="en-US"/>
        </w:rPr>
        <w:t xml:space="preserve">Sandra Amalia Sánchez </w:t>
      </w:r>
      <w:proofErr w:type="spellStart"/>
      <w:r w:rsidRPr="007A3F5D">
        <w:rPr>
          <w:rFonts w:eastAsia="Calibri"/>
          <w:bCs/>
          <w:lang w:val="es-CU" w:eastAsia="en-US"/>
        </w:rPr>
        <w:t>Figueredo</w:t>
      </w:r>
      <w:r w:rsidRPr="007A3F5D">
        <w:rPr>
          <w:rFonts w:eastAsia="Calibri"/>
          <w:bCs/>
          <w:vertAlign w:val="superscript"/>
          <w:lang w:val="es-CU" w:eastAsia="en-US"/>
        </w:rPr>
        <w:t>1</w:t>
      </w:r>
      <w:proofErr w:type="spellEnd"/>
      <w:r w:rsidRPr="007A3F5D">
        <w:rPr>
          <w:rFonts w:eastAsia="Calibri"/>
          <w:bCs/>
          <w:lang w:val="es-CU" w:eastAsia="en-US"/>
        </w:rPr>
        <w:t xml:space="preserve"> </w:t>
      </w:r>
      <w:hyperlink r:id="rId11" w:history="1">
        <w:r w:rsidRPr="007A3F5D">
          <w:rPr>
            <w:rFonts w:eastAsia="Calibri"/>
            <w:bCs/>
            <w:color w:val="0000FF"/>
            <w:u w:val="single"/>
            <w:lang w:val="es-CU" w:eastAsia="en-US"/>
          </w:rPr>
          <w:t>https://orcid.org/0000-0001-6154-6347</w:t>
        </w:r>
      </w:hyperlink>
      <w:r w:rsidRPr="007A3F5D">
        <w:rPr>
          <w:rFonts w:eastAsia="Calibri"/>
          <w:bCs/>
          <w:lang w:val="es-CU" w:eastAsia="en-US"/>
        </w:rPr>
        <w:t xml:space="preserve"> </w:t>
      </w:r>
    </w:p>
    <w:p w14:paraId="6E5ACB43" w14:textId="77777777" w:rsidR="007A3F5D" w:rsidRPr="007A3F5D" w:rsidRDefault="007A3F5D" w:rsidP="007A3F5D">
      <w:pPr>
        <w:spacing w:line="360" w:lineRule="auto"/>
        <w:jc w:val="both"/>
        <w:rPr>
          <w:rFonts w:eastAsia="Calibri"/>
          <w:bCs/>
          <w:lang w:val="es-CU" w:eastAsia="en-US"/>
        </w:rPr>
      </w:pPr>
    </w:p>
    <w:p w14:paraId="2C34C952" w14:textId="77777777" w:rsidR="007A3F5D" w:rsidRPr="007A3F5D" w:rsidRDefault="007A3F5D" w:rsidP="007A3F5D">
      <w:pPr>
        <w:spacing w:line="360" w:lineRule="auto"/>
        <w:jc w:val="both"/>
        <w:rPr>
          <w:rFonts w:eastAsia="Calibri"/>
          <w:bCs/>
          <w:lang w:val="es-CU" w:eastAsia="en-US"/>
        </w:rPr>
      </w:pPr>
      <w:proofErr w:type="spellStart"/>
      <w:r w:rsidRPr="007A3F5D">
        <w:rPr>
          <w:rFonts w:eastAsia="Calibri"/>
          <w:bCs/>
          <w:vertAlign w:val="superscript"/>
          <w:lang w:val="es-CU" w:eastAsia="en-US"/>
        </w:rPr>
        <w:t>1</w:t>
      </w:r>
      <w:r w:rsidRPr="007A3F5D">
        <w:rPr>
          <w:rFonts w:eastAsia="Calibri"/>
          <w:bCs/>
          <w:lang w:val="es-CU" w:eastAsia="en-US"/>
        </w:rPr>
        <w:t>Hospital</w:t>
      </w:r>
      <w:proofErr w:type="spellEnd"/>
      <w:r w:rsidRPr="007A3F5D">
        <w:rPr>
          <w:rFonts w:eastAsia="Calibri"/>
          <w:bCs/>
          <w:lang w:val="es-CU" w:eastAsia="en-US"/>
        </w:rPr>
        <w:t xml:space="preserve"> General Provincial “Carlos Manuel de </w:t>
      </w:r>
      <w:proofErr w:type="spellStart"/>
      <w:r w:rsidRPr="007A3F5D">
        <w:rPr>
          <w:rFonts w:eastAsia="Calibri"/>
          <w:bCs/>
          <w:lang w:val="es-CU" w:eastAsia="en-US"/>
        </w:rPr>
        <w:t>Céspedes</w:t>
      </w:r>
      <w:proofErr w:type="spellEnd"/>
      <w:r w:rsidRPr="007A3F5D">
        <w:rPr>
          <w:rFonts w:eastAsia="Calibri"/>
          <w:bCs/>
          <w:lang w:val="es-CU" w:eastAsia="en-US"/>
        </w:rPr>
        <w:t>”. Bayamo, Granma, Cuba.</w:t>
      </w:r>
    </w:p>
    <w:p w14:paraId="001C0B8F" w14:textId="77777777" w:rsidR="007A3F5D" w:rsidRPr="007A3F5D" w:rsidRDefault="007A3F5D" w:rsidP="007A3F5D">
      <w:pPr>
        <w:spacing w:line="360" w:lineRule="auto"/>
        <w:jc w:val="both"/>
        <w:rPr>
          <w:rFonts w:eastAsia="Calibri"/>
          <w:bCs/>
          <w:lang w:val="es-CU" w:eastAsia="en-US"/>
        </w:rPr>
      </w:pPr>
    </w:p>
    <w:p w14:paraId="4EF42C57" w14:textId="77777777" w:rsidR="007A3F5D" w:rsidRPr="007A3F5D" w:rsidRDefault="007A3F5D" w:rsidP="007A3F5D">
      <w:pPr>
        <w:spacing w:line="360" w:lineRule="auto"/>
        <w:jc w:val="both"/>
        <w:rPr>
          <w:rFonts w:eastAsia="Calibri"/>
          <w:bCs/>
          <w:lang w:val="es-CU" w:eastAsia="en-US"/>
        </w:rPr>
      </w:pPr>
      <w:r w:rsidRPr="007A3F5D">
        <w:rPr>
          <w:rFonts w:eastAsia="Calibri"/>
          <w:bCs/>
          <w:lang w:val="es-CU" w:eastAsia="en-US"/>
        </w:rPr>
        <w:t xml:space="preserve">*Autor para la correspondencia. Correo electrónico: </w:t>
      </w:r>
      <w:hyperlink r:id="rId12" w:history="1">
        <w:r w:rsidRPr="007A3F5D">
          <w:rPr>
            <w:rFonts w:eastAsia="Calibri"/>
            <w:bCs/>
            <w:color w:val="0000FF"/>
            <w:u w:val="single"/>
            <w:lang w:val="es-CU" w:eastAsia="en-US"/>
          </w:rPr>
          <w:t>julio.grm@infomed.sld.cu</w:t>
        </w:r>
      </w:hyperlink>
      <w:r w:rsidRPr="007A3F5D">
        <w:rPr>
          <w:rFonts w:eastAsia="Calibri"/>
          <w:bCs/>
          <w:lang w:val="es-CU" w:eastAsia="en-US"/>
        </w:rPr>
        <w:t xml:space="preserve"> </w:t>
      </w:r>
    </w:p>
    <w:p w14:paraId="0855D2B6" w14:textId="77777777" w:rsidR="007A3F5D" w:rsidRPr="007A3F5D" w:rsidRDefault="007A3F5D" w:rsidP="007A3F5D">
      <w:pPr>
        <w:spacing w:line="360" w:lineRule="auto"/>
        <w:jc w:val="both"/>
        <w:rPr>
          <w:rFonts w:eastAsia="Calibri"/>
          <w:bCs/>
          <w:lang w:val="es-CU" w:eastAsia="en-US"/>
        </w:rPr>
      </w:pPr>
    </w:p>
    <w:p w14:paraId="5F814E75" w14:textId="77777777" w:rsidR="007A3F5D" w:rsidRPr="007A3F5D" w:rsidRDefault="007A3F5D" w:rsidP="007A3F5D">
      <w:pPr>
        <w:spacing w:line="360" w:lineRule="auto"/>
        <w:jc w:val="both"/>
        <w:rPr>
          <w:rFonts w:eastAsia="Calibri"/>
          <w:b/>
          <w:lang w:val="es-ES" w:eastAsia="en-US"/>
        </w:rPr>
      </w:pPr>
      <w:r w:rsidRPr="007A3F5D">
        <w:rPr>
          <w:rFonts w:eastAsia="Calibri"/>
          <w:b/>
          <w:lang w:val="es-ES" w:eastAsia="en-US"/>
        </w:rPr>
        <w:t xml:space="preserve">RESUMEN  </w:t>
      </w:r>
    </w:p>
    <w:p w14:paraId="7EABBD23" w14:textId="77777777" w:rsidR="007A3F5D" w:rsidRPr="007A3F5D" w:rsidRDefault="007A3F5D" w:rsidP="007A3F5D">
      <w:pPr>
        <w:spacing w:line="360" w:lineRule="auto"/>
        <w:jc w:val="both"/>
        <w:rPr>
          <w:rFonts w:eastAsia="Calibri"/>
          <w:lang w:val="es-ES" w:eastAsia="en-US"/>
        </w:rPr>
      </w:pPr>
      <w:r w:rsidRPr="007A3F5D">
        <w:rPr>
          <w:rFonts w:eastAsia="Calibri"/>
          <w:b/>
          <w:lang w:val="es-ES" w:eastAsia="en-US"/>
        </w:rPr>
        <w:t xml:space="preserve">Introducción: </w:t>
      </w:r>
      <w:r w:rsidRPr="007A3F5D">
        <w:rPr>
          <w:rFonts w:eastAsia="Calibri"/>
          <w:lang w:val="es-ES" w:eastAsia="en-US"/>
        </w:rPr>
        <w:t>Los pacientes con infecciones adquiridas en la comunidad requieren de atención en las unidades de cuidados intensivos.</w:t>
      </w:r>
    </w:p>
    <w:p w14:paraId="1D83D15E" w14:textId="77777777" w:rsidR="007A3F5D" w:rsidRPr="007A3F5D" w:rsidRDefault="007A3F5D" w:rsidP="007A3F5D">
      <w:pPr>
        <w:spacing w:line="360" w:lineRule="auto"/>
        <w:jc w:val="both"/>
        <w:rPr>
          <w:rFonts w:eastAsia="Calibri"/>
          <w:lang w:val="es-ES" w:eastAsia="en-US"/>
        </w:rPr>
      </w:pPr>
      <w:r w:rsidRPr="007A3F5D">
        <w:rPr>
          <w:rFonts w:eastAsia="Calibri"/>
          <w:b/>
          <w:lang w:val="es-ES" w:eastAsia="en-US"/>
        </w:rPr>
        <w:t>Objetivo:</w:t>
      </w:r>
      <w:r w:rsidRPr="007A3F5D">
        <w:rPr>
          <w:rFonts w:eastAsia="Calibri"/>
          <w:lang w:val="es-ES" w:eastAsia="en-US"/>
        </w:rPr>
        <w:t xml:space="preserve"> Identificar las características y factores pronósticos de los pacientes graves con infecciones adquiridas en la comunidad. </w:t>
      </w:r>
    </w:p>
    <w:p w14:paraId="6503BB1E" w14:textId="77777777" w:rsidR="007A3F5D" w:rsidRPr="007A3F5D" w:rsidRDefault="007A3F5D" w:rsidP="007A3F5D">
      <w:pPr>
        <w:spacing w:line="360" w:lineRule="auto"/>
        <w:jc w:val="both"/>
        <w:rPr>
          <w:rFonts w:eastAsia="Calibri"/>
          <w:lang w:val="es-ES" w:eastAsia="en-US"/>
        </w:rPr>
      </w:pPr>
      <w:r w:rsidRPr="007A3F5D">
        <w:rPr>
          <w:rFonts w:eastAsia="Calibri"/>
          <w:b/>
          <w:lang w:val="es-ES" w:eastAsia="en-US"/>
        </w:rPr>
        <w:t>Métodos</w:t>
      </w:r>
      <w:r w:rsidRPr="007A3F5D">
        <w:rPr>
          <w:rFonts w:eastAsia="Calibri"/>
          <w:b/>
          <w:bCs/>
          <w:lang w:val="es-ES" w:eastAsia="en-US"/>
        </w:rPr>
        <w:t>:</w:t>
      </w:r>
      <w:r w:rsidRPr="007A3F5D">
        <w:rPr>
          <w:rFonts w:eastAsia="Calibri"/>
          <w:lang w:val="es-ES" w:eastAsia="en-US"/>
        </w:rPr>
        <w:t xml:space="preserve"> Estudio de cohorte en 160 pacientes </w:t>
      </w:r>
      <w:r w:rsidRPr="007A3F5D">
        <w:rPr>
          <w:rFonts w:eastAsia="Calibri"/>
          <w:lang w:val="es-VE" w:eastAsia="it-IT"/>
        </w:rPr>
        <w:t>ingresados en la unidad de cuidados intensivos por más de 48 horas.</w:t>
      </w:r>
      <w:r w:rsidRPr="007A3F5D">
        <w:rPr>
          <w:rFonts w:eastAsia="Calibri"/>
          <w:lang w:val="es-ES" w:eastAsia="en-US"/>
        </w:rPr>
        <w:t xml:space="preserve"> Se definieron las variables edad, sexo, índice APACHE II,</w:t>
      </w:r>
      <w:r w:rsidRPr="007A3F5D">
        <w:rPr>
          <w:rFonts w:eastAsia="Calibri"/>
          <w:i/>
          <w:lang w:val="es-ES" w:eastAsia="en-US"/>
        </w:rPr>
        <w:t xml:space="preserve"> </w:t>
      </w:r>
      <w:r w:rsidRPr="007A3F5D">
        <w:rPr>
          <w:rFonts w:eastAsia="Calibri"/>
          <w:lang w:val="es-ES" w:eastAsia="en-US"/>
        </w:rPr>
        <w:t>escala</w:t>
      </w:r>
      <w:r w:rsidRPr="007A3F5D">
        <w:rPr>
          <w:rFonts w:eastAsia="Calibri"/>
          <w:i/>
          <w:lang w:val="es-ES" w:eastAsia="en-US"/>
        </w:rPr>
        <w:t xml:space="preserve"> </w:t>
      </w:r>
      <w:r w:rsidRPr="007A3F5D">
        <w:rPr>
          <w:rFonts w:eastAsia="Calibri"/>
          <w:lang w:val="es-ES" w:eastAsia="en-US"/>
        </w:rPr>
        <w:t>SOFA, origen de los pacientes, estadio de la sepsis, comorbilidad, localización de la infección y procedimientos terapéuticos.</w:t>
      </w:r>
    </w:p>
    <w:p w14:paraId="5B2E6209" w14:textId="77777777" w:rsidR="007A3F5D" w:rsidRPr="007A3F5D" w:rsidRDefault="007A3F5D" w:rsidP="007A3F5D">
      <w:pPr>
        <w:spacing w:line="360" w:lineRule="auto"/>
        <w:jc w:val="both"/>
        <w:rPr>
          <w:rFonts w:eastAsia="Calibri"/>
          <w:lang w:val="es-ES" w:eastAsia="en-US"/>
        </w:rPr>
      </w:pPr>
      <w:r w:rsidRPr="007A3F5D">
        <w:rPr>
          <w:rFonts w:eastAsia="Calibri"/>
          <w:b/>
          <w:lang w:val="es-ES" w:eastAsia="en-US"/>
        </w:rPr>
        <w:t xml:space="preserve">Resultados: </w:t>
      </w:r>
      <w:r w:rsidRPr="007A3F5D">
        <w:rPr>
          <w:rFonts w:eastAsia="Calibri"/>
          <w:lang w:val="es-ES" w:eastAsia="en-US"/>
        </w:rPr>
        <w:t xml:space="preserve">El 58,1 % de los pacientes fueron mujeres. La edad promedio en fallecidos fue de 52,5 años y de 39,9 años en vivos (p= 0,015). El APACHE II medio en fallecidos alcanzó 22,2 (IC95 %: 18,1-26,2) (p= 0,000). La frecuencia de inmunosupresión, neutropenia y neoplasias (p&lt; 0,05) mostró diferencias </w:t>
      </w:r>
      <w:r w:rsidRPr="007A3F5D">
        <w:rPr>
          <w:rFonts w:eastAsia="Calibri"/>
          <w:lang w:val="es-ES" w:eastAsia="en-US"/>
        </w:rPr>
        <w:lastRenderedPageBreak/>
        <w:t xml:space="preserve">entre vivos y fallecidos; la neumonía como localización (46,7 % vs. 17,9 %; p= 0,007). La infección intraabdominal (40,0 %), la neumonía (20,6 %) y la infección urinaria (8,8 %) representaron las principales localizaciones de las infecciones adquiridas en la comunidad. En el modelo de regresión logística binaria el APACHE II (OR= 5,96, IC95 %: 1,02-34,8) y el SOFA (OR= 5,68, IC95 %: 1,4-21,7) constituyeron factores pronósticos. </w:t>
      </w:r>
    </w:p>
    <w:p w14:paraId="1D73E1F1" w14:textId="77777777" w:rsidR="007A3F5D" w:rsidRPr="007A3F5D" w:rsidRDefault="007A3F5D" w:rsidP="007A3F5D">
      <w:pPr>
        <w:spacing w:line="360" w:lineRule="auto"/>
        <w:jc w:val="both"/>
        <w:rPr>
          <w:rFonts w:eastAsia="Calibri"/>
          <w:vertAlign w:val="superscript"/>
          <w:lang w:val="es-ES" w:eastAsia="en-US"/>
        </w:rPr>
      </w:pPr>
      <w:r w:rsidRPr="007A3F5D">
        <w:rPr>
          <w:rFonts w:eastAsia="Calibri"/>
          <w:b/>
          <w:lang w:val="es-ES" w:eastAsia="en-US"/>
        </w:rPr>
        <w:t>Conclusiones</w:t>
      </w:r>
      <w:r w:rsidRPr="007A3F5D">
        <w:rPr>
          <w:rFonts w:eastAsia="Calibri"/>
          <w:b/>
          <w:bCs/>
          <w:lang w:val="es-ES" w:eastAsia="en-US"/>
        </w:rPr>
        <w:t>:</w:t>
      </w:r>
      <w:r w:rsidRPr="007A3F5D">
        <w:rPr>
          <w:rFonts w:eastAsia="Calibri"/>
          <w:lang w:val="es-ES" w:eastAsia="en-US"/>
        </w:rPr>
        <w:t xml:space="preserve"> Los pacientes se caracterizan por estar en la cuarta década de la vida, pertenecer al sexo femenino, tener diabetes mellitus, inmunosupresión o neoplasias y localizaciones como la infección intraabdominal y neumonía, principalmente. El APACHE II y el SOFA constituyen los factores pronósticos de muerte. </w:t>
      </w:r>
    </w:p>
    <w:p w14:paraId="01AF98E5" w14:textId="77777777" w:rsidR="007A3F5D" w:rsidRPr="007A3F5D" w:rsidRDefault="007A3F5D" w:rsidP="007A3F5D">
      <w:pPr>
        <w:spacing w:line="360" w:lineRule="auto"/>
        <w:jc w:val="both"/>
        <w:rPr>
          <w:rFonts w:eastAsia="Calibri"/>
          <w:lang w:val="es-ES" w:eastAsia="en-US"/>
        </w:rPr>
      </w:pPr>
      <w:r w:rsidRPr="007A3F5D">
        <w:rPr>
          <w:rFonts w:eastAsia="Calibri"/>
          <w:b/>
          <w:lang w:val="es-ES" w:eastAsia="en-US"/>
        </w:rPr>
        <w:t>Palabras clave</w:t>
      </w:r>
      <w:r w:rsidRPr="007A3F5D">
        <w:rPr>
          <w:rFonts w:eastAsia="Calibri"/>
          <w:b/>
          <w:bCs/>
          <w:lang w:val="es-ES" w:eastAsia="en-US"/>
        </w:rPr>
        <w:t>:</w:t>
      </w:r>
      <w:r w:rsidRPr="007A3F5D">
        <w:rPr>
          <w:rFonts w:eastAsia="Calibri"/>
          <w:lang w:val="es-ES" w:eastAsia="en-US"/>
        </w:rPr>
        <w:t xml:space="preserve"> infecciones adquiridas en la comunidad; unidad de cuidados intensivos; factores pronósticos; epidemiología; mortalidad. </w:t>
      </w:r>
    </w:p>
    <w:p w14:paraId="48894176" w14:textId="77777777" w:rsidR="007A3F5D" w:rsidRPr="007A3F5D" w:rsidRDefault="007A3F5D" w:rsidP="007A3F5D">
      <w:pPr>
        <w:spacing w:line="360" w:lineRule="auto"/>
        <w:jc w:val="both"/>
        <w:rPr>
          <w:rFonts w:eastAsia="Calibri"/>
          <w:b/>
          <w:lang w:val="es-CU" w:eastAsia="en-US"/>
        </w:rPr>
      </w:pPr>
    </w:p>
    <w:p w14:paraId="54A13584" w14:textId="77777777" w:rsidR="007A3F5D" w:rsidRPr="007A3F5D" w:rsidRDefault="007A3F5D" w:rsidP="007A3F5D">
      <w:pPr>
        <w:spacing w:line="360" w:lineRule="auto"/>
        <w:jc w:val="both"/>
        <w:rPr>
          <w:rFonts w:eastAsia="Calibri"/>
          <w:b/>
          <w:lang w:val="en-US" w:eastAsia="en-US"/>
        </w:rPr>
      </w:pPr>
      <w:r w:rsidRPr="007A3F5D">
        <w:rPr>
          <w:rFonts w:eastAsia="Calibri"/>
          <w:b/>
          <w:lang w:val="en-US" w:eastAsia="en-US"/>
        </w:rPr>
        <w:t xml:space="preserve">ABSTRACT </w:t>
      </w:r>
    </w:p>
    <w:p w14:paraId="478EFE24" w14:textId="77777777" w:rsidR="007A3F5D" w:rsidRPr="007A3F5D" w:rsidRDefault="007A3F5D" w:rsidP="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x-none"/>
        </w:rPr>
      </w:pPr>
      <w:r w:rsidRPr="007A3F5D">
        <w:rPr>
          <w:b/>
          <w:bCs/>
          <w:lang w:val="en-US" w:eastAsia="x-none"/>
        </w:rPr>
        <w:t>Introduction:</w:t>
      </w:r>
      <w:r w:rsidRPr="007A3F5D">
        <w:rPr>
          <w:lang w:val="en" w:eastAsia="x-none"/>
        </w:rPr>
        <w:t xml:space="preserve"> Patients with community-acquired infections require assistance in intensive care units.</w:t>
      </w:r>
    </w:p>
    <w:p w14:paraId="53B88837" w14:textId="77777777" w:rsidR="007A3F5D" w:rsidRPr="007A3F5D" w:rsidRDefault="007A3F5D" w:rsidP="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x-none"/>
        </w:rPr>
      </w:pPr>
      <w:r w:rsidRPr="007A3F5D">
        <w:rPr>
          <w:b/>
          <w:bCs/>
          <w:lang w:val="en-US" w:eastAsia="x-none"/>
        </w:rPr>
        <w:t>Objective:</w:t>
      </w:r>
      <w:r w:rsidRPr="007A3F5D">
        <w:rPr>
          <w:lang w:val="en-US" w:eastAsia="x-none"/>
        </w:rPr>
        <w:t xml:space="preserve"> To identify characteristics and prognostic factors of critically ill patients with </w:t>
      </w:r>
      <w:r w:rsidRPr="007A3F5D">
        <w:rPr>
          <w:lang w:val="en" w:eastAsia="x-none"/>
        </w:rPr>
        <w:t>community-acquired infections</w:t>
      </w:r>
      <w:r w:rsidRPr="007A3F5D">
        <w:rPr>
          <w:lang w:val="en-US" w:eastAsia="x-none"/>
        </w:rPr>
        <w:t>.</w:t>
      </w:r>
    </w:p>
    <w:p w14:paraId="694E775A" w14:textId="77777777" w:rsidR="007A3F5D" w:rsidRPr="007A3F5D" w:rsidRDefault="007A3F5D" w:rsidP="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x-none"/>
        </w:rPr>
      </w:pPr>
      <w:r w:rsidRPr="007A3F5D">
        <w:rPr>
          <w:b/>
          <w:bCs/>
          <w:lang w:val="en-US" w:eastAsia="x-none"/>
        </w:rPr>
        <w:t>Methods:</w:t>
      </w:r>
      <w:r w:rsidRPr="007A3F5D">
        <w:rPr>
          <w:lang w:val="en-US" w:eastAsia="x-none"/>
        </w:rPr>
        <w:t xml:space="preserve"> A cohort study was carried out in 160 patients admitted to the intensive care unit for more than 48 hours. Variables age, sex, APACHE II index, SOFA scale, origin of the patients, stage of sepsis, comorbidity, location of the infection and therapeutic procedures were defined. </w:t>
      </w:r>
    </w:p>
    <w:p w14:paraId="02459B94" w14:textId="77777777" w:rsidR="007A3F5D" w:rsidRPr="007A3F5D" w:rsidRDefault="007A3F5D" w:rsidP="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x-none"/>
        </w:rPr>
      </w:pPr>
      <w:r w:rsidRPr="007A3F5D">
        <w:rPr>
          <w:b/>
          <w:bCs/>
          <w:lang w:val="en-US" w:eastAsia="x-none"/>
        </w:rPr>
        <w:t xml:space="preserve">Results: </w:t>
      </w:r>
      <w:r w:rsidRPr="007A3F5D">
        <w:rPr>
          <w:lang w:val="en-US" w:eastAsia="x-none"/>
        </w:rPr>
        <w:t xml:space="preserve">58.1% of the patients were women. The median age in deceased patients was 52.5 years and 39.9 years in living (p= 0.015). The mean APACHE II in deceased patients was 22.2 points (95% CI; 18.1-26.2) (p= 0.000). The frequency of immunosuppression, neutropenia and neoplasms (p&lt; 0.05) showed differences between living and deceased; and pneumonia as location (46.7% vs. 17.9; p= 0.007). Intra-abdominal infection (40.0%), pneumonia (20.6%) and urinary tract infection (8.8%) represented the main locations of community acquired infections. In the binary logistic regression model, APACHE II (OR= 5.96; 95% CI: 1.02-34.8) and SOFA (OR= 5.68; 95% CI: 1.4-21.7) were prognostic factors. </w:t>
      </w:r>
    </w:p>
    <w:p w14:paraId="436E351D" w14:textId="77777777" w:rsidR="007A3F5D" w:rsidRPr="007A3F5D" w:rsidRDefault="007A3F5D" w:rsidP="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x-none"/>
        </w:rPr>
      </w:pPr>
      <w:r w:rsidRPr="007A3F5D">
        <w:rPr>
          <w:b/>
          <w:bCs/>
          <w:lang w:val="en-US" w:eastAsia="x-none"/>
        </w:rPr>
        <w:lastRenderedPageBreak/>
        <w:t>Conclusions:</w:t>
      </w:r>
      <w:r w:rsidRPr="007A3F5D">
        <w:rPr>
          <w:lang w:val="en-US" w:eastAsia="x-none"/>
        </w:rPr>
        <w:t xml:space="preserve"> The patients are characterized by being in their fourth decade, being female, having diabetes mellitus, immunosuppression or neoplasms and locations such as intra-abdominal infection and pneumonia mainly. APACHE II and SOFA are the prognostic factors for death.</w:t>
      </w:r>
    </w:p>
    <w:p w14:paraId="75F863CA" w14:textId="77777777" w:rsidR="007A3F5D" w:rsidRPr="007A3F5D" w:rsidRDefault="007A3F5D" w:rsidP="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x-none"/>
        </w:rPr>
      </w:pPr>
      <w:r w:rsidRPr="007A3F5D">
        <w:rPr>
          <w:b/>
          <w:lang w:val="en-US" w:eastAsia="x-none"/>
        </w:rPr>
        <w:t>Keywords:</w:t>
      </w:r>
      <w:r w:rsidRPr="007A3F5D">
        <w:rPr>
          <w:lang w:val="en-US" w:eastAsia="x-none"/>
        </w:rPr>
        <w:t xml:space="preserve"> community-acquired infections; intensive care unit; prognostic factors; epidemiology; mortality.</w:t>
      </w:r>
    </w:p>
    <w:p w14:paraId="55192D73" w14:textId="77777777" w:rsidR="007A3F5D" w:rsidRPr="007A3F5D" w:rsidRDefault="007A3F5D" w:rsidP="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x-none"/>
        </w:rPr>
      </w:pPr>
    </w:p>
    <w:p w14:paraId="41F1725D" w14:textId="77777777" w:rsidR="007A3F5D" w:rsidRPr="007A3F5D" w:rsidRDefault="007A3F5D" w:rsidP="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x-none"/>
        </w:rPr>
      </w:pPr>
    </w:p>
    <w:p w14:paraId="66BD2E9A" w14:textId="77777777" w:rsidR="007A3F5D" w:rsidRPr="007A3F5D" w:rsidRDefault="007A3F5D" w:rsidP="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x-none"/>
        </w:rPr>
      </w:pPr>
      <w:r w:rsidRPr="007A3F5D">
        <w:rPr>
          <w:lang w:val="es-CU" w:eastAsia="x-none"/>
        </w:rPr>
        <w:t>Recibido: 15/07/2022</w:t>
      </w:r>
    </w:p>
    <w:p w14:paraId="02B1BB77" w14:textId="77777777" w:rsidR="007A3F5D" w:rsidRPr="007A3F5D" w:rsidRDefault="007A3F5D" w:rsidP="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x-none"/>
        </w:rPr>
      </w:pPr>
      <w:r w:rsidRPr="007A3F5D">
        <w:rPr>
          <w:lang w:val="es-CU" w:eastAsia="x-none"/>
        </w:rPr>
        <w:t>Aprobado: 08/10/2022</w:t>
      </w:r>
    </w:p>
    <w:p w14:paraId="77717ED2" w14:textId="77777777" w:rsidR="007A3F5D" w:rsidRPr="007A3F5D" w:rsidRDefault="007A3F5D" w:rsidP="007A3F5D">
      <w:pPr>
        <w:spacing w:line="360" w:lineRule="auto"/>
        <w:jc w:val="both"/>
        <w:rPr>
          <w:rFonts w:eastAsia="Calibri"/>
          <w:b/>
          <w:lang w:val="es-ES" w:eastAsia="en-US"/>
        </w:rPr>
      </w:pPr>
    </w:p>
    <w:p w14:paraId="581B4024" w14:textId="77777777" w:rsidR="007A3F5D" w:rsidRPr="007A3F5D" w:rsidRDefault="007A3F5D" w:rsidP="007A3F5D">
      <w:pPr>
        <w:spacing w:line="360" w:lineRule="auto"/>
        <w:jc w:val="both"/>
        <w:rPr>
          <w:rFonts w:eastAsia="Calibri"/>
          <w:b/>
          <w:lang w:val="es-ES" w:eastAsia="en-US"/>
        </w:rPr>
      </w:pPr>
    </w:p>
    <w:p w14:paraId="28788D9B" w14:textId="77777777" w:rsidR="007A3F5D" w:rsidRPr="007A3F5D" w:rsidRDefault="007A3F5D" w:rsidP="007A3F5D">
      <w:pPr>
        <w:spacing w:line="360" w:lineRule="auto"/>
        <w:jc w:val="center"/>
        <w:rPr>
          <w:rFonts w:eastAsia="Calibri"/>
          <w:b/>
          <w:sz w:val="32"/>
          <w:szCs w:val="32"/>
          <w:lang w:val="es-ES" w:eastAsia="en-US"/>
        </w:rPr>
      </w:pPr>
      <w:r w:rsidRPr="007A3F5D">
        <w:rPr>
          <w:rFonts w:eastAsia="Calibri"/>
          <w:b/>
          <w:sz w:val="32"/>
          <w:szCs w:val="32"/>
          <w:lang w:val="es-ES" w:eastAsia="en-US"/>
        </w:rPr>
        <w:t>INTRODUCCIÓN</w:t>
      </w:r>
    </w:p>
    <w:p w14:paraId="33DD35B2"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Las infecciones adquiridas en la comunidad (</w:t>
      </w:r>
      <w:proofErr w:type="spellStart"/>
      <w:r w:rsidRPr="007A3F5D">
        <w:rPr>
          <w:rFonts w:eastAsia="Calibri"/>
          <w:lang w:val="es-ES" w:eastAsia="en-US"/>
        </w:rPr>
        <w:t>IAC</w:t>
      </w:r>
      <w:proofErr w:type="spellEnd"/>
      <w:r w:rsidRPr="007A3F5D">
        <w:rPr>
          <w:rFonts w:eastAsia="Calibri"/>
          <w:lang w:val="es-ES" w:eastAsia="en-US"/>
        </w:rPr>
        <w:t xml:space="preserve">) se desarrollan dentro de las 48 a 72 horas previas al ingreso de un paciente, sin relación con los cuidados </w:t>
      </w:r>
      <w:proofErr w:type="gramStart"/>
      <w:r w:rsidRPr="007A3F5D">
        <w:rPr>
          <w:rFonts w:eastAsia="Calibri"/>
          <w:lang w:val="es-ES" w:eastAsia="en-US"/>
        </w:rPr>
        <w:t>sanitarios.</w:t>
      </w:r>
      <w:r w:rsidRPr="007A3F5D">
        <w:rPr>
          <w:rFonts w:eastAsia="Calibri"/>
          <w:vertAlign w:val="superscript"/>
          <w:lang w:val="es-ES" w:eastAsia="en-US"/>
        </w:rPr>
        <w:t>(</w:t>
      </w:r>
      <w:proofErr w:type="gramEnd"/>
      <w:r w:rsidRPr="007A3F5D">
        <w:rPr>
          <w:rFonts w:eastAsia="Calibri"/>
          <w:vertAlign w:val="superscript"/>
          <w:lang w:val="es-ES" w:eastAsia="en-US"/>
        </w:rPr>
        <w:t>1)</w:t>
      </w:r>
      <w:r w:rsidRPr="007A3F5D">
        <w:rPr>
          <w:rFonts w:eastAsia="Calibri"/>
          <w:lang w:val="es-ES" w:eastAsia="en-US"/>
        </w:rPr>
        <w:t xml:space="preserve"> Las </w:t>
      </w:r>
      <w:proofErr w:type="spellStart"/>
      <w:r w:rsidRPr="007A3F5D">
        <w:rPr>
          <w:rFonts w:eastAsia="Calibri"/>
          <w:lang w:val="es-ES" w:eastAsia="en-US"/>
        </w:rPr>
        <w:t>IAC</w:t>
      </w:r>
      <w:proofErr w:type="spellEnd"/>
      <w:r w:rsidRPr="007A3F5D">
        <w:rPr>
          <w:rFonts w:eastAsia="Calibri"/>
          <w:lang w:val="es-ES" w:eastAsia="en-US"/>
        </w:rPr>
        <w:t xml:space="preserve"> con frecuencia requieren de atención en las unidades de cuidados intensivos (UCI), por necesidades terapéuticas inherentes a la gravedad o para una adecuada monitorización.</w:t>
      </w:r>
      <w:r w:rsidRPr="007A3F5D">
        <w:rPr>
          <w:rFonts w:eastAsia="Calibri"/>
          <w:vertAlign w:val="superscript"/>
          <w:lang w:val="es-ES" w:eastAsia="en-US"/>
        </w:rPr>
        <w:t>(2,3,4)</w:t>
      </w:r>
    </w:p>
    <w:p w14:paraId="4861C4F5" w14:textId="77777777" w:rsidR="007A3F5D" w:rsidRPr="007A3F5D" w:rsidRDefault="007A3F5D" w:rsidP="007A3F5D">
      <w:pPr>
        <w:spacing w:line="360" w:lineRule="auto"/>
        <w:jc w:val="both"/>
        <w:rPr>
          <w:rFonts w:eastAsia="Calibri"/>
          <w:vertAlign w:val="superscript"/>
          <w:lang w:val="es-ES" w:eastAsia="en-US"/>
        </w:rPr>
      </w:pPr>
      <w:r w:rsidRPr="007A3F5D">
        <w:rPr>
          <w:rFonts w:eastAsia="Calibri"/>
          <w:lang w:val="es-ES" w:eastAsia="en-US"/>
        </w:rPr>
        <w:t xml:space="preserve">De acuerdo con datos de estudios internacionales, del 20 % al 40 % de los enfermos con </w:t>
      </w:r>
      <w:proofErr w:type="spellStart"/>
      <w:r w:rsidRPr="007A3F5D">
        <w:rPr>
          <w:rFonts w:eastAsia="Calibri"/>
          <w:lang w:val="es-ES" w:eastAsia="en-US"/>
        </w:rPr>
        <w:t>IAC</w:t>
      </w:r>
      <w:proofErr w:type="spellEnd"/>
      <w:r w:rsidRPr="007A3F5D">
        <w:rPr>
          <w:rFonts w:eastAsia="Calibri"/>
          <w:lang w:val="es-ES" w:eastAsia="en-US"/>
        </w:rPr>
        <w:t xml:space="preserve"> necesitan tratamiento en la UCI y la mortalidad hospitalaria es de un 25 % a 60 %, cuando evolucionan a la sepsis y el choque </w:t>
      </w:r>
      <w:proofErr w:type="gramStart"/>
      <w:r w:rsidRPr="007A3F5D">
        <w:rPr>
          <w:rFonts w:eastAsia="Calibri"/>
          <w:lang w:val="es-ES" w:eastAsia="en-US"/>
        </w:rPr>
        <w:t>séptico.</w:t>
      </w:r>
      <w:r w:rsidRPr="007A3F5D">
        <w:rPr>
          <w:rFonts w:eastAsia="Calibri"/>
          <w:vertAlign w:val="superscript"/>
          <w:lang w:val="es-ES" w:eastAsia="en-US"/>
        </w:rPr>
        <w:t>(</w:t>
      </w:r>
      <w:proofErr w:type="gramEnd"/>
      <w:r w:rsidRPr="007A3F5D">
        <w:rPr>
          <w:rFonts w:eastAsia="Calibri"/>
          <w:vertAlign w:val="superscript"/>
          <w:lang w:val="es-ES" w:eastAsia="en-US"/>
        </w:rPr>
        <w:t>4,5,6)</w:t>
      </w:r>
      <w:r w:rsidRPr="007A3F5D">
        <w:rPr>
          <w:rFonts w:eastAsia="Calibri"/>
          <w:lang w:val="es-ES" w:eastAsia="en-US"/>
        </w:rPr>
        <w:t xml:space="preserve"> Un 80 % desarrollan la sepsis fuera de las instituciones hospitalarias y 7 de cada 10 padecen una enfermedad crónica.</w:t>
      </w:r>
      <w:r w:rsidRPr="007A3F5D">
        <w:rPr>
          <w:rFonts w:eastAsia="Calibri"/>
          <w:vertAlign w:val="superscript"/>
          <w:lang w:val="es-ES" w:eastAsia="en-US"/>
        </w:rPr>
        <w:t>(1)</w:t>
      </w:r>
    </w:p>
    <w:p w14:paraId="69CDB5EE" w14:textId="77777777" w:rsidR="007A3F5D" w:rsidRPr="007A3F5D" w:rsidRDefault="007A3F5D" w:rsidP="007A3F5D">
      <w:pPr>
        <w:spacing w:line="360" w:lineRule="auto"/>
        <w:jc w:val="both"/>
        <w:rPr>
          <w:rFonts w:eastAsia="Calibri"/>
          <w:vertAlign w:val="superscript"/>
          <w:lang w:val="es-ES" w:eastAsia="en-US"/>
        </w:rPr>
      </w:pPr>
      <w:r w:rsidRPr="007A3F5D">
        <w:rPr>
          <w:rFonts w:eastAsia="Calibri"/>
          <w:lang w:val="es-ES" w:eastAsia="en-US"/>
        </w:rPr>
        <w:t xml:space="preserve">Las publicaciones acerca de las </w:t>
      </w:r>
      <w:proofErr w:type="spellStart"/>
      <w:r w:rsidRPr="007A3F5D">
        <w:rPr>
          <w:rFonts w:eastAsia="Calibri"/>
          <w:lang w:val="es-ES" w:eastAsia="en-US"/>
        </w:rPr>
        <w:t>IAC</w:t>
      </w:r>
      <w:proofErr w:type="spellEnd"/>
      <w:r w:rsidRPr="007A3F5D">
        <w:rPr>
          <w:rFonts w:eastAsia="Calibri"/>
          <w:lang w:val="es-ES" w:eastAsia="en-US"/>
        </w:rPr>
        <w:t xml:space="preserve"> son limitadas, ya que se dedican en su mayoría a las infecciones asociadas a la asistencia sanitaria (IAAS). Sin embargo, las </w:t>
      </w:r>
      <w:proofErr w:type="spellStart"/>
      <w:r w:rsidRPr="007A3F5D">
        <w:rPr>
          <w:rFonts w:eastAsia="Calibri"/>
          <w:lang w:val="es-ES" w:eastAsia="en-US"/>
        </w:rPr>
        <w:t>IAC</w:t>
      </w:r>
      <w:proofErr w:type="spellEnd"/>
      <w:r w:rsidRPr="007A3F5D">
        <w:rPr>
          <w:rFonts w:eastAsia="Calibri"/>
          <w:lang w:val="es-ES" w:eastAsia="en-US"/>
        </w:rPr>
        <w:t xml:space="preserve"> poseen patrones particulares, una afectación desigual en cuanto a grupos de riesgo y pronóstico </w:t>
      </w:r>
      <w:proofErr w:type="gramStart"/>
      <w:r w:rsidRPr="007A3F5D">
        <w:rPr>
          <w:rFonts w:eastAsia="Calibri"/>
          <w:lang w:val="es-ES" w:eastAsia="en-US"/>
        </w:rPr>
        <w:t>diferente.</w:t>
      </w:r>
      <w:r w:rsidRPr="007A3F5D">
        <w:rPr>
          <w:rFonts w:eastAsia="Calibri"/>
          <w:vertAlign w:val="superscript"/>
          <w:lang w:val="es-ES" w:eastAsia="en-US"/>
        </w:rPr>
        <w:t>(</w:t>
      </w:r>
      <w:proofErr w:type="gramEnd"/>
      <w:r w:rsidRPr="007A3F5D">
        <w:rPr>
          <w:rFonts w:eastAsia="Calibri"/>
          <w:vertAlign w:val="superscript"/>
          <w:lang w:val="es-ES" w:eastAsia="en-US"/>
        </w:rPr>
        <w:t>7)</w:t>
      </w:r>
    </w:p>
    <w:p w14:paraId="13C95DE1"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La obtención de estadísticas precisas sobre las </w:t>
      </w:r>
      <w:proofErr w:type="spellStart"/>
      <w:r w:rsidRPr="007A3F5D">
        <w:rPr>
          <w:rFonts w:eastAsia="Calibri"/>
          <w:lang w:val="es-ES" w:eastAsia="en-US"/>
        </w:rPr>
        <w:t>IAC</w:t>
      </w:r>
      <w:proofErr w:type="spellEnd"/>
      <w:r w:rsidRPr="007A3F5D">
        <w:rPr>
          <w:rFonts w:eastAsia="Calibri"/>
          <w:lang w:val="es-ES" w:eastAsia="en-US"/>
        </w:rPr>
        <w:t xml:space="preserve"> puede ser útil para establecer políticas de salud, planificar recursos para los cuidados sanitarios y establecer comparaciones con los resultados de instituciones nacionales e </w:t>
      </w:r>
      <w:proofErr w:type="gramStart"/>
      <w:r w:rsidRPr="007A3F5D">
        <w:rPr>
          <w:rFonts w:eastAsia="Calibri"/>
          <w:lang w:val="es-ES" w:eastAsia="en-US"/>
        </w:rPr>
        <w:t>internacionales.</w:t>
      </w:r>
      <w:r w:rsidRPr="007A3F5D">
        <w:rPr>
          <w:rFonts w:eastAsia="Calibri"/>
          <w:vertAlign w:val="superscript"/>
          <w:lang w:val="es-ES" w:eastAsia="en-US"/>
        </w:rPr>
        <w:t>(</w:t>
      </w:r>
      <w:proofErr w:type="gramEnd"/>
      <w:r w:rsidRPr="007A3F5D">
        <w:rPr>
          <w:rFonts w:eastAsia="Calibri"/>
          <w:vertAlign w:val="superscript"/>
          <w:lang w:val="es-ES" w:eastAsia="en-US"/>
        </w:rPr>
        <w:t>8)</w:t>
      </w:r>
    </w:p>
    <w:p w14:paraId="2F23423A"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El presente trabajo tiene como objetivo identificar las características y factores pronósticos de las </w:t>
      </w:r>
      <w:proofErr w:type="spellStart"/>
      <w:r w:rsidRPr="007A3F5D">
        <w:rPr>
          <w:rFonts w:eastAsia="Calibri"/>
          <w:lang w:val="es-ES" w:eastAsia="en-US"/>
        </w:rPr>
        <w:t>IAC</w:t>
      </w:r>
      <w:proofErr w:type="spellEnd"/>
      <w:r w:rsidRPr="007A3F5D">
        <w:rPr>
          <w:rFonts w:eastAsia="Calibri"/>
          <w:lang w:val="es-ES" w:eastAsia="en-US"/>
        </w:rPr>
        <w:t xml:space="preserve"> en pacientes graves.</w:t>
      </w:r>
    </w:p>
    <w:p w14:paraId="76B07B77" w14:textId="77777777" w:rsidR="007A3F5D" w:rsidRPr="007A3F5D" w:rsidRDefault="007A3F5D" w:rsidP="007A3F5D">
      <w:pPr>
        <w:spacing w:line="360" w:lineRule="auto"/>
        <w:jc w:val="both"/>
        <w:rPr>
          <w:rFonts w:eastAsia="Calibri"/>
          <w:b/>
          <w:lang w:val="es-ES" w:eastAsia="en-US"/>
        </w:rPr>
      </w:pPr>
    </w:p>
    <w:p w14:paraId="6B7D809C" w14:textId="77777777" w:rsidR="007A3F5D" w:rsidRPr="007A3F5D" w:rsidRDefault="007A3F5D" w:rsidP="007A3F5D">
      <w:pPr>
        <w:spacing w:line="360" w:lineRule="auto"/>
        <w:jc w:val="both"/>
        <w:rPr>
          <w:rFonts w:eastAsia="Calibri"/>
          <w:b/>
          <w:lang w:val="es-ES" w:eastAsia="en-US"/>
        </w:rPr>
      </w:pPr>
    </w:p>
    <w:p w14:paraId="48BBCE97" w14:textId="77777777" w:rsidR="007A3F5D" w:rsidRPr="007A3F5D" w:rsidRDefault="007A3F5D" w:rsidP="007A3F5D">
      <w:pPr>
        <w:spacing w:line="360" w:lineRule="auto"/>
        <w:jc w:val="center"/>
        <w:rPr>
          <w:rFonts w:eastAsia="Calibri"/>
          <w:b/>
          <w:sz w:val="32"/>
          <w:szCs w:val="32"/>
          <w:lang w:val="es-ES" w:eastAsia="en-US"/>
        </w:rPr>
      </w:pPr>
      <w:r w:rsidRPr="007A3F5D">
        <w:rPr>
          <w:rFonts w:eastAsia="Calibri"/>
          <w:b/>
          <w:sz w:val="32"/>
          <w:szCs w:val="32"/>
          <w:lang w:val="es-ES" w:eastAsia="en-US"/>
        </w:rPr>
        <w:t>MÉTODOS</w:t>
      </w:r>
    </w:p>
    <w:p w14:paraId="67F162AD"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Se realizó un estudio observacional, de cohorte en la UCI del </w:t>
      </w:r>
      <w:r w:rsidRPr="007A3F5D">
        <w:rPr>
          <w:rFonts w:eastAsia="Calibri"/>
          <w:bCs/>
          <w:lang w:val="es-CU" w:eastAsia="en-US"/>
        </w:rPr>
        <w:t xml:space="preserve">Hospital General Provincial “Carlos Manuel de </w:t>
      </w:r>
      <w:proofErr w:type="spellStart"/>
      <w:r w:rsidRPr="007A3F5D">
        <w:rPr>
          <w:rFonts w:eastAsia="Calibri"/>
          <w:bCs/>
          <w:lang w:val="es-CU" w:eastAsia="en-US"/>
        </w:rPr>
        <w:t>Céspedes</w:t>
      </w:r>
      <w:proofErr w:type="spellEnd"/>
      <w:r w:rsidRPr="007A3F5D">
        <w:rPr>
          <w:rFonts w:eastAsia="Calibri"/>
          <w:bCs/>
          <w:lang w:val="es-CU" w:eastAsia="en-US"/>
        </w:rPr>
        <w:t>”, de Bayamo, Granma, Cuba</w:t>
      </w:r>
      <w:r w:rsidRPr="007A3F5D">
        <w:rPr>
          <w:rFonts w:eastAsia="Calibri"/>
          <w:lang w:val="es-ES" w:eastAsia="en-US"/>
        </w:rPr>
        <w:t>. Los datos se obtuvieron del Proyecto Multicéntrico Nacional “Disminución de la Infección Nosocomial en Unidades de Cuidados Intensivos” (</w:t>
      </w:r>
      <w:proofErr w:type="spellStart"/>
      <w:r w:rsidRPr="007A3F5D">
        <w:rPr>
          <w:rFonts w:eastAsia="Calibri"/>
          <w:lang w:val="es-ES" w:eastAsia="en-US"/>
        </w:rPr>
        <w:t>DINUCIs</w:t>
      </w:r>
      <w:proofErr w:type="spellEnd"/>
      <w:r w:rsidRPr="007A3F5D">
        <w:rPr>
          <w:rFonts w:eastAsia="Calibri"/>
          <w:lang w:val="es-ES" w:eastAsia="en-US"/>
        </w:rPr>
        <w:t>), del cual los autores del trabajo son investigadores. La recolección de la información se desarrolló por fases; en los meses de noviembre a diciembre de los años 2016, 2017, 2018, 2019 y 2020.</w:t>
      </w:r>
    </w:p>
    <w:p w14:paraId="32636F4D"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En cada fase se seleccionaron consecutivamente a todos los enfermos ingresados por más de 48 horas con </w:t>
      </w:r>
      <w:proofErr w:type="spellStart"/>
      <w:r w:rsidRPr="007A3F5D">
        <w:rPr>
          <w:rFonts w:eastAsia="Calibri"/>
          <w:lang w:val="es-ES" w:eastAsia="en-US"/>
        </w:rPr>
        <w:t>IAC</w:t>
      </w:r>
      <w:proofErr w:type="spellEnd"/>
      <w:r w:rsidRPr="007A3F5D">
        <w:rPr>
          <w:rFonts w:eastAsia="Calibri"/>
          <w:lang w:val="es-ES" w:eastAsia="en-US"/>
        </w:rPr>
        <w:t xml:space="preserve"> y se siguieron hasta su egreso. Con los criterios antes expuestos la cohorte quedó conformada por un total de 160 pacientes. El diagnóstico de las </w:t>
      </w:r>
      <w:proofErr w:type="spellStart"/>
      <w:r w:rsidRPr="007A3F5D">
        <w:rPr>
          <w:rFonts w:eastAsia="Calibri"/>
          <w:lang w:val="es-ES" w:eastAsia="en-US"/>
        </w:rPr>
        <w:t>IAC</w:t>
      </w:r>
      <w:proofErr w:type="spellEnd"/>
      <w:r w:rsidRPr="007A3F5D">
        <w:rPr>
          <w:rFonts w:eastAsia="Calibri"/>
          <w:lang w:val="es-ES" w:eastAsia="en-US"/>
        </w:rPr>
        <w:t xml:space="preserve"> y sus localizaciones se basó en los criterios de los </w:t>
      </w:r>
      <w:r w:rsidRPr="007A3F5D">
        <w:rPr>
          <w:rFonts w:eastAsia="Calibri"/>
          <w:i/>
          <w:lang w:val="es-ES" w:eastAsia="en-US"/>
        </w:rPr>
        <w:t xml:space="preserve">Centers </w:t>
      </w:r>
      <w:proofErr w:type="spellStart"/>
      <w:r w:rsidRPr="007A3F5D">
        <w:rPr>
          <w:rFonts w:eastAsia="Calibri"/>
          <w:i/>
          <w:lang w:val="es-ES" w:eastAsia="en-US"/>
        </w:rPr>
        <w:t>for</w:t>
      </w:r>
      <w:proofErr w:type="spellEnd"/>
      <w:r w:rsidRPr="007A3F5D">
        <w:rPr>
          <w:rFonts w:eastAsia="Calibri"/>
          <w:i/>
          <w:lang w:val="es-ES" w:eastAsia="en-US"/>
        </w:rPr>
        <w:t xml:space="preserve"> </w:t>
      </w:r>
      <w:proofErr w:type="spellStart"/>
      <w:r w:rsidRPr="007A3F5D">
        <w:rPr>
          <w:rFonts w:eastAsia="Calibri"/>
          <w:i/>
          <w:lang w:val="es-ES" w:eastAsia="en-US"/>
        </w:rPr>
        <w:t>Disease</w:t>
      </w:r>
      <w:proofErr w:type="spellEnd"/>
      <w:r w:rsidRPr="007A3F5D">
        <w:rPr>
          <w:rFonts w:eastAsia="Calibri"/>
          <w:i/>
          <w:lang w:val="es-ES" w:eastAsia="en-US"/>
        </w:rPr>
        <w:t xml:space="preserve"> Control and </w:t>
      </w:r>
      <w:proofErr w:type="spellStart"/>
      <w:r w:rsidRPr="007A3F5D">
        <w:rPr>
          <w:rFonts w:eastAsia="Calibri"/>
          <w:i/>
          <w:lang w:val="es-ES" w:eastAsia="en-US"/>
        </w:rPr>
        <w:t>Prevention</w:t>
      </w:r>
      <w:proofErr w:type="spellEnd"/>
      <w:r w:rsidRPr="007A3F5D">
        <w:rPr>
          <w:rFonts w:eastAsia="Calibri"/>
          <w:i/>
          <w:lang w:val="es-ES" w:eastAsia="en-US"/>
        </w:rPr>
        <w:t xml:space="preserve"> </w:t>
      </w:r>
      <w:r w:rsidRPr="007A3F5D">
        <w:rPr>
          <w:rFonts w:eastAsia="Calibri"/>
          <w:lang w:val="es-ES" w:eastAsia="en-US"/>
        </w:rPr>
        <w:t>(CDC</w:t>
      </w:r>
      <w:proofErr w:type="gramStart"/>
      <w:r w:rsidRPr="007A3F5D">
        <w:rPr>
          <w:rFonts w:eastAsia="Calibri"/>
          <w:lang w:val="es-ES" w:eastAsia="en-US"/>
        </w:rPr>
        <w:t>).</w:t>
      </w:r>
      <w:r w:rsidRPr="007A3F5D">
        <w:rPr>
          <w:rFonts w:eastAsia="Calibri"/>
          <w:vertAlign w:val="superscript"/>
          <w:lang w:val="es-ES" w:eastAsia="en-US"/>
        </w:rPr>
        <w:t>(</w:t>
      </w:r>
      <w:proofErr w:type="gramEnd"/>
      <w:r w:rsidRPr="007A3F5D">
        <w:rPr>
          <w:rFonts w:eastAsia="Calibri"/>
          <w:vertAlign w:val="superscript"/>
          <w:lang w:val="es-ES" w:eastAsia="en-US"/>
        </w:rPr>
        <w:t>1)</w:t>
      </w:r>
      <w:r w:rsidRPr="007A3F5D">
        <w:rPr>
          <w:rFonts w:eastAsia="Calibri"/>
          <w:lang w:val="es-ES" w:eastAsia="en-US"/>
        </w:rPr>
        <w:t xml:space="preserve"> </w:t>
      </w:r>
    </w:p>
    <w:p w14:paraId="2BB19864"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Para caracterizar a los sujetos se definieron las variables: edad, sexo, índice pronóstico </w:t>
      </w:r>
      <w:r w:rsidRPr="007A3F5D">
        <w:rPr>
          <w:rFonts w:eastAsia="Calibri"/>
          <w:i/>
          <w:lang w:val="es-ES" w:eastAsia="en-US"/>
        </w:rPr>
        <w:t xml:space="preserve">Acute </w:t>
      </w:r>
      <w:proofErr w:type="spellStart"/>
      <w:r w:rsidRPr="007A3F5D">
        <w:rPr>
          <w:rFonts w:eastAsia="Calibri"/>
          <w:i/>
          <w:lang w:val="es-ES" w:eastAsia="en-US"/>
        </w:rPr>
        <w:t>Physiology</w:t>
      </w:r>
      <w:proofErr w:type="spellEnd"/>
      <w:r w:rsidRPr="007A3F5D">
        <w:rPr>
          <w:rFonts w:eastAsia="Calibri"/>
          <w:i/>
          <w:lang w:val="es-ES" w:eastAsia="en-US"/>
        </w:rPr>
        <w:t xml:space="preserve"> and </w:t>
      </w:r>
      <w:proofErr w:type="spellStart"/>
      <w:r w:rsidRPr="007A3F5D">
        <w:rPr>
          <w:rFonts w:eastAsia="Calibri"/>
          <w:i/>
          <w:lang w:val="es-ES" w:eastAsia="en-US"/>
        </w:rPr>
        <w:t>Chronic</w:t>
      </w:r>
      <w:proofErr w:type="spellEnd"/>
      <w:r w:rsidRPr="007A3F5D">
        <w:rPr>
          <w:rFonts w:eastAsia="Calibri"/>
          <w:i/>
          <w:lang w:val="es-ES" w:eastAsia="en-US"/>
        </w:rPr>
        <w:t xml:space="preserve"> </w:t>
      </w:r>
      <w:proofErr w:type="spellStart"/>
      <w:r w:rsidRPr="007A3F5D">
        <w:rPr>
          <w:rFonts w:eastAsia="Calibri"/>
          <w:i/>
          <w:lang w:val="es-ES" w:eastAsia="en-US"/>
        </w:rPr>
        <w:t>Health</w:t>
      </w:r>
      <w:proofErr w:type="spellEnd"/>
      <w:r w:rsidRPr="007A3F5D">
        <w:rPr>
          <w:rFonts w:eastAsia="Calibri"/>
          <w:i/>
          <w:lang w:val="es-ES" w:eastAsia="en-US"/>
        </w:rPr>
        <w:t xml:space="preserve"> </w:t>
      </w:r>
      <w:proofErr w:type="spellStart"/>
      <w:r w:rsidRPr="007A3F5D">
        <w:rPr>
          <w:rFonts w:eastAsia="Calibri"/>
          <w:i/>
          <w:lang w:val="es-ES" w:eastAsia="en-US"/>
        </w:rPr>
        <w:t>Evaluation</w:t>
      </w:r>
      <w:proofErr w:type="spellEnd"/>
      <w:r w:rsidRPr="007A3F5D">
        <w:rPr>
          <w:rFonts w:eastAsia="Calibri"/>
          <w:i/>
          <w:lang w:val="es-ES" w:eastAsia="en-US"/>
        </w:rPr>
        <w:t xml:space="preserve"> </w:t>
      </w:r>
      <w:proofErr w:type="gramStart"/>
      <w:r w:rsidRPr="007A3F5D">
        <w:rPr>
          <w:rFonts w:eastAsia="Calibri"/>
          <w:i/>
          <w:lang w:val="es-ES" w:eastAsia="en-US"/>
        </w:rPr>
        <w:t>II</w:t>
      </w:r>
      <w:r w:rsidRPr="007A3F5D">
        <w:rPr>
          <w:rFonts w:eastAsia="Calibri"/>
          <w:vertAlign w:val="superscript"/>
          <w:lang w:val="es-ES" w:eastAsia="en-US"/>
        </w:rPr>
        <w:t>(</w:t>
      </w:r>
      <w:proofErr w:type="gramEnd"/>
      <w:r w:rsidRPr="007A3F5D">
        <w:rPr>
          <w:rFonts w:eastAsia="Calibri"/>
          <w:vertAlign w:val="superscript"/>
          <w:lang w:val="es-ES" w:eastAsia="en-US"/>
        </w:rPr>
        <w:t xml:space="preserve">9) </w:t>
      </w:r>
      <w:r w:rsidRPr="007A3F5D">
        <w:rPr>
          <w:rFonts w:eastAsia="Calibri"/>
          <w:lang w:val="es-ES" w:eastAsia="en-US"/>
        </w:rPr>
        <w:t xml:space="preserve">(APACHE II), escala </w:t>
      </w:r>
      <w:r w:rsidRPr="007A3F5D">
        <w:rPr>
          <w:rFonts w:eastAsia="Calibri"/>
          <w:i/>
          <w:lang w:val="es-ES" w:eastAsia="en-US"/>
        </w:rPr>
        <w:t xml:space="preserve">Secuencial </w:t>
      </w:r>
      <w:proofErr w:type="spellStart"/>
      <w:r w:rsidRPr="007A3F5D">
        <w:rPr>
          <w:rFonts w:eastAsia="Calibri"/>
          <w:i/>
          <w:lang w:val="es-ES" w:eastAsia="en-US"/>
        </w:rPr>
        <w:t>Organ</w:t>
      </w:r>
      <w:proofErr w:type="spellEnd"/>
      <w:r w:rsidRPr="007A3F5D">
        <w:rPr>
          <w:rFonts w:eastAsia="Calibri"/>
          <w:i/>
          <w:lang w:val="es-ES" w:eastAsia="en-US"/>
        </w:rPr>
        <w:t xml:space="preserve"> </w:t>
      </w:r>
      <w:proofErr w:type="spellStart"/>
      <w:r w:rsidRPr="007A3F5D">
        <w:rPr>
          <w:rFonts w:eastAsia="Calibri"/>
          <w:i/>
          <w:lang w:val="es-ES" w:eastAsia="en-US"/>
        </w:rPr>
        <w:t>Failure</w:t>
      </w:r>
      <w:proofErr w:type="spellEnd"/>
      <w:r w:rsidRPr="007A3F5D">
        <w:rPr>
          <w:rFonts w:eastAsia="Calibri"/>
          <w:i/>
          <w:lang w:val="es-ES" w:eastAsia="en-US"/>
        </w:rPr>
        <w:t xml:space="preserve"> </w:t>
      </w:r>
      <w:proofErr w:type="spellStart"/>
      <w:r w:rsidRPr="007A3F5D">
        <w:rPr>
          <w:rFonts w:eastAsia="Calibri"/>
          <w:i/>
          <w:lang w:val="es-ES" w:eastAsia="en-US"/>
        </w:rPr>
        <w:t>Assessment</w:t>
      </w:r>
      <w:proofErr w:type="spellEnd"/>
      <w:r w:rsidRPr="007A3F5D">
        <w:rPr>
          <w:rFonts w:eastAsia="Calibri"/>
          <w:lang w:val="es-ES" w:eastAsia="en-US"/>
        </w:rPr>
        <w:t xml:space="preserve"> (SOFA)</w:t>
      </w:r>
      <w:r w:rsidRPr="007A3F5D">
        <w:rPr>
          <w:rFonts w:eastAsia="Calibri"/>
          <w:vertAlign w:val="superscript"/>
          <w:lang w:val="es-ES" w:eastAsia="en-US"/>
        </w:rPr>
        <w:t>(10)</w:t>
      </w:r>
      <w:r w:rsidRPr="007A3F5D">
        <w:rPr>
          <w:rFonts w:eastAsia="Calibri"/>
          <w:i/>
          <w:lang w:val="es-ES" w:eastAsia="en-US"/>
        </w:rPr>
        <w:t xml:space="preserve"> </w:t>
      </w:r>
      <w:r w:rsidRPr="007A3F5D">
        <w:rPr>
          <w:rFonts w:eastAsia="Calibri"/>
          <w:lang w:val="es-ES" w:eastAsia="en-US"/>
        </w:rPr>
        <w:t xml:space="preserve">al ingreso, lugar de origen de los enfermos, estadio de la sepsis, procedimientos terapéuticos, estadía, comorbilidad y localizaciones de la infección. </w:t>
      </w:r>
    </w:p>
    <w:p w14:paraId="57300FBD"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El lugar de origen se delimitó según procedieron del quirófano, emergencias, sala de hospitalización, otra UCI y otro hospital. </w:t>
      </w:r>
    </w:p>
    <w:p w14:paraId="69D8B693" w14:textId="77777777" w:rsidR="007A3F5D" w:rsidRPr="007A3F5D" w:rsidRDefault="007A3F5D" w:rsidP="007A3F5D">
      <w:pPr>
        <w:spacing w:line="360" w:lineRule="auto"/>
        <w:jc w:val="both"/>
        <w:rPr>
          <w:rFonts w:eastAsia="Calibri"/>
          <w:vertAlign w:val="superscript"/>
          <w:lang w:val="es-ES" w:eastAsia="en-US"/>
        </w:rPr>
      </w:pPr>
      <w:r w:rsidRPr="007A3F5D">
        <w:rPr>
          <w:rFonts w:eastAsia="Calibri"/>
          <w:lang w:val="es-ES" w:eastAsia="en-US"/>
        </w:rPr>
        <w:t xml:space="preserve">El síndrome de respuesta inflamatoria sistémica (SRIS), la sepsis y el choque séptico se consideraron como estadios de la sepsis. Se aplicaron los criterios de SRIS del </w:t>
      </w:r>
      <w:proofErr w:type="spellStart"/>
      <w:r w:rsidRPr="007A3F5D">
        <w:rPr>
          <w:rFonts w:eastAsia="Calibri"/>
          <w:i/>
          <w:lang w:val="es-ES" w:eastAsia="en-US"/>
        </w:rPr>
        <w:t>Consensus</w:t>
      </w:r>
      <w:proofErr w:type="spellEnd"/>
      <w:r w:rsidRPr="007A3F5D">
        <w:rPr>
          <w:rFonts w:eastAsia="Calibri"/>
          <w:i/>
          <w:lang w:val="es-ES" w:eastAsia="en-US"/>
        </w:rPr>
        <w:t xml:space="preserve"> </w:t>
      </w:r>
      <w:proofErr w:type="spellStart"/>
      <w:r w:rsidRPr="007A3F5D">
        <w:rPr>
          <w:rFonts w:eastAsia="Calibri"/>
          <w:i/>
          <w:lang w:val="es-ES" w:eastAsia="en-US"/>
        </w:rPr>
        <w:t>Conference</w:t>
      </w:r>
      <w:proofErr w:type="spellEnd"/>
      <w:r w:rsidRPr="007A3F5D">
        <w:rPr>
          <w:rFonts w:eastAsia="Calibri"/>
          <w:i/>
          <w:lang w:val="es-ES" w:eastAsia="en-US"/>
        </w:rPr>
        <w:t xml:space="preserve"> </w:t>
      </w:r>
      <w:proofErr w:type="spellStart"/>
      <w:r w:rsidRPr="007A3F5D">
        <w:rPr>
          <w:rFonts w:eastAsia="Calibri"/>
          <w:i/>
          <w:lang w:val="es-ES" w:eastAsia="en-US"/>
        </w:rPr>
        <w:t>of</w:t>
      </w:r>
      <w:proofErr w:type="spellEnd"/>
      <w:r w:rsidRPr="007A3F5D">
        <w:rPr>
          <w:rFonts w:eastAsia="Calibri"/>
          <w:i/>
          <w:lang w:val="es-ES" w:eastAsia="en-US"/>
        </w:rPr>
        <w:t xml:space="preserve"> </w:t>
      </w:r>
      <w:proofErr w:type="spellStart"/>
      <w:r w:rsidRPr="007A3F5D">
        <w:rPr>
          <w:rFonts w:eastAsia="Calibri"/>
          <w:i/>
          <w:lang w:val="es-ES" w:eastAsia="en-US"/>
        </w:rPr>
        <w:t>Chest</w:t>
      </w:r>
      <w:proofErr w:type="spellEnd"/>
      <w:r w:rsidRPr="007A3F5D">
        <w:rPr>
          <w:rFonts w:eastAsia="Calibri"/>
          <w:i/>
          <w:lang w:val="es-ES" w:eastAsia="en-US"/>
        </w:rPr>
        <w:t xml:space="preserve"> </w:t>
      </w:r>
      <w:proofErr w:type="spellStart"/>
      <w:r w:rsidRPr="007A3F5D">
        <w:rPr>
          <w:rFonts w:eastAsia="Calibri"/>
          <w:i/>
          <w:lang w:val="es-ES" w:eastAsia="en-US"/>
        </w:rPr>
        <w:t>Physicians</w:t>
      </w:r>
      <w:proofErr w:type="spellEnd"/>
      <w:r w:rsidRPr="007A3F5D">
        <w:rPr>
          <w:rFonts w:eastAsia="Calibri"/>
          <w:i/>
          <w:lang w:val="es-ES" w:eastAsia="en-US"/>
        </w:rPr>
        <w:t>/</w:t>
      </w:r>
      <w:proofErr w:type="spellStart"/>
      <w:r w:rsidRPr="007A3F5D">
        <w:rPr>
          <w:rFonts w:eastAsia="Calibri"/>
          <w:i/>
          <w:lang w:val="es-ES" w:eastAsia="en-US"/>
        </w:rPr>
        <w:t>Society</w:t>
      </w:r>
      <w:proofErr w:type="spellEnd"/>
      <w:r w:rsidRPr="007A3F5D">
        <w:rPr>
          <w:rFonts w:eastAsia="Calibri"/>
          <w:i/>
          <w:lang w:val="es-ES" w:eastAsia="en-US"/>
        </w:rPr>
        <w:t xml:space="preserve"> </w:t>
      </w:r>
      <w:proofErr w:type="spellStart"/>
      <w:r w:rsidRPr="007A3F5D">
        <w:rPr>
          <w:rFonts w:eastAsia="Calibri"/>
          <w:i/>
          <w:lang w:val="es-ES" w:eastAsia="en-US"/>
        </w:rPr>
        <w:t>of</w:t>
      </w:r>
      <w:proofErr w:type="spellEnd"/>
      <w:r w:rsidRPr="007A3F5D">
        <w:rPr>
          <w:rFonts w:eastAsia="Calibri"/>
          <w:i/>
          <w:lang w:val="es-ES" w:eastAsia="en-US"/>
        </w:rPr>
        <w:t xml:space="preserve"> </w:t>
      </w:r>
      <w:proofErr w:type="spellStart"/>
      <w:r w:rsidRPr="007A3F5D">
        <w:rPr>
          <w:rFonts w:eastAsia="Calibri"/>
          <w:i/>
          <w:lang w:val="es-ES" w:eastAsia="en-US"/>
        </w:rPr>
        <w:t>Critical</w:t>
      </w:r>
      <w:proofErr w:type="spellEnd"/>
      <w:r w:rsidRPr="007A3F5D">
        <w:rPr>
          <w:rFonts w:eastAsia="Calibri"/>
          <w:i/>
          <w:lang w:val="es-ES" w:eastAsia="en-US"/>
        </w:rPr>
        <w:t xml:space="preserve"> Care </w:t>
      </w:r>
      <w:proofErr w:type="gramStart"/>
      <w:r w:rsidRPr="007A3F5D">
        <w:rPr>
          <w:rFonts w:eastAsia="Calibri"/>
          <w:i/>
          <w:lang w:val="es-ES" w:eastAsia="en-US"/>
        </w:rPr>
        <w:t>Medicine</w:t>
      </w:r>
      <w:r w:rsidRPr="007A3F5D">
        <w:rPr>
          <w:rFonts w:eastAsia="Calibri"/>
          <w:vertAlign w:val="superscript"/>
          <w:lang w:val="es-ES" w:eastAsia="en-US"/>
        </w:rPr>
        <w:t>(</w:t>
      </w:r>
      <w:proofErr w:type="gramEnd"/>
      <w:r w:rsidRPr="007A3F5D">
        <w:rPr>
          <w:rFonts w:eastAsia="Calibri"/>
          <w:vertAlign w:val="superscript"/>
          <w:lang w:val="es-ES" w:eastAsia="en-US"/>
        </w:rPr>
        <w:t xml:space="preserve">11) </w:t>
      </w:r>
      <w:r w:rsidRPr="007A3F5D">
        <w:rPr>
          <w:rFonts w:eastAsia="Calibri"/>
          <w:lang w:val="es-ES" w:eastAsia="en-US"/>
        </w:rPr>
        <w:t>y</w:t>
      </w:r>
      <w:r w:rsidRPr="007A3F5D">
        <w:rPr>
          <w:rFonts w:eastAsia="Calibri"/>
          <w:vertAlign w:val="superscript"/>
          <w:lang w:val="es-ES" w:eastAsia="en-US"/>
        </w:rPr>
        <w:t xml:space="preserve"> </w:t>
      </w:r>
      <w:r w:rsidRPr="007A3F5D">
        <w:rPr>
          <w:rFonts w:eastAsia="Calibri"/>
          <w:lang w:val="es-ES" w:eastAsia="en-US"/>
        </w:rPr>
        <w:t xml:space="preserve">los de sepsis y choque séptico del </w:t>
      </w:r>
      <w:proofErr w:type="spellStart"/>
      <w:r w:rsidRPr="007A3F5D">
        <w:rPr>
          <w:rFonts w:eastAsia="Calibri"/>
          <w:i/>
          <w:lang w:val="es-ES" w:eastAsia="en-US"/>
        </w:rPr>
        <w:t>Third</w:t>
      </w:r>
      <w:proofErr w:type="spellEnd"/>
      <w:r w:rsidRPr="007A3F5D">
        <w:rPr>
          <w:rFonts w:eastAsia="Calibri"/>
          <w:i/>
          <w:lang w:val="es-ES" w:eastAsia="en-US"/>
        </w:rPr>
        <w:t xml:space="preserve"> International </w:t>
      </w:r>
      <w:proofErr w:type="spellStart"/>
      <w:r w:rsidRPr="007A3F5D">
        <w:rPr>
          <w:rFonts w:eastAsia="Calibri"/>
          <w:i/>
          <w:lang w:val="es-ES" w:eastAsia="en-US"/>
        </w:rPr>
        <w:t>Consensus</w:t>
      </w:r>
      <w:proofErr w:type="spellEnd"/>
      <w:r w:rsidRPr="007A3F5D">
        <w:rPr>
          <w:rFonts w:eastAsia="Calibri"/>
          <w:i/>
          <w:lang w:val="es-ES" w:eastAsia="en-US"/>
        </w:rPr>
        <w:t xml:space="preserve"> </w:t>
      </w:r>
      <w:proofErr w:type="spellStart"/>
      <w:r w:rsidRPr="007A3F5D">
        <w:rPr>
          <w:rFonts w:eastAsia="Calibri"/>
          <w:i/>
          <w:lang w:val="es-ES" w:eastAsia="en-US"/>
        </w:rPr>
        <w:t>Definition</w:t>
      </w:r>
      <w:proofErr w:type="spellEnd"/>
      <w:r w:rsidRPr="007A3F5D">
        <w:rPr>
          <w:rFonts w:eastAsia="Calibri"/>
          <w:i/>
          <w:lang w:val="es-ES" w:eastAsia="en-US"/>
        </w:rPr>
        <w:t xml:space="preserve"> </w:t>
      </w:r>
      <w:proofErr w:type="spellStart"/>
      <w:r w:rsidRPr="007A3F5D">
        <w:rPr>
          <w:rFonts w:eastAsia="Calibri"/>
          <w:i/>
          <w:lang w:val="es-ES" w:eastAsia="en-US"/>
        </w:rPr>
        <w:t>for</w:t>
      </w:r>
      <w:proofErr w:type="spellEnd"/>
      <w:r w:rsidRPr="007A3F5D">
        <w:rPr>
          <w:rFonts w:eastAsia="Calibri"/>
          <w:i/>
          <w:lang w:val="es-ES" w:eastAsia="en-US"/>
        </w:rPr>
        <w:t xml:space="preserve"> Sepsis and </w:t>
      </w:r>
      <w:proofErr w:type="spellStart"/>
      <w:r w:rsidRPr="007A3F5D">
        <w:rPr>
          <w:rFonts w:eastAsia="Calibri"/>
          <w:i/>
          <w:lang w:val="es-ES" w:eastAsia="en-US"/>
        </w:rPr>
        <w:t>Septic</w:t>
      </w:r>
      <w:proofErr w:type="spellEnd"/>
      <w:r w:rsidRPr="007A3F5D">
        <w:rPr>
          <w:rFonts w:eastAsia="Calibri"/>
          <w:i/>
          <w:lang w:val="es-ES" w:eastAsia="en-US"/>
        </w:rPr>
        <w:t xml:space="preserve"> Shock (Sepsis-3). </w:t>
      </w:r>
      <w:r w:rsidRPr="007A3F5D">
        <w:rPr>
          <w:rFonts w:eastAsia="Calibri"/>
          <w:vertAlign w:val="superscript"/>
          <w:lang w:val="es-ES" w:eastAsia="en-US"/>
        </w:rPr>
        <w:t>(12)</w:t>
      </w:r>
    </w:p>
    <w:p w14:paraId="39E11B57" w14:textId="77777777" w:rsidR="007A3F5D" w:rsidRPr="007A3F5D" w:rsidRDefault="007A3F5D" w:rsidP="007A3F5D">
      <w:pPr>
        <w:spacing w:line="360" w:lineRule="auto"/>
        <w:jc w:val="both"/>
        <w:rPr>
          <w:rFonts w:eastAsia="Calibri"/>
          <w:vertAlign w:val="superscript"/>
          <w:lang w:val="es-ES" w:eastAsia="en-US"/>
        </w:rPr>
      </w:pPr>
      <w:r w:rsidRPr="007A3F5D">
        <w:rPr>
          <w:rFonts w:eastAsia="Calibri"/>
          <w:lang w:val="es-ES" w:eastAsia="en-US"/>
        </w:rPr>
        <w:t>La ventilación mecánica artificial invasiva (</w:t>
      </w:r>
      <w:proofErr w:type="spellStart"/>
      <w:r w:rsidRPr="007A3F5D">
        <w:rPr>
          <w:rFonts w:eastAsia="Calibri"/>
          <w:lang w:val="es-ES" w:eastAsia="en-US"/>
        </w:rPr>
        <w:t>VMAI</w:t>
      </w:r>
      <w:proofErr w:type="spellEnd"/>
      <w:r w:rsidRPr="007A3F5D">
        <w:rPr>
          <w:rFonts w:eastAsia="Calibri"/>
          <w:lang w:val="es-ES" w:eastAsia="en-US"/>
        </w:rPr>
        <w:t>), los métodos depuradores renales (</w:t>
      </w:r>
      <w:proofErr w:type="spellStart"/>
      <w:r w:rsidRPr="007A3F5D">
        <w:rPr>
          <w:rFonts w:eastAsia="Calibri"/>
          <w:lang w:val="es-ES" w:eastAsia="en-US"/>
        </w:rPr>
        <w:t>MDR</w:t>
      </w:r>
      <w:proofErr w:type="spellEnd"/>
      <w:r w:rsidRPr="007A3F5D">
        <w:rPr>
          <w:rFonts w:eastAsia="Calibri"/>
          <w:lang w:val="es-ES" w:eastAsia="en-US"/>
        </w:rPr>
        <w:t xml:space="preserve">), la nutrición parenteral (NP total) y el tratamiento antimicrobiano al ingreso se determinaron como procedimientos terapéuticos. </w:t>
      </w:r>
    </w:p>
    <w:p w14:paraId="0BE2AEB4"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La comorbilidad se definió según las categorías siguientes: </w:t>
      </w:r>
    </w:p>
    <w:p w14:paraId="1254D78E" w14:textId="77777777" w:rsidR="007A3F5D" w:rsidRPr="007A3F5D" w:rsidRDefault="007A3F5D" w:rsidP="007A3F5D">
      <w:pPr>
        <w:spacing w:line="360" w:lineRule="auto"/>
        <w:jc w:val="both"/>
        <w:rPr>
          <w:rFonts w:eastAsia="Calibri"/>
          <w:lang w:val="es-ES" w:eastAsia="en-US"/>
        </w:rPr>
      </w:pPr>
    </w:p>
    <w:p w14:paraId="5BDE23D9" w14:textId="77777777" w:rsidR="007A3F5D" w:rsidRPr="007A3F5D" w:rsidRDefault="007A3F5D" w:rsidP="007A3F5D">
      <w:pPr>
        <w:spacing w:line="360" w:lineRule="auto"/>
        <w:ind w:left="708"/>
        <w:jc w:val="both"/>
        <w:rPr>
          <w:rFonts w:eastAsia="Calibri"/>
          <w:lang w:val="es-ES" w:eastAsia="en-US"/>
        </w:rPr>
      </w:pPr>
      <w:r w:rsidRPr="007A3F5D">
        <w:rPr>
          <w:rFonts w:eastAsia="Calibri"/>
          <w:lang w:val="es-ES" w:eastAsia="en-US"/>
        </w:rPr>
        <w:lastRenderedPageBreak/>
        <w:t xml:space="preserve">a) Inmunosupresión: pacientes que recibieron quimioterapia, radiaciones, esteroides a altas dosis y por tiempo prolongado, con enfermedades avanzadas, VIH o inmunodeficiencia congénita o adquirida. </w:t>
      </w:r>
    </w:p>
    <w:p w14:paraId="74121DAF" w14:textId="77777777" w:rsidR="007A3F5D" w:rsidRPr="007A3F5D" w:rsidRDefault="007A3F5D" w:rsidP="007A3F5D">
      <w:pPr>
        <w:spacing w:line="360" w:lineRule="auto"/>
        <w:ind w:left="708"/>
        <w:jc w:val="both"/>
        <w:rPr>
          <w:rFonts w:eastAsia="Calibri"/>
          <w:vertAlign w:val="subscript"/>
          <w:lang w:val="es-ES" w:eastAsia="en-US"/>
        </w:rPr>
      </w:pPr>
      <w:r w:rsidRPr="007A3F5D">
        <w:rPr>
          <w:rFonts w:eastAsia="Calibri"/>
          <w:lang w:val="es-ES" w:eastAsia="en-US"/>
        </w:rPr>
        <w:t>b) Neutropenia: conteo absoluto de neutrófilos ˂ 500 células/</w:t>
      </w:r>
      <w:proofErr w:type="spellStart"/>
      <w:r w:rsidRPr="007A3F5D">
        <w:rPr>
          <w:rFonts w:eastAsia="Calibri"/>
          <w:lang w:val="es-ES" w:eastAsia="en-US"/>
        </w:rPr>
        <w:t>mm</w:t>
      </w:r>
      <w:r w:rsidRPr="007A3F5D">
        <w:rPr>
          <w:rFonts w:eastAsia="Calibri"/>
          <w:vertAlign w:val="superscript"/>
          <w:lang w:val="es-ES" w:eastAsia="en-US"/>
        </w:rPr>
        <w:t>3</w:t>
      </w:r>
      <w:proofErr w:type="spellEnd"/>
      <w:r w:rsidRPr="007A3F5D">
        <w:rPr>
          <w:rFonts w:eastAsia="Calibri"/>
          <w:lang w:val="es-ES" w:eastAsia="en-US"/>
        </w:rPr>
        <w:t>.</w:t>
      </w:r>
    </w:p>
    <w:p w14:paraId="7609CB51" w14:textId="77777777" w:rsidR="007A3F5D" w:rsidRPr="007A3F5D" w:rsidRDefault="007A3F5D" w:rsidP="007A3F5D">
      <w:pPr>
        <w:spacing w:line="360" w:lineRule="auto"/>
        <w:ind w:left="708"/>
        <w:jc w:val="both"/>
        <w:rPr>
          <w:rFonts w:eastAsia="Calibri"/>
          <w:vertAlign w:val="superscript"/>
          <w:lang w:val="es-ES" w:eastAsia="en-US"/>
        </w:rPr>
      </w:pPr>
      <w:r w:rsidRPr="007A3F5D">
        <w:rPr>
          <w:rFonts w:eastAsia="Calibri"/>
          <w:lang w:val="es-ES" w:eastAsia="en-US"/>
        </w:rPr>
        <w:t>c) Antecedentes de enfermedades crónicas: diabetes mellitus, cirrosis hepática, insuficiencia renal crónica (IRC), neoplasias y enfermedad pulmonar obstructiva crónica (EPOC</w:t>
      </w:r>
      <w:proofErr w:type="gramStart"/>
      <w:r w:rsidRPr="007A3F5D">
        <w:rPr>
          <w:rFonts w:eastAsia="Calibri"/>
          <w:lang w:val="es-ES" w:eastAsia="en-US"/>
        </w:rPr>
        <w:t>).</w:t>
      </w:r>
      <w:r w:rsidRPr="007A3F5D">
        <w:rPr>
          <w:rFonts w:eastAsia="Calibri"/>
          <w:vertAlign w:val="superscript"/>
          <w:lang w:val="es-ES" w:eastAsia="en-US"/>
        </w:rPr>
        <w:t>(</w:t>
      </w:r>
      <w:proofErr w:type="gramEnd"/>
      <w:r w:rsidRPr="007A3F5D">
        <w:rPr>
          <w:rFonts w:eastAsia="Calibri"/>
          <w:vertAlign w:val="superscript"/>
          <w:lang w:val="es-ES" w:eastAsia="en-US"/>
        </w:rPr>
        <w:t>13)</w:t>
      </w:r>
    </w:p>
    <w:p w14:paraId="70C9CF4B" w14:textId="77777777" w:rsidR="007A3F5D" w:rsidRPr="007A3F5D" w:rsidRDefault="007A3F5D" w:rsidP="007A3F5D">
      <w:pPr>
        <w:spacing w:line="360" w:lineRule="auto"/>
        <w:jc w:val="both"/>
        <w:rPr>
          <w:rFonts w:eastAsia="Calibri"/>
          <w:lang w:val="es-ES" w:eastAsia="en-US"/>
        </w:rPr>
      </w:pPr>
    </w:p>
    <w:p w14:paraId="09226D9B"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Para identificar los factores pronósticos se delimitó como variable dependiente a la muerte. Como variables independientes se consideraron la edad, el sexo, el APACHE II y el SOFA. </w:t>
      </w:r>
    </w:p>
    <w:p w14:paraId="08D38271"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En el análisis estadístico de las variables cualitativas: sexo, lugar de origen, estadios de la sepsis, comorbilidad, localización y procedimientos terapéuticos se determinaron las frecuencias absolutas y los porcentajes. A las variables cuantitativas: edad, APACHE II, SOFA y estadía se les estimó las medias e intervalos de confianza del 95 % (IC95 %), mediana, rango </w:t>
      </w:r>
      <w:proofErr w:type="spellStart"/>
      <w:r w:rsidRPr="007A3F5D">
        <w:rPr>
          <w:rFonts w:eastAsia="Calibri"/>
          <w:lang w:val="es-ES" w:eastAsia="en-US"/>
        </w:rPr>
        <w:t>intercuartil</w:t>
      </w:r>
      <w:proofErr w:type="spellEnd"/>
      <w:r w:rsidRPr="007A3F5D">
        <w:rPr>
          <w:rFonts w:eastAsia="Calibri"/>
          <w:lang w:val="es-ES" w:eastAsia="en-US"/>
        </w:rPr>
        <w:t xml:space="preserve"> (RIC) y desviación estándar. Para determinar las diferencias entre las medias de los vivos y fallecidos se empleó la prueba paramétrica de </w:t>
      </w:r>
      <w:r w:rsidRPr="007A3F5D">
        <w:rPr>
          <w:rFonts w:eastAsia="Calibri"/>
          <w:iCs/>
          <w:lang w:val="es-ES" w:eastAsia="en-US"/>
        </w:rPr>
        <w:t>t de Student</w:t>
      </w:r>
      <w:r w:rsidRPr="007A3F5D">
        <w:rPr>
          <w:rFonts w:eastAsia="Calibri"/>
          <w:lang w:val="es-ES" w:eastAsia="en-US"/>
        </w:rPr>
        <w:t xml:space="preserve"> para datos independientes, ya que las variables tuvieron una distribución normal. El estadístico </w:t>
      </w:r>
      <w:proofErr w:type="gramStart"/>
      <w:r w:rsidRPr="007A3F5D">
        <w:rPr>
          <w:rFonts w:eastAsia="Calibri"/>
          <w:i/>
          <w:lang w:val="es-ES" w:eastAsia="en-US"/>
        </w:rPr>
        <w:t>ji</w:t>
      </w:r>
      <w:r w:rsidRPr="007A3F5D">
        <w:rPr>
          <w:rFonts w:eastAsia="Calibri"/>
          <w:lang w:val="es-ES" w:eastAsia="en-US"/>
        </w:rPr>
        <w:t xml:space="preserve"> cuadrado</w:t>
      </w:r>
      <w:proofErr w:type="gramEnd"/>
      <w:r w:rsidRPr="007A3F5D">
        <w:rPr>
          <w:rFonts w:eastAsia="Calibri"/>
          <w:lang w:val="es-ES" w:eastAsia="en-US"/>
        </w:rPr>
        <w:t xml:space="preserve"> se empleó para comparar las variables categóricas. La prueba de las medianas se aplicó para determinar las diferencias entre los vivos y fallecidos. El nivel de significación estadística fue α&lt; 0,05. </w:t>
      </w:r>
    </w:p>
    <w:p w14:paraId="353FE631"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Para identificar los factores pronósticos se realizó un análisis bivariado con la estimación del riesgo relativo (RR) y su IC95 %. Para cada variable se probó la hipótesis de que el RR fuese significativamente igual a 1 con un nivel de significación de 0,05. Para convertir las variables cuantitativas en dicotómicas se estimaron los puntos de corte por simple inspección de los gráficos de caja; se determinó el punto que señalaba la mayor diferencia entre vivos y fallecidos.</w:t>
      </w:r>
    </w:p>
    <w:p w14:paraId="6F6EC807"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Se llevó a cabo, además, un análisis multivariado con un modelo de regresión logística binaria. Se aplicó para este fin el método de máxima verosimilitud y el estadístico de bondad de ajuste de </w:t>
      </w:r>
      <w:proofErr w:type="spellStart"/>
      <w:r w:rsidRPr="007A3F5D">
        <w:rPr>
          <w:rFonts w:eastAsia="Calibri"/>
          <w:i/>
          <w:lang w:val="es-ES" w:eastAsia="en-US"/>
        </w:rPr>
        <w:t>Hosmer-Lemeshow</w:t>
      </w:r>
      <w:proofErr w:type="spellEnd"/>
      <w:r w:rsidRPr="007A3F5D">
        <w:rPr>
          <w:rFonts w:eastAsia="Calibri"/>
          <w:i/>
          <w:lang w:val="es-ES" w:eastAsia="en-US"/>
        </w:rPr>
        <w:t xml:space="preserve">. </w:t>
      </w:r>
      <w:r w:rsidRPr="007A3F5D">
        <w:rPr>
          <w:rFonts w:eastAsia="Calibri"/>
          <w:lang w:val="es-ES" w:eastAsia="en-US"/>
        </w:rPr>
        <w:t>Para estimar la probabilidad de fallecer</w:t>
      </w:r>
      <w:r w:rsidRPr="007A3F5D">
        <w:rPr>
          <w:rFonts w:eastAsia="Calibri"/>
          <w:i/>
          <w:lang w:val="es-ES" w:eastAsia="en-US"/>
        </w:rPr>
        <w:t xml:space="preserve">, </w:t>
      </w:r>
      <w:r w:rsidRPr="007A3F5D">
        <w:rPr>
          <w:rFonts w:eastAsia="Calibri"/>
          <w:lang w:val="es-ES" w:eastAsia="en-US"/>
        </w:rPr>
        <w:t xml:space="preserve">como parte del modelo, se calculó el </w:t>
      </w:r>
      <w:r w:rsidRPr="007A3F5D">
        <w:rPr>
          <w:rFonts w:eastAsia="Calibri"/>
          <w:i/>
          <w:iCs/>
          <w:lang w:val="es-ES" w:eastAsia="en-US"/>
        </w:rPr>
        <w:t>odd ratio</w:t>
      </w:r>
      <w:r w:rsidRPr="007A3F5D">
        <w:rPr>
          <w:rFonts w:eastAsia="Calibri"/>
          <w:lang w:val="es-ES" w:eastAsia="en-US"/>
        </w:rPr>
        <w:t xml:space="preserve"> ajustado (OR ajustado) y su IC95 %.  Para el procesamiento estadístico se empleó el SPSS versión 21.0. </w:t>
      </w:r>
    </w:p>
    <w:p w14:paraId="07FCB9C5"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lastRenderedPageBreak/>
        <w:t xml:space="preserve">Se cumplieron las normativas éticas del código de Helsinki para las investigaciones en humanos. Los datos se obtuvieron de la práctica asistencial y se garantizó su confidencialidad. No se ensayaron nuevas medidas terapéuticas.  </w:t>
      </w:r>
    </w:p>
    <w:p w14:paraId="056F6C8C" w14:textId="77777777" w:rsidR="007A3F5D" w:rsidRPr="007A3F5D" w:rsidRDefault="007A3F5D" w:rsidP="007A3F5D">
      <w:pPr>
        <w:spacing w:line="360" w:lineRule="auto"/>
        <w:jc w:val="both"/>
        <w:rPr>
          <w:rFonts w:eastAsia="Calibri"/>
          <w:b/>
          <w:lang w:val="es-ES" w:eastAsia="en-US"/>
        </w:rPr>
      </w:pPr>
    </w:p>
    <w:p w14:paraId="1EA3F042" w14:textId="77777777" w:rsidR="007A3F5D" w:rsidRPr="007A3F5D" w:rsidRDefault="007A3F5D" w:rsidP="007A3F5D">
      <w:pPr>
        <w:spacing w:line="360" w:lineRule="auto"/>
        <w:jc w:val="both"/>
        <w:rPr>
          <w:rFonts w:eastAsia="Calibri"/>
          <w:b/>
          <w:lang w:val="es-ES" w:eastAsia="en-US"/>
        </w:rPr>
      </w:pPr>
    </w:p>
    <w:p w14:paraId="1244CCB3" w14:textId="77777777" w:rsidR="007A3F5D" w:rsidRPr="007A3F5D" w:rsidRDefault="007A3F5D" w:rsidP="007A3F5D">
      <w:pPr>
        <w:spacing w:line="360" w:lineRule="auto"/>
        <w:jc w:val="center"/>
        <w:rPr>
          <w:rFonts w:eastAsia="Calibri"/>
          <w:b/>
          <w:sz w:val="32"/>
          <w:szCs w:val="32"/>
          <w:lang w:val="es-ES" w:eastAsia="en-US"/>
        </w:rPr>
      </w:pPr>
      <w:r w:rsidRPr="007A3F5D">
        <w:rPr>
          <w:rFonts w:eastAsia="Calibri"/>
          <w:b/>
          <w:sz w:val="32"/>
          <w:szCs w:val="32"/>
          <w:lang w:val="es-ES" w:eastAsia="en-US"/>
        </w:rPr>
        <w:t>RESULTADOS</w:t>
      </w:r>
    </w:p>
    <w:p w14:paraId="746DB5C2"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La tabla 1 muestra las características de los pacientes con </w:t>
      </w:r>
      <w:proofErr w:type="spellStart"/>
      <w:r w:rsidRPr="007A3F5D">
        <w:rPr>
          <w:rFonts w:eastAsia="Calibri"/>
          <w:lang w:val="es-ES" w:eastAsia="en-US"/>
        </w:rPr>
        <w:t>IAC</w:t>
      </w:r>
      <w:proofErr w:type="spellEnd"/>
      <w:r w:rsidRPr="007A3F5D">
        <w:rPr>
          <w:rFonts w:eastAsia="Calibri"/>
          <w:lang w:val="es-ES" w:eastAsia="en-US"/>
        </w:rPr>
        <w:t xml:space="preserve">. En la cohorte, 93 pacientes (58,1 %) correspondieron al sexo femenino. En los fallecidos, el 80,0 % fueron hombres; se demostraron diferencias significativas entre vivos y fallecidos según el sexo (p= 0,002). La media de la edad fue 41,1 años (IC95 %: 38,1-44,1); en los fallecidos se situó en 52,5 años (IC95 %: 42,7-62,6) en comparación con 39,9 años en vivos (IC95 %: 36,8-43,0) (p= 0,015). </w:t>
      </w:r>
    </w:p>
    <w:p w14:paraId="2FE2BF4D"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El APACHE II medio se estimó en 10,8 (IC95 %: 9,7-11,8); en 22,2 (IC95 %: 18,1-26,2) en los fallecidos y 9,6 en los vivos (IC95 %: 8,7-10,5) (p= 0,000). El SOFA promedio fue de 5,2 (IC95 % 2,7-7,6) en los no sobrevivientes y 0,0 (IC95 % 0,0-1,0) en los sobrevivientes (p= 0,000). El 78 % de los pacientes procedieron del quirófano, sin diferencias entre vivos y fallecidos, según el lugar de origen. El SRIS se desarrolló en el 86,7 % de los enfermos que evolucionaron a la muerte y en el 54,5 % de los vivos (p= 0,016). El estado de sepsis/choque séptico se diagnosticó en el 46,7 % de los fallecidos y en el 9,6 % de los vivos (p= 0,000) (tabla 1).</w:t>
      </w:r>
    </w:p>
    <w:p w14:paraId="28D1AF23"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El 14,4 % de los enfermos requirió </w:t>
      </w:r>
      <w:proofErr w:type="spellStart"/>
      <w:r w:rsidRPr="007A3F5D">
        <w:rPr>
          <w:rFonts w:eastAsia="Calibri"/>
          <w:lang w:val="es-ES" w:eastAsia="en-US"/>
        </w:rPr>
        <w:t>VMAI</w:t>
      </w:r>
      <w:proofErr w:type="spellEnd"/>
      <w:r w:rsidRPr="007A3F5D">
        <w:rPr>
          <w:rFonts w:eastAsia="Calibri"/>
          <w:lang w:val="es-ES" w:eastAsia="en-US"/>
        </w:rPr>
        <w:t xml:space="preserve">, el 1,9 % </w:t>
      </w:r>
      <w:proofErr w:type="spellStart"/>
      <w:r w:rsidRPr="007A3F5D">
        <w:rPr>
          <w:rFonts w:eastAsia="Calibri"/>
          <w:lang w:val="es-ES" w:eastAsia="en-US"/>
        </w:rPr>
        <w:t>MDR</w:t>
      </w:r>
      <w:proofErr w:type="spellEnd"/>
      <w:r w:rsidRPr="007A3F5D">
        <w:rPr>
          <w:rFonts w:eastAsia="Calibri"/>
          <w:lang w:val="es-ES" w:eastAsia="en-US"/>
        </w:rPr>
        <w:t xml:space="preserve"> y NP total y el 85,6 % ingresó con antimicrobianos. Existieron diferencias significativas en la evolución en los pacientes ventilados (vivos 9,7 %, fallecidos 40,0 %; p= 0,000) y con </w:t>
      </w:r>
      <w:proofErr w:type="spellStart"/>
      <w:r w:rsidRPr="007A3F5D">
        <w:rPr>
          <w:rFonts w:eastAsia="Calibri"/>
          <w:lang w:val="es-ES" w:eastAsia="en-US"/>
        </w:rPr>
        <w:t>MDR</w:t>
      </w:r>
      <w:proofErr w:type="spellEnd"/>
      <w:r w:rsidRPr="007A3F5D">
        <w:rPr>
          <w:rFonts w:eastAsia="Calibri"/>
          <w:lang w:val="es-ES" w:eastAsia="en-US"/>
        </w:rPr>
        <w:t xml:space="preserve"> (vivos 0,7 %, fallecidos 13,3 %; p= 0,001) (tabla 1).</w:t>
      </w:r>
    </w:p>
    <w:p w14:paraId="0F38941B"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El promedio de estadía estuvo en 5,7 días (IC95 %: 5,1-6,3); fue de 5,4 días en los vivos (IC95 %: 5,1-6,3) y de 5,7 en los fallecidos (p= 0,613) (tabla 1).</w:t>
      </w:r>
    </w:p>
    <w:p w14:paraId="089680BE" w14:textId="77777777" w:rsidR="007A3F5D" w:rsidRPr="007A3F5D" w:rsidRDefault="007A3F5D" w:rsidP="007A3F5D">
      <w:pPr>
        <w:spacing w:line="360" w:lineRule="auto"/>
        <w:jc w:val="both"/>
        <w:rPr>
          <w:rFonts w:eastAsia="Calibri"/>
          <w:lang w:val="es-ES" w:eastAsia="en-US"/>
        </w:rPr>
      </w:pPr>
    </w:p>
    <w:p w14:paraId="10D59D97" w14:textId="77777777" w:rsidR="007A3F5D" w:rsidRPr="007A3F5D" w:rsidRDefault="007A3F5D" w:rsidP="007A3F5D">
      <w:pPr>
        <w:spacing w:line="360" w:lineRule="auto"/>
        <w:jc w:val="center"/>
        <w:rPr>
          <w:rFonts w:eastAsia="Calibri"/>
          <w:sz w:val="22"/>
          <w:szCs w:val="22"/>
          <w:lang w:val="es-ES" w:eastAsia="en-US"/>
        </w:rPr>
      </w:pPr>
      <w:r w:rsidRPr="007A3F5D">
        <w:rPr>
          <w:rFonts w:eastAsia="Calibri"/>
          <w:b/>
          <w:bCs/>
          <w:sz w:val="22"/>
          <w:szCs w:val="22"/>
          <w:lang w:val="es-ES" w:eastAsia="en-US"/>
        </w:rPr>
        <w:br w:type="page"/>
      </w:r>
      <w:r w:rsidRPr="007A3F5D">
        <w:rPr>
          <w:rFonts w:eastAsia="Calibri"/>
          <w:b/>
          <w:bCs/>
          <w:sz w:val="22"/>
          <w:szCs w:val="22"/>
          <w:lang w:val="es-ES" w:eastAsia="en-US"/>
        </w:rPr>
        <w:lastRenderedPageBreak/>
        <w:t xml:space="preserve">Tabla 1 - </w:t>
      </w:r>
      <w:r w:rsidRPr="007A3F5D">
        <w:rPr>
          <w:rFonts w:eastAsia="Calibri"/>
          <w:sz w:val="22"/>
          <w:szCs w:val="22"/>
          <w:lang w:val="es-ES" w:eastAsia="en-US"/>
        </w:rPr>
        <w:t>Características de los pacientes con infecciones adquiridas en la comunidad acorde con la evolución</w:t>
      </w:r>
    </w:p>
    <w:p w14:paraId="6E0B75E8" w14:textId="4CFD590E" w:rsidR="007A3F5D" w:rsidRPr="007A3F5D" w:rsidRDefault="007A3F5D" w:rsidP="007A3F5D">
      <w:pPr>
        <w:spacing w:line="360" w:lineRule="auto"/>
        <w:jc w:val="center"/>
        <w:rPr>
          <w:rFonts w:eastAsia="Calibri"/>
          <w:sz w:val="22"/>
          <w:szCs w:val="22"/>
          <w:lang w:val="es-ES" w:eastAsia="en-US"/>
        </w:rPr>
      </w:pPr>
      <w:r w:rsidRPr="007A3F5D">
        <w:rPr>
          <w:rFonts w:eastAsia="Calibri"/>
          <w:noProof/>
          <w:sz w:val="22"/>
          <w:szCs w:val="22"/>
          <w:lang w:val="es-ES" w:eastAsia="en-US"/>
        </w:rPr>
        <w:drawing>
          <wp:inline distT="0" distB="0" distL="0" distR="0" wp14:anchorId="055EA9D6" wp14:editId="7276D252">
            <wp:extent cx="5002121" cy="6924675"/>
            <wp:effectExtent l="0" t="0" r="8255"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810" cy="6933935"/>
                    </a:xfrm>
                    <a:prstGeom prst="rect">
                      <a:avLst/>
                    </a:prstGeom>
                    <a:noFill/>
                    <a:ln>
                      <a:noFill/>
                    </a:ln>
                  </pic:spPr>
                </pic:pic>
              </a:graphicData>
            </a:graphic>
          </wp:inline>
        </w:drawing>
      </w:r>
    </w:p>
    <w:p w14:paraId="48B72D22" w14:textId="77777777" w:rsidR="007A3F5D" w:rsidRPr="007A3F5D" w:rsidRDefault="007A3F5D" w:rsidP="007A3F5D">
      <w:pPr>
        <w:spacing w:line="360" w:lineRule="auto"/>
        <w:jc w:val="center"/>
        <w:rPr>
          <w:rFonts w:eastAsia="Calibri"/>
          <w:sz w:val="16"/>
          <w:szCs w:val="16"/>
          <w:lang w:val="es-ES" w:eastAsia="en-US"/>
        </w:rPr>
      </w:pPr>
      <w:r w:rsidRPr="007A3F5D">
        <w:rPr>
          <w:rFonts w:eastAsia="Calibri"/>
          <w:sz w:val="16"/>
          <w:szCs w:val="16"/>
          <w:lang w:val="es-ES" w:eastAsia="en-US"/>
        </w:rPr>
        <w:t>*p˂ 0,05</w:t>
      </w:r>
    </w:p>
    <w:p w14:paraId="364B41E7" w14:textId="77777777" w:rsidR="007A3F5D" w:rsidRPr="007A3F5D" w:rsidRDefault="007A3F5D" w:rsidP="007A3F5D">
      <w:pPr>
        <w:spacing w:line="360" w:lineRule="auto"/>
        <w:jc w:val="both"/>
        <w:rPr>
          <w:rFonts w:eastAsia="Calibri"/>
          <w:lang w:val="es-ES" w:eastAsia="en-US"/>
        </w:rPr>
      </w:pPr>
    </w:p>
    <w:p w14:paraId="002BF883"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La tabla 2 refleja que la diabetes mellitus (9,4 %), la inmunosupresión (3,7 %) y las neoplasias (3,7 %) constituyeron la comorbilidad más frecuente. Las diferencias entre vivos y fallecidos se observaron para la inmunosupresión (2,8 % vs. 13,3 %; p= 0,040), neoplasias (2,1 % vs. 20,0 %; p= 0,001) y neutropenia (0,0 vs. 6,7; p= 0,002). </w:t>
      </w:r>
    </w:p>
    <w:p w14:paraId="31E978E8" w14:textId="77777777" w:rsidR="007A3F5D" w:rsidRPr="007A3F5D" w:rsidRDefault="007A3F5D" w:rsidP="007A3F5D">
      <w:pPr>
        <w:spacing w:line="360" w:lineRule="auto"/>
        <w:jc w:val="both"/>
        <w:rPr>
          <w:rFonts w:eastAsia="Calibri"/>
          <w:lang w:val="es-ES" w:eastAsia="en-US"/>
        </w:rPr>
      </w:pPr>
    </w:p>
    <w:p w14:paraId="64D0226A" w14:textId="77777777" w:rsidR="007A3F5D" w:rsidRPr="007A3F5D" w:rsidRDefault="007A3F5D" w:rsidP="007A3F5D">
      <w:pPr>
        <w:spacing w:line="360" w:lineRule="auto"/>
        <w:jc w:val="center"/>
        <w:rPr>
          <w:rFonts w:eastAsia="Calibri"/>
          <w:sz w:val="22"/>
          <w:szCs w:val="22"/>
          <w:lang w:val="es-ES" w:eastAsia="en-US"/>
        </w:rPr>
      </w:pPr>
      <w:r w:rsidRPr="007A3F5D">
        <w:rPr>
          <w:rFonts w:eastAsia="Calibri"/>
          <w:b/>
          <w:bCs/>
          <w:sz w:val="22"/>
          <w:szCs w:val="22"/>
          <w:lang w:val="es-ES" w:eastAsia="en-US"/>
        </w:rPr>
        <w:t>Tabla 2 -</w:t>
      </w:r>
      <w:r w:rsidRPr="007A3F5D">
        <w:rPr>
          <w:rFonts w:eastAsia="Calibri"/>
          <w:sz w:val="22"/>
          <w:szCs w:val="22"/>
          <w:lang w:val="es-ES" w:eastAsia="en-US"/>
        </w:rPr>
        <w:t xml:space="preserve"> Comorbilidad de los pacientes con infecciones adquiridas en la comunidad </w:t>
      </w:r>
      <w:r w:rsidRPr="007A3F5D">
        <w:rPr>
          <w:rFonts w:eastAsia="Calibri"/>
          <w:sz w:val="22"/>
          <w:szCs w:val="22"/>
          <w:lang w:val="es-ES" w:eastAsia="en-US"/>
        </w:rPr>
        <w:br/>
        <w:t>acorde con la evolución</w:t>
      </w:r>
    </w:p>
    <w:p w14:paraId="1FC52556" w14:textId="39065CFF" w:rsidR="007A3F5D" w:rsidRPr="007A3F5D" w:rsidRDefault="007A3F5D" w:rsidP="007A3F5D">
      <w:pPr>
        <w:spacing w:line="360" w:lineRule="auto"/>
        <w:jc w:val="center"/>
        <w:rPr>
          <w:rFonts w:ascii="Verdana" w:eastAsia="Calibri" w:hAnsi="Verdana"/>
          <w:sz w:val="18"/>
          <w:szCs w:val="18"/>
          <w:lang w:val="es-ES" w:eastAsia="en-US"/>
        </w:rPr>
      </w:pPr>
      <w:r w:rsidRPr="007A3F5D">
        <w:rPr>
          <w:rFonts w:ascii="Verdana" w:eastAsia="Calibri" w:hAnsi="Verdana"/>
          <w:noProof/>
          <w:sz w:val="18"/>
          <w:szCs w:val="18"/>
          <w:lang w:val="es-ES" w:eastAsia="en-US"/>
        </w:rPr>
        <w:drawing>
          <wp:inline distT="0" distB="0" distL="0" distR="0" wp14:anchorId="1BA62F77" wp14:editId="1BF249CF">
            <wp:extent cx="4171950" cy="448627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1950" cy="4486275"/>
                    </a:xfrm>
                    <a:prstGeom prst="rect">
                      <a:avLst/>
                    </a:prstGeom>
                    <a:noFill/>
                    <a:ln>
                      <a:noFill/>
                    </a:ln>
                  </pic:spPr>
                </pic:pic>
              </a:graphicData>
            </a:graphic>
          </wp:inline>
        </w:drawing>
      </w:r>
    </w:p>
    <w:p w14:paraId="69360C23" w14:textId="77777777" w:rsidR="007A3F5D" w:rsidRPr="007A3F5D" w:rsidRDefault="007A3F5D" w:rsidP="007A3F5D">
      <w:pPr>
        <w:spacing w:line="360" w:lineRule="auto"/>
        <w:jc w:val="center"/>
        <w:rPr>
          <w:rFonts w:eastAsia="Calibri"/>
          <w:sz w:val="16"/>
          <w:szCs w:val="16"/>
          <w:lang w:val="es-ES" w:eastAsia="en-US"/>
        </w:rPr>
      </w:pPr>
      <w:r w:rsidRPr="007A3F5D">
        <w:rPr>
          <w:rFonts w:eastAsia="Calibri"/>
          <w:sz w:val="16"/>
          <w:szCs w:val="16"/>
          <w:lang w:val="es-ES" w:eastAsia="en-US"/>
        </w:rPr>
        <w:t>* p˂ 0,05. Las comparaciones se realizaron entre vivos y fallecidos.</w:t>
      </w:r>
    </w:p>
    <w:p w14:paraId="597C87E2" w14:textId="77777777" w:rsidR="007A3F5D" w:rsidRPr="007A3F5D" w:rsidRDefault="007A3F5D" w:rsidP="007A3F5D">
      <w:pPr>
        <w:spacing w:line="360" w:lineRule="auto"/>
        <w:jc w:val="both"/>
        <w:rPr>
          <w:rFonts w:eastAsia="Calibri"/>
          <w:lang w:val="es-ES" w:eastAsia="en-US"/>
        </w:rPr>
      </w:pPr>
    </w:p>
    <w:p w14:paraId="1975DBE5"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lastRenderedPageBreak/>
        <w:t>En la tabla 3 se destaca que el 96,3 % de los pacientes presentó una localización de la infección y el 3,7 %, 2 localizaciones. La infección intraabdominal (40,0 %), la neumonía (20,6 %) y la infección urinaria (8,8 %) representaron las principales. La frecuencia de fallecidos por neumonía fue significativa en comparación con la de los vivos (46,7 % vs. 17,9 %; p= 0,007).</w:t>
      </w:r>
    </w:p>
    <w:p w14:paraId="59819E28" w14:textId="77777777" w:rsidR="007A3F5D" w:rsidRPr="007A3F5D" w:rsidRDefault="007A3F5D" w:rsidP="007A3F5D">
      <w:pPr>
        <w:spacing w:line="360" w:lineRule="auto"/>
        <w:jc w:val="both"/>
        <w:rPr>
          <w:rFonts w:eastAsia="Calibri"/>
          <w:lang w:val="es-ES" w:eastAsia="en-US"/>
        </w:rPr>
      </w:pPr>
    </w:p>
    <w:p w14:paraId="5C9D46B0" w14:textId="536F8B39" w:rsidR="007A3F5D" w:rsidRPr="007A3F5D" w:rsidRDefault="007A3F5D" w:rsidP="007A3F5D">
      <w:pPr>
        <w:spacing w:line="360" w:lineRule="auto"/>
        <w:jc w:val="center"/>
        <w:rPr>
          <w:rFonts w:eastAsia="Calibri"/>
          <w:sz w:val="22"/>
          <w:szCs w:val="22"/>
          <w:lang w:val="es-ES" w:eastAsia="en-US"/>
        </w:rPr>
      </w:pPr>
      <w:r w:rsidRPr="007A3F5D">
        <w:rPr>
          <w:rFonts w:eastAsia="Calibri"/>
          <w:b/>
          <w:bCs/>
          <w:sz w:val="22"/>
          <w:szCs w:val="22"/>
          <w:lang w:val="es-ES" w:eastAsia="en-US"/>
        </w:rPr>
        <w:t>Tabla 3 -</w:t>
      </w:r>
      <w:r w:rsidRPr="007A3F5D">
        <w:rPr>
          <w:rFonts w:eastAsia="Calibri"/>
          <w:sz w:val="22"/>
          <w:szCs w:val="22"/>
          <w:lang w:val="es-ES" w:eastAsia="en-US"/>
        </w:rPr>
        <w:t xml:space="preserve"> Localización de infección adquirida en la comunidad de acuerdo con la evolución</w:t>
      </w:r>
    </w:p>
    <w:p w14:paraId="18ADA5D5" w14:textId="2C4F75D4" w:rsidR="007A3F5D" w:rsidRPr="007A3F5D" w:rsidRDefault="007A3F5D" w:rsidP="007A3F5D">
      <w:pPr>
        <w:spacing w:line="360" w:lineRule="auto"/>
        <w:ind w:hanging="141"/>
        <w:jc w:val="center"/>
        <w:rPr>
          <w:rFonts w:eastAsia="Calibri"/>
          <w:sz w:val="16"/>
          <w:szCs w:val="16"/>
          <w:lang w:val="es-ES" w:eastAsia="en-US"/>
        </w:rPr>
      </w:pPr>
      <w:r w:rsidRPr="007A3F5D">
        <w:rPr>
          <w:rFonts w:eastAsia="Calibri"/>
          <w:noProof/>
          <w:sz w:val="16"/>
          <w:szCs w:val="16"/>
          <w:lang w:val="es-ES" w:eastAsia="en-US"/>
        </w:rPr>
        <w:drawing>
          <wp:inline distT="0" distB="0" distL="0" distR="0" wp14:anchorId="5177AEF6" wp14:editId="397A850F">
            <wp:extent cx="5886450" cy="3886200"/>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6450" cy="3886200"/>
                    </a:xfrm>
                    <a:prstGeom prst="rect">
                      <a:avLst/>
                    </a:prstGeom>
                    <a:noFill/>
                    <a:ln>
                      <a:noFill/>
                    </a:ln>
                  </pic:spPr>
                </pic:pic>
              </a:graphicData>
            </a:graphic>
          </wp:inline>
        </w:drawing>
      </w:r>
    </w:p>
    <w:p w14:paraId="58BF9253" w14:textId="77777777" w:rsidR="007A3F5D" w:rsidRPr="007A3F5D" w:rsidRDefault="007A3F5D" w:rsidP="007A3F5D">
      <w:pPr>
        <w:spacing w:line="360" w:lineRule="auto"/>
        <w:ind w:hanging="141"/>
        <w:jc w:val="center"/>
        <w:rPr>
          <w:rFonts w:eastAsia="Calibri"/>
          <w:sz w:val="16"/>
          <w:szCs w:val="16"/>
          <w:lang w:val="es-ES" w:eastAsia="en-US"/>
        </w:rPr>
      </w:pPr>
      <w:r w:rsidRPr="007A3F5D">
        <w:rPr>
          <w:rFonts w:eastAsia="Calibri"/>
          <w:sz w:val="16"/>
          <w:szCs w:val="16"/>
          <w:lang w:val="es-ES" w:eastAsia="en-US"/>
        </w:rPr>
        <w:t>* p˂ 0,05. NR</w:t>
      </w:r>
      <w:r w:rsidRPr="007A3F5D">
        <w:rPr>
          <w:rFonts w:eastAsia="Calibri"/>
          <w:sz w:val="16"/>
          <w:szCs w:val="16"/>
          <w:vertAlign w:val="superscript"/>
          <w:lang w:val="it-IT" w:eastAsia="it-IT"/>
        </w:rPr>
        <w:t>†</w:t>
      </w:r>
      <w:r w:rsidRPr="007A3F5D">
        <w:rPr>
          <w:rFonts w:eastAsia="Calibri"/>
          <w:sz w:val="16"/>
          <w:szCs w:val="16"/>
          <w:lang w:val="it-IT" w:eastAsia="it-IT"/>
        </w:rPr>
        <w:t xml:space="preserve"> </w:t>
      </w:r>
      <w:r w:rsidRPr="007A3F5D">
        <w:rPr>
          <w:rFonts w:eastAsia="Calibri"/>
          <w:sz w:val="16"/>
          <w:szCs w:val="16"/>
          <w:lang w:val="es-ES" w:eastAsia="en-US"/>
        </w:rPr>
        <w:t>No realizada.</w:t>
      </w:r>
    </w:p>
    <w:p w14:paraId="485D71F6" w14:textId="77777777" w:rsidR="007A3F5D" w:rsidRPr="007A3F5D" w:rsidRDefault="007A3F5D" w:rsidP="007A3F5D">
      <w:pPr>
        <w:spacing w:line="360" w:lineRule="auto"/>
        <w:jc w:val="both"/>
        <w:rPr>
          <w:rFonts w:eastAsia="Calibri"/>
          <w:lang w:val="es-ES" w:eastAsia="en-US"/>
        </w:rPr>
      </w:pPr>
    </w:p>
    <w:p w14:paraId="43E9D537"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En el análisis bivariado de los factores pronósticos, todos tuvieron asociación con la muerte. En enfermos con una edad ≥ 45 años (RR= 5,8; IC95 %: 1,1-9,1; p= 0,01) y sexo masculino (RR= 5,6; IC95 %: 1,6-19,1; p= 0,00) el riesgo de morir fue aproximadamente 6 veces mayor. Un APACHE ≥ 12 (RR= 12,1; IC95 %: 2,8-52,1; p= 0,00) incrementó 12 veces la probabilidad de morir y 9 veces un SOFA ≥ 2 (IC95 %: 3,3-24,6; p= 0,00) (tabla 4).     </w:t>
      </w:r>
    </w:p>
    <w:p w14:paraId="7CA57991" w14:textId="77777777" w:rsidR="007A3F5D" w:rsidRPr="007A3F5D" w:rsidRDefault="007A3F5D" w:rsidP="007A3F5D">
      <w:pPr>
        <w:spacing w:line="360" w:lineRule="auto"/>
        <w:jc w:val="both"/>
        <w:rPr>
          <w:rFonts w:eastAsia="Calibri"/>
          <w:lang w:val="es-ES" w:eastAsia="en-US"/>
        </w:rPr>
      </w:pPr>
    </w:p>
    <w:p w14:paraId="7335A0AA" w14:textId="77777777" w:rsidR="007A3F5D" w:rsidRPr="007A3F5D" w:rsidRDefault="007A3F5D" w:rsidP="007A3F5D">
      <w:pPr>
        <w:spacing w:line="360" w:lineRule="auto"/>
        <w:jc w:val="center"/>
        <w:rPr>
          <w:rFonts w:eastAsia="Calibri"/>
          <w:sz w:val="22"/>
          <w:szCs w:val="22"/>
          <w:lang w:val="es-ES" w:eastAsia="en-US"/>
        </w:rPr>
      </w:pPr>
      <w:r w:rsidRPr="007A3F5D">
        <w:rPr>
          <w:rFonts w:eastAsia="Calibri"/>
          <w:b/>
          <w:bCs/>
          <w:sz w:val="22"/>
          <w:szCs w:val="22"/>
          <w:lang w:val="es-ES" w:eastAsia="en-US"/>
        </w:rPr>
        <w:br w:type="page"/>
      </w:r>
      <w:r w:rsidRPr="007A3F5D">
        <w:rPr>
          <w:rFonts w:eastAsia="Calibri"/>
          <w:b/>
          <w:bCs/>
          <w:sz w:val="22"/>
          <w:szCs w:val="22"/>
          <w:lang w:val="es-ES" w:eastAsia="en-US"/>
        </w:rPr>
        <w:lastRenderedPageBreak/>
        <w:t>Tabla 4 -</w:t>
      </w:r>
      <w:r w:rsidRPr="007A3F5D">
        <w:rPr>
          <w:rFonts w:eastAsia="Calibri"/>
          <w:sz w:val="22"/>
          <w:szCs w:val="22"/>
          <w:lang w:val="es-ES" w:eastAsia="en-US"/>
        </w:rPr>
        <w:t xml:space="preserve"> Análisis bivariado de los factores pronósticos de las infecciones asociadas a la comunidad</w:t>
      </w:r>
    </w:p>
    <w:p w14:paraId="6B6196A9" w14:textId="70838152" w:rsidR="007A3F5D" w:rsidRPr="007A3F5D" w:rsidRDefault="007A3F5D" w:rsidP="007A3F5D">
      <w:pPr>
        <w:spacing w:line="360" w:lineRule="auto"/>
        <w:jc w:val="center"/>
        <w:rPr>
          <w:rFonts w:eastAsia="Calibri"/>
          <w:sz w:val="16"/>
          <w:szCs w:val="16"/>
          <w:lang w:val="es-ES" w:eastAsia="en-US"/>
        </w:rPr>
      </w:pPr>
      <w:r w:rsidRPr="007A3F5D">
        <w:rPr>
          <w:rFonts w:eastAsia="Calibri"/>
          <w:noProof/>
          <w:sz w:val="16"/>
          <w:szCs w:val="16"/>
          <w:lang w:val="es-ES" w:eastAsia="en-US"/>
        </w:rPr>
        <w:drawing>
          <wp:inline distT="0" distB="0" distL="0" distR="0" wp14:anchorId="777FFF30" wp14:editId="131D9255">
            <wp:extent cx="4895850" cy="3067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5850" cy="3067050"/>
                    </a:xfrm>
                    <a:prstGeom prst="rect">
                      <a:avLst/>
                    </a:prstGeom>
                    <a:noFill/>
                    <a:ln>
                      <a:noFill/>
                    </a:ln>
                  </pic:spPr>
                </pic:pic>
              </a:graphicData>
            </a:graphic>
          </wp:inline>
        </w:drawing>
      </w:r>
    </w:p>
    <w:p w14:paraId="19DDC9CF" w14:textId="77777777" w:rsidR="007A3F5D" w:rsidRPr="007A3F5D" w:rsidRDefault="007A3F5D" w:rsidP="007A3F5D">
      <w:pPr>
        <w:spacing w:line="360" w:lineRule="auto"/>
        <w:jc w:val="center"/>
        <w:rPr>
          <w:rFonts w:eastAsia="Calibri"/>
          <w:sz w:val="16"/>
          <w:szCs w:val="16"/>
          <w:lang w:val="es-ES" w:eastAsia="en-US"/>
        </w:rPr>
      </w:pPr>
      <w:r w:rsidRPr="007A3F5D">
        <w:rPr>
          <w:rFonts w:eastAsia="Calibri"/>
          <w:sz w:val="16"/>
          <w:szCs w:val="16"/>
          <w:lang w:val="es-ES" w:eastAsia="en-US"/>
        </w:rPr>
        <w:t>* p˂ 0,05</w:t>
      </w:r>
    </w:p>
    <w:p w14:paraId="6C93B9C7" w14:textId="77777777" w:rsidR="007A3F5D" w:rsidRPr="007A3F5D" w:rsidRDefault="007A3F5D" w:rsidP="007A3F5D">
      <w:pPr>
        <w:spacing w:line="360" w:lineRule="auto"/>
        <w:jc w:val="center"/>
        <w:rPr>
          <w:rFonts w:eastAsia="Calibri"/>
          <w:lang w:val="es-ES" w:eastAsia="en-US"/>
        </w:rPr>
      </w:pPr>
    </w:p>
    <w:p w14:paraId="7A4AEE3E"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En el APACHE II (OR ajustado 5,9; IC95 %: 1,02-34,8) y el SOFA (OR ajustado 5,6; IC95 %: 1,4-21,7) se identificaron como factores pronósticos independientes, cuando estuvieron presentes otras variables (tabla 5).</w:t>
      </w:r>
    </w:p>
    <w:p w14:paraId="27A2B08B" w14:textId="77777777" w:rsidR="007A3F5D" w:rsidRPr="007A3F5D" w:rsidRDefault="007A3F5D" w:rsidP="007A3F5D">
      <w:pPr>
        <w:spacing w:line="360" w:lineRule="auto"/>
        <w:jc w:val="both"/>
        <w:rPr>
          <w:rFonts w:eastAsia="Calibri"/>
          <w:lang w:val="es-ES" w:eastAsia="en-US"/>
        </w:rPr>
      </w:pPr>
    </w:p>
    <w:p w14:paraId="275B8D41" w14:textId="77777777" w:rsidR="007A3F5D" w:rsidRPr="007A3F5D" w:rsidRDefault="007A3F5D" w:rsidP="007A3F5D">
      <w:pPr>
        <w:spacing w:line="360" w:lineRule="auto"/>
        <w:jc w:val="center"/>
        <w:rPr>
          <w:rFonts w:eastAsia="Calibri"/>
          <w:sz w:val="22"/>
          <w:szCs w:val="22"/>
          <w:lang w:val="es-ES" w:eastAsia="en-US"/>
        </w:rPr>
      </w:pPr>
      <w:r w:rsidRPr="007A3F5D">
        <w:rPr>
          <w:rFonts w:eastAsia="Calibri"/>
          <w:b/>
          <w:bCs/>
          <w:sz w:val="22"/>
          <w:szCs w:val="22"/>
          <w:lang w:val="es-ES" w:eastAsia="en-US"/>
        </w:rPr>
        <w:t>Tabla 5 -</w:t>
      </w:r>
      <w:r w:rsidRPr="007A3F5D">
        <w:rPr>
          <w:rFonts w:eastAsia="Calibri"/>
          <w:sz w:val="22"/>
          <w:szCs w:val="22"/>
          <w:lang w:val="es-ES" w:eastAsia="en-US"/>
        </w:rPr>
        <w:t xml:space="preserve"> Modelo de regresión logística de los factores pronósticos</w:t>
      </w:r>
    </w:p>
    <w:p w14:paraId="7E46B866" w14:textId="665BAFE6" w:rsidR="007A3F5D" w:rsidRPr="007A3F5D" w:rsidRDefault="007A3F5D" w:rsidP="00FB5D51">
      <w:pPr>
        <w:spacing w:line="360" w:lineRule="auto"/>
        <w:jc w:val="center"/>
        <w:rPr>
          <w:rFonts w:eastAsia="Calibri"/>
          <w:sz w:val="16"/>
          <w:szCs w:val="16"/>
          <w:lang w:val="es-ES" w:eastAsia="en-US"/>
        </w:rPr>
      </w:pPr>
      <w:r w:rsidRPr="007A3F5D">
        <w:rPr>
          <w:rFonts w:eastAsia="Calibri"/>
          <w:noProof/>
          <w:sz w:val="16"/>
          <w:szCs w:val="16"/>
          <w:lang w:val="es-ES" w:eastAsia="en-US"/>
        </w:rPr>
        <w:drawing>
          <wp:inline distT="0" distB="0" distL="0" distR="0" wp14:anchorId="046DBCE4" wp14:editId="363690BF">
            <wp:extent cx="4876800" cy="17811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0" cy="1781175"/>
                    </a:xfrm>
                    <a:prstGeom prst="rect">
                      <a:avLst/>
                    </a:prstGeom>
                    <a:noFill/>
                    <a:ln>
                      <a:noFill/>
                    </a:ln>
                  </pic:spPr>
                </pic:pic>
              </a:graphicData>
            </a:graphic>
          </wp:inline>
        </w:drawing>
      </w:r>
    </w:p>
    <w:p w14:paraId="7A1D0D53" w14:textId="77777777" w:rsidR="007A3F5D" w:rsidRPr="007A3F5D" w:rsidRDefault="007A3F5D" w:rsidP="007A3F5D">
      <w:pPr>
        <w:spacing w:line="360" w:lineRule="auto"/>
        <w:ind w:firstLine="993"/>
        <w:jc w:val="center"/>
        <w:rPr>
          <w:rFonts w:eastAsia="Calibri"/>
          <w:sz w:val="16"/>
          <w:szCs w:val="16"/>
          <w:lang w:val="es-ES" w:eastAsia="en-US"/>
        </w:rPr>
      </w:pPr>
      <w:r w:rsidRPr="007A3F5D">
        <w:rPr>
          <w:rFonts w:eastAsia="Calibri"/>
          <w:sz w:val="16"/>
          <w:szCs w:val="16"/>
          <w:lang w:val="es-ES" w:eastAsia="en-US"/>
        </w:rPr>
        <w:t>*Coeficientes estimados del modelo † Significación estadística.</w:t>
      </w:r>
    </w:p>
    <w:p w14:paraId="47951520" w14:textId="77777777" w:rsidR="007A3F5D" w:rsidRPr="007A3F5D" w:rsidRDefault="007A3F5D" w:rsidP="007A3F5D">
      <w:pPr>
        <w:spacing w:line="360" w:lineRule="auto"/>
        <w:jc w:val="center"/>
        <w:rPr>
          <w:rFonts w:eastAsia="Calibri"/>
          <w:sz w:val="16"/>
          <w:szCs w:val="16"/>
          <w:lang w:val="es-ES" w:eastAsia="en-US"/>
        </w:rPr>
      </w:pPr>
      <w:r w:rsidRPr="007A3F5D">
        <w:rPr>
          <w:rFonts w:eastAsia="Calibri"/>
          <w:sz w:val="16"/>
          <w:szCs w:val="16"/>
          <w:lang w:val="es-ES" w:eastAsia="en-US"/>
        </w:rPr>
        <w:t xml:space="preserve">‡ </w:t>
      </w:r>
      <w:r w:rsidRPr="007A3F5D">
        <w:rPr>
          <w:rFonts w:eastAsia="Calibri"/>
          <w:i/>
          <w:iCs/>
          <w:sz w:val="16"/>
          <w:szCs w:val="16"/>
          <w:lang w:val="es-ES" w:eastAsia="en-US"/>
        </w:rPr>
        <w:t>odd ratio</w:t>
      </w:r>
      <w:r w:rsidRPr="007A3F5D">
        <w:rPr>
          <w:rFonts w:eastAsia="Calibri"/>
          <w:sz w:val="16"/>
          <w:szCs w:val="16"/>
          <w:lang w:val="es-ES" w:eastAsia="en-US"/>
        </w:rPr>
        <w:t xml:space="preserve"> (OR) ajustado por las variables § Intervalo de confianza del 95 % (IC95 %) para el OR.</w:t>
      </w:r>
    </w:p>
    <w:p w14:paraId="3D583CB9" w14:textId="77777777" w:rsidR="007A3F5D" w:rsidRPr="007A3F5D" w:rsidRDefault="007A3F5D" w:rsidP="007A3F5D">
      <w:pPr>
        <w:spacing w:line="360" w:lineRule="auto"/>
        <w:jc w:val="both"/>
        <w:rPr>
          <w:rFonts w:eastAsia="Calibri"/>
          <w:b/>
          <w:lang w:val="es-ES" w:eastAsia="en-US"/>
        </w:rPr>
      </w:pPr>
    </w:p>
    <w:p w14:paraId="7D1E65B6" w14:textId="77777777" w:rsidR="007A3F5D" w:rsidRPr="007A3F5D" w:rsidRDefault="007A3F5D" w:rsidP="007A3F5D">
      <w:pPr>
        <w:spacing w:line="360" w:lineRule="auto"/>
        <w:jc w:val="both"/>
        <w:rPr>
          <w:rFonts w:eastAsia="Calibri"/>
          <w:b/>
          <w:lang w:val="es-ES" w:eastAsia="en-US"/>
        </w:rPr>
      </w:pPr>
    </w:p>
    <w:p w14:paraId="1230F586" w14:textId="77777777" w:rsidR="007A3F5D" w:rsidRPr="007A3F5D" w:rsidRDefault="007A3F5D" w:rsidP="007A3F5D">
      <w:pPr>
        <w:spacing w:line="360" w:lineRule="auto"/>
        <w:jc w:val="center"/>
        <w:rPr>
          <w:rFonts w:eastAsia="Calibri"/>
          <w:b/>
          <w:sz w:val="32"/>
          <w:szCs w:val="32"/>
          <w:lang w:val="es-ES" w:eastAsia="en-US"/>
        </w:rPr>
      </w:pPr>
      <w:r w:rsidRPr="007A3F5D">
        <w:rPr>
          <w:rFonts w:eastAsia="Calibri"/>
          <w:b/>
          <w:sz w:val="32"/>
          <w:szCs w:val="32"/>
          <w:lang w:val="es-ES" w:eastAsia="en-US"/>
        </w:rPr>
        <w:t>DISCUSIÓN</w:t>
      </w:r>
    </w:p>
    <w:p w14:paraId="7B47D9A3"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En cuanto a frecuencia, </w:t>
      </w:r>
      <w:r w:rsidRPr="007A3F5D">
        <w:rPr>
          <w:rFonts w:eastAsia="Calibri"/>
          <w:i/>
          <w:lang w:val="es-ES" w:eastAsia="en-US"/>
        </w:rPr>
        <w:t>Westphal</w:t>
      </w:r>
      <w:r w:rsidRPr="007A3F5D">
        <w:rPr>
          <w:rFonts w:eastAsia="Calibri"/>
          <w:lang w:val="es-ES" w:eastAsia="en-US"/>
        </w:rPr>
        <w:t xml:space="preserve"> y </w:t>
      </w:r>
      <w:proofErr w:type="gramStart"/>
      <w:r w:rsidRPr="007A3F5D">
        <w:rPr>
          <w:rFonts w:eastAsia="Calibri"/>
          <w:lang w:val="es-ES" w:eastAsia="en-US"/>
        </w:rPr>
        <w:t>otros</w:t>
      </w:r>
      <w:r w:rsidRPr="007A3F5D">
        <w:rPr>
          <w:rFonts w:eastAsia="Calibri"/>
          <w:vertAlign w:val="superscript"/>
          <w:lang w:val="es-ES" w:eastAsia="en-US"/>
        </w:rPr>
        <w:t>(</w:t>
      </w:r>
      <w:proofErr w:type="gramEnd"/>
      <w:r w:rsidRPr="007A3F5D">
        <w:rPr>
          <w:rFonts w:eastAsia="Calibri"/>
          <w:vertAlign w:val="superscript"/>
          <w:lang w:val="es-ES" w:eastAsia="en-US"/>
        </w:rPr>
        <w:t>14)</w:t>
      </w:r>
      <w:r w:rsidRPr="007A3F5D">
        <w:rPr>
          <w:rFonts w:eastAsia="Calibri"/>
          <w:lang w:val="es-ES" w:eastAsia="en-US"/>
        </w:rPr>
        <w:t xml:space="preserve"> encontraron en un estudio de cohorte, un 41,2 % de </w:t>
      </w:r>
      <w:proofErr w:type="spellStart"/>
      <w:r w:rsidRPr="007A3F5D">
        <w:rPr>
          <w:rFonts w:eastAsia="Calibri"/>
          <w:lang w:val="es-ES" w:eastAsia="en-US"/>
        </w:rPr>
        <w:t>IAC</w:t>
      </w:r>
      <w:proofErr w:type="spellEnd"/>
      <w:r w:rsidRPr="007A3F5D">
        <w:rPr>
          <w:rFonts w:eastAsia="Calibri"/>
          <w:lang w:val="es-ES" w:eastAsia="en-US"/>
        </w:rPr>
        <w:t xml:space="preserve">. Otro realizado por </w:t>
      </w:r>
      <w:proofErr w:type="spellStart"/>
      <w:r w:rsidRPr="007A3F5D">
        <w:rPr>
          <w:rFonts w:eastAsia="Calibri"/>
          <w:i/>
          <w:lang w:val="es-ES" w:eastAsia="en-US"/>
        </w:rPr>
        <w:t>Szabo</w:t>
      </w:r>
      <w:proofErr w:type="spellEnd"/>
      <w:r w:rsidRPr="007A3F5D">
        <w:rPr>
          <w:rFonts w:eastAsia="Calibri"/>
          <w:lang w:val="es-ES" w:eastAsia="en-US"/>
        </w:rPr>
        <w:t xml:space="preserve"> y </w:t>
      </w:r>
      <w:proofErr w:type="gramStart"/>
      <w:r w:rsidRPr="007A3F5D">
        <w:rPr>
          <w:rFonts w:eastAsia="Calibri"/>
          <w:lang w:val="es-ES" w:eastAsia="en-US"/>
        </w:rPr>
        <w:t>otros</w:t>
      </w:r>
      <w:r w:rsidRPr="007A3F5D">
        <w:rPr>
          <w:rFonts w:eastAsia="Calibri"/>
          <w:vertAlign w:val="superscript"/>
          <w:lang w:val="es-ES" w:eastAsia="en-US"/>
        </w:rPr>
        <w:t>(</w:t>
      </w:r>
      <w:proofErr w:type="gramEnd"/>
      <w:r w:rsidRPr="007A3F5D">
        <w:rPr>
          <w:rFonts w:eastAsia="Calibri"/>
          <w:vertAlign w:val="superscript"/>
          <w:lang w:val="es-ES" w:eastAsia="en-US"/>
        </w:rPr>
        <w:t>4)</w:t>
      </w:r>
      <w:r w:rsidRPr="007A3F5D">
        <w:rPr>
          <w:rFonts w:eastAsia="Calibri"/>
          <w:lang w:val="es-ES" w:eastAsia="en-US"/>
        </w:rPr>
        <w:t xml:space="preserve"> demostró un 34,0 % de pacientes afectados </w:t>
      </w:r>
      <w:proofErr w:type="spellStart"/>
      <w:r w:rsidRPr="007A3F5D">
        <w:rPr>
          <w:rFonts w:eastAsia="Calibri"/>
          <w:lang w:val="es-ES" w:eastAsia="en-US"/>
        </w:rPr>
        <w:t>IAC</w:t>
      </w:r>
      <w:proofErr w:type="spellEnd"/>
      <w:r w:rsidRPr="007A3F5D">
        <w:rPr>
          <w:rFonts w:eastAsia="Calibri"/>
          <w:lang w:val="es-ES" w:eastAsia="en-US"/>
        </w:rPr>
        <w:t xml:space="preserve"> ingresados en centros terciarios de salud. Una incidencia de 17,3 % se estimó en la investigación </w:t>
      </w:r>
      <w:proofErr w:type="spellStart"/>
      <w:r w:rsidRPr="007A3F5D">
        <w:rPr>
          <w:rFonts w:eastAsia="Calibri"/>
          <w:lang w:val="es-ES" w:eastAsia="en-US"/>
        </w:rPr>
        <w:t>Ubon</w:t>
      </w:r>
      <w:proofErr w:type="spellEnd"/>
      <w:r w:rsidRPr="007A3F5D">
        <w:rPr>
          <w:rFonts w:eastAsia="Calibri"/>
          <w:lang w:val="es-ES" w:eastAsia="en-US"/>
        </w:rPr>
        <w:t>-</w:t>
      </w:r>
      <w:proofErr w:type="gramStart"/>
      <w:r w:rsidRPr="007A3F5D">
        <w:rPr>
          <w:rFonts w:eastAsia="Calibri"/>
          <w:lang w:val="es-ES" w:eastAsia="en-US"/>
        </w:rPr>
        <w:t>sepsis.</w:t>
      </w:r>
      <w:r w:rsidRPr="007A3F5D">
        <w:rPr>
          <w:rFonts w:eastAsia="Calibri"/>
          <w:vertAlign w:val="superscript"/>
          <w:lang w:val="es-ES" w:eastAsia="en-US"/>
        </w:rPr>
        <w:t>(</w:t>
      </w:r>
      <w:proofErr w:type="gramEnd"/>
      <w:r w:rsidRPr="007A3F5D">
        <w:rPr>
          <w:rFonts w:eastAsia="Calibri"/>
          <w:vertAlign w:val="superscript"/>
          <w:lang w:val="es-ES" w:eastAsia="en-US"/>
        </w:rPr>
        <w:t xml:space="preserve">15) </w:t>
      </w:r>
      <w:r w:rsidRPr="007A3F5D">
        <w:rPr>
          <w:rFonts w:eastAsia="Calibri"/>
          <w:lang w:val="es-ES" w:eastAsia="en-US"/>
        </w:rPr>
        <w:t xml:space="preserve">En la UCI del hospital donde se ejecutó el presente proyecto, un reporte previo confirmó que el 47 % de los pacientes ingresó por </w:t>
      </w:r>
      <w:proofErr w:type="spellStart"/>
      <w:r w:rsidRPr="007A3F5D">
        <w:rPr>
          <w:rFonts w:eastAsia="Calibri"/>
          <w:lang w:val="es-ES" w:eastAsia="en-US"/>
        </w:rPr>
        <w:t>IAC</w:t>
      </w:r>
      <w:proofErr w:type="spellEnd"/>
      <w:r w:rsidRPr="007A3F5D">
        <w:rPr>
          <w:rFonts w:eastAsia="Calibri"/>
          <w:lang w:val="es-ES" w:eastAsia="en-US"/>
        </w:rPr>
        <w:t>.</w:t>
      </w:r>
      <w:r w:rsidRPr="007A3F5D">
        <w:rPr>
          <w:rFonts w:eastAsia="Calibri"/>
          <w:vertAlign w:val="superscript"/>
          <w:lang w:val="es-ES" w:eastAsia="en-US"/>
        </w:rPr>
        <w:t>(16)</w:t>
      </w:r>
    </w:p>
    <w:p w14:paraId="0E7538C1"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Aunque las estadísticas sobre las </w:t>
      </w:r>
      <w:proofErr w:type="spellStart"/>
      <w:r w:rsidRPr="007A3F5D">
        <w:rPr>
          <w:rFonts w:eastAsia="Calibri"/>
          <w:lang w:val="es-ES" w:eastAsia="en-US"/>
        </w:rPr>
        <w:t>IAC</w:t>
      </w:r>
      <w:proofErr w:type="spellEnd"/>
      <w:r w:rsidRPr="007A3F5D">
        <w:rPr>
          <w:rFonts w:eastAsia="Calibri"/>
          <w:lang w:val="es-ES" w:eastAsia="en-US"/>
        </w:rPr>
        <w:t xml:space="preserve"> varían en dependencia del tipo de hospital y los servicios de atención, en general su incidencia es de un 20 a un 40 </w:t>
      </w:r>
      <w:proofErr w:type="gramStart"/>
      <w:r w:rsidRPr="007A3F5D">
        <w:rPr>
          <w:rFonts w:eastAsia="Calibri"/>
          <w:lang w:val="es-ES" w:eastAsia="en-US"/>
        </w:rPr>
        <w:t>%.</w:t>
      </w:r>
      <w:r w:rsidRPr="007A3F5D">
        <w:rPr>
          <w:rFonts w:eastAsia="Calibri"/>
          <w:vertAlign w:val="superscript"/>
          <w:lang w:val="es-ES" w:eastAsia="en-US"/>
        </w:rPr>
        <w:t>(</w:t>
      </w:r>
      <w:proofErr w:type="gramEnd"/>
      <w:r w:rsidRPr="007A3F5D">
        <w:rPr>
          <w:rFonts w:eastAsia="Calibri"/>
          <w:vertAlign w:val="superscript"/>
          <w:lang w:val="es-ES" w:eastAsia="en-US"/>
        </w:rPr>
        <w:t>17,18,19)</w:t>
      </w:r>
      <w:r w:rsidRPr="007A3F5D">
        <w:rPr>
          <w:rFonts w:eastAsia="Calibri"/>
          <w:lang w:val="es-ES" w:eastAsia="en-US"/>
        </w:rPr>
        <w:t xml:space="preserve"> </w:t>
      </w:r>
    </w:p>
    <w:p w14:paraId="420F0560" w14:textId="77777777" w:rsidR="007A3F5D" w:rsidRPr="007A3F5D" w:rsidRDefault="007A3F5D" w:rsidP="007A3F5D">
      <w:pPr>
        <w:spacing w:line="360" w:lineRule="auto"/>
        <w:jc w:val="both"/>
        <w:rPr>
          <w:rFonts w:eastAsia="Calibri"/>
          <w:vertAlign w:val="superscript"/>
          <w:lang w:val="es-ES" w:eastAsia="en-US"/>
        </w:rPr>
      </w:pPr>
      <w:r w:rsidRPr="007A3F5D">
        <w:rPr>
          <w:rFonts w:eastAsia="Calibri"/>
          <w:lang w:val="es-ES" w:eastAsia="en-US"/>
        </w:rPr>
        <w:t xml:space="preserve">Se ha comprobado mayor incidencia de </w:t>
      </w:r>
      <w:proofErr w:type="spellStart"/>
      <w:r w:rsidRPr="007A3F5D">
        <w:rPr>
          <w:rFonts w:eastAsia="Calibri"/>
          <w:lang w:val="es-ES" w:eastAsia="en-US"/>
        </w:rPr>
        <w:t>IAC</w:t>
      </w:r>
      <w:proofErr w:type="spellEnd"/>
      <w:r w:rsidRPr="007A3F5D">
        <w:rPr>
          <w:rFonts w:eastAsia="Calibri"/>
          <w:lang w:val="es-ES" w:eastAsia="en-US"/>
        </w:rPr>
        <w:t xml:space="preserve"> en hombres, lo que dista de la tendencia en esta </w:t>
      </w:r>
      <w:proofErr w:type="gramStart"/>
      <w:r w:rsidRPr="007A3F5D">
        <w:rPr>
          <w:rFonts w:eastAsia="Calibri"/>
          <w:lang w:val="es-ES" w:eastAsia="en-US"/>
        </w:rPr>
        <w:t>cohorte.</w:t>
      </w:r>
      <w:r w:rsidRPr="007A3F5D">
        <w:rPr>
          <w:rFonts w:eastAsia="Calibri"/>
          <w:vertAlign w:val="superscript"/>
          <w:lang w:val="es-ES" w:eastAsia="en-US"/>
        </w:rPr>
        <w:t>(</w:t>
      </w:r>
      <w:proofErr w:type="gramEnd"/>
      <w:r w:rsidRPr="007A3F5D">
        <w:rPr>
          <w:rFonts w:eastAsia="Calibri"/>
          <w:vertAlign w:val="superscript"/>
          <w:lang w:val="es-ES" w:eastAsia="en-US"/>
        </w:rPr>
        <w:t>5,6,8,19)</w:t>
      </w:r>
      <w:r w:rsidRPr="007A3F5D">
        <w:rPr>
          <w:rFonts w:eastAsia="Calibri"/>
          <w:lang w:val="es-ES" w:eastAsia="en-US"/>
        </w:rPr>
        <w:t xml:space="preserve"> En Cuba, según el estudio </w:t>
      </w:r>
      <w:proofErr w:type="spellStart"/>
      <w:r w:rsidRPr="007A3F5D">
        <w:rPr>
          <w:rFonts w:eastAsia="Calibri"/>
          <w:lang w:val="es-ES" w:eastAsia="en-US"/>
        </w:rPr>
        <w:t>DINUCIs</w:t>
      </w:r>
      <w:proofErr w:type="spellEnd"/>
      <w:r w:rsidRPr="007A3F5D">
        <w:rPr>
          <w:rFonts w:eastAsia="Calibri"/>
          <w:lang w:val="es-ES" w:eastAsia="en-US"/>
        </w:rPr>
        <w:t>, existe una mayor proporción de mujeres que ingresan en las UCI, lo que pudiera influir en tal resultado.</w:t>
      </w:r>
      <w:r w:rsidRPr="007A3F5D">
        <w:rPr>
          <w:rFonts w:eastAsia="Calibri"/>
          <w:vertAlign w:val="superscript"/>
          <w:lang w:val="es-ES" w:eastAsia="en-US"/>
        </w:rPr>
        <w:t>(20)</w:t>
      </w:r>
      <w:r w:rsidRPr="007A3F5D">
        <w:rPr>
          <w:rFonts w:eastAsia="Calibri"/>
          <w:lang w:val="es-ES" w:eastAsia="en-US"/>
        </w:rPr>
        <w:t xml:space="preserve"> La mortalidad en hombres se corresponde con lo comunicado por otros autores. En el estudio </w:t>
      </w:r>
      <w:proofErr w:type="spellStart"/>
      <w:r w:rsidRPr="007A3F5D">
        <w:rPr>
          <w:rFonts w:eastAsia="Calibri"/>
          <w:lang w:val="es-ES" w:eastAsia="en-US"/>
        </w:rPr>
        <w:t>Ubon</w:t>
      </w:r>
      <w:proofErr w:type="spellEnd"/>
      <w:r w:rsidRPr="007A3F5D">
        <w:rPr>
          <w:rFonts w:eastAsia="Calibri"/>
          <w:lang w:val="es-ES" w:eastAsia="en-US"/>
        </w:rPr>
        <w:t xml:space="preserve">-sepsis el sexo masculino fue un factor asociado con la </w:t>
      </w:r>
      <w:proofErr w:type="gramStart"/>
      <w:r w:rsidRPr="007A3F5D">
        <w:rPr>
          <w:rFonts w:eastAsia="Calibri"/>
          <w:lang w:val="es-ES" w:eastAsia="en-US"/>
        </w:rPr>
        <w:t>muerte.</w:t>
      </w:r>
      <w:r w:rsidRPr="007A3F5D">
        <w:rPr>
          <w:rFonts w:eastAsia="Calibri"/>
          <w:vertAlign w:val="superscript"/>
          <w:lang w:val="es-ES" w:eastAsia="en-US"/>
        </w:rPr>
        <w:t>(</w:t>
      </w:r>
      <w:proofErr w:type="gramEnd"/>
      <w:r w:rsidRPr="007A3F5D">
        <w:rPr>
          <w:rFonts w:eastAsia="Calibri"/>
          <w:vertAlign w:val="superscript"/>
          <w:lang w:val="es-ES" w:eastAsia="en-US"/>
        </w:rPr>
        <w:t>15)</w:t>
      </w:r>
      <w:r w:rsidRPr="007A3F5D">
        <w:rPr>
          <w:rFonts w:eastAsia="Calibri"/>
          <w:lang w:val="es-ES" w:eastAsia="en-US"/>
        </w:rPr>
        <w:t xml:space="preserve"> </w:t>
      </w:r>
      <w:proofErr w:type="spellStart"/>
      <w:r w:rsidRPr="007A3F5D">
        <w:rPr>
          <w:rFonts w:eastAsia="Calibri"/>
          <w:i/>
          <w:lang w:val="es-ES" w:eastAsia="en-US"/>
        </w:rPr>
        <w:t>Grozdanovski</w:t>
      </w:r>
      <w:proofErr w:type="spellEnd"/>
      <w:r w:rsidRPr="007A3F5D">
        <w:rPr>
          <w:rFonts w:eastAsia="Calibri"/>
          <w:lang w:val="es-ES" w:eastAsia="en-US"/>
        </w:rPr>
        <w:t xml:space="preserve"> y otros</w:t>
      </w:r>
      <w:r w:rsidRPr="007A3F5D">
        <w:rPr>
          <w:rFonts w:eastAsia="Calibri"/>
          <w:vertAlign w:val="superscript"/>
          <w:lang w:val="es-ES" w:eastAsia="en-US"/>
        </w:rPr>
        <w:t xml:space="preserve">(21) </w:t>
      </w:r>
      <w:r w:rsidRPr="007A3F5D">
        <w:rPr>
          <w:rFonts w:eastAsia="Calibri"/>
          <w:lang w:val="es-ES" w:eastAsia="en-US"/>
        </w:rPr>
        <w:t xml:space="preserve">corroboraron una menor frecuencia de sobrevivientes en hombres, en comparación con los no sobrevivientes (63,0 % vs. 69,5 %). </w:t>
      </w:r>
    </w:p>
    <w:p w14:paraId="554E15BB" w14:textId="77777777" w:rsidR="007A3F5D" w:rsidRPr="007A3F5D" w:rsidRDefault="007A3F5D" w:rsidP="007A3F5D">
      <w:pPr>
        <w:spacing w:line="360" w:lineRule="auto"/>
        <w:jc w:val="both"/>
        <w:rPr>
          <w:rFonts w:eastAsia="Calibri"/>
          <w:vertAlign w:val="superscript"/>
          <w:lang w:val="es-ES" w:eastAsia="en-US"/>
        </w:rPr>
      </w:pPr>
      <w:r w:rsidRPr="007A3F5D">
        <w:rPr>
          <w:rFonts w:eastAsia="Calibri"/>
          <w:lang w:val="es-ES" w:eastAsia="en-US"/>
        </w:rPr>
        <w:t xml:space="preserve">Estudios en animales confirman que las mujeres tienen ventajas inmunológicas en la respuesta a la infección, mientras que estudios epidemiológicos comunican una alta incidencia de sepsis en hombres. Factores hormonales, genéticos, mediadores proinflamatorios y antiinflamatorios influyen en las disparidades según </w:t>
      </w:r>
      <w:proofErr w:type="gramStart"/>
      <w:r w:rsidRPr="007A3F5D">
        <w:rPr>
          <w:rFonts w:eastAsia="Calibri"/>
          <w:lang w:val="es-ES" w:eastAsia="en-US"/>
        </w:rPr>
        <w:t>género.</w:t>
      </w:r>
      <w:r w:rsidRPr="007A3F5D">
        <w:rPr>
          <w:rFonts w:eastAsia="Calibri"/>
          <w:vertAlign w:val="superscript"/>
          <w:lang w:val="es-ES" w:eastAsia="en-US"/>
        </w:rPr>
        <w:t>(</w:t>
      </w:r>
      <w:proofErr w:type="gramEnd"/>
      <w:r w:rsidRPr="007A3F5D">
        <w:rPr>
          <w:rFonts w:eastAsia="Calibri"/>
          <w:vertAlign w:val="superscript"/>
          <w:lang w:val="es-ES" w:eastAsia="en-US"/>
        </w:rPr>
        <w:t>22,23)</w:t>
      </w:r>
    </w:p>
    <w:p w14:paraId="2FA48951"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Existe coincidencia en cuanto al promedio de edad y las diferencias en este indicador entre vivos y fallecidos y el comunicado en otras </w:t>
      </w:r>
      <w:proofErr w:type="gramStart"/>
      <w:r w:rsidRPr="007A3F5D">
        <w:rPr>
          <w:rFonts w:eastAsia="Calibri"/>
          <w:lang w:val="es-ES" w:eastAsia="en-US"/>
        </w:rPr>
        <w:t>series,</w:t>
      </w:r>
      <w:r w:rsidRPr="007A3F5D">
        <w:rPr>
          <w:rFonts w:eastAsia="Calibri"/>
          <w:vertAlign w:val="superscript"/>
          <w:lang w:val="es-ES" w:eastAsia="en-US"/>
        </w:rPr>
        <w:t>(</w:t>
      </w:r>
      <w:proofErr w:type="gramEnd"/>
      <w:r w:rsidRPr="007A3F5D">
        <w:rPr>
          <w:rFonts w:eastAsia="Calibri"/>
          <w:vertAlign w:val="superscript"/>
          <w:lang w:val="es-ES" w:eastAsia="en-US"/>
        </w:rPr>
        <w:t>19,20)</w:t>
      </w:r>
      <w:r w:rsidRPr="007A3F5D">
        <w:rPr>
          <w:rFonts w:eastAsia="Calibri"/>
          <w:lang w:val="es-ES" w:eastAsia="en-US"/>
        </w:rPr>
        <w:t xml:space="preserve"> pero en las publicadas por autores como </w:t>
      </w:r>
      <w:r w:rsidRPr="007A3F5D">
        <w:rPr>
          <w:rFonts w:eastAsia="Calibri"/>
          <w:i/>
          <w:lang w:val="es-ES" w:eastAsia="en-US"/>
        </w:rPr>
        <w:t>Park</w:t>
      </w:r>
      <w:r w:rsidRPr="007A3F5D">
        <w:rPr>
          <w:rFonts w:eastAsia="Calibri"/>
          <w:lang w:val="es-ES" w:eastAsia="en-US"/>
        </w:rPr>
        <w:t xml:space="preserve"> y otros,</w:t>
      </w:r>
      <w:r w:rsidRPr="007A3F5D">
        <w:rPr>
          <w:rFonts w:eastAsia="Calibri"/>
          <w:vertAlign w:val="superscript"/>
          <w:lang w:val="es-ES" w:eastAsia="en-US"/>
        </w:rPr>
        <w:t>(8)</w:t>
      </w:r>
      <w:r w:rsidRPr="007A3F5D">
        <w:rPr>
          <w:rFonts w:eastAsia="Calibri"/>
          <w:lang w:val="es-ES" w:eastAsia="en-US"/>
        </w:rPr>
        <w:t xml:space="preserve"> </w:t>
      </w:r>
      <w:proofErr w:type="spellStart"/>
      <w:r w:rsidRPr="007A3F5D">
        <w:rPr>
          <w:rFonts w:eastAsia="Calibri"/>
          <w:i/>
          <w:lang w:val="es-ES" w:eastAsia="en-US"/>
        </w:rPr>
        <w:t>Grozdanovski</w:t>
      </w:r>
      <w:proofErr w:type="spellEnd"/>
      <w:r w:rsidRPr="007A3F5D">
        <w:rPr>
          <w:rFonts w:eastAsia="Calibri"/>
          <w:lang w:val="es-ES" w:eastAsia="en-US"/>
        </w:rPr>
        <w:t xml:space="preserve"> y otros</w:t>
      </w:r>
      <w:r w:rsidRPr="007A3F5D">
        <w:rPr>
          <w:rFonts w:eastAsia="Calibri"/>
          <w:vertAlign w:val="superscript"/>
          <w:lang w:val="es-ES" w:eastAsia="en-US"/>
        </w:rPr>
        <w:t>(21)</w:t>
      </w:r>
      <w:r w:rsidRPr="007A3F5D">
        <w:rPr>
          <w:rFonts w:eastAsia="Calibri"/>
          <w:lang w:val="es-ES" w:eastAsia="en-US"/>
        </w:rPr>
        <w:t xml:space="preserve"> y </w:t>
      </w:r>
      <w:r w:rsidRPr="007A3F5D">
        <w:rPr>
          <w:rFonts w:eastAsia="Calibri"/>
          <w:i/>
          <w:lang w:val="es-ES" w:eastAsia="en-US"/>
        </w:rPr>
        <w:t>Westphal</w:t>
      </w:r>
      <w:r w:rsidRPr="007A3F5D">
        <w:rPr>
          <w:rFonts w:eastAsia="Calibri"/>
          <w:lang w:val="es-ES" w:eastAsia="en-US"/>
        </w:rPr>
        <w:t xml:space="preserve"> y otros</w:t>
      </w:r>
      <w:r w:rsidRPr="007A3F5D">
        <w:rPr>
          <w:rFonts w:eastAsia="Calibri"/>
          <w:vertAlign w:val="superscript"/>
          <w:lang w:val="es-ES" w:eastAsia="en-US"/>
        </w:rPr>
        <w:t>(14)</w:t>
      </w:r>
      <w:r w:rsidRPr="007A3F5D">
        <w:rPr>
          <w:rFonts w:eastAsia="Calibri"/>
          <w:lang w:val="es-ES" w:eastAsia="en-US"/>
        </w:rPr>
        <w:t xml:space="preserve"> fueron ligeramente superiores. El incremento de la edad aumenta el riesgo y la gravedad de la infección por cambios en la inmunidad. </w:t>
      </w:r>
    </w:p>
    <w:p w14:paraId="5634AEDB" w14:textId="77777777" w:rsidR="007A3F5D" w:rsidRPr="007A3F5D" w:rsidRDefault="007A3F5D" w:rsidP="007A3F5D">
      <w:pPr>
        <w:spacing w:line="360" w:lineRule="auto"/>
        <w:jc w:val="both"/>
        <w:rPr>
          <w:rFonts w:eastAsia="Calibri"/>
          <w:lang w:val="es-ES" w:eastAsia="en-US"/>
        </w:rPr>
      </w:pPr>
      <w:proofErr w:type="spellStart"/>
      <w:r w:rsidRPr="007A3F5D">
        <w:rPr>
          <w:rFonts w:eastAsia="Calibri"/>
          <w:i/>
          <w:lang w:val="es-ES" w:eastAsia="en-US"/>
        </w:rPr>
        <w:t>Naqvi</w:t>
      </w:r>
      <w:proofErr w:type="spellEnd"/>
      <w:r w:rsidRPr="007A3F5D">
        <w:rPr>
          <w:rFonts w:eastAsia="Calibri"/>
          <w:i/>
          <w:lang w:val="es-ES" w:eastAsia="en-US"/>
        </w:rPr>
        <w:t xml:space="preserve"> </w:t>
      </w:r>
      <w:r w:rsidRPr="007A3F5D">
        <w:rPr>
          <w:rFonts w:eastAsia="Calibri"/>
          <w:lang w:val="es-ES" w:eastAsia="en-US"/>
        </w:rPr>
        <w:t xml:space="preserve">y </w:t>
      </w:r>
      <w:proofErr w:type="gramStart"/>
      <w:r w:rsidRPr="007A3F5D">
        <w:rPr>
          <w:rFonts w:eastAsia="Calibri"/>
          <w:lang w:val="es-ES" w:eastAsia="en-US"/>
        </w:rPr>
        <w:t>otros</w:t>
      </w:r>
      <w:r w:rsidRPr="007A3F5D">
        <w:rPr>
          <w:rFonts w:eastAsia="Calibri"/>
          <w:vertAlign w:val="superscript"/>
          <w:lang w:val="es-ES" w:eastAsia="en-US"/>
        </w:rPr>
        <w:t>(</w:t>
      </w:r>
      <w:proofErr w:type="gramEnd"/>
      <w:r w:rsidRPr="007A3F5D">
        <w:rPr>
          <w:rFonts w:eastAsia="Calibri"/>
          <w:vertAlign w:val="superscript"/>
          <w:lang w:val="es-ES" w:eastAsia="en-US"/>
        </w:rPr>
        <w:t xml:space="preserve">24) </w:t>
      </w:r>
      <w:r w:rsidRPr="007A3F5D">
        <w:rPr>
          <w:rFonts w:eastAsia="Calibri"/>
          <w:lang w:val="es-ES" w:eastAsia="en-US"/>
        </w:rPr>
        <w:t xml:space="preserve">encontraron que el APACHE II en los no sobrevivientes (27,97 ± 8,53) fue más alto que en los sobrevivientes (15,82 ± 8,79), mientras que el SOFA fue superior en el primer grupo (5,63 ± 3,63). Ello demuestra que las alteraciones sistémicas y la disfunción orgánica determinan la evolución de </w:t>
      </w:r>
      <w:r w:rsidRPr="007A3F5D">
        <w:rPr>
          <w:rFonts w:eastAsia="Calibri"/>
          <w:lang w:val="es-ES" w:eastAsia="en-US"/>
        </w:rPr>
        <w:lastRenderedPageBreak/>
        <w:t xml:space="preserve">pacientes </w:t>
      </w:r>
      <w:proofErr w:type="gramStart"/>
      <w:r w:rsidRPr="007A3F5D">
        <w:rPr>
          <w:rFonts w:eastAsia="Calibri"/>
          <w:lang w:val="es-ES" w:eastAsia="en-US"/>
        </w:rPr>
        <w:t>graves.</w:t>
      </w:r>
      <w:r w:rsidRPr="007A3F5D">
        <w:rPr>
          <w:rFonts w:eastAsia="Calibri"/>
          <w:vertAlign w:val="superscript"/>
          <w:lang w:val="es-ES" w:eastAsia="en-US"/>
        </w:rPr>
        <w:t>(</w:t>
      </w:r>
      <w:proofErr w:type="gramEnd"/>
      <w:r w:rsidRPr="007A3F5D">
        <w:rPr>
          <w:rFonts w:eastAsia="Calibri"/>
          <w:vertAlign w:val="superscript"/>
          <w:lang w:val="es-ES" w:eastAsia="en-US"/>
        </w:rPr>
        <w:t>24)</w:t>
      </w:r>
      <w:r w:rsidRPr="007A3F5D">
        <w:rPr>
          <w:rFonts w:eastAsia="Calibri"/>
          <w:lang w:val="es-ES" w:eastAsia="en-US"/>
        </w:rPr>
        <w:t xml:space="preserve"> Se reporta una mortalidad de 16 % por </w:t>
      </w:r>
      <w:proofErr w:type="spellStart"/>
      <w:r w:rsidRPr="007A3F5D">
        <w:rPr>
          <w:rFonts w:eastAsia="Calibri"/>
          <w:lang w:val="es-ES" w:eastAsia="en-US"/>
        </w:rPr>
        <w:t>IAC</w:t>
      </w:r>
      <w:proofErr w:type="spellEnd"/>
      <w:r w:rsidRPr="007A3F5D">
        <w:rPr>
          <w:rFonts w:eastAsia="Calibri"/>
          <w:lang w:val="es-ES" w:eastAsia="en-US"/>
        </w:rPr>
        <w:t>; de 23,0 % en estado de sepsis y 26 % de choque séptico.</w:t>
      </w:r>
      <w:r w:rsidRPr="007A3F5D">
        <w:rPr>
          <w:rFonts w:eastAsia="Calibri"/>
          <w:vertAlign w:val="superscript"/>
          <w:lang w:val="es-ES" w:eastAsia="en-US"/>
        </w:rPr>
        <w:t>(24)</w:t>
      </w:r>
    </w:p>
    <w:p w14:paraId="3E24FDDF"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La comorbilidad contrasta con la observada en 4 estudios </w:t>
      </w:r>
      <w:proofErr w:type="gramStart"/>
      <w:r w:rsidRPr="007A3F5D">
        <w:rPr>
          <w:rFonts w:eastAsia="Calibri"/>
          <w:lang w:val="es-ES" w:eastAsia="en-US"/>
        </w:rPr>
        <w:t>internacionales.</w:t>
      </w:r>
      <w:r w:rsidRPr="007A3F5D">
        <w:rPr>
          <w:rFonts w:eastAsia="Calibri"/>
          <w:vertAlign w:val="superscript"/>
          <w:lang w:val="es-ES" w:eastAsia="en-US"/>
        </w:rPr>
        <w:t>(</w:t>
      </w:r>
      <w:proofErr w:type="gramEnd"/>
      <w:r w:rsidRPr="007A3F5D">
        <w:rPr>
          <w:rFonts w:eastAsia="Calibri"/>
          <w:vertAlign w:val="superscript"/>
          <w:lang w:val="es-ES" w:eastAsia="en-US"/>
        </w:rPr>
        <w:t>4,14,17,20)</w:t>
      </w:r>
      <w:r w:rsidRPr="007A3F5D">
        <w:rPr>
          <w:rFonts w:eastAsia="Calibri"/>
          <w:lang w:val="es-ES" w:eastAsia="en-US"/>
        </w:rPr>
        <w:t xml:space="preserve"> Tales estados afectan las barreras físicas, la respuesta inmune; la fagocitosis, el sistema de complemento y la actividad de los linfocitos T y B.</w:t>
      </w:r>
      <w:r w:rsidRPr="007A3F5D">
        <w:rPr>
          <w:rFonts w:eastAsia="Calibri"/>
          <w:vertAlign w:val="superscript"/>
          <w:lang w:val="es-ES" w:eastAsia="en-US"/>
        </w:rPr>
        <w:t>(22)</w:t>
      </w:r>
      <w:r w:rsidRPr="007A3F5D">
        <w:rPr>
          <w:rFonts w:eastAsia="Calibri"/>
          <w:lang w:val="es-ES" w:eastAsia="en-US"/>
        </w:rPr>
        <w:t xml:space="preserve"> </w:t>
      </w:r>
    </w:p>
    <w:p w14:paraId="2C2C2696" w14:textId="77777777" w:rsidR="007A3F5D" w:rsidRPr="007A3F5D" w:rsidRDefault="007A3F5D" w:rsidP="007A3F5D">
      <w:pPr>
        <w:spacing w:line="360" w:lineRule="auto"/>
        <w:jc w:val="both"/>
        <w:rPr>
          <w:rFonts w:eastAsia="Calibri"/>
          <w:vertAlign w:val="superscript"/>
          <w:lang w:val="es-ES" w:eastAsia="en-US"/>
        </w:rPr>
      </w:pPr>
      <w:r w:rsidRPr="007A3F5D">
        <w:rPr>
          <w:rFonts w:eastAsia="Calibri"/>
          <w:i/>
          <w:lang w:val="es-ES" w:eastAsia="en-US"/>
        </w:rPr>
        <w:t xml:space="preserve">Chen </w:t>
      </w:r>
      <w:r w:rsidRPr="007A3F5D">
        <w:rPr>
          <w:rFonts w:eastAsia="Calibri"/>
          <w:iCs/>
          <w:lang w:val="es-ES" w:eastAsia="en-US"/>
        </w:rPr>
        <w:t xml:space="preserve">y </w:t>
      </w:r>
      <w:proofErr w:type="gramStart"/>
      <w:r w:rsidRPr="007A3F5D">
        <w:rPr>
          <w:rFonts w:eastAsia="Calibri"/>
          <w:iCs/>
          <w:lang w:val="es-ES" w:eastAsia="en-US"/>
        </w:rPr>
        <w:t>otros</w:t>
      </w:r>
      <w:r w:rsidRPr="007A3F5D">
        <w:rPr>
          <w:rFonts w:eastAsia="Calibri"/>
          <w:vertAlign w:val="superscript"/>
          <w:lang w:val="es-ES" w:eastAsia="en-US"/>
        </w:rPr>
        <w:t>(</w:t>
      </w:r>
      <w:proofErr w:type="gramEnd"/>
      <w:r w:rsidRPr="007A3F5D">
        <w:rPr>
          <w:rFonts w:eastAsia="Calibri"/>
          <w:vertAlign w:val="superscript"/>
          <w:lang w:val="es-ES" w:eastAsia="en-US"/>
        </w:rPr>
        <w:t>3)</w:t>
      </w:r>
      <w:r w:rsidRPr="007A3F5D">
        <w:rPr>
          <w:rFonts w:eastAsia="Calibri"/>
          <w:lang w:val="es-ES" w:eastAsia="en-US"/>
        </w:rPr>
        <w:t xml:space="preserve"> corroboraron que la neumonía (76,1 %), la infección intraabdominal (</w:t>
      </w:r>
      <w:proofErr w:type="spellStart"/>
      <w:r w:rsidRPr="007A3F5D">
        <w:rPr>
          <w:rFonts w:eastAsia="Calibri"/>
          <w:lang w:val="es-ES" w:eastAsia="en-US"/>
        </w:rPr>
        <w:t>IIA</w:t>
      </w:r>
      <w:proofErr w:type="spellEnd"/>
      <w:r w:rsidRPr="007A3F5D">
        <w:rPr>
          <w:rFonts w:eastAsia="Calibri"/>
          <w:lang w:val="es-ES" w:eastAsia="en-US"/>
        </w:rPr>
        <w:t xml:space="preserve">) (16,3 %) y urinaria (8,3 %) representaron las localizaciones más importantes. </w:t>
      </w:r>
      <w:r w:rsidRPr="007A3F5D">
        <w:rPr>
          <w:rFonts w:eastAsia="Calibri"/>
          <w:i/>
          <w:lang w:val="es-ES" w:eastAsia="en-US"/>
        </w:rPr>
        <w:t>Westphal</w:t>
      </w:r>
      <w:r w:rsidRPr="007A3F5D">
        <w:rPr>
          <w:rFonts w:eastAsia="Calibri"/>
          <w:lang w:val="es-ES" w:eastAsia="en-US"/>
        </w:rPr>
        <w:t xml:space="preserve"> y </w:t>
      </w:r>
      <w:proofErr w:type="gramStart"/>
      <w:r w:rsidRPr="007A3F5D">
        <w:rPr>
          <w:rFonts w:eastAsia="Calibri"/>
          <w:lang w:val="es-ES" w:eastAsia="en-US"/>
        </w:rPr>
        <w:t>otros</w:t>
      </w:r>
      <w:r w:rsidRPr="007A3F5D">
        <w:rPr>
          <w:rFonts w:eastAsia="Calibri"/>
          <w:vertAlign w:val="superscript"/>
          <w:lang w:val="es-ES" w:eastAsia="en-US"/>
        </w:rPr>
        <w:t>(</w:t>
      </w:r>
      <w:proofErr w:type="gramEnd"/>
      <w:r w:rsidRPr="007A3F5D">
        <w:rPr>
          <w:rFonts w:eastAsia="Calibri"/>
          <w:vertAlign w:val="superscript"/>
          <w:lang w:val="es-ES" w:eastAsia="en-US"/>
        </w:rPr>
        <w:t>14)</w:t>
      </w:r>
      <w:r w:rsidRPr="007A3F5D">
        <w:rPr>
          <w:rFonts w:eastAsia="Calibri"/>
          <w:lang w:val="es-ES" w:eastAsia="en-US"/>
        </w:rPr>
        <w:t xml:space="preserve"> demostraron a la neumonía (28,8 %), la infección urinaria (23,1 %) y la </w:t>
      </w:r>
      <w:proofErr w:type="spellStart"/>
      <w:r w:rsidRPr="007A3F5D">
        <w:rPr>
          <w:rFonts w:eastAsia="Calibri"/>
          <w:lang w:val="es-ES" w:eastAsia="en-US"/>
        </w:rPr>
        <w:t>IIA</w:t>
      </w:r>
      <w:proofErr w:type="spellEnd"/>
      <w:r w:rsidRPr="007A3F5D">
        <w:rPr>
          <w:rFonts w:eastAsia="Calibri"/>
          <w:lang w:val="es-ES" w:eastAsia="en-US"/>
        </w:rPr>
        <w:t xml:space="preserve"> (22,5 %) entre las más frecuentes. </w:t>
      </w:r>
      <w:r w:rsidRPr="007A3F5D">
        <w:rPr>
          <w:rFonts w:eastAsia="Calibri"/>
          <w:i/>
          <w:lang w:val="es-ES" w:eastAsia="en-US"/>
        </w:rPr>
        <w:t>Park</w:t>
      </w:r>
      <w:r w:rsidRPr="007A3F5D">
        <w:rPr>
          <w:rFonts w:eastAsia="Calibri"/>
          <w:lang w:val="es-ES" w:eastAsia="en-US"/>
        </w:rPr>
        <w:t xml:space="preserve"> y </w:t>
      </w:r>
      <w:proofErr w:type="gramStart"/>
      <w:r w:rsidRPr="007A3F5D">
        <w:rPr>
          <w:rFonts w:eastAsia="Calibri"/>
          <w:lang w:val="es-ES" w:eastAsia="en-US"/>
        </w:rPr>
        <w:t>otros</w:t>
      </w:r>
      <w:r w:rsidRPr="007A3F5D">
        <w:rPr>
          <w:rFonts w:eastAsia="Calibri"/>
          <w:vertAlign w:val="superscript"/>
          <w:lang w:val="es-ES" w:eastAsia="en-US"/>
        </w:rPr>
        <w:t>(</w:t>
      </w:r>
      <w:proofErr w:type="gramEnd"/>
      <w:r w:rsidRPr="007A3F5D">
        <w:rPr>
          <w:rFonts w:eastAsia="Calibri"/>
          <w:vertAlign w:val="superscript"/>
          <w:lang w:val="es-ES" w:eastAsia="en-US"/>
        </w:rPr>
        <w:t>8)</w:t>
      </w:r>
      <w:r w:rsidRPr="007A3F5D">
        <w:rPr>
          <w:rFonts w:eastAsia="Calibri"/>
          <w:lang w:val="es-ES" w:eastAsia="en-US"/>
        </w:rPr>
        <w:t xml:space="preserve"> corroboraron a la </w:t>
      </w:r>
      <w:proofErr w:type="spellStart"/>
      <w:r w:rsidRPr="007A3F5D">
        <w:rPr>
          <w:rFonts w:eastAsia="Calibri"/>
          <w:lang w:val="es-ES" w:eastAsia="en-US"/>
        </w:rPr>
        <w:t>IIA</w:t>
      </w:r>
      <w:proofErr w:type="spellEnd"/>
      <w:r w:rsidRPr="007A3F5D">
        <w:rPr>
          <w:rFonts w:eastAsia="Calibri"/>
          <w:lang w:val="es-ES" w:eastAsia="en-US"/>
        </w:rPr>
        <w:t xml:space="preserve"> (20,9 %), la respiratoria (19,2 %) y urinaria (44,8 %). La infección de la piel y tejidos blandos, la bacteriemia y la meningitis aparecen en otros </w:t>
      </w:r>
      <w:proofErr w:type="gramStart"/>
      <w:r w:rsidRPr="007A3F5D">
        <w:rPr>
          <w:rFonts w:eastAsia="Calibri"/>
          <w:lang w:val="es-ES" w:eastAsia="en-US"/>
        </w:rPr>
        <w:t>estudios.</w:t>
      </w:r>
      <w:r w:rsidRPr="007A3F5D">
        <w:rPr>
          <w:rFonts w:eastAsia="Calibri"/>
          <w:vertAlign w:val="superscript"/>
          <w:lang w:val="es-ES" w:eastAsia="en-US"/>
        </w:rPr>
        <w:t>(</w:t>
      </w:r>
      <w:proofErr w:type="gramEnd"/>
      <w:r w:rsidRPr="007A3F5D">
        <w:rPr>
          <w:rFonts w:eastAsia="Calibri"/>
          <w:vertAlign w:val="superscript"/>
          <w:lang w:val="es-ES" w:eastAsia="en-US"/>
        </w:rPr>
        <w:t>17,19,23)</w:t>
      </w:r>
    </w:p>
    <w:p w14:paraId="34D1026A"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Debe destacarse que la </w:t>
      </w:r>
      <w:proofErr w:type="spellStart"/>
      <w:r w:rsidRPr="007A3F5D">
        <w:rPr>
          <w:rFonts w:eastAsia="Calibri"/>
          <w:lang w:val="es-ES" w:eastAsia="en-US"/>
        </w:rPr>
        <w:t>IIA</w:t>
      </w:r>
      <w:proofErr w:type="spellEnd"/>
      <w:r w:rsidRPr="007A3F5D">
        <w:rPr>
          <w:rFonts w:eastAsia="Calibri"/>
          <w:lang w:val="es-ES" w:eastAsia="en-US"/>
        </w:rPr>
        <w:t xml:space="preserve"> ocupa el primer o segundo lugar entre las localizaciones. En el estudio </w:t>
      </w:r>
      <w:proofErr w:type="spellStart"/>
      <w:r w:rsidRPr="007A3F5D">
        <w:rPr>
          <w:rFonts w:eastAsia="Calibri"/>
          <w:lang w:val="es-ES" w:eastAsia="en-US"/>
        </w:rPr>
        <w:t>AbSes</w:t>
      </w:r>
      <w:proofErr w:type="spellEnd"/>
      <w:r w:rsidRPr="007A3F5D">
        <w:rPr>
          <w:rFonts w:eastAsia="Calibri"/>
          <w:lang w:val="es-ES" w:eastAsia="en-US"/>
        </w:rPr>
        <w:t xml:space="preserve">, el 31,6 % de las </w:t>
      </w:r>
      <w:proofErr w:type="spellStart"/>
      <w:r w:rsidRPr="007A3F5D">
        <w:rPr>
          <w:rFonts w:eastAsia="Calibri"/>
          <w:lang w:val="es-ES" w:eastAsia="en-US"/>
        </w:rPr>
        <w:t>IIA</w:t>
      </w:r>
      <w:proofErr w:type="spellEnd"/>
      <w:r w:rsidRPr="007A3F5D">
        <w:rPr>
          <w:rFonts w:eastAsia="Calibri"/>
          <w:lang w:val="es-ES" w:eastAsia="en-US"/>
        </w:rPr>
        <w:t xml:space="preserve"> fueron </w:t>
      </w:r>
      <w:proofErr w:type="gramStart"/>
      <w:r w:rsidRPr="007A3F5D">
        <w:rPr>
          <w:rFonts w:eastAsia="Calibri"/>
          <w:lang w:val="es-ES" w:eastAsia="en-US"/>
        </w:rPr>
        <w:t>comunitarias.</w:t>
      </w:r>
      <w:r w:rsidRPr="007A3F5D">
        <w:rPr>
          <w:rFonts w:eastAsia="Calibri"/>
          <w:vertAlign w:val="superscript"/>
          <w:lang w:val="es-ES" w:eastAsia="en-US"/>
        </w:rPr>
        <w:t>(</w:t>
      </w:r>
      <w:proofErr w:type="gramEnd"/>
      <w:r w:rsidRPr="007A3F5D">
        <w:rPr>
          <w:rFonts w:eastAsia="Calibri"/>
          <w:vertAlign w:val="superscript"/>
          <w:lang w:val="es-ES" w:eastAsia="en-US"/>
        </w:rPr>
        <w:t>25)</w:t>
      </w:r>
      <w:r w:rsidRPr="007A3F5D">
        <w:rPr>
          <w:rFonts w:eastAsia="Calibri"/>
          <w:lang w:val="es-ES" w:eastAsia="en-US"/>
        </w:rPr>
        <w:t xml:space="preserve"> No obstante, el efecto sobre la mortalidad es más evidente para la neumonía; de 46,3 % al segundo día del ingreso, de 50,4 % entre 2 y 7 días y de 57,6 % después de 7 días.</w:t>
      </w:r>
      <w:r w:rsidRPr="007A3F5D">
        <w:rPr>
          <w:rFonts w:eastAsia="Calibri"/>
          <w:vertAlign w:val="superscript"/>
          <w:lang w:val="es-ES" w:eastAsia="en-US"/>
        </w:rPr>
        <w:t>(25)</w:t>
      </w:r>
    </w:p>
    <w:p w14:paraId="51565FA5"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Varios modelos estadísticos confirman el valor pronóstico del APACHE II y el SOFA.  En el de </w:t>
      </w:r>
      <w:proofErr w:type="spellStart"/>
      <w:r w:rsidRPr="007A3F5D">
        <w:rPr>
          <w:rFonts w:eastAsia="Calibri"/>
          <w:i/>
          <w:lang w:val="es-ES" w:eastAsia="en-US"/>
        </w:rPr>
        <w:t>Szabo</w:t>
      </w:r>
      <w:proofErr w:type="spellEnd"/>
      <w:r w:rsidRPr="007A3F5D">
        <w:rPr>
          <w:rFonts w:eastAsia="Calibri"/>
          <w:lang w:val="es-ES" w:eastAsia="en-US"/>
        </w:rPr>
        <w:t xml:space="preserve"> y </w:t>
      </w:r>
      <w:proofErr w:type="gramStart"/>
      <w:r w:rsidRPr="007A3F5D">
        <w:rPr>
          <w:rFonts w:eastAsia="Calibri"/>
          <w:lang w:val="es-ES" w:eastAsia="en-US"/>
        </w:rPr>
        <w:t>otros,</w:t>
      </w:r>
      <w:r w:rsidRPr="007A3F5D">
        <w:rPr>
          <w:rFonts w:eastAsia="Calibri"/>
          <w:vertAlign w:val="superscript"/>
          <w:lang w:val="es-ES" w:eastAsia="en-US"/>
        </w:rPr>
        <w:t>(</w:t>
      </w:r>
      <w:proofErr w:type="gramEnd"/>
      <w:r w:rsidRPr="007A3F5D">
        <w:rPr>
          <w:rFonts w:eastAsia="Calibri"/>
          <w:vertAlign w:val="superscript"/>
          <w:lang w:val="es-ES" w:eastAsia="en-US"/>
        </w:rPr>
        <w:t>4)</w:t>
      </w:r>
      <w:r w:rsidRPr="007A3F5D">
        <w:rPr>
          <w:rFonts w:eastAsia="Calibri"/>
          <w:lang w:val="es-ES" w:eastAsia="en-US"/>
        </w:rPr>
        <w:t xml:space="preserve"> un cultivo positivo, el SOFA y el </w:t>
      </w:r>
      <w:proofErr w:type="spellStart"/>
      <w:r w:rsidRPr="007A3F5D">
        <w:rPr>
          <w:rFonts w:eastAsia="Calibri"/>
          <w:i/>
          <w:lang w:val="es-ES" w:eastAsia="en-US"/>
        </w:rPr>
        <w:t>Simplified</w:t>
      </w:r>
      <w:proofErr w:type="spellEnd"/>
      <w:r w:rsidRPr="007A3F5D">
        <w:rPr>
          <w:rFonts w:eastAsia="Calibri"/>
          <w:i/>
          <w:lang w:val="es-ES" w:eastAsia="en-US"/>
        </w:rPr>
        <w:t xml:space="preserve"> Acute </w:t>
      </w:r>
      <w:proofErr w:type="spellStart"/>
      <w:r w:rsidRPr="007A3F5D">
        <w:rPr>
          <w:rFonts w:eastAsia="Calibri"/>
          <w:i/>
          <w:lang w:val="es-ES" w:eastAsia="en-US"/>
        </w:rPr>
        <w:t>Physiology</w:t>
      </w:r>
      <w:proofErr w:type="spellEnd"/>
      <w:r w:rsidRPr="007A3F5D">
        <w:rPr>
          <w:rFonts w:eastAsia="Calibri"/>
          <w:i/>
          <w:lang w:val="es-ES" w:eastAsia="en-US"/>
        </w:rPr>
        <w:t xml:space="preserve"> Score</w:t>
      </w:r>
      <w:r w:rsidRPr="007A3F5D">
        <w:rPr>
          <w:rFonts w:eastAsia="Calibri"/>
          <w:lang w:val="es-ES" w:eastAsia="en-US"/>
        </w:rPr>
        <w:t xml:space="preserve"> II constituyeron factores pronósticos. </w:t>
      </w:r>
      <w:proofErr w:type="spellStart"/>
      <w:r w:rsidRPr="007A3F5D">
        <w:rPr>
          <w:rFonts w:eastAsia="Calibri"/>
          <w:i/>
          <w:lang w:val="es-ES" w:eastAsia="en-US"/>
        </w:rPr>
        <w:t>Hantrakun</w:t>
      </w:r>
      <w:proofErr w:type="spellEnd"/>
      <w:r w:rsidRPr="007A3F5D">
        <w:rPr>
          <w:rFonts w:eastAsia="Calibri"/>
          <w:lang w:val="es-ES" w:eastAsia="en-US"/>
        </w:rPr>
        <w:t xml:space="preserve"> y </w:t>
      </w:r>
      <w:proofErr w:type="gramStart"/>
      <w:r w:rsidRPr="007A3F5D">
        <w:rPr>
          <w:rFonts w:eastAsia="Calibri"/>
          <w:lang w:val="es-ES" w:eastAsia="en-US"/>
        </w:rPr>
        <w:t>otros</w:t>
      </w:r>
      <w:r w:rsidRPr="007A3F5D">
        <w:rPr>
          <w:rFonts w:eastAsia="Calibri"/>
          <w:vertAlign w:val="superscript"/>
          <w:lang w:val="es-ES" w:eastAsia="en-US"/>
        </w:rPr>
        <w:t>(</w:t>
      </w:r>
      <w:proofErr w:type="gramEnd"/>
      <w:r w:rsidRPr="007A3F5D">
        <w:rPr>
          <w:rFonts w:eastAsia="Calibri"/>
          <w:vertAlign w:val="superscript"/>
          <w:lang w:val="es-ES" w:eastAsia="en-US"/>
        </w:rPr>
        <w:t>15)</w:t>
      </w:r>
      <w:r w:rsidRPr="007A3F5D">
        <w:rPr>
          <w:rFonts w:eastAsia="Calibri"/>
          <w:lang w:val="es-ES" w:eastAsia="en-US"/>
        </w:rPr>
        <w:t xml:space="preserve"> identifican al SOFA como variable pronóstica. En el modelo estimado por </w:t>
      </w:r>
      <w:r w:rsidRPr="007A3F5D">
        <w:rPr>
          <w:rFonts w:eastAsia="Calibri"/>
          <w:i/>
          <w:lang w:val="es-ES" w:eastAsia="en-US"/>
        </w:rPr>
        <w:t>Park y</w:t>
      </w:r>
      <w:r w:rsidRPr="007A3F5D">
        <w:rPr>
          <w:rFonts w:eastAsia="Calibri"/>
          <w:lang w:val="es-ES" w:eastAsia="en-US"/>
        </w:rPr>
        <w:t xml:space="preserve"> </w:t>
      </w:r>
      <w:proofErr w:type="gramStart"/>
      <w:r w:rsidRPr="007A3F5D">
        <w:rPr>
          <w:rFonts w:eastAsia="Calibri"/>
          <w:lang w:val="es-ES" w:eastAsia="en-US"/>
        </w:rPr>
        <w:t>otros,</w:t>
      </w:r>
      <w:r w:rsidRPr="007A3F5D">
        <w:rPr>
          <w:rFonts w:eastAsia="Calibri"/>
          <w:vertAlign w:val="superscript"/>
          <w:lang w:val="es-ES" w:eastAsia="en-US"/>
        </w:rPr>
        <w:t>(</w:t>
      </w:r>
      <w:proofErr w:type="gramEnd"/>
      <w:r w:rsidRPr="007A3F5D">
        <w:rPr>
          <w:rFonts w:eastAsia="Calibri"/>
          <w:vertAlign w:val="superscript"/>
          <w:lang w:val="es-ES" w:eastAsia="en-US"/>
        </w:rPr>
        <w:t>8)</w:t>
      </w:r>
      <w:r w:rsidRPr="007A3F5D">
        <w:rPr>
          <w:rFonts w:eastAsia="Calibri"/>
          <w:lang w:val="es-ES" w:eastAsia="en-US"/>
        </w:rPr>
        <w:t xml:space="preserve"> el cáncer, el APACHE II y el SOFA se asociaron con la muerte. </w:t>
      </w:r>
    </w:p>
    <w:p w14:paraId="79A00D30" w14:textId="77777777" w:rsidR="007A3F5D" w:rsidRPr="007A3F5D" w:rsidRDefault="007A3F5D" w:rsidP="007A3F5D">
      <w:pPr>
        <w:spacing w:line="360" w:lineRule="auto"/>
        <w:jc w:val="both"/>
        <w:rPr>
          <w:rFonts w:eastAsia="Calibri"/>
          <w:vertAlign w:val="superscript"/>
          <w:lang w:val="es-ES" w:eastAsia="en-US"/>
        </w:rPr>
      </w:pPr>
      <w:r w:rsidRPr="007A3F5D">
        <w:rPr>
          <w:rFonts w:eastAsia="Calibri"/>
          <w:lang w:val="es-ES" w:eastAsia="en-US"/>
        </w:rPr>
        <w:t xml:space="preserve">Los pacientes con </w:t>
      </w:r>
      <w:proofErr w:type="spellStart"/>
      <w:r w:rsidRPr="007A3F5D">
        <w:rPr>
          <w:rFonts w:eastAsia="Calibri"/>
          <w:lang w:val="es-ES" w:eastAsia="en-US"/>
        </w:rPr>
        <w:t>IAC</w:t>
      </w:r>
      <w:proofErr w:type="spellEnd"/>
      <w:r w:rsidRPr="007A3F5D">
        <w:rPr>
          <w:rFonts w:eastAsia="Calibri"/>
          <w:lang w:val="es-ES" w:eastAsia="en-US"/>
        </w:rPr>
        <w:t xml:space="preserve"> se caracterizan por estar en la cuarta década de la vida, pertenecer al sexo femenino, tener comorbilidad como diabetes mellitus, inmunosupresión o neoplasias y localizaciones como la infección intraabdominal y neumonía, principalmente. El APACHE II y el SOFA constituyen los factores pronósticos de muerte. </w:t>
      </w:r>
    </w:p>
    <w:p w14:paraId="0C26D8E3" w14:textId="77777777" w:rsidR="007A3F5D" w:rsidRPr="007A3F5D" w:rsidRDefault="007A3F5D" w:rsidP="007A3F5D">
      <w:pPr>
        <w:spacing w:line="360" w:lineRule="auto"/>
        <w:jc w:val="both"/>
        <w:rPr>
          <w:rFonts w:eastAsia="Calibri"/>
          <w:b/>
          <w:lang w:val="es-ES" w:eastAsia="en-US"/>
        </w:rPr>
      </w:pPr>
    </w:p>
    <w:p w14:paraId="495B260D" w14:textId="77777777" w:rsidR="007A3F5D" w:rsidRPr="007A3F5D" w:rsidRDefault="007A3F5D" w:rsidP="007A3F5D">
      <w:pPr>
        <w:spacing w:line="360" w:lineRule="auto"/>
        <w:jc w:val="both"/>
        <w:rPr>
          <w:rFonts w:eastAsia="Calibri"/>
          <w:b/>
          <w:lang w:val="es-ES" w:eastAsia="en-US"/>
        </w:rPr>
      </w:pPr>
    </w:p>
    <w:p w14:paraId="48CF934B" w14:textId="77777777" w:rsidR="007A3F5D" w:rsidRPr="007A3F5D" w:rsidRDefault="007A3F5D" w:rsidP="007A3F5D">
      <w:pPr>
        <w:spacing w:line="360" w:lineRule="auto"/>
        <w:jc w:val="center"/>
        <w:rPr>
          <w:rFonts w:eastAsia="Calibri"/>
          <w:b/>
          <w:sz w:val="32"/>
          <w:szCs w:val="32"/>
          <w:lang w:val="en-US" w:eastAsia="en-US"/>
        </w:rPr>
      </w:pPr>
      <w:proofErr w:type="spellStart"/>
      <w:r w:rsidRPr="007A3F5D">
        <w:rPr>
          <w:rFonts w:eastAsia="Calibri"/>
          <w:b/>
          <w:sz w:val="32"/>
          <w:szCs w:val="32"/>
          <w:lang w:val="en-US" w:eastAsia="en-US"/>
        </w:rPr>
        <w:t>REFERENCIAS</w:t>
      </w:r>
      <w:proofErr w:type="spellEnd"/>
      <w:r w:rsidRPr="007A3F5D">
        <w:rPr>
          <w:rFonts w:eastAsia="Calibri"/>
          <w:b/>
          <w:sz w:val="32"/>
          <w:szCs w:val="32"/>
          <w:lang w:val="en-US" w:eastAsia="en-US"/>
        </w:rPr>
        <w:t xml:space="preserve"> </w:t>
      </w:r>
      <w:proofErr w:type="spellStart"/>
      <w:r w:rsidRPr="007A3F5D">
        <w:rPr>
          <w:rFonts w:eastAsia="Calibri"/>
          <w:b/>
          <w:sz w:val="32"/>
          <w:szCs w:val="32"/>
          <w:lang w:val="en-US" w:eastAsia="en-US"/>
        </w:rPr>
        <w:t>BIBLIOGRÁFICAS</w:t>
      </w:r>
      <w:proofErr w:type="spellEnd"/>
    </w:p>
    <w:p w14:paraId="5E528487" w14:textId="77777777" w:rsidR="007A3F5D" w:rsidRPr="007A3F5D" w:rsidRDefault="007A3F5D" w:rsidP="007A3F5D">
      <w:pPr>
        <w:spacing w:line="360" w:lineRule="auto"/>
        <w:rPr>
          <w:rFonts w:eastAsia="Calibri"/>
          <w:lang w:val="it-IT" w:eastAsia="it-IT"/>
        </w:rPr>
      </w:pPr>
      <w:r w:rsidRPr="007A3F5D">
        <w:rPr>
          <w:rFonts w:ascii="Calibri" w:eastAsia="Calibri" w:hAnsi="Calibri"/>
          <w:sz w:val="20"/>
          <w:szCs w:val="20"/>
          <w:lang w:val="it-IT" w:eastAsia="it-IT"/>
        </w:rPr>
        <w:t xml:space="preserve"> </w:t>
      </w:r>
      <w:r w:rsidRPr="007A3F5D">
        <w:rPr>
          <w:rFonts w:eastAsia="Calibri"/>
          <w:lang w:val="it-IT" w:eastAsia="it-IT"/>
        </w:rPr>
        <w:t xml:space="preserve">1. National Healthcare Safety Network. CDC/NHSN Surveillance Definitions for Specific Types of Infections. NHSN; 2021. [acceso: 28/06/2022]. Disponible en: </w:t>
      </w:r>
      <w:r w:rsidRPr="007A3F5D">
        <w:rPr>
          <w:rFonts w:eastAsia="Calibri"/>
          <w:lang w:val="it-IT" w:eastAsia="it-IT"/>
        </w:rPr>
        <w:fldChar w:fldCharType="begin"/>
      </w:r>
      <w:r w:rsidRPr="007A3F5D">
        <w:rPr>
          <w:rFonts w:eastAsia="Calibri"/>
          <w:lang w:val="it-IT" w:eastAsia="it-IT"/>
        </w:rPr>
        <w:instrText xml:space="preserve"> HYPERLINK "https://www.cdc.gov/nhsn/pdfs/pscmanual/17pscnosinfdef_current.pdf" </w:instrText>
      </w:r>
      <w:r w:rsidRPr="007A3F5D">
        <w:rPr>
          <w:rFonts w:eastAsia="Calibri"/>
          <w:lang w:val="it-IT" w:eastAsia="it-IT"/>
        </w:rPr>
        <w:fldChar w:fldCharType="separate"/>
      </w:r>
      <w:r w:rsidRPr="007A3F5D">
        <w:rPr>
          <w:rFonts w:eastAsia="Calibri"/>
          <w:color w:val="0000FF"/>
          <w:u w:val="single"/>
          <w:lang w:val="it-IT" w:eastAsia="it-IT"/>
        </w:rPr>
        <w:t>https://www.cdc.gov/nhsn/pdfs/pscmanual/17pscnosinfdef_current.pdf</w:t>
      </w:r>
      <w:r w:rsidRPr="007A3F5D">
        <w:rPr>
          <w:rFonts w:eastAsia="Calibri"/>
          <w:lang w:val="it-IT" w:eastAsia="it-IT"/>
        </w:rPr>
        <w:fldChar w:fldCharType="end"/>
      </w:r>
      <w:r w:rsidRPr="007A3F5D">
        <w:rPr>
          <w:rFonts w:eastAsia="Calibri"/>
          <w:lang w:val="it-IT" w:eastAsia="it-IT"/>
        </w:rPr>
        <w:t xml:space="preserve"> </w:t>
      </w:r>
    </w:p>
    <w:p w14:paraId="1EB3188B" w14:textId="77777777" w:rsidR="007A3F5D" w:rsidRPr="007A3F5D" w:rsidRDefault="007A3F5D" w:rsidP="007A3F5D">
      <w:pPr>
        <w:spacing w:line="360" w:lineRule="auto"/>
        <w:rPr>
          <w:rFonts w:eastAsia="Calibri"/>
          <w:lang w:val="it-IT" w:eastAsia="it-IT"/>
        </w:rPr>
      </w:pPr>
      <w:r w:rsidRPr="007A3F5D">
        <w:rPr>
          <w:rFonts w:eastAsia="Calibri"/>
          <w:lang w:val="it-IT" w:eastAsia="it-IT"/>
        </w:rPr>
        <w:lastRenderedPageBreak/>
        <w:t xml:space="preserve">2. Tonai M, Shiraishi A, Karumai T, Endo A, Yobayashi H, Fushimi K,  et al. Hospital-onset sepsis and community-onset sepsis in critical care units in Japan: a retrospective cohort study based on a Japanese administrative claims database. Crit Care. 2022; 26(1):136. DOI10.1186/s13054-022-04013-0 </w:t>
      </w:r>
    </w:p>
    <w:p w14:paraId="57C15CBE"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3. Chen Y, Hu Y, Zhang J , Shen Y, Huang J, Yin J, et al. Clinical characteristics, risk factors, immune status and prognosis of secondary infection of sepsis: a retrospective observational study. BMC Anesthesiol. 2019; 19(1):185. DOI: 10.1186/s12871-019-0849-9</w:t>
      </w:r>
    </w:p>
    <w:p w14:paraId="300FD378"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4. Szabo BG, Kiss R, Lenart KS, Marosi B, Vad E, Lakatos B, et al. Clinical and microbiological characteristics and outcomes of community-acquired sepsis among adults: a single center, 1-year retrospective observational cohort study from Hungary. BMC Infect Dis. 2019; 19(1):584. DOI: 10.1186/s12879-019-4219-5</w:t>
      </w:r>
    </w:p>
    <w:p w14:paraId="6A307264"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5. Lindström, AC, Eriksson M, Mårtensson J, Oldner A, Larsson E. Nationwide case–control study of risk factors and outcomes for community-acquired sepsis. Sci Rep. 2021; 11(1):15118. DOI: 10.1038/s41598-021-94558-x</w:t>
      </w:r>
    </w:p>
    <w:p w14:paraId="5FA15153"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6. Asensio MJ, Hernández M, Yus S, Minvielle A. Infecciones en el paciente crítico. Medicine (Madr). 2018; 12(52):3085-96. DOI: 10.1016/j.med.2018.03.014</w:t>
      </w:r>
    </w:p>
    <w:p w14:paraId="4AB9C5AD"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7. Boeddha NP, Schlapbach LJ, Driessen JG, Herberg JA, Rivero-Calle I, Cebey-López, et al. Mortality and morbidity in community-acquired sepsis in European pediatric intensive care units: a prospective cohort study from the European Childhood Life-threatening Infectious Disease Study (EUCLIDS). Crit Care. 2018; 22(1):143. DOI: 10.1186/s13054-018-2052-7</w:t>
      </w:r>
    </w:p>
    <w:p w14:paraId="53E16699"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8. Park DW, Chun BC, Kim JM, Sohn JW, Peck KR, Kim YS, Choi YH,et al. Epidemiological and clinical characteristics of community-acquired severe sepsis and septic shock: a prospective observational study in 12 university hospitals in Korea. J Korean Med Sci. 2012; 27(11):1308-14. DOI: 10.3346/jkms.2012.27.11.1308</w:t>
      </w:r>
    </w:p>
    <w:p w14:paraId="0929D2E1"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 xml:space="preserve">9. Knaus WA, Draper EA, Wagner DP, Zimmerman JE. APACHE II: a severity of disease classification system. Crit Care Med. 1985 [acceso: 28/06/2022]; 13(10):818-29. Disponible en:  </w:t>
      </w:r>
      <w:r w:rsidRPr="007A3F5D">
        <w:rPr>
          <w:rFonts w:eastAsia="Calibri"/>
          <w:lang w:val="it-IT" w:eastAsia="it-IT"/>
        </w:rPr>
        <w:fldChar w:fldCharType="begin"/>
      </w:r>
      <w:r w:rsidRPr="007A3F5D">
        <w:rPr>
          <w:rFonts w:eastAsia="Calibri"/>
          <w:lang w:val="it-IT" w:eastAsia="it-IT"/>
        </w:rPr>
        <w:instrText xml:space="preserve"> HYPERLINK "https://www.researchgate.net/publication/19234189_APACHE_II_a_severity_of_disease_classification_system" </w:instrText>
      </w:r>
      <w:r w:rsidRPr="007A3F5D">
        <w:rPr>
          <w:rFonts w:eastAsia="Calibri"/>
          <w:lang w:val="it-IT" w:eastAsia="it-IT"/>
        </w:rPr>
        <w:fldChar w:fldCharType="separate"/>
      </w:r>
      <w:r w:rsidRPr="007A3F5D">
        <w:rPr>
          <w:rFonts w:eastAsia="Calibri"/>
          <w:color w:val="0000FF"/>
          <w:u w:val="single"/>
          <w:lang w:val="it-IT" w:eastAsia="it-IT"/>
        </w:rPr>
        <w:t>https://www.researchgate.net/publication/19234189_APACHE_II_a_severity_of_disease_classification_system</w:t>
      </w:r>
      <w:r w:rsidRPr="007A3F5D">
        <w:rPr>
          <w:rFonts w:eastAsia="Calibri"/>
          <w:lang w:val="it-IT" w:eastAsia="it-IT"/>
        </w:rPr>
        <w:fldChar w:fldCharType="end"/>
      </w:r>
      <w:r w:rsidRPr="007A3F5D">
        <w:rPr>
          <w:rFonts w:eastAsia="Calibri"/>
          <w:lang w:val="it-IT" w:eastAsia="it-IT"/>
        </w:rPr>
        <w:t xml:space="preserve"> </w:t>
      </w:r>
    </w:p>
    <w:p w14:paraId="248BA64E" w14:textId="77777777" w:rsidR="007A3F5D" w:rsidRPr="007A3F5D" w:rsidRDefault="007A3F5D" w:rsidP="007A3F5D">
      <w:pPr>
        <w:spacing w:line="360" w:lineRule="auto"/>
        <w:rPr>
          <w:rFonts w:eastAsia="Calibri"/>
          <w:lang w:val="it-IT" w:eastAsia="it-IT"/>
        </w:rPr>
      </w:pPr>
      <w:r w:rsidRPr="007A3F5D">
        <w:rPr>
          <w:rFonts w:eastAsia="Calibri"/>
          <w:lang w:val="it-IT" w:eastAsia="it-IT"/>
        </w:rPr>
        <w:lastRenderedPageBreak/>
        <w:t>10. Vincent JL, Ferreira F, Moreno R. Scoring systems for assessing organ dysfunction and survival. Crit Care Clin. 2000; 16(2):353-66. DOI: 10.1016/s0749-0704(05)70114-7</w:t>
      </w:r>
    </w:p>
    <w:p w14:paraId="1C77CA64"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11.  Bone RC, Balk RA, Cerra FB, Dellinger RP, Fein AM, Knaus WA, et al. Definitions for sepsis and organ failure and guidelines for the use innovative therapies in sepsis. The ACCP/SCCM Consensus Conference of Chest Physicians/Society of Critical Care Medicine Chest. 1992; 101(6):1644-55. DOI: 10.1378/chest.101.6.1644</w:t>
      </w:r>
    </w:p>
    <w:p w14:paraId="3A9C1FD1"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12. Singer M, Deutschman C, Seymour CW,Shankar-Hari M, Annane D, Bauer M, et al. The Third International Consensus Definition for Sepsis and Septic Shock (Sepsis-3). JAMA. 2016; 315(8):801-10. DOI: 10.1001/jama.2016.0287</w:t>
      </w:r>
    </w:p>
    <w:p w14:paraId="127D6554"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 xml:space="preserve">13. Olaechea PM, Álvarez-Lerma F, Palomar M, Gimeno R, Gracia MP, Mas Net al  . Characteristics  and  outcomes  of  patients  admitted  to Spanish  ICU:  A  prospective  observational  study  from the  ENVIN-HELICS  registry  (2006-2011). Med Intensiva. 2016; 40(4):216-29. DOI: 10.1016/j.medin.2015.07.003 </w:t>
      </w:r>
    </w:p>
    <w:p w14:paraId="6FA4F72B"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14. Westphal GA, Pereira AB, Fachin SM, Barreto ACC, Bornschein ACGJ, Caldeira Filho M, et al. Characteristics and outcomes of patients with community-acquired and hospital-acquired sepsis. Rev Bras Ter Intensiva. 2019; 31(1):71-78. DOI: 10.5935/0103-507X.20190013</w:t>
      </w:r>
    </w:p>
    <w:p w14:paraId="26AB1A8B"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15. Hantrakun V, Somayaji R, Teparrukkul P, Boonsri C, Rudd K, Day NPJ, et al. Clinical epidemiology and outcomes of community acquired infection and sepsis among hospitalized patients in a resource limited setting in Northeast Thailand: A prospective observational study (Ubon-sepsis). PLoS ONE. 2018; 13(9): e0204509. DOI: 10.1371/journal.pone.0204509</w:t>
      </w:r>
    </w:p>
    <w:p w14:paraId="0D260BF5"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 xml:space="preserve">16. González JC, Vázquez YE, Arias A, Cabrera JO. Características de la población atendida en una unidad de cuidados intensivos cubana: estudio del proyecto DINUCIs. Medisur. 2020 [acceso: 28/06/2022]; 18(5): [aprox. 10 p.]. Disponible en: </w:t>
      </w:r>
      <w:hyperlink r:id="rId18" w:history="1">
        <w:r w:rsidRPr="007A3F5D">
          <w:rPr>
            <w:rFonts w:eastAsia="Calibri"/>
            <w:color w:val="0000FF"/>
            <w:u w:val="single"/>
            <w:lang w:val="it-IT" w:eastAsia="it-IT"/>
          </w:rPr>
          <w:t>http://medisur.sld.cu/index.php/medisur/article/view/4482</w:t>
        </w:r>
      </w:hyperlink>
      <w:r w:rsidRPr="007A3F5D">
        <w:rPr>
          <w:rFonts w:eastAsia="Calibri"/>
          <w:lang w:val="it-IT" w:eastAsia="it-IT"/>
        </w:rPr>
        <w:t xml:space="preserve"> </w:t>
      </w:r>
    </w:p>
    <w:p w14:paraId="07A57818"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17. Nair GB, Niederman MS. Updates on community acquired pneumonia management in the ICU. Pharmacol Ther. 2021; 217:107663. DOI: 10.1016/j.pharmthera.2020.107663</w:t>
      </w:r>
    </w:p>
    <w:p w14:paraId="71FCEC22" w14:textId="77777777" w:rsidR="007A3F5D" w:rsidRPr="007A3F5D" w:rsidRDefault="007A3F5D" w:rsidP="007A3F5D">
      <w:pPr>
        <w:spacing w:line="360" w:lineRule="auto"/>
        <w:rPr>
          <w:rFonts w:eastAsia="Calibri"/>
          <w:lang w:val="it-IT" w:eastAsia="it-IT"/>
        </w:rPr>
      </w:pPr>
      <w:r w:rsidRPr="007A3F5D">
        <w:rPr>
          <w:rFonts w:eastAsia="Calibri"/>
          <w:lang w:val="it-IT" w:eastAsia="it-IT"/>
        </w:rPr>
        <w:lastRenderedPageBreak/>
        <w:t>18. Todorovic Markovic M, Pedersen C, Gottfredsson M, Todorovic Mitic M, Gaini S. Epidemiology of community-acquired sepsis in the Faroe Islands - a prospective observational study. Infect Dis (Lond). 2019; 51(1):38-49. DOI: 10.1080/23744235.2018.1511056</w:t>
      </w:r>
    </w:p>
    <w:p w14:paraId="0EFBD621"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19. Dabar G, Harmouche C, Salameh P, Jaber BL, Jamaleddine G, Waked M, et al. Community-and healthcare-associated infections in critically ill patients: a multicenter cohort study. Int J Infect Dis. 2015; 37: 80-5. DOI: 10.1016/j.ijid.2015.05.024</w:t>
      </w:r>
    </w:p>
    <w:p w14:paraId="6E527A8A"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 xml:space="preserve">20. Abdo A, Castellanos R. Incidencia de infecciones relacionadas con el cuidado sanitario en unidades de cuidados intensivos en Cuba: año 2015 e informe de tendencias del primer quinquenio. Investigaciones Medicoquirúrgicas. 2017 [acceso: 28/06/2022]; 9(1): [aprox. 28 p.]. Disponible en: </w:t>
      </w:r>
      <w:r w:rsidRPr="007A3F5D">
        <w:rPr>
          <w:rFonts w:eastAsia="Calibri"/>
          <w:lang w:val="it-IT" w:eastAsia="it-IT"/>
        </w:rPr>
        <w:fldChar w:fldCharType="begin"/>
      </w:r>
      <w:r w:rsidRPr="007A3F5D">
        <w:rPr>
          <w:rFonts w:eastAsia="Calibri"/>
          <w:lang w:val="it-IT" w:eastAsia="it-IT"/>
        </w:rPr>
        <w:instrText xml:space="preserve"> HYPERLINK "http://www.revcimeq.sld.cu/index.php/imq/article/view/374" </w:instrText>
      </w:r>
      <w:r w:rsidRPr="007A3F5D">
        <w:rPr>
          <w:rFonts w:eastAsia="Calibri"/>
          <w:lang w:val="it-IT" w:eastAsia="it-IT"/>
        </w:rPr>
        <w:fldChar w:fldCharType="separate"/>
      </w:r>
      <w:r w:rsidRPr="007A3F5D">
        <w:rPr>
          <w:rFonts w:eastAsia="Calibri"/>
          <w:color w:val="0000FF"/>
          <w:u w:val="single"/>
          <w:lang w:val="it-IT" w:eastAsia="it-IT"/>
        </w:rPr>
        <w:t>http://www.revcimeq.sld.cu/index.php/imq/article/view/374</w:t>
      </w:r>
      <w:r w:rsidRPr="007A3F5D">
        <w:rPr>
          <w:rFonts w:eastAsia="Calibri"/>
          <w:lang w:val="it-IT" w:eastAsia="it-IT"/>
        </w:rPr>
        <w:fldChar w:fldCharType="end"/>
      </w:r>
      <w:r w:rsidRPr="007A3F5D">
        <w:rPr>
          <w:rFonts w:eastAsia="Calibri"/>
          <w:lang w:val="it-IT" w:eastAsia="it-IT"/>
        </w:rPr>
        <w:t xml:space="preserve"> </w:t>
      </w:r>
    </w:p>
    <w:p w14:paraId="6D33F611"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 xml:space="preserve">21. Grozdanovski K, Milenkovic Z, Demiri I, Spasovska K. Prediction of Outcome from Community-Acquired Severe Sepsis and Septic Shock in Tertiary-Care University Hospital in a Developing Country. Crit Care Res Pract. 2012; 2012: 182324. DOI: 10.1155/2012/182324  </w:t>
      </w:r>
    </w:p>
    <w:p w14:paraId="7D73E6C7"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22. Zhang MQ, Macala KF, Fox-Robichaud A, Mendelson AA, Lalu MM, Sepsis Canada National Preclinical Sepsis Platform Sex- and Gender-Dependent Differences in Clinical and Preclinical Sepsis. Shock. 2021; 56(2):178-87. DOI: 10.1097/SHK.0000000000001717</w:t>
      </w:r>
    </w:p>
    <w:p w14:paraId="62696331"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23. Sunden-Cullberg J, Nilsson A, Inghammar M. Sex-based differences in ED management of critically ill patients with sepsis: a nationwide cohort study. Intensive Care Med. 2020; 46(4):727-36.  DOI: 10.1007/s00134-019-05910-9</w:t>
      </w:r>
    </w:p>
    <w:p w14:paraId="000F353B"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24. Naqvi IH, Mahmood K, Ziaullaha S, Kashif SM, Sharif A. Better prognostic marker in ICU - APACHE II, SOFA or SAP II!. Pak J Med. Sci. 2016; 32(5):1146-51. DOI: 10.12669/pjms.325.10080</w:t>
      </w:r>
    </w:p>
    <w:p w14:paraId="6279D785"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25. Blot S, Antonelli M, Arvaniti K, Blot K, Creagh-Brown B, de Lange D,  et al. Epidemiology of intra-abdominal infection and sepsis in critically ill patients: "AbSeS", a multinational observational cohort study and ESICM Trials Group Project. Intensive Care Med. 2019; 45(12):1703-17. DOI: 10.1007/s00134-019-05819-3</w:t>
      </w:r>
    </w:p>
    <w:p w14:paraId="774E0745" w14:textId="77777777" w:rsidR="007A3F5D" w:rsidRPr="007A3F5D" w:rsidRDefault="007A3F5D" w:rsidP="007A3F5D">
      <w:pPr>
        <w:spacing w:line="360" w:lineRule="auto"/>
        <w:rPr>
          <w:rFonts w:eastAsia="Calibri"/>
          <w:b/>
          <w:lang w:val="it-IT" w:eastAsia="it-IT"/>
        </w:rPr>
      </w:pPr>
    </w:p>
    <w:p w14:paraId="0779D682" w14:textId="77777777" w:rsidR="007A3F5D" w:rsidRPr="007A3F5D" w:rsidRDefault="007A3F5D" w:rsidP="007A3F5D">
      <w:pPr>
        <w:spacing w:line="360" w:lineRule="auto"/>
        <w:jc w:val="center"/>
        <w:rPr>
          <w:rFonts w:eastAsia="Calibri"/>
          <w:b/>
          <w:lang w:val="it-IT" w:eastAsia="it-IT"/>
        </w:rPr>
      </w:pPr>
      <w:r w:rsidRPr="007A3F5D">
        <w:rPr>
          <w:rFonts w:eastAsia="Calibri"/>
          <w:b/>
          <w:lang w:val="it-IT" w:eastAsia="it-IT"/>
        </w:rPr>
        <w:t>Conflictos de interés</w:t>
      </w:r>
    </w:p>
    <w:p w14:paraId="6826F731" w14:textId="77777777" w:rsidR="007A3F5D" w:rsidRPr="007A3F5D" w:rsidRDefault="007A3F5D" w:rsidP="007A3F5D">
      <w:pPr>
        <w:spacing w:line="360" w:lineRule="auto"/>
        <w:rPr>
          <w:rFonts w:eastAsia="Calibri"/>
          <w:lang w:val="it-IT" w:eastAsia="it-IT"/>
        </w:rPr>
      </w:pPr>
      <w:r w:rsidRPr="007A3F5D">
        <w:rPr>
          <w:rFonts w:eastAsia="Calibri"/>
          <w:lang w:val="it-IT" w:eastAsia="it-IT"/>
        </w:rPr>
        <w:t>Los autores declaran no tener conflictos de intereses ni financiación.</w:t>
      </w:r>
    </w:p>
    <w:p w14:paraId="39E5F4F5" w14:textId="77777777" w:rsidR="007A3F5D" w:rsidRPr="007A3F5D" w:rsidRDefault="007A3F5D" w:rsidP="007A3F5D">
      <w:pPr>
        <w:spacing w:line="360" w:lineRule="auto"/>
        <w:jc w:val="both"/>
        <w:rPr>
          <w:rFonts w:eastAsia="Calibri"/>
          <w:lang w:val="it-IT" w:eastAsia="en-US"/>
        </w:rPr>
      </w:pPr>
    </w:p>
    <w:p w14:paraId="45F332E5" w14:textId="77777777" w:rsidR="007A3F5D" w:rsidRPr="007A3F5D" w:rsidRDefault="007A3F5D" w:rsidP="007A3F5D">
      <w:pPr>
        <w:spacing w:line="360" w:lineRule="auto"/>
        <w:jc w:val="center"/>
        <w:rPr>
          <w:rFonts w:eastAsia="Calibri"/>
          <w:b/>
          <w:lang w:val="it-IT" w:eastAsia="it-IT"/>
        </w:rPr>
      </w:pPr>
      <w:r w:rsidRPr="007A3F5D">
        <w:rPr>
          <w:rFonts w:eastAsia="Calibri"/>
          <w:b/>
          <w:lang w:val="it-IT" w:eastAsia="it-IT"/>
        </w:rPr>
        <w:t>Contribuciones de los autores</w:t>
      </w:r>
    </w:p>
    <w:p w14:paraId="1DF45781"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Conceptualización: </w:t>
      </w:r>
      <w:r w:rsidRPr="007A3F5D">
        <w:rPr>
          <w:rFonts w:eastAsia="Calibri"/>
          <w:i/>
          <w:iCs/>
          <w:lang w:val="es-ES" w:eastAsia="en-US"/>
        </w:rPr>
        <w:t xml:space="preserve">Julio César González Aguilera. </w:t>
      </w:r>
    </w:p>
    <w:p w14:paraId="41CDC150"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Investigación: </w:t>
      </w:r>
      <w:r w:rsidRPr="007A3F5D">
        <w:rPr>
          <w:rFonts w:eastAsia="Calibri"/>
          <w:i/>
          <w:iCs/>
          <w:lang w:val="es-ES" w:eastAsia="en-US"/>
        </w:rPr>
        <w:t xml:space="preserve">Julio César González Aguilera, </w:t>
      </w:r>
      <w:proofErr w:type="spellStart"/>
      <w:r w:rsidRPr="007A3F5D">
        <w:rPr>
          <w:rFonts w:eastAsia="Calibri"/>
          <w:i/>
          <w:iCs/>
          <w:lang w:val="es-ES" w:eastAsia="en-US"/>
        </w:rPr>
        <w:t>Yoleinis</w:t>
      </w:r>
      <w:proofErr w:type="spellEnd"/>
      <w:r w:rsidRPr="007A3F5D">
        <w:rPr>
          <w:rFonts w:eastAsia="Calibri"/>
          <w:i/>
          <w:iCs/>
          <w:lang w:val="es-ES" w:eastAsia="en-US"/>
        </w:rPr>
        <w:t xml:space="preserve"> Esperanza Vázquez </w:t>
      </w:r>
      <w:proofErr w:type="spellStart"/>
      <w:r w:rsidRPr="007A3F5D">
        <w:rPr>
          <w:rFonts w:eastAsia="Calibri"/>
          <w:i/>
          <w:iCs/>
          <w:lang w:val="es-ES" w:eastAsia="en-US"/>
        </w:rPr>
        <w:t>Belizón</w:t>
      </w:r>
      <w:proofErr w:type="spellEnd"/>
      <w:r w:rsidRPr="007A3F5D">
        <w:rPr>
          <w:rFonts w:eastAsia="Calibri"/>
          <w:i/>
          <w:iCs/>
          <w:lang w:val="es-ES" w:eastAsia="en-US"/>
        </w:rPr>
        <w:t>, Armando Arias Ortiz, Sandra Amalia Sánchez Figueredo.</w:t>
      </w:r>
    </w:p>
    <w:p w14:paraId="0D7DDE8D"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Administración del proyecto: </w:t>
      </w:r>
      <w:r w:rsidRPr="007A3F5D">
        <w:rPr>
          <w:rFonts w:eastAsia="Calibri"/>
          <w:i/>
          <w:iCs/>
          <w:lang w:val="es-ES" w:eastAsia="en-US"/>
        </w:rPr>
        <w:t xml:space="preserve">Julio César González Aguilera. </w:t>
      </w:r>
    </w:p>
    <w:p w14:paraId="30CF7B73"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Validación-verificación: </w:t>
      </w:r>
      <w:r w:rsidRPr="007A3F5D">
        <w:rPr>
          <w:rFonts w:eastAsia="Calibri"/>
          <w:i/>
          <w:iCs/>
          <w:lang w:val="es-ES" w:eastAsia="en-US"/>
        </w:rPr>
        <w:t xml:space="preserve">Julio César González Aguilera, Jorge Omar Cabrera </w:t>
      </w:r>
      <w:proofErr w:type="spellStart"/>
      <w:r w:rsidRPr="007A3F5D">
        <w:rPr>
          <w:rFonts w:eastAsia="Calibri"/>
          <w:i/>
          <w:iCs/>
          <w:lang w:val="es-ES" w:eastAsia="en-US"/>
        </w:rPr>
        <w:t>Lavernia</w:t>
      </w:r>
      <w:proofErr w:type="spellEnd"/>
      <w:r w:rsidRPr="007A3F5D">
        <w:rPr>
          <w:rFonts w:eastAsia="Calibri"/>
          <w:i/>
          <w:iCs/>
          <w:lang w:val="es-ES" w:eastAsia="en-US"/>
        </w:rPr>
        <w:t>.</w:t>
      </w:r>
      <w:r w:rsidRPr="007A3F5D">
        <w:rPr>
          <w:rFonts w:eastAsia="Calibri"/>
          <w:lang w:val="es-ES" w:eastAsia="en-US"/>
        </w:rPr>
        <w:t xml:space="preserve"> </w:t>
      </w:r>
    </w:p>
    <w:p w14:paraId="22BFB568"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Visualización: </w:t>
      </w:r>
      <w:r w:rsidRPr="007A3F5D">
        <w:rPr>
          <w:rFonts w:eastAsia="Calibri"/>
          <w:i/>
          <w:iCs/>
          <w:lang w:val="es-ES" w:eastAsia="en-US"/>
        </w:rPr>
        <w:t xml:space="preserve">Julio César González Aguilera, Jorge Omar Cabrera </w:t>
      </w:r>
      <w:proofErr w:type="spellStart"/>
      <w:r w:rsidRPr="007A3F5D">
        <w:rPr>
          <w:rFonts w:eastAsia="Calibri"/>
          <w:i/>
          <w:iCs/>
          <w:lang w:val="es-ES" w:eastAsia="en-US"/>
        </w:rPr>
        <w:t>Lavernia</w:t>
      </w:r>
      <w:proofErr w:type="spellEnd"/>
      <w:r w:rsidRPr="007A3F5D">
        <w:rPr>
          <w:rFonts w:eastAsia="Calibri"/>
          <w:i/>
          <w:iCs/>
          <w:lang w:val="es-ES" w:eastAsia="en-US"/>
        </w:rPr>
        <w:t xml:space="preserve">. </w:t>
      </w:r>
    </w:p>
    <w:p w14:paraId="2F9F2D53"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Redacción-borrador original: </w:t>
      </w:r>
      <w:r w:rsidRPr="007A3F5D">
        <w:rPr>
          <w:rFonts w:eastAsia="Calibri"/>
          <w:i/>
          <w:iCs/>
          <w:lang w:val="es-ES" w:eastAsia="en-US"/>
        </w:rPr>
        <w:t xml:space="preserve">Julio César González Aguilera, Jorge Omar Cabrera </w:t>
      </w:r>
      <w:proofErr w:type="spellStart"/>
      <w:r w:rsidRPr="007A3F5D">
        <w:rPr>
          <w:rFonts w:eastAsia="Calibri"/>
          <w:i/>
          <w:iCs/>
          <w:lang w:val="es-ES" w:eastAsia="en-US"/>
        </w:rPr>
        <w:t>Lavernia</w:t>
      </w:r>
      <w:proofErr w:type="spellEnd"/>
      <w:r w:rsidRPr="007A3F5D">
        <w:rPr>
          <w:rFonts w:eastAsia="Calibri"/>
          <w:i/>
          <w:iCs/>
          <w:lang w:val="es-ES" w:eastAsia="en-US"/>
        </w:rPr>
        <w:t>.</w:t>
      </w:r>
      <w:r w:rsidRPr="007A3F5D">
        <w:rPr>
          <w:rFonts w:eastAsia="Calibri"/>
          <w:lang w:val="es-ES" w:eastAsia="en-US"/>
        </w:rPr>
        <w:t xml:space="preserve">  </w:t>
      </w:r>
    </w:p>
    <w:p w14:paraId="089A9B21" w14:textId="77777777" w:rsidR="007A3F5D" w:rsidRPr="007A3F5D" w:rsidRDefault="007A3F5D" w:rsidP="007A3F5D">
      <w:pPr>
        <w:spacing w:line="360" w:lineRule="auto"/>
        <w:jc w:val="both"/>
        <w:rPr>
          <w:rFonts w:eastAsia="Calibri"/>
          <w:lang w:val="es-ES" w:eastAsia="en-US"/>
        </w:rPr>
      </w:pPr>
      <w:r w:rsidRPr="007A3F5D">
        <w:rPr>
          <w:rFonts w:eastAsia="Calibri"/>
          <w:lang w:val="es-ES" w:eastAsia="en-US"/>
        </w:rPr>
        <w:t xml:space="preserve">Redacción-revisión y edición: </w:t>
      </w:r>
      <w:r w:rsidRPr="007A3F5D">
        <w:rPr>
          <w:rFonts w:eastAsia="Calibri"/>
          <w:i/>
          <w:iCs/>
          <w:lang w:val="es-ES" w:eastAsia="en-US"/>
        </w:rPr>
        <w:t xml:space="preserve">Julio César González Aguilera, Jorge Omar Cabrera </w:t>
      </w:r>
      <w:proofErr w:type="spellStart"/>
      <w:r w:rsidRPr="007A3F5D">
        <w:rPr>
          <w:rFonts w:eastAsia="Calibri"/>
          <w:i/>
          <w:iCs/>
          <w:lang w:val="es-ES" w:eastAsia="en-US"/>
        </w:rPr>
        <w:t>Lavernia</w:t>
      </w:r>
      <w:proofErr w:type="spellEnd"/>
      <w:r w:rsidRPr="007A3F5D">
        <w:rPr>
          <w:rFonts w:eastAsia="Calibri"/>
          <w:i/>
          <w:iCs/>
          <w:lang w:val="es-ES" w:eastAsia="en-US"/>
        </w:rPr>
        <w:t xml:space="preserve">, </w:t>
      </w:r>
      <w:proofErr w:type="spellStart"/>
      <w:r w:rsidRPr="007A3F5D">
        <w:rPr>
          <w:rFonts w:eastAsia="Calibri"/>
          <w:i/>
          <w:iCs/>
          <w:lang w:val="es-ES" w:eastAsia="en-US"/>
        </w:rPr>
        <w:t>Yoleinis</w:t>
      </w:r>
      <w:proofErr w:type="spellEnd"/>
      <w:r w:rsidRPr="007A3F5D">
        <w:rPr>
          <w:rFonts w:eastAsia="Calibri"/>
          <w:i/>
          <w:iCs/>
          <w:lang w:val="es-ES" w:eastAsia="en-US"/>
        </w:rPr>
        <w:t xml:space="preserve"> Esperanza Vázquez </w:t>
      </w:r>
      <w:proofErr w:type="spellStart"/>
      <w:r w:rsidRPr="007A3F5D">
        <w:rPr>
          <w:rFonts w:eastAsia="Calibri"/>
          <w:i/>
          <w:iCs/>
          <w:lang w:val="es-ES" w:eastAsia="en-US"/>
        </w:rPr>
        <w:t>Belizón</w:t>
      </w:r>
      <w:proofErr w:type="spellEnd"/>
      <w:r w:rsidRPr="007A3F5D">
        <w:rPr>
          <w:rFonts w:eastAsia="Calibri"/>
          <w:i/>
          <w:iCs/>
          <w:lang w:val="es-ES" w:eastAsia="en-US"/>
        </w:rPr>
        <w:t>.</w:t>
      </w:r>
      <w:r w:rsidRPr="007A3F5D">
        <w:rPr>
          <w:rFonts w:eastAsia="Calibri"/>
          <w:lang w:val="es-ES" w:eastAsia="en-US"/>
        </w:rPr>
        <w:t xml:space="preserve"> </w:t>
      </w:r>
    </w:p>
    <w:p w14:paraId="299B5CD0" w14:textId="77777777" w:rsidR="00675476" w:rsidRPr="007A3F5D" w:rsidRDefault="00675476" w:rsidP="00EA1FEF">
      <w:pPr>
        <w:pStyle w:val="PDFRevista"/>
        <w:rPr>
          <w:lang w:val="es-ES"/>
        </w:rPr>
      </w:pPr>
    </w:p>
    <w:sectPr w:rsidR="00675476" w:rsidRPr="007A3F5D"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82BD" w14:textId="77777777" w:rsidR="00802553" w:rsidRDefault="00802553">
      <w:r>
        <w:separator/>
      </w:r>
    </w:p>
  </w:endnote>
  <w:endnote w:type="continuationSeparator" w:id="0">
    <w:p w14:paraId="0F56F75B" w14:textId="77777777" w:rsidR="00802553" w:rsidRDefault="0080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096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7EC3F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27E7" w14:textId="39196210" w:rsidR="000F3690" w:rsidRPr="00AE044C" w:rsidRDefault="007A3F5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356B369" wp14:editId="35131BAC">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420F05"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256AF8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297682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583E29D" w14:textId="1B4F11E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A3F5D" w:rsidRPr="007A3F5D">
      <w:rPr>
        <w:rFonts w:ascii="Verdana" w:hAnsi="Verdana"/>
        <w:noProof/>
        <w:sz w:val="18"/>
        <w:szCs w:val="18"/>
        <w:lang w:val="en-US" w:eastAsia="en-US"/>
      </w:rPr>
      <w:drawing>
        <wp:inline distT="0" distB="0" distL="0" distR="0" wp14:anchorId="202D8E00" wp14:editId="2F5998FE">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DCFF" w14:textId="77777777" w:rsidR="00802553" w:rsidRDefault="00802553">
      <w:r>
        <w:separator/>
      </w:r>
    </w:p>
  </w:footnote>
  <w:footnote w:type="continuationSeparator" w:id="0">
    <w:p w14:paraId="22D15C41" w14:textId="77777777" w:rsidR="00802553" w:rsidRDefault="0080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139B" w14:textId="408AF289" w:rsidR="00CC376A" w:rsidRPr="00AE044C" w:rsidRDefault="007A3F5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02202229</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EBD35A3" wp14:editId="207B9835">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0FB5F" w14:textId="165EB668" w:rsidR="00A477DE" w:rsidRDefault="007A3F5D">
    <w:r>
      <w:rPr>
        <w:noProof/>
      </w:rPr>
      <mc:AlternateContent>
        <mc:Choice Requires="wps">
          <w:drawing>
            <wp:anchor distT="0" distB="0" distL="114300" distR="114300" simplePos="0" relativeHeight="251654144" behindDoc="0" locked="0" layoutInCell="1" allowOverlap="1" wp14:anchorId="6BBFACD7" wp14:editId="408DAE26">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D492A7"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03F95"/>
    <w:multiLevelType w:val="hybridMultilevel"/>
    <w:tmpl w:val="621E7680"/>
    <w:lvl w:ilvl="0" w:tplc="8E5E4DBC">
      <w:start w:val="1"/>
      <w:numFmt w:val="decimal"/>
      <w:lvlText w:val="%1."/>
      <w:lvlJc w:val="left"/>
      <w:pPr>
        <w:ind w:left="36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9B20AB"/>
    <w:multiLevelType w:val="hybridMultilevel"/>
    <w:tmpl w:val="31842038"/>
    <w:lvl w:ilvl="0" w:tplc="5C6C1644">
      <w:start w:val="1"/>
      <w:numFmt w:val="decimal"/>
      <w:lvlText w:val="%1."/>
      <w:lvlJc w:val="left"/>
      <w:pPr>
        <w:ind w:left="720" w:hanging="360"/>
      </w:pPr>
      <w:rPr>
        <w:rFonts w:ascii="Times New Roman" w:hAnsi="Times New Roman" w:cs="Times New Roman" w:hint="default"/>
        <w:b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76317B19"/>
    <w:multiLevelType w:val="hybridMultilevel"/>
    <w:tmpl w:val="535C48EC"/>
    <w:lvl w:ilvl="0" w:tplc="C26C4214">
      <w:start w:val="6"/>
      <w:numFmt w:val="bullet"/>
      <w:lvlText w:val=""/>
      <w:lvlJc w:val="left"/>
      <w:pPr>
        <w:ind w:left="1069" w:hanging="360"/>
      </w:pPr>
      <w:rPr>
        <w:rFonts w:ascii="Symbol" w:eastAsia="Calibri" w:hAnsi="Symbol"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16cid:durableId="1386224222">
    <w:abstractNumId w:val="2"/>
  </w:num>
  <w:num w:numId="2" w16cid:durableId="1252618630">
    <w:abstractNumId w:val="1"/>
  </w:num>
  <w:num w:numId="3" w16cid:durableId="2138527404">
    <w:abstractNumId w:val="3"/>
  </w:num>
  <w:num w:numId="4" w16cid:durableId="160834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5D"/>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A3F5D"/>
    <w:rsid w:val="007C430F"/>
    <w:rsid w:val="007D2D0C"/>
    <w:rsid w:val="007D614D"/>
    <w:rsid w:val="00802553"/>
    <w:rsid w:val="0085593B"/>
    <w:rsid w:val="00960D6A"/>
    <w:rsid w:val="009A0560"/>
    <w:rsid w:val="009B0917"/>
    <w:rsid w:val="009F0F96"/>
    <w:rsid w:val="00A23C0C"/>
    <w:rsid w:val="00A477DE"/>
    <w:rsid w:val="00A519CA"/>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B5D5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C209A"/>
  <w15:docId w15:val="{30ADDB39-7DB5-42D4-A343-596918CE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7A3F5D"/>
  </w:style>
  <w:style w:type="character" w:customStyle="1" w:styleId="markedcontent">
    <w:name w:val="markedcontent"/>
    <w:basedOn w:val="Fuentedeprrafopredeter"/>
    <w:rsid w:val="007A3F5D"/>
  </w:style>
  <w:style w:type="character" w:styleId="Textoennegrita">
    <w:name w:val="Strong"/>
    <w:uiPriority w:val="22"/>
    <w:qFormat/>
    <w:rsid w:val="007A3F5D"/>
    <w:rPr>
      <w:b/>
      <w:bCs/>
    </w:rPr>
  </w:style>
  <w:style w:type="paragraph" w:styleId="HTMLconformatoprevio">
    <w:name w:val="HTML Preformatted"/>
    <w:basedOn w:val="Normal"/>
    <w:link w:val="HTMLconformatoprevioCar"/>
    <w:uiPriority w:val="99"/>
    <w:unhideWhenUsed/>
    <w:rsid w:val="007A3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onformatoprevioCar">
    <w:name w:val="HTML con formato previo Car"/>
    <w:basedOn w:val="Fuentedeprrafopredeter"/>
    <w:link w:val="HTMLconformatoprevio"/>
    <w:uiPriority w:val="99"/>
    <w:rsid w:val="007A3F5D"/>
    <w:rPr>
      <w:rFonts w:ascii="Courier New" w:hAnsi="Courier New"/>
      <w:lang w:val="x-none" w:eastAsia="x-none"/>
    </w:rPr>
  </w:style>
  <w:style w:type="character" w:customStyle="1" w:styleId="y2iqfc">
    <w:name w:val="y2iqfc"/>
    <w:basedOn w:val="Fuentedeprrafopredeter"/>
    <w:rsid w:val="007A3F5D"/>
  </w:style>
  <w:style w:type="paragraph" w:customStyle="1" w:styleId="Default">
    <w:name w:val="Default"/>
    <w:rsid w:val="007A3F5D"/>
    <w:pPr>
      <w:autoSpaceDE w:val="0"/>
      <w:autoSpaceDN w:val="0"/>
      <w:adjustRightInd w:val="0"/>
    </w:pPr>
    <w:rPr>
      <w:rFonts w:eastAsia="Calibri"/>
      <w:color w:val="000000"/>
      <w:sz w:val="24"/>
      <w:szCs w:val="24"/>
      <w:lang w:val="es-ES" w:eastAsia="es-ES"/>
    </w:rPr>
  </w:style>
  <w:style w:type="paragraph" w:styleId="Prrafodelista">
    <w:name w:val="List Paragraph"/>
    <w:basedOn w:val="Normal"/>
    <w:uiPriority w:val="34"/>
    <w:qFormat/>
    <w:rsid w:val="007A3F5D"/>
    <w:pPr>
      <w:spacing w:after="200" w:line="276" w:lineRule="auto"/>
      <w:ind w:left="720"/>
      <w:contextualSpacing/>
    </w:pPr>
    <w:rPr>
      <w:rFonts w:ascii="Calibri" w:eastAsia="Calibri" w:hAnsi="Calibri"/>
      <w:sz w:val="22"/>
      <w:szCs w:val="22"/>
      <w:lang w:val="es-ES" w:eastAsia="en-US"/>
    </w:rPr>
  </w:style>
  <w:style w:type="character" w:styleId="Refdecomentario">
    <w:name w:val="annotation reference"/>
    <w:uiPriority w:val="99"/>
    <w:semiHidden/>
    <w:unhideWhenUsed/>
    <w:rsid w:val="007A3F5D"/>
    <w:rPr>
      <w:sz w:val="16"/>
      <w:szCs w:val="16"/>
    </w:rPr>
  </w:style>
  <w:style w:type="paragraph" w:styleId="Textocomentario">
    <w:name w:val="annotation text"/>
    <w:basedOn w:val="Normal"/>
    <w:link w:val="TextocomentarioCar"/>
    <w:uiPriority w:val="99"/>
    <w:semiHidden/>
    <w:unhideWhenUsed/>
    <w:rsid w:val="007A3F5D"/>
    <w:pPr>
      <w:spacing w:after="200" w:line="276" w:lineRule="auto"/>
    </w:pPr>
    <w:rPr>
      <w:rFonts w:ascii="Calibri" w:eastAsia="Calibri" w:hAnsi="Calibri"/>
      <w:sz w:val="20"/>
      <w:szCs w:val="20"/>
      <w:lang w:val="it-IT" w:eastAsia="it-IT"/>
    </w:rPr>
  </w:style>
  <w:style w:type="character" w:customStyle="1" w:styleId="TextocomentarioCar">
    <w:name w:val="Texto comentario Car"/>
    <w:basedOn w:val="Fuentedeprrafopredeter"/>
    <w:link w:val="Textocomentario"/>
    <w:uiPriority w:val="99"/>
    <w:semiHidden/>
    <w:rsid w:val="007A3F5D"/>
    <w:rPr>
      <w:rFonts w:ascii="Calibri" w:eastAsia="Calibri" w:hAnsi="Calibri"/>
      <w:lang w:val="it-IT" w:eastAsia="it-IT"/>
    </w:rPr>
  </w:style>
  <w:style w:type="paragraph" w:styleId="Asuntodelcomentario">
    <w:name w:val="annotation subject"/>
    <w:basedOn w:val="Textocomentario"/>
    <w:next w:val="Textocomentario"/>
    <w:link w:val="AsuntodelcomentarioCar"/>
    <w:uiPriority w:val="99"/>
    <w:semiHidden/>
    <w:unhideWhenUsed/>
    <w:rsid w:val="007A3F5D"/>
    <w:rPr>
      <w:b/>
      <w:bCs/>
    </w:rPr>
  </w:style>
  <w:style w:type="character" w:customStyle="1" w:styleId="AsuntodelcomentarioCar">
    <w:name w:val="Asunto del comentario Car"/>
    <w:basedOn w:val="TextocomentarioCar"/>
    <w:link w:val="Asuntodelcomentario"/>
    <w:uiPriority w:val="99"/>
    <w:semiHidden/>
    <w:rsid w:val="007A3F5D"/>
    <w:rPr>
      <w:rFonts w:ascii="Calibri" w:eastAsia="Calibri" w:hAnsi="Calibri"/>
      <w:b/>
      <w:bCs/>
      <w:lang w:val="it-IT" w:eastAsia="it-IT"/>
    </w:rPr>
  </w:style>
  <w:style w:type="character" w:styleId="Mencinsinresolver">
    <w:name w:val="Unresolved Mention"/>
    <w:uiPriority w:val="99"/>
    <w:semiHidden/>
    <w:unhideWhenUsed/>
    <w:rsid w:val="007A3F5D"/>
    <w:rPr>
      <w:color w:val="605E5C"/>
      <w:shd w:val="clear" w:color="auto" w:fill="E1DFDD"/>
    </w:rPr>
  </w:style>
  <w:style w:type="paragraph" w:styleId="Revisin">
    <w:name w:val="Revision"/>
    <w:hidden/>
    <w:uiPriority w:val="99"/>
    <w:semiHidden/>
    <w:rsid w:val="007A3F5D"/>
    <w:rPr>
      <w:rFonts w:ascii="Calibri" w:eastAsia="Calibri" w:hAnsi="Calibri"/>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560-1651" TargetMode="External"/><Relationship Id="rId13" Type="http://schemas.openxmlformats.org/officeDocument/2006/relationships/image" Target="media/image1.png"/><Relationship Id="rId18" Type="http://schemas.openxmlformats.org/officeDocument/2006/relationships/hyperlink" Target="http://medisur.sld.cu/index.php/medisur/article/view/4482"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3-3914-2631" TargetMode="External"/><Relationship Id="rId12" Type="http://schemas.openxmlformats.org/officeDocument/2006/relationships/hyperlink" Target="mailto:julio.grm@infomed.sld.cu"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154-6347"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orcid.org/0000-0003-4592-178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1-6500-6049" TargetMode="Externa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16</Pages>
  <Words>4008</Words>
  <Characters>22046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26002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2022-11-05T01:30:00Z</cp:lastPrinted>
  <dcterms:created xsi:type="dcterms:W3CDTF">2022-11-05T01:27:00Z</dcterms:created>
  <dcterms:modified xsi:type="dcterms:W3CDTF">2022-11-05T01:31:00Z</dcterms:modified>
</cp:coreProperties>
</file>