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A6A5" w14:textId="77777777" w:rsidR="002474B1" w:rsidRPr="002474B1" w:rsidRDefault="002474B1" w:rsidP="002474B1">
      <w:pPr>
        <w:spacing w:line="360" w:lineRule="auto"/>
        <w:jc w:val="right"/>
        <w:rPr>
          <w:sz w:val="20"/>
          <w:szCs w:val="20"/>
          <w:lang w:val="es-PE" w:eastAsia="es-ES"/>
        </w:rPr>
      </w:pPr>
      <w:bookmarkStart w:id="0" w:name="_Hlk95923527"/>
      <w:bookmarkStart w:id="1" w:name="_Hlk106280929"/>
      <w:bookmarkStart w:id="2" w:name="_Hlk108529828"/>
      <w:r w:rsidRPr="002474B1">
        <w:rPr>
          <w:sz w:val="20"/>
          <w:szCs w:val="20"/>
          <w:lang w:val="es-PE" w:eastAsia="es-ES"/>
        </w:rPr>
        <w:t>Comunicación breve</w:t>
      </w:r>
    </w:p>
    <w:p w14:paraId="44E1B832" w14:textId="77777777" w:rsidR="002474B1" w:rsidRPr="002474B1" w:rsidRDefault="002474B1" w:rsidP="002474B1">
      <w:pPr>
        <w:spacing w:line="360" w:lineRule="auto"/>
        <w:rPr>
          <w:b/>
          <w:bCs/>
          <w:lang w:val="es-PE" w:eastAsia="es-ES"/>
        </w:rPr>
      </w:pPr>
    </w:p>
    <w:p w14:paraId="22642F1B" w14:textId="77777777" w:rsidR="002474B1" w:rsidRPr="002474B1" w:rsidRDefault="002474B1" w:rsidP="002474B1">
      <w:pPr>
        <w:spacing w:line="360" w:lineRule="auto"/>
        <w:jc w:val="center"/>
        <w:rPr>
          <w:b/>
          <w:bCs/>
          <w:sz w:val="28"/>
          <w:szCs w:val="28"/>
          <w:lang w:val="es-PE" w:eastAsia="es-ES"/>
        </w:rPr>
      </w:pPr>
      <w:r w:rsidRPr="002474B1">
        <w:rPr>
          <w:b/>
          <w:bCs/>
          <w:sz w:val="28"/>
          <w:szCs w:val="28"/>
          <w:lang w:val="es-PE" w:eastAsia="es-ES"/>
        </w:rPr>
        <w:t xml:space="preserve">Diagnóstico de la vigilancia, </w:t>
      </w:r>
      <w:bookmarkStart w:id="3" w:name="_Hlk95923513"/>
      <w:r w:rsidRPr="002474B1">
        <w:rPr>
          <w:b/>
          <w:bCs/>
          <w:sz w:val="28"/>
          <w:szCs w:val="28"/>
          <w:lang w:val="es-PE" w:eastAsia="es-ES"/>
        </w:rPr>
        <w:t xml:space="preserve">prevención </w:t>
      </w:r>
      <w:bookmarkEnd w:id="3"/>
      <w:r w:rsidRPr="002474B1">
        <w:rPr>
          <w:b/>
          <w:bCs/>
          <w:sz w:val="28"/>
          <w:szCs w:val="28"/>
          <w:lang w:val="es-PE" w:eastAsia="es-ES"/>
        </w:rPr>
        <w:t>y control de la COVID-19 en el trabajo minero peruano</w:t>
      </w:r>
    </w:p>
    <w:p w14:paraId="786FE995" w14:textId="77777777" w:rsidR="002474B1" w:rsidRPr="002474B1" w:rsidRDefault="002474B1" w:rsidP="002474B1">
      <w:pPr>
        <w:spacing w:line="360" w:lineRule="auto"/>
        <w:jc w:val="center"/>
        <w:rPr>
          <w:bCs/>
          <w:sz w:val="28"/>
          <w:szCs w:val="28"/>
          <w:lang w:val="en-US" w:eastAsia="es-ES"/>
        </w:rPr>
      </w:pPr>
      <w:r w:rsidRPr="002474B1">
        <w:rPr>
          <w:bCs/>
          <w:sz w:val="28"/>
          <w:szCs w:val="28"/>
          <w:lang w:val="en-US" w:eastAsia="es-ES"/>
        </w:rPr>
        <w:t>Diagnosis of surveillance, prevention, and control of COVID-19 in Peruvian mining work</w:t>
      </w:r>
      <w:bookmarkEnd w:id="0"/>
    </w:p>
    <w:bookmarkEnd w:id="1"/>
    <w:p w14:paraId="786103F8" w14:textId="77777777" w:rsidR="002474B1" w:rsidRPr="002474B1" w:rsidRDefault="002474B1" w:rsidP="002474B1">
      <w:pPr>
        <w:spacing w:line="360" w:lineRule="auto"/>
        <w:rPr>
          <w:b/>
          <w:bCs/>
          <w:lang w:val="en-US" w:eastAsia="es-ES"/>
        </w:rPr>
      </w:pPr>
    </w:p>
    <w:p w14:paraId="3CE23143" w14:textId="77777777" w:rsidR="002474B1" w:rsidRPr="002474B1" w:rsidRDefault="002474B1" w:rsidP="002474B1">
      <w:pPr>
        <w:spacing w:line="360" w:lineRule="auto"/>
        <w:rPr>
          <w:lang w:val="es-CU" w:eastAsia="es-ES"/>
        </w:rPr>
      </w:pPr>
      <w:r w:rsidRPr="002474B1">
        <w:rPr>
          <w:lang w:val="es-CU" w:eastAsia="es-ES"/>
        </w:rPr>
        <w:t xml:space="preserve">Miguel </w:t>
      </w:r>
      <w:proofErr w:type="spellStart"/>
      <w:r w:rsidRPr="002474B1">
        <w:rPr>
          <w:lang w:val="es-CU" w:eastAsia="es-ES"/>
        </w:rPr>
        <w:t>Angel</w:t>
      </w:r>
      <w:proofErr w:type="spellEnd"/>
      <w:r w:rsidRPr="002474B1">
        <w:rPr>
          <w:lang w:val="es-CU" w:eastAsia="es-ES"/>
        </w:rPr>
        <w:t xml:space="preserve"> Burgos-</w:t>
      </w:r>
      <w:proofErr w:type="spellStart"/>
      <w:r w:rsidRPr="002474B1">
        <w:rPr>
          <w:lang w:val="es-CU" w:eastAsia="es-ES"/>
        </w:rPr>
        <w:t>Flores</w:t>
      </w:r>
      <w:r w:rsidRPr="002474B1">
        <w:rPr>
          <w:vertAlign w:val="superscript"/>
          <w:lang w:val="es-CU" w:eastAsia="es-ES"/>
        </w:rPr>
        <w:t>1</w:t>
      </w:r>
      <w:proofErr w:type="spellEnd"/>
      <w:r w:rsidRPr="002474B1">
        <w:rPr>
          <w:lang w:val="es-CU" w:eastAsia="es-ES"/>
        </w:rPr>
        <w:t xml:space="preserve">* </w:t>
      </w:r>
      <w:hyperlink r:id="rId7" w:history="1">
        <w:r w:rsidRPr="002474B1">
          <w:rPr>
            <w:color w:val="0563C1"/>
            <w:u w:val="single"/>
            <w:lang w:val="es-CU" w:eastAsia="es-ES"/>
          </w:rPr>
          <w:t>https://orcid.org/0000-0002-6156-2176</w:t>
        </w:r>
      </w:hyperlink>
      <w:r w:rsidRPr="002474B1">
        <w:rPr>
          <w:lang w:val="es-CU" w:eastAsia="es-ES"/>
        </w:rPr>
        <w:t xml:space="preserve"> </w:t>
      </w:r>
    </w:p>
    <w:p w14:paraId="4C88AE08" w14:textId="77777777" w:rsidR="002474B1" w:rsidRPr="002474B1" w:rsidRDefault="002474B1" w:rsidP="002474B1">
      <w:pPr>
        <w:spacing w:line="360" w:lineRule="auto"/>
        <w:rPr>
          <w:lang w:val="es-CU" w:eastAsia="es-ES"/>
        </w:rPr>
      </w:pPr>
      <w:r w:rsidRPr="002474B1">
        <w:rPr>
          <w:lang w:val="es-CU" w:eastAsia="es-ES"/>
        </w:rPr>
        <w:t>Luis Ormeño-</w:t>
      </w:r>
      <w:proofErr w:type="spellStart"/>
      <w:r w:rsidRPr="002474B1">
        <w:rPr>
          <w:lang w:val="es-CU" w:eastAsia="es-ES"/>
        </w:rPr>
        <w:t>Delgado</w:t>
      </w:r>
      <w:r w:rsidRPr="002474B1">
        <w:rPr>
          <w:vertAlign w:val="superscript"/>
          <w:lang w:val="es-CU" w:eastAsia="es-ES"/>
        </w:rPr>
        <w:t>1</w:t>
      </w:r>
      <w:proofErr w:type="spellEnd"/>
      <w:r w:rsidRPr="002474B1">
        <w:rPr>
          <w:lang w:val="es-CU" w:eastAsia="es-ES"/>
        </w:rPr>
        <w:t xml:space="preserve"> </w:t>
      </w:r>
      <w:hyperlink r:id="rId8" w:history="1">
        <w:r w:rsidRPr="002474B1">
          <w:rPr>
            <w:color w:val="0563C1"/>
            <w:u w:val="single"/>
            <w:lang w:val="es-CU" w:eastAsia="es-ES"/>
          </w:rPr>
          <w:t>https://orcid.org/0000-0001-5337-5285</w:t>
        </w:r>
      </w:hyperlink>
      <w:r w:rsidRPr="002474B1">
        <w:rPr>
          <w:lang w:val="es-CU" w:eastAsia="es-ES"/>
        </w:rPr>
        <w:t xml:space="preserve"> </w:t>
      </w:r>
    </w:p>
    <w:p w14:paraId="328948D1" w14:textId="4AE55832" w:rsidR="002474B1" w:rsidRPr="002474B1" w:rsidRDefault="002474B1" w:rsidP="002474B1">
      <w:pPr>
        <w:spacing w:line="360" w:lineRule="auto"/>
        <w:rPr>
          <w:lang w:val="es-CU" w:eastAsia="es-ES"/>
        </w:rPr>
      </w:pPr>
      <w:r w:rsidRPr="002474B1">
        <w:rPr>
          <w:lang w:val="es-CU" w:eastAsia="es-ES"/>
        </w:rPr>
        <w:t>Susy Fanny Núñez-</w:t>
      </w:r>
      <w:proofErr w:type="spellStart"/>
      <w:r w:rsidRPr="002474B1">
        <w:rPr>
          <w:lang w:val="es-CU" w:eastAsia="es-ES"/>
        </w:rPr>
        <w:t>Zapata</w:t>
      </w:r>
      <w:r w:rsidRPr="002474B1">
        <w:rPr>
          <w:vertAlign w:val="superscript"/>
          <w:lang w:val="es-CU" w:eastAsia="es-ES"/>
        </w:rPr>
        <w:t>1</w:t>
      </w:r>
      <w:proofErr w:type="spellEnd"/>
      <w:r w:rsidRPr="002474B1">
        <w:rPr>
          <w:lang w:val="es-CU" w:eastAsia="es-ES"/>
        </w:rPr>
        <w:t xml:space="preserve"> </w:t>
      </w:r>
      <w:hyperlink r:id="rId9" w:history="1">
        <w:r w:rsidR="00E73D6D" w:rsidRPr="00B8678D">
          <w:rPr>
            <w:rStyle w:val="Hipervnculo"/>
            <w:color w:val="0070C0"/>
          </w:rPr>
          <w:t>https://orcid.org/0000-0002-1239-6802</w:t>
        </w:r>
      </w:hyperlink>
      <w:r w:rsidR="00E73D6D">
        <w:t xml:space="preserve"> </w:t>
      </w:r>
      <w:r w:rsidRPr="002474B1">
        <w:rPr>
          <w:lang w:val="es-CU" w:eastAsia="es-ES"/>
        </w:rPr>
        <w:t xml:space="preserve"> </w:t>
      </w:r>
    </w:p>
    <w:p w14:paraId="57BB4095" w14:textId="77777777" w:rsidR="002474B1" w:rsidRPr="002474B1" w:rsidRDefault="002474B1" w:rsidP="002474B1">
      <w:pPr>
        <w:spacing w:line="360" w:lineRule="auto"/>
        <w:rPr>
          <w:lang w:val="es-CU" w:eastAsia="es-ES"/>
        </w:rPr>
      </w:pPr>
      <w:r w:rsidRPr="002474B1">
        <w:rPr>
          <w:lang w:val="es-CU" w:eastAsia="es-ES"/>
        </w:rPr>
        <w:t xml:space="preserve">Kevin Jesús </w:t>
      </w:r>
      <w:proofErr w:type="spellStart"/>
      <w:r w:rsidRPr="002474B1">
        <w:rPr>
          <w:lang w:val="es-CU" w:eastAsia="es-ES"/>
        </w:rPr>
        <w:t>Mayma-Aguirre</w:t>
      </w:r>
      <w:r w:rsidRPr="002474B1">
        <w:rPr>
          <w:vertAlign w:val="superscript"/>
          <w:lang w:val="es-CU" w:eastAsia="es-ES"/>
        </w:rPr>
        <w:t>1</w:t>
      </w:r>
      <w:proofErr w:type="spellEnd"/>
      <w:r w:rsidRPr="002474B1">
        <w:rPr>
          <w:lang w:val="es-CU" w:eastAsia="es-ES"/>
        </w:rPr>
        <w:t xml:space="preserve"> </w:t>
      </w:r>
      <w:hyperlink r:id="rId10" w:history="1">
        <w:r w:rsidRPr="002474B1">
          <w:rPr>
            <w:color w:val="0563C1"/>
            <w:u w:val="single"/>
            <w:lang w:val="es-CU" w:eastAsia="es-ES"/>
          </w:rPr>
          <w:t>https://orcid.org/0000-0003-3855-4394</w:t>
        </w:r>
      </w:hyperlink>
      <w:r w:rsidRPr="002474B1">
        <w:rPr>
          <w:lang w:val="es-CU" w:eastAsia="es-ES"/>
        </w:rPr>
        <w:t xml:space="preserve"> </w:t>
      </w:r>
    </w:p>
    <w:p w14:paraId="45A978FB" w14:textId="77777777" w:rsidR="002474B1" w:rsidRPr="002474B1" w:rsidRDefault="002474B1" w:rsidP="002474B1">
      <w:pPr>
        <w:spacing w:line="360" w:lineRule="auto"/>
        <w:rPr>
          <w:lang w:val="es-CU" w:eastAsia="es-ES"/>
        </w:rPr>
      </w:pPr>
      <w:r w:rsidRPr="002474B1">
        <w:rPr>
          <w:lang w:val="es-CU" w:eastAsia="es-ES"/>
        </w:rPr>
        <w:t>Katherine Silvia Yauri-</w:t>
      </w:r>
      <w:proofErr w:type="spellStart"/>
      <w:r w:rsidRPr="002474B1">
        <w:rPr>
          <w:lang w:val="es-CU" w:eastAsia="es-ES"/>
        </w:rPr>
        <w:t>Condor</w:t>
      </w:r>
      <w:r w:rsidRPr="002474B1">
        <w:rPr>
          <w:vertAlign w:val="superscript"/>
          <w:lang w:val="es-CU" w:eastAsia="es-ES"/>
        </w:rPr>
        <w:t>1</w:t>
      </w:r>
      <w:proofErr w:type="spellEnd"/>
      <w:r w:rsidRPr="002474B1">
        <w:rPr>
          <w:lang w:val="es-CU" w:eastAsia="es-ES"/>
        </w:rPr>
        <w:t xml:space="preserve"> </w:t>
      </w:r>
      <w:hyperlink r:id="rId11" w:history="1">
        <w:r w:rsidRPr="002474B1">
          <w:rPr>
            <w:color w:val="0563C1"/>
            <w:u w:val="single"/>
            <w:lang w:val="es-CU" w:eastAsia="es-ES"/>
          </w:rPr>
          <w:t>https://orcid.org/0000-0003-2340-430X</w:t>
        </w:r>
      </w:hyperlink>
      <w:r w:rsidRPr="002474B1">
        <w:rPr>
          <w:lang w:val="es-CU" w:eastAsia="es-ES"/>
        </w:rPr>
        <w:t xml:space="preserve"> </w:t>
      </w:r>
    </w:p>
    <w:p w14:paraId="119321C2" w14:textId="77777777" w:rsidR="002474B1" w:rsidRPr="002474B1" w:rsidRDefault="002474B1" w:rsidP="002474B1">
      <w:pPr>
        <w:spacing w:line="360" w:lineRule="auto"/>
        <w:rPr>
          <w:lang w:val="es-CU" w:eastAsia="es-ES"/>
        </w:rPr>
      </w:pPr>
      <w:r w:rsidRPr="002474B1">
        <w:rPr>
          <w:lang w:val="es-CU" w:eastAsia="es-ES"/>
        </w:rPr>
        <w:t xml:space="preserve">Guido </w:t>
      </w:r>
      <w:proofErr w:type="spellStart"/>
      <w:r w:rsidRPr="002474B1">
        <w:rPr>
          <w:lang w:val="es-CU" w:eastAsia="es-ES"/>
        </w:rPr>
        <w:t>Bendezu-Quispe</w:t>
      </w:r>
      <w:r w:rsidRPr="002474B1">
        <w:rPr>
          <w:vertAlign w:val="superscript"/>
          <w:lang w:val="es-CU" w:eastAsia="es-ES"/>
        </w:rPr>
        <w:t>1</w:t>
      </w:r>
      <w:proofErr w:type="spellEnd"/>
      <w:r w:rsidRPr="002474B1">
        <w:rPr>
          <w:lang w:val="es-CU" w:eastAsia="es-ES"/>
        </w:rPr>
        <w:t xml:space="preserve"> </w:t>
      </w:r>
      <w:hyperlink r:id="rId12" w:history="1">
        <w:r w:rsidRPr="002474B1">
          <w:rPr>
            <w:color w:val="0563C1"/>
            <w:u w:val="single"/>
            <w:lang w:val="es-CU" w:eastAsia="es-ES"/>
          </w:rPr>
          <w:t>https://orcid.org/0000-0002-5140-0843</w:t>
        </w:r>
      </w:hyperlink>
      <w:r w:rsidRPr="002474B1">
        <w:rPr>
          <w:lang w:val="es-CU" w:eastAsia="es-ES"/>
        </w:rPr>
        <w:t xml:space="preserve"> </w:t>
      </w:r>
    </w:p>
    <w:p w14:paraId="5482CA85" w14:textId="69292650" w:rsidR="002474B1" w:rsidRPr="00B8678D" w:rsidRDefault="002474B1" w:rsidP="002474B1">
      <w:pPr>
        <w:spacing w:line="360" w:lineRule="auto"/>
        <w:rPr>
          <w:u w:val="single"/>
          <w:lang w:val="es-CU" w:eastAsia="es-ES"/>
        </w:rPr>
      </w:pPr>
      <w:r w:rsidRPr="002474B1">
        <w:rPr>
          <w:lang w:val="es-CU" w:eastAsia="es-ES"/>
        </w:rPr>
        <w:t xml:space="preserve">Sergio </w:t>
      </w:r>
      <w:proofErr w:type="spellStart"/>
      <w:r w:rsidRPr="002474B1">
        <w:rPr>
          <w:lang w:val="es-CU" w:eastAsia="es-ES"/>
        </w:rPr>
        <w:t>Mucching-Toscano</w:t>
      </w:r>
      <w:r w:rsidRPr="002474B1">
        <w:rPr>
          <w:vertAlign w:val="superscript"/>
          <w:lang w:val="es-CU" w:eastAsia="es-ES"/>
        </w:rPr>
        <w:t>1</w:t>
      </w:r>
      <w:proofErr w:type="spellEnd"/>
      <w:r w:rsidRPr="002474B1">
        <w:rPr>
          <w:lang w:val="es-CU" w:eastAsia="es-ES"/>
        </w:rPr>
        <w:t xml:space="preserve"> </w:t>
      </w:r>
      <w:r w:rsidR="00E73D6D" w:rsidRPr="00B8678D">
        <w:rPr>
          <w:color w:val="0070C0"/>
        </w:rPr>
        <w:fldChar w:fldCharType="begin"/>
      </w:r>
      <w:r w:rsidR="00E73D6D" w:rsidRPr="00B8678D">
        <w:rPr>
          <w:color w:val="0070C0"/>
        </w:rPr>
        <w:instrText xml:space="preserve"> HYPERLINK "</w:instrText>
      </w:r>
      <w:r w:rsidR="00E73D6D" w:rsidRPr="00B8678D">
        <w:rPr>
          <w:color w:val="0070C0"/>
        </w:rPr>
        <w:instrText>https://orcid.org/0000-0003-0082-3077</w:instrText>
      </w:r>
      <w:r w:rsidR="00E73D6D" w:rsidRPr="00B8678D">
        <w:rPr>
          <w:color w:val="0070C0"/>
        </w:rPr>
        <w:instrText xml:space="preserve">" </w:instrText>
      </w:r>
      <w:r w:rsidR="00E73D6D" w:rsidRPr="00B8678D">
        <w:rPr>
          <w:color w:val="0070C0"/>
        </w:rPr>
        <w:fldChar w:fldCharType="separate"/>
      </w:r>
      <w:r w:rsidR="00E73D6D" w:rsidRPr="00B8678D">
        <w:rPr>
          <w:rStyle w:val="Hipervnculo"/>
          <w:color w:val="0070C0"/>
        </w:rPr>
        <w:t>https://orcid.org/0000-0003-0082-3077</w:t>
      </w:r>
      <w:r w:rsidR="00E73D6D" w:rsidRPr="00B8678D">
        <w:rPr>
          <w:color w:val="0070C0"/>
        </w:rPr>
        <w:fldChar w:fldCharType="end"/>
      </w:r>
      <w:r w:rsidR="00E73D6D">
        <w:t xml:space="preserve"> </w:t>
      </w:r>
      <w:r w:rsidRPr="002474B1">
        <w:rPr>
          <w:lang w:val="es-CU" w:eastAsia="es-ES"/>
        </w:rPr>
        <w:t xml:space="preserve"> </w:t>
      </w:r>
    </w:p>
    <w:p w14:paraId="38A02F40" w14:textId="77777777" w:rsidR="002474B1" w:rsidRPr="002474B1" w:rsidRDefault="002474B1" w:rsidP="002474B1">
      <w:pPr>
        <w:spacing w:line="360" w:lineRule="auto"/>
        <w:rPr>
          <w:lang w:val="en-US" w:eastAsia="es-ES"/>
        </w:rPr>
      </w:pPr>
      <w:r w:rsidRPr="002474B1">
        <w:rPr>
          <w:lang w:val="en-US" w:eastAsia="es-ES"/>
        </w:rPr>
        <w:t>Jaime Rosales-</w:t>
      </w:r>
      <w:proofErr w:type="spellStart"/>
      <w:r w:rsidRPr="002474B1">
        <w:rPr>
          <w:lang w:val="en-US" w:eastAsia="es-ES"/>
        </w:rPr>
        <w:t>Rimache</w:t>
      </w:r>
      <w:r w:rsidRPr="002474B1">
        <w:rPr>
          <w:vertAlign w:val="superscript"/>
          <w:lang w:val="en-US" w:eastAsia="es-ES"/>
        </w:rPr>
        <w:t>1</w:t>
      </w:r>
      <w:proofErr w:type="spellEnd"/>
      <w:r w:rsidRPr="002474B1">
        <w:rPr>
          <w:lang w:val="en-US" w:eastAsia="es-ES"/>
        </w:rPr>
        <w:t xml:space="preserve"> </w:t>
      </w:r>
      <w:hyperlink r:id="rId13" w:history="1">
        <w:r w:rsidRPr="002474B1">
          <w:rPr>
            <w:color w:val="0563C1"/>
            <w:u w:val="single"/>
            <w:lang w:val="en-US" w:eastAsia="es-ES"/>
          </w:rPr>
          <w:t>https://orcid.org/0000-0002-1665-2332</w:t>
        </w:r>
      </w:hyperlink>
      <w:r w:rsidRPr="002474B1">
        <w:rPr>
          <w:lang w:val="en-US" w:eastAsia="es-ES"/>
        </w:rPr>
        <w:t xml:space="preserve"> </w:t>
      </w:r>
    </w:p>
    <w:p w14:paraId="74418968" w14:textId="77777777" w:rsidR="002474B1" w:rsidRPr="002474B1" w:rsidRDefault="002474B1" w:rsidP="002474B1">
      <w:pPr>
        <w:spacing w:line="360" w:lineRule="auto"/>
        <w:rPr>
          <w:lang w:val="en-US" w:eastAsia="es-ES"/>
        </w:rPr>
      </w:pPr>
    </w:p>
    <w:p w14:paraId="11414ED9" w14:textId="77777777" w:rsidR="002474B1" w:rsidRPr="002474B1" w:rsidRDefault="002474B1" w:rsidP="002474B1">
      <w:pPr>
        <w:spacing w:line="360" w:lineRule="auto"/>
        <w:rPr>
          <w:lang w:val="en-US" w:eastAsia="es-ES"/>
        </w:rPr>
      </w:pPr>
    </w:p>
    <w:p w14:paraId="117A9C3F" w14:textId="77777777" w:rsidR="002474B1" w:rsidRPr="002474B1" w:rsidRDefault="002474B1" w:rsidP="002474B1">
      <w:pPr>
        <w:spacing w:line="360" w:lineRule="auto"/>
        <w:rPr>
          <w:lang w:val="es-CU" w:eastAsia="es-ES"/>
        </w:rPr>
      </w:pPr>
      <w:proofErr w:type="spellStart"/>
      <w:r w:rsidRPr="002474B1">
        <w:rPr>
          <w:vertAlign w:val="superscript"/>
          <w:lang w:val="es-CU" w:eastAsia="es-ES"/>
        </w:rPr>
        <w:t>1</w:t>
      </w:r>
      <w:r w:rsidRPr="002474B1">
        <w:rPr>
          <w:lang w:val="es-CU" w:eastAsia="es-ES"/>
        </w:rPr>
        <w:t>Instituto</w:t>
      </w:r>
      <w:proofErr w:type="spellEnd"/>
      <w:r w:rsidRPr="002474B1">
        <w:rPr>
          <w:lang w:val="es-CU" w:eastAsia="es-ES"/>
        </w:rPr>
        <w:t xml:space="preserve"> Nacional de Salud. Centro Nacional de Salud Ocupacional y Protección del Ambiente para la Salud (</w:t>
      </w:r>
      <w:proofErr w:type="spellStart"/>
      <w:r w:rsidRPr="002474B1">
        <w:rPr>
          <w:lang w:val="es-CU" w:eastAsia="es-ES"/>
        </w:rPr>
        <w:t>CENSOPAS</w:t>
      </w:r>
      <w:proofErr w:type="spellEnd"/>
      <w:r w:rsidRPr="002474B1">
        <w:rPr>
          <w:lang w:val="es-CU" w:eastAsia="es-ES"/>
        </w:rPr>
        <w:t>). Lima, Perú.</w:t>
      </w:r>
    </w:p>
    <w:p w14:paraId="27C8E651" w14:textId="77777777" w:rsidR="002474B1" w:rsidRPr="002474B1" w:rsidRDefault="002474B1" w:rsidP="002474B1">
      <w:pPr>
        <w:spacing w:line="360" w:lineRule="auto"/>
        <w:rPr>
          <w:lang w:val="es-CU" w:eastAsia="es-ES"/>
        </w:rPr>
      </w:pPr>
    </w:p>
    <w:p w14:paraId="61388B90" w14:textId="77777777" w:rsidR="002474B1" w:rsidRPr="002474B1" w:rsidRDefault="002474B1" w:rsidP="002474B1">
      <w:pPr>
        <w:spacing w:line="360" w:lineRule="auto"/>
        <w:rPr>
          <w:lang w:val="es-CU" w:eastAsia="es-ES"/>
        </w:rPr>
      </w:pPr>
      <w:r w:rsidRPr="002474B1">
        <w:rPr>
          <w:lang w:val="es-CU" w:eastAsia="es-ES"/>
        </w:rPr>
        <w:t xml:space="preserve">*Autor para la correspondencia. Correo electrónico: </w:t>
      </w:r>
      <w:hyperlink r:id="rId14" w:history="1">
        <w:r w:rsidRPr="002474B1">
          <w:rPr>
            <w:color w:val="0563C1"/>
            <w:u w:val="single"/>
            <w:lang w:val="es-CU" w:eastAsia="es-ES"/>
          </w:rPr>
          <w:t>mabf77@gmail.com</w:t>
        </w:r>
      </w:hyperlink>
      <w:r w:rsidRPr="002474B1">
        <w:rPr>
          <w:lang w:val="es-CU" w:eastAsia="es-ES"/>
        </w:rPr>
        <w:t xml:space="preserve">; </w:t>
      </w:r>
      <w:hyperlink r:id="rId15" w:history="1">
        <w:r w:rsidRPr="002474B1">
          <w:rPr>
            <w:color w:val="0563C1"/>
            <w:u w:val="single"/>
            <w:lang w:val="es-CU" w:eastAsia="es-ES"/>
          </w:rPr>
          <w:t>mburgos@ins.gob.pe</w:t>
        </w:r>
      </w:hyperlink>
      <w:r w:rsidRPr="002474B1">
        <w:rPr>
          <w:lang w:val="es-CU" w:eastAsia="es-ES"/>
        </w:rPr>
        <w:t xml:space="preserve"> </w:t>
      </w:r>
    </w:p>
    <w:p w14:paraId="514F00DB" w14:textId="77777777" w:rsidR="002474B1" w:rsidRPr="002474B1" w:rsidRDefault="002474B1" w:rsidP="002474B1">
      <w:pPr>
        <w:spacing w:line="360" w:lineRule="auto"/>
        <w:rPr>
          <w:lang w:val="es-CU" w:eastAsia="es-ES"/>
        </w:rPr>
      </w:pPr>
    </w:p>
    <w:p w14:paraId="5EE0C0D3" w14:textId="77777777" w:rsidR="002474B1" w:rsidRPr="002474B1" w:rsidRDefault="002474B1" w:rsidP="002474B1">
      <w:pPr>
        <w:spacing w:line="360" w:lineRule="auto"/>
        <w:rPr>
          <w:b/>
          <w:lang w:val="es-PE" w:eastAsia="es-ES"/>
        </w:rPr>
      </w:pPr>
      <w:r w:rsidRPr="002474B1">
        <w:rPr>
          <w:b/>
          <w:lang w:val="es-PE" w:eastAsia="es-ES"/>
        </w:rPr>
        <w:t>RESUMEN</w:t>
      </w:r>
    </w:p>
    <w:p w14:paraId="6F5254BD" w14:textId="77777777" w:rsidR="002474B1" w:rsidRPr="002474B1" w:rsidRDefault="002474B1" w:rsidP="002474B1">
      <w:pPr>
        <w:spacing w:line="360" w:lineRule="auto"/>
        <w:jc w:val="both"/>
        <w:rPr>
          <w:lang w:val="es-PE" w:eastAsia="es-ES"/>
        </w:rPr>
      </w:pPr>
      <w:r w:rsidRPr="002474B1">
        <w:rPr>
          <w:b/>
          <w:bCs/>
          <w:lang w:val="es-PE" w:eastAsia="es-ES"/>
        </w:rPr>
        <w:t>Introducción:</w:t>
      </w:r>
      <w:r w:rsidRPr="002474B1">
        <w:rPr>
          <w:lang w:val="es-PE" w:eastAsia="es-ES"/>
        </w:rPr>
        <w:t xml:space="preserve"> En Perú, las empresas mineras debían registrar e implementar el plan para la vigilancia, prevención y control de la COVID-19 en el trabajo (requerido por el Ministerio de Salud), previo al reinicio de actividades suspendidas debido a la pandemia. </w:t>
      </w:r>
    </w:p>
    <w:p w14:paraId="4489BAB1" w14:textId="77777777" w:rsidR="002474B1" w:rsidRPr="002474B1" w:rsidRDefault="002474B1" w:rsidP="002474B1">
      <w:pPr>
        <w:spacing w:line="360" w:lineRule="auto"/>
        <w:jc w:val="both"/>
        <w:rPr>
          <w:lang w:val="es-PE" w:eastAsia="es-ES"/>
        </w:rPr>
      </w:pPr>
      <w:r w:rsidRPr="002474B1">
        <w:rPr>
          <w:b/>
          <w:bCs/>
          <w:lang w:val="es-PE" w:eastAsia="es-ES"/>
        </w:rPr>
        <w:t>Objetivo:</w:t>
      </w:r>
      <w:r w:rsidRPr="002474B1">
        <w:rPr>
          <w:lang w:val="es-PE" w:eastAsia="es-ES"/>
        </w:rPr>
        <w:t xml:space="preserve"> Describir el estado situacional de los planes para la vigilancia, prevención y control de la COVID-19 en el trabajo del sector minero (</w:t>
      </w:r>
      <w:proofErr w:type="spellStart"/>
      <w:r w:rsidRPr="002474B1">
        <w:rPr>
          <w:lang w:val="es-PE" w:eastAsia="es-ES"/>
        </w:rPr>
        <w:t>1</w:t>
      </w:r>
      <w:r w:rsidRPr="002474B1">
        <w:rPr>
          <w:vertAlign w:val="superscript"/>
          <w:lang w:val="es-PE" w:eastAsia="es-ES"/>
        </w:rPr>
        <w:t>ra</w:t>
      </w:r>
      <w:proofErr w:type="spellEnd"/>
      <w:r w:rsidRPr="002474B1">
        <w:rPr>
          <w:lang w:val="es-PE" w:eastAsia="es-ES"/>
        </w:rPr>
        <w:t xml:space="preserve"> y </w:t>
      </w:r>
      <w:proofErr w:type="spellStart"/>
      <w:r w:rsidRPr="002474B1">
        <w:rPr>
          <w:lang w:val="es-PE" w:eastAsia="es-ES"/>
        </w:rPr>
        <w:t>2</w:t>
      </w:r>
      <w:r w:rsidRPr="002474B1">
        <w:rPr>
          <w:vertAlign w:val="superscript"/>
          <w:lang w:val="es-PE" w:eastAsia="es-ES"/>
        </w:rPr>
        <w:t>da</w:t>
      </w:r>
      <w:proofErr w:type="spellEnd"/>
      <w:r w:rsidRPr="002474B1">
        <w:rPr>
          <w:lang w:val="es-PE" w:eastAsia="es-ES"/>
        </w:rPr>
        <w:t xml:space="preserve"> fase de reactivación económica, 2020).</w:t>
      </w:r>
    </w:p>
    <w:p w14:paraId="72CBDEA8" w14:textId="77777777" w:rsidR="002474B1" w:rsidRPr="002474B1" w:rsidRDefault="002474B1" w:rsidP="002474B1">
      <w:pPr>
        <w:spacing w:line="360" w:lineRule="auto"/>
        <w:jc w:val="both"/>
        <w:rPr>
          <w:lang w:val="es-PE" w:eastAsia="es-ES"/>
        </w:rPr>
      </w:pPr>
      <w:r w:rsidRPr="002474B1">
        <w:rPr>
          <w:b/>
          <w:bCs/>
          <w:lang w:val="es-PE" w:eastAsia="es-ES"/>
        </w:rPr>
        <w:lastRenderedPageBreak/>
        <w:t>Métodos:</w:t>
      </w:r>
      <w:r w:rsidRPr="002474B1">
        <w:rPr>
          <w:lang w:val="es-PE" w:eastAsia="es-ES"/>
        </w:rPr>
        <w:t xml:space="preserve"> Se realizó un estudio transversal de la base de datos del sistema </w:t>
      </w:r>
      <w:proofErr w:type="spellStart"/>
      <w:r w:rsidRPr="002474B1">
        <w:rPr>
          <w:lang w:val="es-PE" w:eastAsia="es-ES"/>
        </w:rPr>
        <w:t>SISCOVID</w:t>
      </w:r>
      <w:proofErr w:type="spellEnd"/>
      <w:r w:rsidRPr="002474B1">
        <w:rPr>
          <w:lang w:val="es-PE" w:eastAsia="es-ES"/>
        </w:rPr>
        <w:t>-Empresas. Se reportaron frecuencias y proporciones de las características de los planes (región de procedencia, número de trabajadores, número de profesionales de salud, existencia de comité o supervisor de seguridad y salud en el trabajo, estado de registro y reporte de presupuesto) según el número de trabajadores de la empresa.</w:t>
      </w:r>
    </w:p>
    <w:p w14:paraId="1229C261" w14:textId="77777777" w:rsidR="002474B1" w:rsidRPr="002474B1" w:rsidRDefault="002474B1" w:rsidP="002474B1">
      <w:pPr>
        <w:spacing w:line="360" w:lineRule="auto"/>
        <w:jc w:val="both"/>
        <w:rPr>
          <w:lang w:val="es-PE" w:eastAsia="es-ES"/>
        </w:rPr>
      </w:pPr>
      <w:r w:rsidRPr="002474B1">
        <w:rPr>
          <w:b/>
          <w:bCs/>
          <w:lang w:val="es-PE" w:eastAsia="es-ES"/>
        </w:rPr>
        <w:t>Resultados:</w:t>
      </w:r>
      <w:r w:rsidRPr="002474B1">
        <w:rPr>
          <w:lang w:val="es-PE" w:eastAsia="es-ES"/>
        </w:rPr>
        <w:t xml:space="preserve"> Se revisaron 2 236 registros de planes. El 6,2 % indica no contar con supervisor o comité de seguridad y salud en el trabajo y el 71,5 % no cuenta con profesional de la salud. El 81,2 % de las empresas con más de 500 trabajadores contaban con profesionales de medicina y enfermería. El 89,2 % de las empresas con 1 a 20 trabajadores no contaban con profesionales de la salud.</w:t>
      </w:r>
    </w:p>
    <w:p w14:paraId="6712B3B7" w14:textId="77777777" w:rsidR="002474B1" w:rsidRPr="002474B1" w:rsidRDefault="002474B1" w:rsidP="002474B1">
      <w:pPr>
        <w:spacing w:line="360" w:lineRule="auto"/>
        <w:jc w:val="both"/>
        <w:rPr>
          <w:lang w:val="es-PE" w:eastAsia="es-ES"/>
        </w:rPr>
      </w:pPr>
      <w:r w:rsidRPr="002474B1">
        <w:rPr>
          <w:b/>
          <w:bCs/>
          <w:lang w:val="es-PE" w:eastAsia="es-ES"/>
        </w:rPr>
        <w:t>Conclusiones:</w:t>
      </w:r>
      <w:r w:rsidRPr="002474B1">
        <w:rPr>
          <w:lang w:val="es-PE" w:eastAsia="es-ES"/>
        </w:rPr>
        <w:t xml:space="preserve"> Tres de cada 4 empresas del sector minero incumplen lo requerido en el plan para la vigilancia, prevención y control de la COVID-19 en el trabajo. </w:t>
      </w:r>
    </w:p>
    <w:p w14:paraId="53856153" w14:textId="77777777" w:rsidR="002474B1" w:rsidRPr="002474B1" w:rsidRDefault="002474B1" w:rsidP="002474B1">
      <w:pPr>
        <w:spacing w:line="360" w:lineRule="auto"/>
        <w:rPr>
          <w:lang w:val="es-PE" w:eastAsia="es-ES"/>
        </w:rPr>
      </w:pPr>
      <w:r w:rsidRPr="002474B1">
        <w:rPr>
          <w:b/>
          <w:lang w:val="es-PE" w:eastAsia="es-ES"/>
        </w:rPr>
        <w:t>Palabras clave</w:t>
      </w:r>
      <w:r w:rsidRPr="002474B1">
        <w:rPr>
          <w:lang w:val="es-PE" w:eastAsia="es-ES"/>
        </w:rPr>
        <w:t>: minería; salud ocupacional; política de salud; COVID-19.</w:t>
      </w:r>
    </w:p>
    <w:p w14:paraId="3EF391EE" w14:textId="77777777" w:rsidR="002474B1" w:rsidRPr="002474B1" w:rsidRDefault="002474B1" w:rsidP="002474B1">
      <w:pPr>
        <w:spacing w:line="360" w:lineRule="auto"/>
        <w:rPr>
          <w:lang w:val="es-PE" w:eastAsia="es-ES"/>
        </w:rPr>
      </w:pPr>
    </w:p>
    <w:p w14:paraId="21323D11" w14:textId="77777777" w:rsidR="002474B1" w:rsidRPr="002474B1" w:rsidRDefault="002474B1" w:rsidP="002474B1">
      <w:pPr>
        <w:spacing w:line="360" w:lineRule="auto"/>
        <w:jc w:val="both"/>
        <w:rPr>
          <w:b/>
          <w:bCs/>
          <w:lang w:val="en-US" w:eastAsia="es-ES"/>
        </w:rPr>
      </w:pPr>
      <w:r w:rsidRPr="002474B1">
        <w:rPr>
          <w:b/>
          <w:bCs/>
          <w:lang w:val="en-US" w:eastAsia="es-ES"/>
        </w:rPr>
        <w:t>ABSTRACT</w:t>
      </w:r>
    </w:p>
    <w:p w14:paraId="1F5D7458" w14:textId="77777777" w:rsidR="002474B1" w:rsidRPr="002474B1" w:rsidRDefault="002474B1" w:rsidP="002474B1">
      <w:pPr>
        <w:spacing w:line="360" w:lineRule="auto"/>
        <w:jc w:val="both"/>
        <w:rPr>
          <w:lang w:val="en-US" w:eastAsia="es-ES"/>
        </w:rPr>
      </w:pPr>
      <w:r w:rsidRPr="002474B1">
        <w:rPr>
          <w:b/>
          <w:bCs/>
          <w:lang w:val="en-US" w:eastAsia="es-ES"/>
        </w:rPr>
        <w:t>Introduction:</w:t>
      </w:r>
      <w:r w:rsidRPr="002474B1">
        <w:rPr>
          <w:lang w:val="en-US" w:eastAsia="es-ES"/>
        </w:rPr>
        <w:t xml:space="preserve"> In Peru, mining companies had to register and implement the Plan for the surveillance, prevention, and control of COVID-19 at work (requested by the Ministry of Health), prior to restarting activities suspended due to the pandemic.</w:t>
      </w:r>
    </w:p>
    <w:p w14:paraId="5F450C2A" w14:textId="77777777" w:rsidR="002474B1" w:rsidRPr="002474B1" w:rsidRDefault="002474B1" w:rsidP="002474B1">
      <w:pPr>
        <w:spacing w:line="360" w:lineRule="auto"/>
        <w:jc w:val="both"/>
        <w:rPr>
          <w:lang w:val="en-US" w:eastAsia="es-ES"/>
        </w:rPr>
      </w:pPr>
      <w:r w:rsidRPr="002474B1">
        <w:rPr>
          <w:b/>
          <w:bCs/>
          <w:lang w:val="en-US" w:eastAsia="es-ES"/>
        </w:rPr>
        <w:t>Objective:</w:t>
      </w:r>
      <w:r w:rsidRPr="002474B1">
        <w:rPr>
          <w:lang w:val="en-US" w:eastAsia="es-ES"/>
        </w:rPr>
        <w:t xml:space="preserve"> To describe the situational status of the plans for the surveillance, prevention, and control of COVID-19 at work in the mining sector (1</w:t>
      </w:r>
      <w:r w:rsidRPr="002474B1">
        <w:rPr>
          <w:vertAlign w:val="superscript"/>
          <w:lang w:val="en-US" w:eastAsia="es-ES"/>
        </w:rPr>
        <w:t>st</w:t>
      </w:r>
      <w:r w:rsidRPr="002474B1">
        <w:rPr>
          <w:lang w:val="en-US" w:eastAsia="es-ES"/>
        </w:rPr>
        <w:t xml:space="preserve"> and 2</w:t>
      </w:r>
      <w:r w:rsidRPr="002474B1">
        <w:rPr>
          <w:vertAlign w:val="superscript"/>
          <w:lang w:val="en-US" w:eastAsia="es-ES"/>
        </w:rPr>
        <w:t>nd</w:t>
      </w:r>
      <w:r w:rsidRPr="002474B1">
        <w:rPr>
          <w:lang w:val="en-US" w:eastAsia="es-ES"/>
        </w:rPr>
        <w:t xml:space="preserve"> phases of economic reactivation, 2020).</w:t>
      </w:r>
    </w:p>
    <w:p w14:paraId="76F089EF" w14:textId="77777777" w:rsidR="002474B1" w:rsidRPr="002474B1" w:rsidRDefault="002474B1" w:rsidP="002474B1">
      <w:pPr>
        <w:spacing w:line="360" w:lineRule="auto"/>
        <w:jc w:val="both"/>
        <w:rPr>
          <w:lang w:val="en-US" w:eastAsia="es-ES"/>
        </w:rPr>
      </w:pPr>
      <w:r w:rsidRPr="002474B1">
        <w:rPr>
          <w:b/>
          <w:bCs/>
          <w:lang w:val="en-US" w:eastAsia="es-ES"/>
        </w:rPr>
        <w:t>Methods:</w:t>
      </w:r>
      <w:r w:rsidRPr="002474B1">
        <w:rPr>
          <w:lang w:val="en-US" w:eastAsia="es-ES"/>
        </w:rPr>
        <w:t xml:space="preserve"> A cross-sectional study was carried out of the database from the </w:t>
      </w:r>
      <w:proofErr w:type="spellStart"/>
      <w:r w:rsidRPr="002474B1">
        <w:rPr>
          <w:lang w:val="en-US" w:eastAsia="es-ES"/>
        </w:rPr>
        <w:t>SISCOVID</w:t>
      </w:r>
      <w:proofErr w:type="spellEnd"/>
      <w:r w:rsidRPr="002474B1">
        <w:rPr>
          <w:lang w:val="en-US" w:eastAsia="es-ES"/>
        </w:rPr>
        <w:t xml:space="preserve">- </w:t>
      </w:r>
      <w:proofErr w:type="spellStart"/>
      <w:r w:rsidRPr="002474B1">
        <w:rPr>
          <w:lang w:val="en-US" w:eastAsia="es-ES"/>
        </w:rPr>
        <w:t>Empresas</w:t>
      </w:r>
      <w:proofErr w:type="spellEnd"/>
      <w:r w:rsidRPr="002474B1">
        <w:rPr>
          <w:lang w:val="en-US" w:eastAsia="es-ES"/>
        </w:rPr>
        <w:t xml:space="preserve"> system. Frequencies and proportions of the characteristics of the plans were reported (region of origin, number of workers, number of health professionals, existence of an occupational health and safety committee or supervisor, status of registration and budget report) according to the number of company workers.</w:t>
      </w:r>
    </w:p>
    <w:p w14:paraId="04E89E7F" w14:textId="77777777" w:rsidR="002474B1" w:rsidRPr="002474B1" w:rsidRDefault="002474B1" w:rsidP="002474B1">
      <w:pPr>
        <w:spacing w:line="360" w:lineRule="auto"/>
        <w:jc w:val="both"/>
        <w:rPr>
          <w:lang w:val="en-US" w:eastAsia="es-ES"/>
        </w:rPr>
      </w:pPr>
      <w:r w:rsidRPr="002474B1">
        <w:rPr>
          <w:b/>
          <w:bCs/>
          <w:lang w:val="en-US" w:eastAsia="es-ES"/>
        </w:rPr>
        <w:t>Results:</w:t>
      </w:r>
      <w:r w:rsidRPr="002474B1">
        <w:rPr>
          <w:lang w:val="en-US" w:eastAsia="es-ES"/>
        </w:rPr>
        <w:t xml:space="preserve"> In total 2,236 plan records were reviewed. Of the total, 6.2% of the registered plans indicate that they do not have an occupational health and safety supervisor or committee, and 71.5% do not have a health professional. Furthermore, 81.2% of the companies with more than 500 workers had medicine and nursing professionals, and 89.2% of companies with 1 to 20 workers did not have health professionals.</w:t>
      </w:r>
    </w:p>
    <w:p w14:paraId="6B152D99" w14:textId="77777777" w:rsidR="002474B1" w:rsidRPr="002474B1" w:rsidRDefault="002474B1" w:rsidP="002474B1">
      <w:pPr>
        <w:spacing w:line="360" w:lineRule="auto"/>
        <w:jc w:val="both"/>
        <w:rPr>
          <w:lang w:val="en-US" w:eastAsia="es-ES"/>
        </w:rPr>
      </w:pPr>
      <w:r w:rsidRPr="002474B1">
        <w:rPr>
          <w:b/>
          <w:bCs/>
          <w:lang w:val="en-US" w:eastAsia="es-ES"/>
        </w:rPr>
        <w:lastRenderedPageBreak/>
        <w:t>Conclusions:</w:t>
      </w:r>
      <w:r w:rsidRPr="002474B1">
        <w:rPr>
          <w:lang w:val="en-US" w:eastAsia="es-ES"/>
        </w:rPr>
        <w:t xml:space="preserve"> Three out of 4 companies in the mining sector fail to comply with the requirements of the plan for the surveillance, prevention, and control of COVID-19 at work.</w:t>
      </w:r>
    </w:p>
    <w:p w14:paraId="26834104" w14:textId="77777777" w:rsidR="002474B1" w:rsidRPr="002474B1" w:rsidRDefault="002474B1" w:rsidP="002474B1">
      <w:pPr>
        <w:spacing w:line="360" w:lineRule="auto"/>
        <w:jc w:val="both"/>
        <w:rPr>
          <w:lang w:val="en-US" w:eastAsia="es-ES"/>
        </w:rPr>
      </w:pPr>
      <w:r w:rsidRPr="002474B1">
        <w:rPr>
          <w:b/>
          <w:bCs/>
          <w:lang w:val="en-US" w:eastAsia="es-ES"/>
        </w:rPr>
        <w:t>Keywords:</w:t>
      </w:r>
      <w:r w:rsidRPr="002474B1">
        <w:rPr>
          <w:lang w:val="en-US" w:eastAsia="es-ES"/>
        </w:rPr>
        <w:t xml:space="preserve"> mining; occupational health; health policy; COVID-19.</w:t>
      </w:r>
    </w:p>
    <w:p w14:paraId="146208CD" w14:textId="77777777" w:rsidR="002474B1" w:rsidRPr="002474B1" w:rsidRDefault="002474B1" w:rsidP="002474B1">
      <w:pPr>
        <w:spacing w:line="360" w:lineRule="auto"/>
        <w:jc w:val="both"/>
        <w:rPr>
          <w:lang w:val="en-US" w:eastAsia="es-ES"/>
        </w:rPr>
      </w:pPr>
    </w:p>
    <w:p w14:paraId="0FF86BDB" w14:textId="77777777" w:rsidR="002474B1" w:rsidRPr="002474B1" w:rsidRDefault="002474B1" w:rsidP="002474B1">
      <w:pPr>
        <w:spacing w:line="360" w:lineRule="auto"/>
        <w:jc w:val="both"/>
        <w:rPr>
          <w:lang w:val="en-US" w:eastAsia="es-ES"/>
        </w:rPr>
      </w:pPr>
    </w:p>
    <w:p w14:paraId="484E59B2" w14:textId="77777777" w:rsidR="002474B1" w:rsidRPr="002474B1" w:rsidRDefault="002474B1" w:rsidP="002474B1">
      <w:pPr>
        <w:spacing w:line="360" w:lineRule="auto"/>
        <w:jc w:val="both"/>
        <w:rPr>
          <w:lang w:val="es-ES" w:eastAsia="es-ES"/>
        </w:rPr>
      </w:pPr>
      <w:r w:rsidRPr="002474B1">
        <w:rPr>
          <w:lang w:val="es-ES" w:eastAsia="es-ES"/>
        </w:rPr>
        <w:t>Recibido: 22/07/2022</w:t>
      </w:r>
    </w:p>
    <w:p w14:paraId="00D3D0CB" w14:textId="77777777" w:rsidR="002474B1" w:rsidRPr="002474B1" w:rsidRDefault="002474B1" w:rsidP="002474B1">
      <w:pPr>
        <w:spacing w:line="360" w:lineRule="auto"/>
        <w:jc w:val="both"/>
        <w:rPr>
          <w:lang w:val="es-ES" w:eastAsia="es-ES"/>
        </w:rPr>
      </w:pPr>
      <w:r w:rsidRPr="002474B1">
        <w:rPr>
          <w:lang w:val="es-ES" w:eastAsia="es-ES"/>
        </w:rPr>
        <w:t>Aprobado: 18/11/2022</w:t>
      </w:r>
    </w:p>
    <w:p w14:paraId="58FDA807" w14:textId="77777777" w:rsidR="002474B1" w:rsidRPr="002474B1" w:rsidRDefault="002474B1" w:rsidP="002474B1">
      <w:pPr>
        <w:spacing w:line="360" w:lineRule="auto"/>
        <w:jc w:val="both"/>
        <w:rPr>
          <w:lang w:val="es-ES" w:eastAsia="es-ES"/>
        </w:rPr>
      </w:pPr>
    </w:p>
    <w:p w14:paraId="1623FBCC" w14:textId="77777777" w:rsidR="002474B1" w:rsidRPr="002474B1" w:rsidRDefault="002474B1" w:rsidP="002474B1">
      <w:pPr>
        <w:spacing w:line="360" w:lineRule="auto"/>
        <w:rPr>
          <w:b/>
          <w:lang w:val="es-PE" w:eastAsia="es-ES"/>
        </w:rPr>
      </w:pPr>
      <w:bookmarkStart w:id="4" w:name="_Hlk108532167"/>
      <w:bookmarkStart w:id="5" w:name="_Hlk108530942"/>
    </w:p>
    <w:p w14:paraId="7D7F8B96" w14:textId="77777777" w:rsidR="002474B1" w:rsidRPr="002474B1" w:rsidRDefault="002474B1" w:rsidP="002474B1">
      <w:pPr>
        <w:spacing w:line="360" w:lineRule="auto"/>
        <w:jc w:val="center"/>
        <w:rPr>
          <w:b/>
          <w:sz w:val="32"/>
          <w:szCs w:val="32"/>
          <w:lang w:val="es-PE" w:eastAsia="es-ES"/>
        </w:rPr>
      </w:pPr>
      <w:r w:rsidRPr="002474B1">
        <w:rPr>
          <w:b/>
          <w:sz w:val="32"/>
          <w:szCs w:val="32"/>
          <w:lang w:val="es-PE" w:eastAsia="es-ES"/>
        </w:rPr>
        <w:t>INTRODUCCIÓN</w:t>
      </w:r>
    </w:p>
    <w:p w14:paraId="211AE877" w14:textId="77777777" w:rsidR="002474B1" w:rsidRPr="002474B1" w:rsidRDefault="002474B1" w:rsidP="002474B1">
      <w:pPr>
        <w:spacing w:line="360" w:lineRule="auto"/>
        <w:jc w:val="both"/>
        <w:rPr>
          <w:lang w:val="es-PE" w:eastAsia="es-ES"/>
        </w:rPr>
      </w:pPr>
      <w:bookmarkStart w:id="6" w:name="_Hlk108531913"/>
      <w:bookmarkStart w:id="7" w:name="_Hlk108532078"/>
      <w:r w:rsidRPr="002474B1">
        <w:rPr>
          <w:lang w:val="es-PE" w:eastAsia="es-ES"/>
        </w:rPr>
        <w:t>El sector de energía y minas en el Perú aportó cerca del 14 % del producto bruto interno, previo a la pandemia por la COVID-19;</w:t>
      </w:r>
      <w:r w:rsidRPr="002474B1">
        <w:rPr>
          <w:vertAlign w:val="superscript"/>
          <w:lang w:val="es-PE" w:eastAsia="es-ES"/>
        </w:rPr>
        <w:t>(1)</w:t>
      </w:r>
      <w:r w:rsidRPr="002474B1">
        <w:rPr>
          <w:lang w:val="es-PE" w:eastAsia="es-ES"/>
        </w:rPr>
        <w:t xml:space="preserve"> fue una notable fuente de empleo en este </w:t>
      </w:r>
      <w:proofErr w:type="gramStart"/>
      <w:r w:rsidRPr="002474B1">
        <w:rPr>
          <w:lang w:val="es-PE" w:eastAsia="es-ES"/>
        </w:rPr>
        <w:t>país.</w:t>
      </w:r>
      <w:r w:rsidRPr="002474B1">
        <w:rPr>
          <w:vertAlign w:val="superscript"/>
          <w:lang w:val="es-PE" w:eastAsia="es-ES"/>
        </w:rPr>
        <w:t>(</w:t>
      </w:r>
      <w:proofErr w:type="gramEnd"/>
      <w:r w:rsidRPr="002474B1">
        <w:rPr>
          <w:vertAlign w:val="superscript"/>
          <w:lang w:val="es-PE" w:eastAsia="es-ES"/>
        </w:rPr>
        <w:t>2)</w:t>
      </w:r>
      <w:r w:rsidRPr="002474B1">
        <w:rPr>
          <w:lang w:val="es-PE" w:eastAsia="es-ES"/>
        </w:rPr>
        <w:t xml:space="preserve"> El trabajo y la economía en el mundo se vieron afectados por la pandemia de la COVID-19.</w:t>
      </w:r>
      <w:r w:rsidRPr="002474B1">
        <w:rPr>
          <w:vertAlign w:val="superscript"/>
          <w:lang w:val="es-PE" w:eastAsia="es-ES"/>
        </w:rPr>
        <w:t>(3)</w:t>
      </w:r>
      <w:r w:rsidRPr="002474B1">
        <w:rPr>
          <w:lang w:val="es-PE" w:eastAsia="es-ES"/>
        </w:rPr>
        <w:t xml:space="preserve"> En Latinoamérica se espera un proceso de recuperación económica hacia el año 2022, debido a las medidas implementadas para reducir la propagación de la COVID-19.</w:t>
      </w:r>
      <w:r w:rsidRPr="002474B1">
        <w:rPr>
          <w:vertAlign w:val="superscript"/>
          <w:lang w:val="es-PE" w:eastAsia="es-ES"/>
        </w:rPr>
        <w:t>(4)</w:t>
      </w:r>
      <w:r w:rsidRPr="002474B1">
        <w:rPr>
          <w:lang w:val="es-PE" w:eastAsia="es-ES"/>
        </w:rPr>
        <w:t xml:space="preserve"> </w:t>
      </w:r>
    </w:p>
    <w:p w14:paraId="2054D128" w14:textId="77777777" w:rsidR="002474B1" w:rsidRPr="002474B1" w:rsidRDefault="002474B1" w:rsidP="002474B1">
      <w:pPr>
        <w:spacing w:line="360" w:lineRule="auto"/>
        <w:jc w:val="both"/>
        <w:rPr>
          <w:lang w:val="es-PE" w:eastAsia="es-ES"/>
        </w:rPr>
      </w:pPr>
      <w:r w:rsidRPr="002474B1">
        <w:rPr>
          <w:lang w:val="es-PE" w:eastAsia="es-ES"/>
        </w:rPr>
        <w:t>Ante la declaración de pandemia, el gobierno peruano decretó la suspensión de actividades económicas no esenciales, incluyendo al sector minero. En Perú, el 03 de mayo de 2020</w:t>
      </w:r>
      <w:r w:rsidRPr="002474B1">
        <w:rPr>
          <w:vertAlign w:val="superscript"/>
          <w:lang w:val="es-PE" w:eastAsia="es-ES"/>
        </w:rPr>
        <w:t>(5)</w:t>
      </w:r>
      <w:r w:rsidRPr="002474B1">
        <w:rPr>
          <w:lang w:val="es-PE" w:eastAsia="es-ES"/>
        </w:rPr>
        <w:t xml:space="preserve"> inició la Fase I de reanudación económica de las actividades no esenciales, incluyendo a la gran minería; el 04 de junio de 2020, la Fase II, que incluyó a la pequeña y mediana </w:t>
      </w:r>
      <w:proofErr w:type="gramStart"/>
      <w:r w:rsidRPr="002474B1">
        <w:rPr>
          <w:lang w:val="es-PE" w:eastAsia="es-ES"/>
        </w:rPr>
        <w:t>minería,</w:t>
      </w:r>
      <w:r w:rsidRPr="002474B1">
        <w:rPr>
          <w:vertAlign w:val="superscript"/>
          <w:lang w:val="es-PE" w:eastAsia="es-ES"/>
        </w:rPr>
        <w:t>(</w:t>
      </w:r>
      <w:proofErr w:type="gramEnd"/>
      <w:r w:rsidRPr="002474B1">
        <w:rPr>
          <w:vertAlign w:val="superscript"/>
          <w:lang w:val="es-PE" w:eastAsia="es-ES"/>
        </w:rPr>
        <w:t>6)</w:t>
      </w:r>
      <w:r w:rsidRPr="002474B1">
        <w:rPr>
          <w:lang w:val="es-PE" w:eastAsia="es-ES"/>
        </w:rPr>
        <w:t xml:space="preserve"> enfocadas en la recuperación social y económica.</w:t>
      </w:r>
      <w:bookmarkEnd w:id="6"/>
    </w:p>
    <w:p w14:paraId="70E8C0A6" w14:textId="77777777" w:rsidR="002474B1" w:rsidRPr="002474B1" w:rsidRDefault="002474B1" w:rsidP="002474B1">
      <w:pPr>
        <w:spacing w:line="360" w:lineRule="auto"/>
        <w:jc w:val="both"/>
        <w:rPr>
          <w:lang w:val="es-PE" w:eastAsia="es-ES"/>
        </w:rPr>
      </w:pPr>
      <w:r w:rsidRPr="002474B1">
        <w:rPr>
          <w:lang w:val="es-PE" w:eastAsia="es-ES"/>
        </w:rPr>
        <w:t>El Ministerio de Salud del Perú (MINSA) aprobó en 2020, la obligatoriedad del registro de planes de vigilancia, prevención y control de la COVID-19 en el trabajo (</w:t>
      </w:r>
      <w:proofErr w:type="spellStart"/>
      <w:r w:rsidRPr="002474B1">
        <w:rPr>
          <w:lang w:val="es-PE" w:eastAsia="es-ES"/>
        </w:rPr>
        <w:t>PVPC</w:t>
      </w:r>
      <w:proofErr w:type="spellEnd"/>
      <w:r w:rsidRPr="002474B1">
        <w:rPr>
          <w:lang w:val="es-PE" w:eastAsia="es-ES"/>
        </w:rPr>
        <w:t>) para empresas de sectores autorizados para reiniciar actividades.</w:t>
      </w:r>
      <w:r w:rsidRPr="002474B1">
        <w:rPr>
          <w:vertAlign w:val="superscript"/>
          <w:lang w:val="es-PE" w:eastAsia="es-ES"/>
        </w:rPr>
        <w:t>(7)</w:t>
      </w:r>
      <w:r w:rsidRPr="002474B1">
        <w:rPr>
          <w:lang w:val="es-PE" w:eastAsia="es-ES"/>
        </w:rPr>
        <w:t xml:space="preserve"> Los </w:t>
      </w:r>
      <w:proofErr w:type="spellStart"/>
      <w:r w:rsidRPr="002474B1">
        <w:rPr>
          <w:lang w:val="es-PE" w:eastAsia="es-ES"/>
        </w:rPr>
        <w:t>PVPC</w:t>
      </w:r>
      <w:proofErr w:type="spellEnd"/>
      <w:r w:rsidRPr="002474B1">
        <w:rPr>
          <w:lang w:val="es-PE" w:eastAsia="es-ES"/>
        </w:rPr>
        <w:t xml:space="preserve"> serían administrados y fiscalizados por el Centro Nacional de Salud Ocupacional y Protección del Ambiente para la Salud (</w:t>
      </w:r>
      <w:proofErr w:type="spellStart"/>
      <w:r w:rsidRPr="002474B1">
        <w:rPr>
          <w:lang w:val="es-PE" w:eastAsia="es-ES"/>
        </w:rPr>
        <w:t>CENSOPAS</w:t>
      </w:r>
      <w:proofErr w:type="spellEnd"/>
      <w:r w:rsidRPr="002474B1">
        <w:rPr>
          <w:lang w:val="es-PE" w:eastAsia="es-ES"/>
        </w:rPr>
        <w:t>) del Instituto Nacional de Salud (INS),</w:t>
      </w:r>
      <w:r w:rsidRPr="002474B1">
        <w:rPr>
          <w:vertAlign w:val="superscript"/>
          <w:lang w:val="es-PE" w:eastAsia="es-ES"/>
        </w:rPr>
        <w:t>(8)</w:t>
      </w:r>
      <w:r w:rsidRPr="002474B1">
        <w:rPr>
          <w:lang w:val="es-PE" w:eastAsia="es-ES"/>
        </w:rPr>
        <w:t xml:space="preserve"> con el objetivo de fortalecer las medidas de bioseguridad, promoción y prevención de la salud durante la pandemia por COVID-19.</w:t>
      </w:r>
      <w:r w:rsidRPr="002474B1">
        <w:rPr>
          <w:vertAlign w:val="superscript"/>
          <w:lang w:val="es-PE" w:eastAsia="es-ES"/>
        </w:rPr>
        <w:t>(9,10)</w:t>
      </w:r>
    </w:p>
    <w:bookmarkEnd w:id="7"/>
    <w:p w14:paraId="2C338755" w14:textId="77777777" w:rsidR="002474B1" w:rsidRPr="002474B1" w:rsidRDefault="002474B1" w:rsidP="002474B1">
      <w:pPr>
        <w:spacing w:line="360" w:lineRule="auto"/>
        <w:jc w:val="both"/>
        <w:rPr>
          <w:lang w:val="es-PE" w:eastAsia="es-ES"/>
        </w:rPr>
      </w:pPr>
      <w:r w:rsidRPr="002474B1">
        <w:rPr>
          <w:lang w:val="es-PE" w:eastAsia="es-ES"/>
        </w:rPr>
        <w:t xml:space="preserve">Una publicación reciente que utiliza los </w:t>
      </w:r>
      <w:proofErr w:type="spellStart"/>
      <w:proofErr w:type="gramStart"/>
      <w:r w:rsidRPr="002474B1">
        <w:rPr>
          <w:lang w:val="es-PE" w:eastAsia="es-ES"/>
        </w:rPr>
        <w:t>PVPC</w:t>
      </w:r>
      <w:proofErr w:type="spellEnd"/>
      <w:r w:rsidRPr="002474B1">
        <w:rPr>
          <w:lang w:val="es-PE" w:eastAsia="es-ES"/>
        </w:rPr>
        <w:t>,</w:t>
      </w:r>
      <w:r w:rsidRPr="002474B1">
        <w:rPr>
          <w:vertAlign w:val="superscript"/>
          <w:lang w:val="es-PE" w:eastAsia="es-ES"/>
        </w:rPr>
        <w:t>(</w:t>
      </w:r>
      <w:proofErr w:type="gramEnd"/>
      <w:r w:rsidRPr="002474B1">
        <w:rPr>
          <w:vertAlign w:val="superscript"/>
          <w:lang w:val="es-PE" w:eastAsia="es-ES"/>
        </w:rPr>
        <w:t>11)</w:t>
      </w:r>
      <w:r w:rsidRPr="002474B1">
        <w:rPr>
          <w:lang w:val="es-PE" w:eastAsia="es-ES"/>
        </w:rPr>
        <w:t xml:space="preserve"> indica que 4 de 10 centros de labores del sector salud, con más de 20 trabajadores no cuentan con un profesional de la salud a cargo de la seguridad y salud en </w:t>
      </w:r>
      <w:r w:rsidRPr="002474B1">
        <w:rPr>
          <w:lang w:val="es-PE" w:eastAsia="es-ES"/>
        </w:rPr>
        <w:lastRenderedPageBreak/>
        <w:t>el trabajo (SST).</w:t>
      </w:r>
      <w:r w:rsidRPr="002474B1">
        <w:rPr>
          <w:vertAlign w:val="superscript"/>
          <w:lang w:val="es-PE" w:eastAsia="es-ES"/>
        </w:rPr>
        <w:t>(11)</w:t>
      </w:r>
      <w:r w:rsidRPr="002474B1">
        <w:rPr>
          <w:lang w:val="es-PE" w:eastAsia="es-ES"/>
        </w:rPr>
        <w:t xml:space="preserve"> Se esperaría que el cumplimiento de lo recomendado en los </w:t>
      </w:r>
      <w:proofErr w:type="spellStart"/>
      <w:r w:rsidRPr="002474B1">
        <w:rPr>
          <w:lang w:val="es-PE" w:eastAsia="es-ES"/>
        </w:rPr>
        <w:t>PVPC</w:t>
      </w:r>
      <w:proofErr w:type="spellEnd"/>
      <w:r w:rsidRPr="002474B1">
        <w:rPr>
          <w:lang w:val="es-PE" w:eastAsia="es-ES"/>
        </w:rPr>
        <w:t xml:space="preserve"> sea menor en rubros distintos a la salud. El incumplimiento de los </w:t>
      </w:r>
      <w:proofErr w:type="spellStart"/>
      <w:r w:rsidRPr="002474B1">
        <w:rPr>
          <w:lang w:val="es-PE" w:eastAsia="es-ES"/>
        </w:rPr>
        <w:t>PVPC</w:t>
      </w:r>
      <w:proofErr w:type="spellEnd"/>
      <w:r w:rsidRPr="002474B1">
        <w:rPr>
          <w:lang w:val="es-PE" w:eastAsia="es-ES"/>
        </w:rPr>
        <w:t xml:space="preserve"> afectaría la evaluación de riesgo a la exposición al SARS-CoV-2, evaluación requerida por el MINSA y la Organización Mundial de la Salud para el control de la COVID-</w:t>
      </w:r>
      <w:proofErr w:type="gramStart"/>
      <w:r w:rsidRPr="002474B1">
        <w:rPr>
          <w:lang w:val="es-PE" w:eastAsia="es-ES"/>
        </w:rPr>
        <w:t>19.</w:t>
      </w:r>
      <w:r w:rsidRPr="002474B1">
        <w:rPr>
          <w:vertAlign w:val="superscript"/>
          <w:lang w:val="es-PE" w:eastAsia="es-ES"/>
        </w:rPr>
        <w:t>(</w:t>
      </w:r>
      <w:proofErr w:type="gramEnd"/>
      <w:r w:rsidRPr="002474B1">
        <w:rPr>
          <w:vertAlign w:val="superscript"/>
          <w:lang w:val="es-PE" w:eastAsia="es-ES"/>
        </w:rPr>
        <w:t>9,10,12)</w:t>
      </w:r>
    </w:p>
    <w:p w14:paraId="4FDB986D" w14:textId="77777777" w:rsidR="002474B1" w:rsidRPr="002474B1" w:rsidRDefault="002474B1" w:rsidP="002474B1">
      <w:pPr>
        <w:spacing w:line="360" w:lineRule="auto"/>
        <w:jc w:val="both"/>
        <w:rPr>
          <w:lang w:val="es-PE" w:eastAsia="es-ES"/>
        </w:rPr>
      </w:pPr>
      <w:r w:rsidRPr="002474B1">
        <w:rPr>
          <w:lang w:val="es-PE" w:eastAsia="es-ES"/>
        </w:rPr>
        <w:t xml:space="preserve">El objetivo del estudio es describir el estado situacional del registro de los </w:t>
      </w:r>
      <w:proofErr w:type="spellStart"/>
      <w:r w:rsidRPr="002474B1">
        <w:rPr>
          <w:lang w:val="es-PE" w:eastAsia="es-ES"/>
        </w:rPr>
        <w:t>PVPC</w:t>
      </w:r>
      <w:proofErr w:type="spellEnd"/>
      <w:r w:rsidRPr="002474B1">
        <w:rPr>
          <w:lang w:val="es-PE" w:eastAsia="es-ES"/>
        </w:rPr>
        <w:t xml:space="preserve">, durante la primera y segunda fase de reanudación económica en el sector minero del Perú. </w:t>
      </w:r>
    </w:p>
    <w:bookmarkEnd w:id="4"/>
    <w:p w14:paraId="3673718E" w14:textId="77777777" w:rsidR="002474B1" w:rsidRPr="002474B1" w:rsidRDefault="002474B1" w:rsidP="002474B1">
      <w:pPr>
        <w:spacing w:line="360" w:lineRule="auto"/>
        <w:rPr>
          <w:b/>
          <w:lang w:val="es-PE" w:eastAsia="es-ES"/>
        </w:rPr>
      </w:pPr>
    </w:p>
    <w:p w14:paraId="05D813E7" w14:textId="77777777" w:rsidR="002474B1" w:rsidRPr="002474B1" w:rsidRDefault="002474B1" w:rsidP="002474B1">
      <w:pPr>
        <w:spacing w:line="360" w:lineRule="auto"/>
        <w:rPr>
          <w:b/>
          <w:lang w:val="es-PE" w:eastAsia="es-ES"/>
        </w:rPr>
      </w:pPr>
    </w:p>
    <w:p w14:paraId="4D804B0D" w14:textId="77777777" w:rsidR="002474B1" w:rsidRPr="002474B1" w:rsidRDefault="002474B1" w:rsidP="002474B1">
      <w:pPr>
        <w:spacing w:line="360" w:lineRule="auto"/>
        <w:jc w:val="center"/>
        <w:rPr>
          <w:b/>
          <w:sz w:val="32"/>
          <w:szCs w:val="32"/>
          <w:lang w:val="es-PE" w:eastAsia="es-ES"/>
        </w:rPr>
      </w:pPr>
      <w:r w:rsidRPr="002474B1">
        <w:rPr>
          <w:b/>
          <w:sz w:val="32"/>
          <w:szCs w:val="32"/>
          <w:lang w:val="es-PE" w:eastAsia="es-ES"/>
        </w:rPr>
        <w:t>MÉTODOS</w:t>
      </w:r>
    </w:p>
    <w:p w14:paraId="4DCC0C29" w14:textId="77777777" w:rsidR="002474B1" w:rsidRPr="002474B1" w:rsidRDefault="002474B1" w:rsidP="002474B1">
      <w:pPr>
        <w:spacing w:line="360" w:lineRule="auto"/>
        <w:jc w:val="center"/>
        <w:rPr>
          <w:b/>
          <w:sz w:val="28"/>
          <w:szCs w:val="28"/>
          <w:lang w:val="es-PE" w:eastAsia="es-ES"/>
        </w:rPr>
      </w:pPr>
      <w:r w:rsidRPr="002474B1">
        <w:rPr>
          <w:b/>
          <w:sz w:val="28"/>
          <w:szCs w:val="28"/>
          <w:lang w:val="es-PE" w:eastAsia="es-ES"/>
        </w:rPr>
        <w:t>Diseño de estudio y fuente de información</w:t>
      </w:r>
    </w:p>
    <w:p w14:paraId="27FB63F4" w14:textId="77777777" w:rsidR="002474B1" w:rsidRPr="002474B1" w:rsidRDefault="002474B1" w:rsidP="002474B1">
      <w:pPr>
        <w:spacing w:line="360" w:lineRule="auto"/>
        <w:jc w:val="both"/>
        <w:rPr>
          <w:lang w:val="es-PE" w:eastAsia="es-ES"/>
        </w:rPr>
      </w:pPr>
      <w:r w:rsidRPr="002474B1">
        <w:rPr>
          <w:lang w:val="es-PE" w:eastAsia="es-ES"/>
        </w:rPr>
        <w:t xml:space="preserve">Se realizó un estudio de corte transversal con un análisis secundario de la base de datos de los </w:t>
      </w:r>
      <w:proofErr w:type="spellStart"/>
      <w:r w:rsidRPr="002474B1">
        <w:rPr>
          <w:lang w:val="es-PE" w:eastAsia="es-ES"/>
        </w:rPr>
        <w:t>PVPC</w:t>
      </w:r>
      <w:proofErr w:type="spellEnd"/>
      <w:r w:rsidRPr="002474B1">
        <w:rPr>
          <w:lang w:val="es-PE" w:eastAsia="es-ES"/>
        </w:rPr>
        <w:t xml:space="preserve"> de las empresas del sector minero peruano. La fuente de información fue la plataforma </w:t>
      </w:r>
      <w:proofErr w:type="spellStart"/>
      <w:r w:rsidRPr="002474B1">
        <w:rPr>
          <w:lang w:val="es-PE" w:eastAsia="es-ES"/>
        </w:rPr>
        <w:t>SISCOVID</w:t>
      </w:r>
      <w:proofErr w:type="spellEnd"/>
      <w:r w:rsidRPr="002474B1">
        <w:rPr>
          <w:lang w:val="es-PE" w:eastAsia="es-ES"/>
        </w:rPr>
        <w:t xml:space="preserve">-Empresas, del MINSA (disponible en: </w:t>
      </w:r>
      <w:hyperlink r:id="rId16">
        <w:r w:rsidRPr="002474B1">
          <w:rPr>
            <w:color w:val="1155CC"/>
            <w:u w:val="single"/>
            <w:lang w:val="es-PE" w:eastAsia="es-ES"/>
          </w:rPr>
          <w:t>https://saludtrabajo.minsa.gob.pe/</w:t>
        </w:r>
      </w:hyperlink>
      <w:r w:rsidRPr="002474B1">
        <w:rPr>
          <w:lang w:val="es-PE" w:eastAsia="es-ES"/>
        </w:rPr>
        <w:t xml:space="preserve">). </w:t>
      </w:r>
    </w:p>
    <w:p w14:paraId="7236400F" w14:textId="77777777" w:rsidR="002474B1" w:rsidRPr="002474B1" w:rsidRDefault="002474B1" w:rsidP="002474B1">
      <w:pPr>
        <w:spacing w:line="360" w:lineRule="auto"/>
        <w:jc w:val="center"/>
        <w:rPr>
          <w:b/>
          <w:sz w:val="28"/>
          <w:szCs w:val="28"/>
          <w:lang w:val="es-PE" w:eastAsia="es-ES"/>
        </w:rPr>
      </w:pPr>
      <w:r w:rsidRPr="002474B1">
        <w:rPr>
          <w:b/>
          <w:sz w:val="28"/>
          <w:szCs w:val="28"/>
          <w:lang w:val="es-PE" w:eastAsia="es-ES"/>
        </w:rPr>
        <w:t>Criterios de selección</w:t>
      </w:r>
    </w:p>
    <w:p w14:paraId="26447709" w14:textId="77777777" w:rsidR="002474B1" w:rsidRPr="002474B1" w:rsidRDefault="002474B1" w:rsidP="002474B1">
      <w:pPr>
        <w:spacing w:line="360" w:lineRule="auto"/>
        <w:jc w:val="both"/>
        <w:rPr>
          <w:lang w:val="es-PE" w:eastAsia="es-ES"/>
        </w:rPr>
      </w:pPr>
      <w:r w:rsidRPr="002474B1">
        <w:rPr>
          <w:lang w:val="es-PE" w:eastAsia="es-ES"/>
        </w:rPr>
        <w:t xml:space="preserve">Se incluyeron los </w:t>
      </w:r>
      <w:proofErr w:type="spellStart"/>
      <w:r w:rsidRPr="002474B1">
        <w:rPr>
          <w:lang w:val="es-PE" w:eastAsia="es-ES"/>
        </w:rPr>
        <w:t>PVPC</w:t>
      </w:r>
      <w:proofErr w:type="spellEnd"/>
      <w:r w:rsidRPr="002474B1">
        <w:rPr>
          <w:lang w:val="es-PE" w:eastAsia="es-ES"/>
        </w:rPr>
        <w:t xml:space="preserve"> registrados durante la </w:t>
      </w:r>
      <w:proofErr w:type="spellStart"/>
      <w:r w:rsidRPr="002474B1">
        <w:rPr>
          <w:lang w:val="es-PE" w:eastAsia="es-ES"/>
        </w:rPr>
        <w:t>1</w:t>
      </w:r>
      <w:r w:rsidRPr="002474B1">
        <w:rPr>
          <w:vertAlign w:val="superscript"/>
          <w:lang w:val="es-PE" w:eastAsia="es-ES"/>
        </w:rPr>
        <w:t>ra</w:t>
      </w:r>
      <w:proofErr w:type="spellEnd"/>
      <w:r w:rsidRPr="002474B1">
        <w:rPr>
          <w:lang w:val="es-PE" w:eastAsia="es-ES"/>
        </w:rPr>
        <w:t xml:space="preserve"> y </w:t>
      </w:r>
      <w:proofErr w:type="spellStart"/>
      <w:r w:rsidRPr="002474B1">
        <w:rPr>
          <w:lang w:val="es-PE" w:eastAsia="es-ES"/>
        </w:rPr>
        <w:t>2</w:t>
      </w:r>
      <w:r w:rsidRPr="002474B1">
        <w:rPr>
          <w:vertAlign w:val="superscript"/>
          <w:lang w:val="es-PE" w:eastAsia="es-ES"/>
        </w:rPr>
        <w:t>da</w:t>
      </w:r>
      <w:proofErr w:type="spellEnd"/>
      <w:r w:rsidRPr="002474B1">
        <w:rPr>
          <w:lang w:val="es-PE" w:eastAsia="es-ES"/>
        </w:rPr>
        <w:t xml:space="preserve"> fase de reanudación económica (09 de mayo al 30 de junio, 2020</w:t>
      </w:r>
      <w:proofErr w:type="gramStart"/>
      <w:r w:rsidRPr="002474B1">
        <w:rPr>
          <w:lang w:val="es-PE" w:eastAsia="es-ES"/>
        </w:rPr>
        <w:t>).</w:t>
      </w:r>
      <w:r w:rsidRPr="002474B1">
        <w:rPr>
          <w:vertAlign w:val="superscript"/>
          <w:lang w:val="es-PE" w:eastAsia="es-ES"/>
        </w:rPr>
        <w:t>(</w:t>
      </w:r>
      <w:proofErr w:type="gramEnd"/>
      <w:r w:rsidRPr="002474B1">
        <w:rPr>
          <w:vertAlign w:val="superscript"/>
          <w:lang w:val="es-PE" w:eastAsia="es-ES"/>
        </w:rPr>
        <w:t>5,6)</w:t>
      </w:r>
      <w:r w:rsidRPr="002474B1">
        <w:rPr>
          <w:lang w:val="es-PE" w:eastAsia="es-ES"/>
        </w:rPr>
        <w:t xml:space="preserve"> Los </w:t>
      </w:r>
      <w:proofErr w:type="spellStart"/>
      <w:r w:rsidRPr="002474B1">
        <w:rPr>
          <w:lang w:val="es-PE" w:eastAsia="es-ES"/>
        </w:rPr>
        <w:t>PVPC</w:t>
      </w:r>
      <w:proofErr w:type="spellEnd"/>
      <w:r w:rsidRPr="002474B1">
        <w:rPr>
          <w:lang w:val="es-PE" w:eastAsia="es-ES"/>
        </w:rPr>
        <w:t xml:space="preserve"> cuyo estado de registro fue el de “rechazado” (no cumplían con los lineamientos del MINSA)</w:t>
      </w:r>
      <w:r w:rsidRPr="002474B1">
        <w:rPr>
          <w:vertAlign w:val="superscript"/>
          <w:lang w:val="es-PE" w:eastAsia="es-ES"/>
        </w:rPr>
        <w:t>(6)</w:t>
      </w:r>
      <w:r w:rsidRPr="002474B1">
        <w:rPr>
          <w:lang w:val="es-PE" w:eastAsia="es-ES"/>
        </w:rPr>
        <w:t xml:space="preserve"> fueron excluidos (8; 0,36 %).</w:t>
      </w:r>
    </w:p>
    <w:p w14:paraId="2B976A37" w14:textId="77777777" w:rsidR="002474B1" w:rsidRPr="002474B1" w:rsidRDefault="002474B1" w:rsidP="002474B1">
      <w:pPr>
        <w:spacing w:line="360" w:lineRule="auto"/>
        <w:jc w:val="center"/>
        <w:rPr>
          <w:b/>
          <w:sz w:val="28"/>
          <w:szCs w:val="28"/>
          <w:lang w:val="es-PE" w:eastAsia="es-ES"/>
        </w:rPr>
      </w:pPr>
      <w:r w:rsidRPr="002474B1">
        <w:rPr>
          <w:b/>
          <w:sz w:val="28"/>
          <w:szCs w:val="28"/>
          <w:lang w:val="es-PE" w:eastAsia="es-ES"/>
        </w:rPr>
        <w:t>Variables de estudio</w:t>
      </w:r>
    </w:p>
    <w:p w14:paraId="6AD28091" w14:textId="77777777" w:rsidR="002474B1" w:rsidRPr="002474B1" w:rsidRDefault="002474B1" w:rsidP="002474B1">
      <w:pPr>
        <w:numPr>
          <w:ilvl w:val="0"/>
          <w:numId w:val="4"/>
        </w:numPr>
        <w:spacing w:line="360" w:lineRule="auto"/>
        <w:ind w:left="426" w:hanging="426"/>
        <w:contextualSpacing/>
        <w:jc w:val="both"/>
        <w:rPr>
          <w:lang w:val="es-PE" w:eastAsia="es-ES"/>
        </w:rPr>
      </w:pPr>
      <w:r w:rsidRPr="002474B1">
        <w:rPr>
          <w:lang w:val="es-PE" w:eastAsia="es-ES"/>
        </w:rPr>
        <w:t>Región de procedencia.</w:t>
      </w:r>
    </w:p>
    <w:p w14:paraId="289B2A8C" w14:textId="77777777" w:rsidR="002474B1" w:rsidRPr="002474B1" w:rsidRDefault="002474B1" w:rsidP="002474B1">
      <w:pPr>
        <w:numPr>
          <w:ilvl w:val="0"/>
          <w:numId w:val="4"/>
        </w:numPr>
        <w:spacing w:line="360" w:lineRule="auto"/>
        <w:ind w:left="426" w:hanging="426"/>
        <w:contextualSpacing/>
        <w:jc w:val="both"/>
        <w:rPr>
          <w:lang w:val="es-PE" w:eastAsia="es-ES"/>
        </w:rPr>
      </w:pPr>
      <w:r w:rsidRPr="002474B1">
        <w:rPr>
          <w:lang w:val="es-PE" w:eastAsia="es-ES"/>
        </w:rPr>
        <w:t>Número de trabajadores.</w:t>
      </w:r>
    </w:p>
    <w:p w14:paraId="63BBF7AD" w14:textId="77777777" w:rsidR="002474B1" w:rsidRPr="002474B1" w:rsidRDefault="002474B1" w:rsidP="002474B1">
      <w:pPr>
        <w:numPr>
          <w:ilvl w:val="0"/>
          <w:numId w:val="4"/>
        </w:numPr>
        <w:spacing w:line="360" w:lineRule="auto"/>
        <w:ind w:left="426" w:hanging="426"/>
        <w:contextualSpacing/>
        <w:jc w:val="both"/>
        <w:rPr>
          <w:lang w:val="es-PE" w:eastAsia="es-ES"/>
        </w:rPr>
      </w:pPr>
      <w:r w:rsidRPr="002474B1">
        <w:rPr>
          <w:lang w:val="es-PE" w:eastAsia="es-ES"/>
        </w:rPr>
        <w:t>Número de profesionales de salud.</w:t>
      </w:r>
    </w:p>
    <w:p w14:paraId="3D19983E" w14:textId="77777777" w:rsidR="002474B1" w:rsidRPr="002474B1" w:rsidRDefault="002474B1" w:rsidP="002474B1">
      <w:pPr>
        <w:numPr>
          <w:ilvl w:val="0"/>
          <w:numId w:val="4"/>
        </w:numPr>
        <w:spacing w:line="360" w:lineRule="auto"/>
        <w:ind w:left="426" w:hanging="426"/>
        <w:contextualSpacing/>
        <w:jc w:val="both"/>
        <w:rPr>
          <w:lang w:val="es-PE" w:eastAsia="es-ES"/>
        </w:rPr>
      </w:pPr>
      <w:r w:rsidRPr="002474B1">
        <w:rPr>
          <w:lang w:val="es-PE" w:eastAsia="es-ES"/>
        </w:rPr>
        <w:t xml:space="preserve">Existencia de comité o supervisor de SST. </w:t>
      </w:r>
    </w:p>
    <w:p w14:paraId="19F247AF" w14:textId="77777777" w:rsidR="002474B1" w:rsidRPr="002474B1" w:rsidRDefault="002474B1" w:rsidP="002474B1">
      <w:pPr>
        <w:numPr>
          <w:ilvl w:val="0"/>
          <w:numId w:val="4"/>
        </w:numPr>
        <w:spacing w:line="360" w:lineRule="auto"/>
        <w:ind w:left="426" w:hanging="426"/>
        <w:contextualSpacing/>
        <w:jc w:val="both"/>
        <w:rPr>
          <w:lang w:val="es-PE" w:eastAsia="es-ES"/>
        </w:rPr>
      </w:pPr>
      <w:r w:rsidRPr="002474B1">
        <w:rPr>
          <w:lang w:val="es-PE" w:eastAsia="es-ES"/>
        </w:rPr>
        <w:t>Estado de registro.</w:t>
      </w:r>
    </w:p>
    <w:p w14:paraId="7EB4D126" w14:textId="77777777" w:rsidR="002474B1" w:rsidRPr="002474B1" w:rsidRDefault="002474B1" w:rsidP="002474B1">
      <w:pPr>
        <w:numPr>
          <w:ilvl w:val="0"/>
          <w:numId w:val="4"/>
        </w:numPr>
        <w:spacing w:line="360" w:lineRule="auto"/>
        <w:ind w:left="426" w:hanging="426"/>
        <w:contextualSpacing/>
        <w:jc w:val="both"/>
        <w:rPr>
          <w:lang w:val="es-PE" w:eastAsia="es-ES"/>
        </w:rPr>
      </w:pPr>
      <w:r w:rsidRPr="002474B1">
        <w:rPr>
          <w:lang w:val="es-PE" w:eastAsia="es-ES"/>
        </w:rPr>
        <w:t xml:space="preserve">Reporte de presupuesto. </w:t>
      </w:r>
    </w:p>
    <w:p w14:paraId="79C89111" w14:textId="77777777" w:rsidR="002474B1" w:rsidRPr="002474B1" w:rsidRDefault="002474B1" w:rsidP="002474B1">
      <w:pPr>
        <w:spacing w:line="360" w:lineRule="auto"/>
        <w:jc w:val="both"/>
        <w:rPr>
          <w:b/>
          <w:lang w:val="es-PE" w:eastAsia="es-ES"/>
        </w:rPr>
      </w:pPr>
    </w:p>
    <w:p w14:paraId="65BA0FEE" w14:textId="77777777" w:rsidR="002C5AEC" w:rsidRDefault="002C5AEC">
      <w:pPr>
        <w:rPr>
          <w:b/>
          <w:sz w:val="28"/>
          <w:szCs w:val="28"/>
          <w:lang w:val="es-PE" w:eastAsia="es-ES"/>
        </w:rPr>
      </w:pPr>
      <w:r>
        <w:rPr>
          <w:b/>
          <w:sz w:val="28"/>
          <w:szCs w:val="28"/>
          <w:lang w:val="es-PE" w:eastAsia="es-ES"/>
        </w:rPr>
        <w:br w:type="page"/>
      </w:r>
    </w:p>
    <w:p w14:paraId="1E723988" w14:textId="58879DB5" w:rsidR="002474B1" w:rsidRPr="002474B1" w:rsidRDefault="002474B1" w:rsidP="002474B1">
      <w:pPr>
        <w:spacing w:line="360" w:lineRule="auto"/>
        <w:jc w:val="center"/>
        <w:rPr>
          <w:b/>
          <w:sz w:val="28"/>
          <w:szCs w:val="28"/>
          <w:lang w:val="es-PE" w:eastAsia="es-ES"/>
        </w:rPr>
      </w:pPr>
      <w:r w:rsidRPr="002474B1">
        <w:rPr>
          <w:b/>
          <w:sz w:val="28"/>
          <w:szCs w:val="28"/>
          <w:lang w:val="es-PE" w:eastAsia="es-ES"/>
        </w:rPr>
        <w:lastRenderedPageBreak/>
        <w:t>Procesamiento de datos y plan de análisis</w:t>
      </w:r>
    </w:p>
    <w:p w14:paraId="1F15CFBB" w14:textId="77777777" w:rsidR="002474B1" w:rsidRPr="002474B1" w:rsidRDefault="002474B1" w:rsidP="002474B1">
      <w:pPr>
        <w:spacing w:line="360" w:lineRule="auto"/>
        <w:jc w:val="both"/>
        <w:rPr>
          <w:lang w:val="es-PE" w:eastAsia="es-ES"/>
        </w:rPr>
      </w:pPr>
      <w:r w:rsidRPr="002474B1">
        <w:rPr>
          <w:lang w:val="es-PE" w:eastAsia="es-ES"/>
        </w:rPr>
        <w:t xml:space="preserve">Desde la plataforma </w:t>
      </w:r>
      <w:proofErr w:type="spellStart"/>
      <w:r w:rsidRPr="002474B1">
        <w:rPr>
          <w:lang w:val="es-PE" w:eastAsia="es-ES"/>
        </w:rPr>
        <w:t>SISCOVID</w:t>
      </w:r>
      <w:proofErr w:type="spellEnd"/>
      <w:r w:rsidRPr="002474B1">
        <w:rPr>
          <w:lang w:val="es-PE" w:eastAsia="es-ES"/>
        </w:rPr>
        <w:t xml:space="preserve">-Empresas se descargó la base de datos en un archivo de Microsoft Excel. Se eliminaron los </w:t>
      </w:r>
      <w:proofErr w:type="spellStart"/>
      <w:r w:rsidRPr="002474B1">
        <w:rPr>
          <w:lang w:val="es-PE" w:eastAsia="es-ES"/>
        </w:rPr>
        <w:t>PVPC</w:t>
      </w:r>
      <w:proofErr w:type="spellEnd"/>
      <w:r w:rsidRPr="002474B1">
        <w:rPr>
          <w:lang w:val="es-PE" w:eastAsia="es-ES"/>
        </w:rPr>
        <w:t xml:space="preserve"> que no cumplían con los criterios de selección y se realizó una limpieza de la base de datos (detección, corrección o eliminación de registros imprecisos o con valores no plausibles). Posteriormente, los datos fueron exportados y analizados en el programa estadístico Stata versión 15.0 (Stata </w:t>
      </w:r>
      <w:proofErr w:type="spellStart"/>
      <w:r w:rsidRPr="002474B1">
        <w:rPr>
          <w:lang w:val="es-PE" w:eastAsia="es-ES"/>
        </w:rPr>
        <w:t>Corporation</w:t>
      </w:r>
      <w:proofErr w:type="spellEnd"/>
      <w:r w:rsidRPr="002474B1">
        <w:rPr>
          <w:lang w:val="es-PE" w:eastAsia="es-ES"/>
        </w:rPr>
        <w:t xml:space="preserve">, </w:t>
      </w:r>
      <w:proofErr w:type="spellStart"/>
      <w:r w:rsidRPr="002474B1">
        <w:rPr>
          <w:lang w:val="es-PE" w:eastAsia="es-ES"/>
        </w:rPr>
        <w:t>College</w:t>
      </w:r>
      <w:proofErr w:type="spellEnd"/>
      <w:r w:rsidRPr="002474B1">
        <w:rPr>
          <w:lang w:val="es-PE" w:eastAsia="es-ES"/>
        </w:rPr>
        <w:t xml:space="preserve"> </w:t>
      </w:r>
      <w:proofErr w:type="spellStart"/>
      <w:r w:rsidRPr="002474B1">
        <w:rPr>
          <w:lang w:val="es-PE" w:eastAsia="es-ES"/>
        </w:rPr>
        <w:t>Station</w:t>
      </w:r>
      <w:proofErr w:type="spellEnd"/>
      <w:r w:rsidRPr="002474B1">
        <w:rPr>
          <w:lang w:val="es-PE" w:eastAsia="es-ES"/>
        </w:rPr>
        <w:t xml:space="preserve">, Texas, EE.UU.). </w:t>
      </w:r>
    </w:p>
    <w:p w14:paraId="22CEEAB0" w14:textId="77777777" w:rsidR="002474B1" w:rsidRPr="002474B1" w:rsidRDefault="002474B1" w:rsidP="002474B1">
      <w:pPr>
        <w:spacing w:line="360" w:lineRule="auto"/>
        <w:jc w:val="both"/>
        <w:rPr>
          <w:lang w:val="es-PE" w:eastAsia="es-ES"/>
        </w:rPr>
      </w:pPr>
      <w:r w:rsidRPr="002474B1">
        <w:rPr>
          <w:lang w:val="es-PE" w:eastAsia="es-ES"/>
        </w:rPr>
        <w:t xml:space="preserve">Se reportaron frecuencias y proporciones de las características de los </w:t>
      </w:r>
      <w:proofErr w:type="spellStart"/>
      <w:r w:rsidRPr="002474B1">
        <w:rPr>
          <w:lang w:val="es-PE" w:eastAsia="es-ES"/>
        </w:rPr>
        <w:t>PVPC</w:t>
      </w:r>
      <w:proofErr w:type="spellEnd"/>
      <w:r w:rsidRPr="002474B1">
        <w:rPr>
          <w:lang w:val="es-PE" w:eastAsia="es-ES"/>
        </w:rPr>
        <w:t xml:space="preserve">. También se reportó el tipo de supervisión del </w:t>
      </w:r>
      <w:proofErr w:type="spellStart"/>
      <w:r w:rsidRPr="002474B1">
        <w:rPr>
          <w:lang w:val="es-PE" w:eastAsia="es-ES"/>
        </w:rPr>
        <w:t>PVPC</w:t>
      </w:r>
      <w:proofErr w:type="spellEnd"/>
      <w:r w:rsidRPr="002474B1">
        <w:rPr>
          <w:lang w:val="es-PE" w:eastAsia="es-ES"/>
        </w:rPr>
        <w:t xml:space="preserve"> y el tipo de profesional de salud (médico, enfermera, ambos) según el número de trabajadores de la empresa.</w:t>
      </w:r>
    </w:p>
    <w:p w14:paraId="770E2CCA" w14:textId="77777777" w:rsidR="002474B1" w:rsidRPr="002474B1" w:rsidRDefault="002474B1" w:rsidP="002474B1">
      <w:pPr>
        <w:spacing w:line="360" w:lineRule="auto"/>
        <w:jc w:val="center"/>
        <w:rPr>
          <w:b/>
          <w:sz w:val="28"/>
          <w:szCs w:val="28"/>
          <w:lang w:val="es-PE" w:eastAsia="es-ES"/>
        </w:rPr>
      </w:pPr>
      <w:r w:rsidRPr="002474B1">
        <w:rPr>
          <w:b/>
          <w:sz w:val="28"/>
          <w:szCs w:val="28"/>
          <w:lang w:val="es-PE" w:eastAsia="es-ES"/>
        </w:rPr>
        <w:t>Consideraciones éticas</w:t>
      </w:r>
    </w:p>
    <w:p w14:paraId="75D92CD4" w14:textId="77777777" w:rsidR="002474B1" w:rsidRPr="002474B1" w:rsidRDefault="002474B1" w:rsidP="002474B1">
      <w:pPr>
        <w:spacing w:line="360" w:lineRule="auto"/>
        <w:jc w:val="both"/>
        <w:rPr>
          <w:lang w:val="es-PE" w:eastAsia="es-ES"/>
        </w:rPr>
      </w:pPr>
      <w:r w:rsidRPr="002474B1">
        <w:rPr>
          <w:lang w:val="es-PE" w:eastAsia="es-ES"/>
        </w:rPr>
        <w:t xml:space="preserve">Dado que se empleó una base de datos secundaria, que no presenta información susceptible o que identifique a las empresas cuyos </w:t>
      </w:r>
      <w:proofErr w:type="spellStart"/>
      <w:r w:rsidRPr="002474B1">
        <w:rPr>
          <w:lang w:val="es-PE" w:eastAsia="es-ES"/>
        </w:rPr>
        <w:t>PVPC</w:t>
      </w:r>
      <w:proofErr w:type="spellEnd"/>
      <w:r w:rsidRPr="002474B1">
        <w:rPr>
          <w:lang w:val="es-PE" w:eastAsia="es-ES"/>
        </w:rPr>
        <w:t xml:space="preserve"> fueron analizados, no fue necesaria la aprobación de un comité de ética para realizar el estudio.</w:t>
      </w:r>
    </w:p>
    <w:p w14:paraId="2799AD24" w14:textId="77777777" w:rsidR="002474B1" w:rsidRPr="002474B1" w:rsidRDefault="002474B1" w:rsidP="002474B1">
      <w:pPr>
        <w:spacing w:line="360" w:lineRule="auto"/>
        <w:jc w:val="both"/>
        <w:rPr>
          <w:lang w:val="es-PE" w:eastAsia="es-ES"/>
        </w:rPr>
      </w:pPr>
    </w:p>
    <w:p w14:paraId="4D93F5C0" w14:textId="77777777" w:rsidR="002474B1" w:rsidRPr="002474B1" w:rsidRDefault="002474B1" w:rsidP="002474B1">
      <w:pPr>
        <w:spacing w:line="360" w:lineRule="auto"/>
        <w:jc w:val="both"/>
        <w:rPr>
          <w:b/>
          <w:lang w:val="es-PE" w:eastAsia="es-ES"/>
        </w:rPr>
      </w:pPr>
    </w:p>
    <w:p w14:paraId="40479F04" w14:textId="77777777" w:rsidR="002474B1" w:rsidRPr="002474B1" w:rsidRDefault="002474B1" w:rsidP="002474B1">
      <w:pPr>
        <w:spacing w:line="360" w:lineRule="auto"/>
        <w:jc w:val="center"/>
        <w:rPr>
          <w:b/>
          <w:sz w:val="32"/>
          <w:szCs w:val="32"/>
          <w:lang w:val="es-PE" w:eastAsia="es-ES"/>
        </w:rPr>
      </w:pPr>
      <w:r w:rsidRPr="002474B1">
        <w:rPr>
          <w:b/>
          <w:sz w:val="32"/>
          <w:szCs w:val="32"/>
          <w:lang w:val="es-PE" w:eastAsia="es-ES"/>
        </w:rPr>
        <w:t>RESULTADOS</w:t>
      </w:r>
    </w:p>
    <w:p w14:paraId="16AC353F" w14:textId="77777777" w:rsidR="002474B1" w:rsidRPr="002474B1" w:rsidRDefault="002474B1" w:rsidP="002474B1">
      <w:pPr>
        <w:spacing w:line="360" w:lineRule="auto"/>
        <w:jc w:val="both"/>
        <w:rPr>
          <w:lang w:val="es-PE" w:eastAsia="es-ES"/>
        </w:rPr>
      </w:pPr>
      <w:r w:rsidRPr="002474B1">
        <w:rPr>
          <w:lang w:val="es-PE" w:eastAsia="es-ES"/>
        </w:rPr>
        <w:t xml:space="preserve">Se analizaron 2 236 </w:t>
      </w:r>
      <w:proofErr w:type="spellStart"/>
      <w:r w:rsidRPr="002474B1">
        <w:rPr>
          <w:lang w:val="es-PE" w:eastAsia="es-ES"/>
        </w:rPr>
        <w:t>PVPC</w:t>
      </w:r>
      <w:proofErr w:type="spellEnd"/>
      <w:r w:rsidRPr="002474B1">
        <w:rPr>
          <w:lang w:val="es-PE" w:eastAsia="es-ES"/>
        </w:rPr>
        <w:t xml:space="preserve"> registrados. La mayoría provenían de la región Lima (1 136, única con &gt; 200 </w:t>
      </w:r>
      <w:proofErr w:type="spellStart"/>
      <w:r w:rsidRPr="002474B1">
        <w:rPr>
          <w:lang w:val="es-PE" w:eastAsia="es-ES"/>
        </w:rPr>
        <w:t>PVPC</w:t>
      </w:r>
      <w:proofErr w:type="spellEnd"/>
      <w:r w:rsidRPr="002474B1">
        <w:rPr>
          <w:lang w:val="es-PE" w:eastAsia="es-ES"/>
        </w:rPr>
        <w:t xml:space="preserve"> registrados), seguidos de Puno (138) y Arequipa (133). Ayacucho (6), Tumbes (4) y Huancavelica (3) tuvieron el menor número de </w:t>
      </w:r>
      <w:proofErr w:type="spellStart"/>
      <w:r w:rsidRPr="002474B1">
        <w:rPr>
          <w:lang w:val="es-PE" w:eastAsia="es-ES"/>
        </w:rPr>
        <w:t>PVPC</w:t>
      </w:r>
      <w:proofErr w:type="spellEnd"/>
      <w:r w:rsidRPr="002474B1">
        <w:rPr>
          <w:lang w:val="es-PE" w:eastAsia="es-ES"/>
        </w:rPr>
        <w:t xml:space="preserve"> registrados (Fig. 1).</w:t>
      </w:r>
    </w:p>
    <w:p w14:paraId="67836EBA" w14:textId="77777777" w:rsidR="002474B1" w:rsidRPr="002474B1" w:rsidRDefault="002474B1" w:rsidP="002474B1">
      <w:pPr>
        <w:spacing w:line="360" w:lineRule="auto"/>
        <w:jc w:val="both"/>
        <w:rPr>
          <w:lang w:val="es-PE" w:eastAsia="es-ES"/>
        </w:rPr>
      </w:pPr>
    </w:p>
    <w:bookmarkEnd w:id="5"/>
    <w:p w14:paraId="383BC24B" w14:textId="06F6AE61" w:rsidR="002474B1" w:rsidRPr="002474B1" w:rsidRDefault="002474B1" w:rsidP="002474B1">
      <w:pPr>
        <w:spacing w:line="360" w:lineRule="auto"/>
        <w:jc w:val="center"/>
        <w:rPr>
          <w:lang w:val="es-PE" w:eastAsia="es-ES"/>
        </w:rPr>
      </w:pPr>
      <w:r w:rsidRPr="002474B1">
        <w:rPr>
          <w:noProof/>
          <w:lang w:val="es-PE" w:eastAsia="es-ES"/>
        </w:rPr>
        <w:lastRenderedPageBreak/>
        <w:drawing>
          <wp:inline distT="0" distB="0" distL="0" distR="0" wp14:anchorId="66FC04BC" wp14:editId="69F21403">
            <wp:extent cx="3848100" cy="295275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2952750"/>
                    </a:xfrm>
                    <a:prstGeom prst="rect">
                      <a:avLst/>
                    </a:prstGeom>
                    <a:noFill/>
                    <a:ln>
                      <a:noFill/>
                    </a:ln>
                  </pic:spPr>
                </pic:pic>
              </a:graphicData>
            </a:graphic>
          </wp:inline>
        </w:drawing>
      </w:r>
    </w:p>
    <w:p w14:paraId="67998039" w14:textId="77777777" w:rsidR="002474B1" w:rsidRPr="002474B1" w:rsidRDefault="002474B1" w:rsidP="002474B1">
      <w:pPr>
        <w:spacing w:line="360" w:lineRule="auto"/>
        <w:jc w:val="center"/>
        <w:rPr>
          <w:sz w:val="22"/>
          <w:szCs w:val="22"/>
          <w:lang w:val="es-PE" w:eastAsia="es-ES"/>
        </w:rPr>
      </w:pPr>
      <w:r w:rsidRPr="002474B1">
        <w:rPr>
          <w:b/>
          <w:sz w:val="22"/>
          <w:szCs w:val="22"/>
          <w:lang w:val="es-PE" w:eastAsia="es-ES"/>
        </w:rPr>
        <w:t>Fig. 1 -</w:t>
      </w:r>
      <w:r w:rsidRPr="002474B1">
        <w:rPr>
          <w:sz w:val="22"/>
          <w:szCs w:val="22"/>
          <w:lang w:val="es-PE" w:eastAsia="es-ES"/>
        </w:rPr>
        <w:t xml:space="preserve"> </w:t>
      </w:r>
      <w:proofErr w:type="spellStart"/>
      <w:r w:rsidRPr="002474B1">
        <w:rPr>
          <w:sz w:val="22"/>
          <w:szCs w:val="22"/>
          <w:lang w:val="es-PE" w:eastAsia="es-ES"/>
        </w:rPr>
        <w:t>PVPC</w:t>
      </w:r>
      <w:proofErr w:type="spellEnd"/>
      <w:r w:rsidRPr="002474B1">
        <w:rPr>
          <w:sz w:val="22"/>
          <w:szCs w:val="22"/>
          <w:lang w:val="es-PE" w:eastAsia="es-ES"/>
        </w:rPr>
        <w:t xml:space="preserve"> del sector minero por región del Perú (mayo – junio, 2020). </w:t>
      </w:r>
    </w:p>
    <w:p w14:paraId="06D907C4" w14:textId="77777777" w:rsidR="002474B1" w:rsidRPr="002474B1" w:rsidRDefault="002474B1" w:rsidP="002474B1">
      <w:pPr>
        <w:spacing w:line="360" w:lineRule="auto"/>
        <w:jc w:val="center"/>
        <w:rPr>
          <w:lang w:val="es-PE" w:eastAsia="es-ES"/>
        </w:rPr>
      </w:pPr>
    </w:p>
    <w:p w14:paraId="4F0BA3BF" w14:textId="77777777" w:rsidR="002474B1" w:rsidRPr="002474B1" w:rsidRDefault="002474B1" w:rsidP="002474B1">
      <w:pPr>
        <w:spacing w:line="360" w:lineRule="auto"/>
        <w:jc w:val="both"/>
        <w:rPr>
          <w:lang w:val="es-PE" w:eastAsia="es-ES"/>
        </w:rPr>
      </w:pPr>
      <w:bookmarkStart w:id="8" w:name="_Hlk108530950"/>
      <w:r w:rsidRPr="002474B1">
        <w:rPr>
          <w:lang w:val="es-PE" w:eastAsia="es-ES"/>
        </w:rPr>
        <w:t xml:space="preserve">El 69 % de los </w:t>
      </w:r>
      <w:proofErr w:type="spellStart"/>
      <w:r w:rsidRPr="002474B1">
        <w:rPr>
          <w:lang w:val="es-PE" w:eastAsia="es-ES"/>
        </w:rPr>
        <w:t>PVPC</w:t>
      </w:r>
      <w:proofErr w:type="spellEnd"/>
      <w:r w:rsidRPr="002474B1">
        <w:rPr>
          <w:lang w:val="es-PE" w:eastAsia="es-ES"/>
        </w:rPr>
        <w:t xml:space="preserve"> consignan empresas de 1 a 20 trabajadores y el 85,5 % declaran el presupuesto para el control y prevención de la COVID-19. El 28,44 % de </w:t>
      </w:r>
      <w:proofErr w:type="spellStart"/>
      <w:r w:rsidRPr="002474B1">
        <w:rPr>
          <w:lang w:val="es-PE" w:eastAsia="es-ES"/>
        </w:rPr>
        <w:t>PVPC</w:t>
      </w:r>
      <w:proofErr w:type="spellEnd"/>
      <w:r w:rsidRPr="002474B1">
        <w:rPr>
          <w:lang w:val="es-PE" w:eastAsia="es-ES"/>
        </w:rPr>
        <w:t xml:space="preserve"> reportaron contar con al menos 1 profesional de la salud, de medicina o enfermería. El 6,26 % de los </w:t>
      </w:r>
      <w:proofErr w:type="spellStart"/>
      <w:r w:rsidRPr="002474B1">
        <w:rPr>
          <w:lang w:val="es-PE" w:eastAsia="es-ES"/>
        </w:rPr>
        <w:t>PVPC</w:t>
      </w:r>
      <w:proofErr w:type="spellEnd"/>
      <w:r w:rsidRPr="002474B1">
        <w:rPr>
          <w:lang w:val="es-PE" w:eastAsia="es-ES"/>
        </w:rPr>
        <w:t xml:space="preserve"> no contaron con ningún tipo de supervisión de SST (tabla 1).</w:t>
      </w:r>
    </w:p>
    <w:bookmarkEnd w:id="8"/>
    <w:p w14:paraId="0C95C369" w14:textId="77777777" w:rsidR="002474B1" w:rsidRPr="002474B1" w:rsidRDefault="002474B1" w:rsidP="002474B1">
      <w:pPr>
        <w:spacing w:line="360" w:lineRule="auto"/>
        <w:jc w:val="both"/>
        <w:rPr>
          <w:lang w:val="es-PE" w:eastAsia="es-ES"/>
        </w:rPr>
      </w:pPr>
    </w:p>
    <w:p w14:paraId="687651A2" w14:textId="77777777" w:rsidR="002474B1" w:rsidRPr="002474B1" w:rsidRDefault="002474B1" w:rsidP="002474B1">
      <w:pPr>
        <w:spacing w:after="160" w:line="259" w:lineRule="auto"/>
        <w:rPr>
          <w:b/>
          <w:sz w:val="22"/>
          <w:szCs w:val="22"/>
          <w:lang w:val="es-PE" w:eastAsia="es-ES"/>
        </w:rPr>
      </w:pPr>
      <w:r w:rsidRPr="002474B1">
        <w:rPr>
          <w:b/>
          <w:sz w:val="22"/>
          <w:szCs w:val="22"/>
          <w:lang w:val="es-PE" w:eastAsia="es-ES"/>
        </w:rPr>
        <w:br w:type="page"/>
      </w:r>
    </w:p>
    <w:p w14:paraId="1E26A06D" w14:textId="77777777" w:rsidR="002474B1" w:rsidRPr="002474B1" w:rsidRDefault="002474B1" w:rsidP="002474B1">
      <w:pPr>
        <w:spacing w:line="360" w:lineRule="auto"/>
        <w:jc w:val="center"/>
        <w:rPr>
          <w:rFonts w:eastAsia="Arial"/>
          <w:sz w:val="22"/>
          <w:szCs w:val="22"/>
          <w:lang w:val="es-PE" w:eastAsia="es-ES"/>
        </w:rPr>
      </w:pPr>
      <w:r w:rsidRPr="002474B1">
        <w:rPr>
          <w:b/>
          <w:sz w:val="22"/>
          <w:szCs w:val="22"/>
          <w:lang w:val="es-PE" w:eastAsia="es-ES"/>
        </w:rPr>
        <w:lastRenderedPageBreak/>
        <w:t>Tabla 1 -</w:t>
      </w:r>
      <w:r w:rsidRPr="002474B1">
        <w:rPr>
          <w:rFonts w:eastAsia="Arial"/>
          <w:sz w:val="22"/>
          <w:szCs w:val="22"/>
          <w:lang w:val="es-PE" w:eastAsia="es-ES"/>
        </w:rPr>
        <w:t xml:space="preserve"> Características de los </w:t>
      </w:r>
      <w:proofErr w:type="spellStart"/>
      <w:r w:rsidRPr="002474B1">
        <w:rPr>
          <w:rFonts w:eastAsia="Arial"/>
          <w:sz w:val="22"/>
          <w:szCs w:val="22"/>
          <w:lang w:val="es-PE" w:eastAsia="es-ES"/>
        </w:rPr>
        <w:t>PVPC</w:t>
      </w:r>
      <w:proofErr w:type="spellEnd"/>
      <w:r w:rsidRPr="002474B1">
        <w:rPr>
          <w:rFonts w:eastAsia="Arial"/>
          <w:sz w:val="22"/>
          <w:szCs w:val="22"/>
          <w:lang w:val="es-PE" w:eastAsia="es-ES"/>
        </w:rPr>
        <w:t xml:space="preserve"> de empresas del sector minero peruano registrados en </w:t>
      </w:r>
      <w:proofErr w:type="spellStart"/>
      <w:r w:rsidRPr="002474B1">
        <w:rPr>
          <w:rFonts w:eastAsia="Arial"/>
          <w:sz w:val="22"/>
          <w:szCs w:val="22"/>
          <w:lang w:val="es-PE" w:eastAsia="es-ES"/>
        </w:rPr>
        <w:t>SISCOVID</w:t>
      </w:r>
      <w:proofErr w:type="spellEnd"/>
      <w:r w:rsidRPr="002474B1">
        <w:rPr>
          <w:rFonts w:eastAsia="Arial"/>
          <w:sz w:val="22"/>
          <w:szCs w:val="22"/>
          <w:lang w:val="es-PE" w:eastAsia="es-ES"/>
        </w:rPr>
        <w:t>-Empresas del MINSA (n= 2 236)</w:t>
      </w:r>
    </w:p>
    <w:p w14:paraId="0E2F0BE9" w14:textId="10C1C11D" w:rsidR="00C97282" w:rsidRDefault="00C97282" w:rsidP="00C97282">
      <w:pPr>
        <w:spacing w:line="360" w:lineRule="auto"/>
        <w:jc w:val="center"/>
        <w:rPr>
          <w:rFonts w:eastAsia="Arial"/>
          <w:sz w:val="16"/>
          <w:szCs w:val="16"/>
          <w:lang w:val="es-PE" w:eastAsia="es-ES"/>
        </w:rPr>
      </w:pPr>
      <w:r>
        <w:rPr>
          <w:rFonts w:eastAsia="Arial"/>
          <w:noProof/>
          <w:sz w:val="16"/>
          <w:szCs w:val="16"/>
          <w:lang w:val="es-PE" w:eastAsia="es-ES"/>
        </w:rPr>
        <w:drawing>
          <wp:inline distT="0" distB="0" distL="0" distR="0" wp14:anchorId="741A39B8" wp14:editId="5BB01DBF">
            <wp:extent cx="2457143" cy="5504762"/>
            <wp:effectExtent l="0" t="0" r="63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2457143" cy="5504762"/>
                    </a:xfrm>
                    <a:prstGeom prst="rect">
                      <a:avLst/>
                    </a:prstGeom>
                  </pic:spPr>
                </pic:pic>
              </a:graphicData>
            </a:graphic>
          </wp:inline>
        </w:drawing>
      </w:r>
    </w:p>
    <w:p w14:paraId="50FCDAC5" w14:textId="0FF03BB3" w:rsidR="002474B1" w:rsidRPr="002474B1" w:rsidRDefault="002474B1" w:rsidP="00C97282">
      <w:pPr>
        <w:spacing w:line="360" w:lineRule="auto"/>
        <w:jc w:val="center"/>
        <w:rPr>
          <w:rFonts w:eastAsia="Arial"/>
          <w:sz w:val="16"/>
          <w:szCs w:val="16"/>
          <w:lang w:val="es-PE" w:eastAsia="es-ES"/>
        </w:rPr>
      </w:pPr>
      <w:r w:rsidRPr="002474B1">
        <w:rPr>
          <w:rFonts w:eastAsia="Arial"/>
          <w:sz w:val="16"/>
          <w:szCs w:val="16"/>
          <w:lang w:val="es-PE" w:eastAsia="es-ES"/>
        </w:rPr>
        <w:t>SST: Seguridad y salud en el trabajo.</w:t>
      </w:r>
    </w:p>
    <w:p w14:paraId="0F619109" w14:textId="77777777" w:rsidR="002474B1" w:rsidRPr="002474B1" w:rsidRDefault="002474B1" w:rsidP="002474B1">
      <w:pPr>
        <w:spacing w:line="360" w:lineRule="auto"/>
        <w:jc w:val="both"/>
        <w:rPr>
          <w:lang w:val="es-PE" w:eastAsia="es-ES"/>
        </w:rPr>
      </w:pPr>
    </w:p>
    <w:p w14:paraId="2D05B51A" w14:textId="77777777" w:rsidR="002474B1" w:rsidRPr="002474B1" w:rsidRDefault="002474B1" w:rsidP="002474B1">
      <w:pPr>
        <w:spacing w:line="360" w:lineRule="auto"/>
        <w:jc w:val="both"/>
        <w:rPr>
          <w:lang w:val="es-PE" w:eastAsia="es-ES"/>
        </w:rPr>
      </w:pPr>
      <w:bookmarkStart w:id="9" w:name="_Hlk108530958"/>
      <w:r w:rsidRPr="002474B1">
        <w:rPr>
          <w:lang w:val="es-PE" w:eastAsia="es-ES"/>
        </w:rPr>
        <w:t xml:space="preserve">El 94,9 % de las empresas con &gt; 500 trabajadores fueron supervisadas por un comité. El 7,1 % y 52,2 % de las empresas con entre 1 a 20 trabajadores y las que no reportaron el número de trabajadores, no contaron con ningún tipo de supervisión. El 18,5 % de empresas con 1 a 20 trabajadores reportaron ser </w:t>
      </w:r>
      <w:r w:rsidRPr="002474B1">
        <w:rPr>
          <w:lang w:val="es-PE" w:eastAsia="es-ES"/>
        </w:rPr>
        <w:lastRenderedPageBreak/>
        <w:t xml:space="preserve">supervisados por un comité. Del total, 140 empresas (6,3 %) no reportaron tener un supervisor o comité (tabla 2). </w:t>
      </w:r>
    </w:p>
    <w:bookmarkEnd w:id="9"/>
    <w:p w14:paraId="4F016E13" w14:textId="77777777" w:rsidR="002474B1" w:rsidRPr="002474B1" w:rsidRDefault="002474B1" w:rsidP="002474B1">
      <w:pPr>
        <w:spacing w:line="360" w:lineRule="auto"/>
        <w:rPr>
          <w:b/>
          <w:lang w:val="es-PE" w:eastAsia="es-ES"/>
        </w:rPr>
      </w:pPr>
    </w:p>
    <w:p w14:paraId="7058A7C2" w14:textId="77777777" w:rsidR="002474B1" w:rsidRPr="002474B1" w:rsidRDefault="002474B1" w:rsidP="002474B1">
      <w:pPr>
        <w:spacing w:line="360" w:lineRule="auto"/>
        <w:jc w:val="center"/>
        <w:rPr>
          <w:sz w:val="22"/>
          <w:szCs w:val="22"/>
          <w:lang w:val="es-PE" w:eastAsia="es-ES"/>
        </w:rPr>
      </w:pPr>
      <w:r w:rsidRPr="002474B1">
        <w:rPr>
          <w:b/>
          <w:sz w:val="22"/>
          <w:szCs w:val="22"/>
          <w:lang w:val="es-PE" w:eastAsia="es-ES"/>
        </w:rPr>
        <w:t>Tabla 2 -</w:t>
      </w:r>
      <w:r w:rsidRPr="002474B1">
        <w:rPr>
          <w:sz w:val="22"/>
          <w:szCs w:val="22"/>
          <w:lang w:val="es-PE" w:eastAsia="es-ES"/>
        </w:rPr>
        <w:t xml:space="preserve"> Distribución de supervisión del </w:t>
      </w:r>
      <w:proofErr w:type="spellStart"/>
      <w:r w:rsidRPr="002474B1">
        <w:rPr>
          <w:sz w:val="22"/>
          <w:szCs w:val="22"/>
          <w:lang w:val="es-PE" w:eastAsia="es-ES"/>
        </w:rPr>
        <w:t>PVPC</w:t>
      </w:r>
      <w:proofErr w:type="spellEnd"/>
      <w:r w:rsidRPr="002474B1">
        <w:rPr>
          <w:sz w:val="22"/>
          <w:szCs w:val="22"/>
          <w:lang w:val="es-PE" w:eastAsia="es-ES"/>
        </w:rPr>
        <w:t xml:space="preserve"> de acuerdo con el número de trabajadores</w:t>
      </w:r>
    </w:p>
    <w:p w14:paraId="2590D390" w14:textId="500B4F58" w:rsidR="002474B1" w:rsidRDefault="00C816AB" w:rsidP="00C816AB">
      <w:pPr>
        <w:spacing w:line="360" w:lineRule="auto"/>
        <w:jc w:val="center"/>
        <w:rPr>
          <w:lang w:val="es-PE" w:eastAsia="es-ES"/>
        </w:rPr>
      </w:pPr>
      <w:r>
        <w:rPr>
          <w:noProof/>
          <w:lang w:val="es-PE" w:eastAsia="es-ES"/>
        </w:rPr>
        <w:drawing>
          <wp:inline distT="0" distB="0" distL="0" distR="0" wp14:anchorId="5CEFB35E" wp14:editId="3F14BB45">
            <wp:extent cx="3704110" cy="2110166"/>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9">
                      <a:extLst>
                        <a:ext uri="{28A0092B-C50C-407E-A947-70E740481C1C}">
                          <a14:useLocalDpi xmlns:a14="http://schemas.microsoft.com/office/drawing/2010/main" val="0"/>
                        </a:ext>
                      </a:extLst>
                    </a:blip>
                    <a:stretch>
                      <a:fillRect/>
                    </a:stretch>
                  </pic:blipFill>
                  <pic:spPr>
                    <a:xfrm>
                      <a:off x="0" y="0"/>
                      <a:ext cx="3711420" cy="2114331"/>
                    </a:xfrm>
                    <a:prstGeom prst="rect">
                      <a:avLst/>
                    </a:prstGeom>
                  </pic:spPr>
                </pic:pic>
              </a:graphicData>
            </a:graphic>
          </wp:inline>
        </w:drawing>
      </w:r>
    </w:p>
    <w:p w14:paraId="0A9F911E" w14:textId="77777777" w:rsidR="00C816AB" w:rsidRPr="002474B1" w:rsidRDefault="00C816AB" w:rsidP="002474B1">
      <w:pPr>
        <w:spacing w:line="360" w:lineRule="auto"/>
        <w:rPr>
          <w:lang w:val="es-PE" w:eastAsia="es-ES"/>
        </w:rPr>
      </w:pPr>
    </w:p>
    <w:p w14:paraId="4010F169" w14:textId="77777777" w:rsidR="002474B1" w:rsidRPr="002474B1" w:rsidRDefault="002474B1" w:rsidP="002474B1">
      <w:pPr>
        <w:spacing w:line="360" w:lineRule="auto"/>
        <w:jc w:val="both"/>
        <w:rPr>
          <w:lang w:val="es-PE" w:eastAsia="es-ES"/>
        </w:rPr>
      </w:pPr>
      <w:bookmarkStart w:id="10" w:name="_Hlk108530963"/>
      <w:r w:rsidRPr="002474B1">
        <w:rPr>
          <w:lang w:val="es-PE" w:eastAsia="es-ES"/>
        </w:rPr>
        <w:t xml:space="preserve">En la tabla 3 se observa que el 12,7 % del total de empresas contaron con personal médico y el 5,8 %, con personal de enfermería. El 81,2 % de las empresas con &gt; 500 trabajadores contaban con profesionales de la salud, mientras que el 89,2 % de las empresas con 1 a 20 trabajadores no contaban con estos. Asimismo, el 73,8 % y 93,2 % de las empresas con 101 a 500 y más de 500 trabajadores, contaban con al menos un profesional médico, respectivamente. </w:t>
      </w:r>
    </w:p>
    <w:bookmarkEnd w:id="10"/>
    <w:p w14:paraId="650A2887" w14:textId="77777777" w:rsidR="002474B1" w:rsidRPr="002474B1" w:rsidRDefault="002474B1" w:rsidP="002474B1">
      <w:pPr>
        <w:spacing w:line="360" w:lineRule="auto"/>
        <w:rPr>
          <w:lang w:val="es-PE" w:eastAsia="es-ES"/>
        </w:rPr>
      </w:pPr>
    </w:p>
    <w:p w14:paraId="51C1A5A6" w14:textId="77777777" w:rsidR="002474B1" w:rsidRPr="002474B1" w:rsidRDefault="002474B1" w:rsidP="002474B1">
      <w:pPr>
        <w:spacing w:line="360" w:lineRule="auto"/>
        <w:jc w:val="center"/>
        <w:rPr>
          <w:sz w:val="22"/>
          <w:szCs w:val="22"/>
          <w:lang w:val="es-PE" w:eastAsia="es-ES"/>
        </w:rPr>
      </w:pPr>
      <w:r w:rsidRPr="002474B1">
        <w:rPr>
          <w:b/>
          <w:sz w:val="22"/>
          <w:szCs w:val="22"/>
          <w:lang w:val="es-PE" w:eastAsia="es-ES"/>
        </w:rPr>
        <w:t>Tabla 3 -</w:t>
      </w:r>
      <w:r w:rsidRPr="002474B1">
        <w:rPr>
          <w:sz w:val="22"/>
          <w:szCs w:val="22"/>
          <w:lang w:val="es-PE" w:eastAsia="es-ES"/>
        </w:rPr>
        <w:t xml:space="preserve"> Distribución de los profesionales de la salud según el número de trabajadores</w:t>
      </w:r>
    </w:p>
    <w:p w14:paraId="07B27538" w14:textId="3D6064C5" w:rsidR="002474B1" w:rsidRDefault="00C816AB" w:rsidP="00C816AB">
      <w:pPr>
        <w:spacing w:line="360" w:lineRule="auto"/>
        <w:jc w:val="center"/>
        <w:rPr>
          <w:lang w:val="es-PE" w:eastAsia="es-ES"/>
        </w:rPr>
      </w:pPr>
      <w:r>
        <w:rPr>
          <w:noProof/>
          <w:lang w:val="es-PE" w:eastAsia="es-ES"/>
        </w:rPr>
        <w:drawing>
          <wp:inline distT="0" distB="0" distL="0" distR="0" wp14:anchorId="3606A492" wp14:editId="1894035B">
            <wp:extent cx="4018265" cy="198614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0">
                      <a:extLst>
                        <a:ext uri="{28A0092B-C50C-407E-A947-70E740481C1C}">
                          <a14:useLocalDpi xmlns:a14="http://schemas.microsoft.com/office/drawing/2010/main" val="0"/>
                        </a:ext>
                      </a:extLst>
                    </a:blip>
                    <a:stretch>
                      <a:fillRect/>
                    </a:stretch>
                  </pic:blipFill>
                  <pic:spPr>
                    <a:xfrm>
                      <a:off x="0" y="0"/>
                      <a:ext cx="4026991" cy="1990458"/>
                    </a:xfrm>
                    <a:prstGeom prst="rect">
                      <a:avLst/>
                    </a:prstGeom>
                  </pic:spPr>
                </pic:pic>
              </a:graphicData>
            </a:graphic>
          </wp:inline>
        </w:drawing>
      </w:r>
    </w:p>
    <w:p w14:paraId="33FB55E2" w14:textId="77777777" w:rsidR="00C816AB" w:rsidRPr="002474B1" w:rsidRDefault="00C816AB" w:rsidP="00C816AB">
      <w:pPr>
        <w:spacing w:line="360" w:lineRule="auto"/>
        <w:jc w:val="center"/>
        <w:rPr>
          <w:lang w:val="es-PE" w:eastAsia="es-ES"/>
        </w:rPr>
      </w:pPr>
    </w:p>
    <w:p w14:paraId="64478E8D" w14:textId="77777777" w:rsidR="002474B1" w:rsidRPr="002474B1" w:rsidRDefault="002474B1" w:rsidP="002474B1">
      <w:pPr>
        <w:spacing w:line="360" w:lineRule="auto"/>
        <w:jc w:val="both"/>
        <w:rPr>
          <w:b/>
          <w:lang w:val="es-PE" w:eastAsia="es-ES"/>
        </w:rPr>
      </w:pPr>
      <w:bookmarkStart w:id="11" w:name="_Hlk108533280"/>
      <w:bookmarkStart w:id="12" w:name="_Hlk108533495"/>
      <w:bookmarkStart w:id="13" w:name="_Hlk108530974"/>
    </w:p>
    <w:p w14:paraId="2834B3AE" w14:textId="77777777" w:rsidR="002474B1" w:rsidRPr="002474B1" w:rsidRDefault="002474B1" w:rsidP="002474B1">
      <w:pPr>
        <w:spacing w:line="360" w:lineRule="auto"/>
        <w:jc w:val="center"/>
        <w:rPr>
          <w:b/>
          <w:sz w:val="32"/>
          <w:szCs w:val="32"/>
          <w:lang w:val="es-PE" w:eastAsia="es-ES"/>
        </w:rPr>
      </w:pPr>
      <w:r w:rsidRPr="002474B1">
        <w:rPr>
          <w:b/>
          <w:sz w:val="32"/>
          <w:szCs w:val="32"/>
          <w:lang w:val="es-PE" w:eastAsia="es-ES"/>
        </w:rPr>
        <w:t>DISCUSIÓN</w:t>
      </w:r>
    </w:p>
    <w:p w14:paraId="08DDE8BD" w14:textId="77777777" w:rsidR="002474B1" w:rsidRPr="002474B1" w:rsidRDefault="002474B1" w:rsidP="002474B1">
      <w:pPr>
        <w:spacing w:line="360" w:lineRule="auto"/>
        <w:jc w:val="both"/>
        <w:rPr>
          <w:lang w:val="es-PE" w:eastAsia="es-ES"/>
        </w:rPr>
      </w:pPr>
      <w:bookmarkStart w:id="14" w:name="_Hlk116399460"/>
      <w:bookmarkStart w:id="15" w:name="_Hlk108532782"/>
      <w:r w:rsidRPr="002474B1">
        <w:rPr>
          <w:lang w:val="es-PE" w:eastAsia="es-ES"/>
        </w:rPr>
        <w:t xml:space="preserve">Seis de cada 100 empresas del sector minero peruano no cuentan con supervisor o Comité de SST, a pesar de que la Ley </w:t>
      </w:r>
      <w:proofErr w:type="spellStart"/>
      <w:r w:rsidRPr="002474B1">
        <w:rPr>
          <w:lang w:val="es-PE" w:eastAsia="es-ES"/>
        </w:rPr>
        <w:t>N°</w:t>
      </w:r>
      <w:proofErr w:type="spellEnd"/>
      <w:r w:rsidRPr="002474B1">
        <w:rPr>
          <w:lang w:val="es-PE" w:eastAsia="es-ES"/>
        </w:rPr>
        <w:t xml:space="preserve"> 29783 lo demanda (hasta 20 trabajadores: supervisor de SST; más de 20 trabajadores: comité de SST). Se observó que, a menor tamaño de la empresa, en relación con el número de trabajadores, menor el porcentaje de cumplimiento de contar con el comité de SST. Como el supervisor o comité de SST deben aprobar y vigilar el cumplimiento del </w:t>
      </w:r>
      <w:proofErr w:type="spellStart"/>
      <w:proofErr w:type="gramStart"/>
      <w:r w:rsidRPr="002474B1">
        <w:rPr>
          <w:lang w:val="es-PE" w:eastAsia="es-ES"/>
        </w:rPr>
        <w:t>PVPC</w:t>
      </w:r>
      <w:proofErr w:type="spellEnd"/>
      <w:r w:rsidRPr="002474B1">
        <w:rPr>
          <w:lang w:val="es-PE" w:eastAsia="es-ES"/>
        </w:rPr>
        <w:t>,</w:t>
      </w:r>
      <w:r w:rsidRPr="002474B1">
        <w:rPr>
          <w:vertAlign w:val="superscript"/>
          <w:lang w:val="es-PE" w:eastAsia="es-ES"/>
        </w:rPr>
        <w:t>(</w:t>
      </w:r>
      <w:proofErr w:type="gramEnd"/>
      <w:r w:rsidRPr="002474B1">
        <w:rPr>
          <w:vertAlign w:val="superscript"/>
          <w:lang w:val="es-PE" w:eastAsia="es-ES"/>
        </w:rPr>
        <w:t>7)</w:t>
      </w:r>
      <w:r w:rsidRPr="002474B1">
        <w:rPr>
          <w:lang w:val="es-PE" w:eastAsia="es-ES"/>
        </w:rPr>
        <w:t xml:space="preserve"> se debe enfatizar en el cumplimiento de contar con el supervisor o comité de SST en las empresas.</w:t>
      </w:r>
    </w:p>
    <w:bookmarkEnd w:id="14"/>
    <w:p w14:paraId="44365BEC" w14:textId="77777777" w:rsidR="002474B1" w:rsidRPr="002474B1" w:rsidRDefault="002474B1" w:rsidP="002474B1">
      <w:pPr>
        <w:spacing w:line="360" w:lineRule="auto"/>
        <w:jc w:val="both"/>
        <w:rPr>
          <w:lang w:val="es-PE" w:eastAsia="es-ES"/>
        </w:rPr>
      </w:pPr>
      <w:r w:rsidRPr="002474B1">
        <w:rPr>
          <w:lang w:val="es-PE" w:eastAsia="es-ES"/>
        </w:rPr>
        <w:t xml:space="preserve">Siete de cada 10 empresas mineras no cuentan con profesional de la salud de SST, proporción mayor a la reportada en el sector salud peruano, para el mismo </w:t>
      </w:r>
      <w:proofErr w:type="gramStart"/>
      <w:r w:rsidRPr="002474B1">
        <w:rPr>
          <w:lang w:val="es-PE" w:eastAsia="es-ES"/>
        </w:rPr>
        <w:t>periodo.</w:t>
      </w:r>
      <w:r w:rsidRPr="002474B1">
        <w:rPr>
          <w:vertAlign w:val="superscript"/>
          <w:lang w:val="es-PE" w:eastAsia="es-ES"/>
        </w:rPr>
        <w:t>(</w:t>
      </w:r>
      <w:proofErr w:type="gramEnd"/>
      <w:r w:rsidRPr="002474B1">
        <w:rPr>
          <w:vertAlign w:val="superscript"/>
          <w:lang w:val="es-PE" w:eastAsia="es-ES"/>
        </w:rPr>
        <w:t>11)</w:t>
      </w:r>
      <w:r w:rsidRPr="002474B1">
        <w:rPr>
          <w:lang w:val="es-PE" w:eastAsia="es-ES"/>
        </w:rPr>
        <w:t xml:space="preserve"> Todas las empresas con más de 500 trabajadores y las 2 terceras partes de las empresas con 101 a 500 trabajadores contaron con al menos 1 profesional médico. El MINSA exige a las empresas contar con un profesional de la salud de SST (con un perfil profesional específico y capacitación</w:t>
      </w:r>
      <w:proofErr w:type="gramStart"/>
      <w:r w:rsidRPr="002474B1">
        <w:rPr>
          <w:lang w:val="es-PE" w:eastAsia="es-ES"/>
        </w:rPr>
        <w:t>).</w:t>
      </w:r>
      <w:r w:rsidRPr="002474B1">
        <w:rPr>
          <w:vertAlign w:val="superscript"/>
          <w:lang w:val="es-PE" w:eastAsia="es-ES"/>
        </w:rPr>
        <w:t>(</w:t>
      </w:r>
      <w:proofErr w:type="gramEnd"/>
      <w:r w:rsidRPr="002474B1">
        <w:rPr>
          <w:vertAlign w:val="superscript"/>
          <w:lang w:val="es-PE" w:eastAsia="es-ES"/>
        </w:rPr>
        <w:t>7)</w:t>
      </w:r>
      <w:r w:rsidRPr="002474B1">
        <w:rPr>
          <w:lang w:val="es-PE" w:eastAsia="es-ES"/>
        </w:rPr>
        <w:t xml:space="preserve"> Este requisito es evaluado a las empresas que realizan actividades productivas, como parte de la reanudación económica,</w:t>
      </w:r>
      <w:r w:rsidRPr="002474B1">
        <w:rPr>
          <w:vertAlign w:val="superscript"/>
          <w:lang w:val="es-PE" w:eastAsia="es-ES"/>
        </w:rPr>
        <w:t>(8)</w:t>
      </w:r>
      <w:r w:rsidRPr="002474B1">
        <w:rPr>
          <w:lang w:val="es-PE" w:eastAsia="es-ES"/>
        </w:rPr>
        <w:t xml:space="preserve"> para proteger la salud de los trabajadores y mantener la productividad económica peruana.</w:t>
      </w:r>
      <w:r w:rsidRPr="002474B1">
        <w:rPr>
          <w:vertAlign w:val="superscript"/>
          <w:lang w:val="es-PE" w:eastAsia="es-ES"/>
        </w:rPr>
        <w:t>(7,10)</w:t>
      </w:r>
    </w:p>
    <w:p w14:paraId="74714E96" w14:textId="77777777" w:rsidR="002474B1" w:rsidRPr="002474B1" w:rsidRDefault="002474B1" w:rsidP="002474B1">
      <w:pPr>
        <w:spacing w:line="360" w:lineRule="auto"/>
        <w:jc w:val="both"/>
        <w:rPr>
          <w:lang w:val="es-PE" w:eastAsia="es-ES"/>
        </w:rPr>
      </w:pPr>
      <w:r w:rsidRPr="002474B1">
        <w:rPr>
          <w:lang w:val="es-PE" w:eastAsia="es-ES"/>
        </w:rPr>
        <w:t xml:space="preserve">Estudios previos sobre los </w:t>
      </w:r>
      <w:proofErr w:type="spellStart"/>
      <w:r w:rsidRPr="002474B1">
        <w:rPr>
          <w:lang w:val="es-PE" w:eastAsia="es-ES"/>
        </w:rPr>
        <w:t>PVPC</w:t>
      </w:r>
      <w:proofErr w:type="spellEnd"/>
      <w:r w:rsidRPr="002474B1">
        <w:rPr>
          <w:lang w:val="es-PE" w:eastAsia="es-ES"/>
        </w:rPr>
        <w:t xml:space="preserve"> en empresas mineras peruanas indican un 96,0 % de cumplimiento en la empresa </w:t>
      </w:r>
      <w:proofErr w:type="spellStart"/>
      <w:r w:rsidRPr="002474B1">
        <w:rPr>
          <w:lang w:val="es-PE" w:eastAsia="es-ES"/>
        </w:rPr>
        <w:t>CIEMSA</w:t>
      </w:r>
      <w:proofErr w:type="spellEnd"/>
      <w:r w:rsidRPr="002474B1">
        <w:rPr>
          <w:lang w:val="es-PE" w:eastAsia="es-ES"/>
        </w:rPr>
        <w:t xml:space="preserve"> (Puno), acompañado de una reducción de los casos de la COVID-19 en los 5 meses posteriores a la implementación del </w:t>
      </w:r>
      <w:proofErr w:type="spellStart"/>
      <w:r w:rsidRPr="002474B1">
        <w:rPr>
          <w:lang w:val="es-PE" w:eastAsia="es-ES"/>
        </w:rPr>
        <w:t>PVPC</w:t>
      </w:r>
      <w:proofErr w:type="spellEnd"/>
      <w:r w:rsidRPr="002474B1">
        <w:rPr>
          <w:vertAlign w:val="superscript"/>
          <w:lang w:val="es-PE" w:eastAsia="es-ES"/>
        </w:rPr>
        <w:t>(10)</w:t>
      </w:r>
      <w:r w:rsidRPr="002474B1">
        <w:rPr>
          <w:lang w:val="es-PE" w:eastAsia="es-ES"/>
        </w:rPr>
        <w:t xml:space="preserve"> y una reducción de descansos médicos por </w:t>
      </w:r>
      <w:r w:rsidRPr="002474B1">
        <w:rPr>
          <w:lang w:val="es-ES" w:eastAsia="es-ES"/>
        </w:rPr>
        <w:t xml:space="preserve">la </w:t>
      </w:r>
      <w:r w:rsidRPr="002474B1">
        <w:rPr>
          <w:lang w:val="es-PE" w:eastAsia="es-ES"/>
        </w:rPr>
        <w:t xml:space="preserve">COVID-19 y otras causas, posterior a la implementación del </w:t>
      </w:r>
      <w:proofErr w:type="spellStart"/>
      <w:r w:rsidRPr="002474B1">
        <w:rPr>
          <w:lang w:val="es-PE" w:eastAsia="es-ES"/>
        </w:rPr>
        <w:t>PVPC</w:t>
      </w:r>
      <w:proofErr w:type="spellEnd"/>
      <w:r w:rsidRPr="002474B1">
        <w:rPr>
          <w:lang w:val="es-PE" w:eastAsia="es-ES"/>
        </w:rPr>
        <w:t xml:space="preserve"> en la empresa </w:t>
      </w:r>
      <w:proofErr w:type="spellStart"/>
      <w:r w:rsidRPr="002474B1">
        <w:rPr>
          <w:lang w:val="es-PE" w:eastAsia="es-ES"/>
        </w:rPr>
        <w:t>Kolpa</w:t>
      </w:r>
      <w:proofErr w:type="spellEnd"/>
      <w:r w:rsidRPr="002474B1">
        <w:rPr>
          <w:lang w:val="es-PE" w:eastAsia="es-ES"/>
        </w:rPr>
        <w:t xml:space="preserve"> (Huancavelica).</w:t>
      </w:r>
      <w:r w:rsidRPr="002474B1">
        <w:rPr>
          <w:vertAlign w:val="superscript"/>
          <w:lang w:val="es-PE" w:eastAsia="es-ES"/>
        </w:rPr>
        <w:t>(13)</w:t>
      </w:r>
      <w:r w:rsidRPr="002474B1">
        <w:rPr>
          <w:lang w:val="es-PE" w:eastAsia="es-ES"/>
        </w:rPr>
        <w:t xml:space="preserve"> Si bien es escasa la información consolidada sobre </w:t>
      </w:r>
      <w:proofErr w:type="spellStart"/>
      <w:r w:rsidRPr="002474B1">
        <w:rPr>
          <w:lang w:val="es-PE" w:eastAsia="es-ES"/>
        </w:rPr>
        <w:t>PVPC</w:t>
      </w:r>
      <w:proofErr w:type="spellEnd"/>
      <w:r w:rsidRPr="002474B1">
        <w:rPr>
          <w:lang w:val="es-PE" w:eastAsia="es-ES"/>
        </w:rPr>
        <w:t xml:space="preserve">, estos parecen ser útiles para su propósito; se evidencia una reducción de casos de la COVID-19 </w:t>
      </w:r>
      <w:proofErr w:type="spellStart"/>
      <w:r w:rsidRPr="002474B1">
        <w:rPr>
          <w:lang w:val="es-PE" w:eastAsia="es-ES"/>
        </w:rPr>
        <w:t>posimplementación</w:t>
      </w:r>
      <w:proofErr w:type="spellEnd"/>
      <w:r w:rsidRPr="002474B1">
        <w:rPr>
          <w:lang w:val="es-PE" w:eastAsia="es-ES"/>
        </w:rPr>
        <w:t xml:space="preserve"> del </w:t>
      </w:r>
      <w:proofErr w:type="spellStart"/>
      <w:r w:rsidRPr="002474B1">
        <w:rPr>
          <w:lang w:val="es-PE" w:eastAsia="es-ES"/>
        </w:rPr>
        <w:t>PVPC</w:t>
      </w:r>
      <w:proofErr w:type="spellEnd"/>
      <w:r w:rsidRPr="002474B1">
        <w:rPr>
          <w:lang w:val="es-PE" w:eastAsia="es-ES"/>
        </w:rPr>
        <w:t xml:space="preserve"> en una empresa del sector pesquero peruano.</w:t>
      </w:r>
      <w:r w:rsidRPr="002474B1">
        <w:rPr>
          <w:vertAlign w:val="superscript"/>
          <w:lang w:val="es-PE" w:eastAsia="es-ES"/>
        </w:rPr>
        <w:t>(9)</w:t>
      </w:r>
    </w:p>
    <w:p w14:paraId="39E0D93D" w14:textId="77777777" w:rsidR="002474B1" w:rsidRPr="002474B1" w:rsidRDefault="002474B1" w:rsidP="002474B1">
      <w:pPr>
        <w:spacing w:line="360" w:lineRule="auto"/>
        <w:jc w:val="both"/>
        <w:rPr>
          <w:lang w:val="es-PE" w:eastAsia="es-ES"/>
        </w:rPr>
      </w:pPr>
      <w:bookmarkStart w:id="16" w:name="_Hlk108532903"/>
      <w:r w:rsidRPr="002474B1">
        <w:rPr>
          <w:lang w:val="es-PE" w:eastAsia="es-ES"/>
        </w:rPr>
        <w:t xml:space="preserve">En el mundo se han adoptado protocolos de bioseguridad frente a la COVID-19 y el retorno paulatino al trabajo presencial. En Colombia y Brasil, estos protocolos fueron específicos según la necesidad de cada sector </w:t>
      </w:r>
      <w:proofErr w:type="gramStart"/>
      <w:r w:rsidRPr="002474B1">
        <w:rPr>
          <w:lang w:val="es-PE" w:eastAsia="es-ES"/>
        </w:rPr>
        <w:t>productivo.</w:t>
      </w:r>
      <w:r w:rsidRPr="002474B1">
        <w:rPr>
          <w:vertAlign w:val="superscript"/>
          <w:lang w:val="es-PE" w:eastAsia="es-ES"/>
        </w:rPr>
        <w:t>(</w:t>
      </w:r>
      <w:proofErr w:type="gramEnd"/>
      <w:r w:rsidRPr="002474B1">
        <w:rPr>
          <w:vertAlign w:val="superscript"/>
          <w:lang w:val="es-PE" w:eastAsia="es-ES"/>
        </w:rPr>
        <w:t>14)</w:t>
      </w:r>
      <w:r w:rsidRPr="002474B1">
        <w:rPr>
          <w:lang w:val="es-PE" w:eastAsia="es-ES"/>
        </w:rPr>
        <w:t xml:space="preserve"> De acuerdo con la Comisión Económica para América Latina y el Caribe, los sectores difieren en su grado de afectación productiva por la COVID-19; el sector minero fue de mediana afectación.</w:t>
      </w:r>
      <w:r w:rsidRPr="002474B1">
        <w:rPr>
          <w:vertAlign w:val="superscript"/>
          <w:lang w:val="es-PE" w:eastAsia="es-ES"/>
        </w:rPr>
        <w:t>(14)</w:t>
      </w:r>
      <w:r w:rsidRPr="002474B1">
        <w:rPr>
          <w:lang w:val="es-PE" w:eastAsia="es-ES"/>
        </w:rPr>
        <w:t xml:space="preserve"> </w:t>
      </w:r>
    </w:p>
    <w:p w14:paraId="01FABFAC" w14:textId="77777777" w:rsidR="002474B1" w:rsidRPr="002474B1" w:rsidRDefault="002474B1" w:rsidP="002474B1">
      <w:pPr>
        <w:spacing w:line="360" w:lineRule="auto"/>
        <w:jc w:val="both"/>
        <w:rPr>
          <w:lang w:val="es-PE" w:eastAsia="es-ES"/>
        </w:rPr>
      </w:pPr>
      <w:r w:rsidRPr="002474B1">
        <w:rPr>
          <w:lang w:val="es-PE" w:eastAsia="es-ES"/>
        </w:rPr>
        <w:lastRenderedPageBreak/>
        <w:t xml:space="preserve">En el sector minero peruano se presentaron casos de la COVID-19, detectados tempranamente y mayormente asintomáticos; pudieron tener desenlaces fatales en ausencia de un plan de control y aislamiento </w:t>
      </w:r>
      <w:proofErr w:type="gramStart"/>
      <w:r w:rsidRPr="002474B1">
        <w:rPr>
          <w:lang w:val="es-PE" w:eastAsia="es-ES"/>
        </w:rPr>
        <w:t>oportuno.</w:t>
      </w:r>
      <w:r w:rsidRPr="002474B1">
        <w:rPr>
          <w:vertAlign w:val="superscript"/>
          <w:lang w:val="es-PE" w:eastAsia="es-ES"/>
        </w:rPr>
        <w:t>(</w:t>
      </w:r>
      <w:proofErr w:type="gramEnd"/>
      <w:r w:rsidRPr="002474B1">
        <w:rPr>
          <w:vertAlign w:val="superscript"/>
          <w:lang w:val="es-PE" w:eastAsia="es-ES"/>
        </w:rPr>
        <w:t>15)</w:t>
      </w:r>
      <w:r w:rsidRPr="002474B1">
        <w:rPr>
          <w:lang w:val="es-PE" w:eastAsia="es-ES"/>
        </w:rPr>
        <w:t xml:space="preserve"> Por ello se requiere una rápida adopción y adecuado cumplimiento de los </w:t>
      </w:r>
      <w:proofErr w:type="spellStart"/>
      <w:r w:rsidRPr="002474B1">
        <w:rPr>
          <w:lang w:val="es-PE" w:eastAsia="es-ES"/>
        </w:rPr>
        <w:t>PVPC</w:t>
      </w:r>
      <w:bookmarkEnd w:id="16"/>
      <w:proofErr w:type="spellEnd"/>
      <w:r w:rsidRPr="002474B1">
        <w:rPr>
          <w:lang w:val="es-PE" w:eastAsia="es-ES"/>
        </w:rPr>
        <w:t>.</w:t>
      </w:r>
    </w:p>
    <w:p w14:paraId="0B97DA0B" w14:textId="77777777" w:rsidR="002474B1" w:rsidRPr="002474B1" w:rsidRDefault="002474B1" w:rsidP="002474B1">
      <w:pPr>
        <w:spacing w:line="360" w:lineRule="auto"/>
        <w:jc w:val="both"/>
        <w:rPr>
          <w:lang w:val="es-PE" w:eastAsia="es-ES"/>
        </w:rPr>
      </w:pPr>
      <w:r w:rsidRPr="002474B1">
        <w:rPr>
          <w:lang w:val="es-PE" w:eastAsia="es-ES"/>
        </w:rPr>
        <w:t xml:space="preserve">Para este estudio solo se contó con la información de las empresas que registraron sus </w:t>
      </w:r>
      <w:proofErr w:type="spellStart"/>
      <w:r w:rsidRPr="002474B1">
        <w:rPr>
          <w:lang w:val="es-PE" w:eastAsia="es-ES"/>
        </w:rPr>
        <w:t>PVPC</w:t>
      </w:r>
      <w:proofErr w:type="spellEnd"/>
      <w:r w:rsidRPr="002474B1">
        <w:rPr>
          <w:lang w:val="es-PE" w:eastAsia="es-ES"/>
        </w:rPr>
        <w:t xml:space="preserve"> a través de la plataforma </w:t>
      </w:r>
      <w:proofErr w:type="spellStart"/>
      <w:r w:rsidRPr="002474B1">
        <w:rPr>
          <w:lang w:val="es-PE" w:eastAsia="es-ES"/>
        </w:rPr>
        <w:t>SISCOVID</w:t>
      </w:r>
      <w:proofErr w:type="spellEnd"/>
      <w:r w:rsidRPr="002474B1">
        <w:rPr>
          <w:lang w:val="es-PE" w:eastAsia="es-ES"/>
        </w:rPr>
        <w:t xml:space="preserve">-Empresas, lo cual abre la posibilidad de que las características de las empresas que no registraron sus </w:t>
      </w:r>
      <w:proofErr w:type="spellStart"/>
      <w:r w:rsidRPr="002474B1">
        <w:rPr>
          <w:lang w:val="es-PE" w:eastAsia="es-ES"/>
        </w:rPr>
        <w:t>PVPC</w:t>
      </w:r>
      <w:proofErr w:type="spellEnd"/>
      <w:r w:rsidRPr="002474B1">
        <w:rPr>
          <w:lang w:val="es-PE" w:eastAsia="es-ES"/>
        </w:rPr>
        <w:t xml:space="preserve"> difieran de las que sí lo hicieron. La información reportada permite caracterizar el estado de implementación de </w:t>
      </w:r>
      <w:proofErr w:type="spellStart"/>
      <w:r w:rsidRPr="002474B1">
        <w:rPr>
          <w:lang w:val="es-PE" w:eastAsia="es-ES"/>
        </w:rPr>
        <w:t>PVPC</w:t>
      </w:r>
      <w:proofErr w:type="spellEnd"/>
      <w:r w:rsidRPr="002474B1">
        <w:rPr>
          <w:lang w:val="es-PE" w:eastAsia="es-ES"/>
        </w:rPr>
        <w:t xml:space="preserve"> en un contexto epidémico, útil como línea de base a futuros estudios y como insumo para evaluación de implementaciones durante emergencias sanitarias.</w:t>
      </w:r>
    </w:p>
    <w:p w14:paraId="5B948015" w14:textId="77777777" w:rsidR="002474B1" w:rsidRPr="002474B1" w:rsidRDefault="002474B1" w:rsidP="002474B1">
      <w:pPr>
        <w:spacing w:line="360" w:lineRule="auto"/>
        <w:jc w:val="both"/>
        <w:rPr>
          <w:lang w:val="es-PE" w:eastAsia="es-ES"/>
        </w:rPr>
      </w:pPr>
      <w:r w:rsidRPr="002474B1">
        <w:rPr>
          <w:lang w:val="es-PE" w:eastAsia="es-ES"/>
        </w:rPr>
        <w:t xml:space="preserve">Se encontró que las empresas del sector minero que han registrado sus </w:t>
      </w:r>
      <w:proofErr w:type="spellStart"/>
      <w:r w:rsidRPr="002474B1">
        <w:rPr>
          <w:lang w:val="es-PE" w:eastAsia="es-ES"/>
        </w:rPr>
        <w:t>PVPC</w:t>
      </w:r>
      <w:proofErr w:type="spellEnd"/>
      <w:r w:rsidRPr="002474B1">
        <w:rPr>
          <w:lang w:val="es-PE" w:eastAsia="es-ES"/>
        </w:rPr>
        <w:t xml:space="preserve"> están incumpliendo con lo establecido por el MINSA respecto al tipo de personal con el cual deben contar para el servicio de SST según su tamaño. Es necesario que las empresas cumplan estrictamente con lo requerido en los </w:t>
      </w:r>
      <w:proofErr w:type="spellStart"/>
      <w:r w:rsidRPr="002474B1">
        <w:rPr>
          <w:lang w:val="es-PE" w:eastAsia="es-ES"/>
        </w:rPr>
        <w:t>PVPC</w:t>
      </w:r>
      <w:proofErr w:type="spellEnd"/>
      <w:r w:rsidRPr="002474B1">
        <w:rPr>
          <w:lang w:val="es-PE" w:eastAsia="es-ES"/>
        </w:rPr>
        <w:t>, así como incrementar los esfuerzos en la fiscalización del cumplimento de las normas establecidas.</w:t>
      </w:r>
    </w:p>
    <w:p w14:paraId="6B029D47" w14:textId="0E5CCC8F" w:rsidR="002474B1" w:rsidRDefault="002474B1" w:rsidP="002474B1">
      <w:pPr>
        <w:spacing w:line="360" w:lineRule="auto"/>
        <w:jc w:val="both"/>
        <w:rPr>
          <w:lang w:val="es-PE" w:eastAsia="es-ES"/>
        </w:rPr>
      </w:pPr>
      <w:r w:rsidRPr="002474B1">
        <w:rPr>
          <w:lang w:val="es-PE" w:eastAsia="es-ES"/>
        </w:rPr>
        <w:t>Tres de cada 4 empresas del sector minero incumplen lo requerido en el plan para la vigilancia, prevención y control de la COVID-19 en el trabajo.</w:t>
      </w:r>
    </w:p>
    <w:p w14:paraId="19203EA0" w14:textId="228AC598" w:rsidR="00B229A3" w:rsidRDefault="00B229A3" w:rsidP="002474B1">
      <w:pPr>
        <w:spacing w:line="360" w:lineRule="auto"/>
        <w:jc w:val="both"/>
        <w:rPr>
          <w:lang w:val="es-PE" w:eastAsia="es-ES"/>
        </w:rPr>
      </w:pPr>
    </w:p>
    <w:p w14:paraId="40CB0D7E" w14:textId="06250AF2" w:rsidR="00B229A3" w:rsidRDefault="00B229A3" w:rsidP="002474B1">
      <w:pPr>
        <w:spacing w:line="360" w:lineRule="auto"/>
        <w:jc w:val="both"/>
        <w:rPr>
          <w:lang w:val="es-PE" w:eastAsia="es-ES"/>
        </w:rPr>
      </w:pPr>
    </w:p>
    <w:p w14:paraId="66C95318" w14:textId="77777777" w:rsidR="00B229A3" w:rsidRDefault="00B229A3" w:rsidP="00B229A3">
      <w:pPr>
        <w:spacing w:line="360" w:lineRule="auto"/>
        <w:jc w:val="center"/>
        <w:rPr>
          <w:b/>
          <w:bCs/>
          <w:lang w:val="es-ES" w:eastAsia="es-ES"/>
        </w:rPr>
      </w:pPr>
      <w:r>
        <w:rPr>
          <w:b/>
          <w:bCs/>
        </w:rPr>
        <w:t>Agradecimientos</w:t>
      </w:r>
    </w:p>
    <w:p w14:paraId="5621A9DF" w14:textId="5485A9AB" w:rsidR="00B229A3" w:rsidRPr="002474B1" w:rsidRDefault="00B229A3" w:rsidP="00B229A3">
      <w:pPr>
        <w:spacing w:line="360" w:lineRule="auto"/>
        <w:jc w:val="both"/>
        <w:rPr>
          <w:lang w:val="es-PE" w:eastAsia="es-ES"/>
        </w:rPr>
      </w:pPr>
      <w:r>
        <w:t>Al equipo de Dirección Ejecutiva de Medicina y Psicología del Trabajo, del Centro Nacional de Salud Ocupacional y Protección del Ambiente para la Salud (</w:t>
      </w:r>
      <w:proofErr w:type="spellStart"/>
      <w:r>
        <w:t>CENSOPAS</w:t>
      </w:r>
      <w:proofErr w:type="spellEnd"/>
      <w:r>
        <w:t>), por todo el apoyo para la elaboración de las bases de datos que fueron utilizados en este estudio.</w:t>
      </w:r>
    </w:p>
    <w:bookmarkEnd w:id="11"/>
    <w:bookmarkEnd w:id="15"/>
    <w:p w14:paraId="5E58A0C8" w14:textId="77777777" w:rsidR="002474B1" w:rsidRPr="002474B1" w:rsidRDefault="002474B1" w:rsidP="002474B1">
      <w:pPr>
        <w:spacing w:line="360" w:lineRule="auto"/>
        <w:jc w:val="both"/>
        <w:rPr>
          <w:lang w:val="es-PE" w:eastAsia="es-ES"/>
        </w:rPr>
      </w:pPr>
    </w:p>
    <w:bookmarkEnd w:id="12"/>
    <w:p w14:paraId="091CF964" w14:textId="77777777" w:rsidR="002474B1" w:rsidRPr="002474B1" w:rsidRDefault="002474B1" w:rsidP="002474B1">
      <w:pPr>
        <w:spacing w:line="360" w:lineRule="auto"/>
        <w:rPr>
          <w:b/>
          <w:lang w:val="es-PE" w:eastAsia="es-ES"/>
        </w:rPr>
      </w:pPr>
    </w:p>
    <w:p w14:paraId="379837E9" w14:textId="77777777" w:rsidR="002474B1" w:rsidRPr="002474B1" w:rsidRDefault="002474B1" w:rsidP="002474B1">
      <w:pPr>
        <w:spacing w:line="360" w:lineRule="auto"/>
        <w:jc w:val="center"/>
        <w:rPr>
          <w:b/>
          <w:sz w:val="32"/>
          <w:szCs w:val="32"/>
          <w:lang w:val="es-PE" w:eastAsia="es-ES"/>
        </w:rPr>
      </w:pPr>
      <w:r w:rsidRPr="002474B1">
        <w:rPr>
          <w:b/>
          <w:sz w:val="32"/>
          <w:szCs w:val="32"/>
          <w:lang w:val="es-PE" w:eastAsia="es-ES"/>
        </w:rPr>
        <w:t>REFERENCIAS BIBLIOGRÁFICAS</w:t>
      </w:r>
    </w:p>
    <w:p w14:paraId="65A5C387" w14:textId="77777777" w:rsidR="002474B1" w:rsidRPr="002474B1" w:rsidRDefault="002474B1" w:rsidP="002474B1">
      <w:pPr>
        <w:spacing w:line="360" w:lineRule="auto"/>
        <w:rPr>
          <w:lang w:val="es-PE" w:eastAsia="es-ES"/>
        </w:rPr>
      </w:pPr>
      <w:r w:rsidRPr="002474B1">
        <w:rPr>
          <w:lang w:val="es-PE" w:eastAsia="es-ES"/>
        </w:rPr>
        <w:t xml:space="preserve">1. Instituto de Ingenieros de Minas del Perú. Resultados. </w:t>
      </w:r>
      <w:proofErr w:type="spellStart"/>
      <w:r w:rsidRPr="002474B1">
        <w:rPr>
          <w:lang w:val="es-PE" w:eastAsia="es-ES"/>
        </w:rPr>
        <w:t>IIMP</w:t>
      </w:r>
      <w:proofErr w:type="spellEnd"/>
      <w:r w:rsidRPr="002474B1">
        <w:rPr>
          <w:lang w:val="es-PE" w:eastAsia="es-ES"/>
        </w:rPr>
        <w:t xml:space="preserve">. 2019 [acceso: 08/07/2021]. Disponible en: </w:t>
      </w:r>
      <w:hyperlink r:id="rId21" w:history="1">
        <w:r w:rsidRPr="002474B1">
          <w:rPr>
            <w:color w:val="0563C1"/>
            <w:u w:val="single"/>
            <w:lang w:val="es-ES" w:eastAsia="es-ES"/>
          </w:rPr>
          <w:t>https://iimp.org.pe/mineria-en-el-peru/resultados</w:t>
        </w:r>
      </w:hyperlink>
      <w:r w:rsidRPr="002474B1">
        <w:rPr>
          <w:lang w:val="es-PE" w:eastAsia="es-ES"/>
        </w:rPr>
        <w:t xml:space="preserve"> </w:t>
      </w:r>
    </w:p>
    <w:p w14:paraId="234B02BD" w14:textId="77777777" w:rsidR="002474B1" w:rsidRPr="002474B1" w:rsidRDefault="002474B1" w:rsidP="002474B1">
      <w:pPr>
        <w:spacing w:line="360" w:lineRule="auto"/>
        <w:rPr>
          <w:lang w:val="es-PE" w:eastAsia="es-ES"/>
        </w:rPr>
      </w:pPr>
      <w:r w:rsidRPr="002474B1">
        <w:rPr>
          <w:lang w:val="es-PE" w:eastAsia="es-ES"/>
        </w:rPr>
        <w:t xml:space="preserve">2. Ministerio de Energía y Minas. Boletín Estadístico Minero. La producción metálica. MEE. 2021 [acceso: 08/07/2021]. Disponible en: </w:t>
      </w:r>
      <w:hyperlink r:id="rId22" w:history="1">
        <w:r w:rsidRPr="002474B1">
          <w:rPr>
            <w:color w:val="0563C1"/>
            <w:u w:val="single"/>
            <w:lang w:val="es-ES" w:eastAsia="es-ES"/>
          </w:rPr>
          <w:t>http://www.minem.gob.pe/minem/archivos/file/Mineria/PUBLICACIONES/VARIABLES/2021/BEM%2003-2021(1).pdf</w:t>
        </w:r>
      </w:hyperlink>
      <w:r w:rsidRPr="002474B1">
        <w:rPr>
          <w:lang w:val="es-PE" w:eastAsia="es-ES"/>
        </w:rPr>
        <w:t xml:space="preserve"> </w:t>
      </w:r>
    </w:p>
    <w:p w14:paraId="0FB4C755" w14:textId="77777777" w:rsidR="002474B1" w:rsidRPr="002474B1" w:rsidRDefault="002474B1" w:rsidP="002474B1">
      <w:pPr>
        <w:spacing w:line="360" w:lineRule="auto"/>
        <w:rPr>
          <w:lang w:val="es-ES" w:eastAsia="es-ES"/>
        </w:rPr>
      </w:pPr>
      <w:r w:rsidRPr="002474B1">
        <w:rPr>
          <w:lang w:val="en-US" w:eastAsia="es-ES"/>
        </w:rPr>
        <w:t xml:space="preserve">3. Economic Commission for Latin America and the Caribbean. </w:t>
      </w:r>
      <w:r w:rsidRPr="002474B1">
        <w:rPr>
          <w:lang w:val="es-PE" w:eastAsia="es-ES"/>
        </w:rPr>
        <w:t xml:space="preserve">Dimensionar los efectos del COVID-19 para pensar en la reactivación: Informe Especial COVID-19 No. 2. </w:t>
      </w:r>
      <w:proofErr w:type="spellStart"/>
      <w:r w:rsidRPr="002474B1">
        <w:rPr>
          <w:lang w:val="es-PE" w:eastAsia="es-ES"/>
        </w:rPr>
        <w:t>ECLAC</w:t>
      </w:r>
      <w:proofErr w:type="spellEnd"/>
      <w:r w:rsidRPr="002474B1">
        <w:rPr>
          <w:lang w:val="es-PE" w:eastAsia="es-ES"/>
        </w:rPr>
        <w:t xml:space="preserve">. 2020 [acceso: 07/07/2021]. </w:t>
      </w:r>
      <w:r w:rsidRPr="002474B1">
        <w:rPr>
          <w:lang w:val="es-ES" w:eastAsia="es-ES"/>
        </w:rPr>
        <w:t xml:space="preserve">Disponible en: </w:t>
      </w:r>
      <w:hyperlink r:id="rId23" w:history="1">
        <w:r w:rsidRPr="002474B1">
          <w:rPr>
            <w:color w:val="0563C1"/>
            <w:u w:val="single"/>
            <w:lang w:val="es-ES" w:eastAsia="es-ES"/>
          </w:rPr>
          <w:t>https://www.un-ilibrary.org/content/books/9789210054737</w:t>
        </w:r>
      </w:hyperlink>
      <w:r w:rsidRPr="002474B1">
        <w:rPr>
          <w:lang w:val="es-ES" w:eastAsia="es-ES"/>
        </w:rPr>
        <w:t xml:space="preserve"> </w:t>
      </w:r>
    </w:p>
    <w:p w14:paraId="254FC3F9" w14:textId="77777777" w:rsidR="002474B1" w:rsidRPr="002474B1" w:rsidRDefault="002474B1" w:rsidP="002474B1">
      <w:pPr>
        <w:spacing w:line="360" w:lineRule="auto"/>
        <w:rPr>
          <w:lang w:val="es-PE" w:eastAsia="es-ES"/>
        </w:rPr>
      </w:pPr>
      <w:r w:rsidRPr="002474B1">
        <w:rPr>
          <w:lang w:val="en-US" w:eastAsia="es-ES"/>
        </w:rPr>
        <w:t xml:space="preserve">4. Global Business Resources. Mining in the Shadow of COVID-19. </w:t>
      </w:r>
      <w:proofErr w:type="spellStart"/>
      <w:r w:rsidRPr="002474B1">
        <w:rPr>
          <w:lang w:val="es-CU" w:eastAsia="es-ES"/>
        </w:rPr>
        <w:t>GBR</w:t>
      </w:r>
      <w:proofErr w:type="spellEnd"/>
      <w:r w:rsidRPr="002474B1">
        <w:rPr>
          <w:lang w:val="es-CU" w:eastAsia="es-ES"/>
        </w:rPr>
        <w:t xml:space="preserve">. 2020 [acceso:  07/07/2021]. </w:t>
      </w:r>
      <w:r w:rsidRPr="002474B1">
        <w:rPr>
          <w:lang w:val="es-PE" w:eastAsia="es-ES"/>
        </w:rPr>
        <w:t xml:space="preserve">Disponible en: </w:t>
      </w:r>
      <w:hyperlink r:id="rId24" w:history="1">
        <w:r w:rsidRPr="002474B1">
          <w:rPr>
            <w:color w:val="0563C1"/>
            <w:u w:val="single"/>
            <w:lang w:val="es-ES" w:eastAsia="es-ES"/>
          </w:rPr>
          <w:t>https://www.gbreports.com/article/mining-in-the-shadow-of-covid-19</w:t>
        </w:r>
      </w:hyperlink>
      <w:r w:rsidRPr="002474B1">
        <w:rPr>
          <w:lang w:val="es-PE" w:eastAsia="es-ES"/>
        </w:rPr>
        <w:t xml:space="preserve"> </w:t>
      </w:r>
    </w:p>
    <w:p w14:paraId="001DF4DD" w14:textId="77777777" w:rsidR="002474B1" w:rsidRPr="002474B1" w:rsidRDefault="002474B1" w:rsidP="002474B1">
      <w:pPr>
        <w:spacing w:line="360" w:lineRule="auto"/>
        <w:rPr>
          <w:lang w:val="es-PE" w:eastAsia="es-ES"/>
        </w:rPr>
      </w:pPr>
      <w:r w:rsidRPr="002474B1">
        <w:rPr>
          <w:lang w:val="es-PE" w:eastAsia="es-ES"/>
        </w:rPr>
        <w:t>5. Gobierno del Perú. Decreto Supremo que aprueba la reanudación de actividades económicas en forma gradual y progresiva dentro del marco de la declaratoria de Emergencia Sanitaria Nacional por las graves circunstancias que afectan la vida de la Nación a consecuencia del COVID-19-DECRETO SUPREMO-</w:t>
      </w:r>
      <w:proofErr w:type="spellStart"/>
      <w:r w:rsidRPr="002474B1">
        <w:rPr>
          <w:lang w:val="es-PE" w:eastAsia="es-ES"/>
        </w:rPr>
        <w:t>N°</w:t>
      </w:r>
      <w:proofErr w:type="spellEnd"/>
      <w:r w:rsidRPr="002474B1">
        <w:rPr>
          <w:lang w:val="es-PE" w:eastAsia="es-ES"/>
        </w:rPr>
        <w:t xml:space="preserve"> 080-2020-</w:t>
      </w:r>
      <w:proofErr w:type="spellStart"/>
      <w:r w:rsidRPr="002474B1">
        <w:rPr>
          <w:lang w:val="es-PE" w:eastAsia="es-ES"/>
        </w:rPr>
        <w:t>PCM</w:t>
      </w:r>
      <w:proofErr w:type="spellEnd"/>
      <w:r w:rsidRPr="002474B1">
        <w:rPr>
          <w:lang w:val="es-PE" w:eastAsia="es-ES"/>
        </w:rPr>
        <w:t xml:space="preserve">. El peruano, </w:t>
      </w:r>
      <w:proofErr w:type="spellStart"/>
      <w:r w:rsidRPr="002474B1">
        <w:rPr>
          <w:lang w:val="es-PE" w:eastAsia="es-ES"/>
        </w:rPr>
        <w:t>N°</w:t>
      </w:r>
      <w:proofErr w:type="spellEnd"/>
      <w:r w:rsidRPr="002474B1">
        <w:rPr>
          <w:lang w:val="es-PE" w:eastAsia="es-ES"/>
        </w:rPr>
        <w:t xml:space="preserve"> 15399. 2020 [acceso: 07/07/2021]. Disponible en: </w:t>
      </w:r>
      <w:hyperlink r:id="rId25" w:history="1">
        <w:r w:rsidRPr="002474B1">
          <w:rPr>
            <w:color w:val="0563C1"/>
            <w:u w:val="single"/>
            <w:lang w:val="es-ES" w:eastAsia="es-ES"/>
          </w:rPr>
          <w:t>http://busquedas.elperuano.pe/normaslegales/decreto-supremo-que-aprueba-la-reanudacion-de-actividades-ec-decreto-supremo-n-080-2020-pcm-1865987-1/</w:t>
        </w:r>
      </w:hyperlink>
      <w:r w:rsidRPr="002474B1">
        <w:rPr>
          <w:lang w:val="es-PE" w:eastAsia="es-ES"/>
        </w:rPr>
        <w:t xml:space="preserve"> </w:t>
      </w:r>
    </w:p>
    <w:p w14:paraId="184767C1" w14:textId="77777777" w:rsidR="002474B1" w:rsidRPr="002474B1" w:rsidRDefault="002474B1" w:rsidP="002474B1">
      <w:pPr>
        <w:spacing w:line="360" w:lineRule="auto"/>
        <w:rPr>
          <w:lang w:val="es-PE" w:eastAsia="es-ES"/>
        </w:rPr>
      </w:pPr>
      <w:r w:rsidRPr="002474B1">
        <w:rPr>
          <w:lang w:val="es-PE" w:eastAsia="es-ES"/>
        </w:rPr>
        <w:t xml:space="preserve">6. Gobierno del Perú. Decreto Supremo que aprueba la Fase 2 de la Reanudación de Actividades Económicas dentro del marco de la declaratoria de Emergencia Sanitaria Nacional por las graves circunstancias que afectan la vida de la Nación a consecuencia del COVID-19, y modifica el Decreto Supremo </w:t>
      </w:r>
      <w:proofErr w:type="spellStart"/>
      <w:r w:rsidRPr="002474B1">
        <w:rPr>
          <w:lang w:val="es-PE" w:eastAsia="es-ES"/>
        </w:rPr>
        <w:t>N°</w:t>
      </w:r>
      <w:proofErr w:type="spellEnd"/>
      <w:r w:rsidRPr="002474B1">
        <w:rPr>
          <w:lang w:val="es-PE" w:eastAsia="es-ES"/>
        </w:rPr>
        <w:t xml:space="preserve"> 080-2020-</w:t>
      </w:r>
      <w:proofErr w:type="spellStart"/>
      <w:r w:rsidRPr="002474B1">
        <w:rPr>
          <w:lang w:val="es-PE" w:eastAsia="es-ES"/>
        </w:rPr>
        <w:t>PCM</w:t>
      </w:r>
      <w:proofErr w:type="spellEnd"/>
      <w:r w:rsidRPr="002474B1">
        <w:rPr>
          <w:lang w:val="es-PE" w:eastAsia="es-ES"/>
        </w:rPr>
        <w:t>-DECRETO SUPREMO-No 101-2020-</w:t>
      </w:r>
      <w:proofErr w:type="spellStart"/>
      <w:r w:rsidRPr="002474B1">
        <w:rPr>
          <w:lang w:val="es-PE" w:eastAsia="es-ES"/>
        </w:rPr>
        <w:t>PCM</w:t>
      </w:r>
      <w:proofErr w:type="spellEnd"/>
      <w:r w:rsidRPr="002474B1">
        <w:rPr>
          <w:lang w:val="es-PE" w:eastAsia="es-ES"/>
        </w:rPr>
        <w:t xml:space="preserve">. El peruano, </w:t>
      </w:r>
      <w:proofErr w:type="spellStart"/>
      <w:r w:rsidRPr="002474B1">
        <w:rPr>
          <w:lang w:val="es-PE" w:eastAsia="es-ES"/>
        </w:rPr>
        <w:t>N°</w:t>
      </w:r>
      <w:proofErr w:type="spellEnd"/>
      <w:r w:rsidRPr="002474B1">
        <w:rPr>
          <w:lang w:val="es-PE" w:eastAsia="es-ES"/>
        </w:rPr>
        <w:t xml:space="preserve"> 15462. 2020 [acceso: 01/07/2021]. Disponible en: </w:t>
      </w:r>
      <w:hyperlink r:id="rId26" w:history="1">
        <w:r w:rsidRPr="002474B1">
          <w:rPr>
            <w:color w:val="0563C1"/>
            <w:u w:val="single"/>
            <w:lang w:val="es-ES" w:eastAsia="es-ES"/>
          </w:rPr>
          <w:t>http://busquedas.elperuano.pe/normaslegales/decreto-supremo-que-aprueba-la-fase-2-de-la-reanudacion-de-a-decreto-supremo-no-101-2020-pcm-1867300-2/</w:t>
        </w:r>
      </w:hyperlink>
      <w:r w:rsidRPr="002474B1">
        <w:rPr>
          <w:lang w:val="es-PE" w:eastAsia="es-ES"/>
        </w:rPr>
        <w:t xml:space="preserve"> </w:t>
      </w:r>
    </w:p>
    <w:p w14:paraId="066403B3" w14:textId="77777777" w:rsidR="002474B1" w:rsidRPr="002474B1" w:rsidRDefault="002474B1" w:rsidP="002474B1">
      <w:pPr>
        <w:spacing w:line="360" w:lineRule="auto"/>
        <w:rPr>
          <w:lang w:val="es-PE" w:eastAsia="es-ES"/>
        </w:rPr>
      </w:pPr>
      <w:r w:rsidRPr="002474B1">
        <w:rPr>
          <w:lang w:val="es-PE" w:eastAsia="es-ES"/>
        </w:rPr>
        <w:t>7. MINSA. Aprueban el Documento Técnico “Lineamientos para la vigilancia de la salud de los trabajadores con riesgo de exposición a COVID-19”-</w:t>
      </w:r>
      <w:proofErr w:type="spellStart"/>
      <w:r w:rsidRPr="002474B1">
        <w:rPr>
          <w:lang w:val="es-PE" w:eastAsia="es-ES"/>
        </w:rPr>
        <w:t>RESOLUCION</w:t>
      </w:r>
      <w:proofErr w:type="spellEnd"/>
      <w:r w:rsidRPr="002474B1">
        <w:rPr>
          <w:lang w:val="es-PE" w:eastAsia="es-ES"/>
        </w:rPr>
        <w:t xml:space="preserve"> MINISTERIAL-</w:t>
      </w:r>
      <w:proofErr w:type="spellStart"/>
      <w:r w:rsidRPr="002474B1">
        <w:rPr>
          <w:lang w:val="es-PE" w:eastAsia="es-ES"/>
        </w:rPr>
        <w:t>N°</w:t>
      </w:r>
      <w:proofErr w:type="spellEnd"/>
      <w:r w:rsidRPr="002474B1">
        <w:rPr>
          <w:lang w:val="es-PE" w:eastAsia="es-ES"/>
        </w:rPr>
        <w:t xml:space="preserve"> 239-2020-MINSA. El peruano, </w:t>
      </w:r>
      <w:proofErr w:type="spellStart"/>
      <w:r w:rsidRPr="002474B1">
        <w:rPr>
          <w:lang w:val="es-PE" w:eastAsia="es-ES"/>
        </w:rPr>
        <w:t>N°</w:t>
      </w:r>
      <w:proofErr w:type="spellEnd"/>
      <w:r w:rsidRPr="002474B1">
        <w:rPr>
          <w:lang w:val="es-PE" w:eastAsia="es-ES"/>
        </w:rPr>
        <w:t xml:space="preserve"> 15391. 2020 [acceso:  13/07/2021]. Disponible en: </w:t>
      </w:r>
      <w:hyperlink r:id="rId27" w:history="1">
        <w:r w:rsidRPr="002474B1">
          <w:rPr>
            <w:color w:val="0563C1"/>
            <w:u w:val="single"/>
            <w:lang w:val="es-ES" w:eastAsia="es-ES"/>
          </w:rPr>
          <w:t>http://busquedas.elperuano.pe/normaslegales/aprueban-el-documento-tecnico-lineamientos-para-la-vigilanc-resolucion-ministerial-n-239-2020-minsa-1865871-1/</w:t>
        </w:r>
      </w:hyperlink>
      <w:r w:rsidRPr="002474B1">
        <w:rPr>
          <w:lang w:val="es-PE" w:eastAsia="es-ES"/>
        </w:rPr>
        <w:t xml:space="preserve"> </w:t>
      </w:r>
    </w:p>
    <w:p w14:paraId="45EEAECB" w14:textId="77777777" w:rsidR="002474B1" w:rsidRPr="002474B1" w:rsidRDefault="002474B1" w:rsidP="002474B1">
      <w:pPr>
        <w:spacing w:line="360" w:lineRule="auto"/>
        <w:rPr>
          <w:lang w:val="es-PE" w:eastAsia="es-ES"/>
        </w:rPr>
      </w:pPr>
      <w:r w:rsidRPr="002474B1">
        <w:rPr>
          <w:lang w:val="es-PE" w:eastAsia="es-ES"/>
        </w:rPr>
        <w:t>8. MINSA. Delegan en el Instituto Nacional de Salud, a través del Centro Nacional de Salud Ocupacional y Protección del Ambiente para la Salud (</w:t>
      </w:r>
      <w:proofErr w:type="spellStart"/>
      <w:r w:rsidRPr="002474B1">
        <w:rPr>
          <w:lang w:val="es-PE" w:eastAsia="es-ES"/>
        </w:rPr>
        <w:t>CENSOPAS</w:t>
      </w:r>
      <w:proofErr w:type="spellEnd"/>
      <w:r w:rsidRPr="002474B1">
        <w:rPr>
          <w:lang w:val="es-PE" w:eastAsia="es-ES"/>
        </w:rPr>
        <w:t>), la administración del registro del “Plan para la vigilancia, prevención y control de COVID-19 en el trabajo” en el Sistema Integrado para COVID-19 (</w:t>
      </w:r>
      <w:proofErr w:type="spellStart"/>
      <w:r w:rsidRPr="002474B1">
        <w:rPr>
          <w:lang w:val="es-PE" w:eastAsia="es-ES"/>
        </w:rPr>
        <w:t>SISCOVID</w:t>
      </w:r>
      <w:proofErr w:type="spellEnd"/>
      <w:r w:rsidRPr="002474B1">
        <w:rPr>
          <w:lang w:val="es-PE" w:eastAsia="es-ES"/>
        </w:rPr>
        <w:t>-19) del Ministerio de Salud; así como su fiscalización posterior-</w:t>
      </w:r>
      <w:proofErr w:type="spellStart"/>
      <w:r w:rsidRPr="002474B1">
        <w:rPr>
          <w:lang w:val="es-PE" w:eastAsia="es-ES"/>
        </w:rPr>
        <w:lastRenderedPageBreak/>
        <w:t>RESOLUCION</w:t>
      </w:r>
      <w:proofErr w:type="spellEnd"/>
      <w:r w:rsidRPr="002474B1">
        <w:rPr>
          <w:lang w:val="es-PE" w:eastAsia="es-ES"/>
        </w:rPr>
        <w:t xml:space="preserve"> MINISTERIAL-</w:t>
      </w:r>
      <w:proofErr w:type="spellStart"/>
      <w:r w:rsidRPr="002474B1">
        <w:rPr>
          <w:lang w:val="es-PE" w:eastAsia="es-ES"/>
        </w:rPr>
        <w:t>N°</w:t>
      </w:r>
      <w:proofErr w:type="spellEnd"/>
      <w:r w:rsidRPr="002474B1">
        <w:rPr>
          <w:lang w:val="es-PE" w:eastAsia="es-ES"/>
        </w:rPr>
        <w:t xml:space="preserve"> 377-2020-MINSA. El peruano, </w:t>
      </w:r>
      <w:proofErr w:type="spellStart"/>
      <w:r w:rsidRPr="002474B1">
        <w:rPr>
          <w:lang w:val="es-PE" w:eastAsia="es-ES"/>
        </w:rPr>
        <w:t>N°</w:t>
      </w:r>
      <w:proofErr w:type="spellEnd"/>
      <w:r w:rsidRPr="002474B1">
        <w:rPr>
          <w:lang w:val="es-PE" w:eastAsia="es-ES"/>
        </w:rPr>
        <w:t xml:space="preserve"> 15476. 2020 [acceso:  07/07/2021]. Disponible en: </w:t>
      </w:r>
      <w:hyperlink r:id="rId28" w:history="1">
        <w:r w:rsidRPr="002474B1">
          <w:rPr>
            <w:color w:val="0563C1"/>
            <w:u w:val="single"/>
            <w:lang w:val="es-ES" w:eastAsia="es-ES"/>
          </w:rPr>
          <w:t>http://busquedas.elperuano.pe/normaslegales/delegan-en-el-instituto-nacional-de-salud-a-traves-del-cent-resolucion-ministerial-n-377-2020-minsa-1867713-1/</w:t>
        </w:r>
      </w:hyperlink>
      <w:r w:rsidRPr="002474B1">
        <w:rPr>
          <w:lang w:val="es-PE" w:eastAsia="es-ES"/>
        </w:rPr>
        <w:t xml:space="preserve"> </w:t>
      </w:r>
    </w:p>
    <w:p w14:paraId="70B479B1" w14:textId="77777777" w:rsidR="002474B1" w:rsidRPr="002474B1" w:rsidRDefault="002474B1" w:rsidP="002474B1">
      <w:pPr>
        <w:spacing w:line="360" w:lineRule="auto"/>
        <w:rPr>
          <w:lang w:val="es-PE" w:eastAsia="es-ES"/>
        </w:rPr>
      </w:pPr>
      <w:r w:rsidRPr="002474B1">
        <w:rPr>
          <w:lang w:val="es-PE" w:eastAsia="es-ES"/>
        </w:rPr>
        <w:t xml:space="preserve">9. Solorzano-Aquino DA, Castillo-Martínez </w:t>
      </w:r>
      <w:proofErr w:type="spellStart"/>
      <w:r w:rsidRPr="002474B1">
        <w:rPr>
          <w:lang w:val="es-PE" w:eastAsia="es-ES"/>
        </w:rPr>
        <w:t>WE</w:t>
      </w:r>
      <w:proofErr w:type="spellEnd"/>
      <w:r w:rsidRPr="002474B1">
        <w:rPr>
          <w:lang w:val="es-PE" w:eastAsia="es-ES"/>
        </w:rPr>
        <w:t xml:space="preserve">, Olivos GSM, Símpalo-López </w:t>
      </w:r>
      <w:proofErr w:type="spellStart"/>
      <w:r w:rsidRPr="002474B1">
        <w:rPr>
          <w:lang w:val="es-PE" w:eastAsia="es-ES"/>
        </w:rPr>
        <w:t>WD</w:t>
      </w:r>
      <w:proofErr w:type="spellEnd"/>
      <w:r w:rsidRPr="002474B1">
        <w:rPr>
          <w:lang w:val="es-PE" w:eastAsia="es-ES"/>
        </w:rPr>
        <w:t xml:space="preserve">. Gestión de la seguridad y salud en el trabajo frente al </w:t>
      </w:r>
      <w:proofErr w:type="spellStart"/>
      <w:r w:rsidRPr="002474B1">
        <w:rPr>
          <w:lang w:val="es-PE" w:eastAsia="es-ES"/>
        </w:rPr>
        <w:t>Covid-19</w:t>
      </w:r>
      <w:proofErr w:type="spellEnd"/>
      <w:r w:rsidRPr="002474B1">
        <w:rPr>
          <w:lang w:val="es-PE" w:eastAsia="es-ES"/>
        </w:rPr>
        <w:t xml:space="preserve"> en una empresa del sector pesquero peruano. </w:t>
      </w:r>
      <w:proofErr w:type="spellStart"/>
      <w:r w:rsidRPr="002474B1">
        <w:rPr>
          <w:lang w:val="es-PE" w:eastAsia="es-ES"/>
        </w:rPr>
        <w:t>Arch</w:t>
      </w:r>
      <w:proofErr w:type="spellEnd"/>
      <w:r w:rsidRPr="002474B1">
        <w:rPr>
          <w:lang w:val="es-PE" w:eastAsia="es-ES"/>
        </w:rPr>
        <w:t xml:space="preserve"> </w:t>
      </w:r>
      <w:proofErr w:type="spellStart"/>
      <w:r w:rsidRPr="002474B1">
        <w:rPr>
          <w:lang w:val="es-PE" w:eastAsia="es-ES"/>
        </w:rPr>
        <w:t>Prev</w:t>
      </w:r>
      <w:proofErr w:type="spellEnd"/>
      <w:r w:rsidRPr="002474B1">
        <w:rPr>
          <w:lang w:val="es-PE" w:eastAsia="es-ES"/>
        </w:rPr>
        <w:t xml:space="preserve"> Riesgos Labor. 2021 [acceso:  07/07/2021]; 24(3):240-51. </w:t>
      </w:r>
      <w:proofErr w:type="spellStart"/>
      <w:r w:rsidRPr="002474B1">
        <w:rPr>
          <w:lang w:val="es-PE" w:eastAsia="es-ES"/>
        </w:rPr>
        <w:t>DOI</w:t>
      </w:r>
      <w:proofErr w:type="spellEnd"/>
      <w:r w:rsidRPr="002474B1">
        <w:rPr>
          <w:lang w:val="es-PE" w:eastAsia="es-ES"/>
        </w:rPr>
        <w:t>:  10.12961/</w:t>
      </w:r>
      <w:proofErr w:type="spellStart"/>
      <w:r w:rsidRPr="002474B1">
        <w:rPr>
          <w:lang w:val="es-PE" w:eastAsia="es-ES"/>
        </w:rPr>
        <w:t>aprl.2021.24.03.02</w:t>
      </w:r>
      <w:proofErr w:type="spellEnd"/>
      <w:r w:rsidRPr="002474B1">
        <w:rPr>
          <w:lang w:val="es-PE" w:eastAsia="es-ES"/>
        </w:rPr>
        <w:t xml:space="preserve"> </w:t>
      </w:r>
    </w:p>
    <w:p w14:paraId="56AD6672" w14:textId="77777777" w:rsidR="002474B1" w:rsidRPr="002474B1" w:rsidRDefault="002474B1" w:rsidP="002474B1">
      <w:pPr>
        <w:spacing w:line="360" w:lineRule="auto"/>
        <w:rPr>
          <w:lang w:val="es-PE" w:eastAsia="es-ES"/>
        </w:rPr>
      </w:pPr>
      <w:r w:rsidRPr="002474B1">
        <w:rPr>
          <w:lang w:val="es-PE" w:eastAsia="es-ES"/>
        </w:rPr>
        <w:t xml:space="preserve">10. </w:t>
      </w:r>
      <w:proofErr w:type="spellStart"/>
      <w:r w:rsidRPr="002474B1">
        <w:rPr>
          <w:lang w:val="es-PE" w:eastAsia="es-ES"/>
        </w:rPr>
        <w:t>Huaracayo</w:t>
      </w:r>
      <w:proofErr w:type="spellEnd"/>
      <w:r w:rsidRPr="002474B1">
        <w:rPr>
          <w:lang w:val="es-PE" w:eastAsia="es-ES"/>
        </w:rPr>
        <w:t xml:space="preserve">, W. Implementación de un Plan de Vigilancia para el Control y Prevención frente al </w:t>
      </w:r>
      <w:proofErr w:type="spellStart"/>
      <w:r w:rsidRPr="002474B1">
        <w:rPr>
          <w:lang w:val="es-PE" w:eastAsia="es-ES"/>
        </w:rPr>
        <w:t>Sars-Cov2</w:t>
      </w:r>
      <w:proofErr w:type="spellEnd"/>
      <w:r w:rsidRPr="002474B1">
        <w:rPr>
          <w:lang w:val="es-PE" w:eastAsia="es-ES"/>
        </w:rPr>
        <w:t xml:space="preserve"> en la Unidad Minera Las Águilas </w:t>
      </w:r>
      <w:proofErr w:type="spellStart"/>
      <w:r w:rsidRPr="002474B1">
        <w:rPr>
          <w:lang w:val="es-PE" w:eastAsia="es-ES"/>
        </w:rPr>
        <w:t>Ciemsa</w:t>
      </w:r>
      <w:proofErr w:type="spellEnd"/>
      <w:r w:rsidRPr="002474B1">
        <w:rPr>
          <w:lang w:val="es-PE" w:eastAsia="es-ES"/>
        </w:rPr>
        <w:t xml:space="preserve">-2020 [Tesis de Pregrado]. Puno-Perú: Universidad Nacional del Altiplano; 2021. [acceso:  07/07/2021]. Disponible en: </w:t>
      </w:r>
      <w:hyperlink r:id="rId29" w:history="1">
        <w:r w:rsidRPr="002474B1">
          <w:rPr>
            <w:color w:val="0563C1"/>
            <w:u w:val="single"/>
            <w:lang w:val="es-ES" w:eastAsia="es-ES"/>
          </w:rPr>
          <w:t>http://repositorio.unap.edu.pe/bitstream/handle/UNAP/15178/Huaracayo_Perez_Wilbert.pdf?sequence=2&amp;isAllowed=y</w:t>
        </w:r>
      </w:hyperlink>
      <w:r w:rsidRPr="002474B1">
        <w:rPr>
          <w:lang w:val="es-PE" w:eastAsia="es-ES"/>
        </w:rPr>
        <w:t xml:space="preserve"> </w:t>
      </w:r>
    </w:p>
    <w:p w14:paraId="55401A06" w14:textId="77777777" w:rsidR="002474B1" w:rsidRPr="002474B1" w:rsidRDefault="002474B1" w:rsidP="002474B1">
      <w:pPr>
        <w:spacing w:line="360" w:lineRule="auto"/>
        <w:rPr>
          <w:lang w:val="es-PE" w:eastAsia="es-ES"/>
        </w:rPr>
      </w:pPr>
      <w:r w:rsidRPr="002474B1">
        <w:rPr>
          <w:lang w:val="es-PE" w:eastAsia="es-ES"/>
        </w:rPr>
        <w:t xml:space="preserve">11. </w:t>
      </w:r>
      <w:proofErr w:type="spellStart"/>
      <w:r w:rsidRPr="002474B1">
        <w:rPr>
          <w:lang w:val="es-PE" w:eastAsia="es-ES"/>
        </w:rPr>
        <w:t>Bendezu</w:t>
      </w:r>
      <w:proofErr w:type="spellEnd"/>
      <w:r w:rsidRPr="002474B1">
        <w:rPr>
          <w:lang w:val="es-PE" w:eastAsia="es-ES"/>
        </w:rPr>
        <w:t xml:space="preserve">-Quispe G, </w:t>
      </w:r>
      <w:proofErr w:type="spellStart"/>
      <w:r w:rsidRPr="002474B1">
        <w:rPr>
          <w:lang w:val="es-PE" w:eastAsia="es-ES"/>
        </w:rPr>
        <w:t>Mucching</w:t>
      </w:r>
      <w:proofErr w:type="spellEnd"/>
      <w:r w:rsidRPr="002474B1">
        <w:rPr>
          <w:lang w:val="es-PE" w:eastAsia="es-ES"/>
        </w:rPr>
        <w:t xml:space="preserve">-Toscano S, Ormeño-Delgado LA, Burgos MA, </w:t>
      </w:r>
      <w:proofErr w:type="spellStart"/>
      <w:r w:rsidRPr="002474B1">
        <w:rPr>
          <w:lang w:val="es-PE" w:eastAsia="es-ES"/>
        </w:rPr>
        <w:t>Mayma</w:t>
      </w:r>
      <w:proofErr w:type="spellEnd"/>
      <w:r w:rsidRPr="002474B1">
        <w:rPr>
          <w:lang w:val="es-PE" w:eastAsia="es-ES"/>
        </w:rPr>
        <w:t>-Aguirre KJ, Rosales-</w:t>
      </w:r>
      <w:proofErr w:type="spellStart"/>
      <w:r w:rsidRPr="002474B1">
        <w:rPr>
          <w:lang w:val="es-PE" w:eastAsia="es-ES"/>
        </w:rPr>
        <w:t>Rimache</w:t>
      </w:r>
      <w:proofErr w:type="spellEnd"/>
      <w:r w:rsidRPr="002474B1">
        <w:rPr>
          <w:lang w:val="es-PE" w:eastAsia="es-ES"/>
        </w:rPr>
        <w:t xml:space="preserve"> J. Políticas de vigilancia, prevención y control de la COVID-19 en trabajadores del sector salud en el Perú. Rev. </w:t>
      </w:r>
      <w:proofErr w:type="spellStart"/>
      <w:r w:rsidRPr="002474B1">
        <w:rPr>
          <w:lang w:val="es-PE" w:eastAsia="es-ES"/>
        </w:rPr>
        <w:t>Asoc</w:t>
      </w:r>
      <w:proofErr w:type="spellEnd"/>
      <w:r w:rsidRPr="002474B1">
        <w:rPr>
          <w:lang w:val="es-PE" w:eastAsia="es-ES"/>
        </w:rPr>
        <w:t xml:space="preserve">. Esp. </w:t>
      </w:r>
      <w:proofErr w:type="spellStart"/>
      <w:r w:rsidRPr="002474B1">
        <w:rPr>
          <w:lang w:val="es-PE" w:eastAsia="es-ES"/>
        </w:rPr>
        <w:t>Espec</w:t>
      </w:r>
      <w:proofErr w:type="spellEnd"/>
      <w:r w:rsidRPr="002474B1">
        <w:rPr>
          <w:lang w:val="es-PE" w:eastAsia="es-ES"/>
        </w:rPr>
        <w:t xml:space="preserve">. </w:t>
      </w:r>
      <w:proofErr w:type="spellStart"/>
      <w:r w:rsidRPr="002474B1">
        <w:rPr>
          <w:lang w:val="es-PE" w:eastAsia="es-ES"/>
        </w:rPr>
        <w:t>Med</w:t>
      </w:r>
      <w:proofErr w:type="spellEnd"/>
      <w:r w:rsidRPr="002474B1">
        <w:rPr>
          <w:lang w:val="es-PE" w:eastAsia="es-ES"/>
        </w:rPr>
        <w:t xml:space="preserve">. </w:t>
      </w:r>
      <w:proofErr w:type="spellStart"/>
      <w:r w:rsidRPr="002474B1">
        <w:rPr>
          <w:lang w:val="es-PE" w:eastAsia="es-ES"/>
        </w:rPr>
        <w:t>Trab</w:t>
      </w:r>
      <w:proofErr w:type="spellEnd"/>
      <w:r w:rsidRPr="002474B1">
        <w:rPr>
          <w:lang w:val="es-PE" w:eastAsia="es-ES"/>
        </w:rPr>
        <w:t xml:space="preserve">. 2021 [acceso: 07/07/2021]; 30(4):425-35. Disponible en: </w:t>
      </w:r>
      <w:hyperlink r:id="rId30" w:history="1">
        <w:r w:rsidRPr="002474B1">
          <w:rPr>
            <w:color w:val="0563C1"/>
            <w:u w:val="single"/>
            <w:lang w:val="es-ES" w:eastAsia="es-ES"/>
          </w:rPr>
          <w:t>https://scielo.isciii.es/scielo.php?script=sci_arttext&amp;pid=S1132-62552021000400425</w:t>
        </w:r>
      </w:hyperlink>
      <w:r w:rsidRPr="002474B1">
        <w:rPr>
          <w:lang w:val="es-PE" w:eastAsia="es-ES"/>
        </w:rPr>
        <w:t xml:space="preserve"> </w:t>
      </w:r>
    </w:p>
    <w:p w14:paraId="173346A0" w14:textId="77777777" w:rsidR="002474B1" w:rsidRPr="002474B1" w:rsidRDefault="002474B1" w:rsidP="002474B1">
      <w:pPr>
        <w:spacing w:line="360" w:lineRule="auto"/>
        <w:rPr>
          <w:lang w:val="es-PE" w:eastAsia="es-ES"/>
        </w:rPr>
      </w:pPr>
      <w:r w:rsidRPr="002474B1">
        <w:rPr>
          <w:lang w:val="en-US" w:eastAsia="es-ES"/>
        </w:rPr>
        <w:t xml:space="preserve">12. World Health Organization. Coronavirus disease (COVID-19): Health and safety in the workplace Internet. </w:t>
      </w:r>
      <w:r w:rsidRPr="002474B1">
        <w:rPr>
          <w:lang w:val="es-PE" w:eastAsia="es-ES"/>
        </w:rPr>
        <w:t xml:space="preserve">WHO; 2020. [acceso: 07/07/2021]. Disponible en: </w:t>
      </w:r>
      <w:hyperlink r:id="rId31" w:history="1">
        <w:r w:rsidRPr="002474B1">
          <w:rPr>
            <w:color w:val="0563C1"/>
            <w:u w:val="single"/>
            <w:lang w:val="es-ES" w:eastAsia="es-ES"/>
          </w:rPr>
          <w:t>https://www.who.int/news-room/q-a-detail/coronavirus-disease-covid-19-health-and-safety-in-the-workplace</w:t>
        </w:r>
      </w:hyperlink>
      <w:r w:rsidRPr="002474B1">
        <w:rPr>
          <w:lang w:val="es-PE" w:eastAsia="es-ES"/>
        </w:rPr>
        <w:t xml:space="preserve"> </w:t>
      </w:r>
    </w:p>
    <w:p w14:paraId="252937ED" w14:textId="77777777" w:rsidR="002474B1" w:rsidRPr="002474B1" w:rsidRDefault="002474B1" w:rsidP="002474B1">
      <w:pPr>
        <w:spacing w:line="360" w:lineRule="auto"/>
        <w:rPr>
          <w:lang w:val="es-PE" w:eastAsia="es-ES"/>
        </w:rPr>
      </w:pPr>
      <w:r w:rsidRPr="002474B1">
        <w:rPr>
          <w:lang w:val="es-PE" w:eastAsia="es-ES"/>
        </w:rPr>
        <w:t xml:space="preserve">13. Martínez, VA. Reducción de Contagios </w:t>
      </w:r>
      <w:proofErr w:type="spellStart"/>
      <w:r w:rsidRPr="002474B1">
        <w:rPr>
          <w:lang w:val="es-PE" w:eastAsia="es-ES"/>
        </w:rPr>
        <w:t>Covid-19</w:t>
      </w:r>
      <w:proofErr w:type="spellEnd"/>
      <w:r w:rsidRPr="002474B1">
        <w:rPr>
          <w:lang w:val="es-PE" w:eastAsia="es-ES"/>
        </w:rPr>
        <w:t xml:space="preserve"> mediante la implementación de protocolos de bioseguridad en la Compañía Minera </w:t>
      </w:r>
      <w:proofErr w:type="spellStart"/>
      <w:r w:rsidRPr="002474B1">
        <w:rPr>
          <w:lang w:val="es-PE" w:eastAsia="es-ES"/>
        </w:rPr>
        <w:t>Kolpa</w:t>
      </w:r>
      <w:proofErr w:type="spellEnd"/>
      <w:r w:rsidRPr="002474B1">
        <w:rPr>
          <w:lang w:val="es-PE" w:eastAsia="es-ES"/>
        </w:rPr>
        <w:t xml:space="preserve"> S.A. [Tesis de Pregrado]. Huancayo-Perú: Universidad Nacional del Centro; 2021 [acceso:  07/07/2021]. Disponible en: </w:t>
      </w:r>
      <w:hyperlink r:id="rId32" w:history="1">
        <w:r w:rsidRPr="002474B1">
          <w:rPr>
            <w:color w:val="0563C1"/>
            <w:u w:val="single"/>
            <w:lang w:val="es-ES" w:eastAsia="es-ES"/>
          </w:rPr>
          <w:t>http://repositorio.uncp.edu.pe/bitstream/handle/20.500.12894/6661/T010_77087020_T.pdf?sequence=1&amp;isAllowed=y</w:t>
        </w:r>
      </w:hyperlink>
      <w:r w:rsidRPr="002474B1">
        <w:rPr>
          <w:lang w:val="es-PE" w:eastAsia="es-ES"/>
        </w:rPr>
        <w:t xml:space="preserve"> </w:t>
      </w:r>
    </w:p>
    <w:p w14:paraId="395343BC" w14:textId="77777777" w:rsidR="002474B1" w:rsidRPr="002474B1" w:rsidRDefault="002474B1" w:rsidP="002474B1">
      <w:pPr>
        <w:spacing w:line="360" w:lineRule="auto"/>
        <w:rPr>
          <w:lang w:val="es-PE" w:eastAsia="es-ES"/>
        </w:rPr>
      </w:pPr>
      <w:r w:rsidRPr="002474B1">
        <w:rPr>
          <w:lang w:val="es-PE" w:eastAsia="es-ES"/>
        </w:rPr>
        <w:t xml:space="preserve">14. Comisión Económica para América Latina y el Caribe. Análisis de las políticas de apoyo a las pymes para enfrentar la pandemia de COVID-19 en América Latina. CEPAL. 2021 [acceso:  07/07/2021]. Disponible en: </w:t>
      </w:r>
      <w:hyperlink r:id="rId33" w:history="1">
        <w:r w:rsidRPr="002474B1">
          <w:rPr>
            <w:color w:val="0563C1"/>
            <w:u w:val="single"/>
            <w:lang w:val="es-ES" w:eastAsia="es-ES"/>
          </w:rPr>
          <w:t>http://hdl.handle.net/11362/46743</w:t>
        </w:r>
      </w:hyperlink>
      <w:r w:rsidRPr="002474B1">
        <w:rPr>
          <w:lang w:val="es-PE" w:eastAsia="es-ES"/>
        </w:rPr>
        <w:t xml:space="preserve">  </w:t>
      </w:r>
    </w:p>
    <w:p w14:paraId="4A5A4575" w14:textId="77777777" w:rsidR="002474B1" w:rsidRPr="002474B1" w:rsidRDefault="002474B1" w:rsidP="002474B1">
      <w:pPr>
        <w:spacing w:line="360" w:lineRule="auto"/>
        <w:rPr>
          <w:lang w:val="es-PE" w:eastAsia="es-ES"/>
        </w:rPr>
      </w:pPr>
      <w:r w:rsidRPr="002474B1">
        <w:rPr>
          <w:lang w:val="es-PE" w:eastAsia="es-ES"/>
        </w:rPr>
        <w:lastRenderedPageBreak/>
        <w:t xml:space="preserve">15. Cacha, V. Percepción del riesgo en la salud frente a la </w:t>
      </w:r>
      <w:proofErr w:type="spellStart"/>
      <w:r w:rsidRPr="002474B1">
        <w:rPr>
          <w:lang w:val="es-PE" w:eastAsia="es-ES"/>
        </w:rPr>
        <w:t>Covid-19</w:t>
      </w:r>
      <w:proofErr w:type="spellEnd"/>
      <w:r w:rsidRPr="002474B1">
        <w:rPr>
          <w:lang w:val="es-PE" w:eastAsia="es-ES"/>
        </w:rPr>
        <w:t xml:space="preserve"> en los trabajadores mineros de Antamina 2021 [Tesis de Especialidad]. Lima-Perú: Universidad Privada Norbert Wiener; 2021. [acceso:  07/07/2021]. Disponible en: </w:t>
      </w:r>
      <w:hyperlink r:id="rId34" w:history="1">
        <w:r w:rsidRPr="002474B1">
          <w:rPr>
            <w:color w:val="0563C1"/>
            <w:u w:val="single"/>
            <w:lang w:val="es-ES" w:eastAsia="es-ES"/>
          </w:rPr>
          <w:t>http://repositorio.uwiener.edu.pe/handle/123456789/5163</w:t>
        </w:r>
      </w:hyperlink>
      <w:r w:rsidRPr="002474B1">
        <w:rPr>
          <w:lang w:val="es-PE" w:eastAsia="es-ES"/>
        </w:rPr>
        <w:t xml:space="preserve">  </w:t>
      </w:r>
    </w:p>
    <w:bookmarkEnd w:id="13"/>
    <w:p w14:paraId="04278242" w14:textId="77777777" w:rsidR="002474B1" w:rsidRPr="002474B1" w:rsidRDefault="002474B1" w:rsidP="002474B1">
      <w:pPr>
        <w:spacing w:line="360" w:lineRule="auto"/>
        <w:ind w:left="360"/>
        <w:jc w:val="both"/>
        <w:rPr>
          <w:lang w:val="es-PE" w:eastAsia="es-ES"/>
        </w:rPr>
      </w:pPr>
    </w:p>
    <w:p w14:paraId="7ABCCEE7" w14:textId="77777777" w:rsidR="002474B1" w:rsidRPr="002474B1" w:rsidRDefault="002474B1" w:rsidP="002474B1">
      <w:pPr>
        <w:spacing w:line="360" w:lineRule="auto"/>
        <w:ind w:left="360"/>
        <w:jc w:val="center"/>
        <w:rPr>
          <w:lang w:val="es-PE" w:eastAsia="es-ES"/>
        </w:rPr>
      </w:pPr>
    </w:p>
    <w:p w14:paraId="385A6536" w14:textId="77777777" w:rsidR="002474B1" w:rsidRPr="002474B1" w:rsidRDefault="002474B1" w:rsidP="002474B1">
      <w:pPr>
        <w:spacing w:line="360" w:lineRule="auto"/>
        <w:ind w:left="360"/>
        <w:jc w:val="center"/>
        <w:rPr>
          <w:b/>
          <w:bCs/>
          <w:lang w:val="es-PE" w:eastAsia="es-ES"/>
        </w:rPr>
      </w:pPr>
      <w:r w:rsidRPr="002474B1">
        <w:rPr>
          <w:b/>
          <w:bCs/>
          <w:lang w:val="es-PE" w:eastAsia="es-ES"/>
        </w:rPr>
        <w:t>Conflictos de interés</w:t>
      </w:r>
    </w:p>
    <w:p w14:paraId="7EE994AA" w14:textId="4D89AA82" w:rsidR="002474B1" w:rsidRDefault="002474B1" w:rsidP="002474B1">
      <w:pPr>
        <w:spacing w:line="360" w:lineRule="auto"/>
        <w:jc w:val="both"/>
        <w:rPr>
          <w:lang w:val="es-PE" w:eastAsia="es-ES"/>
        </w:rPr>
      </w:pPr>
      <w:r w:rsidRPr="002474B1">
        <w:rPr>
          <w:lang w:val="es-PE" w:eastAsia="es-ES"/>
        </w:rPr>
        <w:t>Los autores declaran que no existen conflictos de interés.</w:t>
      </w:r>
    </w:p>
    <w:p w14:paraId="29953831" w14:textId="77777777" w:rsidR="00A50D21" w:rsidRDefault="00A50D21" w:rsidP="00A50D21">
      <w:pPr>
        <w:spacing w:line="360" w:lineRule="auto"/>
        <w:jc w:val="both"/>
        <w:rPr>
          <w:b/>
          <w:bCs/>
          <w:lang w:val="es-ES" w:eastAsia="es-ES"/>
        </w:rPr>
      </w:pPr>
      <w:r>
        <w:t>El estudio fue financiado en su totalidad por el Instituto Nacional de Salud (INS). El estudio se realizó en el marco de las actividades del INS.</w:t>
      </w:r>
    </w:p>
    <w:p w14:paraId="355F2740" w14:textId="77777777" w:rsidR="00A50D21" w:rsidRPr="002474B1" w:rsidRDefault="00A50D21" w:rsidP="002474B1">
      <w:pPr>
        <w:spacing w:line="360" w:lineRule="auto"/>
        <w:jc w:val="both"/>
        <w:rPr>
          <w:lang w:val="es-ES" w:eastAsia="es-ES"/>
        </w:rPr>
      </w:pPr>
    </w:p>
    <w:p w14:paraId="61F94BF8" w14:textId="77777777" w:rsidR="002474B1" w:rsidRPr="002474B1" w:rsidRDefault="002474B1" w:rsidP="002474B1">
      <w:pPr>
        <w:spacing w:line="360" w:lineRule="auto"/>
        <w:jc w:val="center"/>
        <w:rPr>
          <w:lang w:val="es-PE" w:eastAsia="es-ES"/>
        </w:rPr>
      </w:pPr>
    </w:p>
    <w:p w14:paraId="33E46002" w14:textId="77777777" w:rsidR="002474B1" w:rsidRPr="002474B1" w:rsidRDefault="002474B1" w:rsidP="002474B1">
      <w:pPr>
        <w:spacing w:line="360" w:lineRule="auto"/>
        <w:jc w:val="center"/>
        <w:rPr>
          <w:b/>
          <w:bCs/>
          <w:lang w:val="es-PE" w:eastAsia="es-ES"/>
        </w:rPr>
      </w:pPr>
      <w:r w:rsidRPr="002474B1">
        <w:rPr>
          <w:b/>
          <w:bCs/>
          <w:lang w:val="es-PE" w:eastAsia="es-ES"/>
        </w:rPr>
        <w:t>Contribuciones de los autores</w:t>
      </w:r>
    </w:p>
    <w:p w14:paraId="5B43EA51" w14:textId="77777777" w:rsidR="002474B1" w:rsidRPr="002474B1" w:rsidRDefault="002474B1" w:rsidP="002474B1">
      <w:pPr>
        <w:spacing w:line="360" w:lineRule="auto"/>
        <w:jc w:val="both"/>
        <w:rPr>
          <w:lang w:val="es-PE" w:eastAsia="es-ES"/>
        </w:rPr>
      </w:pPr>
      <w:r w:rsidRPr="002474B1">
        <w:rPr>
          <w:lang w:val="es-PE" w:eastAsia="es-ES"/>
        </w:rPr>
        <w:t xml:space="preserve">Conceptualización: </w:t>
      </w:r>
      <w:r w:rsidRPr="002474B1">
        <w:rPr>
          <w:i/>
          <w:iCs/>
          <w:lang w:val="es-PE" w:eastAsia="es-ES"/>
        </w:rPr>
        <w:t xml:space="preserve">Miguel </w:t>
      </w:r>
      <w:proofErr w:type="spellStart"/>
      <w:r w:rsidRPr="002474B1">
        <w:rPr>
          <w:i/>
          <w:iCs/>
          <w:lang w:val="es-PE" w:eastAsia="es-ES"/>
        </w:rPr>
        <w:t>Angel</w:t>
      </w:r>
      <w:proofErr w:type="spellEnd"/>
      <w:r w:rsidRPr="002474B1">
        <w:rPr>
          <w:i/>
          <w:iCs/>
          <w:lang w:val="es-PE" w:eastAsia="es-ES"/>
        </w:rPr>
        <w:t xml:space="preserve"> Burgos, Luis Ormeño-Delgado, Susy Fanny Núñez-Zapata. </w:t>
      </w:r>
    </w:p>
    <w:p w14:paraId="57810B1A" w14:textId="77777777" w:rsidR="002474B1" w:rsidRPr="002474B1" w:rsidRDefault="002474B1" w:rsidP="002474B1">
      <w:pPr>
        <w:spacing w:line="360" w:lineRule="auto"/>
        <w:jc w:val="both"/>
        <w:rPr>
          <w:lang w:val="es-PE" w:eastAsia="es-ES"/>
        </w:rPr>
      </w:pPr>
      <w:r w:rsidRPr="002474B1">
        <w:rPr>
          <w:lang w:val="es-PE" w:eastAsia="es-ES"/>
        </w:rPr>
        <w:t xml:space="preserve">Curación de datos: </w:t>
      </w:r>
      <w:r w:rsidRPr="002474B1">
        <w:rPr>
          <w:i/>
          <w:iCs/>
          <w:lang w:val="es-PE" w:eastAsia="es-ES"/>
        </w:rPr>
        <w:t xml:space="preserve">Kevin Jesús </w:t>
      </w:r>
      <w:proofErr w:type="spellStart"/>
      <w:r w:rsidRPr="002474B1">
        <w:rPr>
          <w:i/>
          <w:iCs/>
          <w:lang w:val="es-PE" w:eastAsia="es-ES"/>
        </w:rPr>
        <w:t>Mayma</w:t>
      </w:r>
      <w:proofErr w:type="spellEnd"/>
      <w:r w:rsidRPr="002474B1">
        <w:rPr>
          <w:i/>
          <w:iCs/>
          <w:lang w:val="es-PE" w:eastAsia="es-ES"/>
        </w:rPr>
        <w:t xml:space="preserve">-Aguirre, Miguel </w:t>
      </w:r>
      <w:proofErr w:type="spellStart"/>
      <w:r w:rsidRPr="002474B1">
        <w:rPr>
          <w:i/>
          <w:iCs/>
          <w:lang w:val="es-PE" w:eastAsia="es-ES"/>
        </w:rPr>
        <w:t>Angel</w:t>
      </w:r>
      <w:proofErr w:type="spellEnd"/>
      <w:r w:rsidRPr="002474B1">
        <w:rPr>
          <w:i/>
          <w:iCs/>
          <w:lang w:val="es-PE" w:eastAsia="es-ES"/>
        </w:rPr>
        <w:t xml:space="preserve"> Burgos, Luis Ormeño-Delgado.</w:t>
      </w:r>
    </w:p>
    <w:p w14:paraId="0C93D0F2" w14:textId="77777777" w:rsidR="002474B1" w:rsidRPr="002474B1" w:rsidRDefault="002474B1" w:rsidP="002474B1">
      <w:pPr>
        <w:spacing w:line="360" w:lineRule="auto"/>
        <w:jc w:val="both"/>
        <w:rPr>
          <w:lang w:val="es-PE" w:eastAsia="es-ES"/>
        </w:rPr>
      </w:pPr>
      <w:r w:rsidRPr="002474B1">
        <w:rPr>
          <w:lang w:val="es-PE" w:eastAsia="es-ES"/>
        </w:rPr>
        <w:t xml:space="preserve">Análisis formal: </w:t>
      </w:r>
      <w:r w:rsidRPr="002474B1">
        <w:rPr>
          <w:i/>
          <w:iCs/>
          <w:lang w:val="es-PE" w:eastAsia="es-ES"/>
        </w:rPr>
        <w:t xml:space="preserve">Miguel </w:t>
      </w:r>
      <w:proofErr w:type="spellStart"/>
      <w:r w:rsidRPr="002474B1">
        <w:rPr>
          <w:i/>
          <w:iCs/>
          <w:lang w:val="es-PE" w:eastAsia="es-ES"/>
        </w:rPr>
        <w:t>Angel</w:t>
      </w:r>
      <w:proofErr w:type="spellEnd"/>
      <w:r w:rsidRPr="002474B1">
        <w:rPr>
          <w:i/>
          <w:iCs/>
          <w:lang w:val="es-PE" w:eastAsia="es-ES"/>
        </w:rPr>
        <w:t xml:space="preserve"> Burgos, Guido </w:t>
      </w:r>
      <w:proofErr w:type="spellStart"/>
      <w:r w:rsidRPr="002474B1">
        <w:rPr>
          <w:i/>
          <w:iCs/>
          <w:lang w:val="es-PE" w:eastAsia="es-ES"/>
        </w:rPr>
        <w:t>Bendezu</w:t>
      </w:r>
      <w:proofErr w:type="spellEnd"/>
      <w:r w:rsidRPr="002474B1">
        <w:rPr>
          <w:i/>
          <w:iCs/>
          <w:lang w:val="es-PE" w:eastAsia="es-ES"/>
        </w:rPr>
        <w:t>-Quispe.</w:t>
      </w:r>
    </w:p>
    <w:p w14:paraId="1DC387FE" w14:textId="77777777" w:rsidR="002474B1" w:rsidRPr="002474B1" w:rsidRDefault="002474B1" w:rsidP="002474B1">
      <w:pPr>
        <w:spacing w:line="360" w:lineRule="auto"/>
        <w:jc w:val="both"/>
        <w:rPr>
          <w:lang w:val="es-PE" w:eastAsia="es-ES"/>
        </w:rPr>
      </w:pPr>
      <w:r w:rsidRPr="002474B1">
        <w:rPr>
          <w:lang w:val="es-PE" w:eastAsia="es-ES"/>
        </w:rPr>
        <w:t xml:space="preserve">Investigación: </w:t>
      </w:r>
      <w:r w:rsidRPr="002474B1">
        <w:rPr>
          <w:i/>
          <w:iCs/>
          <w:lang w:val="es-PE" w:eastAsia="es-ES"/>
        </w:rPr>
        <w:t xml:space="preserve">Miguel </w:t>
      </w:r>
      <w:proofErr w:type="spellStart"/>
      <w:r w:rsidRPr="002474B1">
        <w:rPr>
          <w:i/>
          <w:iCs/>
          <w:lang w:val="es-PE" w:eastAsia="es-ES"/>
        </w:rPr>
        <w:t>Angel</w:t>
      </w:r>
      <w:proofErr w:type="spellEnd"/>
      <w:r w:rsidRPr="002474B1">
        <w:rPr>
          <w:i/>
          <w:iCs/>
          <w:lang w:val="es-PE" w:eastAsia="es-ES"/>
        </w:rPr>
        <w:t xml:space="preserve"> Burgos, Sergio </w:t>
      </w:r>
      <w:proofErr w:type="spellStart"/>
      <w:r w:rsidRPr="002474B1">
        <w:rPr>
          <w:i/>
          <w:iCs/>
          <w:lang w:val="es-PE" w:eastAsia="es-ES"/>
        </w:rPr>
        <w:t>Mucching</w:t>
      </w:r>
      <w:proofErr w:type="spellEnd"/>
      <w:r w:rsidRPr="002474B1">
        <w:rPr>
          <w:i/>
          <w:iCs/>
          <w:lang w:val="es-PE" w:eastAsia="es-ES"/>
        </w:rPr>
        <w:t xml:space="preserve">-Toscano, Guido </w:t>
      </w:r>
      <w:proofErr w:type="spellStart"/>
      <w:r w:rsidRPr="002474B1">
        <w:rPr>
          <w:i/>
          <w:iCs/>
          <w:lang w:val="es-PE" w:eastAsia="es-ES"/>
        </w:rPr>
        <w:t>Bendezu</w:t>
      </w:r>
      <w:proofErr w:type="spellEnd"/>
      <w:r w:rsidRPr="002474B1">
        <w:rPr>
          <w:i/>
          <w:iCs/>
          <w:lang w:val="es-PE" w:eastAsia="es-ES"/>
        </w:rPr>
        <w:t>-Quispe.</w:t>
      </w:r>
    </w:p>
    <w:p w14:paraId="7144D7F6" w14:textId="77777777" w:rsidR="002474B1" w:rsidRPr="002474B1" w:rsidRDefault="002474B1" w:rsidP="002474B1">
      <w:pPr>
        <w:spacing w:line="360" w:lineRule="auto"/>
        <w:jc w:val="both"/>
        <w:rPr>
          <w:i/>
          <w:iCs/>
          <w:lang w:val="es-PE" w:eastAsia="es-ES"/>
        </w:rPr>
      </w:pPr>
      <w:r w:rsidRPr="002474B1">
        <w:rPr>
          <w:lang w:val="es-PE" w:eastAsia="es-ES"/>
        </w:rPr>
        <w:t xml:space="preserve">Metodología: </w:t>
      </w:r>
      <w:r w:rsidRPr="002474B1">
        <w:rPr>
          <w:i/>
          <w:iCs/>
          <w:lang w:val="es-PE" w:eastAsia="es-ES"/>
        </w:rPr>
        <w:t xml:space="preserve">Miguel </w:t>
      </w:r>
      <w:proofErr w:type="spellStart"/>
      <w:r w:rsidRPr="002474B1">
        <w:rPr>
          <w:i/>
          <w:iCs/>
          <w:lang w:val="es-PE" w:eastAsia="es-ES"/>
        </w:rPr>
        <w:t>Angel</w:t>
      </w:r>
      <w:proofErr w:type="spellEnd"/>
      <w:r w:rsidRPr="002474B1">
        <w:rPr>
          <w:i/>
          <w:iCs/>
          <w:lang w:val="es-PE" w:eastAsia="es-ES"/>
        </w:rPr>
        <w:t xml:space="preserve"> Burgos, Sergio </w:t>
      </w:r>
      <w:proofErr w:type="spellStart"/>
      <w:r w:rsidRPr="002474B1">
        <w:rPr>
          <w:i/>
          <w:iCs/>
          <w:lang w:val="es-PE" w:eastAsia="es-ES"/>
        </w:rPr>
        <w:t>Mucching</w:t>
      </w:r>
      <w:proofErr w:type="spellEnd"/>
      <w:r w:rsidRPr="002474B1">
        <w:rPr>
          <w:i/>
          <w:iCs/>
          <w:lang w:val="es-PE" w:eastAsia="es-ES"/>
        </w:rPr>
        <w:t xml:space="preserve">-Toscano, Guido </w:t>
      </w:r>
      <w:proofErr w:type="spellStart"/>
      <w:r w:rsidRPr="002474B1">
        <w:rPr>
          <w:i/>
          <w:iCs/>
          <w:lang w:val="es-PE" w:eastAsia="es-ES"/>
        </w:rPr>
        <w:t>Bendezu</w:t>
      </w:r>
      <w:proofErr w:type="spellEnd"/>
      <w:r w:rsidRPr="002474B1">
        <w:rPr>
          <w:i/>
          <w:iCs/>
          <w:lang w:val="es-PE" w:eastAsia="es-ES"/>
        </w:rPr>
        <w:t>-Quispe.</w:t>
      </w:r>
    </w:p>
    <w:p w14:paraId="791DFD83" w14:textId="77777777" w:rsidR="002474B1" w:rsidRPr="002474B1" w:rsidRDefault="002474B1" w:rsidP="002474B1">
      <w:pPr>
        <w:spacing w:line="360" w:lineRule="auto"/>
        <w:jc w:val="both"/>
        <w:rPr>
          <w:lang w:val="es-PE" w:eastAsia="es-ES"/>
        </w:rPr>
      </w:pPr>
      <w:r w:rsidRPr="002474B1">
        <w:rPr>
          <w:lang w:val="es-PE" w:eastAsia="es-ES"/>
        </w:rPr>
        <w:t xml:space="preserve">Administración del proyecto: </w:t>
      </w:r>
      <w:r w:rsidRPr="002474B1">
        <w:rPr>
          <w:i/>
          <w:iCs/>
          <w:lang w:val="es-PE" w:eastAsia="es-ES"/>
        </w:rPr>
        <w:t xml:space="preserve">Miguel </w:t>
      </w:r>
      <w:proofErr w:type="spellStart"/>
      <w:r w:rsidRPr="002474B1">
        <w:rPr>
          <w:i/>
          <w:iCs/>
          <w:lang w:val="es-PE" w:eastAsia="es-ES"/>
        </w:rPr>
        <w:t>Angel</w:t>
      </w:r>
      <w:proofErr w:type="spellEnd"/>
      <w:r w:rsidRPr="002474B1">
        <w:rPr>
          <w:i/>
          <w:iCs/>
          <w:lang w:val="es-PE" w:eastAsia="es-ES"/>
        </w:rPr>
        <w:t xml:space="preserve"> Burgos, Jaime Rosales-</w:t>
      </w:r>
      <w:proofErr w:type="spellStart"/>
      <w:r w:rsidRPr="002474B1">
        <w:rPr>
          <w:i/>
          <w:iCs/>
          <w:lang w:val="es-PE" w:eastAsia="es-ES"/>
        </w:rPr>
        <w:t>Rimache</w:t>
      </w:r>
      <w:proofErr w:type="spellEnd"/>
      <w:r w:rsidRPr="002474B1">
        <w:rPr>
          <w:i/>
          <w:iCs/>
          <w:lang w:val="es-PE" w:eastAsia="es-ES"/>
        </w:rPr>
        <w:t>.</w:t>
      </w:r>
    </w:p>
    <w:p w14:paraId="0E938241" w14:textId="77777777" w:rsidR="002474B1" w:rsidRPr="002474B1" w:rsidRDefault="002474B1" w:rsidP="002474B1">
      <w:pPr>
        <w:spacing w:line="360" w:lineRule="auto"/>
        <w:jc w:val="both"/>
        <w:rPr>
          <w:lang w:val="es-PE" w:eastAsia="es-ES"/>
        </w:rPr>
      </w:pPr>
      <w:r w:rsidRPr="002474B1">
        <w:rPr>
          <w:lang w:val="es-PE" w:eastAsia="es-ES"/>
        </w:rPr>
        <w:t xml:space="preserve">Recursos: </w:t>
      </w:r>
      <w:r w:rsidRPr="002474B1">
        <w:rPr>
          <w:i/>
          <w:iCs/>
          <w:lang w:val="es-PE" w:eastAsia="es-ES"/>
        </w:rPr>
        <w:t>Jaime Rosales-</w:t>
      </w:r>
      <w:proofErr w:type="spellStart"/>
      <w:r w:rsidRPr="002474B1">
        <w:rPr>
          <w:i/>
          <w:iCs/>
          <w:lang w:val="es-PE" w:eastAsia="es-ES"/>
        </w:rPr>
        <w:t>Rimache</w:t>
      </w:r>
      <w:proofErr w:type="spellEnd"/>
      <w:r w:rsidRPr="002474B1">
        <w:rPr>
          <w:i/>
          <w:iCs/>
          <w:lang w:val="es-PE" w:eastAsia="es-ES"/>
        </w:rPr>
        <w:t>.</w:t>
      </w:r>
    </w:p>
    <w:p w14:paraId="4BF8AE3C" w14:textId="77777777" w:rsidR="002474B1" w:rsidRPr="002474B1" w:rsidRDefault="002474B1" w:rsidP="002474B1">
      <w:pPr>
        <w:spacing w:line="360" w:lineRule="auto"/>
        <w:jc w:val="both"/>
        <w:rPr>
          <w:lang w:val="es-PE" w:eastAsia="es-ES"/>
        </w:rPr>
      </w:pPr>
      <w:r w:rsidRPr="002474B1">
        <w:rPr>
          <w:lang w:val="es-PE" w:eastAsia="es-ES"/>
        </w:rPr>
        <w:t xml:space="preserve">Supervisión: </w:t>
      </w:r>
      <w:r w:rsidRPr="002474B1">
        <w:rPr>
          <w:i/>
          <w:iCs/>
          <w:lang w:val="es-PE" w:eastAsia="es-ES"/>
        </w:rPr>
        <w:t>Jaime Rosales-</w:t>
      </w:r>
      <w:proofErr w:type="spellStart"/>
      <w:r w:rsidRPr="002474B1">
        <w:rPr>
          <w:i/>
          <w:iCs/>
          <w:lang w:val="es-PE" w:eastAsia="es-ES"/>
        </w:rPr>
        <w:t>Rimache</w:t>
      </w:r>
      <w:proofErr w:type="spellEnd"/>
      <w:r w:rsidRPr="002474B1">
        <w:rPr>
          <w:i/>
          <w:iCs/>
          <w:lang w:val="es-PE" w:eastAsia="es-ES"/>
        </w:rPr>
        <w:t>.</w:t>
      </w:r>
    </w:p>
    <w:p w14:paraId="1E411D99" w14:textId="77777777" w:rsidR="002474B1" w:rsidRPr="002474B1" w:rsidRDefault="002474B1" w:rsidP="002474B1">
      <w:pPr>
        <w:spacing w:line="360" w:lineRule="auto"/>
        <w:jc w:val="both"/>
        <w:rPr>
          <w:lang w:val="es-PE" w:eastAsia="es-ES"/>
        </w:rPr>
      </w:pPr>
      <w:r w:rsidRPr="002474B1">
        <w:rPr>
          <w:lang w:val="es-PE" w:eastAsia="es-ES"/>
        </w:rPr>
        <w:t xml:space="preserve">Visualización: </w:t>
      </w:r>
      <w:r w:rsidRPr="002474B1">
        <w:rPr>
          <w:i/>
          <w:iCs/>
          <w:lang w:val="es-PE" w:eastAsia="es-ES"/>
        </w:rPr>
        <w:t xml:space="preserve">Miguel </w:t>
      </w:r>
      <w:proofErr w:type="spellStart"/>
      <w:r w:rsidRPr="002474B1">
        <w:rPr>
          <w:i/>
          <w:iCs/>
          <w:lang w:val="es-PE" w:eastAsia="es-ES"/>
        </w:rPr>
        <w:t>Angel</w:t>
      </w:r>
      <w:proofErr w:type="spellEnd"/>
      <w:r w:rsidRPr="002474B1">
        <w:rPr>
          <w:i/>
          <w:iCs/>
          <w:lang w:val="es-PE" w:eastAsia="es-ES"/>
        </w:rPr>
        <w:t xml:space="preserve"> Burgos.</w:t>
      </w:r>
    </w:p>
    <w:p w14:paraId="43193C57" w14:textId="77777777" w:rsidR="002474B1" w:rsidRPr="002474B1" w:rsidRDefault="002474B1" w:rsidP="002474B1">
      <w:pPr>
        <w:spacing w:line="360" w:lineRule="auto"/>
        <w:jc w:val="both"/>
        <w:rPr>
          <w:lang w:val="es-PE" w:eastAsia="es-ES"/>
        </w:rPr>
      </w:pPr>
      <w:r w:rsidRPr="002474B1">
        <w:rPr>
          <w:lang w:val="es-PE" w:eastAsia="es-ES"/>
        </w:rPr>
        <w:t xml:space="preserve">Redacción – borrador original: </w:t>
      </w:r>
      <w:r w:rsidRPr="002474B1">
        <w:rPr>
          <w:i/>
          <w:iCs/>
          <w:lang w:val="es-PE" w:eastAsia="es-ES"/>
        </w:rPr>
        <w:t xml:space="preserve">Miguel </w:t>
      </w:r>
      <w:proofErr w:type="spellStart"/>
      <w:r w:rsidRPr="002474B1">
        <w:rPr>
          <w:i/>
          <w:iCs/>
          <w:lang w:val="es-PE" w:eastAsia="es-ES"/>
        </w:rPr>
        <w:t>Angel</w:t>
      </w:r>
      <w:proofErr w:type="spellEnd"/>
      <w:r w:rsidRPr="002474B1">
        <w:rPr>
          <w:i/>
          <w:iCs/>
          <w:lang w:val="es-PE" w:eastAsia="es-ES"/>
        </w:rPr>
        <w:t xml:space="preserve"> Burgos, Luis Ormeño-Delgado, Susy Fanny Núñez-Zapata, Jaime Rosales-</w:t>
      </w:r>
      <w:proofErr w:type="spellStart"/>
      <w:r w:rsidRPr="002474B1">
        <w:rPr>
          <w:i/>
          <w:iCs/>
          <w:lang w:val="es-PE" w:eastAsia="es-ES"/>
        </w:rPr>
        <w:t>Rimache</w:t>
      </w:r>
      <w:proofErr w:type="spellEnd"/>
      <w:r w:rsidRPr="002474B1">
        <w:rPr>
          <w:i/>
          <w:iCs/>
          <w:lang w:val="es-PE" w:eastAsia="es-ES"/>
        </w:rPr>
        <w:t xml:space="preserve"> Guido </w:t>
      </w:r>
      <w:proofErr w:type="spellStart"/>
      <w:r w:rsidRPr="002474B1">
        <w:rPr>
          <w:i/>
          <w:iCs/>
          <w:lang w:val="es-PE" w:eastAsia="es-ES"/>
        </w:rPr>
        <w:t>Bendezu</w:t>
      </w:r>
      <w:proofErr w:type="spellEnd"/>
      <w:r w:rsidRPr="002474B1">
        <w:rPr>
          <w:i/>
          <w:iCs/>
          <w:lang w:val="es-PE" w:eastAsia="es-ES"/>
        </w:rPr>
        <w:t xml:space="preserve">-Quispe, Sergio </w:t>
      </w:r>
      <w:proofErr w:type="spellStart"/>
      <w:r w:rsidRPr="002474B1">
        <w:rPr>
          <w:i/>
          <w:iCs/>
          <w:lang w:val="es-PE" w:eastAsia="es-ES"/>
        </w:rPr>
        <w:t>Mucching</w:t>
      </w:r>
      <w:proofErr w:type="spellEnd"/>
      <w:r w:rsidRPr="002474B1">
        <w:rPr>
          <w:i/>
          <w:iCs/>
          <w:lang w:val="es-PE" w:eastAsia="es-ES"/>
        </w:rPr>
        <w:t xml:space="preserve">-Toscano, Kevin Jesús </w:t>
      </w:r>
      <w:proofErr w:type="spellStart"/>
      <w:r w:rsidRPr="002474B1">
        <w:rPr>
          <w:i/>
          <w:iCs/>
          <w:lang w:val="es-PE" w:eastAsia="es-ES"/>
        </w:rPr>
        <w:t>Mayma</w:t>
      </w:r>
      <w:proofErr w:type="spellEnd"/>
      <w:r w:rsidRPr="002474B1">
        <w:rPr>
          <w:i/>
          <w:iCs/>
          <w:lang w:val="es-PE" w:eastAsia="es-ES"/>
        </w:rPr>
        <w:t>-Aguirre, Katherine Silvia Yauri-Condor.</w:t>
      </w:r>
    </w:p>
    <w:p w14:paraId="3A2CB391" w14:textId="77777777" w:rsidR="002474B1" w:rsidRPr="002474B1" w:rsidRDefault="002474B1" w:rsidP="002474B1">
      <w:pPr>
        <w:spacing w:line="360" w:lineRule="auto"/>
        <w:jc w:val="both"/>
        <w:rPr>
          <w:lang w:val="es-PE" w:eastAsia="es-ES"/>
        </w:rPr>
      </w:pPr>
      <w:r w:rsidRPr="002474B1">
        <w:rPr>
          <w:lang w:val="es-PE" w:eastAsia="es-ES"/>
        </w:rPr>
        <w:t xml:space="preserve">Redacción – revisión y edición: </w:t>
      </w:r>
      <w:r w:rsidRPr="002474B1">
        <w:rPr>
          <w:i/>
          <w:iCs/>
          <w:lang w:val="es-PE" w:eastAsia="es-ES"/>
        </w:rPr>
        <w:t xml:space="preserve">Miguel </w:t>
      </w:r>
      <w:proofErr w:type="spellStart"/>
      <w:r w:rsidRPr="002474B1">
        <w:rPr>
          <w:i/>
          <w:iCs/>
          <w:lang w:val="es-PE" w:eastAsia="es-ES"/>
        </w:rPr>
        <w:t>Angel</w:t>
      </w:r>
      <w:proofErr w:type="spellEnd"/>
      <w:r w:rsidRPr="002474B1">
        <w:rPr>
          <w:i/>
          <w:iCs/>
          <w:lang w:val="es-PE" w:eastAsia="es-ES"/>
        </w:rPr>
        <w:t xml:space="preserve"> Burgos, Luis Ormeño-Delgado, Susy Fanny Núñez-Zapata, Jaime Rosales-</w:t>
      </w:r>
      <w:proofErr w:type="spellStart"/>
      <w:r w:rsidRPr="002474B1">
        <w:rPr>
          <w:i/>
          <w:iCs/>
          <w:lang w:val="es-PE" w:eastAsia="es-ES"/>
        </w:rPr>
        <w:t>Rimache</w:t>
      </w:r>
      <w:proofErr w:type="spellEnd"/>
      <w:r w:rsidRPr="002474B1">
        <w:rPr>
          <w:i/>
          <w:iCs/>
          <w:lang w:val="es-PE" w:eastAsia="es-ES"/>
        </w:rPr>
        <w:t xml:space="preserve"> Guido </w:t>
      </w:r>
      <w:proofErr w:type="spellStart"/>
      <w:r w:rsidRPr="002474B1">
        <w:rPr>
          <w:i/>
          <w:iCs/>
          <w:lang w:val="es-PE" w:eastAsia="es-ES"/>
        </w:rPr>
        <w:t>Bendezu</w:t>
      </w:r>
      <w:proofErr w:type="spellEnd"/>
      <w:r w:rsidRPr="002474B1">
        <w:rPr>
          <w:i/>
          <w:iCs/>
          <w:lang w:val="es-PE" w:eastAsia="es-ES"/>
        </w:rPr>
        <w:t xml:space="preserve">-Quispe, Sergio </w:t>
      </w:r>
      <w:proofErr w:type="spellStart"/>
      <w:r w:rsidRPr="002474B1">
        <w:rPr>
          <w:i/>
          <w:iCs/>
          <w:lang w:val="es-PE" w:eastAsia="es-ES"/>
        </w:rPr>
        <w:t>Mucching</w:t>
      </w:r>
      <w:proofErr w:type="spellEnd"/>
      <w:r w:rsidRPr="002474B1">
        <w:rPr>
          <w:i/>
          <w:iCs/>
          <w:lang w:val="es-PE" w:eastAsia="es-ES"/>
        </w:rPr>
        <w:t xml:space="preserve">-Toscano, Kevin Jesús </w:t>
      </w:r>
      <w:proofErr w:type="spellStart"/>
      <w:r w:rsidRPr="002474B1">
        <w:rPr>
          <w:i/>
          <w:iCs/>
          <w:lang w:val="es-PE" w:eastAsia="es-ES"/>
        </w:rPr>
        <w:t>Mayma</w:t>
      </w:r>
      <w:proofErr w:type="spellEnd"/>
      <w:r w:rsidRPr="002474B1">
        <w:rPr>
          <w:i/>
          <w:iCs/>
          <w:lang w:val="es-PE" w:eastAsia="es-ES"/>
        </w:rPr>
        <w:t>-Aguirre, Katherine Silvia Yauri-Condor.</w:t>
      </w:r>
      <w:bookmarkEnd w:id="2"/>
    </w:p>
    <w:p w14:paraId="131DFA27" w14:textId="77777777" w:rsidR="00675476" w:rsidRPr="002474B1" w:rsidRDefault="00675476" w:rsidP="00EA1FEF">
      <w:pPr>
        <w:pStyle w:val="PDFRevista"/>
        <w:rPr>
          <w:lang w:val="es-PE"/>
        </w:rPr>
      </w:pPr>
    </w:p>
    <w:sectPr w:rsidR="00675476" w:rsidRPr="002474B1"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D6F1" w14:textId="77777777" w:rsidR="001B2BBD" w:rsidRDefault="001B2BBD">
      <w:r>
        <w:separator/>
      </w:r>
    </w:p>
  </w:endnote>
  <w:endnote w:type="continuationSeparator" w:id="0">
    <w:p w14:paraId="266F0220" w14:textId="77777777" w:rsidR="001B2BBD" w:rsidRDefault="001B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CFC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6E140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DF60" w14:textId="52E6C691" w:rsidR="000F3690" w:rsidRPr="00AE044C" w:rsidRDefault="002474B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3E9154F" wp14:editId="4DB2795D">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9F5EDD"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920566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8A01A1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116C33E" w14:textId="0E16D58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474B1" w:rsidRPr="002474B1">
      <w:rPr>
        <w:rFonts w:ascii="Verdana" w:hAnsi="Verdana"/>
        <w:noProof/>
        <w:sz w:val="18"/>
        <w:szCs w:val="18"/>
        <w:lang w:val="en-US" w:eastAsia="en-US"/>
      </w:rPr>
      <w:drawing>
        <wp:inline distT="0" distB="0" distL="0" distR="0" wp14:anchorId="7FE364F1" wp14:editId="2DE039D1">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243B" w14:textId="77777777" w:rsidR="001B2BBD" w:rsidRDefault="001B2BBD">
      <w:r>
        <w:separator/>
      </w:r>
    </w:p>
  </w:footnote>
  <w:footnote w:type="continuationSeparator" w:id="0">
    <w:p w14:paraId="403C13E4" w14:textId="77777777" w:rsidR="001B2BBD" w:rsidRDefault="001B2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F2AB" w14:textId="798BE208" w:rsidR="00CC376A" w:rsidRPr="00AE044C" w:rsidRDefault="002474B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2ABF95AD" wp14:editId="46EFD359">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e02302246</w:t>
    </w:r>
    <w:proofErr w:type="spellEnd"/>
  </w:p>
  <w:p w14:paraId="308759D9" w14:textId="2A560D1B" w:rsidR="00A477DE" w:rsidRDefault="002474B1">
    <w:r>
      <w:rPr>
        <w:noProof/>
      </w:rPr>
      <mc:AlternateContent>
        <mc:Choice Requires="wps">
          <w:drawing>
            <wp:anchor distT="0" distB="0" distL="114300" distR="114300" simplePos="0" relativeHeight="251654144" behindDoc="0" locked="0" layoutInCell="1" allowOverlap="1" wp14:anchorId="12DDD961" wp14:editId="08045C50">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9033D8"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D58"/>
    <w:multiLevelType w:val="multilevel"/>
    <w:tmpl w:val="83F82DC0"/>
    <w:lvl w:ilvl="0">
      <w:start w:val="1"/>
      <w:numFmt w:val="decimal"/>
      <w:pStyle w:val="Ttulo2"/>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D4037CA"/>
    <w:multiLevelType w:val="hybridMultilevel"/>
    <w:tmpl w:val="003C753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8343FCE"/>
    <w:multiLevelType w:val="multilevel"/>
    <w:tmpl w:val="0712A6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591937068">
    <w:abstractNumId w:val="3"/>
  </w:num>
  <w:num w:numId="2" w16cid:durableId="1255936342">
    <w:abstractNumId w:val="0"/>
  </w:num>
  <w:num w:numId="3" w16cid:durableId="814950267">
    <w:abstractNumId w:val="2"/>
  </w:num>
  <w:num w:numId="4" w16cid:durableId="1445272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B1"/>
    <w:rsid w:val="00057F45"/>
    <w:rsid w:val="000D3958"/>
    <w:rsid w:val="000F3690"/>
    <w:rsid w:val="001221D1"/>
    <w:rsid w:val="00165CB5"/>
    <w:rsid w:val="00180CE9"/>
    <w:rsid w:val="001B2BBD"/>
    <w:rsid w:val="00230DD5"/>
    <w:rsid w:val="002474B1"/>
    <w:rsid w:val="00250AE9"/>
    <w:rsid w:val="002C5AEC"/>
    <w:rsid w:val="00380D64"/>
    <w:rsid w:val="00391509"/>
    <w:rsid w:val="003E03D5"/>
    <w:rsid w:val="00486BFA"/>
    <w:rsid w:val="00493701"/>
    <w:rsid w:val="004E2065"/>
    <w:rsid w:val="005508A2"/>
    <w:rsid w:val="0055115D"/>
    <w:rsid w:val="00566F71"/>
    <w:rsid w:val="005918BD"/>
    <w:rsid w:val="006173A6"/>
    <w:rsid w:val="00675476"/>
    <w:rsid w:val="006B0F77"/>
    <w:rsid w:val="006B4A85"/>
    <w:rsid w:val="007C430F"/>
    <w:rsid w:val="007D2D0C"/>
    <w:rsid w:val="007D614D"/>
    <w:rsid w:val="00960D6A"/>
    <w:rsid w:val="009A0560"/>
    <w:rsid w:val="009B0917"/>
    <w:rsid w:val="009F0F96"/>
    <w:rsid w:val="00A23C0C"/>
    <w:rsid w:val="00A477DE"/>
    <w:rsid w:val="00A50D21"/>
    <w:rsid w:val="00A71E65"/>
    <w:rsid w:val="00AE044C"/>
    <w:rsid w:val="00B229A3"/>
    <w:rsid w:val="00B31971"/>
    <w:rsid w:val="00B4380A"/>
    <w:rsid w:val="00B66ECB"/>
    <w:rsid w:val="00B8678D"/>
    <w:rsid w:val="00C7523A"/>
    <w:rsid w:val="00C816AB"/>
    <w:rsid w:val="00C97282"/>
    <w:rsid w:val="00CC1B6E"/>
    <w:rsid w:val="00CC376A"/>
    <w:rsid w:val="00CC48A1"/>
    <w:rsid w:val="00CF50E0"/>
    <w:rsid w:val="00D85951"/>
    <w:rsid w:val="00E62606"/>
    <w:rsid w:val="00E73D6D"/>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595FC"/>
  <w15:docId w15:val="{6AB381EC-F6A0-467C-9CD0-8E060555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2474B1"/>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Ttulo1"/>
    <w:next w:val="Normal"/>
    <w:link w:val="Ttulo2Car"/>
    <w:uiPriority w:val="9"/>
    <w:semiHidden/>
    <w:unhideWhenUsed/>
    <w:qFormat/>
    <w:rsid w:val="002474B1"/>
    <w:pPr>
      <w:keepNext w:val="0"/>
      <w:numPr>
        <w:numId w:val="2"/>
      </w:numPr>
      <w:spacing w:before="0" w:after="0" w:line="360" w:lineRule="auto"/>
      <w:jc w:val="both"/>
      <w:outlineLvl w:val="1"/>
    </w:pPr>
    <w:rPr>
      <w:rFonts w:ascii="Arial" w:eastAsia="Times New Roman" w:hAnsi="Arial" w:cs="Arial"/>
      <w:bCs w:val="0"/>
      <w:kern w:val="0"/>
      <w:sz w:val="24"/>
      <w:szCs w:val="22"/>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2474B1"/>
    <w:pPr>
      <w:keepNext/>
      <w:keepLines/>
      <w:spacing w:before="240"/>
      <w:outlineLvl w:val="0"/>
    </w:pPr>
    <w:rPr>
      <w:rFonts w:ascii="Calibri Light" w:hAnsi="Calibri Light"/>
      <w:color w:val="2F5496"/>
      <w:sz w:val="32"/>
      <w:szCs w:val="32"/>
      <w:lang w:val="es-ES" w:eastAsia="es-ES"/>
    </w:rPr>
  </w:style>
  <w:style w:type="character" w:customStyle="1" w:styleId="Ttulo2Car">
    <w:name w:val="Título 2 Car"/>
    <w:basedOn w:val="Fuentedeprrafopredeter"/>
    <w:link w:val="Ttulo2"/>
    <w:uiPriority w:val="9"/>
    <w:semiHidden/>
    <w:rsid w:val="002474B1"/>
    <w:rPr>
      <w:rFonts w:ascii="Arial" w:hAnsi="Arial" w:cs="Arial"/>
      <w:b/>
      <w:sz w:val="24"/>
      <w:szCs w:val="22"/>
      <w:lang w:val="es-MX" w:eastAsia="es-ES"/>
    </w:rPr>
  </w:style>
  <w:style w:type="numbering" w:customStyle="1" w:styleId="Sinlista1">
    <w:name w:val="Sin lista1"/>
    <w:next w:val="Sinlista"/>
    <w:uiPriority w:val="99"/>
    <w:semiHidden/>
    <w:unhideWhenUsed/>
    <w:rsid w:val="002474B1"/>
  </w:style>
  <w:style w:type="character" w:styleId="Refdecomentario">
    <w:name w:val="annotation reference"/>
    <w:uiPriority w:val="99"/>
    <w:semiHidden/>
    <w:unhideWhenUsed/>
    <w:rsid w:val="002474B1"/>
    <w:rPr>
      <w:sz w:val="16"/>
      <w:szCs w:val="16"/>
    </w:rPr>
  </w:style>
  <w:style w:type="character" w:customStyle="1" w:styleId="Ttulo1Car">
    <w:name w:val="Título 1 Car"/>
    <w:link w:val="Ttulo11"/>
    <w:uiPriority w:val="9"/>
    <w:rsid w:val="002474B1"/>
    <w:rPr>
      <w:rFonts w:ascii="Calibri Light" w:eastAsia="Times New Roman" w:hAnsi="Calibri Light" w:cs="Times New Roman"/>
      <w:color w:val="2F5496"/>
      <w:sz w:val="32"/>
      <w:szCs w:val="32"/>
      <w:lang w:val="es-ES" w:eastAsia="es-ES"/>
    </w:rPr>
  </w:style>
  <w:style w:type="character" w:customStyle="1" w:styleId="Mencinsinresolver1">
    <w:name w:val="Mención sin resolver1"/>
    <w:uiPriority w:val="99"/>
    <w:semiHidden/>
    <w:unhideWhenUsed/>
    <w:rsid w:val="002474B1"/>
    <w:rPr>
      <w:color w:val="605E5C"/>
      <w:shd w:val="clear" w:color="auto" w:fill="E1DFDD"/>
    </w:rPr>
  </w:style>
  <w:style w:type="paragraph" w:styleId="Textocomentario">
    <w:name w:val="annotation text"/>
    <w:basedOn w:val="Normal"/>
    <w:link w:val="TextocomentarioCar"/>
    <w:uiPriority w:val="99"/>
    <w:unhideWhenUsed/>
    <w:rsid w:val="002474B1"/>
    <w:rPr>
      <w:sz w:val="20"/>
      <w:szCs w:val="20"/>
      <w:lang w:val="es-ES" w:eastAsia="es-ES"/>
    </w:rPr>
  </w:style>
  <w:style w:type="character" w:customStyle="1" w:styleId="TextocomentarioCar">
    <w:name w:val="Texto comentario Car"/>
    <w:basedOn w:val="Fuentedeprrafopredeter"/>
    <w:link w:val="Textocomentario"/>
    <w:uiPriority w:val="99"/>
    <w:rsid w:val="002474B1"/>
    <w:rPr>
      <w:lang w:val="es-ES" w:eastAsia="es-ES"/>
    </w:rPr>
  </w:style>
  <w:style w:type="paragraph" w:styleId="Asuntodelcomentario">
    <w:name w:val="annotation subject"/>
    <w:basedOn w:val="Textocomentario"/>
    <w:next w:val="Textocomentario"/>
    <w:link w:val="AsuntodelcomentarioCar"/>
    <w:uiPriority w:val="99"/>
    <w:semiHidden/>
    <w:unhideWhenUsed/>
    <w:rsid w:val="002474B1"/>
    <w:rPr>
      <w:b/>
      <w:bCs/>
    </w:rPr>
  </w:style>
  <w:style w:type="character" w:customStyle="1" w:styleId="AsuntodelcomentarioCar">
    <w:name w:val="Asunto del comentario Car"/>
    <w:basedOn w:val="TextocomentarioCar"/>
    <w:link w:val="Asuntodelcomentario"/>
    <w:uiPriority w:val="99"/>
    <w:semiHidden/>
    <w:rsid w:val="002474B1"/>
    <w:rPr>
      <w:b/>
      <w:bCs/>
      <w:lang w:val="es-ES" w:eastAsia="es-ES"/>
    </w:rPr>
  </w:style>
  <w:style w:type="character" w:customStyle="1" w:styleId="Mencinsinresolver2">
    <w:name w:val="Mención sin resolver2"/>
    <w:uiPriority w:val="99"/>
    <w:semiHidden/>
    <w:unhideWhenUsed/>
    <w:rsid w:val="002474B1"/>
    <w:rPr>
      <w:color w:val="605E5C"/>
      <w:shd w:val="clear" w:color="auto" w:fill="E1DFDD"/>
    </w:rPr>
  </w:style>
  <w:style w:type="character" w:styleId="Mencinsinresolver">
    <w:name w:val="Unresolved Mention"/>
    <w:uiPriority w:val="99"/>
    <w:semiHidden/>
    <w:unhideWhenUsed/>
    <w:rsid w:val="002474B1"/>
    <w:rPr>
      <w:color w:val="605E5C"/>
      <w:shd w:val="clear" w:color="auto" w:fill="E1DFDD"/>
    </w:rPr>
  </w:style>
  <w:style w:type="paragraph" w:styleId="Revisin">
    <w:name w:val="Revision"/>
    <w:hidden/>
    <w:uiPriority w:val="99"/>
    <w:semiHidden/>
    <w:rsid w:val="002474B1"/>
    <w:rPr>
      <w:sz w:val="24"/>
      <w:szCs w:val="24"/>
      <w:lang w:val="es-ES" w:eastAsia="es-ES"/>
    </w:rPr>
  </w:style>
  <w:style w:type="paragraph" w:styleId="Prrafodelista">
    <w:name w:val="List Paragraph"/>
    <w:basedOn w:val="Normal"/>
    <w:uiPriority w:val="34"/>
    <w:qFormat/>
    <w:rsid w:val="002474B1"/>
    <w:pPr>
      <w:ind w:left="720"/>
      <w:contextualSpacing/>
    </w:pPr>
    <w:rPr>
      <w:lang w:val="es-ES" w:eastAsia="es-ES"/>
    </w:rPr>
  </w:style>
  <w:style w:type="character" w:customStyle="1" w:styleId="Ttulo1Car1">
    <w:name w:val="Título 1 Car1"/>
    <w:basedOn w:val="Fuentedeprrafopredeter"/>
    <w:link w:val="Ttulo1"/>
    <w:rsid w:val="002474B1"/>
    <w:rPr>
      <w:rFonts w:asciiTheme="majorHAnsi" w:eastAsiaTheme="majorEastAsia" w:hAnsiTheme="majorHAnsi" w:cstheme="majorBidi"/>
      <w:b/>
      <w:bCs/>
      <w:kern w:val="32"/>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620038278">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114902420">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37-5285" TargetMode="External"/><Relationship Id="rId13" Type="http://schemas.openxmlformats.org/officeDocument/2006/relationships/hyperlink" Target="https://orcid.org/0000-0002-1665-2332" TargetMode="External"/><Relationship Id="rId18" Type="http://schemas.openxmlformats.org/officeDocument/2006/relationships/image" Target="media/image2.png"/><Relationship Id="rId26" Type="http://schemas.openxmlformats.org/officeDocument/2006/relationships/hyperlink" Target="http://busquedas.elperuano.pe/normaslegales/decreto-supremo-que-aprueba-la-fase-2-de-la-reanudacion-de-a-decreto-supremo-no-101-2020-pcm-1867300-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imp.org.pe/mineria-en-el-peru/resultados" TargetMode="External"/><Relationship Id="rId34" Type="http://schemas.openxmlformats.org/officeDocument/2006/relationships/hyperlink" Target="http://repositorio.uwiener.edu.pe/handle/123456789/5163" TargetMode="External"/><Relationship Id="rId7" Type="http://schemas.openxmlformats.org/officeDocument/2006/relationships/hyperlink" Target="https://orcid.org/0000-0002-6156-2176" TargetMode="External"/><Relationship Id="rId12" Type="http://schemas.openxmlformats.org/officeDocument/2006/relationships/hyperlink" Target="https://orcid.org/0000-0002-5140-0843" TargetMode="External"/><Relationship Id="rId17" Type="http://schemas.openxmlformats.org/officeDocument/2006/relationships/image" Target="media/image1.jpeg"/><Relationship Id="rId25" Type="http://schemas.openxmlformats.org/officeDocument/2006/relationships/hyperlink" Target="http://busquedas.elperuano.pe/normaslegales/decreto-supremo-que-aprueba-la-reanudacion-de-actividades-ec-decreto-supremo-n-080-2020-pcm-1865987-1/" TargetMode="External"/><Relationship Id="rId33" Type="http://schemas.openxmlformats.org/officeDocument/2006/relationships/hyperlink" Target="http://hdl.handle.net/11362/4674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ludtrabajo.minsa.gob.pe/" TargetMode="External"/><Relationship Id="rId20" Type="http://schemas.openxmlformats.org/officeDocument/2006/relationships/image" Target="media/image4.png"/><Relationship Id="rId29" Type="http://schemas.openxmlformats.org/officeDocument/2006/relationships/hyperlink" Target="http://repositorio.unap.edu.pe/bitstream/handle/UNAP/15178/Huaracayo_Perez_Wilbert.pdf?sequence=2&amp;isAllowe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340-430X" TargetMode="External"/><Relationship Id="rId24" Type="http://schemas.openxmlformats.org/officeDocument/2006/relationships/hyperlink" Target="https://www.gbreports.com/article/mining-in-the-shadow-of-covid-19" TargetMode="External"/><Relationship Id="rId32" Type="http://schemas.openxmlformats.org/officeDocument/2006/relationships/hyperlink" Target="http://repositorio.uncp.edu.pe/bitstream/handle/20.500.12894/6661/T010_77087020_T.pdf?sequence=1&amp;isAllowed=y"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mburgos@ins.gob.pe" TargetMode="External"/><Relationship Id="rId23" Type="http://schemas.openxmlformats.org/officeDocument/2006/relationships/hyperlink" Target="https://www.un-ilibrary.org/content/books/9789210054737" TargetMode="External"/><Relationship Id="rId28" Type="http://schemas.openxmlformats.org/officeDocument/2006/relationships/hyperlink" Target="http://busquedas.elperuano.pe/normaslegales/delegan-en-el-instituto-nacional-de-salud-a-traves-del-cent-resolucion-ministerial-n-377-2020-minsa-1867713-1/" TargetMode="External"/><Relationship Id="rId36" Type="http://schemas.openxmlformats.org/officeDocument/2006/relationships/footer" Target="footer1.xml"/><Relationship Id="rId10" Type="http://schemas.openxmlformats.org/officeDocument/2006/relationships/hyperlink" Target="https://orcid.org/0000-0003-3855-4394" TargetMode="External"/><Relationship Id="rId19" Type="http://schemas.openxmlformats.org/officeDocument/2006/relationships/image" Target="media/image3.png"/><Relationship Id="rId31" Type="http://schemas.openxmlformats.org/officeDocument/2006/relationships/hyperlink" Target="https://www.who.int/news-room/q-a-detail/coronavirus-disease-covid-19-health-and-safety-in-the-workplace" TargetMode="External"/><Relationship Id="rId4" Type="http://schemas.openxmlformats.org/officeDocument/2006/relationships/webSettings" Target="webSettings.xml"/><Relationship Id="rId9" Type="http://schemas.openxmlformats.org/officeDocument/2006/relationships/hyperlink" Target="https://orcid.org/0000-0002-1239-6802" TargetMode="External"/><Relationship Id="rId14" Type="http://schemas.openxmlformats.org/officeDocument/2006/relationships/hyperlink" Target="mailto:mabf77@gmail.com" TargetMode="External"/><Relationship Id="rId22" Type="http://schemas.openxmlformats.org/officeDocument/2006/relationships/hyperlink" Target="http://www.minem.gob.pe/minem/archivos/file/Mineria/PUBLICACIONES/VARIABLES/2021/BEM%2003-2021(1).pdf" TargetMode="External"/><Relationship Id="rId27" Type="http://schemas.openxmlformats.org/officeDocument/2006/relationships/hyperlink" Target="http://busquedas.elperuano.pe/normaslegales/aprueban-el-documento-tecnico-lineamientos-para-la-vigilanc-resolucion-ministerial-n-239-2020-minsa-1865871-1/" TargetMode="External"/><Relationship Id="rId30" Type="http://schemas.openxmlformats.org/officeDocument/2006/relationships/hyperlink" Target="https://scielo.isciii.es/scielo.php?script=sci_arttext&amp;pid=S1132-62552021000400425"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Pages>
  <Words>3452</Words>
  <Characters>18990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22398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12</cp:revision>
  <cp:lastPrinted>2023-01-31T02:03:00Z</cp:lastPrinted>
  <dcterms:created xsi:type="dcterms:W3CDTF">2023-01-17T01:23:00Z</dcterms:created>
  <dcterms:modified xsi:type="dcterms:W3CDTF">2023-01-31T02:03:00Z</dcterms:modified>
</cp:coreProperties>
</file>