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36751" w14:textId="77777777" w:rsidR="001D1565" w:rsidRPr="001D1565" w:rsidRDefault="001D1565" w:rsidP="001D1565">
      <w:pPr>
        <w:suppressAutoHyphens/>
        <w:spacing w:line="360" w:lineRule="auto"/>
        <w:jc w:val="right"/>
        <w:rPr>
          <w:sz w:val="20"/>
          <w:szCs w:val="20"/>
          <w:lang w:val="es-ES" w:eastAsia="es-ES"/>
        </w:rPr>
      </w:pPr>
      <w:r w:rsidRPr="001D1565">
        <w:rPr>
          <w:sz w:val="20"/>
          <w:szCs w:val="20"/>
          <w:lang w:val="es-ES" w:eastAsia="es-ES"/>
        </w:rPr>
        <w:t>Artículo de investigación</w:t>
      </w:r>
    </w:p>
    <w:p w14:paraId="789F5ED2" w14:textId="77777777" w:rsidR="001D1565" w:rsidRPr="001D1565" w:rsidRDefault="001D1565" w:rsidP="001D1565">
      <w:pPr>
        <w:suppressAutoHyphens/>
        <w:spacing w:line="360" w:lineRule="auto"/>
        <w:jc w:val="center"/>
        <w:rPr>
          <w:b/>
          <w:sz w:val="28"/>
          <w:szCs w:val="28"/>
          <w:lang w:val="es-ES" w:eastAsia="es-ES"/>
        </w:rPr>
      </w:pPr>
    </w:p>
    <w:p w14:paraId="15059AAC" w14:textId="77777777" w:rsidR="001D1565" w:rsidRPr="001D1565" w:rsidRDefault="001D1565" w:rsidP="001D1565">
      <w:pPr>
        <w:suppressAutoHyphens/>
        <w:spacing w:line="360" w:lineRule="auto"/>
        <w:jc w:val="center"/>
        <w:rPr>
          <w:b/>
          <w:sz w:val="28"/>
          <w:szCs w:val="28"/>
          <w:lang w:val="es-ES" w:eastAsia="es-ES"/>
        </w:rPr>
      </w:pPr>
      <w:r w:rsidRPr="001D1565">
        <w:rPr>
          <w:b/>
          <w:sz w:val="28"/>
          <w:szCs w:val="28"/>
          <w:lang w:val="es-ES" w:eastAsia="es-ES"/>
        </w:rPr>
        <w:t xml:space="preserve">El sistema </w:t>
      </w:r>
      <w:r w:rsidRPr="001D1565">
        <w:rPr>
          <w:b/>
          <w:sz w:val="28"/>
          <w:szCs w:val="28"/>
          <w:lang w:val="es-US" w:eastAsia="en-US"/>
        </w:rPr>
        <w:t>OLGA</w:t>
      </w:r>
      <w:r w:rsidRPr="001D1565">
        <w:rPr>
          <w:b/>
          <w:i/>
          <w:sz w:val="28"/>
          <w:szCs w:val="28"/>
          <w:lang w:val="es-US" w:eastAsia="en-US"/>
        </w:rPr>
        <w:t xml:space="preserve"> </w:t>
      </w:r>
      <w:r w:rsidRPr="001D1565">
        <w:rPr>
          <w:b/>
          <w:sz w:val="28"/>
          <w:szCs w:val="28"/>
          <w:lang w:val="es-ES" w:eastAsia="es-ES"/>
        </w:rPr>
        <w:t>para diagnosticar lesiones precursoras de cáncer gástrico</w:t>
      </w:r>
    </w:p>
    <w:p w14:paraId="130B800B" w14:textId="77777777" w:rsidR="001D1565" w:rsidRPr="001D1565" w:rsidRDefault="001D1565" w:rsidP="001D1565">
      <w:pPr>
        <w:suppressAutoHyphens/>
        <w:spacing w:line="360" w:lineRule="auto"/>
        <w:jc w:val="center"/>
        <w:rPr>
          <w:sz w:val="28"/>
          <w:szCs w:val="28"/>
          <w:lang w:val="en-US" w:eastAsia="es-ES"/>
        </w:rPr>
      </w:pPr>
      <w:r w:rsidRPr="001D1565">
        <w:rPr>
          <w:sz w:val="28"/>
          <w:szCs w:val="28"/>
          <w:lang w:val="en-US" w:eastAsia="es-ES"/>
        </w:rPr>
        <w:t>The OLGA system to diagnose gastric cancer precursor lesions</w:t>
      </w:r>
    </w:p>
    <w:p w14:paraId="3B3BEB61" w14:textId="77777777" w:rsidR="001D1565" w:rsidRPr="001D1565" w:rsidRDefault="001D1565" w:rsidP="001D1565">
      <w:pPr>
        <w:suppressAutoHyphens/>
        <w:spacing w:line="360" w:lineRule="auto"/>
        <w:jc w:val="center"/>
        <w:rPr>
          <w:sz w:val="28"/>
          <w:szCs w:val="28"/>
          <w:lang w:val="en-US" w:eastAsia="es-ES"/>
        </w:rPr>
      </w:pPr>
    </w:p>
    <w:p w14:paraId="04C1C9B9" w14:textId="77777777" w:rsidR="001D1565" w:rsidRPr="001D1565" w:rsidRDefault="001D1565" w:rsidP="001D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s-US" w:eastAsia="en-US"/>
        </w:rPr>
      </w:pPr>
      <w:r w:rsidRPr="001D1565">
        <w:rPr>
          <w:lang w:val="es-US" w:eastAsia="en-US"/>
        </w:rPr>
        <w:t xml:space="preserve">Ludmila Martínez </w:t>
      </w:r>
      <w:proofErr w:type="spellStart"/>
      <w:r w:rsidRPr="001D1565">
        <w:rPr>
          <w:lang w:val="es-US" w:eastAsia="en-US"/>
        </w:rPr>
        <w:t>Leyva</w:t>
      </w:r>
      <w:r w:rsidRPr="001D1565">
        <w:rPr>
          <w:vertAlign w:val="superscript"/>
          <w:lang w:val="es-US" w:eastAsia="en-US"/>
        </w:rPr>
        <w:t>1</w:t>
      </w:r>
      <w:proofErr w:type="spellEnd"/>
      <w:r w:rsidRPr="001D1565">
        <w:rPr>
          <w:lang w:val="es-US" w:eastAsia="en-US"/>
        </w:rPr>
        <w:t xml:space="preserve">* </w:t>
      </w:r>
      <w:hyperlink r:id="rId7" w:history="1">
        <w:r w:rsidRPr="001D1565">
          <w:rPr>
            <w:color w:val="0000FF"/>
            <w:u w:val="single"/>
            <w:lang w:val="es-US" w:eastAsia="en-US"/>
          </w:rPr>
          <w:t>https://orcid.org/0000-0002-4333-4030</w:t>
        </w:r>
      </w:hyperlink>
      <w:r w:rsidRPr="001D1565">
        <w:rPr>
          <w:lang w:val="es-US" w:eastAsia="en-US"/>
        </w:rPr>
        <w:t xml:space="preserve"> </w:t>
      </w:r>
    </w:p>
    <w:p w14:paraId="19647DC0" w14:textId="77777777" w:rsidR="001D1565" w:rsidRPr="001D1565" w:rsidRDefault="001D1565" w:rsidP="001D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s-US" w:eastAsia="en-US"/>
        </w:rPr>
      </w:pPr>
      <w:r w:rsidRPr="001D1565">
        <w:rPr>
          <w:lang w:val="es-US" w:eastAsia="en-US"/>
        </w:rPr>
        <w:t xml:space="preserve">Lilia Martínez </w:t>
      </w:r>
      <w:proofErr w:type="spellStart"/>
      <w:r w:rsidRPr="001D1565">
        <w:rPr>
          <w:lang w:val="es-US" w:eastAsia="en-US"/>
        </w:rPr>
        <w:t>Garrido</w:t>
      </w:r>
      <w:r w:rsidRPr="001D1565">
        <w:rPr>
          <w:vertAlign w:val="superscript"/>
          <w:lang w:val="es-US" w:eastAsia="en-US"/>
        </w:rPr>
        <w:t>1</w:t>
      </w:r>
      <w:proofErr w:type="spellEnd"/>
      <w:r w:rsidRPr="001D1565">
        <w:rPr>
          <w:lang w:val="es-US" w:eastAsia="en-US"/>
        </w:rPr>
        <w:t xml:space="preserve"> </w:t>
      </w:r>
      <w:hyperlink r:id="rId8" w:history="1">
        <w:r w:rsidRPr="001D1565">
          <w:rPr>
            <w:color w:val="0000FF"/>
            <w:u w:val="single"/>
            <w:lang w:val="es-US" w:eastAsia="en-US"/>
          </w:rPr>
          <w:t>https://orcid.org/0000-0002-8066-985X</w:t>
        </w:r>
      </w:hyperlink>
      <w:r w:rsidRPr="001D1565">
        <w:rPr>
          <w:lang w:val="es-US" w:eastAsia="en-US"/>
        </w:rPr>
        <w:t xml:space="preserve"> </w:t>
      </w:r>
    </w:p>
    <w:p w14:paraId="3F38E36D" w14:textId="77777777" w:rsidR="001D1565" w:rsidRPr="001D1565" w:rsidRDefault="001D1565" w:rsidP="001D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s-US" w:eastAsia="en-US"/>
        </w:rPr>
      </w:pPr>
      <w:r w:rsidRPr="001D1565">
        <w:rPr>
          <w:lang w:val="es-US" w:eastAsia="en-US"/>
        </w:rPr>
        <w:t xml:space="preserve">Teresita de Jesús Montero </w:t>
      </w:r>
      <w:proofErr w:type="spellStart"/>
      <w:r w:rsidRPr="001D1565">
        <w:rPr>
          <w:lang w:val="es-US" w:eastAsia="en-US"/>
        </w:rPr>
        <w:t>González</w:t>
      </w:r>
      <w:r w:rsidRPr="001D1565">
        <w:rPr>
          <w:vertAlign w:val="superscript"/>
          <w:lang w:val="es-US" w:eastAsia="en-US"/>
        </w:rPr>
        <w:t>2</w:t>
      </w:r>
      <w:proofErr w:type="spellEnd"/>
      <w:r w:rsidRPr="001D1565">
        <w:rPr>
          <w:lang w:val="es-US" w:eastAsia="en-US"/>
        </w:rPr>
        <w:t xml:space="preserve"> </w:t>
      </w:r>
      <w:hyperlink r:id="rId9" w:history="1">
        <w:r w:rsidRPr="001D1565">
          <w:rPr>
            <w:color w:val="0000FF"/>
            <w:u w:val="single"/>
            <w:lang w:val="es-US" w:eastAsia="en-US"/>
          </w:rPr>
          <w:t>https://orcid.org/0000-0003-3372-6791</w:t>
        </w:r>
      </w:hyperlink>
      <w:r w:rsidRPr="001D1565">
        <w:rPr>
          <w:lang w:val="es-US" w:eastAsia="en-US"/>
        </w:rPr>
        <w:t xml:space="preserve"> </w:t>
      </w:r>
    </w:p>
    <w:p w14:paraId="04799AAD" w14:textId="77777777" w:rsidR="001D1565" w:rsidRPr="001D1565" w:rsidRDefault="001D1565" w:rsidP="001D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s-US" w:eastAsia="en-US"/>
        </w:rPr>
      </w:pPr>
      <w:r w:rsidRPr="001D1565">
        <w:rPr>
          <w:lang w:val="es-US" w:eastAsia="en-US"/>
        </w:rPr>
        <w:t xml:space="preserve">Felipe Neri Piñol </w:t>
      </w:r>
      <w:proofErr w:type="spellStart"/>
      <w:r w:rsidRPr="001D1565">
        <w:rPr>
          <w:lang w:val="es-US" w:eastAsia="en-US"/>
        </w:rPr>
        <w:t>Jiménez</w:t>
      </w:r>
      <w:r w:rsidRPr="001D1565">
        <w:rPr>
          <w:vertAlign w:val="superscript"/>
          <w:lang w:val="es-US" w:eastAsia="en-US"/>
        </w:rPr>
        <w:t>3</w:t>
      </w:r>
      <w:proofErr w:type="spellEnd"/>
      <w:r w:rsidRPr="001D1565">
        <w:rPr>
          <w:lang w:val="es-US" w:eastAsia="en-US"/>
        </w:rPr>
        <w:t xml:space="preserve"> </w:t>
      </w:r>
      <w:hyperlink r:id="rId10" w:history="1">
        <w:r w:rsidRPr="001D1565">
          <w:rPr>
            <w:color w:val="0000FF"/>
            <w:u w:val="single"/>
            <w:lang w:val="es-US" w:eastAsia="en-US"/>
          </w:rPr>
          <w:t>https://orcid.org/0000-0003-0522-8875</w:t>
        </w:r>
      </w:hyperlink>
      <w:r w:rsidRPr="001D1565">
        <w:rPr>
          <w:lang w:val="es-US" w:eastAsia="en-US"/>
        </w:rPr>
        <w:t xml:space="preserve">  </w:t>
      </w:r>
    </w:p>
    <w:p w14:paraId="482F9CAA" w14:textId="77777777" w:rsidR="001D1565" w:rsidRPr="001D1565" w:rsidRDefault="001D1565" w:rsidP="001D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s-US" w:eastAsia="en-US"/>
        </w:rPr>
      </w:pPr>
      <w:r w:rsidRPr="001D1565">
        <w:rPr>
          <w:lang w:val="es-US" w:eastAsia="en-US"/>
        </w:rPr>
        <w:t xml:space="preserve">Osvaldo Miranda </w:t>
      </w:r>
      <w:proofErr w:type="spellStart"/>
      <w:r w:rsidRPr="001D1565">
        <w:rPr>
          <w:lang w:val="es-US" w:eastAsia="en-US"/>
        </w:rPr>
        <w:t>Gómez</w:t>
      </w:r>
      <w:r w:rsidRPr="001D1565">
        <w:rPr>
          <w:vertAlign w:val="superscript"/>
          <w:lang w:val="es-US" w:eastAsia="en-US"/>
        </w:rPr>
        <w:t>1</w:t>
      </w:r>
      <w:proofErr w:type="spellEnd"/>
      <w:r w:rsidRPr="001D1565">
        <w:rPr>
          <w:lang w:val="es-US" w:eastAsia="en-US"/>
        </w:rPr>
        <w:t xml:space="preserve"> </w:t>
      </w:r>
      <w:hyperlink r:id="rId11" w:history="1">
        <w:r w:rsidRPr="001D1565">
          <w:rPr>
            <w:color w:val="0000FF"/>
            <w:u w:val="single"/>
            <w:lang w:val="es-US" w:eastAsia="en-US"/>
          </w:rPr>
          <w:t>https://orcid.org/0000-0002-7017-6808</w:t>
        </w:r>
      </w:hyperlink>
      <w:r w:rsidRPr="001D1565">
        <w:rPr>
          <w:lang w:val="es-US" w:eastAsia="en-US"/>
        </w:rPr>
        <w:t xml:space="preserve"> </w:t>
      </w:r>
    </w:p>
    <w:p w14:paraId="6599F9FA" w14:textId="77777777" w:rsidR="001D1565" w:rsidRPr="001D1565" w:rsidRDefault="001D1565" w:rsidP="001D1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lang w:val="es-US" w:eastAsia="en-US"/>
        </w:rPr>
      </w:pPr>
      <w:r w:rsidRPr="001D1565">
        <w:rPr>
          <w:lang w:val="es-US" w:eastAsia="en-US"/>
        </w:rPr>
        <w:t xml:space="preserve">Amada </w:t>
      </w:r>
      <w:proofErr w:type="spellStart"/>
      <w:r w:rsidRPr="001D1565">
        <w:rPr>
          <w:lang w:val="es-US" w:eastAsia="en-US"/>
        </w:rPr>
        <w:t>Belquis</w:t>
      </w:r>
      <w:proofErr w:type="spellEnd"/>
      <w:r w:rsidRPr="001D1565">
        <w:rPr>
          <w:lang w:val="es-US" w:eastAsia="en-US"/>
        </w:rPr>
        <w:t xml:space="preserve"> Palomino </w:t>
      </w:r>
      <w:proofErr w:type="spellStart"/>
      <w:r w:rsidRPr="001D1565">
        <w:rPr>
          <w:lang w:val="es-US" w:eastAsia="en-US"/>
        </w:rPr>
        <w:t>Besada</w:t>
      </w:r>
      <w:r w:rsidRPr="001D1565">
        <w:rPr>
          <w:vertAlign w:val="superscript"/>
          <w:lang w:val="es-US" w:eastAsia="en-US"/>
        </w:rPr>
        <w:t>1</w:t>
      </w:r>
      <w:proofErr w:type="spellEnd"/>
      <w:r w:rsidRPr="001D1565">
        <w:rPr>
          <w:lang w:val="es-US" w:eastAsia="en-US"/>
        </w:rPr>
        <w:t xml:space="preserve"> </w:t>
      </w:r>
      <w:hyperlink r:id="rId12" w:history="1">
        <w:r w:rsidRPr="001D1565">
          <w:rPr>
            <w:color w:val="0000FF"/>
            <w:u w:val="single"/>
            <w:lang w:val="es-US" w:eastAsia="en-US"/>
          </w:rPr>
          <w:t>https://orcid.org/0000-0002-4581-7693</w:t>
        </w:r>
      </w:hyperlink>
      <w:r w:rsidRPr="001D1565">
        <w:rPr>
          <w:lang w:val="es-US" w:eastAsia="en-US"/>
        </w:rPr>
        <w:t xml:space="preserve"> </w:t>
      </w:r>
    </w:p>
    <w:p w14:paraId="5F17CBF4" w14:textId="77777777" w:rsidR="001D1565" w:rsidRPr="001D1565" w:rsidRDefault="001D1565" w:rsidP="001D1565">
      <w:pPr>
        <w:suppressAutoHyphens/>
        <w:spacing w:line="360" w:lineRule="auto"/>
        <w:jc w:val="both"/>
        <w:rPr>
          <w:vertAlign w:val="superscript"/>
          <w:lang w:val="es-US" w:eastAsia="es-ES"/>
        </w:rPr>
      </w:pPr>
    </w:p>
    <w:p w14:paraId="2EF82B34" w14:textId="77777777" w:rsidR="001D1565" w:rsidRPr="001D1565" w:rsidRDefault="001D1565" w:rsidP="001D1565">
      <w:pPr>
        <w:suppressAutoHyphens/>
        <w:spacing w:line="360" w:lineRule="auto"/>
        <w:jc w:val="both"/>
        <w:rPr>
          <w:lang w:val="es-US" w:eastAsia="es-ES"/>
        </w:rPr>
      </w:pPr>
      <w:proofErr w:type="spellStart"/>
      <w:r w:rsidRPr="001D1565">
        <w:rPr>
          <w:vertAlign w:val="superscript"/>
          <w:lang w:val="es-US" w:eastAsia="es-ES"/>
        </w:rPr>
        <w:t>1</w:t>
      </w:r>
      <w:r w:rsidRPr="001D1565">
        <w:rPr>
          <w:lang w:val="es-US" w:eastAsia="es-ES"/>
        </w:rPr>
        <w:t>Servicio</w:t>
      </w:r>
      <w:proofErr w:type="spellEnd"/>
      <w:r w:rsidRPr="001D1565">
        <w:rPr>
          <w:lang w:val="es-US" w:eastAsia="es-ES"/>
        </w:rPr>
        <w:t xml:space="preserve"> de Gastroenterología. Hospital Militar Central “Dr. Carlos J. Finlay”. La Habana, Cuba.</w:t>
      </w:r>
    </w:p>
    <w:p w14:paraId="019E4263" w14:textId="77777777" w:rsidR="001D1565" w:rsidRPr="001D1565" w:rsidRDefault="001D1565" w:rsidP="001D1565">
      <w:pPr>
        <w:suppressAutoHyphens/>
        <w:spacing w:line="360" w:lineRule="auto"/>
        <w:jc w:val="both"/>
        <w:rPr>
          <w:lang w:val="es-US" w:eastAsia="es-ES"/>
        </w:rPr>
      </w:pPr>
      <w:proofErr w:type="spellStart"/>
      <w:r w:rsidRPr="001D1565">
        <w:rPr>
          <w:vertAlign w:val="superscript"/>
          <w:lang w:val="es-US" w:eastAsia="es-ES"/>
        </w:rPr>
        <w:t>2</w:t>
      </w:r>
      <w:r w:rsidRPr="001D1565">
        <w:rPr>
          <w:lang w:val="es-US" w:eastAsia="es-ES"/>
        </w:rPr>
        <w:t>Centro</w:t>
      </w:r>
      <w:proofErr w:type="spellEnd"/>
      <w:r w:rsidRPr="001D1565">
        <w:rPr>
          <w:lang w:val="es-US" w:eastAsia="es-ES"/>
        </w:rPr>
        <w:t xml:space="preserve"> de desarrollo. Hospital Militar Central “Dr. Luis Días Soto”. La Habana, Cuba.  </w:t>
      </w:r>
    </w:p>
    <w:p w14:paraId="2F6570EF" w14:textId="77777777" w:rsidR="001D1565" w:rsidRPr="001D1565" w:rsidRDefault="001D1565" w:rsidP="001D1565">
      <w:pPr>
        <w:suppressAutoHyphens/>
        <w:spacing w:line="360" w:lineRule="auto"/>
        <w:jc w:val="both"/>
        <w:rPr>
          <w:rFonts w:eastAsia="Malgun Gothic"/>
          <w:b/>
          <w:bCs/>
          <w:lang w:val="es-ES" w:eastAsia="es-ES"/>
        </w:rPr>
      </w:pPr>
      <w:proofErr w:type="spellStart"/>
      <w:r w:rsidRPr="001D1565">
        <w:rPr>
          <w:color w:val="000000"/>
          <w:vertAlign w:val="superscript"/>
          <w:lang w:val="es-US" w:eastAsia="es-ES"/>
        </w:rPr>
        <w:t>3</w:t>
      </w:r>
      <w:r w:rsidRPr="001D1565">
        <w:rPr>
          <w:color w:val="000000"/>
          <w:lang w:val="es-US" w:eastAsia="es-ES"/>
        </w:rPr>
        <w:t>Servicio</w:t>
      </w:r>
      <w:proofErr w:type="spellEnd"/>
      <w:r w:rsidRPr="001D1565">
        <w:rPr>
          <w:color w:val="000000"/>
          <w:lang w:val="es-US" w:eastAsia="es-ES"/>
        </w:rPr>
        <w:t xml:space="preserve"> de Gastroenterología. Centro Nacional de Cirugía de Mínimo Acceso. La Habana, Cuba.</w:t>
      </w:r>
    </w:p>
    <w:p w14:paraId="61AA57AA" w14:textId="77777777" w:rsidR="001D1565" w:rsidRPr="001D1565" w:rsidRDefault="001D1565" w:rsidP="001D1565">
      <w:pPr>
        <w:suppressAutoHyphens/>
        <w:spacing w:line="360" w:lineRule="auto"/>
        <w:jc w:val="both"/>
        <w:rPr>
          <w:lang w:val="es-ES" w:eastAsia="es-ES"/>
        </w:rPr>
      </w:pPr>
    </w:p>
    <w:p w14:paraId="5EF20E1A" w14:textId="77777777" w:rsidR="001D1565" w:rsidRPr="001D1565" w:rsidRDefault="001D1565" w:rsidP="001D1565">
      <w:pPr>
        <w:suppressAutoHyphens/>
        <w:autoSpaceDE w:val="0"/>
        <w:autoSpaceDN w:val="0"/>
        <w:adjustRightInd w:val="0"/>
        <w:spacing w:line="360" w:lineRule="auto"/>
        <w:jc w:val="both"/>
        <w:rPr>
          <w:rFonts w:eastAsia="Univers"/>
          <w:bCs/>
          <w:color w:val="000000"/>
          <w:lang w:val="es-US" w:eastAsia="en-US"/>
        </w:rPr>
      </w:pPr>
      <w:r w:rsidRPr="001D1565">
        <w:rPr>
          <w:rFonts w:eastAsia="Univers-Oblique"/>
          <w:bCs/>
          <w:iCs/>
          <w:lang w:val="es-US" w:eastAsia="en-US"/>
        </w:rPr>
        <w:t xml:space="preserve">*Autor para la correspondencia. Correo electrónico: </w:t>
      </w:r>
      <w:hyperlink r:id="rId13" w:history="1">
        <w:r w:rsidRPr="001D1565">
          <w:rPr>
            <w:rFonts w:eastAsia="Univers-Oblique"/>
            <w:bCs/>
            <w:iCs/>
            <w:color w:val="0000FF"/>
            <w:u w:val="single"/>
            <w:lang w:val="es-US" w:eastAsia="en-US"/>
          </w:rPr>
          <w:t>ludmila@infomed.sld.cu</w:t>
        </w:r>
      </w:hyperlink>
      <w:r w:rsidRPr="001D1565">
        <w:rPr>
          <w:rFonts w:eastAsia="Univers-Oblique"/>
          <w:bCs/>
          <w:iCs/>
          <w:lang w:val="es-US" w:eastAsia="en-US"/>
        </w:rPr>
        <w:t xml:space="preserve"> </w:t>
      </w:r>
    </w:p>
    <w:p w14:paraId="0713EED7" w14:textId="77777777" w:rsidR="001D1565" w:rsidRPr="001D1565" w:rsidRDefault="001D1565" w:rsidP="001D1565">
      <w:pPr>
        <w:suppressAutoHyphens/>
        <w:spacing w:line="360" w:lineRule="auto"/>
        <w:jc w:val="both"/>
        <w:rPr>
          <w:rFonts w:eastAsia="MS Mincho"/>
          <w:b/>
          <w:lang w:val="es-US" w:eastAsia="en-US"/>
        </w:rPr>
      </w:pPr>
    </w:p>
    <w:p w14:paraId="22BE5718" w14:textId="77777777" w:rsidR="001D1565" w:rsidRPr="001D1565" w:rsidRDefault="001D1565" w:rsidP="001D1565">
      <w:pPr>
        <w:suppressAutoHyphens/>
        <w:spacing w:line="360" w:lineRule="auto"/>
        <w:jc w:val="both"/>
        <w:rPr>
          <w:rFonts w:eastAsia="MS Mincho"/>
          <w:b/>
          <w:lang w:val="es-US" w:eastAsia="en-US"/>
        </w:rPr>
      </w:pPr>
      <w:r w:rsidRPr="001D1565">
        <w:rPr>
          <w:rFonts w:eastAsia="MS Mincho"/>
          <w:b/>
          <w:lang w:val="es-US" w:eastAsia="en-US"/>
        </w:rPr>
        <w:t>RESUMEN</w:t>
      </w:r>
    </w:p>
    <w:p w14:paraId="7B1FF4E7" w14:textId="77777777" w:rsidR="001D1565" w:rsidRPr="001D1565" w:rsidRDefault="001D1565" w:rsidP="001D1565">
      <w:pPr>
        <w:suppressAutoHyphens/>
        <w:spacing w:line="360" w:lineRule="auto"/>
        <w:jc w:val="both"/>
        <w:rPr>
          <w:lang w:val="es-US" w:eastAsia="en-US"/>
        </w:rPr>
      </w:pPr>
      <w:r w:rsidRPr="001D1565">
        <w:rPr>
          <w:b/>
          <w:lang w:val="es-US" w:eastAsia="en-US"/>
        </w:rPr>
        <w:t>Introducción</w:t>
      </w:r>
      <w:r w:rsidRPr="001D1565">
        <w:rPr>
          <w:b/>
          <w:bCs/>
          <w:lang w:val="es-US" w:eastAsia="en-US"/>
        </w:rPr>
        <w:t>:</w:t>
      </w:r>
      <w:r w:rsidRPr="001D1565">
        <w:rPr>
          <w:lang w:val="es-US" w:eastAsia="en-US"/>
        </w:rPr>
        <w:t xml:space="preserve"> El sistema OLGA considera a la atrofia gástrica como la lesión histopatológica representativa de progresión de la gastritis crónica, que es el denominador común en la inducción del cáncer.</w:t>
      </w:r>
    </w:p>
    <w:p w14:paraId="1403432C" w14:textId="77777777" w:rsidR="001D1565" w:rsidRPr="001D1565" w:rsidRDefault="001D1565" w:rsidP="001D1565">
      <w:pPr>
        <w:suppressAutoHyphens/>
        <w:spacing w:line="360" w:lineRule="auto"/>
        <w:jc w:val="both"/>
        <w:rPr>
          <w:lang w:val="es-US" w:eastAsia="en-US"/>
        </w:rPr>
      </w:pPr>
      <w:r w:rsidRPr="001D1565">
        <w:rPr>
          <w:b/>
          <w:lang w:val="es-US" w:eastAsia="en-US"/>
        </w:rPr>
        <w:t>Objetivo</w:t>
      </w:r>
      <w:r w:rsidRPr="001D1565">
        <w:rPr>
          <w:b/>
          <w:bCs/>
          <w:lang w:val="es-US" w:eastAsia="en-US"/>
        </w:rPr>
        <w:t>:</w:t>
      </w:r>
      <w:r w:rsidRPr="001D1565">
        <w:rPr>
          <w:lang w:val="es-US" w:eastAsia="en-US"/>
        </w:rPr>
        <w:t xml:space="preserve"> I</w:t>
      </w:r>
      <w:proofErr w:type="spellStart"/>
      <w:r w:rsidRPr="001D1565">
        <w:rPr>
          <w:rFonts w:eastAsia="Calibri"/>
          <w:lang w:val="es-ES" w:eastAsia="es-ES"/>
        </w:rPr>
        <w:t>dentificar</w:t>
      </w:r>
      <w:proofErr w:type="spellEnd"/>
      <w:r w:rsidRPr="001D1565">
        <w:rPr>
          <w:rFonts w:eastAsia="Calibri"/>
          <w:lang w:val="es-ES" w:eastAsia="es-ES"/>
        </w:rPr>
        <w:t xml:space="preserve"> lesiones precursoras de cáncer gástrico</w:t>
      </w:r>
      <w:r w:rsidRPr="001D1565">
        <w:rPr>
          <w:i/>
          <w:lang w:val="es-US" w:eastAsia="en-US"/>
        </w:rPr>
        <w:t>.</w:t>
      </w:r>
    </w:p>
    <w:p w14:paraId="5C34AF32" w14:textId="77777777" w:rsidR="001D1565" w:rsidRPr="001D1565" w:rsidRDefault="001D1565" w:rsidP="001D1565">
      <w:pPr>
        <w:suppressAutoHyphens/>
        <w:spacing w:line="360" w:lineRule="auto"/>
        <w:jc w:val="both"/>
        <w:rPr>
          <w:lang w:val="es-US" w:eastAsia="en-US"/>
        </w:rPr>
      </w:pPr>
      <w:r w:rsidRPr="001D1565">
        <w:rPr>
          <w:b/>
          <w:lang w:val="es-US" w:eastAsia="en-US"/>
        </w:rPr>
        <w:t>Métodos</w:t>
      </w:r>
      <w:r w:rsidRPr="001D1565">
        <w:rPr>
          <w:b/>
          <w:bCs/>
          <w:lang w:val="es-US" w:eastAsia="en-US"/>
        </w:rPr>
        <w:t>:</w:t>
      </w:r>
      <w:r w:rsidRPr="001D1565">
        <w:rPr>
          <w:lang w:val="es-US" w:eastAsia="en-US"/>
        </w:rPr>
        <w:t xml:space="preserve"> Se realizó un estudio descriptivo, que incluyó 190 pacientes con dispepsia</w:t>
      </w:r>
      <w:r w:rsidRPr="001D1565">
        <w:rPr>
          <w:lang w:val="es-ES" w:eastAsia="en-US"/>
        </w:rPr>
        <w:t>.</w:t>
      </w:r>
      <w:r w:rsidRPr="001D1565">
        <w:rPr>
          <w:b/>
          <w:lang w:val="es-ES" w:eastAsia="en-US"/>
        </w:rPr>
        <w:t xml:space="preserve"> </w:t>
      </w:r>
      <w:r w:rsidRPr="001D1565">
        <w:rPr>
          <w:lang w:eastAsia="en-US"/>
        </w:rPr>
        <w:t xml:space="preserve">Los resultados se expresaron en números absolutos y porcientos. Para evaluar la asociación de la atrofia gástrica con el reflujo </w:t>
      </w:r>
      <w:proofErr w:type="spellStart"/>
      <w:r w:rsidRPr="001D1565">
        <w:rPr>
          <w:lang w:eastAsia="en-US"/>
        </w:rPr>
        <w:t>duodenogástrico</w:t>
      </w:r>
      <w:proofErr w:type="spellEnd"/>
      <w:r w:rsidRPr="001D1565">
        <w:rPr>
          <w:lang w:eastAsia="en-US"/>
        </w:rPr>
        <w:t xml:space="preserve"> y la infección por </w:t>
      </w:r>
      <w:proofErr w:type="spellStart"/>
      <w:r w:rsidRPr="001D1565">
        <w:rPr>
          <w:i/>
          <w:lang w:eastAsia="en-US"/>
        </w:rPr>
        <w:t>Helicobacter</w:t>
      </w:r>
      <w:proofErr w:type="spellEnd"/>
      <w:r w:rsidRPr="001D1565">
        <w:rPr>
          <w:i/>
          <w:lang w:eastAsia="en-US"/>
        </w:rPr>
        <w:t xml:space="preserve"> pylori</w:t>
      </w:r>
      <w:r w:rsidRPr="001D1565">
        <w:rPr>
          <w:lang w:eastAsia="en-US"/>
        </w:rPr>
        <w:t xml:space="preserve"> se aplicó el test </w:t>
      </w:r>
      <w:r w:rsidRPr="001D1565">
        <w:rPr>
          <w:i/>
          <w:lang w:eastAsia="en-US"/>
        </w:rPr>
        <w:t xml:space="preserve">ji </w:t>
      </w:r>
      <w:r w:rsidRPr="001D1565">
        <w:rPr>
          <w:lang w:eastAsia="en-US"/>
        </w:rPr>
        <w:t>cuadrado (</w:t>
      </w:r>
      <w:proofErr w:type="spellStart"/>
      <w:r w:rsidRPr="001D1565">
        <w:rPr>
          <w:lang w:eastAsia="en-US"/>
        </w:rPr>
        <w:t>χ</w:t>
      </w:r>
      <w:r w:rsidRPr="001D1565">
        <w:rPr>
          <w:vertAlign w:val="superscript"/>
          <w:lang w:eastAsia="en-US"/>
        </w:rPr>
        <w:t>2</w:t>
      </w:r>
      <w:proofErr w:type="spellEnd"/>
      <w:r w:rsidRPr="001D1565">
        <w:rPr>
          <w:lang w:eastAsia="en-US"/>
        </w:rPr>
        <w:t>). Se aceptó un nivel de significación estadística p≤ 0,05.</w:t>
      </w:r>
    </w:p>
    <w:p w14:paraId="6C32048D" w14:textId="77777777" w:rsidR="001D1565" w:rsidRPr="001D1565" w:rsidRDefault="001D1565" w:rsidP="001D1565">
      <w:pPr>
        <w:suppressAutoHyphens/>
        <w:spacing w:line="360" w:lineRule="auto"/>
        <w:jc w:val="both"/>
        <w:rPr>
          <w:lang w:val="es-US" w:eastAsia="en-US"/>
        </w:rPr>
      </w:pPr>
      <w:r w:rsidRPr="001D1565">
        <w:rPr>
          <w:b/>
          <w:lang w:val="es-US" w:eastAsia="en-US"/>
        </w:rPr>
        <w:lastRenderedPageBreak/>
        <w:t>Resultados</w:t>
      </w:r>
      <w:r w:rsidRPr="001D1565">
        <w:rPr>
          <w:lang w:val="es-US" w:eastAsia="en-US"/>
        </w:rPr>
        <w:t xml:space="preserve">: </w:t>
      </w:r>
      <w:r w:rsidRPr="001D1565">
        <w:rPr>
          <w:lang w:eastAsia="en-US"/>
        </w:rPr>
        <w:t xml:space="preserve">El 94,2 </w:t>
      </w:r>
      <w:r w:rsidRPr="001D1565">
        <w:rPr>
          <w:lang w:val="es-US" w:eastAsia="en-US"/>
        </w:rPr>
        <w:t xml:space="preserve">% de los pacientes tenía gastritis eritematosa. El estadio II fue el más frecuente en los menores de 50 años (54,1 %) y en los mayores (48,5 %). En ambos grupos de edad se encontraron pacientes en estadio III (10,7 % en los menores de 50 años y 16,1 % en los mayores de 50 años). En el estadio II, 27 (62,8 %) pacientes tenían metaplasia intestinal. La displasia de bajo grado fue encontrada con mayor frecuencia en el estadio II (46; 54,2 %). De los pacientes con atrofia 11 (91,7 %; p= 0,75626) y 159 (89,4 %; p= 0,43719) presentaban reflujo </w:t>
      </w:r>
      <w:proofErr w:type="spellStart"/>
      <w:r w:rsidRPr="001D1565">
        <w:rPr>
          <w:lang w:val="es-US" w:eastAsia="en-US"/>
        </w:rPr>
        <w:t>duodenogástrico</w:t>
      </w:r>
      <w:proofErr w:type="spellEnd"/>
      <w:r w:rsidRPr="001D1565">
        <w:rPr>
          <w:lang w:val="es-US" w:eastAsia="en-US"/>
        </w:rPr>
        <w:t xml:space="preserve"> e infección por </w:t>
      </w:r>
      <w:proofErr w:type="spellStart"/>
      <w:r w:rsidRPr="001D1565">
        <w:rPr>
          <w:i/>
          <w:lang w:val="es-US" w:eastAsia="en-US"/>
        </w:rPr>
        <w:t>Helicobacter</w:t>
      </w:r>
      <w:proofErr w:type="spellEnd"/>
      <w:r w:rsidRPr="001D1565">
        <w:rPr>
          <w:i/>
          <w:lang w:val="es-US" w:eastAsia="en-US"/>
        </w:rPr>
        <w:t xml:space="preserve"> pylori</w:t>
      </w:r>
      <w:r w:rsidRPr="001D1565">
        <w:rPr>
          <w:lang w:val="es-US" w:eastAsia="en-US"/>
        </w:rPr>
        <w:t>, respectivamente.</w:t>
      </w:r>
    </w:p>
    <w:p w14:paraId="55E58AEF" w14:textId="77777777" w:rsidR="001D1565" w:rsidRPr="001D1565" w:rsidRDefault="001D1565" w:rsidP="001D1565">
      <w:pPr>
        <w:suppressAutoHyphens/>
        <w:spacing w:line="360" w:lineRule="auto"/>
        <w:jc w:val="both"/>
        <w:rPr>
          <w:lang w:val="es-US" w:eastAsia="en-US"/>
        </w:rPr>
      </w:pPr>
      <w:r w:rsidRPr="001D1565">
        <w:rPr>
          <w:b/>
          <w:lang w:val="es-US" w:eastAsia="en-US"/>
        </w:rPr>
        <w:t>Conclusiones</w:t>
      </w:r>
      <w:r w:rsidRPr="001D1565">
        <w:rPr>
          <w:b/>
          <w:bCs/>
          <w:lang w:val="es-US" w:eastAsia="en-US"/>
        </w:rPr>
        <w:t>:</w:t>
      </w:r>
      <w:r w:rsidRPr="001D1565">
        <w:rPr>
          <w:bCs/>
          <w:lang w:val="es-US" w:eastAsia="en-US"/>
        </w:rPr>
        <w:t xml:space="preserve"> L</w:t>
      </w:r>
      <w:r w:rsidRPr="001D1565">
        <w:rPr>
          <w:lang w:val="es-US" w:eastAsia="en-US"/>
        </w:rPr>
        <w:t>a prevalencia de etapas avanzadas de atrofia gástrica es baja. La metaplasia intestinal y la displasia de bajo grado son más frecuentes en el estadio II de OLGA. No se detectan pacientes con displasia de alto grado.</w:t>
      </w:r>
    </w:p>
    <w:p w14:paraId="620FDA73" w14:textId="77777777" w:rsidR="001D1565" w:rsidRPr="001D1565" w:rsidRDefault="001D1565" w:rsidP="001D1565">
      <w:pPr>
        <w:suppressAutoHyphens/>
        <w:spacing w:line="360" w:lineRule="auto"/>
        <w:jc w:val="both"/>
        <w:rPr>
          <w:i/>
          <w:lang w:val="es-US" w:eastAsia="es-ES"/>
        </w:rPr>
      </w:pPr>
      <w:r w:rsidRPr="001D1565">
        <w:rPr>
          <w:b/>
          <w:lang w:val="es-US" w:eastAsia="es-ES"/>
        </w:rPr>
        <w:t>Palabras clave</w:t>
      </w:r>
      <w:r w:rsidRPr="001D1565">
        <w:rPr>
          <w:b/>
          <w:bCs/>
          <w:lang w:val="es-US" w:eastAsia="es-ES"/>
        </w:rPr>
        <w:t xml:space="preserve">: </w:t>
      </w:r>
      <w:r w:rsidRPr="001D1565">
        <w:rPr>
          <w:lang w:val="es-US" w:eastAsia="es-ES"/>
        </w:rPr>
        <w:t>metaplasia intestinal; displasia; atrofia gástrica; cáncer gástrico; OLGA;</w:t>
      </w:r>
      <w:r w:rsidRPr="001D1565">
        <w:rPr>
          <w:i/>
          <w:lang w:val="es-US" w:eastAsia="es-ES"/>
        </w:rPr>
        <w:t xml:space="preserve"> </w:t>
      </w:r>
      <w:proofErr w:type="spellStart"/>
      <w:r w:rsidRPr="001D1565">
        <w:rPr>
          <w:i/>
          <w:lang w:val="es-US" w:eastAsia="es-ES"/>
        </w:rPr>
        <w:t>Helicobacter</w:t>
      </w:r>
      <w:proofErr w:type="spellEnd"/>
      <w:r w:rsidRPr="001D1565">
        <w:rPr>
          <w:i/>
          <w:lang w:val="es-US" w:eastAsia="es-ES"/>
        </w:rPr>
        <w:t xml:space="preserve"> pylori.</w:t>
      </w:r>
    </w:p>
    <w:p w14:paraId="153C4FA3" w14:textId="77777777" w:rsidR="001D1565" w:rsidRPr="001D1565" w:rsidRDefault="001D1565" w:rsidP="001D1565">
      <w:pPr>
        <w:suppressAutoHyphens/>
        <w:spacing w:line="360" w:lineRule="auto"/>
        <w:jc w:val="both"/>
        <w:rPr>
          <w:b/>
          <w:lang w:val="es-US" w:eastAsia="es-ES"/>
        </w:rPr>
      </w:pPr>
    </w:p>
    <w:p w14:paraId="45C7DC3B" w14:textId="77777777" w:rsidR="001D1565" w:rsidRPr="001D1565" w:rsidRDefault="001D1565" w:rsidP="001D1565">
      <w:pPr>
        <w:suppressAutoHyphens/>
        <w:spacing w:line="360" w:lineRule="auto"/>
        <w:jc w:val="both"/>
        <w:rPr>
          <w:b/>
          <w:lang w:val="en-US" w:eastAsia="es-ES"/>
        </w:rPr>
      </w:pPr>
      <w:r w:rsidRPr="001D1565">
        <w:rPr>
          <w:b/>
          <w:lang w:val="en-US" w:eastAsia="es-ES"/>
        </w:rPr>
        <w:t>ABSTRACT</w:t>
      </w:r>
    </w:p>
    <w:p w14:paraId="1F58B03B" w14:textId="77777777" w:rsidR="001D1565" w:rsidRPr="001D1565" w:rsidRDefault="001D1565" w:rsidP="001D1565">
      <w:pPr>
        <w:suppressAutoHyphens/>
        <w:spacing w:line="360" w:lineRule="auto"/>
        <w:jc w:val="both"/>
        <w:rPr>
          <w:lang w:val="en-US" w:eastAsia="es-ES"/>
        </w:rPr>
      </w:pPr>
      <w:r w:rsidRPr="001D1565">
        <w:rPr>
          <w:b/>
          <w:lang w:val="en-US" w:eastAsia="es-ES"/>
        </w:rPr>
        <w:t>Introduction</w:t>
      </w:r>
      <w:r w:rsidRPr="001D1565">
        <w:rPr>
          <w:b/>
          <w:bCs/>
          <w:lang w:val="en-US" w:eastAsia="es-ES"/>
        </w:rPr>
        <w:t>:</w:t>
      </w:r>
      <w:r w:rsidRPr="001D1565">
        <w:rPr>
          <w:lang w:val="en-US" w:eastAsia="es-ES"/>
        </w:rPr>
        <w:t xml:space="preserve"> The OLGA system considers gastric atrophy as the representative histopathological lesion of progression in chronic gastritis, which is the common denominator in cancer induction.</w:t>
      </w:r>
    </w:p>
    <w:p w14:paraId="286D9762" w14:textId="77777777" w:rsidR="001D1565" w:rsidRPr="001D1565" w:rsidRDefault="001D1565" w:rsidP="001D1565">
      <w:pPr>
        <w:suppressAutoHyphens/>
        <w:spacing w:line="360" w:lineRule="auto"/>
        <w:jc w:val="both"/>
        <w:rPr>
          <w:lang w:val="en-US" w:eastAsia="es-ES"/>
        </w:rPr>
      </w:pPr>
      <w:r w:rsidRPr="001D1565">
        <w:rPr>
          <w:b/>
          <w:lang w:val="en-US" w:eastAsia="es-ES"/>
        </w:rPr>
        <w:t>Objective</w:t>
      </w:r>
      <w:r w:rsidRPr="001D1565">
        <w:rPr>
          <w:b/>
          <w:bCs/>
          <w:lang w:val="en-US" w:eastAsia="es-ES"/>
        </w:rPr>
        <w:t>:</w:t>
      </w:r>
      <w:r w:rsidRPr="001D1565">
        <w:rPr>
          <w:lang w:val="en-US" w:eastAsia="es-ES"/>
        </w:rPr>
        <w:t xml:space="preserve"> To identify precursor lesions of gastric cancer.</w:t>
      </w:r>
    </w:p>
    <w:p w14:paraId="0F555D2D" w14:textId="77777777" w:rsidR="001D1565" w:rsidRPr="001D1565" w:rsidRDefault="001D1565" w:rsidP="001D1565">
      <w:pPr>
        <w:suppressAutoHyphens/>
        <w:spacing w:line="360" w:lineRule="auto"/>
        <w:jc w:val="both"/>
        <w:rPr>
          <w:lang w:val="en-US" w:eastAsia="es-ES"/>
        </w:rPr>
      </w:pPr>
      <w:r w:rsidRPr="001D1565">
        <w:rPr>
          <w:b/>
          <w:lang w:val="en-US" w:eastAsia="es-ES"/>
        </w:rPr>
        <w:t>Methods</w:t>
      </w:r>
      <w:r w:rsidRPr="001D1565">
        <w:rPr>
          <w:b/>
          <w:bCs/>
          <w:lang w:val="en-US" w:eastAsia="es-ES"/>
        </w:rPr>
        <w:t>:</w:t>
      </w:r>
      <w:r w:rsidRPr="001D1565">
        <w:rPr>
          <w:lang w:val="en-US" w:eastAsia="es-ES"/>
        </w:rPr>
        <w:t xml:space="preserve"> A descriptive study which included 190 patients with dyspepsia was carried out. The results were expressed in absolute numbers and percentages. To evaluate the association of gastric atrophy with </w:t>
      </w:r>
      <w:proofErr w:type="spellStart"/>
      <w:r w:rsidRPr="001D1565">
        <w:rPr>
          <w:lang w:val="en-US" w:eastAsia="es-ES"/>
        </w:rPr>
        <w:t>duodenogastric</w:t>
      </w:r>
      <w:proofErr w:type="spellEnd"/>
      <w:r w:rsidRPr="001D1565">
        <w:rPr>
          <w:lang w:val="en-US" w:eastAsia="es-ES"/>
        </w:rPr>
        <w:t xml:space="preserve"> reflux and </w:t>
      </w:r>
      <w:r w:rsidRPr="001D1565">
        <w:rPr>
          <w:i/>
          <w:lang w:val="en-US" w:eastAsia="es-ES"/>
        </w:rPr>
        <w:t>Helicobacter pylori</w:t>
      </w:r>
      <w:r w:rsidRPr="001D1565">
        <w:rPr>
          <w:lang w:val="en-US" w:eastAsia="es-ES"/>
        </w:rPr>
        <w:t xml:space="preserve"> infection, the chi-square test (</w:t>
      </w:r>
      <w:proofErr w:type="spellStart"/>
      <w:r w:rsidRPr="001D1565">
        <w:rPr>
          <w:lang w:val="en-US" w:eastAsia="es-ES"/>
        </w:rPr>
        <w:t>χ</w:t>
      </w:r>
      <w:r w:rsidRPr="001D1565">
        <w:rPr>
          <w:vertAlign w:val="superscript"/>
          <w:lang w:val="en-US" w:eastAsia="es-ES"/>
        </w:rPr>
        <w:t>2</w:t>
      </w:r>
      <w:proofErr w:type="spellEnd"/>
      <w:r w:rsidRPr="001D1565">
        <w:rPr>
          <w:lang w:val="en-US" w:eastAsia="es-ES"/>
        </w:rPr>
        <w:t>) was applied. A level of statistical significance p≤ 0,05 was accepted.</w:t>
      </w:r>
    </w:p>
    <w:p w14:paraId="58E44144" w14:textId="77777777" w:rsidR="001D1565" w:rsidRPr="001D1565" w:rsidRDefault="001D1565" w:rsidP="001D1565">
      <w:pPr>
        <w:suppressAutoHyphens/>
        <w:spacing w:line="360" w:lineRule="auto"/>
        <w:jc w:val="both"/>
        <w:rPr>
          <w:lang w:val="en-US" w:eastAsia="es-ES"/>
        </w:rPr>
      </w:pPr>
      <w:r w:rsidRPr="001D1565">
        <w:rPr>
          <w:b/>
          <w:lang w:val="en-US" w:eastAsia="es-ES"/>
        </w:rPr>
        <w:t>Results</w:t>
      </w:r>
      <w:r w:rsidRPr="001D1565">
        <w:rPr>
          <w:b/>
          <w:bCs/>
          <w:lang w:val="en-US" w:eastAsia="es-ES"/>
        </w:rPr>
        <w:t>:</w:t>
      </w:r>
      <w:r w:rsidRPr="001D1565">
        <w:rPr>
          <w:lang w:val="en-US" w:eastAsia="es-ES"/>
        </w:rPr>
        <w:t xml:space="preserve"> The 94.2% of the patients had erythematous gastritis. Stage II was the most frequent in those under 50 years of age (54.1%) and in the elderly (48.5%). Stage III patients were found in both age groups (10.7% in those under 50 years of age and 16.1% in those over 50 years of age). In stage II, 27 (62.8%) patients had intestinal metaplasia. Low-grade dysplasia was found more frequently in stage II (46; 54.2%), followed by stage III (17; 20%). There were 19 (76%) patients with severe chronic gastritis in OLGA stage III.</w:t>
      </w:r>
    </w:p>
    <w:p w14:paraId="47A8B734" w14:textId="77777777" w:rsidR="001D1565" w:rsidRPr="001D1565" w:rsidRDefault="001D1565" w:rsidP="001D1565">
      <w:pPr>
        <w:suppressAutoHyphens/>
        <w:spacing w:line="360" w:lineRule="auto"/>
        <w:jc w:val="both"/>
        <w:rPr>
          <w:lang w:val="en-US" w:eastAsia="es-ES"/>
        </w:rPr>
      </w:pPr>
      <w:r w:rsidRPr="001D1565">
        <w:rPr>
          <w:b/>
          <w:lang w:val="en-US" w:eastAsia="es-ES"/>
        </w:rPr>
        <w:lastRenderedPageBreak/>
        <w:t>Conclusions</w:t>
      </w:r>
      <w:r w:rsidRPr="001D1565">
        <w:rPr>
          <w:b/>
          <w:bCs/>
          <w:lang w:val="en-US" w:eastAsia="es-ES"/>
        </w:rPr>
        <w:t>:</w:t>
      </w:r>
      <w:r w:rsidRPr="001D1565">
        <w:rPr>
          <w:lang w:val="en-US" w:eastAsia="es-ES"/>
        </w:rPr>
        <w:t xml:space="preserve"> The prevalence of advanced stages of gastric atrophy is low. Intestinal metaplasia and low-grade dysplasia are more frequent in OLGA stage II. There are no patients with detected high-grade dysplasia.</w:t>
      </w:r>
    </w:p>
    <w:p w14:paraId="2E891624" w14:textId="77777777" w:rsidR="001D1565" w:rsidRPr="001D1565" w:rsidRDefault="001D1565" w:rsidP="001D1565">
      <w:pPr>
        <w:suppressAutoHyphens/>
        <w:spacing w:line="360" w:lineRule="auto"/>
        <w:jc w:val="both"/>
        <w:rPr>
          <w:i/>
          <w:lang w:val="en-US" w:eastAsia="es-ES"/>
        </w:rPr>
      </w:pPr>
      <w:r w:rsidRPr="001D1565">
        <w:rPr>
          <w:b/>
          <w:lang w:val="en-US" w:eastAsia="es-ES"/>
        </w:rPr>
        <w:t>Keywords</w:t>
      </w:r>
      <w:r w:rsidRPr="001D1565">
        <w:rPr>
          <w:b/>
          <w:bCs/>
          <w:lang w:val="en-US" w:eastAsia="es-ES"/>
        </w:rPr>
        <w:t>:</w:t>
      </w:r>
      <w:r w:rsidRPr="001D1565">
        <w:rPr>
          <w:lang w:val="en-US" w:eastAsia="es-ES"/>
        </w:rPr>
        <w:t xml:space="preserve"> intestinal metaplasia; dysplasia; gastric atrophy; gastric cancer; OLGA; </w:t>
      </w:r>
      <w:r w:rsidRPr="001D1565">
        <w:rPr>
          <w:i/>
          <w:lang w:val="en-US" w:eastAsia="es-ES"/>
        </w:rPr>
        <w:t>Helicobacter pylori.</w:t>
      </w:r>
    </w:p>
    <w:p w14:paraId="5C232B28" w14:textId="77777777" w:rsidR="001D1565" w:rsidRPr="001D1565" w:rsidRDefault="001D1565" w:rsidP="001D1565">
      <w:pPr>
        <w:suppressAutoHyphens/>
        <w:spacing w:line="360" w:lineRule="auto"/>
        <w:jc w:val="both"/>
        <w:rPr>
          <w:i/>
          <w:lang w:val="en-US" w:eastAsia="es-ES"/>
        </w:rPr>
      </w:pPr>
    </w:p>
    <w:p w14:paraId="4C3B93B1" w14:textId="77777777" w:rsidR="001D1565" w:rsidRPr="001D1565" w:rsidRDefault="001D1565" w:rsidP="001D1565">
      <w:pPr>
        <w:suppressAutoHyphens/>
        <w:spacing w:line="360" w:lineRule="auto"/>
        <w:jc w:val="both"/>
        <w:rPr>
          <w:lang w:val="en-US" w:eastAsia="es-ES"/>
        </w:rPr>
      </w:pPr>
    </w:p>
    <w:p w14:paraId="249DD84D" w14:textId="77777777" w:rsidR="001D1565" w:rsidRPr="001D1565" w:rsidRDefault="001D1565" w:rsidP="001D1565">
      <w:pPr>
        <w:suppressAutoHyphens/>
        <w:spacing w:line="360" w:lineRule="auto"/>
        <w:jc w:val="both"/>
        <w:rPr>
          <w:lang w:val="es-US" w:eastAsia="es-ES"/>
        </w:rPr>
      </w:pPr>
      <w:r w:rsidRPr="001D1565">
        <w:rPr>
          <w:lang w:val="es-US" w:eastAsia="es-ES"/>
        </w:rPr>
        <w:t>Recibido: 13/08/2022</w:t>
      </w:r>
    </w:p>
    <w:p w14:paraId="567FC422" w14:textId="77777777" w:rsidR="001D1565" w:rsidRPr="001D1565" w:rsidRDefault="001D1565" w:rsidP="001D1565">
      <w:pPr>
        <w:suppressAutoHyphens/>
        <w:spacing w:line="360" w:lineRule="auto"/>
        <w:jc w:val="both"/>
        <w:rPr>
          <w:lang w:val="es-US" w:eastAsia="es-ES"/>
        </w:rPr>
      </w:pPr>
      <w:r w:rsidRPr="001D1565">
        <w:rPr>
          <w:lang w:val="es-US" w:eastAsia="es-ES"/>
        </w:rPr>
        <w:t>Aprobado: 22/10/2022</w:t>
      </w:r>
    </w:p>
    <w:p w14:paraId="7E943519" w14:textId="77777777" w:rsidR="001D1565" w:rsidRPr="001D1565" w:rsidRDefault="001D1565" w:rsidP="001D1565">
      <w:pPr>
        <w:suppressAutoHyphens/>
        <w:spacing w:line="360" w:lineRule="auto"/>
        <w:jc w:val="both"/>
        <w:rPr>
          <w:lang w:val="es-US" w:eastAsia="es-ES"/>
        </w:rPr>
      </w:pPr>
    </w:p>
    <w:p w14:paraId="16C5FDBD" w14:textId="77777777" w:rsidR="001D1565" w:rsidRPr="001D1565" w:rsidRDefault="001D1565" w:rsidP="001D1565">
      <w:pPr>
        <w:suppressAutoHyphens/>
        <w:spacing w:line="360" w:lineRule="auto"/>
        <w:jc w:val="center"/>
        <w:rPr>
          <w:b/>
          <w:sz w:val="32"/>
          <w:szCs w:val="32"/>
          <w:lang w:val="es-US" w:eastAsia="en-US"/>
        </w:rPr>
      </w:pPr>
      <w:bookmarkStart w:id="0" w:name="_Toc90808725"/>
    </w:p>
    <w:p w14:paraId="44A406AA" w14:textId="77777777" w:rsidR="001D1565" w:rsidRPr="001D1565" w:rsidRDefault="001D1565" w:rsidP="001D1565">
      <w:pPr>
        <w:suppressAutoHyphens/>
        <w:spacing w:line="360" w:lineRule="auto"/>
        <w:jc w:val="center"/>
        <w:rPr>
          <w:b/>
          <w:sz w:val="32"/>
          <w:szCs w:val="32"/>
          <w:lang w:val="es-US" w:eastAsia="en-US"/>
        </w:rPr>
      </w:pPr>
      <w:r w:rsidRPr="001D1565">
        <w:rPr>
          <w:b/>
          <w:sz w:val="32"/>
          <w:szCs w:val="32"/>
          <w:lang w:val="es-US" w:eastAsia="en-US"/>
        </w:rPr>
        <w:t>INTRODUCCIÓN</w:t>
      </w:r>
      <w:bookmarkEnd w:id="0"/>
    </w:p>
    <w:p w14:paraId="63A07AC7" w14:textId="77777777" w:rsidR="001D1565" w:rsidRPr="001D1565" w:rsidRDefault="001D1565" w:rsidP="001D1565">
      <w:pPr>
        <w:suppressAutoHyphens/>
        <w:spacing w:line="360" w:lineRule="auto"/>
        <w:jc w:val="both"/>
        <w:rPr>
          <w:lang w:val="es-ES" w:eastAsia="en-US"/>
        </w:rPr>
      </w:pPr>
      <w:r w:rsidRPr="001D1565">
        <w:rPr>
          <w:lang w:val="es-ES" w:eastAsia="en-US"/>
        </w:rPr>
        <w:t>En poblaciones de alto riesgo, el adenocarcinoma gástrico de tipo intestinal está precedido por cambios secuenciales que tienen como común denominador la inflamación; en estos pacientes puede surgir atrofia y metaplasia intestinal, para proseguir con displasia y culminar en cáncer invasor.</w:t>
      </w:r>
      <w:r w:rsidRPr="001D1565">
        <w:rPr>
          <w:vertAlign w:val="superscript"/>
          <w:lang w:val="es-ES" w:eastAsia="en-US"/>
        </w:rPr>
        <w:t>(1)</w:t>
      </w:r>
      <w:r w:rsidRPr="001D1565">
        <w:rPr>
          <w:lang w:val="es-ES" w:eastAsia="en-US"/>
        </w:rPr>
        <w:t xml:space="preserve"> El diagnóstico oportuno de las lesiones precursoras de cáncer gástrico (CG) tiene gran importancia en la práctica clínica, debido a que es posible desarrollar acciones para interrumpir el proceso de carcinogénesis gástrica.</w:t>
      </w:r>
    </w:p>
    <w:p w14:paraId="1E930806" w14:textId="77777777" w:rsidR="001D1565" w:rsidRPr="001D1565" w:rsidRDefault="001D1565" w:rsidP="001D1565">
      <w:pPr>
        <w:suppressAutoHyphens/>
        <w:spacing w:line="360" w:lineRule="auto"/>
        <w:jc w:val="both"/>
        <w:rPr>
          <w:lang w:val="es-ES" w:eastAsia="en-US"/>
        </w:rPr>
      </w:pPr>
      <w:r w:rsidRPr="001D1565">
        <w:rPr>
          <w:lang w:val="es-ES" w:eastAsia="en-US"/>
        </w:rPr>
        <w:t xml:space="preserve">Menos del 10 % de los casos son diagnosticados como cáncer incipiente, la supervivencia a los 5 años en la población general es casi nula en pacientes con CG. Según datos publicados por </w:t>
      </w:r>
      <w:proofErr w:type="spellStart"/>
      <w:proofErr w:type="gramStart"/>
      <w:r w:rsidRPr="001D1565">
        <w:rPr>
          <w:lang w:val="es-ES" w:eastAsia="en-US"/>
        </w:rPr>
        <w:t>GLOBOCAN</w:t>
      </w:r>
      <w:proofErr w:type="spellEnd"/>
      <w:r w:rsidRPr="001D1565">
        <w:rPr>
          <w:lang w:val="es-ES" w:eastAsia="en-US"/>
        </w:rPr>
        <w:t>,</w:t>
      </w:r>
      <w:r w:rsidRPr="001D1565">
        <w:rPr>
          <w:vertAlign w:val="superscript"/>
          <w:lang w:val="es-ES" w:eastAsia="en-US"/>
        </w:rPr>
        <w:t>(</w:t>
      </w:r>
      <w:proofErr w:type="gramEnd"/>
      <w:r w:rsidRPr="001D1565">
        <w:rPr>
          <w:vertAlign w:val="superscript"/>
          <w:lang w:val="es-ES" w:eastAsia="en-US"/>
        </w:rPr>
        <w:t xml:space="preserve">2) </w:t>
      </w:r>
      <w:r w:rsidRPr="001D1565">
        <w:rPr>
          <w:lang w:val="es-ES" w:eastAsia="en-US"/>
        </w:rPr>
        <w:t>para el año 2025 se estiman alrededor de 19,3 millones de nuevos casos de cáncer; 11,4 millones de muertes por esta causa y las proporciones aumentarán en un 59 y 68 % en las regiones menos desarrolladas.</w:t>
      </w:r>
    </w:p>
    <w:p w14:paraId="09A79EF5" w14:textId="77777777" w:rsidR="001D1565" w:rsidRPr="001D1565" w:rsidRDefault="001D1565" w:rsidP="001D1565">
      <w:pPr>
        <w:suppressAutoHyphens/>
        <w:spacing w:line="360" w:lineRule="auto"/>
        <w:jc w:val="both"/>
        <w:rPr>
          <w:lang w:val="es-ES" w:eastAsia="en-US"/>
        </w:rPr>
      </w:pPr>
      <w:r w:rsidRPr="001D1565">
        <w:rPr>
          <w:lang w:val="es-ES" w:eastAsia="en-US"/>
        </w:rPr>
        <w:t xml:space="preserve">Cuba tiene altas tasas de incidencia y mortalidad por </w:t>
      </w:r>
      <w:proofErr w:type="gramStart"/>
      <w:r w:rsidRPr="001D1565">
        <w:rPr>
          <w:lang w:val="es-ES" w:eastAsia="en-US"/>
        </w:rPr>
        <w:t>cáncer.</w:t>
      </w:r>
      <w:r w:rsidRPr="001D1565">
        <w:rPr>
          <w:vertAlign w:val="superscript"/>
          <w:lang w:val="es-ES" w:eastAsia="en-US"/>
        </w:rPr>
        <w:t>(</w:t>
      </w:r>
      <w:proofErr w:type="gramEnd"/>
      <w:r w:rsidRPr="001D1565">
        <w:rPr>
          <w:vertAlign w:val="superscript"/>
          <w:lang w:val="es-ES" w:eastAsia="en-US"/>
        </w:rPr>
        <w:t>3)</w:t>
      </w:r>
      <w:r w:rsidRPr="001D1565">
        <w:rPr>
          <w:lang w:val="es-ES" w:eastAsia="en-US"/>
        </w:rPr>
        <w:t xml:space="preserve"> Al cierre de 2019 la tasa de mortalidad general más elevada por tipos de cáncer, correspondió a los tumores malignos de tráquea, bronquios y pulmón, seguida de próstata e intestino, excepto en la mujer que son recto y mama.</w:t>
      </w:r>
      <w:r w:rsidRPr="001D1565">
        <w:rPr>
          <w:vertAlign w:val="superscript"/>
          <w:lang w:val="es-ES" w:eastAsia="en-US"/>
        </w:rPr>
        <w:t>(3)</w:t>
      </w:r>
      <w:r w:rsidRPr="001D1565">
        <w:rPr>
          <w:lang w:val="es-ES" w:eastAsia="en-US"/>
        </w:rPr>
        <w:t xml:space="preserve"> En el año 2017 el CG ocupó el noveno lugar en las tasas de incidencia de cáncer según sexo y edad, en la población masculina y en los mayores de 20 años. Esto convierte a esta enfermedad en un grave problema de salud, </w:t>
      </w:r>
      <w:r w:rsidRPr="001D1565">
        <w:rPr>
          <w:lang w:val="es-ES" w:eastAsia="en-US"/>
        </w:rPr>
        <w:lastRenderedPageBreak/>
        <w:t xml:space="preserve">que afecta a todas las edades y constituye la primera causa de años de vida potenciales perdidos hasta los 74 </w:t>
      </w:r>
      <w:proofErr w:type="gramStart"/>
      <w:r w:rsidRPr="001D1565">
        <w:rPr>
          <w:lang w:val="es-ES" w:eastAsia="en-US"/>
        </w:rPr>
        <w:t>años.</w:t>
      </w:r>
      <w:r w:rsidRPr="001D1565">
        <w:rPr>
          <w:vertAlign w:val="superscript"/>
          <w:lang w:val="es-ES" w:eastAsia="en-US"/>
        </w:rPr>
        <w:t>(</w:t>
      </w:r>
      <w:proofErr w:type="gramEnd"/>
      <w:r w:rsidRPr="001D1565">
        <w:rPr>
          <w:vertAlign w:val="superscript"/>
          <w:lang w:val="es-ES" w:eastAsia="en-US"/>
        </w:rPr>
        <w:t>3)</w:t>
      </w:r>
      <w:r w:rsidRPr="001D1565">
        <w:rPr>
          <w:lang w:val="es-ES" w:eastAsia="en-US"/>
        </w:rPr>
        <w:t xml:space="preserve"> </w:t>
      </w:r>
    </w:p>
    <w:p w14:paraId="7E89C922" w14:textId="77777777" w:rsidR="001D1565" w:rsidRPr="001D1565" w:rsidRDefault="001D1565" w:rsidP="001D1565">
      <w:pPr>
        <w:suppressAutoHyphens/>
        <w:spacing w:line="360" w:lineRule="auto"/>
        <w:jc w:val="both"/>
        <w:rPr>
          <w:lang w:val="es-ES" w:eastAsia="en-US"/>
        </w:rPr>
      </w:pPr>
      <w:r w:rsidRPr="001D1565">
        <w:rPr>
          <w:lang w:val="es-US" w:eastAsia="en-US"/>
        </w:rPr>
        <w:t>E</w:t>
      </w:r>
      <w:r w:rsidRPr="001D1565">
        <w:rPr>
          <w:lang w:val="es-ES" w:eastAsia="en-US"/>
        </w:rPr>
        <w:t>n los momentos actuales, las enfermedades no transmisibles ocupan más de la mitad de la carga mundial de morbilidad. El cáncer es una de ellas y afecta a un gran número de personas. Esto conlleva un cambio de estrategia para el control de estas enfermedades, encaminando los esfuerzos a la prevención o diagnóstico en estadios iniciales.</w:t>
      </w:r>
    </w:p>
    <w:p w14:paraId="06F61D08" w14:textId="77777777" w:rsidR="001D1565" w:rsidRPr="001D1565" w:rsidRDefault="001D1565" w:rsidP="001D1565">
      <w:pPr>
        <w:suppressAutoHyphens/>
        <w:spacing w:line="360" w:lineRule="auto"/>
        <w:jc w:val="both"/>
        <w:rPr>
          <w:rFonts w:eastAsia="Roboto"/>
          <w:color w:val="000000"/>
          <w:highlight w:val="yellow"/>
          <w:lang w:val="es-ES" w:eastAsia="en-US"/>
        </w:rPr>
      </w:pPr>
      <w:r w:rsidRPr="001D1565">
        <w:rPr>
          <w:rFonts w:eastAsia="Roboto"/>
          <w:color w:val="000000"/>
          <w:lang w:val="es-ES" w:eastAsia="en-US"/>
        </w:rPr>
        <w:t xml:space="preserve">Un grupo internacional de patólogos, liderados por </w:t>
      </w:r>
      <w:r w:rsidRPr="001D1565">
        <w:rPr>
          <w:rFonts w:eastAsia="Roboto"/>
          <w:iCs/>
          <w:color w:val="000000"/>
          <w:lang w:val="es-ES" w:eastAsia="en-US"/>
        </w:rPr>
        <w:t>Rugue</w:t>
      </w:r>
      <w:r w:rsidRPr="001D1565">
        <w:rPr>
          <w:rFonts w:eastAsia="Roboto"/>
          <w:color w:val="000000"/>
          <w:lang w:val="es-ES" w:eastAsia="en-US"/>
        </w:rPr>
        <w:t xml:space="preserve">, formuló un sistema histológico de estadificación, al cual denominaron OLGA (del término en inglés </w:t>
      </w:r>
      <w:r w:rsidRPr="001D1565">
        <w:rPr>
          <w:rFonts w:eastAsia="Roboto"/>
          <w:i/>
          <w:color w:val="000000"/>
          <w:lang w:val="es-ES" w:eastAsia="en-US"/>
        </w:rPr>
        <w:t xml:space="preserve">Operative Link </w:t>
      </w:r>
      <w:proofErr w:type="spellStart"/>
      <w:r w:rsidRPr="001D1565">
        <w:rPr>
          <w:rFonts w:eastAsia="Roboto"/>
          <w:i/>
          <w:color w:val="000000"/>
          <w:lang w:val="es-ES" w:eastAsia="en-US"/>
        </w:rPr>
        <w:t>on</w:t>
      </w:r>
      <w:proofErr w:type="spellEnd"/>
      <w:r w:rsidRPr="001D1565">
        <w:rPr>
          <w:rFonts w:eastAsia="Roboto"/>
          <w:i/>
          <w:color w:val="000000"/>
          <w:lang w:val="es-ES" w:eastAsia="en-US"/>
        </w:rPr>
        <w:t xml:space="preserve"> Gastritis </w:t>
      </w:r>
      <w:proofErr w:type="spellStart"/>
      <w:proofErr w:type="gramStart"/>
      <w:r w:rsidRPr="001D1565">
        <w:rPr>
          <w:rFonts w:eastAsia="Roboto"/>
          <w:i/>
          <w:color w:val="000000"/>
          <w:lang w:val="es-ES" w:eastAsia="en-US"/>
        </w:rPr>
        <w:t>Assessment</w:t>
      </w:r>
      <w:proofErr w:type="spellEnd"/>
      <w:r w:rsidRPr="001D1565">
        <w:rPr>
          <w:rFonts w:eastAsia="Roboto"/>
          <w:color w:val="000000"/>
          <w:lang w:val="es-ES" w:eastAsia="en-US"/>
        </w:rPr>
        <w:t>)</w:t>
      </w:r>
      <w:r w:rsidRPr="001D1565">
        <w:rPr>
          <w:rFonts w:eastAsia="Roboto"/>
          <w:color w:val="000000"/>
          <w:vertAlign w:val="superscript"/>
          <w:lang w:val="es-ES" w:eastAsia="en-US"/>
        </w:rPr>
        <w:t>(</w:t>
      </w:r>
      <w:proofErr w:type="gramEnd"/>
      <w:r w:rsidRPr="001D1565">
        <w:rPr>
          <w:rFonts w:eastAsia="Roboto"/>
          <w:color w:val="000000"/>
          <w:vertAlign w:val="superscript"/>
          <w:lang w:val="es-ES" w:eastAsia="en-US"/>
        </w:rPr>
        <w:t>4)</w:t>
      </w:r>
      <w:r w:rsidRPr="001D1565">
        <w:rPr>
          <w:rFonts w:eastAsia="Roboto"/>
          <w:color w:val="000000"/>
          <w:lang w:val="es-ES" w:eastAsia="en-US"/>
        </w:rPr>
        <w:t xml:space="preserve"> en el cual se considera a la atrofia gástrica, como la lesión histopatológica representativa de progresión de la gastritis crónica, que es el denominador común en la inducción del cáncer gástrico.</w:t>
      </w:r>
      <w:r w:rsidRPr="001D1565">
        <w:rPr>
          <w:rFonts w:eastAsia="Roboto"/>
          <w:color w:val="000000"/>
          <w:vertAlign w:val="superscript"/>
          <w:lang w:val="es-ES" w:eastAsia="en-US"/>
        </w:rPr>
        <w:t>(5,6)</w:t>
      </w:r>
      <w:r w:rsidRPr="001D1565">
        <w:rPr>
          <w:rFonts w:eastAsia="Roboto"/>
          <w:color w:val="000000"/>
          <w:lang w:val="es-ES" w:eastAsia="en-US"/>
        </w:rPr>
        <w:t xml:space="preserve"> </w:t>
      </w:r>
    </w:p>
    <w:p w14:paraId="2AC4832A" w14:textId="2847F3B2" w:rsidR="001D1565" w:rsidRPr="001D1565" w:rsidRDefault="001D1565" w:rsidP="001D1565">
      <w:pPr>
        <w:suppressAutoHyphens/>
        <w:spacing w:line="360" w:lineRule="auto"/>
        <w:jc w:val="both"/>
        <w:rPr>
          <w:rFonts w:eastAsia="Roboto"/>
          <w:color w:val="000000"/>
          <w:lang w:val="es-ES" w:eastAsia="en-US"/>
        </w:rPr>
      </w:pPr>
      <w:r w:rsidRPr="001D1565">
        <w:rPr>
          <w:rFonts w:eastAsia="Roboto"/>
          <w:color w:val="000000"/>
          <w:lang w:val="es-ES" w:eastAsia="en-US"/>
        </w:rPr>
        <w:t>El estadio de la gastritis resulta de la combinación de la extensión de la atrofia, de acuerdo con la clasificación histopatológica y la topografía de la atrofia, identificada mediante mapeo por biopsia (tabla</w:t>
      </w:r>
      <w:r w:rsidR="00594046">
        <w:rPr>
          <w:rFonts w:eastAsia="Roboto"/>
          <w:color w:val="000000"/>
          <w:lang w:val="es-ES" w:eastAsia="en-US"/>
        </w:rPr>
        <w:t> </w:t>
      </w:r>
      <w:r w:rsidRPr="001D1565">
        <w:rPr>
          <w:rFonts w:eastAsia="Roboto"/>
          <w:color w:val="000000"/>
          <w:lang w:val="es-ES" w:eastAsia="en-US"/>
        </w:rPr>
        <w:t>1).</w:t>
      </w:r>
    </w:p>
    <w:p w14:paraId="4FE8B221" w14:textId="77777777" w:rsidR="001D1565" w:rsidRPr="001D1565" w:rsidRDefault="001D1565" w:rsidP="001D1565">
      <w:pPr>
        <w:suppressAutoHyphens/>
        <w:spacing w:line="360" w:lineRule="auto"/>
        <w:rPr>
          <w:rFonts w:eastAsia="Roboto"/>
          <w:b/>
          <w:bCs/>
          <w:color w:val="000000"/>
          <w:lang w:val="es-ES" w:eastAsia="en-US"/>
        </w:rPr>
      </w:pPr>
    </w:p>
    <w:p w14:paraId="2D068DF5" w14:textId="77777777" w:rsidR="001D1565" w:rsidRPr="001D1565" w:rsidRDefault="001D1565" w:rsidP="001D1565">
      <w:pPr>
        <w:suppressAutoHyphens/>
        <w:spacing w:line="360" w:lineRule="auto"/>
        <w:jc w:val="center"/>
        <w:rPr>
          <w:rFonts w:eastAsia="Roboto"/>
          <w:color w:val="000000"/>
          <w:sz w:val="22"/>
          <w:szCs w:val="22"/>
          <w:lang w:val="es-ES" w:eastAsia="en-US"/>
        </w:rPr>
      </w:pPr>
      <w:r w:rsidRPr="001D1565">
        <w:rPr>
          <w:rFonts w:eastAsia="Roboto"/>
          <w:b/>
          <w:bCs/>
          <w:color w:val="000000"/>
          <w:sz w:val="22"/>
          <w:szCs w:val="22"/>
          <w:lang w:val="es-ES" w:eastAsia="en-US"/>
        </w:rPr>
        <w:t xml:space="preserve">Tabla 1 - </w:t>
      </w:r>
      <w:r w:rsidRPr="001D1565">
        <w:rPr>
          <w:rFonts w:eastAsia="Roboto"/>
          <w:color w:val="000000"/>
          <w:sz w:val="22"/>
          <w:szCs w:val="22"/>
          <w:lang w:val="es-ES" w:eastAsia="en-US"/>
        </w:rPr>
        <w:t>Sistema histopatológico de estatificación OLGA</w:t>
      </w:r>
    </w:p>
    <w:p w14:paraId="6F80AE0B" w14:textId="5B3272BB" w:rsidR="001D1565" w:rsidRPr="001D1565" w:rsidRDefault="001D1565" w:rsidP="001D1565">
      <w:pPr>
        <w:suppressAutoHyphens/>
        <w:spacing w:line="360" w:lineRule="auto"/>
        <w:jc w:val="center"/>
        <w:rPr>
          <w:rFonts w:eastAsia="Roboto"/>
          <w:color w:val="000000"/>
          <w:sz w:val="18"/>
          <w:szCs w:val="18"/>
          <w:lang w:val="es-ES" w:eastAsia="en-US"/>
        </w:rPr>
      </w:pPr>
      <w:r w:rsidRPr="001D1565">
        <w:rPr>
          <w:rFonts w:eastAsia="Roboto"/>
          <w:noProof/>
          <w:color w:val="000000"/>
          <w:sz w:val="18"/>
          <w:szCs w:val="18"/>
          <w:lang w:val="es-ES" w:eastAsia="en-US"/>
        </w:rPr>
        <w:drawing>
          <wp:inline distT="0" distB="0" distL="0" distR="0" wp14:anchorId="2514D280" wp14:editId="3F91E607">
            <wp:extent cx="5400675" cy="2343150"/>
            <wp:effectExtent l="0" t="0" r="0" b="0"/>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343150"/>
                    </a:xfrm>
                    <a:prstGeom prst="rect">
                      <a:avLst/>
                    </a:prstGeom>
                    <a:noFill/>
                    <a:ln>
                      <a:noFill/>
                    </a:ln>
                  </pic:spPr>
                </pic:pic>
              </a:graphicData>
            </a:graphic>
          </wp:inline>
        </w:drawing>
      </w:r>
    </w:p>
    <w:p w14:paraId="36A1C51F" w14:textId="77777777" w:rsidR="001D1565" w:rsidRPr="001D1565" w:rsidRDefault="001D1565" w:rsidP="001D1565">
      <w:pPr>
        <w:suppressAutoHyphens/>
        <w:spacing w:line="360" w:lineRule="auto"/>
        <w:jc w:val="both"/>
        <w:rPr>
          <w:rFonts w:eastAsia="Roboto"/>
          <w:color w:val="000000"/>
          <w:sz w:val="18"/>
          <w:szCs w:val="18"/>
          <w:lang w:val="es-ES" w:eastAsia="en-US"/>
        </w:rPr>
      </w:pPr>
    </w:p>
    <w:p w14:paraId="77140A1A" w14:textId="77777777" w:rsidR="001D1565" w:rsidRPr="001D1565" w:rsidRDefault="001D1565" w:rsidP="001D1565">
      <w:pPr>
        <w:suppressAutoHyphens/>
        <w:spacing w:line="360" w:lineRule="auto"/>
        <w:jc w:val="both"/>
        <w:rPr>
          <w:rFonts w:eastAsia="Roboto"/>
          <w:color w:val="000000"/>
          <w:vertAlign w:val="superscript"/>
          <w:lang w:val="es-ES" w:eastAsia="en-US"/>
        </w:rPr>
      </w:pPr>
      <w:r w:rsidRPr="001D1565">
        <w:rPr>
          <w:rFonts w:eastAsia="Roboto"/>
          <w:color w:val="000000"/>
          <w:lang w:val="es-ES" w:eastAsia="en-US"/>
        </w:rPr>
        <w:t xml:space="preserve">Este sistema confiere una evaluación inmediata de la gravedad de la enfermedad crónica y el riesgo futuro de desarrollar </w:t>
      </w:r>
      <w:proofErr w:type="gramStart"/>
      <w:r w:rsidRPr="001D1565">
        <w:rPr>
          <w:rFonts w:eastAsia="Roboto"/>
          <w:color w:val="000000"/>
          <w:lang w:val="es-ES" w:eastAsia="en-US"/>
        </w:rPr>
        <w:t>CG.</w:t>
      </w:r>
      <w:r w:rsidRPr="001D1565">
        <w:rPr>
          <w:rFonts w:eastAsia="Roboto"/>
          <w:color w:val="000000"/>
          <w:vertAlign w:val="superscript"/>
          <w:lang w:val="es-ES" w:eastAsia="en-US"/>
        </w:rPr>
        <w:t>(</w:t>
      </w:r>
      <w:proofErr w:type="gramEnd"/>
      <w:r w:rsidRPr="001D1565">
        <w:rPr>
          <w:rFonts w:eastAsia="Roboto"/>
          <w:color w:val="000000"/>
          <w:vertAlign w:val="superscript"/>
          <w:lang w:val="es-ES" w:eastAsia="en-US"/>
        </w:rPr>
        <w:t>7,8)</w:t>
      </w:r>
    </w:p>
    <w:p w14:paraId="56D49176" w14:textId="77777777" w:rsidR="001D1565" w:rsidRPr="001D1565" w:rsidRDefault="001D1565" w:rsidP="001D1565">
      <w:pPr>
        <w:suppressAutoHyphens/>
        <w:spacing w:line="360" w:lineRule="auto"/>
        <w:jc w:val="both"/>
        <w:rPr>
          <w:rFonts w:eastAsia="Roboto"/>
          <w:color w:val="000000"/>
          <w:lang w:val="es-ES" w:eastAsia="en-US"/>
        </w:rPr>
      </w:pPr>
      <w:r w:rsidRPr="001D1565">
        <w:rPr>
          <w:rFonts w:eastAsia="Roboto"/>
          <w:color w:val="000000"/>
          <w:lang w:val="es-ES" w:eastAsia="en-US"/>
        </w:rPr>
        <w:t>El objetivo de este trabajo es identificar las lesiones precursoras de CG.</w:t>
      </w:r>
    </w:p>
    <w:p w14:paraId="33DD4C30" w14:textId="77777777" w:rsidR="001D1565" w:rsidRPr="001D1565" w:rsidRDefault="001D1565" w:rsidP="001D1565">
      <w:pPr>
        <w:suppressAutoHyphens/>
        <w:spacing w:line="360" w:lineRule="auto"/>
        <w:jc w:val="both"/>
        <w:rPr>
          <w:rFonts w:eastAsia="Roboto"/>
          <w:color w:val="000000"/>
          <w:lang w:val="es-ES" w:eastAsia="en-US"/>
        </w:rPr>
      </w:pPr>
    </w:p>
    <w:p w14:paraId="4BC08BA1" w14:textId="77777777" w:rsidR="001D1565" w:rsidRPr="001D1565" w:rsidRDefault="001D1565" w:rsidP="001D1565">
      <w:pPr>
        <w:suppressAutoHyphens/>
        <w:spacing w:line="360" w:lineRule="auto"/>
        <w:jc w:val="both"/>
        <w:rPr>
          <w:rFonts w:eastAsia="Roboto"/>
          <w:color w:val="000000"/>
          <w:highlight w:val="yellow"/>
          <w:lang w:val="es-ES" w:eastAsia="en-US"/>
        </w:rPr>
      </w:pPr>
    </w:p>
    <w:p w14:paraId="34B97030" w14:textId="77777777" w:rsidR="001D1565" w:rsidRPr="001D1565" w:rsidRDefault="001D1565" w:rsidP="001D1565">
      <w:pPr>
        <w:suppressAutoHyphens/>
        <w:spacing w:line="360" w:lineRule="auto"/>
        <w:jc w:val="center"/>
        <w:rPr>
          <w:b/>
          <w:sz w:val="32"/>
          <w:szCs w:val="32"/>
          <w:lang w:val="es-US" w:eastAsia="en-US"/>
        </w:rPr>
      </w:pPr>
      <w:r w:rsidRPr="001D1565">
        <w:rPr>
          <w:b/>
          <w:sz w:val="32"/>
          <w:szCs w:val="32"/>
          <w:lang w:val="es-ES" w:eastAsia="en-US"/>
        </w:rPr>
        <w:t>MÉTODOS</w:t>
      </w:r>
    </w:p>
    <w:p w14:paraId="4911ACF7" w14:textId="77777777" w:rsidR="001D1565" w:rsidRPr="001D1565" w:rsidRDefault="001D1565" w:rsidP="001D1565">
      <w:pPr>
        <w:widowControl w:val="0"/>
        <w:tabs>
          <w:tab w:val="left" w:pos="0"/>
        </w:tabs>
        <w:suppressAutoHyphens/>
        <w:spacing w:line="360" w:lineRule="auto"/>
        <w:jc w:val="both"/>
        <w:rPr>
          <w:lang w:val="es-ES" w:eastAsia="en-US"/>
        </w:rPr>
      </w:pPr>
      <w:r w:rsidRPr="001D1565">
        <w:rPr>
          <w:lang w:val="es-ES" w:eastAsia="en-US"/>
        </w:rPr>
        <w:t xml:space="preserve">Se efectuó una investigación descriptiva, en el Hospital Militar Central “Dr. </w:t>
      </w:r>
      <w:r w:rsidRPr="001D1565">
        <w:rPr>
          <w:rFonts w:eastAsia="Calibri"/>
          <w:lang w:val="es-ES" w:eastAsia="es-ES"/>
        </w:rPr>
        <w:t>Carlos J. Finlay”,</w:t>
      </w:r>
      <w:r w:rsidRPr="001D1565">
        <w:rPr>
          <w:lang w:val="es-ES" w:eastAsia="en-US"/>
        </w:rPr>
        <w:t xml:space="preserve"> entre enero de 2020 y enero de 2021. </w:t>
      </w:r>
    </w:p>
    <w:p w14:paraId="46255D2A" w14:textId="77777777" w:rsidR="001D1565" w:rsidRPr="001D1565" w:rsidRDefault="001D1565" w:rsidP="001D1565">
      <w:pPr>
        <w:widowControl w:val="0"/>
        <w:tabs>
          <w:tab w:val="left" w:pos="0"/>
        </w:tabs>
        <w:suppressAutoHyphens/>
        <w:spacing w:line="360" w:lineRule="auto"/>
        <w:jc w:val="both"/>
        <w:rPr>
          <w:lang w:val="es-ES" w:eastAsia="en-US"/>
        </w:rPr>
      </w:pPr>
      <w:r w:rsidRPr="001D1565">
        <w:rPr>
          <w:lang w:val="es-ES" w:eastAsia="en-US"/>
        </w:rPr>
        <w:t xml:space="preserve">Se estudio una serie de 190 pacientes, compuesta por </w:t>
      </w:r>
      <w:r w:rsidRPr="001D1565">
        <w:rPr>
          <w:rFonts w:eastAsia="DengXian"/>
          <w:color w:val="000000"/>
          <w:lang w:val="es-US" w:eastAsia="zh-CN"/>
        </w:rPr>
        <w:t>adultos de 18 o más años, de uno u otro sexo, procedentes de la consulta de Gastroenterología, con síntomas dispépticos</w:t>
      </w:r>
      <w:r w:rsidRPr="001D1565">
        <w:rPr>
          <w:lang w:val="es-ES" w:eastAsia="en-US"/>
        </w:rPr>
        <w:t>, sin contraindicaciones para la realización de la exploración endoscópica del tracto digestivo superior, que dieron su consentimiento para participar en el estudio.</w:t>
      </w:r>
    </w:p>
    <w:p w14:paraId="22740181" w14:textId="1C27D8C6" w:rsidR="001D1565" w:rsidRPr="001D1565" w:rsidRDefault="009C7A2B" w:rsidP="001D1565">
      <w:pPr>
        <w:widowControl w:val="0"/>
        <w:tabs>
          <w:tab w:val="left" w:pos="0"/>
        </w:tabs>
        <w:suppressAutoHyphens/>
        <w:spacing w:line="360" w:lineRule="auto"/>
        <w:jc w:val="both"/>
        <w:rPr>
          <w:lang w:val="es-ES" w:eastAsia="en-US"/>
        </w:rPr>
      </w:pPr>
      <w:r w:rsidRPr="009C7A2B">
        <w:rPr>
          <w:lang w:val="es-ES" w:eastAsia="en-US"/>
        </w:rPr>
        <w:t>Se excluyeron los pacientes con las siguientes situaciones</w:t>
      </w:r>
      <w:r w:rsidR="001D1565" w:rsidRPr="001D1565">
        <w:rPr>
          <w:lang w:val="es-ES" w:eastAsia="en-US"/>
        </w:rPr>
        <w:t>:</w:t>
      </w:r>
    </w:p>
    <w:p w14:paraId="576A8542" w14:textId="77777777" w:rsidR="001D1565" w:rsidRPr="001D1565" w:rsidRDefault="001D1565" w:rsidP="001D1565">
      <w:pPr>
        <w:widowControl w:val="0"/>
        <w:tabs>
          <w:tab w:val="left" w:pos="0"/>
        </w:tabs>
        <w:suppressAutoHyphens/>
        <w:spacing w:line="360" w:lineRule="auto"/>
        <w:jc w:val="both"/>
        <w:rPr>
          <w:rFonts w:eastAsia="DengXian"/>
          <w:color w:val="000000"/>
          <w:lang w:val="es-ES" w:eastAsia="zh-CN"/>
        </w:rPr>
      </w:pPr>
    </w:p>
    <w:p w14:paraId="2C871530" w14:textId="77777777" w:rsidR="001D1565" w:rsidRPr="001D1565" w:rsidRDefault="001D1565" w:rsidP="001D1565">
      <w:pPr>
        <w:numPr>
          <w:ilvl w:val="0"/>
          <w:numId w:val="3"/>
        </w:numPr>
        <w:suppressAutoHyphens/>
        <w:spacing w:line="360" w:lineRule="auto"/>
        <w:ind w:left="426" w:hanging="426"/>
        <w:jc w:val="both"/>
        <w:rPr>
          <w:lang w:val="es-ES" w:eastAsia="es-ES"/>
        </w:rPr>
      </w:pPr>
      <w:r w:rsidRPr="001D1565">
        <w:rPr>
          <w:lang w:val="es-ES" w:eastAsia="es-ES"/>
        </w:rPr>
        <w:t>Intervención quirúrgica previa, del tracto digestivo superior.</w:t>
      </w:r>
    </w:p>
    <w:p w14:paraId="55448E9B" w14:textId="77777777" w:rsidR="001D1565" w:rsidRPr="001D1565" w:rsidRDefault="001D1565" w:rsidP="001D1565">
      <w:pPr>
        <w:numPr>
          <w:ilvl w:val="0"/>
          <w:numId w:val="3"/>
        </w:numPr>
        <w:suppressAutoHyphens/>
        <w:spacing w:line="360" w:lineRule="auto"/>
        <w:ind w:left="426" w:hanging="426"/>
        <w:jc w:val="both"/>
        <w:rPr>
          <w:lang w:val="es-ES" w:eastAsia="es-ES"/>
        </w:rPr>
      </w:pPr>
      <w:r w:rsidRPr="001D1565">
        <w:rPr>
          <w:lang w:val="es-ES" w:eastAsia="es-ES"/>
        </w:rPr>
        <w:t>Procedimiento endoscópico incompleto o toma inadecuada de muestras de biopsia.</w:t>
      </w:r>
    </w:p>
    <w:p w14:paraId="421FA4AE" w14:textId="77777777" w:rsidR="001D1565" w:rsidRPr="001D1565" w:rsidRDefault="001D1565" w:rsidP="001D1565">
      <w:pPr>
        <w:numPr>
          <w:ilvl w:val="0"/>
          <w:numId w:val="3"/>
        </w:numPr>
        <w:suppressAutoHyphens/>
        <w:spacing w:line="360" w:lineRule="auto"/>
        <w:ind w:left="426" w:hanging="426"/>
        <w:jc w:val="both"/>
        <w:rPr>
          <w:lang w:val="es-ES" w:eastAsia="es-ES"/>
        </w:rPr>
      </w:pPr>
      <w:r w:rsidRPr="001D1565">
        <w:rPr>
          <w:lang w:val="es-ES" w:eastAsia="es-ES"/>
        </w:rPr>
        <w:t xml:space="preserve">Tratamiento con inhibidores de la bomba de protones, antibióticos o derivados del bismuto, en las 6 semanas previas a la exploración. </w:t>
      </w:r>
    </w:p>
    <w:p w14:paraId="52FD6EEB" w14:textId="77777777" w:rsidR="001D1565" w:rsidRPr="001D1565" w:rsidRDefault="001D1565" w:rsidP="001D1565">
      <w:pPr>
        <w:numPr>
          <w:ilvl w:val="0"/>
          <w:numId w:val="3"/>
        </w:numPr>
        <w:suppressAutoHyphens/>
        <w:spacing w:line="360" w:lineRule="auto"/>
        <w:ind w:left="426" w:hanging="426"/>
        <w:jc w:val="both"/>
        <w:rPr>
          <w:lang w:val="es-ES" w:eastAsia="es-ES"/>
        </w:rPr>
      </w:pPr>
      <w:r w:rsidRPr="001D1565">
        <w:rPr>
          <w:lang w:val="es-ES" w:eastAsia="es-ES"/>
        </w:rPr>
        <w:t>Si en el momento del estudio recibían corticoides, inmunosupresores, quimioterapia o radioterapia.</w:t>
      </w:r>
    </w:p>
    <w:p w14:paraId="5F9500B1" w14:textId="77777777" w:rsidR="001D1565" w:rsidRPr="001D1565" w:rsidRDefault="001D1565" w:rsidP="001D1565">
      <w:pPr>
        <w:suppressAutoHyphens/>
        <w:spacing w:line="360" w:lineRule="auto"/>
        <w:jc w:val="both"/>
        <w:rPr>
          <w:lang w:val="es-US" w:eastAsia="en-US"/>
        </w:rPr>
      </w:pPr>
    </w:p>
    <w:p w14:paraId="72485F8A" w14:textId="77777777" w:rsidR="001D1565" w:rsidRPr="001D1565" w:rsidRDefault="001D1565" w:rsidP="001D1565">
      <w:pPr>
        <w:suppressAutoHyphens/>
        <w:spacing w:line="360" w:lineRule="auto"/>
        <w:jc w:val="both"/>
        <w:rPr>
          <w:vertAlign w:val="superscript"/>
          <w:lang w:val="es-CU" w:eastAsia="en-US"/>
        </w:rPr>
      </w:pPr>
      <w:r w:rsidRPr="001D1565">
        <w:rPr>
          <w:lang w:val="es-US" w:eastAsia="en-US"/>
        </w:rPr>
        <w:t xml:space="preserve">A los pacientes incluidos se les realizó estudio endoscópico, con biopsias gástricas. </w:t>
      </w:r>
      <w:r w:rsidRPr="001D1565">
        <w:rPr>
          <w:rFonts w:eastAsia="Calibri"/>
          <w:lang w:val="es-US" w:eastAsia="zh-CN"/>
        </w:rPr>
        <w:t xml:space="preserve">Se obtuvieron 5 muestras: 2 del antro, 1 de la </w:t>
      </w:r>
      <w:r w:rsidRPr="001D1565">
        <w:rPr>
          <w:rFonts w:eastAsia="Calibri"/>
          <w:iCs/>
          <w:lang w:val="es-US" w:eastAsia="zh-CN"/>
        </w:rPr>
        <w:t>incisura angular</w:t>
      </w:r>
      <w:r w:rsidRPr="001D1565">
        <w:rPr>
          <w:rFonts w:eastAsia="Calibri"/>
          <w:i/>
          <w:iCs/>
          <w:lang w:val="es-US" w:eastAsia="zh-CN"/>
        </w:rPr>
        <w:t xml:space="preserve"> </w:t>
      </w:r>
      <w:r w:rsidRPr="001D1565">
        <w:rPr>
          <w:rFonts w:eastAsia="Calibri"/>
          <w:lang w:val="es-US" w:eastAsia="zh-CN"/>
        </w:rPr>
        <w:t xml:space="preserve">y 2 del cuerpo. Las biopsias se enviaron por separado al departamento de Anatomía Patológica y fueron identificadas como correspondió a cada sitio. </w:t>
      </w:r>
      <w:r w:rsidRPr="001D1565">
        <w:rPr>
          <w:lang w:val="es-US" w:eastAsia="zh-CN"/>
        </w:rPr>
        <w:t xml:space="preserve">Cada preparación se tiñó con hematoxilina y eosina. Cada espécimen se clasificó en atrófico y no atrófico de acuerdo con los criterios de OLGA. </w:t>
      </w:r>
    </w:p>
    <w:p w14:paraId="5D8617C8" w14:textId="77777777" w:rsidR="001D1565" w:rsidRPr="001D1565" w:rsidRDefault="001D1565" w:rsidP="001D1565">
      <w:pPr>
        <w:suppressAutoHyphens/>
        <w:spacing w:line="360" w:lineRule="auto"/>
        <w:jc w:val="both"/>
        <w:rPr>
          <w:lang w:val="es-US" w:eastAsia="en-US"/>
        </w:rPr>
      </w:pPr>
      <w:bookmarkStart w:id="1" w:name="_Toc90808741"/>
      <w:r w:rsidRPr="001D1565">
        <w:rPr>
          <w:lang w:val="es-US" w:eastAsia="en-US"/>
        </w:rPr>
        <w:t>Las variables</w:t>
      </w:r>
      <w:bookmarkEnd w:id="1"/>
      <w:r w:rsidRPr="001D1565">
        <w:rPr>
          <w:lang w:val="es-US" w:eastAsia="en-US"/>
        </w:rPr>
        <w:t xml:space="preserve"> recogidas fueron: </w:t>
      </w:r>
    </w:p>
    <w:p w14:paraId="7C4B4E29" w14:textId="77777777" w:rsidR="001D1565" w:rsidRPr="001D1565" w:rsidRDefault="001D1565" w:rsidP="001D1565">
      <w:pPr>
        <w:suppressAutoHyphens/>
        <w:spacing w:line="360" w:lineRule="auto"/>
        <w:jc w:val="both"/>
        <w:rPr>
          <w:lang w:val="es-US" w:eastAsia="en-US"/>
        </w:rPr>
      </w:pPr>
    </w:p>
    <w:p w14:paraId="70027A6B" w14:textId="77777777" w:rsidR="001D1565" w:rsidRPr="001D1565" w:rsidRDefault="001D1565" w:rsidP="001D1565">
      <w:pPr>
        <w:numPr>
          <w:ilvl w:val="0"/>
          <w:numId w:val="2"/>
        </w:numPr>
        <w:suppressAutoHyphens/>
        <w:spacing w:line="360" w:lineRule="auto"/>
        <w:jc w:val="both"/>
        <w:rPr>
          <w:lang w:val="es-US" w:eastAsia="en-US"/>
        </w:rPr>
      </w:pPr>
      <w:r w:rsidRPr="001D1565">
        <w:rPr>
          <w:lang w:val="es-US" w:eastAsia="en-US"/>
        </w:rPr>
        <w:t>E</w:t>
      </w:r>
      <w:r w:rsidRPr="001D1565">
        <w:rPr>
          <w:lang w:val="es-ES" w:eastAsia="en-US"/>
        </w:rPr>
        <w:t>dad (se dividió en menores de 50 años y mayor o igual a 50 años, teniendo en cuenta que el CG es más frecuente después de los 50 años</w:t>
      </w:r>
      <w:proofErr w:type="gramStart"/>
      <w:r w:rsidRPr="001D1565">
        <w:rPr>
          <w:lang w:val="es-ES" w:eastAsia="en-US"/>
        </w:rPr>
        <w:t>).</w:t>
      </w:r>
      <w:r w:rsidRPr="001D1565">
        <w:rPr>
          <w:vertAlign w:val="superscript"/>
          <w:lang w:val="es-ES" w:eastAsia="en-US"/>
        </w:rPr>
        <w:t>(</w:t>
      </w:r>
      <w:proofErr w:type="gramEnd"/>
      <w:r w:rsidRPr="001D1565">
        <w:rPr>
          <w:vertAlign w:val="superscript"/>
          <w:lang w:val="es-ES" w:eastAsia="en-US"/>
        </w:rPr>
        <w:t>9)</w:t>
      </w:r>
      <w:r w:rsidRPr="001D1565">
        <w:rPr>
          <w:lang w:val="es-ES" w:eastAsia="en-US"/>
        </w:rPr>
        <w:t xml:space="preserve"> </w:t>
      </w:r>
    </w:p>
    <w:p w14:paraId="2A1F6112" w14:textId="77777777" w:rsidR="001D1565" w:rsidRPr="001D1565" w:rsidRDefault="001D1565" w:rsidP="001D1565">
      <w:pPr>
        <w:numPr>
          <w:ilvl w:val="0"/>
          <w:numId w:val="2"/>
        </w:numPr>
        <w:suppressAutoHyphens/>
        <w:spacing w:line="360" w:lineRule="auto"/>
        <w:jc w:val="both"/>
        <w:rPr>
          <w:lang w:val="es-US" w:eastAsia="en-US"/>
        </w:rPr>
      </w:pPr>
      <w:r w:rsidRPr="001D1565">
        <w:rPr>
          <w:lang w:val="es-ES" w:eastAsia="en-US"/>
        </w:rPr>
        <w:t>Sexo.</w:t>
      </w:r>
    </w:p>
    <w:p w14:paraId="10DBAF4E" w14:textId="77777777" w:rsidR="001D1565" w:rsidRPr="001D1565" w:rsidRDefault="001D1565" w:rsidP="001D1565">
      <w:pPr>
        <w:numPr>
          <w:ilvl w:val="0"/>
          <w:numId w:val="2"/>
        </w:numPr>
        <w:suppressAutoHyphens/>
        <w:spacing w:line="360" w:lineRule="auto"/>
        <w:jc w:val="both"/>
        <w:rPr>
          <w:lang w:val="es-US" w:eastAsia="en-US"/>
        </w:rPr>
      </w:pPr>
      <w:r w:rsidRPr="001D1565">
        <w:rPr>
          <w:lang w:val="es-ES" w:eastAsia="en-US"/>
        </w:rPr>
        <w:lastRenderedPageBreak/>
        <w:t>Diagnósticos endoscópicos (g</w:t>
      </w:r>
      <w:r w:rsidRPr="001D1565">
        <w:rPr>
          <w:color w:val="000000"/>
          <w:lang w:val="es-ES" w:eastAsia="en-US"/>
        </w:rPr>
        <w:t xml:space="preserve">astropatía eritematosa, erosiva y nodular, úlcera gástrica, úlcera duodenal y reflujo </w:t>
      </w:r>
      <w:proofErr w:type="spellStart"/>
      <w:r w:rsidRPr="001D1565">
        <w:rPr>
          <w:color w:val="000000"/>
          <w:lang w:val="es-ES" w:eastAsia="en-US"/>
        </w:rPr>
        <w:t>duodenogástrico</w:t>
      </w:r>
      <w:proofErr w:type="spellEnd"/>
      <w:r w:rsidRPr="001D1565">
        <w:rPr>
          <w:color w:val="000000"/>
          <w:lang w:val="es-ES" w:eastAsia="en-US"/>
        </w:rPr>
        <w:t>).</w:t>
      </w:r>
    </w:p>
    <w:p w14:paraId="56E10CEA" w14:textId="77777777" w:rsidR="001D1565" w:rsidRPr="001D1565" w:rsidRDefault="001D1565" w:rsidP="001D1565">
      <w:pPr>
        <w:numPr>
          <w:ilvl w:val="0"/>
          <w:numId w:val="2"/>
        </w:numPr>
        <w:suppressAutoHyphens/>
        <w:spacing w:line="360" w:lineRule="auto"/>
        <w:jc w:val="both"/>
        <w:rPr>
          <w:lang w:val="es-US" w:eastAsia="en-US"/>
        </w:rPr>
      </w:pPr>
      <w:r w:rsidRPr="001D1565">
        <w:rPr>
          <w:color w:val="000000"/>
          <w:lang w:val="es-US" w:eastAsia="en-US"/>
        </w:rPr>
        <w:t>D</w:t>
      </w:r>
      <w:r w:rsidRPr="001D1565">
        <w:rPr>
          <w:color w:val="000000"/>
          <w:lang w:val="es-ES" w:eastAsia="en-US"/>
        </w:rPr>
        <w:t>i</w:t>
      </w:r>
      <w:r w:rsidRPr="001D1565">
        <w:rPr>
          <w:lang w:val="es-US" w:eastAsia="en-US"/>
        </w:rPr>
        <w:t xml:space="preserve">agnósticos histopatológicos: se tuvo en cuenta la intensidad de las gastritis, la presencia de atrofia, displasia, estadios de OLGA y el diagnóstico de infección por </w:t>
      </w:r>
      <w:proofErr w:type="spellStart"/>
      <w:r w:rsidRPr="001D1565">
        <w:rPr>
          <w:i/>
          <w:lang w:val="es-US" w:eastAsia="en-US"/>
        </w:rPr>
        <w:t>Helicobacter</w:t>
      </w:r>
      <w:proofErr w:type="spellEnd"/>
      <w:r w:rsidRPr="001D1565">
        <w:rPr>
          <w:i/>
          <w:lang w:val="es-US" w:eastAsia="en-US"/>
        </w:rPr>
        <w:t xml:space="preserve"> pylori (H. pylori)</w:t>
      </w:r>
      <w:r w:rsidRPr="001D1565">
        <w:rPr>
          <w:lang w:val="es-US" w:eastAsia="en-US"/>
        </w:rPr>
        <w:t>.</w:t>
      </w:r>
    </w:p>
    <w:p w14:paraId="12B95516" w14:textId="77777777" w:rsidR="001D1565" w:rsidRPr="001D1565" w:rsidRDefault="001D1565" w:rsidP="001D1565">
      <w:pPr>
        <w:suppressAutoHyphens/>
        <w:spacing w:line="360" w:lineRule="auto"/>
        <w:jc w:val="both"/>
        <w:rPr>
          <w:lang w:eastAsia="en-US"/>
        </w:rPr>
      </w:pPr>
    </w:p>
    <w:p w14:paraId="6B01EBEE" w14:textId="77777777" w:rsidR="001D1565" w:rsidRPr="001D1565" w:rsidRDefault="001D1565" w:rsidP="001D1565">
      <w:pPr>
        <w:suppressAutoHyphens/>
        <w:spacing w:line="360" w:lineRule="auto"/>
        <w:jc w:val="both"/>
        <w:rPr>
          <w:lang w:val="es-US" w:eastAsia="en-US"/>
        </w:rPr>
      </w:pPr>
      <w:r w:rsidRPr="001D1565">
        <w:rPr>
          <w:lang w:eastAsia="en-US"/>
        </w:rPr>
        <w:t xml:space="preserve">Los resultados se expresaron en números absolutos y por ciento. </w:t>
      </w:r>
      <w:r w:rsidRPr="001D1565">
        <w:rPr>
          <w:lang w:val="es-US" w:eastAsia="en-US"/>
        </w:rPr>
        <w:t xml:space="preserve">Para evaluar la asociación de la atrofia gástrica con el reflujo </w:t>
      </w:r>
      <w:proofErr w:type="spellStart"/>
      <w:r w:rsidRPr="001D1565">
        <w:rPr>
          <w:lang w:val="es-US" w:eastAsia="en-US"/>
        </w:rPr>
        <w:t>duodenogástrico</w:t>
      </w:r>
      <w:proofErr w:type="spellEnd"/>
      <w:r w:rsidRPr="001D1565">
        <w:rPr>
          <w:lang w:val="es-US" w:eastAsia="en-US"/>
        </w:rPr>
        <w:t xml:space="preserve"> y la infección por </w:t>
      </w:r>
      <w:r w:rsidRPr="001D1565">
        <w:rPr>
          <w:i/>
          <w:lang w:val="es-US" w:eastAsia="en-US"/>
        </w:rPr>
        <w:t>H. pylori</w:t>
      </w:r>
      <w:r w:rsidRPr="001D1565">
        <w:rPr>
          <w:lang w:val="es-US" w:eastAsia="en-US"/>
        </w:rPr>
        <w:t xml:space="preserve"> se aplicó el test </w:t>
      </w:r>
      <w:r w:rsidRPr="001D1565">
        <w:rPr>
          <w:i/>
          <w:lang w:val="es-US" w:eastAsia="en-US"/>
        </w:rPr>
        <w:t>ji</w:t>
      </w:r>
      <w:r w:rsidRPr="001D1565">
        <w:rPr>
          <w:lang w:val="es-US" w:eastAsia="en-US"/>
        </w:rPr>
        <w:t xml:space="preserve"> cuadrado (</w:t>
      </w:r>
      <w:proofErr w:type="spellStart"/>
      <w:r w:rsidRPr="001D1565">
        <w:rPr>
          <w:lang w:val="es-US" w:eastAsia="en-US"/>
        </w:rPr>
        <w:t>χ</w:t>
      </w:r>
      <w:r w:rsidRPr="001D1565">
        <w:rPr>
          <w:vertAlign w:val="superscript"/>
          <w:lang w:val="es-US" w:eastAsia="en-US"/>
        </w:rPr>
        <w:t>2</w:t>
      </w:r>
      <w:proofErr w:type="spellEnd"/>
      <w:r w:rsidRPr="001D1565">
        <w:rPr>
          <w:lang w:val="es-US" w:eastAsia="en-US"/>
        </w:rPr>
        <w:t>). Se aceptó un nivel de significación estadística p≤ 0,05.</w:t>
      </w:r>
    </w:p>
    <w:p w14:paraId="43C4F97B" w14:textId="5B9377C5" w:rsidR="001D1565" w:rsidRPr="001D1565" w:rsidRDefault="001D1565" w:rsidP="001D1565">
      <w:pPr>
        <w:suppressAutoHyphens/>
        <w:spacing w:line="360" w:lineRule="auto"/>
        <w:jc w:val="both"/>
        <w:rPr>
          <w:lang w:eastAsia="en-US"/>
        </w:rPr>
      </w:pPr>
      <w:r w:rsidRPr="001D1565">
        <w:rPr>
          <w:lang w:val="es-US" w:eastAsia="zh-CN"/>
        </w:rPr>
        <w:t>Esta investigación se realizó bajo los principios establecidos en la Declaración de Helsinki.</w:t>
      </w:r>
      <w:r w:rsidRPr="001D1565">
        <w:rPr>
          <w:lang w:val="en-US" w:eastAsia="en-US"/>
        </w:rPr>
        <w:fldChar w:fldCharType="begin"/>
      </w:r>
      <w:r w:rsidRPr="001D1565">
        <w:rPr>
          <w:lang w:val="es-US" w:eastAsia="zh-CN"/>
        </w:rPr>
        <w:instrText>ADDIN EN.CITE &lt;EndNote&gt;&lt;Cite&gt;&lt;Author&gt;Asociación Médica Mundial&lt;/Author&gt;&lt;Year&gt;2013&lt;/Year&gt;&lt;RecNum&gt;271&lt;/RecNum&gt;&lt;DisplayText&gt;(70)&lt;/DisplayText&gt;&lt;record&gt;&lt;rec-number&gt;271&lt;/rec-number&gt;&lt;foreign-keys&gt;&lt;key app="EN" db-id="ved9ta5wysawfvedzpap5fey0dddtsaferx0"&gt;271&lt;/key&gt;&lt;/foreign-keys&gt;&lt;ref-type name="Electronic Book"&gt;44&lt;/ref-type&gt;&lt;contributors&gt;&lt;authors&gt;&lt;author&gt;Asociación Médica Mundial, A.M.M.&lt;/author&gt;&lt;/authors&gt;&lt;/contributors&gt;&lt;titles&gt;&lt;title&gt;Declaración de Helsinki de la AMM - Principios éticos para las investigaciones médicas en seres humanos. 64ª Asamblea General; 2013 octubre&lt;/title&gt;&lt;/titles&gt;&lt;dates&gt;&lt;year&gt;2013&lt;/year&gt;&lt;pub-dates&gt;&lt;date&gt;[citado 20 Ago 2019]&lt;/date&gt;&lt;/pub-dates&gt;&lt;/dates&gt;&lt;pub-location&gt;Fortaleza, Brasil&lt;/pub-location&gt;&lt;publisher&gt;Asociación Médica Mundial (AMM)&lt;/publisher&gt;&lt;urls&gt;&lt;related-urls&gt;&lt;url&gt;http://www.wma.net/es/30publications/10policies/b3/&lt;/url&gt;&lt;/related-urls&gt;&lt;/urls&gt;&lt;custom1&gt;2020&lt;/custom1&gt;&lt;custom2&gt; ene 19&lt;/custom2&gt;&lt;/record&gt;&lt;/Cite&gt;&lt;/EndNote&gt;</w:instrText>
      </w:r>
      <w:r w:rsidRPr="001D1565">
        <w:rPr>
          <w:lang w:val="es-US" w:eastAsia="zh-CN"/>
        </w:rPr>
        <w:fldChar w:fldCharType="separate"/>
      </w:r>
      <w:r w:rsidRPr="001D1565">
        <w:rPr>
          <w:vertAlign w:val="superscript"/>
          <w:lang w:val="es-US" w:eastAsia="zh-CN"/>
        </w:rPr>
        <w:t>(</w:t>
      </w:r>
      <w:r w:rsidRPr="001D1565">
        <w:rPr>
          <w:lang w:val="es-US" w:eastAsia="zh-CN"/>
        </w:rPr>
        <w:fldChar w:fldCharType="end"/>
      </w:r>
      <w:r w:rsidRPr="001D1565">
        <w:rPr>
          <w:vertAlign w:val="superscript"/>
          <w:lang w:val="es-US" w:eastAsia="zh-CN"/>
        </w:rPr>
        <w:t>10)</w:t>
      </w:r>
      <w:r w:rsidRPr="001D1565">
        <w:rPr>
          <w:lang w:val="es-US" w:eastAsia="zh-CN"/>
        </w:rPr>
        <w:t xml:space="preserve"> El consentimiento recogido a los pacientes es el usual para la realización de los exámenes </w:t>
      </w:r>
      <w:r w:rsidR="002F71FC">
        <w:rPr>
          <w:lang w:val="es-US" w:eastAsia="zh-CN"/>
        </w:rPr>
        <w:t>endoscópicos</w:t>
      </w:r>
      <w:r w:rsidRPr="001D1565">
        <w:rPr>
          <w:lang w:val="es-US" w:eastAsia="zh-CN"/>
        </w:rPr>
        <w:t>; el trabajo se limita al estudio descriptivo de los hallazgos. Se mantiene la confidencialidad de los datos individuales de los pacientes.</w:t>
      </w:r>
    </w:p>
    <w:p w14:paraId="76A3AC70" w14:textId="77777777" w:rsidR="001D1565" w:rsidRPr="001D1565" w:rsidRDefault="001D1565" w:rsidP="001D1565">
      <w:pPr>
        <w:suppressAutoHyphens/>
        <w:spacing w:line="360" w:lineRule="auto"/>
        <w:jc w:val="both"/>
        <w:rPr>
          <w:lang w:eastAsia="en-US"/>
        </w:rPr>
      </w:pPr>
    </w:p>
    <w:p w14:paraId="001B2CD8" w14:textId="77777777" w:rsidR="001D1565" w:rsidRPr="001D1565" w:rsidRDefault="001D1565" w:rsidP="001D1565">
      <w:pPr>
        <w:suppressAutoHyphens/>
        <w:spacing w:line="360" w:lineRule="auto"/>
        <w:jc w:val="center"/>
        <w:rPr>
          <w:b/>
          <w:sz w:val="32"/>
          <w:szCs w:val="32"/>
          <w:lang w:val="es-US" w:eastAsia="en-US"/>
        </w:rPr>
      </w:pPr>
      <w:bookmarkStart w:id="2" w:name="_Toc90808744"/>
    </w:p>
    <w:p w14:paraId="2D93FA2A" w14:textId="77777777" w:rsidR="001D1565" w:rsidRPr="001D1565" w:rsidRDefault="001D1565" w:rsidP="001D1565">
      <w:pPr>
        <w:suppressAutoHyphens/>
        <w:spacing w:line="360" w:lineRule="auto"/>
        <w:jc w:val="center"/>
        <w:rPr>
          <w:b/>
          <w:sz w:val="32"/>
          <w:szCs w:val="32"/>
          <w:lang w:val="es-US" w:eastAsia="en-US"/>
        </w:rPr>
      </w:pPr>
      <w:r w:rsidRPr="001D1565">
        <w:rPr>
          <w:b/>
          <w:sz w:val="32"/>
          <w:szCs w:val="32"/>
          <w:lang w:val="es-US" w:eastAsia="en-US"/>
        </w:rPr>
        <w:t>RESULTADOS</w:t>
      </w:r>
      <w:bookmarkEnd w:id="2"/>
    </w:p>
    <w:p w14:paraId="20F0F0BB" w14:textId="77777777" w:rsidR="001D1565" w:rsidRPr="001D1565" w:rsidRDefault="001D1565" w:rsidP="001D1565">
      <w:pPr>
        <w:suppressAutoHyphens/>
        <w:spacing w:line="360" w:lineRule="auto"/>
        <w:jc w:val="both"/>
        <w:rPr>
          <w:lang w:val="es-US" w:eastAsia="en-US"/>
        </w:rPr>
      </w:pPr>
      <w:r w:rsidRPr="001D1565">
        <w:rPr>
          <w:lang w:val="es-US" w:eastAsia="en-US"/>
        </w:rPr>
        <w:t>El estadio II fue el más frecuente en 99 pacientes (52 %). Le siguen los estadios I (46; 24 %), III (24; 13 %) y 0 (21; 11 %). No hubo pacientes en estadio IV (Fig. 1).</w:t>
      </w:r>
    </w:p>
    <w:p w14:paraId="56500522" w14:textId="77777777" w:rsidR="001D1565" w:rsidRPr="001D1565" w:rsidRDefault="001D1565" w:rsidP="001D1565">
      <w:pPr>
        <w:suppressAutoHyphens/>
        <w:spacing w:line="360" w:lineRule="auto"/>
        <w:jc w:val="both"/>
        <w:rPr>
          <w:lang w:val="es-US" w:eastAsia="en-US"/>
        </w:rPr>
      </w:pPr>
    </w:p>
    <w:p w14:paraId="56E1C2F7" w14:textId="277A196D" w:rsidR="001D1565" w:rsidRPr="001D1565" w:rsidRDefault="001D1565" w:rsidP="001D1565">
      <w:pPr>
        <w:suppressAutoHyphens/>
        <w:spacing w:line="360" w:lineRule="auto"/>
        <w:jc w:val="center"/>
        <w:rPr>
          <w:lang w:val="es-US" w:eastAsia="en-US"/>
        </w:rPr>
      </w:pPr>
      <w:r w:rsidRPr="001D1565">
        <w:rPr>
          <w:noProof/>
          <w:lang w:val="es-US" w:eastAsia="en-US"/>
        </w:rPr>
        <w:lastRenderedPageBreak/>
        <w:drawing>
          <wp:inline distT="0" distB="0" distL="0" distR="0" wp14:anchorId="2B52C895" wp14:editId="3AA3582A">
            <wp:extent cx="3324225" cy="3209925"/>
            <wp:effectExtent l="0" t="0" r="0"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4225" cy="3209925"/>
                    </a:xfrm>
                    <a:prstGeom prst="rect">
                      <a:avLst/>
                    </a:prstGeom>
                    <a:noFill/>
                    <a:ln>
                      <a:noFill/>
                    </a:ln>
                  </pic:spPr>
                </pic:pic>
              </a:graphicData>
            </a:graphic>
          </wp:inline>
        </w:drawing>
      </w:r>
    </w:p>
    <w:p w14:paraId="2E0160DD" w14:textId="77777777" w:rsidR="001D1565" w:rsidRPr="001D1565" w:rsidRDefault="001D1565" w:rsidP="001D1565">
      <w:pPr>
        <w:suppressAutoHyphens/>
        <w:spacing w:line="360" w:lineRule="auto"/>
        <w:jc w:val="center"/>
        <w:rPr>
          <w:sz w:val="22"/>
          <w:szCs w:val="22"/>
          <w:lang w:val="es-US" w:eastAsia="en-US"/>
        </w:rPr>
      </w:pPr>
      <w:r w:rsidRPr="001D1565">
        <w:rPr>
          <w:b/>
          <w:sz w:val="22"/>
          <w:szCs w:val="22"/>
          <w:lang w:val="es-US" w:eastAsia="en-US"/>
        </w:rPr>
        <w:t>Fig. 1</w:t>
      </w:r>
      <w:r w:rsidRPr="001D1565">
        <w:rPr>
          <w:sz w:val="22"/>
          <w:szCs w:val="22"/>
          <w:lang w:val="es-US" w:eastAsia="en-US"/>
        </w:rPr>
        <w:t>- Distribución de los pacientes según los estadios de atrofia gástrica.</w:t>
      </w:r>
    </w:p>
    <w:p w14:paraId="05EDBDAE" w14:textId="77777777" w:rsidR="001D1565" w:rsidRPr="001D1565" w:rsidRDefault="001D1565" w:rsidP="001D1565">
      <w:pPr>
        <w:suppressAutoHyphens/>
        <w:spacing w:line="360" w:lineRule="auto"/>
        <w:jc w:val="center"/>
        <w:rPr>
          <w:sz w:val="22"/>
          <w:szCs w:val="22"/>
          <w:lang w:val="es-US" w:eastAsia="en-US"/>
        </w:rPr>
      </w:pPr>
    </w:p>
    <w:p w14:paraId="0C9262F4" w14:textId="77777777" w:rsidR="001D1565" w:rsidRPr="001D1565" w:rsidRDefault="001D1565" w:rsidP="001D1565">
      <w:pPr>
        <w:suppressAutoHyphens/>
        <w:spacing w:line="360" w:lineRule="auto"/>
        <w:jc w:val="both"/>
        <w:rPr>
          <w:lang w:val="es-US" w:eastAsia="en-US"/>
        </w:rPr>
      </w:pPr>
      <w:r w:rsidRPr="001D1565">
        <w:rPr>
          <w:lang w:val="es-US" w:eastAsia="en-US"/>
        </w:rPr>
        <w:t xml:space="preserve">Del total de individuos, 101 (53 %) con del sexo femenino y 89 (47 %) del masculino. La distribución del sexo femenino según estadios de atrofia fue la siguiente: estadio 0 (13; 12,9 %), estadio I (26; 25,7 %), estadio II (48; 47,5 %) y estadio III (14; 13,9 %). Para el sexo masculino: estadio 0 (8; 9 %), estadio I (19; 22,5 %), estadio II (50; 57,3 %) y estadio III (10; 11,2 %). Excepto en el estadio II, el sexo femenino predominó en todos los estadios de OLGA (Fig. 2). </w:t>
      </w:r>
    </w:p>
    <w:p w14:paraId="66EADA98" w14:textId="77777777" w:rsidR="001D1565" w:rsidRPr="001D1565" w:rsidRDefault="001D1565" w:rsidP="001D1565">
      <w:pPr>
        <w:suppressAutoHyphens/>
        <w:spacing w:line="360" w:lineRule="auto"/>
        <w:jc w:val="both"/>
        <w:rPr>
          <w:lang w:val="es-US" w:eastAsia="en-US"/>
        </w:rPr>
      </w:pPr>
    </w:p>
    <w:p w14:paraId="5AD0DCA6" w14:textId="3E37E8D7" w:rsidR="001D1565" w:rsidRPr="001D1565" w:rsidRDefault="001D1565" w:rsidP="001D1565">
      <w:pPr>
        <w:suppressAutoHyphens/>
        <w:spacing w:line="360" w:lineRule="auto"/>
        <w:jc w:val="center"/>
        <w:rPr>
          <w:lang w:val="es-US" w:eastAsia="en-US"/>
        </w:rPr>
      </w:pPr>
      <w:r w:rsidRPr="001D1565">
        <w:rPr>
          <w:noProof/>
          <w:lang w:val="es-US" w:eastAsia="en-US"/>
        </w:rPr>
        <w:lastRenderedPageBreak/>
        <w:drawing>
          <wp:inline distT="0" distB="0" distL="0" distR="0" wp14:anchorId="6382B7EF" wp14:editId="3E2F78BE">
            <wp:extent cx="4962525" cy="302895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2525" cy="3028950"/>
                    </a:xfrm>
                    <a:prstGeom prst="rect">
                      <a:avLst/>
                    </a:prstGeom>
                    <a:noFill/>
                    <a:ln>
                      <a:noFill/>
                    </a:ln>
                  </pic:spPr>
                </pic:pic>
              </a:graphicData>
            </a:graphic>
          </wp:inline>
        </w:drawing>
      </w:r>
    </w:p>
    <w:p w14:paraId="19ADA792" w14:textId="77777777" w:rsidR="001D1565" w:rsidRPr="001D1565" w:rsidRDefault="001D1565" w:rsidP="001D1565">
      <w:pPr>
        <w:suppressAutoHyphens/>
        <w:spacing w:line="360" w:lineRule="auto"/>
        <w:jc w:val="center"/>
        <w:rPr>
          <w:sz w:val="22"/>
          <w:szCs w:val="22"/>
          <w:lang w:val="es-US" w:eastAsia="en-US"/>
        </w:rPr>
      </w:pPr>
      <w:r w:rsidRPr="001D1565">
        <w:rPr>
          <w:b/>
          <w:sz w:val="22"/>
          <w:szCs w:val="22"/>
          <w:lang w:val="es-US" w:eastAsia="en-US"/>
        </w:rPr>
        <w:t xml:space="preserve">Fig. 2 </w:t>
      </w:r>
      <w:r w:rsidRPr="001D1565">
        <w:rPr>
          <w:sz w:val="22"/>
          <w:szCs w:val="22"/>
          <w:lang w:val="es-US" w:eastAsia="en-US"/>
        </w:rPr>
        <w:t>- Distribución de los estadios de OLGA de acuerdo con el sexo.</w:t>
      </w:r>
    </w:p>
    <w:p w14:paraId="360248A8" w14:textId="77777777" w:rsidR="001D1565" w:rsidRPr="001D1565" w:rsidRDefault="001D1565" w:rsidP="001D1565">
      <w:pPr>
        <w:suppressAutoHyphens/>
        <w:spacing w:line="360" w:lineRule="auto"/>
        <w:jc w:val="both"/>
        <w:rPr>
          <w:lang w:val="es-US" w:eastAsia="en-US"/>
        </w:rPr>
      </w:pPr>
    </w:p>
    <w:p w14:paraId="10AA2CDA" w14:textId="77777777" w:rsidR="001D1565" w:rsidRPr="001D1565" w:rsidRDefault="001D1565" w:rsidP="001D1565">
      <w:pPr>
        <w:suppressAutoHyphens/>
        <w:spacing w:line="360" w:lineRule="auto"/>
        <w:jc w:val="both"/>
        <w:rPr>
          <w:lang w:val="es-US" w:eastAsia="en-US"/>
        </w:rPr>
      </w:pPr>
      <w:r w:rsidRPr="001D1565">
        <w:rPr>
          <w:lang w:val="es-US" w:eastAsia="en-US"/>
        </w:rPr>
        <w:t>El promedio de edad fue de 43,6 años, con una desviación estándar de 16. La edad mínima fue de 18 y la máxima de 80. En el grupo de menores de 50 años hubo 122 (64,2 %) pacientes y en los ≥ 50 años 68 (35,8 %) enfermos.</w:t>
      </w:r>
    </w:p>
    <w:p w14:paraId="6B87562C" w14:textId="2EDA8CAE" w:rsidR="001D1565" w:rsidRPr="001D1565" w:rsidRDefault="001D1565" w:rsidP="001D1565">
      <w:pPr>
        <w:suppressAutoHyphens/>
        <w:spacing w:line="360" w:lineRule="auto"/>
        <w:jc w:val="both"/>
        <w:rPr>
          <w:lang w:val="es-US" w:eastAsia="en-US"/>
        </w:rPr>
      </w:pPr>
      <w:r w:rsidRPr="001D1565">
        <w:rPr>
          <w:lang w:val="es-US" w:eastAsia="en-US"/>
        </w:rPr>
        <w:t>La distribución por estadios de atrofia gástrica en los menores de 50 años fue l</w:t>
      </w:r>
      <w:r w:rsidR="000850CC">
        <w:rPr>
          <w:lang w:val="es-US" w:eastAsia="en-US"/>
        </w:rPr>
        <w:t>a</w:t>
      </w:r>
      <w:r w:rsidRPr="001D1565">
        <w:rPr>
          <w:lang w:val="es-US" w:eastAsia="en-US"/>
        </w:rPr>
        <w:t xml:space="preserve"> siguiente: estadio 0 (16; 13,1 %), estadio I (27; 22,1 %), estadio II (66; 54,1 %) y estadio III (13; 10,7 %). En los ≥ 50 años el estadio II fue el más frecuente (33; 48,5 %), seguido por el estadio I (19; 28 %); hubo pacientes en estadio III (11; 16,1 %) (Fig. 3). </w:t>
      </w:r>
    </w:p>
    <w:p w14:paraId="4201D1EA" w14:textId="77777777" w:rsidR="001D1565" w:rsidRPr="001D1565" w:rsidRDefault="001D1565" w:rsidP="001D1565">
      <w:pPr>
        <w:suppressAutoHyphens/>
        <w:spacing w:line="360" w:lineRule="auto"/>
        <w:jc w:val="both"/>
        <w:rPr>
          <w:lang w:val="es-US" w:eastAsia="en-US"/>
        </w:rPr>
      </w:pPr>
    </w:p>
    <w:p w14:paraId="5ADEE8A1" w14:textId="6C879C39" w:rsidR="001D1565" w:rsidRPr="001D1565" w:rsidRDefault="001D1565" w:rsidP="001D1565">
      <w:pPr>
        <w:suppressAutoHyphens/>
        <w:spacing w:line="360" w:lineRule="auto"/>
        <w:jc w:val="center"/>
        <w:rPr>
          <w:lang w:val="es-US" w:eastAsia="en-US"/>
        </w:rPr>
      </w:pPr>
      <w:r w:rsidRPr="001D1565">
        <w:rPr>
          <w:noProof/>
          <w:lang w:val="es-US" w:eastAsia="en-US"/>
        </w:rPr>
        <w:lastRenderedPageBreak/>
        <w:drawing>
          <wp:inline distT="0" distB="0" distL="0" distR="0" wp14:anchorId="2A70B398" wp14:editId="6D4433E4">
            <wp:extent cx="5191125" cy="3114675"/>
            <wp:effectExtent l="0" t="0" r="0" b="0"/>
            <wp:docPr id="1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1125" cy="3114675"/>
                    </a:xfrm>
                    <a:prstGeom prst="rect">
                      <a:avLst/>
                    </a:prstGeom>
                    <a:noFill/>
                    <a:ln>
                      <a:noFill/>
                    </a:ln>
                  </pic:spPr>
                </pic:pic>
              </a:graphicData>
            </a:graphic>
          </wp:inline>
        </w:drawing>
      </w:r>
    </w:p>
    <w:p w14:paraId="348F5489" w14:textId="77777777" w:rsidR="001D1565" w:rsidRPr="001D1565" w:rsidRDefault="001D1565" w:rsidP="001D1565">
      <w:pPr>
        <w:suppressAutoHyphens/>
        <w:spacing w:line="360" w:lineRule="auto"/>
        <w:jc w:val="center"/>
        <w:rPr>
          <w:sz w:val="22"/>
          <w:szCs w:val="22"/>
          <w:lang w:val="es-US" w:eastAsia="en-US"/>
        </w:rPr>
      </w:pPr>
      <w:r w:rsidRPr="001D1565">
        <w:rPr>
          <w:b/>
          <w:sz w:val="22"/>
          <w:szCs w:val="22"/>
          <w:lang w:val="es-US" w:eastAsia="en-US"/>
        </w:rPr>
        <w:t xml:space="preserve">Fig. 3 </w:t>
      </w:r>
      <w:r w:rsidRPr="001D1565">
        <w:rPr>
          <w:sz w:val="22"/>
          <w:szCs w:val="22"/>
          <w:lang w:val="es-US" w:eastAsia="en-US"/>
        </w:rPr>
        <w:t>- Distribución por grupos de edad según estadio de OLGA.</w:t>
      </w:r>
    </w:p>
    <w:p w14:paraId="79AAE2C2" w14:textId="77777777" w:rsidR="001D1565" w:rsidRPr="001D1565" w:rsidRDefault="001D1565" w:rsidP="001D1565">
      <w:pPr>
        <w:suppressAutoHyphens/>
        <w:spacing w:line="360" w:lineRule="auto"/>
        <w:jc w:val="center"/>
        <w:rPr>
          <w:sz w:val="22"/>
          <w:szCs w:val="22"/>
          <w:lang w:val="es-US" w:eastAsia="en-US"/>
        </w:rPr>
      </w:pPr>
    </w:p>
    <w:p w14:paraId="2BCA2842" w14:textId="357E602E" w:rsidR="001D1565" w:rsidRPr="001D1565" w:rsidRDefault="001D1565" w:rsidP="001D1565">
      <w:pPr>
        <w:suppressAutoHyphens/>
        <w:spacing w:line="360" w:lineRule="auto"/>
        <w:jc w:val="both"/>
        <w:rPr>
          <w:lang w:val="es-US" w:eastAsia="en-US"/>
        </w:rPr>
      </w:pPr>
      <w:r w:rsidRPr="001D1565">
        <w:rPr>
          <w:lang w:val="es-US" w:eastAsia="en-US"/>
        </w:rPr>
        <w:t xml:space="preserve">En relación con los diagnósticos endoscópicos, la gastritis eritematosa fue la más frecuente; se encontró en 179 (94,2 %) pacientes, seguida por la gastritis erosiva (32; 16,8 %), gastritis nodular y reflujo </w:t>
      </w:r>
      <w:proofErr w:type="spellStart"/>
      <w:r w:rsidRPr="001D1565">
        <w:rPr>
          <w:lang w:val="es-US" w:eastAsia="en-US"/>
        </w:rPr>
        <w:t>duodenogástrico</w:t>
      </w:r>
      <w:proofErr w:type="spellEnd"/>
      <w:r w:rsidRPr="001D1565">
        <w:rPr>
          <w:lang w:val="es-US" w:eastAsia="en-US"/>
        </w:rPr>
        <w:t xml:space="preserve"> (12; 6,3 % cada uno), úlcera duodenal (11; 5,8 %) y por último la úlcera gástrica (4; 2,1</w:t>
      </w:r>
      <w:r w:rsidR="00415DFC">
        <w:rPr>
          <w:lang w:val="es-US" w:eastAsia="en-US"/>
        </w:rPr>
        <w:t> </w:t>
      </w:r>
      <w:r w:rsidRPr="001D1565">
        <w:rPr>
          <w:lang w:val="es-US" w:eastAsia="en-US"/>
        </w:rPr>
        <w:t xml:space="preserve">%). Hubo 50 pacientes con más de un diagnóstico endoscópico. </w:t>
      </w:r>
    </w:p>
    <w:p w14:paraId="05774884" w14:textId="77777777" w:rsidR="001D1565" w:rsidRPr="001D1565" w:rsidRDefault="001D1565" w:rsidP="001D1565">
      <w:pPr>
        <w:suppressAutoHyphens/>
        <w:spacing w:line="360" w:lineRule="auto"/>
        <w:jc w:val="both"/>
        <w:rPr>
          <w:lang w:val="es-US" w:eastAsia="en-US"/>
        </w:rPr>
      </w:pPr>
      <w:r w:rsidRPr="001D1565">
        <w:rPr>
          <w:lang w:val="es-US" w:eastAsia="en-US"/>
        </w:rPr>
        <w:t xml:space="preserve">La prevalencia de la infección por </w:t>
      </w:r>
      <w:r w:rsidRPr="001D1565">
        <w:rPr>
          <w:i/>
          <w:lang w:val="es-US" w:eastAsia="en-US"/>
        </w:rPr>
        <w:t>H. pylori</w:t>
      </w:r>
      <w:r w:rsidRPr="001D1565">
        <w:rPr>
          <w:lang w:val="es-US" w:eastAsia="en-US"/>
        </w:rPr>
        <w:t xml:space="preserve"> fue elevada (94,2 %). La gastritis crónica moderada fue la más frecuente y predominó en el estadio II (90; 82,6 %).  La metaplasia intestinal también fue más frecuente en el estadio II (27; 62,8 %). Hubo 19 (76 %) enfermos con gastritis crónica grave en estadio III de OLGA. No se diagnosticaron pacientes con displasia de alto grado; en aquellos con displasia, esta correspondió con bajo grado y fue encontrada con mayor frecuencia en el estadio II (46; 54,2 %), seguida por el estadio III (17; 20 %), estadio I (15; 17,6 %) y estadio 0 (7; 8,2 %). En los estadios 0, I y II, aunque no son estadios avanzados de atrofia gástrica se diagnosticaron pacientes con cambios displásicos.</w:t>
      </w:r>
    </w:p>
    <w:p w14:paraId="4C25AFF1" w14:textId="77777777" w:rsidR="001D1565" w:rsidRPr="001D1565" w:rsidRDefault="001D1565" w:rsidP="001D1565">
      <w:pPr>
        <w:suppressAutoHyphens/>
        <w:spacing w:line="360" w:lineRule="auto"/>
        <w:jc w:val="both"/>
        <w:rPr>
          <w:lang w:val="es-US" w:eastAsia="en-US"/>
        </w:rPr>
      </w:pPr>
      <w:r w:rsidRPr="001D1565">
        <w:rPr>
          <w:lang w:val="es-US" w:eastAsia="en-US"/>
        </w:rPr>
        <w:t>De los pacientes con atrofia gástrica 11 (91,7 %; p= 0,75626</w:t>
      </w:r>
      <w:r w:rsidRPr="001D1565">
        <w:rPr>
          <w:b/>
          <w:lang w:val="es-US" w:eastAsia="en-US"/>
        </w:rPr>
        <w:t xml:space="preserve">) </w:t>
      </w:r>
      <w:r w:rsidRPr="001D1565">
        <w:rPr>
          <w:lang w:val="es-US" w:eastAsia="en-US"/>
        </w:rPr>
        <w:t>y 159 (89,4 %; p= 0,43719</w:t>
      </w:r>
      <w:r w:rsidRPr="001D1565">
        <w:rPr>
          <w:b/>
          <w:lang w:val="es-US" w:eastAsia="en-US"/>
        </w:rPr>
        <w:t xml:space="preserve">) </w:t>
      </w:r>
      <w:r w:rsidRPr="001D1565">
        <w:rPr>
          <w:lang w:val="es-US" w:eastAsia="en-US"/>
        </w:rPr>
        <w:t xml:space="preserve">presentaban reflujo </w:t>
      </w:r>
      <w:proofErr w:type="spellStart"/>
      <w:r w:rsidRPr="001D1565">
        <w:rPr>
          <w:lang w:val="es-US" w:eastAsia="en-US"/>
        </w:rPr>
        <w:t>duodenogástrico</w:t>
      </w:r>
      <w:proofErr w:type="spellEnd"/>
      <w:r w:rsidRPr="001D1565">
        <w:rPr>
          <w:lang w:val="es-US" w:eastAsia="en-US"/>
        </w:rPr>
        <w:t xml:space="preserve"> e infección por </w:t>
      </w:r>
      <w:r w:rsidRPr="001D1565">
        <w:rPr>
          <w:i/>
          <w:lang w:val="es-US" w:eastAsia="en-US"/>
        </w:rPr>
        <w:t>H. pylori</w:t>
      </w:r>
      <w:r w:rsidRPr="001D1565">
        <w:rPr>
          <w:lang w:val="es-US" w:eastAsia="en-US"/>
        </w:rPr>
        <w:t xml:space="preserve">, respectivamente (Fig. 4). </w:t>
      </w:r>
    </w:p>
    <w:p w14:paraId="5CDB8F09" w14:textId="77777777" w:rsidR="001D1565" w:rsidRPr="001D1565" w:rsidRDefault="001D1565" w:rsidP="001D1565">
      <w:pPr>
        <w:suppressAutoHyphens/>
        <w:spacing w:line="360" w:lineRule="auto"/>
        <w:jc w:val="both"/>
        <w:rPr>
          <w:lang w:val="es-US" w:eastAsia="en-US"/>
        </w:rPr>
      </w:pPr>
    </w:p>
    <w:p w14:paraId="6E0B27FB" w14:textId="15D000C3" w:rsidR="001D1565" w:rsidRPr="001D1565" w:rsidRDefault="001D1565" w:rsidP="001D1565">
      <w:pPr>
        <w:suppressAutoHyphens/>
        <w:spacing w:line="360" w:lineRule="auto"/>
        <w:jc w:val="center"/>
        <w:rPr>
          <w:lang w:val="es-US" w:eastAsia="en-US"/>
        </w:rPr>
      </w:pPr>
      <w:r w:rsidRPr="001D1565">
        <w:rPr>
          <w:noProof/>
          <w:lang w:val="es-US" w:eastAsia="en-US"/>
        </w:rPr>
        <w:lastRenderedPageBreak/>
        <w:drawing>
          <wp:inline distT="0" distB="0" distL="0" distR="0" wp14:anchorId="649536B4" wp14:editId="04AA56C9">
            <wp:extent cx="4143375" cy="2600325"/>
            <wp:effectExtent l="0" t="0" r="0"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3375" cy="2600325"/>
                    </a:xfrm>
                    <a:prstGeom prst="rect">
                      <a:avLst/>
                    </a:prstGeom>
                    <a:noFill/>
                    <a:ln>
                      <a:noFill/>
                    </a:ln>
                  </pic:spPr>
                </pic:pic>
              </a:graphicData>
            </a:graphic>
          </wp:inline>
        </w:drawing>
      </w:r>
    </w:p>
    <w:p w14:paraId="3D09AE9C" w14:textId="77777777" w:rsidR="001D1565" w:rsidRPr="001D1565" w:rsidRDefault="001D1565" w:rsidP="001D1565">
      <w:pPr>
        <w:suppressAutoHyphens/>
        <w:spacing w:line="360" w:lineRule="auto"/>
        <w:jc w:val="center"/>
        <w:rPr>
          <w:i/>
          <w:sz w:val="22"/>
          <w:szCs w:val="22"/>
          <w:lang w:val="es-US" w:eastAsia="en-US"/>
        </w:rPr>
      </w:pPr>
      <w:r w:rsidRPr="001D1565">
        <w:rPr>
          <w:b/>
          <w:sz w:val="22"/>
          <w:szCs w:val="22"/>
          <w:lang w:val="es-US" w:eastAsia="en-US"/>
        </w:rPr>
        <w:t xml:space="preserve">Fig. 4 </w:t>
      </w:r>
      <w:r w:rsidRPr="001D1565">
        <w:rPr>
          <w:sz w:val="22"/>
          <w:szCs w:val="22"/>
          <w:lang w:val="es-US" w:eastAsia="en-US"/>
        </w:rPr>
        <w:t xml:space="preserve">- Relación de lesiones precursoras de cáncer gástrico con el reflujo </w:t>
      </w:r>
      <w:proofErr w:type="spellStart"/>
      <w:r w:rsidRPr="001D1565">
        <w:rPr>
          <w:sz w:val="22"/>
          <w:szCs w:val="22"/>
          <w:lang w:val="es-US" w:eastAsia="en-US"/>
        </w:rPr>
        <w:t>duodenogástrico</w:t>
      </w:r>
      <w:proofErr w:type="spellEnd"/>
      <w:r w:rsidRPr="001D1565">
        <w:rPr>
          <w:sz w:val="22"/>
          <w:szCs w:val="22"/>
          <w:lang w:val="es-US" w:eastAsia="en-US"/>
        </w:rPr>
        <w:t xml:space="preserve"> y la infección por </w:t>
      </w:r>
      <w:r w:rsidRPr="001D1565">
        <w:rPr>
          <w:i/>
          <w:sz w:val="22"/>
          <w:szCs w:val="22"/>
          <w:lang w:val="es-US" w:eastAsia="en-US"/>
        </w:rPr>
        <w:t>H. pylori.</w:t>
      </w:r>
    </w:p>
    <w:p w14:paraId="377C7C33" w14:textId="77777777" w:rsidR="001D1565" w:rsidRPr="001D1565" w:rsidRDefault="001D1565" w:rsidP="001D1565">
      <w:pPr>
        <w:suppressAutoHyphens/>
        <w:spacing w:line="360" w:lineRule="auto"/>
        <w:jc w:val="center"/>
        <w:rPr>
          <w:sz w:val="22"/>
          <w:szCs w:val="22"/>
          <w:lang w:val="es-US" w:eastAsia="en-US"/>
        </w:rPr>
      </w:pPr>
    </w:p>
    <w:p w14:paraId="3DB58F16" w14:textId="545DC007" w:rsidR="001D1565" w:rsidRPr="001D1565" w:rsidRDefault="001D1565" w:rsidP="001D1565">
      <w:pPr>
        <w:suppressAutoHyphens/>
        <w:spacing w:line="360" w:lineRule="auto"/>
        <w:jc w:val="both"/>
        <w:rPr>
          <w:lang w:val="es-US" w:eastAsia="en-US"/>
        </w:rPr>
      </w:pPr>
      <w:r w:rsidRPr="001D1565">
        <w:rPr>
          <w:lang w:val="es-US" w:eastAsia="en-US"/>
        </w:rPr>
        <w:t xml:space="preserve">En el caso de la metaplasia intestinal, el reflujo </w:t>
      </w:r>
      <w:proofErr w:type="spellStart"/>
      <w:r w:rsidRPr="001D1565">
        <w:rPr>
          <w:lang w:val="es-US" w:eastAsia="en-US"/>
        </w:rPr>
        <w:t>duodenogástrico</w:t>
      </w:r>
      <w:proofErr w:type="spellEnd"/>
      <w:r w:rsidRPr="001D1565">
        <w:rPr>
          <w:lang w:val="es-US" w:eastAsia="en-US"/>
        </w:rPr>
        <w:t xml:space="preserve"> estuvo presente en 2 (16,7 %) individuos y la infección por </w:t>
      </w:r>
      <w:r w:rsidRPr="001D1565">
        <w:rPr>
          <w:i/>
          <w:lang w:val="es-US" w:eastAsia="en-US"/>
        </w:rPr>
        <w:t>H. pylori</w:t>
      </w:r>
      <w:r w:rsidRPr="001D1565">
        <w:rPr>
          <w:lang w:val="es-US" w:eastAsia="en-US"/>
        </w:rPr>
        <w:t xml:space="preserve"> en 40 (22,3 %) enfermos. De los pacientes con displasia, 6 (50 %) tenían reflujo </w:t>
      </w:r>
      <w:proofErr w:type="spellStart"/>
      <w:r w:rsidRPr="001D1565">
        <w:rPr>
          <w:lang w:val="es-US" w:eastAsia="en-US"/>
        </w:rPr>
        <w:t>duodenogástrico</w:t>
      </w:r>
      <w:proofErr w:type="spellEnd"/>
      <w:r w:rsidRPr="001D1565">
        <w:rPr>
          <w:lang w:val="es-US" w:eastAsia="en-US"/>
        </w:rPr>
        <w:t xml:space="preserve"> y 83 (46,4 %) </w:t>
      </w:r>
      <w:r w:rsidRPr="001D1565">
        <w:rPr>
          <w:i/>
          <w:iCs/>
          <w:lang w:val="es-US" w:eastAsia="en-US"/>
        </w:rPr>
        <w:t xml:space="preserve">H. </w:t>
      </w:r>
      <w:r w:rsidR="000850CC">
        <w:rPr>
          <w:i/>
          <w:iCs/>
          <w:lang w:val="es-US" w:eastAsia="en-US"/>
        </w:rPr>
        <w:t>p</w:t>
      </w:r>
      <w:r w:rsidRPr="001D1565">
        <w:rPr>
          <w:i/>
          <w:iCs/>
          <w:lang w:val="es-US" w:eastAsia="en-US"/>
        </w:rPr>
        <w:t>ylori</w:t>
      </w:r>
      <w:r w:rsidRPr="001D1565">
        <w:rPr>
          <w:lang w:val="es-US" w:eastAsia="en-US"/>
        </w:rPr>
        <w:t>.</w:t>
      </w:r>
    </w:p>
    <w:p w14:paraId="793F21AB" w14:textId="77777777" w:rsidR="001D1565" w:rsidRPr="001D1565" w:rsidRDefault="001D1565" w:rsidP="001D1565">
      <w:pPr>
        <w:suppressAutoHyphens/>
        <w:spacing w:line="360" w:lineRule="auto"/>
        <w:jc w:val="both"/>
        <w:rPr>
          <w:lang w:val="es-US" w:eastAsia="en-US"/>
        </w:rPr>
      </w:pPr>
    </w:p>
    <w:p w14:paraId="05FBA5CB" w14:textId="77777777" w:rsidR="001D1565" w:rsidRPr="001D1565" w:rsidRDefault="001D1565" w:rsidP="001D1565">
      <w:pPr>
        <w:suppressAutoHyphens/>
        <w:spacing w:line="360" w:lineRule="auto"/>
        <w:jc w:val="both"/>
        <w:rPr>
          <w:lang w:val="es-US" w:eastAsia="en-US"/>
        </w:rPr>
      </w:pPr>
    </w:p>
    <w:p w14:paraId="22141C36" w14:textId="77777777" w:rsidR="001D1565" w:rsidRPr="001D1565" w:rsidRDefault="001D1565" w:rsidP="001D1565">
      <w:pPr>
        <w:suppressAutoHyphens/>
        <w:spacing w:line="360" w:lineRule="auto"/>
        <w:jc w:val="center"/>
        <w:rPr>
          <w:b/>
          <w:sz w:val="32"/>
          <w:szCs w:val="32"/>
          <w:lang w:val="es-US" w:eastAsia="en-US"/>
        </w:rPr>
      </w:pPr>
      <w:bookmarkStart w:id="3" w:name="_Toc90808745"/>
      <w:r w:rsidRPr="001D1565">
        <w:rPr>
          <w:b/>
          <w:sz w:val="32"/>
          <w:szCs w:val="32"/>
          <w:lang w:val="es-US" w:eastAsia="en-US"/>
        </w:rPr>
        <w:t>DISCUSIÓN</w:t>
      </w:r>
      <w:bookmarkEnd w:id="3"/>
    </w:p>
    <w:p w14:paraId="788B17AF" w14:textId="77777777" w:rsidR="001D1565" w:rsidRPr="001D1565" w:rsidRDefault="001D1565" w:rsidP="001D1565">
      <w:pPr>
        <w:shd w:val="clear" w:color="auto" w:fill="FFFFFF"/>
        <w:suppressAutoHyphens/>
        <w:spacing w:line="360" w:lineRule="auto"/>
        <w:jc w:val="both"/>
        <w:rPr>
          <w:vertAlign w:val="superscript"/>
          <w:lang w:val="es-US" w:eastAsia="zh-CN"/>
        </w:rPr>
      </w:pPr>
      <w:r w:rsidRPr="001D1565">
        <w:rPr>
          <w:color w:val="000000"/>
          <w:lang w:val="es-US" w:eastAsia="en-US"/>
        </w:rPr>
        <w:t xml:space="preserve">La mayor parte de los pacientes se encontraban en estadio II. No obstante, se identificaron pacientes en estadio III, los cuales tienen mayor riesgo para desarrollar CG y pueden beneficiarse de estudios de seguimiento. Estos resultados concuerdan con una publicación de </w:t>
      </w:r>
      <w:proofErr w:type="gramStart"/>
      <w:r w:rsidRPr="001D1565">
        <w:rPr>
          <w:color w:val="000000"/>
          <w:lang w:val="es-US" w:eastAsia="en-US"/>
        </w:rPr>
        <w:t>México</w:t>
      </w:r>
      <w:r w:rsidRPr="001D1565">
        <w:rPr>
          <w:color w:val="000000"/>
          <w:vertAlign w:val="superscript"/>
          <w:lang w:val="es-US" w:eastAsia="en-US"/>
        </w:rPr>
        <w:t>(</w:t>
      </w:r>
      <w:proofErr w:type="gramEnd"/>
      <w:r w:rsidRPr="001D1565">
        <w:rPr>
          <w:color w:val="000000"/>
          <w:vertAlign w:val="superscript"/>
          <w:lang w:val="es-US" w:eastAsia="en-US"/>
        </w:rPr>
        <w:t>11)</w:t>
      </w:r>
      <w:r w:rsidRPr="001D1565">
        <w:rPr>
          <w:color w:val="000000"/>
          <w:lang w:val="es-US" w:eastAsia="en-US"/>
        </w:rPr>
        <w:t xml:space="preserve"> del año 2011, a</w:t>
      </w:r>
      <w:r w:rsidRPr="001D1565">
        <w:rPr>
          <w:lang w:val="es-US" w:eastAsia="zh-CN"/>
        </w:rPr>
        <w:t>sí como con una investigación de Colombia,</w:t>
      </w:r>
      <w:r w:rsidRPr="001D1565">
        <w:rPr>
          <w:vertAlign w:val="superscript"/>
          <w:lang w:val="es-US" w:eastAsia="zh-CN"/>
        </w:rPr>
        <w:t>(4)</w:t>
      </w:r>
      <w:r w:rsidRPr="001D1565">
        <w:rPr>
          <w:lang w:val="es-US" w:eastAsia="zh-CN"/>
        </w:rPr>
        <w:t xml:space="preserve"> que también encontró baja prevalencia de estadios avanzados de atrofia gástrica, a pesar de ser Colombia  un  país  clasificado como de alta incidencia de CG.</w:t>
      </w:r>
    </w:p>
    <w:p w14:paraId="0B188D23" w14:textId="27985EA0" w:rsidR="001D1565" w:rsidRPr="001D1565" w:rsidRDefault="001D1565" w:rsidP="001D1565">
      <w:pPr>
        <w:shd w:val="clear" w:color="auto" w:fill="FFFFFF"/>
        <w:suppressAutoHyphens/>
        <w:spacing w:line="360" w:lineRule="auto"/>
        <w:jc w:val="both"/>
        <w:rPr>
          <w:vertAlign w:val="superscript"/>
          <w:lang w:val="es-US" w:eastAsia="zh-CN"/>
        </w:rPr>
      </w:pPr>
      <w:r w:rsidRPr="001D1565">
        <w:rPr>
          <w:lang w:val="es-US" w:eastAsia="zh-CN"/>
        </w:rPr>
        <w:t>El sistema OLGA, además de permitir la selección de pacientes con mayor riesgo de desarrollo de CG, con base en la extensión de los cambios de atrofia gástrica y metaplasia intestinal (estados III y IV)</w:t>
      </w:r>
      <w:r w:rsidR="00457C0D">
        <w:rPr>
          <w:lang w:val="es-US" w:eastAsia="zh-CN"/>
        </w:rPr>
        <w:t>,</w:t>
      </w:r>
      <w:r w:rsidRPr="001D1565">
        <w:rPr>
          <w:lang w:val="es-US" w:eastAsia="zh-CN"/>
        </w:rPr>
        <w:t xml:space="preserve"> </w:t>
      </w:r>
      <w:r w:rsidR="00457C0D">
        <w:rPr>
          <w:lang w:val="es-US" w:eastAsia="zh-CN"/>
        </w:rPr>
        <w:t>i</w:t>
      </w:r>
      <w:r w:rsidRPr="001D1565">
        <w:rPr>
          <w:lang w:val="es-US" w:eastAsia="zh-CN"/>
        </w:rPr>
        <w:t xml:space="preserve">dentifica estos cambios en individuos jóvenes en fases tempranas, en quienes el proceso puede </w:t>
      </w:r>
      <w:r w:rsidRPr="001D1565">
        <w:rPr>
          <w:lang w:val="es-US" w:eastAsia="zh-CN"/>
        </w:rPr>
        <w:lastRenderedPageBreak/>
        <w:t>evolucionar en décadas ulteriores a estad</w:t>
      </w:r>
      <w:r w:rsidR="00457C0D">
        <w:rPr>
          <w:lang w:val="es-US" w:eastAsia="zh-CN"/>
        </w:rPr>
        <w:t>i</w:t>
      </w:r>
      <w:r w:rsidRPr="001D1565">
        <w:rPr>
          <w:lang w:val="es-US" w:eastAsia="zh-CN"/>
        </w:rPr>
        <w:t xml:space="preserve">os avanzados, si no hay una intervención que permita detener su </w:t>
      </w:r>
      <w:proofErr w:type="gramStart"/>
      <w:r w:rsidRPr="001D1565">
        <w:rPr>
          <w:lang w:val="es-US" w:eastAsia="zh-CN"/>
        </w:rPr>
        <w:t>progresión.</w:t>
      </w:r>
      <w:r w:rsidRPr="001D1565">
        <w:rPr>
          <w:vertAlign w:val="superscript"/>
          <w:lang w:val="es-US" w:eastAsia="zh-CN"/>
        </w:rPr>
        <w:t>(</w:t>
      </w:r>
      <w:proofErr w:type="gramEnd"/>
      <w:r w:rsidRPr="001D1565">
        <w:rPr>
          <w:vertAlign w:val="superscript"/>
          <w:lang w:val="es-US" w:eastAsia="zh-CN"/>
        </w:rPr>
        <w:t>4)</w:t>
      </w:r>
    </w:p>
    <w:p w14:paraId="47EB353B" w14:textId="77777777" w:rsidR="001D1565" w:rsidRPr="001D1565" w:rsidRDefault="001D1565" w:rsidP="001D1565">
      <w:pPr>
        <w:shd w:val="clear" w:color="auto" w:fill="FFFFFF"/>
        <w:suppressAutoHyphens/>
        <w:spacing w:line="360" w:lineRule="auto"/>
        <w:jc w:val="both"/>
        <w:rPr>
          <w:vertAlign w:val="superscript"/>
          <w:lang w:val="es-US" w:eastAsia="zh-CN"/>
        </w:rPr>
      </w:pPr>
      <w:r w:rsidRPr="001D1565">
        <w:rPr>
          <w:lang w:val="es-US" w:eastAsia="zh-CN"/>
        </w:rPr>
        <w:t xml:space="preserve">El CG es más frecuente en hombres que en </w:t>
      </w:r>
      <w:proofErr w:type="gramStart"/>
      <w:r w:rsidRPr="001D1565">
        <w:rPr>
          <w:lang w:val="es-US" w:eastAsia="zh-CN"/>
        </w:rPr>
        <w:t>mujeres</w:t>
      </w:r>
      <w:r w:rsidRPr="001D1565">
        <w:rPr>
          <w:vertAlign w:val="superscript"/>
          <w:lang w:val="es-US" w:eastAsia="zh-CN"/>
        </w:rPr>
        <w:t>(</w:t>
      </w:r>
      <w:proofErr w:type="gramEnd"/>
      <w:r w:rsidRPr="001D1565">
        <w:rPr>
          <w:vertAlign w:val="superscript"/>
          <w:lang w:val="es-US" w:eastAsia="zh-CN"/>
        </w:rPr>
        <w:t>12)</w:t>
      </w:r>
      <w:r w:rsidRPr="001D1565">
        <w:rPr>
          <w:lang w:val="es-US" w:eastAsia="zh-CN"/>
        </w:rPr>
        <w:t xml:space="preserve"> y aunque el estadio II de OLGA (que no es un estadio avanzado de atrofia gástrica) fue el más frecuente en ambos sexos, existió ligero predominio de las féminas en los individuos en estadio III, lo que pudiera estar en relación con el mayor número de mujeres incluidas en la investigación. En un estudio que relacionó lesiones precursoras de malignidad gástrica con hábitos alimentarios también predominó el sexo </w:t>
      </w:r>
      <w:proofErr w:type="gramStart"/>
      <w:r w:rsidRPr="001D1565">
        <w:rPr>
          <w:lang w:val="es-US" w:eastAsia="zh-CN"/>
        </w:rPr>
        <w:t>femenino.</w:t>
      </w:r>
      <w:r w:rsidRPr="001D1565">
        <w:rPr>
          <w:vertAlign w:val="superscript"/>
          <w:lang w:val="es-US" w:eastAsia="zh-CN"/>
        </w:rPr>
        <w:t>(</w:t>
      </w:r>
      <w:proofErr w:type="gramEnd"/>
      <w:r w:rsidRPr="001D1565">
        <w:rPr>
          <w:vertAlign w:val="superscript"/>
          <w:lang w:val="es-US" w:eastAsia="zh-CN"/>
        </w:rPr>
        <w:t>13)</w:t>
      </w:r>
    </w:p>
    <w:p w14:paraId="2565F725" w14:textId="77777777" w:rsidR="001D1565" w:rsidRPr="001D1565" w:rsidRDefault="001D1565" w:rsidP="001D1565">
      <w:pPr>
        <w:shd w:val="clear" w:color="auto" w:fill="FFFFFF"/>
        <w:suppressAutoHyphens/>
        <w:spacing w:line="360" w:lineRule="auto"/>
        <w:jc w:val="both"/>
        <w:rPr>
          <w:lang w:val="es-US" w:eastAsia="zh-CN"/>
        </w:rPr>
      </w:pPr>
      <w:r w:rsidRPr="001D1565">
        <w:rPr>
          <w:lang w:val="es-US" w:eastAsia="zh-CN"/>
        </w:rPr>
        <w:t xml:space="preserve">Hubo pacientes menores de 50 años en estadio III de atrofia. Estos sujetos tienen un riesgo incrementado de desarrollar CG en el futuro, aun cuando no se encuentren en la sexta década de la vida, edad en la cual es más frecuente el surgimiento del CG. No se trata de realizar diagnósticos tardíos de CG, sino de prevenirlo y diagnosticarlo precozmente. La prevalencia de la gastritis crónica atrófica y la metaplasia intestinal se incrementa con la edad y la progresión de las lesiones histopatológicas está en relación con el largo tiempo de infección con </w:t>
      </w:r>
      <w:r w:rsidRPr="001D1565">
        <w:rPr>
          <w:i/>
          <w:lang w:val="es-US" w:eastAsia="zh-CN"/>
        </w:rPr>
        <w:t>H. pylori</w:t>
      </w:r>
      <w:r w:rsidRPr="001D1565">
        <w:rPr>
          <w:lang w:val="es-US" w:eastAsia="zh-CN"/>
        </w:rPr>
        <w:t xml:space="preserve">. En un estudio de </w:t>
      </w:r>
      <w:proofErr w:type="gramStart"/>
      <w:r w:rsidRPr="001D1565">
        <w:rPr>
          <w:lang w:val="es-US" w:eastAsia="zh-CN"/>
        </w:rPr>
        <w:t>Perú</w:t>
      </w:r>
      <w:r w:rsidRPr="001D1565">
        <w:rPr>
          <w:vertAlign w:val="superscript"/>
          <w:lang w:val="es-US" w:eastAsia="zh-CN"/>
        </w:rPr>
        <w:t>(</w:t>
      </w:r>
      <w:proofErr w:type="gramEnd"/>
      <w:r w:rsidRPr="001D1565">
        <w:rPr>
          <w:vertAlign w:val="superscript"/>
          <w:lang w:val="es-US" w:eastAsia="zh-CN"/>
        </w:rPr>
        <w:t>14)</w:t>
      </w:r>
      <w:r w:rsidRPr="001D1565">
        <w:rPr>
          <w:lang w:val="es-US" w:eastAsia="zh-CN"/>
        </w:rPr>
        <w:t xml:space="preserve"> se observa un cambio hacia una etapa del OLGA más alta en los sujetos con edades más avanzadas. </w:t>
      </w:r>
    </w:p>
    <w:p w14:paraId="53C710B2" w14:textId="1091D4C5" w:rsidR="001D1565" w:rsidRPr="001D1565" w:rsidRDefault="001D1565" w:rsidP="001D1565">
      <w:pPr>
        <w:tabs>
          <w:tab w:val="left" w:pos="9360"/>
        </w:tabs>
        <w:suppressAutoHyphens/>
        <w:spacing w:line="360" w:lineRule="auto"/>
        <w:ind w:right="-84"/>
        <w:jc w:val="both"/>
        <w:rPr>
          <w:rFonts w:eastAsia="Calibri"/>
          <w:lang w:val="es-US" w:eastAsia="en-US"/>
        </w:rPr>
      </w:pPr>
      <w:r w:rsidRPr="001D1565">
        <w:rPr>
          <w:rFonts w:eastAsia="Calibri"/>
          <w:lang w:val="es-US" w:eastAsia="en-US"/>
        </w:rPr>
        <w:t xml:space="preserve">El principal hallazgo endoscópico fue la gastritis eritematosa. La mayor parte de los estudios asocian la gastritis nodular a la infección por </w:t>
      </w:r>
      <w:r w:rsidRPr="001D1565">
        <w:rPr>
          <w:rFonts w:eastAsia="Calibri"/>
          <w:i/>
          <w:lang w:val="es-US" w:eastAsia="en-US"/>
        </w:rPr>
        <w:t>H. pylori.</w:t>
      </w:r>
      <w:r w:rsidRPr="001D1565">
        <w:rPr>
          <w:lang w:val="en-US" w:eastAsia="en-US"/>
        </w:rPr>
        <w:fldChar w:fldCharType="begin"/>
      </w:r>
      <w:r w:rsidRPr="001D1565">
        <w:rPr>
          <w:rFonts w:eastAsia="Calibri"/>
          <w:i/>
          <w:lang w:val="es-US" w:eastAsia="en-US"/>
        </w:rPr>
        <w:instrText>ADDIN EN.CITE &lt;EndNote&gt;&lt;Cite&gt;&lt;Author&gt;González-Carbajal Pascual&lt;/Author&gt;&lt;Year&gt;1998&lt;/Year&gt;&lt;RecNum&gt;188&lt;/RecNum&gt;&lt;DisplayText&gt;(73)&lt;/DisplayText&gt;&lt;record&gt;&lt;rec-number&gt;188&lt;/rec-number&gt;&lt;foreign-keys&gt;&lt;key app="EN" db-id="ved9ta5wysawfvedzpap5fey0dddtsaferx0"&gt;188&lt;/key&gt;&lt;/foreign-keys&gt;&lt;ref-type name="Electronic Article"&gt;43&lt;/ref-type&gt;&lt;contributors&gt;&lt;authors&gt;&lt;author&gt;González-Carbajal Pascual, Miguel&lt;/author&gt;&lt;author&gt;Hernández Garcés, Héctor&lt;/author&gt;&lt;/authors&gt;&lt;/contributors&gt;&lt;titles&gt;&lt;title&gt;Helicobacter pylori: Su importancia como problema de salud en la comunidad&lt;/title&gt;&lt;secondary-title&gt;Revista Cubana de Medicina General Integral&lt;/secondary-title&gt;&lt;/titles&gt;&lt;periodical&gt;&lt;full-title&gt;Revista Cubana de Medicina General Integral&lt;/full-title&gt;&lt;abbr-1&gt;Rev Cub Med Gen Integr&lt;/abbr-1&gt;&lt;abbr-2&gt;Rev Cub Med Gen Integr&lt;/abbr-2&gt;&lt;abbr-3&gt;Rev Cub Med Gen Integr&lt;/abbr-3&gt;&lt;/periodical&gt;&lt;pages&gt;611-618&lt;/pages&gt;&lt;volume&gt;14&lt;/volume&gt;&lt;number&gt;6&lt;/number&gt;&lt;dates&gt;&lt;year&gt;1998&lt;/year&gt;&lt;pub-dates&gt;&lt;date&gt;[Consultado 1 nov 2019]&lt;/date&gt;&lt;/pub-dates&gt;&lt;/dates&gt;&lt;isbn&gt;0864-2125&lt;/isbn&gt;&lt;urls&gt;&lt;related-urls&gt;&lt;url&gt;http://scielo.sld.cu/scielo.php?script=sci_arttext&amp;amp;pid=S0864-21251998000600018&amp;amp;nrm=iso&lt;/url&gt;&lt;/related-urls&gt;&lt;/urls&gt;&lt;/record&gt;&lt;/Cite&gt;&lt;/EndNote&gt;</w:instrText>
      </w:r>
      <w:r w:rsidRPr="001D1565">
        <w:rPr>
          <w:rFonts w:eastAsia="Calibri"/>
          <w:i/>
          <w:lang w:val="es-US" w:eastAsia="en-US"/>
        </w:rPr>
        <w:fldChar w:fldCharType="separate"/>
      </w:r>
      <w:r w:rsidRPr="001D1565">
        <w:rPr>
          <w:rFonts w:eastAsia="Calibri"/>
          <w:vertAlign w:val="superscript"/>
          <w:lang w:val="es-US" w:eastAsia="en-US"/>
        </w:rPr>
        <w:t>(15)</w:t>
      </w:r>
      <w:r w:rsidRPr="001D1565">
        <w:rPr>
          <w:rFonts w:eastAsia="Calibri"/>
          <w:i/>
          <w:lang w:val="es-US" w:eastAsia="en-US"/>
        </w:rPr>
        <w:fldChar w:fldCharType="end"/>
      </w:r>
      <w:r w:rsidRPr="001D1565">
        <w:rPr>
          <w:rFonts w:eastAsia="Calibri"/>
          <w:lang w:val="es-US" w:eastAsia="en-US"/>
        </w:rPr>
        <w:t xml:space="preserve"> Resulta más preocupante el hecho de que más de la mitad de los pacientes con gastritis eritematosa presentaban atrofia gástrica, lo cual guarda relación con el proceso de carcinogénesis gástrica. </w:t>
      </w:r>
    </w:p>
    <w:p w14:paraId="16D856BB" w14:textId="77777777" w:rsidR="001D1565" w:rsidRPr="001D1565" w:rsidRDefault="001D1565" w:rsidP="001D1565">
      <w:pPr>
        <w:tabs>
          <w:tab w:val="left" w:pos="9360"/>
        </w:tabs>
        <w:suppressAutoHyphens/>
        <w:spacing w:line="360" w:lineRule="auto"/>
        <w:ind w:right="-84"/>
        <w:jc w:val="both"/>
        <w:rPr>
          <w:rFonts w:eastAsia="Calibri"/>
          <w:vertAlign w:val="superscript"/>
          <w:lang w:val="es-US" w:eastAsia="en-US"/>
        </w:rPr>
      </w:pPr>
      <w:r w:rsidRPr="001D1565">
        <w:rPr>
          <w:rFonts w:eastAsia="Calibri"/>
          <w:color w:val="1E1E1E"/>
          <w:lang w:val="es-US" w:eastAsia="en-US"/>
        </w:rPr>
        <w:t xml:space="preserve">Estudios epidemiológicos cifran en el 95 % de los casos, la asociación entre úlcera duodenal e infección por </w:t>
      </w:r>
      <w:r w:rsidRPr="001D1565">
        <w:rPr>
          <w:rFonts w:eastAsia="Calibri"/>
          <w:i/>
          <w:color w:val="1E1E1E"/>
          <w:lang w:val="es-US" w:eastAsia="en-US"/>
        </w:rPr>
        <w:t>H. pylori</w:t>
      </w:r>
      <w:r w:rsidRPr="001D1565">
        <w:rPr>
          <w:rFonts w:eastAsia="Calibri"/>
          <w:color w:val="1E1E1E"/>
          <w:lang w:val="es-US" w:eastAsia="en-US"/>
        </w:rPr>
        <w:t>. En la localización gástrica tales cifras sobrepasan el 70 </w:t>
      </w:r>
      <w:proofErr w:type="gramStart"/>
      <w:r w:rsidRPr="001D1565">
        <w:rPr>
          <w:rFonts w:eastAsia="Calibri"/>
          <w:color w:val="1E1E1E"/>
          <w:lang w:val="es-US" w:eastAsia="en-US"/>
        </w:rPr>
        <w:t>%.</w:t>
      </w:r>
      <w:r w:rsidRPr="001D1565">
        <w:rPr>
          <w:rFonts w:eastAsia="Calibri"/>
          <w:color w:val="1E1E1E"/>
          <w:vertAlign w:val="superscript"/>
          <w:lang w:val="es-US" w:eastAsia="en-US"/>
        </w:rPr>
        <w:t>(</w:t>
      </w:r>
      <w:proofErr w:type="gramEnd"/>
      <w:r w:rsidRPr="001D1565">
        <w:rPr>
          <w:rFonts w:eastAsia="Calibri"/>
          <w:color w:val="1E1E1E"/>
          <w:vertAlign w:val="superscript"/>
          <w:lang w:val="es-US" w:eastAsia="en-US"/>
        </w:rPr>
        <w:t>16)</w:t>
      </w:r>
      <w:r w:rsidRPr="001D1565">
        <w:rPr>
          <w:rFonts w:eastAsia="Calibri"/>
          <w:color w:val="1E1E1E"/>
          <w:lang w:val="es-US" w:eastAsia="en-US"/>
        </w:rPr>
        <w:t xml:space="preserve"> </w:t>
      </w:r>
      <w:r w:rsidRPr="001D1565">
        <w:rPr>
          <w:rFonts w:eastAsia="Calibri"/>
          <w:lang w:val="es-US" w:eastAsia="en-US"/>
        </w:rPr>
        <w:t>E</w:t>
      </w:r>
      <w:r w:rsidRPr="001D1565">
        <w:rPr>
          <w:rFonts w:eastAsia="Calibri"/>
          <w:color w:val="1E1E1E"/>
          <w:lang w:val="es-US" w:eastAsia="en-US"/>
        </w:rPr>
        <w:t xml:space="preserve">n esta investigación la úlcera gástrica fue el diagnóstico endoscópico menos frecuente y el por ciento de atrofia fue bajo. </w:t>
      </w:r>
    </w:p>
    <w:p w14:paraId="04840427" w14:textId="77777777" w:rsidR="001D1565" w:rsidRPr="001D1565" w:rsidRDefault="001D1565" w:rsidP="001D1565">
      <w:pPr>
        <w:tabs>
          <w:tab w:val="left" w:pos="9360"/>
        </w:tabs>
        <w:suppressAutoHyphens/>
        <w:spacing w:line="360" w:lineRule="auto"/>
        <w:ind w:right="-84"/>
        <w:jc w:val="both"/>
        <w:rPr>
          <w:rFonts w:eastAsia="Calibri"/>
          <w:lang w:val="es-US" w:eastAsia="en-US"/>
        </w:rPr>
      </w:pPr>
      <w:r w:rsidRPr="001D1565">
        <w:rPr>
          <w:rFonts w:eastAsia="Calibri"/>
          <w:lang w:val="es-US" w:eastAsia="en-US"/>
        </w:rPr>
        <w:t xml:space="preserve">En la práctica médica no se presta mucha atención a los pacientes con gastritis eritematosa, pero estos resultados avalan la necesidad de un seguimiento más estrecho de los infectados con </w:t>
      </w:r>
      <w:r w:rsidRPr="001D1565">
        <w:rPr>
          <w:rFonts w:eastAsia="Calibri"/>
          <w:i/>
          <w:lang w:val="es-US" w:eastAsia="en-US"/>
        </w:rPr>
        <w:t>H. pylori</w:t>
      </w:r>
      <w:r w:rsidRPr="001D1565">
        <w:rPr>
          <w:rFonts w:eastAsia="Calibri"/>
          <w:lang w:val="es-US" w:eastAsia="en-US"/>
        </w:rPr>
        <w:t xml:space="preserve"> que presentan este diagnóstico endoscópico, así como realizar las biopsias gástricas en cada una de las localizaciones recomendadas en el sistema OLGA, para asegurar un mejor diagnóstico, seguimiento y pronóstico para el paciente. </w:t>
      </w:r>
    </w:p>
    <w:p w14:paraId="579FF2D4" w14:textId="77777777" w:rsidR="001D1565" w:rsidRPr="001D1565" w:rsidRDefault="001D1565" w:rsidP="001D1565">
      <w:pPr>
        <w:shd w:val="clear" w:color="auto" w:fill="FFFFFF"/>
        <w:suppressAutoHyphens/>
        <w:spacing w:line="360" w:lineRule="auto"/>
        <w:jc w:val="both"/>
        <w:rPr>
          <w:lang w:val="es-US" w:eastAsia="en-US"/>
        </w:rPr>
      </w:pPr>
      <w:r w:rsidRPr="001D1565">
        <w:rPr>
          <w:rFonts w:eastAsia="Calibri"/>
          <w:color w:val="221E1F"/>
          <w:lang w:val="es-US" w:eastAsia="en-US"/>
        </w:rPr>
        <w:t xml:space="preserve">La prevalencia de la gastritis crónica atrófica y la metaplasia intestinal se incrementa con la edad y la progresión del daño histopatológico está en relación con el largo tiempo de infección con </w:t>
      </w:r>
      <w:r w:rsidRPr="001D1565">
        <w:rPr>
          <w:rFonts w:eastAsia="Calibri"/>
          <w:i/>
          <w:color w:val="221E1F"/>
          <w:lang w:val="es-US" w:eastAsia="en-US"/>
        </w:rPr>
        <w:t>H. pylori</w:t>
      </w:r>
      <w:r w:rsidRPr="001D1565">
        <w:rPr>
          <w:rFonts w:eastAsia="Calibri"/>
          <w:color w:val="221E1F"/>
          <w:lang w:val="es-US" w:eastAsia="en-US"/>
        </w:rPr>
        <w:t xml:space="preserve">. </w:t>
      </w:r>
      <w:r w:rsidRPr="001D1565">
        <w:rPr>
          <w:rFonts w:eastAsia="Calibri"/>
          <w:lang w:val="es-US" w:eastAsia="en-US"/>
        </w:rPr>
        <w:t xml:space="preserve">La </w:t>
      </w:r>
      <w:r w:rsidRPr="001D1565">
        <w:rPr>
          <w:rFonts w:eastAsia="Calibri"/>
          <w:lang w:val="es-US" w:eastAsia="en-US"/>
        </w:rPr>
        <w:lastRenderedPageBreak/>
        <w:t xml:space="preserve">edad </w:t>
      </w:r>
      <w:proofErr w:type="gramStart"/>
      <w:r w:rsidRPr="001D1565">
        <w:rPr>
          <w:rFonts w:eastAsia="Calibri"/>
          <w:lang w:val="es-US" w:eastAsia="en-US"/>
        </w:rPr>
        <w:t>avanzada,</w:t>
      </w:r>
      <w:r w:rsidRPr="001D1565">
        <w:rPr>
          <w:rFonts w:eastAsia="Calibri"/>
          <w:vertAlign w:val="superscript"/>
          <w:lang w:val="es-US" w:eastAsia="en-US"/>
        </w:rPr>
        <w:t>(</w:t>
      </w:r>
      <w:proofErr w:type="gramEnd"/>
      <w:r w:rsidRPr="001D1565">
        <w:rPr>
          <w:rFonts w:eastAsia="Calibri"/>
          <w:vertAlign w:val="superscript"/>
          <w:lang w:val="es-US" w:eastAsia="en-US"/>
        </w:rPr>
        <w:t>9,17,18)</w:t>
      </w:r>
      <w:r w:rsidRPr="001D1565">
        <w:rPr>
          <w:rFonts w:eastAsia="Calibri"/>
          <w:lang w:val="es-US" w:eastAsia="en-US"/>
        </w:rPr>
        <w:t xml:space="preserve"> dietas ricas en sal, la historia familiar de CG y la infección por </w:t>
      </w:r>
      <w:r w:rsidRPr="001D1565">
        <w:rPr>
          <w:rFonts w:eastAsia="Calibri"/>
          <w:i/>
          <w:lang w:val="es-US" w:eastAsia="en-US"/>
        </w:rPr>
        <w:t>H. pylori</w:t>
      </w:r>
      <w:r w:rsidRPr="001D1565">
        <w:rPr>
          <w:rFonts w:eastAsia="Calibri"/>
          <w:lang w:val="es-US" w:eastAsia="en-US"/>
        </w:rPr>
        <w:t xml:space="preserve"> están asociados a estadios avanzados de OLGA (estadios III-IV) y a la aparición de CG.</w:t>
      </w:r>
      <w:r w:rsidRPr="001D1565">
        <w:rPr>
          <w:rFonts w:eastAsia="Calibri"/>
          <w:vertAlign w:val="superscript"/>
          <w:lang w:val="es-US" w:eastAsia="en-US"/>
        </w:rPr>
        <w:t>(9)</w:t>
      </w:r>
      <w:r w:rsidRPr="001D1565">
        <w:rPr>
          <w:rFonts w:eastAsia="Calibri"/>
          <w:lang w:val="es-US" w:eastAsia="en-US"/>
        </w:rPr>
        <w:t xml:space="preserve"> </w:t>
      </w:r>
      <w:r w:rsidRPr="001D1565">
        <w:rPr>
          <w:lang w:val="es-US" w:eastAsia="en-US"/>
        </w:rPr>
        <w:t>El sistema OLGA tiene la ventaja de clasificar en grupos de riesgo para CG, según el estadio de atrofia encontrado.</w:t>
      </w:r>
    </w:p>
    <w:p w14:paraId="2E33A4BB" w14:textId="77777777" w:rsidR="001D1565" w:rsidRPr="001D1565" w:rsidRDefault="001D1565" w:rsidP="001D1565">
      <w:pPr>
        <w:shd w:val="clear" w:color="auto" w:fill="FFFFFF"/>
        <w:suppressAutoHyphens/>
        <w:spacing w:line="360" w:lineRule="auto"/>
        <w:jc w:val="both"/>
        <w:rPr>
          <w:rFonts w:eastAsia="Calibri"/>
          <w:lang w:val="es-US" w:eastAsia="en-US"/>
        </w:rPr>
      </w:pPr>
      <w:r w:rsidRPr="001D1565">
        <w:rPr>
          <w:rFonts w:eastAsia="Calibri"/>
          <w:lang w:val="es-US" w:eastAsia="en-US"/>
        </w:rPr>
        <w:t xml:space="preserve">En relación con el reflujo </w:t>
      </w:r>
      <w:proofErr w:type="spellStart"/>
      <w:r w:rsidRPr="001D1565">
        <w:rPr>
          <w:rFonts w:eastAsia="Calibri"/>
          <w:lang w:val="es-US" w:eastAsia="en-US"/>
        </w:rPr>
        <w:t>duodenogástrico</w:t>
      </w:r>
      <w:proofErr w:type="spellEnd"/>
      <w:r w:rsidRPr="001D1565">
        <w:rPr>
          <w:rFonts w:eastAsia="Calibri"/>
          <w:lang w:val="es-US" w:eastAsia="en-US"/>
        </w:rPr>
        <w:t xml:space="preserve">, </w:t>
      </w:r>
      <w:r w:rsidRPr="001D1565">
        <w:rPr>
          <w:rFonts w:eastAsia="Calibri"/>
          <w:i/>
          <w:lang w:val="es-US" w:eastAsia="en-US"/>
        </w:rPr>
        <w:t>Piñol Jiménez</w:t>
      </w:r>
      <w:r w:rsidRPr="001D1565">
        <w:rPr>
          <w:rFonts w:eastAsia="Calibri"/>
          <w:iCs/>
          <w:lang w:val="es-US" w:eastAsia="en-US"/>
        </w:rPr>
        <w:t xml:space="preserve"> y </w:t>
      </w:r>
      <w:proofErr w:type="gramStart"/>
      <w:r w:rsidRPr="001D1565">
        <w:rPr>
          <w:rFonts w:eastAsia="Calibri"/>
          <w:iCs/>
          <w:lang w:val="es-US" w:eastAsia="en-US"/>
        </w:rPr>
        <w:t>otros</w:t>
      </w:r>
      <w:r w:rsidRPr="001D1565">
        <w:rPr>
          <w:rFonts w:eastAsia="Calibri"/>
          <w:lang w:val="es-US" w:eastAsia="en-US"/>
        </w:rPr>
        <w:t>,</w:t>
      </w:r>
      <w:r w:rsidRPr="001D1565">
        <w:rPr>
          <w:rFonts w:eastAsia="Calibri"/>
          <w:vertAlign w:val="superscript"/>
          <w:lang w:val="es-US" w:eastAsia="en-US"/>
        </w:rPr>
        <w:t>(</w:t>
      </w:r>
      <w:proofErr w:type="gramEnd"/>
      <w:r w:rsidRPr="001D1565">
        <w:rPr>
          <w:rFonts w:eastAsia="Calibri"/>
          <w:vertAlign w:val="superscript"/>
          <w:lang w:val="es-US" w:eastAsia="en-US"/>
        </w:rPr>
        <w:t>19)</w:t>
      </w:r>
      <w:r w:rsidRPr="001D1565">
        <w:rPr>
          <w:rFonts w:eastAsia="Calibri"/>
          <w:lang w:val="es-US" w:eastAsia="en-US"/>
        </w:rPr>
        <w:t xml:space="preserve"> en una investigación reporta resultados similares. Tanto el reflujo </w:t>
      </w:r>
      <w:proofErr w:type="spellStart"/>
      <w:r w:rsidRPr="001D1565">
        <w:rPr>
          <w:rFonts w:eastAsia="Calibri"/>
          <w:lang w:val="es-US" w:eastAsia="en-US"/>
        </w:rPr>
        <w:t>duodenogástrico</w:t>
      </w:r>
      <w:proofErr w:type="spellEnd"/>
      <w:r w:rsidRPr="001D1565">
        <w:rPr>
          <w:rFonts w:eastAsia="Calibri"/>
          <w:lang w:val="es-US" w:eastAsia="en-US"/>
        </w:rPr>
        <w:t xml:space="preserve">, como la infección por </w:t>
      </w:r>
      <w:r w:rsidRPr="001D1565">
        <w:rPr>
          <w:rFonts w:eastAsia="Calibri"/>
          <w:i/>
          <w:lang w:val="es-US" w:eastAsia="en-US"/>
        </w:rPr>
        <w:t>H. pylori</w:t>
      </w:r>
      <w:r w:rsidRPr="001D1565">
        <w:rPr>
          <w:rFonts w:eastAsia="Calibri"/>
          <w:lang w:val="es-US" w:eastAsia="en-US"/>
        </w:rPr>
        <w:t xml:space="preserve"> desencadenan una respuesta inflamatoria, que de acuerdo con la intensidad de la gastritis puede ser desde leve hasta la atrófica. </w:t>
      </w:r>
    </w:p>
    <w:p w14:paraId="0E435B20" w14:textId="77777777" w:rsidR="001D1565" w:rsidRPr="001D1565" w:rsidRDefault="001D1565" w:rsidP="001D1565">
      <w:pPr>
        <w:suppressAutoHyphens/>
        <w:spacing w:line="360" w:lineRule="auto"/>
        <w:jc w:val="both"/>
        <w:rPr>
          <w:rFonts w:eastAsia="Calibri"/>
          <w:lang w:val="es-US" w:eastAsia="en-US"/>
        </w:rPr>
      </w:pPr>
      <w:r w:rsidRPr="001D1565">
        <w:rPr>
          <w:rFonts w:eastAsia="Calibri"/>
          <w:lang w:val="es-US" w:eastAsia="en-US"/>
        </w:rPr>
        <w:t xml:space="preserve">El reflujo </w:t>
      </w:r>
      <w:proofErr w:type="spellStart"/>
      <w:r w:rsidRPr="001D1565">
        <w:rPr>
          <w:rFonts w:eastAsia="Calibri"/>
          <w:lang w:val="es-US" w:eastAsia="en-US"/>
        </w:rPr>
        <w:t>duodenogástrico</w:t>
      </w:r>
      <w:proofErr w:type="spellEnd"/>
      <w:r w:rsidRPr="001D1565">
        <w:rPr>
          <w:rFonts w:eastAsia="Calibri"/>
          <w:lang w:val="es-US" w:eastAsia="en-US"/>
        </w:rPr>
        <w:t xml:space="preserve"> es uno de los factores oncogénicos que se debe tener en cuenta en pacientes con alto riesgo de </w:t>
      </w:r>
      <w:proofErr w:type="gramStart"/>
      <w:r w:rsidRPr="001D1565">
        <w:rPr>
          <w:rFonts w:eastAsia="Calibri"/>
          <w:lang w:val="es-US" w:eastAsia="en-US"/>
        </w:rPr>
        <w:t>CG.</w:t>
      </w:r>
      <w:r w:rsidRPr="001D1565">
        <w:rPr>
          <w:rFonts w:eastAsia="Calibri"/>
          <w:vertAlign w:val="superscript"/>
          <w:lang w:val="es-US" w:eastAsia="en-US"/>
        </w:rPr>
        <w:t>(</w:t>
      </w:r>
      <w:proofErr w:type="gramEnd"/>
      <w:r w:rsidRPr="001D1565">
        <w:rPr>
          <w:rFonts w:eastAsia="Calibri"/>
          <w:vertAlign w:val="superscript"/>
          <w:lang w:val="es-US" w:eastAsia="en-US"/>
        </w:rPr>
        <w:t>15)</w:t>
      </w:r>
      <w:r w:rsidRPr="001D1565">
        <w:rPr>
          <w:rFonts w:eastAsia="Calibri"/>
          <w:lang w:val="es-US" w:eastAsia="en-US"/>
        </w:rPr>
        <w:t xml:space="preserve"> A su vez, con el estudio de la infección por </w:t>
      </w:r>
      <w:r w:rsidRPr="001D1565">
        <w:rPr>
          <w:rFonts w:eastAsia="Calibri"/>
          <w:i/>
          <w:lang w:val="es-US" w:eastAsia="en-US"/>
        </w:rPr>
        <w:t>H. pylori</w:t>
      </w:r>
      <w:r w:rsidRPr="001D1565">
        <w:rPr>
          <w:rFonts w:eastAsia="Calibri"/>
          <w:lang w:val="es-US" w:eastAsia="en-US"/>
        </w:rPr>
        <w:t>, se conoce que esta bacteria desencadena una respuesta inflamatoria que conduce al daño celular y fallas en la reparación de las células, lo cual se traduce en metaplasia, displasia y el desarrollo de CG.</w:t>
      </w:r>
      <w:r w:rsidRPr="001D1565">
        <w:rPr>
          <w:rFonts w:eastAsia="Calibri"/>
          <w:vertAlign w:val="superscript"/>
          <w:lang w:val="es-US" w:eastAsia="en-US"/>
        </w:rPr>
        <w:t>(15)</w:t>
      </w:r>
      <w:r w:rsidRPr="001D1565">
        <w:rPr>
          <w:rFonts w:eastAsia="Calibri"/>
          <w:lang w:val="es-US" w:eastAsia="en-US"/>
        </w:rPr>
        <w:t xml:space="preserve"> </w:t>
      </w:r>
    </w:p>
    <w:p w14:paraId="490B8F26" w14:textId="229F501F" w:rsidR="001D1565" w:rsidRPr="001D1565" w:rsidRDefault="001D1565" w:rsidP="001D1565">
      <w:pPr>
        <w:suppressAutoHyphens/>
        <w:spacing w:line="360" w:lineRule="auto"/>
        <w:jc w:val="both"/>
        <w:rPr>
          <w:vertAlign w:val="superscript"/>
          <w:lang w:val="es-US" w:eastAsia="en-US"/>
        </w:rPr>
      </w:pPr>
      <w:r w:rsidRPr="001D1565">
        <w:rPr>
          <w:lang w:val="es-US" w:eastAsia="en-US"/>
        </w:rPr>
        <w:t>Las lesiones preneoplásicas preceden al cáncer invasor. El tránsito va desde la gastritis, proceso en el cual surge la atrofia gástrica y la metaplasia intestinal, le sigue la displasia y en último lugar aparece el CG. En los pacientes con gastritis crónica, diagnosticar la atrofia es el eslabón primario que permite intervenir y modificar la secuencia gastritis-</w:t>
      </w:r>
      <w:proofErr w:type="gramStart"/>
      <w:r w:rsidRPr="001D1565">
        <w:rPr>
          <w:lang w:val="es-US" w:eastAsia="en-US"/>
        </w:rPr>
        <w:t>carcinoma.</w:t>
      </w:r>
      <w:r w:rsidRPr="001D1565">
        <w:rPr>
          <w:vertAlign w:val="superscript"/>
          <w:lang w:val="es-US" w:eastAsia="en-US"/>
        </w:rPr>
        <w:t>(</w:t>
      </w:r>
      <w:proofErr w:type="gramEnd"/>
      <w:r w:rsidRPr="001D1565">
        <w:rPr>
          <w:vertAlign w:val="superscript"/>
          <w:lang w:val="es-US" w:eastAsia="en-US"/>
        </w:rPr>
        <w:t>20)</w:t>
      </w:r>
    </w:p>
    <w:p w14:paraId="5B7F8B4E" w14:textId="77777777" w:rsidR="001D1565" w:rsidRPr="001D1565" w:rsidRDefault="001D1565" w:rsidP="001D1565">
      <w:pPr>
        <w:suppressAutoHyphens/>
        <w:spacing w:line="360" w:lineRule="auto"/>
        <w:jc w:val="both"/>
        <w:rPr>
          <w:lang w:eastAsia="en-US"/>
        </w:rPr>
      </w:pPr>
      <w:r w:rsidRPr="001D1565">
        <w:rPr>
          <w:lang w:eastAsia="en-US"/>
        </w:rPr>
        <w:t>Esta investigación tiene como limitaciones,</w:t>
      </w:r>
      <w:r w:rsidRPr="001D1565">
        <w:rPr>
          <w:b/>
          <w:lang w:eastAsia="en-US"/>
        </w:rPr>
        <w:t xml:space="preserve"> </w:t>
      </w:r>
      <w:r w:rsidRPr="001D1565">
        <w:rPr>
          <w:lang w:eastAsia="en-US"/>
        </w:rPr>
        <w:t>la situación epidemiológica generada por la COVID-19, que conllevó a la aplicación de medidas de protección para la realización de los estudios endoscópicos y disminuyó el número de casos estudiados. Además, se trata de una investigación descriptiva, transversal, que no permite conocer información sobre la evolución de los pacientes.</w:t>
      </w:r>
      <w:bookmarkStart w:id="4" w:name="_Toc90808748"/>
      <w:bookmarkStart w:id="5" w:name="_Toc89195594"/>
      <w:bookmarkEnd w:id="4"/>
      <w:bookmarkEnd w:id="5"/>
    </w:p>
    <w:p w14:paraId="47101BC2" w14:textId="77777777" w:rsidR="001D1565" w:rsidRPr="001D1565" w:rsidRDefault="001D1565" w:rsidP="001D1565">
      <w:pPr>
        <w:suppressAutoHyphens/>
        <w:spacing w:line="360" w:lineRule="auto"/>
        <w:jc w:val="both"/>
        <w:rPr>
          <w:lang w:val="es-US" w:eastAsia="en-US"/>
        </w:rPr>
      </w:pPr>
      <w:r w:rsidRPr="001D1565">
        <w:rPr>
          <w:bCs/>
          <w:lang w:val="es-US" w:eastAsia="en-US"/>
        </w:rPr>
        <w:t>En este estudio, l</w:t>
      </w:r>
      <w:r w:rsidRPr="001D1565">
        <w:rPr>
          <w:lang w:val="es-US" w:eastAsia="en-US"/>
        </w:rPr>
        <w:t>a prevalencia de etapas avanzadas de atrofia gástrica es baja, la metaplasia intestinal y la displasia de bajo grado son más frecuentes en el estadio II de OLGA. No se detectan pacientes con displasia de alto grado.</w:t>
      </w:r>
    </w:p>
    <w:p w14:paraId="5005B4F2" w14:textId="77777777" w:rsidR="001D1565" w:rsidRPr="001D1565" w:rsidRDefault="001D1565" w:rsidP="001D1565">
      <w:pPr>
        <w:suppressAutoHyphens/>
        <w:spacing w:line="360" w:lineRule="auto"/>
        <w:jc w:val="both"/>
        <w:rPr>
          <w:lang w:val="es-US" w:eastAsia="en-US"/>
        </w:rPr>
      </w:pPr>
    </w:p>
    <w:p w14:paraId="05FB8F18" w14:textId="77777777" w:rsidR="001D1565" w:rsidRPr="001D1565" w:rsidRDefault="001D1565" w:rsidP="001D1565">
      <w:pPr>
        <w:suppressAutoHyphens/>
        <w:spacing w:line="360" w:lineRule="auto"/>
        <w:jc w:val="both"/>
        <w:rPr>
          <w:lang w:val="es-US" w:eastAsia="en-US"/>
        </w:rPr>
      </w:pPr>
    </w:p>
    <w:p w14:paraId="1EAD43C4" w14:textId="77777777" w:rsidR="001D1565" w:rsidRPr="001D1565" w:rsidRDefault="001D1565" w:rsidP="001D1565">
      <w:pPr>
        <w:suppressAutoHyphens/>
        <w:spacing w:line="360" w:lineRule="auto"/>
        <w:jc w:val="center"/>
        <w:rPr>
          <w:b/>
          <w:sz w:val="32"/>
          <w:szCs w:val="32"/>
          <w:lang w:val="es-US" w:eastAsia="en-US"/>
        </w:rPr>
      </w:pPr>
      <w:r w:rsidRPr="001D1565">
        <w:rPr>
          <w:b/>
          <w:sz w:val="32"/>
          <w:szCs w:val="32"/>
          <w:lang w:val="es-US" w:eastAsia="en-US"/>
        </w:rPr>
        <w:t>REFERENCIAS BIBLIOGRÁFICAS</w:t>
      </w:r>
    </w:p>
    <w:p w14:paraId="780D8AF2"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 Domínguez González </w:t>
      </w:r>
      <w:proofErr w:type="spellStart"/>
      <w:r w:rsidRPr="001D1565">
        <w:rPr>
          <w:color w:val="000000"/>
          <w:lang w:val="es-ES" w:eastAsia="en-US"/>
        </w:rPr>
        <w:t>EJ</w:t>
      </w:r>
      <w:proofErr w:type="spellEnd"/>
      <w:r w:rsidRPr="001D1565">
        <w:rPr>
          <w:color w:val="000000"/>
          <w:lang w:val="es-ES" w:eastAsia="en-US"/>
        </w:rPr>
        <w:t xml:space="preserve">, Piña Prieto L, Manzano Horta E. Factores pronósticos de </w:t>
      </w:r>
      <w:proofErr w:type="spellStart"/>
      <w:r w:rsidRPr="001D1565">
        <w:rPr>
          <w:color w:val="000000"/>
          <w:lang w:val="es-ES" w:eastAsia="en-US"/>
        </w:rPr>
        <w:t>irresecabilidad</w:t>
      </w:r>
      <w:proofErr w:type="spellEnd"/>
      <w:r w:rsidRPr="001D1565">
        <w:rPr>
          <w:color w:val="000000"/>
          <w:lang w:val="es-ES" w:eastAsia="en-US"/>
        </w:rPr>
        <w:t xml:space="preserve"> en el adenocarcinoma gástrico. ARS </w:t>
      </w:r>
      <w:proofErr w:type="spellStart"/>
      <w:r w:rsidRPr="001D1565">
        <w:rPr>
          <w:color w:val="000000"/>
          <w:lang w:val="es-ES" w:eastAsia="en-US"/>
        </w:rPr>
        <w:t>Med</w:t>
      </w:r>
      <w:proofErr w:type="spellEnd"/>
      <w:r w:rsidRPr="001D1565">
        <w:rPr>
          <w:color w:val="000000"/>
          <w:lang w:val="es-ES" w:eastAsia="en-US"/>
        </w:rPr>
        <w:t xml:space="preserve">. 2016 [acceso: 21/06/2018]; 41(2):5-12. Disponible en: </w:t>
      </w:r>
      <w:hyperlink r:id="rId19" w:history="1">
        <w:r w:rsidRPr="001D1565">
          <w:rPr>
            <w:color w:val="0000FF"/>
            <w:u w:val="single"/>
            <w:lang w:val="es-ES" w:eastAsia="en-US"/>
          </w:rPr>
          <w:t>https://arsmedica.cl/index.php/MED/article/view/72</w:t>
        </w:r>
      </w:hyperlink>
      <w:r w:rsidRPr="001D1565">
        <w:rPr>
          <w:color w:val="000000"/>
          <w:lang w:val="es-ES" w:eastAsia="en-US"/>
        </w:rPr>
        <w:t xml:space="preserve"> </w:t>
      </w:r>
    </w:p>
    <w:p w14:paraId="3A985076"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lastRenderedPageBreak/>
        <w:t xml:space="preserve">2. Méndez Leyva L, </w:t>
      </w:r>
      <w:proofErr w:type="spellStart"/>
      <w:r w:rsidRPr="001D1565">
        <w:rPr>
          <w:color w:val="000000"/>
          <w:lang w:val="es-ES" w:eastAsia="en-US"/>
        </w:rPr>
        <w:t>Begué</w:t>
      </w:r>
      <w:proofErr w:type="spellEnd"/>
      <w:r w:rsidRPr="001D1565">
        <w:rPr>
          <w:color w:val="000000"/>
          <w:lang w:val="es-ES" w:eastAsia="en-US"/>
        </w:rPr>
        <w:t xml:space="preserve"> Dalmau N, Tamayo </w:t>
      </w:r>
      <w:proofErr w:type="spellStart"/>
      <w:r w:rsidRPr="001D1565">
        <w:rPr>
          <w:color w:val="000000"/>
          <w:lang w:val="es-ES" w:eastAsia="en-US"/>
        </w:rPr>
        <w:t>Heal</w:t>
      </w:r>
      <w:proofErr w:type="spellEnd"/>
      <w:r w:rsidRPr="001D1565">
        <w:rPr>
          <w:color w:val="000000"/>
          <w:lang w:val="es-ES" w:eastAsia="en-US"/>
        </w:rPr>
        <w:t xml:space="preserve"> S, Alonso Vázquez A, Frías Chang </w:t>
      </w:r>
      <w:proofErr w:type="spellStart"/>
      <w:r w:rsidRPr="001D1565">
        <w:rPr>
          <w:color w:val="000000"/>
          <w:lang w:val="es-ES" w:eastAsia="en-US"/>
        </w:rPr>
        <w:t>NV</w:t>
      </w:r>
      <w:proofErr w:type="spellEnd"/>
      <w:r w:rsidRPr="001D1565">
        <w:rPr>
          <w:color w:val="000000"/>
          <w:lang w:val="es-ES" w:eastAsia="en-US"/>
        </w:rPr>
        <w:t xml:space="preserve">. Infección por </w:t>
      </w:r>
      <w:proofErr w:type="spellStart"/>
      <w:r w:rsidRPr="001D1565">
        <w:rPr>
          <w:color w:val="000000"/>
          <w:lang w:val="es-ES" w:eastAsia="en-US"/>
        </w:rPr>
        <w:t>Helicobacter</w:t>
      </w:r>
      <w:proofErr w:type="spellEnd"/>
      <w:r w:rsidRPr="001D1565">
        <w:rPr>
          <w:color w:val="000000"/>
          <w:lang w:val="es-ES" w:eastAsia="en-US"/>
        </w:rPr>
        <w:t xml:space="preserve"> pylori en el municipio de Palma Soriano durante el período 2008-2014. </w:t>
      </w:r>
      <w:proofErr w:type="spellStart"/>
      <w:r w:rsidRPr="001D1565">
        <w:rPr>
          <w:color w:val="000000"/>
          <w:lang w:val="es-ES" w:eastAsia="en-US"/>
        </w:rPr>
        <w:t>MEDISAN</w:t>
      </w:r>
      <w:proofErr w:type="spellEnd"/>
      <w:r w:rsidRPr="001D1565">
        <w:rPr>
          <w:color w:val="000000"/>
          <w:lang w:val="es-ES" w:eastAsia="en-US"/>
        </w:rPr>
        <w:t xml:space="preserve">. 2016 [acceso: 21/06/2018]; 20(11):2339-44. Disponible en: </w:t>
      </w:r>
      <w:hyperlink r:id="rId20" w:history="1">
        <w:r w:rsidRPr="001D1565">
          <w:rPr>
            <w:color w:val="0000FF"/>
            <w:u w:val="single"/>
            <w:lang w:val="es-ES" w:eastAsia="en-US"/>
          </w:rPr>
          <w:t>http://scielo.sld.cu/scielo.php?script=sci_arttext&amp;pid=S1029-30192016001100002&amp;nrm=iso</w:t>
        </w:r>
      </w:hyperlink>
      <w:r w:rsidRPr="001D1565">
        <w:rPr>
          <w:color w:val="000000"/>
          <w:lang w:val="es-ES" w:eastAsia="en-US"/>
        </w:rPr>
        <w:t xml:space="preserve"> </w:t>
      </w:r>
    </w:p>
    <w:p w14:paraId="0053A419"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3. Dirección de registros médicos y estadísticos de salud. Anuario estadístico de Salud, 2020. La Habana, 2021 [acceso: 24/07/2022]. Disponible en: </w:t>
      </w:r>
      <w:hyperlink r:id="rId21" w:history="1">
        <w:r w:rsidRPr="001D1565">
          <w:rPr>
            <w:color w:val="0000FF"/>
            <w:u w:val="single"/>
            <w:lang w:val="es-ES" w:eastAsia="en-US"/>
          </w:rPr>
          <w:t>https://salud.msp.gob.cu/wp-content/Anuario/Anuario-2020.pdf</w:t>
        </w:r>
      </w:hyperlink>
      <w:r w:rsidRPr="001D1565">
        <w:rPr>
          <w:color w:val="000000"/>
          <w:lang w:val="es-ES" w:eastAsia="en-US"/>
        </w:rPr>
        <w:t xml:space="preserve"> </w:t>
      </w:r>
    </w:p>
    <w:p w14:paraId="23CB15C5"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4. Martínez D, Otero W, Ricaurte O. Impacto del sistema OLGA en la detección de gastritis crónica atrófica en Colombia: un estudio de casos y controles. </w:t>
      </w:r>
      <w:proofErr w:type="spellStart"/>
      <w:r w:rsidRPr="001D1565">
        <w:rPr>
          <w:color w:val="000000"/>
          <w:lang w:val="es-ES" w:eastAsia="en-US"/>
        </w:rPr>
        <w:t>Rev</w:t>
      </w:r>
      <w:proofErr w:type="spellEnd"/>
      <w:r w:rsidRPr="001D1565">
        <w:rPr>
          <w:color w:val="000000"/>
          <w:lang w:val="es-ES" w:eastAsia="en-US"/>
        </w:rPr>
        <w:t xml:space="preserve"> Col </w:t>
      </w:r>
      <w:proofErr w:type="spellStart"/>
      <w:r w:rsidRPr="001D1565">
        <w:rPr>
          <w:color w:val="000000"/>
          <w:lang w:val="es-ES" w:eastAsia="en-US"/>
        </w:rPr>
        <w:t>Gastroenterol</w:t>
      </w:r>
      <w:proofErr w:type="spellEnd"/>
      <w:r w:rsidRPr="001D1565">
        <w:rPr>
          <w:color w:val="000000"/>
          <w:lang w:val="es-ES" w:eastAsia="en-US"/>
        </w:rPr>
        <w:t xml:space="preserve">. 2016 [acceso: 31/10/2019]; 31(4):360-7. Disponible en: </w:t>
      </w:r>
      <w:hyperlink r:id="rId22" w:history="1">
        <w:r w:rsidRPr="001D1565">
          <w:rPr>
            <w:color w:val="0000FF"/>
            <w:u w:val="single"/>
            <w:lang w:val="es-ES" w:eastAsia="en-US"/>
          </w:rPr>
          <w:t>https://www.redalyc.org/articulo.oa?id=337749741006</w:t>
        </w:r>
      </w:hyperlink>
      <w:r w:rsidRPr="001D1565">
        <w:rPr>
          <w:color w:val="000000"/>
          <w:lang w:val="es-ES" w:eastAsia="en-US"/>
        </w:rPr>
        <w:t xml:space="preserve"> </w:t>
      </w:r>
    </w:p>
    <w:p w14:paraId="410EF35F"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5. Oliveros R, Pinilla Morales RE, Facundo Navia H, Sánchez Pedraza R. Cáncer gástrico: una enfermedad prevenible. Estrategias para intervención en la historia natural. Rev. </w:t>
      </w:r>
      <w:proofErr w:type="spellStart"/>
      <w:r w:rsidRPr="001D1565">
        <w:rPr>
          <w:color w:val="000000"/>
          <w:lang w:val="es-ES" w:eastAsia="en-US"/>
        </w:rPr>
        <w:t>Colomb</w:t>
      </w:r>
      <w:proofErr w:type="spellEnd"/>
      <w:r w:rsidRPr="001D1565">
        <w:rPr>
          <w:color w:val="000000"/>
          <w:lang w:val="es-ES" w:eastAsia="en-US"/>
        </w:rPr>
        <w:t xml:space="preserve">. </w:t>
      </w:r>
      <w:proofErr w:type="spellStart"/>
      <w:r w:rsidRPr="001D1565">
        <w:rPr>
          <w:color w:val="000000"/>
          <w:lang w:val="es-ES" w:eastAsia="en-US"/>
        </w:rPr>
        <w:t>Gastroenterol</w:t>
      </w:r>
      <w:proofErr w:type="spellEnd"/>
      <w:r w:rsidRPr="001D1565">
        <w:rPr>
          <w:color w:val="000000"/>
          <w:lang w:val="es-ES" w:eastAsia="en-US"/>
        </w:rPr>
        <w:t xml:space="preserve">. 2019 [acceso: 24/07/2022]; 34(2):177-89. Disponible en: </w:t>
      </w:r>
      <w:hyperlink r:id="rId23" w:history="1">
        <w:r w:rsidRPr="001D1565">
          <w:rPr>
            <w:color w:val="0000FF"/>
            <w:u w:val="single"/>
            <w:lang w:val="es-ES" w:eastAsia="en-US"/>
          </w:rPr>
          <w:t>https://revistagastrocol.com/index.php/rcg/article/view/394</w:t>
        </w:r>
      </w:hyperlink>
      <w:r w:rsidRPr="001D1565">
        <w:rPr>
          <w:color w:val="000000"/>
          <w:lang w:val="es-ES" w:eastAsia="en-US"/>
        </w:rPr>
        <w:t xml:space="preserve"> </w:t>
      </w:r>
    </w:p>
    <w:p w14:paraId="759B4C57"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6. Rodríguez-Ramos J, </w:t>
      </w:r>
      <w:proofErr w:type="spellStart"/>
      <w:r w:rsidRPr="001D1565">
        <w:rPr>
          <w:color w:val="000000"/>
          <w:lang w:val="es-ES" w:eastAsia="en-US"/>
        </w:rPr>
        <w:t>Boffill</w:t>
      </w:r>
      <w:proofErr w:type="spellEnd"/>
      <w:r w:rsidRPr="001D1565">
        <w:rPr>
          <w:color w:val="000000"/>
          <w:lang w:val="es-ES" w:eastAsia="en-US"/>
        </w:rPr>
        <w:t xml:space="preserve">-Corrales A, Rodríguez-Soria L, Losada-Guerra J, </w:t>
      </w:r>
      <w:proofErr w:type="spellStart"/>
      <w:r w:rsidRPr="001D1565">
        <w:rPr>
          <w:color w:val="000000"/>
          <w:lang w:val="es-ES" w:eastAsia="en-US"/>
        </w:rPr>
        <w:t>Socías</w:t>
      </w:r>
      <w:proofErr w:type="spellEnd"/>
      <w:r w:rsidRPr="001D1565">
        <w:rPr>
          <w:color w:val="000000"/>
          <w:lang w:val="es-ES" w:eastAsia="en-US"/>
        </w:rPr>
        <w:t xml:space="preserve">-Barrientos. Z. Factores de riesgo asociados a la gastritis aguda o crónica en adultos de un hospital ecuatoriano. </w:t>
      </w:r>
      <w:proofErr w:type="spellStart"/>
      <w:r w:rsidRPr="001D1565">
        <w:rPr>
          <w:color w:val="000000"/>
          <w:lang w:val="es-ES" w:eastAsia="en-US"/>
        </w:rPr>
        <w:t>MEDISAN</w:t>
      </w:r>
      <w:proofErr w:type="spellEnd"/>
      <w:r w:rsidRPr="001D1565">
        <w:rPr>
          <w:color w:val="000000"/>
          <w:lang w:val="es-ES" w:eastAsia="en-US"/>
        </w:rPr>
        <w:t xml:space="preserve">. 2019 [acceso: 24/07/2022]; 23 (3): [aprox. 10 p.]. Disponible en: </w:t>
      </w:r>
      <w:hyperlink r:id="rId24" w:history="1">
        <w:r w:rsidRPr="001D1565">
          <w:rPr>
            <w:color w:val="0000FF"/>
            <w:u w:val="single"/>
            <w:lang w:val="es-ES" w:eastAsia="en-US"/>
          </w:rPr>
          <w:t>http://www.medisan.sld.cu/index.php/san/article/view/2457</w:t>
        </w:r>
      </w:hyperlink>
      <w:r w:rsidRPr="001D1565">
        <w:rPr>
          <w:color w:val="000000"/>
          <w:lang w:val="es-ES" w:eastAsia="en-US"/>
        </w:rPr>
        <w:t xml:space="preserve"> </w:t>
      </w:r>
    </w:p>
    <w:p w14:paraId="61CC94B9"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7. Martínez-Leyva L, Montero-González T, Piñol-Jiménez F, Palomino-Besada A, González-Carbajal-Pascual M, Días-Morejón D. </w:t>
      </w:r>
      <w:proofErr w:type="spellStart"/>
      <w:r w:rsidRPr="001D1565">
        <w:rPr>
          <w:color w:val="000000"/>
          <w:lang w:val="es-ES" w:eastAsia="en-US"/>
        </w:rPr>
        <w:t>Helicobacter</w:t>
      </w:r>
      <w:proofErr w:type="spellEnd"/>
      <w:r w:rsidRPr="001D1565">
        <w:rPr>
          <w:color w:val="000000"/>
          <w:lang w:val="es-ES" w:eastAsia="en-US"/>
        </w:rPr>
        <w:t xml:space="preserve"> pylori y cáncer gástrico. Revista Cubana de Medicina Militar. 2020 [acceso: 24/07/2022]; 49(4): </w:t>
      </w:r>
      <w:proofErr w:type="spellStart"/>
      <w:r w:rsidRPr="001D1565">
        <w:rPr>
          <w:color w:val="000000"/>
          <w:lang w:val="es-ES" w:eastAsia="en-US"/>
        </w:rPr>
        <w:t>e729</w:t>
      </w:r>
      <w:proofErr w:type="spellEnd"/>
      <w:r w:rsidRPr="001D1565">
        <w:rPr>
          <w:color w:val="000000"/>
          <w:lang w:val="es-ES" w:eastAsia="en-US"/>
        </w:rPr>
        <w:t xml:space="preserve">          Disponible en: </w:t>
      </w:r>
      <w:hyperlink r:id="rId25" w:history="1">
        <w:r w:rsidRPr="001D1565">
          <w:rPr>
            <w:color w:val="0000FF"/>
            <w:u w:val="single"/>
            <w:lang w:val="es-ES" w:eastAsia="en-US"/>
          </w:rPr>
          <w:t>http://www.revmedmilitar.sld.cu/index.php/mil/article/view/616</w:t>
        </w:r>
      </w:hyperlink>
      <w:r w:rsidRPr="001D1565">
        <w:rPr>
          <w:color w:val="000000"/>
          <w:lang w:val="es-ES" w:eastAsia="en-US"/>
        </w:rPr>
        <w:t xml:space="preserve"> </w:t>
      </w:r>
    </w:p>
    <w:p w14:paraId="00726570" w14:textId="77777777" w:rsidR="001D1565" w:rsidRPr="001D1565" w:rsidRDefault="001D1565" w:rsidP="001D1565">
      <w:pPr>
        <w:suppressAutoHyphens/>
        <w:spacing w:line="360" w:lineRule="auto"/>
        <w:rPr>
          <w:color w:val="000000"/>
          <w:lang w:val="en-US" w:eastAsia="en-US"/>
        </w:rPr>
      </w:pPr>
      <w:r w:rsidRPr="001D1565">
        <w:rPr>
          <w:color w:val="000000"/>
          <w:lang w:val="es-ES" w:eastAsia="en-US"/>
        </w:rPr>
        <w:t>8. Jing-</w:t>
      </w:r>
      <w:proofErr w:type="gramStart"/>
      <w:r w:rsidRPr="001D1565">
        <w:rPr>
          <w:color w:val="000000"/>
          <w:lang w:val="es-ES" w:eastAsia="en-US"/>
        </w:rPr>
        <w:t>Yuan</w:t>
      </w:r>
      <w:proofErr w:type="gramEnd"/>
      <w:r w:rsidRPr="001D1565">
        <w:rPr>
          <w:color w:val="000000"/>
          <w:lang w:val="es-ES" w:eastAsia="en-US"/>
        </w:rPr>
        <w:t xml:space="preserve"> F, Yi </w:t>
      </w:r>
      <w:proofErr w:type="spellStart"/>
      <w:r w:rsidRPr="001D1565">
        <w:rPr>
          <w:color w:val="000000"/>
          <w:lang w:val="es-ES" w:eastAsia="en-US"/>
        </w:rPr>
        <w:t>Qi</w:t>
      </w:r>
      <w:proofErr w:type="spellEnd"/>
      <w:r w:rsidRPr="001D1565">
        <w:rPr>
          <w:color w:val="000000"/>
          <w:lang w:val="es-ES" w:eastAsia="en-US"/>
        </w:rPr>
        <w:t xml:space="preserve"> D, </w:t>
      </w:r>
      <w:proofErr w:type="spellStart"/>
      <w:r w:rsidRPr="001D1565">
        <w:rPr>
          <w:color w:val="000000"/>
          <w:lang w:val="es-ES" w:eastAsia="en-US"/>
        </w:rPr>
        <w:t>Wen</w:t>
      </w:r>
      <w:proofErr w:type="spellEnd"/>
      <w:r w:rsidRPr="001D1565">
        <w:rPr>
          <w:color w:val="000000"/>
          <w:lang w:val="es-ES" w:eastAsia="en-US"/>
        </w:rPr>
        <w:t xml:space="preserve"> </w:t>
      </w:r>
      <w:proofErr w:type="spellStart"/>
      <w:r w:rsidRPr="001D1565">
        <w:rPr>
          <w:color w:val="000000"/>
          <w:lang w:val="es-ES" w:eastAsia="en-US"/>
        </w:rPr>
        <w:t>Zhong</w:t>
      </w:r>
      <w:proofErr w:type="spellEnd"/>
      <w:r w:rsidRPr="001D1565">
        <w:rPr>
          <w:color w:val="000000"/>
          <w:lang w:val="es-ES" w:eastAsia="en-US"/>
        </w:rPr>
        <w:t xml:space="preserve"> L, </w:t>
      </w:r>
      <w:proofErr w:type="spellStart"/>
      <w:r w:rsidRPr="001D1565">
        <w:rPr>
          <w:color w:val="000000"/>
          <w:lang w:val="es-ES" w:eastAsia="en-US"/>
        </w:rPr>
        <w:t>Jian</w:t>
      </w:r>
      <w:proofErr w:type="spellEnd"/>
      <w:r w:rsidRPr="001D1565">
        <w:rPr>
          <w:color w:val="000000"/>
          <w:lang w:val="es-ES" w:eastAsia="en-US"/>
        </w:rPr>
        <w:t xml:space="preserve"> Lin R, Yan Qing L, Xiao </w:t>
      </w:r>
      <w:proofErr w:type="spellStart"/>
      <w:r w:rsidRPr="001D1565">
        <w:rPr>
          <w:color w:val="000000"/>
          <w:lang w:val="es-ES" w:eastAsia="en-US"/>
        </w:rPr>
        <w:t>Yu</w:t>
      </w:r>
      <w:proofErr w:type="spellEnd"/>
      <w:r w:rsidRPr="001D1565">
        <w:rPr>
          <w:color w:val="000000"/>
          <w:lang w:val="es-ES" w:eastAsia="en-US"/>
        </w:rPr>
        <w:t xml:space="preserve"> Ch, et al. </w:t>
      </w:r>
      <w:r w:rsidRPr="001D1565">
        <w:rPr>
          <w:color w:val="000000"/>
          <w:lang w:val="en-US" w:eastAsia="en-US"/>
        </w:rPr>
        <w:t>Chinese consensus on chronic gastritis (2017, Shanghai). J Digest Dis. 2018; 19(4):182-203. DOI: 10.1111/1751-2980.12593</w:t>
      </w:r>
    </w:p>
    <w:p w14:paraId="3FAA2033" w14:textId="77777777" w:rsidR="001D1565" w:rsidRPr="001D1565" w:rsidRDefault="001D1565" w:rsidP="001D1565">
      <w:pPr>
        <w:suppressAutoHyphens/>
        <w:spacing w:line="360" w:lineRule="auto"/>
        <w:rPr>
          <w:color w:val="000000"/>
          <w:lang w:val="es-ES" w:eastAsia="en-US"/>
        </w:rPr>
      </w:pPr>
      <w:r w:rsidRPr="001D1565">
        <w:rPr>
          <w:color w:val="000000"/>
          <w:lang w:val="en-US" w:eastAsia="en-US"/>
        </w:rPr>
        <w:t xml:space="preserve">9. Yun CY, Kim N, Lee J, Lee JY, Hwang </w:t>
      </w:r>
      <w:proofErr w:type="spellStart"/>
      <w:r w:rsidRPr="001D1565">
        <w:rPr>
          <w:color w:val="000000"/>
          <w:lang w:val="en-US" w:eastAsia="en-US"/>
        </w:rPr>
        <w:t>YJ</w:t>
      </w:r>
      <w:proofErr w:type="spellEnd"/>
      <w:r w:rsidRPr="001D1565">
        <w:rPr>
          <w:color w:val="000000"/>
          <w:lang w:val="en-US" w:eastAsia="en-US"/>
        </w:rPr>
        <w:t xml:space="preserve">, Lee HS, et al. Usefulness of OLGA and </w:t>
      </w:r>
      <w:proofErr w:type="spellStart"/>
      <w:r w:rsidRPr="001D1565">
        <w:rPr>
          <w:color w:val="000000"/>
          <w:lang w:val="en-US" w:eastAsia="en-US"/>
        </w:rPr>
        <w:t>OLGIM</w:t>
      </w:r>
      <w:proofErr w:type="spellEnd"/>
      <w:r w:rsidRPr="001D1565">
        <w:rPr>
          <w:color w:val="000000"/>
          <w:lang w:val="en-US" w:eastAsia="en-US"/>
        </w:rPr>
        <w:t xml:space="preserve"> system not only for intestinal type but also for diffuse type of gastric cancer, and no interaction among the gastric cancer risk factors. </w:t>
      </w:r>
      <w:proofErr w:type="spellStart"/>
      <w:r w:rsidRPr="001D1565">
        <w:rPr>
          <w:color w:val="000000"/>
          <w:lang w:val="es-ES" w:eastAsia="en-US"/>
        </w:rPr>
        <w:t>Helicobacter</w:t>
      </w:r>
      <w:proofErr w:type="spellEnd"/>
      <w:r w:rsidRPr="001D1565">
        <w:rPr>
          <w:color w:val="000000"/>
          <w:lang w:val="es-ES" w:eastAsia="en-US"/>
        </w:rPr>
        <w:t>. 2018; 23(6</w:t>
      </w:r>
      <w:proofErr w:type="gramStart"/>
      <w:r w:rsidRPr="001D1565">
        <w:rPr>
          <w:color w:val="000000"/>
          <w:lang w:val="es-ES" w:eastAsia="en-US"/>
        </w:rPr>
        <w:t>):</w:t>
      </w:r>
      <w:proofErr w:type="spellStart"/>
      <w:r w:rsidRPr="001D1565">
        <w:rPr>
          <w:color w:val="000000"/>
          <w:lang w:val="es-ES" w:eastAsia="en-US"/>
        </w:rPr>
        <w:t>e</w:t>
      </w:r>
      <w:proofErr w:type="gramEnd"/>
      <w:r w:rsidRPr="001D1565">
        <w:rPr>
          <w:color w:val="000000"/>
          <w:lang w:val="es-ES" w:eastAsia="en-US"/>
        </w:rPr>
        <w:t>12542</w:t>
      </w:r>
      <w:proofErr w:type="spellEnd"/>
      <w:r w:rsidRPr="001D1565">
        <w:rPr>
          <w:color w:val="000000"/>
          <w:lang w:val="es-ES" w:eastAsia="en-US"/>
        </w:rPr>
        <w:t xml:space="preserve">. </w:t>
      </w:r>
      <w:proofErr w:type="spellStart"/>
      <w:r w:rsidRPr="001D1565">
        <w:rPr>
          <w:color w:val="000000"/>
          <w:lang w:val="es-ES" w:eastAsia="en-US"/>
        </w:rPr>
        <w:t>DOI</w:t>
      </w:r>
      <w:proofErr w:type="spellEnd"/>
      <w:r w:rsidRPr="001D1565">
        <w:rPr>
          <w:color w:val="000000"/>
          <w:lang w:val="es-ES" w:eastAsia="en-US"/>
        </w:rPr>
        <w:t>: 10.1111/</w:t>
      </w:r>
      <w:proofErr w:type="spellStart"/>
      <w:r w:rsidRPr="001D1565">
        <w:rPr>
          <w:color w:val="000000"/>
          <w:lang w:val="es-ES" w:eastAsia="en-US"/>
        </w:rPr>
        <w:t>hel.12542</w:t>
      </w:r>
      <w:proofErr w:type="spellEnd"/>
    </w:p>
    <w:p w14:paraId="7CA22C4D"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lastRenderedPageBreak/>
        <w:t xml:space="preserve">10. Asociación Médica Mundial AMM. Declaración de Helsinki de la AMM - Principios éticos para las investigaciones médicas en seres humanos. 64ª Asamblea General; 2013 octubre. Fortaleza, Brasil: Asociación Médica Mundial (AMM); 2013. [acceso: 19/01/2020]. Disponible en: </w:t>
      </w:r>
      <w:hyperlink r:id="rId26" w:history="1">
        <w:r w:rsidRPr="001D1565">
          <w:rPr>
            <w:color w:val="0000FF"/>
            <w:u w:val="single"/>
            <w:lang w:val="es-ES" w:eastAsia="en-US"/>
          </w:rPr>
          <w:t>http://www.wma.net/es/30publications/10policies/b3/</w:t>
        </w:r>
      </w:hyperlink>
      <w:r w:rsidRPr="001D1565">
        <w:rPr>
          <w:color w:val="000000"/>
          <w:lang w:val="es-ES" w:eastAsia="en-US"/>
        </w:rPr>
        <w:t xml:space="preserve"> </w:t>
      </w:r>
    </w:p>
    <w:p w14:paraId="748A813A"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11. Ramírez-Mendoza P, Ruiz-Castillo SA, </w:t>
      </w:r>
      <w:proofErr w:type="spellStart"/>
      <w:r w:rsidRPr="001D1565">
        <w:rPr>
          <w:color w:val="000000"/>
          <w:lang w:val="es-ES" w:eastAsia="en-US"/>
        </w:rPr>
        <w:t>Maroun-Marun</w:t>
      </w:r>
      <w:proofErr w:type="spellEnd"/>
      <w:r w:rsidRPr="001D1565">
        <w:rPr>
          <w:color w:val="000000"/>
          <w:lang w:val="es-ES" w:eastAsia="en-US"/>
        </w:rPr>
        <w:t xml:space="preserve"> C, Trujillo-Benavides O, Baltazar-Montúfar P, Méndez del Monte R, et al. Estadificación de la gastritis con el sistema OLGA; prevalencia de estadios avanzados de atrofia gástrica en pacientes mexicanos. Revista de Gastroenterología de México 2011 [acceso: 24/07/2022]; 76(4):302-8. Disponible en: </w:t>
      </w:r>
      <w:hyperlink r:id="rId27" w:history="1">
        <w:r w:rsidRPr="001D1565">
          <w:rPr>
            <w:color w:val="0000FF"/>
            <w:u w:val="single"/>
            <w:lang w:val="es-ES" w:eastAsia="en-US"/>
          </w:rPr>
          <w:t>http://www.revistagastroenterologiamexico.org/es-pdf-X037509061183891X</w:t>
        </w:r>
      </w:hyperlink>
      <w:r w:rsidRPr="001D1565">
        <w:rPr>
          <w:color w:val="000000"/>
          <w:lang w:val="es-ES" w:eastAsia="en-US"/>
        </w:rPr>
        <w:t xml:space="preserve"> </w:t>
      </w:r>
    </w:p>
    <w:p w14:paraId="008C86A2"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12. Morales Díaz M, Corrales Alonso S, </w:t>
      </w:r>
      <w:proofErr w:type="spellStart"/>
      <w:r w:rsidRPr="001D1565">
        <w:rPr>
          <w:color w:val="000000"/>
          <w:lang w:val="es-ES" w:eastAsia="en-US"/>
        </w:rPr>
        <w:t>Vanterpoll</w:t>
      </w:r>
      <w:proofErr w:type="spellEnd"/>
      <w:r w:rsidRPr="001D1565">
        <w:rPr>
          <w:color w:val="000000"/>
          <w:lang w:val="es-ES" w:eastAsia="en-US"/>
        </w:rPr>
        <w:t xml:space="preserve"> Héctor M, Avalos Rodríguez R, </w:t>
      </w:r>
      <w:proofErr w:type="spellStart"/>
      <w:r w:rsidRPr="001D1565">
        <w:rPr>
          <w:color w:val="000000"/>
          <w:lang w:val="es-ES" w:eastAsia="en-US"/>
        </w:rPr>
        <w:t>Salabert</w:t>
      </w:r>
      <w:proofErr w:type="spellEnd"/>
      <w:r w:rsidRPr="001D1565">
        <w:rPr>
          <w:color w:val="000000"/>
          <w:lang w:val="es-ES" w:eastAsia="en-US"/>
        </w:rPr>
        <w:t xml:space="preserve"> Tortolo I, Hernández Diaz O. Cáncer gástrico: algunas consideraciones sobre factores de riesgo y </w:t>
      </w:r>
      <w:proofErr w:type="spellStart"/>
      <w:r w:rsidRPr="001D1565">
        <w:rPr>
          <w:color w:val="000000"/>
          <w:lang w:val="es-ES" w:eastAsia="en-US"/>
        </w:rPr>
        <w:t>Helicobacter</w:t>
      </w:r>
      <w:proofErr w:type="spellEnd"/>
      <w:r w:rsidRPr="001D1565">
        <w:rPr>
          <w:color w:val="000000"/>
          <w:lang w:val="es-ES" w:eastAsia="en-US"/>
        </w:rPr>
        <w:t xml:space="preserve"> pylori. </w:t>
      </w:r>
      <w:proofErr w:type="spellStart"/>
      <w:r w:rsidRPr="001D1565">
        <w:rPr>
          <w:color w:val="000000"/>
          <w:lang w:val="es-ES" w:eastAsia="en-US"/>
        </w:rPr>
        <w:t>Rev</w:t>
      </w:r>
      <w:proofErr w:type="spellEnd"/>
      <w:r w:rsidRPr="001D1565">
        <w:rPr>
          <w:color w:val="000000"/>
          <w:lang w:val="es-ES" w:eastAsia="en-US"/>
        </w:rPr>
        <w:t xml:space="preserve"> </w:t>
      </w:r>
      <w:proofErr w:type="spellStart"/>
      <w:r w:rsidRPr="001D1565">
        <w:rPr>
          <w:color w:val="000000"/>
          <w:lang w:val="es-ES" w:eastAsia="en-US"/>
        </w:rPr>
        <w:t>Méd</w:t>
      </w:r>
      <w:proofErr w:type="spellEnd"/>
      <w:r w:rsidRPr="001D1565">
        <w:rPr>
          <w:color w:val="000000"/>
          <w:lang w:val="es-ES" w:eastAsia="en-US"/>
        </w:rPr>
        <w:t xml:space="preserve"> Electrón. 2018 [acceso: 16/06/2019]; 40(2): 433-44. Disponible en: </w:t>
      </w:r>
      <w:hyperlink r:id="rId28" w:history="1">
        <w:r w:rsidRPr="001D1565">
          <w:rPr>
            <w:color w:val="0000FF"/>
            <w:u w:val="single"/>
            <w:lang w:val="es-ES" w:eastAsia="en-US"/>
          </w:rPr>
          <w:t>http://scielo.sld.cu/scielo.php?script=sci_arttext&amp;pid=S1684-18242018000200018&amp;nrm=iso</w:t>
        </w:r>
      </w:hyperlink>
      <w:r w:rsidRPr="001D1565">
        <w:rPr>
          <w:color w:val="000000"/>
          <w:lang w:val="es-ES" w:eastAsia="en-US"/>
        </w:rPr>
        <w:t xml:space="preserve"> </w:t>
      </w:r>
    </w:p>
    <w:p w14:paraId="2A15B25F"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13. </w:t>
      </w:r>
      <w:proofErr w:type="spellStart"/>
      <w:r w:rsidRPr="001D1565">
        <w:rPr>
          <w:color w:val="000000"/>
          <w:lang w:val="es-ES" w:eastAsia="en-US"/>
        </w:rPr>
        <w:t>Yepez</w:t>
      </w:r>
      <w:proofErr w:type="spellEnd"/>
      <w:r w:rsidRPr="001D1565">
        <w:rPr>
          <w:color w:val="000000"/>
          <w:lang w:val="es-ES" w:eastAsia="en-US"/>
        </w:rPr>
        <w:t xml:space="preserve"> Caicedo Y, Ricaurte </w:t>
      </w:r>
      <w:proofErr w:type="spellStart"/>
      <w:r w:rsidRPr="001D1565">
        <w:rPr>
          <w:color w:val="000000"/>
          <w:lang w:val="es-ES" w:eastAsia="en-US"/>
        </w:rPr>
        <w:t>Enriquez</w:t>
      </w:r>
      <w:proofErr w:type="spellEnd"/>
      <w:r w:rsidRPr="001D1565">
        <w:rPr>
          <w:color w:val="000000"/>
          <w:lang w:val="es-ES" w:eastAsia="en-US"/>
        </w:rPr>
        <w:t xml:space="preserve"> A, Bedoya </w:t>
      </w:r>
      <w:proofErr w:type="spellStart"/>
      <w:r w:rsidRPr="001D1565">
        <w:rPr>
          <w:color w:val="000000"/>
          <w:lang w:val="es-ES" w:eastAsia="en-US"/>
        </w:rPr>
        <w:t>Urresta</w:t>
      </w:r>
      <w:proofErr w:type="spellEnd"/>
      <w:r w:rsidRPr="001D1565">
        <w:rPr>
          <w:color w:val="000000"/>
          <w:lang w:val="es-ES" w:eastAsia="en-US"/>
        </w:rPr>
        <w:t xml:space="preserve"> A, </w:t>
      </w:r>
      <w:proofErr w:type="spellStart"/>
      <w:r w:rsidRPr="001D1565">
        <w:rPr>
          <w:color w:val="000000"/>
          <w:lang w:val="es-ES" w:eastAsia="en-US"/>
        </w:rPr>
        <w:t>Berbesi</w:t>
      </w:r>
      <w:proofErr w:type="spellEnd"/>
      <w:r w:rsidRPr="001D1565">
        <w:rPr>
          <w:color w:val="000000"/>
          <w:lang w:val="es-ES" w:eastAsia="en-US"/>
        </w:rPr>
        <w:t xml:space="preserve"> Fernández DY. Lesiones precursoras de malignidad gástrica y su asociación con hábitos alimentarios. </w:t>
      </w:r>
      <w:proofErr w:type="spellStart"/>
      <w:r w:rsidRPr="001D1565">
        <w:rPr>
          <w:color w:val="000000"/>
          <w:lang w:val="es-ES" w:eastAsia="en-US"/>
        </w:rPr>
        <w:t>Rev</w:t>
      </w:r>
      <w:proofErr w:type="spellEnd"/>
      <w:r w:rsidRPr="001D1565">
        <w:rPr>
          <w:color w:val="000000"/>
          <w:lang w:val="es-ES" w:eastAsia="en-US"/>
        </w:rPr>
        <w:t xml:space="preserve"> </w:t>
      </w:r>
      <w:proofErr w:type="spellStart"/>
      <w:r w:rsidRPr="001D1565">
        <w:rPr>
          <w:color w:val="000000"/>
          <w:lang w:val="es-ES" w:eastAsia="en-US"/>
        </w:rPr>
        <w:t>Colomb</w:t>
      </w:r>
      <w:proofErr w:type="spellEnd"/>
      <w:r w:rsidRPr="001D1565">
        <w:rPr>
          <w:color w:val="000000"/>
          <w:lang w:val="es-ES" w:eastAsia="en-US"/>
        </w:rPr>
        <w:t xml:space="preserve"> </w:t>
      </w:r>
      <w:proofErr w:type="spellStart"/>
      <w:r w:rsidRPr="001D1565">
        <w:rPr>
          <w:color w:val="000000"/>
          <w:lang w:val="es-ES" w:eastAsia="en-US"/>
        </w:rPr>
        <w:t>Gastroenterol</w:t>
      </w:r>
      <w:proofErr w:type="spellEnd"/>
      <w:r w:rsidRPr="001D1565">
        <w:rPr>
          <w:color w:val="000000"/>
          <w:lang w:val="es-ES" w:eastAsia="en-US"/>
        </w:rPr>
        <w:t xml:space="preserve">. 2017 [acceso: 24/07/2022]; 32(3):209-15. Disponible en: </w:t>
      </w:r>
      <w:hyperlink r:id="rId29" w:history="1">
        <w:r w:rsidRPr="001D1565">
          <w:rPr>
            <w:color w:val="0000FF"/>
            <w:u w:val="single"/>
            <w:lang w:val="es-ES" w:eastAsia="en-US"/>
          </w:rPr>
          <w:t>https://revistagastrocol.com/index.php/rcg/article/view/152</w:t>
        </w:r>
      </w:hyperlink>
      <w:r w:rsidRPr="001D1565">
        <w:rPr>
          <w:color w:val="000000"/>
          <w:lang w:val="es-ES" w:eastAsia="en-US"/>
        </w:rPr>
        <w:t xml:space="preserve"> </w:t>
      </w:r>
    </w:p>
    <w:p w14:paraId="1D689EDD"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14. Carlin Ronquillo A, Ventura León A, Espinoza Ríos </w:t>
      </w:r>
      <w:proofErr w:type="spellStart"/>
      <w:r w:rsidRPr="001D1565">
        <w:rPr>
          <w:color w:val="000000"/>
          <w:lang w:val="es-ES" w:eastAsia="en-US"/>
        </w:rPr>
        <w:t>JL</w:t>
      </w:r>
      <w:proofErr w:type="spellEnd"/>
      <w:r w:rsidRPr="001D1565">
        <w:rPr>
          <w:color w:val="000000"/>
          <w:lang w:val="es-ES" w:eastAsia="en-US"/>
        </w:rPr>
        <w:t xml:space="preserve">, Bravo Paredes EA, Gómez Hinojosa P, Alva </w:t>
      </w:r>
      <w:proofErr w:type="spellStart"/>
      <w:r w:rsidRPr="001D1565">
        <w:rPr>
          <w:color w:val="000000"/>
          <w:lang w:val="es-ES" w:eastAsia="en-US"/>
        </w:rPr>
        <w:t>Solis</w:t>
      </w:r>
      <w:proofErr w:type="spellEnd"/>
      <w:r w:rsidRPr="001D1565">
        <w:rPr>
          <w:color w:val="000000"/>
          <w:lang w:val="es-ES" w:eastAsia="en-US"/>
        </w:rPr>
        <w:t xml:space="preserve"> S, et al. Distribución de estadios de OLGA y </w:t>
      </w:r>
      <w:proofErr w:type="spellStart"/>
      <w:r w:rsidRPr="001D1565">
        <w:rPr>
          <w:color w:val="000000"/>
          <w:lang w:val="es-ES" w:eastAsia="en-US"/>
        </w:rPr>
        <w:t>OLGIM</w:t>
      </w:r>
      <w:proofErr w:type="spellEnd"/>
      <w:r w:rsidRPr="001D1565">
        <w:rPr>
          <w:color w:val="000000"/>
          <w:lang w:val="es-ES" w:eastAsia="en-US"/>
        </w:rPr>
        <w:t xml:space="preserve"> según edad y estado del </w:t>
      </w:r>
      <w:proofErr w:type="spellStart"/>
      <w:r w:rsidRPr="001D1565">
        <w:rPr>
          <w:color w:val="000000"/>
          <w:lang w:val="es-ES" w:eastAsia="en-US"/>
        </w:rPr>
        <w:t>Helicobacter</w:t>
      </w:r>
      <w:proofErr w:type="spellEnd"/>
      <w:r w:rsidRPr="001D1565">
        <w:rPr>
          <w:color w:val="000000"/>
          <w:lang w:val="es-ES" w:eastAsia="en-US"/>
        </w:rPr>
        <w:t xml:space="preserve"> pylori en un hospital público nivel III en Lima, Perú. Acta Gastroenterológica Latinoamericana. 2021 [acceso: 24/07/2022]; 51(1):76-88. Disponible en: </w:t>
      </w:r>
      <w:hyperlink r:id="rId30" w:history="1">
        <w:r w:rsidRPr="001D1565">
          <w:rPr>
            <w:color w:val="0000FF"/>
            <w:u w:val="single"/>
            <w:lang w:val="es-ES" w:eastAsia="en-US"/>
          </w:rPr>
          <w:t>https://www.redalyc.org/articulo.oa?id=199366563013</w:t>
        </w:r>
      </w:hyperlink>
      <w:r w:rsidRPr="001D1565">
        <w:rPr>
          <w:color w:val="000000"/>
          <w:lang w:val="es-ES" w:eastAsia="en-US"/>
        </w:rPr>
        <w:t xml:space="preserve"> </w:t>
      </w:r>
    </w:p>
    <w:p w14:paraId="51A333AD"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15. Marulanda H, Otero W, Gómez M. </w:t>
      </w:r>
      <w:proofErr w:type="spellStart"/>
      <w:r w:rsidRPr="001D1565">
        <w:rPr>
          <w:color w:val="000000"/>
          <w:lang w:val="es-ES" w:eastAsia="en-US"/>
        </w:rPr>
        <w:t>Helicobacter</w:t>
      </w:r>
      <w:proofErr w:type="spellEnd"/>
      <w:r w:rsidRPr="001D1565">
        <w:rPr>
          <w:color w:val="000000"/>
          <w:lang w:val="es-ES" w:eastAsia="en-US"/>
        </w:rPr>
        <w:t xml:space="preserve"> pylori, gastritis nodular y lesiones premalignas de estómago: un estudio de casos y controles. Rev. </w:t>
      </w:r>
      <w:proofErr w:type="spellStart"/>
      <w:r w:rsidRPr="001D1565">
        <w:rPr>
          <w:color w:val="000000"/>
          <w:lang w:val="es-ES" w:eastAsia="en-US"/>
        </w:rPr>
        <w:t>Gastroenterol</w:t>
      </w:r>
      <w:proofErr w:type="spellEnd"/>
      <w:r w:rsidRPr="001D1565">
        <w:rPr>
          <w:color w:val="000000"/>
          <w:lang w:val="es-ES" w:eastAsia="en-US"/>
        </w:rPr>
        <w:t xml:space="preserve">. Perú. 2018 [acceso: 22/01/2021]; 38(4):349-55. Disponible en: </w:t>
      </w:r>
      <w:hyperlink r:id="rId31" w:history="1">
        <w:r w:rsidRPr="001D1565">
          <w:rPr>
            <w:color w:val="0000FF"/>
            <w:u w:val="single"/>
            <w:lang w:val="es-ES" w:eastAsia="en-US"/>
          </w:rPr>
          <w:t>http://www.scielo.org.pe/scielo.php?script=sci_arttext&amp;pid=S1022-51292018000400006&amp;lng=es</w:t>
        </w:r>
      </w:hyperlink>
      <w:r w:rsidRPr="001D1565">
        <w:rPr>
          <w:color w:val="000000"/>
          <w:lang w:val="es-ES" w:eastAsia="en-US"/>
        </w:rPr>
        <w:t xml:space="preserve"> </w:t>
      </w:r>
    </w:p>
    <w:p w14:paraId="7D025C8E"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16. García Capote E, Crespo Ramírez E, Guanche </w:t>
      </w:r>
      <w:proofErr w:type="spellStart"/>
      <w:r w:rsidRPr="001D1565">
        <w:rPr>
          <w:color w:val="000000"/>
          <w:lang w:val="es-ES" w:eastAsia="en-US"/>
        </w:rPr>
        <w:t>Garcell</w:t>
      </w:r>
      <w:proofErr w:type="spellEnd"/>
      <w:r w:rsidRPr="001D1565">
        <w:rPr>
          <w:color w:val="000000"/>
          <w:lang w:val="es-ES" w:eastAsia="en-US"/>
        </w:rPr>
        <w:t xml:space="preserve"> H. Infección por </w:t>
      </w:r>
      <w:proofErr w:type="spellStart"/>
      <w:r w:rsidRPr="001D1565">
        <w:rPr>
          <w:color w:val="000000"/>
          <w:lang w:val="es-ES" w:eastAsia="en-US"/>
        </w:rPr>
        <w:t>Helicobacter</w:t>
      </w:r>
      <w:proofErr w:type="spellEnd"/>
      <w:r w:rsidRPr="001D1565">
        <w:rPr>
          <w:color w:val="000000"/>
          <w:lang w:val="es-ES" w:eastAsia="en-US"/>
        </w:rPr>
        <w:t xml:space="preserve"> pylori en pacientes atendidos en consulta de gastroenterología. </w:t>
      </w:r>
      <w:proofErr w:type="spellStart"/>
      <w:r w:rsidRPr="001D1565">
        <w:rPr>
          <w:color w:val="000000"/>
          <w:lang w:val="es-ES" w:eastAsia="en-US"/>
        </w:rPr>
        <w:t>Rev</w:t>
      </w:r>
      <w:proofErr w:type="spellEnd"/>
      <w:r w:rsidRPr="001D1565">
        <w:rPr>
          <w:color w:val="000000"/>
          <w:lang w:val="es-ES" w:eastAsia="en-US"/>
        </w:rPr>
        <w:t xml:space="preserve"> Ciencias Médicas. 2014 [acceso: </w:t>
      </w:r>
      <w:r w:rsidRPr="001D1565">
        <w:rPr>
          <w:color w:val="000000"/>
          <w:lang w:val="es-ES" w:eastAsia="en-US"/>
        </w:rPr>
        <w:lastRenderedPageBreak/>
        <w:t xml:space="preserve">01/11/2019]; 18(3):453-62. Disponible en: </w:t>
      </w:r>
      <w:hyperlink r:id="rId32" w:history="1">
        <w:r w:rsidRPr="001D1565">
          <w:rPr>
            <w:color w:val="0000FF"/>
            <w:u w:val="single"/>
            <w:lang w:val="es-ES" w:eastAsia="en-US"/>
          </w:rPr>
          <w:t>http://scielo.sld.cu/scielo.php?script=sci_arttext&amp;pid=S1561-31942014000300009&amp;nrm=iso</w:t>
        </w:r>
      </w:hyperlink>
      <w:r w:rsidRPr="001D1565">
        <w:rPr>
          <w:color w:val="000000"/>
          <w:lang w:val="es-ES" w:eastAsia="en-US"/>
        </w:rPr>
        <w:t xml:space="preserve"> </w:t>
      </w:r>
    </w:p>
    <w:p w14:paraId="5EA5C0E6" w14:textId="77777777" w:rsidR="001D1565" w:rsidRPr="001D1565" w:rsidRDefault="001D1565" w:rsidP="001D1565">
      <w:pPr>
        <w:suppressAutoHyphens/>
        <w:spacing w:line="360" w:lineRule="auto"/>
        <w:rPr>
          <w:color w:val="000000"/>
          <w:lang w:val="es-ES" w:eastAsia="en-US"/>
        </w:rPr>
      </w:pPr>
      <w:r w:rsidRPr="001D1565">
        <w:rPr>
          <w:color w:val="000000"/>
          <w:lang w:val="en-US" w:eastAsia="en-US"/>
        </w:rPr>
        <w:t xml:space="preserve">17. Nam JH, Choi </w:t>
      </w:r>
      <w:proofErr w:type="spellStart"/>
      <w:r w:rsidRPr="001D1565">
        <w:rPr>
          <w:color w:val="000000"/>
          <w:lang w:val="en-US" w:eastAsia="en-US"/>
        </w:rPr>
        <w:t>IJ</w:t>
      </w:r>
      <w:proofErr w:type="spellEnd"/>
      <w:r w:rsidRPr="001D1565">
        <w:rPr>
          <w:color w:val="000000"/>
          <w:lang w:val="en-US" w:eastAsia="en-US"/>
        </w:rPr>
        <w:t xml:space="preserve">, Kook MC, Lee JY, Cho </w:t>
      </w:r>
      <w:proofErr w:type="spellStart"/>
      <w:r w:rsidRPr="001D1565">
        <w:rPr>
          <w:color w:val="000000"/>
          <w:lang w:val="en-US" w:eastAsia="en-US"/>
        </w:rPr>
        <w:t>SJ</w:t>
      </w:r>
      <w:proofErr w:type="spellEnd"/>
      <w:r w:rsidRPr="001D1565">
        <w:rPr>
          <w:color w:val="000000"/>
          <w:lang w:val="en-US" w:eastAsia="en-US"/>
        </w:rPr>
        <w:t xml:space="preserve">, Nam SY, et al. OLGA and </w:t>
      </w:r>
      <w:proofErr w:type="spellStart"/>
      <w:r w:rsidRPr="001D1565">
        <w:rPr>
          <w:color w:val="000000"/>
          <w:lang w:val="en-US" w:eastAsia="en-US"/>
        </w:rPr>
        <w:t>OLGIM</w:t>
      </w:r>
      <w:proofErr w:type="spellEnd"/>
      <w:r w:rsidRPr="001D1565">
        <w:rPr>
          <w:color w:val="000000"/>
          <w:lang w:val="en-US" w:eastAsia="en-US"/>
        </w:rPr>
        <w:t xml:space="preserve"> Stage distribution according to age and Helicobacter pylori status in the </w:t>
      </w:r>
      <w:proofErr w:type="spellStart"/>
      <w:r w:rsidRPr="001D1565">
        <w:rPr>
          <w:color w:val="000000"/>
          <w:lang w:val="en-US" w:eastAsia="en-US"/>
        </w:rPr>
        <w:t>korean</w:t>
      </w:r>
      <w:proofErr w:type="spellEnd"/>
      <w:r w:rsidRPr="001D1565">
        <w:rPr>
          <w:color w:val="000000"/>
          <w:lang w:val="en-US" w:eastAsia="en-US"/>
        </w:rPr>
        <w:t xml:space="preserve"> population. </w:t>
      </w:r>
      <w:proofErr w:type="spellStart"/>
      <w:r w:rsidRPr="001D1565">
        <w:rPr>
          <w:color w:val="000000"/>
          <w:lang w:val="es-ES" w:eastAsia="en-US"/>
        </w:rPr>
        <w:t>Helicobacter</w:t>
      </w:r>
      <w:proofErr w:type="spellEnd"/>
      <w:r w:rsidRPr="001D1565">
        <w:rPr>
          <w:color w:val="000000"/>
          <w:lang w:val="es-ES" w:eastAsia="en-US"/>
        </w:rPr>
        <w:t xml:space="preserve">. 2014; 19(2):81-9. </w:t>
      </w:r>
      <w:proofErr w:type="spellStart"/>
      <w:r w:rsidRPr="001D1565">
        <w:rPr>
          <w:color w:val="000000"/>
          <w:lang w:val="es-ES" w:eastAsia="en-US"/>
        </w:rPr>
        <w:t>DOI</w:t>
      </w:r>
      <w:proofErr w:type="spellEnd"/>
      <w:r w:rsidRPr="001D1565">
        <w:rPr>
          <w:color w:val="000000"/>
          <w:lang w:val="es-ES" w:eastAsia="en-US"/>
        </w:rPr>
        <w:t>: 10.1111/</w:t>
      </w:r>
      <w:proofErr w:type="spellStart"/>
      <w:r w:rsidRPr="001D1565">
        <w:rPr>
          <w:color w:val="000000"/>
          <w:lang w:val="es-ES" w:eastAsia="en-US"/>
        </w:rPr>
        <w:t>hel.12112</w:t>
      </w:r>
      <w:proofErr w:type="spellEnd"/>
    </w:p>
    <w:p w14:paraId="17E62793"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18. Gámez Sánchez D, Dueñas Moreira O, Álvarez </w:t>
      </w:r>
      <w:proofErr w:type="spellStart"/>
      <w:r w:rsidRPr="001D1565">
        <w:rPr>
          <w:color w:val="000000"/>
          <w:lang w:val="es-ES" w:eastAsia="en-US"/>
        </w:rPr>
        <w:t>Toste</w:t>
      </w:r>
      <w:proofErr w:type="spellEnd"/>
      <w:r w:rsidRPr="001D1565">
        <w:rPr>
          <w:color w:val="000000"/>
          <w:lang w:val="es-ES" w:eastAsia="en-US"/>
        </w:rPr>
        <w:t xml:space="preserve"> M. Actualización sobre los factores de riesgo asociados a la mortalidad del cáncer gástrico. </w:t>
      </w:r>
      <w:proofErr w:type="spellStart"/>
      <w:r w:rsidRPr="001D1565">
        <w:rPr>
          <w:color w:val="000000"/>
          <w:lang w:val="es-ES" w:eastAsia="en-US"/>
        </w:rPr>
        <w:t>Rev</w:t>
      </w:r>
      <w:proofErr w:type="spellEnd"/>
      <w:r w:rsidRPr="001D1565">
        <w:rPr>
          <w:color w:val="000000"/>
          <w:lang w:val="es-ES" w:eastAsia="en-US"/>
        </w:rPr>
        <w:t xml:space="preserve"> </w:t>
      </w:r>
      <w:proofErr w:type="spellStart"/>
      <w:r w:rsidRPr="001D1565">
        <w:rPr>
          <w:color w:val="000000"/>
          <w:lang w:val="es-ES" w:eastAsia="en-US"/>
        </w:rPr>
        <w:t>Haban</w:t>
      </w:r>
      <w:proofErr w:type="spellEnd"/>
      <w:r w:rsidRPr="001D1565">
        <w:rPr>
          <w:color w:val="000000"/>
          <w:lang w:val="es-ES" w:eastAsia="en-US"/>
        </w:rPr>
        <w:t xml:space="preserve"> </w:t>
      </w:r>
      <w:proofErr w:type="spellStart"/>
      <w:r w:rsidRPr="001D1565">
        <w:rPr>
          <w:color w:val="000000"/>
          <w:lang w:val="es-ES" w:eastAsia="en-US"/>
        </w:rPr>
        <w:t>Cienc</w:t>
      </w:r>
      <w:proofErr w:type="spellEnd"/>
      <w:r w:rsidRPr="001D1565">
        <w:rPr>
          <w:color w:val="000000"/>
          <w:lang w:val="es-ES" w:eastAsia="en-US"/>
        </w:rPr>
        <w:t xml:space="preserve"> </w:t>
      </w:r>
      <w:proofErr w:type="spellStart"/>
      <w:r w:rsidRPr="001D1565">
        <w:rPr>
          <w:color w:val="000000"/>
          <w:lang w:val="es-ES" w:eastAsia="en-US"/>
        </w:rPr>
        <w:t>Méd</w:t>
      </w:r>
      <w:proofErr w:type="spellEnd"/>
      <w:r w:rsidRPr="001D1565">
        <w:rPr>
          <w:color w:val="000000"/>
          <w:lang w:val="es-ES" w:eastAsia="en-US"/>
        </w:rPr>
        <w:t xml:space="preserve">. 2021 [acceso: 22/11/2021]; 20(5):1-8. Disponible en: </w:t>
      </w:r>
      <w:hyperlink r:id="rId33" w:history="1">
        <w:r w:rsidRPr="001D1565">
          <w:rPr>
            <w:color w:val="0000FF"/>
            <w:u w:val="single"/>
            <w:lang w:val="es-ES" w:eastAsia="en-US"/>
          </w:rPr>
          <w:t>http://www.revhabanera.sld.cu/index.php/rhab/article/view/3496</w:t>
        </w:r>
      </w:hyperlink>
      <w:r w:rsidRPr="001D1565">
        <w:rPr>
          <w:color w:val="000000"/>
          <w:lang w:val="es-ES" w:eastAsia="en-US"/>
        </w:rPr>
        <w:t xml:space="preserve"> </w:t>
      </w:r>
    </w:p>
    <w:p w14:paraId="7388FB14"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19. Piñol Jiménez F, Paniagua Estévez M, Pérez Sánchez G, </w:t>
      </w:r>
      <w:proofErr w:type="spellStart"/>
      <w:r w:rsidRPr="001D1565">
        <w:rPr>
          <w:color w:val="000000"/>
          <w:lang w:val="es-ES" w:eastAsia="en-US"/>
        </w:rPr>
        <w:t>Gra</w:t>
      </w:r>
      <w:proofErr w:type="spellEnd"/>
      <w:r w:rsidRPr="001D1565">
        <w:rPr>
          <w:color w:val="000000"/>
          <w:lang w:val="es-ES" w:eastAsia="en-US"/>
        </w:rPr>
        <w:t xml:space="preserve"> Oramas B, </w:t>
      </w:r>
      <w:proofErr w:type="spellStart"/>
      <w:r w:rsidRPr="001D1565">
        <w:rPr>
          <w:color w:val="000000"/>
          <w:lang w:val="es-ES" w:eastAsia="en-US"/>
        </w:rPr>
        <w:t>Cendán</w:t>
      </w:r>
      <w:proofErr w:type="spellEnd"/>
      <w:r w:rsidRPr="001D1565">
        <w:rPr>
          <w:color w:val="000000"/>
          <w:lang w:val="es-ES" w:eastAsia="en-US"/>
        </w:rPr>
        <w:t xml:space="preserve"> </w:t>
      </w:r>
      <w:proofErr w:type="spellStart"/>
      <w:r w:rsidRPr="001D1565">
        <w:rPr>
          <w:color w:val="000000"/>
          <w:lang w:val="es-ES" w:eastAsia="en-US"/>
        </w:rPr>
        <w:t>Cordoví</w:t>
      </w:r>
      <w:proofErr w:type="spellEnd"/>
      <w:r w:rsidRPr="001D1565">
        <w:rPr>
          <w:color w:val="000000"/>
          <w:lang w:val="es-ES" w:eastAsia="en-US"/>
        </w:rPr>
        <w:t xml:space="preserve"> A, Borbolla Busquets E. Metaplasia intestinal en pacientes con reflujo </w:t>
      </w:r>
      <w:proofErr w:type="spellStart"/>
      <w:r w:rsidRPr="001D1565">
        <w:rPr>
          <w:color w:val="000000"/>
          <w:lang w:val="es-ES" w:eastAsia="en-US"/>
        </w:rPr>
        <w:t>duodenogástrico</w:t>
      </w:r>
      <w:proofErr w:type="spellEnd"/>
      <w:r w:rsidRPr="001D1565">
        <w:rPr>
          <w:color w:val="000000"/>
          <w:lang w:val="es-ES" w:eastAsia="en-US"/>
        </w:rPr>
        <w:t xml:space="preserve"> y ácidos biliares totales elevados. </w:t>
      </w:r>
      <w:proofErr w:type="spellStart"/>
      <w:r w:rsidRPr="001D1565">
        <w:rPr>
          <w:color w:val="000000"/>
          <w:lang w:val="es-ES" w:eastAsia="en-US"/>
        </w:rPr>
        <w:t>Rev</w:t>
      </w:r>
      <w:proofErr w:type="spellEnd"/>
      <w:r w:rsidRPr="001D1565">
        <w:rPr>
          <w:color w:val="000000"/>
          <w:lang w:val="es-ES" w:eastAsia="en-US"/>
        </w:rPr>
        <w:t xml:space="preserve"> </w:t>
      </w:r>
      <w:proofErr w:type="spellStart"/>
      <w:r w:rsidRPr="001D1565">
        <w:rPr>
          <w:color w:val="000000"/>
          <w:lang w:val="es-ES" w:eastAsia="en-US"/>
        </w:rPr>
        <w:t>Cub</w:t>
      </w:r>
      <w:proofErr w:type="spellEnd"/>
      <w:r w:rsidRPr="001D1565">
        <w:rPr>
          <w:color w:val="000000"/>
          <w:lang w:val="es-ES" w:eastAsia="en-US"/>
        </w:rPr>
        <w:t xml:space="preserve"> </w:t>
      </w:r>
      <w:proofErr w:type="spellStart"/>
      <w:r w:rsidRPr="001D1565">
        <w:rPr>
          <w:color w:val="000000"/>
          <w:lang w:val="es-ES" w:eastAsia="en-US"/>
        </w:rPr>
        <w:t>Med</w:t>
      </w:r>
      <w:proofErr w:type="spellEnd"/>
      <w:r w:rsidRPr="001D1565">
        <w:rPr>
          <w:color w:val="000000"/>
          <w:lang w:val="es-ES" w:eastAsia="en-US"/>
        </w:rPr>
        <w:t xml:space="preserve">. 2010 [acceso: 31/10/2019]; 49(1):17-32. Disponible en: </w:t>
      </w:r>
      <w:hyperlink r:id="rId34" w:history="1">
        <w:r w:rsidRPr="001D1565">
          <w:rPr>
            <w:color w:val="0000FF"/>
            <w:u w:val="single"/>
            <w:lang w:val="es-ES" w:eastAsia="en-US"/>
          </w:rPr>
          <w:t>http://scielo.sld.cu/scielo.php?script=sci_arttext&amp;pid=S0034-75232010000100003&amp;nrm=iso</w:t>
        </w:r>
      </w:hyperlink>
      <w:r w:rsidRPr="001D1565">
        <w:rPr>
          <w:color w:val="000000"/>
          <w:lang w:val="es-ES" w:eastAsia="en-US"/>
        </w:rPr>
        <w:t xml:space="preserve"> </w:t>
      </w:r>
    </w:p>
    <w:p w14:paraId="691535CF" w14:textId="77777777" w:rsidR="001D1565" w:rsidRPr="001D1565" w:rsidRDefault="001D1565" w:rsidP="001D1565">
      <w:pPr>
        <w:suppressAutoHyphens/>
        <w:spacing w:line="360" w:lineRule="auto"/>
        <w:rPr>
          <w:color w:val="000000"/>
          <w:lang w:val="es-ES" w:eastAsia="en-US"/>
        </w:rPr>
      </w:pPr>
      <w:r w:rsidRPr="001D1565">
        <w:rPr>
          <w:color w:val="000000"/>
          <w:lang w:val="es-ES" w:eastAsia="en-US"/>
        </w:rPr>
        <w:t xml:space="preserve">20. Sotelo S, Manterola C. Morfología y Repercusiones Diagnóstico-Terapéuticas de las Lesiones Preneoplásicas Gástricas. </w:t>
      </w:r>
      <w:proofErr w:type="spellStart"/>
      <w:r w:rsidRPr="001D1565">
        <w:rPr>
          <w:color w:val="000000"/>
          <w:lang w:val="es-ES" w:eastAsia="en-US"/>
        </w:rPr>
        <w:t>Int</w:t>
      </w:r>
      <w:proofErr w:type="spellEnd"/>
      <w:r w:rsidRPr="001D1565">
        <w:rPr>
          <w:color w:val="000000"/>
          <w:lang w:val="es-ES" w:eastAsia="en-US"/>
        </w:rPr>
        <w:t xml:space="preserve"> J </w:t>
      </w:r>
      <w:proofErr w:type="spellStart"/>
      <w:r w:rsidRPr="001D1565">
        <w:rPr>
          <w:color w:val="000000"/>
          <w:lang w:val="es-ES" w:eastAsia="en-US"/>
        </w:rPr>
        <w:t>Morphol</w:t>
      </w:r>
      <w:proofErr w:type="spellEnd"/>
      <w:r w:rsidRPr="001D1565">
        <w:rPr>
          <w:color w:val="000000"/>
          <w:lang w:val="es-ES" w:eastAsia="en-US"/>
        </w:rPr>
        <w:t xml:space="preserve">. 2019 [acceso: 31/10/2019]; 37(3):917-27. Disponible en: </w:t>
      </w:r>
      <w:hyperlink r:id="rId35" w:history="1">
        <w:r w:rsidRPr="001D1565">
          <w:rPr>
            <w:color w:val="0000FF"/>
            <w:u w:val="single"/>
            <w:lang w:val="es-ES" w:eastAsia="en-US"/>
          </w:rPr>
          <w:t>https://scielo.conicyt.cl/scielo.php?script=sci_arttext&amp;pid=S0717-95022019000300917&amp;nrm=iso</w:t>
        </w:r>
      </w:hyperlink>
      <w:r w:rsidRPr="001D1565">
        <w:rPr>
          <w:color w:val="000000"/>
          <w:lang w:val="es-ES" w:eastAsia="en-US"/>
        </w:rPr>
        <w:t xml:space="preserve"> </w:t>
      </w:r>
    </w:p>
    <w:p w14:paraId="6DBE36AA" w14:textId="77777777" w:rsidR="001D1565" w:rsidRPr="001D1565" w:rsidRDefault="001D1565" w:rsidP="001D1565">
      <w:pPr>
        <w:suppressAutoHyphens/>
        <w:spacing w:line="360" w:lineRule="auto"/>
        <w:ind w:left="360"/>
        <w:jc w:val="both"/>
        <w:rPr>
          <w:color w:val="000000"/>
          <w:u w:val="single"/>
          <w:lang w:val="es-ES" w:eastAsia="en-US"/>
        </w:rPr>
      </w:pPr>
    </w:p>
    <w:p w14:paraId="35440A40" w14:textId="77777777" w:rsidR="001D1565" w:rsidRPr="001D1565" w:rsidRDefault="001D1565" w:rsidP="001D1565">
      <w:pPr>
        <w:suppressAutoHyphens/>
        <w:spacing w:line="360" w:lineRule="auto"/>
        <w:ind w:left="360"/>
        <w:jc w:val="both"/>
        <w:rPr>
          <w:lang w:val="es-ES" w:eastAsia="en-US"/>
        </w:rPr>
      </w:pPr>
    </w:p>
    <w:p w14:paraId="0E4A01B6" w14:textId="77777777" w:rsidR="001D1565" w:rsidRPr="001D1565" w:rsidRDefault="001D1565" w:rsidP="001D1565">
      <w:pPr>
        <w:suppressAutoHyphens/>
        <w:spacing w:line="360" w:lineRule="auto"/>
        <w:jc w:val="center"/>
        <w:rPr>
          <w:rFonts w:eastAsia="Roboto"/>
          <w:color w:val="000000"/>
          <w:lang w:val="es-CU" w:eastAsia="en-US"/>
        </w:rPr>
      </w:pPr>
      <w:r w:rsidRPr="001D1565">
        <w:rPr>
          <w:rFonts w:eastAsia="Roboto"/>
          <w:b/>
          <w:bCs/>
          <w:color w:val="000000"/>
          <w:lang w:val="es-CU" w:eastAsia="en-US"/>
        </w:rPr>
        <w:t>Conflictos de inter</w:t>
      </w:r>
      <w:r w:rsidRPr="001D1565">
        <w:rPr>
          <w:rFonts w:eastAsia="Roboto"/>
          <w:b/>
          <w:bCs/>
          <w:color w:val="000000"/>
          <w:lang w:val="es-US" w:eastAsia="en-US"/>
        </w:rPr>
        <w:t>é</w:t>
      </w:r>
      <w:r w:rsidRPr="001D1565">
        <w:rPr>
          <w:rFonts w:eastAsia="Roboto"/>
          <w:b/>
          <w:bCs/>
          <w:color w:val="000000"/>
          <w:lang w:val="es-CU" w:eastAsia="en-US"/>
        </w:rPr>
        <w:t>s</w:t>
      </w:r>
    </w:p>
    <w:p w14:paraId="48304908" w14:textId="77777777" w:rsidR="001D1565" w:rsidRPr="001D1565" w:rsidRDefault="001D1565" w:rsidP="001D1565">
      <w:pPr>
        <w:suppressAutoHyphens/>
        <w:spacing w:line="360" w:lineRule="auto"/>
        <w:jc w:val="both"/>
        <w:rPr>
          <w:rFonts w:eastAsia="Roboto"/>
          <w:color w:val="000000"/>
          <w:lang w:val="es-US" w:eastAsia="en-US"/>
        </w:rPr>
      </w:pPr>
      <w:r w:rsidRPr="001D1565">
        <w:rPr>
          <w:rFonts w:eastAsia="Roboto"/>
          <w:color w:val="000000"/>
          <w:lang w:val="es-US" w:eastAsia="en-US"/>
        </w:rPr>
        <w:t>Los autores plantean que no existen conflictos de interés.</w:t>
      </w:r>
    </w:p>
    <w:p w14:paraId="7F6E8E4C" w14:textId="77777777" w:rsidR="001D1565" w:rsidRPr="001D1565" w:rsidRDefault="001D1565" w:rsidP="001D1565">
      <w:pPr>
        <w:suppressAutoHyphens/>
        <w:spacing w:line="360" w:lineRule="auto"/>
        <w:jc w:val="both"/>
        <w:rPr>
          <w:rFonts w:eastAsia="Roboto"/>
          <w:color w:val="000000"/>
          <w:lang w:val="es-US" w:eastAsia="en-US"/>
        </w:rPr>
      </w:pPr>
    </w:p>
    <w:p w14:paraId="4F55E402" w14:textId="77777777" w:rsidR="001D1565" w:rsidRPr="001D1565" w:rsidRDefault="001D1565" w:rsidP="001D1565">
      <w:pPr>
        <w:suppressAutoHyphens/>
        <w:spacing w:line="360" w:lineRule="auto"/>
        <w:jc w:val="center"/>
        <w:rPr>
          <w:rFonts w:eastAsia="Roboto"/>
          <w:b/>
          <w:bCs/>
          <w:color w:val="000000"/>
          <w:lang w:val="es-US" w:eastAsia="en-US"/>
        </w:rPr>
      </w:pPr>
      <w:r w:rsidRPr="001D1565">
        <w:rPr>
          <w:rFonts w:eastAsia="Roboto"/>
          <w:b/>
          <w:bCs/>
          <w:color w:val="000000"/>
          <w:lang w:val="es-US" w:eastAsia="en-US"/>
        </w:rPr>
        <w:t>Contribuciones de los autores</w:t>
      </w:r>
    </w:p>
    <w:p w14:paraId="2D18F7DF" w14:textId="77777777" w:rsidR="001D1565" w:rsidRPr="001D1565" w:rsidRDefault="001D1565" w:rsidP="001D1565">
      <w:pPr>
        <w:suppressAutoHyphens/>
        <w:spacing w:line="360" w:lineRule="auto"/>
        <w:rPr>
          <w:rFonts w:eastAsia="Roboto"/>
          <w:color w:val="000000"/>
          <w:lang w:val="es-US" w:eastAsia="en-US"/>
        </w:rPr>
      </w:pPr>
      <w:r w:rsidRPr="001D1565">
        <w:rPr>
          <w:rFonts w:eastAsia="Roboto"/>
          <w:color w:val="000000"/>
          <w:lang w:val="es-US" w:eastAsia="en-US"/>
        </w:rPr>
        <w:t xml:space="preserve">Conceptualización: </w:t>
      </w:r>
      <w:r w:rsidRPr="001D1565">
        <w:rPr>
          <w:rFonts w:eastAsia="Roboto"/>
          <w:i/>
          <w:color w:val="000000"/>
          <w:lang w:val="es-US" w:eastAsia="en-US"/>
        </w:rPr>
        <w:t xml:space="preserve">Ludmila Martínez Leyva, Teresita de Jesús Montero González, Felipe Neri Piñol Jiménez. </w:t>
      </w:r>
    </w:p>
    <w:p w14:paraId="31E9E301" w14:textId="77777777" w:rsidR="001D1565" w:rsidRPr="001D1565" w:rsidRDefault="001D1565" w:rsidP="001D1565">
      <w:pPr>
        <w:suppressAutoHyphens/>
        <w:spacing w:line="360" w:lineRule="auto"/>
        <w:rPr>
          <w:rFonts w:eastAsia="Roboto"/>
          <w:color w:val="000000"/>
          <w:lang w:val="es-US" w:eastAsia="en-US"/>
        </w:rPr>
      </w:pPr>
      <w:r w:rsidRPr="001D1565">
        <w:rPr>
          <w:rFonts w:eastAsia="Roboto"/>
          <w:color w:val="000000"/>
          <w:lang w:val="es-US" w:eastAsia="en-US"/>
        </w:rPr>
        <w:t xml:space="preserve">Curación de datos: </w:t>
      </w:r>
      <w:r w:rsidRPr="001D1565">
        <w:rPr>
          <w:rFonts w:eastAsia="Roboto"/>
          <w:i/>
          <w:color w:val="000000"/>
          <w:lang w:val="es-US" w:eastAsia="en-US"/>
        </w:rPr>
        <w:t xml:space="preserve">Lilia Martínez Garrido. </w:t>
      </w:r>
    </w:p>
    <w:p w14:paraId="74B671A8" w14:textId="77777777" w:rsidR="001D1565" w:rsidRPr="001D1565" w:rsidRDefault="001D1565" w:rsidP="001D1565">
      <w:pPr>
        <w:suppressAutoHyphens/>
        <w:spacing w:line="360" w:lineRule="auto"/>
        <w:rPr>
          <w:rFonts w:eastAsia="Roboto"/>
          <w:color w:val="000000"/>
          <w:lang w:val="es-US" w:eastAsia="en-US"/>
        </w:rPr>
      </w:pPr>
      <w:r w:rsidRPr="001D1565">
        <w:rPr>
          <w:rFonts w:eastAsia="Roboto"/>
          <w:color w:val="000000"/>
          <w:lang w:val="es-US" w:eastAsia="en-US"/>
        </w:rPr>
        <w:t xml:space="preserve">Análisis formal: </w:t>
      </w:r>
      <w:r w:rsidRPr="001D1565">
        <w:rPr>
          <w:rFonts w:eastAsia="Roboto"/>
          <w:i/>
          <w:color w:val="000000"/>
          <w:lang w:val="es-US" w:eastAsia="en-US"/>
        </w:rPr>
        <w:t xml:space="preserve">Ludmila Martínez Leyva, Osvaldo Miranda Gómez. </w:t>
      </w:r>
    </w:p>
    <w:p w14:paraId="16332123" w14:textId="77777777" w:rsidR="001D1565" w:rsidRPr="001D1565" w:rsidRDefault="001D1565" w:rsidP="001D1565">
      <w:pPr>
        <w:suppressAutoHyphens/>
        <w:spacing w:line="360" w:lineRule="auto"/>
        <w:rPr>
          <w:rFonts w:eastAsia="Roboto"/>
          <w:i/>
          <w:color w:val="000000"/>
          <w:lang w:val="es-US" w:eastAsia="en-US"/>
        </w:rPr>
      </w:pPr>
      <w:r w:rsidRPr="001D1565">
        <w:rPr>
          <w:rFonts w:eastAsia="Roboto"/>
          <w:color w:val="000000"/>
          <w:lang w:val="es-US" w:eastAsia="en-US"/>
        </w:rPr>
        <w:t xml:space="preserve">Investigación: </w:t>
      </w:r>
      <w:r w:rsidRPr="001D1565">
        <w:rPr>
          <w:rFonts w:eastAsia="Roboto"/>
          <w:i/>
          <w:color w:val="000000"/>
          <w:lang w:val="es-US" w:eastAsia="en-US"/>
        </w:rPr>
        <w:t xml:space="preserve">Lilia Martínez Garrido. </w:t>
      </w:r>
    </w:p>
    <w:p w14:paraId="428AECCB" w14:textId="77777777" w:rsidR="001D1565" w:rsidRPr="001D1565" w:rsidRDefault="001D1565" w:rsidP="001D1565">
      <w:pPr>
        <w:suppressAutoHyphens/>
        <w:spacing w:line="360" w:lineRule="auto"/>
        <w:rPr>
          <w:rFonts w:eastAsia="Roboto"/>
          <w:color w:val="000000"/>
          <w:lang w:val="es-US" w:eastAsia="en-US"/>
        </w:rPr>
      </w:pPr>
      <w:r w:rsidRPr="001D1565">
        <w:rPr>
          <w:rFonts w:eastAsia="Roboto"/>
          <w:color w:val="000000"/>
          <w:lang w:val="es-US" w:eastAsia="en-US"/>
        </w:rPr>
        <w:t xml:space="preserve">Metodología: </w:t>
      </w:r>
      <w:r w:rsidRPr="001D1565">
        <w:rPr>
          <w:rFonts w:eastAsia="Roboto"/>
          <w:i/>
          <w:color w:val="000000"/>
          <w:lang w:val="es-US" w:eastAsia="en-US"/>
        </w:rPr>
        <w:t xml:space="preserve">Ludmila Martínez Leyva, Amada </w:t>
      </w:r>
      <w:proofErr w:type="spellStart"/>
      <w:r w:rsidRPr="001D1565">
        <w:rPr>
          <w:rFonts w:eastAsia="Roboto"/>
          <w:i/>
          <w:color w:val="000000"/>
          <w:lang w:val="es-US" w:eastAsia="en-US"/>
        </w:rPr>
        <w:t>Belquis</w:t>
      </w:r>
      <w:proofErr w:type="spellEnd"/>
      <w:r w:rsidRPr="001D1565">
        <w:rPr>
          <w:rFonts w:eastAsia="Roboto"/>
          <w:i/>
          <w:color w:val="000000"/>
          <w:lang w:val="es-US" w:eastAsia="en-US"/>
        </w:rPr>
        <w:t xml:space="preserve"> Palomino Besada. </w:t>
      </w:r>
    </w:p>
    <w:p w14:paraId="66AB009C" w14:textId="77777777" w:rsidR="001D1565" w:rsidRPr="001D1565" w:rsidRDefault="001D1565" w:rsidP="001D1565">
      <w:pPr>
        <w:suppressAutoHyphens/>
        <w:spacing w:line="360" w:lineRule="auto"/>
        <w:rPr>
          <w:rFonts w:eastAsia="Roboto"/>
          <w:i/>
          <w:color w:val="000000"/>
          <w:lang w:val="es-US" w:eastAsia="en-US"/>
        </w:rPr>
      </w:pPr>
      <w:r w:rsidRPr="001D1565">
        <w:rPr>
          <w:rFonts w:eastAsia="Roboto"/>
          <w:color w:val="000000"/>
          <w:lang w:val="es-US" w:eastAsia="en-US"/>
        </w:rPr>
        <w:t xml:space="preserve">Supervisión: </w:t>
      </w:r>
      <w:r w:rsidRPr="001D1565">
        <w:rPr>
          <w:rFonts w:eastAsia="Roboto"/>
          <w:i/>
          <w:color w:val="000000"/>
          <w:lang w:val="es-US" w:eastAsia="en-US"/>
        </w:rPr>
        <w:t xml:space="preserve">Teresita de Jesús Montero González. </w:t>
      </w:r>
    </w:p>
    <w:p w14:paraId="49434AD8" w14:textId="77777777" w:rsidR="001D1565" w:rsidRPr="001D1565" w:rsidRDefault="001D1565" w:rsidP="001D1565">
      <w:pPr>
        <w:suppressAutoHyphens/>
        <w:spacing w:line="360" w:lineRule="auto"/>
        <w:rPr>
          <w:rFonts w:eastAsia="Roboto"/>
          <w:iCs/>
          <w:color w:val="000000"/>
          <w:lang w:val="es-US" w:eastAsia="en-US"/>
        </w:rPr>
      </w:pPr>
      <w:r w:rsidRPr="001D1565">
        <w:rPr>
          <w:rFonts w:eastAsia="Roboto"/>
          <w:color w:val="000000"/>
          <w:lang w:val="es-US" w:eastAsia="en-US"/>
        </w:rPr>
        <w:lastRenderedPageBreak/>
        <w:t xml:space="preserve">Redacción – borrador original: </w:t>
      </w:r>
      <w:r w:rsidRPr="001D1565">
        <w:rPr>
          <w:rFonts w:eastAsia="Roboto"/>
          <w:i/>
          <w:color w:val="000000"/>
          <w:lang w:val="es-US" w:eastAsia="en-US"/>
        </w:rPr>
        <w:t>Ludmila Martínez Leyva, Lilia Martínez Garrido.</w:t>
      </w:r>
    </w:p>
    <w:p w14:paraId="359B2912" w14:textId="77777777" w:rsidR="001D1565" w:rsidRPr="001D1565" w:rsidRDefault="001D1565" w:rsidP="001D1565">
      <w:pPr>
        <w:suppressAutoHyphens/>
        <w:spacing w:line="360" w:lineRule="auto"/>
        <w:rPr>
          <w:rFonts w:eastAsia="Roboto"/>
          <w:i/>
          <w:color w:val="000000"/>
          <w:lang w:val="es-ES" w:eastAsia="en-US"/>
        </w:rPr>
      </w:pPr>
      <w:r w:rsidRPr="001D1565">
        <w:rPr>
          <w:rFonts w:eastAsia="Roboto"/>
          <w:iCs/>
          <w:color w:val="000000"/>
          <w:lang w:val="es-US" w:eastAsia="en-US"/>
        </w:rPr>
        <w:t>Redacción</w:t>
      </w:r>
      <w:r w:rsidRPr="001D1565">
        <w:rPr>
          <w:rFonts w:eastAsia="Roboto"/>
          <w:color w:val="000000"/>
          <w:lang w:val="es-US" w:eastAsia="en-US"/>
        </w:rPr>
        <w:t xml:space="preserve"> – revisión y edición: </w:t>
      </w:r>
      <w:r w:rsidRPr="001D1565">
        <w:rPr>
          <w:rFonts w:eastAsia="Roboto"/>
          <w:i/>
          <w:color w:val="000000"/>
          <w:lang w:val="es-US" w:eastAsia="en-US"/>
        </w:rPr>
        <w:t>Ludmila Martínez Leyva.</w:t>
      </w:r>
    </w:p>
    <w:p w14:paraId="0BD2DBD9" w14:textId="77777777" w:rsidR="00675476" w:rsidRPr="001D1565" w:rsidRDefault="00675476" w:rsidP="001D1565">
      <w:pPr>
        <w:pStyle w:val="PDFRevista"/>
        <w:rPr>
          <w:lang w:val="es-ES"/>
        </w:rPr>
      </w:pPr>
    </w:p>
    <w:sectPr w:rsidR="00675476" w:rsidRPr="001D1565" w:rsidSect="00FD3DF8">
      <w:headerReference w:type="default" r:id="rId36"/>
      <w:footerReference w:type="even" r:id="rId37"/>
      <w:footerReference w:type="default" r:id="rId3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1CE6C" w14:textId="77777777" w:rsidR="00A219EA" w:rsidRDefault="00A219EA">
      <w:r>
        <w:separator/>
      </w:r>
    </w:p>
  </w:endnote>
  <w:endnote w:type="continuationSeparator" w:id="0">
    <w:p w14:paraId="10C3B6E4" w14:textId="77777777" w:rsidR="00A219EA" w:rsidRDefault="00A2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Oblique">
    <w:altName w:val="Malgun Gothic Semilight"/>
    <w:panose1 w:val="00000000000000000000"/>
    <w:charset w:val="86"/>
    <w:family w:val="swiss"/>
    <w:notTrueType/>
    <w:pitch w:val="default"/>
    <w:sig w:usb0="00000001" w:usb1="080E0000" w:usb2="00000010" w:usb3="00000000" w:csb0="00040000" w:csb1="00000000"/>
  </w:font>
  <w:font w:name="Univers">
    <w:altName w:val="Malgun Gothic Semilight"/>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5AF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038049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29B9" w14:textId="3316BB9F" w:rsidR="000F3690" w:rsidRPr="00AE044C" w:rsidRDefault="001D156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F73371E" wp14:editId="76DA630C">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2B304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C64762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516594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56B5307" w14:textId="0ED0624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D1565" w:rsidRPr="001D1565">
      <w:rPr>
        <w:rFonts w:ascii="Verdana" w:hAnsi="Verdana"/>
        <w:noProof/>
        <w:sz w:val="18"/>
        <w:szCs w:val="18"/>
        <w:lang w:val="en-US" w:eastAsia="en-US"/>
      </w:rPr>
      <w:drawing>
        <wp:inline distT="0" distB="0" distL="0" distR="0" wp14:anchorId="12165192" wp14:editId="78F94B7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36D4" w14:textId="77777777" w:rsidR="00A219EA" w:rsidRDefault="00A219EA">
      <w:r>
        <w:separator/>
      </w:r>
    </w:p>
  </w:footnote>
  <w:footnote w:type="continuationSeparator" w:id="0">
    <w:p w14:paraId="676FE881" w14:textId="77777777" w:rsidR="00A219EA" w:rsidRDefault="00A21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1D21" w14:textId="6954FA17" w:rsidR="00CC376A" w:rsidRPr="00AE044C" w:rsidRDefault="001D1565"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proofErr w:type="gramStart"/>
    <w:r w:rsidR="007D2D0C" w:rsidRPr="00AE044C">
      <w:rPr>
        <w:sz w:val="22"/>
        <w:szCs w:val="22"/>
      </w:rPr>
      <w:t>):</w:t>
    </w:r>
    <w:proofErr w:type="spellStart"/>
    <w:r>
      <w:rPr>
        <w:sz w:val="22"/>
        <w:szCs w:val="22"/>
      </w:rPr>
      <w:t>e</w:t>
    </w:r>
    <w:proofErr w:type="gramEnd"/>
    <w:r>
      <w:rPr>
        <w:sz w:val="22"/>
        <w:szCs w:val="22"/>
      </w:rPr>
      <w:t>02202269</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7E75DA1" wp14:editId="0A2FDD99">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066E2" w14:textId="6935E49A" w:rsidR="00A477DE" w:rsidRDefault="001D1565">
    <w:r>
      <w:rPr>
        <w:noProof/>
      </w:rPr>
      <mc:AlternateContent>
        <mc:Choice Requires="wps">
          <w:drawing>
            <wp:anchor distT="0" distB="0" distL="114300" distR="114300" simplePos="0" relativeHeight="251654144" behindDoc="0" locked="0" layoutInCell="1" allowOverlap="1" wp14:anchorId="01FFDAA2" wp14:editId="7D4C0A59">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27F5E5"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3DF"/>
    <w:multiLevelType w:val="multilevel"/>
    <w:tmpl w:val="C1509EF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DF05521"/>
    <w:multiLevelType w:val="multilevel"/>
    <w:tmpl w:val="345865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546528969">
    <w:abstractNumId w:val="2"/>
  </w:num>
  <w:num w:numId="2" w16cid:durableId="70323423">
    <w:abstractNumId w:val="1"/>
  </w:num>
  <w:num w:numId="3" w16cid:durableId="187376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65"/>
    <w:rsid w:val="00057F45"/>
    <w:rsid w:val="000850CC"/>
    <w:rsid w:val="000D3958"/>
    <w:rsid w:val="000F3690"/>
    <w:rsid w:val="001221D1"/>
    <w:rsid w:val="00165CB5"/>
    <w:rsid w:val="00180CE9"/>
    <w:rsid w:val="001D1565"/>
    <w:rsid w:val="00230DD5"/>
    <w:rsid w:val="00250AE9"/>
    <w:rsid w:val="002F71FC"/>
    <w:rsid w:val="00380D64"/>
    <w:rsid w:val="00391509"/>
    <w:rsid w:val="003E03D5"/>
    <w:rsid w:val="00415DFC"/>
    <w:rsid w:val="00457C0D"/>
    <w:rsid w:val="00486BFA"/>
    <w:rsid w:val="00493701"/>
    <w:rsid w:val="004E2065"/>
    <w:rsid w:val="005508A2"/>
    <w:rsid w:val="0055115D"/>
    <w:rsid w:val="00566F71"/>
    <w:rsid w:val="005918BD"/>
    <w:rsid w:val="00594046"/>
    <w:rsid w:val="006173A6"/>
    <w:rsid w:val="00675476"/>
    <w:rsid w:val="007C430F"/>
    <w:rsid w:val="007D2D0C"/>
    <w:rsid w:val="007D614D"/>
    <w:rsid w:val="00960D6A"/>
    <w:rsid w:val="009A0560"/>
    <w:rsid w:val="009B0917"/>
    <w:rsid w:val="009C7A2B"/>
    <w:rsid w:val="009F0F96"/>
    <w:rsid w:val="00A219EA"/>
    <w:rsid w:val="00A23C0C"/>
    <w:rsid w:val="00A46D05"/>
    <w:rsid w:val="00A477DE"/>
    <w:rsid w:val="00A71E65"/>
    <w:rsid w:val="00AE044C"/>
    <w:rsid w:val="00B31971"/>
    <w:rsid w:val="00B34F37"/>
    <w:rsid w:val="00B4380A"/>
    <w:rsid w:val="00B66ECB"/>
    <w:rsid w:val="00C4373F"/>
    <w:rsid w:val="00C7523A"/>
    <w:rsid w:val="00CC1B6E"/>
    <w:rsid w:val="00CC376A"/>
    <w:rsid w:val="00CC48A1"/>
    <w:rsid w:val="00CF50E0"/>
    <w:rsid w:val="00D85951"/>
    <w:rsid w:val="00E62606"/>
    <w:rsid w:val="00EA1FEF"/>
    <w:rsid w:val="00EC5A6B"/>
    <w:rsid w:val="00EE301D"/>
    <w:rsid w:val="00F671F7"/>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4EBD"/>
  <w15:docId w15:val="{5D27AD11-496E-4BE6-9F99-99FDD4D9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066-985X" TargetMode="External"/><Relationship Id="rId13" Type="http://schemas.openxmlformats.org/officeDocument/2006/relationships/hyperlink" Target="mailto:ludmila@infomed.sld.cu" TargetMode="External"/><Relationship Id="rId18" Type="http://schemas.openxmlformats.org/officeDocument/2006/relationships/image" Target="media/image5.jpeg"/><Relationship Id="rId26" Type="http://schemas.openxmlformats.org/officeDocument/2006/relationships/hyperlink" Target="http://www.wma.net/es/30publications/10policies/b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alud.msp.gob.cu/wp-content/Anuario/Anuario-2020.pdf" TargetMode="External"/><Relationship Id="rId34" Type="http://schemas.openxmlformats.org/officeDocument/2006/relationships/hyperlink" Target="http://scielo.sld.cu/scielo.php?script=sci_arttext&amp;pid=S0034-75232010000100003&amp;nrm=iso" TargetMode="External"/><Relationship Id="rId7" Type="http://schemas.openxmlformats.org/officeDocument/2006/relationships/hyperlink" Target="https://orcid.org/0000-0002-4333-4030" TargetMode="External"/><Relationship Id="rId12" Type="http://schemas.openxmlformats.org/officeDocument/2006/relationships/hyperlink" Target="https://orcid.org/0000-0002-4581-7693" TargetMode="External"/><Relationship Id="rId17" Type="http://schemas.openxmlformats.org/officeDocument/2006/relationships/image" Target="media/image4.jpeg"/><Relationship Id="rId25" Type="http://schemas.openxmlformats.org/officeDocument/2006/relationships/hyperlink" Target="http://www.revmedmilitar.sld.cu/index.php/mil/article/view/616" TargetMode="External"/><Relationship Id="rId33" Type="http://schemas.openxmlformats.org/officeDocument/2006/relationships/hyperlink" Target="http://www.revhabanera.sld.cu/index.php/rhab/article/view/349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cielo.sld.cu/scielo.php?script=sci_arttext&amp;pid=S1029-30192016001100002&amp;nrm=iso" TargetMode="External"/><Relationship Id="rId29" Type="http://schemas.openxmlformats.org/officeDocument/2006/relationships/hyperlink" Target="https://revistagastrocol.com/index.php/rcg/article/view/1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017-6808" TargetMode="External"/><Relationship Id="rId24" Type="http://schemas.openxmlformats.org/officeDocument/2006/relationships/hyperlink" Target="http://www.medisan.sld.cu/index.php/san/article/view/2457" TargetMode="External"/><Relationship Id="rId32" Type="http://schemas.openxmlformats.org/officeDocument/2006/relationships/hyperlink" Target="http://scielo.sld.cu/scielo.php?script=sci_arttext&amp;pid=S1561-31942014000300009&amp;nrm=iso"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revistagastrocol.com/index.php/rcg/article/view/394" TargetMode="External"/><Relationship Id="rId28" Type="http://schemas.openxmlformats.org/officeDocument/2006/relationships/hyperlink" Target="http://scielo.sld.cu/scielo.php?script=sci_arttext&amp;pid=S1684-18242018000200018&amp;nrm=iso" TargetMode="External"/><Relationship Id="rId36" Type="http://schemas.openxmlformats.org/officeDocument/2006/relationships/header" Target="header1.xml"/><Relationship Id="rId10" Type="http://schemas.openxmlformats.org/officeDocument/2006/relationships/hyperlink" Target="https://orcid.org/0000-0003-0522-8875" TargetMode="External"/><Relationship Id="rId19" Type="http://schemas.openxmlformats.org/officeDocument/2006/relationships/hyperlink" Target="https://arsmedica.cl/index.php/MED/article/view/72" TargetMode="External"/><Relationship Id="rId31" Type="http://schemas.openxmlformats.org/officeDocument/2006/relationships/hyperlink" Target="http://www.scielo.org.pe/scielo.php?script=sci_arttext&amp;pid=S1022-51292018000400006&amp;lng=es" TargetMode="External"/><Relationship Id="rId4" Type="http://schemas.openxmlformats.org/officeDocument/2006/relationships/webSettings" Target="webSettings.xml"/><Relationship Id="rId9" Type="http://schemas.openxmlformats.org/officeDocument/2006/relationships/hyperlink" Target="https://orcid.org/0000-0003-3372-6791" TargetMode="External"/><Relationship Id="rId14" Type="http://schemas.openxmlformats.org/officeDocument/2006/relationships/image" Target="media/image1.png"/><Relationship Id="rId22" Type="http://schemas.openxmlformats.org/officeDocument/2006/relationships/hyperlink" Target="https://www.redalyc.org/articulo.oa?id=337749741006" TargetMode="External"/><Relationship Id="rId27" Type="http://schemas.openxmlformats.org/officeDocument/2006/relationships/hyperlink" Target="http://www.revistagastroenterologiamexico.org/es-pdf-X037509061183891X" TargetMode="External"/><Relationship Id="rId30" Type="http://schemas.openxmlformats.org/officeDocument/2006/relationships/hyperlink" Target="https://www.redalyc.org/articulo.oa?id=199366563013" TargetMode="External"/><Relationship Id="rId35" Type="http://schemas.openxmlformats.org/officeDocument/2006/relationships/hyperlink" Target="https://scielo.conicyt.cl/scielo.php?script=sci_arttext&amp;pid=S0717-95022019000300917&amp;nrm=is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16</Pages>
  <Words>4406</Words>
  <Characters>24239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28588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2022-11-21T21:45:00Z</cp:lastPrinted>
  <dcterms:created xsi:type="dcterms:W3CDTF">2022-11-26T16:03:00Z</dcterms:created>
  <dcterms:modified xsi:type="dcterms:W3CDTF">2022-11-26T16:03:00Z</dcterms:modified>
</cp:coreProperties>
</file>