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3176" w14:textId="77777777" w:rsidR="00DF0F8C" w:rsidRPr="00DF0F8C" w:rsidRDefault="00DF0F8C" w:rsidP="00DF0F8C">
      <w:pPr>
        <w:spacing w:line="360" w:lineRule="auto"/>
        <w:jc w:val="right"/>
        <w:rPr>
          <w:rFonts w:eastAsia="Calibri"/>
          <w:color w:val="00000A"/>
          <w:sz w:val="20"/>
          <w:szCs w:val="20"/>
          <w:lang w:eastAsia="en-US"/>
        </w:rPr>
      </w:pPr>
      <w:r w:rsidRPr="00DF0F8C">
        <w:rPr>
          <w:rFonts w:eastAsia="Calibri"/>
          <w:color w:val="00000A"/>
          <w:sz w:val="20"/>
          <w:szCs w:val="20"/>
          <w:lang w:eastAsia="en-US"/>
        </w:rPr>
        <w:t>Artículo de investigación</w:t>
      </w:r>
    </w:p>
    <w:p w14:paraId="0F10764E" w14:textId="77777777" w:rsidR="00DF0F8C" w:rsidRPr="00DF0F8C" w:rsidRDefault="00DF0F8C" w:rsidP="00DF0F8C">
      <w:pPr>
        <w:spacing w:line="360" w:lineRule="auto"/>
        <w:jc w:val="both"/>
        <w:rPr>
          <w:rFonts w:eastAsia="Calibri"/>
          <w:color w:val="00000A"/>
          <w:highlight w:val="yellow"/>
          <w:lang w:eastAsia="en-US"/>
        </w:rPr>
      </w:pPr>
    </w:p>
    <w:p w14:paraId="05973A2C" w14:textId="77777777" w:rsidR="00DF0F8C" w:rsidRPr="00DF0F8C" w:rsidRDefault="00DF0F8C" w:rsidP="00DF0F8C">
      <w:pPr>
        <w:spacing w:line="360" w:lineRule="auto"/>
        <w:jc w:val="center"/>
        <w:rPr>
          <w:rFonts w:eastAsia="Calibri"/>
          <w:b/>
          <w:color w:val="00000A"/>
          <w:sz w:val="28"/>
          <w:szCs w:val="28"/>
          <w:lang w:eastAsia="en-US"/>
        </w:rPr>
      </w:pPr>
      <w:r w:rsidRPr="00DF0F8C">
        <w:rPr>
          <w:rFonts w:eastAsia="Calibri"/>
          <w:b/>
          <w:color w:val="00000A"/>
          <w:sz w:val="28"/>
          <w:szCs w:val="28"/>
          <w:lang w:eastAsia="en-US"/>
        </w:rPr>
        <w:t>Evolución clínica de pacientes con esclerosis múltiple remitente- recurrente tratados con interferón beta-1a</w:t>
      </w:r>
    </w:p>
    <w:p w14:paraId="159F676E" w14:textId="77777777" w:rsidR="00DF0F8C" w:rsidRPr="00DF0F8C" w:rsidRDefault="00DF0F8C" w:rsidP="00DF0F8C">
      <w:pPr>
        <w:spacing w:line="360" w:lineRule="auto"/>
        <w:jc w:val="center"/>
        <w:rPr>
          <w:rFonts w:eastAsia="Calibri"/>
          <w:color w:val="00000A"/>
          <w:lang w:val="en-US" w:eastAsia="en-US"/>
        </w:rPr>
      </w:pPr>
      <w:r w:rsidRPr="00DF0F8C">
        <w:rPr>
          <w:rFonts w:eastAsia="Calibri"/>
          <w:color w:val="00000A"/>
          <w:sz w:val="28"/>
          <w:szCs w:val="28"/>
          <w:lang w:val="en-US" w:eastAsia="en-US"/>
        </w:rPr>
        <w:t>Clinical evolution of patients with relapsing-remitting multiple sclerosis treated with interferon beta-1a</w:t>
      </w:r>
    </w:p>
    <w:p w14:paraId="1F4F9857" w14:textId="77777777" w:rsidR="00DF0F8C" w:rsidRPr="00DF0F8C" w:rsidRDefault="00DF0F8C" w:rsidP="00DF0F8C">
      <w:pPr>
        <w:spacing w:line="360" w:lineRule="auto"/>
        <w:jc w:val="both"/>
        <w:rPr>
          <w:b/>
          <w:color w:val="00000A"/>
          <w:lang w:val="en-US" w:eastAsia="es-ES"/>
        </w:rPr>
      </w:pPr>
    </w:p>
    <w:p w14:paraId="4B940FFB" w14:textId="77777777" w:rsidR="00DF0F8C" w:rsidRPr="00DF0F8C" w:rsidRDefault="00DF0F8C" w:rsidP="00DF0F8C">
      <w:pPr>
        <w:spacing w:line="360" w:lineRule="auto"/>
        <w:jc w:val="both"/>
        <w:rPr>
          <w:rFonts w:eastAsia="Calibri"/>
          <w:color w:val="00000A"/>
          <w:lang w:eastAsia="en-US"/>
        </w:rPr>
      </w:pPr>
      <w:r w:rsidRPr="00DF0F8C">
        <w:rPr>
          <w:rFonts w:eastAsia="Calibri"/>
          <w:color w:val="00000A"/>
          <w:lang w:eastAsia="en-US"/>
        </w:rPr>
        <w:t>Lázaro Aurelio Vázquez-Gómez</w:t>
      </w:r>
      <w:r w:rsidRPr="00DF0F8C">
        <w:rPr>
          <w:rFonts w:eastAsia="Calibri"/>
          <w:color w:val="00000A"/>
          <w:vertAlign w:val="superscript"/>
          <w:lang w:eastAsia="en-US"/>
        </w:rPr>
        <w:t>1</w:t>
      </w:r>
      <w:r w:rsidRPr="00DF0F8C">
        <w:rPr>
          <w:rFonts w:eastAsia="Calibri"/>
          <w:color w:val="00000A"/>
          <w:lang w:eastAsia="en-US"/>
        </w:rPr>
        <w:t>*</w:t>
      </w:r>
      <w:r w:rsidRPr="00DF0F8C">
        <w:rPr>
          <w:rFonts w:eastAsia="Calibri"/>
          <w:color w:val="00000A"/>
          <w:vertAlign w:val="superscript"/>
          <w:lang w:eastAsia="en-US"/>
        </w:rPr>
        <w:t xml:space="preserve"> </w:t>
      </w:r>
      <w:hyperlink r:id="rId7">
        <w:r w:rsidRPr="00DF0F8C">
          <w:rPr>
            <w:rFonts w:eastAsia="Calibri"/>
            <w:color w:val="0563C1"/>
            <w:u w:val="single"/>
            <w:lang w:eastAsia="en-US"/>
          </w:rPr>
          <w:t>https://orcid.org/0000-0002-0506-5992</w:t>
        </w:r>
      </w:hyperlink>
    </w:p>
    <w:p w14:paraId="0A35E9E0" w14:textId="77777777" w:rsidR="00DF0F8C" w:rsidRPr="00DF0F8C" w:rsidRDefault="00DF0F8C" w:rsidP="00DF0F8C">
      <w:pPr>
        <w:spacing w:line="360" w:lineRule="auto"/>
        <w:jc w:val="both"/>
        <w:rPr>
          <w:rFonts w:eastAsia="Calibri"/>
          <w:color w:val="00000A"/>
          <w:lang w:eastAsia="en-US"/>
        </w:rPr>
      </w:pPr>
      <w:r w:rsidRPr="00DF0F8C">
        <w:rPr>
          <w:rFonts w:eastAsia="Calibri"/>
          <w:color w:val="00000A"/>
          <w:lang w:eastAsia="en-US"/>
        </w:rPr>
        <w:t>Carlos Hidalgo Mesa</w:t>
      </w:r>
      <w:r w:rsidRPr="00DF0F8C">
        <w:rPr>
          <w:rFonts w:eastAsia="Calibri"/>
          <w:color w:val="00000A"/>
          <w:vertAlign w:val="superscript"/>
          <w:lang w:eastAsia="en-US"/>
        </w:rPr>
        <w:t>2</w:t>
      </w:r>
      <w:r w:rsidRPr="00DF0F8C">
        <w:rPr>
          <w:rFonts w:eastAsia="Calibri"/>
          <w:lang w:eastAsia="en-US"/>
        </w:rPr>
        <w:t xml:space="preserve"> </w:t>
      </w:r>
      <w:hyperlink r:id="rId8">
        <w:r w:rsidRPr="00DF0F8C">
          <w:rPr>
            <w:rFonts w:eastAsia="Calibri"/>
            <w:color w:val="0563C1"/>
            <w:u w:val="single"/>
            <w:lang w:val="es-ES" w:eastAsia="en-US"/>
          </w:rPr>
          <w:t>https://orcid.org/0000-0003-4705-4519</w:t>
        </w:r>
      </w:hyperlink>
    </w:p>
    <w:p w14:paraId="5159FA1C" w14:textId="77777777" w:rsidR="00DF0F8C" w:rsidRPr="00DF0F8C" w:rsidRDefault="00DF0F8C" w:rsidP="00DF0F8C">
      <w:pPr>
        <w:spacing w:line="360" w:lineRule="auto"/>
        <w:jc w:val="both"/>
        <w:rPr>
          <w:rFonts w:eastAsia="Calibri"/>
          <w:color w:val="0563C1"/>
          <w:u w:val="single"/>
          <w:lang w:val="es-ES" w:eastAsia="en-US"/>
        </w:rPr>
      </w:pPr>
      <w:r w:rsidRPr="00DF0F8C">
        <w:rPr>
          <w:rFonts w:eastAsia="Calibri"/>
          <w:color w:val="00000A"/>
          <w:lang w:eastAsia="en-US"/>
        </w:rPr>
        <w:t>Yunier Broche-Pérez</w:t>
      </w:r>
      <w:r w:rsidRPr="00DF0F8C">
        <w:rPr>
          <w:rFonts w:eastAsia="Calibri"/>
          <w:color w:val="00000A"/>
          <w:vertAlign w:val="superscript"/>
          <w:lang w:eastAsia="en-US"/>
        </w:rPr>
        <w:t>3</w:t>
      </w:r>
      <w:r w:rsidRPr="00DF0F8C">
        <w:rPr>
          <w:rFonts w:eastAsia="Calibri"/>
          <w:color w:val="00000A"/>
          <w:lang w:eastAsia="en-US"/>
        </w:rPr>
        <w:t xml:space="preserve"> </w:t>
      </w:r>
      <w:hyperlink r:id="rId9">
        <w:r w:rsidRPr="00DF0F8C">
          <w:rPr>
            <w:rFonts w:eastAsia="Calibri"/>
            <w:color w:val="0563C1"/>
            <w:u w:val="single"/>
            <w:lang w:val="es-ES" w:eastAsia="en-US"/>
          </w:rPr>
          <w:t>https://orcid.org/0000-0002-3450-7374</w:t>
        </w:r>
      </w:hyperlink>
    </w:p>
    <w:p w14:paraId="03DCE5CF" w14:textId="77777777" w:rsidR="00DF0F8C" w:rsidRPr="00DF0F8C" w:rsidRDefault="00DF0F8C" w:rsidP="00DF0F8C">
      <w:pPr>
        <w:spacing w:line="360" w:lineRule="auto"/>
        <w:rPr>
          <w:rFonts w:eastAsia="Calibri"/>
          <w:color w:val="00000A"/>
          <w:vertAlign w:val="superscript"/>
          <w:lang w:val="es-ES" w:eastAsia="en-US"/>
        </w:rPr>
      </w:pPr>
    </w:p>
    <w:p w14:paraId="4C68DD50" w14:textId="77777777" w:rsidR="00DF0F8C" w:rsidRPr="00DF0F8C" w:rsidRDefault="00DF0F8C" w:rsidP="00DF0F8C">
      <w:pPr>
        <w:spacing w:line="360" w:lineRule="auto"/>
        <w:jc w:val="both"/>
        <w:rPr>
          <w:rFonts w:eastAsia="Calibri"/>
          <w:color w:val="00000A"/>
          <w:lang w:eastAsia="en-US"/>
        </w:rPr>
      </w:pPr>
      <w:r w:rsidRPr="00DF0F8C">
        <w:rPr>
          <w:rFonts w:eastAsia="Calibri"/>
          <w:color w:val="00000A"/>
          <w:vertAlign w:val="superscript"/>
          <w:lang w:eastAsia="en-US"/>
        </w:rPr>
        <w:t>1</w:t>
      </w:r>
      <w:r w:rsidRPr="00DF0F8C">
        <w:rPr>
          <w:rFonts w:eastAsia="Calibri"/>
          <w:color w:val="00000A"/>
          <w:lang w:eastAsia="en-US"/>
        </w:rPr>
        <w:t xml:space="preserve">Universidad de Ciencias Médicas de Villa Clara. Hospital Provincial Universitario “Arnaldo Milián Castro”. Villa Clara, Cuba. </w:t>
      </w:r>
    </w:p>
    <w:p w14:paraId="6DFF18DB" w14:textId="77777777" w:rsidR="00DF0F8C" w:rsidRPr="00DF0F8C" w:rsidRDefault="00DF0F8C" w:rsidP="00DF0F8C">
      <w:pPr>
        <w:spacing w:line="360" w:lineRule="auto"/>
        <w:jc w:val="both"/>
        <w:rPr>
          <w:rFonts w:eastAsia="Arial"/>
          <w:color w:val="00000A"/>
          <w:lang w:eastAsia="es-ES"/>
        </w:rPr>
      </w:pPr>
      <w:r w:rsidRPr="00DF0F8C">
        <w:rPr>
          <w:rFonts w:eastAsia="Calibri"/>
          <w:color w:val="00000A"/>
          <w:vertAlign w:val="superscript"/>
          <w:lang w:eastAsia="en-US"/>
        </w:rPr>
        <w:t>2</w:t>
      </w:r>
      <w:r w:rsidRPr="00DF0F8C">
        <w:rPr>
          <w:rFonts w:eastAsia="Calibri"/>
          <w:color w:val="00000A"/>
          <w:lang w:eastAsia="en-US"/>
        </w:rPr>
        <w:t>Universidad de Ciencias Médicas de las FAR. Hospital Militar “Comandante Manuel Fajardo Rivero”. Villa Clara, Cuba.</w:t>
      </w:r>
      <w:r w:rsidRPr="00DF0F8C">
        <w:rPr>
          <w:rFonts w:eastAsia="Arial"/>
          <w:color w:val="00000A"/>
          <w:lang w:eastAsia="es-ES"/>
        </w:rPr>
        <w:t xml:space="preserve"> </w:t>
      </w:r>
    </w:p>
    <w:p w14:paraId="6E697EBE" w14:textId="77777777" w:rsidR="00DF0F8C" w:rsidRPr="00DF0F8C" w:rsidRDefault="00DF0F8C" w:rsidP="00DF0F8C">
      <w:pPr>
        <w:spacing w:line="360" w:lineRule="auto"/>
        <w:jc w:val="both"/>
        <w:rPr>
          <w:rFonts w:eastAsia="Calibri"/>
          <w:lang w:val="es-ES" w:eastAsia="en-US"/>
        </w:rPr>
      </w:pPr>
      <w:r w:rsidRPr="00DF0F8C">
        <w:rPr>
          <w:rFonts w:eastAsia="Calibri"/>
          <w:color w:val="00000A"/>
          <w:vertAlign w:val="superscript"/>
          <w:lang w:val="es-ES" w:eastAsia="en-US"/>
        </w:rPr>
        <w:t>3</w:t>
      </w:r>
      <w:r w:rsidRPr="00DF0F8C">
        <w:rPr>
          <w:rFonts w:eastAsia="Calibri"/>
          <w:color w:val="00000A"/>
          <w:lang w:val="es-ES" w:eastAsia="en-US"/>
        </w:rPr>
        <w:t>Universidad Central “Marta Abreu” de las Villas. Las Villas, Cuba.</w:t>
      </w:r>
    </w:p>
    <w:p w14:paraId="60304285" w14:textId="77777777" w:rsidR="00DF0F8C" w:rsidRPr="00DF0F8C" w:rsidRDefault="00DF0F8C" w:rsidP="00DF0F8C">
      <w:pPr>
        <w:spacing w:line="360" w:lineRule="auto"/>
        <w:rPr>
          <w:rFonts w:eastAsia="Calibri"/>
          <w:color w:val="00000A"/>
          <w:lang w:eastAsia="en-US"/>
        </w:rPr>
      </w:pPr>
    </w:p>
    <w:p w14:paraId="3674E021" w14:textId="77777777" w:rsidR="00DF0F8C" w:rsidRPr="00DF0F8C" w:rsidRDefault="00DF0F8C" w:rsidP="00DF0F8C">
      <w:pPr>
        <w:spacing w:line="360" w:lineRule="auto"/>
        <w:rPr>
          <w:rFonts w:eastAsia="Calibri"/>
          <w:color w:val="00000A"/>
          <w:lang w:eastAsia="en-US"/>
        </w:rPr>
      </w:pPr>
      <w:r w:rsidRPr="00DF0F8C">
        <w:rPr>
          <w:rFonts w:eastAsia="Calibri"/>
          <w:color w:val="00000A"/>
          <w:lang w:eastAsia="en-US"/>
        </w:rPr>
        <w:t xml:space="preserve">*Autor para la correspondencia. Correo electrónico: </w:t>
      </w:r>
      <w:hyperlink r:id="rId10">
        <w:r w:rsidRPr="00DF0F8C">
          <w:rPr>
            <w:rFonts w:eastAsia="Calibri"/>
            <w:color w:val="0563C1"/>
            <w:u w:val="single"/>
            <w:lang w:eastAsia="en-US"/>
          </w:rPr>
          <w:t>lazarovg@infomed.sld.cu</w:t>
        </w:r>
      </w:hyperlink>
      <w:r w:rsidRPr="00DF0F8C">
        <w:rPr>
          <w:rFonts w:eastAsia="Calibri"/>
          <w:color w:val="00000A"/>
          <w:lang w:eastAsia="en-US"/>
        </w:rPr>
        <w:t xml:space="preserve">. </w:t>
      </w:r>
    </w:p>
    <w:p w14:paraId="3CC71679" w14:textId="77777777" w:rsidR="00DF0F8C" w:rsidRPr="00DF0F8C" w:rsidRDefault="00DF0F8C" w:rsidP="00DF0F8C">
      <w:pPr>
        <w:spacing w:line="360" w:lineRule="auto"/>
        <w:rPr>
          <w:rFonts w:eastAsia="Calibri"/>
          <w:color w:val="00000A"/>
          <w:lang w:eastAsia="en-US"/>
        </w:rPr>
      </w:pPr>
    </w:p>
    <w:p w14:paraId="3CB5FA8C" w14:textId="77777777" w:rsidR="00DF0F8C" w:rsidRPr="00DF0F8C" w:rsidRDefault="00DF0F8C" w:rsidP="00DF0F8C">
      <w:pPr>
        <w:spacing w:line="360" w:lineRule="auto"/>
        <w:jc w:val="both"/>
        <w:rPr>
          <w:b/>
          <w:color w:val="00000A"/>
          <w:lang w:eastAsia="es-ES"/>
        </w:rPr>
      </w:pPr>
      <w:r w:rsidRPr="00DF0F8C">
        <w:rPr>
          <w:b/>
          <w:color w:val="00000A"/>
          <w:lang w:eastAsia="es-ES"/>
        </w:rPr>
        <w:t>RESUMEN</w:t>
      </w:r>
    </w:p>
    <w:p w14:paraId="2C59977D" w14:textId="77777777" w:rsidR="00DF0F8C" w:rsidRPr="00DF0F8C" w:rsidRDefault="00DF0F8C" w:rsidP="00DF0F8C">
      <w:pPr>
        <w:spacing w:line="360" w:lineRule="auto"/>
        <w:jc w:val="both"/>
        <w:rPr>
          <w:rFonts w:eastAsia="Calibri"/>
          <w:lang w:eastAsia="en-US"/>
        </w:rPr>
      </w:pPr>
      <w:r w:rsidRPr="00DF0F8C">
        <w:rPr>
          <w:b/>
          <w:color w:val="00000A"/>
          <w:lang w:eastAsia="es-ES"/>
        </w:rPr>
        <w:t>Introducción:</w:t>
      </w:r>
      <w:r w:rsidRPr="00DF0F8C">
        <w:rPr>
          <w:rFonts w:eastAsia="Calibri"/>
          <w:lang w:eastAsia="en-US"/>
        </w:rPr>
        <w:t xml:space="preserve"> El inicio de la terapia con interferón ha sido y es el primer paso en el tratamiento de muchos pacientes con esclerosis múltiple, con el propósito de retrasar la progresión de la enfermedad.</w:t>
      </w:r>
    </w:p>
    <w:p w14:paraId="04156CF5" w14:textId="77777777" w:rsidR="00DF0F8C" w:rsidRPr="00DF0F8C" w:rsidRDefault="00DF0F8C" w:rsidP="00DF0F8C">
      <w:pPr>
        <w:spacing w:line="360" w:lineRule="auto"/>
        <w:jc w:val="both"/>
        <w:rPr>
          <w:color w:val="00000A"/>
          <w:lang w:eastAsia="es-ES"/>
        </w:rPr>
      </w:pPr>
      <w:r w:rsidRPr="00DF0F8C">
        <w:rPr>
          <w:b/>
          <w:color w:val="00000A"/>
          <w:lang w:eastAsia="es-ES"/>
        </w:rPr>
        <w:t>Objetivo:</w:t>
      </w:r>
      <w:r w:rsidRPr="00DF0F8C">
        <w:rPr>
          <w:rFonts w:eastAsia="Calibri"/>
          <w:lang w:eastAsia="en-US"/>
        </w:rPr>
        <w:t xml:space="preserve"> </w:t>
      </w:r>
      <w:r w:rsidRPr="00DF0F8C">
        <w:rPr>
          <w:color w:val="00000A"/>
          <w:lang w:eastAsia="es-ES"/>
        </w:rPr>
        <w:t>Identificar los marcadores clínicos de respuesta al tratamiento con interferón beta-1a de pacientes con esclerosis múltiple remitente-recurrente.</w:t>
      </w:r>
    </w:p>
    <w:p w14:paraId="45019E9D" w14:textId="77777777" w:rsidR="00DF0F8C" w:rsidRPr="00DF0F8C" w:rsidRDefault="00DF0F8C" w:rsidP="00DF0F8C">
      <w:pPr>
        <w:spacing w:line="360" w:lineRule="auto"/>
        <w:jc w:val="both"/>
        <w:rPr>
          <w:color w:val="00000A"/>
          <w:lang w:eastAsia="es-ES"/>
        </w:rPr>
      </w:pPr>
      <w:r w:rsidRPr="00DF0F8C">
        <w:rPr>
          <w:b/>
          <w:color w:val="00000A"/>
          <w:lang w:eastAsia="es-ES"/>
        </w:rPr>
        <w:t>Métodos:</w:t>
      </w:r>
      <w:r w:rsidRPr="00DF0F8C">
        <w:rPr>
          <w:color w:val="00000A"/>
          <w:lang w:eastAsia="es-ES"/>
        </w:rPr>
        <w:t xml:space="preserve"> Se realizó un estudio observacional, descriptivo, longitudinal</w:t>
      </w:r>
      <w:r w:rsidRPr="00DF0F8C">
        <w:rPr>
          <w:rFonts w:eastAsia="Calibri"/>
          <w:lang w:eastAsia="en-US"/>
        </w:rPr>
        <w:t xml:space="preserve">, prospectivo, </w:t>
      </w:r>
      <w:r w:rsidRPr="00DF0F8C">
        <w:rPr>
          <w:color w:val="00000A"/>
          <w:lang w:eastAsia="es-ES"/>
        </w:rPr>
        <w:t xml:space="preserve">de una </w:t>
      </w:r>
      <w:r w:rsidRPr="00DF0F8C">
        <w:rPr>
          <w:rFonts w:eastAsia="Calibri"/>
          <w:lang w:eastAsia="en-US"/>
        </w:rPr>
        <w:t xml:space="preserve">serie de casos </w:t>
      </w:r>
      <w:r w:rsidRPr="00DF0F8C">
        <w:rPr>
          <w:color w:val="00000A"/>
          <w:lang w:eastAsia="es-ES"/>
        </w:rPr>
        <w:t>de pacientes con diagnóstico de</w:t>
      </w:r>
      <w:r w:rsidRPr="00DF0F8C">
        <w:rPr>
          <w:rFonts w:eastAsia="Calibri"/>
          <w:lang w:eastAsia="en-US"/>
        </w:rPr>
        <w:t xml:space="preserve"> </w:t>
      </w:r>
      <w:r w:rsidRPr="00DF0F8C">
        <w:rPr>
          <w:color w:val="00000A"/>
          <w:lang w:eastAsia="es-ES"/>
        </w:rPr>
        <w:t xml:space="preserve">esclerosis múltiple remitente-recurrente, que recibían tratamiento con </w:t>
      </w:r>
      <w:r w:rsidRPr="00DF0F8C">
        <w:rPr>
          <w:rFonts w:eastAsia="Calibri"/>
          <w:color w:val="00000A"/>
          <w:lang w:eastAsia="en-US"/>
        </w:rPr>
        <w:t>interferón beta-1a</w:t>
      </w:r>
      <w:r w:rsidRPr="00DF0F8C">
        <w:rPr>
          <w:color w:val="00000A"/>
          <w:lang w:eastAsia="es-ES"/>
        </w:rPr>
        <w:t>, en el periodo comprendido entre enero del 2014 a diciembre del 2020. Se incluyeron los 39 pacientes.</w:t>
      </w:r>
    </w:p>
    <w:p w14:paraId="6A2EBBEF" w14:textId="5D20A2D0" w:rsidR="00DF0F8C" w:rsidRPr="00DF0F8C" w:rsidRDefault="00DF0F8C" w:rsidP="00DF0F8C">
      <w:pPr>
        <w:spacing w:line="360" w:lineRule="auto"/>
        <w:jc w:val="both"/>
        <w:rPr>
          <w:rFonts w:eastAsia="Calibri"/>
          <w:lang w:eastAsia="en-US"/>
        </w:rPr>
      </w:pPr>
      <w:r w:rsidRPr="00DF0F8C">
        <w:rPr>
          <w:b/>
          <w:color w:val="00000A"/>
          <w:lang w:eastAsia="es-ES"/>
        </w:rPr>
        <w:lastRenderedPageBreak/>
        <w:t>Resultados:</w:t>
      </w:r>
      <w:r w:rsidRPr="00DF0F8C">
        <w:rPr>
          <w:rFonts w:eastAsia="Calibri"/>
          <w:lang w:eastAsia="en-US"/>
        </w:rPr>
        <w:t xml:space="preserve"> La media de edad fue de 34,54 años. La media del nivel de discapacidad en la línea base, 12, 24 y a los 36 meses fue de 1,76; 1,91; 2,1 y 2,37 respectivamente. La media de los brotes en la línea base, 12, 24 y a los 36 meses fue de 1,13; 0,26; 0,38 y 0,13 respectivamente. Se muestra la cifra de progresiones inferior en un 51 % a los 36 meses. La razón de ventaja</w:t>
      </w:r>
      <w:r w:rsidR="00015D8E">
        <w:rPr>
          <w:rFonts w:eastAsia="Calibri"/>
          <w:lang w:eastAsia="en-US"/>
        </w:rPr>
        <w:t>s</w:t>
      </w:r>
      <w:r w:rsidRPr="00DF0F8C">
        <w:rPr>
          <w:rFonts w:eastAsia="Calibri"/>
          <w:lang w:eastAsia="en-US"/>
        </w:rPr>
        <w:t xml:space="preserve"> (</w:t>
      </w:r>
      <w:r w:rsidRPr="00DF0F8C">
        <w:rPr>
          <w:rFonts w:eastAsia="Calibri"/>
          <w:i/>
          <w:lang w:eastAsia="en-US"/>
        </w:rPr>
        <w:t>odds ratio</w:t>
      </w:r>
      <w:r w:rsidRPr="00DF0F8C">
        <w:rPr>
          <w:rFonts w:eastAsia="Calibri"/>
          <w:lang w:eastAsia="en-US"/>
        </w:rPr>
        <w:t xml:space="preserve">) para la no presencia de brotes se muestra entre 2 y 4 veces en estos pacientes. </w:t>
      </w:r>
    </w:p>
    <w:p w14:paraId="1DECA3EE" w14:textId="77777777" w:rsidR="00DF0F8C" w:rsidRPr="00DF0F8C" w:rsidRDefault="00DF0F8C" w:rsidP="00DF0F8C">
      <w:pPr>
        <w:spacing w:line="360" w:lineRule="auto"/>
        <w:jc w:val="both"/>
        <w:rPr>
          <w:rFonts w:eastAsia="Calibri"/>
          <w:lang w:eastAsia="en-US"/>
        </w:rPr>
      </w:pPr>
      <w:r w:rsidRPr="00DF0F8C">
        <w:rPr>
          <w:b/>
          <w:color w:val="00000A"/>
          <w:lang w:eastAsia="es-ES"/>
        </w:rPr>
        <w:t>Conclusiones:</w:t>
      </w:r>
      <w:r w:rsidRPr="00DF0F8C">
        <w:rPr>
          <w:rFonts w:eastAsia="Calibri"/>
          <w:lang w:eastAsia="en-US"/>
        </w:rPr>
        <w:t xml:space="preserve"> Se identifican marcadores clínicos de respuesta al tratamiento con </w:t>
      </w:r>
      <w:r w:rsidRPr="00DF0F8C">
        <w:rPr>
          <w:rFonts w:eastAsia="Calibri"/>
          <w:color w:val="00000A"/>
          <w:lang w:eastAsia="en-US"/>
        </w:rPr>
        <w:t>interferón beta-1a</w:t>
      </w:r>
      <w:r w:rsidRPr="00DF0F8C">
        <w:rPr>
          <w:rFonts w:eastAsia="Calibri"/>
          <w:lang w:eastAsia="en-US"/>
        </w:rPr>
        <w:t xml:space="preserve"> que ayudan a valorar la respuesta al tratamiento, lo cual</w:t>
      </w:r>
      <w:r w:rsidRPr="00DF0F8C">
        <w:rPr>
          <w:rFonts w:eastAsia="Calibri"/>
          <w:lang w:eastAsia="en-US"/>
        </w:rPr>
        <w:t xml:space="preserve"> </w:t>
      </w:r>
      <w:r w:rsidRPr="00DF0F8C">
        <w:rPr>
          <w:rFonts w:eastAsia="Calibri"/>
          <w:lang w:eastAsia="en-US"/>
        </w:rPr>
        <w:t>repercute de forma positiva en la evolución de la enfermedad.</w:t>
      </w:r>
    </w:p>
    <w:p w14:paraId="1A59AEB7" w14:textId="32269D7A" w:rsidR="00DF0F8C" w:rsidRPr="00DF0F8C" w:rsidRDefault="00DF0F8C" w:rsidP="00DF0F8C">
      <w:pPr>
        <w:spacing w:line="360" w:lineRule="auto"/>
        <w:jc w:val="both"/>
        <w:rPr>
          <w:color w:val="00000A"/>
          <w:lang w:eastAsia="es-ES"/>
        </w:rPr>
      </w:pPr>
      <w:r w:rsidRPr="00DF0F8C">
        <w:rPr>
          <w:b/>
          <w:color w:val="00000A"/>
          <w:lang w:eastAsia="es-ES"/>
        </w:rPr>
        <w:t>Palabras clave:</w:t>
      </w:r>
      <w:r w:rsidRPr="00DF0F8C">
        <w:rPr>
          <w:color w:val="00000A"/>
          <w:lang w:eastAsia="es-ES"/>
        </w:rPr>
        <w:t xml:space="preserve"> discapacidad; esclerosis múltiple; esclerosis múltiple remitente-recurrente; fármacos modificadores de la enfermedad; interferón beta-1a. </w:t>
      </w:r>
    </w:p>
    <w:p w14:paraId="7D90605E" w14:textId="77777777" w:rsidR="00DF0F8C" w:rsidRPr="00DF0F8C" w:rsidRDefault="00DF0F8C" w:rsidP="00DF0F8C">
      <w:pPr>
        <w:spacing w:line="360" w:lineRule="auto"/>
        <w:jc w:val="both"/>
        <w:rPr>
          <w:b/>
          <w:color w:val="00000A"/>
          <w:lang w:eastAsia="es-ES"/>
        </w:rPr>
      </w:pPr>
    </w:p>
    <w:p w14:paraId="26CDF7B4" w14:textId="77777777" w:rsidR="00DF0F8C" w:rsidRPr="00DF0F8C" w:rsidRDefault="00DF0F8C" w:rsidP="00DF0F8C">
      <w:pPr>
        <w:spacing w:line="360" w:lineRule="auto"/>
        <w:jc w:val="both"/>
        <w:rPr>
          <w:b/>
          <w:color w:val="00000A"/>
          <w:lang w:val="en-US" w:eastAsia="es-ES"/>
        </w:rPr>
      </w:pPr>
      <w:r w:rsidRPr="00DF0F8C">
        <w:rPr>
          <w:b/>
          <w:color w:val="00000A"/>
          <w:lang w:val="en-US" w:eastAsia="es-ES"/>
        </w:rPr>
        <w:t>ABSTRACT</w:t>
      </w:r>
    </w:p>
    <w:p w14:paraId="46A46A1D" w14:textId="77777777" w:rsidR="00DF0F8C" w:rsidRPr="00DF0F8C" w:rsidRDefault="00DF0F8C" w:rsidP="00DF0F8C">
      <w:pPr>
        <w:spacing w:line="360" w:lineRule="auto"/>
        <w:jc w:val="both"/>
        <w:rPr>
          <w:lang w:val="en-US" w:eastAsia="es-ES"/>
        </w:rPr>
      </w:pPr>
      <w:r w:rsidRPr="00DF0F8C">
        <w:rPr>
          <w:b/>
          <w:lang w:val="en-US" w:eastAsia="es-ES"/>
        </w:rPr>
        <w:t>Introduction:</w:t>
      </w:r>
      <w:r w:rsidRPr="00DF0F8C">
        <w:rPr>
          <w:rFonts w:eastAsia="Calibri"/>
          <w:lang w:val="en-US" w:eastAsia="en-US"/>
        </w:rPr>
        <w:t xml:space="preserve"> The initiation of interferon therapy has been and is the first step in the treatment of many patients with multiple sclerosis, with the aim of delaying the progression of the disease.</w:t>
      </w:r>
    </w:p>
    <w:p w14:paraId="2C87BD71" w14:textId="77777777" w:rsidR="00DF0F8C" w:rsidRPr="00DF0F8C" w:rsidRDefault="00DF0F8C" w:rsidP="00DF0F8C">
      <w:pPr>
        <w:spacing w:line="360" w:lineRule="auto"/>
        <w:jc w:val="both"/>
        <w:rPr>
          <w:lang w:val="en-US" w:eastAsia="es-ES"/>
        </w:rPr>
      </w:pPr>
      <w:r w:rsidRPr="00DF0F8C">
        <w:rPr>
          <w:b/>
          <w:color w:val="00000A"/>
          <w:lang w:val="en-US" w:eastAsia="es-ES"/>
        </w:rPr>
        <w:t>Objective:</w:t>
      </w:r>
      <w:r w:rsidRPr="00DF0F8C">
        <w:rPr>
          <w:rFonts w:eastAsia="Calibri"/>
          <w:lang w:val="en-US" w:eastAsia="en-US"/>
        </w:rPr>
        <w:t xml:space="preserve"> To identify the clinical markers of response to treatment with Interferon beta-1a in patients with relapsing-remitting multiple sclerosis.</w:t>
      </w:r>
    </w:p>
    <w:p w14:paraId="6E7B68E5" w14:textId="77777777" w:rsidR="00DF0F8C" w:rsidRPr="00DF0F8C" w:rsidRDefault="00DF0F8C" w:rsidP="00DF0F8C">
      <w:pPr>
        <w:spacing w:line="360" w:lineRule="auto"/>
        <w:jc w:val="both"/>
        <w:rPr>
          <w:rFonts w:eastAsia="Calibri"/>
          <w:lang w:val="en-US" w:eastAsia="en-US"/>
        </w:rPr>
      </w:pPr>
      <w:r w:rsidRPr="00DF0F8C">
        <w:rPr>
          <w:b/>
          <w:lang w:val="en-US" w:eastAsia="es-ES"/>
        </w:rPr>
        <w:t>Methods:</w:t>
      </w:r>
      <w:r w:rsidRPr="00DF0F8C">
        <w:rPr>
          <w:rFonts w:eastAsia="Calibri"/>
          <w:lang w:val="en-US" w:eastAsia="en-US"/>
        </w:rPr>
        <w:t xml:space="preserve"> An observational, descriptive, longitudinal, prospective study was carried out of a series of cases of patients diagnosed with relapsing-remitting multiple sclerosis, who received treatment with interferon beta-1a, in the period between January 2014 and December 2020. All 39 patients were included.</w:t>
      </w:r>
    </w:p>
    <w:p w14:paraId="0F741906" w14:textId="77777777" w:rsidR="00DF0F8C" w:rsidRPr="00DF0F8C" w:rsidRDefault="00DF0F8C" w:rsidP="00DF0F8C">
      <w:pPr>
        <w:spacing w:line="360" w:lineRule="auto"/>
        <w:jc w:val="both"/>
        <w:rPr>
          <w:rFonts w:eastAsia="Calibri"/>
          <w:lang w:val="en-US" w:eastAsia="en-US"/>
        </w:rPr>
      </w:pPr>
      <w:r w:rsidRPr="00DF0F8C">
        <w:rPr>
          <w:b/>
          <w:lang w:val="en-US" w:eastAsia="es-ES"/>
        </w:rPr>
        <w:t xml:space="preserve">Results: </w:t>
      </w:r>
      <w:r w:rsidRPr="00DF0F8C">
        <w:rPr>
          <w:lang w:val="en-US" w:eastAsia="es-ES"/>
        </w:rPr>
        <w:t>The mean age was 34.54 years. The mean disability level at baseline, 12, 24, and 36 months was 1.76; 1.91; 2.1 and 2.37 respectively. The mean number of flares at baseline, 12, 24, and 36 months was 1.13; 0.26; 0.38 and 0.13 respectively. The number of progressions lower by 51% at 36 months is shown. The odds ratio for the absence of relapses is between 2 and 4 times in these patients.</w:t>
      </w:r>
      <w:r w:rsidRPr="00DF0F8C">
        <w:rPr>
          <w:lang w:val="en-US" w:eastAsia="en-US"/>
        </w:rPr>
        <w:t xml:space="preserve"> </w:t>
      </w:r>
    </w:p>
    <w:p w14:paraId="73F0AA28" w14:textId="77777777" w:rsidR="00DF0F8C" w:rsidRPr="00DF0F8C" w:rsidRDefault="00DF0F8C" w:rsidP="00DF0F8C">
      <w:pPr>
        <w:spacing w:line="360" w:lineRule="auto"/>
        <w:jc w:val="both"/>
        <w:rPr>
          <w:rFonts w:eastAsia="Calibri"/>
          <w:color w:val="00000A"/>
          <w:lang w:val="en-US" w:eastAsia="en-US"/>
        </w:rPr>
      </w:pPr>
      <w:r w:rsidRPr="00DF0F8C">
        <w:rPr>
          <w:rFonts w:eastAsia="Calibri"/>
          <w:b/>
          <w:color w:val="00000A"/>
          <w:lang w:val="en-US" w:eastAsia="en-US"/>
        </w:rPr>
        <w:t>Conclusions:</w:t>
      </w:r>
      <w:r w:rsidRPr="00DF0F8C">
        <w:rPr>
          <w:rFonts w:eastAsia="Calibri"/>
          <w:color w:val="00000A"/>
          <w:lang w:val="en-US" w:eastAsia="en-US"/>
        </w:rPr>
        <w:t xml:space="preserve"> Clinical markers of response to treatment with Interferon beta-1a are identified that help assess the response to treatment, which has a positive impact on the evolution of the disease.</w:t>
      </w:r>
    </w:p>
    <w:p w14:paraId="72BCBC76" w14:textId="4E51DCAA" w:rsidR="00DF0F8C" w:rsidRPr="00DF0F8C" w:rsidRDefault="00DF0F8C" w:rsidP="00DF0F8C">
      <w:pPr>
        <w:spacing w:line="360" w:lineRule="auto"/>
        <w:jc w:val="both"/>
        <w:rPr>
          <w:lang w:val="en" w:eastAsia="en-US"/>
        </w:rPr>
      </w:pPr>
      <w:r w:rsidRPr="00DF0F8C">
        <w:rPr>
          <w:rFonts w:eastAsia="Calibri"/>
          <w:b/>
          <w:lang w:val="en-US" w:eastAsia="en-US"/>
        </w:rPr>
        <w:t>Keywords:</w:t>
      </w:r>
      <w:r w:rsidRPr="00DF0F8C">
        <w:rPr>
          <w:rFonts w:eastAsia="Calibri"/>
          <w:lang w:val="en-US" w:eastAsia="en-US"/>
        </w:rPr>
        <w:t xml:space="preserve"> </w:t>
      </w:r>
      <w:r w:rsidRPr="00DF0F8C">
        <w:rPr>
          <w:lang w:val="en" w:eastAsia="en-US"/>
        </w:rPr>
        <w:t xml:space="preserve">disability; disease modifying drugs; interferon beta-1a; multiple sclerosis; relapsing-remitting multiple sclerosis. </w:t>
      </w:r>
    </w:p>
    <w:p w14:paraId="4D96E57D" w14:textId="77777777" w:rsidR="00DF0F8C" w:rsidRPr="00DF0F8C" w:rsidRDefault="00DF0F8C" w:rsidP="00DF0F8C">
      <w:pPr>
        <w:spacing w:line="360" w:lineRule="auto"/>
        <w:jc w:val="both"/>
        <w:rPr>
          <w:lang w:val="en" w:eastAsia="en-US"/>
        </w:rPr>
      </w:pPr>
    </w:p>
    <w:p w14:paraId="30EED888" w14:textId="77777777" w:rsidR="00DF0F8C" w:rsidRPr="00DF0F8C" w:rsidRDefault="00DF0F8C" w:rsidP="00DF0F8C">
      <w:pPr>
        <w:spacing w:line="360" w:lineRule="auto"/>
        <w:jc w:val="both"/>
        <w:rPr>
          <w:lang w:val="en" w:eastAsia="en-US"/>
        </w:rPr>
      </w:pPr>
    </w:p>
    <w:p w14:paraId="55F5B75E" w14:textId="77777777" w:rsidR="00DF0F8C" w:rsidRPr="00DF0F8C" w:rsidRDefault="00DF0F8C" w:rsidP="00DF0F8C">
      <w:pPr>
        <w:spacing w:line="360" w:lineRule="auto"/>
        <w:jc w:val="both"/>
        <w:rPr>
          <w:lang w:val="es-CU" w:eastAsia="en-US"/>
        </w:rPr>
      </w:pPr>
      <w:r w:rsidRPr="00DF0F8C">
        <w:rPr>
          <w:lang w:val="es-CU" w:eastAsia="en-US"/>
        </w:rPr>
        <w:t>Recibido: 28/07/2022</w:t>
      </w:r>
    </w:p>
    <w:p w14:paraId="4E886272" w14:textId="77777777" w:rsidR="00DF0F8C" w:rsidRPr="00DF0F8C" w:rsidRDefault="00DF0F8C" w:rsidP="00DF0F8C">
      <w:pPr>
        <w:spacing w:line="360" w:lineRule="auto"/>
        <w:jc w:val="both"/>
        <w:rPr>
          <w:lang w:val="es-CU" w:eastAsia="en-US"/>
        </w:rPr>
      </w:pPr>
      <w:r w:rsidRPr="00DF0F8C">
        <w:rPr>
          <w:lang w:val="es-CU" w:eastAsia="en-US"/>
        </w:rPr>
        <w:t>Aprobado: 03/09/2022</w:t>
      </w:r>
    </w:p>
    <w:p w14:paraId="61358C53" w14:textId="77777777" w:rsidR="00DF0F8C" w:rsidRPr="00DF0F8C" w:rsidRDefault="00DF0F8C" w:rsidP="00DF0F8C">
      <w:pPr>
        <w:spacing w:line="360" w:lineRule="auto"/>
        <w:jc w:val="center"/>
        <w:rPr>
          <w:b/>
          <w:color w:val="00000A"/>
          <w:lang w:eastAsia="es-ES"/>
        </w:rPr>
      </w:pPr>
    </w:p>
    <w:p w14:paraId="5E552EFB" w14:textId="77777777" w:rsidR="00DF0F8C" w:rsidRPr="00DF0F8C" w:rsidRDefault="00DF0F8C" w:rsidP="00DF0F8C">
      <w:pPr>
        <w:spacing w:line="360" w:lineRule="auto"/>
        <w:jc w:val="center"/>
        <w:rPr>
          <w:b/>
          <w:color w:val="00000A"/>
          <w:lang w:eastAsia="es-ES"/>
        </w:rPr>
      </w:pPr>
    </w:p>
    <w:p w14:paraId="04F8436E" w14:textId="77777777" w:rsidR="00DF0F8C" w:rsidRPr="00DF0F8C" w:rsidRDefault="00DF0F8C" w:rsidP="00DF0F8C">
      <w:pPr>
        <w:spacing w:line="360" w:lineRule="auto"/>
        <w:jc w:val="center"/>
        <w:rPr>
          <w:b/>
          <w:color w:val="00000A"/>
          <w:sz w:val="32"/>
          <w:szCs w:val="32"/>
          <w:lang w:eastAsia="es-ES"/>
        </w:rPr>
      </w:pPr>
      <w:r w:rsidRPr="00DF0F8C">
        <w:rPr>
          <w:b/>
          <w:color w:val="00000A"/>
          <w:sz w:val="32"/>
          <w:szCs w:val="32"/>
          <w:lang w:eastAsia="es-ES"/>
        </w:rPr>
        <w:t>INTRODUCCIÓN</w:t>
      </w:r>
    </w:p>
    <w:p w14:paraId="433F8A2F" w14:textId="77777777" w:rsidR="00DF0F8C" w:rsidRPr="00DF0F8C" w:rsidRDefault="00DF0F8C" w:rsidP="00DF0F8C">
      <w:pPr>
        <w:spacing w:line="360" w:lineRule="auto"/>
        <w:jc w:val="both"/>
        <w:rPr>
          <w:rFonts w:eastAsia="Calibri"/>
          <w:lang w:eastAsia="en-US"/>
        </w:rPr>
      </w:pPr>
      <w:r w:rsidRPr="00DF0F8C">
        <w:rPr>
          <w:rFonts w:eastAsia="Calibri"/>
          <w:lang w:eastAsia="en-US"/>
        </w:rPr>
        <w:t>Actualmente no existe tratamiento que detenga la evolución de la esclerosis múltiple (EM). Los objetivos del tratamiento son: disminuir el número de brotes, reducir el número de lesiones cerebrales y su volumen, para retrasar la progresión de la enfermedad. El tratamiento se divide en varias categorías: tratamiento de brotes, fármacos modificadores de la enfermedad (FME), sintomático y rehabilitador.</w:t>
      </w:r>
      <w:r w:rsidRPr="00DF0F8C">
        <w:rPr>
          <w:rFonts w:eastAsia="Calibri"/>
          <w:vertAlign w:val="superscript"/>
          <w:lang w:eastAsia="en-US"/>
        </w:rPr>
        <w:t>(1)</w:t>
      </w:r>
      <w:r w:rsidRPr="00DF0F8C">
        <w:rPr>
          <w:rFonts w:eastAsia="Calibri"/>
          <w:lang w:eastAsia="en-US"/>
        </w:rPr>
        <w:t xml:space="preserve"> </w:t>
      </w:r>
    </w:p>
    <w:p w14:paraId="77A501E4" w14:textId="77777777" w:rsidR="00DF0F8C" w:rsidRPr="00DF0F8C" w:rsidRDefault="00DF0F8C" w:rsidP="00DF0F8C">
      <w:pPr>
        <w:spacing w:line="360" w:lineRule="auto"/>
        <w:jc w:val="both"/>
        <w:rPr>
          <w:rFonts w:eastAsia="Calibri"/>
          <w:lang w:eastAsia="en-US"/>
        </w:rPr>
      </w:pPr>
      <w:r w:rsidRPr="00DF0F8C">
        <w:rPr>
          <w:rFonts w:eastAsia="Calibri"/>
          <w:lang w:eastAsia="en-US"/>
        </w:rPr>
        <w:t xml:space="preserve">Los FME se agrupan en 2: terapias de primera línea (interferón beta-1a, acetato glatiramer) y terapias de segunda línea (fingolimod, natalizumab). </w:t>
      </w:r>
    </w:p>
    <w:p w14:paraId="10467959" w14:textId="77777777" w:rsidR="00DF0F8C" w:rsidRPr="00DF0F8C" w:rsidRDefault="00DF0F8C" w:rsidP="00DF0F8C">
      <w:pPr>
        <w:spacing w:line="360" w:lineRule="auto"/>
        <w:jc w:val="both"/>
        <w:rPr>
          <w:rFonts w:eastAsia="Calibri"/>
          <w:bCs/>
          <w:lang w:eastAsia="en-US"/>
        </w:rPr>
      </w:pPr>
      <w:r w:rsidRPr="00DF0F8C">
        <w:rPr>
          <w:rFonts w:eastAsia="Calibri"/>
          <w:lang w:eastAsia="en-US"/>
        </w:rPr>
        <w:t xml:space="preserve">Hay diferentes presentaciones de la EM, la más frecuente es la esclerosis múltiple remitente-recurrente (EMRR). En esta </w:t>
      </w:r>
      <w:r w:rsidRPr="00DF0F8C">
        <w:rPr>
          <w:rFonts w:eastAsia="Calibri"/>
          <w:bCs/>
          <w:lang w:eastAsia="en-US"/>
        </w:rPr>
        <w:t>los síntomas ocurren en forma de brotes, que aparecen durante un período, seguidos por otro de recuperación parcial o completa</w:t>
      </w:r>
      <w:r w:rsidRPr="00DF0F8C">
        <w:rPr>
          <w:rFonts w:eastAsia="Calibri"/>
          <w:lang w:eastAsia="en-US"/>
        </w:rPr>
        <w:t>. Por tanto, se pueden controlar adecuadamente con las primeras opciones terapéuticas, en cuanto al control anual de brotes. Los efectos adversos son transitorios y bien tolerados, generalmente.</w:t>
      </w:r>
      <w:r w:rsidRPr="00DF0F8C">
        <w:rPr>
          <w:rFonts w:eastAsia="Calibri"/>
          <w:vertAlign w:val="superscript"/>
          <w:lang w:eastAsia="en-US"/>
        </w:rPr>
        <w:t>(2)</w:t>
      </w:r>
      <w:r w:rsidRPr="00DF0F8C">
        <w:rPr>
          <w:rFonts w:eastAsia="Calibri"/>
          <w:lang w:eastAsia="en-US"/>
        </w:rPr>
        <w:t xml:space="preserve"> </w:t>
      </w:r>
    </w:p>
    <w:p w14:paraId="7AAA05FF" w14:textId="77777777" w:rsidR="00DF0F8C" w:rsidRPr="00DF0F8C" w:rsidRDefault="00DF0F8C" w:rsidP="00DF0F8C">
      <w:pPr>
        <w:spacing w:line="360" w:lineRule="auto"/>
        <w:jc w:val="both"/>
        <w:rPr>
          <w:rFonts w:eastAsia="Calibri"/>
          <w:lang w:eastAsia="en-US"/>
        </w:rPr>
      </w:pPr>
      <w:r w:rsidRPr="00DF0F8C">
        <w:rPr>
          <w:rFonts w:eastAsia="Calibri"/>
          <w:lang w:eastAsia="en-US"/>
        </w:rPr>
        <w:t>Los interferones son una familia de citoquinas que poseen propiedades antivirales, antiproliferativas e inmunomoduladoras. Se pueden clasificar en 2 grupos: el tipo I incluye las variedades alfa y beta; el tipo II, el gamma. El interferón beta fue el primer fármaco inmunomodulador utilizado como tratamiento para la EM. El interferón beta-1a (</w:t>
      </w:r>
      <w:r w:rsidRPr="00DF0F8C">
        <w:rPr>
          <w:rFonts w:eastAsia="Calibri"/>
          <w:bCs/>
          <w:lang w:eastAsia="en-US"/>
        </w:rPr>
        <w:t>INF β-1a</w:t>
      </w:r>
      <w:r w:rsidRPr="00DF0F8C">
        <w:rPr>
          <w:rFonts w:eastAsia="Calibri"/>
          <w:lang w:eastAsia="en-US"/>
        </w:rPr>
        <w:t>) tiene propiedades inmunomoduladoras, ha demostrado ser seguro y bien tolerado en pacientes con EMRR. Aunque el mecanismo de acción no se conoce completamente, se sugiere un potencial efecto antiinflamatorio en el sistema nervioso central, que podría contribuir a retrasar la progresión de la enfermedad.</w:t>
      </w:r>
      <w:r w:rsidRPr="00DF0F8C">
        <w:rPr>
          <w:rFonts w:eastAsia="Calibri"/>
          <w:vertAlign w:val="superscript"/>
          <w:lang w:eastAsia="en-US"/>
        </w:rPr>
        <w:t>(3)</w:t>
      </w:r>
      <w:r w:rsidRPr="00DF0F8C">
        <w:rPr>
          <w:rFonts w:eastAsia="Calibri"/>
          <w:lang w:eastAsia="en-US"/>
        </w:rPr>
        <w:t xml:space="preserve"> </w:t>
      </w:r>
    </w:p>
    <w:p w14:paraId="67B51074" w14:textId="77777777" w:rsidR="00DF0F8C" w:rsidRPr="00DF0F8C" w:rsidRDefault="00DF0F8C" w:rsidP="00DF0F8C">
      <w:pPr>
        <w:spacing w:line="360" w:lineRule="auto"/>
        <w:jc w:val="both"/>
        <w:rPr>
          <w:rFonts w:eastAsia="Calibri"/>
          <w:lang w:eastAsia="en-US"/>
        </w:rPr>
      </w:pPr>
      <w:r w:rsidRPr="00DF0F8C">
        <w:rPr>
          <w:rFonts w:eastAsia="Calibri"/>
          <w:lang w:eastAsia="en-US"/>
        </w:rPr>
        <w:t>El inicio de la terapia con interferón ha sido y es el primer paso en el tratamiento de muchos pacientes con EM, pero la respuesta es variable.</w:t>
      </w:r>
      <w:r w:rsidRPr="00DF0F8C">
        <w:rPr>
          <w:rFonts w:eastAsia="Calibri"/>
          <w:vertAlign w:val="superscript"/>
          <w:lang w:eastAsia="en-US"/>
        </w:rPr>
        <w:t>(1)</w:t>
      </w:r>
      <w:r w:rsidRPr="00DF0F8C">
        <w:rPr>
          <w:rFonts w:eastAsia="Calibri"/>
          <w:lang w:eastAsia="en-US"/>
        </w:rPr>
        <w:t xml:space="preserve"> La persistencia de la actividad biológica de la enfermedad, a </w:t>
      </w:r>
      <w:r w:rsidRPr="00DF0F8C">
        <w:rPr>
          <w:rFonts w:eastAsia="Calibri"/>
          <w:lang w:eastAsia="en-US"/>
        </w:rPr>
        <w:lastRenderedPageBreak/>
        <w:t>pesar del tratamiento, se manifiesta por la aparición de nueva actividad clínica (nuevos brotes o progresión de la discapacidad) y de nueva actividad en la resonancia magnética nuclear (RMN).</w:t>
      </w:r>
      <w:r w:rsidRPr="00DF0F8C">
        <w:rPr>
          <w:rFonts w:eastAsia="Calibri"/>
          <w:vertAlign w:val="superscript"/>
          <w:lang w:eastAsia="en-US"/>
        </w:rPr>
        <w:t>(4)</w:t>
      </w:r>
      <w:r w:rsidRPr="00DF0F8C">
        <w:rPr>
          <w:rFonts w:eastAsia="Calibri"/>
          <w:lang w:eastAsia="en-US"/>
        </w:rPr>
        <w:t xml:space="preserve"> </w:t>
      </w:r>
    </w:p>
    <w:p w14:paraId="2845260E" w14:textId="77777777" w:rsidR="00DF0F8C" w:rsidRPr="00DF0F8C" w:rsidRDefault="00DF0F8C" w:rsidP="00DF0F8C">
      <w:pPr>
        <w:spacing w:line="360" w:lineRule="auto"/>
        <w:jc w:val="both"/>
        <w:rPr>
          <w:rFonts w:eastAsia="Calibri"/>
          <w:lang w:eastAsia="en-US"/>
        </w:rPr>
      </w:pPr>
      <w:r w:rsidRPr="00DF0F8C">
        <w:rPr>
          <w:rFonts w:eastAsia="Calibri"/>
          <w:lang w:eastAsia="en-US"/>
        </w:rPr>
        <w:t xml:space="preserve">En la actualidad no se dispone de biomarcadores que predigan con precisión qué pacientes tendrán una buena respuesta a los FME. La detección de la respuesta al tratamiento es fundamental para seleccionar a los candidatos a recibir un tratamiento alternativo. </w:t>
      </w:r>
    </w:p>
    <w:p w14:paraId="7FD1C0D9" w14:textId="77777777" w:rsidR="00DF0F8C" w:rsidRPr="00DF0F8C" w:rsidRDefault="00DF0F8C" w:rsidP="00DF0F8C">
      <w:pPr>
        <w:spacing w:line="360" w:lineRule="auto"/>
        <w:jc w:val="both"/>
        <w:rPr>
          <w:rFonts w:eastAsia="Calibri"/>
          <w:lang w:eastAsia="en-US"/>
        </w:rPr>
      </w:pPr>
      <w:r w:rsidRPr="00DF0F8C">
        <w:rPr>
          <w:rFonts w:eastAsia="Calibri"/>
          <w:lang w:eastAsia="en-US"/>
        </w:rPr>
        <w:t xml:space="preserve">El presente estudio tiene como objetivo identificar </w:t>
      </w:r>
      <w:r w:rsidRPr="00DF0F8C">
        <w:rPr>
          <w:color w:val="00000A"/>
          <w:lang w:eastAsia="es-ES"/>
        </w:rPr>
        <w:t>los marcadores clínicos de respuesta al tratamiento con interferón beta-1a de pacientes con esclerosis múltiple remitente- recurrente</w:t>
      </w:r>
      <w:r w:rsidRPr="00DF0F8C">
        <w:rPr>
          <w:rFonts w:eastAsia="Calibri"/>
          <w:lang w:eastAsia="en-US"/>
        </w:rPr>
        <w:t>.</w:t>
      </w:r>
    </w:p>
    <w:p w14:paraId="2CE035E6" w14:textId="77777777" w:rsidR="00DF0F8C" w:rsidRPr="00DF0F8C" w:rsidRDefault="00DF0F8C" w:rsidP="00DF0F8C">
      <w:pPr>
        <w:spacing w:line="360" w:lineRule="auto"/>
        <w:jc w:val="both"/>
        <w:rPr>
          <w:rFonts w:eastAsia="Calibri"/>
          <w:lang w:eastAsia="en-US"/>
        </w:rPr>
      </w:pPr>
    </w:p>
    <w:p w14:paraId="30809624" w14:textId="77777777" w:rsidR="00DF0F8C" w:rsidRPr="00DF0F8C" w:rsidRDefault="00DF0F8C" w:rsidP="00DF0F8C">
      <w:pPr>
        <w:spacing w:line="360" w:lineRule="auto"/>
        <w:jc w:val="center"/>
        <w:rPr>
          <w:rFonts w:eastAsia="Calibri"/>
          <w:b/>
          <w:color w:val="00000A"/>
          <w:lang w:eastAsia="en-US"/>
        </w:rPr>
      </w:pPr>
    </w:p>
    <w:p w14:paraId="500CB7E5" w14:textId="77777777" w:rsidR="00DF0F8C" w:rsidRPr="00DF0F8C" w:rsidRDefault="00DF0F8C" w:rsidP="00DF0F8C">
      <w:pPr>
        <w:spacing w:line="360" w:lineRule="auto"/>
        <w:jc w:val="center"/>
        <w:rPr>
          <w:rFonts w:eastAsia="Calibri"/>
          <w:b/>
          <w:color w:val="00000A"/>
          <w:sz w:val="32"/>
          <w:szCs w:val="32"/>
          <w:lang w:eastAsia="en-US"/>
        </w:rPr>
      </w:pPr>
      <w:r w:rsidRPr="00DF0F8C">
        <w:rPr>
          <w:rFonts w:eastAsia="Calibri"/>
          <w:b/>
          <w:color w:val="00000A"/>
          <w:sz w:val="32"/>
          <w:szCs w:val="32"/>
          <w:lang w:eastAsia="en-US"/>
        </w:rPr>
        <w:t>MÉTODOS</w:t>
      </w:r>
    </w:p>
    <w:p w14:paraId="12F7BDB6" w14:textId="77777777" w:rsidR="00DF0F8C" w:rsidRPr="00DF0F8C" w:rsidRDefault="00DF0F8C" w:rsidP="00DF0F8C">
      <w:pPr>
        <w:spacing w:line="360" w:lineRule="auto"/>
        <w:jc w:val="both"/>
        <w:rPr>
          <w:rFonts w:eastAsia="Calibri"/>
          <w:color w:val="00000A"/>
          <w:lang w:eastAsia="en-US"/>
        </w:rPr>
      </w:pPr>
      <w:r w:rsidRPr="00DF0F8C">
        <w:rPr>
          <w:rFonts w:eastAsia="Calibri"/>
          <w:lang w:eastAsia="en-US"/>
        </w:rPr>
        <w:t xml:space="preserve">Se realizó un estudio observacional, </w:t>
      </w:r>
      <w:r w:rsidRPr="00DF0F8C">
        <w:rPr>
          <w:color w:val="00000A"/>
          <w:lang w:eastAsia="es-ES"/>
        </w:rPr>
        <w:t>descriptivo, longitudinal</w:t>
      </w:r>
      <w:r w:rsidRPr="00DF0F8C">
        <w:rPr>
          <w:rFonts w:eastAsia="Calibri"/>
          <w:lang w:eastAsia="en-US"/>
        </w:rPr>
        <w:t xml:space="preserve">, prospectivo, </w:t>
      </w:r>
      <w:r w:rsidRPr="00DF0F8C">
        <w:rPr>
          <w:color w:val="00000A"/>
          <w:lang w:eastAsia="es-ES"/>
        </w:rPr>
        <w:t xml:space="preserve">de una </w:t>
      </w:r>
      <w:r w:rsidRPr="00DF0F8C">
        <w:rPr>
          <w:rFonts w:eastAsia="Calibri"/>
          <w:lang w:eastAsia="en-US"/>
        </w:rPr>
        <w:t xml:space="preserve">serie de casos </w:t>
      </w:r>
      <w:r w:rsidRPr="00DF0F8C">
        <w:rPr>
          <w:color w:val="00000A"/>
          <w:lang w:eastAsia="es-ES"/>
        </w:rPr>
        <w:t>de pacientes con diagnóstico</w:t>
      </w:r>
      <w:r w:rsidRPr="00DF0F8C">
        <w:rPr>
          <w:rFonts w:eastAsia="Calibri"/>
          <w:lang w:eastAsia="en-US"/>
        </w:rPr>
        <w:t xml:space="preserve"> </w:t>
      </w:r>
      <w:r w:rsidRPr="00DF0F8C">
        <w:rPr>
          <w:rFonts w:eastAsia="Calibri"/>
          <w:color w:val="00000A"/>
          <w:lang w:eastAsia="en-US"/>
        </w:rPr>
        <w:t>de EMRR,</w:t>
      </w:r>
      <w:r w:rsidRPr="00DF0F8C">
        <w:rPr>
          <w:rFonts w:eastAsia="Calibri"/>
          <w:lang w:eastAsia="en-US"/>
        </w:rPr>
        <w:t xml:space="preserve"> </w:t>
      </w:r>
      <w:r w:rsidRPr="00DF0F8C">
        <w:rPr>
          <w:rFonts w:eastAsia="Calibri"/>
          <w:color w:val="00000A"/>
          <w:lang w:eastAsia="en-US"/>
        </w:rPr>
        <w:t xml:space="preserve">que recibieron tratamiento con INF β-1a, en el Hospital Provincial Universitario “Arnaldo Milián Castro”, en el periodo comprendido entre enero del 2014 a diciembre del 2020. </w:t>
      </w:r>
      <w:r w:rsidRPr="00DF0F8C">
        <w:rPr>
          <w:rFonts w:eastAsia="Calibri"/>
          <w:lang w:eastAsia="en-US"/>
        </w:rPr>
        <w:t>Se incluyeron 39 pacientes que cumplieron con los criterios de inclusión.</w:t>
      </w:r>
    </w:p>
    <w:p w14:paraId="4535A9B6" w14:textId="77777777" w:rsidR="00DF0F8C" w:rsidRPr="00DF0F8C" w:rsidRDefault="00DF0F8C" w:rsidP="00DF0F8C">
      <w:pPr>
        <w:spacing w:line="360" w:lineRule="auto"/>
        <w:jc w:val="both"/>
        <w:rPr>
          <w:rFonts w:eastAsia="Calibri"/>
          <w:lang w:eastAsia="en-US"/>
        </w:rPr>
      </w:pPr>
    </w:p>
    <w:p w14:paraId="36BC869B" w14:textId="77777777" w:rsidR="00DF0F8C" w:rsidRPr="00DF0F8C" w:rsidRDefault="00DF0F8C" w:rsidP="00DF0F8C">
      <w:pPr>
        <w:spacing w:line="360" w:lineRule="auto"/>
        <w:jc w:val="both"/>
        <w:rPr>
          <w:rFonts w:eastAsia="Calibri"/>
          <w:lang w:eastAsia="en-US"/>
        </w:rPr>
      </w:pPr>
      <w:r w:rsidRPr="00DF0F8C">
        <w:rPr>
          <w:rFonts w:eastAsia="Calibri"/>
          <w:lang w:eastAsia="en-US"/>
        </w:rPr>
        <w:t>Los criterios de inclusión fueron:</w:t>
      </w:r>
    </w:p>
    <w:p w14:paraId="7984B9D4" w14:textId="77777777" w:rsidR="00DF0F8C" w:rsidRPr="00DF0F8C" w:rsidRDefault="00DF0F8C" w:rsidP="00581537">
      <w:pPr>
        <w:numPr>
          <w:ilvl w:val="0"/>
          <w:numId w:val="6"/>
        </w:numPr>
        <w:spacing w:line="360" w:lineRule="auto"/>
        <w:ind w:left="425" w:hanging="425"/>
        <w:contextualSpacing/>
        <w:jc w:val="both"/>
        <w:rPr>
          <w:rFonts w:eastAsia="Calibri"/>
          <w:lang w:eastAsia="en-US"/>
        </w:rPr>
      </w:pPr>
      <w:r w:rsidRPr="00DF0F8C">
        <w:rPr>
          <w:rFonts w:eastAsia="Calibri"/>
          <w:lang w:eastAsia="en-US"/>
        </w:rPr>
        <w:t>Pacientes mayores de 18 años de edad, con diagnóstico de EMRR, según los criterios diagnósticos McDonald.</w:t>
      </w:r>
      <w:r w:rsidRPr="00DF0F8C">
        <w:rPr>
          <w:rFonts w:eastAsia="Calibri"/>
          <w:vertAlign w:val="superscript"/>
          <w:lang w:eastAsia="en-US"/>
        </w:rPr>
        <w:t>(5)</w:t>
      </w:r>
      <w:r w:rsidRPr="00DF0F8C">
        <w:rPr>
          <w:rFonts w:eastAsia="Calibri"/>
          <w:lang w:eastAsia="en-US"/>
        </w:rPr>
        <w:t xml:space="preserve"> </w:t>
      </w:r>
    </w:p>
    <w:p w14:paraId="73D9EBD4" w14:textId="77777777" w:rsidR="00DF0F8C" w:rsidRPr="00DF0F8C" w:rsidRDefault="00DF0F8C" w:rsidP="00581537">
      <w:pPr>
        <w:numPr>
          <w:ilvl w:val="0"/>
          <w:numId w:val="6"/>
        </w:numPr>
        <w:spacing w:line="360" w:lineRule="auto"/>
        <w:ind w:left="425" w:hanging="425"/>
        <w:contextualSpacing/>
        <w:jc w:val="both"/>
        <w:rPr>
          <w:rFonts w:eastAsia="Calibri"/>
          <w:lang w:eastAsia="en-US"/>
        </w:rPr>
      </w:pPr>
      <w:r w:rsidRPr="00DF0F8C">
        <w:rPr>
          <w:rFonts w:eastAsia="Calibri"/>
          <w:lang w:eastAsia="en-US"/>
        </w:rPr>
        <w:t>Que aceptaran voluntariamente participar en el estudio, mediante la firma del consentimiento informado.</w:t>
      </w:r>
    </w:p>
    <w:p w14:paraId="0A3920ED" w14:textId="77777777" w:rsidR="00DF0F8C" w:rsidRPr="00DF0F8C" w:rsidRDefault="00DF0F8C" w:rsidP="00581537">
      <w:pPr>
        <w:numPr>
          <w:ilvl w:val="0"/>
          <w:numId w:val="6"/>
        </w:numPr>
        <w:spacing w:line="360" w:lineRule="auto"/>
        <w:ind w:left="425" w:hanging="425"/>
        <w:contextualSpacing/>
        <w:jc w:val="both"/>
        <w:rPr>
          <w:rFonts w:eastAsia="Calibri"/>
          <w:lang w:eastAsia="en-US"/>
        </w:rPr>
      </w:pPr>
      <w:r w:rsidRPr="00DF0F8C">
        <w:rPr>
          <w:rFonts w:eastAsia="Calibri"/>
          <w:lang w:eastAsia="en-US"/>
        </w:rPr>
        <w:t xml:space="preserve">Iniciar o haber iniciado tratamiento con INF β-1a s.c. a dosis de 44 </w:t>
      </w:r>
      <w:r w:rsidRPr="00DF0F8C">
        <w:rPr>
          <w:rFonts w:ascii="Cambria Math" w:eastAsia="Calibri" w:hAnsi="Cambria Math" w:cs="Cambria Math"/>
          <w:lang w:eastAsia="en-US"/>
        </w:rPr>
        <w:t>𝜇</w:t>
      </w:r>
      <w:r w:rsidRPr="00DF0F8C">
        <w:rPr>
          <w:rFonts w:eastAsia="Calibri"/>
          <w:lang w:eastAsia="en-US"/>
        </w:rPr>
        <w:t>g, administrado en 3 dosis semanales.</w:t>
      </w:r>
    </w:p>
    <w:p w14:paraId="4CB0CFC8" w14:textId="77777777" w:rsidR="00DF0F8C" w:rsidRPr="00DF0F8C" w:rsidRDefault="00DF0F8C" w:rsidP="00581537">
      <w:pPr>
        <w:numPr>
          <w:ilvl w:val="0"/>
          <w:numId w:val="6"/>
        </w:numPr>
        <w:spacing w:line="360" w:lineRule="auto"/>
        <w:ind w:left="425" w:hanging="425"/>
        <w:contextualSpacing/>
        <w:jc w:val="both"/>
        <w:rPr>
          <w:rFonts w:eastAsia="Calibri"/>
          <w:lang w:eastAsia="en-US"/>
        </w:rPr>
      </w:pPr>
      <w:r w:rsidRPr="00DF0F8C">
        <w:rPr>
          <w:rFonts w:eastAsia="Calibri"/>
          <w:lang w:eastAsia="en-US"/>
        </w:rPr>
        <w:t>Completar 12 meses de tratamiento con buena adherencia y disponer de un seguimiento mínimo de 3 años.</w:t>
      </w:r>
    </w:p>
    <w:p w14:paraId="36200186" w14:textId="77777777" w:rsidR="00DF0F8C" w:rsidRPr="00DF0F8C" w:rsidRDefault="00DF0F8C" w:rsidP="00DF0F8C">
      <w:pPr>
        <w:spacing w:line="360" w:lineRule="auto"/>
        <w:jc w:val="both"/>
        <w:rPr>
          <w:rFonts w:eastAsia="Calibri"/>
          <w:lang w:eastAsia="en-US"/>
        </w:rPr>
      </w:pPr>
    </w:p>
    <w:p w14:paraId="04E751AB" w14:textId="77777777" w:rsidR="00DF0F8C" w:rsidRPr="00DF0F8C" w:rsidRDefault="00DF0F8C" w:rsidP="00DF0F8C">
      <w:pPr>
        <w:spacing w:line="360" w:lineRule="auto"/>
        <w:jc w:val="both"/>
        <w:rPr>
          <w:rFonts w:eastAsia="Calibri"/>
          <w:lang w:eastAsia="en-US"/>
        </w:rPr>
      </w:pPr>
      <w:r w:rsidRPr="00DF0F8C">
        <w:rPr>
          <w:rFonts w:eastAsia="Calibri"/>
          <w:lang w:eastAsia="en-US"/>
        </w:rPr>
        <w:t>Los criterios de exclusión fueron:</w:t>
      </w:r>
    </w:p>
    <w:p w14:paraId="3934B462" w14:textId="77777777" w:rsidR="00DF0F8C" w:rsidRPr="00DF0F8C" w:rsidRDefault="00DF0F8C" w:rsidP="00DF0F8C">
      <w:pPr>
        <w:spacing w:line="360" w:lineRule="auto"/>
        <w:jc w:val="both"/>
        <w:rPr>
          <w:rFonts w:eastAsia="Calibri"/>
          <w:lang w:eastAsia="en-US"/>
        </w:rPr>
      </w:pPr>
    </w:p>
    <w:p w14:paraId="35F8F456" w14:textId="77777777" w:rsidR="00DF0F8C" w:rsidRPr="00DF0F8C" w:rsidRDefault="00DF0F8C" w:rsidP="00581537">
      <w:pPr>
        <w:numPr>
          <w:ilvl w:val="0"/>
          <w:numId w:val="7"/>
        </w:numPr>
        <w:spacing w:line="360" w:lineRule="auto"/>
        <w:ind w:left="425" w:hanging="425"/>
        <w:jc w:val="both"/>
        <w:rPr>
          <w:rFonts w:eastAsia="Calibri"/>
          <w:lang w:eastAsia="en-US"/>
        </w:rPr>
      </w:pPr>
      <w:r w:rsidRPr="00DF0F8C">
        <w:rPr>
          <w:rFonts w:eastAsia="Calibri"/>
          <w:lang w:eastAsia="en-US"/>
        </w:rPr>
        <w:t>Pacientes afectados de formas secundarias progresivas, o con un síndrome clínicamente aislado.</w:t>
      </w:r>
    </w:p>
    <w:p w14:paraId="2AC24DD4" w14:textId="77777777" w:rsidR="00DF0F8C" w:rsidRPr="00DF0F8C" w:rsidRDefault="00DF0F8C" w:rsidP="00581537">
      <w:pPr>
        <w:numPr>
          <w:ilvl w:val="0"/>
          <w:numId w:val="7"/>
        </w:numPr>
        <w:spacing w:line="360" w:lineRule="auto"/>
        <w:ind w:left="425" w:hanging="425"/>
        <w:jc w:val="both"/>
        <w:rPr>
          <w:rFonts w:eastAsia="Calibri"/>
          <w:lang w:eastAsia="en-US"/>
        </w:rPr>
      </w:pPr>
      <w:r w:rsidRPr="00DF0F8C">
        <w:rPr>
          <w:rFonts w:eastAsia="Calibri"/>
          <w:lang w:eastAsia="en-US"/>
        </w:rPr>
        <w:lastRenderedPageBreak/>
        <w:t>Haber presentado un brote de la enfermedad durante los últimos 30 días previos al inicio del estudio.</w:t>
      </w:r>
    </w:p>
    <w:p w14:paraId="7B307589" w14:textId="77777777" w:rsidR="00DF0F8C" w:rsidRPr="00DF0F8C" w:rsidRDefault="00DF0F8C" w:rsidP="00DF0F8C">
      <w:pPr>
        <w:spacing w:line="360" w:lineRule="auto"/>
        <w:jc w:val="both"/>
        <w:rPr>
          <w:rFonts w:eastAsia="Calibri"/>
          <w:lang w:eastAsia="en-US"/>
        </w:rPr>
      </w:pPr>
    </w:p>
    <w:p w14:paraId="0D19F977" w14:textId="77777777" w:rsidR="00DF0F8C" w:rsidRPr="00DF0F8C" w:rsidRDefault="00DF0F8C" w:rsidP="00DF0F8C">
      <w:pPr>
        <w:spacing w:line="360" w:lineRule="auto"/>
        <w:jc w:val="both"/>
        <w:rPr>
          <w:rFonts w:eastAsia="Calibri"/>
          <w:lang w:eastAsia="en-US"/>
        </w:rPr>
      </w:pPr>
      <w:r w:rsidRPr="00DF0F8C">
        <w:rPr>
          <w:rFonts w:eastAsia="Calibri"/>
          <w:lang w:eastAsia="en-US"/>
        </w:rPr>
        <w:t>Se estudiaron las siguientes variables:</w:t>
      </w:r>
    </w:p>
    <w:p w14:paraId="388404E6" w14:textId="77777777" w:rsidR="00DF0F8C" w:rsidRPr="00DF0F8C" w:rsidRDefault="00DF0F8C" w:rsidP="00DF0F8C">
      <w:pPr>
        <w:spacing w:line="360" w:lineRule="auto"/>
        <w:jc w:val="both"/>
        <w:rPr>
          <w:rFonts w:eastAsia="Calibri"/>
          <w:lang w:eastAsia="en-US"/>
        </w:rPr>
      </w:pPr>
    </w:p>
    <w:p w14:paraId="3BBCCE03"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Edad: según años cumplidos en el momento del estudio.</w:t>
      </w:r>
    </w:p>
    <w:p w14:paraId="5538167D"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 xml:space="preserve">Sexo. </w:t>
      </w:r>
    </w:p>
    <w:p w14:paraId="63C3AB99"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Origen étnico: caucásico y no caucásico.</w:t>
      </w:r>
    </w:p>
    <w:p w14:paraId="649B05E4"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Años de evolución: tiempo de evolución de la enfermedad, en años.</w:t>
      </w:r>
    </w:p>
    <w:p w14:paraId="2A3DD897"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 xml:space="preserve">Bandas oligoclonales (BO) en el líquido cefalorraquídeo (LCR): presencia o ausencia de BO en el LCR. </w:t>
      </w:r>
    </w:p>
    <w:p w14:paraId="21AAEDC0"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 xml:space="preserve">IgG en LCR: presencia o ausencia de concentraciones de IgG en el LCR. </w:t>
      </w:r>
    </w:p>
    <w:p w14:paraId="356FB0DF"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 xml:space="preserve">Nivel de discapacidad: según la escala </w:t>
      </w:r>
      <w:r w:rsidRPr="00DF0F8C">
        <w:rPr>
          <w:rFonts w:eastAsia="Calibri"/>
          <w:i/>
          <w:lang w:val="es-ES" w:eastAsia="en-US"/>
        </w:rPr>
        <w:t>Expanded Disability Status Scale</w:t>
      </w:r>
      <w:r w:rsidRPr="00DF0F8C">
        <w:rPr>
          <w:rFonts w:eastAsia="Calibri"/>
          <w:lang w:val="es-ES" w:eastAsia="en-US"/>
        </w:rPr>
        <w:t xml:space="preserve"> (EDSS); presenta una puntuación entre 0 y 10.</w:t>
      </w:r>
    </w:p>
    <w:p w14:paraId="18E137DA"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 xml:space="preserve">Brotes: según número de episodios de exacerbación de la enfermedad; dado por la aparición de un nuevo síntoma o empeoramiento de un déficit previo, atribuibles a la EM, que persiste durante más de 24 horas. </w:t>
      </w:r>
    </w:p>
    <w:p w14:paraId="13285BB2"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Lesiones que realza el gadolinio (Gd):  presencia de actividad inflamatoria reciente en forma de lesiones que se realzan tras la administración de gadolinio en secuencias potenciadas en T1.</w:t>
      </w:r>
    </w:p>
    <w:p w14:paraId="0E5289AB"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Nuevas lesiones en T2: número de nuevas lesiones en secuencias potenciadas en T2.</w:t>
      </w:r>
    </w:p>
    <w:p w14:paraId="0F781BF9"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Edad de inicio de la enfermedad</w:t>
      </w:r>
    </w:p>
    <w:p w14:paraId="0DD5D170"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 xml:space="preserve">Tasa anualizada de brotes: </w:t>
      </w:r>
      <w:r w:rsidRPr="00DF0F8C">
        <w:rPr>
          <w:rFonts w:eastAsia="Calibri"/>
          <w:bCs/>
          <w:lang w:val="es-ES" w:eastAsia="en-US"/>
        </w:rPr>
        <w:t xml:space="preserve">se </w:t>
      </w:r>
      <w:r w:rsidRPr="00DF0F8C">
        <w:rPr>
          <w:rFonts w:eastAsia="Calibri"/>
          <w:lang w:val="es-ES" w:eastAsia="en-US"/>
        </w:rPr>
        <w:t xml:space="preserve">calcula como el número total de </w:t>
      </w:r>
      <w:r w:rsidRPr="00DF0F8C">
        <w:rPr>
          <w:rFonts w:eastAsia="Calibri"/>
          <w:bCs/>
          <w:lang w:val="es-ES" w:eastAsia="en-US"/>
        </w:rPr>
        <w:t>brotes</w:t>
      </w:r>
      <w:r w:rsidRPr="00DF0F8C">
        <w:rPr>
          <w:rFonts w:eastAsia="Calibri"/>
          <w:lang w:val="es-ES" w:eastAsia="en-US"/>
        </w:rPr>
        <w:t xml:space="preserve"> dividido para el número total de tiempo por paciente en riesgo de brote.</w:t>
      </w:r>
    </w:p>
    <w:p w14:paraId="5ED06F15"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lang w:val="es-ES" w:eastAsia="en-US"/>
        </w:rPr>
        <w:t>Lesiones activas en RMN: número de lesiones en T1 que se realzan tras la administración de gadolinio, o nuevas lesiones identificadas en secuencias potenciadas en T2.</w:t>
      </w:r>
    </w:p>
    <w:p w14:paraId="7D4257B6" w14:textId="77777777" w:rsidR="00DF0F8C" w:rsidRPr="00DF0F8C" w:rsidRDefault="00DF0F8C" w:rsidP="00581537">
      <w:pPr>
        <w:numPr>
          <w:ilvl w:val="0"/>
          <w:numId w:val="8"/>
        </w:numPr>
        <w:spacing w:line="360" w:lineRule="auto"/>
        <w:ind w:left="425" w:hanging="425"/>
        <w:contextualSpacing/>
        <w:jc w:val="both"/>
        <w:rPr>
          <w:rFonts w:eastAsia="Calibri"/>
          <w:lang w:val="es-ES" w:eastAsia="en-US"/>
        </w:rPr>
      </w:pPr>
      <w:r w:rsidRPr="00DF0F8C">
        <w:rPr>
          <w:rFonts w:eastAsia="Calibri"/>
          <w:i/>
          <w:iCs/>
          <w:lang w:val="es-ES" w:eastAsia="en-US"/>
        </w:rPr>
        <w:t>Rio score</w:t>
      </w:r>
      <w:r w:rsidRPr="00DF0F8C">
        <w:rPr>
          <w:rFonts w:eastAsia="Calibri"/>
          <w:lang w:val="es-ES" w:eastAsia="en-US"/>
        </w:rPr>
        <w:t xml:space="preserve"> (RS): este sistema puntúa a los pacientes de 0 a 3, basado en la presencia de brotes, el incremento de al menos 1 punto en la EDSS o la presencia de lesiones activas en la RMN durante el primer año de tratamiento con </w:t>
      </w:r>
      <w:r w:rsidRPr="00DF0F8C">
        <w:rPr>
          <w:rFonts w:eastAsia="Calibri"/>
          <w:bCs/>
          <w:lang w:val="es-ES" w:eastAsia="en-US"/>
        </w:rPr>
        <w:t>INF β-1a</w:t>
      </w:r>
      <w:r w:rsidRPr="00DF0F8C">
        <w:rPr>
          <w:rFonts w:eastAsia="Calibri"/>
          <w:lang w:val="es-ES" w:eastAsia="en-US"/>
        </w:rPr>
        <w:t>.</w:t>
      </w:r>
    </w:p>
    <w:p w14:paraId="752BCE36" w14:textId="77777777" w:rsidR="00DF0F8C" w:rsidRPr="00DF0F8C" w:rsidRDefault="00DF0F8C" w:rsidP="00DF0F8C">
      <w:pPr>
        <w:spacing w:line="360" w:lineRule="auto"/>
        <w:jc w:val="both"/>
        <w:rPr>
          <w:rFonts w:eastAsia="Calibri"/>
          <w:lang w:val="es-ES" w:eastAsia="en-US"/>
        </w:rPr>
      </w:pPr>
    </w:p>
    <w:p w14:paraId="2C92D971" w14:textId="77777777" w:rsidR="00DF0F8C" w:rsidRPr="00DF0F8C" w:rsidRDefault="00DF0F8C" w:rsidP="00DF0F8C">
      <w:pPr>
        <w:spacing w:line="360" w:lineRule="auto"/>
        <w:jc w:val="both"/>
        <w:rPr>
          <w:rFonts w:eastAsia="Calibri"/>
          <w:lang w:eastAsia="en-US"/>
        </w:rPr>
      </w:pPr>
      <w:r w:rsidRPr="00DF0F8C">
        <w:rPr>
          <w:rFonts w:eastAsia="Calibri"/>
          <w:lang w:eastAsia="en-US"/>
        </w:rPr>
        <w:lastRenderedPageBreak/>
        <w:t>La tabla 1 muestra la línea temporal del estudio, así como los instrumentos utilizados para realizar las mediciones de las variables.</w:t>
      </w:r>
    </w:p>
    <w:p w14:paraId="18AC8637" w14:textId="77777777" w:rsidR="00DF0F8C" w:rsidRPr="00DF0F8C" w:rsidRDefault="00DF0F8C" w:rsidP="00DF0F8C">
      <w:pPr>
        <w:spacing w:line="360" w:lineRule="auto"/>
        <w:jc w:val="both"/>
        <w:rPr>
          <w:rFonts w:eastAsia="Calibri"/>
          <w:lang w:eastAsia="en-US"/>
        </w:rPr>
      </w:pPr>
    </w:p>
    <w:p w14:paraId="2DA5AE5E" w14:textId="77777777" w:rsidR="00DF0F8C" w:rsidRPr="00DF0F8C" w:rsidRDefault="00DF0F8C" w:rsidP="00DF0F8C">
      <w:pPr>
        <w:spacing w:line="360" w:lineRule="auto"/>
        <w:jc w:val="center"/>
        <w:rPr>
          <w:rFonts w:eastAsia="Calibri"/>
          <w:sz w:val="22"/>
          <w:szCs w:val="22"/>
          <w:lang w:eastAsia="en-US"/>
        </w:rPr>
      </w:pPr>
      <w:r w:rsidRPr="00DF0F8C">
        <w:rPr>
          <w:rFonts w:eastAsia="Calibri"/>
          <w:b/>
          <w:sz w:val="22"/>
          <w:szCs w:val="22"/>
          <w:lang w:eastAsia="en-US"/>
        </w:rPr>
        <w:t>Tabla 1 -</w:t>
      </w:r>
      <w:r w:rsidRPr="00DF0F8C">
        <w:rPr>
          <w:rFonts w:eastAsia="Calibri"/>
          <w:sz w:val="22"/>
          <w:szCs w:val="22"/>
          <w:lang w:eastAsia="en-US"/>
        </w:rPr>
        <w:t xml:space="preserve"> Línea temporal e instrumentos utilizados para realizar las mediciones de las variables</w:t>
      </w:r>
    </w:p>
    <w:tbl>
      <w:tblPr>
        <w:tblStyle w:val="Tablaconcuadrcula3"/>
        <w:tblW w:w="8833" w:type="dxa"/>
        <w:jc w:val="center"/>
        <w:tblLook w:val="04A0" w:firstRow="1" w:lastRow="0" w:firstColumn="1" w:lastColumn="0" w:noHBand="0" w:noVBand="1"/>
      </w:tblPr>
      <w:tblGrid>
        <w:gridCol w:w="3397"/>
        <w:gridCol w:w="1701"/>
        <w:gridCol w:w="1975"/>
        <w:gridCol w:w="1760"/>
      </w:tblGrid>
      <w:tr w:rsidR="00DF0F8C" w:rsidRPr="00DF0F8C" w14:paraId="75B3DE51" w14:textId="77777777" w:rsidTr="005C4D59">
        <w:trPr>
          <w:trHeight w:val="699"/>
          <w:jc w:val="center"/>
        </w:trPr>
        <w:tc>
          <w:tcPr>
            <w:tcW w:w="3397" w:type="dxa"/>
            <w:vAlign w:val="center"/>
          </w:tcPr>
          <w:p w14:paraId="481F2371" w14:textId="77777777" w:rsidR="00DF0F8C" w:rsidRPr="00DF0F8C" w:rsidRDefault="00DF0F8C" w:rsidP="00DF0F8C">
            <w:pPr>
              <w:spacing w:line="360" w:lineRule="auto"/>
              <w:jc w:val="center"/>
              <w:rPr>
                <w:rFonts w:ascii="Times New Roman" w:hAnsi="Times New Roman"/>
                <w:b/>
                <w:bCs/>
                <w:sz w:val="18"/>
                <w:szCs w:val="18"/>
                <w:lang w:eastAsia="en-US"/>
              </w:rPr>
            </w:pPr>
            <w:r w:rsidRPr="00DF0F8C">
              <w:rPr>
                <w:rFonts w:ascii="Times New Roman" w:hAnsi="Times New Roman"/>
                <w:b/>
                <w:bCs/>
                <w:sz w:val="18"/>
                <w:szCs w:val="18"/>
                <w:lang w:eastAsia="en-US"/>
              </w:rPr>
              <w:t>Línea base</w:t>
            </w:r>
          </w:p>
          <w:p w14:paraId="6D9F70FA" w14:textId="77777777" w:rsidR="00DF0F8C" w:rsidRPr="00DF0F8C" w:rsidRDefault="00DF0F8C" w:rsidP="00DF0F8C">
            <w:pPr>
              <w:spacing w:line="360" w:lineRule="auto"/>
              <w:contextualSpacing/>
              <w:jc w:val="center"/>
              <w:rPr>
                <w:rFonts w:ascii="Times New Roman" w:hAnsi="Times New Roman"/>
                <w:b/>
                <w:bCs/>
                <w:sz w:val="18"/>
                <w:szCs w:val="18"/>
                <w:lang w:eastAsia="en-US"/>
              </w:rPr>
            </w:pPr>
            <w:r w:rsidRPr="00DF0F8C">
              <w:rPr>
                <w:rFonts w:ascii="Times New Roman" w:hAnsi="Times New Roman"/>
                <w:b/>
                <w:bCs/>
                <w:sz w:val="18"/>
                <w:szCs w:val="18"/>
                <w:lang w:eastAsia="en-US"/>
              </w:rPr>
              <w:t>(medición inicial)</w:t>
            </w:r>
          </w:p>
        </w:tc>
        <w:tc>
          <w:tcPr>
            <w:tcW w:w="1701" w:type="dxa"/>
            <w:vAlign w:val="center"/>
          </w:tcPr>
          <w:p w14:paraId="18BE193D" w14:textId="77777777" w:rsidR="00DF0F8C" w:rsidRPr="00DF0F8C" w:rsidRDefault="00DF0F8C" w:rsidP="00DF0F8C">
            <w:pPr>
              <w:spacing w:line="360" w:lineRule="auto"/>
              <w:jc w:val="center"/>
              <w:rPr>
                <w:rFonts w:ascii="Times New Roman" w:hAnsi="Times New Roman"/>
                <w:b/>
                <w:bCs/>
                <w:sz w:val="18"/>
                <w:szCs w:val="18"/>
                <w:lang w:eastAsia="en-US"/>
              </w:rPr>
            </w:pPr>
            <w:r w:rsidRPr="00DF0F8C">
              <w:rPr>
                <w:rFonts w:ascii="Times New Roman" w:hAnsi="Times New Roman"/>
                <w:b/>
                <w:bCs/>
                <w:sz w:val="18"/>
                <w:szCs w:val="18"/>
                <w:lang w:eastAsia="en-US"/>
              </w:rPr>
              <w:t xml:space="preserve">Primer año de tratamiento </w:t>
            </w:r>
          </w:p>
          <w:p w14:paraId="4FDAFAB9" w14:textId="77777777" w:rsidR="00DF0F8C" w:rsidRPr="00DF0F8C" w:rsidRDefault="00DF0F8C" w:rsidP="00DF0F8C">
            <w:pPr>
              <w:spacing w:line="360" w:lineRule="auto"/>
              <w:jc w:val="center"/>
              <w:rPr>
                <w:rFonts w:ascii="Times New Roman" w:hAnsi="Times New Roman"/>
                <w:b/>
                <w:bCs/>
                <w:sz w:val="18"/>
                <w:szCs w:val="18"/>
                <w:lang w:eastAsia="en-US"/>
              </w:rPr>
            </w:pPr>
            <w:r w:rsidRPr="00DF0F8C">
              <w:rPr>
                <w:rFonts w:ascii="Times New Roman" w:hAnsi="Times New Roman"/>
                <w:b/>
                <w:bCs/>
                <w:sz w:val="18"/>
                <w:szCs w:val="18"/>
                <w:lang w:eastAsia="en-US"/>
              </w:rPr>
              <w:t>(12 meses)</w:t>
            </w:r>
          </w:p>
        </w:tc>
        <w:tc>
          <w:tcPr>
            <w:tcW w:w="1975" w:type="dxa"/>
            <w:vAlign w:val="center"/>
          </w:tcPr>
          <w:p w14:paraId="1ED16293" w14:textId="77777777" w:rsidR="00DF0F8C" w:rsidRPr="00DF0F8C" w:rsidRDefault="00DF0F8C" w:rsidP="00DF0F8C">
            <w:pPr>
              <w:spacing w:line="360" w:lineRule="auto"/>
              <w:jc w:val="center"/>
              <w:rPr>
                <w:rFonts w:ascii="Times New Roman" w:hAnsi="Times New Roman"/>
                <w:b/>
                <w:bCs/>
                <w:sz w:val="18"/>
                <w:szCs w:val="18"/>
                <w:lang w:eastAsia="en-US"/>
              </w:rPr>
            </w:pPr>
            <w:r w:rsidRPr="00DF0F8C">
              <w:rPr>
                <w:rFonts w:ascii="Times New Roman" w:hAnsi="Times New Roman"/>
                <w:b/>
                <w:bCs/>
                <w:sz w:val="18"/>
                <w:szCs w:val="18"/>
                <w:lang w:eastAsia="en-US"/>
              </w:rPr>
              <w:t>Segundo año de tratamiento</w:t>
            </w:r>
          </w:p>
          <w:p w14:paraId="61BF734C" w14:textId="77777777" w:rsidR="00DF0F8C" w:rsidRPr="00DF0F8C" w:rsidRDefault="00DF0F8C" w:rsidP="00DF0F8C">
            <w:pPr>
              <w:spacing w:line="360" w:lineRule="auto"/>
              <w:contextualSpacing/>
              <w:jc w:val="center"/>
              <w:rPr>
                <w:rFonts w:ascii="Times New Roman" w:hAnsi="Times New Roman"/>
                <w:b/>
                <w:bCs/>
                <w:sz w:val="18"/>
                <w:szCs w:val="18"/>
                <w:lang w:eastAsia="en-US"/>
              </w:rPr>
            </w:pPr>
            <w:r w:rsidRPr="00DF0F8C">
              <w:rPr>
                <w:rFonts w:ascii="Times New Roman" w:hAnsi="Times New Roman"/>
                <w:b/>
                <w:bCs/>
                <w:sz w:val="18"/>
                <w:szCs w:val="18"/>
                <w:lang w:eastAsia="en-US"/>
              </w:rPr>
              <w:t>(24 meses)</w:t>
            </w:r>
          </w:p>
        </w:tc>
        <w:tc>
          <w:tcPr>
            <w:tcW w:w="1760" w:type="dxa"/>
            <w:vAlign w:val="center"/>
          </w:tcPr>
          <w:p w14:paraId="08B718E8" w14:textId="77777777" w:rsidR="00DF0F8C" w:rsidRPr="00DF0F8C" w:rsidRDefault="00DF0F8C" w:rsidP="00DF0F8C">
            <w:pPr>
              <w:spacing w:line="360" w:lineRule="auto"/>
              <w:jc w:val="center"/>
              <w:rPr>
                <w:rFonts w:ascii="Times New Roman" w:hAnsi="Times New Roman"/>
                <w:b/>
                <w:bCs/>
                <w:sz w:val="18"/>
                <w:szCs w:val="18"/>
                <w:lang w:eastAsia="en-US"/>
              </w:rPr>
            </w:pPr>
            <w:r w:rsidRPr="00DF0F8C">
              <w:rPr>
                <w:rFonts w:ascii="Times New Roman" w:hAnsi="Times New Roman"/>
                <w:b/>
                <w:bCs/>
                <w:sz w:val="18"/>
                <w:szCs w:val="18"/>
                <w:lang w:eastAsia="en-US"/>
              </w:rPr>
              <w:t>Tercer año de tratamiento</w:t>
            </w:r>
          </w:p>
          <w:p w14:paraId="73433E24" w14:textId="77777777" w:rsidR="00DF0F8C" w:rsidRPr="00DF0F8C" w:rsidRDefault="00DF0F8C" w:rsidP="00DF0F8C">
            <w:pPr>
              <w:spacing w:line="360" w:lineRule="auto"/>
              <w:contextualSpacing/>
              <w:jc w:val="center"/>
              <w:rPr>
                <w:rFonts w:ascii="Times New Roman" w:hAnsi="Times New Roman"/>
                <w:b/>
                <w:bCs/>
                <w:sz w:val="18"/>
                <w:szCs w:val="18"/>
                <w:lang w:eastAsia="en-US"/>
              </w:rPr>
            </w:pPr>
            <w:r w:rsidRPr="00DF0F8C">
              <w:rPr>
                <w:rFonts w:ascii="Times New Roman" w:hAnsi="Times New Roman"/>
                <w:b/>
                <w:bCs/>
                <w:sz w:val="18"/>
                <w:szCs w:val="18"/>
                <w:lang w:eastAsia="en-US"/>
              </w:rPr>
              <w:t>(36 meses)</w:t>
            </w:r>
          </w:p>
        </w:tc>
      </w:tr>
      <w:tr w:rsidR="00DF0F8C" w:rsidRPr="00DF0F8C" w14:paraId="4C1885CA" w14:textId="77777777" w:rsidTr="005C4D59">
        <w:trPr>
          <w:jc w:val="center"/>
        </w:trPr>
        <w:tc>
          <w:tcPr>
            <w:tcW w:w="3397" w:type="dxa"/>
            <w:vAlign w:val="center"/>
          </w:tcPr>
          <w:p w14:paraId="1064B15B" w14:textId="77777777" w:rsidR="00DF0F8C" w:rsidRPr="00DF0F8C" w:rsidRDefault="00DF0F8C" w:rsidP="00DF0F8C">
            <w:pPr>
              <w:spacing w:line="360" w:lineRule="auto"/>
              <w:contextualSpacing/>
              <w:rPr>
                <w:rFonts w:ascii="Times New Roman" w:hAnsi="Times New Roman"/>
                <w:sz w:val="18"/>
                <w:szCs w:val="18"/>
                <w:lang w:eastAsia="en-US"/>
              </w:rPr>
            </w:pPr>
            <w:r w:rsidRPr="00DF0F8C">
              <w:rPr>
                <w:rFonts w:ascii="Times New Roman" w:hAnsi="Times New Roman"/>
                <w:sz w:val="18"/>
                <w:szCs w:val="18"/>
                <w:lang w:eastAsia="en-US"/>
              </w:rPr>
              <w:t>EDSS inicial</w:t>
            </w:r>
          </w:p>
        </w:tc>
        <w:tc>
          <w:tcPr>
            <w:tcW w:w="1701" w:type="dxa"/>
            <w:vAlign w:val="center"/>
          </w:tcPr>
          <w:p w14:paraId="01F4A124"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EDSS</w:t>
            </w:r>
          </w:p>
        </w:tc>
        <w:tc>
          <w:tcPr>
            <w:tcW w:w="1975" w:type="dxa"/>
            <w:vAlign w:val="center"/>
          </w:tcPr>
          <w:p w14:paraId="20D69495"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EDSS</w:t>
            </w:r>
          </w:p>
        </w:tc>
        <w:tc>
          <w:tcPr>
            <w:tcW w:w="1760" w:type="dxa"/>
            <w:vAlign w:val="center"/>
          </w:tcPr>
          <w:p w14:paraId="630EDBF1"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EDSS</w:t>
            </w:r>
          </w:p>
        </w:tc>
      </w:tr>
      <w:tr w:rsidR="00DF0F8C" w:rsidRPr="00DF0F8C" w14:paraId="4B87B855" w14:textId="77777777" w:rsidTr="005C4D59">
        <w:trPr>
          <w:jc w:val="center"/>
        </w:trPr>
        <w:tc>
          <w:tcPr>
            <w:tcW w:w="3397" w:type="dxa"/>
            <w:vAlign w:val="center"/>
          </w:tcPr>
          <w:p w14:paraId="63D17D08" w14:textId="77777777" w:rsidR="00DF0F8C" w:rsidRPr="00DF0F8C" w:rsidRDefault="00DF0F8C" w:rsidP="00DF0F8C">
            <w:pPr>
              <w:spacing w:line="360" w:lineRule="auto"/>
              <w:contextualSpacing/>
              <w:rPr>
                <w:rFonts w:ascii="Times New Roman" w:hAnsi="Times New Roman"/>
                <w:sz w:val="18"/>
                <w:szCs w:val="18"/>
                <w:lang w:eastAsia="en-US"/>
              </w:rPr>
            </w:pPr>
            <w:r w:rsidRPr="00DF0F8C">
              <w:rPr>
                <w:rFonts w:ascii="Times New Roman" w:hAnsi="Times New Roman"/>
                <w:sz w:val="18"/>
                <w:szCs w:val="18"/>
                <w:lang w:eastAsia="en-US"/>
              </w:rPr>
              <w:t>Tasa anualizada de brotes</w:t>
            </w:r>
          </w:p>
        </w:tc>
        <w:tc>
          <w:tcPr>
            <w:tcW w:w="1701" w:type="dxa"/>
            <w:vAlign w:val="center"/>
          </w:tcPr>
          <w:p w14:paraId="76B69643" w14:textId="77777777" w:rsidR="00DF0F8C" w:rsidRPr="00DF0F8C" w:rsidRDefault="00DF0F8C" w:rsidP="00DF0F8C">
            <w:pPr>
              <w:spacing w:line="360" w:lineRule="auto"/>
              <w:contextualSpacing/>
              <w:jc w:val="center"/>
              <w:rPr>
                <w:rFonts w:ascii="Times New Roman" w:hAnsi="Times New Roman"/>
                <w:sz w:val="18"/>
                <w:szCs w:val="18"/>
                <w:vertAlign w:val="subscript"/>
                <w:lang w:eastAsia="en-US"/>
              </w:rPr>
            </w:pPr>
            <w:r w:rsidRPr="00DF0F8C">
              <w:rPr>
                <w:rFonts w:ascii="Times New Roman" w:hAnsi="Times New Roman"/>
                <w:sz w:val="18"/>
                <w:szCs w:val="18"/>
                <w:lang w:eastAsia="en-US"/>
              </w:rPr>
              <w:t>Brotes</w:t>
            </w:r>
          </w:p>
        </w:tc>
        <w:tc>
          <w:tcPr>
            <w:tcW w:w="1975" w:type="dxa"/>
            <w:vAlign w:val="center"/>
          </w:tcPr>
          <w:p w14:paraId="55AF79EE"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Brotes</w:t>
            </w:r>
          </w:p>
        </w:tc>
        <w:tc>
          <w:tcPr>
            <w:tcW w:w="1760" w:type="dxa"/>
            <w:vAlign w:val="center"/>
          </w:tcPr>
          <w:p w14:paraId="47E58763"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Brotes</w:t>
            </w:r>
          </w:p>
        </w:tc>
      </w:tr>
      <w:tr w:rsidR="00DF0F8C" w:rsidRPr="00DF0F8C" w14:paraId="68088DCD" w14:textId="77777777" w:rsidTr="005C4D59">
        <w:trPr>
          <w:jc w:val="center"/>
        </w:trPr>
        <w:tc>
          <w:tcPr>
            <w:tcW w:w="3397" w:type="dxa"/>
            <w:vAlign w:val="center"/>
          </w:tcPr>
          <w:p w14:paraId="30B766C7" w14:textId="77777777" w:rsidR="00DF0F8C" w:rsidRPr="00DF0F8C" w:rsidRDefault="00DF0F8C" w:rsidP="00DF0F8C">
            <w:pPr>
              <w:spacing w:line="360" w:lineRule="auto"/>
              <w:contextualSpacing/>
              <w:rPr>
                <w:rFonts w:ascii="Times New Roman" w:hAnsi="Times New Roman"/>
                <w:sz w:val="18"/>
                <w:szCs w:val="18"/>
                <w:vertAlign w:val="subscript"/>
                <w:lang w:eastAsia="en-US"/>
              </w:rPr>
            </w:pPr>
            <w:r w:rsidRPr="00DF0F8C">
              <w:rPr>
                <w:rFonts w:ascii="Times New Roman" w:hAnsi="Times New Roman"/>
                <w:sz w:val="18"/>
                <w:szCs w:val="18"/>
                <w:lang w:eastAsia="en-US"/>
              </w:rPr>
              <w:t>Edad de inicio de la enfermedad</w:t>
            </w:r>
          </w:p>
        </w:tc>
        <w:tc>
          <w:tcPr>
            <w:tcW w:w="1701" w:type="dxa"/>
            <w:vAlign w:val="center"/>
          </w:tcPr>
          <w:p w14:paraId="06EEA83A"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NE</w:t>
            </w:r>
          </w:p>
        </w:tc>
        <w:tc>
          <w:tcPr>
            <w:tcW w:w="1975" w:type="dxa"/>
            <w:vAlign w:val="center"/>
          </w:tcPr>
          <w:p w14:paraId="0CB87AF0"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NE</w:t>
            </w:r>
          </w:p>
        </w:tc>
        <w:tc>
          <w:tcPr>
            <w:tcW w:w="1760" w:type="dxa"/>
            <w:vAlign w:val="center"/>
          </w:tcPr>
          <w:p w14:paraId="1C50EFB4"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NE</w:t>
            </w:r>
          </w:p>
        </w:tc>
      </w:tr>
      <w:tr w:rsidR="00DF0F8C" w:rsidRPr="00DF0F8C" w14:paraId="4C51FA20" w14:textId="77777777" w:rsidTr="005C4D59">
        <w:trPr>
          <w:jc w:val="center"/>
        </w:trPr>
        <w:tc>
          <w:tcPr>
            <w:tcW w:w="3397" w:type="dxa"/>
            <w:vAlign w:val="center"/>
          </w:tcPr>
          <w:p w14:paraId="2B34E144" w14:textId="77777777" w:rsidR="00DF0F8C" w:rsidRPr="00DF0F8C" w:rsidRDefault="00DF0F8C" w:rsidP="00DF0F8C">
            <w:pPr>
              <w:spacing w:line="360" w:lineRule="auto"/>
              <w:contextualSpacing/>
              <w:rPr>
                <w:rFonts w:ascii="Times New Roman" w:hAnsi="Times New Roman"/>
                <w:sz w:val="18"/>
                <w:szCs w:val="18"/>
                <w:vertAlign w:val="subscript"/>
                <w:lang w:eastAsia="en-US"/>
              </w:rPr>
            </w:pPr>
            <w:r w:rsidRPr="00DF0F8C">
              <w:rPr>
                <w:rFonts w:ascii="Times New Roman" w:hAnsi="Times New Roman"/>
                <w:sz w:val="18"/>
                <w:szCs w:val="18"/>
                <w:lang w:eastAsia="en-US"/>
              </w:rPr>
              <w:t>Tiempo de evolución antes del tratamiento</w:t>
            </w:r>
          </w:p>
        </w:tc>
        <w:tc>
          <w:tcPr>
            <w:tcW w:w="1701" w:type="dxa"/>
            <w:vAlign w:val="center"/>
          </w:tcPr>
          <w:p w14:paraId="26B2C7D8"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NE</w:t>
            </w:r>
          </w:p>
        </w:tc>
        <w:tc>
          <w:tcPr>
            <w:tcW w:w="1975" w:type="dxa"/>
            <w:vAlign w:val="center"/>
          </w:tcPr>
          <w:p w14:paraId="33A970A7"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NE</w:t>
            </w:r>
          </w:p>
        </w:tc>
        <w:tc>
          <w:tcPr>
            <w:tcW w:w="1760" w:type="dxa"/>
            <w:vAlign w:val="center"/>
          </w:tcPr>
          <w:p w14:paraId="06537F94"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NE</w:t>
            </w:r>
          </w:p>
        </w:tc>
      </w:tr>
      <w:tr w:rsidR="00DF0F8C" w:rsidRPr="00DF0F8C" w14:paraId="0F2AF5D1" w14:textId="77777777" w:rsidTr="005C4D59">
        <w:trPr>
          <w:jc w:val="center"/>
        </w:trPr>
        <w:tc>
          <w:tcPr>
            <w:tcW w:w="3397" w:type="dxa"/>
            <w:vAlign w:val="center"/>
          </w:tcPr>
          <w:p w14:paraId="7FF581A7" w14:textId="77777777" w:rsidR="00DF0F8C" w:rsidRPr="00DF0F8C" w:rsidRDefault="00DF0F8C" w:rsidP="00DF0F8C">
            <w:pPr>
              <w:spacing w:line="360" w:lineRule="auto"/>
              <w:contextualSpacing/>
              <w:rPr>
                <w:rFonts w:ascii="Times New Roman" w:hAnsi="Times New Roman"/>
                <w:sz w:val="18"/>
                <w:szCs w:val="18"/>
                <w:vertAlign w:val="subscript"/>
                <w:lang w:eastAsia="en-US"/>
              </w:rPr>
            </w:pPr>
            <w:r w:rsidRPr="00DF0F8C">
              <w:rPr>
                <w:rFonts w:ascii="Times New Roman" w:hAnsi="Times New Roman"/>
                <w:sz w:val="18"/>
                <w:szCs w:val="18"/>
                <w:lang w:eastAsia="en-US"/>
              </w:rPr>
              <w:t>Taza anulizada de brotes</w:t>
            </w:r>
          </w:p>
        </w:tc>
        <w:tc>
          <w:tcPr>
            <w:tcW w:w="1701" w:type="dxa"/>
            <w:vAlign w:val="center"/>
          </w:tcPr>
          <w:p w14:paraId="087BD051"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NE</w:t>
            </w:r>
          </w:p>
        </w:tc>
        <w:tc>
          <w:tcPr>
            <w:tcW w:w="1975" w:type="dxa"/>
            <w:vAlign w:val="center"/>
          </w:tcPr>
          <w:p w14:paraId="10F37597"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NE</w:t>
            </w:r>
          </w:p>
        </w:tc>
        <w:tc>
          <w:tcPr>
            <w:tcW w:w="1760" w:type="dxa"/>
            <w:vAlign w:val="center"/>
          </w:tcPr>
          <w:p w14:paraId="66F2E43D" w14:textId="77777777" w:rsidR="00DF0F8C" w:rsidRPr="00DF0F8C" w:rsidRDefault="00DF0F8C" w:rsidP="00DF0F8C">
            <w:pPr>
              <w:spacing w:line="360" w:lineRule="auto"/>
              <w:contextualSpacing/>
              <w:jc w:val="center"/>
              <w:rPr>
                <w:rFonts w:ascii="Times New Roman" w:hAnsi="Times New Roman"/>
                <w:sz w:val="18"/>
                <w:szCs w:val="18"/>
                <w:lang w:eastAsia="en-US"/>
              </w:rPr>
            </w:pPr>
            <w:r w:rsidRPr="00DF0F8C">
              <w:rPr>
                <w:rFonts w:ascii="Times New Roman" w:hAnsi="Times New Roman"/>
                <w:sz w:val="18"/>
                <w:szCs w:val="18"/>
                <w:lang w:eastAsia="en-US"/>
              </w:rPr>
              <w:t>NE</w:t>
            </w:r>
          </w:p>
        </w:tc>
      </w:tr>
      <w:tr w:rsidR="00DF0F8C" w:rsidRPr="00DF0F8C" w14:paraId="3372960C" w14:textId="77777777" w:rsidTr="005C4D59">
        <w:trPr>
          <w:jc w:val="center"/>
        </w:trPr>
        <w:tc>
          <w:tcPr>
            <w:tcW w:w="3397" w:type="dxa"/>
            <w:vAlign w:val="center"/>
          </w:tcPr>
          <w:p w14:paraId="7E251DDA" w14:textId="77777777" w:rsidR="00DF0F8C" w:rsidRPr="00DF0F8C" w:rsidRDefault="00DF0F8C" w:rsidP="00DF0F8C">
            <w:pPr>
              <w:spacing w:line="360" w:lineRule="auto"/>
              <w:rPr>
                <w:rFonts w:ascii="Times New Roman" w:hAnsi="Times New Roman"/>
                <w:sz w:val="18"/>
                <w:szCs w:val="18"/>
                <w:lang w:eastAsia="en-US"/>
              </w:rPr>
            </w:pPr>
            <w:r w:rsidRPr="00DF0F8C">
              <w:rPr>
                <w:rFonts w:ascii="Times New Roman" w:hAnsi="Times New Roman"/>
                <w:sz w:val="18"/>
                <w:szCs w:val="18"/>
                <w:lang w:eastAsia="en-US"/>
              </w:rPr>
              <w:t>RMN inicial</w:t>
            </w:r>
          </w:p>
        </w:tc>
        <w:tc>
          <w:tcPr>
            <w:tcW w:w="1701" w:type="dxa"/>
            <w:vAlign w:val="center"/>
          </w:tcPr>
          <w:p w14:paraId="70F7269C" w14:textId="77777777" w:rsidR="00DF0F8C" w:rsidRPr="00DF0F8C" w:rsidRDefault="00DF0F8C" w:rsidP="00DF0F8C">
            <w:pPr>
              <w:spacing w:line="360" w:lineRule="auto"/>
              <w:jc w:val="center"/>
              <w:rPr>
                <w:rFonts w:ascii="Times New Roman" w:hAnsi="Times New Roman"/>
                <w:sz w:val="18"/>
                <w:szCs w:val="18"/>
                <w:lang w:eastAsia="en-US"/>
              </w:rPr>
            </w:pPr>
            <w:r w:rsidRPr="00DF0F8C">
              <w:rPr>
                <w:rFonts w:ascii="Times New Roman" w:hAnsi="Times New Roman"/>
                <w:sz w:val="18"/>
                <w:szCs w:val="18"/>
                <w:lang w:eastAsia="en-US"/>
              </w:rPr>
              <w:t>RMN</w:t>
            </w:r>
          </w:p>
        </w:tc>
        <w:tc>
          <w:tcPr>
            <w:tcW w:w="1975" w:type="dxa"/>
            <w:vAlign w:val="center"/>
          </w:tcPr>
          <w:p w14:paraId="54911699" w14:textId="77777777" w:rsidR="00DF0F8C" w:rsidRPr="00DF0F8C" w:rsidRDefault="00DF0F8C" w:rsidP="00DF0F8C">
            <w:pPr>
              <w:spacing w:line="360" w:lineRule="auto"/>
              <w:jc w:val="center"/>
              <w:rPr>
                <w:rFonts w:ascii="Times New Roman" w:hAnsi="Times New Roman"/>
                <w:sz w:val="18"/>
                <w:szCs w:val="18"/>
                <w:lang w:eastAsia="en-US"/>
              </w:rPr>
            </w:pPr>
            <w:r w:rsidRPr="00DF0F8C">
              <w:rPr>
                <w:rFonts w:ascii="Times New Roman" w:hAnsi="Times New Roman"/>
                <w:sz w:val="18"/>
                <w:szCs w:val="18"/>
                <w:lang w:eastAsia="en-US"/>
              </w:rPr>
              <w:t>NE</w:t>
            </w:r>
          </w:p>
        </w:tc>
        <w:tc>
          <w:tcPr>
            <w:tcW w:w="1760" w:type="dxa"/>
            <w:vAlign w:val="center"/>
          </w:tcPr>
          <w:p w14:paraId="5D1CC306" w14:textId="77777777" w:rsidR="00DF0F8C" w:rsidRPr="00DF0F8C" w:rsidRDefault="00DF0F8C" w:rsidP="00DF0F8C">
            <w:pPr>
              <w:spacing w:line="360" w:lineRule="auto"/>
              <w:jc w:val="center"/>
              <w:rPr>
                <w:rFonts w:ascii="Times New Roman" w:hAnsi="Times New Roman"/>
                <w:sz w:val="18"/>
                <w:szCs w:val="18"/>
                <w:lang w:eastAsia="en-US"/>
              </w:rPr>
            </w:pPr>
            <w:r w:rsidRPr="00DF0F8C">
              <w:rPr>
                <w:rFonts w:ascii="Times New Roman" w:hAnsi="Times New Roman"/>
                <w:sz w:val="18"/>
                <w:szCs w:val="18"/>
                <w:lang w:eastAsia="en-US"/>
              </w:rPr>
              <w:t>NE</w:t>
            </w:r>
          </w:p>
        </w:tc>
      </w:tr>
    </w:tbl>
    <w:p w14:paraId="4DF30E2B" w14:textId="77777777" w:rsidR="00DF0F8C" w:rsidRPr="00DF0F8C" w:rsidRDefault="00DF0F8C" w:rsidP="00DF0F8C">
      <w:pPr>
        <w:spacing w:line="360" w:lineRule="auto"/>
        <w:jc w:val="center"/>
        <w:rPr>
          <w:rFonts w:eastAsia="Calibri"/>
          <w:sz w:val="16"/>
          <w:szCs w:val="16"/>
          <w:lang w:eastAsia="en-US"/>
        </w:rPr>
      </w:pPr>
      <w:r w:rsidRPr="00DF0F8C">
        <w:rPr>
          <w:rFonts w:eastAsia="Calibri"/>
          <w:sz w:val="16"/>
          <w:szCs w:val="16"/>
          <w:lang w:eastAsia="en-US"/>
        </w:rPr>
        <w:t>EDSS (</w:t>
      </w:r>
      <w:r w:rsidRPr="00DF0F8C">
        <w:rPr>
          <w:rFonts w:eastAsia="Calibri"/>
          <w:i/>
          <w:sz w:val="16"/>
          <w:szCs w:val="16"/>
          <w:lang w:eastAsia="en-US"/>
        </w:rPr>
        <w:t>Expanded Disability Status Scale</w:t>
      </w:r>
      <w:r w:rsidRPr="00DF0F8C">
        <w:rPr>
          <w:rFonts w:eastAsia="Calibri"/>
          <w:sz w:val="16"/>
          <w:szCs w:val="16"/>
          <w:lang w:eastAsia="en-US"/>
        </w:rPr>
        <w:t>), RMN (resonancia magnética nuclear), NE (no evaluado).</w:t>
      </w:r>
    </w:p>
    <w:p w14:paraId="0073703A" w14:textId="77777777" w:rsidR="00DF0F8C" w:rsidRPr="00DF0F8C" w:rsidRDefault="00DF0F8C" w:rsidP="00DF0F8C">
      <w:pPr>
        <w:spacing w:line="360" w:lineRule="auto"/>
        <w:jc w:val="center"/>
        <w:rPr>
          <w:rFonts w:eastAsia="Calibri"/>
          <w:sz w:val="16"/>
          <w:szCs w:val="16"/>
          <w:lang w:eastAsia="en-US"/>
        </w:rPr>
      </w:pPr>
    </w:p>
    <w:p w14:paraId="67A5040F" w14:textId="77777777" w:rsidR="00DF0F8C" w:rsidRPr="00DF0F8C" w:rsidRDefault="00DF0F8C" w:rsidP="00DF0F8C">
      <w:pPr>
        <w:spacing w:line="360" w:lineRule="auto"/>
        <w:jc w:val="both"/>
        <w:rPr>
          <w:rFonts w:eastAsia="Calibri"/>
          <w:color w:val="00000A"/>
          <w:lang w:eastAsia="en-US"/>
        </w:rPr>
      </w:pPr>
      <w:r w:rsidRPr="00DF0F8C">
        <w:rPr>
          <w:rFonts w:eastAsia="Calibri"/>
          <w:color w:val="00000A"/>
          <w:lang w:eastAsia="en-US"/>
        </w:rPr>
        <w:t xml:space="preserve">Para demostrar la respuesta al tratamiento con INF β-1a durante los 24 y 36 meses se utilizó la combinación de las variables: presencia de brotes o progresión confirmada por EDSS. </w:t>
      </w:r>
    </w:p>
    <w:p w14:paraId="4099ACFC" w14:textId="77777777" w:rsidR="00DF0F8C" w:rsidRPr="00DF0F8C" w:rsidRDefault="00DF0F8C" w:rsidP="00DF0F8C">
      <w:pPr>
        <w:spacing w:line="360" w:lineRule="auto"/>
        <w:jc w:val="both"/>
        <w:rPr>
          <w:rFonts w:eastAsia="Calibri"/>
          <w:lang w:eastAsia="en-US"/>
        </w:rPr>
      </w:pPr>
      <w:r w:rsidRPr="00DF0F8C">
        <w:rPr>
          <w:rFonts w:eastAsia="Calibri"/>
          <w:lang w:eastAsia="en-US"/>
        </w:rPr>
        <w:t xml:space="preserve">Los registros se procesaron mediante el paquete estadístico SPSS v.22. </w:t>
      </w:r>
    </w:p>
    <w:p w14:paraId="628E1650" w14:textId="77777777" w:rsidR="00DF0F8C" w:rsidRPr="00DF0F8C" w:rsidRDefault="00DF0F8C" w:rsidP="00DF0F8C">
      <w:pPr>
        <w:spacing w:line="360" w:lineRule="auto"/>
        <w:jc w:val="both"/>
        <w:rPr>
          <w:rFonts w:eastAsia="Calibri"/>
          <w:bCs/>
          <w:lang w:eastAsia="en-US"/>
        </w:rPr>
      </w:pPr>
      <w:r w:rsidRPr="00DF0F8C">
        <w:rPr>
          <w:rFonts w:eastAsia="Calibri"/>
          <w:lang w:eastAsia="en-US"/>
        </w:rPr>
        <w:t>Se utilizaron medidas descriptivas para las variables edad, sexo, origen étnico, años de evolución, BO en el LCR, IgG en LCR, nivel de discapacidad (EDSS), brotes, lesiones que realza el Gd y nuevas lesiones en T2. Para las variables p</w:t>
      </w:r>
      <w:r w:rsidRPr="00DF0F8C">
        <w:rPr>
          <w:rFonts w:eastAsia="Calibri"/>
          <w:bCs/>
          <w:lang w:eastAsia="en-US"/>
        </w:rPr>
        <w:t xml:space="preserve">rogresión por EDSS, brotes, edad de inicio de la enfermedad, tiempo evolución antes del tratamiento, tasa anualizada de brotes antes tratamiento, más de 2 lesiones activas, lesiones que realzan Gd y RS, </w:t>
      </w:r>
      <w:r w:rsidRPr="00DF0F8C">
        <w:rPr>
          <w:bCs/>
          <w:color w:val="00000A"/>
          <w:lang w:eastAsia="es-ES"/>
        </w:rPr>
        <w:t xml:space="preserve">se utilizó </w:t>
      </w:r>
      <w:r w:rsidRPr="00DF0F8C">
        <w:rPr>
          <w:rFonts w:eastAsia="Calibri"/>
          <w:lang w:eastAsia="en-US"/>
        </w:rPr>
        <w:t xml:space="preserve">el </w:t>
      </w:r>
      <w:r w:rsidRPr="00DF0F8C">
        <w:rPr>
          <w:rFonts w:eastAsia="Calibri"/>
          <w:i/>
          <w:lang w:eastAsia="en-US"/>
        </w:rPr>
        <w:t>odds ratio</w:t>
      </w:r>
      <w:r w:rsidRPr="00DF0F8C">
        <w:rPr>
          <w:rFonts w:eastAsia="Calibri"/>
          <w:lang w:eastAsia="en-US"/>
        </w:rPr>
        <w:t xml:space="preserve"> (OR) con un intervalo de confianza del 95 %</w:t>
      </w:r>
      <w:r w:rsidRPr="00DF0F8C">
        <w:rPr>
          <w:bCs/>
          <w:color w:val="00000A"/>
          <w:lang w:eastAsia="es-ES"/>
        </w:rPr>
        <w:t xml:space="preserve"> (IC95 %)</w:t>
      </w:r>
      <w:r w:rsidRPr="00DF0F8C">
        <w:rPr>
          <w:rFonts w:eastAsia="Calibri"/>
          <w:lang w:eastAsia="en-US"/>
        </w:rPr>
        <w:t xml:space="preserve">. En las tablas de contingencia se utilizó de la prueba de </w:t>
      </w:r>
      <w:r w:rsidRPr="00DF0F8C">
        <w:rPr>
          <w:rFonts w:eastAsia="Calibri"/>
          <w:i/>
          <w:iCs/>
          <w:lang w:eastAsia="en-US"/>
        </w:rPr>
        <w:t>ji</w:t>
      </w:r>
      <w:r w:rsidRPr="00DF0F8C">
        <w:rPr>
          <w:rFonts w:eastAsia="Calibri"/>
          <w:lang w:eastAsia="en-US"/>
        </w:rPr>
        <w:t xml:space="preserve"> cuadrado (X</w:t>
      </w:r>
      <w:r w:rsidRPr="00DF0F8C">
        <w:rPr>
          <w:rFonts w:eastAsia="Calibri"/>
          <w:vertAlign w:val="superscript"/>
          <w:lang w:eastAsia="en-US"/>
        </w:rPr>
        <w:t>2</w:t>
      </w:r>
      <w:r w:rsidRPr="00DF0F8C">
        <w:rPr>
          <w:rFonts w:eastAsia="Calibri"/>
          <w:lang w:eastAsia="en-US"/>
        </w:rPr>
        <w:t xml:space="preserve">). Se </w:t>
      </w:r>
      <w:r w:rsidRPr="00DF0F8C">
        <w:rPr>
          <w:bCs/>
          <w:lang w:eastAsia="es-ES"/>
        </w:rPr>
        <w:t>calcularon</w:t>
      </w:r>
      <w:r w:rsidRPr="00DF0F8C">
        <w:rPr>
          <w:bCs/>
          <w:color w:val="00000A"/>
          <w:lang w:eastAsia="es-ES"/>
        </w:rPr>
        <w:t xml:space="preserve"> los valores porcentuales de la presencia o ausencia de progresiones por EDSS y brotes y se determinó el OR en los momentos evaluados. </w:t>
      </w:r>
      <w:r w:rsidRPr="00DF0F8C">
        <w:rPr>
          <w:rFonts w:eastAsia="Calibri"/>
          <w:lang w:eastAsia="en-US"/>
        </w:rPr>
        <w:t>Se trabajó con un nivel de significación de p&lt; 0,05.</w:t>
      </w:r>
    </w:p>
    <w:p w14:paraId="7FFAE1EF" w14:textId="77777777" w:rsidR="00DF0F8C" w:rsidRPr="00DF0F8C" w:rsidRDefault="00DF0F8C" w:rsidP="00DF0F8C">
      <w:pPr>
        <w:spacing w:line="360" w:lineRule="auto"/>
        <w:jc w:val="both"/>
        <w:rPr>
          <w:rFonts w:eastAsia="Calibri"/>
          <w:color w:val="00000A"/>
          <w:lang w:eastAsia="en-US"/>
        </w:rPr>
      </w:pPr>
      <w:r w:rsidRPr="00DF0F8C">
        <w:rPr>
          <w:rFonts w:eastAsia="Calibri"/>
          <w:color w:val="00000A"/>
          <w:lang w:eastAsia="en-US"/>
        </w:rPr>
        <w:t>El estudio se realizó según los requisitos éticos previstos en la Declaración de Helsinski</w:t>
      </w:r>
      <w:r w:rsidRPr="00DF0F8C">
        <w:rPr>
          <w:rFonts w:eastAsia="Calibri"/>
          <w:color w:val="00000A"/>
          <w:vertAlign w:val="superscript"/>
          <w:lang w:eastAsia="en-US"/>
        </w:rPr>
        <w:t>(6)</w:t>
      </w:r>
      <w:r w:rsidRPr="00DF0F8C">
        <w:rPr>
          <w:rFonts w:eastAsia="Calibri"/>
          <w:color w:val="00000A"/>
          <w:lang w:eastAsia="en-US"/>
        </w:rPr>
        <w:t xml:space="preserve"> para las investigaciones con seres humanos. Se mantuvo el anonimato de los pacientes. El estudio fue autorizado por el Consejo Científico y el Comité de Ética de las Investigaciones del Hospital Provincial Universitario “Arnaldo Milián Castro”.</w:t>
      </w:r>
    </w:p>
    <w:p w14:paraId="56BA9D16" w14:textId="77777777" w:rsidR="00DF0F8C" w:rsidRPr="00DF0F8C" w:rsidRDefault="00DF0F8C" w:rsidP="00DF0F8C">
      <w:pPr>
        <w:spacing w:line="360" w:lineRule="auto"/>
        <w:rPr>
          <w:rFonts w:eastAsia="Calibri"/>
          <w:b/>
          <w:color w:val="00000A"/>
          <w:lang w:eastAsia="en-US"/>
        </w:rPr>
      </w:pPr>
    </w:p>
    <w:p w14:paraId="50293A38" w14:textId="77777777" w:rsidR="00DF0F8C" w:rsidRPr="00DF0F8C" w:rsidRDefault="00DF0F8C" w:rsidP="00DF0F8C">
      <w:pPr>
        <w:spacing w:line="360" w:lineRule="auto"/>
        <w:jc w:val="center"/>
        <w:rPr>
          <w:rFonts w:eastAsia="Calibri"/>
          <w:b/>
          <w:color w:val="00000A"/>
          <w:sz w:val="32"/>
          <w:szCs w:val="32"/>
          <w:lang w:eastAsia="en-US"/>
        </w:rPr>
      </w:pPr>
    </w:p>
    <w:p w14:paraId="58AB5F64" w14:textId="77777777" w:rsidR="00DF0F8C" w:rsidRPr="00DF0F8C" w:rsidRDefault="00DF0F8C" w:rsidP="00DF0F8C">
      <w:pPr>
        <w:spacing w:line="360" w:lineRule="auto"/>
        <w:jc w:val="center"/>
        <w:rPr>
          <w:rFonts w:eastAsia="Calibri"/>
          <w:b/>
          <w:color w:val="00000A"/>
          <w:sz w:val="32"/>
          <w:szCs w:val="32"/>
          <w:lang w:eastAsia="en-US"/>
        </w:rPr>
      </w:pPr>
      <w:r w:rsidRPr="00DF0F8C">
        <w:rPr>
          <w:rFonts w:eastAsia="Calibri"/>
          <w:b/>
          <w:color w:val="00000A"/>
          <w:sz w:val="32"/>
          <w:szCs w:val="32"/>
          <w:lang w:eastAsia="en-US"/>
        </w:rPr>
        <w:t>RESULTADOS</w:t>
      </w:r>
    </w:p>
    <w:p w14:paraId="4177727E" w14:textId="77777777" w:rsidR="00DF0F8C" w:rsidRPr="00DF0F8C" w:rsidRDefault="00DF0F8C" w:rsidP="00DF0F8C">
      <w:pPr>
        <w:spacing w:line="360" w:lineRule="auto"/>
        <w:jc w:val="both"/>
        <w:rPr>
          <w:rFonts w:eastAsia="Calibri"/>
          <w:lang w:eastAsia="en-US"/>
        </w:rPr>
      </w:pPr>
      <w:r w:rsidRPr="00DF0F8C">
        <w:rPr>
          <w:rFonts w:eastAsia="Calibri"/>
          <w:lang w:eastAsia="en-US"/>
        </w:rPr>
        <w:t xml:space="preserve">La media de edad y desviación estándar de los pacientes fue 34,54 ± 9,22. Con respecto al sexo, hubo 29 mujeres y 10 hombres. En cuanto al origen étnico, 33 son caucásicos y 6 no caucásicos. </w:t>
      </w:r>
    </w:p>
    <w:p w14:paraId="1E702C95" w14:textId="77777777" w:rsidR="00DF0F8C" w:rsidRPr="00DF0F8C" w:rsidRDefault="00DF0F8C" w:rsidP="00DF0F8C">
      <w:pPr>
        <w:spacing w:line="360" w:lineRule="auto"/>
        <w:jc w:val="both"/>
        <w:rPr>
          <w:rFonts w:eastAsia="Calibri"/>
          <w:lang w:eastAsia="en-US"/>
        </w:rPr>
      </w:pPr>
      <w:r w:rsidRPr="00DF0F8C">
        <w:rPr>
          <w:rFonts w:eastAsia="Calibri"/>
          <w:lang w:eastAsia="en-US"/>
        </w:rPr>
        <w:t>La evolución de la enfermedad muestra una media/desviación estándar de 8,05 ± 3,60 años. Hubo presencia de BO y concentraciones de IgG en el estudio inmunológico del LCR, en el 66,7 % y 87,2 % respectivamente.</w:t>
      </w:r>
    </w:p>
    <w:p w14:paraId="506B1DAE" w14:textId="77777777" w:rsidR="00DF0F8C" w:rsidRPr="00DF0F8C" w:rsidRDefault="00DF0F8C" w:rsidP="00DF0F8C">
      <w:pPr>
        <w:spacing w:line="360" w:lineRule="auto"/>
        <w:jc w:val="both"/>
        <w:rPr>
          <w:rFonts w:eastAsia="Calibri"/>
          <w:lang w:eastAsia="en-US"/>
        </w:rPr>
      </w:pPr>
      <w:r w:rsidRPr="00DF0F8C">
        <w:rPr>
          <w:rFonts w:eastAsia="Calibri"/>
          <w:lang w:eastAsia="en-US"/>
        </w:rPr>
        <w:t>El EDSS tuvo las siguientes medias/desviación estándar: en la línea base (1,76 ± 1,29), 12 meses (1,91</w:t>
      </w:r>
      <w:r w:rsidRPr="00DF0F8C">
        <w:rPr>
          <w:color w:val="000000"/>
          <w:lang w:eastAsia="es-ES"/>
        </w:rPr>
        <w:t> ± 1,39</w:t>
      </w:r>
      <w:r w:rsidRPr="00DF0F8C">
        <w:rPr>
          <w:rFonts w:eastAsia="Calibri"/>
          <w:lang w:eastAsia="en-US"/>
        </w:rPr>
        <w:t>), 24 meses (</w:t>
      </w:r>
      <w:r w:rsidRPr="00DF0F8C">
        <w:rPr>
          <w:color w:val="000000"/>
          <w:lang w:eastAsia="es-ES"/>
        </w:rPr>
        <w:t>2,1 ± 1,64</w:t>
      </w:r>
      <w:r w:rsidRPr="00DF0F8C">
        <w:rPr>
          <w:rFonts w:eastAsia="Calibri"/>
          <w:lang w:eastAsia="en-US"/>
        </w:rPr>
        <w:t xml:space="preserve">) y 36 meses (2,37 ± 1,86). </w:t>
      </w:r>
    </w:p>
    <w:p w14:paraId="385E75FA" w14:textId="77777777" w:rsidR="00DF0F8C" w:rsidRPr="00DF0F8C" w:rsidRDefault="00DF0F8C" w:rsidP="00DF0F8C">
      <w:pPr>
        <w:spacing w:line="360" w:lineRule="auto"/>
        <w:jc w:val="both"/>
        <w:rPr>
          <w:rFonts w:eastAsia="Calibri"/>
          <w:lang w:eastAsia="en-US"/>
        </w:rPr>
      </w:pPr>
      <w:r w:rsidRPr="00DF0F8C">
        <w:rPr>
          <w:rFonts w:eastAsia="Calibri"/>
          <w:lang w:eastAsia="en-US"/>
        </w:rPr>
        <w:t>La media/desviación estándar de los brotes fue, en la línea base (1,13 ± 0,52), 12 meses (0</w:t>
      </w:r>
      <w:r w:rsidRPr="00DF0F8C">
        <w:rPr>
          <w:color w:val="000000"/>
          <w:lang w:eastAsia="es-ES"/>
        </w:rPr>
        <w:t>,26 ± 0,44</w:t>
      </w:r>
      <w:r w:rsidRPr="00DF0F8C">
        <w:rPr>
          <w:rFonts w:eastAsia="Calibri"/>
          <w:lang w:eastAsia="en-US"/>
        </w:rPr>
        <w:t>), 24 meses (</w:t>
      </w:r>
      <w:r w:rsidRPr="00DF0F8C">
        <w:rPr>
          <w:color w:val="000000"/>
          <w:lang w:eastAsia="es-ES"/>
        </w:rPr>
        <w:t>0,38 ± 0,59</w:t>
      </w:r>
      <w:r w:rsidRPr="00DF0F8C">
        <w:rPr>
          <w:rFonts w:eastAsia="Calibri"/>
          <w:lang w:eastAsia="en-US"/>
        </w:rPr>
        <w:t xml:space="preserve">) y a los 36 meses (0,13 ± 0,33). </w:t>
      </w:r>
    </w:p>
    <w:p w14:paraId="1AE0C287" w14:textId="77777777" w:rsidR="00DF0F8C" w:rsidRPr="00DF0F8C" w:rsidRDefault="00DF0F8C" w:rsidP="00DF0F8C">
      <w:pPr>
        <w:spacing w:line="360" w:lineRule="auto"/>
        <w:jc w:val="both"/>
        <w:rPr>
          <w:rFonts w:eastAsia="Calibri"/>
          <w:lang w:eastAsia="en-US"/>
        </w:rPr>
      </w:pPr>
      <w:r w:rsidRPr="00DF0F8C">
        <w:rPr>
          <w:rFonts w:eastAsia="Calibri"/>
          <w:lang w:eastAsia="en-US"/>
        </w:rPr>
        <w:t>La media/desviación estándar de las lesiones que mostraban realce con gadolinio fue en la línea base de 0,59</w:t>
      </w:r>
      <w:r w:rsidRPr="00DF0F8C">
        <w:rPr>
          <w:lang w:eastAsia="es-ES"/>
        </w:rPr>
        <w:t> ± 0,54 y</w:t>
      </w:r>
      <w:r w:rsidRPr="00DF0F8C">
        <w:rPr>
          <w:rFonts w:eastAsia="Calibri"/>
          <w:lang w:eastAsia="en-US"/>
        </w:rPr>
        <w:t xml:space="preserve"> tras los 12 primeros meses de tratamiento, de 0,36 ± 0,66. </w:t>
      </w:r>
    </w:p>
    <w:p w14:paraId="3B936C31" w14:textId="77777777" w:rsidR="00DF0F8C" w:rsidRPr="00DF0F8C" w:rsidRDefault="00DF0F8C" w:rsidP="00DF0F8C">
      <w:pPr>
        <w:spacing w:line="360" w:lineRule="auto"/>
        <w:jc w:val="both"/>
        <w:rPr>
          <w:rFonts w:eastAsia="Calibri"/>
          <w:lang w:eastAsia="en-US"/>
        </w:rPr>
      </w:pPr>
      <w:r w:rsidRPr="00DF0F8C">
        <w:rPr>
          <w:rFonts w:eastAsia="Calibri"/>
          <w:lang w:eastAsia="en-US"/>
        </w:rPr>
        <w:t>Las lesiones nuevas en T2, en la en la línea base fue de 11,38 ± 1,95 y a los 12 meses, de de</w:t>
      </w:r>
      <w:r w:rsidRPr="00DF0F8C">
        <w:rPr>
          <w:rFonts w:eastAsia="Calibri"/>
          <w:b/>
          <w:lang w:eastAsia="en-US"/>
        </w:rPr>
        <w:t xml:space="preserve"> </w:t>
      </w:r>
      <w:r w:rsidRPr="00DF0F8C">
        <w:rPr>
          <w:rFonts w:eastAsia="Calibri"/>
          <w:lang w:eastAsia="en-US"/>
        </w:rPr>
        <w:t xml:space="preserve">0,90 ± 1,16. </w:t>
      </w:r>
    </w:p>
    <w:p w14:paraId="21AA61A7" w14:textId="77777777" w:rsidR="00DF0F8C" w:rsidRPr="00DF0F8C" w:rsidRDefault="00DF0F8C" w:rsidP="00DF0F8C">
      <w:pPr>
        <w:spacing w:line="360" w:lineRule="auto"/>
        <w:jc w:val="both"/>
        <w:rPr>
          <w:bCs/>
          <w:color w:val="00000A"/>
          <w:lang w:eastAsia="es-ES"/>
        </w:rPr>
      </w:pPr>
      <w:r w:rsidRPr="00DF0F8C">
        <w:rPr>
          <w:bCs/>
          <w:color w:val="00000A"/>
          <w:lang w:eastAsia="es-ES"/>
        </w:rPr>
        <w:t>En la tabla 2 se muestra la respuesta al tratamiento con IFNb-1a de acuerdo al riesgo de actividad clínica durante el seguimiento en función de la evaluación durante el primer año de tratamiento</w:t>
      </w:r>
      <w:r w:rsidRPr="00DF0F8C">
        <w:rPr>
          <w:bCs/>
          <w:lang w:eastAsia="es-ES"/>
        </w:rPr>
        <w:t xml:space="preserve">, en cuanto a la variable combinada </w:t>
      </w:r>
      <w:r w:rsidRPr="00DF0F8C">
        <w:rPr>
          <w:rFonts w:eastAsia="Calibri"/>
          <w:lang w:eastAsia="en-US"/>
        </w:rPr>
        <w:t>progresión por EDSS o brotes</w:t>
      </w:r>
      <w:r w:rsidRPr="00DF0F8C">
        <w:rPr>
          <w:bCs/>
          <w:lang w:eastAsia="es-ES"/>
        </w:rPr>
        <w:t xml:space="preserve"> durante el seguimiento (</w:t>
      </w:r>
      <w:r w:rsidRPr="00DF0F8C">
        <w:rPr>
          <w:rFonts w:eastAsia="Calibri"/>
          <w:lang w:eastAsia="en-US"/>
        </w:rPr>
        <w:t>24; 36 meses</w:t>
      </w:r>
      <w:r w:rsidRPr="00DF0F8C">
        <w:rPr>
          <w:bCs/>
          <w:lang w:eastAsia="es-ES"/>
        </w:rPr>
        <w:t>), en función de la evolución durante el primer año de tratamiento: se identifica que la progresión (según la EDSS durante los 12 primeros meses), la tasa anualizada de brotes antes del tratamiento, la edad de inicio de la enfermedad, tiempo de evolución de la enfermedad y lesiones que realzan gadolinio se asociaron de forma significativa según el OR, con mayor probabilidad de no progresión de la enfermedad.</w:t>
      </w:r>
    </w:p>
    <w:p w14:paraId="207112F2" w14:textId="77777777" w:rsidR="00DF0F8C" w:rsidRPr="00DF0F8C" w:rsidRDefault="00DF0F8C" w:rsidP="00DF0F8C">
      <w:pPr>
        <w:spacing w:line="360" w:lineRule="auto"/>
        <w:jc w:val="both"/>
        <w:rPr>
          <w:bCs/>
          <w:lang w:eastAsia="es-ES"/>
        </w:rPr>
      </w:pPr>
      <w:r w:rsidRPr="00DF0F8C">
        <w:rPr>
          <w:bCs/>
          <w:lang w:eastAsia="es-ES"/>
        </w:rPr>
        <w:t xml:space="preserve">Las variables medidas durante los primeros 12 meses: progresión por EDSS, los brotes, la edad de inicio de la enfermedad, la tasa anualizada de brotes antes del tratamiento y el RS se asociaron de forma significativa según el OR, de no presentar brotes en los siguientes 24 a 36 meses. </w:t>
      </w:r>
    </w:p>
    <w:p w14:paraId="2CF08823" w14:textId="77777777" w:rsidR="00DF0F8C" w:rsidRPr="00DF0F8C" w:rsidRDefault="00DF0F8C" w:rsidP="00DF0F8C">
      <w:pPr>
        <w:spacing w:line="360" w:lineRule="auto"/>
        <w:jc w:val="both"/>
        <w:rPr>
          <w:bCs/>
          <w:lang w:eastAsia="es-ES"/>
        </w:rPr>
      </w:pPr>
      <w:r w:rsidRPr="00DF0F8C">
        <w:rPr>
          <w:bCs/>
          <w:lang w:eastAsia="es-ES"/>
        </w:rPr>
        <w:t>La tasa anualizada de brotes antes del tratamiento y un RS 2 se asoció de forma significativa según el OR, de no progresión por EDSS en los siguientes 24 a 36 meses.</w:t>
      </w:r>
    </w:p>
    <w:p w14:paraId="22A35F5D" w14:textId="77777777" w:rsidR="00DF0F8C" w:rsidRPr="00DF0F8C" w:rsidRDefault="00DF0F8C" w:rsidP="00DF0F8C">
      <w:pPr>
        <w:spacing w:line="360" w:lineRule="auto"/>
        <w:jc w:val="center"/>
        <w:rPr>
          <w:rFonts w:eastAsia="Calibri"/>
          <w:b/>
          <w:lang w:eastAsia="en-US"/>
        </w:rPr>
      </w:pPr>
    </w:p>
    <w:p w14:paraId="708E328C" w14:textId="77777777" w:rsidR="00DF0F8C" w:rsidRPr="00DF0F8C" w:rsidRDefault="00DF0F8C" w:rsidP="00DF0F8C">
      <w:pPr>
        <w:spacing w:line="360" w:lineRule="auto"/>
        <w:jc w:val="center"/>
        <w:rPr>
          <w:rFonts w:eastAsia="Calibri"/>
          <w:sz w:val="22"/>
          <w:szCs w:val="22"/>
          <w:lang w:eastAsia="en-US"/>
        </w:rPr>
      </w:pPr>
      <w:r w:rsidRPr="00DF0F8C">
        <w:rPr>
          <w:rFonts w:eastAsia="Calibri"/>
          <w:b/>
          <w:sz w:val="22"/>
          <w:szCs w:val="22"/>
          <w:lang w:eastAsia="en-US"/>
        </w:rPr>
        <w:lastRenderedPageBreak/>
        <w:t>Tabla 2 -</w:t>
      </w:r>
      <w:r w:rsidRPr="00DF0F8C">
        <w:rPr>
          <w:rFonts w:eastAsia="Calibri"/>
          <w:sz w:val="22"/>
          <w:szCs w:val="22"/>
          <w:lang w:eastAsia="en-US"/>
        </w:rPr>
        <w:t xml:space="preserve"> Respuesta al tratamiento con IFNb-1a de acuerdo al riesgo de actividad clínica durante el seguimiento, en función de la evaluación durante el primer año de tratamiento</w:t>
      </w:r>
    </w:p>
    <w:p w14:paraId="0DD186F2" w14:textId="3A1C960F" w:rsidR="004367E4" w:rsidRDefault="004367E4" w:rsidP="004367E4">
      <w:pPr>
        <w:spacing w:line="360" w:lineRule="auto"/>
        <w:ind w:left="-426"/>
        <w:jc w:val="center"/>
        <w:rPr>
          <w:bCs/>
          <w:color w:val="00000A"/>
          <w:sz w:val="16"/>
          <w:szCs w:val="16"/>
          <w:lang w:val="en-US" w:eastAsia="es-ES"/>
        </w:rPr>
      </w:pPr>
      <w:r>
        <w:rPr>
          <w:bCs/>
          <w:noProof/>
          <w:color w:val="00000A"/>
          <w:sz w:val="16"/>
          <w:szCs w:val="16"/>
          <w:lang w:val="en-US" w:eastAsia="es-ES"/>
        </w:rPr>
        <w:drawing>
          <wp:inline distT="0" distB="0" distL="0" distR="0" wp14:anchorId="75B59C61" wp14:editId="66F9A122">
            <wp:extent cx="6847200" cy="4428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6847200" cy="4428000"/>
                    </a:xfrm>
                    <a:prstGeom prst="rect">
                      <a:avLst/>
                    </a:prstGeom>
                  </pic:spPr>
                </pic:pic>
              </a:graphicData>
            </a:graphic>
          </wp:inline>
        </w:drawing>
      </w:r>
    </w:p>
    <w:p w14:paraId="7277662B" w14:textId="6DE5393B" w:rsidR="00DF0F8C" w:rsidRPr="00DF0F8C" w:rsidRDefault="00DF0F8C" w:rsidP="00DF0F8C">
      <w:pPr>
        <w:spacing w:line="360" w:lineRule="auto"/>
        <w:jc w:val="center"/>
        <w:rPr>
          <w:bCs/>
          <w:color w:val="00000A"/>
          <w:sz w:val="16"/>
          <w:szCs w:val="16"/>
          <w:lang w:val="en-US" w:eastAsia="es-ES"/>
        </w:rPr>
      </w:pPr>
      <w:r w:rsidRPr="00DF0F8C">
        <w:rPr>
          <w:bCs/>
          <w:color w:val="00000A"/>
          <w:sz w:val="16"/>
          <w:szCs w:val="16"/>
          <w:lang w:val="en-US" w:eastAsia="es-ES"/>
        </w:rPr>
        <w:t xml:space="preserve">*OR: </w:t>
      </w:r>
      <w:r w:rsidRPr="00DF0F8C">
        <w:rPr>
          <w:bCs/>
          <w:i/>
          <w:color w:val="00000A"/>
          <w:sz w:val="16"/>
          <w:szCs w:val="16"/>
          <w:lang w:val="en-US" w:eastAsia="es-ES"/>
        </w:rPr>
        <w:t>odds ratio</w:t>
      </w:r>
      <w:r w:rsidRPr="00DF0F8C">
        <w:rPr>
          <w:bCs/>
          <w:color w:val="00000A"/>
          <w:sz w:val="16"/>
          <w:szCs w:val="16"/>
          <w:lang w:val="en-US" w:eastAsia="es-ES"/>
        </w:rPr>
        <w:t>;</w:t>
      </w:r>
      <w:r w:rsidRPr="00DF0F8C">
        <w:rPr>
          <w:bCs/>
          <w:color w:val="00000A"/>
          <w:sz w:val="16"/>
          <w:szCs w:val="16"/>
          <w:lang w:val="en-US" w:eastAsia="es-ES"/>
        </w:rPr>
        <w:t xml:space="preserve"> </w:t>
      </w:r>
      <w:r w:rsidRPr="00DF0F8C">
        <w:rPr>
          <w:bCs/>
          <w:color w:val="00000A"/>
          <w:sz w:val="16"/>
          <w:szCs w:val="16"/>
          <w:lang w:val="en-US" w:eastAsia="es-ES"/>
        </w:rPr>
        <w:t>IC 95 %</w:t>
      </w:r>
    </w:p>
    <w:p w14:paraId="69976273" w14:textId="77777777" w:rsidR="00DF0F8C" w:rsidRPr="00DF0F8C" w:rsidRDefault="00DF0F8C" w:rsidP="00DF0F8C">
      <w:pPr>
        <w:spacing w:line="360" w:lineRule="auto"/>
        <w:jc w:val="both"/>
        <w:rPr>
          <w:bCs/>
          <w:color w:val="00000A"/>
          <w:lang w:val="en-US" w:eastAsia="es-ES"/>
        </w:rPr>
      </w:pPr>
    </w:p>
    <w:p w14:paraId="6FA8C618" w14:textId="77777777" w:rsidR="00DF0F8C" w:rsidRPr="00DF0F8C" w:rsidRDefault="00DF0F8C" w:rsidP="00DF0F8C">
      <w:pPr>
        <w:spacing w:line="360" w:lineRule="auto"/>
        <w:jc w:val="both"/>
        <w:rPr>
          <w:bCs/>
          <w:color w:val="00000A"/>
          <w:lang w:eastAsia="es-ES"/>
        </w:rPr>
      </w:pPr>
      <w:r w:rsidRPr="00DF0F8C">
        <w:rPr>
          <w:bCs/>
          <w:color w:val="00000A"/>
          <w:lang w:eastAsia="es-ES"/>
        </w:rPr>
        <w:t>En la tabla 3 se muestra la progresión en el tiempo, según la EDSS. A partir del momento inicial se manifiestan diferencias que se observan a los 24 meses y al final. Muestra una cifra de progresión inferior en un 51 %. El OR= 2,37 para la no progresión en ese periodo.</w:t>
      </w:r>
    </w:p>
    <w:p w14:paraId="38C46B46" w14:textId="77777777" w:rsidR="00DF0F8C" w:rsidRPr="00DF0F8C" w:rsidRDefault="00DF0F8C" w:rsidP="00DF0F8C">
      <w:pPr>
        <w:spacing w:line="360" w:lineRule="auto"/>
        <w:jc w:val="both"/>
        <w:rPr>
          <w:bCs/>
          <w:color w:val="00000A"/>
          <w:lang w:eastAsia="es-ES"/>
        </w:rPr>
      </w:pPr>
    </w:p>
    <w:p w14:paraId="36E2792C" w14:textId="77777777" w:rsidR="00F82487" w:rsidRDefault="00F82487">
      <w:pPr>
        <w:rPr>
          <w:b/>
          <w:bCs/>
          <w:color w:val="00000A"/>
          <w:sz w:val="22"/>
          <w:szCs w:val="22"/>
          <w:lang w:eastAsia="es-ES"/>
        </w:rPr>
      </w:pPr>
      <w:r>
        <w:rPr>
          <w:b/>
          <w:bCs/>
          <w:color w:val="00000A"/>
          <w:sz w:val="22"/>
          <w:szCs w:val="22"/>
          <w:lang w:eastAsia="es-ES"/>
        </w:rPr>
        <w:br w:type="page"/>
      </w:r>
    </w:p>
    <w:p w14:paraId="62542D47" w14:textId="6D06BF36" w:rsidR="00DF0F8C" w:rsidRPr="00DF0F8C" w:rsidRDefault="00DF0F8C" w:rsidP="00DF0F8C">
      <w:pPr>
        <w:spacing w:line="360" w:lineRule="auto"/>
        <w:jc w:val="center"/>
        <w:rPr>
          <w:bCs/>
          <w:color w:val="00000A"/>
          <w:sz w:val="22"/>
          <w:szCs w:val="22"/>
          <w:lang w:eastAsia="es-ES"/>
        </w:rPr>
      </w:pPr>
      <w:r w:rsidRPr="00DF0F8C">
        <w:rPr>
          <w:b/>
          <w:bCs/>
          <w:color w:val="00000A"/>
          <w:sz w:val="22"/>
          <w:szCs w:val="22"/>
          <w:lang w:eastAsia="es-ES"/>
        </w:rPr>
        <w:lastRenderedPageBreak/>
        <w:t xml:space="preserve">Tabla 3 - </w:t>
      </w:r>
      <w:r w:rsidRPr="00DF0F8C">
        <w:rPr>
          <w:bCs/>
          <w:color w:val="00000A"/>
          <w:sz w:val="22"/>
          <w:szCs w:val="22"/>
          <w:lang w:eastAsia="es-ES"/>
        </w:rPr>
        <w:t>Progresión en el tiempo, según la EDSS</w:t>
      </w:r>
    </w:p>
    <w:p w14:paraId="6E73E955" w14:textId="3DCAE603" w:rsidR="004367E4" w:rsidRDefault="004367E4" w:rsidP="00DF0F8C">
      <w:pPr>
        <w:spacing w:line="360" w:lineRule="auto"/>
        <w:jc w:val="center"/>
        <w:rPr>
          <w:bCs/>
          <w:color w:val="00000A"/>
          <w:sz w:val="16"/>
          <w:szCs w:val="16"/>
          <w:lang w:eastAsia="es-ES"/>
        </w:rPr>
      </w:pPr>
      <w:r>
        <w:rPr>
          <w:bCs/>
          <w:noProof/>
          <w:color w:val="00000A"/>
          <w:sz w:val="16"/>
          <w:szCs w:val="16"/>
          <w:lang w:eastAsia="es-ES"/>
        </w:rPr>
        <w:drawing>
          <wp:inline distT="0" distB="0" distL="0" distR="0" wp14:anchorId="2BE6D2FD" wp14:editId="12224F55">
            <wp:extent cx="3971429" cy="124761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3971429" cy="1247619"/>
                    </a:xfrm>
                    <a:prstGeom prst="rect">
                      <a:avLst/>
                    </a:prstGeom>
                  </pic:spPr>
                </pic:pic>
              </a:graphicData>
            </a:graphic>
          </wp:inline>
        </w:drawing>
      </w:r>
    </w:p>
    <w:p w14:paraId="3FBD59BC" w14:textId="1CC5E1CB" w:rsidR="00DF0F8C" w:rsidRPr="00DF0F8C" w:rsidRDefault="00DF0F8C" w:rsidP="00DF0F8C">
      <w:pPr>
        <w:spacing w:line="360" w:lineRule="auto"/>
        <w:jc w:val="center"/>
        <w:rPr>
          <w:b/>
          <w:bCs/>
          <w:color w:val="00000A"/>
          <w:lang w:eastAsia="es-ES"/>
        </w:rPr>
      </w:pPr>
      <w:r w:rsidRPr="00DF0F8C">
        <w:rPr>
          <w:bCs/>
          <w:color w:val="00000A"/>
          <w:sz w:val="16"/>
          <w:szCs w:val="16"/>
          <w:lang w:eastAsia="es-ES"/>
        </w:rPr>
        <w:t xml:space="preserve">*OR: </w:t>
      </w:r>
      <w:r w:rsidRPr="00DF0F8C">
        <w:rPr>
          <w:bCs/>
          <w:i/>
          <w:color w:val="00000A"/>
          <w:sz w:val="16"/>
          <w:szCs w:val="16"/>
          <w:lang w:eastAsia="es-ES"/>
        </w:rPr>
        <w:t>odds ratio</w:t>
      </w:r>
      <w:r w:rsidRPr="00DF0F8C">
        <w:rPr>
          <w:bCs/>
          <w:color w:val="00000A"/>
          <w:sz w:val="16"/>
          <w:szCs w:val="16"/>
          <w:lang w:eastAsia="es-ES"/>
        </w:rPr>
        <w:t>;</w:t>
      </w:r>
      <w:r w:rsidRPr="00DF0F8C">
        <w:rPr>
          <w:bCs/>
          <w:color w:val="00000A"/>
          <w:sz w:val="16"/>
          <w:szCs w:val="16"/>
          <w:lang w:eastAsia="es-ES"/>
        </w:rPr>
        <w:t xml:space="preserve"> </w:t>
      </w:r>
      <w:r w:rsidRPr="00DF0F8C">
        <w:rPr>
          <w:bCs/>
          <w:color w:val="00000A"/>
          <w:sz w:val="16"/>
          <w:szCs w:val="16"/>
          <w:lang w:eastAsia="es-ES"/>
        </w:rPr>
        <w:t>IC95 %</w:t>
      </w:r>
    </w:p>
    <w:p w14:paraId="5E285DD5" w14:textId="77777777" w:rsidR="00DF0F8C" w:rsidRPr="00DF0F8C" w:rsidRDefault="00DF0F8C" w:rsidP="00DF0F8C">
      <w:pPr>
        <w:spacing w:line="360" w:lineRule="auto"/>
        <w:jc w:val="both"/>
        <w:rPr>
          <w:rFonts w:eastAsia="Calibri"/>
          <w:lang w:eastAsia="en-US"/>
        </w:rPr>
      </w:pPr>
    </w:p>
    <w:p w14:paraId="4DA49ABB" w14:textId="77777777" w:rsidR="00DF0F8C" w:rsidRPr="00DF0F8C" w:rsidRDefault="00DF0F8C" w:rsidP="00DF0F8C">
      <w:pPr>
        <w:spacing w:line="360" w:lineRule="auto"/>
        <w:jc w:val="both"/>
        <w:rPr>
          <w:rFonts w:eastAsia="Calibri"/>
          <w:lang w:eastAsia="en-US"/>
        </w:rPr>
      </w:pPr>
      <w:r w:rsidRPr="00DF0F8C">
        <w:rPr>
          <w:rFonts w:eastAsia="Calibri"/>
          <w:lang w:eastAsia="en-US"/>
        </w:rPr>
        <w:t xml:space="preserve">En la tabla 4 se presenta el contraste entre la presencia o ausencia de brotes en el seguimiento. Con el test de </w:t>
      </w:r>
      <w:r w:rsidRPr="00DF0F8C">
        <w:rPr>
          <w:rFonts w:eastAsia="Calibri"/>
          <w:i/>
          <w:iCs/>
          <w:lang w:eastAsia="en-US"/>
        </w:rPr>
        <w:t>ji</w:t>
      </w:r>
      <w:r w:rsidRPr="00DF0F8C">
        <w:rPr>
          <w:rFonts w:eastAsia="Calibri"/>
          <w:lang w:eastAsia="en-US"/>
        </w:rPr>
        <w:t xml:space="preserve"> cuadrado se obtuvo una p= 0,002; se muestra además el OR para cada periodo, lo cual expresa un aumento, entre 2 y 4 veces, de la protección contra la aparición de brotes.</w:t>
      </w:r>
    </w:p>
    <w:p w14:paraId="3ED0D66B" w14:textId="77777777" w:rsidR="00DF0F8C" w:rsidRPr="00DF0F8C" w:rsidRDefault="00DF0F8C" w:rsidP="00DF0F8C">
      <w:pPr>
        <w:spacing w:line="360" w:lineRule="auto"/>
        <w:jc w:val="both"/>
        <w:rPr>
          <w:b/>
          <w:bCs/>
          <w:color w:val="00000A"/>
          <w:lang w:eastAsia="es-ES"/>
        </w:rPr>
      </w:pPr>
    </w:p>
    <w:p w14:paraId="6CBEA295" w14:textId="77777777" w:rsidR="00DF0F8C" w:rsidRPr="00DF0F8C" w:rsidRDefault="00DF0F8C" w:rsidP="00DF0F8C">
      <w:pPr>
        <w:spacing w:line="360" w:lineRule="auto"/>
        <w:jc w:val="center"/>
        <w:rPr>
          <w:rFonts w:eastAsia="Calibri"/>
          <w:sz w:val="22"/>
          <w:szCs w:val="22"/>
          <w:lang w:eastAsia="en-US"/>
        </w:rPr>
      </w:pPr>
      <w:r w:rsidRPr="00DF0F8C">
        <w:rPr>
          <w:b/>
          <w:bCs/>
          <w:color w:val="00000A"/>
          <w:sz w:val="22"/>
          <w:szCs w:val="22"/>
          <w:lang w:eastAsia="es-ES"/>
        </w:rPr>
        <w:t xml:space="preserve">Tabla 4 - </w:t>
      </w:r>
      <w:r w:rsidRPr="00DF0F8C">
        <w:rPr>
          <w:bCs/>
          <w:color w:val="00000A"/>
          <w:sz w:val="22"/>
          <w:szCs w:val="22"/>
          <w:lang w:eastAsia="es-ES"/>
        </w:rPr>
        <w:t>Presencia o ausencia de brotes en el seguimiento</w:t>
      </w:r>
    </w:p>
    <w:p w14:paraId="3E96CED6" w14:textId="52AEB8F9" w:rsidR="004367E4" w:rsidRDefault="004367E4" w:rsidP="00DF0F8C">
      <w:pPr>
        <w:spacing w:line="360" w:lineRule="auto"/>
        <w:jc w:val="center"/>
        <w:rPr>
          <w:rFonts w:eastAsia="Calibri"/>
          <w:sz w:val="16"/>
          <w:szCs w:val="16"/>
          <w:lang w:val="en-US" w:eastAsia="en-US"/>
        </w:rPr>
      </w:pPr>
      <w:r>
        <w:rPr>
          <w:rFonts w:eastAsia="Calibri"/>
          <w:noProof/>
          <w:sz w:val="16"/>
          <w:szCs w:val="16"/>
          <w:lang w:val="en-US" w:eastAsia="en-US"/>
        </w:rPr>
        <w:drawing>
          <wp:inline distT="0" distB="0" distL="0" distR="0" wp14:anchorId="13FAFB8E" wp14:editId="448E3C63">
            <wp:extent cx="4066667" cy="105714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4066667" cy="1057143"/>
                    </a:xfrm>
                    <a:prstGeom prst="rect">
                      <a:avLst/>
                    </a:prstGeom>
                  </pic:spPr>
                </pic:pic>
              </a:graphicData>
            </a:graphic>
          </wp:inline>
        </w:drawing>
      </w:r>
    </w:p>
    <w:p w14:paraId="7690ABD1" w14:textId="05F5B7BF" w:rsidR="00DF0F8C" w:rsidRPr="00DF0F8C" w:rsidRDefault="00DF0F8C" w:rsidP="00DF0F8C">
      <w:pPr>
        <w:spacing w:line="360" w:lineRule="auto"/>
        <w:jc w:val="center"/>
        <w:rPr>
          <w:rFonts w:eastAsia="Calibri"/>
          <w:sz w:val="16"/>
          <w:szCs w:val="16"/>
          <w:lang w:val="en-US" w:eastAsia="en-US"/>
        </w:rPr>
      </w:pPr>
      <w:r w:rsidRPr="00DF0F8C">
        <w:rPr>
          <w:rFonts w:eastAsia="Calibri"/>
          <w:sz w:val="16"/>
          <w:szCs w:val="16"/>
          <w:lang w:val="en-US" w:eastAsia="en-US"/>
        </w:rPr>
        <w:t xml:space="preserve">*OR: </w:t>
      </w:r>
      <w:r w:rsidRPr="00DF0F8C">
        <w:rPr>
          <w:rFonts w:eastAsia="Calibri"/>
          <w:i/>
          <w:sz w:val="16"/>
          <w:szCs w:val="16"/>
          <w:lang w:val="en-US" w:eastAsia="en-US"/>
        </w:rPr>
        <w:t>odds ratio</w:t>
      </w:r>
      <w:r w:rsidRPr="00DF0F8C">
        <w:rPr>
          <w:rFonts w:eastAsia="Calibri"/>
          <w:sz w:val="16"/>
          <w:szCs w:val="16"/>
          <w:lang w:val="en-US" w:eastAsia="en-US"/>
        </w:rPr>
        <w:t>;</w:t>
      </w:r>
      <w:r w:rsidRPr="00DF0F8C">
        <w:rPr>
          <w:rFonts w:eastAsia="Calibri"/>
          <w:sz w:val="16"/>
          <w:szCs w:val="16"/>
          <w:lang w:val="en-US" w:eastAsia="en-US"/>
        </w:rPr>
        <w:t xml:space="preserve"> </w:t>
      </w:r>
      <w:r w:rsidRPr="00DF0F8C">
        <w:rPr>
          <w:rFonts w:eastAsia="Calibri"/>
          <w:sz w:val="16"/>
          <w:szCs w:val="16"/>
          <w:lang w:val="en-US" w:eastAsia="en-US"/>
        </w:rPr>
        <w:t>IC95 %</w:t>
      </w:r>
    </w:p>
    <w:p w14:paraId="271C60F2" w14:textId="77777777" w:rsidR="00DF0F8C" w:rsidRPr="00DF0F8C" w:rsidRDefault="00DF0F8C" w:rsidP="00DF0F8C">
      <w:pPr>
        <w:spacing w:line="360" w:lineRule="auto"/>
        <w:jc w:val="center"/>
        <w:rPr>
          <w:rFonts w:eastAsia="Calibri"/>
          <w:sz w:val="16"/>
          <w:szCs w:val="16"/>
          <w:lang w:val="en-US" w:eastAsia="en-US"/>
        </w:rPr>
      </w:pPr>
      <w:r w:rsidRPr="00DF0F8C">
        <w:rPr>
          <w:rFonts w:eastAsia="Calibri"/>
          <w:sz w:val="16"/>
          <w:szCs w:val="16"/>
          <w:lang w:val="en-US" w:eastAsia="en-US"/>
        </w:rPr>
        <w:t>X</w:t>
      </w:r>
      <w:r w:rsidRPr="00DF0F8C">
        <w:rPr>
          <w:rFonts w:eastAsia="Calibri"/>
          <w:sz w:val="16"/>
          <w:szCs w:val="16"/>
          <w:vertAlign w:val="superscript"/>
          <w:lang w:val="en-US" w:eastAsia="en-US"/>
        </w:rPr>
        <w:t>2</w:t>
      </w:r>
      <w:r w:rsidRPr="00DF0F8C">
        <w:rPr>
          <w:rFonts w:eastAsia="Calibri"/>
          <w:sz w:val="16"/>
          <w:szCs w:val="16"/>
          <w:lang w:val="en-US" w:eastAsia="en-US"/>
        </w:rPr>
        <w:t>= 18,614; p= 0,002</w:t>
      </w:r>
    </w:p>
    <w:p w14:paraId="06BFECAC" w14:textId="77777777" w:rsidR="00DF0F8C" w:rsidRPr="00DF0F8C" w:rsidRDefault="00DF0F8C" w:rsidP="00DF0F8C">
      <w:pPr>
        <w:spacing w:line="360" w:lineRule="auto"/>
        <w:jc w:val="center"/>
        <w:rPr>
          <w:rFonts w:eastAsia="Calibri"/>
          <w:b/>
          <w:lang w:val="en-US" w:eastAsia="en-US"/>
        </w:rPr>
      </w:pPr>
    </w:p>
    <w:p w14:paraId="0BE74446" w14:textId="77777777" w:rsidR="00DF0F8C" w:rsidRPr="00DF0F8C" w:rsidRDefault="00DF0F8C" w:rsidP="00DF0F8C">
      <w:pPr>
        <w:spacing w:line="360" w:lineRule="auto"/>
        <w:jc w:val="center"/>
        <w:rPr>
          <w:b/>
          <w:bCs/>
          <w:color w:val="00000A"/>
          <w:lang w:val="en-US" w:eastAsia="es-ES"/>
        </w:rPr>
      </w:pPr>
    </w:p>
    <w:p w14:paraId="4232F757" w14:textId="77777777" w:rsidR="00DF0F8C" w:rsidRPr="00DF0F8C" w:rsidRDefault="00DF0F8C" w:rsidP="00DF0F8C">
      <w:pPr>
        <w:spacing w:line="360" w:lineRule="auto"/>
        <w:jc w:val="center"/>
        <w:rPr>
          <w:rFonts w:eastAsia="Calibri"/>
          <w:sz w:val="32"/>
          <w:szCs w:val="32"/>
          <w:lang w:eastAsia="en-US"/>
        </w:rPr>
      </w:pPr>
      <w:r w:rsidRPr="00DF0F8C">
        <w:rPr>
          <w:b/>
          <w:bCs/>
          <w:color w:val="00000A"/>
          <w:sz w:val="32"/>
          <w:szCs w:val="32"/>
          <w:lang w:eastAsia="es-ES"/>
        </w:rPr>
        <w:t>DISCUSIÓN</w:t>
      </w:r>
    </w:p>
    <w:p w14:paraId="38478A24" w14:textId="77777777" w:rsidR="00DF0F8C" w:rsidRPr="00DF0F8C" w:rsidRDefault="00DF0F8C" w:rsidP="00DF0F8C">
      <w:pPr>
        <w:spacing w:line="360" w:lineRule="auto"/>
        <w:jc w:val="both"/>
        <w:rPr>
          <w:bCs/>
          <w:color w:val="00000A"/>
          <w:lang w:eastAsia="es-ES"/>
        </w:rPr>
      </w:pPr>
      <w:r w:rsidRPr="00DF0F8C">
        <w:rPr>
          <w:bCs/>
          <w:color w:val="00000A"/>
          <w:lang w:eastAsia="es-ES"/>
        </w:rPr>
        <w:t xml:space="preserve">Estos resultados son mejores que los reportados por </w:t>
      </w:r>
      <w:r w:rsidRPr="00DF0F8C">
        <w:rPr>
          <w:bCs/>
          <w:i/>
          <w:color w:val="00000A"/>
          <w:lang w:eastAsia="es-ES"/>
        </w:rPr>
        <w:t>Alenda Asensi R</w:t>
      </w:r>
      <w:r w:rsidRPr="00DF0F8C">
        <w:rPr>
          <w:bCs/>
          <w:iCs/>
          <w:color w:val="00000A"/>
          <w:lang w:eastAsia="es-ES"/>
        </w:rPr>
        <w:t>,</w:t>
      </w:r>
      <w:r w:rsidRPr="00DF0F8C">
        <w:rPr>
          <w:bCs/>
          <w:color w:val="00000A"/>
          <w:vertAlign w:val="superscript"/>
          <w:lang w:eastAsia="es-ES"/>
        </w:rPr>
        <w:t>(7)</w:t>
      </w:r>
      <w:r w:rsidRPr="00DF0F8C">
        <w:rPr>
          <w:bCs/>
          <w:color w:val="00000A"/>
          <w:lang w:eastAsia="es-ES"/>
        </w:rPr>
        <w:t xml:space="preserve"> que evaluaron cambios en biomarcadores en respuesta al INF β-1a en pacientes con EM y encontraron un porcentaje de respuesta positiva menor que en el presente estudio. Solo el 37,8 % de sus pacientes respondieron al tratamiento con respuesta óptima. </w:t>
      </w:r>
    </w:p>
    <w:p w14:paraId="2B8B5023" w14:textId="77777777" w:rsidR="00DF0F8C" w:rsidRPr="00DF0F8C" w:rsidRDefault="00DF0F8C" w:rsidP="00DF0F8C">
      <w:pPr>
        <w:spacing w:line="360" w:lineRule="auto"/>
        <w:jc w:val="both"/>
        <w:rPr>
          <w:bCs/>
          <w:color w:val="00000A"/>
          <w:lang w:eastAsia="es-ES"/>
        </w:rPr>
      </w:pPr>
      <w:r w:rsidRPr="00DF0F8C">
        <w:rPr>
          <w:bCs/>
          <w:color w:val="00000A"/>
          <w:lang w:eastAsia="es-ES"/>
        </w:rPr>
        <w:t xml:space="preserve">De acuerdo con una investigación de </w:t>
      </w:r>
      <w:r w:rsidRPr="00DF0F8C">
        <w:rPr>
          <w:bCs/>
          <w:i/>
          <w:color w:val="00000A"/>
          <w:lang w:eastAsia="es-ES"/>
        </w:rPr>
        <w:t xml:space="preserve">Traboulsee </w:t>
      </w:r>
      <w:r w:rsidRPr="00DF0F8C">
        <w:rPr>
          <w:bCs/>
          <w:iCs/>
          <w:color w:val="00000A"/>
          <w:lang w:eastAsia="es-ES"/>
        </w:rPr>
        <w:t>y otros,</w:t>
      </w:r>
      <w:r w:rsidRPr="00DF0F8C">
        <w:rPr>
          <w:bCs/>
          <w:color w:val="00000A"/>
          <w:vertAlign w:val="superscript"/>
          <w:lang w:eastAsia="es-ES"/>
        </w:rPr>
        <w:t>(8)</w:t>
      </w:r>
      <w:r w:rsidRPr="00DF0F8C">
        <w:rPr>
          <w:rFonts w:eastAsia="Calibri"/>
          <w:lang w:eastAsia="en-US"/>
        </w:rPr>
        <w:t xml:space="preserve"> </w:t>
      </w:r>
      <w:r w:rsidRPr="00DF0F8C">
        <w:rPr>
          <w:bCs/>
          <w:color w:val="00000A"/>
          <w:lang w:eastAsia="es-ES"/>
        </w:rPr>
        <w:t>los pacientes fueron asignados al azar a IFN β-1a 22 μg (n= 189), IFN β-1a 44 μg (n= 184) o placebo (n= 187). Al año, los 2</w:t>
      </w:r>
      <w:r w:rsidRPr="00DF0F8C">
        <w:rPr>
          <w:bCs/>
          <w:color w:val="00000A"/>
          <w:lang w:eastAsia="es-ES"/>
        </w:rPr>
        <w:t xml:space="preserve"> </w:t>
      </w:r>
      <w:r w:rsidRPr="00DF0F8C">
        <w:rPr>
          <w:bCs/>
          <w:color w:val="00000A"/>
          <w:lang w:eastAsia="es-ES"/>
        </w:rPr>
        <w:t xml:space="preserve">grupos que usaron el IFN β-1a, redujeron el riesgo de progresión de la discapacidad y el número medio de lesiones T2 activas </w:t>
      </w:r>
      <w:r w:rsidRPr="00DF0F8C">
        <w:rPr>
          <w:bCs/>
          <w:color w:val="00000A"/>
          <w:lang w:eastAsia="es-ES"/>
        </w:rPr>
        <w:lastRenderedPageBreak/>
        <w:t xml:space="preserve">por paciente medicado, en comparación con el placebo. Más pacientes tratados con IFN β-1a lograron el estado de no evidencia de enfermedad activa </w:t>
      </w:r>
      <w:r w:rsidRPr="00DF0F8C">
        <w:rPr>
          <w:rFonts w:eastAsia="Calibri"/>
          <w:color w:val="000000"/>
          <w:lang w:eastAsia="en-US"/>
        </w:rPr>
        <w:t>(</w:t>
      </w:r>
      <w:r w:rsidRPr="00DF0F8C">
        <w:rPr>
          <w:bCs/>
          <w:i/>
          <w:color w:val="00000A"/>
          <w:lang w:eastAsia="es-ES"/>
        </w:rPr>
        <w:t xml:space="preserve">no evidence of disease activity - </w:t>
      </w:r>
      <w:r w:rsidRPr="00DF0F8C">
        <w:rPr>
          <w:rFonts w:eastAsia="Calibri"/>
          <w:color w:val="000000"/>
          <w:lang w:eastAsia="en-US"/>
        </w:rPr>
        <w:t>NEDA</w:t>
      </w:r>
      <w:r w:rsidRPr="00DF0F8C">
        <w:rPr>
          <w:bCs/>
          <w:color w:val="00000A"/>
          <w:lang w:eastAsia="es-ES"/>
        </w:rPr>
        <w:t>), en comparación con el placebo. Los resultados clínicos, radiológicos y NEDA en el primer año 1 fueron consistentes con los resultados al segundo año.</w:t>
      </w:r>
      <w:r w:rsidRPr="00DF0F8C">
        <w:rPr>
          <w:bCs/>
          <w:color w:val="00000A"/>
          <w:vertAlign w:val="superscript"/>
          <w:lang w:eastAsia="es-ES"/>
        </w:rPr>
        <w:t xml:space="preserve"> </w:t>
      </w:r>
    </w:p>
    <w:p w14:paraId="1A8E0604" w14:textId="77777777" w:rsidR="00DF0F8C" w:rsidRPr="00DF0F8C" w:rsidRDefault="00DF0F8C" w:rsidP="00DF0F8C">
      <w:pPr>
        <w:spacing w:line="360" w:lineRule="auto"/>
        <w:jc w:val="both"/>
        <w:rPr>
          <w:bCs/>
          <w:color w:val="00000A"/>
          <w:lang w:eastAsia="es-ES"/>
        </w:rPr>
      </w:pPr>
      <w:r w:rsidRPr="00DF0F8C">
        <w:rPr>
          <w:bCs/>
          <w:i/>
          <w:color w:val="00000A"/>
          <w:lang w:eastAsia="es-ES"/>
        </w:rPr>
        <w:t>Drulovic</w:t>
      </w:r>
      <w:r w:rsidRPr="00DF0F8C">
        <w:rPr>
          <w:bCs/>
          <w:iCs/>
          <w:color w:val="00000A"/>
          <w:lang w:eastAsia="es-ES"/>
        </w:rPr>
        <w:t xml:space="preserve"> y otros</w:t>
      </w:r>
      <w:r w:rsidRPr="00DF0F8C">
        <w:rPr>
          <w:bCs/>
          <w:color w:val="00000A"/>
          <w:vertAlign w:val="superscript"/>
          <w:lang w:eastAsia="es-ES"/>
        </w:rPr>
        <w:t>(9)</w:t>
      </w:r>
      <w:r w:rsidRPr="00DF0F8C">
        <w:rPr>
          <w:bCs/>
          <w:color w:val="00000A"/>
          <w:lang w:eastAsia="es-ES"/>
        </w:rPr>
        <w:t xml:space="preserve"> ratifica que el tratamiento con IFN β-1a retrasó el tiempo para alcanzar puntuaciones EDSS 4 y 6 desde el reclutamiento. El retraso para el desarrollo de una puntuación EDSS ≥ 4 desde la primera visita fue de 1,6 años. También hubo diferencias significativas en alcanzar puntuaciones EDSS 4 y 6, a favor del grupo tratado con INF β-1a.</w:t>
      </w:r>
      <w:r w:rsidRPr="00DF0F8C">
        <w:rPr>
          <w:bCs/>
          <w:color w:val="00000A"/>
          <w:vertAlign w:val="superscript"/>
          <w:lang w:eastAsia="es-ES"/>
        </w:rPr>
        <w:t xml:space="preserve"> </w:t>
      </w:r>
      <w:r w:rsidRPr="00DF0F8C">
        <w:rPr>
          <w:bCs/>
          <w:color w:val="00000A"/>
          <w:lang w:eastAsia="es-ES"/>
        </w:rPr>
        <w:t>Estos datos coinciden con</w:t>
      </w:r>
      <w:r w:rsidRPr="00DF0F8C">
        <w:rPr>
          <w:bCs/>
          <w:color w:val="00000A"/>
          <w:lang w:eastAsia="es-ES"/>
        </w:rPr>
        <w:t xml:space="preserve"> </w:t>
      </w:r>
      <w:r w:rsidRPr="00DF0F8C">
        <w:rPr>
          <w:bCs/>
          <w:color w:val="00000A"/>
          <w:lang w:eastAsia="es-ES"/>
        </w:rPr>
        <w:t xml:space="preserve">los resultados de esta investigación en la cual hubo retraso para el desarrollo de puntuaciones EDSS hacia valores mayores en la mayor cantidad de pacientes.  </w:t>
      </w:r>
    </w:p>
    <w:p w14:paraId="55897CE0" w14:textId="77777777" w:rsidR="00DF0F8C" w:rsidRPr="00DF0F8C" w:rsidRDefault="00DF0F8C" w:rsidP="00DF0F8C">
      <w:pPr>
        <w:spacing w:line="360" w:lineRule="auto"/>
        <w:jc w:val="both"/>
        <w:rPr>
          <w:bCs/>
          <w:color w:val="00000A"/>
          <w:lang w:eastAsia="es-ES"/>
        </w:rPr>
      </w:pPr>
      <w:r w:rsidRPr="00DF0F8C">
        <w:rPr>
          <w:bCs/>
          <w:color w:val="00000A"/>
          <w:lang w:eastAsia="es-ES"/>
        </w:rPr>
        <w:t xml:space="preserve">Los resultados en este estudio son similares a los reportados por </w:t>
      </w:r>
      <w:r w:rsidRPr="00DF0F8C">
        <w:rPr>
          <w:bCs/>
          <w:i/>
          <w:color w:val="00000A"/>
          <w:lang w:eastAsia="es-ES"/>
        </w:rPr>
        <w:t xml:space="preserve">Alcoriza Rodríguez </w:t>
      </w:r>
      <w:r w:rsidRPr="00DF0F8C">
        <w:rPr>
          <w:bCs/>
          <w:iCs/>
          <w:color w:val="00000A"/>
          <w:lang w:eastAsia="es-ES"/>
        </w:rPr>
        <w:t>y otros</w:t>
      </w:r>
      <w:r w:rsidRPr="00DF0F8C">
        <w:rPr>
          <w:bCs/>
          <w:color w:val="00000A"/>
          <w:vertAlign w:val="superscript"/>
          <w:lang w:eastAsia="es-ES"/>
        </w:rPr>
        <w:t>(10)</w:t>
      </w:r>
      <w:r w:rsidRPr="00DF0F8C">
        <w:rPr>
          <w:bCs/>
          <w:color w:val="00000A"/>
          <w:lang w:eastAsia="es-ES"/>
        </w:rPr>
        <w:t xml:space="preserve"> quienes obtuvieron un mejor grado de respuesta de la EMRR al tratamiento con INF β-1a. Otro estudio realizado por </w:t>
      </w:r>
      <w:r w:rsidRPr="00DF0F8C">
        <w:rPr>
          <w:bCs/>
          <w:i/>
          <w:color w:val="00000A"/>
          <w:lang w:eastAsia="es-ES"/>
        </w:rPr>
        <w:t>Castilló Justribó J</w:t>
      </w:r>
      <w:r w:rsidRPr="00DF0F8C">
        <w:rPr>
          <w:bCs/>
          <w:color w:val="00000A"/>
          <w:vertAlign w:val="superscript"/>
          <w:lang w:eastAsia="es-ES"/>
        </w:rPr>
        <w:t>(11)</w:t>
      </w:r>
      <w:r w:rsidRPr="00DF0F8C">
        <w:rPr>
          <w:bCs/>
          <w:color w:val="00000A"/>
          <w:lang w:eastAsia="es-ES"/>
        </w:rPr>
        <w:t xml:space="preserve"> </w:t>
      </w:r>
      <w:r w:rsidRPr="00DF0F8C">
        <w:rPr>
          <w:bCs/>
          <w:color w:val="00000A"/>
          <w:lang w:eastAsia="es-ES"/>
        </w:rPr>
        <w:t>eval</w:t>
      </w:r>
      <w:r w:rsidRPr="00DF0F8C">
        <w:rPr>
          <w:bCs/>
          <w:color w:val="00000A"/>
          <w:lang w:eastAsia="es-ES"/>
        </w:rPr>
        <w:t>úa</w:t>
      </w:r>
      <w:r w:rsidRPr="00DF0F8C">
        <w:rPr>
          <w:bCs/>
          <w:color w:val="00000A"/>
          <w:lang w:eastAsia="es-ES"/>
        </w:rPr>
        <w:t xml:space="preserve"> </w:t>
      </w:r>
      <w:r w:rsidRPr="00DF0F8C">
        <w:rPr>
          <w:bCs/>
          <w:color w:val="00000A"/>
          <w:lang w:eastAsia="es-ES"/>
        </w:rPr>
        <w:t>indicadores precoces de respuesta al tratamiento con interferón en pacientes con EM y reporta</w:t>
      </w:r>
      <w:r w:rsidRPr="00DF0F8C">
        <w:rPr>
          <w:bCs/>
          <w:color w:val="00000A"/>
          <w:lang w:eastAsia="es-ES"/>
        </w:rPr>
        <w:t xml:space="preserve"> </w:t>
      </w:r>
      <w:r w:rsidRPr="00DF0F8C">
        <w:rPr>
          <w:bCs/>
          <w:color w:val="00000A"/>
          <w:lang w:eastAsia="es-ES"/>
        </w:rPr>
        <w:t>que solo el 6,7 % empeora en la escala EDSS tras 1</w:t>
      </w:r>
      <w:r w:rsidRPr="00DF0F8C">
        <w:rPr>
          <w:bCs/>
          <w:color w:val="00000A"/>
          <w:lang w:eastAsia="es-ES"/>
        </w:rPr>
        <w:t xml:space="preserve"> </w:t>
      </w:r>
      <w:r w:rsidRPr="00DF0F8C">
        <w:rPr>
          <w:bCs/>
          <w:color w:val="00000A"/>
          <w:lang w:eastAsia="es-ES"/>
        </w:rPr>
        <w:t xml:space="preserve">año de tratamiento. Además, 32 pacientes presentaron al menos un brote de la enfermedad. La valoración de la escala EDSS y los brotes en los pacientes de este estudio muestran resultados favorables en ambos grupos y más en el grupo que llevaba tratamiento con INF β-1a.  </w:t>
      </w:r>
    </w:p>
    <w:p w14:paraId="16888AC6" w14:textId="77777777" w:rsidR="00DF0F8C" w:rsidRPr="00DF0F8C" w:rsidRDefault="00DF0F8C" w:rsidP="00DF0F8C">
      <w:pPr>
        <w:spacing w:line="360" w:lineRule="auto"/>
        <w:jc w:val="both"/>
        <w:rPr>
          <w:bCs/>
          <w:color w:val="00000A"/>
          <w:lang w:eastAsia="es-ES"/>
        </w:rPr>
      </w:pPr>
      <w:r w:rsidRPr="00DF0F8C">
        <w:rPr>
          <w:bCs/>
          <w:color w:val="00000A"/>
          <w:lang w:eastAsia="es-ES"/>
        </w:rPr>
        <w:t>Otro estudio</w:t>
      </w:r>
      <w:r w:rsidRPr="00DF0F8C">
        <w:rPr>
          <w:bCs/>
          <w:color w:val="00000A"/>
          <w:vertAlign w:val="superscript"/>
          <w:lang w:eastAsia="es-ES"/>
        </w:rPr>
        <w:t>(12)</w:t>
      </w:r>
      <w:r w:rsidRPr="00DF0F8C">
        <w:rPr>
          <w:bCs/>
          <w:color w:val="00000A"/>
          <w:lang w:eastAsia="es-ES"/>
        </w:rPr>
        <w:t xml:space="preserve"> reciente encuentra menor cantidad de lesiones que realzaban con gadolinio después del tratamiento con INF β-1a. Además, de evidencias de que a menor actividad radiológica de la enfermedad en los primeros 2</w:t>
      </w:r>
      <w:r w:rsidRPr="00DF0F8C">
        <w:rPr>
          <w:bCs/>
          <w:color w:val="00000A"/>
          <w:lang w:eastAsia="es-ES"/>
        </w:rPr>
        <w:t xml:space="preserve"> </w:t>
      </w:r>
      <w:r w:rsidRPr="00DF0F8C">
        <w:rPr>
          <w:bCs/>
          <w:color w:val="00000A"/>
          <w:lang w:eastAsia="es-ES"/>
        </w:rPr>
        <w:t>años de tratamiento, corresponden mejores resultados clínicos a largo plazo, que aquellos pacientes con evidencias de mayor actividad de la enfermedad.</w:t>
      </w:r>
      <w:r w:rsidRPr="00DF0F8C">
        <w:rPr>
          <w:bCs/>
          <w:color w:val="00000A"/>
          <w:vertAlign w:val="superscript"/>
          <w:lang w:eastAsia="es-ES"/>
        </w:rPr>
        <w:t xml:space="preserve"> </w:t>
      </w:r>
      <w:r w:rsidRPr="00DF0F8C">
        <w:rPr>
          <w:bCs/>
          <w:color w:val="00000A"/>
          <w:lang w:eastAsia="es-ES"/>
        </w:rPr>
        <w:t xml:space="preserve">Esto coincide con los resultados que se presentan en esta investigación, que evalúa la actividad radiológica en el primer año de tratamiento. </w:t>
      </w:r>
    </w:p>
    <w:p w14:paraId="0F4088E7" w14:textId="77777777" w:rsidR="00DF0F8C" w:rsidRPr="00DF0F8C" w:rsidRDefault="00DF0F8C" w:rsidP="00DF0F8C">
      <w:pPr>
        <w:spacing w:line="360" w:lineRule="auto"/>
        <w:jc w:val="both"/>
        <w:rPr>
          <w:bCs/>
          <w:color w:val="00000A"/>
          <w:lang w:eastAsia="es-ES"/>
        </w:rPr>
      </w:pPr>
      <w:r w:rsidRPr="00DF0F8C">
        <w:rPr>
          <w:bCs/>
          <w:color w:val="00000A"/>
          <w:lang w:eastAsia="es-ES"/>
        </w:rPr>
        <w:t>En un estudio</w:t>
      </w:r>
      <w:r w:rsidRPr="00DF0F8C">
        <w:rPr>
          <w:bCs/>
          <w:color w:val="00000A"/>
          <w:vertAlign w:val="superscript"/>
          <w:lang w:eastAsia="es-ES"/>
        </w:rPr>
        <w:t>(13)</w:t>
      </w:r>
      <w:r w:rsidRPr="00DF0F8C">
        <w:rPr>
          <w:bCs/>
          <w:color w:val="00000A"/>
          <w:lang w:eastAsia="es-ES"/>
        </w:rPr>
        <w:t xml:space="preserve"> realizado en Cuba (el primero de su tipo en el que se comprueba la efectividad del INF β-1a) se observó una reducción significativa en el número de brotes, la puntuación de la escala de discapacidad y el número de lesiones en la RMN. Como resultado se obtuvo que la evaluación de la discapacidad basada en la EDSS mostró una puntuación significativamente menor al final del tratamiento </w:t>
      </w:r>
      <w:r w:rsidRPr="00DF0F8C">
        <w:rPr>
          <w:bCs/>
          <w:color w:val="00000A"/>
          <w:lang w:eastAsia="es-ES"/>
        </w:rPr>
        <w:lastRenderedPageBreak/>
        <w:t xml:space="preserve">en pacientes con EMRR, en comparación con el estado antes del tratamiento. Ese resultado coincide con los de esta investigación. </w:t>
      </w:r>
    </w:p>
    <w:p w14:paraId="39D0B785" w14:textId="77777777" w:rsidR="00DF0F8C" w:rsidRPr="00DF0F8C" w:rsidRDefault="00DF0F8C" w:rsidP="00DF0F8C">
      <w:pPr>
        <w:spacing w:line="360" w:lineRule="auto"/>
        <w:jc w:val="both"/>
        <w:rPr>
          <w:bCs/>
          <w:color w:val="00000A"/>
          <w:lang w:eastAsia="es-ES"/>
        </w:rPr>
      </w:pPr>
      <w:r w:rsidRPr="00DF0F8C">
        <w:rPr>
          <w:bCs/>
          <w:color w:val="00000A"/>
          <w:lang w:eastAsia="es-ES"/>
        </w:rPr>
        <w:t>Un reporte</w:t>
      </w:r>
      <w:r w:rsidRPr="00DF0F8C">
        <w:rPr>
          <w:bCs/>
          <w:color w:val="00000A"/>
          <w:vertAlign w:val="superscript"/>
          <w:lang w:eastAsia="es-ES"/>
        </w:rPr>
        <w:t xml:space="preserve">(14) </w:t>
      </w:r>
      <w:r w:rsidRPr="00DF0F8C">
        <w:rPr>
          <w:bCs/>
          <w:color w:val="00000A"/>
          <w:lang w:eastAsia="es-ES"/>
        </w:rPr>
        <w:t>sobre evaluación clínica, radiológica y electrofisiológica de terapias inmunomoduladores en EM compara el uso de IFN β-1a con acetato de glatiramer y Avonex (IFN β-1a intramuscular) y los resultados respaldan la efectividad del INF β-1a en EMRR.</w:t>
      </w:r>
      <w:r w:rsidRPr="00DF0F8C">
        <w:rPr>
          <w:bCs/>
          <w:color w:val="00000A"/>
          <w:vertAlign w:val="superscript"/>
          <w:lang w:eastAsia="es-ES"/>
        </w:rPr>
        <w:t xml:space="preserve"> </w:t>
      </w:r>
      <w:r w:rsidRPr="00DF0F8C">
        <w:rPr>
          <w:bCs/>
          <w:color w:val="00000A"/>
          <w:lang w:eastAsia="es-ES"/>
        </w:rPr>
        <w:t xml:space="preserve"> En el presente estudio, el RS se analizó de forma longitudinal, con el objeto de evaluar su utilidad en la práctica clínica diaria. Los resultados ratiﬁcan los hallazgos previos y demuestran que el RS en pacientes con EMRR tratados con INF β-1a, identiﬁcan a los pacientes con mayor riesgo de desarrollar recaídas o progresión de la discapacidad en los 2</w:t>
      </w:r>
      <w:r w:rsidRPr="00DF0F8C">
        <w:rPr>
          <w:bCs/>
          <w:color w:val="00000A"/>
          <w:lang w:eastAsia="es-ES"/>
        </w:rPr>
        <w:t xml:space="preserve"> </w:t>
      </w:r>
      <w:r w:rsidRPr="00DF0F8C">
        <w:rPr>
          <w:bCs/>
          <w:color w:val="00000A"/>
          <w:lang w:eastAsia="es-ES"/>
        </w:rPr>
        <w:t xml:space="preserve">años siguientes. </w:t>
      </w:r>
    </w:p>
    <w:p w14:paraId="171D4C99" w14:textId="77777777" w:rsidR="00DF0F8C" w:rsidRPr="00DF0F8C" w:rsidRDefault="00DF0F8C" w:rsidP="00DF0F8C">
      <w:pPr>
        <w:spacing w:line="360" w:lineRule="auto"/>
        <w:jc w:val="both"/>
        <w:rPr>
          <w:bCs/>
          <w:color w:val="00000A"/>
          <w:lang w:eastAsia="es-ES"/>
        </w:rPr>
      </w:pPr>
      <w:r w:rsidRPr="00DF0F8C">
        <w:rPr>
          <w:bCs/>
          <w:color w:val="00000A"/>
          <w:lang w:eastAsia="es-ES"/>
        </w:rPr>
        <w:t>Por otro lado, investigaciones</w:t>
      </w:r>
      <w:r w:rsidRPr="00DF0F8C">
        <w:rPr>
          <w:bCs/>
          <w:color w:val="00000A"/>
          <w:vertAlign w:val="superscript"/>
          <w:lang w:eastAsia="es-ES"/>
        </w:rPr>
        <w:t>(15)</w:t>
      </w:r>
      <w:r w:rsidRPr="00DF0F8C">
        <w:rPr>
          <w:bCs/>
          <w:color w:val="00000A"/>
          <w:lang w:eastAsia="es-ES"/>
        </w:rPr>
        <w:t xml:space="preserve"> previas confirman que el RS= 1 no predice de manera signiﬁcativa el riesgo de nueva actividad clínica o progresión de la enfermedad en los 2</w:t>
      </w:r>
      <w:r w:rsidRPr="00DF0F8C">
        <w:rPr>
          <w:bCs/>
          <w:color w:val="00000A"/>
          <w:lang w:eastAsia="es-ES"/>
        </w:rPr>
        <w:t xml:space="preserve"> </w:t>
      </w:r>
      <w:r w:rsidRPr="00DF0F8C">
        <w:rPr>
          <w:bCs/>
          <w:color w:val="00000A"/>
          <w:lang w:eastAsia="es-ES"/>
        </w:rPr>
        <w:t>años siguientes. Estos resultados apoyan el bajo valor predictivo de la presencia de brotes aislados durante los primeros meses de tratamiento con INF β-1a y su baja especiﬁcidad, para predecir una progresión conﬁrmada de la discapacidad.</w:t>
      </w:r>
      <w:r w:rsidRPr="00DF0F8C">
        <w:rPr>
          <w:bCs/>
          <w:color w:val="00000A"/>
          <w:vertAlign w:val="superscript"/>
          <w:lang w:eastAsia="es-ES"/>
        </w:rPr>
        <w:t xml:space="preserve"> </w:t>
      </w:r>
      <w:r w:rsidRPr="00DF0F8C">
        <w:rPr>
          <w:bCs/>
          <w:color w:val="00000A"/>
          <w:lang w:eastAsia="es-ES"/>
        </w:rPr>
        <w:t>De acuerdo con esta investigación, es recomendable la monitorización clínica y radiológica estricta durante los primeros meses de tratamiento, para identiﬁcar a los pacientes con riesgo elevado de respuesta clínica subóptima y adoptar medidas terapéuticas oportunas que puedan mejorar el pronóstico antes de que se haya instaurado una discapacidad irreversible.</w:t>
      </w:r>
    </w:p>
    <w:p w14:paraId="5A1056E8" w14:textId="77777777" w:rsidR="00DF0F8C" w:rsidRPr="00DF0F8C" w:rsidRDefault="00DF0F8C" w:rsidP="00DF0F8C">
      <w:pPr>
        <w:spacing w:line="360" w:lineRule="auto"/>
        <w:jc w:val="both"/>
        <w:rPr>
          <w:bCs/>
          <w:color w:val="00000A"/>
          <w:lang w:eastAsia="es-ES"/>
        </w:rPr>
      </w:pPr>
      <w:r w:rsidRPr="00DF0F8C">
        <w:rPr>
          <w:bCs/>
          <w:color w:val="00000A"/>
          <w:lang w:eastAsia="es-ES"/>
        </w:rPr>
        <w:t xml:space="preserve">Una limitación de este estudio es su diseño descriptivo. Sin embargo, muestra los resultados en las condiciones de práctica clínica diaria, en que la utilización de las variables EDDS y brotes ayuda a predecir la actividad clínica futura. </w:t>
      </w:r>
    </w:p>
    <w:p w14:paraId="3FE2ED81" w14:textId="77777777" w:rsidR="00DF0F8C" w:rsidRPr="00DF0F8C" w:rsidRDefault="00DF0F8C" w:rsidP="00DF0F8C">
      <w:pPr>
        <w:spacing w:line="360" w:lineRule="auto"/>
        <w:jc w:val="both"/>
        <w:rPr>
          <w:rFonts w:eastAsia="Calibri"/>
          <w:lang w:eastAsia="en-US"/>
        </w:rPr>
      </w:pPr>
      <w:r w:rsidRPr="00DF0F8C">
        <w:rPr>
          <w:rFonts w:eastAsia="Calibri"/>
          <w:lang w:eastAsia="en-US"/>
        </w:rPr>
        <w:t>Las variables clínicas, nivel de discapacidad y brotes, constituyen marcadores de respuesta al tratamiento a los pacientes con interferón INF β-1a. Se identifican marcadores clínicos de respuesta al tratamiento con IFN β -1a que ayudan a valorar la respuesta al tratamiento, lo cual</w:t>
      </w:r>
      <w:r w:rsidRPr="00DF0F8C">
        <w:rPr>
          <w:rFonts w:eastAsia="Calibri"/>
          <w:lang w:eastAsia="en-US"/>
        </w:rPr>
        <w:t xml:space="preserve"> </w:t>
      </w:r>
      <w:r w:rsidRPr="00DF0F8C">
        <w:rPr>
          <w:rFonts w:eastAsia="Calibri"/>
          <w:lang w:eastAsia="en-US"/>
        </w:rPr>
        <w:t>repercute de forma positiva en la evolución de la enfermedad.</w:t>
      </w:r>
    </w:p>
    <w:p w14:paraId="7FBE44ED" w14:textId="77777777" w:rsidR="00DF0F8C" w:rsidRPr="00DF0F8C" w:rsidRDefault="00DF0F8C" w:rsidP="00DF0F8C">
      <w:pPr>
        <w:spacing w:line="360" w:lineRule="auto"/>
        <w:jc w:val="both"/>
        <w:rPr>
          <w:rFonts w:eastAsia="Calibri"/>
          <w:b/>
          <w:color w:val="00000A"/>
          <w:lang w:eastAsia="en-US"/>
        </w:rPr>
      </w:pPr>
    </w:p>
    <w:p w14:paraId="41673AD9" w14:textId="77777777" w:rsidR="00DF0F8C" w:rsidRPr="00DF0F8C" w:rsidRDefault="00DF0F8C" w:rsidP="00DF0F8C">
      <w:pPr>
        <w:spacing w:line="360" w:lineRule="auto"/>
        <w:jc w:val="center"/>
        <w:rPr>
          <w:rFonts w:eastAsia="Calibri"/>
          <w:b/>
          <w:color w:val="00000A"/>
          <w:lang w:eastAsia="en-US"/>
        </w:rPr>
      </w:pPr>
    </w:p>
    <w:p w14:paraId="1FC9B2D9" w14:textId="77777777" w:rsidR="008D12D5" w:rsidRDefault="008D12D5">
      <w:pPr>
        <w:rPr>
          <w:rFonts w:eastAsia="Calibri"/>
          <w:b/>
          <w:color w:val="00000A"/>
          <w:sz w:val="32"/>
          <w:szCs w:val="32"/>
          <w:lang w:eastAsia="en-US"/>
        </w:rPr>
      </w:pPr>
      <w:r>
        <w:rPr>
          <w:rFonts w:eastAsia="Calibri"/>
          <w:b/>
          <w:color w:val="00000A"/>
          <w:sz w:val="32"/>
          <w:szCs w:val="32"/>
          <w:lang w:eastAsia="en-US"/>
        </w:rPr>
        <w:br w:type="page"/>
      </w:r>
    </w:p>
    <w:p w14:paraId="30496F53" w14:textId="36135C53" w:rsidR="00DF0F8C" w:rsidRPr="00DF0F8C" w:rsidRDefault="00DF0F8C" w:rsidP="00DF0F8C">
      <w:pPr>
        <w:spacing w:line="360" w:lineRule="auto"/>
        <w:jc w:val="center"/>
        <w:rPr>
          <w:rFonts w:eastAsia="Calibri"/>
          <w:b/>
          <w:color w:val="00000A"/>
          <w:sz w:val="32"/>
          <w:szCs w:val="32"/>
          <w:lang w:eastAsia="en-US"/>
        </w:rPr>
      </w:pPr>
      <w:r w:rsidRPr="00DF0F8C">
        <w:rPr>
          <w:rFonts w:eastAsia="Calibri"/>
          <w:b/>
          <w:color w:val="00000A"/>
          <w:sz w:val="32"/>
          <w:szCs w:val="32"/>
          <w:lang w:eastAsia="en-US"/>
        </w:rPr>
        <w:lastRenderedPageBreak/>
        <w:t>REFERENCIAS BIBLIOGRÁFICAS</w:t>
      </w:r>
    </w:p>
    <w:p w14:paraId="0C408A7D" w14:textId="77777777" w:rsidR="00DF0F8C" w:rsidRPr="00DF0F8C" w:rsidRDefault="00DF0F8C" w:rsidP="00DF0F8C">
      <w:pPr>
        <w:spacing w:line="360" w:lineRule="auto"/>
        <w:rPr>
          <w:rFonts w:eastAsia="Calibri"/>
          <w:color w:val="00000A"/>
          <w:lang w:eastAsia="en-US"/>
        </w:rPr>
      </w:pPr>
      <w:r w:rsidRPr="00DF0F8C">
        <w:rPr>
          <w:rFonts w:eastAsia="Calibri"/>
          <w:color w:val="00000A"/>
          <w:lang w:val="es-CU" w:eastAsia="en-US"/>
        </w:rPr>
        <w:t xml:space="preserve">1. Lucchetta RC, Tonin FS, Borba HHL, Leonart LP, Ferreira VL, Bonetti AF, et al. </w:t>
      </w:r>
      <w:r w:rsidRPr="00DF0F8C">
        <w:rPr>
          <w:rFonts w:eastAsia="Calibri"/>
          <w:color w:val="00000A"/>
          <w:lang w:val="en-US" w:eastAsia="en-US"/>
        </w:rPr>
        <w:t xml:space="preserve">Disease-modifying therapies for relapsing–remitting multiple sclerosis: a network meta-analysis. </w:t>
      </w:r>
      <w:r w:rsidRPr="00DF0F8C">
        <w:rPr>
          <w:rFonts w:eastAsia="Calibri"/>
          <w:color w:val="00000A"/>
          <w:lang w:val="es-CU" w:eastAsia="en-US"/>
        </w:rPr>
        <w:t xml:space="preserve">CNS Drugs. 2018 [acceso: 15/05/2021]; 32(9):[aprox. </w:t>
      </w:r>
      <w:r w:rsidRPr="00DF0F8C">
        <w:rPr>
          <w:rFonts w:eastAsia="Calibri"/>
          <w:color w:val="00000A"/>
          <w:lang w:eastAsia="en-US"/>
        </w:rPr>
        <w:t xml:space="preserve">13 p.]. Disponible en: </w:t>
      </w:r>
      <w:hyperlink r:id="rId14" w:history="1">
        <w:r w:rsidRPr="00DF0F8C">
          <w:rPr>
            <w:rFonts w:eastAsia="Calibri"/>
            <w:color w:val="0563C1"/>
            <w:u w:val="single"/>
            <w:lang w:eastAsia="en-US"/>
          </w:rPr>
          <w:t>http://link.springer.com/article/10.1007/s40263-018-0541-5</w:t>
        </w:r>
      </w:hyperlink>
      <w:r w:rsidRPr="00DF0F8C">
        <w:rPr>
          <w:rFonts w:eastAsia="Calibri"/>
          <w:color w:val="00000A"/>
          <w:lang w:eastAsia="en-US"/>
        </w:rPr>
        <w:t xml:space="preserve"> </w:t>
      </w:r>
    </w:p>
    <w:p w14:paraId="230D8DE4" w14:textId="77777777" w:rsidR="00DF0F8C" w:rsidRPr="00DF0F8C" w:rsidRDefault="00DF0F8C" w:rsidP="00DF0F8C">
      <w:pPr>
        <w:spacing w:line="360" w:lineRule="auto"/>
        <w:rPr>
          <w:rFonts w:eastAsia="Calibri"/>
          <w:color w:val="00000A"/>
          <w:lang w:eastAsia="en-US"/>
        </w:rPr>
      </w:pPr>
      <w:r w:rsidRPr="00DF0F8C">
        <w:rPr>
          <w:rFonts w:eastAsia="Calibri"/>
          <w:color w:val="00000A"/>
          <w:lang w:val="en-US" w:eastAsia="en-US"/>
        </w:rPr>
        <w:t xml:space="preserve">2. Montalban X, Gold R, Thompson AJ, Otero-Romero S, Amato MP, Chandraratna D, et al. ECTRIMS/EAN guideline on the pharmacological treatment of people with multiple sclerosis. </w:t>
      </w:r>
      <w:r w:rsidRPr="00DF0F8C">
        <w:rPr>
          <w:rFonts w:eastAsia="Calibri"/>
          <w:color w:val="00000A"/>
          <w:lang w:val="es-CU" w:eastAsia="en-US"/>
        </w:rPr>
        <w:t xml:space="preserve">Mult Scler J. 2018 [acceso: 15/05/2021]; 24(2): [aprox. </w:t>
      </w:r>
      <w:r w:rsidRPr="00DF0F8C">
        <w:rPr>
          <w:rFonts w:eastAsia="Calibri"/>
          <w:color w:val="00000A"/>
          <w:lang w:eastAsia="en-US"/>
        </w:rPr>
        <w:t xml:space="preserve">25 p.]. Disponible en: </w:t>
      </w:r>
      <w:hyperlink r:id="rId15" w:history="1">
        <w:r w:rsidRPr="00DF0F8C">
          <w:rPr>
            <w:rFonts w:eastAsia="Calibri"/>
            <w:color w:val="0563C1"/>
            <w:u w:val="single"/>
            <w:lang w:eastAsia="en-US"/>
          </w:rPr>
          <w:t>http://journals.sagepub.com/doi/abs/10.1177/1352458517751049</w:t>
        </w:r>
      </w:hyperlink>
      <w:r w:rsidRPr="00DF0F8C">
        <w:rPr>
          <w:rFonts w:eastAsia="Calibri"/>
          <w:color w:val="00000A"/>
          <w:lang w:eastAsia="en-US"/>
        </w:rPr>
        <w:t xml:space="preserve"> </w:t>
      </w:r>
    </w:p>
    <w:p w14:paraId="5A092B4F" w14:textId="77777777" w:rsidR="00DF0F8C" w:rsidRPr="00DF0F8C" w:rsidRDefault="00DF0F8C" w:rsidP="00DF0F8C">
      <w:pPr>
        <w:spacing w:line="360" w:lineRule="auto"/>
        <w:rPr>
          <w:rFonts w:eastAsia="Calibri"/>
          <w:color w:val="00000A"/>
          <w:lang w:eastAsia="en-US"/>
        </w:rPr>
      </w:pPr>
      <w:r w:rsidRPr="00DF0F8C">
        <w:rPr>
          <w:rFonts w:eastAsia="Calibri"/>
          <w:color w:val="00000A"/>
          <w:lang w:eastAsia="en-US"/>
        </w:rPr>
        <w:t xml:space="preserve">3. Fernández O, Tintore M, Saiz A, Calles-Hernandez MC, Comabella M, Ramio-Torrenta L, et al. Revision de las novedades del Congreso ECTRIMS 2017, presentadas en la X Reunion Post-ECTRIMS (II). Rev Neurol. 2018 [acceso: 15/05/2021]; 67(2):[aprox. 12 p.]. Disponible en: </w:t>
      </w:r>
      <w:hyperlink r:id="rId16" w:history="1">
        <w:r w:rsidRPr="00DF0F8C">
          <w:rPr>
            <w:rFonts w:eastAsia="Calibri"/>
            <w:color w:val="0563C1"/>
            <w:u w:val="single"/>
            <w:lang w:eastAsia="en-US"/>
          </w:rPr>
          <w:t>http://pesquisa.bvsalud.org/portal/resource/pt/ibc-174870?lang=es</w:t>
        </w:r>
      </w:hyperlink>
      <w:r w:rsidRPr="00DF0F8C">
        <w:rPr>
          <w:rFonts w:eastAsia="Calibri"/>
          <w:color w:val="00000A"/>
          <w:lang w:eastAsia="en-US"/>
        </w:rPr>
        <w:t xml:space="preserve">  </w:t>
      </w:r>
    </w:p>
    <w:p w14:paraId="2CCF5A7B" w14:textId="77777777" w:rsidR="00DF0F8C" w:rsidRPr="00DF0F8C" w:rsidRDefault="00DF0F8C" w:rsidP="00DF0F8C">
      <w:pPr>
        <w:spacing w:line="360" w:lineRule="auto"/>
        <w:rPr>
          <w:rFonts w:eastAsia="Calibri"/>
          <w:color w:val="00000A"/>
          <w:lang w:eastAsia="en-US"/>
        </w:rPr>
      </w:pPr>
      <w:r w:rsidRPr="00DF0F8C">
        <w:rPr>
          <w:rFonts w:eastAsia="Calibri"/>
          <w:color w:val="00000A"/>
          <w:lang w:val="es-CU" w:eastAsia="en-US"/>
        </w:rPr>
        <w:t xml:space="preserve">4. Thompson AJ, Baranzini SE, Geurts J, Hemmer B, Ciccarelli O. Multiple sclerosis. Lancet. </w:t>
      </w:r>
      <w:r w:rsidRPr="00DF0F8C">
        <w:rPr>
          <w:rFonts w:eastAsia="Calibri"/>
          <w:color w:val="00000A"/>
          <w:lang w:eastAsia="en-US"/>
        </w:rPr>
        <w:t xml:space="preserve">2018 [acceso: 15/05/2021]; 391(10130):[aprox. 14 p.]. Disponible en: </w:t>
      </w:r>
      <w:hyperlink r:id="rId17" w:history="1">
        <w:r w:rsidRPr="00DF0F8C">
          <w:rPr>
            <w:rFonts w:eastAsia="Calibri"/>
            <w:color w:val="0563C1"/>
            <w:u w:val="single"/>
            <w:lang w:eastAsia="en-US"/>
          </w:rPr>
          <w:t>http://www.thelancet.com/journals/lancet/article/PIIS0140-6736(18)30481-1/fulltext</w:t>
        </w:r>
      </w:hyperlink>
      <w:r w:rsidRPr="00DF0F8C">
        <w:rPr>
          <w:rFonts w:eastAsia="Calibri"/>
          <w:color w:val="00000A"/>
          <w:lang w:eastAsia="en-US"/>
        </w:rPr>
        <w:t xml:space="preserve"> </w:t>
      </w:r>
    </w:p>
    <w:p w14:paraId="29CEDFED" w14:textId="77777777" w:rsidR="00DF0F8C" w:rsidRPr="00DF0F8C" w:rsidRDefault="00DF0F8C" w:rsidP="00DF0F8C">
      <w:pPr>
        <w:spacing w:line="360" w:lineRule="auto"/>
        <w:rPr>
          <w:rFonts w:eastAsia="Calibri"/>
          <w:color w:val="00000A"/>
          <w:lang w:eastAsia="en-US"/>
        </w:rPr>
      </w:pPr>
      <w:r w:rsidRPr="00DF0F8C">
        <w:rPr>
          <w:rFonts w:eastAsia="Calibri"/>
          <w:color w:val="00000A"/>
          <w:lang w:val="en-US" w:eastAsia="en-US"/>
        </w:rPr>
        <w:t xml:space="preserve">5. Thompson AJ, Banwell BL, Barkhof F, Carroll WM, Coetzee T, Comi G, et al. Diagnosis of multiple sclerosis: 2017 revisions of the McDonald criteria. Lancet Neurol. </w:t>
      </w:r>
      <w:r w:rsidRPr="00DF0F8C">
        <w:rPr>
          <w:rFonts w:eastAsia="Calibri"/>
          <w:color w:val="00000A"/>
          <w:lang w:eastAsia="en-US"/>
        </w:rPr>
        <w:t xml:space="preserve">2018 [acceso:15/05/2021]; 17(2):[aprox. 50 p.]. Disponible en: </w:t>
      </w:r>
      <w:hyperlink r:id="rId18" w:history="1">
        <w:r w:rsidRPr="00DF0F8C">
          <w:rPr>
            <w:rFonts w:eastAsia="Calibri"/>
            <w:color w:val="0563C1"/>
            <w:u w:val="single"/>
            <w:lang w:eastAsia="en-US"/>
          </w:rPr>
          <w:t>http://discovery.ucl.ac.uk/id/eprint/10041020/1/Barkhof_Diagnostic%20criteria_revision%201_final_10OCT2017.pdf</w:t>
        </w:r>
      </w:hyperlink>
      <w:r w:rsidRPr="00DF0F8C">
        <w:rPr>
          <w:rFonts w:eastAsia="Calibri"/>
          <w:color w:val="00000A"/>
          <w:lang w:eastAsia="en-US"/>
        </w:rPr>
        <w:t xml:space="preserve"> </w:t>
      </w:r>
    </w:p>
    <w:p w14:paraId="14A156E7" w14:textId="6B7BE97C" w:rsidR="00DF0F8C" w:rsidRPr="00DF0F8C" w:rsidRDefault="00DF0F8C" w:rsidP="00DF0F8C">
      <w:pPr>
        <w:spacing w:line="360" w:lineRule="auto"/>
        <w:rPr>
          <w:rFonts w:eastAsia="Calibri"/>
          <w:color w:val="00000A"/>
          <w:lang w:val="es-CU" w:eastAsia="en-US"/>
        </w:rPr>
      </w:pPr>
      <w:r w:rsidRPr="00DF0F8C">
        <w:rPr>
          <w:rFonts w:eastAsia="Calibri"/>
          <w:color w:val="00000A"/>
          <w:lang w:val="en-US" w:eastAsia="en-US"/>
        </w:rPr>
        <w:t xml:space="preserve">6. World Medical Association. WMA Declaration of Helsinki - Ethical Principles for Medical Research Involving Human Subjects. </w:t>
      </w:r>
      <w:r w:rsidRPr="00DF0F8C">
        <w:rPr>
          <w:rFonts w:eastAsia="Calibri"/>
          <w:color w:val="00000A"/>
          <w:lang w:val="es-CU" w:eastAsia="en-US"/>
        </w:rPr>
        <w:t xml:space="preserve">WMA; 2018. </w:t>
      </w:r>
      <w:r w:rsidRPr="00DF0F8C">
        <w:rPr>
          <w:rFonts w:eastAsia="Calibri"/>
          <w:color w:val="00000A"/>
          <w:lang w:eastAsia="en-US"/>
        </w:rPr>
        <w:t>[acceso: 01/04/2021]. Disponible en:</w:t>
      </w:r>
      <w:r w:rsidR="00E705B4">
        <w:rPr>
          <w:rFonts w:eastAsia="Calibri"/>
          <w:color w:val="00000A"/>
          <w:lang w:eastAsia="en-US"/>
        </w:rPr>
        <w:t xml:space="preserve"> </w:t>
      </w:r>
      <w:hyperlink r:id="rId19" w:history="1">
        <w:r w:rsidRPr="00DF0F8C">
          <w:rPr>
            <w:rFonts w:eastAsia="Calibri"/>
            <w:color w:val="0563C1"/>
            <w:u w:val="single"/>
            <w:lang w:val="es-CU" w:eastAsia="en-US"/>
          </w:rPr>
          <w:t>https://www.wma.net/policies-post/wma-declaration-of-helsinki-ethical-principles-for-medical-research-involving-human-subjects/</w:t>
        </w:r>
      </w:hyperlink>
    </w:p>
    <w:p w14:paraId="0C8F983D" w14:textId="77777777" w:rsidR="00DF0F8C" w:rsidRPr="00DF0F8C" w:rsidRDefault="00DF0F8C" w:rsidP="00DF0F8C">
      <w:pPr>
        <w:spacing w:line="360" w:lineRule="auto"/>
        <w:rPr>
          <w:rFonts w:eastAsia="Calibri"/>
          <w:color w:val="00000A"/>
          <w:lang w:eastAsia="en-US"/>
        </w:rPr>
      </w:pPr>
      <w:r w:rsidRPr="00DF0F8C">
        <w:rPr>
          <w:rFonts w:eastAsia="Calibri"/>
          <w:color w:val="00000A"/>
          <w:lang w:val="es-CU" w:eastAsia="en-US"/>
        </w:rPr>
        <w:t xml:space="preserve">7. </w:t>
      </w:r>
      <w:r w:rsidRPr="00DF0F8C">
        <w:rPr>
          <w:rFonts w:eastAsia="Calibri"/>
          <w:color w:val="00000A"/>
          <w:lang w:eastAsia="en-US"/>
        </w:rPr>
        <w:t xml:space="preserve">Alenda Asensi R. Biomarcadores de respuesta al interferón beta en la esclerosis múltiple [Tesis doctoral]. España: Universidad Complutense de Madrid; 2016. [acceso:15/05/2021]. Disponible en: </w:t>
      </w:r>
      <w:hyperlink r:id="rId20" w:history="1">
        <w:r w:rsidRPr="00DF0F8C">
          <w:rPr>
            <w:rFonts w:eastAsia="Calibri"/>
            <w:color w:val="0563C1"/>
            <w:u w:val="single"/>
            <w:lang w:eastAsia="en-US"/>
          </w:rPr>
          <w:t>http://eprints.ucm.es/id/eprint/44444</w:t>
        </w:r>
      </w:hyperlink>
      <w:r w:rsidRPr="00DF0F8C">
        <w:rPr>
          <w:rFonts w:eastAsia="Calibri"/>
          <w:color w:val="00000A"/>
          <w:lang w:eastAsia="en-US"/>
        </w:rPr>
        <w:t xml:space="preserve">   </w:t>
      </w:r>
    </w:p>
    <w:p w14:paraId="7BD0239A" w14:textId="77777777" w:rsidR="00DF0F8C" w:rsidRPr="00DF0F8C" w:rsidRDefault="00DF0F8C" w:rsidP="00DF0F8C">
      <w:pPr>
        <w:spacing w:line="360" w:lineRule="auto"/>
        <w:rPr>
          <w:rFonts w:eastAsia="Calibri"/>
          <w:color w:val="00000A"/>
          <w:lang w:eastAsia="en-US"/>
        </w:rPr>
      </w:pPr>
      <w:r w:rsidRPr="00DF0F8C">
        <w:rPr>
          <w:rFonts w:eastAsia="Calibri"/>
          <w:color w:val="00000A"/>
          <w:lang w:val="en-US" w:eastAsia="en-US"/>
        </w:rPr>
        <w:lastRenderedPageBreak/>
        <w:t xml:space="preserve">8. Traboulsee A, Li DK, Cascione M, Fang J, Dangond F, Miller A. Effect of interferon beta-1a subcutaneously three times weekly on clinical and radiological measures and no evidence of disease activity status in patients with relapsing–remitting multiple sclerosis at year 1. </w:t>
      </w:r>
      <w:r w:rsidRPr="00DF0F8C">
        <w:rPr>
          <w:rFonts w:eastAsia="Calibri"/>
          <w:color w:val="00000A"/>
          <w:lang w:val="es-CU" w:eastAsia="en-US"/>
        </w:rPr>
        <w:t xml:space="preserve">BMC Neurol. 2018 [acceso: 15/05/2021]; 18(1):[aprox. </w:t>
      </w:r>
      <w:r w:rsidRPr="00DF0F8C">
        <w:rPr>
          <w:rFonts w:eastAsia="Calibri"/>
          <w:color w:val="00000A"/>
          <w:lang w:eastAsia="en-US"/>
        </w:rPr>
        <w:t xml:space="preserve">9 p.]. Disponible en: </w:t>
      </w:r>
      <w:hyperlink r:id="rId21" w:history="1">
        <w:r w:rsidRPr="00DF0F8C">
          <w:rPr>
            <w:rFonts w:eastAsia="Calibri"/>
            <w:color w:val="0563C1"/>
            <w:u w:val="single"/>
            <w:lang w:eastAsia="en-US"/>
          </w:rPr>
          <w:t>http://www.ncbi.nlm.nih.gov/pmc/articles/PMC6137887</w:t>
        </w:r>
      </w:hyperlink>
      <w:r w:rsidRPr="00DF0F8C">
        <w:rPr>
          <w:rFonts w:eastAsia="Calibri"/>
          <w:color w:val="00000A"/>
          <w:lang w:eastAsia="en-US"/>
        </w:rPr>
        <w:t xml:space="preserve"> </w:t>
      </w:r>
    </w:p>
    <w:p w14:paraId="7AF2BF6B" w14:textId="77777777" w:rsidR="00DF0F8C" w:rsidRPr="00DF0F8C" w:rsidRDefault="00DF0F8C" w:rsidP="00DF0F8C">
      <w:pPr>
        <w:spacing w:line="360" w:lineRule="auto"/>
        <w:rPr>
          <w:rFonts w:eastAsia="Calibri"/>
          <w:color w:val="00000A"/>
          <w:lang w:eastAsia="en-US"/>
        </w:rPr>
      </w:pPr>
      <w:r w:rsidRPr="00DF0F8C">
        <w:rPr>
          <w:rFonts w:eastAsia="Calibri"/>
          <w:color w:val="00000A"/>
          <w:lang w:val="en-US" w:eastAsia="en-US"/>
        </w:rPr>
        <w:t xml:space="preserve">9. Drulovic J, Ivanovic J, Mesaros S, Martinovic V, Kisic-Tepavcevic D, Dujmovic I, et al. Long-term disability outcomes in relapsing-remitting multiple sclerosis: a 10-year follow-up study. Neurol Sci . 2019 [acceso: 15/05/2021]; 40(8):[aprox. </w:t>
      </w:r>
      <w:r w:rsidRPr="00DF0F8C">
        <w:rPr>
          <w:rFonts w:eastAsia="Calibri"/>
          <w:color w:val="00000A"/>
          <w:lang w:eastAsia="en-US"/>
        </w:rPr>
        <w:t xml:space="preserve">20 p.]. Disponible en: </w:t>
      </w:r>
      <w:hyperlink r:id="rId22" w:history="1">
        <w:r w:rsidRPr="00DF0F8C">
          <w:rPr>
            <w:rFonts w:eastAsia="Calibri"/>
            <w:color w:val="0563C1"/>
            <w:u w:val="single"/>
            <w:lang w:eastAsia="en-US"/>
          </w:rPr>
          <w:t>http://link.springer.com/article/10.1007/s10072-019-03878-4</w:t>
        </w:r>
      </w:hyperlink>
      <w:r w:rsidRPr="00DF0F8C">
        <w:rPr>
          <w:rFonts w:eastAsia="Calibri"/>
          <w:color w:val="00000A"/>
          <w:lang w:eastAsia="en-US"/>
        </w:rPr>
        <w:t xml:space="preserve"> </w:t>
      </w:r>
    </w:p>
    <w:p w14:paraId="4DA666D4" w14:textId="77777777" w:rsidR="00DF0F8C" w:rsidRPr="00DF0F8C" w:rsidRDefault="00DF0F8C" w:rsidP="00DF0F8C">
      <w:pPr>
        <w:spacing w:line="360" w:lineRule="auto"/>
        <w:rPr>
          <w:rFonts w:eastAsia="Calibri"/>
          <w:color w:val="00000A"/>
          <w:lang w:eastAsia="en-US"/>
        </w:rPr>
      </w:pPr>
      <w:r w:rsidRPr="00DF0F8C">
        <w:rPr>
          <w:rFonts w:eastAsia="Calibri"/>
          <w:color w:val="00000A"/>
          <w:lang w:eastAsia="en-US"/>
        </w:rPr>
        <w:t xml:space="preserve">10. Alcoriza Rodríguez S, Morais Vargas C. Esclerosis múltiple [Trabajo de fin de grado]. España, Madrid: Universidad Complutense; 2015. [acceso: 15/05/2021]. Disponible en: </w:t>
      </w:r>
      <w:hyperlink r:id="rId23" w:history="1">
        <w:r w:rsidRPr="00DF0F8C">
          <w:rPr>
            <w:rFonts w:eastAsia="Calibri"/>
            <w:color w:val="0563C1"/>
            <w:u w:val="single"/>
            <w:lang w:eastAsia="en-US"/>
          </w:rPr>
          <w:t>http://eprints.ucm.es/id/eprint/48467</w:t>
        </w:r>
      </w:hyperlink>
      <w:r w:rsidRPr="00DF0F8C">
        <w:rPr>
          <w:rFonts w:eastAsia="Calibri"/>
          <w:color w:val="00000A"/>
          <w:lang w:eastAsia="en-US"/>
        </w:rPr>
        <w:t xml:space="preserve"> </w:t>
      </w:r>
    </w:p>
    <w:p w14:paraId="03C3AFB5" w14:textId="77777777" w:rsidR="00DF0F8C" w:rsidRPr="00DF0F8C" w:rsidRDefault="00DF0F8C" w:rsidP="00DF0F8C">
      <w:pPr>
        <w:spacing w:line="360" w:lineRule="auto"/>
        <w:rPr>
          <w:rFonts w:eastAsia="Calibri"/>
          <w:color w:val="00000A"/>
          <w:lang w:eastAsia="en-US"/>
        </w:rPr>
      </w:pPr>
      <w:r w:rsidRPr="00DF0F8C">
        <w:rPr>
          <w:rFonts w:eastAsia="Calibri"/>
          <w:color w:val="00000A"/>
          <w:lang w:eastAsia="en-US"/>
        </w:rPr>
        <w:t xml:space="preserve">11. Castilló Justribó J. Indicadores precoces de respuesta al tratamiento con interferón en pacientes con esclerosis múltiple [Tesis doctoral]. España, Barcelona: Universitat Autònoma de Barcelona; 2016. [acceso: 15/05/2021]. Disponible en: </w:t>
      </w:r>
      <w:hyperlink r:id="rId24" w:history="1">
        <w:r w:rsidRPr="00DF0F8C">
          <w:rPr>
            <w:rFonts w:eastAsia="Calibri"/>
            <w:color w:val="0563C1"/>
            <w:u w:val="single"/>
            <w:lang w:eastAsia="en-US"/>
          </w:rPr>
          <w:t>http://www.tdx.cat/handle/10803/400286</w:t>
        </w:r>
      </w:hyperlink>
      <w:r w:rsidRPr="00DF0F8C">
        <w:rPr>
          <w:rFonts w:eastAsia="Calibri"/>
          <w:color w:val="00000A"/>
          <w:lang w:eastAsia="en-US"/>
        </w:rPr>
        <w:t xml:space="preserve"> </w:t>
      </w:r>
    </w:p>
    <w:p w14:paraId="05385A52" w14:textId="77777777" w:rsidR="00DF0F8C" w:rsidRPr="00DF0F8C" w:rsidRDefault="00DF0F8C" w:rsidP="00DF0F8C">
      <w:pPr>
        <w:spacing w:line="360" w:lineRule="auto"/>
        <w:rPr>
          <w:rFonts w:eastAsia="Calibri"/>
          <w:color w:val="00000A"/>
          <w:lang w:val="es-CU" w:eastAsia="en-US"/>
        </w:rPr>
      </w:pPr>
      <w:r w:rsidRPr="00DF0F8C">
        <w:rPr>
          <w:rFonts w:eastAsia="Calibri"/>
          <w:color w:val="00000A"/>
          <w:lang w:val="en-US" w:eastAsia="en-US"/>
        </w:rPr>
        <w:t xml:space="preserve">12. Newsome SD, Scott TF, Arnold DL, Altincatal A, Naylor ML. Early treatment responses to peginterferon beta-1a are associated with longer-term clinical outcomes in patients with relapsing-remitting multiple sclerosis: Subgroup analyses of ADVANCE and ATTAIN. </w:t>
      </w:r>
      <w:r w:rsidRPr="00DF0F8C">
        <w:rPr>
          <w:rFonts w:eastAsia="Calibri"/>
          <w:color w:val="00000A"/>
          <w:lang w:val="es-CU" w:eastAsia="en-US"/>
        </w:rPr>
        <w:t xml:space="preserve">Mult Scler Relat Disord. 2022 [acceso: 05/04/2022]; 57: [aprox. 7 p.]. Disponible en: </w:t>
      </w:r>
      <w:hyperlink r:id="rId25" w:history="1">
        <w:r w:rsidRPr="00DF0F8C">
          <w:rPr>
            <w:rFonts w:eastAsia="Calibri"/>
            <w:color w:val="0563C1"/>
            <w:u w:val="single"/>
            <w:lang w:val="es-CU" w:eastAsia="en-US"/>
          </w:rPr>
          <w:t>http://www.sciencedirect.com/science/article/pii/S2211034821006349</w:t>
        </w:r>
      </w:hyperlink>
      <w:r w:rsidRPr="00DF0F8C">
        <w:rPr>
          <w:rFonts w:eastAsia="Calibri"/>
          <w:color w:val="00000A"/>
          <w:lang w:val="es-CU" w:eastAsia="en-US"/>
        </w:rPr>
        <w:t xml:space="preserve"> </w:t>
      </w:r>
    </w:p>
    <w:p w14:paraId="5DEDABAB" w14:textId="77777777" w:rsidR="00DF0F8C" w:rsidRPr="00DF0F8C" w:rsidRDefault="00DF0F8C" w:rsidP="00DF0F8C">
      <w:pPr>
        <w:spacing w:line="360" w:lineRule="auto"/>
        <w:rPr>
          <w:rFonts w:eastAsia="Calibri"/>
          <w:color w:val="00000A"/>
          <w:lang w:eastAsia="en-US"/>
        </w:rPr>
      </w:pPr>
      <w:r w:rsidRPr="00DF0F8C">
        <w:rPr>
          <w:rFonts w:eastAsia="Calibri"/>
          <w:color w:val="00000A"/>
          <w:lang w:val="es-CU" w:eastAsia="en-US"/>
        </w:rPr>
        <w:t xml:space="preserve">13. Cardentey Sánchez R, Díaz de la Fe A, Peláez Suarez A, Grass D, Morgado Vega T, Sánchez Canal A, et al. </w:t>
      </w:r>
      <w:r w:rsidRPr="00DF0F8C">
        <w:rPr>
          <w:rFonts w:eastAsia="Calibri"/>
          <w:color w:val="00000A"/>
          <w:lang w:val="en-US" w:eastAsia="en-US"/>
        </w:rPr>
        <w:t xml:space="preserve">Interferon beta 1a (Rebif®) in relapsing remitting multiple sclerosis. Drug Dev Res. 2021 [acceso: 10/08/2021]; 82(5):[aprox. </w:t>
      </w:r>
      <w:r w:rsidRPr="00DF0F8C">
        <w:rPr>
          <w:rFonts w:eastAsia="Calibri"/>
          <w:color w:val="00000A"/>
          <w:lang w:eastAsia="en-US"/>
        </w:rPr>
        <w:t xml:space="preserve">8 p.]. Disponible en: </w:t>
      </w:r>
      <w:hyperlink r:id="rId26" w:history="1">
        <w:r w:rsidRPr="00DF0F8C">
          <w:rPr>
            <w:rFonts w:eastAsia="Calibri"/>
            <w:color w:val="0563C1"/>
            <w:u w:val="single"/>
            <w:lang w:eastAsia="en-US"/>
          </w:rPr>
          <w:t>http://onlinelibrary.wiley.com/doi/abs/10.1002/ddr.21798</w:t>
        </w:r>
      </w:hyperlink>
      <w:r w:rsidRPr="00DF0F8C">
        <w:rPr>
          <w:rFonts w:eastAsia="Calibri"/>
          <w:color w:val="00000A"/>
          <w:lang w:eastAsia="en-US"/>
        </w:rPr>
        <w:t xml:space="preserve">  </w:t>
      </w:r>
    </w:p>
    <w:p w14:paraId="01DF9B96" w14:textId="77777777" w:rsidR="00DF0F8C" w:rsidRPr="00DF0F8C" w:rsidRDefault="00DF0F8C" w:rsidP="00DF0F8C">
      <w:pPr>
        <w:spacing w:line="360" w:lineRule="auto"/>
        <w:rPr>
          <w:rFonts w:eastAsia="Calibri"/>
          <w:color w:val="00000A"/>
          <w:lang w:eastAsia="en-US"/>
        </w:rPr>
      </w:pPr>
      <w:r w:rsidRPr="00DF0F8C">
        <w:rPr>
          <w:rFonts w:eastAsia="Calibri"/>
          <w:color w:val="00000A"/>
          <w:lang w:val="en-US" w:eastAsia="en-US"/>
        </w:rPr>
        <w:t xml:space="preserve">14. Gençer G, Demirkaya Ş, Semai B, Odabaşi Z. Clinical, radiological and electrophysiological comparison of immunomodulatory therapies in multiple sclerosis. </w:t>
      </w:r>
      <w:r w:rsidRPr="00DF0F8C">
        <w:rPr>
          <w:rFonts w:eastAsia="Calibri"/>
          <w:color w:val="00000A"/>
          <w:lang w:val="es-CU" w:eastAsia="en-US"/>
        </w:rPr>
        <w:t xml:space="preserve">Arch Neuropsychiatry. 2017 [acceso: 15/05/2021]; 54(2): [aprox. </w:t>
      </w:r>
      <w:r w:rsidRPr="00DF0F8C">
        <w:rPr>
          <w:rFonts w:eastAsia="Calibri"/>
          <w:color w:val="00000A"/>
          <w:lang w:eastAsia="en-US"/>
        </w:rPr>
        <w:t xml:space="preserve">6 p.]. Disponible en: </w:t>
      </w:r>
      <w:hyperlink r:id="rId27" w:history="1">
        <w:r w:rsidRPr="00DF0F8C">
          <w:rPr>
            <w:rFonts w:eastAsia="Calibri"/>
            <w:color w:val="0563C1"/>
            <w:u w:val="single"/>
            <w:lang w:eastAsia="en-US"/>
          </w:rPr>
          <w:t>http://www.ncbi.nlm.nih.gov/pmc/articles/PMC5491660/</w:t>
        </w:r>
      </w:hyperlink>
      <w:r w:rsidRPr="00DF0F8C">
        <w:rPr>
          <w:rFonts w:eastAsia="Calibri"/>
          <w:color w:val="00000A"/>
          <w:lang w:eastAsia="en-US"/>
        </w:rPr>
        <w:t xml:space="preserve"> </w:t>
      </w:r>
    </w:p>
    <w:p w14:paraId="7A608282" w14:textId="77777777" w:rsidR="00DF0F8C" w:rsidRPr="00DF0F8C" w:rsidRDefault="00DF0F8C" w:rsidP="00DF0F8C">
      <w:pPr>
        <w:spacing w:line="360" w:lineRule="auto"/>
        <w:rPr>
          <w:rFonts w:eastAsia="Calibri"/>
          <w:color w:val="00000A"/>
          <w:lang w:eastAsia="en-US"/>
        </w:rPr>
      </w:pPr>
      <w:r w:rsidRPr="00DF0F8C">
        <w:rPr>
          <w:rFonts w:eastAsia="Calibri"/>
          <w:color w:val="00000A"/>
          <w:lang w:eastAsia="en-US"/>
        </w:rPr>
        <w:lastRenderedPageBreak/>
        <w:t xml:space="preserve">15. Río J, Nos C, Tintoré M, Téllez N, Galán I, Pelayo R, et al. </w:t>
      </w:r>
      <w:r w:rsidRPr="00DF0F8C">
        <w:rPr>
          <w:rFonts w:eastAsia="Calibri"/>
          <w:color w:val="00000A"/>
          <w:lang w:val="en-US" w:eastAsia="en-US"/>
        </w:rPr>
        <w:t>Defining the response to interferon‐</w:t>
      </w:r>
      <w:r w:rsidRPr="00DF0F8C">
        <w:rPr>
          <w:rFonts w:eastAsia="Calibri"/>
          <w:color w:val="00000A"/>
          <w:lang w:eastAsia="en-US"/>
        </w:rPr>
        <w:t>β</w:t>
      </w:r>
      <w:r w:rsidRPr="00DF0F8C">
        <w:rPr>
          <w:rFonts w:eastAsia="Calibri"/>
          <w:color w:val="00000A"/>
          <w:lang w:val="en-US" w:eastAsia="en-US"/>
        </w:rPr>
        <w:t xml:space="preserve"> in relapsing‐remitting multiple sclerosis patients. </w:t>
      </w:r>
      <w:r w:rsidRPr="00DF0F8C">
        <w:rPr>
          <w:rFonts w:eastAsia="Calibri"/>
          <w:color w:val="00000A"/>
          <w:lang w:val="es-CU" w:eastAsia="en-US"/>
        </w:rPr>
        <w:t xml:space="preserve">Ann Neurol. 2006 [acceso: 15/05/2021]; 59(2): [aprox. </w:t>
      </w:r>
      <w:r w:rsidRPr="00DF0F8C">
        <w:rPr>
          <w:rFonts w:eastAsia="Calibri"/>
          <w:color w:val="00000A"/>
          <w:lang w:eastAsia="en-US"/>
        </w:rPr>
        <w:t xml:space="preserve">8 p.]. Disponible en: </w:t>
      </w:r>
      <w:hyperlink r:id="rId28" w:history="1">
        <w:r w:rsidRPr="00DF0F8C">
          <w:rPr>
            <w:rFonts w:eastAsia="Calibri"/>
            <w:color w:val="0563C1"/>
            <w:u w:val="single"/>
            <w:lang w:eastAsia="en-US"/>
          </w:rPr>
          <w:t>http://onlinelibrary.wiley.com/doi/abs/10.1002/ana.20740</w:t>
        </w:r>
      </w:hyperlink>
      <w:r w:rsidRPr="00DF0F8C">
        <w:rPr>
          <w:rFonts w:eastAsia="Calibri"/>
          <w:color w:val="00000A"/>
          <w:lang w:eastAsia="en-US"/>
        </w:rPr>
        <w:t xml:space="preserve"> </w:t>
      </w:r>
    </w:p>
    <w:p w14:paraId="637BBE32" w14:textId="77777777" w:rsidR="00DF0F8C" w:rsidRPr="00DF0F8C" w:rsidRDefault="00DF0F8C" w:rsidP="00DF0F8C">
      <w:pPr>
        <w:spacing w:line="360" w:lineRule="auto"/>
        <w:rPr>
          <w:rFonts w:eastAsia="Calibri"/>
          <w:color w:val="00000A"/>
          <w:lang w:eastAsia="en-US"/>
        </w:rPr>
      </w:pPr>
    </w:p>
    <w:p w14:paraId="1D3C7695" w14:textId="77777777" w:rsidR="00DF0F8C" w:rsidRPr="00DF0F8C" w:rsidRDefault="00DF0F8C" w:rsidP="00DF0F8C">
      <w:pPr>
        <w:spacing w:line="360" w:lineRule="auto"/>
        <w:contextualSpacing/>
        <w:jc w:val="center"/>
        <w:rPr>
          <w:rFonts w:eastAsia="Calibri"/>
          <w:b/>
          <w:color w:val="00000A"/>
          <w:lang w:eastAsia="en-US"/>
        </w:rPr>
      </w:pPr>
    </w:p>
    <w:p w14:paraId="339DF39E" w14:textId="77777777" w:rsidR="00DF0F8C" w:rsidRPr="00DF0F8C" w:rsidRDefault="00DF0F8C" w:rsidP="00DF0F8C">
      <w:pPr>
        <w:spacing w:line="360" w:lineRule="auto"/>
        <w:contextualSpacing/>
        <w:jc w:val="center"/>
        <w:rPr>
          <w:rFonts w:eastAsia="Calibri"/>
          <w:b/>
          <w:color w:val="00000A"/>
          <w:lang w:eastAsia="en-US"/>
        </w:rPr>
      </w:pPr>
      <w:r w:rsidRPr="00DF0F8C">
        <w:rPr>
          <w:rFonts w:eastAsia="Calibri"/>
          <w:b/>
          <w:color w:val="00000A"/>
          <w:lang w:eastAsia="en-US"/>
        </w:rPr>
        <w:t>Conflictos de interés</w:t>
      </w:r>
    </w:p>
    <w:p w14:paraId="4D97C4CC" w14:textId="77777777" w:rsidR="00DF0F8C" w:rsidRPr="00DF0F8C" w:rsidRDefault="00DF0F8C" w:rsidP="00DF0F8C">
      <w:pPr>
        <w:spacing w:line="360" w:lineRule="auto"/>
        <w:contextualSpacing/>
        <w:jc w:val="both"/>
        <w:rPr>
          <w:rFonts w:eastAsia="Calibri"/>
          <w:color w:val="00000A"/>
          <w:lang w:eastAsia="en-US"/>
        </w:rPr>
      </w:pPr>
      <w:r w:rsidRPr="00DF0F8C">
        <w:rPr>
          <w:rFonts w:eastAsia="Calibri"/>
          <w:color w:val="00000A"/>
          <w:lang w:eastAsia="en-US"/>
        </w:rPr>
        <w:t>Los autores declaran no tener conflictos de interés.</w:t>
      </w:r>
    </w:p>
    <w:p w14:paraId="52659C20" w14:textId="77777777" w:rsidR="00DF0F8C" w:rsidRPr="00DF0F8C" w:rsidRDefault="00DF0F8C" w:rsidP="00DF0F8C">
      <w:pPr>
        <w:spacing w:line="360" w:lineRule="auto"/>
        <w:contextualSpacing/>
        <w:jc w:val="both"/>
        <w:rPr>
          <w:rFonts w:eastAsia="Calibri"/>
          <w:b/>
          <w:color w:val="00000A"/>
          <w:lang w:eastAsia="en-US"/>
        </w:rPr>
      </w:pPr>
    </w:p>
    <w:p w14:paraId="1F23658C" w14:textId="77777777" w:rsidR="00DF0F8C" w:rsidRPr="00DF0F8C" w:rsidRDefault="00DF0F8C" w:rsidP="00DF0F8C">
      <w:pPr>
        <w:spacing w:line="360" w:lineRule="auto"/>
        <w:contextualSpacing/>
        <w:jc w:val="center"/>
        <w:rPr>
          <w:rFonts w:eastAsia="Calibri"/>
          <w:b/>
          <w:color w:val="00000A"/>
          <w:lang w:eastAsia="en-US"/>
        </w:rPr>
      </w:pPr>
      <w:r w:rsidRPr="00DF0F8C">
        <w:rPr>
          <w:rFonts w:eastAsia="Calibri"/>
          <w:b/>
          <w:color w:val="00000A"/>
          <w:lang w:eastAsia="en-US"/>
        </w:rPr>
        <w:t>Contribuciones de los autores</w:t>
      </w:r>
    </w:p>
    <w:p w14:paraId="2BFB713F" w14:textId="77777777" w:rsidR="00DF0F8C" w:rsidRPr="00DF0F8C" w:rsidRDefault="00DF0F8C" w:rsidP="00DF0F8C">
      <w:pPr>
        <w:spacing w:line="360" w:lineRule="auto"/>
        <w:contextualSpacing/>
        <w:jc w:val="both"/>
        <w:rPr>
          <w:rFonts w:eastAsia="Calibri"/>
          <w:i/>
          <w:iCs/>
          <w:color w:val="00000A"/>
          <w:lang w:eastAsia="en-US"/>
        </w:rPr>
      </w:pPr>
      <w:r w:rsidRPr="00DF0F8C">
        <w:rPr>
          <w:rFonts w:eastAsia="Calibri"/>
          <w:color w:val="00000A"/>
          <w:lang w:eastAsia="en-US"/>
        </w:rPr>
        <w:t xml:space="preserve">Conceptualización: </w:t>
      </w:r>
      <w:r w:rsidRPr="00DF0F8C">
        <w:rPr>
          <w:rFonts w:eastAsia="Calibri"/>
          <w:i/>
          <w:iCs/>
          <w:color w:val="00000A"/>
          <w:lang w:eastAsia="en-US"/>
        </w:rPr>
        <w:t>Lázaro Aurelio Vázquez-Gómez,</w:t>
      </w:r>
      <w:r w:rsidRPr="00DF0F8C">
        <w:rPr>
          <w:rFonts w:eastAsia="Calibri"/>
          <w:i/>
          <w:iCs/>
          <w:lang w:eastAsia="en-US"/>
        </w:rPr>
        <w:t xml:space="preserve"> </w:t>
      </w:r>
      <w:r w:rsidRPr="00DF0F8C">
        <w:rPr>
          <w:rFonts w:eastAsia="Calibri"/>
          <w:i/>
          <w:iCs/>
          <w:color w:val="00000A"/>
          <w:lang w:eastAsia="en-US"/>
        </w:rPr>
        <w:t>Yunier Broche-Pérez.</w:t>
      </w:r>
    </w:p>
    <w:p w14:paraId="68343901" w14:textId="77777777" w:rsidR="00DF0F8C" w:rsidRPr="00DF0F8C" w:rsidRDefault="00DF0F8C" w:rsidP="00DF0F8C">
      <w:pPr>
        <w:spacing w:line="360" w:lineRule="auto"/>
        <w:contextualSpacing/>
        <w:jc w:val="both"/>
        <w:rPr>
          <w:rFonts w:eastAsia="Calibri"/>
          <w:i/>
          <w:iCs/>
          <w:color w:val="00000A"/>
          <w:lang w:eastAsia="en-US"/>
        </w:rPr>
      </w:pPr>
      <w:r w:rsidRPr="00DF0F8C">
        <w:rPr>
          <w:rFonts w:eastAsia="Calibri"/>
          <w:color w:val="00000A"/>
          <w:lang w:eastAsia="en-US"/>
        </w:rPr>
        <w:t xml:space="preserve">Curación de datos: </w:t>
      </w:r>
      <w:r w:rsidRPr="00DF0F8C">
        <w:rPr>
          <w:rFonts w:eastAsia="Calibri"/>
          <w:i/>
          <w:iCs/>
          <w:color w:val="00000A"/>
          <w:lang w:eastAsia="en-US"/>
        </w:rPr>
        <w:t>Lázaro Aurelio Vázquez-Gómez, Carlos Hidalgo Mesa, Yunier Broche-Pérez.</w:t>
      </w:r>
    </w:p>
    <w:p w14:paraId="367BC144" w14:textId="77777777" w:rsidR="00DF0F8C" w:rsidRPr="00DF0F8C" w:rsidRDefault="00DF0F8C" w:rsidP="00DF0F8C">
      <w:pPr>
        <w:spacing w:line="360" w:lineRule="auto"/>
        <w:contextualSpacing/>
        <w:jc w:val="both"/>
        <w:rPr>
          <w:rFonts w:eastAsia="Calibri"/>
          <w:i/>
          <w:iCs/>
          <w:color w:val="00000A"/>
          <w:lang w:eastAsia="en-US"/>
        </w:rPr>
      </w:pPr>
      <w:r w:rsidRPr="00DF0F8C">
        <w:rPr>
          <w:rFonts w:eastAsia="Calibri"/>
          <w:color w:val="00000A"/>
          <w:lang w:eastAsia="en-US"/>
        </w:rPr>
        <w:t xml:space="preserve">Análisis formal: </w:t>
      </w:r>
      <w:r w:rsidRPr="00DF0F8C">
        <w:rPr>
          <w:rFonts w:eastAsia="Calibri"/>
          <w:i/>
          <w:iCs/>
          <w:color w:val="00000A"/>
          <w:lang w:eastAsia="en-US"/>
        </w:rPr>
        <w:t>Lázaro Aurelio Vázquez-Gómez.</w:t>
      </w:r>
    </w:p>
    <w:p w14:paraId="44B228BE" w14:textId="77777777" w:rsidR="00DF0F8C" w:rsidRPr="00DF0F8C" w:rsidRDefault="00DF0F8C" w:rsidP="00DF0F8C">
      <w:pPr>
        <w:spacing w:line="360" w:lineRule="auto"/>
        <w:contextualSpacing/>
        <w:jc w:val="both"/>
        <w:rPr>
          <w:rFonts w:eastAsia="Calibri"/>
          <w:i/>
          <w:iCs/>
          <w:color w:val="00000A"/>
          <w:lang w:eastAsia="en-US"/>
        </w:rPr>
      </w:pPr>
      <w:r w:rsidRPr="00DF0F8C">
        <w:rPr>
          <w:rFonts w:eastAsia="Calibri"/>
          <w:color w:val="00000A"/>
          <w:lang w:eastAsia="en-US"/>
        </w:rPr>
        <w:t xml:space="preserve">Adquisición de fondos: </w:t>
      </w:r>
      <w:r w:rsidRPr="00DF0F8C">
        <w:rPr>
          <w:rFonts w:eastAsia="Calibri"/>
          <w:i/>
          <w:iCs/>
          <w:color w:val="00000A"/>
          <w:lang w:eastAsia="en-US"/>
        </w:rPr>
        <w:t>Lázaro Aurelio Vázquez-Gómez, Carlos Hidalgo Mesa.</w:t>
      </w:r>
    </w:p>
    <w:p w14:paraId="01D1CF1A" w14:textId="77777777" w:rsidR="00DF0F8C" w:rsidRPr="00DF0F8C" w:rsidRDefault="00DF0F8C" w:rsidP="00DF0F8C">
      <w:pPr>
        <w:spacing w:line="360" w:lineRule="auto"/>
        <w:contextualSpacing/>
        <w:jc w:val="both"/>
        <w:rPr>
          <w:rFonts w:eastAsia="Calibri"/>
          <w:i/>
          <w:iCs/>
          <w:color w:val="00000A"/>
          <w:lang w:eastAsia="en-US"/>
        </w:rPr>
      </w:pPr>
      <w:r w:rsidRPr="00DF0F8C">
        <w:rPr>
          <w:rFonts w:eastAsia="Calibri"/>
          <w:color w:val="00000A"/>
          <w:lang w:eastAsia="en-US"/>
        </w:rPr>
        <w:t xml:space="preserve">Administración de proyectos: </w:t>
      </w:r>
      <w:r w:rsidRPr="00DF0F8C">
        <w:rPr>
          <w:rFonts w:eastAsia="Calibri"/>
          <w:i/>
          <w:iCs/>
          <w:color w:val="00000A"/>
          <w:lang w:eastAsia="en-US"/>
        </w:rPr>
        <w:t>Lázaro Aurelio Vázquez-Gómez</w:t>
      </w:r>
      <w:r w:rsidRPr="00DF0F8C">
        <w:rPr>
          <w:rFonts w:eastAsia="Calibri"/>
          <w:i/>
          <w:iCs/>
          <w:lang w:eastAsia="en-US"/>
        </w:rPr>
        <w:t xml:space="preserve">, </w:t>
      </w:r>
      <w:r w:rsidRPr="00DF0F8C">
        <w:rPr>
          <w:rFonts w:eastAsia="Calibri"/>
          <w:i/>
          <w:iCs/>
          <w:color w:val="00000A"/>
          <w:lang w:eastAsia="en-US"/>
        </w:rPr>
        <w:t>Yunier Broche-Pérez.</w:t>
      </w:r>
    </w:p>
    <w:p w14:paraId="6902D642" w14:textId="77777777" w:rsidR="00DF0F8C" w:rsidRPr="00DF0F8C" w:rsidRDefault="00DF0F8C" w:rsidP="00DF0F8C">
      <w:pPr>
        <w:spacing w:line="360" w:lineRule="auto"/>
        <w:contextualSpacing/>
        <w:jc w:val="both"/>
        <w:rPr>
          <w:rFonts w:eastAsia="Calibri"/>
          <w:i/>
          <w:iCs/>
          <w:color w:val="00000A"/>
          <w:lang w:eastAsia="en-US"/>
        </w:rPr>
      </w:pPr>
      <w:r w:rsidRPr="00DF0F8C">
        <w:rPr>
          <w:rFonts w:eastAsia="Calibri"/>
          <w:color w:val="00000A"/>
          <w:lang w:eastAsia="en-US"/>
        </w:rPr>
        <w:t xml:space="preserve">Investigación: </w:t>
      </w:r>
      <w:r w:rsidRPr="00DF0F8C">
        <w:rPr>
          <w:rFonts w:eastAsia="Calibri"/>
          <w:i/>
          <w:iCs/>
          <w:color w:val="00000A"/>
          <w:lang w:eastAsia="en-US"/>
        </w:rPr>
        <w:t>Lázaro Aurelio Vázquez-Gómez, Carlos Hidalgo Mesa.</w:t>
      </w:r>
    </w:p>
    <w:p w14:paraId="2CE29C90" w14:textId="77777777" w:rsidR="00DF0F8C" w:rsidRPr="00DF0F8C" w:rsidRDefault="00DF0F8C" w:rsidP="00DF0F8C">
      <w:pPr>
        <w:spacing w:line="360" w:lineRule="auto"/>
        <w:contextualSpacing/>
        <w:jc w:val="both"/>
        <w:rPr>
          <w:rFonts w:eastAsia="Calibri"/>
          <w:i/>
          <w:iCs/>
          <w:color w:val="00000A"/>
          <w:lang w:eastAsia="en-US"/>
        </w:rPr>
      </w:pPr>
      <w:r w:rsidRPr="00DF0F8C">
        <w:rPr>
          <w:rFonts w:eastAsia="Calibri"/>
          <w:color w:val="00000A"/>
          <w:lang w:eastAsia="en-US"/>
        </w:rPr>
        <w:t xml:space="preserve">Metodología: </w:t>
      </w:r>
      <w:r w:rsidRPr="00DF0F8C">
        <w:rPr>
          <w:rFonts w:eastAsia="Calibri"/>
          <w:i/>
          <w:iCs/>
          <w:color w:val="00000A"/>
          <w:lang w:eastAsia="en-US"/>
        </w:rPr>
        <w:t>Lázaro Aurelio Vázquez-Gómez, Yunier Broche-Pérez.</w:t>
      </w:r>
    </w:p>
    <w:p w14:paraId="0C9D1117" w14:textId="77777777" w:rsidR="00DF0F8C" w:rsidRPr="00DF0F8C" w:rsidRDefault="00DF0F8C" w:rsidP="00DF0F8C">
      <w:pPr>
        <w:spacing w:line="360" w:lineRule="auto"/>
        <w:contextualSpacing/>
        <w:jc w:val="both"/>
        <w:rPr>
          <w:rFonts w:eastAsia="Calibri"/>
          <w:i/>
          <w:iCs/>
          <w:color w:val="00000A"/>
          <w:lang w:eastAsia="en-US"/>
        </w:rPr>
      </w:pPr>
      <w:r w:rsidRPr="00DF0F8C">
        <w:rPr>
          <w:rFonts w:eastAsia="Calibri"/>
          <w:color w:val="00000A"/>
          <w:lang w:eastAsia="en-US"/>
        </w:rPr>
        <w:t xml:space="preserve">Recursos: </w:t>
      </w:r>
      <w:r w:rsidRPr="00DF0F8C">
        <w:rPr>
          <w:rFonts w:eastAsia="Calibri"/>
          <w:i/>
          <w:iCs/>
          <w:color w:val="00000A"/>
          <w:lang w:eastAsia="en-US"/>
        </w:rPr>
        <w:t>Lázaro Aurelio Vázquez-Gómez.</w:t>
      </w:r>
    </w:p>
    <w:p w14:paraId="00A54B7E" w14:textId="77777777" w:rsidR="00DF0F8C" w:rsidRPr="00DF0F8C" w:rsidRDefault="00DF0F8C" w:rsidP="00DF0F8C">
      <w:pPr>
        <w:spacing w:line="360" w:lineRule="auto"/>
        <w:contextualSpacing/>
        <w:jc w:val="both"/>
        <w:rPr>
          <w:rFonts w:eastAsia="Calibri"/>
          <w:color w:val="00000A"/>
          <w:lang w:eastAsia="en-US"/>
        </w:rPr>
      </w:pPr>
      <w:r w:rsidRPr="00DF0F8C">
        <w:rPr>
          <w:rFonts w:eastAsia="Calibri"/>
          <w:color w:val="00000A"/>
          <w:lang w:eastAsia="en-US"/>
        </w:rPr>
        <w:t xml:space="preserve">Supervisión: </w:t>
      </w:r>
      <w:r w:rsidRPr="00DF0F8C">
        <w:rPr>
          <w:rFonts w:eastAsia="Calibri"/>
          <w:i/>
          <w:iCs/>
          <w:color w:val="00000A"/>
          <w:lang w:eastAsia="en-US"/>
        </w:rPr>
        <w:t>Lázaro Aurelio Vázquez-Gómez, Carlos Hidalgo Mesa, Yunier Broche-Pérez.</w:t>
      </w:r>
    </w:p>
    <w:p w14:paraId="604DD3B9" w14:textId="77777777" w:rsidR="00DF0F8C" w:rsidRPr="00DF0F8C" w:rsidRDefault="00DF0F8C" w:rsidP="00DF0F8C">
      <w:pPr>
        <w:spacing w:line="360" w:lineRule="auto"/>
        <w:contextualSpacing/>
        <w:jc w:val="both"/>
        <w:rPr>
          <w:rFonts w:eastAsia="Calibri"/>
          <w:i/>
          <w:iCs/>
          <w:color w:val="00000A"/>
          <w:lang w:eastAsia="en-US"/>
        </w:rPr>
      </w:pPr>
      <w:r w:rsidRPr="00DF0F8C">
        <w:rPr>
          <w:rFonts w:eastAsia="Calibri"/>
          <w:color w:val="00000A"/>
          <w:lang w:eastAsia="en-US"/>
        </w:rPr>
        <w:t xml:space="preserve">Validación: </w:t>
      </w:r>
      <w:r w:rsidRPr="00DF0F8C">
        <w:rPr>
          <w:rFonts w:eastAsia="Calibri"/>
          <w:i/>
          <w:iCs/>
          <w:color w:val="00000A"/>
          <w:lang w:eastAsia="en-US"/>
        </w:rPr>
        <w:t>Lázaro Aurelio Vázquez-Gómez, Yunier Broche-Pérez.</w:t>
      </w:r>
    </w:p>
    <w:p w14:paraId="24C04DD5" w14:textId="77777777" w:rsidR="00DF0F8C" w:rsidRPr="00DF0F8C" w:rsidRDefault="00DF0F8C" w:rsidP="00DF0F8C">
      <w:pPr>
        <w:spacing w:line="360" w:lineRule="auto"/>
        <w:contextualSpacing/>
        <w:jc w:val="both"/>
        <w:rPr>
          <w:rFonts w:eastAsia="Calibri"/>
          <w:color w:val="00000A"/>
          <w:lang w:eastAsia="en-US"/>
        </w:rPr>
      </w:pPr>
      <w:r w:rsidRPr="00DF0F8C">
        <w:rPr>
          <w:rFonts w:eastAsia="Calibri"/>
          <w:color w:val="00000A"/>
          <w:lang w:eastAsia="en-US"/>
        </w:rPr>
        <w:t xml:space="preserve">Visualización: </w:t>
      </w:r>
      <w:r w:rsidRPr="00DF0F8C">
        <w:rPr>
          <w:rFonts w:eastAsia="Calibri"/>
          <w:i/>
          <w:iCs/>
          <w:color w:val="00000A"/>
          <w:lang w:eastAsia="en-US"/>
        </w:rPr>
        <w:t>Lázaro Aurelio Vázquez-Gómez, Carlos Hidalgo Mesa, Yunier Broche-Pérez.</w:t>
      </w:r>
    </w:p>
    <w:p w14:paraId="0076995B" w14:textId="77777777" w:rsidR="00DF0F8C" w:rsidRPr="00DF0F8C" w:rsidRDefault="00DF0F8C" w:rsidP="00DF0F8C">
      <w:pPr>
        <w:spacing w:line="360" w:lineRule="auto"/>
        <w:contextualSpacing/>
        <w:jc w:val="both"/>
        <w:rPr>
          <w:rFonts w:eastAsia="Calibri"/>
          <w:i/>
          <w:iCs/>
          <w:color w:val="00000A"/>
          <w:lang w:eastAsia="en-US"/>
        </w:rPr>
      </w:pPr>
      <w:r w:rsidRPr="00DF0F8C">
        <w:rPr>
          <w:rFonts w:eastAsia="Calibri"/>
          <w:color w:val="00000A"/>
          <w:lang w:eastAsia="en-US"/>
        </w:rPr>
        <w:t xml:space="preserve">Redacción - borrador original: </w:t>
      </w:r>
      <w:r w:rsidRPr="00DF0F8C">
        <w:rPr>
          <w:rFonts w:eastAsia="Calibri"/>
          <w:i/>
          <w:iCs/>
          <w:color w:val="00000A"/>
          <w:lang w:eastAsia="en-US"/>
        </w:rPr>
        <w:t>Lázaro Aurelio Vázquez-Gómez.</w:t>
      </w:r>
    </w:p>
    <w:p w14:paraId="60E5FBA4" w14:textId="77777777" w:rsidR="00DF0F8C" w:rsidRPr="00DF0F8C" w:rsidRDefault="00DF0F8C" w:rsidP="00DF0F8C">
      <w:pPr>
        <w:spacing w:line="360" w:lineRule="auto"/>
        <w:contextualSpacing/>
        <w:jc w:val="both"/>
        <w:rPr>
          <w:rFonts w:eastAsia="Calibri"/>
          <w:lang w:eastAsia="en-US"/>
        </w:rPr>
      </w:pPr>
      <w:r w:rsidRPr="00DF0F8C">
        <w:rPr>
          <w:rFonts w:eastAsia="Calibri"/>
          <w:color w:val="00000A"/>
          <w:lang w:eastAsia="en-US"/>
        </w:rPr>
        <w:t xml:space="preserve">Redacción - revisión y edición: </w:t>
      </w:r>
      <w:r w:rsidRPr="00DF0F8C">
        <w:rPr>
          <w:rFonts w:eastAsia="Calibri"/>
          <w:i/>
          <w:iCs/>
          <w:color w:val="00000A"/>
          <w:lang w:eastAsia="en-US"/>
        </w:rPr>
        <w:t>Lázaro Aurelio Vázquez-Gómez, Carlos Hidalgo Mesa, Yunier Broche-Pérez.</w:t>
      </w:r>
    </w:p>
    <w:p w14:paraId="47B30891" w14:textId="77777777" w:rsidR="00675476" w:rsidRPr="00DF0F8C" w:rsidRDefault="00675476" w:rsidP="00EA1FEF">
      <w:pPr>
        <w:pStyle w:val="PDFRevista"/>
        <w:rPr>
          <w:lang w:val="es-ES_tradnl"/>
        </w:rPr>
      </w:pPr>
    </w:p>
    <w:sectPr w:rsidR="00675476" w:rsidRPr="00DF0F8C"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E746" w14:textId="77777777" w:rsidR="00B37C90" w:rsidRDefault="00B37C90">
      <w:r>
        <w:separator/>
      </w:r>
    </w:p>
  </w:endnote>
  <w:endnote w:type="continuationSeparator" w:id="0">
    <w:p w14:paraId="54F5ECD3" w14:textId="77777777" w:rsidR="00B37C90" w:rsidRDefault="00B3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CF0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F3B8A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385E" w14:textId="6D3FE046" w:rsidR="000F3690" w:rsidRPr="00AE044C" w:rsidRDefault="00DF0F8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3CC545D" wp14:editId="0CC1434F">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B84007"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049599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8FF1F32"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E5C881F" w14:textId="628C4DBD"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DF0F8C" w:rsidRPr="00DF0F8C">
      <w:rPr>
        <w:rFonts w:ascii="Verdana" w:hAnsi="Verdana"/>
        <w:noProof/>
        <w:sz w:val="18"/>
        <w:szCs w:val="18"/>
        <w:lang w:val="en-US" w:eastAsia="en-US"/>
      </w:rPr>
      <w:drawing>
        <wp:inline distT="0" distB="0" distL="0" distR="0" wp14:anchorId="70CD3F29" wp14:editId="4DC03A60">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7602" w14:textId="77777777" w:rsidR="00B37C90" w:rsidRDefault="00B37C90">
      <w:r>
        <w:separator/>
      </w:r>
    </w:p>
  </w:footnote>
  <w:footnote w:type="continuationSeparator" w:id="0">
    <w:p w14:paraId="2F30C150" w14:textId="77777777" w:rsidR="00B37C90" w:rsidRDefault="00B3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C0BA" w14:textId="452DC008" w:rsidR="00CC376A" w:rsidRPr="00AE044C" w:rsidRDefault="00DF0F8C"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noProof/>
      </w:rPr>
      <w:drawing>
        <wp:anchor distT="0" distB="0" distL="114300" distR="114300" simplePos="0" relativeHeight="251663360" behindDoc="1" locked="0" layoutInCell="1" allowOverlap="1" wp14:anchorId="016FFADF" wp14:editId="06F020FA">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e02202277</w:t>
    </w:r>
  </w:p>
  <w:p w14:paraId="1744AAF1" w14:textId="0645B503" w:rsidR="00A477DE" w:rsidRDefault="00DF0F8C">
    <w:r>
      <w:rPr>
        <w:noProof/>
      </w:rPr>
      <mc:AlternateContent>
        <mc:Choice Requires="wps">
          <w:drawing>
            <wp:anchor distT="0" distB="0" distL="114300" distR="114300" simplePos="0" relativeHeight="251654144" behindDoc="0" locked="0" layoutInCell="1" allowOverlap="1" wp14:anchorId="3FF7E300" wp14:editId="0636FAF1">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DC5821"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C12"/>
    <w:multiLevelType w:val="hybridMultilevel"/>
    <w:tmpl w:val="6994C7C0"/>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 w15:restartNumberingAfterBreak="0">
    <w:nsid w:val="0AC01B2C"/>
    <w:multiLevelType w:val="hybridMultilevel"/>
    <w:tmpl w:val="49CC7822"/>
    <w:lvl w:ilvl="0" w:tplc="0409000B">
      <w:start w:val="1"/>
      <w:numFmt w:val="bullet"/>
      <w:lvlText w:val=""/>
      <w:lvlJc w:val="left"/>
      <w:pPr>
        <w:ind w:left="1080" w:hanging="360"/>
      </w:pPr>
      <w:rPr>
        <w:rFonts w:ascii="Wingdings" w:hAnsi="Wingdings" w:hint="default"/>
      </w:rPr>
    </w:lvl>
    <w:lvl w:ilvl="1" w:tplc="3BBAD93E">
      <w:numFmt w:val="bullet"/>
      <w:lvlText w:val="-"/>
      <w:lvlJc w:val="left"/>
      <w:pPr>
        <w:ind w:left="1800" w:hanging="360"/>
      </w:pPr>
      <w:rPr>
        <w:rFonts w:ascii="Arial" w:eastAsia="Calibri" w:hAnsi="Arial" w:cs="Aria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EE50D56"/>
    <w:multiLevelType w:val="hybridMultilevel"/>
    <w:tmpl w:val="0F92A266"/>
    <w:lvl w:ilvl="0" w:tplc="5C0A0001">
      <w:start w:val="1"/>
      <w:numFmt w:val="bullet"/>
      <w:lvlText w:val=""/>
      <w:lvlJc w:val="left"/>
      <w:pPr>
        <w:ind w:left="720" w:hanging="360"/>
      </w:pPr>
      <w:rPr>
        <w:rFonts w:ascii="Symbol" w:hAnsi="Symbol" w:hint="default"/>
      </w:rPr>
    </w:lvl>
    <w:lvl w:ilvl="1" w:tplc="C0201E40">
      <w:numFmt w:val="bullet"/>
      <w:lvlText w:val="-"/>
      <w:lvlJc w:val="left"/>
      <w:pPr>
        <w:ind w:left="1440" w:hanging="360"/>
      </w:pPr>
      <w:rPr>
        <w:rFonts w:ascii="Times New Roman" w:eastAsia="Calibri" w:hAnsi="Times New Roman" w:cs="Times New Roman"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124349B5"/>
    <w:multiLevelType w:val="hybridMultilevel"/>
    <w:tmpl w:val="56E646C2"/>
    <w:lvl w:ilvl="0" w:tplc="5C0A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358333B5"/>
    <w:multiLevelType w:val="hybridMultilevel"/>
    <w:tmpl w:val="5E822622"/>
    <w:lvl w:ilvl="0" w:tplc="E4F2D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6162C"/>
    <w:multiLevelType w:val="hybridMultilevel"/>
    <w:tmpl w:val="8D766F0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791563F9"/>
    <w:multiLevelType w:val="hybridMultilevel"/>
    <w:tmpl w:val="D43A2D5C"/>
    <w:lvl w:ilvl="0" w:tplc="5C0A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Arial" w:eastAsia="Calibr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70301474">
    <w:abstractNumId w:val="6"/>
  </w:num>
  <w:num w:numId="2" w16cid:durableId="1073041055">
    <w:abstractNumId w:val="1"/>
  </w:num>
  <w:num w:numId="3" w16cid:durableId="1791589113">
    <w:abstractNumId w:val="5"/>
  </w:num>
  <w:num w:numId="4" w16cid:durableId="95758851">
    <w:abstractNumId w:val="0"/>
  </w:num>
  <w:num w:numId="5" w16cid:durableId="1783770211">
    <w:abstractNumId w:val="4"/>
  </w:num>
  <w:num w:numId="6" w16cid:durableId="317462368">
    <w:abstractNumId w:val="7"/>
  </w:num>
  <w:num w:numId="7" w16cid:durableId="1815559244">
    <w:abstractNumId w:val="3"/>
  </w:num>
  <w:num w:numId="8" w16cid:durableId="1578435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8C"/>
    <w:rsid w:val="00015D8E"/>
    <w:rsid w:val="00057F45"/>
    <w:rsid w:val="000D3958"/>
    <w:rsid w:val="000F3690"/>
    <w:rsid w:val="001221D1"/>
    <w:rsid w:val="00165CB5"/>
    <w:rsid w:val="00180CE9"/>
    <w:rsid w:val="00230DD5"/>
    <w:rsid w:val="00250AE9"/>
    <w:rsid w:val="00380D64"/>
    <w:rsid w:val="00391509"/>
    <w:rsid w:val="003D2A1A"/>
    <w:rsid w:val="003E03D5"/>
    <w:rsid w:val="004367E4"/>
    <w:rsid w:val="00486BFA"/>
    <w:rsid w:val="00493701"/>
    <w:rsid w:val="004E2065"/>
    <w:rsid w:val="005508A2"/>
    <w:rsid w:val="0055115D"/>
    <w:rsid w:val="00566F71"/>
    <w:rsid w:val="00581537"/>
    <w:rsid w:val="005918BD"/>
    <w:rsid w:val="006173A6"/>
    <w:rsid w:val="00675476"/>
    <w:rsid w:val="007C430F"/>
    <w:rsid w:val="007D2D0C"/>
    <w:rsid w:val="007D614D"/>
    <w:rsid w:val="008335CD"/>
    <w:rsid w:val="008D12D5"/>
    <w:rsid w:val="00960D6A"/>
    <w:rsid w:val="009A0560"/>
    <w:rsid w:val="009B0917"/>
    <w:rsid w:val="009F0F96"/>
    <w:rsid w:val="00A23C0C"/>
    <w:rsid w:val="00A477DE"/>
    <w:rsid w:val="00A71E65"/>
    <w:rsid w:val="00AE044C"/>
    <w:rsid w:val="00B31971"/>
    <w:rsid w:val="00B37C90"/>
    <w:rsid w:val="00B4380A"/>
    <w:rsid w:val="00B66ECB"/>
    <w:rsid w:val="00C7523A"/>
    <w:rsid w:val="00CC1B6E"/>
    <w:rsid w:val="00CC376A"/>
    <w:rsid w:val="00CC48A1"/>
    <w:rsid w:val="00CF50E0"/>
    <w:rsid w:val="00D85951"/>
    <w:rsid w:val="00DB47AF"/>
    <w:rsid w:val="00DF0F8C"/>
    <w:rsid w:val="00E62606"/>
    <w:rsid w:val="00E705B4"/>
    <w:rsid w:val="00EA1FEF"/>
    <w:rsid w:val="00EC5A6B"/>
    <w:rsid w:val="00EE301D"/>
    <w:rsid w:val="00F82487"/>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FCAAD"/>
  <w15:docId w15:val="{A1FE4D5B-24B4-446F-A5D3-12F834E9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DF0F8C"/>
  </w:style>
  <w:style w:type="character" w:styleId="nfasis">
    <w:name w:val="Emphasis"/>
    <w:uiPriority w:val="20"/>
    <w:qFormat/>
    <w:rsid w:val="00DF0F8C"/>
    <w:rPr>
      <w:i/>
      <w:iCs/>
    </w:rPr>
  </w:style>
  <w:style w:type="table" w:customStyle="1" w:styleId="Tablaconcuadrcula2">
    <w:name w:val="Tabla con cuadrícula2"/>
    <w:basedOn w:val="Tablanormal"/>
    <w:next w:val="Tablaconcuadrcula"/>
    <w:uiPriority w:val="59"/>
    <w:rsid w:val="00DF0F8C"/>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DF0F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0F8C"/>
    <w:pPr>
      <w:spacing w:after="200" w:line="276" w:lineRule="auto"/>
      <w:ind w:left="720"/>
      <w:contextualSpacing/>
    </w:pPr>
    <w:rPr>
      <w:rFonts w:ascii="Calibri" w:eastAsia="Calibri" w:hAnsi="Calibri"/>
      <w:sz w:val="22"/>
      <w:szCs w:val="22"/>
      <w:lang w:val="es-ES" w:eastAsia="en-US"/>
    </w:rPr>
  </w:style>
  <w:style w:type="table" w:customStyle="1" w:styleId="Tablaconcuadrcula3">
    <w:name w:val="Tabla con cuadrícula3"/>
    <w:basedOn w:val="Tablanormal"/>
    <w:next w:val="Tablaconcuadrcula"/>
    <w:uiPriority w:val="59"/>
    <w:rsid w:val="00DF0F8C"/>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DF0F8C"/>
    <w:rPr>
      <w:sz w:val="16"/>
      <w:szCs w:val="16"/>
    </w:rPr>
  </w:style>
  <w:style w:type="paragraph" w:styleId="Textocomentario">
    <w:name w:val="annotation text"/>
    <w:basedOn w:val="Normal"/>
    <w:link w:val="TextocomentarioCar"/>
    <w:uiPriority w:val="99"/>
    <w:unhideWhenUsed/>
    <w:rsid w:val="00DF0F8C"/>
    <w:pPr>
      <w:spacing w:after="16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DF0F8C"/>
    <w:rPr>
      <w:rFonts w:ascii="Calibri" w:eastAsia="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DF0F8C"/>
    <w:rPr>
      <w:b/>
      <w:bCs/>
    </w:rPr>
  </w:style>
  <w:style w:type="character" w:customStyle="1" w:styleId="AsuntodelcomentarioCar">
    <w:name w:val="Asunto del comentario Car"/>
    <w:basedOn w:val="TextocomentarioCar"/>
    <w:link w:val="Asuntodelcomentario"/>
    <w:uiPriority w:val="99"/>
    <w:semiHidden/>
    <w:rsid w:val="00DF0F8C"/>
    <w:rPr>
      <w:rFonts w:ascii="Calibri" w:eastAsia="Calibri" w:hAnsi="Calibri"/>
      <w:b/>
      <w:bCs/>
      <w:lang w:val="es-ES_tradnl" w:eastAsia="en-US"/>
    </w:rPr>
  </w:style>
  <w:style w:type="character" w:customStyle="1" w:styleId="markedcontent">
    <w:name w:val="markedcontent"/>
    <w:basedOn w:val="Fuentedeprrafopredeter"/>
    <w:rsid w:val="00DF0F8C"/>
  </w:style>
  <w:style w:type="paragraph" w:styleId="Textoindependiente">
    <w:name w:val="Body Text"/>
    <w:basedOn w:val="Normal"/>
    <w:link w:val="TextoindependienteCar"/>
    <w:uiPriority w:val="99"/>
    <w:unhideWhenUsed/>
    <w:rsid w:val="00DF0F8C"/>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DF0F8C"/>
    <w:rPr>
      <w:rFonts w:ascii="Arial" w:hAnsi="Arial" w:cs="Arial"/>
      <w:sz w:val="12"/>
      <w:szCs w:val="12"/>
      <w:lang w:val="es-ES" w:eastAsia="es-ES"/>
    </w:rPr>
  </w:style>
  <w:style w:type="paragraph" w:styleId="HTMLconformatoprevio">
    <w:name w:val="HTML Preformatted"/>
    <w:basedOn w:val="Normal"/>
    <w:link w:val="HTMLconformatoprevioCar"/>
    <w:uiPriority w:val="99"/>
    <w:unhideWhenUsed/>
    <w:rsid w:val="00DF0F8C"/>
    <w:rPr>
      <w:rFonts w:ascii="Consolas" w:eastAsia="Calibri" w:hAnsi="Consolas"/>
      <w:sz w:val="20"/>
      <w:szCs w:val="20"/>
      <w:lang w:eastAsia="en-US"/>
    </w:rPr>
  </w:style>
  <w:style w:type="character" w:customStyle="1" w:styleId="HTMLconformatoprevioCar">
    <w:name w:val="HTML con formato previo Car"/>
    <w:basedOn w:val="Fuentedeprrafopredeter"/>
    <w:link w:val="HTMLconformatoprevio"/>
    <w:uiPriority w:val="99"/>
    <w:rsid w:val="00DF0F8C"/>
    <w:rPr>
      <w:rFonts w:ascii="Consolas" w:eastAsia="Calibri" w:hAnsi="Consolas"/>
      <w:lang w:val="es-ES_tradnl" w:eastAsia="en-US"/>
    </w:rPr>
  </w:style>
  <w:style w:type="paragraph" w:styleId="Revisin">
    <w:name w:val="Revision"/>
    <w:hidden/>
    <w:uiPriority w:val="99"/>
    <w:semiHidden/>
    <w:rsid w:val="00DF0F8C"/>
    <w:rPr>
      <w:rFonts w:ascii="Calibri" w:eastAsia="Calibri" w:hAnsi="Calibri"/>
      <w:sz w:val="22"/>
      <w:szCs w:val="22"/>
      <w:lang w:val="es-ES_tradnl" w:eastAsia="en-US"/>
    </w:rPr>
  </w:style>
  <w:style w:type="character" w:customStyle="1" w:styleId="Mencinsinresolver1">
    <w:name w:val="Mención sin resolver1"/>
    <w:uiPriority w:val="99"/>
    <w:semiHidden/>
    <w:unhideWhenUsed/>
    <w:rsid w:val="00DF0F8C"/>
    <w:rPr>
      <w:color w:val="605E5C"/>
      <w:shd w:val="clear" w:color="auto" w:fill="E1DFDD"/>
    </w:rPr>
  </w:style>
  <w:style w:type="character" w:styleId="Textodelmarcadordeposicin">
    <w:name w:val="Placeholder Text"/>
    <w:uiPriority w:val="99"/>
    <w:semiHidden/>
    <w:rsid w:val="00DF0F8C"/>
    <w:rPr>
      <w:color w:val="808080"/>
    </w:rPr>
  </w:style>
  <w:style w:type="character" w:customStyle="1" w:styleId="hgkelc">
    <w:name w:val="hgkelc"/>
    <w:basedOn w:val="Fuentedeprrafopredeter"/>
    <w:rsid w:val="00DF0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705-4519" TargetMode="External"/><Relationship Id="rId13" Type="http://schemas.openxmlformats.org/officeDocument/2006/relationships/image" Target="media/image3.png"/><Relationship Id="rId18" Type="http://schemas.openxmlformats.org/officeDocument/2006/relationships/hyperlink" Target="http://discovery.ucl.ac.uk/id/eprint/10041020/1/Barkhof_Diagnostic%20criteria_revision%201_final_10OCT2017.pdf" TargetMode="External"/><Relationship Id="rId26" Type="http://schemas.openxmlformats.org/officeDocument/2006/relationships/hyperlink" Target="http://onlinelibrary.wiley.com/doi/abs/10.1002/ddr.21798" TargetMode="External"/><Relationship Id="rId3" Type="http://schemas.openxmlformats.org/officeDocument/2006/relationships/settings" Target="settings.xml"/><Relationship Id="rId21" Type="http://schemas.openxmlformats.org/officeDocument/2006/relationships/hyperlink" Target="http://www.ncbi.nlm.nih.gov/pmc/articles/PMC6137887" TargetMode="External"/><Relationship Id="rId7" Type="http://schemas.openxmlformats.org/officeDocument/2006/relationships/hyperlink" Target="https://orcid.org/0000-0002-0506-5992" TargetMode="External"/><Relationship Id="rId12" Type="http://schemas.openxmlformats.org/officeDocument/2006/relationships/image" Target="media/image2.png"/><Relationship Id="rId17" Type="http://schemas.openxmlformats.org/officeDocument/2006/relationships/hyperlink" Target="http://www.thelancet.com/journals/lancet/article/PIIS0140-6736(18)30481-1/fulltext" TargetMode="External"/><Relationship Id="rId25" Type="http://schemas.openxmlformats.org/officeDocument/2006/relationships/hyperlink" Target="http://www.sciencedirect.com/science/article/pii/S221103482100634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esquisa.bvsalud.org/portal/resource/pt/ibc-174870?lang=es" TargetMode="External"/><Relationship Id="rId20" Type="http://schemas.openxmlformats.org/officeDocument/2006/relationships/hyperlink" Target="http://eprints.ucm.es/id/eprint/44444"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www.tdx.cat/handle/10803/40028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journals.sagepub.com/doi/abs/10.1177/1352458517751049" TargetMode="External"/><Relationship Id="rId23" Type="http://schemas.openxmlformats.org/officeDocument/2006/relationships/hyperlink" Target="http://eprints.ucm.es/id/eprint/48467" TargetMode="External"/><Relationship Id="rId28" Type="http://schemas.openxmlformats.org/officeDocument/2006/relationships/hyperlink" Target="http://onlinelibrary.wiley.com/doi/abs/10.1002/ana.20740" TargetMode="External"/><Relationship Id="rId10" Type="http://schemas.openxmlformats.org/officeDocument/2006/relationships/hyperlink" Target="mailto:lazarovg@infomed.sld.cu" TargetMode="External"/><Relationship Id="rId19" Type="http://schemas.openxmlformats.org/officeDocument/2006/relationships/hyperlink" Target="https://www.wma.net/policies-post/wma-declaration-of-helsinki-ethical-principles-for-medical-research-involving-human-subject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3450-7374" TargetMode="External"/><Relationship Id="rId14" Type="http://schemas.openxmlformats.org/officeDocument/2006/relationships/hyperlink" Target="http://link.springer.com/article/10.1007/s40263-018-0541-5" TargetMode="External"/><Relationship Id="rId22" Type="http://schemas.openxmlformats.org/officeDocument/2006/relationships/hyperlink" Target="http://link.springer.com/article/10.1007/s10072-019-03878-4" TargetMode="External"/><Relationship Id="rId27" Type="http://schemas.openxmlformats.org/officeDocument/2006/relationships/hyperlink" Target="http://www.ncbi.nlm.nih.gov/pmc/articles/PMC5491660/"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35</TotalTime>
  <Pages>14</Pages>
  <Words>4089</Words>
  <Characters>22493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26529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13</cp:revision>
  <cp:lastPrinted>2022-09-06T16:31:00Z</cp:lastPrinted>
  <dcterms:created xsi:type="dcterms:W3CDTF">2022-09-06T15:17:00Z</dcterms:created>
  <dcterms:modified xsi:type="dcterms:W3CDTF">2022-09-06T16:38:00Z</dcterms:modified>
</cp:coreProperties>
</file>