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3A7" w:rsidRPr="009B53A7" w:rsidRDefault="009B53A7" w:rsidP="009B53A7">
      <w:pPr>
        <w:suppressAutoHyphens/>
        <w:spacing w:line="360" w:lineRule="auto"/>
        <w:ind w:hanging="1"/>
        <w:jc w:val="right"/>
        <w:rPr>
          <w:sz w:val="20"/>
          <w:szCs w:val="20"/>
          <w:lang w:eastAsia="es-PE"/>
        </w:rPr>
      </w:pPr>
      <w:r w:rsidRPr="009B53A7">
        <w:rPr>
          <w:sz w:val="20"/>
          <w:szCs w:val="20"/>
          <w:lang w:eastAsia="es-PE"/>
        </w:rPr>
        <w:t>Artículo de investigación</w:t>
      </w:r>
    </w:p>
    <w:p w:rsidR="009B53A7" w:rsidRPr="009B53A7" w:rsidRDefault="009B53A7" w:rsidP="009B53A7">
      <w:pPr>
        <w:suppressAutoHyphens/>
        <w:spacing w:line="360" w:lineRule="auto"/>
        <w:ind w:hanging="1"/>
        <w:jc w:val="right"/>
        <w:rPr>
          <w:sz w:val="20"/>
          <w:szCs w:val="20"/>
          <w:lang w:eastAsia="es-PE"/>
        </w:rPr>
      </w:pPr>
    </w:p>
    <w:p w:rsidR="009B53A7" w:rsidRPr="009B53A7" w:rsidRDefault="009B53A7" w:rsidP="009B53A7">
      <w:pPr>
        <w:suppressAutoHyphens/>
        <w:spacing w:line="360" w:lineRule="auto"/>
        <w:ind w:hanging="1"/>
        <w:jc w:val="center"/>
        <w:rPr>
          <w:b/>
          <w:color w:val="000000"/>
          <w:sz w:val="28"/>
          <w:szCs w:val="28"/>
          <w:lang w:eastAsia="es-PE"/>
        </w:rPr>
      </w:pPr>
      <w:r w:rsidRPr="009B53A7">
        <w:rPr>
          <w:b/>
          <w:color w:val="000000"/>
          <w:sz w:val="28"/>
          <w:szCs w:val="28"/>
          <w:lang w:eastAsia="es-PE"/>
        </w:rPr>
        <w:t xml:space="preserve">Asociación entre hipoalbuminemia y toxicidad por quimioterapia en pacientes adultos mayores oncológicos </w:t>
      </w:r>
    </w:p>
    <w:p w:rsidR="009B53A7" w:rsidRPr="009B53A7" w:rsidRDefault="009B53A7" w:rsidP="009B53A7">
      <w:pPr>
        <w:suppressAutoHyphens/>
        <w:spacing w:line="360" w:lineRule="auto"/>
        <w:ind w:hanging="1"/>
        <w:jc w:val="center"/>
        <w:rPr>
          <w:bCs/>
          <w:color w:val="000000"/>
          <w:sz w:val="28"/>
          <w:szCs w:val="28"/>
          <w:lang w:val="en-US" w:eastAsia="es-PE"/>
        </w:rPr>
      </w:pPr>
      <w:r w:rsidRPr="009B53A7">
        <w:rPr>
          <w:bCs/>
          <w:color w:val="000000"/>
          <w:sz w:val="28"/>
          <w:szCs w:val="28"/>
          <w:lang w:val="en-US" w:eastAsia="es-PE"/>
        </w:rPr>
        <w:t xml:space="preserve">Association between </w:t>
      </w:r>
      <w:proofErr w:type="spellStart"/>
      <w:r w:rsidRPr="009B53A7">
        <w:rPr>
          <w:bCs/>
          <w:color w:val="000000"/>
          <w:sz w:val="28"/>
          <w:szCs w:val="28"/>
          <w:lang w:val="en-US" w:eastAsia="es-PE"/>
        </w:rPr>
        <w:t>hypoalbuminemia</w:t>
      </w:r>
      <w:proofErr w:type="spellEnd"/>
      <w:r w:rsidRPr="009B53A7">
        <w:rPr>
          <w:bCs/>
          <w:color w:val="000000"/>
          <w:sz w:val="28"/>
          <w:szCs w:val="28"/>
          <w:lang w:val="en-US" w:eastAsia="es-PE"/>
        </w:rPr>
        <w:t xml:space="preserve"> and toxicity by chemotherapy in elderly cancer patients </w:t>
      </w:r>
    </w:p>
    <w:p w:rsidR="009B53A7" w:rsidRPr="009B53A7" w:rsidRDefault="009B53A7" w:rsidP="009B53A7">
      <w:pPr>
        <w:suppressAutoHyphens/>
        <w:spacing w:line="360" w:lineRule="auto"/>
        <w:ind w:hanging="1"/>
        <w:rPr>
          <w:lang w:val="en-US" w:eastAsia="es-PE"/>
        </w:rPr>
      </w:pPr>
    </w:p>
    <w:p w:rsidR="009B53A7" w:rsidRPr="009B53A7" w:rsidRDefault="009B53A7" w:rsidP="009B53A7">
      <w:pPr>
        <w:suppressAutoHyphens/>
        <w:spacing w:line="360" w:lineRule="auto"/>
        <w:ind w:hanging="1"/>
        <w:rPr>
          <w:color w:val="0000FF"/>
          <w:u w:val="single"/>
          <w:lang w:val="es-419" w:eastAsia="es-PE"/>
        </w:rPr>
      </w:pPr>
      <w:r w:rsidRPr="009B53A7">
        <w:rPr>
          <w:lang w:eastAsia="es-PE"/>
        </w:rPr>
        <w:t>Valeria Prado</w:t>
      </w:r>
      <w:r w:rsidRPr="009B53A7">
        <w:rPr>
          <w:vertAlign w:val="superscript"/>
          <w:lang w:eastAsia="es-PE"/>
        </w:rPr>
        <w:t>1</w:t>
      </w:r>
      <w:r w:rsidRPr="009B53A7">
        <w:rPr>
          <w:lang w:eastAsia="es-PE"/>
        </w:rPr>
        <w:t xml:space="preserve"> </w:t>
      </w:r>
      <w:r w:rsidRPr="009B53A7">
        <w:rPr>
          <w:color w:val="0000FF"/>
          <w:u w:val="single"/>
          <w:lang w:eastAsia="es-PE"/>
        </w:rPr>
        <w:t>https://orcid.org/0000-0002-6044-9315</w:t>
      </w:r>
    </w:p>
    <w:p w:rsidR="009B53A7" w:rsidRPr="009B53A7" w:rsidRDefault="009B53A7" w:rsidP="009B53A7">
      <w:pPr>
        <w:suppressAutoHyphens/>
        <w:spacing w:line="360" w:lineRule="auto"/>
        <w:ind w:hanging="1"/>
        <w:rPr>
          <w:color w:val="0000FF"/>
          <w:u w:val="single"/>
          <w:lang w:eastAsia="es-PE"/>
        </w:rPr>
      </w:pPr>
      <w:proofErr w:type="spellStart"/>
      <w:r w:rsidRPr="009B53A7">
        <w:rPr>
          <w:lang w:eastAsia="es-PE"/>
        </w:rPr>
        <w:t>Giuliana</w:t>
      </w:r>
      <w:proofErr w:type="spellEnd"/>
      <w:r w:rsidRPr="009B53A7">
        <w:rPr>
          <w:lang w:eastAsia="es-PE"/>
        </w:rPr>
        <w:t xml:space="preserve"> Ramos</w:t>
      </w:r>
      <w:r w:rsidRPr="009B53A7">
        <w:rPr>
          <w:vertAlign w:val="superscript"/>
          <w:lang w:eastAsia="es-PE"/>
        </w:rPr>
        <w:t xml:space="preserve">1 </w:t>
      </w:r>
      <w:hyperlink r:id="rId7" w:history="1">
        <w:r w:rsidRPr="009B53A7">
          <w:rPr>
            <w:color w:val="0000FF"/>
            <w:u w:val="single"/>
            <w:lang w:eastAsia="es-PE"/>
          </w:rPr>
          <w:t>https://orcid.org/0000-0002-2875-0634</w:t>
        </w:r>
      </w:hyperlink>
    </w:p>
    <w:p w:rsidR="009B53A7" w:rsidRPr="009B53A7" w:rsidRDefault="009B53A7" w:rsidP="009B53A7">
      <w:pPr>
        <w:suppressAutoHyphens/>
        <w:spacing w:line="360" w:lineRule="auto"/>
        <w:ind w:hanging="1"/>
        <w:rPr>
          <w:color w:val="0000FF"/>
          <w:u w:val="single"/>
          <w:lang w:eastAsia="es-PE"/>
        </w:rPr>
      </w:pPr>
      <w:r w:rsidRPr="009B53A7">
        <w:rPr>
          <w:lang w:eastAsia="es-PE"/>
        </w:rPr>
        <w:t>Ricardo Alor</w:t>
      </w:r>
      <w:r w:rsidRPr="009B53A7">
        <w:rPr>
          <w:vertAlign w:val="superscript"/>
          <w:lang w:eastAsia="es-PE"/>
        </w:rPr>
        <w:t xml:space="preserve">1 </w:t>
      </w:r>
      <w:r w:rsidRPr="009B53A7">
        <w:rPr>
          <w:color w:val="0000FF"/>
          <w:u w:val="single"/>
          <w:lang w:eastAsia="es-PE"/>
        </w:rPr>
        <w:t>https://orcid.org/0000-0001-8694-7665</w:t>
      </w:r>
    </w:p>
    <w:p w:rsidR="009B53A7" w:rsidRPr="009B53A7" w:rsidRDefault="009B53A7" w:rsidP="009B53A7">
      <w:pPr>
        <w:suppressAutoHyphens/>
        <w:spacing w:line="360" w:lineRule="auto"/>
        <w:ind w:hanging="1"/>
        <w:rPr>
          <w:color w:val="0000FF"/>
          <w:u w:val="single"/>
          <w:lang w:eastAsia="es-PE"/>
        </w:rPr>
      </w:pPr>
      <w:r w:rsidRPr="009B53A7">
        <w:rPr>
          <w:lang w:eastAsia="es-PE"/>
        </w:rPr>
        <w:t>Laura Cervantes</w:t>
      </w:r>
      <w:r w:rsidRPr="009B53A7">
        <w:rPr>
          <w:vertAlign w:val="superscript"/>
          <w:lang w:eastAsia="es-PE"/>
        </w:rPr>
        <w:t>1</w:t>
      </w:r>
      <w:r w:rsidRPr="009B53A7">
        <w:rPr>
          <w:lang w:eastAsia="es-PE"/>
        </w:rPr>
        <w:t xml:space="preserve"> </w:t>
      </w:r>
      <w:r w:rsidRPr="009B53A7">
        <w:rPr>
          <w:color w:val="0000FF"/>
          <w:u w:val="single"/>
          <w:lang w:eastAsia="es-PE"/>
        </w:rPr>
        <w:t>https://orcid.org/0000-0001-7285-0969</w:t>
      </w:r>
    </w:p>
    <w:p w:rsidR="009B53A7" w:rsidRPr="009B53A7" w:rsidRDefault="009B53A7" w:rsidP="009B53A7">
      <w:pPr>
        <w:suppressAutoHyphens/>
        <w:spacing w:line="360" w:lineRule="auto"/>
        <w:ind w:hanging="1"/>
        <w:rPr>
          <w:color w:val="0000FF"/>
          <w:u w:val="single"/>
          <w:lang w:eastAsia="es-PE"/>
        </w:rPr>
      </w:pPr>
      <w:r w:rsidRPr="009B53A7">
        <w:rPr>
          <w:lang w:val="es-ES" w:eastAsia="es-PE"/>
        </w:rPr>
        <w:t xml:space="preserve">Carlos D. </w:t>
      </w:r>
      <w:proofErr w:type="spellStart"/>
      <w:r w:rsidRPr="009B53A7">
        <w:rPr>
          <w:lang w:val="es-ES" w:eastAsia="es-PE"/>
        </w:rPr>
        <w:t>Neyra</w:t>
      </w:r>
      <w:proofErr w:type="spellEnd"/>
      <w:r w:rsidRPr="009B53A7">
        <w:rPr>
          <w:lang w:val="es-ES" w:eastAsia="es-PE"/>
        </w:rPr>
        <w:t>-Rivera</w:t>
      </w:r>
      <w:r w:rsidRPr="009B53A7">
        <w:rPr>
          <w:vertAlign w:val="superscript"/>
          <w:lang w:eastAsia="es-PE"/>
        </w:rPr>
        <w:t>2</w:t>
      </w:r>
      <w:r w:rsidRPr="009B53A7">
        <w:rPr>
          <w:lang w:eastAsia="es-PE"/>
        </w:rPr>
        <w:t xml:space="preserve"> </w:t>
      </w:r>
      <w:hyperlink r:id="rId8" w:history="1">
        <w:r w:rsidRPr="009B53A7">
          <w:rPr>
            <w:color w:val="0000FF"/>
            <w:u w:val="single"/>
            <w:lang w:eastAsia="es-PE"/>
          </w:rPr>
          <w:t>https://orcid.org/</w:t>
        </w:r>
      </w:hyperlink>
      <w:r w:rsidRPr="009B53A7">
        <w:rPr>
          <w:color w:val="0000FF"/>
          <w:u w:val="single"/>
          <w:lang w:eastAsia="es-PE"/>
        </w:rPr>
        <w:t>0000-0003-1594-4947</w:t>
      </w:r>
    </w:p>
    <w:p w:rsidR="009B53A7" w:rsidRPr="009B53A7" w:rsidRDefault="009B53A7" w:rsidP="009B53A7">
      <w:pPr>
        <w:suppressAutoHyphens/>
        <w:spacing w:line="360" w:lineRule="auto"/>
        <w:ind w:hanging="1"/>
        <w:rPr>
          <w:color w:val="000000"/>
          <w:u w:val="single"/>
          <w:lang w:eastAsia="es-PE"/>
        </w:rPr>
      </w:pPr>
      <w:proofErr w:type="spellStart"/>
      <w:r w:rsidRPr="009B53A7">
        <w:rPr>
          <w:lang w:eastAsia="es-PE"/>
        </w:rPr>
        <w:t>Ericson</w:t>
      </w:r>
      <w:proofErr w:type="spellEnd"/>
      <w:r w:rsidRPr="009B53A7">
        <w:rPr>
          <w:lang w:eastAsia="es-PE"/>
        </w:rPr>
        <w:t xml:space="preserve"> L. Gutiérrez</w:t>
      </w:r>
      <w:r w:rsidRPr="009B53A7">
        <w:rPr>
          <w:vertAlign w:val="superscript"/>
          <w:lang w:eastAsia="es-PE"/>
        </w:rPr>
        <w:t>3</w:t>
      </w:r>
      <w:r w:rsidRPr="009B53A7">
        <w:rPr>
          <w:lang w:eastAsia="es-PE"/>
        </w:rPr>
        <w:t xml:space="preserve">* </w:t>
      </w:r>
      <w:r w:rsidRPr="009B53A7">
        <w:rPr>
          <w:color w:val="0000FF"/>
          <w:u w:val="single"/>
          <w:lang w:eastAsia="es-PE"/>
        </w:rPr>
        <w:t>https://orcid.org/0000-0002-0336-0584</w:t>
      </w:r>
    </w:p>
    <w:p w:rsidR="009B53A7" w:rsidRPr="009B53A7" w:rsidRDefault="009B53A7" w:rsidP="009B53A7">
      <w:pPr>
        <w:suppressAutoHyphens/>
        <w:spacing w:line="360" w:lineRule="auto"/>
        <w:ind w:hanging="1"/>
        <w:rPr>
          <w:color w:val="000000"/>
          <w:lang w:eastAsia="es-PE"/>
        </w:rPr>
      </w:pPr>
      <w:r w:rsidRPr="009B53A7">
        <w:rPr>
          <w:lang w:eastAsia="es-PE"/>
        </w:rPr>
        <w:t>Fernando M. Runzer-Colmenares</w:t>
      </w:r>
      <w:r w:rsidRPr="009B53A7">
        <w:rPr>
          <w:vertAlign w:val="superscript"/>
          <w:lang w:eastAsia="es-PE"/>
        </w:rPr>
        <w:t>4</w:t>
      </w:r>
      <w:proofErr w:type="gramStart"/>
      <w:r w:rsidRPr="009B53A7">
        <w:rPr>
          <w:vertAlign w:val="superscript"/>
          <w:lang w:eastAsia="es-PE"/>
        </w:rPr>
        <w:t>,5</w:t>
      </w:r>
      <w:proofErr w:type="gramEnd"/>
      <w:r w:rsidRPr="009B53A7">
        <w:rPr>
          <w:lang w:eastAsia="es-PE"/>
        </w:rPr>
        <w:t xml:space="preserve"> </w:t>
      </w:r>
      <w:r w:rsidRPr="009B53A7">
        <w:rPr>
          <w:color w:val="0000FF"/>
          <w:u w:val="single"/>
          <w:lang w:eastAsia="es-PE"/>
        </w:rPr>
        <w:t>https://orcid.org/0000-0003-4045-0260</w:t>
      </w:r>
    </w:p>
    <w:p w:rsidR="009B53A7" w:rsidRPr="009B53A7" w:rsidRDefault="009B53A7" w:rsidP="009B53A7">
      <w:pPr>
        <w:suppressAutoHyphens/>
        <w:spacing w:line="360" w:lineRule="auto"/>
        <w:ind w:hanging="1"/>
        <w:rPr>
          <w:lang w:eastAsia="es-PE"/>
        </w:rPr>
      </w:pPr>
      <w:r w:rsidRPr="009B53A7">
        <w:rPr>
          <w:lang w:eastAsia="es-PE"/>
        </w:rPr>
        <w:t>José F. Parodi</w:t>
      </w:r>
      <w:r w:rsidRPr="009B53A7">
        <w:rPr>
          <w:vertAlign w:val="superscript"/>
          <w:lang w:eastAsia="es-PE"/>
        </w:rPr>
        <w:t>5</w:t>
      </w:r>
      <w:r w:rsidRPr="009B53A7">
        <w:rPr>
          <w:lang w:eastAsia="es-PE"/>
        </w:rPr>
        <w:t xml:space="preserve"> </w:t>
      </w:r>
      <w:hyperlink r:id="rId9" w:history="1">
        <w:r w:rsidRPr="009B53A7">
          <w:rPr>
            <w:color w:val="0000FF"/>
            <w:u w:val="single"/>
            <w:lang w:eastAsia="es-PE"/>
          </w:rPr>
          <w:t>https://orcid.org/0000-0002-1815-8741</w:t>
        </w:r>
      </w:hyperlink>
    </w:p>
    <w:p w:rsidR="009B53A7" w:rsidRPr="009B53A7" w:rsidRDefault="009B53A7" w:rsidP="009B53A7">
      <w:pPr>
        <w:suppressAutoHyphens/>
        <w:spacing w:line="360" w:lineRule="auto"/>
        <w:ind w:hanging="1"/>
        <w:rPr>
          <w:lang w:eastAsia="es-PE"/>
        </w:rPr>
      </w:pPr>
    </w:p>
    <w:p w:rsidR="009B53A7" w:rsidRPr="009B53A7" w:rsidRDefault="009B53A7" w:rsidP="009B53A7">
      <w:pPr>
        <w:suppressAutoHyphens/>
        <w:spacing w:line="360" w:lineRule="auto"/>
        <w:ind w:hanging="1"/>
        <w:rPr>
          <w:lang w:eastAsia="es-PE"/>
        </w:rPr>
      </w:pPr>
      <w:r w:rsidRPr="009B53A7">
        <w:rPr>
          <w:vertAlign w:val="superscript"/>
          <w:lang w:eastAsia="es-PE"/>
        </w:rPr>
        <w:t>1</w:t>
      </w:r>
      <w:r w:rsidRPr="009B53A7">
        <w:rPr>
          <w:lang w:eastAsia="es-PE"/>
        </w:rPr>
        <w:t>Universidad de San Martín de Porres. Facultad de Medicina Humana. Lima, Perú.</w:t>
      </w:r>
    </w:p>
    <w:p w:rsidR="009B53A7" w:rsidRPr="009B53A7" w:rsidRDefault="009B53A7" w:rsidP="009B53A7">
      <w:pPr>
        <w:suppressAutoHyphens/>
        <w:spacing w:line="360" w:lineRule="auto"/>
        <w:ind w:hanging="1"/>
        <w:rPr>
          <w:lang w:eastAsia="es-PE"/>
        </w:rPr>
      </w:pPr>
      <w:r w:rsidRPr="009B53A7">
        <w:rPr>
          <w:vertAlign w:val="superscript"/>
          <w:lang w:val="es-ES" w:eastAsia="es-PE"/>
        </w:rPr>
        <w:t>2</w:t>
      </w:r>
      <w:r w:rsidRPr="009B53A7">
        <w:rPr>
          <w:lang w:val="es-ES" w:eastAsia="es-PE"/>
        </w:rPr>
        <w:t>Universidad Privada Peruano Alemana. Lima, Perú.</w:t>
      </w:r>
    </w:p>
    <w:p w:rsidR="009B53A7" w:rsidRPr="009B53A7" w:rsidRDefault="009B53A7" w:rsidP="009B53A7">
      <w:pPr>
        <w:suppressAutoHyphens/>
        <w:spacing w:line="360" w:lineRule="auto"/>
        <w:ind w:hanging="1"/>
        <w:rPr>
          <w:lang w:eastAsia="es-PE"/>
        </w:rPr>
      </w:pPr>
      <w:r w:rsidRPr="009B53A7">
        <w:rPr>
          <w:vertAlign w:val="superscript"/>
          <w:lang w:eastAsia="es-PE"/>
        </w:rPr>
        <w:t>3</w:t>
      </w:r>
      <w:r w:rsidRPr="009B53A7">
        <w:rPr>
          <w:lang w:eastAsia="es-PE"/>
        </w:rPr>
        <w:t>Universidad San Ignacio de Loyola. Unidad de Investigación para la Generación y Síntesis de Evidencias en Salud. Lima, Perú.</w:t>
      </w:r>
    </w:p>
    <w:p w:rsidR="009B53A7" w:rsidRPr="009B53A7" w:rsidRDefault="009B53A7" w:rsidP="009B53A7">
      <w:pPr>
        <w:suppressAutoHyphens/>
        <w:spacing w:line="360" w:lineRule="auto"/>
        <w:ind w:hanging="1"/>
        <w:rPr>
          <w:lang w:eastAsia="es-PE"/>
        </w:rPr>
      </w:pPr>
      <w:r w:rsidRPr="009B53A7">
        <w:rPr>
          <w:vertAlign w:val="superscript"/>
          <w:lang w:eastAsia="es-PE"/>
        </w:rPr>
        <w:t>4</w:t>
      </w:r>
      <w:r w:rsidRPr="009B53A7">
        <w:rPr>
          <w:lang w:eastAsia="es-PE"/>
        </w:rPr>
        <w:t xml:space="preserve">Universidad Científica del Sur. Facultad de Ciencias de la Salud. CHANGE </w:t>
      </w:r>
      <w:proofErr w:type="spellStart"/>
      <w:r w:rsidRPr="009B53A7">
        <w:rPr>
          <w:lang w:eastAsia="es-PE"/>
        </w:rPr>
        <w:t>Research</w:t>
      </w:r>
      <w:proofErr w:type="spellEnd"/>
      <w:r w:rsidRPr="009B53A7">
        <w:rPr>
          <w:lang w:eastAsia="es-PE"/>
        </w:rPr>
        <w:t xml:space="preserve"> </w:t>
      </w:r>
      <w:proofErr w:type="spellStart"/>
      <w:r w:rsidRPr="009B53A7">
        <w:rPr>
          <w:lang w:eastAsia="es-PE"/>
        </w:rPr>
        <w:t>Working</w:t>
      </w:r>
      <w:proofErr w:type="spellEnd"/>
      <w:r w:rsidRPr="009B53A7">
        <w:rPr>
          <w:lang w:eastAsia="es-PE"/>
        </w:rPr>
        <w:t xml:space="preserve"> </w:t>
      </w:r>
      <w:proofErr w:type="spellStart"/>
      <w:r w:rsidRPr="009B53A7">
        <w:rPr>
          <w:lang w:eastAsia="es-PE"/>
        </w:rPr>
        <w:t>Group</w:t>
      </w:r>
      <w:proofErr w:type="spellEnd"/>
      <w:r w:rsidRPr="009B53A7">
        <w:rPr>
          <w:lang w:eastAsia="es-PE"/>
        </w:rPr>
        <w:t>. Lima, Perú.</w:t>
      </w:r>
    </w:p>
    <w:p w:rsidR="009B53A7" w:rsidRPr="009B53A7" w:rsidRDefault="009B53A7" w:rsidP="009B53A7">
      <w:pPr>
        <w:suppressAutoHyphens/>
        <w:spacing w:line="360" w:lineRule="auto"/>
        <w:ind w:hanging="1"/>
        <w:rPr>
          <w:lang w:eastAsia="es-PE"/>
        </w:rPr>
      </w:pPr>
      <w:r w:rsidRPr="009B53A7">
        <w:rPr>
          <w:vertAlign w:val="superscript"/>
          <w:lang w:eastAsia="es-PE"/>
        </w:rPr>
        <w:t>5</w:t>
      </w:r>
      <w:r w:rsidRPr="009B53A7">
        <w:rPr>
          <w:lang w:eastAsia="es-PE"/>
        </w:rPr>
        <w:t>Universidad de San Martín de Porres. Facultad de Medicina. Centro de Investigación del Envejecimiento (CIEN). Lima, Perú.</w:t>
      </w:r>
    </w:p>
    <w:p w:rsidR="009B53A7" w:rsidRPr="009B53A7" w:rsidRDefault="009B53A7" w:rsidP="009B53A7">
      <w:pPr>
        <w:suppressAutoHyphens/>
        <w:spacing w:line="360" w:lineRule="auto"/>
        <w:ind w:hanging="1"/>
        <w:rPr>
          <w:lang w:eastAsia="es-PE"/>
        </w:rPr>
      </w:pPr>
    </w:p>
    <w:p w:rsidR="009B53A7" w:rsidRPr="009B53A7" w:rsidRDefault="009B53A7" w:rsidP="009B53A7">
      <w:pPr>
        <w:suppressAutoHyphens/>
        <w:spacing w:line="360" w:lineRule="auto"/>
        <w:ind w:hanging="1"/>
        <w:rPr>
          <w:lang w:eastAsia="es-PE"/>
        </w:rPr>
      </w:pPr>
      <w:r w:rsidRPr="009B53A7">
        <w:rPr>
          <w:lang w:eastAsia="es-PE"/>
        </w:rPr>
        <w:t xml:space="preserve">*Autor para la correspondencia. Correo electrónico: </w:t>
      </w:r>
      <w:r w:rsidRPr="009B53A7">
        <w:rPr>
          <w:color w:val="0000FF"/>
          <w:u w:val="single"/>
          <w:lang w:eastAsia="es-PE"/>
        </w:rPr>
        <w:t>eringunza@yahoo.es</w:t>
      </w:r>
      <w:r w:rsidRPr="009B53A7">
        <w:rPr>
          <w:lang w:eastAsia="es-PE"/>
        </w:rPr>
        <w:t xml:space="preserve"> </w:t>
      </w:r>
    </w:p>
    <w:p w:rsidR="009B53A7" w:rsidRPr="009B53A7" w:rsidRDefault="009B53A7" w:rsidP="009B53A7">
      <w:pPr>
        <w:suppressAutoHyphens/>
        <w:spacing w:line="360" w:lineRule="auto"/>
        <w:ind w:hanging="2"/>
        <w:rPr>
          <w:sz w:val="22"/>
          <w:szCs w:val="22"/>
          <w:highlight w:val="yellow"/>
          <w:lang w:eastAsia="es-PE"/>
        </w:rPr>
      </w:pPr>
    </w:p>
    <w:p w:rsidR="009B53A7" w:rsidRDefault="009B53A7">
      <w:pPr>
        <w:rPr>
          <w:b/>
          <w:lang w:eastAsia="es-PE"/>
        </w:rPr>
      </w:pPr>
      <w:r>
        <w:rPr>
          <w:b/>
          <w:lang w:eastAsia="es-PE"/>
        </w:rPr>
        <w:br w:type="page"/>
      </w:r>
    </w:p>
    <w:p w:rsidR="009B53A7" w:rsidRPr="009B53A7" w:rsidRDefault="009B53A7" w:rsidP="009B53A7">
      <w:pPr>
        <w:suppressAutoHyphens/>
        <w:spacing w:line="360" w:lineRule="auto"/>
        <w:ind w:hanging="2"/>
        <w:rPr>
          <w:lang w:eastAsia="es-PE"/>
        </w:rPr>
      </w:pPr>
      <w:r w:rsidRPr="009B53A7">
        <w:rPr>
          <w:b/>
          <w:lang w:eastAsia="es-PE"/>
        </w:rPr>
        <w:lastRenderedPageBreak/>
        <w:t>RESUMEN</w:t>
      </w:r>
    </w:p>
    <w:p w:rsidR="009B53A7" w:rsidRPr="009B53A7" w:rsidRDefault="009B53A7" w:rsidP="009B53A7">
      <w:pPr>
        <w:suppressAutoHyphens/>
        <w:spacing w:line="360" w:lineRule="auto"/>
        <w:ind w:hanging="2"/>
        <w:jc w:val="both"/>
        <w:rPr>
          <w:lang w:eastAsia="es-PE"/>
        </w:rPr>
      </w:pPr>
      <w:r w:rsidRPr="009B53A7">
        <w:rPr>
          <w:b/>
          <w:lang w:eastAsia="es-PE"/>
        </w:rPr>
        <w:t>Introducción</w:t>
      </w:r>
      <w:r w:rsidRPr="009B53A7">
        <w:rPr>
          <w:b/>
          <w:color w:val="000000"/>
          <w:lang w:eastAsia="es-PE"/>
        </w:rPr>
        <w:t xml:space="preserve">: </w:t>
      </w:r>
      <w:bookmarkStart w:id="0" w:name="_Hlk59883823"/>
      <w:r w:rsidRPr="009B53A7">
        <w:rPr>
          <w:bCs/>
          <w:lang w:eastAsia="es-PE"/>
        </w:rPr>
        <w:t xml:space="preserve">El riesgo de mortalidad en pacientes adultos mayores con cáncer y </w:t>
      </w:r>
      <w:r w:rsidRPr="009B53A7">
        <w:rPr>
          <w:lang w:eastAsia="es-PE"/>
        </w:rPr>
        <w:t>el tiempo de estancia hospitalaria</w:t>
      </w:r>
      <w:r w:rsidRPr="009B53A7">
        <w:rPr>
          <w:bCs/>
          <w:lang w:eastAsia="es-PE"/>
        </w:rPr>
        <w:t xml:space="preserve"> se incrementan debido a una </w:t>
      </w:r>
      <w:r w:rsidRPr="009B53A7">
        <w:rPr>
          <w:lang w:eastAsia="es-PE"/>
        </w:rPr>
        <w:t>concentración de albúmina inferior a 3,5 g/</w:t>
      </w:r>
      <w:proofErr w:type="spellStart"/>
      <w:r w:rsidRPr="009B53A7">
        <w:rPr>
          <w:lang w:eastAsia="es-PE"/>
        </w:rPr>
        <w:t>dL</w:t>
      </w:r>
      <w:proofErr w:type="spellEnd"/>
      <w:r w:rsidRPr="009B53A7">
        <w:rPr>
          <w:lang w:eastAsia="es-PE"/>
        </w:rPr>
        <w:t>.</w:t>
      </w:r>
      <w:bookmarkEnd w:id="0"/>
    </w:p>
    <w:p w:rsidR="009B53A7" w:rsidRPr="009B53A7" w:rsidRDefault="009B53A7" w:rsidP="009B53A7">
      <w:pPr>
        <w:suppressAutoHyphens/>
        <w:spacing w:line="360" w:lineRule="auto"/>
        <w:ind w:hanging="2"/>
        <w:jc w:val="both"/>
        <w:rPr>
          <w:lang w:eastAsia="es-PE"/>
        </w:rPr>
      </w:pPr>
      <w:r w:rsidRPr="009B53A7">
        <w:rPr>
          <w:b/>
          <w:lang w:eastAsia="es-PE"/>
        </w:rPr>
        <w:t>Objetivo:</w:t>
      </w:r>
      <w:r w:rsidRPr="009B53A7">
        <w:rPr>
          <w:lang w:eastAsia="es-PE"/>
        </w:rPr>
        <w:t xml:space="preserve"> Determinar la asociación entre hipoalbuminemia y toxicidad por quimioterapia en pacientes oncológicos adultos mayores. </w:t>
      </w:r>
    </w:p>
    <w:p w:rsidR="009B53A7" w:rsidRPr="009B53A7" w:rsidRDefault="009B53A7" w:rsidP="009B53A7">
      <w:pPr>
        <w:suppressAutoHyphens/>
        <w:spacing w:line="360" w:lineRule="auto"/>
        <w:ind w:hanging="2"/>
        <w:jc w:val="both"/>
        <w:rPr>
          <w:lang w:eastAsia="es-PE"/>
        </w:rPr>
      </w:pPr>
      <w:r w:rsidRPr="009B53A7">
        <w:rPr>
          <w:b/>
          <w:lang w:eastAsia="es-PE"/>
        </w:rPr>
        <w:t>Métodos:</w:t>
      </w:r>
      <w:r w:rsidRPr="009B53A7">
        <w:rPr>
          <w:lang w:eastAsia="es-PE"/>
        </w:rPr>
        <w:t xml:space="preserve"> Estudio observacional, transversal, realizado en 192 pacientes ambulatorios del Centro Médico Naval del Callao, Perú, varones, mayores de 60 años. Se evaluaron los efectos adversos a la quimioterapia y los factores asociados, entre los años 2013 y 2015. Se crearon modelos de regresión de Cox crudos y ajustados para determinar la asociación </w:t>
      </w:r>
      <w:r w:rsidRPr="009B53A7">
        <w:rPr>
          <w:lang w:val="es-PE" w:eastAsia="es-PE"/>
        </w:rPr>
        <w:t>entre</w:t>
      </w:r>
      <w:r w:rsidRPr="009B53A7">
        <w:rPr>
          <w:lang w:eastAsia="es-PE"/>
        </w:rPr>
        <w:t xml:space="preserve"> hipoalbuminemia y el desarrollo de toxicidad a </w:t>
      </w:r>
      <w:proofErr w:type="spellStart"/>
      <w:r w:rsidRPr="009B53A7">
        <w:rPr>
          <w:lang w:eastAsia="es-PE"/>
        </w:rPr>
        <w:t>quimioterápicos</w:t>
      </w:r>
      <w:proofErr w:type="spellEnd"/>
      <w:r w:rsidRPr="009B53A7">
        <w:rPr>
          <w:lang w:eastAsia="es-PE"/>
        </w:rPr>
        <w:t>.</w:t>
      </w:r>
    </w:p>
    <w:p w:rsidR="009B53A7" w:rsidRPr="009B53A7" w:rsidRDefault="009B53A7" w:rsidP="009B53A7">
      <w:pPr>
        <w:suppressAutoHyphens/>
        <w:spacing w:line="360" w:lineRule="auto"/>
        <w:jc w:val="both"/>
        <w:rPr>
          <w:lang w:eastAsia="es-PE"/>
        </w:rPr>
      </w:pPr>
      <w:r w:rsidRPr="009B53A7">
        <w:rPr>
          <w:b/>
          <w:lang w:eastAsia="es-PE"/>
        </w:rPr>
        <w:t xml:space="preserve">Resultados: </w:t>
      </w:r>
      <w:r w:rsidRPr="009B53A7">
        <w:rPr>
          <w:lang w:val="es-PE" w:eastAsia="es-PE"/>
        </w:rPr>
        <w:t>Se encontró asociación entre hipoalbuminemia (HR= 1,03; IC95 %: 1,01-1,04), edad (HR= 1,02; IC95 %: 1,01-1,04), malnutrición (HR= 1,1; IC95 %: 1,05-1,21), diabetes mellitus (HR= 1,05; IC95 %: 1,00-1,12), porcentaje de grasa corporal (HR= 0,97; IC95 %: 0,92 – 0,99) y la toxicidad por quimioterapia.</w:t>
      </w:r>
    </w:p>
    <w:p w:rsidR="009B53A7" w:rsidRPr="009B53A7" w:rsidRDefault="009B53A7" w:rsidP="009B53A7">
      <w:pPr>
        <w:suppressAutoHyphens/>
        <w:spacing w:line="360" w:lineRule="auto"/>
        <w:ind w:hanging="2"/>
        <w:jc w:val="both"/>
        <w:rPr>
          <w:lang w:eastAsia="es-PE"/>
        </w:rPr>
      </w:pPr>
      <w:r w:rsidRPr="009B53A7">
        <w:rPr>
          <w:b/>
          <w:lang w:eastAsia="es-PE"/>
        </w:rPr>
        <w:t>Conclusiones:</w:t>
      </w:r>
      <w:r w:rsidRPr="009B53A7">
        <w:rPr>
          <w:lang w:eastAsia="es-PE"/>
        </w:rPr>
        <w:t xml:space="preserve"> En los pacientes adultos mayores oncológicos del Centro Médico Naval, se encuentra asociación significativa entre hipoalbuminemia y toxicidad por quimioterapia.</w:t>
      </w:r>
    </w:p>
    <w:p w:rsidR="009B53A7" w:rsidRPr="009B53A7" w:rsidRDefault="009B53A7" w:rsidP="009B53A7">
      <w:pPr>
        <w:suppressAutoHyphens/>
        <w:spacing w:line="360" w:lineRule="auto"/>
        <w:jc w:val="both"/>
        <w:rPr>
          <w:color w:val="000000"/>
          <w:lang w:eastAsia="es-PE"/>
        </w:rPr>
      </w:pPr>
      <w:r w:rsidRPr="009B53A7">
        <w:rPr>
          <w:b/>
          <w:color w:val="000000"/>
          <w:lang w:eastAsia="es-PE"/>
        </w:rPr>
        <w:t>Palabras clave</w:t>
      </w:r>
      <w:r w:rsidRPr="009B53A7">
        <w:rPr>
          <w:color w:val="000000"/>
          <w:lang w:eastAsia="es-PE"/>
        </w:rPr>
        <w:t xml:space="preserve">: </w:t>
      </w:r>
      <w:r w:rsidRPr="009B53A7">
        <w:rPr>
          <w:lang w:eastAsia="es-PE"/>
        </w:rPr>
        <w:t xml:space="preserve">anciano; ancianos dependientes; anciano frágil; neoplasias; </w:t>
      </w:r>
      <w:bookmarkStart w:id="1" w:name="_Hlk117771446"/>
      <w:r w:rsidRPr="009B53A7">
        <w:rPr>
          <w:lang w:eastAsia="es-PE"/>
        </w:rPr>
        <w:t>efectos colaterales y reacciones adversas relacionados con medicamentos</w:t>
      </w:r>
      <w:bookmarkEnd w:id="1"/>
      <w:r w:rsidRPr="009B53A7">
        <w:rPr>
          <w:lang w:eastAsia="es-PE"/>
        </w:rPr>
        <w:t>.</w:t>
      </w:r>
    </w:p>
    <w:p w:rsidR="009B53A7" w:rsidRPr="009B53A7" w:rsidRDefault="009B53A7" w:rsidP="009B53A7">
      <w:pPr>
        <w:suppressAutoHyphens/>
        <w:spacing w:line="360" w:lineRule="auto"/>
        <w:jc w:val="both"/>
        <w:rPr>
          <w:b/>
          <w:color w:val="000000"/>
          <w:shd w:val="clear" w:color="auto" w:fill="FFFF00"/>
          <w:lang w:eastAsia="es-PE"/>
        </w:rPr>
      </w:pPr>
    </w:p>
    <w:p w:rsidR="009B53A7" w:rsidRPr="009B53A7" w:rsidRDefault="009B53A7" w:rsidP="009B53A7">
      <w:pPr>
        <w:suppressAutoHyphens/>
        <w:spacing w:line="360" w:lineRule="auto"/>
        <w:jc w:val="both"/>
        <w:rPr>
          <w:b/>
          <w:bCs/>
          <w:color w:val="000000"/>
          <w:lang w:val="en-US" w:eastAsia="es-PE"/>
        </w:rPr>
      </w:pPr>
      <w:r w:rsidRPr="009B53A7">
        <w:rPr>
          <w:b/>
          <w:bCs/>
          <w:color w:val="000000"/>
          <w:lang w:val="en-US" w:eastAsia="es-PE"/>
        </w:rPr>
        <w:t>ABSTRACT</w:t>
      </w:r>
    </w:p>
    <w:p w:rsidR="009B53A7" w:rsidRPr="009B53A7" w:rsidRDefault="009B53A7" w:rsidP="009B53A7">
      <w:pPr>
        <w:suppressAutoHyphens/>
        <w:spacing w:line="360" w:lineRule="auto"/>
        <w:ind w:hanging="2"/>
        <w:jc w:val="both"/>
        <w:rPr>
          <w:bCs/>
          <w:lang w:val="en-US" w:eastAsia="es-PE"/>
        </w:rPr>
      </w:pPr>
      <w:r w:rsidRPr="009B53A7">
        <w:rPr>
          <w:b/>
          <w:bCs/>
          <w:lang w:val="en-US" w:eastAsia="es-PE"/>
        </w:rPr>
        <w:t xml:space="preserve">Introduction: </w:t>
      </w:r>
      <w:r w:rsidRPr="009B53A7">
        <w:rPr>
          <w:lang w:val="en-US" w:eastAsia="es-PE"/>
        </w:rPr>
        <w:t>The risk of mortality in elderly patients with cancer and the length of hospital stay are increased due to an albumin concentration lower than 3.5 g/</w:t>
      </w:r>
      <w:proofErr w:type="spellStart"/>
      <w:r w:rsidRPr="009B53A7">
        <w:rPr>
          <w:lang w:val="en-US" w:eastAsia="es-PE"/>
        </w:rPr>
        <w:t>dL</w:t>
      </w:r>
      <w:proofErr w:type="spellEnd"/>
      <w:r w:rsidRPr="009B53A7">
        <w:rPr>
          <w:lang w:val="en-US" w:eastAsia="es-PE"/>
        </w:rPr>
        <w:t>.</w:t>
      </w:r>
    </w:p>
    <w:p w:rsidR="009B53A7" w:rsidRPr="009B53A7" w:rsidRDefault="009B53A7" w:rsidP="009B53A7">
      <w:pPr>
        <w:suppressAutoHyphens/>
        <w:spacing w:line="360" w:lineRule="auto"/>
        <w:ind w:hanging="2"/>
        <w:jc w:val="both"/>
        <w:rPr>
          <w:strike/>
          <w:lang w:val="en-US" w:eastAsia="es-PE"/>
        </w:rPr>
      </w:pPr>
      <w:r w:rsidRPr="009B53A7">
        <w:rPr>
          <w:b/>
          <w:bCs/>
          <w:lang w:val="en-US" w:eastAsia="es-PE"/>
        </w:rPr>
        <w:t xml:space="preserve">Objective: </w:t>
      </w:r>
      <w:r w:rsidRPr="009B53A7">
        <w:rPr>
          <w:lang w:val="en-US" w:eastAsia="es-PE"/>
        </w:rPr>
        <w:t xml:space="preserve">To determine the association between </w:t>
      </w:r>
      <w:proofErr w:type="spellStart"/>
      <w:r w:rsidRPr="009B53A7">
        <w:rPr>
          <w:lang w:val="en-US" w:eastAsia="es-PE"/>
        </w:rPr>
        <w:t>hypoalbuminemia</w:t>
      </w:r>
      <w:proofErr w:type="spellEnd"/>
      <w:r w:rsidRPr="009B53A7">
        <w:rPr>
          <w:lang w:val="en-US" w:eastAsia="es-PE"/>
        </w:rPr>
        <w:t xml:space="preserve"> and chemotherapy toxicity in elderly oncological patients.</w:t>
      </w:r>
    </w:p>
    <w:p w:rsidR="009B53A7" w:rsidRPr="009B53A7" w:rsidRDefault="009B53A7" w:rsidP="009B53A7">
      <w:pPr>
        <w:suppressAutoHyphens/>
        <w:spacing w:line="360" w:lineRule="auto"/>
        <w:ind w:hanging="2"/>
        <w:jc w:val="both"/>
        <w:rPr>
          <w:bCs/>
          <w:lang w:val="en-US" w:eastAsia="es-PE"/>
        </w:rPr>
      </w:pPr>
      <w:r w:rsidRPr="009B53A7">
        <w:rPr>
          <w:b/>
          <w:bCs/>
          <w:lang w:val="en-US" w:eastAsia="es-PE"/>
        </w:rPr>
        <w:t>Methods:</w:t>
      </w:r>
      <w:r w:rsidRPr="009B53A7">
        <w:rPr>
          <w:bCs/>
          <w:lang w:val="en-US" w:eastAsia="es-PE"/>
        </w:rPr>
        <w:t xml:space="preserve"> C</w:t>
      </w:r>
      <w:r w:rsidRPr="009B53A7">
        <w:rPr>
          <w:lang w:val="en-US" w:eastAsia="es-PE"/>
        </w:rPr>
        <w:t>ross-sectional study</w:t>
      </w:r>
      <w:r w:rsidRPr="009B53A7">
        <w:rPr>
          <w:bCs/>
          <w:lang w:val="en-US" w:eastAsia="es-PE"/>
        </w:rPr>
        <w:t xml:space="preserve">, conducted in 192 outpatients of </w:t>
      </w:r>
      <w:r w:rsidRPr="009B53A7">
        <w:rPr>
          <w:lang w:val="en-US" w:eastAsia="es-PE"/>
        </w:rPr>
        <w:t xml:space="preserve">Centro </w:t>
      </w:r>
      <w:proofErr w:type="spellStart"/>
      <w:r w:rsidRPr="009B53A7">
        <w:rPr>
          <w:lang w:val="en-US" w:eastAsia="es-PE"/>
        </w:rPr>
        <w:t>Médico</w:t>
      </w:r>
      <w:proofErr w:type="spellEnd"/>
      <w:r w:rsidRPr="009B53A7">
        <w:rPr>
          <w:lang w:val="en-US" w:eastAsia="es-PE"/>
        </w:rPr>
        <w:t xml:space="preserve"> Naval del Callao, </w:t>
      </w:r>
      <w:proofErr w:type="spellStart"/>
      <w:r w:rsidRPr="009B53A7">
        <w:rPr>
          <w:lang w:val="en-US" w:eastAsia="es-PE"/>
        </w:rPr>
        <w:t>Perú</w:t>
      </w:r>
      <w:proofErr w:type="spellEnd"/>
      <w:r w:rsidRPr="009B53A7">
        <w:rPr>
          <w:bCs/>
          <w:lang w:val="en-US" w:eastAsia="es-PE"/>
        </w:rPr>
        <w:t xml:space="preserve">, males, older than 60 years old. Adverse effects to chemotherapy and associated factors were evaluated between 2013 and 2015. Crude and adjusted Cox regression models were created to determine the association between </w:t>
      </w:r>
      <w:proofErr w:type="spellStart"/>
      <w:r w:rsidRPr="009B53A7">
        <w:rPr>
          <w:bCs/>
          <w:lang w:val="en-US" w:eastAsia="es-PE"/>
        </w:rPr>
        <w:t>hypoalbuminemia</w:t>
      </w:r>
      <w:proofErr w:type="spellEnd"/>
      <w:r w:rsidRPr="009B53A7">
        <w:rPr>
          <w:bCs/>
          <w:lang w:val="en-US" w:eastAsia="es-PE"/>
        </w:rPr>
        <w:t xml:space="preserve"> and the development of chemotherapy toxicity.</w:t>
      </w:r>
    </w:p>
    <w:p w:rsidR="009B53A7" w:rsidRPr="009B53A7" w:rsidRDefault="009B53A7" w:rsidP="009B53A7">
      <w:pPr>
        <w:suppressAutoHyphens/>
        <w:spacing w:line="360" w:lineRule="auto"/>
        <w:jc w:val="both"/>
        <w:rPr>
          <w:lang w:val="en-US" w:eastAsia="es-PE"/>
        </w:rPr>
      </w:pPr>
      <w:r w:rsidRPr="009B53A7">
        <w:rPr>
          <w:b/>
          <w:bCs/>
          <w:lang w:val="en-US" w:eastAsia="es-PE"/>
        </w:rPr>
        <w:lastRenderedPageBreak/>
        <w:t xml:space="preserve">Results: </w:t>
      </w:r>
      <w:r w:rsidRPr="009B53A7">
        <w:rPr>
          <w:lang w:val="en-US" w:eastAsia="es-PE"/>
        </w:rPr>
        <w:t xml:space="preserve">Association was found between </w:t>
      </w:r>
      <w:proofErr w:type="spellStart"/>
      <w:r w:rsidRPr="009B53A7">
        <w:rPr>
          <w:lang w:val="en-US" w:eastAsia="es-PE"/>
        </w:rPr>
        <w:t>hypoalbuminemia</w:t>
      </w:r>
      <w:proofErr w:type="spellEnd"/>
      <w:r w:rsidRPr="009B53A7">
        <w:rPr>
          <w:lang w:val="en-US" w:eastAsia="es-PE"/>
        </w:rPr>
        <w:t xml:space="preserve"> (HR= 1.03; 95% CI: 1.01-1.04), age (HR= 1.02; 95% CI: 1.01-1.04), malnutrition (HR= 1.1; 95% CI: 1.05-1.21), diabetes mellitus (HR= 1.05; 95% CI: 1.00-1.12), body fat percentage (HR= 0.97; 95% CI: 0.92 - 0.99) and chemotherapy toxicity.</w:t>
      </w:r>
    </w:p>
    <w:p w:rsidR="009B53A7" w:rsidRPr="009B53A7" w:rsidRDefault="009B53A7" w:rsidP="009B53A7">
      <w:pPr>
        <w:suppressAutoHyphens/>
        <w:spacing w:line="360" w:lineRule="auto"/>
        <w:ind w:hanging="2"/>
        <w:jc w:val="both"/>
        <w:rPr>
          <w:lang w:val="en-US" w:eastAsia="es-PE"/>
        </w:rPr>
      </w:pPr>
      <w:r w:rsidRPr="009B53A7">
        <w:rPr>
          <w:b/>
          <w:bCs/>
          <w:lang w:val="en-US" w:eastAsia="es-PE"/>
        </w:rPr>
        <w:t xml:space="preserve">Conclusions: </w:t>
      </w:r>
      <w:r w:rsidRPr="009B53A7">
        <w:rPr>
          <w:lang w:val="en-US" w:eastAsia="es-PE"/>
        </w:rPr>
        <w:t xml:space="preserve"> In elderly oncology patients at Centro </w:t>
      </w:r>
      <w:proofErr w:type="spellStart"/>
      <w:r w:rsidRPr="009B53A7">
        <w:rPr>
          <w:lang w:val="en-US" w:eastAsia="es-PE"/>
        </w:rPr>
        <w:t>Médico</w:t>
      </w:r>
      <w:proofErr w:type="spellEnd"/>
      <w:r w:rsidRPr="009B53A7">
        <w:rPr>
          <w:lang w:val="en-US" w:eastAsia="es-PE"/>
        </w:rPr>
        <w:t xml:space="preserve"> Naval, a significant association is found between </w:t>
      </w:r>
      <w:proofErr w:type="spellStart"/>
      <w:r w:rsidRPr="009B53A7">
        <w:rPr>
          <w:lang w:val="en-US" w:eastAsia="es-PE"/>
        </w:rPr>
        <w:t>hypoalbuminemia</w:t>
      </w:r>
      <w:proofErr w:type="spellEnd"/>
      <w:r w:rsidRPr="009B53A7">
        <w:rPr>
          <w:lang w:val="en-US" w:eastAsia="es-PE"/>
        </w:rPr>
        <w:t xml:space="preserve"> and chemotherapy toxicity.</w:t>
      </w:r>
    </w:p>
    <w:p w:rsidR="009B53A7" w:rsidRPr="009B53A7" w:rsidRDefault="009B53A7" w:rsidP="009B53A7">
      <w:pPr>
        <w:suppressAutoHyphens/>
        <w:spacing w:line="360" w:lineRule="auto"/>
        <w:jc w:val="both"/>
        <w:rPr>
          <w:u w:color="000000"/>
          <w:lang w:val="en-US" w:eastAsia="es-PE"/>
        </w:rPr>
      </w:pPr>
      <w:r w:rsidRPr="009B53A7">
        <w:rPr>
          <w:rFonts w:eastAsia="Arial Unicode MS"/>
          <w:b/>
          <w:bCs/>
          <w:color w:val="000000"/>
          <w:u w:color="000000"/>
          <w:lang w:val="en-US" w:eastAsia="es-PE"/>
        </w:rPr>
        <w:t xml:space="preserve">Keywords: </w:t>
      </w:r>
      <w:r w:rsidRPr="009B53A7">
        <w:rPr>
          <w:u w:color="000000"/>
          <w:lang w:val="en-US" w:eastAsia="es-PE"/>
        </w:rPr>
        <w:t>elderly; dependent elderly; frail elderly; neoplasms; drug – related side effects and adverse drug reactions.</w:t>
      </w:r>
    </w:p>
    <w:p w:rsidR="009B53A7" w:rsidRPr="009B53A7" w:rsidRDefault="009B53A7" w:rsidP="009B53A7">
      <w:pPr>
        <w:suppressAutoHyphens/>
        <w:spacing w:line="360" w:lineRule="auto"/>
        <w:jc w:val="both"/>
        <w:rPr>
          <w:u w:color="000000"/>
          <w:lang w:val="en-US" w:eastAsia="es-PE"/>
        </w:rPr>
      </w:pPr>
    </w:p>
    <w:p w:rsidR="009B53A7" w:rsidRPr="009B53A7" w:rsidRDefault="009B53A7" w:rsidP="009B53A7">
      <w:pPr>
        <w:suppressAutoHyphens/>
        <w:spacing w:line="360" w:lineRule="auto"/>
        <w:jc w:val="both"/>
        <w:rPr>
          <w:u w:color="000000"/>
          <w:lang w:val="en-US" w:eastAsia="es-PE"/>
        </w:rPr>
      </w:pPr>
    </w:p>
    <w:p w:rsidR="009B53A7" w:rsidRPr="009B53A7" w:rsidRDefault="009B53A7" w:rsidP="009B53A7">
      <w:pPr>
        <w:suppressAutoHyphens/>
        <w:spacing w:line="360" w:lineRule="auto"/>
        <w:jc w:val="both"/>
        <w:rPr>
          <w:u w:color="000000"/>
          <w:lang w:eastAsia="es-PE"/>
        </w:rPr>
      </w:pPr>
      <w:r w:rsidRPr="009B53A7">
        <w:rPr>
          <w:u w:color="000000"/>
          <w:lang w:eastAsia="es-PE"/>
        </w:rPr>
        <w:t>Recibido: 22/08/2022</w:t>
      </w:r>
    </w:p>
    <w:p w:rsidR="009B53A7" w:rsidRPr="009B53A7" w:rsidRDefault="009B53A7" w:rsidP="009B53A7">
      <w:pPr>
        <w:suppressAutoHyphens/>
        <w:spacing w:line="360" w:lineRule="auto"/>
        <w:jc w:val="both"/>
        <w:rPr>
          <w:u w:color="000000"/>
          <w:lang w:eastAsia="es-PE"/>
        </w:rPr>
      </w:pPr>
      <w:r w:rsidRPr="009B53A7">
        <w:rPr>
          <w:u w:color="000000"/>
          <w:lang w:eastAsia="es-PE"/>
        </w:rPr>
        <w:t>Aprobado: 30/11/2022</w:t>
      </w:r>
    </w:p>
    <w:p w:rsidR="009B53A7" w:rsidRPr="009B53A7" w:rsidRDefault="009B53A7" w:rsidP="009B53A7">
      <w:pPr>
        <w:suppressAutoHyphens/>
        <w:spacing w:line="360" w:lineRule="auto"/>
        <w:jc w:val="both"/>
        <w:rPr>
          <w:rFonts w:eastAsia="Arial"/>
          <w:color w:val="000000"/>
          <w:u w:color="000000"/>
          <w:lang w:eastAsia="es-PE"/>
        </w:rPr>
      </w:pPr>
    </w:p>
    <w:p w:rsidR="009B53A7" w:rsidRPr="009B53A7" w:rsidRDefault="009B53A7" w:rsidP="009B53A7">
      <w:pPr>
        <w:suppressAutoHyphens/>
        <w:spacing w:line="360" w:lineRule="auto"/>
        <w:jc w:val="both"/>
        <w:rPr>
          <w:lang w:eastAsia="es-PE"/>
        </w:rPr>
      </w:pPr>
    </w:p>
    <w:p w:rsidR="009B53A7" w:rsidRPr="009B53A7" w:rsidRDefault="009B53A7" w:rsidP="009B53A7">
      <w:pPr>
        <w:suppressAutoHyphens/>
        <w:spacing w:line="360" w:lineRule="auto"/>
        <w:ind w:hanging="2"/>
        <w:jc w:val="center"/>
        <w:rPr>
          <w:sz w:val="32"/>
          <w:szCs w:val="32"/>
          <w:lang w:eastAsia="es-PE"/>
        </w:rPr>
      </w:pPr>
      <w:r w:rsidRPr="009B53A7">
        <w:rPr>
          <w:b/>
          <w:sz w:val="32"/>
          <w:szCs w:val="32"/>
          <w:lang w:eastAsia="es-PE"/>
        </w:rPr>
        <w:t>INTRODUCCIÓN</w:t>
      </w:r>
    </w:p>
    <w:p w:rsidR="009B53A7" w:rsidRPr="009B53A7" w:rsidRDefault="009B53A7" w:rsidP="009B53A7">
      <w:pPr>
        <w:suppressAutoHyphens/>
        <w:spacing w:line="360" w:lineRule="auto"/>
        <w:jc w:val="both"/>
        <w:rPr>
          <w:color w:val="000000"/>
          <w:lang w:eastAsia="es-PE"/>
        </w:rPr>
      </w:pPr>
      <w:r w:rsidRPr="009B53A7">
        <w:rPr>
          <w:lang w:eastAsia="es-PE"/>
        </w:rPr>
        <w:t>Durante las últimas décadas</w:t>
      </w:r>
      <w:r w:rsidRPr="009B53A7">
        <w:rPr>
          <w:lang w:val="es-PE" w:eastAsia="es-PE"/>
        </w:rPr>
        <w:t xml:space="preserve"> en el Perú se ha incrementado el porcentaje de adultos mayores pasando de </w:t>
      </w:r>
      <w:r w:rsidRPr="009B53A7">
        <w:rPr>
          <w:lang w:eastAsia="es-PE"/>
        </w:rPr>
        <w:t xml:space="preserve">5,7 % en el año 1950 a </w:t>
      </w:r>
      <w:r w:rsidRPr="009B53A7">
        <w:rPr>
          <w:highlight w:val="white"/>
          <w:lang w:eastAsia="es-PE"/>
        </w:rPr>
        <w:t>13,3 % en el año 202</w:t>
      </w:r>
      <w:r w:rsidRPr="009B53A7">
        <w:rPr>
          <w:lang w:eastAsia="es-PE"/>
        </w:rPr>
        <w:t>2</w:t>
      </w:r>
      <w:proofErr w:type="gramStart"/>
      <w:r w:rsidRPr="009B53A7">
        <w:rPr>
          <w:lang w:eastAsia="es-PE"/>
        </w:rPr>
        <w:t>.</w:t>
      </w:r>
      <w:r w:rsidRPr="009B53A7">
        <w:rPr>
          <w:vertAlign w:val="superscript"/>
          <w:lang w:eastAsia="es-PE"/>
        </w:rPr>
        <w:t>(</w:t>
      </w:r>
      <w:proofErr w:type="gramEnd"/>
      <w:r w:rsidRPr="009B53A7">
        <w:rPr>
          <w:vertAlign w:val="superscript"/>
          <w:lang w:eastAsia="es-PE"/>
        </w:rPr>
        <w:t xml:space="preserve">1) </w:t>
      </w:r>
      <w:r w:rsidRPr="009B53A7">
        <w:rPr>
          <w:highlight w:val="white"/>
          <w:lang w:eastAsia="es-PE"/>
        </w:rPr>
        <w:t>La tasa estandarizada de incidencia de cáncer en el Perú fue aproximadamente de 192,6 por cada 100 000 habitantes en el 2018;</w:t>
      </w:r>
      <w:r w:rsidRPr="009B53A7">
        <w:rPr>
          <w:highlight w:val="white"/>
          <w:vertAlign w:val="superscript"/>
          <w:lang w:eastAsia="es-PE"/>
        </w:rPr>
        <w:t>(2)</w:t>
      </w:r>
      <w:r w:rsidRPr="009B53A7">
        <w:rPr>
          <w:lang w:eastAsia="es-PE"/>
        </w:rPr>
        <w:t xml:space="preserve"> asimismo, ocupa el segundo y primer lugar como causa de mortalidad en Latinoamérica y Perú respectivamente.</w:t>
      </w:r>
      <w:r w:rsidRPr="009B53A7">
        <w:rPr>
          <w:vertAlign w:val="superscript"/>
          <w:lang w:eastAsia="es-PE"/>
        </w:rPr>
        <w:t xml:space="preserve">(1) </w:t>
      </w:r>
      <w:r w:rsidRPr="009B53A7">
        <w:rPr>
          <w:lang w:val="es-PE" w:eastAsia="es-PE"/>
        </w:rPr>
        <w:t>Por lo tanto, esto representa un</w:t>
      </w:r>
      <w:r w:rsidRPr="009B53A7">
        <w:rPr>
          <w:lang w:eastAsia="es-PE"/>
        </w:rPr>
        <w:t xml:space="preserve"> gran problema de salud pública.</w:t>
      </w:r>
    </w:p>
    <w:p w:rsidR="009B53A7" w:rsidRPr="009B53A7" w:rsidRDefault="009B53A7" w:rsidP="009B53A7">
      <w:pPr>
        <w:suppressAutoHyphens/>
        <w:spacing w:line="360" w:lineRule="auto"/>
        <w:jc w:val="both"/>
        <w:rPr>
          <w:color w:val="000000"/>
          <w:lang w:eastAsia="es-PE"/>
        </w:rPr>
      </w:pPr>
      <w:r w:rsidRPr="009B53A7">
        <w:rPr>
          <w:highlight w:val="white"/>
          <w:lang w:eastAsia="es-PE"/>
        </w:rPr>
        <w:t>La</w:t>
      </w:r>
      <w:r w:rsidRPr="009B53A7">
        <w:rPr>
          <w:lang w:eastAsia="es-PE"/>
        </w:rPr>
        <w:t xml:space="preserve"> presencia de células cancerígenas favorece e incrementa el estado de inflamación crónica, por medio de la IL-6, que influye desfavorablemente en la producción de albúmina y del TNF-</w:t>
      </w:r>
      <w:r w:rsidRPr="009B53A7">
        <w:rPr>
          <w:highlight w:val="white"/>
          <w:lang w:eastAsia="es-PE"/>
        </w:rPr>
        <w:t xml:space="preserve">α que aumenta la permeabilidad </w:t>
      </w:r>
      <w:proofErr w:type="spellStart"/>
      <w:r w:rsidRPr="009B53A7">
        <w:rPr>
          <w:highlight w:val="white"/>
          <w:lang w:eastAsia="es-PE"/>
        </w:rPr>
        <w:t>microvascular</w:t>
      </w:r>
      <w:proofErr w:type="spellEnd"/>
      <w:r w:rsidRPr="009B53A7">
        <w:rPr>
          <w:highlight w:val="white"/>
          <w:lang w:eastAsia="es-PE"/>
        </w:rPr>
        <w:t xml:space="preserve"> y disminuye la concentración de albúmina, sobre todo en estadios avanzados del cáncer. Estos niveles bajos de albúmina pueden agravarse por los procesos fisiológicos propios del envejecimiento, en los cuales los niveles de albúmina disminuyen aproximadamente en 20 % luego de los 70 años</w:t>
      </w:r>
      <w:proofErr w:type="gramStart"/>
      <w:r w:rsidRPr="009B53A7">
        <w:rPr>
          <w:highlight w:val="white"/>
          <w:lang w:eastAsia="es-PE"/>
        </w:rPr>
        <w:t>.</w:t>
      </w:r>
      <w:r w:rsidRPr="009B53A7">
        <w:rPr>
          <w:highlight w:val="white"/>
          <w:vertAlign w:val="superscript"/>
          <w:lang w:eastAsia="es-PE"/>
        </w:rPr>
        <w:t>(</w:t>
      </w:r>
      <w:proofErr w:type="gramEnd"/>
      <w:r w:rsidRPr="009B53A7">
        <w:rPr>
          <w:highlight w:val="white"/>
          <w:vertAlign w:val="superscript"/>
          <w:lang w:eastAsia="es-PE"/>
        </w:rPr>
        <w:t>3)</w:t>
      </w:r>
    </w:p>
    <w:p w:rsidR="009B53A7" w:rsidRPr="009B53A7" w:rsidRDefault="009B53A7" w:rsidP="009B53A7">
      <w:pPr>
        <w:suppressAutoHyphens/>
        <w:spacing w:line="360" w:lineRule="auto"/>
        <w:jc w:val="both"/>
        <w:rPr>
          <w:lang w:eastAsia="es-PE"/>
        </w:rPr>
      </w:pPr>
      <w:r w:rsidRPr="009B53A7">
        <w:rPr>
          <w:lang w:eastAsia="es-PE"/>
        </w:rPr>
        <w:t>Una concentración de albúmina inferior a 3,5 g/</w:t>
      </w:r>
      <w:proofErr w:type="spellStart"/>
      <w:r w:rsidRPr="009B53A7">
        <w:rPr>
          <w:lang w:eastAsia="es-PE"/>
        </w:rPr>
        <w:t>dL</w:t>
      </w:r>
      <w:proofErr w:type="spellEnd"/>
      <w:r w:rsidRPr="009B53A7">
        <w:rPr>
          <w:lang w:eastAsia="es-PE"/>
        </w:rPr>
        <w:t xml:space="preserve"> aumenta el riesgo de mortalidad en pacientes con tumores malignos, además del incremento del tiempo de estancia hospitalaria y disminución de la </w:t>
      </w:r>
      <w:r w:rsidRPr="009B53A7">
        <w:rPr>
          <w:lang w:eastAsia="es-PE"/>
        </w:rPr>
        <w:lastRenderedPageBreak/>
        <w:t>recuperación funcional basal</w:t>
      </w:r>
      <w:proofErr w:type="gramStart"/>
      <w:r w:rsidRPr="009B53A7">
        <w:rPr>
          <w:lang w:eastAsia="es-PE"/>
        </w:rPr>
        <w:t>.</w:t>
      </w:r>
      <w:r w:rsidRPr="009B53A7">
        <w:rPr>
          <w:vertAlign w:val="superscript"/>
          <w:lang w:eastAsia="es-PE"/>
        </w:rPr>
        <w:t>(</w:t>
      </w:r>
      <w:proofErr w:type="gramEnd"/>
      <w:r w:rsidRPr="009B53A7">
        <w:rPr>
          <w:vertAlign w:val="superscript"/>
          <w:lang w:eastAsia="es-PE"/>
        </w:rPr>
        <w:t>3)</w:t>
      </w:r>
      <w:r w:rsidRPr="009B53A7">
        <w:rPr>
          <w:lang w:eastAsia="es-PE"/>
        </w:rPr>
        <w:t xml:space="preserve"> La dosificación de los valores de albúmina debería comenzar en el momento del diagnóstico y repetirse periódicamente. </w:t>
      </w:r>
    </w:p>
    <w:p w:rsidR="009B53A7" w:rsidRPr="009B53A7" w:rsidRDefault="009B53A7" w:rsidP="009B53A7">
      <w:pPr>
        <w:suppressAutoHyphens/>
        <w:spacing w:line="360" w:lineRule="auto"/>
        <w:jc w:val="both"/>
        <w:rPr>
          <w:highlight w:val="yellow"/>
          <w:lang w:eastAsia="es-PE"/>
        </w:rPr>
      </w:pPr>
      <w:r w:rsidRPr="009B53A7">
        <w:rPr>
          <w:lang w:eastAsia="es-PE"/>
        </w:rPr>
        <w:t>Debido a los escasos estudios previos en este tema, se realizó esta investigación que tuvo como objetivo determinar la asociación entre hipoalbuminemia y toxicidad por quimioterapia en pacientes adultos mayores oncológicos.</w:t>
      </w:r>
    </w:p>
    <w:p w:rsidR="009B53A7" w:rsidRPr="009B53A7" w:rsidRDefault="009B53A7" w:rsidP="009B53A7">
      <w:pPr>
        <w:suppressAutoHyphens/>
        <w:spacing w:line="360" w:lineRule="auto"/>
        <w:jc w:val="both"/>
        <w:rPr>
          <w:lang w:eastAsia="es-PE"/>
        </w:rPr>
      </w:pPr>
    </w:p>
    <w:p w:rsidR="009B53A7" w:rsidRPr="009B53A7" w:rsidRDefault="009B53A7" w:rsidP="009B53A7">
      <w:pPr>
        <w:suppressAutoHyphens/>
        <w:spacing w:line="360" w:lineRule="auto"/>
        <w:jc w:val="both"/>
        <w:rPr>
          <w:lang w:eastAsia="es-PE"/>
        </w:rPr>
      </w:pPr>
    </w:p>
    <w:p w:rsidR="009B53A7" w:rsidRPr="009B53A7" w:rsidRDefault="009B53A7" w:rsidP="009B53A7">
      <w:pPr>
        <w:tabs>
          <w:tab w:val="left" w:pos="5400"/>
        </w:tabs>
        <w:suppressAutoHyphens/>
        <w:spacing w:line="360" w:lineRule="auto"/>
        <w:ind w:hanging="2"/>
        <w:jc w:val="center"/>
        <w:rPr>
          <w:b/>
          <w:sz w:val="32"/>
          <w:szCs w:val="32"/>
          <w:lang w:eastAsia="es-PE"/>
        </w:rPr>
      </w:pPr>
      <w:r w:rsidRPr="009B53A7">
        <w:rPr>
          <w:b/>
          <w:sz w:val="32"/>
          <w:szCs w:val="32"/>
          <w:lang w:eastAsia="es-PE"/>
        </w:rPr>
        <w:t>MÉTODOS</w:t>
      </w:r>
    </w:p>
    <w:p w:rsidR="009B53A7" w:rsidRPr="009B53A7" w:rsidRDefault="009B53A7" w:rsidP="009B53A7">
      <w:pPr>
        <w:tabs>
          <w:tab w:val="left" w:pos="5400"/>
        </w:tabs>
        <w:suppressAutoHyphens/>
        <w:spacing w:line="360" w:lineRule="auto"/>
        <w:ind w:hanging="2"/>
        <w:jc w:val="center"/>
        <w:rPr>
          <w:b/>
          <w:sz w:val="32"/>
          <w:szCs w:val="32"/>
          <w:lang w:eastAsia="es-PE"/>
        </w:rPr>
      </w:pPr>
      <w:r w:rsidRPr="009B53A7">
        <w:rPr>
          <w:b/>
          <w:sz w:val="32"/>
          <w:szCs w:val="32"/>
          <w:lang w:eastAsia="es-PE"/>
        </w:rPr>
        <w:t>Tipo de estudio</w:t>
      </w:r>
    </w:p>
    <w:p w:rsidR="009B53A7" w:rsidRPr="009B53A7" w:rsidRDefault="009B53A7" w:rsidP="009B53A7">
      <w:pPr>
        <w:suppressAutoHyphens/>
        <w:spacing w:line="360" w:lineRule="auto"/>
        <w:jc w:val="both"/>
        <w:rPr>
          <w:lang w:eastAsia="es-PE"/>
        </w:rPr>
      </w:pPr>
      <w:r w:rsidRPr="009B53A7">
        <w:rPr>
          <w:color w:val="000000"/>
          <w:lang w:eastAsia="es-PE"/>
        </w:rPr>
        <w:t>Estudio observacional transversal. Se realizó un análisis secundario de una base de datos de una cohorte de pacientes adultos mayores del Centro Médico Naval "Cirujano Mayor Santiago Távara", Perú (CEMENA) entre los años 2013 y 2015.</w:t>
      </w:r>
      <w:r w:rsidRPr="009B53A7">
        <w:rPr>
          <w:color w:val="000000"/>
          <w:vertAlign w:val="superscript"/>
          <w:lang w:eastAsia="es-PE"/>
        </w:rPr>
        <w:t>(4)</w:t>
      </w:r>
    </w:p>
    <w:p w:rsidR="009B53A7" w:rsidRPr="009B53A7" w:rsidRDefault="009B53A7" w:rsidP="009B53A7">
      <w:pPr>
        <w:tabs>
          <w:tab w:val="left" w:pos="5400"/>
        </w:tabs>
        <w:suppressAutoHyphens/>
        <w:spacing w:line="360" w:lineRule="auto"/>
        <w:ind w:hanging="2"/>
        <w:jc w:val="center"/>
        <w:rPr>
          <w:b/>
          <w:sz w:val="32"/>
          <w:szCs w:val="32"/>
          <w:lang w:eastAsia="es-PE"/>
        </w:rPr>
      </w:pPr>
      <w:r w:rsidRPr="009B53A7">
        <w:rPr>
          <w:b/>
          <w:sz w:val="32"/>
          <w:szCs w:val="32"/>
          <w:lang w:eastAsia="es-PE"/>
        </w:rPr>
        <w:t>Población y sujetos</w:t>
      </w:r>
    </w:p>
    <w:p w:rsidR="009B53A7" w:rsidRPr="009B53A7" w:rsidRDefault="009B53A7" w:rsidP="009B53A7">
      <w:pPr>
        <w:suppressAutoHyphens/>
        <w:spacing w:line="360" w:lineRule="auto"/>
        <w:jc w:val="both"/>
        <w:rPr>
          <w:lang w:eastAsia="es-PE"/>
        </w:rPr>
      </w:pPr>
      <w:r w:rsidRPr="009B53A7">
        <w:rPr>
          <w:color w:val="000000"/>
          <w:lang w:eastAsia="es-PE"/>
        </w:rPr>
        <w:t xml:space="preserve">La población del estudio original estuvo conformada por 908 pacientes adultos mayores de 60 años, retirados de la Marina de Guerra del Perú, con diagnóstico </w:t>
      </w:r>
      <w:proofErr w:type="spellStart"/>
      <w:r w:rsidRPr="009B53A7">
        <w:rPr>
          <w:color w:val="000000"/>
          <w:lang w:eastAsia="es-PE"/>
        </w:rPr>
        <w:t>anatomopatológico</w:t>
      </w:r>
      <w:proofErr w:type="spellEnd"/>
      <w:r w:rsidRPr="009B53A7">
        <w:rPr>
          <w:color w:val="000000"/>
          <w:lang w:eastAsia="es-PE"/>
        </w:rPr>
        <w:t xml:space="preserve"> de cánceres tratados con</w:t>
      </w:r>
      <w:r w:rsidRPr="009B53A7">
        <w:rPr>
          <w:lang w:eastAsia="es-PE"/>
        </w:rPr>
        <w:t xml:space="preserve"> fines curativos, </w:t>
      </w:r>
      <w:r w:rsidRPr="009B53A7">
        <w:rPr>
          <w:color w:val="000000"/>
          <w:lang w:eastAsia="es-PE"/>
        </w:rPr>
        <w:t xml:space="preserve">atendidos entre setiembre de 2012 y febrero de 2013 y seguidos por 2 años. De ellos se incluyeron a pacientes tratados con quimioterapia y que tenían el resultado de examen de dosificación sérica de albumina en la internación. </w:t>
      </w:r>
      <w:r w:rsidRPr="009B53A7">
        <w:rPr>
          <w:lang w:eastAsia="es-PE"/>
        </w:rPr>
        <w:t xml:space="preserve">Se excluyeron a pacientes diagnosticados con algún trastorno </w:t>
      </w:r>
      <w:proofErr w:type="spellStart"/>
      <w:r w:rsidRPr="009B53A7">
        <w:rPr>
          <w:lang w:eastAsia="es-PE"/>
        </w:rPr>
        <w:t>neurocognitivo</w:t>
      </w:r>
      <w:proofErr w:type="spellEnd"/>
      <w:r w:rsidRPr="009B53A7">
        <w:rPr>
          <w:lang w:eastAsia="es-PE"/>
        </w:rPr>
        <w:t xml:space="preserve">, a los obtuvieron una puntuación ≤ 23 en el </w:t>
      </w:r>
      <w:proofErr w:type="spellStart"/>
      <w:r w:rsidRPr="009B53A7">
        <w:rPr>
          <w:lang w:eastAsia="es-PE"/>
        </w:rPr>
        <w:t>miniexamen</w:t>
      </w:r>
      <w:proofErr w:type="spellEnd"/>
      <w:r w:rsidRPr="009B53A7">
        <w:rPr>
          <w:lang w:eastAsia="es-PE"/>
        </w:rPr>
        <w:t xml:space="preserve"> del estado mental (MMSE, </w:t>
      </w:r>
      <w:r w:rsidRPr="009B53A7">
        <w:rPr>
          <w:i/>
          <w:iCs/>
          <w:lang w:eastAsia="es-PE"/>
        </w:rPr>
        <w:t xml:space="preserve">Mini-Mental </w:t>
      </w:r>
      <w:proofErr w:type="spellStart"/>
      <w:r w:rsidRPr="009B53A7">
        <w:rPr>
          <w:i/>
          <w:iCs/>
          <w:lang w:eastAsia="es-PE"/>
        </w:rPr>
        <w:t>State</w:t>
      </w:r>
      <w:proofErr w:type="spellEnd"/>
      <w:r w:rsidRPr="009B53A7">
        <w:rPr>
          <w:i/>
          <w:iCs/>
          <w:lang w:eastAsia="es-PE"/>
        </w:rPr>
        <w:t xml:space="preserve"> </w:t>
      </w:r>
      <w:proofErr w:type="spellStart"/>
      <w:r w:rsidRPr="009B53A7">
        <w:rPr>
          <w:i/>
          <w:iCs/>
          <w:lang w:eastAsia="es-PE"/>
        </w:rPr>
        <w:t>Examination</w:t>
      </w:r>
      <w:proofErr w:type="spellEnd"/>
      <w:r w:rsidRPr="009B53A7">
        <w:rPr>
          <w:lang w:eastAsia="es-PE"/>
        </w:rPr>
        <w:t>), aquellos con una ficha de recolección de datos incompleta y los participantes que se retiraron del estudio durante el seguimiento. Finalmente, para el presente análisis se incluyeron los datos de los 192 pacientes que recibieron tratamiento con quimioterapia.</w:t>
      </w:r>
    </w:p>
    <w:p w:rsidR="009B53A7" w:rsidRPr="009B53A7" w:rsidRDefault="009B53A7" w:rsidP="009B53A7">
      <w:pPr>
        <w:suppressAutoHyphens/>
        <w:spacing w:line="360" w:lineRule="auto"/>
        <w:jc w:val="center"/>
        <w:rPr>
          <w:lang w:eastAsia="es-PE"/>
        </w:rPr>
      </w:pPr>
      <w:r w:rsidRPr="009B53A7">
        <w:rPr>
          <w:b/>
          <w:sz w:val="32"/>
          <w:szCs w:val="32"/>
          <w:lang w:eastAsia="es-PE"/>
        </w:rPr>
        <w:t>Variables</w:t>
      </w:r>
    </w:p>
    <w:p w:rsidR="009B53A7" w:rsidRPr="009B53A7" w:rsidRDefault="009B53A7" w:rsidP="009B53A7">
      <w:pPr>
        <w:suppressAutoHyphens/>
        <w:spacing w:line="360" w:lineRule="auto"/>
        <w:ind w:hanging="1"/>
        <w:jc w:val="both"/>
        <w:rPr>
          <w:lang w:eastAsia="es-PE"/>
        </w:rPr>
      </w:pPr>
      <w:r w:rsidRPr="009B53A7">
        <w:rPr>
          <w:lang w:eastAsia="es-PE"/>
        </w:rPr>
        <w:t xml:space="preserve">La variable toxicidad a </w:t>
      </w:r>
      <w:proofErr w:type="spellStart"/>
      <w:r w:rsidRPr="009B53A7">
        <w:rPr>
          <w:lang w:eastAsia="es-PE"/>
        </w:rPr>
        <w:t>quimioterápicos</w:t>
      </w:r>
      <w:proofErr w:type="spellEnd"/>
      <w:r w:rsidRPr="009B53A7">
        <w:rPr>
          <w:lang w:eastAsia="es-PE"/>
        </w:rPr>
        <w:t xml:space="preserve"> que fue evaluada en base a los efectos adversos clínicos o </w:t>
      </w:r>
      <w:proofErr w:type="spellStart"/>
      <w:r w:rsidRPr="009B53A7">
        <w:rPr>
          <w:lang w:eastAsia="es-PE"/>
        </w:rPr>
        <w:t>laboratoriales</w:t>
      </w:r>
      <w:proofErr w:type="spellEnd"/>
      <w:r w:rsidRPr="009B53A7">
        <w:rPr>
          <w:lang w:eastAsia="es-PE"/>
        </w:rPr>
        <w:t xml:space="preserve"> secundarios a fármacos </w:t>
      </w:r>
      <w:proofErr w:type="spellStart"/>
      <w:r w:rsidRPr="009B53A7">
        <w:rPr>
          <w:lang w:eastAsia="es-PE"/>
        </w:rPr>
        <w:t>quimioterápicos</w:t>
      </w:r>
      <w:proofErr w:type="spellEnd"/>
      <w:r w:rsidRPr="009B53A7">
        <w:rPr>
          <w:lang w:eastAsia="es-PE"/>
        </w:rPr>
        <w:t xml:space="preserve"> según la </w:t>
      </w:r>
      <w:proofErr w:type="spellStart"/>
      <w:r w:rsidRPr="009B53A7">
        <w:rPr>
          <w:i/>
          <w:lang w:eastAsia="es-PE"/>
        </w:rPr>
        <w:t>Common</w:t>
      </w:r>
      <w:proofErr w:type="spellEnd"/>
      <w:r w:rsidRPr="009B53A7">
        <w:rPr>
          <w:i/>
          <w:lang w:eastAsia="es-PE"/>
        </w:rPr>
        <w:t xml:space="preserve"> </w:t>
      </w:r>
      <w:proofErr w:type="spellStart"/>
      <w:r w:rsidRPr="009B53A7">
        <w:rPr>
          <w:i/>
          <w:lang w:eastAsia="es-PE"/>
        </w:rPr>
        <w:t>Terminology</w:t>
      </w:r>
      <w:proofErr w:type="spellEnd"/>
      <w:r w:rsidRPr="009B53A7">
        <w:rPr>
          <w:i/>
          <w:lang w:eastAsia="es-PE"/>
        </w:rPr>
        <w:t xml:space="preserve"> </w:t>
      </w:r>
      <w:proofErr w:type="spellStart"/>
      <w:r w:rsidRPr="009B53A7">
        <w:rPr>
          <w:i/>
          <w:lang w:eastAsia="es-PE"/>
        </w:rPr>
        <w:t>Criteria</w:t>
      </w:r>
      <w:proofErr w:type="spellEnd"/>
      <w:r w:rsidRPr="009B53A7">
        <w:rPr>
          <w:i/>
          <w:lang w:eastAsia="es-PE"/>
        </w:rPr>
        <w:t xml:space="preserve"> </w:t>
      </w:r>
      <w:proofErr w:type="spellStart"/>
      <w:r w:rsidRPr="009B53A7">
        <w:rPr>
          <w:i/>
          <w:lang w:eastAsia="es-PE"/>
        </w:rPr>
        <w:t>for</w:t>
      </w:r>
      <w:proofErr w:type="spellEnd"/>
      <w:r w:rsidRPr="009B53A7">
        <w:rPr>
          <w:i/>
          <w:lang w:eastAsia="es-PE"/>
        </w:rPr>
        <w:t xml:space="preserve"> Adverse </w:t>
      </w:r>
      <w:proofErr w:type="spellStart"/>
      <w:r w:rsidRPr="009B53A7">
        <w:rPr>
          <w:i/>
          <w:lang w:eastAsia="es-PE"/>
        </w:rPr>
        <w:t>Events</w:t>
      </w:r>
      <w:proofErr w:type="spellEnd"/>
      <w:r w:rsidRPr="009B53A7">
        <w:rPr>
          <w:i/>
          <w:lang w:eastAsia="es-PE"/>
        </w:rPr>
        <w:t xml:space="preserve"> </w:t>
      </w:r>
      <w:r w:rsidRPr="009B53A7">
        <w:rPr>
          <w:lang w:eastAsia="es-PE"/>
        </w:rPr>
        <w:t>v4.0  (</w:t>
      </w:r>
      <w:proofErr w:type="spellStart"/>
      <w:r w:rsidRPr="009B53A7">
        <w:rPr>
          <w:i/>
          <w:lang w:eastAsia="es-PE"/>
        </w:rPr>
        <w:t>National</w:t>
      </w:r>
      <w:proofErr w:type="spellEnd"/>
      <w:r w:rsidRPr="009B53A7">
        <w:rPr>
          <w:i/>
          <w:lang w:eastAsia="es-PE"/>
        </w:rPr>
        <w:t xml:space="preserve"> </w:t>
      </w:r>
      <w:proofErr w:type="spellStart"/>
      <w:r w:rsidRPr="009B53A7">
        <w:rPr>
          <w:i/>
          <w:lang w:eastAsia="es-PE"/>
        </w:rPr>
        <w:t>Cancer</w:t>
      </w:r>
      <w:proofErr w:type="spellEnd"/>
      <w:r w:rsidRPr="009B53A7">
        <w:rPr>
          <w:i/>
          <w:lang w:eastAsia="es-PE"/>
        </w:rPr>
        <w:t xml:space="preserve"> </w:t>
      </w:r>
      <w:proofErr w:type="spellStart"/>
      <w:r w:rsidRPr="009B53A7">
        <w:rPr>
          <w:i/>
          <w:lang w:eastAsia="es-PE"/>
        </w:rPr>
        <w:t>Institute</w:t>
      </w:r>
      <w:proofErr w:type="spellEnd"/>
      <w:r w:rsidRPr="009B53A7">
        <w:rPr>
          <w:lang w:eastAsia="es-PE"/>
        </w:rPr>
        <w:t>), grados III, IV o V</w:t>
      </w:r>
      <w:proofErr w:type="gramStart"/>
      <w:r w:rsidRPr="009B53A7">
        <w:rPr>
          <w:lang w:eastAsia="es-PE"/>
        </w:rPr>
        <w:t>.</w:t>
      </w:r>
      <w:r w:rsidRPr="009B53A7">
        <w:rPr>
          <w:bCs/>
          <w:vertAlign w:val="superscript"/>
          <w:lang w:eastAsia="es-PE"/>
        </w:rPr>
        <w:t>(</w:t>
      </w:r>
      <w:proofErr w:type="gramEnd"/>
      <w:r w:rsidRPr="009B53A7">
        <w:rPr>
          <w:bCs/>
          <w:vertAlign w:val="superscript"/>
          <w:lang w:eastAsia="es-PE"/>
        </w:rPr>
        <w:t>5)</w:t>
      </w:r>
    </w:p>
    <w:p w:rsidR="009B53A7" w:rsidRPr="009B53A7" w:rsidRDefault="009B53A7" w:rsidP="009B53A7">
      <w:pPr>
        <w:suppressAutoHyphens/>
        <w:spacing w:line="360" w:lineRule="auto"/>
        <w:ind w:hanging="1"/>
        <w:jc w:val="both"/>
        <w:rPr>
          <w:lang w:eastAsia="es-PE"/>
        </w:rPr>
      </w:pPr>
      <w:r w:rsidRPr="009B53A7">
        <w:rPr>
          <w:lang w:eastAsia="es-PE"/>
        </w:rPr>
        <w:lastRenderedPageBreak/>
        <w:t>La hipoalbuminemia fue medida utilizando la prueba de albúmina sérica, los rangos considerados como normales fueron: 3,5 – 5,0 g/</w:t>
      </w:r>
      <w:proofErr w:type="spellStart"/>
      <w:r w:rsidRPr="009B53A7">
        <w:rPr>
          <w:lang w:eastAsia="es-PE"/>
        </w:rPr>
        <w:t>dL</w:t>
      </w:r>
      <w:proofErr w:type="spellEnd"/>
      <w:r w:rsidRPr="009B53A7">
        <w:rPr>
          <w:lang w:eastAsia="es-PE"/>
        </w:rPr>
        <w:t>, y para clasificar a los pacientes con hipoalbuminemia se consideró el valor &lt; 3,5 g/</w:t>
      </w:r>
      <w:proofErr w:type="spellStart"/>
      <w:r w:rsidRPr="009B53A7">
        <w:rPr>
          <w:lang w:eastAsia="es-PE"/>
        </w:rPr>
        <w:t>dL</w:t>
      </w:r>
      <w:proofErr w:type="spellEnd"/>
      <w:proofErr w:type="gramStart"/>
      <w:r w:rsidRPr="009B53A7">
        <w:rPr>
          <w:lang w:eastAsia="es-PE"/>
        </w:rPr>
        <w:t>.</w:t>
      </w:r>
      <w:r w:rsidRPr="009B53A7">
        <w:rPr>
          <w:bCs/>
          <w:vertAlign w:val="superscript"/>
          <w:lang w:eastAsia="es-PE"/>
        </w:rPr>
        <w:t>(</w:t>
      </w:r>
      <w:proofErr w:type="gramEnd"/>
      <w:r w:rsidRPr="009B53A7">
        <w:rPr>
          <w:bCs/>
          <w:vertAlign w:val="superscript"/>
          <w:lang w:eastAsia="es-PE"/>
        </w:rPr>
        <w:t>6)</w:t>
      </w:r>
    </w:p>
    <w:p w:rsidR="009B53A7" w:rsidRPr="009B53A7" w:rsidRDefault="009B53A7" w:rsidP="009B53A7">
      <w:pPr>
        <w:suppressAutoHyphens/>
        <w:spacing w:line="360" w:lineRule="auto"/>
        <w:ind w:hanging="1"/>
        <w:jc w:val="both"/>
        <w:rPr>
          <w:lang w:eastAsia="es-PE"/>
        </w:rPr>
      </w:pPr>
      <w:r w:rsidRPr="009B53A7">
        <w:rPr>
          <w:lang w:eastAsia="es-PE"/>
        </w:rPr>
        <w:t xml:space="preserve">También se evaluaron las variables de edad (en años), estado civil (soltero, casado/conviviente, divorciado o viudo), desnutrición utilizando el </w:t>
      </w:r>
      <w:r w:rsidRPr="009B53A7">
        <w:rPr>
          <w:i/>
          <w:iCs/>
          <w:lang w:eastAsia="es-PE"/>
        </w:rPr>
        <w:t>Mini Nutritional Assessment</w:t>
      </w:r>
      <w:r w:rsidRPr="009B53A7">
        <w:rPr>
          <w:lang w:eastAsia="es-PE"/>
        </w:rPr>
        <w:t>;</w:t>
      </w:r>
      <w:r w:rsidRPr="009B53A7">
        <w:rPr>
          <w:iCs/>
          <w:lang w:eastAsia="es-PE"/>
        </w:rPr>
        <w:t xml:space="preserve"> MNA)</w:t>
      </w:r>
      <w:r w:rsidRPr="009B53A7">
        <w:rPr>
          <w:lang w:eastAsia="es-PE"/>
        </w:rPr>
        <w:t xml:space="preserve">. El MNA es un instrumento que evalúa el estado nutricional basándose en la antropometría, estado general, evaluación dietética y autopercepción de salud, obteniéndose un puntaje de 30 puntos como valor máximo. Se clasifican como: buen estado nutricional con un puntaje </w:t>
      </w:r>
      <w:r w:rsidRPr="009B53A7">
        <w:rPr>
          <w:lang w:val="es-PE" w:eastAsia="es-PE"/>
        </w:rPr>
        <w:t>≥ 24; riesgo de malnutrición, 17 – 23,5 puntos; y malnutrición, &lt; 17 puntos. Esta escala ha sido utilizada previamente en población adulta mayor peruana</w:t>
      </w:r>
      <w:proofErr w:type="gramStart"/>
      <w:r w:rsidRPr="009B53A7">
        <w:rPr>
          <w:lang w:val="es-PE" w:eastAsia="es-PE"/>
        </w:rPr>
        <w:t>.</w:t>
      </w:r>
      <w:r w:rsidRPr="009B53A7">
        <w:rPr>
          <w:bCs/>
          <w:shd w:val="clear" w:color="auto" w:fill="FFFFFF"/>
          <w:vertAlign w:val="superscript"/>
          <w:lang w:eastAsia="es-PE"/>
        </w:rPr>
        <w:t>(</w:t>
      </w:r>
      <w:proofErr w:type="gramEnd"/>
      <w:r w:rsidRPr="009B53A7">
        <w:rPr>
          <w:bCs/>
          <w:shd w:val="clear" w:color="auto" w:fill="FFFFFF"/>
          <w:vertAlign w:val="superscript"/>
          <w:lang w:eastAsia="es-PE"/>
        </w:rPr>
        <w:t xml:space="preserve">7) </w:t>
      </w:r>
      <w:r w:rsidRPr="009B53A7">
        <w:rPr>
          <w:lang w:eastAsia="es-PE"/>
        </w:rPr>
        <w:t>El porcentaje de grasa corporal fue estimado mediante impedancia eléctrica</w:t>
      </w:r>
      <w:r w:rsidRPr="009B53A7">
        <w:rPr>
          <w:lang w:val="es-PE" w:eastAsia="es-PE"/>
        </w:rPr>
        <w:t>, de acuerdo con la metodología previamente reportada en adultos mayores.</w:t>
      </w:r>
      <w:r w:rsidRPr="009B53A7">
        <w:rPr>
          <w:bCs/>
          <w:vertAlign w:val="superscript"/>
          <w:lang w:eastAsia="es-PE"/>
        </w:rPr>
        <w:t>(8)</w:t>
      </w:r>
    </w:p>
    <w:p w:rsidR="009B53A7" w:rsidRPr="009B53A7" w:rsidRDefault="009B53A7" w:rsidP="009B53A7">
      <w:pPr>
        <w:suppressAutoHyphens/>
        <w:spacing w:line="360" w:lineRule="auto"/>
        <w:jc w:val="center"/>
        <w:rPr>
          <w:b/>
          <w:sz w:val="32"/>
          <w:szCs w:val="32"/>
          <w:lang w:eastAsia="es-PE"/>
        </w:rPr>
      </w:pPr>
      <w:r w:rsidRPr="009B53A7">
        <w:rPr>
          <w:b/>
          <w:sz w:val="32"/>
          <w:szCs w:val="32"/>
          <w:lang w:eastAsia="es-PE"/>
        </w:rPr>
        <w:t>Procesamiento</w:t>
      </w:r>
    </w:p>
    <w:p w:rsidR="009B53A7" w:rsidRPr="009B53A7" w:rsidRDefault="009B53A7" w:rsidP="009B53A7">
      <w:pPr>
        <w:suppressAutoHyphens/>
        <w:spacing w:line="360" w:lineRule="auto"/>
        <w:ind w:hanging="1"/>
        <w:jc w:val="both"/>
        <w:rPr>
          <w:color w:val="000000"/>
          <w:lang w:eastAsia="es-PE"/>
        </w:rPr>
      </w:pPr>
      <w:r w:rsidRPr="009B53A7">
        <w:rPr>
          <w:lang w:eastAsia="es-PE"/>
        </w:rPr>
        <w:t xml:space="preserve">El análisis de los datos se realizó utilizando el paquete estadístico </w:t>
      </w:r>
      <w:proofErr w:type="spellStart"/>
      <w:r w:rsidRPr="009B53A7">
        <w:rPr>
          <w:lang w:eastAsia="es-PE"/>
        </w:rPr>
        <w:t>Stata</w:t>
      </w:r>
      <w:proofErr w:type="spellEnd"/>
      <w:r w:rsidRPr="009B53A7">
        <w:rPr>
          <w:lang w:eastAsia="es-PE"/>
        </w:rPr>
        <w:t xml:space="preserve"> (versión 13.0 para Windows). Para evaluar</w:t>
      </w:r>
      <w:r w:rsidRPr="009B53A7">
        <w:rPr>
          <w:color w:val="000000"/>
          <w:lang w:eastAsia="es-PE"/>
        </w:rPr>
        <w:t xml:space="preserve"> la diferencia de medias se utilizó la prueba t para muestras independientes o la prueba U de </w:t>
      </w:r>
      <w:r w:rsidRPr="009B53A7">
        <w:rPr>
          <w:i/>
          <w:color w:val="000000"/>
          <w:lang w:eastAsia="es-PE"/>
        </w:rPr>
        <w:t>Mann-</w:t>
      </w:r>
      <w:proofErr w:type="spellStart"/>
      <w:r w:rsidRPr="009B53A7">
        <w:rPr>
          <w:i/>
          <w:color w:val="000000"/>
          <w:lang w:eastAsia="es-PE"/>
        </w:rPr>
        <w:t>Whitney</w:t>
      </w:r>
      <w:proofErr w:type="spellEnd"/>
      <w:r w:rsidRPr="009B53A7">
        <w:rPr>
          <w:color w:val="000000"/>
          <w:lang w:eastAsia="es-PE"/>
        </w:rPr>
        <w:t xml:space="preserve"> de ser el caso (para la edad y porcentaje de grasa corporal). Para evaluar la asociación entre variables independientes (para el estado civil, comorbilidades, hipoalbuminemia, localización del cáncer y estado nutricional) y la toxicidad a quimioterapia, se utilizó la prueba de </w:t>
      </w:r>
      <w:r w:rsidRPr="009B53A7">
        <w:rPr>
          <w:i/>
          <w:color w:val="000000"/>
          <w:lang w:eastAsia="es-PE"/>
        </w:rPr>
        <w:t xml:space="preserve">ji </w:t>
      </w:r>
      <w:r w:rsidRPr="009B53A7">
        <w:rPr>
          <w:color w:val="000000"/>
          <w:lang w:eastAsia="es-PE"/>
        </w:rPr>
        <w:t xml:space="preserve">cuadrado o el test exacto de </w:t>
      </w:r>
      <w:r w:rsidRPr="009B53A7">
        <w:rPr>
          <w:i/>
          <w:color w:val="000000"/>
          <w:lang w:eastAsia="es-PE"/>
        </w:rPr>
        <w:t>Fisher</w:t>
      </w:r>
      <w:r w:rsidRPr="009B53A7">
        <w:rPr>
          <w:color w:val="000000"/>
          <w:lang w:eastAsia="es-PE"/>
        </w:rPr>
        <w:t xml:space="preserve"> de ser el caso. Para hallar la asociación entre hipoalbuminemia y toxicidad a quimioterapia se realizó una regresión de </w:t>
      </w:r>
      <w:r w:rsidRPr="009B53A7">
        <w:rPr>
          <w:iCs/>
          <w:color w:val="000000"/>
          <w:lang w:eastAsia="es-PE"/>
        </w:rPr>
        <w:t>Cox con la tasa de riesgos (</w:t>
      </w:r>
      <w:proofErr w:type="spellStart"/>
      <w:r w:rsidRPr="009B53A7">
        <w:rPr>
          <w:i/>
          <w:color w:val="000000"/>
          <w:lang w:eastAsia="es-PE"/>
        </w:rPr>
        <w:t>hazard</w:t>
      </w:r>
      <w:proofErr w:type="spellEnd"/>
      <w:r w:rsidRPr="009B53A7">
        <w:rPr>
          <w:i/>
          <w:color w:val="000000"/>
          <w:lang w:eastAsia="es-PE"/>
        </w:rPr>
        <w:t xml:space="preserve"> ratio; </w:t>
      </w:r>
      <w:r w:rsidRPr="009B53A7">
        <w:rPr>
          <w:iCs/>
          <w:color w:val="000000"/>
          <w:lang w:eastAsia="es-PE"/>
        </w:rPr>
        <w:t>HR)</w:t>
      </w:r>
      <w:r w:rsidRPr="009B53A7">
        <w:rPr>
          <w:color w:val="000000"/>
          <w:lang w:eastAsia="es-PE"/>
        </w:rPr>
        <w:t xml:space="preserve">. Todos los cálculos fueron realizados con un nivel de confianza del 95 % y se consideraron significativos con valores p&lt; 0,05. Se incluyeron en el modelo ajustado las variables que resultaron significativas estadísticamente en el análisis </w:t>
      </w:r>
      <w:proofErr w:type="spellStart"/>
      <w:r w:rsidRPr="009B53A7">
        <w:rPr>
          <w:color w:val="000000"/>
          <w:lang w:eastAsia="es-PE"/>
        </w:rPr>
        <w:t>bivariado</w:t>
      </w:r>
      <w:proofErr w:type="spellEnd"/>
      <w:r w:rsidRPr="009B53A7">
        <w:rPr>
          <w:color w:val="000000"/>
          <w:lang w:eastAsia="es-PE"/>
        </w:rPr>
        <w:t>.</w:t>
      </w:r>
    </w:p>
    <w:p w:rsidR="009B53A7" w:rsidRPr="009B53A7" w:rsidRDefault="009B53A7" w:rsidP="009B53A7">
      <w:pPr>
        <w:suppressAutoHyphens/>
        <w:spacing w:line="360" w:lineRule="auto"/>
        <w:jc w:val="center"/>
        <w:rPr>
          <w:b/>
          <w:sz w:val="32"/>
          <w:szCs w:val="32"/>
          <w:lang w:eastAsia="es-PE"/>
        </w:rPr>
      </w:pPr>
      <w:r w:rsidRPr="009B53A7">
        <w:rPr>
          <w:b/>
          <w:sz w:val="32"/>
          <w:szCs w:val="32"/>
          <w:lang w:eastAsia="es-PE"/>
        </w:rPr>
        <w:t>Aspectos bioéticos</w:t>
      </w:r>
    </w:p>
    <w:p w:rsidR="009B53A7" w:rsidRPr="009B53A7" w:rsidRDefault="009B53A7" w:rsidP="009B53A7">
      <w:pPr>
        <w:suppressAutoHyphens/>
        <w:spacing w:line="360" w:lineRule="auto"/>
        <w:ind w:hanging="1"/>
        <w:jc w:val="both"/>
        <w:rPr>
          <w:lang w:eastAsia="es-PE"/>
        </w:rPr>
      </w:pPr>
      <w:r w:rsidRPr="009B53A7">
        <w:rPr>
          <w:lang w:eastAsia="es-PE"/>
        </w:rPr>
        <w:t>El protocolo del estudio fue aprobado por el comité de ética de la universidad San Martin de Porres. Se respetó la confidencialidad de los datos recolectados e identidades de los sujetos.</w:t>
      </w:r>
    </w:p>
    <w:p w:rsidR="009B53A7" w:rsidRPr="009B53A7" w:rsidRDefault="009B53A7" w:rsidP="009B53A7">
      <w:pPr>
        <w:suppressAutoHyphens/>
        <w:spacing w:line="360" w:lineRule="auto"/>
        <w:ind w:hanging="1"/>
        <w:jc w:val="both"/>
        <w:rPr>
          <w:color w:val="000000"/>
          <w:lang w:eastAsia="es-PE"/>
        </w:rPr>
      </w:pPr>
    </w:p>
    <w:p w:rsidR="009B53A7" w:rsidRPr="009B53A7" w:rsidRDefault="009B53A7" w:rsidP="009B53A7">
      <w:pPr>
        <w:suppressAutoHyphens/>
        <w:spacing w:line="360" w:lineRule="auto"/>
        <w:jc w:val="both"/>
        <w:rPr>
          <w:color w:val="FF0000"/>
          <w:lang w:eastAsia="es-PE"/>
        </w:rPr>
      </w:pPr>
    </w:p>
    <w:p w:rsidR="009B53A7" w:rsidRPr="009B53A7" w:rsidRDefault="009B53A7" w:rsidP="009B53A7">
      <w:pPr>
        <w:suppressAutoHyphens/>
        <w:spacing w:line="360" w:lineRule="auto"/>
        <w:ind w:hanging="2"/>
        <w:jc w:val="center"/>
        <w:rPr>
          <w:b/>
          <w:sz w:val="32"/>
          <w:szCs w:val="32"/>
          <w:lang w:eastAsia="es-PE"/>
        </w:rPr>
      </w:pPr>
      <w:r w:rsidRPr="009B53A7">
        <w:rPr>
          <w:b/>
          <w:sz w:val="32"/>
          <w:szCs w:val="32"/>
          <w:lang w:eastAsia="es-PE"/>
        </w:rPr>
        <w:lastRenderedPageBreak/>
        <w:t>RESULTADOS</w:t>
      </w:r>
    </w:p>
    <w:p w:rsidR="009B53A7" w:rsidRDefault="009B53A7" w:rsidP="009B53A7">
      <w:pPr>
        <w:suppressAutoHyphens/>
        <w:spacing w:line="360" w:lineRule="auto"/>
        <w:jc w:val="both"/>
        <w:rPr>
          <w:lang w:eastAsia="es-PE"/>
        </w:rPr>
      </w:pPr>
      <w:r w:rsidRPr="009B53A7">
        <w:rPr>
          <w:lang w:eastAsia="es-PE"/>
        </w:rPr>
        <w:t xml:space="preserve">Todos los pacientes fueron varones, la media de edad fue 79,2 ± 5,3 años; el 56,8 % (n =109) de los participantes, en la situación de casado/conviviente y un 24,5 % (n= 47) en viudo. Dentro de las comorbilidades se obtuvo que el 21,4 % (n= 41) eran hipertensos y 21,4 % (n= 41) presentaba diabetes mellitus tipo 2. Se obtuvo que la localización del cáncer en los pacientes fue en mayor porcentaje en la próstata (25,5 %), seguido de colon/recto (17,7 %). El 10,9 % (n= 21) de los pacientes presentó hipoalbuminemia (tabla 1). En el análisis </w:t>
      </w:r>
      <w:proofErr w:type="spellStart"/>
      <w:r w:rsidRPr="009B53A7">
        <w:rPr>
          <w:lang w:eastAsia="es-PE"/>
        </w:rPr>
        <w:t>bivariado</w:t>
      </w:r>
      <w:proofErr w:type="spellEnd"/>
      <w:r w:rsidRPr="009B53A7">
        <w:rPr>
          <w:lang w:eastAsia="es-PE"/>
        </w:rPr>
        <w:t xml:space="preserve"> se encontró asociación entre la edad en años (p= 0,01), porcentaje de grasa corporal (p= 0,04) y estado nutricional (p≤ 0,0001) con la toxicidad a </w:t>
      </w:r>
      <w:proofErr w:type="spellStart"/>
      <w:r w:rsidRPr="009B53A7">
        <w:rPr>
          <w:lang w:eastAsia="es-PE"/>
        </w:rPr>
        <w:t>quimioterápicos</w:t>
      </w:r>
      <w:proofErr w:type="spellEnd"/>
      <w:r w:rsidRPr="009B53A7">
        <w:rPr>
          <w:lang w:eastAsia="es-PE"/>
        </w:rPr>
        <w:t xml:space="preserve"> (tabla 1).</w:t>
      </w:r>
    </w:p>
    <w:p w:rsidR="003E009F" w:rsidRPr="009B53A7" w:rsidRDefault="003E009F" w:rsidP="003E009F">
      <w:pPr>
        <w:suppressAutoHyphens/>
        <w:spacing w:line="360" w:lineRule="auto"/>
        <w:jc w:val="both"/>
        <w:rPr>
          <w:lang w:eastAsia="es-PE"/>
        </w:rPr>
      </w:pPr>
      <w:r w:rsidRPr="009B53A7">
        <w:rPr>
          <w:lang w:eastAsia="es-PE"/>
        </w:rPr>
        <w:t xml:space="preserve">En el modelo de Cox ajustado se encontró </w:t>
      </w:r>
      <w:r w:rsidRPr="009B53A7">
        <w:rPr>
          <w:lang w:val="es-PE" w:eastAsia="es-PE"/>
        </w:rPr>
        <w:t xml:space="preserve">asociación entre la hipoalbuminemia (HR= 1,03; IC 95 %; 1,01-1,04), edad (HR= 1,02; IC 95 %; 1,01-1,04), malnutrición (HR= 1,1; IC 95 %; 1,05-1,21), diabetes mellitus (HR= 1,05; IC 95 %; 1,00-1,12), porcentaje de grasa corporal (HR= 0,97; IC 95 %; 0,92 – 0,99) y la toxicidad a </w:t>
      </w:r>
      <w:proofErr w:type="spellStart"/>
      <w:r w:rsidRPr="009B53A7">
        <w:rPr>
          <w:lang w:val="es-PE" w:eastAsia="es-PE"/>
        </w:rPr>
        <w:t>quimioterápicos</w:t>
      </w:r>
      <w:proofErr w:type="spellEnd"/>
      <w:r w:rsidRPr="009B53A7">
        <w:rPr>
          <w:lang w:val="es-PE" w:eastAsia="es-PE"/>
        </w:rPr>
        <w:t>.</w:t>
      </w:r>
      <w:r w:rsidRPr="009B53A7">
        <w:rPr>
          <w:lang w:eastAsia="es-PE"/>
        </w:rPr>
        <w:t xml:space="preserve"> Los demás resultados se aprecian en la tabla 2.</w:t>
      </w:r>
    </w:p>
    <w:p w:rsidR="003E009F" w:rsidRPr="009B53A7" w:rsidRDefault="003E009F" w:rsidP="009B53A7">
      <w:pPr>
        <w:suppressAutoHyphens/>
        <w:spacing w:line="360" w:lineRule="auto"/>
        <w:jc w:val="both"/>
        <w:rPr>
          <w:lang w:eastAsia="es-PE"/>
        </w:rPr>
      </w:pPr>
    </w:p>
    <w:p w:rsidR="009B53A7" w:rsidRPr="009B53A7" w:rsidRDefault="009B53A7" w:rsidP="009B53A7">
      <w:pPr>
        <w:suppressAutoHyphens/>
        <w:spacing w:line="360" w:lineRule="auto"/>
        <w:ind w:right="-358" w:hanging="1"/>
        <w:jc w:val="center"/>
        <w:rPr>
          <w:b/>
          <w:lang w:eastAsia="es-PE"/>
        </w:rPr>
      </w:pPr>
    </w:p>
    <w:p w:rsidR="009B53A7" w:rsidRDefault="009B53A7">
      <w:pPr>
        <w:rPr>
          <w:b/>
          <w:sz w:val="22"/>
          <w:szCs w:val="22"/>
          <w:lang w:eastAsia="es-PE"/>
        </w:rPr>
      </w:pPr>
      <w:r>
        <w:rPr>
          <w:b/>
          <w:sz w:val="22"/>
          <w:szCs w:val="22"/>
          <w:lang w:eastAsia="es-PE"/>
        </w:rPr>
        <w:br w:type="page"/>
      </w:r>
    </w:p>
    <w:p w:rsidR="009B53A7" w:rsidRPr="009B53A7" w:rsidRDefault="009B53A7" w:rsidP="009B53A7">
      <w:pPr>
        <w:suppressAutoHyphens/>
        <w:spacing w:line="360" w:lineRule="auto"/>
        <w:ind w:right="-358" w:hanging="1"/>
        <w:jc w:val="center"/>
        <w:rPr>
          <w:rFonts w:eastAsia="Verdana"/>
          <w:b/>
          <w:bCs/>
          <w:lang w:val="es-PE" w:eastAsia="es-PE"/>
        </w:rPr>
      </w:pPr>
      <w:r w:rsidRPr="009B53A7">
        <w:rPr>
          <w:b/>
          <w:sz w:val="22"/>
          <w:szCs w:val="22"/>
          <w:lang w:eastAsia="es-PE"/>
        </w:rPr>
        <w:lastRenderedPageBreak/>
        <w:t xml:space="preserve">Tabla 1 - </w:t>
      </w:r>
      <w:r w:rsidRPr="009B53A7">
        <w:rPr>
          <w:sz w:val="22"/>
          <w:szCs w:val="22"/>
          <w:lang w:eastAsia="es-PE"/>
        </w:rPr>
        <w:t xml:space="preserve">Características de los sujetos del estudio y análisis </w:t>
      </w:r>
      <w:proofErr w:type="spellStart"/>
      <w:r w:rsidRPr="009B53A7">
        <w:rPr>
          <w:sz w:val="22"/>
          <w:szCs w:val="22"/>
          <w:lang w:eastAsia="es-PE"/>
        </w:rPr>
        <w:t>bivariado</w:t>
      </w:r>
      <w:proofErr w:type="spellEnd"/>
      <w:r w:rsidRPr="009B53A7">
        <w:rPr>
          <w:sz w:val="22"/>
          <w:szCs w:val="22"/>
          <w:lang w:eastAsia="es-PE"/>
        </w:rPr>
        <w:t xml:space="preserve"> (n= 192)</w:t>
      </w:r>
    </w:p>
    <w:p w:rsidR="003E009F" w:rsidRDefault="003E009F" w:rsidP="009B53A7">
      <w:pPr>
        <w:suppressAutoHyphens/>
        <w:spacing w:line="360" w:lineRule="auto"/>
        <w:jc w:val="center"/>
        <w:rPr>
          <w:color w:val="000000"/>
          <w:sz w:val="16"/>
          <w:szCs w:val="16"/>
          <w:lang w:eastAsia="es-PE"/>
        </w:rPr>
      </w:pPr>
      <w:r>
        <w:rPr>
          <w:noProof/>
          <w:color w:val="000000"/>
          <w:sz w:val="16"/>
          <w:szCs w:val="16"/>
          <w:lang w:val="es-ES" w:eastAsia="es-ES"/>
        </w:rPr>
        <w:drawing>
          <wp:inline distT="0" distB="0" distL="0" distR="0">
            <wp:extent cx="5962650" cy="5181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01_2290.bmp"/>
                    <pic:cNvPicPr/>
                  </pic:nvPicPr>
                  <pic:blipFill>
                    <a:blip r:embed="rId10">
                      <a:extLst>
                        <a:ext uri="{28A0092B-C50C-407E-A947-70E740481C1C}">
                          <a14:useLocalDpi xmlns:a14="http://schemas.microsoft.com/office/drawing/2010/main" val="0"/>
                        </a:ext>
                      </a:extLst>
                    </a:blip>
                    <a:stretch>
                      <a:fillRect/>
                    </a:stretch>
                  </pic:blipFill>
                  <pic:spPr>
                    <a:xfrm>
                      <a:off x="0" y="0"/>
                      <a:ext cx="5962650" cy="5181600"/>
                    </a:xfrm>
                    <a:prstGeom prst="rect">
                      <a:avLst/>
                    </a:prstGeom>
                  </pic:spPr>
                </pic:pic>
              </a:graphicData>
            </a:graphic>
          </wp:inline>
        </w:drawing>
      </w:r>
    </w:p>
    <w:p w:rsidR="009B53A7" w:rsidRPr="009B53A7" w:rsidRDefault="009B53A7" w:rsidP="009B53A7">
      <w:pPr>
        <w:suppressAutoHyphens/>
        <w:spacing w:line="360" w:lineRule="auto"/>
        <w:jc w:val="center"/>
        <w:rPr>
          <w:rFonts w:eastAsia="Verdana"/>
          <w:sz w:val="16"/>
          <w:szCs w:val="16"/>
          <w:highlight w:val="white"/>
          <w:lang w:eastAsia="es-PE"/>
        </w:rPr>
      </w:pPr>
      <w:r w:rsidRPr="009B53A7">
        <w:rPr>
          <w:color w:val="000000"/>
          <w:sz w:val="16"/>
          <w:szCs w:val="16"/>
          <w:lang w:eastAsia="es-PE"/>
        </w:rPr>
        <w:t>¹ DE: desviación estándar</w:t>
      </w:r>
    </w:p>
    <w:p w:rsidR="009B53A7" w:rsidRPr="009B53A7" w:rsidRDefault="009B53A7" w:rsidP="009B53A7">
      <w:pPr>
        <w:suppressAutoHyphens/>
        <w:spacing w:line="360" w:lineRule="auto"/>
        <w:jc w:val="center"/>
        <w:rPr>
          <w:color w:val="000000"/>
          <w:sz w:val="16"/>
          <w:szCs w:val="16"/>
          <w:lang w:eastAsia="es-PE"/>
        </w:rPr>
      </w:pPr>
      <w:r w:rsidRPr="009B53A7">
        <w:rPr>
          <w:color w:val="000000"/>
          <w:sz w:val="16"/>
          <w:szCs w:val="16"/>
          <w:vertAlign w:val="superscript"/>
          <w:lang w:eastAsia="es-PE"/>
        </w:rPr>
        <w:t>2</w:t>
      </w:r>
      <w:r w:rsidRPr="009B53A7">
        <w:rPr>
          <w:color w:val="000000"/>
          <w:sz w:val="16"/>
          <w:szCs w:val="16"/>
          <w:lang w:eastAsia="es-PE"/>
        </w:rPr>
        <w:t xml:space="preserve"> HTA: hipertensión arterial</w:t>
      </w:r>
    </w:p>
    <w:p w:rsidR="009B53A7" w:rsidRPr="009B53A7" w:rsidRDefault="009B53A7" w:rsidP="009B53A7">
      <w:pPr>
        <w:suppressAutoHyphens/>
        <w:spacing w:line="360" w:lineRule="auto"/>
        <w:jc w:val="both"/>
        <w:rPr>
          <w:color w:val="000000"/>
          <w:lang w:eastAsia="es-PE"/>
        </w:rPr>
      </w:pPr>
    </w:p>
    <w:p w:rsidR="009B53A7" w:rsidRPr="009B53A7" w:rsidRDefault="009B53A7" w:rsidP="009B53A7">
      <w:pPr>
        <w:suppressAutoHyphens/>
        <w:spacing w:line="360" w:lineRule="auto"/>
        <w:jc w:val="both"/>
        <w:rPr>
          <w:lang w:eastAsia="es-PE"/>
        </w:rPr>
      </w:pPr>
    </w:p>
    <w:p w:rsidR="00182E3F" w:rsidRDefault="00182E3F">
      <w:pPr>
        <w:rPr>
          <w:b/>
          <w:bCs/>
          <w:color w:val="000000"/>
          <w:sz w:val="22"/>
          <w:szCs w:val="22"/>
          <w:lang w:eastAsia="es-PE"/>
        </w:rPr>
      </w:pPr>
      <w:r>
        <w:rPr>
          <w:b/>
          <w:bCs/>
          <w:color w:val="000000"/>
          <w:sz w:val="22"/>
          <w:szCs w:val="22"/>
          <w:lang w:eastAsia="es-PE"/>
        </w:rPr>
        <w:br w:type="page"/>
      </w:r>
    </w:p>
    <w:p w:rsidR="009B53A7" w:rsidRPr="009B53A7" w:rsidRDefault="009B53A7" w:rsidP="009B53A7">
      <w:pPr>
        <w:suppressAutoHyphens/>
        <w:spacing w:line="360" w:lineRule="auto"/>
        <w:jc w:val="center"/>
        <w:rPr>
          <w:color w:val="000000"/>
          <w:sz w:val="22"/>
          <w:szCs w:val="22"/>
          <w:lang w:eastAsia="es-PE"/>
        </w:rPr>
      </w:pPr>
      <w:r w:rsidRPr="009B53A7">
        <w:rPr>
          <w:b/>
          <w:bCs/>
          <w:color w:val="000000"/>
          <w:sz w:val="22"/>
          <w:szCs w:val="22"/>
          <w:lang w:eastAsia="es-PE"/>
        </w:rPr>
        <w:lastRenderedPageBreak/>
        <w:t xml:space="preserve">Tabla 2 - </w:t>
      </w:r>
      <w:r w:rsidRPr="009B53A7">
        <w:rPr>
          <w:bCs/>
          <w:color w:val="000000"/>
          <w:sz w:val="22"/>
          <w:szCs w:val="22"/>
          <w:lang w:eastAsia="es-PE"/>
        </w:rPr>
        <w:t>Regresión de Cox para predicción de toxicidad a quimioterapia (n= 192)</w:t>
      </w:r>
    </w:p>
    <w:p w:rsidR="003E009F" w:rsidRDefault="003E009F" w:rsidP="009B53A7">
      <w:pPr>
        <w:suppressAutoHyphens/>
        <w:spacing w:line="360" w:lineRule="auto"/>
        <w:jc w:val="center"/>
        <w:rPr>
          <w:color w:val="000000"/>
          <w:sz w:val="16"/>
          <w:szCs w:val="16"/>
          <w:lang w:eastAsia="es-PE"/>
        </w:rPr>
      </w:pPr>
      <w:r>
        <w:rPr>
          <w:noProof/>
          <w:color w:val="000000"/>
          <w:sz w:val="16"/>
          <w:szCs w:val="16"/>
          <w:lang w:val="es-ES" w:eastAsia="es-ES"/>
        </w:rPr>
        <w:drawing>
          <wp:inline distT="0" distB="0" distL="0" distR="0">
            <wp:extent cx="5353050" cy="3629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02_2290.bmp"/>
                    <pic:cNvPicPr/>
                  </pic:nvPicPr>
                  <pic:blipFill>
                    <a:blip r:embed="rId11">
                      <a:extLst>
                        <a:ext uri="{28A0092B-C50C-407E-A947-70E740481C1C}">
                          <a14:useLocalDpi xmlns:a14="http://schemas.microsoft.com/office/drawing/2010/main" val="0"/>
                        </a:ext>
                      </a:extLst>
                    </a:blip>
                    <a:stretch>
                      <a:fillRect/>
                    </a:stretch>
                  </pic:blipFill>
                  <pic:spPr>
                    <a:xfrm>
                      <a:off x="0" y="0"/>
                      <a:ext cx="5353050" cy="3629025"/>
                    </a:xfrm>
                    <a:prstGeom prst="rect">
                      <a:avLst/>
                    </a:prstGeom>
                  </pic:spPr>
                </pic:pic>
              </a:graphicData>
            </a:graphic>
          </wp:inline>
        </w:drawing>
      </w:r>
    </w:p>
    <w:p w:rsidR="009B53A7" w:rsidRPr="009B53A7" w:rsidRDefault="009B53A7" w:rsidP="009B53A7">
      <w:pPr>
        <w:suppressAutoHyphens/>
        <w:spacing w:line="360" w:lineRule="auto"/>
        <w:jc w:val="center"/>
        <w:rPr>
          <w:rFonts w:eastAsia="Verdana"/>
          <w:sz w:val="16"/>
          <w:szCs w:val="16"/>
          <w:highlight w:val="white"/>
          <w:lang w:eastAsia="es-PE"/>
        </w:rPr>
      </w:pPr>
      <w:r w:rsidRPr="009B53A7">
        <w:rPr>
          <w:color w:val="000000"/>
          <w:sz w:val="16"/>
          <w:szCs w:val="16"/>
          <w:lang w:eastAsia="es-PE"/>
        </w:rPr>
        <w:t>Modelo 1: Modelo crudo</w:t>
      </w:r>
    </w:p>
    <w:p w:rsidR="009B53A7" w:rsidRPr="009B53A7" w:rsidRDefault="009B53A7" w:rsidP="009B53A7">
      <w:pPr>
        <w:suppressAutoHyphens/>
        <w:spacing w:line="360" w:lineRule="auto"/>
        <w:jc w:val="center"/>
        <w:rPr>
          <w:color w:val="000000"/>
          <w:sz w:val="16"/>
          <w:szCs w:val="16"/>
          <w:lang w:eastAsia="es-PE"/>
        </w:rPr>
      </w:pPr>
      <w:r w:rsidRPr="009B53A7">
        <w:rPr>
          <w:color w:val="000000"/>
          <w:sz w:val="16"/>
          <w:szCs w:val="16"/>
          <w:lang w:eastAsia="es-PE"/>
        </w:rPr>
        <w:t>Modelo 2: Ajustado por edad, DM2, hipoalbuminemia y tipo de cáncer</w:t>
      </w:r>
    </w:p>
    <w:p w:rsidR="009B53A7" w:rsidRPr="009B53A7" w:rsidRDefault="009B53A7" w:rsidP="009B53A7">
      <w:pPr>
        <w:suppressAutoHyphens/>
        <w:spacing w:line="360" w:lineRule="auto"/>
        <w:jc w:val="center"/>
        <w:rPr>
          <w:rFonts w:eastAsia="Verdana"/>
          <w:sz w:val="16"/>
          <w:szCs w:val="16"/>
          <w:highlight w:val="white"/>
          <w:lang w:val="es-PE" w:eastAsia="es-PE"/>
        </w:rPr>
      </w:pPr>
      <w:r w:rsidRPr="009B53A7">
        <w:rPr>
          <w:color w:val="000000"/>
          <w:sz w:val="16"/>
          <w:szCs w:val="16"/>
          <w:lang w:eastAsia="es-PE"/>
        </w:rPr>
        <w:t xml:space="preserve">¹ HR: </w:t>
      </w:r>
      <w:proofErr w:type="spellStart"/>
      <w:r w:rsidRPr="009B53A7">
        <w:rPr>
          <w:color w:val="000000"/>
          <w:sz w:val="16"/>
          <w:szCs w:val="16"/>
          <w:lang w:eastAsia="es-PE"/>
        </w:rPr>
        <w:t>Hazard</w:t>
      </w:r>
      <w:proofErr w:type="spellEnd"/>
      <w:r w:rsidRPr="009B53A7">
        <w:rPr>
          <w:color w:val="000000"/>
          <w:sz w:val="16"/>
          <w:szCs w:val="16"/>
          <w:lang w:eastAsia="es-PE"/>
        </w:rPr>
        <w:t xml:space="preserve"> ratio</w:t>
      </w:r>
    </w:p>
    <w:p w:rsidR="009B53A7" w:rsidRPr="009B53A7" w:rsidRDefault="009B53A7" w:rsidP="009B53A7">
      <w:pPr>
        <w:suppressAutoHyphens/>
        <w:spacing w:line="360" w:lineRule="auto"/>
        <w:jc w:val="center"/>
        <w:rPr>
          <w:color w:val="000000"/>
          <w:sz w:val="16"/>
          <w:szCs w:val="16"/>
          <w:lang w:eastAsia="es-PE"/>
        </w:rPr>
      </w:pPr>
      <w:r w:rsidRPr="009B53A7">
        <w:rPr>
          <w:color w:val="000000"/>
          <w:sz w:val="16"/>
          <w:szCs w:val="16"/>
          <w:vertAlign w:val="superscript"/>
          <w:lang w:eastAsia="es-PE"/>
        </w:rPr>
        <w:t>2</w:t>
      </w:r>
      <w:r w:rsidRPr="009B53A7">
        <w:rPr>
          <w:color w:val="000000"/>
          <w:sz w:val="16"/>
          <w:szCs w:val="16"/>
          <w:lang w:eastAsia="es-PE"/>
        </w:rPr>
        <w:t xml:space="preserve"> HTA: Hipertensión arterial</w:t>
      </w:r>
    </w:p>
    <w:p w:rsidR="009B53A7" w:rsidRPr="009B53A7" w:rsidRDefault="009B53A7" w:rsidP="009B53A7">
      <w:pPr>
        <w:suppressAutoHyphens/>
        <w:spacing w:line="360" w:lineRule="auto"/>
        <w:jc w:val="both"/>
        <w:rPr>
          <w:color w:val="000000"/>
          <w:lang w:eastAsia="es-PE"/>
        </w:rPr>
      </w:pPr>
    </w:p>
    <w:p w:rsidR="009B53A7" w:rsidRPr="009B53A7" w:rsidRDefault="009B53A7" w:rsidP="009B53A7">
      <w:pPr>
        <w:suppressAutoHyphens/>
        <w:spacing w:line="360" w:lineRule="auto"/>
        <w:jc w:val="both"/>
        <w:rPr>
          <w:color w:val="000000"/>
          <w:lang w:eastAsia="es-PE"/>
        </w:rPr>
      </w:pPr>
    </w:p>
    <w:p w:rsidR="009B53A7" w:rsidRPr="009B53A7" w:rsidRDefault="009B53A7" w:rsidP="009B53A7">
      <w:pPr>
        <w:suppressAutoHyphens/>
        <w:spacing w:line="360" w:lineRule="auto"/>
        <w:ind w:hanging="2"/>
        <w:jc w:val="center"/>
        <w:rPr>
          <w:b/>
          <w:sz w:val="32"/>
          <w:szCs w:val="32"/>
          <w:lang w:eastAsia="es-PE"/>
        </w:rPr>
      </w:pPr>
      <w:r w:rsidRPr="009B53A7">
        <w:rPr>
          <w:b/>
          <w:sz w:val="32"/>
          <w:szCs w:val="32"/>
          <w:lang w:eastAsia="es-PE"/>
        </w:rPr>
        <w:t>DISCUSIÓN</w:t>
      </w:r>
    </w:p>
    <w:p w:rsidR="009B53A7" w:rsidRPr="009B53A7" w:rsidRDefault="009B53A7" w:rsidP="009B53A7">
      <w:pPr>
        <w:suppressAutoHyphens/>
        <w:spacing w:line="360" w:lineRule="auto"/>
        <w:ind w:hanging="1"/>
        <w:jc w:val="both"/>
        <w:rPr>
          <w:bCs/>
          <w:vertAlign w:val="superscript"/>
          <w:lang w:eastAsia="es-PE"/>
        </w:rPr>
      </w:pPr>
      <w:r w:rsidRPr="009B53A7">
        <w:rPr>
          <w:lang w:eastAsia="es-PE"/>
        </w:rPr>
        <w:t>Se encontró que el factor edad está relacionado con la presencia de toxicidad. A mayor edad el organismo del paciente geriátrico presenta cambios fisiológicos, como disminución en la capacidad de la respuesta inmune</w:t>
      </w:r>
      <w:proofErr w:type="gramStart"/>
      <w:r w:rsidRPr="009B53A7">
        <w:rPr>
          <w:lang w:eastAsia="es-PE"/>
        </w:rPr>
        <w:t>.</w:t>
      </w:r>
      <w:r w:rsidRPr="009B53A7">
        <w:rPr>
          <w:bCs/>
          <w:vertAlign w:val="superscript"/>
          <w:lang w:eastAsia="es-PE"/>
        </w:rPr>
        <w:t>(</w:t>
      </w:r>
      <w:proofErr w:type="gramEnd"/>
      <w:r w:rsidRPr="009B53A7">
        <w:rPr>
          <w:bCs/>
          <w:vertAlign w:val="superscript"/>
          <w:lang w:eastAsia="es-PE"/>
        </w:rPr>
        <w:t xml:space="preserve">9) </w:t>
      </w:r>
    </w:p>
    <w:p w:rsidR="009B53A7" w:rsidRPr="009B53A7" w:rsidRDefault="009B53A7" w:rsidP="009B53A7">
      <w:pPr>
        <w:suppressAutoHyphens/>
        <w:spacing w:line="360" w:lineRule="auto"/>
        <w:ind w:hanging="1"/>
        <w:jc w:val="both"/>
        <w:rPr>
          <w:lang w:eastAsia="es-PE"/>
        </w:rPr>
      </w:pPr>
      <w:r w:rsidRPr="009B53A7">
        <w:rPr>
          <w:lang w:eastAsia="es-PE"/>
        </w:rPr>
        <w:t xml:space="preserve">También hubo asociación entre presentar diabetes mellitus y mayor toxicidad a </w:t>
      </w:r>
      <w:proofErr w:type="spellStart"/>
      <w:r w:rsidRPr="009B53A7">
        <w:rPr>
          <w:lang w:eastAsia="es-PE"/>
        </w:rPr>
        <w:t>quimioterápicos</w:t>
      </w:r>
      <w:proofErr w:type="spellEnd"/>
      <w:r w:rsidRPr="009B53A7">
        <w:rPr>
          <w:lang w:eastAsia="es-PE"/>
        </w:rPr>
        <w:t>, lo cual puede ser porque los desórdenes endocrinológicos producidos por esta enfermedad conllevan a una alteración en la producción de energía y de los procesos celulares, los cuales deterioran la fisiología inmunológica y causan mayor vulnerabilidad por toxicidad farmacológica.</w:t>
      </w:r>
      <w:r w:rsidRPr="009B53A7">
        <w:rPr>
          <w:bCs/>
          <w:vertAlign w:val="superscript"/>
          <w:lang w:eastAsia="es-PE"/>
        </w:rPr>
        <w:t>(5)</w:t>
      </w:r>
    </w:p>
    <w:p w:rsidR="009B53A7" w:rsidRPr="009B53A7" w:rsidRDefault="009B53A7" w:rsidP="009B53A7">
      <w:pPr>
        <w:suppressAutoHyphens/>
        <w:spacing w:line="360" w:lineRule="auto"/>
        <w:ind w:hanging="1"/>
        <w:jc w:val="both"/>
        <w:rPr>
          <w:color w:val="0000FF"/>
          <w:highlight w:val="yellow"/>
          <w:u w:val="single"/>
          <w:lang w:val="es-PE" w:eastAsia="es-PE"/>
        </w:rPr>
      </w:pPr>
      <w:r w:rsidRPr="009B53A7">
        <w:rPr>
          <w:lang w:eastAsia="es-PE"/>
        </w:rPr>
        <w:lastRenderedPageBreak/>
        <w:t xml:space="preserve">El mecanismo de acción de los </w:t>
      </w:r>
      <w:proofErr w:type="spellStart"/>
      <w:r w:rsidRPr="009B53A7">
        <w:rPr>
          <w:lang w:eastAsia="es-PE"/>
        </w:rPr>
        <w:t>quimioterápicos</w:t>
      </w:r>
      <w:proofErr w:type="spellEnd"/>
      <w:r w:rsidRPr="009B53A7">
        <w:rPr>
          <w:lang w:eastAsia="es-PE"/>
        </w:rPr>
        <w:t xml:space="preserve"> generalmente radica en su unión a proteínas plasmáticas; de estas, la albúmina es la principal proteína transportadora. La afinidad varía según el fármaco. Las fracciones libres y unidas a proteínas suelen ser constantes; sin embargo, la fracción libre aumenta si se encuentran niveles bajos de albúmina, lo cual potenciaría el efecto del fármaco, especialmente el efecto tóxico en dosis aún terapéuticas</w:t>
      </w:r>
      <w:proofErr w:type="gramStart"/>
      <w:r w:rsidRPr="009B53A7">
        <w:rPr>
          <w:lang w:eastAsia="es-PE"/>
        </w:rPr>
        <w:t>.</w:t>
      </w:r>
      <w:r w:rsidRPr="009B53A7">
        <w:rPr>
          <w:bCs/>
          <w:vertAlign w:val="superscript"/>
          <w:lang w:eastAsia="es-PE"/>
        </w:rPr>
        <w:t>(</w:t>
      </w:r>
      <w:proofErr w:type="gramEnd"/>
      <w:r w:rsidRPr="009B53A7">
        <w:rPr>
          <w:bCs/>
          <w:vertAlign w:val="superscript"/>
          <w:lang w:eastAsia="es-PE"/>
        </w:rPr>
        <w:t>10)</w:t>
      </w:r>
      <w:r w:rsidRPr="009B53A7">
        <w:rPr>
          <w:lang w:eastAsia="es-PE"/>
        </w:rPr>
        <w:t xml:space="preserve"> En el presente estudio, los pacientes con hipoalbuminemia presentaban mayor toxicidad, lo cual a su vez se relacionó con malnutrición. La hipoalbuminemia es un importante marcador nutricional en la práctica clínica.</w:t>
      </w:r>
      <w:r w:rsidRPr="009B53A7">
        <w:rPr>
          <w:bCs/>
          <w:vertAlign w:val="superscript"/>
          <w:lang w:eastAsia="es-PE"/>
        </w:rPr>
        <w:t xml:space="preserve">(11) </w:t>
      </w:r>
      <w:r w:rsidRPr="009B53A7">
        <w:rPr>
          <w:color w:val="000000"/>
          <w:lang w:eastAsia="es-PE"/>
        </w:rPr>
        <w:t xml:space="preserve">Resultados similares se encontraron en adultos mayores con diagnóstico de cáncer de pulmón de células no pequeñas; los pacientes con malnutrición e hipoalbuminemia desarrollaron más toxicidad inducida por la quimioterapia (incluía </w:t>
      </w:r>
      <w:proofErr w:type="spellStart"/>
      <w:r w:rsidRPr="009B53A7">
        <w:rPr>
          <w:color w:val="000000"/>
          <w:lang w:eastAsia="es-PE"/>
        </w:rPr>
        <w:t>paclitaxel</w:t>
      </w:r>
      <w:proofErr w:type="spellEnd"/>
      <w:r w:rsidRPr="009B53A7">
        <w:rPr>
          <w:color w:val="000000"/>
          <w:lang w:eastAsia="es-PE"/>
        </w:rPr>
        <w:t xml:space="preserve"> y cisplatino).</w:t>
      </w:r>
      <w:r w:rsidRPr="009B53A7">
        <w:rPr>
          <w:bCs/>
          <w:color w:val="000000"/>
          <w:vertAlign w:val="superscript"/>
          <w:lang w:eastAsia="es-PE"/>
        </w:rPr>
        <w:t xml:space="preserve">(12) </w:t>
      </w:r>
      <w:r w:rsidRPr="009B53A7">
        <w:rPr>
          <w:lang w:val="es-PE" w:eastAsia="es-PE"/>
        </w:rPr>
        <w:t xml:space="preserve">Otro estudio en pacientes </w:t>
      </w:r>
      <w:proofErr w:type="spellStart"/>
      <w:r w:rsidRPr="009B53A7">
        <w:rPr>
          <w:lang w:val="es-PE" w:eastAsia="es-PE"/>
        </w:rPr>
        <w:t>oncogeriátricos</w:t>
      </w:r>
      <w:proofErr w:type="spellEnd"/>
      <w:r w:rsidRPr="009B53A7">
        <w:rPr>
          <w:lang w:val="es-PE" w:eastAsia="es-PE"/>
        </w:rPr>
        <w:t xml:space="preserve">, en su mayoría en estadio IV de cáncer, en tumores sólidos, también demostró asociación entre un nivel bajo de albúmina </w:t>
      </w:r>
      <w:r w:rsidRPr="009B53A7">
        <w:rPr>
          <w:color w:val="1C1D1E"/>
          <w:shd w:val="clear" w:color="auto" w:fill="FFFFFF"/>
          <w:lang w:eastAsia="es-PE"/>
        </w:rPr>
        <w:t>(≤ 3,6 mg/</w:t>
      </w:r>
      <w:proofErr w:type="spellStart"/>
      <w:r w:rsidRPr="009B53A7">
        <w:rPr>
          <w:color w:val="1C1D1E"/>
          <w:shd w:val="clear" w:color="auto" w:fill="FFFFFF"/>
          <w:lang w:eastAsia="es-PE"/>
        </w:rPr>
        <w:t>dL</w:t>
      </w:r>
      <w:proofErr w:type="spellEnd"/>
      <w:r w:rsidRPr="009B53A7">
        <w:rPr>
          <w:color w:val="1C1D1E"/>
          <w:shd w:val="clear" w:color="auto" w:fill="FFFFFF"/>
          <w:lang w:eastAsia="es-PE"/>
        </w:rPr>
        <w:t>) y mayor riesgo de toxicidad por quimioterapia.</w:t>
      </w:r>
      <w:r w:rsidRPr="009B53A7">
        <w:rPr>
          <w:bCs/>
          <w:vertAlign w:val="superscript"/>
          <w:lang w:eastAsia="es-PE"/>
        </w:rPr>
        <w:t>(13)</w:t>
      </w:r>
    </w:p>
    <w:p w:rsidR="009B53A7" w:rsidRPr="009B53A7" w:rsidRDefault="009B53A7" w:rsidP="009B53A7">
      <w:pPr>
        <w:suppressAutoHyphens/>
        <w:spacing w:line="360" w:lineRule="auto"/>
        <w:ind w:hanging="1"/>
        <w:jc w:val="both"/>
        <w:rPr>
          <w:lang w:eastAsia="es-PE"/>
        </w:rPr>
      </w:pPr>
      <w:r w:rsidRPr="009B53A7">
        <w:rPr>
          <w:lang w:eastAsia="es-PE"/>
        </w:rPr>
        <w:t xml:space="preserve">Por otro lado, las alteraciones nutricionales como la </w:t>
      </w:r>
      <w:proofErr w:type="spellStart"/>
      <w:r w:rsidRPr="009B53A7">
        <w:rPr>
          <w:lang w:eastAsia="es-PE"/>
        </w:rPr>
        <w:t>hiporexia</w:t>
      </w:r>
      <w:proofErr w:type="spellEnd"/>
      <w:r w:rsidRPr="009B53A7">
        <w:rPr>
          <w:lang w:eastAsia="es-PE"/>
        </w:rPr>
        <w:t xml:space="preserve"> y anorexia se encuentran presentes en un 15-25 % de pacientes oncológicos en el momento del diagnóstico y en casi la totalidad de los pacientes con enfermedad </w:t>
      </w:r>
      <w:proofErr w:type="spellStart"/>
      <w:r w:rsidRPr="009B53A7">
        <w:rPr>
          <w:lang w:eastAsia="es-PE"/>
        </w:rPr>
        <w:t>metastásica</w:t>
      </w:r>
      <w:proofErr w:type="spellEnd"/>
      <w:r w:rsidRPr="009B53A7">
        <w:rPr>
          <w:lang w:eastAsia="es-PE"/>
        </w:rPr>
        <w:t>. Esto los conduce a una pérdida considerable de peso o incluso a un estado caquéctico. Dichos estados reducen el valor de albúmina y en consecuencia, aumenta la fracción libre del medicamento e incrementa la toxicidad</w:t>
      </w:r>
      <w:proofErr w:type="gramStart"/>
      <w:r w:rsidRPr="009B53A7">
        <w:rPr>
          <w:lang w:eastAsia="es-PE"/>
        </w:rPr>
        <w:t>.</w:t>
      </w:r>
      <w:r w:rsidRPr="009B53A7">
        <w:rPr>
          <w:bCs/>
          <w:vertAlign w:val="superscript"/>
          <w:lang w:eastAsia="es-PE"/>
        </w:rPr>
        <w:t>(</w:t>
      </w:r>
      <w:proofErr w:type="gramEnd"/>
      <w:r w:rsidRPr="009B53A7">
        <w:rPr>
          <w:bCs/>
          <w:vertAlign w:val="superscript"/>
          <w:lang w:eastAsia="es-PE"/>
        </w:rPr>
        <w:t>10)</w:t>
      </w:r>
      <w:r w:rsidRPr="009B53A7">
        <w:rPr>
          <w:lang w:eastAsia="es-PE"/>
        </w:rPr>
        <w:t xml:space="preserve"> </w:t>
      </w:r>
    </w:p>
    <w:p w:rsidR="009B53A7" w:rsidRPr="009B53A7" w:rsidRDefault="009B53A7" w:rsidP="009B53A7">
      <w:pPr>
        <w:suppressAutoHyphens/>
        <w:spacing w:line="360" w:lineRule="auto"/>
        <w:ind w:hanging="1"/>
        <w:jc w:val="both"/>
        <w:rPr>
          <w:lang w:eastAsia="es-PE"/>
        </w:rPr>
      </w:pPr>
      <w:r w:rsidRPr="009B53A7">
        <w:rPr>
          <w:lang w:eastAsia="es-PE"/>
        </w:rPr>
        <w:t xml:space="preserve">En el presente estudio se encontró que a mayor porcentaje de grasa corporal, disminuye en 0,96 veces el riesgo de toxicidad a </w:t>
      </w:r>
      <w:proofErr w:type="spellStart"/>
      <w:r w:rsidRPr="009B53A7">
        <w:rPr>
          <w:lang w:eastAsia="es-PE"/>
        </w:rPr>
        <w:t>quimioterápicos</w:t>
      </w:r>
      <w:proofErr w:type="spellEnd"/>
      <w:r w:rsidRPr="009B53A7">
        <w:rPr>
          <w:lang w:eastAsia="es-PE"/>
        </w:rPr>
        <w:t>, lo cual actúa como factor protector. Una revisión sistemática muestra que menor masa magra en el adulto mayor se asocia a toxicidad; sin embargo, en el porcentaje de masa corporal, los resultados no fueron concluyentes</w:t>
      </w:r>
      <w:proofErr w:type="gramStart"/>
      <w:r w:rsidRPr="009B53A7">
        <w:rPr>
          <w:lang w:eastAsia="es-PE"/>
        </w:rPr>
        <w:t>.</w:t>
      </w:r>
      <w:r w:rsidRPr="009B53A7">
        <w:rPr>
          <w:bCs/>
          <w:vertAlign w:val="superscript"/>
          <w:lang w:eastAsia="es-PE"/>
        </w:rPr>
        <w:t>(</w:t>
      </w:r>
      <w:proofErr w:type="gramEnd"/>
      <w:r w:rsidRPr="009B53A7">
        <w:rPr>
          <w:bCs/>
          <w:vertAlign w:val="superscript"/>
          <w:lang w:eastAsia="es-PE"/>
        </w:rPr>
        <w:t>14)</w:t>
      </w:r>
    </w:p>
    <w:p w:rsidR="009B53A7" w:rsidRPr="009B53A7" w:rsidRDefault="009B53A7" w:rsidP="009B53A7">
      <w:pPr>
        <w:suppressAutoHyphens/>
        <w:spacing w:line="360" w:lineRule="auto"/>
        <w:ind w:hanging="1"/>
        <w:jc w:val="both"/>
        <w:rPr>
          <w:b/>
          <w:u w:val="single"/>
          <w:lang w:eastAsia="es-PE"/>
        </w:rPr>
      </w:pPr>
      <w:r w:rsidRPr="009B53A7">
        <w:rPr>
          <w:lang w:eastAsia="es-PE"/>
        </w:rPr>
        <w:t xml:space="preserve">El presente estudio incluye la población fue de una sola institución de las fuerzas armadas, el </w:t>
      </w:r>
      <w:r w:rsidRPr="009B53A7">
        <w:rPr>
          <w:color w:val="000000"/>
          <w:lang w:eastAsia="es-PE"/>
        </w:rPr>
        <w:t>Centro Médico Naval "Cirujano Mayor Santiago Távara"</w:t>
      </w:r>
      <w:r w:rsidRPr="009B53A7">
        <w:rPr>
          <w:lang w:eastAsia="es-PE"/>
        </w:rPr>
        <w:t>, lo cual limita su validez externa.</w:t>
      </w:r>
    </w:p>
    <w:p w:rsidR="009B53A7" w:rsidRPr="009B53A7" w:rsidRDefault="009B53A7" w:rsidP="009B53A7">
      <w:pPr>
        <w:suppressAutoHyphens/>
        <w:spacing w:line="360" w:lineRule="auto"/>
        <w:ind w:hanging="1"/>
        <w:jc w:val="both"/>
        <w:rPr>
          <w:lang w:eastAsia="es-PE"/>
        </w:rPr>
      </w:pPr>
      <w:r w:rsidRPr="009B53A7">
        <w:rPr>
          <w:lang w:eastAsia="es-PE"/>
        </w:rPr>
        <w:t xml:space="preserve">Se encontró asociación entre la hipoalbuminemia y la toxicidad a </w:t>
      </w:r>
      <w:proofErr w:type="spellStart"/>
      <w:r w:rsidRPr="009B53A7">
        <w:rPr>
          <w:lang w:eastAsia="es-PE"/>
        </w:rPr>
        <w:t>quimioterápicos</w:t>
      </w:r>
      <w:proofErr w:type="spellEnd"/>
      <w:r w:rsidRPr="009B53A7">
        <w:rPr>
          <w:lang w:eastAsia="es-PE"/>
        </w:rPr>
        <w:t xml:space="preserve"> en pacientes adultos mayores con cáncer.</w:t>
      </w:r>
    </w:p>
    <w:p w:rsidR="009B53A7" w:rsidRPr="009B53A7" w:rsidRDefault="009B53A7" w:rsidP="009B53A7">
      <w:pPr>
        <w:suppressAutoHyphens/>
        <w:spacing w:line="360" w:lineRule="auto"/>
        <w:ind w:hanging="1"/>
        <w:jc w:val="both"/>
        <w:rPr>
          <w:lang w:eastAsia="es-PE"/>
        </w:rPr>
      </w:pPr>
      <w:r w:rsidRPr="009B53A7">
        <w:rPr>
          <w:lang w:eastAsia="es-PE"/>
        </w:rPr>
        <w:t>Se recomienda emplear la dosificación de albúmina sérica en la evaluación del estado nutricional, como predictor pronóstico de gravedad y supervivencia en diversas neoplasias.</w:t>
      </w:r>
    </w:p>
    <w:p w:rsidR="009B53A7" w:rsidRPr="009B53A7" w:rsidRDefault="009B53A7" w:rsidP="009B53A7">
      <w:pPr>
        <w:keepNext/>
        <w:suppressAutoHyphens/>
        <w:spacing w:line="360" w:lineRule="auto"/>
        <w:ind w:hanging="2"/>
        <w:jc w:val="center"/>
        <w:rPr>
          <w:b/>
          <w:sz w:val="32"/>
          <w:szCs w:val="32"/>
          <w:u w:color="000000"/>
          <w:lang w:val="es-PE" w:eastAsia="es-PE"/>
        </w:rPr>
      </w:pPr>
    </w:p>
    <w:p w:rsidR="009B53A7" w:rsidRPr="009B53A7" w:rsidRDefault="009B53A7" w:rsidP="009B53A7">
      <w:pPr>
        <w:keepNext/>
        <w:suppressAutoHyphens/>
        <w:spacing w:line="360" w:lineRule="auto"/>
        <w:ind w:hanging="2"/>
        <w:jc w:val="center"/>
        <w:rPr>
          <w:b/>
          <w:sz w:val="32"/>
          <w:szCs w:val="32"/>
          <w:u w:color="000000"/>
          <w:lang w:val="es-PE" w:eastAsia="es-PE"/>
        </w:rPr>
      </w:pPr>
    </w:p>
    <w:p w:rsidR="009B53A7" w:rsidRPr="009B53A7" w:rsidRDefault="009B53A7" w:rsidP="009B53A7">
      <w:pPr>
        <w:keepNext/>
        <w:suppressAutoHyphens/>
        <w:spacing w:line="360" w:lineRule="auto"/>
        <w:ind w:hanging="2"/>
        <w:jc w:val="center"/>
        <w:rPr>
          <w:b/>
          <w:color w:val="000000"/>
          <w:sz w:val="32"/>
          <w:szCs w:val="32"/>
          <w:u w:color="000000"/>
          <w:lang w:val="es-PE" w:eastAsia="es-PE"/>
        </w:rPr>
      </w:pPr>
      <w:r w:rsidRPr="009B53A7">
        <w:rPr>
          <w:b/>
          <w:sz w:val="32"/>
          <w:szCs w:val="32"/>
          <w:u w:color="000000"/>
          <w:lang w:val="es-PE" w:eastAsia="es-PE"/>
        </w:rPr>
        <w:t xml:space="preserve">REFERENCIAS </w:t>
      </w:r>
      <w:r w:rsidRPr="009B53A7">
        <w:rPr>
          <w:b/>
          <w:color w:val="000000"/>
          <w:sz w:val="32"/>
          <w:szCs w:val="32"/>
          <w:u w:color="000000"/>
          <w:lang w:val="es-PE" w:eastAsia="es-PE"/>
        </w:rPr>
        <w:t>BIBLIOGRÁFICAS</w:t>
      </w:r>
    </w:p>
    <w:p w:rsidR="009B53A7" w:rsidRPr="009B53A7" w:rsidRDefault="009B53A7" w:rsidP="009B53A7">
      <w:pPr>
        <w:suppressAutoHyphens/>
        <w:spacing w:line="360" w:lineRule="auto"/>
        <w:ind w:hanging="1"/>
        <w:rPr>
          <w:bCs/>
          <w:lang w:eastAsia="es-PE"/>
        </w:rPr>
      </w:pPr>
      <w:r w:rsidRPr="009B53A7">
        <w:rPr>
          <w:bCs/>
          <w:lang w:eastAsia="es-PE"/>
        </w:rPr>
        <w:t xml:space="preserve">1. Ruiz R, Romero E. Informe Técnico: Situación de la Población Adulta Mayor Abril-Mayo-Junio 2022. Boletín del Instituto Nacional de Estadística e Informática. 2022 [acceso: 16/07/2022]; 2:1-50. Disponible en: </w:t>
      </w:r>
      <w:hyperlink r:id="rId12" w:history="1">
        <w:r w:rsidRPr="009B53A7">
          <w:rPr>
            <w:bCs/>
            <w:color w:val="0000FF"/>
            <w:u w:val="single"/>
            <w:lang w:eastAsia="es-PE"/>
          </w:rPr>
          <w:t>https://www.inei.gob.pe/media/MenuRecursivo/boletines/boletin-adulto-mayor-ene-mar-2022.pdf</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eastAsia="es-PE"/>
        </w:rPr>
        <w:t xml:space="preserve">2. Ramos W, De La Cruz-Vargas JA. Presentación del documento técnico “Análisis de la situación del cáncer en el Perú, 2018”. </w:t>
      </w:r>
      <w:proofErr w:type="spellStart"/>
      <w:r w:rsidRPr="009B53A7">
        <w:rPr>
          <w:bCs/>
          <w:lang w:eastAsia="es-PE"/>
        </w:rPr>
        <w:t>Rev</w:t>
      </w:r>
      <w:proofErr w:type="spellEnd"/>
      <w:r w:rsidRPr="009B53A7">
        <w:rPr>
          <w:bCs/>
          <w:lang w:eastAsia="es-PE"/>
        </w:rPr>
        <w:t xml:space="preserve"> </w:t>
      </w:r>
      <w:proofErr w:type="spellStart"/>
      <w:r w:rsidRPr="009B53A7">
        <w:rPr>
          <w:bCs/>
          <w:lang w:eastAsia="es-PE"/>
        </w:rPr>
        <w:t>Fac</w:t>
      </w:r>
      <w:proofErr w:type="spellEnd"/>
      <w:r w:rsidRPr="009B53A7">
        <w:rPr>
          <w:bCs/>
          <w:lang w:eastAsia="es-PE"/>
        </w:rPr>
        <w:t xml:space="preserve"> </w:t>
      </w:r>
      <w:proofErr w:type="spellStart"/>
      <w:r w:rsidRPr="009B53A7">
        <w:rPr>
          <w:bCs/>
          <w:lang w:eastAsia="es-PE"/>
        </w:rPr>
        <w:t>Med</w:t>
      </w:r>
      <w:proofErr w:type="spellEnd"/>
      <w:r w:rsidRPr="009B53A7">
        <w:rPr>
          <w:bCs/>
          <w:lang w:eastAsia="es-PE"/>
        </w:rPr>
        <w:t xml:space="preserve"> </w:t>
      </w:r>
      <w:proofErr w:type="spellStart"/>
      <w:r w:rsidRPr="009B53A7">
        <w:rPr>
          <w:bCs/>
          <w:lang w:eastAsia="es-PE"/>
        </w:rPr>
        <w:t>Hum</w:t>
      </w:r>
      <w:proofErr w:type="spellEnd"/>
      <w:r w:rsidRPr="009B53A7">
        <w:rPr>
          <w:bCs/>
          <w:lang w:eastAsia="es-PE"/>
        </w:rPr>
        <w:t xml:space="preserve">. 2020 [acceso: 10/07/2022]; 20(1):10-11. Disponible en: </w:t>
      </w:r>
      <w:hyperlink r:id="rId13" w:history="1">
        <w:r w:rsidRPr="009B53A7">
          <w:rPr>
            <w:bCs/>
            <w:color w:val="0000FF"/>
            <w:u w:val="single"/>
            <w:lang w:eastAsia="es-PE"/>
          </w:rPr>
          <w:t>http://www.scielo.org.pe/scielo.php?script=sci_arttext&amp;pid=S2308-05312020000100010</w:t>
        </w:r>
      </w:hyperlink>
      <w:r w:rsidRPr="009B53A7">
        <w:rPr>
          <w:bCs/>
          <w:lang w:eastAsia="es-PE"/>
        </w:rPr>
        <w:t xml:space="preserve">  </w:t>
      </w:r>
    </w:p>
    <w:p w:rsidR="009B53A7" w:rsidRPr="009B53A7" w:rsidRDefault="009B53A7" w:rsidP="009B53A7">
      <w:pPr>
        <w:suppressAutoHyphens/>
        <w:spacing w:line="360" w:lineRule="auto"/>
        <w:ind w:hanging="1"/>
        <w:rPr>
          <w:bCs/>
          <w:lang w:val="es-PE" w:eastAsia="es-PE"/>
        </w:rPr>
      </w:pPr>
      <w:r w:rsidRPr="009B53A7">
        <w:rPr>
          <w:bCs/>
          <w:lang w:eastAsia="es-PE"/>
        </w:rPr>
        <w:t xml:space="preserve">3. </w:t>
      </w:r>
      <w:proofErr w:type="spellStart"/>
      <w:r w:rsidRPr="009B53A7">
        <w:rPr>
          <w:bCs/>
          <w:lang w:eastAsia="es-PE"/>
        </w:rPr>
        <w:t>Suing</w:t>
      </w:r>
      <w:proofErr w:type="spellEnd"/>
      <w:r w:rsidRPr="009B53A7">
        <w:rPr>
          <w:bCs/>
          <w:lang w:eastAsia="es-PE"/>
        </w:rPr>
        <w:t xml:space="preserve">-Ortega MJ, </w:t>
      </w:r>
      <w:proofErr w:type="spellStart"/>
      <w:r w:rsidRPr="009B53A7">
        <w:rPr>
          <w:bCs/>
          <w:lang w:eastAsia="es-PE"/>
        </w:rPr>
        <w:t>Tixi</w:t>
      </w:r>
      <w:proofErr w:type="spellEnd"/>
      <w:r w:rsidRPr="009B53A7">
        <w:rPr>
          <w:bCs/>
          <w:lang w:eastAsia="es-PE"/>
        </w:rPr>
        <w:t xml:space="preserve">-Ramírez R. Hipoalbuminemia, un detractor en los </w:t>
      </w:r>
      <w:proofErr w:type="spellStart"/>
      <w:r w:rsidRPr="009B53A7">
        <w:rPr>
          <w:bCs/>
          <w:lang w:eastAsia="es-PE"/>
        </w:rPr>
        <w:t>gerontes</w:t>
      </w:r>
      <w:proofErr w:type="spellEnd"/>
      <w:r w:rsidRPr="009B53A7">
        <w:rPr>
          <w:bCs/>
          <w:lang w:eastAsia="es-PE"/>
        </w:rPr>
        <w:t xml:space="preserve"> oncológicos. J </w:t>
      </w:r>
      <w:proofErr w:type="spellStart"/>
      <w:r w:rsidRPr="009B53A7">
        <w:rPr>
          <w:bCs/>
          <w:lang w:eastAsia="es-PE"/>
        </w:rPr>
        <w:t>Cancerlol</w:t>
      </w:r>
      <w:proofErr w:type="spellEnd"/>
      <w:r w:rsidRPr="009B53A7">
        <w:rPr>
          <w:bCs/>
          <w:lang w:eastAsia="es-PE"/>
        </w:rPr>
        <w:t xml:space="preserve">. 2019 [acceso: 10/07/2022]; 6:3-12. </w:t>
      </w:r>
      <w:r w:rsidRPr="009B53A7">
        <w:rPr>
          <w:bCs/>
          <w:lang w:val="es-PE" w:eastAsia="es-PE"/>
        </w:rPr>
        <w:t xml:space="preserve">Disponible en: </w:t>
      </w:r>
      <w:hyperlink r:id="rId14" w:history="1">
        <w:r w:rsidRPr="009B53A7">
          <w:rPr>
            <w:bCs/>
            <w:color w:val="0000FF"/>
            <w:u w:val="single"/>
            <w:lang w:val="es-PE" w:eastAsia="es-PE"/>
          </w:rPr>
          <w:t>http://www.journalofcancerology.com/pdf/joc_19_6_1_3-12.pdf</w:t>
        </w:r>
      </w:hyperlink>
      <w:r w:rsidRPr="009B53A7">
        <w:rPr>
          <w:bCs/>
          <w:lang w:val="es-PE" w:eastAsia="es-PE"/>
        </w:rPr>
        <w:t xml:space="preserve"> </w:t>
      </w:r>
    </w:p>
    <w:p w:rsidR="009B53A7" w:rsidRPr="009B53A7" w:rsidRDefault="009B53A7" w:rsidP="009B53A7">
      <w:pPr>
        <w:suppressAutoHyphens/>
        <w:spacing w:line="360" w:lineRule="auto"/>
        <w:ind w:hanging="1"/>
        <w:rPr>
          <w:bCs/>
          <w:lang w:eastAsia="es-PE"/>
        </w:rPr>
      </w:pPr>
      <w:r w:rsidRPr="009B53A7">
        <w:rPr>
          <w:bCs/>
          <w:lang w:val="en-US" w:eastAsia="es-PE"/>
        </w:rPr>
        <w:t xml:space="preserve">4. </w:t>
      </w:r>
      <w:proofErr w:type="spellStart"/>
      <w:r w:rsidRPr="009B53A7">
        <w:rPr>
          <w:bCs/>
          <w:lang w:val="en-US" w:eastAsia="es-PE"/>
        </w:rPr>
        <w:t>Runzer-Colmenares</w:t>
      </w:r>
      <w:proofErr w:type="spellEnd"/>
      <w:r w:rsidRPr="009B53A7">
        <w:rPr>
          <w:bCs/>
          <w:lang w:val="en-US" w:eastAsia="es-PE"/>
        </w:rPr>
        <w:t xml:space="preserve"> FM, </w:t>
      </w:r>
      <w:proofErr w:type="spellStart"/>
      <w:r w:rsidRPr="009B53A7">
        <w:rPr>
          <w:bCs/>
          <w:lang w:val="en-US" w:eastAsia="es-PE"/>
        </w:rPr>
        <w:t>Urrunaga</w:t>
      </w:r>
      <w:proofErr w:type="spellEnd"/>
      <w:r w:rsidRPr="009B53A7">
        <w:rPr>
          <w:bCs/>
          <w:lang w:val="en-US" w:eastAsia="es-PE"/>
        </w:rPr>
        <w:t xml:space="preserve">-Pastor D, Aguirre LG, </w:t>
      </w:r>
      <w:proofErr w:type="spellStart"/>
      <w:r w:rsidRPr="009B53A7">
        <w:rPr>
          <w:bCs/>
          <w:lang w:val="en-US" w:eastAsia="es-PE"/>
        </w:rPr>
        <w:t>Reategui</w:t>
      </w:r>
      <w:proofErr w:type="spellEnd"/>
      <w:r w:rsidRPr="009B53A7">
        <w:rPr>
          <w:bCs/>
          <w:lang w:val="en-US" w:eastAsia="es-PE"/>
        </w:rPr>
        <w:t xml:space="preserve">- Rivera CM, </w:t>
      </w:r>
      <w:proofErr w:type="spellStart"/>
      <w:r w:rsidRPr="009B53A7">
        <w:rPr>
          <w:bCs/>
          <w:lang w:val="en-US" w:eastAsia="es-PE"/>
        </w:rPr>
        <w:t>Parodi</w:t>
      </w:r>
      <w:proofErr w:type="spellEnd"/>
      <w:r w:rsidRPr="009B53A7">
        <w:rPr>
          <w:bCs/>
          <w:lang w:val="en-US" w:eastAsia="es-PE"/>
        </w:rPr>
        <w:t xml:space="preserve"> JF, </w:t>
      </w:r>
      <w:proofErr w:type="spellStart"/>
      <w:r w:rsidRPr="009B53A7">
        <w:rPr>
          <w:bCs/>
          <w:lang w:val="en-US" w:eastAsia="es-PE"/>
        </w:rPr>
        <w:t>Taype</w:t>
      </w:r>
      <w:proofErr w:type="spellEnd"/>
      <w:r w:rsidRPr="009B53A7">
        <w:rPr>
          <w:bCs/>
          <w:lang w:val="en-US" w:eastAsia="es-PE"/>
        </w:rPr>
        <w:t xml:space="preserve"> </w:t>
      </w:r>
      <w:proofErr w:type="spellStart"/>
      <w:r w:rsidRPr="009B53A7">
        <w:rPr>
          <w:bCs/>
          <w:lang w:val="en-US" w:eastAsia="es-PE"/>
        </w:rPr>
        <w:t>Rondan</w:t>
      </w:r>
      <w:proofErr w:type="spellEnd"/>
      <w:r w:rsidRPr="009B53A7">
        <w:rPr>
          <w:bCs/>
          <w:lang w:val="en-US" w:eastAsia="es-PE"/>
        </w:rPr>
        <w:t xml:space="preserve"> A. Frailty and vulnerability as predictors of </w:t>
      </w:r>
      <w:proofErr w:type="spellStart"/>
      <w:r w:rsidRPr="009B53A7">
        <w:rPr>
          <w:bCs/>
          <w:lang w:val="en-US" w:eastAsia="es-PE"/>
        </w:rPr>
        <w:t>radiotoxicity</w:t>
      </w:r>
      <w:proofErr w:type="spellEnd"/>
      <w:r w:rsidRPr="009B53A7">
        <w:rPr>
          <w:bCs/>
          <w:lang w:val="en-US" w:eastAsia="es-PE"/>
        </w:rPr>
        <w:t xml:space="preserve"> in older adults: a longitudinal study in Peru. </w:t>
      </w:r>
      <w:proofErr w:type="spellStart"/>
      <w:r w:rsidRPr="009B53A7">
        <w:rPr>
          <w:bCs/>
          <w:lang w:eastAsia="es-PE"/>
        </w:rPr>
        <w:t>Med</w:t>
      </w:r>
      <w:proofErr w:type="spellEnd"/>
      <w:r w:rsidRPr="009B53A7">
        <w:rPr>
          <w:bCs/>
          <w:lang w:eastAsia="es-PE"/>
        </w:rPr>
        <w:t xml:space="preserve"> </w:t>
      </w:r>
      <w:proofErr w:type="spellStart"/>
      <w:r w:rsidRPr="009B53A7">
        <w:rPr>
          <w:bCs/>
          <w:lang w:eastAsia="es-PE"/>
        </w:rPr>
        <w:t>Clin</w:t>
      </w:r>
      <w:proofErr w:type="spellEnd"/>
      <w:r w:rsidRPr="009B53A7">
        <w:rPr>
          <w:bCs/>
          <w:lang w:eastAsia="es-PE"/>
        </w:rPr>
        <w:t xml:space="preserve">. 2017 [acceso: 10/07/2022]; 149(8): 325-30. Disponible en: </w:t>
      </w:r>
      <w:hyperlink r:id="rId15" w:history="1">
        <w:r w:rsidRPr="009B53A7">
          <w:rPr>
            <w:bCs/>
            <w:color w:val="0000FF"/>
            <w:u w:val="single"/>
            <w:lang w:eastAsia="es-PE"/>
          </w:rPr>
          <w:t>https://www.elsevier.es/es-revista-medicina-clinica-2-linkresolver-fragilidad-vulnerabilidad-como-predictores-radiotoxicidad-S0025775317301860</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eastAsia="es-PE"/>
        </w:rPr>
        <w:t xml:space="preserve">5. </w:t>
      </w:r>
      <w:proofErr w:type="spellStart"/>
      <w:r w:rsidRPr="009B53A7">
        <w:rPr>
          <w:bCs/>
          <w:lang w:eastAsia="es-PE"/>
        </w:rPr>
        <w:t>Runzer</w:t>
      </w:r>
      <w:proofErr w:type="spellEnd"/>
      <w:r w:rsidRPr="009B53A7">
        <w:rPr>
          <w:bCs/>
          <w:lang w:eastAsia="es-PE"/>
        </w:rPr>
        <w:t>-Colmenares FM, Chambergo-</w:t>
      </w:r>
      <w:proofErr w:type="spellStart"/>
      <w:r w:rsidRPr="009B53A7">
        <w:rPr>
          <w:bCs/>
          <w:lang w:eastAsia="es-PE"/>
        </w:rPr>
        <w:t>Michilot</w:t>
      </w:r>
      <w:proofErr w:type="spellEnd"/>
      <w:r w:rsidRPr="009B53A7">
        <w:rPr>
          <w:bCs/>
          <w:lang w:eastAsia="es-PE"/>
        </w:rPr>
        <w:t xml:space="preserve"> D, Espinoza-Gutiérrez GA, Corcuera-Ciudad R, Patiño-Villena AF, </w:t>
      </w:r>
      <w:proofErr w:type="spellStart"/>
      <w:r w:rsidRPr="009B53A7">
        <w:rPr>
          <w:bCs/>
          <w:lang w:eastAsia="es-PE"/>
        </w:rPr>
        <w:t>Paima-Olivari</w:t>
      </w:r>
      <w:proofErr w:type="spellEnd"/>
      <w:r w:rsidRPr="009B53A7">
        <w:rPr>
          <w:bCs/>
          <w:lang w:eastAsia="es-PE"/>
        </w:rPr>
        <w:t xml:space="preserve"> R, et al. Diabetes mellitus tipo 2 y toxicidad por quimioterapia en adultos mayores con cáncer prostático. Rev. Habanera </w:t>
      </w:r>
      <w:proofErr w:type="spellStart"/>
      <w:r w:rsidRPr="009B53A7">
        <w:rPr>
          <w:bCs/>
          <w:lang w:eastAsia="es-PE"/>
        </w:rPr>
        <w:t>Cienc</w:t>
      </w:r>
      <w:proofErr w:type="spellEnd"/>
      <w:r w:rsidRPr="009B53A7">
        <w:rPr>
          <w:bCs/>
          <w:lang w:eastAsia="es-PE"/>
        </w:rPr>
        <w:t xml:space="preserve">. </w:t>
      </w:r>
      <w:proofErr w:type="spellStart"/>
      <w:r w:rsidRPr="009B53A7">
        <w:rPr>
          <w:bCs/>
          <w:lang w:eastAsia="es-PE"/>
        </w:rPr>
        <w:t>Médi</w:t>
      </w:r>
      <w:proofErr w:type="spellEnd"/>
      <w:r w:rsidRPr="009B53A7">
        <w:rPr>
          <w:bCs/>
          <w:lang w:eastAsia="es-PE"/>
        </w:rPr>
        <w:t>. 2019 [acceso: 10/07/2022]</w:t>
      </w:r>
      <w:proofErr w:type="gramStart"/>
      <w:r w:rsidRPr="009B53A7">
        <w:rPr>
          <w:bCs/>
          <w:lang w:eastAsia="es-PE"/>
        </w:rPr>
        <w:t>;18</w:t>
      </w:r>
      <w:proofErr w:type="gramEnd"/>
      <w:r w:rsidRPr="009B53A7">
        <w:rPr>
          <w:bCs/>
          <w:lang w:eastAsia="es-PE"/>
        </w:rPr>
        <w:t xml:space="preserve">(1):74-87. Disponible en: </w:t>
      </w:r>
      <w:hyperlink r:id="rId16" w:history="1">
        <w:r w:rsidRPr="009B53A7">
          <w:rPr>
            <w:bCs/>
            <w:color w:val="0000FF"/>
            <w:u w:val="single"/>
            <w:lang w:eastAsia="es-PE"/>
          </w:rPr>
          <w:t>http://www.revhabanera.sld.cu/index.php/rhab/article/view/2451</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eastAsia="es-PE"/>
        </w:rPr>
        <w:t xml:space="preserve">6. </w:t>
      </w:r>
      <w:proofErr w:type="spellStart"/>
      <w:r w:rsidRPr="009B53A7">
        <w:rPr>
          <w:bCs/>
          <w:lang w:eastAsia="es-PE"/>
        </w:rPr>
        <w:t>Alvis</w:t>
      </w:r>
      <w:proofErr w:type="spellEnd"/>
      <w:r w:rsidRPr="009B53A7">
        <w:rPr>
          <w:bCs/>
          <w:lang w:eastAsia="es-PE"/>
        </w:rPr>
        <w:t xml:space="preserve">-Pena D, Calderón-Franco C. Descripción de factores de riesgo para mortalidad en adultos con enfermedad renal crónica en estadio 3 - 5. Acta </w:t>
      </w:r>
      <w:proofErr w:type="spellStart"/>
      <w:r w:rsidRPr="009B53A7">
        <w:rPr>
          <w:bCs/>
          <w:lang w:eastAsia="es-PE"/>
        </w:rPr>
        <w:t>Méd</w:t>
      </w:r>
      <w:proofErr w:type="spellEnd"/>
      <w:r w:rsidRPr="009B53A7">
        <w:rPr>
          <w:bCs/>
          <w:lang w:eastAsia="es-PE"/>
        </w:rPr>
        <w:t xml:space="preserve"> Perú. 2020 [acceso: 10/07/2022]; 37(2):163-8. Disponible en: </w:t>
      </w:r>
      <w:hyperlink r:id="rId17" w:history="1">
        <w:r w:rsidRPr="009B53A7">
          <w:rPr>
            <w:bCs/>
            <w:color w:val="0000FF"/>
            <w:u w:val="single"/>
            <w:lang w:eastAsia="es-PE"/>
          </w:rPr>
          <w:t>http://www.scielo.org.pe/pdf/amp/v37n2/1728-5917-amp-37-02-163.pdf</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eastAsia="es-PE"/>
        </w:rPr>
        <w:lastRenderedPageBreak/>
        <w:t>7. Chambergo-</w:t>
      </w:r>
      <w:proofErr w:type="spellStart"/>
      <w:r w:rsidRPr="009B53A7">
        <w:rPr>
          <w:bCs/>
          <w:lang w:eastAsia="es-PE"/>
        </w:rPr>
        <w:t>Michilot</w:t>
      </w:r>
      <w:proofErr w:type="spellEnd"/>
      <w:r w:rsidRPr="009B53A7">
        <w:rPr>
          <w:bCs/>
          <w:lang w:eastAsia="es-PE"/>
        </w:rPr>
        <w:t xml:space="preserve"> D, Díaz-Villegas G, Merino-Taboada A, </w:t>
      </w:r>
      <w:proofErr w:type="spellStart"/>
      <w:r w:rsidRPr="009B53A7">
        <w:rPr>
          <w:bCs/>
          <w:lang w:eastAsia="es-PE"/>
        </w:rPr>
        <w:t>Runzer</w:t>
      </w:r>
      <w:proofErr w:type="spellEnd"/>
      <w:r w:rsidRPr="009B53A7">
        <w:rPr>
          <w:bCs/>
          <w:lang w:eastAsia="es-PE"/>
        </w:rPr>
        <w:t xml:space="preserve">-Colmenares F. Relación entre malnutrición y valoración geriátrica en adultos mayores de 80 años. </w:t>
      </w:r>
      <w:proofErr w:type="spellStart"/>
      <w:r w:rsidRPr="009B53A7">
        <w:rPr>
          <w:bCs/>
          <w:lang w:eastAsia="es-PE"/>
        </w:rPr>
        <w:t>Nutr</w:t>
      </w:r>
      <w:proofErr w:type="spellEnd"/>
      <w:r w:rsidRPr="009B53A7">
        <w:rPr>
          <w:bCs/>
          <w:lang w:eastAsia="es-PE"/>
        </w:rPr>
        <w:t xml:space="preserve"> </w:t>
      </w:r>
      <w:proofErr w:type="spellStart"/>
      <w:r w:rsidRPr="009B53A7">
        <w:rPr>
          <w:bCs/>
          <w:lang w:eastAsia="es-PE"/>
        </w:rPr>
        <w:t>Clín</w:t>
      </w:r>
      <w:proofErr w:type="spellEnd"/>
      <w:r w:rsidRPr="009B53A7">
        <w:rPr>
          <w:bCs/>
          <w:lang w:eastAsia="es-PE"/>
        </w:rPr>
        <w:t xml:space="preserve"> </w:t>
      </w:r>
      <w:proofErr w:type="spellStart"/>
      <w:r w:rsidRPr="009B53A7">
        <w:rPr>
          <w:bCs/>
          <w:lang w:eastAsia="es-PE"/>
        </w:rPr>
        <w:t>Diet</w:t>
      </w:r>
      <w:proofErr w:type="spellEnd"/>
      <w:r w:rsidRPr="009B53A7">
        <w:rPr>
          <w:bCs/>
          <w:lang w:eastAsia="es-PE"/>
        </w:rPr>
        <w:t xml:space="preserve"> </w:t>
      </w:r>
      <w:proofErr w:type="spellStart"/>
      <w:r w:rsidRPr="009B53A7">
        <w:rPr>
          <w:bCs/>
          <w:lang w:eastAsia="es-PE"/>
        </w:rPr>
        <w:t>Hosp</w:t>
      </w:r>
      <w:proofErr w:type="spellEnd"/>
      <w:r w:rsidRPr="009B53A7">
        <w:rPr>
          <w:bCs/>
          <w:lang w:eastAsia="es-PE"/>
        </w:rPr>
        <w:t xml:space="preserve">. 2020 [acceso: 10/07/2022]; 40(3):69-76. Disponible en: </w:t>
      </w:r>
      <w:hyperlink r:id="rId18" w:history="1">
        <w:r w:rsidRPr="009B53A7">
          <w:rPr>
            <w:bCs/>
            <w:color w:val="0000FF"/>
            <w:u w:val="single"/>
            <w:lang w:eastAsia="es-PE"/>
          </w:rPr>
          <w:t>https://revista.nutricion.org/index.php/ncdh/article/view/59</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eastAsia="es-PE"/>
        </w:rPr>
        <w:t xml:space="preserve">8. Ortiz PJ, Varela LF, Tello T, Mas G. Características antropométricas asociadas a fragilidad en adultos mayores sin deterioro funcional que viven en comunidad. </w:t>
      </w:r>
      <w:proofErr w:type="spellStart"/>
      <w:r w:rsidRPr="009B53A7">
        <w:rPr>
          <w:bCs/>
          <w:lang w:eastAsia="es-PE"/>
        </w:rPr>
        <w:t>Rev</w:t>
      </w:r>
      <w:proofErr w:type="spellEnd"/>
      <w:r w:rsidRPr="009B53A7">
        <w:rPr>
          <w:bCs/>
          <w:lang w:eastAsia="es-PE"/>
        </w:rPr>
        <w:t xml:space="preserve"> </w:t>
      </w:r>
      <w:proofErr w:type="spellStart"/>
      <w:r w:rsidRPr="009B53A7">
        <w:rPr>
          <w:bCs/>
          <w:lang w:eastAsia="es-PE"/>
        </w:rPr>
        <w:t>Soc</w:t>
      </w:r>
      <w:proofErr w:type="spellEnd"/>
      <w:r w:rsidRPr="009B53A7">
        <w:rPr>
          <w:bCs/>
          <w:lang w:eastAsia="es-PE"/>
        </w:rPr>
        <w:t xml:space="preserve"> </w:t>
      </w:r>
      <w:proofErr w:type="spellStart"/>
      <w:r w:rsidRPr="009B53A7">
        <w:rPr>
          <w:bCs/>
          <w:lang w:eastAsia="es-PE"/>
        </w:rPr>
        <w:t>Peru</w:t>
      </w:r>
      <w:proofErr w:type="spellEnd"/>
      <w:r w:rsidRPr="009B53A7">
        <w:rPr>
          <w:bCs/>
          <w:lang w:eastAsia="es-PE"/>
        </w:rPr>
        <w:t xml:space="preserve"> </w:t>
      </w:r>
      <w:proofErr w:type="spellStart"/>
      <w:r w:rsidRPr="009B53A7">
        <w:rPr>
          <w:bCs/>
          <w:lang w:eastAsia="es-PE"/>
        </w:rPr>
        <w:t>Med</w:t>
      </w:r>
      <w:proofErr w:type="spellEnd"/>
      <w:r w:rsidRPr="009B53A7">
        <w:rPr>
          <w:bCs/>
          <w:lang w:eastAsia="es-PE"/>
        </w:rPr>
        <w:t xml:space="preserve"> Interna. 2017 [acceso: 10/07/2022]; 30(2):69-73. Disponible en: </w:t>
      </w:r>
      <w:hyperlink r:id="rId19" w:history="1">
        <w:r w:rsidRPr="009B53A7">
          <w:rPr>
            <w:bCs/>
            <w:color w:val="0000FF"/>
            <w:u w:val="single"/>
            <w:lang w:eastAsia="es-PE"/>
          </w:rPr>
          <w:t>https://revistamedicinainterna.net/index.php/spmi/article/view/63</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eastAsia="es-PE"/>
        </w:rPr>
        <w:t xml:space="preserve">9. Guerrero-Villota JC, Benavides EY, Moreno-Correa SM. Efectos de la actividad física sobre el sistema inmune del adulto mayor. </w:t>
      </w:r>
      <w:proofErr w:type="spellStart"/>
      <w:r w:rsidRPr="009B53A7">
        <w:rPr>
          <w:bCs/>
          <w:lang w:eastAsia="es-PE"/>
        </w:rPr>
        <w:t>Salutem</w:t>
      </w:r>
      <w:proofErr w:type="spellEnd"/>
      <w:r w:rsidRPr="009B53A7">
        <w:rPr>
          <w:bCs/>
          <w:lang w:eastAsia="es-PE"/>
        </w:rPr>
        <w:t xml:space="preserve"> </w:t>
      </w:r>
      <w:proofErr w:type="spellStart"/>
      <w:r w:rsidRPr="009B53A7">
        <w:rPr>
          <w:bCs/>
          <w:lang w:eastAsia="es-PE"/>
        </w:rPr>
        <w:t>Scientia</w:t>
      </w:r>
      <w:proofErr w:type="spellEnd"/>
      <w:r w:rsidRPr="009B53A7">
        <w:rPr>
          <w:bCs/>
          <w:lang w:eastAsia="es-PE"/>
        </w:rPr>
        <w:t xml:space="preserve"> </w:t>
      </w:r>
      <w:proofErr w:type="spellStart"/>
      <w:r w:rsidRPr="009B53A7">
        <w:rPr>
          <w:bCs/>
          <w:lang w:eastAsia="es-PE"/>
        </w:rPr>
        <w:t>Spiritus</w:t>
      </w:r>
      <w:proofErr w:type="spellEnd"/>
      <w:r w:rsidRPr="009B53A7">
        <w:rPr>
          <w:bCs/>
          <w:lang w:eastAsia="es-PE"/>
        </w:rPr>
        <w:t xml:space="preserve">. 2020 [acceso: 10/07/2022]; 6(1):74-80 Disponible en: </w:t>
      </w:r>
      <w:hyperlink r:id="rId20" w:history="1">
        <w:r w:rsidRPr="009B53A7">
          <w:rPr>
            <w:bCs/>
            <w:color w:val="0000FF"/>
            <w:u w:val="single"/>
            <w:lang w:eastAsia="es-PE"/>
          </w:rPr>
          <w:t>https://redib.org/Record/oai_articulo2594560-efectos-de-la-actividad-f%C3%ADsica-sobre-el-sistema-inmune-del-adulto-mayor</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eastAsia="es-PE"/>
        </w:rPr>
        <w:t xml:space="preserve">10. </w:t>
      </w:r>
      <w:proofErr w:type="spellStart"/>
      <w:r w:rsidRPr="009B53A7">
        <w:rPr>
          <w:bCs/>
          <w:lang w:eastAsia="es-PE"/>
        </w:rPr>
        <w:t>Beracasa</w:t>
      </w:r>
      <w:proofErr w:type="spellEnd"/>
      <w:r w:rsidRPr="009B53A7">
        <w:rPr>
          <w:bCs/>
          <w:lang w:eastAsia="es-PE"/>
        </w:rPr>
        <w:t xml:space="preserve"> -Caro L, Pardo-Barón CA, Sánchez JO. Toxicidad relacionada con el tratamiento para el cáncer en adultos mayores: revisión de la literatura. Univ. </w:t>
      </w:r>
      <w:proofErr w:type="spellStart"/>
      <w:r w:rsidRPr="009B53A7">
        <w:rPr>
          <w:bCs/>
          <w:lang w:eastAsia="es-PE"/>
        </w:rPr>
        <w:t>Med</w:t>
      </w:r>
      <w:proofErr w:type="spellEnd"/>
      <w:r w:rsidRPr="009B53A7">
        <w:rPr>
          <w:bCs/>
          <w:lang w:eastAsia="es-PE"/>
        </w:rPr>
        <w:t xml:space="preserve">. 2021 [acceso: 10/07/2022]; 62(1): 68-85. Disponible en: </w:t>
      </w:r>
      <w:hyperlink r:id="rId21" w:history="1">
        <w:r w:rsidRPr="009B53A7">
          <w:rPr>
            <w:bCs/>
            <w:color w:val="0000FF"/>
            <w:u w:val="single"/>
            <w:lang w:eastAsia="es-PE"/>
          </w:rPr>
          <w:t>https://revistas.javeriana.edu.co/index.php/vnimedica/article/view/30777/25041</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eastAsia="es-PE"/>
        </w:rPr>
        <w:t xml:space="preserve">11. Castillo E, Montero G, García S. Asociación entre hipoalbuminemia e </w:t>
      </w:r>
      <w:proofErr w:type="spellStart"/>
      <w:r w:rsidRPr="009B53A7">
        <w:rPr>
          <w:bCs/>
          <w:lang w:eastAsia="es-PE"/>
        </w:rPr>
        <w:t>hipofosfatemia</w:t>
      </w:r>
      <w:proofErr w:type="spellEnd"/>
      <w:r w:rsidRPr="009B53A7">
        <w:rPr>
          <w:bCs/>
          <w:lang w:eastAsia="es-PE"/>
        </w:rPr>
        <w:t xml:space="preserve"> con desnutrición en pacientes con enfermedad renal crónica en hemodiálisis. Rev. </w:t>
      </w:r>
      <w:proofErr w:type="spellStart"/>
      <w:r w:rsidRPr="009B53A7">
        <w:rPr>
          <w:bCs/>
          <w:lang w:eastAsia="es-PE"/>
        </w:rPr>
        <w:t>Fac</w:t>
      </w:r>
      <w:proofErr w:type="spellEnd"/>
      <w:r w:rsidRPr="009B53A7">
        <w:rPr>
          <w:bCs/>
          <w:lang w:eastAsia="es-PE"/>
        </w:rPr>
        <w:t xml:space="preserve">. </w:t>
      </w:r>
      <w:proofErr w:type="spellStart"/>
      <w:r w:rsidRPr="009B53A7">
        <w:rPr>
          <w:bCs/>
          <w:lang w:eastAsia="es-PE"/>
        </w:rPr>
        <w:t>Med</w:t>
      </w:r>
      <w:proofErr w:type="spellEnd"/>
      <w:r w:rsidRPr="009B53A7">
        <w:rPr>
          <w:bCs/>
          <w:lang w:eastAsia="es-PE"/>
        </w:rPr>
        <w:t xml:space="preserve">. </w:t>
      </w:r>
      <w:proofErr w:type="spellStart"/>
      <w:r w:rsidRPr="009B53A7">
        <w:rPr>
          <w:bCs/>
          <w:lang w:eastAsia="es-PE"/>
        </w:rPr>
        <w:t>Hum</w:t>
      </w:r>
      <w:proofErr w:type="spellEnd"/>
      <w:r w:rsidRPr="009B53A7">
        <w:rPr>
          <w:bCs/>
          <w:lang w:eastAsia="es-PE"/>
        </w:rPr>
        <w:t xml:space="preserve">. 2020 [acceso: 10/07/2022]; 20(3):381-7. Disponible en: </w:t>
      </w:r>
      <w:hyperlink r:id="rId22" w:history="1">
        <w:r w:rsidRPr="009B53A7">
          <w:rPr>
            <w:bCs/>
            <w:color w:val="0000FF"/>
            <w:u w:val="single"/>
            <w:lang w:eastAsia="es-PE"/>
          </w:rPr>
          <w:t>https://inicib.urp.edu.pe/rfmh/vol20/iss3/7/</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eastAsia="es-PE"/>
        </w:rPr>
        <w:t>12. Arrieta O, Michel-Ortega RM, Villanueva-Rodríguez G, Serna-</w:t>
      </w:r>
      <w:proofErr w:type="spellStart"/>
      <w:r w:rsidRPr="009B53A7">
        <w:rPr>
          <w:bCs/>
          <w:lang w:eastAsia="es-PE"/>
        </w:rPr>
        <w:t>Thomé</w:t>
      </w:r>
      <w:proofErr w:type="spellEnd"/>
      <w:r w:rsidRPr="009B53A7">
        <w:rPr>
          <w:bCs/>
          <w:lang w:eastAsia="es-PE"/>
        </w:rPr>
        <w:t xml:space="preserve"> MG, Flores-Estrada D, </w:t>
      </w:r>
      <w:proofErr w:type="spellStart"/>
      <w:r w:rsidRPr="009B53A7">
        <w:rPr>
          <w:bCs/>
          <w:lang w:eastAsia="es-PE"/>
        </w:rPr>
        <w:t>Diaz</w:t>
      </w:r>
      <w:proofErr w:type="spellEnd"/>
      <w:r w:rsidRPr="009B53A7">
        <w:rPr>
          <w:bCs/>
          <w:lang w:eastAsia="es-PE"/>
        </w:rPr>
        <w:t xml:space="preserve">-Romero C, et al. </w:t>
      </w:r>
      <w:r w:rsidRPr="009B53A7">
        <w:rPr>
          <w:bCs/>
          <w:lang w:val="en-US" w:eastAsia="es-PE"/>
        </w:rPr>
        <w:t>Association of nutritional status and serum albumin levels with development of toxicity in patients with advanced non-small cell lung cancer treated with paclitaxel-</w:t>
      </w:r>
      <w:proofErr w:type="spellStart"/>
      <w:r w:rsidRPr="009B53A7">
        <w:rPr>
          <w:bCs/>
          <w:lang w:val="en-US" w:eastAsia="es-PE"/>
        </w:rPr>
        <w:t>cisplatin</w:t>
      </w:r>
      <w:proofErr w:type="spellEnd"/>
      <w:r w:rsidRPr="009B53A7">
        <w:rPr>
          <w:bCs/>
          <w:lang w:val="en-US" w:eastAsia="es-PE"/>
        </w:rPr>
        <w:t xml:space="preserve"> chemotherapy: a prospective study. </w:t>
      </w:r>
      <w:r w:rsidRPr="009B53A7">
        <w:rPr>
          <w:bCs/>
          <w:lang w:val="es-PE" w:eastAsia="es-PE"/>
        </w:rPr>
        <w:t xml:space="preserve">BMC </w:t>
      </w:r>
      <w:proofErr w:type="spellStart"/>
      <w:r w:rsidRPr="009B53A7">
        <w:rPr>
          <w:bCs/>
          <w:lang w:val="es-PE" w:eastAsia="es-PE"/>
        </w:rPr>
        <w:t>Cancer</w:t>
      </w:r>
      <w:proofErr w:type="spellEnd"/>
      <w:r w:rsidRPr="009B53A7">
        <w:rPr>
          <w:bCs/>
          <w:lang w:val="es-PE" w:eastAsia="es-PE"/>
        </w:rPr>
        <w:t xml:space="preserve">. 2010 [acceso: 10/07/2022]; 10:50. </w:t>
      </w:r>
      <w:r w:rsidRPr="009B53A7">
        <w:rPr>
          <w:bCs/>
          <w:lang w:eastAsia="es-PE"/>
        </w:rPr>
        <w:t xml:space="preserve">Disponible en: </w:t>
      </w:r>
      <w:hyperlink r:id="rId23" w:history="1">
        <w:r w:rsidRPr="009B53A7">
          <w:rPr>
            <w:bCs/>
            <w:color w:val="0000FF"/>
            <w:u w:val="single"/>
            <w:lang w:eastAsia="es-PE"/>
          </w:rPr>
          <w:t>https://bmccancer.biomedcentral.com/articles/10.1186/1471-2407-10-50</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eastAsia="es-PE"/>
        </w:rPr>
        <w:t xml:space="preserve">13. Dotan E, </w:t>
      </w:r>
      <w:proofErr w:type="spellStart"/>
      <w:r w:rsidRPr="009B53A7">
        <w:rPr>
          <w:bCs/>
          <w:lang w:eastAsia="es-PE"/>
        </w:rPr>
        <w:t>Tew</w:t>
      </w:r>
      <w:proofErr w:type="spellEnd"/>
      <w:r w:rsidRPr="009B53A7">
        <w:rPr>
          <w:bCs/>
          <w:lang w:eastAsia="es-PE"/>
        </w:rPr>
        <w:t xml:space="preserve"> WP, </w:t>
      </w:r>
      <w:proofErr w:type="spellStart"/>
      <w:r w:rsidRPr="009B53A7">
        <w:rPr>
          <w:bCs/>
          <w:lang w:eastAsia="es-PE"/>
        </w:rPr>
        <w:t>Mohile</w:t>
      </w:r>
      <w:proofErr w:type="spellEnd"/>
      <w:r w:rsidRPr="009B53A7">
        <w:rPr>
          <w:bCs/>
          <w:lang w:eastAsia="es-PE"/>
        </w:rPr>
        <w:t xml:space="preserve"> SG, </w:t>
      </w:r>
      <w:proofErr w:type="spellStart"/>
      <w:r w:rsidRPr="009B53A7">
        <w:rPr>
          <w:bCs/>
          <w:lang w:eastAsia="es-PE"/>
        </w:rPr>
        <w:t>Ma</w:t>
      </w:r>
      <w:proofErr w:type="spellEnd"/>
      <w:r w:rsidRPr="009B53A7">
        <w:rPr>
          <w:bCs/>
          <w:lang w:eastAsia="es-PE"/>
        </w:rPr>
        <w:t xml:space="preserve"> H, Kim H, </w:t>
      </w:r>
      <w:proofErr w:type="spellStart"/>
      <w:r w:rsidRPr="009B53A7">
        <w:rPr>
          <w:bCs/>
          <w:lang w:eastAsia="es-PE"/>
        </w:rPr>
        <w:t>Sun</w:t>
      </w:r>
      <w:proofErr w:type="spellEnd"/>
      <w:r w:rsidRPr="009B53A7">
        <w:rPr>
          <w:bCs/>
          <w:lang w:eastAsia="es-PE"/>
        </w:rPr>
        <w:t xml:space="preserve"> C-L, et al. </w:t>
      </w:r>
      <w:r w:rsidRPr="009B53A7">
        <w:rPr>
          <w:bCs/>
          <w:lang w:val="en-US" w:eastAsia="es-PE"/>
        </w:rPr>
        <w:t xml:space="preserve">Associations between nutritional factors and chemotherapy toxicity in older adults with solid tumors. </w:t>
      </w:r>
      <w:proofErr w:type="spellStart"/>
      <w:r w:rsidRPr="009B53A7">
        <w:rPr>
          <w:bCs/>
          <w:lang w:eastAsia="es-PE"/>
        </w:rPr>
        <w:t>Cancer</w:t>
      </w:r>
      <w:proofErr w:type="spellEnd"/>
      <w:r w:rsidRPr="009B53A7">
        <w:rPr>
          <w:bCs/>
          <w:lang w:eastAsia="es-PE"/>
        </w:rPr>
        <w:t xml:space="preserve">. 2020 [acceso 10/07/2022]; 126(8):1708-16. Disponible en: </w:t>
      </w:r>
      <w:hyperlink r:id="rId24" w:history="1">
        <w:r w:rsidRPr="009B53A7">
          <w:rPr>
            <w:bCs/>
            <w:color w:val="0000FF"/>
            <w:u w:val="single"/>
            <w:lang w:eastAsia="es-PE"/>
          </w:rPr>
          <w:t>https://acsjournals.onlinelibrary.wiley.com/doi/10.1002/cncr.32718</w:t>
        </w:r>
      </w:hyperlink>
      <w:r w:rsidRPr="009B53A7">
        <w:rPr>
          <w:bCs/>
          <w:lang w:eastAsia="es-PE"/>
        </w:rPr>
        <w:t xml:space="preserve"> </w:t>
      </w:r>
    </w:p>
    <w:p w:rsidR="009B53A7" w:rsidRPr="009B53A7" w:rsidRDefault="009B53A7" w:rsidP="009B53A7">
      <w:pPr>
        <w:suppressAutoHyphens/>
        <w:spacing w:line="360" w:lineRule="auto"/>
        <w:ind w:hanging="1"/>
        <w:rPr>
          <w:bCs/>
          <w:lang w:eastAsia="es-PE"/>
        </w:rPr>
      </w:pPr>
      <w:r w:rsidRPr="009B53A7">
        <w:rPr>
          <w:bCs/>
          <w:lang w:val="en-US" w:eastAsia="es-PE"/>
        </w:rPr>
        <w:t xml:space="preserve">14. Gérard S, </w:t>
      </w:r>
      <w:proofErr w:type="spellStart"/>
      <w:r w:rsidRPr="009B53A7">
        <w:rPr>
          <w:bCs/>
          <w:lang w:val="en-US" w:eastAsia="es-PE"/>
        </w:rPr>
        <w:t>Bréchemier</w:t>
      </w:r>
      <w:proofErr w:type="spellEnd"/>
      <w:r w:rsidRPr="009B53A7">
        <w:rPr>
          <w:bCs/>
          <w:lang w:val="en-US" w:eastAsia="es-PE"/>
        </w:rPr>
        <w:t xml:space="preserve"> D, </w:t>
      </w:r>
      <w:proofErr w:type="spellStart"/>
      <w:r w:rsidRPr="009B53A7">
        <w:rPr>
          <w:bCs/>
          <w:lang w:val="en-US" w:eastAsia="es-PE"/>
        </w:rPr>
        <w:t>Lefort</w:t>
      </w:r>
      <w:proofErr w:type="spellEnd"/>
      <w:r w:rsidRPr="009B53A7">
        <w:rPr>
          <w:bCs/>
          <w:lang w:val="en-US" w:eastAsia="es-PE"/>
        </w:rPr>
        <w:t xml:space="preserve"> A, Lozano S, </w:t>
      </w:r>
      <w:proofErr w:type="spellStart"/>
      <w:r w:rsidRPr="009B53A7">
        <w:rPr>
          <w:bCs/>
          <w:lang w:val="en-US" w:eastAsia="es-PE"/>
        </w:rPr>
        <w:t>Abellan</w:t>
      </w:r>
      <w:proofErr w:type="spellEnd"/>
      <w:r w:rsidRPr="009B53A7">
        <w:rPr>
          <w:bCs/>
          <w:lang w:val="en-US" w:eastAsia="es-PE"/>
        </w:rPr>
        <w:t xml:space="preserve"> van </w:t>
      </w:r>
      <w:proofErr w:type="spellStart"/>
      <w:r w:rsidRPr="009B53A7">
        <w:rPr>
          <w:bCs/>
          <w:lang w:val="en-US" w:eastAsia="es-PE"/>
        </w:rPr>
        <w:t>Kan</w:t>
      </w:r>
      <w:proofErr w:type="spellEnd"/>
      <w:r w:rsidRPr="009B53A7">
        <w:rPr>
          <w:bCs/>
          <w:lang w:val="en-US" w:eastAsia="es-PE"/>
        </w:rPr>
        <w:t xml:space="preserve"> G, </w:t>
      </w:r>
      <w:proofErr w:type="spellStart"/>
      <w:r w:rsidRPr="009B53A7">
        <w:rPr>
          <w:bCs/>
          <w:lang w:val="en-US" w:eastAsia="es-PE"/>
        </w:rPr>
        <w:t>Filleron</w:t>
      </w:r>
      <w:proofErr w:type="spellEnd"/>
      <w:r w:rsidRPr="009B53A7">
        <w:rPr>
          <w:bCs/>
          <w:lang w:val="en-US" w:eastAsia="es-PE"/>
        </w:rPr>
        <w:t xml:space="preserve"> T, et al. Body composition and anti-neoplastic treatment in adult and older subjects - A systematic review. </w:t>
      </w:r>
      <w:r w:rsidRPr="009B53A7">
        <w:rPr>
          <w:bCs/>
          <w:lang w:eastAsia="es-PE"/>
        </w:rPr>
        <w:t xml:space="preserve">J </w:t>
      </w:r>
      <w:proofErr w:type="spellStart"/>
      <w:r w:rsidRPr="009B53A7">
        <w:rPr>
          <w:bCs/>
          <w:lang w:eastAsia="es-PE"/>
        </w:rPr>
        <w:t>Nutr</w:t>
      </w:r>
      <w:proofErr w:type="spellEnd"/>
      <w:r w:rsidRPr="009B53A7">
        <w:rPr>
          <w:bCs/>
          <w:lang w:eastAsia="es-PE"/>
        </w:rPr>
        <w:t xml:space="preserve"> </w:t>
      </w:r>
      <w:proofErr w:type="spellStart"/>
      <w:r w:rsidRPr="009B53A7">
        <w:rPr>
          <w:bCs/>
          <w:lang w:eastAsia="es-PE"/>
        </w:rPr>
        <w:lastRenderedPageBreak/>
        <w:t>Health</w:t>
      </w:r>
      <w:proofErr w:type="spellEnd"/>
      <w:r w:rsidRPr="009B53A7">
        <w:rPr>
          <w:bCs/>
          <w:lang w:eastAsia="es-PE"/>
        </w:rPr>
        <w:t xml:space="preserve"> </w:t>
      </w:r>
      <w:proofErr w:type="spellStart"/>
      <w:r w:rsidRPr="009B53A7">
        <w:rPr>
          <w:bCs/>
          <w:lang w:eastAsia="es-PE"/>
        </w:rPr>
        <w:t>Aging</w:t>
      </w:r>
      <w:proofErr w:type="spellEnd"/>
      <w:r w:rsidRPr="009B53A7">
        <w:rPr>
          <w:bCs/>
          <w:lang w:eastAsia="es-PE"/>
        </w:rPr>
        <w:t xml:space="preserve">. 2016 [acceso: 10/07/2022]; 20(8):878-88. Disponible en: </w:t>
      </w:r>
      <w:hyperlink r:id="rId25" w:history="1">
        <w:r w:rsidRPr="009B53A7">
          <w:rPr>
            <w:bCs/>
            <w:color w:val="0000FF"/>
            <w:u w:val="single"/>
            <w:lang w:eastAsia="es-PE"/>
          </w:rPr>
          <w:t>https://pubmed.ncbi.nlm.nih.gov/27709238/</w:t>
        </w:r>
      </w:hyperlink>
      <w:r w:rsidRPr="009B53A7">
        <w:rPr>
          <w:bCs/>
          <w:lang w:eastAsia="es-PE"/>
        </w:rPr>
        <w:t xml:space="preserve"> </w:t>
      </w:r>
      <w:bookmarkStart w:id="2" w:name="_GoBack"/>
      <w:bookmarkEnd w:id="2"/>
    </w:p>
    <w:p w:rsidR="009B53A7" w:rsidRPr="009B53A7" w:rsidRDefault="009B53A7" w:rsidP="009B53A7">
      <w:pPr>
        <w:suppressAutoHyphens/>
        <w:spacing w:line="360" w:lineRule="auto"/>
        <w:ind w:hanging="1"/>
        <w:rPr>
          <w:bCs/>
          <w:lang w:eastAsia="es-PE"/>
        </w:rPr>
      </w:pPr>
    </w:p>
    <w:p w:rsidR="009B53A7" w:rsidRPr="009B53A7" w:rsidRDefault="009B53A7" w:rsidP="009B53A7">
      <w:pPr>
        <w:suppressAutoHyphens/>
        <w:spacing w:line="360" w:lineRule="auto"/>
        <w:ind w:hanging="1"/>
        <w:jc w:val="center"/>
        <w:rPr>
          <w:b/>
          <w:lang w:eastAsia="es-PE"/>
        </w:rPr>
      </w:pPr>
    </w:p>
    <w:p w:rsidR="009B53A7" w:rsidRPr="009B53A7" w:rsidRDefault="009B53A7" w:rsidP="009B53A7">
      <w:pPr>
        <w:suppressAutoHyphens/>
        <w:spacing w:line="360" w:lineRule="auto"/>
        <w:ind w:hanging="1"/>
        <w:jc w:val="center"/>
        <w:rPr>
          <w:b/>
          <w:lang w:eastAsia="es-PE"/>
        </w:rPr>
      </w:pPr>
      <w:r w:rsidRPr="009B53A7">
        <w:rPr>
          <w:b/>
          <w:lang w:eastAsia="es-PE"/>
        </w:rPr>
        <w:t>Conflictos de interés</w:t>
      </w:r>
    </w:p>
    <w:p w:rsidR="009B53A7" w:rsidRPr="009B53A7" w:rsidRDefault="009B53A7" w:rsidP="009B53A7">
      <w:pPr>
        <w:suppressAutoHyphens/>
        <w:spacing w:line="360" w:lineRule="auto"/>
        <w:ind w:hanging="1"/>
        <w:rPr>
          <w:lang w:eastAsia="es-PE"/>
        </w:rPr>
      </w:pPr>
      <w:r w:rsidRPr="009B53A7">
        <w:rPr>
          <w:lang w:eastAsia="es-PE"/>
        </w:rPr>
        <w:t xml:space="preserve">Los autores declaran no tener conflictos de intereses en relación al presente artículo. </w:t>
      </w:r>
    </w:p>
    <w:p w:rsidR="009B53A7" w:rsidRPr="009B53A7" w:rsidRDefault="009B53A7" w:rsidP="009B53A7">
      <w:pPr>
        <w:suppressAutoHyphens/>
        <w:spacing w:line="360" w:lineRule="auto"/>
        <w:ind w:hanging="1"/>
        <w:jc w:val="center"/>
        <w:rPr>
          <w:lang w:eastAsia="es-PE"/>
        </w:rPr>
      </w:pPr>
    </w:p>
    <w:p w:rsidR="009B53A7" w:rsidRPr="009B53A7" w:rsidRDefault="009B53A7" w:rsidP="009B53A7">
      <w:pPr>
        <w:suppressAutoHyphens/>
        <w:spacing w:line="360" w:lineRule="auto"/>
        <w:ind w:hanging="1"/>
        <w:jc w:val="center"/>
        <w:rPr>
          <w:b/>
          <w:lang w:eastAsia="es-PE"/>
        </w:rPr>
      </w:pPr>
      <w:r w:rsidRPr="009B53A7">
        <w:rPr>
          <w:b/>
          <w:lang w:eastAsia="es-PE"/>
        </w:rPr>
        <w:t>Contribuciones de los autores</w:t>
      </w:r>
    </w:p>
    <w:p w:rsidR="009B53A7" w:rsidRPr="009B53A7" w:rsidRDefault="009B53A7" w:rsidP="009B53A7">
      <w:pPr>
        <w:suppressAutoHyphens/>
        <w:spacing w:line="360" w:lineRule="auto"/>
        <w:ind w:hanging="1"/>
        <w:jc w:val="both"/>
        <w:rPr>
          <w:i/>
          <w:iCs/>
          <w:color w:val="000000"/>
          <w:lang w:eastAsia="es-PE"/>
        </w:rPr>
      </w:pPr>
      <w:r w:rsidRPr="009B53A7">
        <w:rPr>
          <w:color w:val="000000"/>
          <w:lang w:eastAsia="es-PE"/>
        </w:rPr>
        <w:t>Conceptualización:</w:t>
      </w:r>
      <w:r w:rsidRPr="009B53A7">
        <w:rPr>
          <w:lang w:eastAsia="es-PE"/>
        </w:rPr>
        <w:t xml:space="preserve"> </w:t>
      </w:r>
      <w:r w:rsidRPr="009B53A7">
        <w:rPr>
          <w:i/>
          <w:iCs/>
          <w:lang w:eastAsia="es-PE"/>
        </w:rPr>
        <w:t xml:space="preserve">Valeria Prado, </w:t>
      </w:r>
      <w:proofErr w:type="spellStart"/>
      <w:r w:rsidRPr="009B53A7">
        <w:rPr>
          <w:i/>
          <w:iCs/>
          <w:lang w:eastAsia="es-PE"/>
        </w:rPr>
        <w:t>Giuliana</w:t>
      </w:r>
      <w:proofErr w:type="spellEnd"/>
      <w:r w:rsidRPr="009B53A7">
        <w:rPr>
          <w:i/>
          <w:iCs/>
          <w:lang w:eastAsia="es-PE"/>
        </w:rPr>
        <w:t xml:space="preserve"> Ramos, Laura Cervantes.</w:t>
      </w:r>
      <w:r w:rsidRPr="009B53A7">
        <w:rPr>
          <w:i/>
          <w:iCs/>
          <w:color w:val="000000"/>
          <w:lang w:eastAsia="es-PE"/>
        </w:rPr>
        <w:t xml:space="preserve"> </w:t>
      </w:r>
    </w:p>
    <w:p w:rsidR="009B53A7" w:rsidRPr="009B53A7" w:rsidRDefault="009B53A7" w:rsidP="009B53A7">
      <w:pPr>
        <w:suppressAutoHyphens/>
        <w:spacing w:line="360" w:lineRule="auto"/>
        <w:ind w:hanging="1"/>
        <w:jc w:val="both"/>
        <w:rPr>
          <w:i/>
          <w:iCs/>
          <w:color w:val="000000"/>
          <w:lang w:eastAsia="es-PE"/>
        </w:rPr>
      </w:pPr>
      <w:r w:rsidRPr="009B53A7">
        <w:rPr>
          <w:color w:val="000000"/>
          <w:lang w:eastAsia="es-PE"/>
        </w:rPr>
        <w:t xml:space="preserve">Curación de datos: </w:t>
      </w:r>
      <w:r w:rsidRPr="009B53A7">
        <w:rPr>
          <w:i/>
          <w:iCs/>
          <w:lang w:eastAsia="es-PE"/>
        </w:rPr>
        <w:t xml:space="preserve">Fernando </w:t>
      </w:r>
      <w:proofErr w:type="spellStart"/>
      <w:r w:rsidRPr="009B53A7">
        <w:rPr>
          <w:i/>
          <w:iCs/>
          <w:lang w:eastAsia="es-PE"/>
        </w:rPr>
        <w:t>Runzer</w:t>
      </w:r>
      <w:proofErr w:type="spellEnd"/>
      <w:r w:rsidRPr="009B53A7">
        <w:rPr>
          <w:i/>
          <w:iCs/>
          <w:lang w:eastAsia="es-PE"/>
        </w:rPr>
        <w:t>-Colmenares.</w:t>
      </w:r>
    </w:p>
    <w:p w:rsidR="009B53A7" w:rsidRPr="009B53A7" w:rsidRDefault="009B53A7" w:rsidP="009B53A7">
      <w:pPr>
        <w:suppressAutoHyphens/>
        <w:spacing w:line="360" w:lineRule="auto"/>
        <w:ind w:hanging="1"/>
        <w:jc w:val="both"/>
        <w:rPr>
          <w:i/>
          <w:iCs/>
          <w:color w:val="000000"/>
          <w:lang w:eastAsia="es-PE"/>
        </w:rPr>
      </w:pPr>
      <w:r w:rsidRPr="009B53A7">
        <w:rPr>
          <w:color w:val="000000"/>
          <w:lang w:eastAsia="es-PE"/>
        </w:rPr>
        <w:t xml:space="preserve">Análisis formal: </w:t>
      </w:r>
      <w:r w:rsidRPr="009B53A7">
        <w:rPr>
          <w:i/>
          <w:iCs/>
          <w:lang w:eastAsia="es-PE"/>
        </w:rPr>
        <w:t xml:space="preserve">Fernando </w:t>
      </w:r>
      <w:proofErr w:type="spellStart"/>
      <w:r w:rsidRPr="009B53A7">
        <w:rPr>
          <w:i/>
          <w:iCs/>
          <w:lang w:eastAsia="es-PE"/>
        </w:rPr>
        <w:t>Runzer</w:t>
      </w:r>
      <w:proofErr w:type="spellEnd"/>
      <w:r w:rsidRPr="009B53A7">
        <w:rPr>
          <w:i/>
          <w:iCs/>
          <w:lang w:eastAsia="es-PE"/>
        </w:rPr>
        <w:t>-Colmenares.</w:t>
      </w:r>
    </w:p>
    <w:p w:rsidR="009B53A7" w:rsidRPr="009B53A7" w:rsidRDefault="009B53A7" w:rsidP="009B53A7">
      <w:pPr>
        <w:pBdr>
          <w:top w:val="nil"/>
          <w:left w:val="nil"/>
          <w:bottom w:val="nil"/>
          <w:right w:val="nil"/>
          <w:between w:val="nil"/>
        </w:pBdr>
        <w:suppressAutoHyphens/>
        <w:spacing w:line="360" w:lineRule="auto"/>
        <w:jc w:val="both"/>
        <w:rPr>
          <w:color w:val="000000"/>
          <w:vertAlign w:val="superscript"/>
          <w:lang w:eastAsia="es-PE"/>
        </w:rPr>
      </w:pPr>
      <w:r w:rsidRPr="009B53A7">
        <w:rPr>
          <w:color w:val="000000"/>
          <w:lang w:eastAsia="es-PE"/>
        </w:rPr>
        <w:t xml:space="preserve">Investigación: </w:t>
      </w:r>
      <w:r w:rsidRPr="009B53A7">
        <w:rPr>
          <w:i/>
          <w:iCs/>
          <w:lang w:eastAsia="es-PE"/>
        </w:rPr>
        <w:t xml:space="preserve">Valeria Prado, </w:t>
      </w:r>
      <w:proofErr w:type="spellStart"/>
      <w:r w:rsidRPr="009B53A7">
        <w:rPr>
          <w:i/>
          <w:iCs/>
          <w:lang w:eastAsia="es-PE"/>
        </w:rPr>
        <w:t>Giuliana</w:t>
      </w:r>
      <w:proofErr w:type="spellEnd"/>
      <w:r w:rsidRPr="009B53A7">
        <w:rPr>
          <w:i/>
          <w:iCs/>
          <w:lang w:eastAsia="es-PE"/>
        </w:rPr>
        <w:t xml:space="preserve"> Ramos, Ricardo </w:t>
      </w:r>
      <w:proofErr w:type="spellStart"/>
      <w:r w:rsidRPr="009B53A7">
        <w:rPr>
          <w:i/>
          <w:iCs/>
          <w:lang w:eastAsia="es-PE"/>
        </w:rPr>
        <w:t>Alor</w:t>
      </w:r>
      <w:proofErr w:type="spellEnd"/>
      <w:r w:rsidRPr="009B53A7">
        <w:rPr>
          <w:i/>
          <w:iCs/>
          <w:lang w:eastAsia="es-PE"/>
        </w:rPr>
        <w:t>, Laura Cervantes</w:t>
      </w:r>
      <w:r w:rsidRPr="009B53A7">
        <w:rPr>
          <w:i/>
          <w:iCs/>
          <w:color w:val="000000"/>
          <w:lang w:eastAsia="es-PE"/>
        </w:rPr>
        <w:t xml:space="preserve">, Carlos </w:t>
      </w:r>
      <w:proofErr w:type="spellStart"/>
      <w:r w:rsidRPr="009B53A7">
        <w:rPr>
          <w:i/>
          <w:iCs/>
          <w:color w:val="000000"/>
          <w:lang w:eastAsia="es-PE"/>
        </w:rPr>
        <w:t>Neyra</w:t>
      </w:r>
      <w:proofErr w:type="spellEnd"/>
      <w:r w:rsidRPr="009B53A7">
        <w:rPr>
          <w:i/>
          <w:iCs/>
          <w:color w:val="000000"/>
          <w:lang w:eastAsia="es-PE"/>
        </w:rPr>
        <w:t xml:space="preserve">, </w:t>
      </w:r>
      <w:proofErr w:type="spellStart"/>
      <w:r w:rsidRPr="009B53A7">
        <w:rPr>
          <w:i/>
          <w:iCs/>
          <w:color w:val="000000"/>
          <w:lang w:eastAsia="es-PE"/>
        </w:rPr>
        <w:t>Ericson</w:t>
      </w:r>
      <w:proofErr w:type="spellEnd"/>
      <w:r w:rsidRPr="009B53A7">
        <w:rPr>
          <w:i/>
          <w:iCs/>
          <w:color w:val="000000"/>
          <w:lang w:eastAsia="es-PE"/>
        </w:rPr>
        <w:t xml:space="preserve"> Gutiérrez, Fernando </w:t>
      </w:r>
      <w:proofErr w:type="spellStart"/>
      <w:r w:rsidRPr="009B53A7">
        <w:rPr>
          <w:i/>
          <w:iCs/>
          <w:color w:val="000000"/>
          <w:lang w:eastAsia="es-PE"/>
        </w:rPr>
        <w:t>Runzer</w:t>
      </w:r>
      <w:proofErr w:type="spellEnd"/>
      <w:r w:rsidRPr="009B53A7">
        <w:rPr>
          <w:i/>
          <w:iCs/>
          <w:color w:val="000000"/>
          <w:lang w:eastAsia="es-PE"/>
        </w:rPr>
        <w:t xml:space="preserve">-Colmenares, José Parodi. </w:t>
      </w:r>
    </w:p>
    <w:p w:rsidR="009B53A7" w:rsidRPr="009B53A7" w:rsidRDefault="009B53A7" w:rsidP="009B53A7">
      <w:pPr>
        <w:pBdr>
          <w:top w:val="nil"/>
          <w:left w:val="nil"/>
          <w:bottom w:val="nil"/>
          <w:right w:val="nil"/>
          <w:between w:val="nil"/>
        </w:pBdr>
        <w:suppressAutoHyphens/>
        <w:spacing w:line="360" w:lineRule="auto"/>
        <w:jc w:val="both"/>
        <w:rPr>
          <w:color w:val="000000"/>
          <w:vertAlign w:val="superscript"/>
          <w:lang w:eastAsia="es-PE"/>
        </w:rPr>
      </w:pPr>
      <w:r w:rsidRPr="009B53A7">
        <w:rPr>
          <w:color w:val="000000"/>
          <w:lang w:eastAsia="es-PE"/>
        </w:rPr>
        <w:t xml:space="preserve">Metodología: </w:t>
      </w:r>
      <w:r w:rsidRPr="009B53A7">
        <w:rPr>
          <w:i/>
          <w:iCs/>
          <w:lang w:eastAsia="es-PE"/>
        </w:rPr>
        <w:t xml:space="preserve">Valeria Prado, </w:t>
      </w:r>
      <w:proofErr w:type="spellStart"/>
      <w:r w:rsidRPr="009B53A7">
        <w:rPr>
          <w:i/>
          <w:iCs/>
          <w:lang w:eastAsia="es-PE"/>
        </w:rPr>
        <w:t>Giuliana</w:t>
      </w:r>
      <w:proofErr w:type="spellEnd"/>
      <w:r w:rsidRPr="009B53A7">
        <w:rPr>
          <w:i/>
          <w:iCs/>
          <w:lang w:eastAsia="es-PE"/>
        </w:rPr>
        <w:t xml:space="preserve"> Ramos, Ricardo </w:t>
      </w:r>
      <w:proofErr w:type="spellStart"/>
      <w:r w:rsidRPr="009B53A7">
        <w:rPr>
          <w:i/>
          <w:iCs/>
          <w:lang w:eastAsia="es-PE"/>
        </w:rPr>
        <w:t>Alor</w:t>
      </w:r>
      <w:proofErr w:type="spellEnd"/>
      <w:r w:rsidRPr="009B53A7">
        <w:rPr>
          <w:i/>
          <w:iCs/>
          <w:lang w:eastAsia="es-PE"/>
        </w:rPr>
        <w:t>, Laura Cervantes</w:t>
      </w:r>
      <w:r w:rsidRPr="009B53A7">
        <w:rPr>
          <w:i/>
          <w:iCs/>
          <w:color w:val="000000"/>
          <w:lang w:eastAsia="es-PE"/>
        </w:rPr>
        <w:t xml:space="preserve">, Carlos </w:t>
      </w:r>
      <w:proofErr w:type="spellStart"/>
      <w:r w:rsidRPr="009B53A7">
        <w:rPr>
          <w:i/>
          <w:iCs/>
          <w:color w:val="000000"/>
          <w:lang w:eastAsia="es-PE"/>
        </w:rPr>
        <w:t>Neyra</w:t>
      </w:r>
      <w:proofErr w:type="spellEnd"/>
      <w:r w:rsidRPr="009B53A7">
        <w:rPr>
          <w:i/>
          <w:iCs/>
          <w:color w:val="000000"/>
          <w:lang w:eastAsia="es-PE"/>
        </w:rPr>
        <w:t xml:space="preserve">, </w:t>
      </w:r>
      <w:proofErr w:type="spellStart"/>
      <w:r w:rsidRPr="009B53A7">
        <w:rPr>
          <w:i/>
          <w:iCs/>
          <w:color w:val="000000"/>
          <w:lang w:eastAsia="es-PE"/>
        </w:rPr>
        <w:t>Ericson</w:t>
      </w:r>
      <w:proofErr w:type="spellEnd"/>
      <w:r w:rsidRPr="009B53A7">
        <w:rPr>
          <w:i/>
          <w:iCs/>
          <w:color w:val="000000"/>
          <w:lang w:eastAsia="es-PE"/>
        </w:rPr>
        <w:t xml:space="preserve"> Gutiérrez, Fernando </w:t>
      </w:r>
      <w:proofErr w:type="spellStart"/>
      <w:r w:rsidRPr="009B53A7">
        <w:rPr>
          <w:i/>
          <w:iCs/>
          <w:color w:val="000000"/>
          <w:lang w:eastAsia="es-PE"/>
        </w:rPr>
        <w:t>Runzer</w:t>
      </w:r>
      <w:proofErr w:type="spellEnd"/>
      <w:r w:rsidRPr="009B53A7">
        <w:rPr>
          <w:i/>
          <w:iCs/>
          <w:color w:val="000000"/>
          <w:lang w:eastAsia="es-PE"/>
        </w:rPr>
        <w:t>-Colmenares, José Parodi.</w:t>
      </w:r>
    </w:p>
    <w:p w:rsidR="009B53A7" w:rsidRPr="009B53A7" w:rsidRDefault="009B53A7" w:rsidP="009B53A7">
      <w:pPr>
        <w:suppressAutoHyphens/>
        <w:spacing w:line="360" w:lineRule="auto"/>
        <w:ind w:hanging="1"/>
        <w:jc w:val="both"/>
        <w:rPr>
          <w:color w:val="000000"/>
          <w:vertAlign w:val="superscript"/>
          <w:lang w:eastAsia="es-PE"/>
        </w:rPr>
      </w:pPr>
      <w:r w:rsidRPr="009B53A7">
        <w:rPr>
          <w:color w:val="000000"/>
          <w:lang w:eastAsia="es-PE"/>
        </w:rPr>
        <w:t xml:space="preserve">Administración del proyecto: </w:t>
      </w:r>
      <w:proofErr w:type="spellStart"/>
      <w:r w:rsidRPr="009B53A7">
        <w:rPr>
          <w:i/>
          <w:iCs/>
          <w:lang w:eastAsia="es-PE"/>
        </w:rPr>
        <w:t>Ericson</w:t>
      </w:r>
      <w:proofErr w:type="spellEnd"/>
      <w:r w:rsidRPr="009B53A7">
        <w:rPr>
          <w:i/>
          <w:iCs/>
          <w:lang w:eastAsia="es-PE"/>
        </w:rPr>
        <w:t xml:space="preserve"> L. </w:t>
      </w:r>
      <w:proofErr w:type="spellStart"/>
      <w:r w:rsidRPr="009B53A7">
        <w:rPr>
          <w:i/>
          <w:iCs/>
          <w:lang w:eastAsia="es-PE"/>
        </w:rPr>
        <w:t>Gutierrez</w:t>
      </w:r>
      <w:proofErr w:type="spellEnd"/>
      <w:r w:rsidRPr="009B53A7">
        <w:rPr>
          <w:i/>
          <w:iCs/>
          <w:lang w:eastAsia="es-PE"/>
        </w:rPr>
        <w:t>.</w:t>
      </w:r>
    </w:p>
    <w:p w:rsidR="009B53A7" w:rsidRPr="009B53A7" w:rsidRDefault="009B53A7" w:rsidP="009B53A7">
      <w:pPr>
        <w:pBdr>
          <w:top w:val="nil"/>
          <w:left w:val="nil"/>
          <w:bottom w:val="nil"/>
          <w:right w:val="nil"/>
          <w:between w:val="nil"/>
        </w:pBdr>
        <w:suppressAutoHyphens/>
        <w:spacing w:line="360" w:lineRule="auto"/>
        <w:jc w:val="both"/>
        <w:rPr>
          <w:i/>
          <w:iCs/>
          <w:color w:val="000000"/>
          <w:vertAlign w:val="superscript"/>
          <w:lang w:eastAsia="es-PE"/>
        </w:rPr>
      </w:pPr>
      <w:r w:rsidRPr="009B53A7">
        <w:rPr>
          <w:color w:val="000000"/>
          <w:lang w:eastAsia="es-PE"/>
        </w:rPr>
        <w:t xml:space="preserve">Recursos: </w:t>
      </w:r>
      <w:r w:rsidRPr="009B53A7">
        <w:rPr>
          <w:i/>
          <w:iCs/>
          <w:color w:val="000000"/>
          <w:lang w:eastAsia="es-PE"/>
        </w:rPr>
        <w:t xml:space="preserve">Fernando </w:t>
      </w:r>
      <w:proofErr w:type="spellStart"/>
      <w:r w:rsidRPr="009B53A7">
        <w:rPr>
          <w:i/>
          <w:iCs/>
          <w:color w:val="000000"/>
          <w:lang w:eastAsia="es-PE"/>
        </w:rPr>
        <w:t>Runzer</w:t>
      </w:r>
      <w:proofErr w:type="spellEnd"/>
      <w:r w:rsidRPr="009B53A7">
        <w:rPr>
          <w:i/>
          <w:iCs/>
          <w:color w:val="000000"/>
          <w:lang w:eastAsia="es-PE"/>
        </w:rPr>
        <w:t xml:space="preserve"> Colmenares, José Parodi. </w:t>
      </w:r>
    </w:p>
    <w:p w:rsidR="009B53A7" w:rsidRPr="009B53A7" w:rsidRDefault="009B53A7" w:rsidP="009B53A7">
      <w:pPr>
        <w:pBdr>
          <w:top w:val="nil"/>
          <w:left w:val="nil"/>
          <w:bottom w:val="nil"/>
          <w:right w:val="nil"/>
          <w:between w:val="nil"/>
        </w:pBdr>
        <w:suppressAutoHyphens/>
        <w:spacing w:line="360" w:lineRule="auto"/>
        <w:jc w:val="both"/>
        <w:rPr>
          <w:i/>
          <w:iCs/>
          <w:color w:val="000000"/>
          <w:vertAlign w:val="superscript"/>
          <w:lang w:eastAsia="es-PE"/>
        </w:rPr>
      </w:pPr>
      <w:r w:rsidRPr="009B53A7">
        <w:rPr>
          <w:color w:val="000000"/>
          <w:lang w:eastAsia="es-PE"/>
        </w:rPr>
        <w:t xml:space="preserve">Software: </w:t>
      </w:r>
      <w:r w:rsidRPr="009B53A7">
        <w:rPr>
          <w:i/>
          <w:iCs/>
          <w:color w:val="000000"/>
          <w:lang w:eastAsia="es-PE"/>
        </w:rPr>
        <w:t xml:space="preserve">Fernando </w:t>
      </w:r>
      <w:proofErr w:type="spellStart"/>
      <w:r w:rsidRPr="009B53A7">
        <w:rPr>
          <w:i/>
          <w:iCs/>
          <w:color w:val="000000"/>
          <w:lang w:eastAsia="es-PE"/>
        </w:rPr>
        <w:t>Runzer</w:t>
      </w:r>
      <w:proofErr w:type="spellEnd"/>
      <w:r w:rsidRPr="009B53A7">
        <w:rPr>
          <w:i/>
          <w:iCs/>
          <w:color w:val="000000"/>
          <w:lang w:eastAsia="es-PE"/>
        </w:rPr>
        <w:t xml:space="preserve"> Colmenares, José Parodi. </w:t>
      </w:r>
    </w:p>
    <w:p w:rsidR="009B53A7" w:rsidRPr="009B53A7" w:rsidRDefault="009B53A7" w:rsidP="009B53A7">
      <w:pPr>
        <w:suppressAutoHyphens/>
        <w:spacing w:line="360" w:lineRule="auto"/>
        <w:ind w:hanging="1"/>
        <w:jc w:val="both"/>
        <w:rPr>
          <w:color w:val="000000"/>
          <w:lang w:eastAsia="es-PE"/>
        </w:rPr>
      </w:pPr>
      <w:r w:rsidRPr="009B53A7">
        <w:rPr>
          <w:color w:val="000000"/>
          <w:lang w:eastAsia="es-PE"/>
        </w:rPr>
        <w:t xml:space="preserve">Supervisión: </w:t>
      </w:r>
      <w:r w:rsidRPr="009B53A7">
        <w:rPr>
          <w:i/>
          <w:iCs/>
          <w:lang w:eastAsia="es-PE"/>
        </w:rPr>
        <w:t>José Parodi.</w:t>
      </w:r>
    </w:p>
    <w:p w:rsidR="009B53A7" w:rsidRPr="009B53A7" w:rsidRDefault="009B53A7" w:rsidP="009B53A7">
      <w:pPr>
        <w:pBdr>
          <w:top w:val="nil"/>
          <w:left w:val="nil"/>
          <w:bottom w:val="nil"/>
          <w:right w:val="nil"/>
          <w:between w:val="nil"/>
        </w:pBdr>
        <w:suppressAutoHyphens/>
        <w:spacing w:line="360" w:lineRule="auto"/>
        <w:jc w:val="both"/>
        <w:rPr>
          <w:color w:val="000000"/>
          <w:lang w:eastAsia="es-PE"/>
        </w:rPr>
      </w:pPr>
      <w:r w:rsidRPr="009B53A7">
        <w:rPr>
          <w:color w:val="000000"/>
          <w:lang w:eastAsia="es-PE"/>
        </w:rPr>
        <w:t xml:space="preserve">Validación: </w:t>
      </w:r>
      <w:proofErr w:type="spellStart"/>
      <w:r w:rsidRPr="009B53A7">
        <w:rPr>
          <w:i/>
          <w:iCs/>
          <w:color w:val="000000"/>
          <w:lang w:eastAsia="es-PE"/>
        </w:rPr>
        <w:t>Ericson</w:t>
      </w:r>
      <w:proofErr w:type="spellEnd"/>
      <w:r w:rsidRPr="009B53A7">
        <w:rPr>
          <w:i/>
          <w:iCs/>
          <w:color w:val="000000"/>
          <w:lang w:eastAsia="es-PE"/>
        </w:rPr>
        <w:t xml:space="preserve"> Gutiérrez, Fernando </w:t>
      </w:r>
      <w:proofErr w:type="spellStart"/>
      <w:r w:rsidRPr="009B53A7">
        <w:rPr>
          <w:i/>
          <w:iCs/>
          <w:color w:val="000000"/>
          <w:lang w:eastAsia="es-PE"/>
        </w:rPr>
        <w:t>Runzer</w:t>
      </w:r>
      <w:proofErr w:type="spellEnd"/>
      <w:r w:rsidRPr="009B53A7">
        <w:rPr>
          <w:i/>
          <w:iCs/>
          <w:color w:val="000000"/>
          <w:lang w:eastAsia="es-PE"/>
        </w:rPr>
        <w:t xml:space="preserve"> Colmenares, José Parodi. </w:t>
      </w:r>
    </w:p>
    <w:p w:rsidR="009B53A7" w:rsidRPr="009B53A7" w:rsidRDefault="009B53A7" w:rsidP="009B53A7">
      <w:pPr>
        <w:pBdr>
          <w:top w:val="nil"/>
          <w:left w:val="nil"/>
          <w:bottom w:val="nil"/>
          <w:right w:val="nil"/>
          <w:between w:val="nil"/>
        </w:pBdr>
        <w:suppressAutoHyphens/>
        <w:spacing w:line="360" w:lineRule="auto"/>
        <w:jc w:val="both"/>
        <w:rPr>
          <w:i/>
          <w:iCs/>
          <w:color w:val="000000"/>
          <w:vertAlign w:val="superscript"/>
          <w:lang w:eastAsia="es-PE"/>
        </w:rPr>
      </w:pPr>
      <w:r w:rsidRPr="009B53A7">
        <w:rPr>
          <w:color w:val="000000"/>
          <w:lang w:eastAsia="es-PE"/>
        </w:rPr>
        <w:t xml:space="preserve">Visualización: </w:t>
      </w:r>
      <w:proofErr w:type="spellStart"/>
      <w:r w:rsidRPr="009B53A7">
        <w:rPr>
          <w:i/>
          <w:iCs/>
          <w:color w:val="000000"/>
          <w:lang w:eastAsia="es-PE"/>
        </w:rPr>
        <w:t>Ericson</w:t>
      </w:r>
      <w:proofErr w:type="spellEnd"/>
      <w:r w:rsidRPr="009B53A7">
        <w:rPr>
          <w:i/>
          <w:iCs/>
          <w:color w:val="000000"/>
          <w:lang w:eastAsia="es-PE"/>
        </w:rPr>
        <w:t xml:space="preserve"> Gutiérrez, Fernando </w:t>
      </w:r>
      <w:proofErr w:type="spellStart"/>
      <w:r w:rsidRPr="009B53A7">
        <w:rPr>
          <w:i/>
          <w:iCs/>
          <w:color w:val="000000"/>
          <w:lang w:eastAsia="es-PE"/>
        </w:rPr>
        <w:t>Runzer</w:t>
      </w:r>
      <w:proofErr w:type="spellEnd"/>
      <w:r w:rsidRPr="009B53A7">
        <w:rPr>
          <w:i/>
          <w:iCs/>
          <w:color w:val="000000"/>
          <w:lang w:eastAsia="es-PE"/>
        </w:rPr>
        <w:t xml:space="preserve"> Colmenares, José Parodi. </w:t>
      </w:r>
    </w:p>
    <w:p w:rsidR="009B53A7" w:rsidRPr="009B53A7" w:rsidRDefault="009B53A7" w:rsidP="009B53A7">
      <w:pPr>
        <w:suppressAutoHyphens/>
        <w:spacing w:line="360" w:lineRule="auto"/>
        <w:ind w:hanging="1"/>
        <w:jc w:val="both"/>
        <w:rPr>
          <w:i/>
          <w:iCs/>
          <w:color w:val="000000"/>
          <w:lang w:eastAsia="es-PE"/>
        </w:rPr>
      </w:pPr>
      <w:r w:rsidRPr="009B53A7">
        <w:rPr>
          <w:color w:val="000000"/>
          <w:lang w:eastAsia="es-PE"/>
        </w:rPr>
        <w:t>Redacción - borrador original:</w:t>
      </w:r>
      <w:r w:rsidRPr="009B53A7">
        <w:rPr>
          <w:lang w:eastAsia="es-PE"/>
        </w:rPr>
        <w:t xml:space="preserve"> </w:t>
      </w:r>
      <w:r w:rsidRPr="009B53A7">
        <w:rPr>
          <w:i/>
          <w:iCs/>
          <w:lang w:eastAsia="es-PE"/>
        </w:rPr>
        <w:t xml:space="preserve">Ricardo </w:t>
      </w:r>
      <w:proofErr w:type="spellStart"/>
      <w:r w:rsidRPr="009B53A7">
        <w:rPr>
          <w:i/>
          <w:iCs/>
          <w:lang w:eastAsia="es-PE"/>
        </w:rPr>
        <w:t>Alor</w:t>
      </w:r>
      <w:proofErr w:type="spellEnd"/>
      <w:r w:rsidRPr="009B53A7">
        <w:rPr>
          <w:i/>
          <w:iCs/>
          <w:lang w:eastAsia="es-PE"/>
        </w:rPr>
        <w:t>, Laura Cervantes.</w:t>
      </w:r>
    </w:p>
    <w:p w:rsidR="009B53A7" w:rsidRPr="009B53A7" w:rsidRDefault="009B53A7" w:rsidP="009B53A7">
      <w:pPr>
        <w:pBdr>
          <w:top w:val="nil"/>
          <w:left w:val="nil"/>
          <w:bottom w:val="nil"/>
          <w:right w:val="nil"/>
          <w:between w:val="nil"/>
        </w:pBdr>
        <w:suppressAutoHyphens/>
        <w:spacing w:line="360" w:lineRule="auto"/>
        <w:jc w:val="both"/>
        <w:rPr>
          <w:b/>
          <w:lang w:eastAsia="es-PE"/>
        </w:rPr>
      </w:pPr>
      <w:r w:rsidRPr="009B53A7">
        <w:rPr>
          <w:color w:val="000000"/>
          <w:lang w:eastAsia="es-PE"/>
        </w:rPr>
        <w:t xml:space="preserve">Redacción - revisión y edición: </w:t>
      </w:r>
      <w:r w:rsidRPr="009B53A7">
        <w:rPr>
          <w:i/>
          <w:iCs/>
          <w:lang w:eastAsia="es-PE"/>
        </w:rPr>
        <w:t xml:space="preserve">Valeria Prado, </w:t>
      </w:r>
      <w:proofErr w:type="spellStart"/>
      <w:r w:rsidRPr="009B53A7">
        <w:rPr>
          <w:i/>
          <w:iCs/>
          <w:lang w:eastAsia="es-PE"/>
        </w:rPr>
        <w:t>Giuliana</w:t>
      </w:r>
      <w:proofErr w:type="spellEnd"/>
      <w:r w:rsidRPr="009B53A7">
        <w:rPr>
          <w:i/>
          <w:iCs/>
          <w:lang w:eastAsia="es-PE"/>
        </w:rPr>
        <w:t xml:space="preserve"> Ramos, Ricardo </w:t>
      </w:r>
      <w:proofErr w:type="spellStart"/>
      <w:r w:rsidRPr="009B53A7">
        <w:rPr>
          <w:i/>
          <w:iCs/>
          <w:lang w:eastAsia="es-PE"/>
        </w:rPr>
        <w:t>Alor</w:t>
      </w:r>
      <w:proofErr w:type="spellEnd"/>
      <w:r w:rsidRPr="009B53A7">
        <w:rPr>
          <w:i/>
          <w:iCs/>
          <w:lang w:eastAsia="es-PE"/>
        </w:rPr>
        <w:t>, Laura Cervantes</w:t>
      </w:r>
      <w:r w:rsidRPr="009B53A7">
        <w:rPr>
          <w:i/>
          <w:iCs/>
          <w:color w:val="000000"/>
          <w:lang w:eastAsia="es-PE"/>
        </w:rPr>
        <w:t xml:space="preserve">, Carlos </w:t>
      </w:r>
      <w:proofErr w:type="spellStart"/>
      <w:r w:rsidRPr="009B53A7">
        <w:rPr>
          <w:i/>
          <w:iCs/>
          <w:color w:val="000000"/>
          <w:lang w:eastAsia="es-PE"/>
        </w:rPr>
        <w:t>Neyra</w:t>
      </w:r>
      <w:proofErr w:type="spellEnd"/>
      <w:r w:rsidRPr="009B53A7">
        <w:rPr>
          <w:i/>
          <w:iCs/>
          <w:color w:val="000000"/>
          <w:lang w:eastAsia="es-PE"/>
        </w:rPr>
        <w:t xml:space="preserve">, </w:t>
      </w:r>
      <w:proofErr w:type="spellStart"/>
      <w:r w:rsidRPr="009B53A7">
        <w:rPr>
          <w:i/>
          <w:iCs/>
          <w:color w:val="000000"/>
          <w:lang w:eastAsia="es-PE"/>
        </w:rPr>
        <w:t>Ericson</w:t>
      </w:r>
      <w:proofErr w:type="spellEnd"/>
      <w:r w:rsidRPr="009B53A7">
        <w:rPr>
          <w:i/>
          <w:iCs/>
          <w:color w:val="000000"/>
          <w:lang w:eastAsia="es-PE"/>
        </w:rPr>
        <w:t xml:space="preserve"> Gutiérrez, Fernando </w:t>
      </w:r>
      <w:proofErr w:type="spellStart"/>
      <w:r w:rsidRPr="009B53A7">
        <w:rPr>
          <w:i/>
          <w:iCs/>
          <w:color w:val="000000"/>
          <w:lang w:eastAsia="es-PE"/>
        </w:rPr>
        <w:t>Runzer</w:t>
      </w:r>
      <w:proofErr w:type="spellEnd"/>
      <w:r w:rsidRPr="009B53A7">
        <w:rPr>
          <w:i/>
          <w:iCs/>
          <w:color w:val="000000"/>
          <w:lang w:eastAsia="es-PE"/>
        </w:rPr>
        <w:t>-Colmenares, José Parodi</w:t>
      </w:r>
      <w:r w:rsidRPr="009B53A7">
        <w:rPr>
          <w:b/>
          <w:lang w:eastAsia="es-PE"/>
        </w:rPr>
        <w:t>.</w:t>
      </w:r>
    </w:p>
    <w:p w:rsidR="00675476" w:rsidRPr="00DD0AF1" w:rsidRDefault="00AC237E" w:rsidP="00DD0AF1">
      <w:r>
        <w:t>G</w:t>
      </w:r>
    </w:p>
    <w:sectPr w:rsidR="00675476" w:rsidRPr="00DD0AF1"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19" w:rsidRDefault="00C07219">
      <w:r>
        <w:separator/>
      </w:r>
    </w:p>
  </w:endnote>
  <w:endnote w:type="continuationSeparator" w:id="0">
    <w:p w:rsidR="00C07219" w:rsidRDefault="00C0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1A8A5B9" wp14:editId="0BD8F3D2">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E7D8F3"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rsidR="00675476" w:rsidRPr="00AE044C" w:rsidRDefault="00C07219"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C07219"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6DEA8BE9" wp14:editId="7C7E8F80">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19" w:rsidRDefault="00C07219">
      <w:r>
        <w:separator/>
      </w:r>
    </w:p>
  </w:footnote>
  <w:footnote w:type="continuationSeparator" w:id="0">
    <w:p w:rsidR="00C07219" w:rsidRDefault="00C07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AC237E" w:rsidP="00180CE9">
    <w:pPr>
      <w:pStyle w:val="Encabezado"/>
      <w:tabs>
        <w:tab w:val="left" w:pos="420"/>
      </w:tabs>
      <w:jc w:val="center"/>
      <w:rPr>
        <w:sz w:val="22"/>
        <w:szCs w:val="22"/>
      </w:rPr>
    </w:pPr>
    <w:r>
      <w:rPr>
        <w:sz w:val="22"/>
        <w:szCs w:val="22"/>
      </w:rPr>
      <w:t>2022</w:t>
    </w:r>
    <w:proofErr w:type="gramStart"/>
    <w:r w:rsidR="007D2D0C">
      <w:rPr>
        <w:sz w:val="22"/>
        <w:szCs w:val="22"/>
      </w:rPr>
      <w:t>;</w:t>
    </w:r>
    <w:r>
      <w:rPr>
        <w:sz w:val="22"/>
        <w:szCs w:val="22"/>
      </w:rPr>
      <w:t>51</w:t>
    </w:r>
    <w:proofErr w:type="gramEnd"/>
    <w:r w:rsidR="007D2D0C" w:rsidRPr="00AE044C">
      <w:rPr>
        <w:sz w:val="22"/>
        <w:szCs w:val="22"/>
      </w:rPr>
      <w:t>(</w:t>
    </w:r>
    <w:r>
      <w:rPr>
        <w:sz w:val="22"/>
        <w:szCs w:val="22"/>
      </w:rPr>
      <w:t>4</w:t>
    </w:r>
    <w:r w:rsidR="007D2D0C" w:rsidRPr="00AE044C">
      <w:rPr>
        <w:sz w:val="22"/>
        <w:szCs w:val="22"/>
      </w:rPr>
      <w:t>):</w:t>
    </w:r>
    <w:r>
      <w:rPr>
        <w:sz w:val="22"/>
        <w:szCs w:val="22"/>
      </w:rPr>
      <w:t>e02202290</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284D76A7" wp14:editId="1A6B0F0C">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ECDA110" wp14:editId="2447E09C">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1FC406"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5138"/>
    <w:multiLevelType w:val="multilevel"/>
    <w:tmpl w:val="3F32DC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nsid w:val="65512F9F"/>
    <w:multiLevelType w:val="multilevel"/>
    <w:tmpl w:val="5914B0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2E92AC0"/>
    <w:multiLevelType w:val="multilevel"/>
    <w:tmpl w:val="857EC34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
  </w:num>
  <w:num w:numId="2">
    <w:abstractNumId w:val="3"/>
  </w:num>
  <w:num w:numId="3">
    <w:abstractNumId w:val="0"/>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A7"/>
    <w:rsid w:val="00057F45"/>
    <w:rsid w:val="000D3958"/>
    <w:rsid w:val="000F3690"/>
    <w:rsid w:val="001221D1"/>
    <w:rsid w:val="00165CB5"/>
    <w:rsid w:val="00180CE9"/>
    <w:rsid w:val="00182E3F"/>
    <w:rsid w:val="001A78DE"/>
    <w:rsid w:val="00230DD5"/>
    <w:rsid w:val="00250AE9"/>
    <w:rsid w:val="00380D64"/>
    <w:rsid w:val="00391509"/>
    <w:rsid w:val="003D069E"/>
    <w:rsid w:val="003E009F"/>
    <w:rsid w:val="003E03D5"/>
    <w:rsid w:val="00441FD3"/>
    <w:rsid w:val="004630B0"/>
    <w:rsid w:val="00486BFA"/>
    <w:rsid w:val="00493701"/>
    <w:rsid w:val="004E2065"/>
    <w:rsid w:val="005508A2"/>
    <w:rsid w:val="0055115D"/>
    <w:rsid w:val="00566F71"/>
    <w:rsid w:val="005918BD"/>
    <w:rsid w:val="00595473"/>
    <w:rsid w:val="006173A6"/>
    <w:rsid w:val="00675476"/>
    <w:rsid w:val="007330D2"/>
    <w:rsid w:val="007C430F"/>
    <w:rsid w:val="007D2D0C"/>
    <w:rsid w:val="007D614D"/>
    <w:rsid w:val="00815317"/>
    <w:rsid w:val="00960D6A"/>
    <w:rsid w:val="009A0560"/>
    <w:rsid w:val="009B0917"/>
    <w:rsid w:val="009B53A7"/>
    <w:rsid w:val="009F0F96"/>
    <w:rsid w:val="00A23C0C"/>
    <w:rsid w:val="00A477DE"/>
    <w:rsid w:val="00A71E65"/>
    <w:rsid w:val="00AC237E"/>
    <w:rsid w:val="00AE044C"/>
    <w:rsid w:val="00B31971"/>
    <w:rsid w:val="00B4380A"/>
    <w:rsid w:val="00B53C85"/>
    <w:rsid w:val="00B66ECB"/>
    <w:rsid w:val="00C07219"/>
    <w:rsid w:val="00C7523A"/>
    <w:rsid w:val="00CC1B6E"/>
    <w:rsid w:val="00CC376A"/>
    <w:rsid w:val="00CC48A1"/>
    <w:rsid w:val="00CF50E0"/>
    <w:rsid w:val="00D347BB"/>
    <w:rsid w:val="00D85951"/>
    <w:rsid w:val="00DD0AF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884E4"/>
  <w15:docId w15:val="{E550D367-30F5-4F80-9AFD-7BD2129E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qFormat/>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PuestoCar">
    <w:name w:val="Puesto Car"/>
    <w:link w:val="Puest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qFormat/>
    <w:rsid w:val="00815317"/>
    <w:rPr>
      <w:color w:val="605E5C"/>
      <w:shd w:val="clear" w:color="auto" w:fill="E1DFDD"/>
    </w:rPr>
  </w:style>
  <w:style w:type="character" w:styleId="Refdecomentario">
    <w:name w:val="annotation reference"/>
    <w:uiPriority w:val="99"/>
    <w:semiHidden/>
    <w:unhideWhenUsed/>
    <w:qFormat/>
    <w:rsid w:val="00815317"/>
    <w:rPr>
      <w:sz w:val="16"/>
      <w:szCs w:val="16"/>
    </w:rPr>
  </w:style>
  <w:style w:type="paragraph" w:styleId="Textocomentario">
    <w:name w:val="annotation text"/>
    <w:basedOn w:val="Normal"/>
    <w:link w:val="TextocomentarioCar"/>
    <w:uiPriority w:val="99"/>
    <w:unhideWhenUsed/>
    <w:qFormat/>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qFormat/>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qFormat/>
    <w:rsid w:val="00815317"/>
    <w:rPr>
      <w:b/>
      <w:bCs/>
    </w:rPr>
  </w:style>
  <w:style w:type="character" w:customStyle="1" w:styleId="AsuntodelcomentarioCar">
    <w:name w:val="Asunto del comentario Car"/>
    <w:basedOn w:val="TextocomentarioCar"/>
    <w:link w:val="Asuntodelcomentario"/>
    <w:uiPriority w:val="99"/>
    <w:semiHidden/>
    <w:qFormat/>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qFormat/>
    <w:rsid w:val="00815317"/>
    <w:rPr>
      <w:rFonts w:ascii="Calibri" w:hAnsi="Calibri"/>
      <w:lang w:val="es-PE" w:eastAsia="en-US"/>
    </w:rPr>
  </w:style>
  <w:style w:type="character" w:customStyle="1" w:styleId="UnresolvedMention">
    <w:name w:val="Unresolved Mention"/>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 w:type="numbering" w:customStyle="1" w:styleId="Sinlista2">
    <w:name w:val="Sin lista2"/>
    <w:next w:val="Sinlista"/>
    <w:uiPriority w:val="99"/>
    <w:semiHidden/>
    <w:unhideWhenUsed/>
    <w:rsid w:val="009B53A7"/>
  </w:style>
  <w:style w:type="character" w:customStyle="1" w:styleId="fontstyle01">
    <w:name w:val="fontstyle01"/>
    <w:qFormat/>
    <w:rsid w:val="009B53A7"/>
    <w:rPr>
      <w:rFonts w:ascii="Verdana" w:hAnsi="Verdana"/>
      <w:b w:val="0"/>
      <w:bCs w:val="0"/>
      <w:i w:val="0"/>
      <w:iCs w:val="0"/>
      <w:color w:val="000000"/>
      <w:sz w:val="24"/>
      <w:szCs w:val="24"/>
    </w:rPr>
  </w:style>
  <w:style w:type="character" w:customStyle="1" w:styleId="fundeu-field">
    <w:name w:val="fundeu-field"/>
    <w:basedOn w:val="Fuentedeprrafopredeter"/>
    <w:qFormat/>
    <w:rsid w:val="009B53A7"/>
  </w:style>
  <w:style w:type="character" w:customStyle="1" w:styleId="EnlacedeInternet">
    <w:name w:val="Enlace de Internet"/>
    <w:basedOn w:val="Fuentedeprrafopredeter"/>
    <w:uiPriority w:val="99"/>
    <w:unhideWhenUsed/>
    <w:rsid w:val="009B53A7"/>
    <w:rPr>
      <w:color w:val="0000FF"/>
      <w:u w:val="single"/>
    </w:rPr>
  </w:style>
  <w:style w:type="character" w:customStyle="1" w:styleId="Ninguno">
    <w:name w:val="Ninguno"/>
    <w:qFormat/>
    <w:rsid w:val="009B53A7"/>
    <w:rPr>
      <w:lang w:val="es-ES_tradnl"/>
    </w:rPr>
  </w:style>
  <w:style w:type="character" w:customStyle="1" w:styleId="Enlace">
    <w:name w:val="Enlace"/>
    <w:qFormat/>
    <w:rsid w:val="009B53A7"/>
    <w:rPr>
      <w:color w:val="0000FF"/>
      <w:u w:val="single" w:color="0000FF"/>
    </w:rPr>
  </w:style>
  <w:style w:type="character" w:customStyle="1" w:styleId="Hyperlink3">
    <w:name w:val="Hyperlink.3"/>
    <w:basedOn w:val="Enlace"/>
    <w:qFormat/>
    <w:rsid w:val="009B53A7"/>
    <w:rPr>
      <w:rFonts w:ascii="Arial" w:eastAsia="Arial" w:hAnsi="Arial" w:cs="Arial"/>
      <w:color w:val="000000"/>
      <w:u w:val="none" w:color="000000"/>
    </w:rPr>
  </w:style>
  <w:style w:type="paragraph" w:styleId="Textoindependiente">
    <w:name w:val="Body Text"/>
    <w:basedOn w:val="Normal"/>
    <w:link w:val="TextoindependienteCar"/>
    <w:rsid w:val="009B53A7"/>
    <w:pPr>
      <w:suppressAutoHyphens/>
      <w:spacing w:after="140" w:line="276" w:lineRule="auto"/>
      <w:ind w:hanging="1"/>
    </w:pPr>
    <w:rPr>
      <w:lang w:eastAsia="es-PE"/>
    </w:rPr>
  </w:style>
  <w:style w:type="character" w:customStyle="1" w:styleId="TextoindependienteCar">
    <w:name w:val="Texto independiente Car"/>
    <w:basedOn w:val="Fuentedeprrafopredeter"/>
    <w:link w:val="Textoindependiente"/>
    <w:rsid w:val="009B53A7"/>
    <w:rPr>
      <w:sz w:val="24"/>
      <w:szCs w:val="24"/>
      <w:lang w:val="es-ES_tradnl" w:eastAsia="es-PE"/>
    </w:rPr>
  </w:style>
  <w:style w:type="paragraph" w:styleId="Lista">
    <w:name w:val="List"/>
    <w:basedOn w:val="Normal"/>
    <w:uiPriority w:val="99"/>
    <w:unhideWhenUsed/>
    <w:rsid w:val="009B53A7"/>
    <w:pPr>
      <w:suppressAutoHyphens/>
      <w:ind w:left="283" w:hanging="283"/>
      <w:contextualSpacing/>
    </w:pPr>
    <w:rPr>
      <w:rFonts w:ascii="Arial" w:hAnsi="Arial" w:cs="Arial"/>
      <w:sz w:val="12"/>
      <w:szCs w:val="12"/>
      <w:lang w:val="es-ES" w:eastAsia="es-ES"/>
    </w:rPr>
  </w:style>
  <w:style w:type="paragraph" w:customStyle="1" w:styleId="ndice">
    <w:name w:val="Índice"/>
    <w:basedOn w:val="Normal"/>
    <w:qFormat/>
    <w:rsid w:val="009B53A7"/>
    <w:pPr>
      <w:suppressLineNumbers/>
      <w:suppressAutoHyphens/>
      <w:ind w:hanging="1"/>
    </w:pPr>
    <w:rPr>
      <w:rFonts w:cs="Arial"/>
      <w:lang w:eastAsia="es-PE"/>
    </w:rPr>
  </w:style>
  <w:style w:type="paragraph" w:customStyle="1" w:styleId="Cuerpo">
    <w:name w:val="Cuerpo"/>
    <w:uiPriority w:val="99"/>
    <w:qFormat/>
    <w:rsid w:val="009B53A7"/>
    <w:pPr>
      <w:suppressAutoHyphens/>
      <w:spacing w:after="160" w:line="259" w:lineRule="auto"/>
    </w:pPr>
    <w:rPr>
      <w:rFonts w:ascii="Calibri" w:eastAsia="Arial Unicode MS" w:hAnsi="Calibri" w:cs="Arial Unicode MS"/>
      <w:color w:val="000000"/>
      <w:sz w:val="22"/>
      <w:szCs w:val="22"/>
      <w:u w:color="000000"/>
      <w:lang w:val="es-ES_tradnl" w:eastAsia="es-PE"/>
    </w:rPr>
  </w:style>
  <w:style w:type="paragraph" w:customStyle="1" w:styleId="Body">
    <w:name w:val="Body"/>
    <w:qFormat/>
    <w:rsid w:val="009B53A7"/>
    <w:pPr>
      <w:suppressAutoHyphens/>
      <w:spacing w:after="160" w:line="259" w:lineRule="auto"/>
    </w:pPr>
    <w:rPr>
      <w:rFonts w:ascii="Calibri" w:eastAsia="Calibri" w:hAnsi="Calibri" w:cs="Calibri"/>
      <w:color w:val="000000"/>
      <w:sz w:val="22"/>
      <w:szCs w:val="22"/>
      <w:u w:color="000000"/>
      <w:lang w:val="en-US" w:eastAsia="en-US"/>
    </w:rPr>
  </w:style>
  <w:style w:type="table" w:customStyle="1" w:styleId="TableNormal">
    <w:name w:val="Table Normal"/>
    <w:rsid w:val="009B53A7"/>
    <w:pPr>
      <w:suppressAutoHyphens/>
    </w:pPr>
    <w:rPr>
      <w:sz w:val="24"/>
      <w:szCs w:val="24"/>
      <w:lang w:val="es-ES_tradnl" w:eastAsia="es-PE"/>
    </w:rPr>
    <w:tblPr>
      <w:tblCellMar>
        <w:top w:w="0" w:type="dxa"/>
        <w:left w:w="0" w:type="dxa"/>
        <w:bottom w:w="0" w:type="dxa"/>
        <w:right w:w="0" w:type="dxa"/>
      </w:tblCellMar>
    </w:tblPr>
  </w:style>
  <w:style w:type="table" w:customStyle="1" w:styleId="TableNormal1">
    <w:name w:val="Table Normal1"/>
    <w:rsid w:val="009B53A7"/>
    <w:pPr>
      <w:suppressAutoHyphens/>
    </w:pPr>
    <w:rPr>
      <w:lang w:val="es-ES_tradnl" w:eastAsia="es-PE"/>
    </w:rPr>
    <w:tblPr>
      <w:tblCellMar>
        <w:top w:w="0" w:type="dxa"/>
        <w:left w:w="0" w:type="dxa"/>
        <w:bottom w:w="0" w:type="dxa"/>
        <w:right w:w="0" w:type="dxa"/>
      </w:tblCellMar>
    </w:tblPr>
  </w:style>
  <w:style w:type="character" w:customStyle="1" w:styleId="Hipervnculovisitado1">
    <w:name w:val="Hipervínculo visitado1"/>
    <w:basedOn w:val="Fuentedeprrafopredeter"/>
    <w:uiPriority w:val="99"/>
    <w:semiHidden/>
    <w:unhideWhenUsed/>
    <w:rsid w:val="009B53A7"/>
    <w:rPr>
      <w:color w:val="800080"/>
      <w:u w:val="single"/>
    </w:rPr>
  </w:style>
  <w:style w:type="paragraph" w:customStyle="1" w:styleId="sub-subsec">
    <w:name w:val="sub-subsec"/>
    <w:basedOn w:val="Normal"/>
    <w:rsid w:val="009B53A7"/>
    <w:pPr>
      <w:spacing w:before="100" w:beforeAutospacing="1" w:after="100" w:afterAutospacing="1"/>
    </w:pPr>
    <w:rPr>
      <w:lang w:val="es-PE" w:eastAsia="es-PE"/>
    </w:rPr>
  </w:style>
  <w:style w:type="character" w:customStyle="1" w:styleId="Mencinsinresolver2">
    <w:name w:val="Mención sin resolver2"/>
    <w:basedOn w:val="Fuentedeprrafopredeter"/>
    <w:uiPriority w:val="99"/>
    <w:semiHidden/>
    <w:unhideWhenUsed/>
    <w:rsid w:val="009B53A7"/>
    <w:rPr>
      <w:color w:val="605E5C"/>
      <w:shd w:val="clear" w:color="auto" w:fill="E1DFDD"/>
    </w:rPr>
  </w:style>
  <w:style w:type="character" w:styleId="Hipervnculovisitado">
    <w:name w:val="FollowedHyperlink"/>
    <w:basedOn w:val="Fuentedeprrafopredeter"/>
    <w:semiHidden/>
    <w:unhideWhenUsed/>
    <w:rsid w:val="009B53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165-560X" TargetMode="External"/><Relationship Id="rId13" Type="http://schemas.openxmlformats.org/officeDocument/2006/relationships/hyperlink" Target="http://www.scielo.org.pe/scielo.php?script=sci_arttext&amp;pid=S2308-05312020000100010" TargetMode="External"/><Relationship Id="rId18" Type="http://schemas.openxmlformats.org/officeDocument/2006/relationships/hyperlink" Target="https://revista.nutricion.org/index.php/ncdh/article/view/5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evistas.javeriana.edu.co/index.php/vnimedica/article/view/30777/25041" TargetMode="External"/><Relationship Id="rId7" Type="http://schemas.openxmlformats.org/officeDocument/2006/relationships/hyperlink" Target="https://orcid.org/0000-0002-2875-0634" TargetMode="External"/><Relationship Id="rId12" Type="http://schemas.openxmlformats.org/officeDocument/2006/relationships/hyperlink" Target="https://www.inei.gob.pe/media/MenuRecursivo/boletines/boletin-adulto-mayor-ene-mar-2022.pdf" TargetMode="External"/><Relationship Id="rId17" Type="http://schemas.openxmlformats.org/officeDocument/2006/relationships/hyperlink" Target="http://www.scielo.org.pe/pdf/amp/v37n2/1728-5917-amp-37-02-163.pdf" TargetMode="External"/><Relationship Id="rId25" Type="http://schemas.openxmlformats.org/officeDocument/2006/relationships/hyperlink" Target="https://pubmed.ncbi.nlm.nih.gov/27709238/" TargetMode="External"/><Relationship Id="rId2" Type="http://schemas.openxmlformats.org/officeDocument/2006/relationships/styles" Target="styles.xml"/><Relationship Id="rId16" Type="http://schemas.openxmlformats.org/officeDocument/2006/relationships/hyperlink" Target="http://www.revhabanera.sld.cu/index.php/rhab/article/view/2451" TargetMode="External"/><Relationship Id="rId20" Type="http://schemas.openxmlformats.org/officeDocument/2006/relationships/hyperlink" Target="https://redib.org/Record/oai_articulo2594560-efectos-de-la-actividad-f%C3%ADsica-sobre-el-sistema-inmune-del-adulto-mayo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acsjournals.onlinelibrary.wiley.com/doi/10.1002/cncr.32718" TargetMode="External"/><Relationship Id="rId5" Type="http://schemas.openxmlformats.org/officeDocument/2006/relationships/footnotes" Target="footnotes.xml"/><Relationship Id="rId15" Type="http://schemas.openxmlformats.org/officeDocument/2006/relationships/hyperlink" Target="https://www.elsevier.es/es-revista-medicina-clinica-2-linkresolver-fragilidad-vulnerabilidad-como-predictores-radiotoxicidad-S0025775317301860" TargetMode="External"/><Relationship Id="rId23" Type="http://schemas.openxmlformats.org/officeDocument/2006/relationships/hyperlink" Target="https://bmccancer.biomedcentral.com/articles/10.1186/1471-2407-10-50"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revistamedicinainterna.net/index.php/spmi/article/view/63" TargetMode="External"/><Relationship Id="rId4" Type="http://schemas.openxmlformats.org/officeDocument/2006/relationships/webSettings" Target="webSettings.xml"/><Relationship Id="rId9" Type="http://schemas.openxmlformats.org/officeDocument/2006/relationships/hyperlink" Target="https://orcid.org/0000-0002-1815-8741" TargetMode="External"/><Relationship Id="rId14" Type="http://schemas.openxmlformats.org/officeDocument/2006/relationships/hyperlink" Target="http://www.journalofcancerology.com/pdf/joc_19_6_1_3-12.pdf" TargetMode="External"/><Relationship Id="rId22" Type="http://schemas.openxmlformats.org/officeDocument/2006/relationships/hyperlink" Target="https://inicib.urp.edu.pe/rfmh/vol20/iss3/7/"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wnloads\MAQUETA\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17</TotalTime>
  <Pages>12</Pages>
  <Words>3196</Words>
  <Characters>17582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20737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Usuario de Windows</cp:lastModifiedBy>
  <cp:revision>3</cp:revision>
  <cp:lastPrinted>2022-12-14T20:37:00Z</cp:lastPrinted>
  <dcterms:created xsi:type="dcterms:W3CDTF">2022-12-14T20:21:00Z</dcterms:created>
  <dcterms:modified xsi:type="dcterms:W3CDTF">2022-12-14T20:38:00Z</dcterms:modified>
</cp:coreProperties>
</file>