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6804" w14:textId="77777777" w:rsidR="00EB05E1" w:rsidRPr="00EB05E1" w:rsidRDefault="00EB05E1" w:rsidP="00EB05E1">
      <w:pPr>
        <w:spacing w:line="360" w:lineRule="auto"/>
        <w:jc w:val="right"/>
        <w:rPr>
          <w:rFonts w:eastAsia="Calibri"/>
          <w:sz w:val="20"/>
          <w:szCs w:val="20"/>
          <w:shd w:val="clear" w:color="auto" w:fill="FFFFFF"/>
          <w:lang w:val="es-BO" w:eastAsia="en-US"/>
        </w:rPr>
      </w:pPr>
      <w:r w:rsidRPr="00EB05E1">
        <w:rPr>
          <w:rFonts w:eastAsia="Calibri"/>
          <w:sz w:val="20"/>
          <w:szCs w:val="20"/>
          <w:shd w:val="clear" w:color="auto" w:fill="FFFFFF"/>
          <w:lang w:val="es-BO" w:eastAsia="en-US"/>
        </w:rPr>
        <w:t>Artículo de investigación</w:t>
      </w:r>
    </w:p>
    <w:p w14:paraId="14894303" w14:textId="77777777" w:rsidR="00EB05E1" w:rsidRPr="00EB05E1" w:rsidRDefault="00EB05E1" w:rsidP="00EB05E1">
      <w:pPr>
        <w:spacing w:line="360" w:lineRule="auto"/>
        <w:jc w:val="right"/>
        <w:rPr>
          <w:b/>
          <w:lang w:val="es-BO" w:eastAsia="es-ES"/>
        </w:rPr>
      </w:pPr>
    </w:p>
    <w:p w14:paraId="70DC9098" w14:textId="77777777" w:rsidR="00EB05E1" w:rsidRPr="00EB05E1" w:rsidRDefault="00EB05E1" w:rsidP="00EB05E1">
      <w:pPr>
        <w:spacing w:line="360" w:lineRule="auto"/>
        <w:jc w:val="center"/>
        <w:rPr>
          <w:b/>
          <w:sz w:val="28"/>
          <w:szCs w:val="28"/>
          <w:lang w:val="es-BO" w:eastAsia="es-ES"/>
        </w:rPr>
      </w:pPr>
      <w:r w:rsidRPr="00EB05E1">
        <w:rPr>
          <w:b/>
          <w:sz w:val="28"/>
          <w:szCs w:val="28"/>
          <w:lang w:val="es-BO" w:eastAsia="es-ES"/>
        </w:rPr>
        <w:t>Hipoalbuminemia y riesgo de muerte en pacientes críticos en una unidad polivalente</w:t>
      </w:r>
    </w:p>
    <w:p w14:paraId="58A4147F"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lang w:val="en-US" w:eastAsia="es-ES"/>
        </w:rPr>
      </w:pPr>
      <w:r w:rsidRPr="00EB05E1">
        <w:rPr>
          <w:bCs/>
          <w:sz w:val="28"/>
          <w:szCs w:val="28"/>
          <w:lang w:val="en" w:eastAsia="es-ES"/>
        </w:rPr>
        <w:t>Hypoalbuminemia and risk of death in critically ill patients in a polyvalent unit</w:t>
      </w:r>
    </w:p>
    <w:p w14:paraId="29B340F4" w14:textId="77777777" w:rsidR="00EB05E1" w:rsidRPr="00EB05E1" w:rsidRDefault="00EB05E1" w:rsidP="00EB05E1">
      <w:pPr>
        <w:spacing w:line="360" w:lineRule="auto"/>
        <w:jc w:val="both"/>
        <w:rPr>
          <w:b/>
          <w:lang w:val="en-US" w:eastAsia="es-ES"/>
        </w:rPr>
      </w:pPr>
    </w:p>
    <w:p w14:paraId="5CCF8AEF" w14:textId="77777777" w:rsidR="00EB05E1" w:rsidRPr="00EB05E1" w:rsidRDefault="00EB05E1" w:rsidP="00EB05E1">
      <w:pPr>
        <w:spacing w:line="360" w:lineRule="auto"/>
        <w:jc w:val="both"/>
        <w:rPr>
          <w:bCs/>
          <w:lang w:val="es-BO" w:eastAsia="es-ES"/>
        </w:rPr>
      </w:pPr>
      <w:r w:rsidRPr="00EB05E1">
        <w:rPr>
          <w:bCs/>
          <w:lang w:val="es-BO" w:eastAsia="es-ES"/>
        </w:rPr>
        <w:t xml:space="preserve">Giovanna Silvia Quispe </w:t>
      </w:r>
      <w:proofErr w:type="spellStart"/>
      <w:r w:rsidRPr="00EB05E1">
        <w:rPr>
          <w:bCs/>
          <w:lang w:val="es-BO" w:eastAsia="es-ES"/>
        </w:rPr>
        <w:t>Alarcón</w:t>
      </w:r>
      <w:r w:rsidRPr="00EB05E1">
        <w:rPr>
          <w:bCs/>
          <w:vertAlign w:val="superscript"/>
          <w:lang w:val="es-BO" w:eastAsia="es-ES"/>
        </w:rPr>
        <w:t>1</w:t>
      </w:r>
      <w:proofErr w:type="spellEnd"/>
      <w:r w:rsidRPr="00EB05E1">
        <w:rPr>
          <w:bCs/>
          <w:lang w:val="es-BO" w:eastAsia="es-ES"/>
        </w:rPr>
        <w:t xml:space="preserve"> </w:t>
      </w:r>
      <w:hyperlink r:id="rId7" w:history="1">
        <w:r w:rsidRPr="00EB05E1">
          <w:rPr>
            <w:bCs/>
            <w:color w:val="0563C1"/>
            <w:u w:val="single"/>
            <w:lang w:val="es-BO" w:eastAsia="es-ES"/>
          </w:rPr>
          <w:t>https://orcid.org/0000-0002-4017-0042</w:t>
        </w:r>
      </w:hyperlink>
      <w:r w:rsidRPr="00EB05E1">
        <w:rPr>
          <w:bCs/>
          <w:lang w:val="es-BO" w:eastAsia="es-ES"/>
        </w:rPr>
        <w:t xml:space="preserve"> </w:t>
      </w:r>
    </w:p>
    <w:p w14:paraId="2111D8CE" w14:textId="77777777" w:rsidR="00EB05E1" w:rsidRPr="00EB05E1" w:rsidRDefault="00EB05E1" w:rsidP="00EB05E1">
      <w:pPr>
        <w:spacing w:line="360" w:lineRule="auto"/>
        <w:jc w:val="both"/>
        <w:rPr>
          <w:bCs/>
          <w:lang w:val="es-BO" w:eastAsia="es-ES"/>
        </w:rPr>
      </w:pPr>
      <w:proofErr w:type="spellStart"/>
      <w:r w:rsidRPr="00EB05E1">
        <w:rPr>
          <w:bCs/>
          <w:lang w:val="es-BO" w:eastAsia="es-ES"/>
        </w:rPr>
        <w:t>Yanín</w:t>
      </w:r>
      <w:proofErr w:type="spellEnd"/>
      <w:r w:rsidRPr="00EB05E1">
        <w:rPr>
          <w:bCs/>
          <w:lang w:val="es-BO" w:eastAsia="es-ES"/>
        </w:rPr>
        <w:t xml:space="preserve"> Díaz </w:t>
      </w:r>
      <w:proofErr w:type="spellStart"/>
      <w:r w:rsidRPr="00EB05E1">
        <w:rPr>
          <w:bCs/>
          <w:lang w:val="es-BO" w:eastAsia="es-ES"/>
        </w:rPr>
        <w:t>Lara</w:t>
      </w:r>
      <w:r w:rsidRPr="00EB05E1">
        <w:rPr>
          <w:bCs/>
          <w:vertAlign w:val="superscript"/>
          <w:lang w:val="es-BO" w:eastAsia="es-ES"/>
        </w:rPr>
        <w:t>1</w:t>
      </w:r>
      <w:proofErr w:type="spellEnd"/>
      <w:r w:rsidRPr="00EB05E1">
        <w:rPr>
          <w:bCs/>
          <w:lang w:val="es-BO" w:eastAsia="es-ES"/>
        </w:rPr>
        <w:t xml:space="preserve"> </w:t>
      </w:r>
      <w:hyperlink r:id="rId8" w:history="1">
        <w:r w:rsidRPr="00EB05E1">
          <w:rPr>
            <w:bCs/>
            <w:color w:val="0563C1"/>
            <w:u w:val="single"/>
            <w:lang w:val="es-BO" w:eastAsia="es-ES"/>
          </w:rPr>
          <w:t>https://orcid.org/0000-0001-7237-6873</w:t>
        </w:r>
      </w:hyperlink>
      <w:r w:rsidRPr="00EB05E1">
        <w:rPr>
          <w:bCs/>
          <w:lang w:val="es-BO" w:eastAsia="es-ES"/>
        </w:rPr>
        <w:t xml:space="preserve"> </w:t>
      </w:r>
    </w:p>
    <w:p w14:paraId="44B7127B" w14:textId="77777777" w:rsidR="00EB05E1" w:rsidRPr="00EB05E1" w:rsidRDefault="00EB05E1" w:rsidP="00EB05E1">
      <w:pPr>
        <w:spacing w:line="360" w:lineRule="auto"/>
        <w:jc w:val="both"/>
        <w:rPr>
          <w:bCs/>
          <w:lang w:val="es-BO" w:eastAsia="es-ES"/>
        </w:rPr>
      </w:pPr>
      <w:r w:rsidRPr="00EB05E1">
        <w:rPr>
          <w:bCs/>
          <w:lang w:val="es-BO" w:eastAsia="es-ES"/>
        </w:rPr>
        <w:t xml:space="preserve">Jorge </w:t>
      </w:r>
      <w:proofErr w:type="spellStart"/>
      <w:r w:rsidRPr="00EB05E1">
        <w:rPr>
          <w:bCs/>
          <w:lang w:val="es-BO" w:eastAsia="es-ES"/>
        </w:rPr>
        <w:t>Soneira</w:t>
      </w:r>
      <w:proofErr w:type="spellEnd"/>
      <w:r w:rsidRPr="00EB05E1">
        <w:rPr>
          <w:bCs/>
          <w:lang w:val="es-BO" w:eastAsia="es-ES"/>
        </w:rPr>
        <w:t xml:space="preserve"> </w:t>
      </w:r>
      <w:proofErr w:type="spellStart"/>
      <w:r w:rsidRPr="00EB05E1">
        <w:rPr>
          <w:bCs/>
          <w:lang w:val="es-BO" w:eastAsia="es-ES"/>
        </w:rPr>
        <w:t>Pérez</w:t>
      </w:r>
      <w:r w:rsidRPr="00EB05E1">
        <w:rPr>
          <w:bCs/>
          <w:vertAlign w:val="superscript"/>
          <w:lang w:val="es-BO" w:eastAsia="es-ES"/>
        </w:rPr>
        <w:t>1</w:t>
      </w:r>
      <w:proofErr w:type="spellEnd"/>
      <w:r w:rsidRPr="00EB05E1">
        <w:rPr>
          <w:bCs/>
          <w:lang w:val="es-BO" w:eastAsia="es-ES"/>
        </w:rPr>
        <w:t xml:space="preserve"> </w:t>
      </w:r>
      <w:hyperlink r:id="rId9" w:history="1">
        <w:r w:rsidRPr="00EB05E1">
          <w:rPr>
            <w:bCs/>
            <w:color w:val="0563C1"/>
            <w:u w:val="single"/>
            <w:lang w:val="es-BO" w:eastAsia="es-ES"/>
          </w:rPr>
          <w:t>https://orcid.org/0000-0003-4948-6753</w:t>
        </w:r>
      </w:hyperlink>
      <w:r w:rsidRPr="00EB05E1">
        <w:rPr>
          <w:bCs/>
          <w:lang w:val="es-BO" w:eastAsia="es-ES"/>
        </w:rPr>
        <w:t xml:space="preserve"> </w:t>
      </w:r>
    </w:p>
    <w:p w14:paraId="3E4CC2A3" w14:textId="77777777" w:rsidR="00EB05E1" w:rsidRPr="00EB05E1" w:rsidRDefault="00EB05E1" w:rsidP="00EB05E1">
      <w:pPr>
        <w:spacing w:line="360" w:lineRule="auto"/>
        <w:jc w:val="both"/>
        <w:rPr>
          <w:bCs/>
          <w:lang w:val="es-BO" w:eastAsia="es-ES"/>
        </w:rPr>
      </w:pPr>
      <w:r w:rsidRPr="00EB05E1">
        <w:rPr>
          <w:bCs/>
          <w:lang w:val="es-BO" w:eastAsia="es-ES"/>
        </w:rPr>
        <w:t xml:space="preserve">Sergio González </w:t>
      </w:r>
      <w:proofErr w:type="spellStart"/>
      <w:r w:rsidRPr="00EB05E1">
        <w:rPr>
          <w:bCs/>
          <w:lang w:val="es-BO" w:eastAsia="es-ES"/>
        </w:rPr>
        <w:t>García</w:t>
      </w:r>
      <w:r w:rsidRPr="00EB05E1">
        <w:rPr>
          <w:bCs/>
          <w:vertAlign w:val="superscript"/>
          <w:lang w:val="es-BO" w:eastAsia="es-ES"/>
        </w:rPr>
        <w:t>2</w:t>
      </w:r>
      <w:proofErr w:type="spellEnd"/>
      <w:r w:rsidRPr="00EB05E1">
        <w:rPr>
          <w:bCs/>
          <w:lang w:val="es-BO" w:eastAsia="es-ES"/>
        </w:rPr>
        <w:t xml:space="preserve"> </w:t>
      </w:r>
      <w:hyperlink r:id="rId10" w:history="1">
        <w:r w:rsidRPr="00EB05E1">
          <w:rPr>
            <w:bCs/>
            <w:color w:val="0563C1"/>
            <w:u w:val="single"/>
            <w:lang w:val="es-BO" w:eastAsia="es-ES"/>
          </w:rPr>
          <w:t>https://orcid.org/0000-0002-2359-9656</w:t>
        </w:r>
      </w:hyperlink>
      <w:r w:rsidRPr="00EB05E1">
        <w:rPr>
          <w:bCs/>
          <w:lang w:val="es-BO" w:eastAsia="es-ES"/>
        </w:rPr>
        <w:t xml:space="preserve"> </w:t>
      </w:r>
    </w:p>
    <w:p w14:paraId="21D3CBC5" w14:textId="77777777" w:rsidR="00EB05E1" w:rsidRPr="00EB05E1" w:rsidRDefault="00EB05E1" w:rsidP="00EB05E1">
      <w:pPr>
        <w:spacing w:line="360" w:lineRule="auto"/>
        <w:jc w:val="both"/>
        <w:rPr>
          <w:bCs/>
          <w:lang w:val="en-US" w:eastAsia="es-ES"/>
        </w:rPr>
      </w:pPr>
      <w:proofErr w:type="spellStart"/>
      <w:r w:rsidRPr="00EB05E1">
        <w:rPr>
          <w:bCs/>
          <w:lang w:val="en-US" w:eastAsia="es-ES"/>
        </w:rPr>
        <w:t>Hedgar</w:t>
      </w:r>
      <w:proofErr w:type="spellEnd"/>
      <w:r w:rsidRPr="00EB05E1">
        <w:rPr>
          <w:bCs/>
          <w:lang w:val="en-US" w:eastAsia="es-ES"/>
        </w:rPr>
        <w:t xml:space="preserve"> </w:t>
      </w:r>
      <w:proofErr w:type="spellStart"/>
      <w:r w:rsidRPr="00EB05E1">
        <w:rPr>
          <w:bCs/>
          <w:lang w:val="en-US" w:eastAsia="es-ES"/>
        </w:rPr>
        <w:t>Berty</w:t>
      </w:r>
      <w:proofErr w:type="spellEnd"/>
      <w:r w:rsidRPr="00EB05E1">
        <w:rPr>
          <w:bCs/>
          <w:lang w:val="en-US" w:eastAsia="es-ES"/>
        </w:rPr>
        <w:t xml:space="preserve"> </w:t>
      </w:r>
      <w:proofErr w:type="spellStart"/>
      <w:r w:rsidRPr="00EB05E1">
        <w:rPr>
          <w:bCs/>
          <w:lang w:val="en-US" w:eastAsia="es-ES"/>
        </w:rPr>
        <w:t>Gutiérrez</w:t>
      </w:r>
      <w:r w:rsidRPr="00EB05E1">
        <w:rPr>
          <w:bCs/>
          <w:vertAlign w:val="superscript"/>
          <w:lang w:val="en-US" w:eastAsia="es-ES"/>
        </w:rPr>
        <w:t>1</w:t>
      </w:r>
      <w:proofErr w:type="spellEnd"/>
      <w:r w:rsidRPr="00EB05E1">
        <w:rPr>
          <w:bCs/>
          <w:lang w:val="en-US" w:eastAsia="es-ES"/>
        </w:rPr>
        <w:t xml:space="preserve">* </w:t>
      </w:r>
      <w:hyperlink r:id="rId11" w:history="1">
        <w:r w:rsidRPr="00EB05E1">
          <w:rPr>
            <w:bCs/>
            <w:color w:val="0563C1"/>
            <w:u w:val="single"/>
            <w:lang w:val="en-US" w:eastAsia="es-ES"/>
          </w:rPr>
          <w:t>https://orcid.org/0000-0003-4458-2930</w:t>
        </w:r>
      </w:hyperlink>
      <w:r w:rsidRPr="00EB05E1">
        <w:rPr>
          <w:bCs/>
          <w:lang w:val="en-US" w:eastAsia="es-ES"/>
        </w:rPr>
        <w:t xml:space="preserve"> </w:t>
      </w:r>
    </w:p>
    <w:p w14:paraId="553D1543" w14:textId="77777777" w:rsidR="00EB05E1" w:rsidRPr="00EB05E1" w:rsidRDefault="00EB05E1" w:rsidP="00EB05E1">
      <w:pPr>
        <w:spacing w:line="360" w:lineRule="auto"/>
        <w:jc w:val="both"/>
        <w:rPr>
          <w:bCs/>
          <w:lang w:val="en-US" w:eastAsia="es-ES"/>
        </w:rPr>
      </w:pPr>
    </w:p>
    <w:p w14:paraId="23659D3C" w14:textId="77777777" w:rsidR="00EB05E1" w:rsidRPr="00EB05E1" w:rsidRDefault="00EB05E1" w:rsidP="00EB05E1">
      <w:pPr>
        <w:spacing w:line="360" w:lineRule="auto"/>
        <w:jc w:val="both"/>
        <w:rPr>
          <w:bCs/>
          <w:lang w:val="es-BO" w:eastAsia="es-ES"/>
        </w:rPr>
      </w:pPr>
      <w:proofErr w:type="spellStart"/>
      <w:r w:rsidRPr="00EB05E1">
        <w:rPr>
          <w:bCs/>
          <w:vertAlign w:val="superscript"/>
          <w:lang w:val="es-BO" w:eastAsia="es-ES"/>
        </w:rPr>
        <w:t>1</w:t>
      </w:r>
      <w:r w:rsidRPr="00EB05E1">
        <w:rPr>
          <w:bCs/>
          <w:lang w:val="es-BO" w:eastAsia="es-ES"/>
        </w:rPr>
        <w:t>Hospital</w:t>
      </w:r>
      <w:proofErr w:type="spellEnd"/>
      <w:r w:rsidRPr="00EB05E1">
        <w:rPr>
          <w:bCs/>
          <w:lang w:val="es-BO" w:eastAsia="es-ES"/>
        </w:rPr>
        <w:t xml:space="preserve"> Docente Clínico Quirúrgico “Miguel Enríquez”. La Habana, Cuba.</w:t>
      </w:r>
    </w:p>
    <w:p w14:paraId="0C4DBDDF" w14:textId="77777777" w:rsidR="00EB05E1" w:rsidRPr="00EB05E1" w:rsidRDefault="00EB05E1" w:rsidP="00EB05E1">
      <w:pPr>
        <w:spacing w:line="360" w:lineRule="auto"/>
        <w:jc w:val="both"/>
        <w:rPr>
          <w:bCs/>
          <w:lang w:val="es-BO" w:eastAsia="es-ES"/>
        </w:rPr>
      </w:pPr>
      <w:proofErr w:type="spellStart"/>
      <w:r w:rsidRPr="00EB05E1">
        <w:rPr>
          <w:bCs/>
          <w:vertAlign w:val="superscript"/>
          <w:lang w:val="es-BO" w:eastAsia="es-ES"/>
        </w:rPr>
        <w:t>2</w:t>
      </w:r>
      <w:r w:rsidRPr="00EB05E1">
        <w:rPr>
          <w:bCs/>
          <w:lang w:val="es-BO" w:eastAsia="es-ES"/>
        </w:rPr>
        <w:t>Universidad</w:t>
      </w:r>
      <w:proofErr w:type="spellEnd"/>
      <w:r w:rsidRPr="00EB05E1">
        <w:rPr>
          <w:bCs/>
          <w:lang w:val="es-BO" w:eastAsia="es-ES"/>
        </w:rPr>
        <w:t xml:space="preserve"> de Ciencias Médicas de La Habana. Facultad de Ciencias Médicas “Dr. Miguel Enríquez”. La Habana, Cuba.</w:t>
      </w:r>
    </w:p>
    <w:p w14:paraId="1D79DAE5" w14:textId="77777777" w:rsidR="00EB05E1" w:rsidRPr="00EB05E1" w:rsidRDefault="00EB05E1" w:rsidP="00EB05E1">
      <w:pPr>
        <w:spacing w:line="360" w:lineRule="auto"/>
        <w:jc w:val="both"/>
        <w:rPr>
          <w:bCs/>
          <w:lang w:val="es-BO" w:eastAsia="es-ES"/>
        </w:rPr>
      </w:pPr>
    </w:p>
    <w:p w14:paraId="66CF5696" w14:textId="77777777" w:rsidR="00EB05E1" w:rsidRPr="00EB05E1" w:rsidRDefault="00EB05E1" w:rsidP="00EB05E1">
      <w:pPr>
        <w:spacing w:line="360" w:lineRule="auto"/>
        <w:jc w:val="both"/>
        <w:rPr>
          <w:bCs/>
          <w:lang w:val="es-BO" w:eastAsia="es-ES"/>
        </w:rPr>
      </w:pPr>
      <w:r w:rsidRPr="00EB05E1">
        <w:rPr>
          <w:bCs/>
          <w:lang w:val="es-BO" w:eastAsia="es-ES"/>
        </w:rPr>
        <w:t xml:space="preserve">*Autor para la correspondencia. Correo electrónico: </w:t>
      </w:r>
      <w:hyperlink r:id="rId12" w:history="1">
        <w:r w:rsidRPr="00EB05E1">
          <w:rPr>
            <w:bCs/>
            <w:color w:val="0563C1"/>
            <w:u w:val="single"/>
            <w:lang w:val="es-BO" w:eastAsia="es-ES"/>
          </w:rPr>
          <w:t>hedgar@infomed.sld.cu</w:t>
        </w:r>
      </w:hyperlink>
      <w:r w:rsidRPr="00EB05E1">
        <w:rPr>
          <w:bCs/>
          <w:lang w:val="es-BO" w:eastAsia="es-ES"/>
        </w:rPr>
        <w:t xml:space="preserve"> </w:t>
      </w:r>
    </w:p>
    <w:p w14:paraId="3B3998B3" w14:textId="77777777" w:rsidR="00EB05E1" w:rsidRPr="00EB05E1" w:rsidRDefault="00EB05E1" w:rsidP="00EB05E1">
      <w:pPr>
        <w:spacing w:line="360" w:lineRule="auto"/>
        <w:jc w:val="both"/>
        <w:rPr>
          <w:bCs/>
          <w:lang w:val="es-BO" w:eastAsia="es-ES"/>
        </w:rPr>
      </w:pPr>
    </w:p>
    <w:p w14:paraId="2BA3ED8F" w14:textId="77777777" w:rsidR="00EB05E1" w:rsidRPr="00EB05E1" w:rsidRDefault="00EB05E1" w:rsidP="00EB05E1">
      <w:pPr>
        <w:spacing w:line="360" w:lineRule="auto"/>
        <w:jc w:val="both"/>
        <w:rPr>
          <w:rFonts w:eastAsia="Calibri"/>
          <w:b/>
          <w:lang w:val="es-BO" w:eastAsia="en-US"/>
        </w:rPr>
      </w:pPr>
      <w:r w:rsidRPr="00EB05E1">
        <w:rPr>
          <w:rFonts w:eastAsia="Calibri"/>
          <w:b/>
          <w:lang w:val="es-BO" w:eastAsia="en-US"/>
        </w:rPr>
        <w:t>RESUMEN</w:t>
      </w:r>
    </w:p>
    <w:p w14:paraId="4ADD5B51"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b/>
          <w:lang w:val="es-CO" w:eastAsia="en-US"/>
        </w:rPr>
        <w:t>Introducción:</w:t>
      </w:r>
      <w:r w:rsidRPr="00EB05E1">
        <w:rPr>
          <w:rFonts w:eastAsia="Calibri"/>
          <w:lang w:val="es-CO" w:eastAsia="en-US"/>
        </w:rPr>
        <w:t xml:space="preserve"> </w:t>
      </w:r>
      <w:r w:rsidRPr="00EB05E1">
        <w:rPr>
          <w:lang w:val="es-BO" w:eastAsia="es-ES"/>
        </w:rPr>
        <w:t xml:space="preserve">La hipoalbuminemia se puede desarrollar en las primeras horas posteriores a una enfermedad aguda y está muy relacionada con un estado inflamatorio activo, independientemente del estado nutricional del paciente. Se ha asociado </w:t>
      </w:r>
      <w:r w:rsidRPr="00EB05E1">
        <w:rPr>
          <w:rFonts w:eastAsia="Calibri"/>
          <w:lang w:val="es-BO" w:eastAsia="en-US"/>
        </w:rPr>
        <w:t xml:space="preserve">con la </w:t>
      </w:r>
      <w:r w:rsidRPr="00EB05E1">
        <w:rPr>
          <w:lang w:val="es-BO" w:eastAsia="es-ES"/>
        </w:rPr>
        <w:t xml:space="preserve">mortalidad hospitalaria </w:t>
      </w:r>
      <w:r w:rsidRPr="00EB05E1">
        <w:rPr>
          <w:rFonts w:eastAsia="Calibri"/>
          <w:lang w:val="es-BO" w:eastAsia="en-US"/>
        </w:rPr>
        <w:t xml:space="preserve">en pacientes con complicaciones postquirúrgicas, pacientes con sepsis y trauma. </w:t>
      </w:r>
    </w:p>
    <w:p w14:paraId="2905207F"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b/>
          <w:lang w:val="es-BO" w:eastAsia="en-US"/>
        </w:rPr>
        <w:t>Objetivo:</w:t>
      </w:r>
      <w:r w:rsidRPr="00EB05E1">
        <w:rPr>
          <w:rFonts w:eastAsia="Calibri"/>
          <w:lang w:val="es-BO" w:eastAsia="en-US"/>
        </w:rPr>
        <w:t xml:space="preserve"> Evaluar la asociación entre los niveles de hipoalbuminemia y el riesgo de mortalidad del paciente crítico en una unidad polivalente. </w:t>
      </w:r>
    </w:p>
    <w:p w14:paraId="44BC7B75"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b/>
          <w:lang w:val="es-BO" w:eastAsia="en-US"/>
        </w:rPr>
        <w:t>Métodos:</w:t>
      </w:r>
      <w:r w:rsidRPr="00EB05E1">
        <w:rPr>
          <w:lang w:val="es-CO" w:eastAsia="en-US"/>
        </w:rPr>
        <w:t xml:space="preserve"> Estudio </w:t>
      </w:r>
      <w:r w:rsidRPr="00EB05E1">
        <w:rPr>
          <w:rFonts w:eastAsia="Calibri"/>
          <w:lang w:val="es-BO" w:eastAsia="en-US"/>
        </w:rPr>
        <w:t xml:space="preserve">observacional, descriptivo, prospectivo, de serie de casos, </w:t>
      </w:r>
      <w:r w:rsidRPr="00EB05E1">
        <w:rPr>
          <w:lang w:val="es-CO" w:eastAsia="en-US"/>
        </w:rPr>
        <w:t xml:space="preserve">con 216 pacientes que ingresaron en la unidad. </w:t>
      </w:r>
      <w:r w:rsidRPr="00EB05E1">
        <w:rPr>
          <w:rFonts w:eastAsia="Calibri"/>
          <w:lang w:val="es-BO" w:eastAsia="en-US"/>
        </w:rPr>
        <w:t xml:space="preserve">Se analizaron variables demográficas, clínicas, de laboratorio y se aplicó el </w:t>
      </w:r>
      <w:r w:rsidRPr="00EB05E1">
        <w:rPr>
          <w:rFonts w:eastAsia="Calibri"/>
          <w:lang w:val="es-BO" w:eastAsia="en-US"/>
        </w:rPr>
        <w:lastRenderedPageBreak/>
        <w:t xml:space="preserve">índice pronóstico APACHE II. Se determinó la concentración de albúmina al ingreso y se clasificó la hipoalbuminemia en leve (30-35 g/L) y moderada/grave (≤ 30 g/L). </w:t>
      </w:r>
    </w:p>
    <w:p w14:paraId="0DD910BF" w14:textId="77777777" w:rsidR="00EB05E1" w:rsidRPr="00EB05E1" w:rsidRDefault="00EB05E1" w:rsidP="00EB05E1">
      <w:pPr>
        <w:autoSpaceDE w:val="0"/>
        <w:autoSpaceDN w:val="0"/>
        <w:adjustRightInd w:val="0"/>
        <w:spacing w:line="360" w:lineRule="auto"/>
        <w:jc w:val="both"/>
        <w:rPr>
          <w:rFonts w:eastAsia="Calibri"/>
          <w:bCs/>
          <w:lang w:val="es-BO" w:eastAsia="en-US"/>
        </w:rPr>
      </w:pPr>
      <w:r w:rsidRPr="00EB05E1">
        <w:rPr>
          <w:b/>
          <w:bCs/>
          <w:lang w:val="es-CO" w:eastAsia="en-US"/>
        </w:rPr>
        <w:t>Resultados:</w:t>
      </w:r>
      <w:r w:rsidRPr="00EB05E1">
        <w:rPr>
          <w:bCs/>
          <w:lang w:val="es-CO" w:eastAsia="en-US"/>
        </w:rPr>
        <w:t xml:space="preserve"> En el </w:t>
      </w:r>
      <w:r w:rsidRPr="00EB05E1">
        <w:rPr>
          <w:rFonts w:eastAsia="Calibri"/>
          <w:lang w:val="es-BO" w:eastAsia="en-US"/>
        </w:rPr>
        <w:t xml:space="preserve">estudio fallecieron </w:t>
      </w:r>
      <w:r w:rsidRPr="00EB05E1">
        <w:rPr>
          <w:rFonts w:eastAsia="Calibri"/>
          <w:bCs/>
          <w:lang w:val="es-BO" w:eastAsia="en-US"/>
        </w:rPr>
        <w:t xml:space="preserve">28 pacientes, lo que representó un 13 % del total de pacientes ingresados. La albúmina presentó niveles bajos en 118 pacientes (54,6 %), y de estos, 66 (56 %) presentaron cifras inferiores a los 30 g/L; o sea, una hipoalbuminemia moderada o </w:t>
      </w:r>
      <w:r w:rsidRPr="00EB05E1">
        <w:rPr>
          <w:rFonts w:eastAsia="Calibri"/>
          <w:lang w:val="es-BO" w:eastAsia="en-US"/>
        </w:rPr>
        <w:t>grave</w:t>
      </w:r>
      <w:r w:rsidRPr="00EB05E1">
        <w:rPr>
          <w:rFonts w:eastAsia="Calibri"/>
          <w:bCs/>
          <w:lang w:val="es-BO" w:eastAsia="en-US"/>
        </w:rPr>
        <w:t>. Los pacientes con hipoalbuminemia moderada-grave tuvieron un riesgo de muerte superior (23,5 %) a aquellos con niveles clasificados como leve (15,3 %), diferencia estadísticamente significativa (p= 0,034); y en el grupo de pacientes con hipoalbuminemia moderada-</w:t>
      </w:r>
      <w:r w:rsidRPr="00EB05E1">
        <w:rPr>
          <w:rFonts w:eastAsia="Calibri"/>
          <w:lang w:val="es-BO" w:eastAsia="en-US"/>
        </w:rPr>
        <w:t xml:space="preserve"> grave</w:t>
      </w:r>
      <w:r w:rsidRPr="00EB05E1">
        <w:rPr>
          <w:rFonts w:eastAsia="Calibri"/>
          <w:bCs/>
          <w:lang w:val="es-BO" w:eastAsia="en-US"/>
        </w:rPr>
        <w:t xml:space="preserve"> falleció el 67 %, en relación con el 33 % de los pacientes con niveles clasificados como leve. </w:t>
      </w:r>
    </w:p>
    <w:p w14:paraId="5B642FAD"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b/>
          <w:lang w:val="es-BO" w:eastAsia="en-US"/>
        </w:rPr>
        <w:t>Conclusiones:</w:t>
      </w:r>
      <w:r w:rsidRPr="00EB05E1">
        <w:rPr>
          <w:rFonts w:eastAsia="Calibri"/>
          <w:i/>
          <w:lang w:val="es-BO" w:eastAsia="en-US"/>
        </w:rPr>
        <w:t xml:space="preserve"> </w:t>
      </w:r>
      <w:r w:rsidRPr="00EB05E1">
        <w:rPr>
          <w:rFonts w:eastAsia="Calibri"/>
          <w:lang w:val="es-BO" w:eastAsia="en-US"/>
        </w:rPr>
        <w:t>La hipoalbuminemia moderada-grave se asocia con el riesgo de mortalidad, independientemente del diagnóstico al ingreso.</w:t>
      </w:r>
    </w:p>
    <w:p w14:paraId="2D85D3D8" w14:textId="77777777" w:rsidR="00EB05E1" w:rsidRPr="00EB05E1" w:rsidRDefault="00EB05E1" w:rsidP="00EB05E1">
      <w:pPr>
        <w:spacing w:line="360" w:lineRule="auto"/>
        <w:jc w:val="both"/>
        <w:rPr>
          <w:rFonts w:eastAsia="Calibri"/>
          <w:b/>
          <w:lang w:val="es-BO" w:eastAsia="en-US"/>
        </w:rPr>
      </w:pPr>
      <w:r w:rsidRPr="00EB05E1">
        <w:rPr>
          <w:rFonts w:eastAsia="Calibri"/>
          <w:b/>
          <w:lang w:val="es-BO" w:eastAsia="en-US"/>
        </w:rPr>
        <w:t xml:space="preserve">Palabas clave: </w:t>
      </w:r>
      <w:r w:rsidRPr="00EB05E1">
        <w:rPr>
          <w:rFonts w:eastAsia="Calibri"/>
          <w:lang w:val="es-BO" w:eastAsia="en-US"/>
        </w:rPr>
        <w:t xml:space="preserve">hipoalbuminemia; APACHE II; riesgo de muerte; cuidados intensivos; paciente crítico. </w:t>
      </w:r>
    </w:p>
    <w:p w14:paraId="021CD0B3" w14:textId="77777777" w:rsidR="00EB05E1" w:rsidRPr="00EB05E1" w:rsidRDefault="00EB05E1" w:rsidP="00EB05E1">
      <w:pPr>
        <w:spacing w:line="360" w:lineRule="auto"/>
        <w:jc w:val="both"/>
        <w:rPr>
          <w:lang w:val="es-BO" w:eastAsia="es-ES"/>
        </w:rPr>
      </w:pPr>
    </w:p>
    <w:p w14:paraId="267F2497"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n-US" w:eastAsia="es-ES"/>
        </w:rPr>
      </w:pPr>
      <w:r w:rsidRPr="00EB05E1">
        <w:rPr>
          <w:b/>
          <w:lang w:val="en-US" w:eastAsia="es-ES"/>
        </w:rPr>
        <w:t>ABSTRACT</w:t>
      </w:r>
    </w:p>
    <w:p w14:paraId="76AB8C39"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B05E1">
        <w:rPr>
          <w:b/>
          <w:lang w:val="en-US" w:eastAsia="es-ES"/>
        </w:rPr>
        <w:t xml:space="preserve">Introduction: </w:t>
      </w:r>
      <w:r w:rsidRPr="00EB05E1">
        <w:rPr>
          <w:lang w:val="en-US" w:eastAsia="es-ES"/>
        </w:rPr>
        <w:t xml:space="preserve">Hypoalbuminemia can develop in the first hours after an acute illness, and is closely related to an active inflammatory state, regardless of the patient's nutritional status. It has been associated with hospital mortality in patients with post-surgical complications, patients with sepsis and trauma. </w:t>
      </w:r>
    </w:p>
    <w:p w14:paraId="2E2F4F9C"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B05E1">
        <w:rPr>
          <w:b/>
          <w:lang w:val="en-US" w:eastAsia="es-ES"/>
        </w:rPr>
        <w:t>Objective:</w:t>
      </w:r>
      <w:r w:rsidRPr="00EB05E1">
        <w:rPr>
          <w:lang w:val="en-US" w:eastAsia="es-ES"/>
        </w:rPr>
        <w:t xml:space="preserve"> To evaluate the association between hypoalbuminemia level and the risk of mortality in critically ill patients in a polyvalent unit. </w:t>
      </w:r>
    </w:p>
    <w:p w14:paraId="680DD289"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B05E1">
        <w:rPr>
          <w:b/>
          <w:lang w:val="en-US" w:eastAsia="es-ES"/>
        </w:rPr>
        <w:t>Methods:</w:t>
      </w:r>
      <w:r w:rsidRPr="00EB05E1">
        <w:rPr>
          <w:lang w:val="en-US" w:eastAsia="es-ES"/>
        </w:rPr>
        <w:t xml:space="preserve"> Observational, descriptive, prospective, case series study, with 216 patients admitted to the unit. Demographic, clinical, and laboratory variables were analyzed and the APACHE II prognostic score was applied. Albumin concentration is calculated on admission and hypoalbuminemia is classified as mild (30-35 g/L) and moderate/severe (≤ 30 g/L). </w:t>
      </w:r>
    </w:p>
    <w:p w14:paraId="7552BAD1"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B05E1">
        <w:rPr>
          <w:b/>
          <w:lang w:val="en-US" w:eastAsia="es-ES"/>
        </w:rPr>
        <w:t>Results:</w:t>
      </w:r>
      <w:r w:rsidRPr="00EB05E1">
        <w:rPr>
          <w:lang w:val="en-US" w:eastAsia="es-ES"/>
        </w:rPr>
        <w:t xml:space="preserve"> In the study, 28 patients died, which represented 13% of the total number of patients admitted. Albumin levels were low in 118 patients (54.6%), and of these 66 patients (56%) were classified as hypoalbuminemia moderate/severe, with albumin values below 30 g/L. Patients with moderate-severe hypoalbuminemia had a higher risk of death (23.5%) than those patients with levels classified as mild (15.3%), a statistically significant difference (p= 0.034); and in the group of patients with moderate-</w:t>
      </w:r>
      <w:r w:rsidRPr="00EB05E1">
        <w:rPr>
          <w:lang w:val="en-US" w:eastAsia="es-ES"/>
        </w:rPr>
        <w:lastRenderedPageBreak/>
        <w:t xml:space="preserve">severe hypoalbuminemia, 67% died, in relation to 33% of patients with levels classified as mild. </w:t>
      </w:r>
      <w:r w:rsidRPr="00EB05E1">
        <w:rPr>
          <w:b/>
          <w:lang w:val="en-US" w:eastAsia="es-ES"/>
        </w:rPr>
        <w:t xml:space="preserve">Conclusions: </w:t>
      </w:r>
      <w:r w:rsidRPr="00EB05E1">
        <w:rPr>
          <w:lang w:val="en-US" w:eastAsia="es-ES"/>
        </w:rPr>
        <w:t>Moderate-severe hypoalbuminemia is associated with mortality risk, regardless of admission diagnosis.</w:t>
      </w:r>
    </w:p>
    <w:p w14:paraId="01D5D718"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B05E1">
        <w:rPr>
          <w:b/>
          <w:lang w:val="en-US" w:eastAsia="es-ES"/>
        </w:rPr>
        <w:t xml:space="preserve">Keywords: </w:t>
      </w:r>
      <w:r w:rsidRPr="00EB05E1">
        <w:rPr>
          <w:lang w:val="en-US" w:eastAsia="es-ES"/>
        </w:rPr>
        <w:t>hypoalbuminemia; APACHE II; risk of death; intensive care; critical patient.</w:t>
      </w:r>
    </w:p>
    <w:p w14:paraId="03A96E3E"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15F6EEAF"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3D2F75D9"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EB05E1">
        <w:rPr>
          <w:lang w:val="es-ES" w:eastAsia="es-ES"/>
        </w:rPr>
        <w:t>Recibido: 22/08/2022</w:t>
      </w:r>
    </w:p>
    <w:p w14:paraId="60C8DEF5"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EB05E1">
        <w:rPr>
          <w:lang w:val="es-ES" w:eastAsia="es-ES"/>
        </w:rPr>
        <w:t>Aprobado: 21/02/2023</w:t>
      </w:r>
    </w:p>
    <w:p w14:paraId="151E4C5A" w14:textId="77777777" w:rsidR="00EB05E1" w:rsidRPr="00EB05E1" w:rsidRDefault="00EB05E1" w:rsidP="00EB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4663C906" w14:textId="77777777" w:rsidR="00EB05E1" w:rsidRPr="00EB05E1" w:rsidRDefault="00EB05E1" w:rsidP="00EB05E1">
      <w:pPr>
        <w:spacing w:line="360" w:lineRule="auto"/>
        <w:jc w:val="both"/>
        <w:rPr>
          <w:b/>
          <w:lang w:val="es-BO" w:eastAsia="es-ES"/>
        </w:rPr>
      </w:pPr>
    </w:p>
    <w:p w14:paraId="7D23CB16" w14:textId="77777777" w:rsidR="00EB05E1" w:rsidRPr="00EB05E1" w:rsidRDefault="00EB05E1" w:rsidP="00EB05E1">
      <w:pPr>
        <w:spacing w:line="360" w:lineRule="auto"/>
        <w:jc w:val="center"/>
        <w:rPr>
          <w:b/>
          <w:sz w:val="32"/>
          <w:szCs w:val="32"/>
          <w:lang w:val="es-BO" w:eastAsia="es-ES"/>
        </w:rPr>
      </w:pPr>
      <w:r w:rsidRPr="00EB05E1">
        <w:rPr>
          <w:b/>
          <w:sz w:val="32"/>
          <w:szCs w:val="32"/>
          <w:lang w:val="es-BO" w:eastAsia="es-ES"/>
        </w:rPr>
        <w:t>INTRODUCCIÓN</w:t>
      </w:r>
    </w:p>
    <w:p w14:paraId="6132F803" w14:textId="77777777" w:rsidR="00EB05E1" w:rsidRPr="00EB05E1" w:rsidRDefault="00EB05E1" w:rsidP="00EB05E1">
      <w:pPr>
        <w:spacing w:line="360" w:lineRule="auto"/>
        <w:jc w:val="both"/>
        <w:rPr>
          <w:rFonts w:eastAsia="Calibri"/>
          <w:lang w:val="es-BO" w:eastAsia="en-US"/>
        </w:rPr>
      </w:pPr>
      <w:r w:rsidRPr="00EB05E1">
        <w:rPr>
          <w:lang w:val="es-BO" w:eastAsia="es-ES"/>
        </w:rPr>
        <w:t xml:space="preserve">La hipoalbuminemia se puede desarrollar en las primeras horas posteriores a una enfermedad aguda, a un trauma o a complicaciones postquirúrgicas. Está muy relacionada con un estado inflamatorio activo, independientemente del estado nutricional del paciente y refleja el estrés </w:t>
      </w:r>
      <w:proofErr w:type="gramStart"/>
      <w:r w:rsidRPr="00EB05E1">
        <w:rPr>
          <w:lang w:val="es-BO" w:eastAsia="es-ES"/>
        </w:rPr>
        <w:t>fisiológico.</w:t>
      </w:r>
      <w:r w:rsidRPr="00EB05E1">
        <w:rPr>
          <w:vertAlign w:val="superscript"/>
          <w:lang w:val="es-BO" w:eastAsia="es-ES"/>
        </w:rPr>
        <w:t>(</w:t>
      </w:r>
      <w:proofErr w:type="gramEnd"/>
      <w:r w:rsidRPr="00EB05E1">
        <w:rPr>
          <w:vertAlign w:val="superscript"/>
          <w:lang w:val="es-BO" w:eastAsia="es-ES"/>
        </w:rPr>
        <w:t>1,2)</w:t>
      </w:r>
      <w:r w:rsidRPr="00EB05E1">
        <w:rPr>
          <w:rFonts w:eastAsia="Calibri"/>
          <w:lang w:val="es-BO" w:eastAsia="en-US"/>
        </w:rPr>
        <w:t xml:space="preserve"> </w:t>
      </w:r>
    </w:p>
    <w:p w14:paraId="7B617004" w14:textId="77777777" w:rsidR="00EB05E1" w:rsidRPr="00EB05E1" w:rsidRDefault="00EB05E1" w:rsidP="00EB05E1">
      <w:pPr>
        <w:spacing w:line="360" w:lineRule="auto"/>
        <w:jc w:val="both"/>
        <w:rPr>
          <w:rFonts w:eastAsia="Calibri"/>
          <w:i/>
          <w:iCs/>
          <w:vertAlign w:val="superscript"/>
          <w:lang w:val="es-BO" w:eastAsia="en-US"/>
        </w:rPr>
      </w:pPr>
      <w:r w:rsidRPr="00EB05E1">
        <w:rPr>
          <w:rFonts w:eastAsia="Calibri"/>
          <w:lang w:val="es-BO" w:eastAsia="en-US"/>
        </w:rPr>
        <w:t>En el paciente crítico las cifras bajas de albúmina están en relación con la presencia de alteraciones en la síntesis, al a</w:t>
      </w:r>
      <w:r w:rsidRPr="00EB05E1">
        <w:rPr>
          <w:rFonts w:eastAsia="Calibri"/>
          <w:iCs/>
          <w:lang w:val="es-BO" w:eastAsia="en-US"/>
        </w:rPr>
        <w:t xml:space="preserve">umento del catabolismo, aumento en la pérdida y alteraciones en la distribución </w:t>
      </w:r>
      <w:proofErr w:type="gramStart"/>
      <w:r w:rsidRPr="00EB05E1">
        <w:rPr>
          <w:rFonts w:eastAsia="Calibri"/>
          <w:iCs/>
          <w:lang w:val="es-BO" w:eastAsia="en-US"/>
        </w:rPr>
        <w:t>tisular.</w:t>
      </w:r>
      <w:r w:rsidRPr="00EB05E1">
        <w:rPr>
          <w:rFonts w:eastAsia="Calibri"/>
          <w:iCs/>
          <w:vertAlign w:val="superscript"/>
          <w:lang w:val="es-BO" w:eastAsia="en-US"/>
        </w:rPr>
        <w:t>(</w:t>
      </w:r>
      <w:proofErr w:type="gramEnd"/>
      <w:r w:rsidRPr="00EB05E1">
        <w:rPr>
          <w:rFonts w:eastAsia="Calibri"/>
          <w:iCs/>
          <w:vertAlign w:val="superscript"/>
          <w:lang w:val="es-BO" w:eastAsia="en-US"/>
        </w:rPr>
        <w:t>1,2,3)</w:t>
      </w:r>
    </w:p>
    <w:p w14:paraId="64133CFE" w14:textId="77777777" w:rsidR="00EB05E1" w:rsidRPr="00EB05E1" w:rsidRDefault="00EB05E1" w:rsidP="00EB05E1">
      <w:pPr>
        <w:spacing w:line="360" w:lineRule="auto"/>
        <w:jc w:val="both"/>
        <w:rPr>
          <w:rFonts w:eastAsia="Calibri"/>
          <w:lang w:val="es-BO" w:eastAsia="en-US"/>
        </w:rPr>
      </w:pPr>
      <w:r w:rsidRPr="00EB05E1">
        <w:rPr>
          <w:rFonts w:eastAsia="Calibri"/>
          <w:lang w:val="es-BO" w:eastAsia="en-US"/>
        </w:rPr>
        <w:t xml:space="preserve">Son numerosos los </w:t>
      </w:r>
      <w:proofErr w:type="gramStart"/>
      <w:r w:rsidRPr="00EB05E1">
        <w:rPr>
          <w:rFonts w:eastAsia="Calibri"/>
          <w:lang w:val="es-BO" w:eastAsia="en-US"/>
        </w:rPr>
        <w:t>estudios</w:t>
      </w:r>
      <w:r w:rsidRPr="00EB05E1">
        <w:rPr>
          <w:vertAlign w:val="superscript"/>
          <w:lang w:val="es-BO" w:eastAsia="es-ES"/>
        </w:rPr>
        <w:t>(</w:t>
      </w:r>
      <w:proofErr w:type="gramEnd"/>
      <w:r w:rsidRPr="00EB05E1">
        <w:rPr>
          <w:vertAlign w:val="superscript"/>
          <w:lang w:val="es-BO" w:eastAsia="es-ES"/>
        </w:rPr>
        <w:t>4,5,6,7,8)</w:t>
      </w:r>
      <w:r w:rsidRPr="00EB05E1">
        <w:rPr>
          <w:lang w:val="es-BO" w:eastAsia="es-ES"/>
        </w:rPr>
        <w:t xml:space="preserve"> </w:t>
      </w:r>
      <w:r w:rsidRPr="00EB05E1">
        <w:rPr>
          <w:rFonts w:eastAsia="Calibri"/>
          <w:lang w:val="es-BO" w:eastAsia="en-US"/>
        </w:rPr>
        <w:t xml:space="preserve">que demuestran que la hipoalbuminemia se asocia a la </w:t>
      </w:r>
      <w:r w:rsidRPr="00EB05E1">
        <w:rPr>
          <w:lang w:val="es-BO" w:eastAsia="es-ES"/>
        </w:rPr>
        <w:t xml:space="preserve">mortalidad intrahospitalaria en diferentes grupos de pacientes y en diferentes unidades hospitalarias. Se considera como un factor de morbilidad y mortalidad, tanto en pacientes agudos como crónicos. </w:t>
      </w:r>
      <w:r w:rsidRPr="00EB05E1">
        <w:rPr>
          <w:rFonts w:eastAsia="Calibri"/>
          <w:lang w:val="es-BO" w:eastAsia="en-US"/>
        </w:rPr>
        <w:t xml:space="preserve">Sin embargo, muchos de los estudios publicados se realizan en pacientes con complicaciones </w:t>
      </w:r>
      <w:proofErr w:type="gramStart"/>
      <w:r w:rsidRPr="00EB05E1">
        <w:rPr>
          <w:rFonts w:eastAsia="Calibri"/>
          <w:lang w:val="es-BO" w:eastAsia="en-US"/>
        </w:rPr>
        <w:t>postquirúrgicas,</w:t>
      </w:r>
      <w:r w:rsidRPr="00EB05E1">
        <w:rPr>
          <w:rFonts w:eastAsia="Calibri"/>
          <w:vertAlign w:val="superscript"/>
          <w:lang w:val="es-BO" w:eastAsia="en-US"/>
        </w:rPr>
        <w:t>(</w:t>
      </w:r>
      <w:proofErr w:type="gramEnd"/>
      <w:r w:rsidRPr="00EB05E1">
        <w:rPr>
          <w:rFonts w:eastAsia="Calibri"/>
          <w:vertAlign w:val="superscript"/>
          <w:lang w:val="es-BO" w:eastAsia="en-US"/>
        </w:rPr>
        <w:t>9)</w:t>
      </w:r>
      <w:r w:rsidRPr="00EB05E1">
        <w:rPr>
          <w:rFonts w:eastAsia="Calibri"/>
          <w:lang w:val="es-BO" w:eastAsia="en-US"/>
        </w:rPr>
        <w:t xml:space="preserve"> con sepsis</w:t>
      </w:r>
      <w:r w:rsidRPr="00EB05E1">
        <w:rPr>
          <w:rFonts w:eastAsia="Calibri"/>
          <w:vertAlign w:val="superscript"/>
          <w:lang w:val="es-BO" w:eastAsia="en-US"/>
        </w:rPr>
        <w:t>(10,11)</w:t>
      </w:r>
      <w:r w:rsidRPr="00EB05E1">
        <w:rPr>
          <w:rFonts w:eastAsia="Calibri"/>
          <w:lang w:val="es-BO" w:eastAsia="en-US"/>
        </w:rPr>
        <w:t xml:space="preserve"> o con traumas;</w:t>
      </w:r>
      <w:r w:rsidRPr="00EB05E1">
        <w:rPr>
          <w:rFonts w:eastAsia="Calibri"/>
          <w:vertAlign w:val="superscript"/>
          <w:lang w:val="es-BO" w:eastAsia="en-US"/>
        </w:rPr>
        <w:t>(12)</w:t>
      </w:r>
      <w:r w:rsidRPr="00EB05E1">
        <w:rPr>
          <w:rFonts w:eastAsia="Calibri"/>
          <w:lang w:val="es-BO" w:eastAsia="en-US"/>
        </w:rPr>
        <w:t xml:space="preserve"> y ha sido menos estudiada la gravedad de la hipoalbuminemia como predictor de la mortalidad en una unidad de cuidados intensivos (UCI) polivalente.</w:t>
      </w:r>
    </w:p>
    <w:p w14:paraId="5117B9B5"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El objetivo de la investigación es evaluar la asociación entre los niveles de hipoalbuminemia y el riesgo de mortalidad del paciente crítico en una unidad polivalente. </w:t>
      </w:r>
    </w:p>
    <w:p w14:paraId="163C4201" w14:textId="77777777" w:rsidR="00EB05E1" w:rsidRPr="00EB05E1" w:rsidRDefault="00EB05E1" w:rsidP="00EB05E1">
      <w:pPr>
        <w:autoSpaceDE w:val="0"/>
        <w:autoSpaceDN w:val="0"/>
        <w:adjustRightInd w:val="0"/>
        <w:spacing w:line="360" w:lineRule="auto"/>
        <w:jc w:val="both"/>
        <w:rPr>
          <w:rFonts w:eastAsia="Calibri"/>
          <w:lang w:val="es-BO" w:eastAsia="en-US"/>
        </w:rPr>
      </w:pPr>
    </w:p>
    <w:p w14:paraId="20BCCD66" w14:textId="77777777" w:rsidR="00EB05E1" w:rsidRPr="00EB05E1" w:rsidRDefault="00EB05E1" w:rsidP="00EB05E1">
      <w:pPr>
        <w:autoSpaceDE w:val="0"/>
        <w:autoSpaceDN w:val="0"/>
        <w:adjustRightInd w:val="0"/>
        <w:spacing w:line="360" w:lineRule="auto"/>
        <w:jc w:val="both"/>
        <w:rPr>
          <w:rFonts w:eastAsia="Calibri"/>
          <w:b/>
          <w:lang w:val="es-BO" w:eastAsia="en-US"/>
        </w:rPr>
      </w:pPr>
    </w:p>
    <w:p w14:paraId="7809DC13" w14:textId="77777777" w:rsidR="00815385" w:rsidRDefault="00815385">
      <w:pPr>
        <w:rPr>
          <w:rFonts w:eastAsia="Calibri"/>
          <w:b/>
          <w:sz w:val="32"/>
          <w:szCs w:val="32"/>
          <w:lang w:val="es-BO" w:eastAsia="en-US"/>
        </w:rPr>
      </w:pPr>
      <w:r>
        <w:rPr>
          <w:rFonts w:eastAsia="Calibri"/>
          <w:b/>
          <w:sz w:val="32"/>
          <w:szCs w:val="32"/>
          <w:lang w:val="es-BO" w:eastAsia="en-US"/>
        </w:rPr>
        <w:br w:type="page"/>
      </w:r>
    </w:p>
    <w:p w14:paraId="06207BE7" w14:textId="11154522" w:rsidR="00EB05E1" w:rsidRPr="00EB05E1" w:rsidRDefault="00EB05E1" w:rsidP="00EB05E1">
      <w:pPr>
        <w:autoSpaceDE w:val="0"/>
        <w:autoSpaceDN w:val="0"/>
        <w:adjustRightInd w:val="0"/>
        <w:spacing w:line="360" w:lineRule="auto"/>
        <w:jc w:val="center"/>
        <w:rPr>
          <w:rFonts w:eastAsia="Calibri"/>
          <w:b/>
          <w:sz w:val="32"/>
          <w:szCs w:val="32"/>
          <w:lang w:val="es-BO" w:eastAsia="en-US"/>
        </w:rPr>
      </w:pPr>
      <w:r w:rsidRPr="00EB05E1">
        <w:rPr>
          <w:rFonts w:eastAsia="Calibri"/>
          <w:b/>
          <w:sz w:val="32"/>
          <w:szCs w:val="32"/>
          <w:lang w:val="es-BO" w:eastAsia="en-US"/>
        </w:rPr>
        <w:lastRenderedPageBreak/>
        <w:t>MÉTODOS</w:t>
      </w:r>
    </w:p>
    <w:p w14:paraId="273E0916"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Se realizó un estudio observacional, descriptivo, prospectivo de series de casos en la unidad de cuidados intensivos del Hospital Docente Clínico Quirúrgico “Dr. Miguel Enríquez” durante los años 2018 al 2021.</w:t>
      </w:r>
    </w:p>
    <w:p w14:paraId="11EF655D"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Un total de 225 pacientes ingresaron de forma consecutiva en la UCI del hospital. De ellos se seleccionaron 216 que fueron quienes permanecieron ingresados por más de 24 horas. Se excluyeron los pacientes a quienes se les administró albúmina exógena y los que tuvieron pérdidas hemáticas que llevaron protocolo de transfusión masiva.</w:t>
      </w:r>
    </w:p>
    <w:p w14:paraId="2810687E"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Se les aplicó la escala pronóstica APACHE II y se determinó la albúmina sérica en las primeras 24 horas. </w:t>
      </w:r>
    </w:p>
    <w:p w14:paraId="18857D19"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A todos los pacientes se les tomó una muestra de sangre por vena periférica y arterial en las primeras 24 horas de ingreso en la UCI. Se recogieron los datos demográficos (edad, sexo y color de la piel); diagnóstico principal; estado al egreso (vivo o fallecido); las variables clínicas (frecuencia cardiaca, frecuencia respiratoria, tensión arterial) y valores de laboratorio (pH, presión arterial de oxígeno, presión arterial de dióxido de carbono, exceso de base, bicarbonato, sodio, potasio, cloro, calcio, hemoglobina, leucocitos, plaquetas, creatinina, glicemia, albúmina). </w:t>
      </w:r>
    </w:p>
    <w:p w14:paraId="541CDAF5"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La serie de casos serie de casos se dividió en 2 grupos, en dependencia de los valores de la albúmina: (bajo&lt; 35 g/L; 118 pacientes) y (normal-alto &gt; 35 g/L; 98 pacientes). </w:t>
      </w:r>
    </w:p>
    <w:p w14:paraId="7208CFA7" w14:textId="4BD4EBCD"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Se consideró hipoalbuminemia cuando la concentración de albúmina en sangre fue menor de &lt; 35 g/L. La gravedad de la hipoalbuminemia se clasificó en leve 30-35 g/L; moderada 25-30 g/L y grave &lt;</w:t>
      </w:r>
      <w:r w:rsidR="00D60CA7">
        <w:rPr>
          <w:rFonts w:eastAsia="Calibri"/>
          <w:lang w:val="es-BO" w:eastAsia="en-US"/>
        </w:rPr>
        <w:t> </w:t>
      </w:r>
      <w:r w:rsidRPr="00EB05E1">
        <w:rPr>
          <w:rFonts w:eastAsia="Calibri"/>
          <w:lang w:val="es-BO" w:eastAsia="en-US"/>
        </w:rPr>
        <w:t>25</w:t>
      </w:r>
      <w:r w:rsidR="00D60CA7">
        <w:rPr>
          <w:rFonts w:eastAsia="Calibri"/>
          <w:lang w:val="es-BO" w:eastAsia="en-US"/>
        </w:rPr>
        <w:t> </w:t>
      </w:r>
      <w:r w:rsidRPr="00EB05E1">
        <w:rPr>
          <w:rFonts w:eastAsia="Calibri"/>
          <w:lang w:val="es-BO" w:eastAsia="en-US"/>
        </w:rPr>
        <w:t xml:space="preserve">g/L. </w:t>
      </w:r>
    </w:p>
    <w:p w14:paraId="57133406"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La técnica se ejecutó a través de la recolección en un tubo de ensayo para hemograma, con anticoagulante </w:t>
      </w:r>
      <w:proofErr w:type="spellStart"/>
      <w:r w:rsidRPr="00EB05E1">
        <w:rPr>
          <w:rFonts w:eastAsia="Calibri"/>
          <w:lang w:val="es-BO" w:eastAsia="en-US"/>
        </w:rPr>
        <w:t>EDTA</w:t>
      </w:r>
      <w:proofErr w:type="spellEnd"/>
      <w:r w:rsidRPr="00EB05E1">
        <w:rPr>
          <w:rFonts w:eastAsia="Calibri"/>
          <w:lang w:val="es-BO" w:eastAsia="en-US"/>
        </w:rPr>
        <w:t xml:space="preserve"> y en balas con anticoagulante heparina, para análisis de parámetros químicos. La determinación de albúmina por el método verde de bromocresol se realizó en el equipo automatizado Hitachi 902 y Modular P-800. Además, se tomó una muestra de sangre arterial, que se depositó en balas con anticoagulante heparina, para análisis de parámetros gasométricos y ionograma.</w:t>
      </w:r>
    </w:p>
    <w:p w14:paraId="16BFBBD9"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Para el almacenamiento de los datos se utilizó una base de datos y se procesó a través del software estadístico SPSS versión 21. Se determinaron medidas de resumen para variables cualitativas (número absoluto y por cientos); para las cuantitativas se determinó la media con desviación estándar o mediana con 25-75 % rango </w:t>
      </w:r>
      <w:proofErr w:type="spellStart"/>
      <w:r w:rsidRPr="00EB05E1">
        <w:rPr>
          <w:rFonts w:eastAsia="Calibri"/>
          <w:lang w:val="es-BO" w:eastAsia="en-US"/>
        </w:rPr>
        <w:t>intercuartil</w:t>
      </w:r>
      <w:proofErr w:type="spellEnd"/>
      <w:r w:rsidRPr="00EB05E1">
        <w:rPr>
          <w:rFonts w:eastAsia="Calibri"/>
          <w:lang w:val="es-BO" w:eastAsia="en-US"/>
        </w:rPr>
        <w:t xml:space="preserve"> de acuerdo a la distribución de normalidad de la población. Para la </w:t>
      </w:r>
      <w:r w:rsidRPr="00EB05E1">
        <w:rPr>
          <w:rFonts w:eastAsia="Calibri"/>
          <w:lang w:val="es-BO" w:eastAsia="en-US"/>
        </w:rPr>
        <w:lastRenderedPageBreak/>
        <w:t xml:space="preserve">comparación de las variables cualitativas se determinó el estadígrafo </w:t>
      </w:r>
      <w:r w:rsidRPr="00EB05E1">
        <w:rPr>
          <w:rFonts w:eastAsia="Calibri"/>
          <w:i/>
          <w:iCs/>
          <w:lang w:val="es-BO" w:eastAsia="en-US"/>
        </w:rPr>
        <w:t>ji</w:t>
      </w:r>
      <w:r w:rsidRPr="00EB05E1">
        <w:rPr>
          <w:rFonts w:eastAsia="Calibri"/>
          <w:lang w:val="es-BO" w:eastAsia="en-US"/>
        </w:rPr>
        <w:t xml:space="preserve"> cuadrado de Pearson o el test exacto de Fisher; para las variables cuantitativas el estadígrafo t de Student. Todas estas determinaciones se realizaron teniendo en cuenta un α= 0,05.</w:t>
      </w:r>
    </w:p>
    <w:p w14:paraId="54963C5D"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lang w:val="es-BO" w:eastAsia="es-BO"/>
        </w:rPr>
        <w:t xml:space="preserve">El presente estudio fue aprobado por el Consejo Científico del </w:t>
      </w:r>
      <w:r w:rsidRPr="00EB05E1">
        <w:rPr>
          <w:rFonts w:eastAsia="Calibri"/>
          <w:lang w:val="es-BO" w:eastAsia="en-US"/>
        </w:rPr>
        <w:t>Hospital Docente Clínico Quirúrgico “Dr. Miguel Enríquez”</w:t>
      </w:r>
      <w:r w:rsidRPr="00EB05E1">
        <w:rPr>
          <w:lang w:val="es-BO" w:eastAsia="es-BO"/>
        </w:rPr>
        <w:t xml:space="preserve">. La investigación se realizó conforme a los principios de la ética médica, la Declaración de Helsinki y las normas éticas institucionales y nacionales vigentes. </w:t>
      </w:r>
    </w:p>
    <w:p w14:paraId="22968F08" w14:textId="77777777" w:rsidR="00EB05E1" w:rsidRPr="00EB05E1" w:rsidRDefault="00EB05E1" w:rsidP="00EB05E1">
      <w:pPr>
        <w:spacing w:line="360" w:lineRule="auto"/>
        <w:rPr>
          <w:rFonts w:eastAsia="Calibri"/>
          <w:b/>
          <w:lang w:val="es-BO" w:eastAsia="en-US"/>
        </w:rPr>
      </w:pPr>
    </w:p>
    <w:p w14:paraId="04F9F82E" w14:textId="77777777" w:rsidR="00EB05E1" w:rsidRPr="00EB05E1" w:rsidRDefault="00EB05E1" w:rsidP="00EB05E1">
      <w:pPr>
        <w:spacing w:line="360" w:lineRule="auto"/>
        <w:rPr>
          <w:rFonts w:eastAsia="Calibri"/>
          <w:b/>
          <w:lang w:val="es-BO" w:eastAsia="en-US"/>
        </w:rPr>
      </w:pPr>
    </w:p>
    <w:p w14:paraId="04B2C120" w14:textId="77777777" w:rsidR="00EB05E1" w:rsidRPr="00EB05E1" w:rsidRDefault="00EB05E1" w:rsidP="00EB05E1">
      <w:pPr>
        <w:spacing w:line="360" w:lineRule="auto"/>
        <w:jc w:val="center"/>
        <w:rPr>
          <w:rFonts w:eastAsia="Calibri"/>
          <w:b/>
          <w:sz w:val="32"/>
          <w:szCs w:val="32"/>
          <w:lang w:val="es-BO" w:eastAsia="en-US"/>
        </w:rPr>
      </w:pPr>
      <w:r w:rsidRPr="00EB05E1">
        <w:rPr>
          <w:rFonts w:eastAsia="Calibri"/>
          <w:b/>
          <w:sz w:val="32"/>
          <w:szCs w:val="32"/>
          <w:lang w:val="es-BO" w:eastAsia="en-US"/>
        </w:rPr>
        <w:t>RESULTADOS</w:t>
      </w:r>
    </w:p>
    <w:p w14:paraId="58A795E1"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bCs/>
          <w:lang w:val="es-BO" w:eastAsia="en-US"/>
        </w:rPr>
        <w:t xml:space="preserve">De los 216 pacientes incluidos en el estudio, 107 eran mujeres y 109 hombres, con una edad media de 53 (rango de rango de 18 a 98 años) y de estos 170 (78,7 %). </w:t>
      </w:r>
      <w:r w:rsidRPr="00EB05E1">
        <w:rPr>
          <w:rFonts w:eastAsia="Calibri"/>
          <w:lang w:val="es-BO" w:eastAsia="en-US"/>
        </w:rPr>
        <w:t>En la tabla 1 se muestra una descripción de los diagnósticos, la puntuación de la escala APACHE II, riesgo de mortalidad, el estado al egreso, los valores de albúmina sérica y la gravedad de la hipoalbuminemia.</w:t>
      </w:r>
    </w:p>
    <w:p w14:paraId="302DCDDA" w14:textId="77777777" w:rsidR="00EB05E1" w:rsidRPr="00EB05E1" w:rsidRDefault="00EB05E1" w:rsidP="00EB05E1">
      <w:pPr>
        <w:autoSpaceDE w:val="0"/>
        <w:autoSpaceDN w:val="0"/>
        <w:adjustRightInd w:val="0"/>
        <w:spacing w:line="360" w:lineRule="auto"/>
        <w:jc w:val="both"/>
        <w:rPr>
          <w:rFonts w:eastAsia="Calibri"/>
          <w:bCs/>
          <w:lang w:val="es-BO" w:eastAsia="en-US"/>
        </w:rPr>
      </w:pPr>
      <w:r w:rsidRPr="00EB05E1">
        <w:rPr>
          <w:rFonts w:eastAsia="Calibri"/>
          <w:lang w:val="es-BO" w:eastAsia="en-US"/>
        </w:rPr>
        <w:t xml:space="preserve">En el período de estudio fallecieron </w:t>
      </w:r>
      <w:r w:rsidRPr="00EB05E1">
        <w:rPr>
          <w:rFonts w:eastAsia="Calibri"/>
          <w:bCs/>
          <w:lang w:val="es-BO" w:eastAsia="en-US"/>
        </w:rPr>
        <w:t>28 pacientes, lo que representó un 13 % del total. La albúmina presentó niveles bajos en 118 pacientes (54,6 %) y de estos 66 (56 %) presentaron cifras inferiores a los 30 g/L; o sea, una hipoalbuminemia moderada o grave.</w:t>
      </w:r>
    </w:p>
    <w:p w14:paraId="683EFA5C" w14:textId="77777777" w:rsidR="00EB05E1" w:rsidRPr="00EB05E1" w:rsidRDefault="00EB05E1" w:rsidP="00EB05E1">
      <w:pPr>
        <w:autoSpaceDE w:val="0"/>
        <w:autoSpaceDN w:val="0"/>
        <w:adjustRightInd w:val="0"/>
        <w:spacing w:line="360" w:lineRule="auto"/>
        <w:jc w:val="both"/>
        <w:rPr>
          <w:rFonts w:eastAsia="Calibri"/>
          <w:lang w:val="es-BO" w:eastAsia="en-US"/>
        </w:rPr>
      </w:pPr>
    </w:p>
    <w:p w14:paraId="53179747" w14:textId="77777777" w:rsidR="00EB05E1" w:rsidRPr="00EB05E1" w:rsidRDefault="00EB05E1" w:rsidP="00EB05E1">
      <w:pPr>
        <w:spacing w:after="160" w:line="259" w:lineRule="auto"/>
        <w:rPr>
          <w:rFonts w:eastAsia="Calibri"/>
          <w:b/>
          <w:bCs/>
          <w:sz w:val="22"/>
          <w:szCs w:val="22"/>
          <w:lang w:val="es-BO" w:eastAsia="en-US"/>
        </w:rPr>
      </w:pPr>
      <w:r w:rsidRPr="00EB05E1">
        <w:rPr>
          <w:rFonts w:eastAsia="Calibri"/>
          <w:b/>
          <w:bCs/>
          <w:sz w:val="22"/>
          <w:szCs w:val="22"/>
          <w:lang w:val="es-BO" w:eastAsia="en-US"/>
        </w:rPr>
        <w:br w:type="page"/>
      </w:r>
    </w:p>
    <w:p w14:paraId="4B13624C" w14:textId="77777777" w:rsidR="00EB05E1" w:rsidRPr="00EB05E1" w:rsidRDefault="00EB05E1" w:rsidP="00EB05E1">
      <w:pPr>
        <w:autoSpaceDE w:val="0"/>
        <w:autoSpaceDN w:val="0"/>
        <w:adjustRightInd w:val="0"/>
        <w:spacing w:line="360" w:lineRule="auto"/>
        <w:jc w:val="center"/>
        <w:rPr>
          <w:rFonts w:eastAsia="Calibri"/>
          <w:sz w:val="22"/>
          <w:szCs w:val="22"/>
          <w:lang w:val="es-BO" w:eastAsia="en-US"/>
        </w:rPr>
      </w:pPr>
      <w:r w:rsidRPr="00EB05E1">
        <w:rPr>
          <w:rFonts w:eastAsia="Calibri"/>
          <w:b/>
          <w:bCs/>
          <w:sz w:val="22"/>
          <w:szCs w:val="22"/>
          <w:lang w:val="es-BO" w:eastAsia="en-US"/>
        </w:rPr>
        <w:lastRenderedPageBreak/>
        <w:t>Tabla 1 -</w:t>
      </w:r>
      <w:r w:rsidRPr="00EB05E1">
        <w:rPr>
          <w:rFonts w:eastAsia="Calibri"/>
          <w:sz w:val="22"/>
          <w:szCs w:val="22"/>
          <w:lang w:val="es-BO" w:eastAsia="en-US"/>
        </w:rPr>
        <w:t xml:space="preserve"> Variables estudiadas en los pacientes incluidos</w:t>
      </w:r>
    </w:p>
    <w:p w14:paraId="41AEDFD7" w14:textId="6A35C4D4" w:rsidR="00EB05E1" w:rsidRPr="00EB05E1" w:rsidRDefault="00EB05E1" w:rsidP="00EB05E1">
      <w:pPr>
        <w:spacing w:line="360" w:lineRule="auto"/>
        <w:jc w:val="center"/>
        <w:rPr>
          <w:rFonts w:eastAsia="Calibri"/>
          <w:sz w:val="16"/>
          <w:szCs w:val="16"/>
          <w:lang w:val="es-BO" w:eastAsia="en-US"/>
        </w:rPr>
      </w:pPr>
      <w:r w:rsidRPr="00EB05E1">
        <w:rPr>
          <w:rFonts w:eastAsia="Calibri"/>
          <w:noProof/>
          <w:sz w:val="16"/>
          <w:szCs w:val="16"/>
          <w:lang w:val="es-BO" w:eastAsia="en-US"/>
        </w:rPr>
        <w:drawing>
          <wp:inline distT="0" distB="0" distL="0" distR="0" wp14:anchorId="60EA1EEB" wp14:editId="3EAF6801">
            <wp:extent cx="4257675" cy="6124575"/>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7675" cy="6124575"/>
                    </a:xfrm>
                    <a:prstGeom prst="rect">
                      <a:avLst/>
                    </a:prstGeom>
                    <a:noFill/>
                    <a:ln>
                      <a:noFill/>
                    </a:ln>
                  </pic:spPr>
                </pic:pic>
              </a:graphicData>
            </a:graphic>
          </wp:inline>
        </w:drawing>
      </w:r>
    </w:p>
    <w:p w14:paraId="6CCE19F6" w14:textId="77777777" w:rsidR="00EB05E1" w:rsidRPr="00EB05E1" w:rsidRDefault="00EB05E1" w:rsidP="00EB05E1">
      <w:pPr>
        <w:spacing w:line="360" w:lineRule="auto"/>
        <w:jc w:val="center"/>
        <w:rPr>
          <w:rFonts w:eastAsia="Calibri"/>
          <w:sz w:val="16"/>
          <w:szCs w:val="16"/>
          <w:lang w:val="es-BO" w:eastAsia="en-US"/>
        </w:rPr>
      </w:pPr>
      <w:proofErr w:type="spellStart"/>
      <w:r w:rsidRPr="00EB05E1">
        <w:rPr>
          <w:rFonts w:eastAsia="Calibri"/>
          <w:sz w:val="16"/>
          <w:szCs w:val="16"/>
          <w:lang w:val="es-BO" w:eastAsia="en-US"/>
        </w:rPr>
        <w:t>HSA</w:t>
      </w:r>
      <w:proofErr w:type="spellEnd"/>
      <w:r w:rsidRPr="00EB05E1">
        <w:rPr>
          <w:rFonts w:eastAsia="Calibri"/>
          <w:sz w:val="16"/>
          <w:szCs w:val="16"/>
          <w:lang w:val="es-BO" w:eastAsia="en-US"/>
        </w:rPr>
        <w:t>: Hemorragia subaracnoidea</w:t>
      </w:r>
    </w:p>
    <w:p w14:paraId="39C6F0EC" w14:textId="77777777" w:rsidR="00EB05E1" w:rsidRPr="00EB05E1" w:rsidRDefault="00EB05E1" w:rsidP="00EB05E1">
      <w:pPr>
        <w:spacing w:line="360" w:lineRule="auto"/>
        <w:jc w:val="center"/>
        <w:rPr>
          <w:rFonts w:eastAsia="Calibri"/>
          <w:sz w:val="16"/>
          <w:szCs w:val="16"/>
          <w:lang w:val="es-BO" w:eastAsia="en-US"/>
        </w:rPr>
      </w:pPr>
      <w:proofErr w:type="spellStart"/>
      <w:r w:rsidRPr="00EB05E1">
        <w:rPr>
          <w:rFonts w:eastAsia="Calibri"/>
          <w:sz w:val="16"/>
          <w:szCs w:val="16"/>
          <w:lang w:val="es-BO" w:eastAsia="en-US"/>
        </w:rPr>
        <w:t>TCE</w:t>
      </w:r>
      <w:proofErr w:type="spellEnd"/>
      <w:r w:rsidRPr="00EB05E1">
        <w:rPr>
          <w:rFonts w:eastAsia="Calibri"/>
          <w:sz w:val="16"/>
          <w:szCs w:val="16"/>
          <w:lang w:val="es-BO" w:eastAsia="en-US"/>
        </w:rPr>
        <w:t>: Trauma craneoencefálico</w:t>
      </w:r>
    </w:p>
    <w:p w14:paraId="20155FA2" w14:textId="77777777" w:rsidR="00EB05E1" w:rsidRPr="00EB05E1" w:rsidRDefault="00EB05E1" w:rsidP="00EB05E1">
      <w:pPr>
        <w:spacing w:line="360" w:lineRule="auto"/>
        <w:jc w:val="center"/>
        <w:rPr>
          <w:rFonts w:eastAsia="Calibri"/>
          <w:sz w:val="16"/>
          <w:szCs w:val="16"/>
          <w:lang w:val="es-BO" w:eastAsia="en-US"/>
        </w:rPr>
      </w:pPr>
      <w:r w:rsidRPr="00EB05E1">
        <w:rPr>
          <w:rFonts w:eastAsia="Calibri"/>
          <w:sz w:val="16"/>
          <w:szCs w:val="16"/>
          <w:lang w:val="es-BO" w:eastAsia="en-US"/>
        </w:rPr>
        <w:t>CAD: Cetoacidosis diabética</w:t>
      </w:r>
    </w:p>
    <w:p w14:paraId="6F0291C8" w14:textId="77777777" w:rsidR="00EB05E1" w:rsidRPr="00EB05E1" w:rsidRDefault="00EB05E1" w:rsidP="00EB05E1">
      <w:pPr>
        <w:spacing w:line="360" w:lineRule="auto"/>
        <w:jc w:val="center"/>
        <w:rPr>
          <w:rFonts w:eastAsia="Calibri"/>
          <w:sz w:val="16"/>
          <w:szCs w:val="16"/>
          <w:lang w:val="es-BO" w:eastAsia="en-US"/>
        </w:rPr>
      </w:pPr>
      <w:r w:rsidRPr="00EB05E1">
        <w:rPr>
          <w:rFonts w:eastAsia="Calibri"/>
          <w:sz w:val="16"/>
          <w:szCs w:val="16"/>
          <w:lang w:val="es-BO" w:eastAsia="en-US"/>
        </w:rPr>
        <w:t>EPOC: Enfermedad pulmonar obstructiva crónica</w:t>
      </w:r>
    </w:p>
    <w:p w14:paraId="509F8DE1" w14:textId="77777777" w:rsidR="00EB05E1" w:rsidRPr="00EB05E1" w:rsidRDefault="00EB05E1" w:rsidP="00EB05E1">
      <w:pPr>
        <w:spacing w:line="360" w:lineRule="auto"/>
        <w:jc w:val="center"/>
        <w:rPr>
          <w:rFonts w:eastAsia="Calibri"/>
          <w:b/>
          <w:sz w:val="16"/>
          <w:szCs w:val="16"/>
          <w:lang w:val="es-BO" w:eastAsia="en-US"/>
        </w:rPr>
      </w:pPr>
      <w:proofErr w:type="spellStart"/>
      <w:r w:rsidRPr="00EB05E1">
        <w:rPr>
          <w:rFonts w:eastAsia="Calibri"/>
          <w:sz w:val="16"/>
          <w:szCs w:val="16"/>
          <w:lang w:val="es-BO" w:eastAsia="en-US"/>
        </w:rPr>
        <w:t>SDRA</w:t>
      </w:r>
      <w:proofErr w:type="spellEnd"/>
      <w:r w:rsidRPr="00EB05E1">
        <w:rPr>
          <w:rFonts w:eastAsia="Calibri"/>
          <w:sz w:val="16"/>
          <w:szCs w:val="16"/>
          <w:lang w:val="es-BO" w:eastAsia="en-US"/>
        </w:rPr>
        <w:t>: Síndrome de distrés respiratorio agudo.</w:t>
      </w:r>
    </w:p>
    <w:p w14:paraId="1412E40E" w14:textId="77777777" w:rsidR="00EB05E1" w:rsidRPr="00EB05E1" w:rsidRDefault="00EB05E1" w:rsidP="00EB05E1">
      <w:pPr>
        <w:autoSpaceDE w:val="0"/>
        <w:autoSpaceDN w:val="0"/>
        <w:adjustRightInd w:val="0"/>
        <w:spacing w:line="360" w:lineRule="auto"/>
        <w:jc w:val="both"/>
        <w:rPr>
          <w:rFonts w:eastAsia="Calibri"/>
          <w:lang w:val="es-BO" w:eastAsia="en-US"/>
        </w:rPr>
      </w:pPr>
    </w:p>
    <w:p w14:paraId="33C3B578"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La comparación de ambos grupos se muestra en la tabla 2. No existieron diferencias en los niveles de albúmina, clasificados en bajo y normal/alto respecto a los diagnósticos de ingreso.</w:t>
      </w:r>
    </w:p>
    <w:p w14:paraId="761581E6" w14:textId="77777777" w:rsidR="00EB05E1" w:rsidRPr="00EB05E1" w:rsidRDefault="00EB05E1" w:rsidP="00EB05E1">
      <w:pPr>
        <w:autoSpaceDE w:val="0"/>
        <w:autoSpaceDN w:val="0"/>
        <w:adjustRightInd w:val="0"/>
        <w:spacing w:line="360" w:lineRule="auto"/>
        <w:jc w:val="both"/>
        <w:rPr>
          <w:rFonts w:eastAsia="Calibri"/>
          <w:bCs/>
          <w:lang w:val="es-BO" w:eastAsia="en-US"/>
        </w:rPr>
      </w:pPr>
    </w:p>
    <w:p w14:paraId="3225556F" w14:textId="0A922503" w:rsidR="00EB05E1" w:rsidRPr="00EB05E1" w:rsidRDefault="00EB05E1" w:rsidP="00EB05E1">
      <w:pPr>
        <w:spacing w:after="160" w:line="259" w:lineRule="auto"/>
        <w:jc w:val="center"/>
        <w:rPr>
          <w:rFonts w:eastAsia="Calibri"/>
          <w:bCs/>
          <w:sz w:val="22"/>
          <w:szCs w:val="22"/>
          <w:lang w:val="es-BO" w:eastAsia="en-US"/>
        </w:rPr>
      </w:pPr>
      <w:r w:rsidRPr="00EB05E1">
        <w:rPr>
          <w:rFonts w:eastAsia="Calibri"/>
          <w:b/>
          <w:sz w:val="22"/>
          <w:szCs w:val="22"/>
          <w:lang w:val="es-BO" w:eastAsia="en-US"/>
        </w:rPr>
        <w:t>Tabla 2 -</w:t>
      </w:r>
      <w:r w:rsidRPr="00EB05E1">
        <w:rPr>
          <w:rFonts w:eastAsia="Calibri"/>
          <w:bCs/>
          <w:sz w:val="22"/>
          <w:szCs w:val="22"/>
          <w:lang w:val="es-BO" w:eastAsia="en-US"/>
        </w:rPr>
        <w:t xml:space="preserve"> Variables estudiadas según niveles de albúmina</w:t>
      </w:r>
    </w:p>
    <w:p w14:paraId="5D4B46FC" w14:textId="739C3B6D" w:rsidR="00EB05E1" w:rsidRPr="00EB05E1" w:rsidRDefault="00EB05E1" w:rsidP="00EB05E1">
      <w:pPr>
        <w:spacing w:line="360" w:lineRule="auto"/>
        <w:jc w:val="center"/>
        <w:rPr>
          <w:rFonts w:eastAsia="Calibri"/>
          <w:sz w:val="16"/>
          <w:szCs w:val="16"/>
          <w:lang w:val="es-BO" w:eastAsia="en-US"/>
        </w:rPr>
      </w:pPr>
      <w:r w:rsidRPr="00EB05E1">
        <w:rPr>
          <w:rFonts w:eastAsia="Calibri"/>
          <w:noProof/>
          <w:sz w:val="16"/>
          <w:szCs w:val="16"/>
          <w:lang w:val="es-BO" w:eastAsia="en-US"/>
        </w:rPr>
        <w:drawing>
          <wp:inline distT="0" distB="0" distL="0" distR="0" wp14:anchorId="3236BACC" wp14:editId="57CFBAEE">
            <wp:extent cx="5200650" cy="484791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9833" cy="4856471"/>
                    </a:xfrm>
                    <a:prstGeom prst="rect">
                      <a:avLst/>
                    </a:prstGeom>
                    <a:noFill/>
                    <a:ln>
                      <a:noFill/>
                    </a:ln>
                  </pic:spPr>
                </pic:pic>
              </a:graphicData>
            </a:graphic>
          </wp:inline>
        </w:drawing>
      </w:r>
    </w:p>
    <w:p w14:paraId="2BEF0C36" w14:textId="77777777" w:rsidR="00EB05E1" w:rsidRPr="00EB05E1" w:rsidRDefault="00EB05E1" w:rsidP="00EB05E1">
      <w:pPr>
        <w:spacing w:line="360" w:lineRule="auto"/>
        <w:jc w:val="center"/>
        <w:rPr>
          <w:rFonts w:eastAsia="Calibri"/>
          <w:sz w:val="16"/>
          <w:szCs w:val="16"/>
          <w:lang w:val="es-BO" w:eastAsia="en-US"/>
        </w:rPr>
      </w:pPr>
      <w:proofErr w:type="spellStart"/>
      <w:r w:rsidRPr="00EB05E1">
        <w:rPr>
          <w:rFonts w:eastAsia="Calibri"/>
          <w:sz w:val="16"/>
          <w:szCs w:val="16"/>
          <w:lang w:val="es-BO" w:eastAsia="en-US"/>
        </w:rPr>
        <w:t>HSA</w:t>
      </w:r>
      <w:proofErr w:type="spellEnd"/>
      <w:r w:rsidRPr="00EB05E1">
        <w:rPr>
          <w:rFonts w:eastAsia="Calibri"/>
          <w:sz w:val="16"/>
          <w:szCs w:val="16"/>
          <w:lang w:val="es-BO" w:eastAsia="en-US"/>
        </w:rPr>
        <w:t>: Hemorragia subaracnoidea</w:t>
      </w:r>
    </w:p>
    <w:p w14:paraId="0CB44538" w14:textId="77777777" w:rsidR="00EB05E1" w:rsidRPr="00EB05E1" w:rsidRDefault="00EB05E1" w:rsidP="00EB05E1">
      <w:pPr>
        <w:spacing w:line="360" w:lineRule="auto"/>
        <w:jc w:val="center"/>
        <w:rPr>
          <w:rFonts w:eastAsia="Calibri"/>
          <w:sz w:val="16"/>
          <w:szCs w:val="16"/>
          <w:lang w:val="es-BO" w:eastAsia="en-US"/>
        </w:rPr>
      </w:pPr>
      <w:proofErr w:type="spellStart"/>
      <w:r w:rsidRPr="00EB05E1">
        <w:rPr>
          <w:rFonts w:eastAsia="Calibri"/>
          <w:sz w:val="16"/>
          <w:szCs w:val="16"/>
          <w:lang w:val="es-BO" w:eastAsia="en-US"/>
        </w:rPr>
        <w:t>TCE</w:t>
      </w:r>
      <w:proofErr w:type="spellEnd"/>
      <w:r w:rsidRPr="00EB05E1">
        <w:rPr>
          <w:rFonts w:eastAsia="Calibri"/>
          <w:sz w:val="16"/>
          <w:szCs w:val="16"/>
          <w:lang w:val="es-BO" w:eastAsia="en-US"/>
        </w:rPr>
        <w:t>: Trauma craneoencefálico</w:t>
      </w:r>
    </w:p>
    <w:p w14:paraId="7AD02166" w14:textId="77777777" w:rsidR="00EB05E1" w:rsidRPr="00EB05E1" w:rsidRDefault="00EB05E1" w:rsidP="00EB05E1">
      <w:pPr>
        <w:spacing w:line="360" w:lineRule="auto"/>
        <w:jc w:val="center"/>
        <w:rPr>
          <w:rFonts w:eastAsia="Calibri"/>
          <w:sz w:val="16"/>
          <w:szCs w:val="16"/>
          <w:lang w:val="es-BO" w:eastAsia="en-US"/>
        </w:rPr>
      </w:pPr>
      <w:r w:rsidRPr="00EB05E1">
        <w:rPr>
          <w:rFonts w:eastAsia="Calibri"/>
          <w:sz w:val="16"/>
          <w:szCs w:val="16"/>
          <w:lang w:val="es-BO" w:eastAsia="en-US"/>
        </w:rPr>
        <w:t>CAD: Cetoacidosis diabética</w:t>
      </w:r>
    </w:p>
    <w:p w14:paraId="1D9E3EC4" w14:textId="77777777" w:rsidR="00EB05E1" w:rsidRPr="00EB05E1" w:rsidRDefault="00EB05E1" w:rsidP="00EB05E1">
      <w:pPr>
        <w:spacing w:line="360" w:lineRule="auto"/>
        <w:jc w:val="center"/>
        <w:rPr>
          <w:rFonts w:eastAsia="Calibri"/>
          <w:sz w:val="16"/>
          <w:szCs w:val="16"/>
          <w:lang w:val="es-BO" w:eastAsia="en-US"/>
        </w:rPr>
      </w:pPr>
      <w:r w:rsidRPr="00EB05E1">
        <w:rPr>
          <w:rFonts w:eastAsia="Calibri"/>
          <w:sz w:val="16"/>
          <w:szCs w:val="16"/>
          <w:lang w:val="es-BO" w:eastAsia="en-US"/>
        </w:rPr>
        <w:t>EPOC: Enfermedad pulmonar obstructiva crónica</w:t>
      </w:r>
    </w:p>
    <w:p w14:paraId="5ADAB0A8" w14:textId="77777777" w:rsidR="00EB05E1" w:rsidRPr="00EB05E1" w:rsidRDefault="00EB05E1" w:rsidP="00EB05E1">
      <w:pPr>
        <w:spacing w:line="360" w:lineRule="auto"/>
        <w:jc w:val="center"/>
        <w:rPr>
          <w:rFonts w:eastAsia="Calibri"/>
          <w:sz w:val="16"/>
          <w:szCs w:val="16"/>
          <w:lang w:val="es-BO" w:eastAsia="en-US"/>
        </w:rPr>
      </w:pPr>
      <w:proofErr w:type="spellStart"/>
      <w:r w:rsidRPr="00EB05E1">
        <w:rPr>
          <w:rFonts w:eastAsia="Calibri"/>
          <w:sz w:val="16"/>
          <w:szCs w:val="16"/>
          <w:lang w:val="es-BO" w:eastAsia="en-US"/>
        </w:rPr>
        <w:t>SDRA</w:t>
      </w:r>
      <w:proofErr w:type="spellEnd"/>
      <w:r w:rsidRPr="00EB05E1">
        <w:rPr>
          <w:rFonts w:eastAsia="Calibri"/>
          <w:sz w:val="16"/>
          <w:szCs w:val="16"/>
          <w:lang w:val="es-BO" w:eastAsia="en-US"/>
        </w:rPr>
        <w:t xml:space="preserve">: Síndrome de distrés </w:t>
      </w:r>
      <w:proofErr w:type="spellStart"/>
      <w:r w:rsidRPr="00EB05E1">
        <w:rPr>
          <w:rFonts w:eastAsia="Calibri"/>
          <w:sz w:val="16"/>
          <w:szCs w:val="16"/>
          <w:lang w:val="es-BO" w:eastAsia="en-US"/>
        </w:rPr>
        <w:t>distrés</w:t>
      </w:r>
      <w:proofErr w:type="spellEnd"/>
      <w:r w:rsidRPr="00EB05E1">
        <w:rPr>
          <w:rFonts w:eastAsia="Calibri"/>
          <w:sz w:val="16"/>
          <w:szCs w:val="16"/>
          <w:lang w:val="es-BO" w:eastAsia="en-US"/>
        </w:rPr>
        <w:t xml:space="preserve"> respiratorio agudo</w:t>
      </w:r>
    </w:p>
    <w:p w14:paraId="12B7F380" w14:textId="77777777" w:rsidR="00EB05E1" w:rsidRPr="00EB05E1" w:rsidRDefault="00EB05E1" w:rsidP="00EB05E1">
      <w:pPr>
        <w:spacing w:line="360" w:lineRule="auto"/>
        <w:jc w:val="center"/>
        <w:rPr>
          <w:rFonts w:eastAsia="Calibri"/>
          <w:sz w:val="16"/>
          <w:szCs w:val="16"/>
          <w:lang w:val="es-BO" w:eastAsia="en-US"/>
        </w:rPr>
      </w:pPr>
      <w:proofErr w:type="spellStart"/>
      <w:r w:rsidRPr="00EB05E1">
        <w:rPr>
          <w:rFonts w:eastAsia="Calibri"/>
          <w:sz w:val="16"/>
          <w:szCs w:val="16"/>
          <w:lang w:val="es-BO" w:eastAsia="en-US"/>
        </w:rPr>
        <w:t>NS</w:t>
      </w:r>
      <w:proofErr w:type="spellEnd"/>
      <w:r w:rsidRPr="00EB05E1">
        <w:rPr>
          <w:rFonts w:eastAsia="Calibri"/>
          <w:sz w:val="16"/>
          <w:szCs w:val="16"/>
          <w:lang w:val="es-BO" w:eastAsia="en-US"/>
        </w:rPr>
        <w:t>: No significativo</w:t>
      </w:r>
    </w:p>
    <w:p w14:paraId="36054081" w14:textId="77777777" w:rsidR="00EB05E1" w:rsidRPr="00EB05E1" w:rsidRDefault="00EB05E1" w:rsidP="00EB05E1">
      <w:pPr>
        <w:spacing w:line="360" w:lineRule="auto"/>
        <w:jc w:val="center"/>
        <w:rPr>
          <w:rFonts w:eastAsia="Calibri"/>
          <w:sz w:val="16"/>
          <w:szCs w:val="16"/>
          <w:lang w:val="es-BO" w:eastAsia="en-US"/>
        </w:rPr>
      </w:pPr>
      <w:r w:rsidRPr="00EB05E1">
        <w:rPr>
          <w:rFonts w:eastAsia="Calibri"/>
          <w:b/>
          <w:sz w:val="16"/>
          <w:szCs w:val="16"/>
          <w:vertAlign w:val="superscript"/>
          <w:lang w:val="es-BO" w:eastAsia="es-ES"/>
        </w:rPr>
        <w:t xml:space="preserve">¥ </w:t>
      </w:r>
      <w:r w:rsidRPr="00EB05E1">
        <w:rPr>
          <w:rFonts w:eastAsia="Calibri"/>
          <w:i/>
          <w:iCs/>
          <w:sz w:val="16"/>
          <w:szCs w:val="16"/>
          <w:lang w:val="es-BO" w:eastAsia="en-US"/>
        </w:rPr>
        <w:t>Ji</w:t>
      </w:r>
      <w:r w:rsidRPr="00EB05E1">
        <w:rPr>
          <w:rFonts w:eastAsia="Calibri"/>
          <w:sz w:val="16"/>
          <w:szCs w:val="16"/>
          <w:lang w:val="es-BO" w:eastAsia="en-US"/>
        </w:rPr>
        <w:t xml:space="preserve"> cuadrado/p</w:t>
      </w:r>
    </w:p>
    <w:p w14:paraId="028867E3" w14:textId="77777777" w:rsidR="00EB05E1" w:rsidRPr="00EB05E1" w:rsidRDefault="00EB05E1" w:rsidP="00EB05E1">
      <w:pPr>
        <w:spacing w:line="360" w:lineRule="auto"/>
        <w:jc w:val="center"/>
        <w:rPr>
          <w:rFonts w:eastAsia="Calibri"/>
          <w:sz w:val="16"/>
          <w:szCs w:val="16"/>
          <w:lang w:val="es-BO" w:eastAsia="en-US"/>
        </w:rPr>
      </w:pPr>
    </w:p>
    <w:p w14:paraId="46062CD5" w14:textId="77777777" w:rsidR="00EB05E1" w:rsidRPr="00EB05E1" w:rsidRDefault="00EB05E1" w:rsidP="00EB05E1">
      <w:pPr>
        <w:autoSpaceDE w:val="0"/>
        <w:autoSpaceDN w:val="0"/>
        <w:adjustRightInd w:val="0"/>
        <w:spacing w:line="360" w:lineRule="auto"/>
        <w:jc w:val="both"/>
        <w:rPr>
          <w:rFonts w:eastAsia="Calibri"/>
          <w:bCs/>
          <w:lang w:val="es-BO" w:eastAsia="en-US"/>
        </w:rPr>
      </w:pPr>
      <w:r w:rsidRPr="00EB05E1">
        <w:rPr>
          <w:rFonts w:eastAsia="Calibri"/>
          <w:bCs/>
          <w:lang w:val="es-BO" w:eastAsia="en-US"/>
        </w:rPr>
        <w:t>En la figura 1 se muestra el riesgo de muerte calculado con la escala APACHE II en los pacientes clasificados según su grado de hipoalbuminemia. Como se muestra en la figura, los pacientes con hipoalbuminemia moderada-grave tuvieron un riesgo de muerte superior (23,5 %) a aquellos pacientes con niveles clasificados como leves (15,3 %); diferencia estadísticamente significativa (p= 0,034).</w:t>
      </w:r>
    </w:p>
    <w:p w14:paraId="75F2B827" w14:textId="77777777" w:rsidR="00EB05E1" w:rsidRPr="00EB05E1" w:rsidRDefault="00EB05E1" w:rsidP="00EB05E1">
      <w:pPr>
        <w:autoSpaceDE w:val="0"/>
        <w:autoSpaceDN w:val="0"/>
        <w:adjustRightInd w:val="0"/>
        <w:spacing w:line="360" w:lineRule="auto"/>
        <w:jc w:val="both"/>
        <w:rPr>
          <w:rFonts w:eastAsia="Calibri"/>
          <w:bCs/>
          <w:lang w:val="es-BO" w:eastAsia="en-US"/>
        </w:rPr>
      </w:pPr>
    </w:p>
    <w:p w14:paraId="7B8F99AA" w14:textId="28F3CAED" w:rsidR="00EB05E1" w:rsidRPr="00EB05E1" w:rsidRDefault="00EB05E1" w:rsidP="00EB05E1">
      <w:pPr>
        <w:autoSpaceDE w:val="0"/>
        <w:autoSpaceDN w:val="0"/>
        <w:adjustRightInd w:val="0"/>
        <w:spacing w:line="360" w:lineRule="auto"/>
        <w:jc w:val="center"/>
        <w:rPr>
          <w:rFonts w:eastAsia="Calibri"/>
          <w:lang w:val="es-BO" w:eastAsia="en-US"/>
        </w:rPr>
      </w:pPr>
      <w:r w:rsidRPr="00EB05E1">
        <w:rPr>
          <w:rFonts w:eastAsia="Calibri"/>
          <w:noProof/>
          <w:lang w:val="es-BO" w:eastAsia="en-US"/>
        </w:rPr>
        <w:drawing>
          <wp:inline distT="0" distB="0" distL="0" distR="0" wp14:anchorId="57092186" wp14:editId="70954137">
            <wp:extent cx="5000625" cy="401955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0625" cy="4019550"/>
                    </a:xfrm>
                    <a:prstGeom prst="rect">
                      <a:avLst/>
                    </a:prstGeom>
                    <a:noFill/>
                    <a:ln>
                      <a:noFill/>
                    </a:ln>
                  </pic:spPr>
                </pic:pic>
              </a:graphicData>
            </a:graphic>
          </wp:inline>
        </w:drawing>
      </w:r>
    </w:p>
    <w:p w14:paraId="4F07055E" w14:textId="77777777" w:rsidR="00EB05E1" w:rsidRPr="00EB05E1" w:rsidRDefault="00EB05E1" w:rsidP="00EB05E1">
      <w:pPr>
        <w:autoSpaceDE w:val="0"/>
        <w:autoSpaceDN w:val="0"/>
        <w:adjustRightInd w:val="0"/>
        <w:spacing w:line="360" w:lineRule="auto"/>
        <w:jc w:val="center"/>
        <w:rPr>
          <w:rFonts w:eastAsia="Calibri"/>
          <w:bCs/>
          <w:sz w:val="22"/>
          <w:szCs w:val="22"/>
          <w:lang w:val="es-BO" w:eastAsia="en-US"/>
        </w:rPr>
      </w:pPr>
      <w:r w:rsidRPr="00EB05E1">
        <w:rPr>
          <w:rFonts w:eastAsia="Calibri"/>
          <w:b/>
          <w:bCs/>
          <w:sz w:val="22"/>
          <w:szCs w:val="22"/>
          <w:lang w:val="es-BO" w:eastAsia="en-US"/>
        </w:rPr>
        <w:t xml:space="preserve">Fig.  1 - </w:t>
      </w:r>
      <w:r w:rsidRPr="00EB05E1">
        <w:rPr>
          <w:rFonts w:eastAsia="Calibri"/>
          <w:bCs/>
          <w:sz w:val="22"/>
          <w:szCs w:val="22"/>
          <w:lang w:val="es-BO" w:eastAsia="en-US"/>
        </w:rPr>
        <w:t>Riesgo de muerte según gravedad de la hipoalbuminemia.</w:t>
      </w:r>
    </w:p>
    <w:p w14:paraId="5B65D5AB" w14:textId="77777777" w:rsidR="00EB05E1" w:rsidRPr="00EB05E1" w:rsidRDefault="00EB05E1" w:rsidP="00EB05E1">
      <w:pPr>
        <w:autoSpaceDE w:val="0"/>
        <w:autoSpaceDN w:val="0"/>
        <w:adjustRightInd w:val="0"/>
        <w:spacing w:line="360" w:lineRule="auto"/>
        <w:jc w:val="both"/>
        <w:rPr>
          <w:rFonts w:eastAsia="Calibri"/>
          <w:bCs/>
          <w:lang w:val="es-BO" w:eastAsia="en-US"/>
        </w:rPr>
      </w:pPr>
    </w:p>
    <w:p w14:paraId="6CC2D7E3" w14:textId="77777777" w:rsidR="00EB05E1" w:rsidRPr="00EB05E1" w:rsidRDefault="00EB05E1" w:rsidP="00EB05E1">
      <w:pPr>
        <w:autoSpaceDE w:val="0"/>
        <w:autoSpaceDN w:val="0"/>
        <w:adjustRightInd w:val="0"/>
        <w:spacing w:line="360" w:lineRule="auto"/>
        <w:jc w:val="both"/>
        <w:rPr>
          <w:rFonts w:eastAsia="Calibri"/>
          <w:bCs/>
          <w:lang w:val="es-BO" w:eastAsia="en-US"/>
        </w:rPr>
      </w:pPr>
      <w:r w:rsidRPr="00EB05E1">
        <w:rPr>
          <w:rFonts w:eastAsia="Calibri"/>
          <w:bCs/>
          <w:lang w:val="es-BO" w:eastAsia="en-US"/>
        </w:rPr>
        <w:t>En la figura 2 se muestra una comparación entre los pacientes clasificados según su nivel de hipoalbuminemia, en relación con el estado al egreso. Se obtuvo como resultado que el 67 % de los pacientes fallecidos presentaban una hipoalbuminemia moderada-grave, mientras que solo el 33 % estuvo clasificado como leve con (</w:t>
      </w:r>
      <w:proofErr w:type="spellStart"/>
      <w:r w:rsidRPr="00EB05E1">
        <w:rPr>
          <w:rFonts w:eastAsia="Calibri"/>
          <w:lang w:val="es-BO" w:eastAsia="en-US"/>
        </w:rPr>
        <w:t>χ</w:t>
      </w:r>
      <w:r w:rsidRPr="00EB05E1">
        <w:rPr>
          <w:rFonts w:eastAsia="Calibri"/>
          <w:vertAlign w:val="superscript"/>
          <w:lang w:val="es-BO" w:eastAsia="en-US"/>
        </w:rPr>
        <w:t>2</w:t>
      </w:r>
      <w:proofErr w:type="spellEnd"/>
      <w:r w:rsidRPr="00EB05E1">
        <w:rPr>
          <w:rFonts w:eastAsia="Calibri"/>
          <w:lang w:val="es-BO" w:eastAsia="en-US"/>
        </w:rPr>
        <w:t>= 0,80; p= 0,370). Esto indica la existencia de una relación significativa entre la probabilidad de fallecer y los bajos niveles de albúmina.</w:t>
      </w:r>
    </w:p>
    <w:p w14:paraId="09E10658" w14:textId="77777777" w:rsidR="00EB05E1" w:rsidRPr="00EB05E1" w:rsidRDefault="00EB05E1" w:rsidP="00EB05E1">
      <w:pPr>
        <w:autoSpaceDE w:val="0"/>
        <w:autoSpaceDN w:val="0"/>
        <w:adjustRightInd w:val="0"/>
        <w:spacing w:line="360" w:lineRule="auto"/>
        <w:jc w:val="both"/>
        <w:rPr>
          <w:rFonts w:eastAsia="Calibri"/>
          <w:bCs/>
          <w:lang w:val="es-BO" w:eastAsia="en-US"/>
        </w:rPr>
      </w:pPr>
    </w:p>
    <w:p w14:paraId="18BD2095" w14:textId="1F579D0A" w:rsidR="00EB05E1" w:rsidRPr="00EB05E1" w:rsidRDefault="00EB05E1" w:rsidP="00EB05E1">
      <w:pPr>
        <w:spacing w:line="360" w:lineRule="auto"/>
        <w:jc w:val="center"/>
        <w:rPr>
          <w:rFonts w:eastAsia="Calibri"/>
          <w:b/>
          <w:lang w:val="es-BO" w:eastAsia="en-US"/>
        </w:rPr>
      </w:pPr>
      <w:r w:rsidRPr="00EB05E1">
        <w:rPr>
          <w:rFonts w:eastAsia="Calibri"/>
          <w:b/>
          <w:noProof/>
          <w:lang w:val="es-BO" w:eastAsia="en-US"/>
        </w:rPr>
        <w:drawing>
          <wp:inline distT="0" distB="0" distL="0" distR="0" wp14:anchorId="4862E5BE" wp14:editId="123BE89D">
            <wp:extent cx="4914900" cy="3067050"/>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0" cy="3067050"/>
                    </a:xfrm>
                    <a:prstGeom prst="rect">
                      <a:avLst/>
                    </a:prstGeom>
                    <a:noFill/>
                    <a:ln>
                      <a:noFill/>
                    </a:ln>
                  </pic:spPr>
                </pic:pic>
              </a:graphicData>
            </a:graphic>
          </wp:inline>
        </w:drawing>
      </w:r>
    </w:p>
    <w:p w14:paraId="2A97B9F7" w14:textId="77777777" w:rsidR="00EB05E1" w:rsidRPr="00EB05E1" w:rsidRDefault="00EB05E1" w:rsidP="00EB05E1">
      <w:pPr>
        <w:autoSpaceDE w:val="0"/>
        <w:autoSpaceDN w:val="0"/>
        <w:adjustRightInd w:val="0"/>
        <w:spacing w:line="360" w:lineRule="auto"/>
        <w:jc w:val="center"/>
        <w:rPr>
          <w:rFonts w:eastAsia="Calibri"/>
          <w:sz w:val="22"/>
          <w:szCs w:val="22"/>
          <w:lang w:val="es-BO" w:eastAsia="en-US"/>
        </w:rPr>
      </w:pPr>
      <w:r w:rsidRPr="00EB05E1">
        <w:rPr>
          <w:rFonts w:eastAsia="Calibri"/>
          <w:b/>
          <w:sz w:val="22"/>
          <w:szCs w:val="22"/>
          <w:lang w:val="es-BO" w:eastAsia="en-US"/>
        </w:rPr>
        <w:t>Fig. 2 -</w:t>
      </w:r>
      <w:r w:rsidRPr="00EB05E1">
        <w:rPr>
          <w:rFonts w:eastAsia="Calibri"/>
          <w:sz w:val="22"/>
          <w:szCs w:val="22"/>
          <w:lang w:val="es-BO" w:eastAsia="en-US"/>
        </w:rPr>
        <w:t xml:space="preserve"> Pacientes según nivel de hipoalbuminemia y el estado al egreso.</w:t>
      </w:r>
    </w:p>
    <w:p w14:paraId="19C5F74C" w14:textId="77777777" w:rsidR="00EB05E1" w:rsidRPr="00EB05E1" w:rsidRDefault="00EB05E1" w:rsidP="00EB05E1">
      <w:pPr>
        <w:spacing w:line="360" w:lineRule="auto"/>
        <w:jc w:val="center"/>
        <w:rPr>
          <w:rFonts w:eastAsia="Calibri"/>
          <w:b/>
          <w:sz w:val="32"/>
          <w:szCs w:val="32"/>
          <w:lang w:val="es-BO" w:eastAsia="en-US"/>
        </w:rPr>
      </w:pPr>
    </w:p>
    <w:p w14:paraId="5AACEBC9" w14:textId="77777777" w:rsidR="00EB05E1" w:rsidRPr="00EB05E1" w:rsidRDefault="00EB05E1" w:rsidP="00EB05E1">
      <w:pPr>
        <w:spacing w:line="360" w:lineRule="auto"/>
        <w:jc w:val="center"/>
        <w:rPr>
          <w:rFonts w:eastAsia="Calibri"/>
          <w:b/>
          <w:sz w:val="32"/>
          <w:szCs w:val="32"/>
          <w:lang w:val="es-BO" w:eastAsia="en-US"/>
        </w:rPr>
      </w:pPr>
    </w:p>
    <w:p w14:paraId="36DE5B4E" w14:textId="77777777" w:rsidR="00EB05E1" w:rsidRPr="00EB05E1" w:rsidRDefault="00EB05E1" w:rsidP="00EB05E1">
      <w:pPr>
        <w:spacing w:line="360" w:lineRule="auto"/>
        <w:jc w:val="center"/>
        <w:rPr>
          <w:rFonts w:eastAsia="Calibri"/>
          <w:b/>
          <w:sz w:val="32"/>
          <w:szCs w:val="32"/>
          <w:lang w:val="es-BO" w:eastAsia="en-US"/>
        </w:rPr>
      </w:pPr>
      <w:r w:rsidRPr="00EB05E1">
        <w:rPr>
          <w:rFonts w:eastAsia="Calibri"/>
          <w:b/>
          <w:sz w:val="32"/>
          <w:szCs w:val="32"/>
          <w:lang w:val="es-BO" w:eastAsia="en-US"/>
        </w:rPr>
        <w:t>DISCUSIÓN</w:t>
      </w:r>
    </w:p>
    <w:p w14:paraId="0B619EA6"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Los resultados de esta investigación muestran que, en pacientes críticos, en la UCI polivalente donde se realizó el estudio, la hipoalbuminemia tiene una alta prevalencia y los niveles de moderado- grave se asocian significativamente con el riesgo de mortalidad calculado por la escala pronóstica APACHE II. </w:t>
      </w:r>
    </w:p>
    <w:p w14:paraId="3B0FFB94" w14:textId="77777777" w:rsidR="00EB05E1" w:rsidRPr="00EB05E1" w:rsidRDefault="00EB05E1" w:rsidP="00EB05E1">
      <w:pPr>
        <w:spacing w:line="360" w:lineRule="auto"/>
        <w:jc w:val="both"/>
        <w:rPr>
          <w:rFonts w:eastAsia="Calibri"/>
          <w:lang w:val="es-BO" w:eastAsia="en-US"/>
        </w:rPr>
      </w:pPr>
      <w:r w:rsidRPr="00EB05E1">
        <w:rPr>
          <w:rFonts w:eastAsia="Calibri"/>
          <w:lang w:val="es-BO" w:eastAsia="en-US"/>
        </w:rPr>
        <w:t xml:space="preserve">La hipoalbuminemia estuvo presente en el 54,6 % de los pacientes ingresados y estudios previos muestran que es frecuente en el paciente crítico, independientemente de la enfermedad de </w:t>
      </w:r>
      <w:proofErr w:type="gramStart"/>
      <w:r w:rsidRPr="00EB05E1">
        <w:rPr>
          <w:rFonts w:eastAsia="Calibri"/>
          <w:lang w:val="es-BO" w:eastAsia="en-US"/>
        </w:rPr>
        <w:t>ingreso.</w:t>
      </w:r>
      <w:r w:rsidRPr="00EB05E1">
        <w:rPr>
          <w:vertAlign w:val="superscript"/>
          <w:lang w:val="es-BO" w:eastAsia="en-US"/>
        </w:rPr>
        <w:t>(</w:t>
      </w:r>
      <w:proofErr w:type="gramEnd"/>
      <w:r w:rsidRPr="00EB05E1">
        <w:rPr>
          <w:rFonts w:eastAsia="Calibri"/>
          <w:vertAlign w:val="superscript"/>
          <w:lang w:val="es-BO" w:eastAsia="en-US"/>
        </w:rPr>
        <w:t>4,14)</w:t>
      </w:r>
      <w:r w:rsidRPr="00EB05E1">
        <w:rPr>
          <w:rFonts w:eastAsia="Calibri"/>
          <w:lang w:val="es-BO" w:eastAsia="en-US"/>
        </w:rPr>
        <w:t xml:space="preserve"> La aparición está asociada a 4 causas principales: </w:t>
      </w:r>
      <w:r w:rsidRPr="00EB05E1">
        <w:rPr>
          <w:rFonts w:eastAsia="Calibri"/>
          <w:iCs/>
          <w:lang w:val="es-BO" w:eastAsia="en-US"/>
        </w:rPr>
        <w:t>disminución de la síntesis; aumento del catabolismo; aumento en la pérdida y alteración en la distribución</w:t>
      </w:r>
      <w:r w:rsidRPr="00EB05E1">
        <w:rPr>
          <w:rFonts w:eastAsia="Calibri"/>
          <w:i/>
          <w:lang w:val="es-BO" w:eastAsia="en-US"/>
        </w:rPr>
        <w:t>.</w:t>
      </w:r>
      <w:r w:rsidRPr="00EB05E1">
        <w:rPr>
          <w:rFonts w:eastAsia="Calibri"/>
          <w:lang w:val="es-BO" w:eastAsia="en-US"/>
        </w:rPr>
        <w:t xml:space="preserve"> Los cambios en el patrón de síntesis y degradación se relacionan con una estadía prolongada, inflamación y fallos hepáticos. </w:t>
      </w:r>
    </w:p>
    <w:p w14:paraId="6F333C39" w14:textId="77777777" w:rsidR="00EB05E1" w:rsidRPr="00EB05E1" w:rsidRDefault="00EB05E1" w:rsidP="00EB05E1">
      <w:pPr>
        <w:spacing w:line="360" w:lineRule="auto"/>
        <w:jc w:val="both"/>
        <w:rPr>
          <w:rFonts w:eastAsia="Calibri"/>
          <w:lang w:val="es-BO" w:eastAsia="en-US"/>
        </w:rPr>
      </w:pPr>
      <w:r w:rsidRPr="00EB05E1">
        <w:rPr>
          <w:rFonts w:eastAsia="Calibri"/>
          <w:lang w:val="es-BO" w:eastAsia="en-US"/>
        </w:rPr>
        <w:t xml:space="preserve">El aumento de pérdidas responde a varias causas entre ellas: hemorragias, síndrome nefrótico, enteropatía perdedora de proteínas y pérdidas exudativas (ej., quemaduras o drenajes quirúrgicos). Por último, la </w:t>
      </w:r>
      <w:r w:rsidRPr="00EB05E1">
        <w:rPr>
          <w:rFonts w:eastAsia="Calibri"/>
          <w:lang w:val="es-BO" w:eastAsia="en-US"/>
        </w:rPr>
        <w:lastRenderedPageBreak/>
        <w:t xml:space="preserve">alteración en la distribución de albúmina intra y extravascular está relacionada con una permeabilidad vascular aumentada o síndrome de escape capilar, que provoca un rápido aumento del flujo de albúmina hacia el espacio </w:t>
      </w:r>
      <w:proofErr w:type="gramStart"/>
      <w:r w:rsidRPr="00EB05E1">
        <w:rPr>
          <w:rFonts w:eastAsia="Calibri"/>
          <w:lang w:val="es-BO" w:eastAsia="en-US"/>
        </w:rPr>
        <w:t>extravascular.</w:t>
      </w:r>
      <w:r w:rsidRPr="00EB05E1">
        <w:rPr>
          <w:rFonts w:eastAsia="Calibri"/>
          <w:vertAlign w:val="superscript"/>
          <w:lang w:val="es-BO" w:eastAsia="en-US"/>
        </w:rPr>
        <w:t>(</w:t>
      </w:r>
      <w:proofErr w:type="gramEnd"/>
      <w:r w:rsidRPr="00EB05E1">
        <w:rPr>
          <w:rFonts w:eastAsia="Calibri"/>
          <w:vertAlign w:val="superscript"/>
          <w:lang w:val="es-BO" w:eastAsia="en-US"/>
        </w:rPr>
        <w:t>12)</w:t>
      </w:r>
      <w:r w:rsidRPr="00EB05E1">
        <w:rPr>
          <w:rFonts w:eastAsia="Calibri"/>
          <w:lang w:val="es-BO" w:eastAsia="en-US"/>
        </w:rPr>
        <w:t xml:space="preserve"> También, la disminución de la función linfática, como por ejemplo, la observada en pacientes inmovilizados, favorece la disminución del retorno de proteínas al compartimiento vascular, lo cual conduce a la hipoalbuminemia.</w:t>
      </w:r>
      <w:r w:rsidRPr="00EB05E1">
        <w:rPr>
          <w:rFonts w:eastAsia="Calibri"/>
          <w:vertAlign w:val="superscript"/>
          <w:lang w:val="es-BO" w:eastAsia="en-US"/>
        </w:rPr>
        <w:t>(12)</w:t>
      </w:r>
    </w:p>
    <w:p w14:paraId="1B9A4049" w14:textId="77777777" w:rsidR="00EB05E1" w:rsidRPr="00EB05E1" w:rsidRDefault="00EB05E1" w:rsidP="00EB05E1">
      <w:pPr>
        <w:spacing w:line="360" w:lineRule="auto"/>
        <w:jc w:val="both"/>
        <w:rPr>
          <w:rFonts w:eastAsia="Calibri"/>
          <w:lang w:val="es-BO" w:eastAsia="en-US"/>
        </w:rPr>
      </w:pPr>
      <w:r w:rsidRPr="00EB05E1">
        <w:rPr>
          <w:rFonts w:eastAsia="Calibri"/>
          <w:lang w:val="es-BO" w:eastAsia="en-US"/>
        </w:rPr>
        <w:t xml:space="preserve">La asociación de mayor gravedad de la hipoalbuminemia con el riesgo de muerte, según la escala APACHE II ha sido previamente reportada en otros </w:t>
      </w:r>
      <w:proofErr w:type="gramStart"/>
      <w:r w:rsidRPr="00EB05E1">
        <w:rPr>
          <w:rFonts w:eastAsia="Calibri"/>
          <w:lang w:val="es-BO" w:eastAsia="en-US"/>
        </w:rPr>
        <w:t>estudios.</w:t>
      </w:r>
      <w:r w:rsidRPr="00EB05E1">
        <w:rPr>
          <w:rFonts w:eastAsia="Calibri"/>
          <w:vertAlign w:val="superscript"/>
          <w:lang w:val="es-BO" w:eastAsia="en-US"/>
        </w:rPr>
        <w:t>(</w:t>
      </w:r>
      <w:proofErr w:type="gramEnd"/>
      <w:r w:rsidRPr="00EB05E1">
        <w:rPr>
          <w:rFonts w:eastAsia="Calibri"/>
          <w:vertAlign w:val="superscript"/>
          <w:lang w:val="es-BO" w:eastAsia="en-US"/>
        </w:rPr>
        <w:t>7,15,16,17)</w:t>
      </w:r>
      <w:r w:rsidRPr="00EB05E1">
        <w:rPr>
          <w:rFonts w:eastAsia="Calibri"/>
          <w:lang w:val="es-BO" w:eastAsia="en-US"/>
        </w:rPr>
        <w:t xml:space="preserve"> </w:t>
      </w:r>
      <w:r w:rsidRPr="00EB05E1">
        <w:rPr>
          <w:rFonts w:eastAsia="Calibri"/>
          <w:i/>
          <w:lang w:val="es-BO" w:eastAsia="en-US"/>
        </w:rPr>
        <w:t>Jain</w:t>
      </w:r>
      <w:r w:rsidRPr="00EB05E1">
        <w:rPr>
          <w:rFonts w:eastAsia="Calibri"/>
          <w:lang w:val="es-BO" w:eastAsia="en-US"/>
        </w:rPr>
        <w:t xml:space="preserve"> y otros</w:t>
      </w:r>
      <w:r w:rsidRPr="00EB05E1">
        <w:rPr>
          <w:rFonts w:eastAsia="Calibri"/>
          <w:vertAlign w:val="superscript"/>
          <w:lang w:val="es-BO" w:eastAsia="en-US"/>
        </w:rPr>
        <w:t xml:space="preserve">(18) </w:t>
      </w:r>
      <w:r w:rsidRPr="00EB05E1">
        <w:rPr>
          <w:rFonts w:eastAsia="Calibri"/>
          <w:lang w:val="es-BO" w:eastAsia="en-US"/>
        </w:rPr>
        <w:t xml:space="preserve">demostraron que la concentración de albúmina, medida entre las 24 y 48 horas después del ingreso a UCI, representa un parámetro tan sensible como el puntaje de gravedad APACHE II para predecir los resultados. Un </w:t>
      </w:r>
      <w:proofErr w:type="gramStart"/>
      <w:r w:rsidRPr="00EB05E1">
        <w:rPr>
          <w:rFonts w:eastAsia="Calibri"/>
          <w:lang w:val="es-BO" w:eastAsia="en-US"/>
        </w:rPr>
        <w:t>metanálisis</w:t>
      </w:r>
      <w:r w:rsidRPr="00EB05E1">
        <w:rPr>
          <w:rFonts w:eastAsia="Calibri"/>
          <w:vertAlign w:val="superscript"/>
          <w:lang w:val="es-BO" w:eastAsia="en-US"/>
        </w:rPr>
        <w:t>(</w:t>
      </w:r>
      <w:proofErr w:type="gramEnd"/>
      <w:r w:rsidRPr="00EB05E1">
        <w:rPr>
          <w:rFonts w:eastAsia="Calibri"/>
          <w:vertAlign w:val="superscript"/>
          <w:lang w:val="es-BO" w:eastAsia="en-US"/>
        </w:rPr>
        <w:t>19)</w:t>
      </w:r>
      <w:r w:rsidRPr="00EB05E1">
        <w:rPr>
          <w:rFonts w:eastAsia="Calibri"/>
          <w:lang w:val="es-BO" w:eastAsia="en-US"/>
        </w:rPr>
        <w:t xml:space="preserve"> con 90 estudios de cohorte en pacientes críticos, demostró que la hipoalbuminemia constituye un predictor de pronóstico negativo en el paciente crítico. Además, se ha reportado que por cada 10 g/L que disminuye la albúmina, el riesgo de morbilidad y mortalidad aumentaría en un 89 y 137 % respectivamente y que la mortalidad asociada en pacientes con niveles de albúmina &lt; 20 g/L fluctúa cercana al 100 </w:t>
      </w:r>
      <w:proofErr w:type="gramStart"/>
      <w:r w:rsidRPr="00EB05E1">
        <w:rPr>
          <w:rFonts w:eastAsia="Calibri"/>
          <w:lang w:val="es-BO" w:eastAsia="en-US"/>
        </w:rPr>
        <w:t>%.</w:t>
      </w:r>
      <w:r w:rsidRPr="00EB05E1">
        <w:rPr>
          <w:rFonts w:eastAsia="Calibri"/>
          <w:vertAlign w:val="superscript"/>
          <w:lang w:val="es-BO" w:eastAsia="en-US"/>
        </w:rPr>
        <w:t>(</w:t>
      </w:r>
      <w:proofErr w:type="gramEnd"/>
      <w:r w:rsidRPr="00EB05E1">
        <w:rPr>
          <w:rFonts w:eastAsia="Calibri"/>
          <w:vertAlign w:val="superscript"/>
          <w:lang w:val="es-BO" w:eastAsia="en-US"/>
        </w:rPr>
        <w:t>19)</w:t>
      </w:r>
    </w:p>
    <w:p w14:paraId="07A0E174" w14:textId="77777777" w:rsidR="00EB05E1" w:rsidRPr="00EB05E1" w:rsidRDefault="00EB05E1" w:rsidP="00EB05E1">
      <w:pPr>
        <w:autoSpaceDE w:val="0"/>
        <w:autoSpaceDN w:val="0"/>
        <w:adjustRightInd w:val="0"/>
        <w:spacing w:line="360" w:lineRule="auto"/>
        <w:jc w:val="both"/>
        <w:rPr>
          <w:lang w:val="es-BO" w:eastAsia="es-ES"/>
        </w:rPr>
      </w:pPr>
      <w:r w:rsidRPr="00EB05E1">
        <w:rPr>
          <w:rFonts w:eastAsia="Calibri"/>
          <w:i/>
          <w:lang w:val="es-BO" w:eastAsia="en-US"/>
        </w:rPr>
        <w:t>Yin</w:t>
      </w:r>
      <w:r w:rsidRPr="00EB05E1">
        <w:rPr>
          <w:rFonts w:eastAsia="Calibri"/>
          <w:lang w:val="es-BO" w:eastAsia="en-US"/>
        </w:rPr>
        <w:t xml:space="preserve"> y </w:t>
      </w:r>
      <w:proofErr w:type="gramStart"/>
      <w:r w:rsidRPr="00EB05E1">
        <w:rPr>
          <w:rFonts w:eastAsia="Calibri"/>
          <w:lang w:val="es-BO" w:eastAsia="en-US"/>
        </w:rPr>
        <w:t>otros,</w:t>
      </w:r>
      <w:r w:rsidRPr="00EB05E1">
        <w:rPr>
          <w:rFonts w:eastAsia="Calibri"/>
          <w:vertAlign w:val="superscript"/>
          <w:lang w:val="es-BO" w:eastAsia="en-US"/>
        </w:rPr>
        <w:t>(</w:t>
      </w:r>
      <w:proofErr w:type="gramEnd"/>
      <w:r w:rsidRPr="00EB05E1">
        <w:rPr>
          <w:rFonts w:eastAsia="Calibri"/>
          <w:vertAlign w:val="superscript"/>
          <w:lang w:val="es-BO" w:eastAsia="en-US"/>
        </w:rPr>
        <w:t>20)</w:t>
      </w:r>
      <w:r w:rsidRPr="00EB05E1">
        <w:rPr>
          <w:rFonts w:eastAsia="Calibri"/>
          <w:lang w:val="es-BO" w:eastAsia="en-US"/>
        </w:rPr>
        <w:t xml:space="preserve"> en un estudio prospectivo en el cual en el cual incluyeron 116 pacientes, reportan que los fallecidos presentan niveles de albúmina sérica más bajos y una puntuación más alta en la escala APACHE II. Los autores establecen que un nivel de corte de la albúmina, de 29,2 g/L es predictor de la mortalidad a los 28 días de </w:t>
      </w:r>
      <w:proofErr w:type="gramStart"/>
      <w:r w:rsidRPr="00EB05E1">
        <w:rPr>
          <w:rFonts w:eastAsia="Calibri"/>
          <w:lang w:val="es-BO" w:eastAsia="en-US"/>
        </w:rPr>
        <w:t>estancia.</w:t>
      </w:r>
      <w:r w:rsidRPr="00EB05E1">
        <w:rPr>
          <w:rFonts w:eastAsia="Calibri"/>
          <w:vertAlign w:val="superscript"/>
          <w:lang w:val="es-BO" w:eastAsia="en-US"/>
        </w:rPr>
        <w:t>(</w:t>
      </w:r>
      <w:proofErr w:type="gramEnd"/>
      <w:r w:rsidRPr="00EB05E1">
        <w:rPr>
          <w:rFonts w:eastAsia="Calibri"/>
          <w:vertAlign w:val="superscript"/>
          <w:lang w:val="es-BO" w:eastAsia="en-US"/>
        </w:rPr>
        <w:t>20)</w:t>
      </w:r>
    </w:p>
    <w:p w14:paraId="41F5C3B5" w14:textId="77777777" w:rsidR="00EB05E1" w:rsidRPr="00EB05E1" w:rsidRDefault="00EB05E1" w:rsidP="00EB05E1">
      <w:pPr>
        <w:autoSpaceDE w:val="0"/>
        <w:autoSpaceDN w:val="0"/>
        <w:adjustRightInd w:val="0"/>
        <w:spacing w:line="360" w:lineRule="auto"/>
        <w:jc w:val="both"/>
        <w:rPr>
          <w:rFonts w:eastAsia="Calibri"/>
          <w:vertAlign w:val="superscript"/>
          <w:lang w:val="es-BO" w:eastAsia="en-US"/>
        </w:rPr>
      </w:pPr>
      <w:r w:rsidRPr="00EB05E1">
        <w:rPr>
          <w:rFonts w:eastAsia="Calibri"/>
          <w:bCs/>
          <w:lang w:val="es-BO" w:eastAsia="en-US"/>
        </w:rPr>
        <w:t xml:space="preserve">El estudio de </w:t>
      </w:r>
      <w:proofErr w:type="spellStart"/>
      <w:r w:rsidRPr="00EB05E1">
        <w:rPr>
          <w:rFonts w:eastAsia="Calibri"/>
          <w:bCs/>
          <w:i/>
          <w:lang w:val="es-BO" w:eastAsia="en-US"/>
        </w:rPr>
        <w:t>Akirov</w:t>
      </w:r>
      <w:proofErr w:type="spellEnd"/>
      <w:r w:rsidRPr="00EB05E1">
        <w:rPr>
          <w:rFonts w:eastAsia="Calibri"/>
          <w:bCs/>
          <w:lang w:val="es-BO" w:eastAsia="en-US"/>
        </w:rPr>
        <w:t xml:space="preserve"> y </w:t>
      </w:r>
      <w:proofErr w:type="gramStart"/>
      <w:r w:rsidRPr="00EB05E1">
        <w:rPr>
          <w:rFonts w:eastAsia="Calibri"/>
          <w:bCs/>
          <w:lang w:val="es-BO" w:eastAsia="en-US"/>
        </w:rPr>
        <w:t>otros,</w:t>
      </w:r>
      <w:r w:rsidRPr="00EB05E1">
        <w:rPr>
          <w:rFonts w:eastAsia="Calibri"/>
          <w:bCs/>
          <w:vertAlign w:val="superscript"/>
          <w:lang w:val="es-BO" w:eastAsia="en-US"/>
        </w:rPr>
        <w:t>(</w:t>
      </w:r>
      <w:proofErr w:type="gramEnd"/>
      <w:r w:rsidRPr="00EB05E1">
        <w:rPr>
          <w:rFonts w:eastAsia="Calibri"/>
          <w:bCs/>
          <w:vertAlign w:val="superscript"/>
          <w:lang w:val="es-BO" w:eastAsia="en-US"/>
        </w:rPr>
        <w:t xml:space="preserve">17) </w:t>
      </w:r>
      <w:r w:rsidRPr="00EB05E1">
        <w:rPr>
          <w:rFonts w:eastAsia="Calibri"/>
          <w:bCs/>
          <w:lang w:val="es-BO" w:eastAsia="en-US"/>
        </w:rPr>
        <w:t xml:space="preserve">que evaluó una cohorte de 30 732 pacientes (edad media 67 años) demostró una tasa de mortalidad intrahospitalaria de 67 % en pacientes con hipoalbuminemia leve (25-35 g/L) y de 83 % en aquellos con hipoalbuminemia grave (&lt; 25 g/L). Esta asociación se presentó en todos los grupos de edad y de manera significativa la normalización de los niveles de albumina redujo el riesgo de muerte. Otros </w:t>
      </w:r>
      <w:proofErr w:type="gramStart"/>
      <w:r w:rsidRPr="00EB05E1">
        <w:rPr>
          <w:rFonts w:eastAsia="Calibri"/>
          <w:bCs/>
          <w:lang w:val="es-BO" w:eastAsia="en-US"/>
        </w:rPr>
        <w:t>estudios</w:t>
      </w:r>
      <w:r w:rsidRPr="00EB05E1">
        <w:rPr>
          <w:rFonts w:eastAsia="Calibri"/>
          <w:vertAlign w:val="superscript"/>
          <w:lang w:val="es-BO" w:eastAsia="en-US"/>
        </w:rPr>
        <w:t>(</w:t>
      </w:r>
      <w:proofErr w:type="gramEnd"/>
      <w:r w:rsidRPr="00EB05E1">
        <w:rPr>
          <w:rFonts w:eastAsia="Calibri"/>
          <w:vertAlign w:val="superscript"/>
          <w:lang w:val="es-BO" w:eastAsia="en-US"/>
        </w:rPr>
        <w:t xml:space="preserve">21,22) </w:t>
      </w:r>
      <w:r w:rsidRPr="00EB05E1">
        <w:rPr>
          <w:rFonts w:eastAsia="Calibri"/>
          <w:bCs/>
          <w:lang w:val="es-BO" w:eastAsia="en-US"/>
        </w:rPr>
        <w:t xml:space="preserve">plantean que la </w:t>
      </w:r>
      <w:r w:rsidRPr="00EB05E1">
        <w:rPr>
          <w:rFonts w:eastAsia="Calibri"/>
          <w:lang w:val="es-BO" w:eastAsia="en-US"/>
        </w:rPr>
        <w:t xml:space="preserve">hipoalbuminemia es un predictor de mortalidad, independientemente de la etiopatogenia, en pacientes hospitalizados por más de 30 días en una unidad de cuidados intensivos. </w:t>
      </w:r>
    </w:p>
    <w:p w14:paraId="0C61C2CF" w14:textId="77777777" w:rsidR="00EB05E1" w:rsidRPr="00EB05E1" w:rsidRDefault="00EB05E1" w:rsidP="00EB05E1">
      <w:pPr>
        <w:spacing w:line="360" w:lineRule="auto"/>
        <w:jc w:val="both"/>
        <w:rPr>
          <w:lang w:val="es-ES" w:eastAsia="es-ES"/>
        </w:rPr>
      </w:pPr>
      <w:r w:rsidRPr="00EB05E1">
        <w:rPr>
          <w:rFonts w:eastAsia="Calibri"/>
          <w:lang w:val="es-BO" w:eastAsia="en-US"/>
        </w:rPr>
        <w:t xml:space="preserve">Fisiopatológicamente, estos resultados son explicados porque en la mayoría de los pacientes críticos, independiente de la causa de ingreso, subyace una respuesta inflamatoria que provoca daño endotelial y aumento de la permeabilidad capilar, con la consiguiente extravasación de fluidos y de proteínas, como </w:t>
      </w:r>
      <w:r w:rsidRPr="00EB05E1">
        <w:rPr>
          <w:rFonts w:eastAsia="Calibri"/>
          <w:lang w:val="es-BO" w:eastAsia="en-US"/>
        </w:rPr>
        <w:lastRenderedPageBreak/>
        <w:t xml:space="preserve">por ejemplo la albúmina. También en estos pacientes hay una disminución en la síntesis hepática de albúmina, producto del aumento en la producción de reactantes de fase aguda y a un catabolismo aumentado producto de los corticoesteroides generados durante la respuesta al </w:t>
      </w:r>
      <w:proofErr w:type="gramStart"/>
      <w:r w:rsidRPr="00EB05E1">
        <w:rPr>
          <w:rFonts w:eastAsia="Calibri"/>
          <w:lang w:val="es-BO" w:eastAsia="en-US"/>
        </w:rPr>
        <w:t>estrés.</w:t>
      </w:r>
      <w:r w:rsidRPr="00EB05E1">
        <w:rPr>
          <w:rFonts w:eastAsia="Calibri"/>
          <w:vertAlign w:val="superscript"/>
          <w:lang w:val="es-BO" w:eastAsia="en-US"/>
        </w:rPr>
        <w:t>(</w:t>
      </w:r>
      <w:proofErr w:type="gramEnd"/>
      <w:r w:rsidRPr="00EB05E1">
        <w:rPr>
          <w:rFonts w:eastAsia="Calibri"/>
          <w:vertAlign w:val="superscript"/>
          <w:lang w:val="es-BO" w:eastAsia="en-US"/>
        </w:rPr>
        <w:t>23,24)</w:t>
      </w:r>
      <w:r w:rsidRPr="00EB05E1">
        <w:rPr>
          <w:rFonts w:eastAsia="Calibri"/>
          <w:lang w:val="es-BO" w:eastAsia="en-US"/>
        </w:rPr>
        <w:t xml:space="preserve"> Por último, la isquemia, la hipoxia y el daño oxidativo que aparecen en el paciente crítico tiene a la albúmina como la principal diana extracelular.</w:t>
      </w:r>
      <w:r w:rsidRPr="00EB05E1">
        <w:rPr>
          <w:rFonts w:eastAsia="Calibri"/>
          <w:vertAlign w:val="superscript"/>
          <w:lang w:val="es-BO" w:eastAsia="en-US"/>
        </w:rPr>
        <w:t>(25)</w:t>
      </w:r>
    </w:p>
    <w:p w14:paraId="1D7B40B0" w14:textId="77777777" w:rsidR="00EB05E1" w:rsidRPr="00EB05E1" w:rsidRDefault="00EB05E1" w:rsidP="00EB05E1">
      <w:pPr>
        <w:spacing w:line="360" w:lineRule="auto"/>
        <w:jc w:val="both"/>
        <w:rPr>
          <w:lang w:val="es-BO" w:eastAsia="es-ES"/>
        </w:rPr>
      </w:pPr>
      <w:r w:rsidRPr="00EB05E1">
        <w:rPr>
          <w:lang w:val="es-ES" w:eastAsia="es-ES"/>
        </w:rPr>
        <w:t>Este estudio presenta varias limitaciones; primero, existen diagnósticos al ingreso que tienen incluidos muy pocos pacientes, segundo, solo se realizó una determinación de albúmina en el momento del ingreso y tercero, no se determinó el tiempo de estadía de los pacientes.</w:t>
      </w:r>
    </w:p>
    <w:p w14:paraId="1C6D7057"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Son numerosos los </w:t>
      </w:r>
      <w:proofErr w:type="gramStart"/>
      <w:r w:rsidRPr="00EB05E1">
        <w:rPr>
          <w:rFonts w:eastAsia="Calibri"/>
          <w:lang w:val="es-BO" w:eastAsia="en-US"/>
        </w:rPr>
        <w:t>estudios</w:t>
      </w:r>
      <w:r w:rsidRPr="00EB05E1">
        <w:rPr>
          <w:rFonts w:eastAsia="Calibri"/>
          <w:vertAlign w:val="superscript"/>
          <w:lang w:val="es-BO" w:eastAsia="en-US"/>
        </w:rPr>
        <w:t>(</w:t>
      </w:r>
      <w:proofErr w:type="gramEnd"/>
      <w:r w:rsidRPr="00EB05E1">
        <w:rPr>
          <w:rFonts w:eastAsia="Calibri"/>
          <w:vertAlign w:val="superscript"/>
          <w:lang w:val="es-BO" w:eastAsia="en-US"/>
        </w:rPr>
        <w:t>26,27,28)</w:t>
      </w:r>
      <w:r w:rsidRPr="00EB05E1">
        <w:rPr>
          <w:rFonts w:eastAsia="Calibri"/>
          <w:lang w:val="es-BO" w:eastAsia="en-US"/>
        </w:rPr>
        <w:t xml:space="preserve"> que han demostrado que los niveles séricos de albúmina tienen valor pronóstico para complicaciones clínicas en escenarios diferentes, incluyendo la cirugía electiva, cirugía oncológica, estancia hospitalaria en pacientes admitidos a medicina interna o pediatría, mortalidad hospitalaria en pacientes con accidente cerebrovascular y con trauma mayor, entre otras condiciones. Sin embargo, la utilidad de la albúmina como predictor de la mortalidad en una UCI polivalente ha sido menos estudiada. En este tipo de unidad intensiva donde son variadas las causas de mortalidad, la búsqueda de marcadores que permitan establecer con certeza el pronóstico de los pacientes críticos constituye una tarea de investigación de primer orden.</w:t>
      </w:r>
    </w:p>
    <w:p w14:paraId="2D7B6943"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 xml:space="preserve">Los resultados de esta investigación muestran que en pacientes críticos en una unidad de cuidados intensivos polivalente los niveles de albúmina no se asocian a la escala de riesgo mortalidad APACHE II; fallece el 67 % de los pacientes con hipoalbuminemia moderada-grave en relación con el 33 % de los casos catalogados con hipoalbuminemia leve. </w:t>
      </w:r>
    </w:p>
    <w:p w14:paraId="7281F6E5" w14:textId="77777777" w:rsidR="00EB05E1" w:rsidRPr="00EB05E1" w:rsidRDefault="00EB05E1" w:rsidP="00EB05E1">
      <w:pPr>
        <w:autoSpaceDE w:val="0"/>
        <w:autoSpaceDN w:val="0"/>
        <w:adjustRightInd w:val="0"/>
        <w:spacing w:line="360" w:lineRule="auto"/>
        <w:jc w:val="both"/>
        <w:rPr>
          <w:rFonts w:eastAsia="Calibri"/>
          <w:lang w:val="es-BO" w:eastAsia="en-US"/>
        </w:rPr>
      </w:pPr>
      <w:r w:rsidRPr="00EB05E1">
        <w:rPr>
          <w:rFonts w:eastAsia="Calibri"/>
          <w:lang w:val="es-BO" w:eastAsia="en-US"/>
        </w:rPr>
        <w:t>La hipoalbuminemia moderada-grave se asocia con el riesgo de mortalidad, independientemente del diagnóstico al ingreso.</w:t>
      </w:r>
    </w:p>
    <w:p w14:paraId="7EE99AEF" w14:textId="77777777" w:rsidR="00EB05E1" w:rsidRPr="00EB05E1" w:rsidRDefault="00EB05E1" w:rsidP="00EB05E1">
      <w:pPr>
        <w:autoSpaceDE w:val="0"/>
        <w:autoSpaceDN w:val="0"/>
        <w:adjustRightInd w:val="0"/>
        <w:spacing w:line="360" w:lineRule="auto"/>
        <w:jc w:val="both"/>
        <w:rPr>
          <w:rFonts w:eastAsia="Calibri"/>
          <w:lang w:val="es-BO" w:eastAsia="en-US"/>
        </w:rPr>
      </w:pPr>
    </w:p>
    <w:p w14:paraId="62E9CAD1" w14:textId="77777777" w:rsidR="00EB05E1" w:rsidRPr="00EB05E1" w:rsidRDefault="00EB05E1" w:rsidP="00EB05E1">
      <w:pPr>
        <w:autoSpaceDE w:val="0"/>
        <w:autoSpaceDN w:val="0"/>
        <w:adjustRightInd w:val="0"/>
        <w:spacing w:line="360" w:lineRule="auto"/>
        <w:jc w:val="both"/>
        <w:rPr>
          <w:rFonts w:eastAsia="Calibri"/>
          <w:lang w:val="es-BO" w:eastAsia="en-US"/>
        </w:rPr>
      </w:pPr>
    </w:p>
    <w:p w14:paraId="3E16A7D7" w14:textId="77777777" w:rsidR="00EB05E1" w:rsidRPr="00EB05E1" w:rsidRDefault="00EB05E1" w:rsidP="00EB05E1">
      <w:pPr>
        <w:autoSpaceDE w:val="0"/>
        <w:autoSpaceDN w:val="0"/>
        <w:adjustRightInd w:val="0"/>
        <w:spacing w:line="360" w:lineRule="auto"/>
        <w:jc w:val="center"/>
        <w:rPr>
          <w:rFonts w:eastAsia="Calibri"/>
          <w:b/>
          <w:sz w:val="32"/>
          <w:szCs w:val="32"/>
          <w:lang w:val="es-BO" w:eastAsia="en-US"/>
        </w:rPr>
      </w:pPr>
      <w:r w:rsidRPr="00EB05E1">
        <w:rPr>
          <w:rFonts w:eastAsia="Calibri"/>
          <w:b/>
          <w:sz w:val="32"/>
          <w:szCs w:val="32"/>
          <w:lang w:val="es-BO" w:eastAsia="en-US"/>
        </w:rPr>
        <w:t>REFERENCIAS BIBLIOGRÁFICAS</w:t>
      </w:r>
    </w:p>
    <w:p w14:paraId="0631BCE0" w14:textId="77777777" w:rsidR="00EB05E1" w:rsidRPr="00EB05E1" w:rsidRDefault="00EB05E1" w:rsidP="00EB05E1">
      <w:pPr>
        <w:autoSpaceDE w:val="0"/>
        <w:autoSpaceDN w:val="0"/>
        <w:adjustRightInd w:val="0"/>
        <w:spacing w:line="360" w:lineRule="auto"/>
        <w:rPr>
          <w:rFonts w:eastAsia="Calibri"/>
          <w:strike/>
          <w:lang w:val="en-US" w:eastAsia="en-US"/>
        </w:rPr>
      </w:pPr>
      <w:r w:rsidRPr="00EB05E1">
        <w:rPr>
          <w:rFonts w:eastAsia="Calibri"/>
          <w:lang w:val="es-BO" w:eastAsia="en-US"/>
        </w:rPr>
        <w:t xml:space="preserve">1. </w:t>
      </w:r>
      <w:proofErr w:type="spellStart"/>
      <w:r w:rsidRPr="00EB05E1">
        <w:rPr>
          <w:rFonts w:eastAsia="Calibri"/>
          <w:lang w:val="es-BO" w:eastAsia="en-US"/>
        </w:rPr>
        <w:t>Cederholm</w:t>
      </w:r>
      <w:proofErr w:type="spellEnd"/>
      <w:r w:rsidRPr="00EB05E1">
        <w:rPr>
          <w:rFonts w:eastAsia="Calibri"/>
          <w:lang w:val="es-BO" w:eastAsia="en-US"/>
        </w:rPr>
        <w:t xml:space="preserve"> T, </w:t>
      </w:r>
      <w:proofErr w:type="spellStart"/>
      <w:r w:rsidRPr="00EB05E1">
        <w:rPr>
          <w:rFonts w:eastAsia="Calibri"/>
          <w:lang w:val="es-BO" w:eastAsia="en-US"/>
        </w:rPr>
        <w:t>Bosaeus</w:t>
      </w:r>
      <w:proofErr w:type="spellEnd"/>
      <w:r w:rsidRPr="00EB05E1">
        <w:rPr>
          <w:rFonts w:eastAsia="Calibri"/>
          <w:lang w:val="es-BO" w:eastAsia="en-US"/>
        </w:rPr>
        <w:t xml:space="preserve"> I, </w:t>
      </w:r>
      <w:proofErr w:type="spellStart"/>
      <w:r w:rsidRPr="00EB05E1">
        <w:rPr>
          <w:rFonts w:eastAsia="Calibri"/>
          <w:lang w:val="es-BO" w:eastAsia="en-US"/>
        </w:rPr>
        <w:t>Barazzoni</w:t>
      </w:r>
      <w:proofErr w:type="spellEnd"/>
      <w:r w:rsidRPr="00EB05E1">
        <w:rPr>
          <w:rFonts w:eastAsia="Calibri"/>
          <w:lang w:val="es-BO" w:eastAsia="en-US"/>
        </w:rPr>
        <w:t xml:space="preserve"> R, Bauer J, Van </w:t>
      </w:r>
      <w:proofErr w:type="spellStart"/>
      <w:r w:rsidRPr="00EB05E1">
        <w:rPr>
          <w:rFonts w:eastAsia="Calibri"/>
          <w:lang w:val="es-BO" w:eastAsia="en-US"/>
        </w:rPr>
        <w:t>Gossum</w:t>
      </w:r>
      <w:proofErr w:type="spellEnd"/>
      <w:r w:rsidRPr="00EB05E1">
        <w:rPr>
          <w:rFonts w:eastAsia="Calibri"/>
          <w:lang w:val="es-BO" w:eastAsia="en-US"/>
        </w:rPr>
        <w:t xml:space="preserve"> A, </w:t>
      </w:r>
      <w:proofErr w:type="spellStart"/>
      <w:r w:rsidRPr="00EB05E1">
        <w:rPr>
          <w:rFonts w:eastAsia="Calibri"/>
          <w:lang w:val="es-BO" w:eastAsia="en-US"/>
        </w:rPr>
        <w:t>Klek</w:t>
      </w:r>
      <w:proofErr w:type="spellEnd"/>
      <w:r w:rsidRPr="00EB05E1">
        <w:rPr>
          <w:rFonts w:eastAsia="Calibri"/>
          <w:lang w:val="es-BO" w:eastAsia="en-US"/>
        </w:rPr>
        <w:t xml:space="preserve"> S, et al. </w:t>
      </w:r>
      <w:proofErr w:type="spellStart"/>
      <w:r w:rsidRPr="00EB05E1">
        <w:rPr>
          <w:rFonts w:eastAsia="Calibri"/>
          <w:lang w:val="es-BO" w:eastAsia="en-US"/>
        </w:rPr>
        <w:t>Diagnostic</w:t>
      </w:r>
      <w:proofErr w:type="spellEnd"/>
      <w:r w:rsidRPr="00EB05E1">
        <w:rPr>
          <w:rFonts w:eastAsia="Calibri"/>
          <w:lang w:val="es-BO" w:eastAsia="en-US"/>
        </w:rPr>
        <w:t xml:space="preserve"> </w:t>
      </w:r>
      <w:proofErr w:type="spellStart"/>
      <w:r w:rsidRPr="00EB05E1">
        <w:rPr>
          <w:rFonts w:eastAsia="Calibri"/>
          <w:lang w:val="es-BO" w:eastAsia="en-US"/>
        </w:rPr>
        <w:t>criteria</w:t>
      </w:r>
      <w:proofErr w:type="spellEnd"/>
      <w:r w:rsidRPr="00EB05E1">
        <w:rPr>
          <w:rFonts w:eastAsia="Calibri"/>
          <w:lang w:val="es-BO" w:eastAsia="en-US"/>
        </w:rPr>
        <w:t xml:space="preserve"> </w:t>
      </w:r>
      <w:proofErr w:type="spellStart"/>
      <w:r w:rsidRPr="00EB05E1">
        <w:rPr>
          <w:rFonts w:eastAsia="Calibri"/>
          <w:lang w:val="es-BO" w:eastAsia="en-US"/>
        </w:rPr>
        <w:t>for</w:t>
      </w:r>
      <w:proofErr w:type="spellEnd"/>
      <w:r w:rsidRPr="00EB05E1">
        <w:rPr>
          <w:rFonts w:eastAsia="Calibri"/>
          <w:lang w:val="es-BO" w:eastAsia="en-US"/>
        </w:rPr>
        <w:t xml:space="preserve"> </w:t>
      </w:r>
      <w:proofErr w:type="spellStart"/>
      <w:r w:rsidRPr="00EB05E1">
        <w:rPr>
          <w:rFonts w:eastAsia="Calibri"/>
          <w:lang w:val="es-BO" w:eastAsia="en-US"/>
        </w:rPr>
        <w:t>malnutrition</w:t>
      </w:r>
      <w:proofErr w:type="spellEnd"/>
      <w:r w:rsidRPr="00EB05E1">
        <w:rPr>
          <w:rFonts w:eastAsia="Calibri"/>
          <w:lang w:val="es-BO" w:eastAsia="en-US"/>
        </w:rPr>
        <w:t xml:space="preserve"> - </w:t>
      </w:r>
      <w:proofErr w:type="spellStart"/>
      <w:r w:rsidRPr="00EB05E1">
        <w:rPr>
          <w:rFonts w:eastAsia="Calibri"/>
          <w:lang w:val="es-BO" w:eastAsia="en-US"/>
        </w:rPr>
        <w:t>An</w:t>
      </w:r>
      <w:proofErr w:type="spellEnd"/>
      <w:r w:rsidRPr="00EB05E1">
        <w:rPr>
          <w:rFonts w:eastAsia="Calibri"/>
          <w:lang w:val="es-BO" w:eastAsia="en-US"/>
        </w:rPr>
        <w:t xml:space="preserve"> </w:t>
      </w:r>
      <w:proofErr w:type="spellStart"/>
      <w:r w:rsidRPr="00EB05E1">
        <w:rPr>
          <w:rFonts w:eastAsia="Calibri"/>
          <w:lang w:val="es-BO" w:eastAsia="en-US"/>
        </w:rPr>
        <w:t>ESPEN</w:t>
      </w:r>
      <w:proofErr w:type="spellEnd"/>
      <w:r w:rsidRPr="00EB05E1">
        <w:rPr>
          <w:rFonts w:eastAsia="Calibri"/>
          <w:lang w:val="es-BO" w:eastAsia="en-US"/>
        </w:rPr>
        <w:t xml:space="preserve"> </w:t>
      </w:r>
      <w:proofErr w:type="spellStart"/>
      <w:r w:rsidRPr="00EB05E1">
        <w:rPr>
          <w:rFonts w:eastAsia="Calibri"/>
          <w:lang w:val="es-BO" w:eastAsia="en-US"/>
        </w:rPr>
        <w:t>Consensus</w:t>
      </w:r>
      <w:proofErr w:type="spellEnd"/>
      <w:r w:rsidRPr="00EB05E1">
        <w:rPr>
          <w:rFonts w:eastAsia="Calibri"/>
          <w:lang w:val="es-BO" w:eastAsia="en-US"/>
        </w:rPr>
        <w:t xml:space="preserve"> </w:t>
      </w:r>
      <w:proofErr w:type="spellStart"/>
      <w:r w:rsidRPr="00EB05E1">
        <w:rPr>
          <w:rFonts w:eastAsia="Calibri"/>
          <w:lang w:val="es-BO" w:eastAsia="en-US"/>
        </w:rPr>
        <w:t>Statement</w:t>
      </w:r>
      <w:proofErr w:type="spellEnd"/>
      <w:r w:rsidRPr="00EB05E1">
        <w:rPr>
          <w:rFonts w:eastAsia="Calibri"/>
          <w:lang w:val="es-BO" w:eastAsia="en-US"/>
        </w:rPr>
        <w:t xml:space="preserve">. </w:t>
      </w:r>
      <w:r w:rsidRPr="00EB05E1">
        <w:rPr>
          <w:rFonts w:eastAsia="Calibri"/>
          <w:lang w:val="en-US" w:eastAsia="en-US"/>
        </w:rPr>
        <w:t xml:space="preserve">Clin </w:t>
      </w:r>
      <w:proofErr w:type="spellStart"/>
      <w:r w:rsidRPr="00EB05E1">
        <w:rPr>
          <w:rFonts w:eastAsia="Calibri"/>
          <w:lang w:val="en-US" w:eastAsia="en-US"/>
        </w:rPr>
        <w:t>Nutr</w:t>
      </w:r>
      <w:proofErr w:type="spellEnd"/>
      <w:r w:rsidRPr="00EB05E1">
        <w:rPr>
          <w:rFonts w:eastAsia="Calibri"/>
          <w:lang w:val="en-US" w:eastAsia="en-US"/>
        </w:rPr>
        <w:t>. 2015; 34(3):335-40. DOI: 10.1016/</w:t>
      </w:r>
      <w:proofErr w:type="spellStart"/>
      <w:r w:rsidRPr="00EB05E1">
        <w:rPr>
          <w:rFonts w:eastAsia="Calibri"/>
          <w:lang w:val="en-US" w:eastAsia="en-US"/>
        </w:rPr>
        <w:t>j.clnu.2015.03.001</w:t>
      </w:r>
      <w:proofErr w:type="spellEnd"/>
      <w:r w:rsidRPr="00EB05E1">
        <w:rPr>
          <w:rFonts w:eastAsia="Calibri"/>
          <w:lang w:val="en-US" w:eastAsia="en-US"/>
        </w:rPr>
        <w:t xml:space="preserve"> </w:t>
      </w:r>
    </w:p>
    <w:p w14:paraId="3D2781B7" w14:textId="77777777" w:rsidR="00EB05E1" w:rsidRPr="00EB05E1" w:rsidRDefault="00EB05E1" w:rsidP="00EB05E1">
      <w:pPr>
        <w:autoSpaceDE w:val="0"/>
        <w:autoSpaceDN w:val="0"/>
        <w:adjustRightInd w:val="0"/>
        <w:spacing w:line="360" w:lineRule="auto"/>
        <w:rPr>
          <w:rFonts w:eastAsia="Calibri"/>
          <w:lang w:val="en-US" w:eastAsia="en-US"/>
        </w:rPr>
      </w:pPr>
      <w:r w:rsidRPr="00EB05E1">
        <w:rPr>
          <w:rFonts w:eastAsia="Calibri"/>
          <w:lang w:val="en-US" w:eastAsia="en-US"/>
        </w:rPr>
        <w:lastRenderedPageBreak/>
        <w:t xml:space="preserve">2. Cederholm T, </w:t>
      </w:r>
      <w:proofErr w:type="spellStart"/>
      <w:r w:rsidRPr="00EB05E1">
        <w:rPr>
          <w:rFonts w:eastAsia="Calibri"/>
          <w:lang w:val="en-US" w:eastAsia="en-US"/>
        </w:rPr>
        <w:t>Barazzoni</w:t>
      </w:r>
      <w:proofErr w:type="spellEnd"/>
      <w:r w:rsidRPr="00EB05E1">
        <w:rPr>
          <w:rFonts w:eastAsia="Calibri"/>
          <w:lang w:val="en-US" w:eastAsia="en-US"/>
        </w:rPr>
        <w:t xml:space="preserve"> R, Austin P, Ballmer P, </w:t>
      </w:r>
      <w:proofErr w:type="spellStart"/>
      <w:r w:rsidRPr="00EB05E1">
        <w:rPr>
          <w:rFonts w:eastAsia="Calibri"/>
          <w:lang w:val="en-US" w:eastAsia="en-US"/>
        </w:rPr>
        <w:t>Biolo</w:t>
      </w:r>
      <w:proofErr w:type="spellEnd"/>
      <w:r w:rsidRPr="00EB05E1">
        <w:rPr>
          <w:rFonts w:eastAsia="Calibri"/>
          <w:lang w:val="en-US" w:eastAsia="en-US"/>
        </w:rPr>
        <w:t xml:space="preserve"> G, Bischoff SC, et al. ESPEN guidelines on definitions and terminology of clinical nutrition. Clin </w:t>
      </w:r>
      <w:proofErr w:type="spellStart"/>
      <w:r w:rsidRPr="00EB05E1">
        <w:rPr>
          <w:rFonts w:eastAsia="Calibri"/>
          <w:lang w:val="en-US" w:eastAsia="en-US"/>
        </w:rPr>
        <w:t>Nutr</w:t>
      </w:r>
      <w:proofErr w:type="spellEnd"/>
      <w:r w:rsidRPr="00EB05E1">
        <w:rPr>
          <w:rFonts w:eastAsia="Calibri"/>
          <w:lang w:val="en-US" w:eastAsia="en-US"/>
        </w:rPr>
        <w:t>. 2017; 36(1):49-64. DOI: 10.1016/</w:t>
      </w:r>
      <w:proofErr w:type="spellStart"/>
      <w:r w:rsidRPr="00EB05E1">
        <w:rPr>
          <w:rFonts w:eastAsia="Calibri"/>
          <w:lang w:val="en-US" w:eastAsia="en-US"/>
        </w:rPr>
        <w:t>j.clnu.2016.09.004</w:t>
      </w:r>
      <w:proofErr w:type="spellEnd"/>
    </w:p>
    <w:p w14:paraId="2FA826FE" w14:textId="77777777" w:rsidR="00EB05E1" w:rsidRPr="00EB05E1" w:rsidRDefault="00EB05E1" w:rsidP="00EB05E1">
      <w:pPr>
        <w:autoSpaceDE w:val="0"/>
        <w:autoSpaceDN w:val="0"/>
        <w:adjustRightInd w:val="0"/>
        <w:spacing w:line="360" w:lineRule="auto"/>
        <w:rPr>
          <w:rFonts w:eastAsia="Calibri"/>
          <w:strike/>
          <w:lang w:val="es-ES" w:eastAsia="en-US"/>
        </w:rPr>
      </w:pPr>
      <w:r w:rsidRPr="00EB05E1">
        <w:rPr>
          <w:rFonts w:eastAsia="Calibri"/>
          <w:lang w:val="en-US" w:eastAsia="en-US"/>
        </w:rPr>
        <w:t xml:space="preserve">3. </w:t>
      </w:r>
      <w:proofErr w:type="spellStart"/>
      <w:r w:rsidRPr="00EB05E1">
        <w:rPr>
          <w:rFonts w:eastAsia="Calibri"/>
          <w:lang w:val="en-US" w:eastAsia="en-US"/>
        </w:rPr>
        <w:t>Soeters</w:t>
      </w:r>
      <w:proofErr w:type="spellEnd"/>
      <w:r w:rsidRPr="00EB05E1">
        <w:rPr>
          <w:rFonts w:eastAsia="Calibri"/>
          <w:lang w:val="en-US" w:eastAsia="en-US"/>
        </w:rPr>
        <w:t xml:space="preserve"> PB, Wolfe RR, </w:t>
      </w:r>
      <w:proofErr w:type="spellStart"/>
      <w:r w:rsidRPr="00EB05E1">
        <w:rPr>
          <w:rFonts w:eastAsia="Calibri"/>
          <w:lang w:val="en-US" w:eastAsia="en-US"/>
        </w:rPr>
        <w:t>Shenkin</w:t>
      </w:r>
      <w:proofErr w:type="spellEnd"/>
      <w:r w:rsidRPr="00EB05E1">
        <w:rPr>
          <w:rFonts w:eastAsia="Calibri"/>
          <w:lang w:val="en-US" w:eastAsia="en-US"/>
        </w:rPr>
        <w:t xml:space="preserve"> A. Hypoalbuminemia: Pathogenesis and Clinical Significance. </w:t>
      </w:r>
      <w:proofErr w:type="spellStart"/>
      <w:r w:rsidRPr="00EB05E1">
        <w:rPr>
          <w:rFonts w:eastAsia="Calibri"/>
          <w:lang w:val="es-ES" w:eastAsia="en-US"/>
        </w:rPr>
        <w:t>JPEN</w:t>
      </w:r>
      <w:proofErr w:type="spellEnd"/>
      <w:r w:rsidRPr="00EB05E1">
        <w:rPr>
          <w:rFonts w:eastAsia="Calibri"/>
          <w:lang w:val="es-ES" w:eastAsia="en-US"/>
        </w:rPr>
        <w:t xml:space="preserve"> J </w:t>
      </w:r>
      <w:proofErr w:type="spellStart"/>
      <w:r w:rsidRPr="00EB05E1">
        <w:rPr>
          <w:rFonts w:eastAsia="Calibri"/>
          <w:lang w:val="es-ES" w:eastAsia="en-US"/>
        </w:rPr>
        <w:t>Parenter</w:t>
      </w:r>
      <w:proofErr w:type="spellEnd"/>
      <w:r w:rsidRPr="00EB05E1">
        <w:rPr>
          <w:rFonts w:eastAsia="Calibri"/>
          <w:lang w:val="es-ES" w:eastAsia="en-US"/>
        </w:rPr>
        <w:t xml:space="preserve"> Enteral </w:t>
      </w:r>
      <w:proofErr w:type="spellStart"/>
      <w:r w:rsidRPr="00EB05E1">
        <w:rPr>
          <w:rFonts w:eastAsia="Calibri"/>
          <w:lang w:val="es-ES" w:eastAsia="en-US"/>
        </w:rPr>
        <w:t>Nutr</w:t>
      </w:r>
      <w:proofErr w:type="spellEnd"/>
      <w:r w:rsidRPr="00EB05E1">
        <w:rPr>
          <w:rFonts w:eastAsia="Calibri"/>
          <w:lang w:val="es-ES" w:eastAsia="en-US"/>
        </w:rPr>
        <w:t xml:space="preserve">. 2019; 43(2):181-93. </w:t>
      </w:r>
      <w:proofErr w:type="spellStart"/>
      <w:r w:rsidRPr="00EB05E1">
        <w:rPr>
          <w:rFonts w:eastAsia="Calibri"/>
          <w:lang w:val="es-ES" w:eastAsia="en-US"/>
        </w:rPr>
        <w:t>DOI</w:t>
      </w:r>
      <w:proofErr w:type="spellEnd"/>
      <w:r w:rsidRPr="00EB05E1">
        <w:rPr>
          <w:rFonts w:eastAsia="Calibri"/>
          <w:lang w:val="es-ES" w:eastAsia="en-US"/>
        </w:rPr>
        <w:t>: 10.1002/</w:t>
      </w:r>
      <w:proofErr w:type="spellStart"/>
      <w:r w:rsidRPr="00EB05E1">
        <w:rPr>
          <w:rFonts w:eastAsia="Calibri"/>
          <w:lang w:val="es-ES" w:eastAsia="en-US"/>
        </w:rPr>
        <w:t>jpen.1451</w:t>
      </w:r>
      <w:proofErr w:type="spellEnd"/>
    </w:p>
    <w:p w14:paraId="60ECAC1F" w14:textId="77777777" w:rsidR="00EB05E1" w:rsidRPr="00EB05E1" w:rsidRDefault="00EB05E1" w:rsidP="00EB05E1">
      <w:pPr>
        <w:autoSpaceDE w:val="0"/>
        <w:autoSpaceDN w:val="0"/>
        <w:adjustRightInd w:val="0"/>
        <w:spacing w:line="360" w:lineRule="auto"/>
        <w:rPr>
          <w:rFonts w:eastAsia="Calibri"/>
          <w:strike/>
          <w:lang w:val="es-ES" w:eastAsia="en-US"/>
        </w:rPr>
      </w:pPr>
      <w:r w:rsidRPr="00EB05E1">
        <w:rPr>
          <w:rFonts w:eastAsia="Calibri"/>
          <w:lang w:val="es-ES" w:eastAsia="en-US"/>
        </w:rPr>
        <w:t xml:space="preserve">4. Trujillo Ramírez N, López Reséndiz SM, Méndez Reyes R, Villagómez Ortiz AJ, Rosas Barrientos </w:t>
      </w:r>
      <w:proofErr w:type="spellStart"/>
      <w:r w:rsidRPr="00EB05E1">
        <w:rPr>
          <w:rFonts w:eastAsia="Calibri"/>
          <w:lang w:val="es-ES" w:eastAsia="en-US"/>
        </w:rPr>
        <w:t>JV</w:t>
      </w:r>
      <w:proofErr w:type="spellEnd"/>
      <w:r w:rsidRPr="00EB05E1">
        <w:rPr>
          <w:rFonts w:eastAsia="Calibri"/>
          <w:lang w:val="es-ES" w:eastAsia="en-US"/>
        </w:rPr>
        <w:t xml:space="preserve">. Índice lactato/albúmina como predictor de mortalidad en sepsis y choque séptico. </w:t>
      </w:r>
      <w:proofErr w:type="spellStart"/>
      <w:r w:rsidRPr="00EB05E1">
        <w:rPr>
          <w:rFonts w:eastAsia="Calibri"/>
          <w:lang w:val="es-ES" w:eastAsia="en-US"/>
        </w:rPr>
        <w:t>Med</w:t>
      </w:r>
      <w:proofErr w:type="spellEnd"/>
      <w:r w:rsidRPr="00EB05E1">
        <w:rPr>
          <w:rFonts w:eastAsia="Calibri"/>
          <w:lang w:val="es-ES" w:eastAsia="en-US"/>
        </w:rPr>
        <w:t xml:space="preserve">. </w:t>
      </w:r>
      <w:proofErr w:type="spellStart"/>
      <w:r w:rsidRPr="00EB05E1">
        <w:rPr>
          <w:rFonts w:eastAsia="Calibri"/>
          <w:lang w:val="es-ES" w:eastAsia="en-US"/>
        </w:rPr>
        <w:t>Crít</w:t>
      </w:r>
      <w:proofErr w:type="spellEnd"/>
      <w:r w:rsidRPr="00EB05E1">
        <w:rPr>
          <w:rFonts w:eastAsia="Calibri"/>
          <w:lang w:val="es-ES" w:eastAsia="en-US"/>
        </w:rPr>
        <w:t xml:space="preserve"> </w:t>
      </w:r>
      <w:proofErr w:type="spellStart"/>
      <w:r w:rsidRPr="00EB05E1">
        <w:rPr>
          <w:rFonts w:eastAsia="Calibri"/>
          <w:lang w:val="es-ES" w:eastAsia="en-US"/>
        </w:rPr>
        <w:t>Crít</w:t>
      </w:r>
      <w:proofErr w:type="spellEnd"/>
      <w:r w:rsidRPr="00EB05E1">
        <w:rPr>
          <w:rFonts w:eastAsia="Calibri"/>
          <w:lang w:val="es-ES" w:eastAsia="en-US"/>
        </w:rPr>
        <w:t xml:space="preserve">. 2018 [acceso: 06/10/2020]; 32(3):136-40. Disponible en: </w:t>
      </w:r>
      <w:hyperlink r:id="rId17" w:history="1">
        <w:r w:rsidRPr="00EB05E1">
          <w:rPr>
            <w:rFonts w:eastAsia="Calibri"/>
            <w:color w:val="0563C1"/>
            <w:u w:val="single"/>
            <w:lang w:val="es-ES" w:eastAsia="en-US"/>
          </w:rPr>
          <w:t>http://www.scielo.org.mx/scielo.php?script=sci_arttext&amp;pid=S2448-89092018000300136&amp;lng=es</w:t>
        </w:r>
      </w:hyperlink>
      <w:r w:rsidRPr="00EB05E1">
        <w:rPr>
          <w:rFonts w:eastAsia="Calibri"/>
          <w:lang w:val="es-ES" w:eastAsia="en-US"/>
        </w:rPr>
        <w:t xml:space="preserve"> </w:t>
      </w:r>
    </w:p>
    <w:p w14:paraId="729416E5" w14:textId="77777777" w:rsidR="00EB05E1" w:rsidRPr="00EB05E1" w:rsidRDefault="00EB05E1" w:rsidP="00EB05E1">
      <w:pPr>
        <w:autoSpaceDE w:val="0"/>
        <w:autoSpaceDN w:val="0"/>
        <w:adjustRightInd w:val="0"/>
        <w:spacing w:line="360" w:lineRule="auto"/>
        <w:rPr>
          <w:rFonts w:eastAsia="Calibri"/>
          <w:lang w:val="es-ES" w:eastAsia="en-US"/>
        </w:rPr>
      </w:pPr>
      <w:r w:rsidRPr="00EB05E1">
        <w:rPr>
          <w:rFonts w:eastAsia="Calibri"/>
          <w:lang w:val="es-ES" w:eastAsia="en-US"/>
        </w:rPr>
        <w:t xml:space="preserve">5. Godínez A, Correa A, Enríquez D, Pérez S, López S, Gracida N. ¿Es la albúmina un predictor de gravedad y de mortalidad en pacientes con sepsis abdominal? Revista </w:t>
      </w:r>
      <w:proofErr w:type="spellStart"/>
      <w:r w:rsidRPr="00EB05E1">
        <w:rPr>
          <w:rFonts w:eastAsia="Calibri"/>
          <w:lang w:val="es-ES" w:eastAsia="en-US"/>
        </w:rPr>
        <w:t>Cir</w:t>
      </w:r>
      <w:proofErr w:type="spellEnd"/>
      <w:r w:rsidRPr="00EB05E1">
        <w:rPr>
          <w:rFonts w:eastAsia="Calibri"/>
          <w:lang w:val="es-ES" w:eastAsia="en-US"/>
        </w:rPr>
        <w:t xml:space="preserve"> Cir. 2019 [acceso: 18/07/2020]; 87:485-489. Disponible en: </w:t>
      </w:r>
      <w:hyperlink r:id="rId18" w:history="1">
        <w:r w:rsidRPr="00EB05E1">
          <w:rPr>
            <w:rFonts w:eastAsia="Calibri"/>
            <w:color w:val="0563C1"/>
            <w:u w:val="single"/>
            <w:lang w:val="es-ES" w:eastAsia="en-US"/>
          </w:rPr>
          <w:t>https://www.medigraphic.com/pdfs/circir/cc-2019/cc195a.pdf</w:t>
        </w:r>
      </w:hyperlink>
      <w:r w:rsidRPr="00EB05E1">
        <w:rPr>
          <w:rFonts w:eastAsia="Calibri"/>
          <w:lang w:val="es-ES" w:eastAsia="en-US"/>
        </w:rPr>
        <w:t xml:space="preserve">   </w:t>
      </w:r>
    </w:p>
    <w:p w14:paraId="363F5623" w14:textId="77777777" w:rsidR="00EB05E1" w:rsidRPr="00EB05E1" w:rsidRDefault="00EB05E1" w:rsidP="00EB05E1">
      <w:pPr>
        <w:autoSpaceDE w:val="0"/>
        <w:autoSpaceDN w:val="0"/>
        <w:adjustRightInd w:val="0"/>
        <w:spacing w:line="360" w:lineRule="auto"/>
        <w:rPr>
          <w:rFonts w:eastAsia="Calibri"/>
          <w:lang w:val="en-US" w:eastAsia="en-US"/>
        </w:rPr>
      </w:pPr>
      <w:r w:rsidRPr="00EB05E1">
        <w:rPr>
          <w:rFonts w:eastAsia="Calibri"/>
          <w:lang w:val="es-BO" w:eastAsia="en-US"/>
        </w:rPr>
        <w:t xml:space="preserve">6. López Lázaro AB, Aguilar Murillo GM, Muñoz </w:t>
      </w:r>
      <w:proofErr w:type="spellStart"/>
      <w:r w:rsidRPr="00EB05E1">
        <w:rPr>
          <w:rFonts w:eastAsia="Calibri"/>
          <w:lang w:val="es-BO" w:eastAsia="en-US"/>
        </w:rPr>
        <w:t>Neciosup</w:t>
      </w:r>
      <w:proofErr w:type="spellEnd"/>
      <w:r w:rsidRPr="00EB05E1">
        <w:rPr>
          <w:rFonts w:eastAsia="Calibri"/>
          <w:lang w:val="es-BO" w:eastAsia="en-US"/>
        </w:rPr>
        <w:t xml:space="preserve"> AP, Goicochea </w:t>
      </w:r>
      <w:proofErr w:type="spellStart"/>
      <w:r w:rsidRPr="00EB05E1">
        <w:rPr>
          <w:rFonts w:eastAsia="Calibri"/>
          <w:lang w:val="es-BO" w:eastAsia="en-US"/>
        </w:rPr>
        <w:t>Rios</w:t>
      </w:r>
      <w:proofErr w:type="spellEnd"/>
      <w:r w:rsidRPr="00EB05E1">
        <w:rPr>
          <w:rFonts w:eastAsia="Calibri"/>
          <w:lang w:val="es-BO" w:eastAsia="en-US"/>
        </w:rPr>
        <w:t xml:space="preserve"> E. Hipoalbuminemia como predictor de mortalidad de sepsis por COVID-19. </w:t>
      </w:r>
      <w:r w:rsidRPr="00EB05E1">
        <w:rPr>
          <w:rFonts w:eastAsia="Calibri"/>
          <w:lang w:val="en-US" w:eastAsia="en-US"/>
        </w:rPr>
        <w:t>Rev. Fac. Med. Hum. 2021; 21(1):12-18. DOI: 10.25176/</w:t>
      </w:r>
      <w:proofErr w:type="spellStart"/>
      <w:r w:rsidRPr="00EB05E1">
        <w:rPr>
          <w:rFonts w:eastAsia="Calibri"/>
          <w:lang w:val="en-US" w:eastAsia="en-US"/>
        </w:rPr>
        <w:t>RFMH.v21i1.3437</w:t>
      </w:r>
      <w:proofErr w:type="spellEnd"/>
    </w:p>
    <w:p w14:paraId="36D85BCD" w14:textId="77777777" w:rsidR="00EB05E1" w:rsidRPr="00EB05E1" w:rsidRDefault="00EB05E1" w:rsidP="00EB05E1">
      <w:pPr>
        <w:spacing w:line="360" w:lineRule="auto"/>
        <w:rPr>
          <w:rFonts w:eastAsia="Calibri"/>
          <w:lang w:val="en-US" w:eastAsia="en-US"/>
        </w:rPr>
      </w:pPr>
      <w:r w:rsidRPr="00EB05E1">
        <w:rPr>
          <w:rFonts w:eastAsia="Calibri"/>
          <w:lang w:val="en-US" w:eastAsia="en-US"/>
        </w:rPr>
        <w:t xml:space="preserve">7. Dubois M, Orellana-Jiménez C, </w:t>
      </w:r>
      <w:proofErr w:type="spellStart"/>
      <w:r w:rsidRPr="00EB05E1">
        <w:rPr>
          <w:rFonts w:eastAsia="Calibri"/>
          <w:lang w:val="en-US" w:eastAsia="en-US"/>
        </w:rPr>
        <w:t>Melot</w:t>
      </w:r>
      <w:proofErr w:type="spellEnd"/>
      <w:r w:rsidRPr="00EB05E1">
        <w:rPr>
          <w:rFonts w:eastAsia="Calibri"/>
          <w:lang w:val="en-US" w:eastAsia="en-US"/>
        </w:rPr>
        <w:t xml:space="preserve"> C, De Backer D, </w:t>
      </w:r>
      <w:proofErr w:type="spellStart"/>
      <w:r w:rsidRPr="00EB05E1">
        <w:rPr>
          <w:rFonts w:eastAsia="Calibri"/>
          <w:lang w:val="en-US" w:eastAsia="en-US"/>
        </w:rPr>
        <w:t>Berre</w:t>
      </w:r>
      <w:proofErr w:type="spellEnd"/>
      <w:r w:rsidRPr="00EB05E1">
        <w:rPr>
          <w:rFonts w:eastAsia="Calibri"/>
          <w:lang w:val="en-US" w:eastAsia="en-US"/>
        </w:rPr>
        <w:t xml:space="preserve"> J, Leeman M, et al. Albumin administration improves organ function in critically ill </w:t>
      </w:r>
      <w:proofErr w:type="spellStart"/>
      <w:r w:rsidRPr="00EB05E1">
        <w:rPr>
          <w:rFonts w:eastAsia="Calibri"/>
          <w:lang w:val="en-US" w:eastAsia="en-US"/>
        </w:rPr>
        <w:t>hipoalbuminemic</w:t>
      </w:r>
      <w:proofErr w:type="spellEnd"/>
      <w:r w:rsidRPr="00EB05E1">
        <w:rPr>
          <w:rFonts w:eastAsia="Calibri"/>
          <w:lang w:val="en-US" w:eastAsia="en-US"/>
        </w:rPr>
        <w:t xml:space="preserve"> patients: A prospective, randomized controlled, pilot study. Crit Care Med. 2006; 34:2536-40. DOI: 10.1097/</w:t>
      </w:r>
      <w:proofErr w:type="spellStart"/>
      <w:r w:rsidRPr="00EB05E1">
        <w:rPr>
          <w:rFonts w:eastAsia="Calibri"/>
          <w:lang w:val="en-US" w:eastAsia="en-US"/>
        </w:rPr>
        <w:t>01.CCM.0000239119.57544.0C</w:t>
      </w:r>
      <w:proofErr w:type="spellEnd"/>
    </w:p>
    <w:p w14:paraId="25468E35" w14:textId="77777777" w:rsidR="00EB05E1" w:rsidRPr="00EB05E1" w:rsidRDefault="00EB05E1" w:rsidP="00EB05E1">
      <w:pPr>
        <w:spacing w:line="360" w:lineRule="auto"/>
        <w:rPr>
          <w:rFonts w:eastAsia="Calibri"/>
          <w:lang w:val="es-ES" w:eastAsia="en-US"/>
        </w:rPr>
      </w:pPr>
      <w:r w:rsidRPr="00EB05E1">
        <w:rPr>
          <w:rFonts w:eastAsia="Calibri"/>
          <w:lang w:val="en-US" w:eastAsia="en-US"/>
        </w:rPr>
        <w:t xml:space="preserve">8. Cochrane Injuries Group Albumin Reviewers. Human albumin administration in critically ill patients: systematic review of randomized controlled trials. </w:t>
      </w:r>
      <w:proofErr w:type="spellStart"/>
      <w:r w:rsidRPr="00EB05E1">
        <w:rPr>
          <w:rFonts w:eastAsia="Calibri"/>
          <w:lang w:val="es-BO" w:eastAsia="en-US"/>
        </w:rPr>
        <w:t>BMJ</w:t>
      </w:r>
      <w:proofErr w:type="spellEnd"/>
      <w:r w:rsidRPr="00EB05E1">
        <w:rPr>
          <w:rFonts w:eastAsia="Calibri"/>
          <w:lang w:val="es-BO" w:eastAsia="en-US"/>
        </w:rPr>
        <w:t xml:space="preserve">. 1998 [acceso: 20/09/2020]; 317:235-40. Disponible en: </w:t>
      </w:r>
      <w:hyperlink r:id="rId19" w:history="1">
        <w:r w:rsidRPr="00EB05E1">
          <w:rPr>
            <w:rFonts w:eastAsia="Calibri"/>
            <w:color w:val="0563C1"/>
            <w:u w:val="single"/>
            <w:lang w:val="es-BO" w:eastAsia="en-US"/>
          </w:rPr>
          <w:t>https://www.ncbi.nlm.nih.gov/pmc/articles/PMC28613/pdf/235.pdf</w:t>
        </w:r>
      </w:hyperlink>
      <w:r w:rsidRPr="00EB05E1">
        <w:rPr>
          <w:rFonts w:eastAsia="Calibri"/>
          <w:lang w:val="es-BO" w:eastAsia="en-US"/>
        </w:rPr>
        <w:t xml:space="preserve">  </w:t>
      </w:r>
    </w:p>
    <w:p w14:paraId="1ECA4CB7" w14:textId="77777777" w:rsidR="00EB05E1" w:rsidRPr="00EB05E1" w:rsidRDefault="00EB05E1" w:rsidP="00EB05E1">
      <w:pPr>
        <w:spacing w:line="360" w:lineRule="auto"/>
        <w:rPr>
          <w:rFonts w:eastAsia="Calibri"/>
          <w:strike/>
          <w:lang w:val="es-BO" w:eastAsia="en-US"/>
        </w:rPr>
      </w:pPr>
      <w:r w:rsidRPr="00EB05E1">
        <w:rPr>
          <w:rFonts w:eastAsia="Calibri"/>
          <w:lang w:val="en-US" w:eastAsia="en-US"/>
        </w:rPr>
        <w:t xml:space="preserve">9. </w:t>
      </w:r>
      <w:proofErr w:type="spellStart"/>
      <w:r w:rsidRPr="00EB05E1">
        <w:rPr>
          <w:rFonts w:eastAsia="Calibri"/>
          <w:lang w:val="en-US" w:eastAsia="en-US"/>
        </w:rPr>
        <w:t>Sebai</w:t>
      </w:r>
      <w:proofErr w:type="spellEnd"/>
      <w:r w:rsidRPr="00EB05E1">
        <w:rPr>
          <w:rFonts w:eastAsia="Calibri"/>
          <w:lang w:val="en-US" w:eastAsia="en-US"/>
        </w:rPr>
        <w:t xml:space="preserve"> MA, </w:t>
      </w:r>
      <w:proofErr w:type="spellStart"/>
      <w:r w:rsidRPr="00EB05E1">
        <w:rPr>
          <w:rFonts w:eastAsia="Calibri"/>
          <w:lang w:val="en-US" w:eastAsia="en-US"/>
        </w:rPr>
        <w:t>Kerezoudis</w:t>
      </w:r>
      <w:proofErr w:type="spellEnd"/>
      <w:r w:rsidRPr="00EB05E1">
        <w:rPr>
          <w:rFonts w:eastAsia="Calibri"/>
          <w:lang w:val="en-US" w:eastAsia="en-US"/>
        </w:rPr>
        <w:t xml:space="preserve"> P, </w:t>
      </w:r>
      <w:proofErr w:type="spellStart"/>
      <w:r w:rsidRPr="00EB05E1">
        <w:rPr>
          <w:rFonts w:eastAsia="Calibri"/>
          <w:lang w:val="en-US" w:eastAsia="en-US"/>
        </w:rPr>
        <w:t>Alvi</w:t>
      </w:r>
      <w:proofErr w:type="spellEnd"/>
      <w:r w:rsidRPr="00EB05E1">
        <w:rPr>
          <w:rFonts w:eastAsia="Calibri"/>
          <w:lang w:val="en-US" w:eastAsia="en-US"/>
        </w:rPr>
        <w:t xml:space="preserve"> MA, Yoon </w:t>
      </w:r>
      <w:proofErr w:type="spellStart"/>
      <w:r w:rsidRPr="00EB05E1">
        <w:rPr>
          <w:rFonts w:eastAsia="Calibri"/>
          <w:lang w:val="en-US" w:eastAsia="en-US"/>
        </w:rPr>
        <w:t>JW</w:t>
      </w:r>
      <w:proofErr w:type="spellEnd"/>
      <w:r w:rsidRPr="00EB05E1">
        <w:rPr>
          <w:rFonts w:eastAsia="Calibri"/>
          <w:lang w:val="en-US" w:eastAsia="en-US"/>
        </w:rPr>
        <w:t xml:space="preserve">, Spinner RJ, </w:t>
      </w:r>
      <w:proofErr w:type="spellStart"/>
      <w:r w:rsidRPr="00EB05E1">
        <w:rPr>
          <w:rFonts w:eastAsia="Calibri"/>
          <w:lang w:val="en-US" w:eastAsia="en-US"/>
        </w:rPr>
        <w:t>Bydon</w:t>
      </w:r>
      <w:proofErr w:type="spellEnd"/>
      <w:r w:rsidRPr="00EB05E1">
        <w:rPr>
          <w:rFonts w:eastAsia="Calibri"/>
          <w:lang w:val="en-US" w:eastAsia="en-US"/>
        </w:rPr>
        <w:t xml:space="preserve"> M. Need for arthrodesis following facetectomy for spinal peripheral nerve sheath tumors: an institutional experience and review of the current literature. </w:t>
      </w:r>
      <w:r w:rsidRPr="00EB05E1">
        <w:rPr>
          <w:rFonts w:eastAsia="Calibri"/>
          <w:lang w:val="es-BO" w:eastAsia="en-US"/>
        </w:rPr>
        <w:t xml:space="preserve">J </w:t>
      </w:r>
      <w:proofErr w:type="spellStart"/>
      <w:r w:rsidRPr="00EB05E1">
        <w:rPr>
          <w:rFonts w:eastAsia="Calibri"/>
          <w:lang w:val="es-BO" w:eastAsia="en-US"/>
        </w:rPr>
        <w:t>Neurosurg</w:t>
      </w:r>
      <w:proofErr w:type="spellEnd"/>
      <w:r w:rsidRPr="00EB05E1">
        <w:rPr>
          <w:rFonts w:eastAsia="Calibri"/>
          <w:lang w:val="es-BO" w:eastAsia="en-US"/>
        </w:rPr>
        <w:t xml:space="preserve"> </w:t>
      </w:r>
      <w:proofErr w:type="spellStart"/>
      <w:r w:rsidRPr="00EB05E1">
        <w:rPr>
          <w:rFonts w:eastAsia="Calibri"/>
          <w:lang w:val="es-BO" w:eastAsia="en-US"/>
        </w:rPr>
        <w:t>Spine</w:t>
      </w:r>
      <w:proofErr w:type="spellEnd"/>
      <w:r w:rsidRPr="00EB05E1">
        <w:rPr>
          <w:rFonts w:eastAsia="Calibri"/>
          <w:lang w:val="es-BO" w:eastAsia="en-US"/>
        </w:rPr>
        <w:t xml:space="preserve">. 2019; 31(1):112-22. </w:t>
      </w:r>
      <w:proofErr w:type="spellStart"/>
      <w:r w:rsidRPr="00EB05E1">
        <w:rPr>
          <w:rFonts w:eastAsia="Calibri"/>
          <w:lang w:val="es-BO" w:eastAsia="en-US"/>
        </w:rPr>
        <w:t>DOI</w:t>
      </w:r>
      <w:proofErr w:type="spellEnd"/>
      <w:r w:rsidRPr="00EB05E1">
        <w:rPr>
          <w:rFonts w:eastAsia="Calibri"/>
          <w:lang w:val="es-BO" w:eastAsia="en-US"/>
        </w:rPr>
        <w:t>: 10.3171/</w:t>
      </w:r>
      <w:proofErr w:type="spellStart"/>
      <w:r w:rsidRPr="00EB05E1">
        <w:rPr>
          <w:rFonts w:eastAsia="Calibri"/>
          <w:lang w:val="es-BO" w:eastAsia="en-US"/>
        </w:rPr>
        <w:t>2019.</w:t>
      </w:r>
      <w:proofErr w:type="gramStart"/>
      <w:r w:rsidRPr="00EB05E1">
        <w:rPr>
          <w:rFonts w:eastAsia="Calibri"/>
          <w:lang w:val="es-BO" w:eastAsia="en-US"/>
        </w:rPr>
        <w:t>1.SPINE</w:t>
      </w:r>
      <w:proofErr w:type="gramEnd"/>
      <w:r w:rsidRPr="00EB05E1">
        <w:rPr>
          <w:rFonts w:eastAsia="Calibri"/>
          <w:lang w:val="es-BO" w:eastAsia="en-US"/>
        </w:rPr>
        <w:t>181057</w:t>
      </w:r>
      <w:proofErr w:type="spellEnd"/>
    </w:p>
    <w:p w14:paraId="51EDCA91" w14:textId="77777777" w:rsidR="00EB05E1" w:rsidRPr="00EB05E1" w:rsidRDefault="00EB05E1" w:rsidP="00EB05E1">
      <w:pPr>
        <w:spacing w:line="360" w:lineRule="auto"/>
        <w:rPr>
          <w:rFonts w:eastAsia="Calibri"/>
          <w:lang w:val="en-US" w:eastAsia="en-US"/>
        </w:rPr>
      </w:pPr>
      <w:r w:rsidRPr="00EB05E1">
        <w:rPr>
          <w:rFonts w:eastAsia="Calibri"/>
          <w:lang w:val="es-BO" w:eastAsia="en-US"/>
        </w:rPr>
        <w:t xml:space="preserve">10. Rodríguez ET, González </w:t>
      </w:r>
      <w:proofErr w:type="spellStart"/>
      <w:r w:rsidRPr="00EB05E1">
        <w:rPr>
          <w:rFonts w:eastAsia="Calibri"/>
          <w:lang w:val="es-BO" w:eastAsia="en-US"/>
        </w:rPr>
        <w:t>JC</w:t>
      </w:r>
      <w:proofErr w:type="spellEnd"/>
      <w:r w:rsidRPr="00EB05E1">
        <w:rPr>
          <w:rFonts w:eastAsia="Calibri"/>
          <w:lang w:val="es-BO" w:eastAsia="en-US"/>
        </w:rPr>
        <w:t xml:space="preserve">, Cabrera JO, Algas LA. Factores pronósticos de fallo orgánico y muerte en pacientes con peritonitis difusa secundaria. </w:t>
      </w:r>
      <w:r w:rsidRPr="00EB05E1">
        <w:rPr>
          <w:rFonts w:eastAsia="Calibri"/>
          <w:lang w:val="en-US" w:eastAsia="en-US"/>
        </w:rPr>
        <w:t xml:space="preserve">Rev Cub Med </w:t>
      </w:r>
      <w:proofErr w:type="spellStart"/>
      <w:r w:rsidRPr="00EB05E1">
        <w:rPr>
          <w:rFonts w:eastAsia="Calibri"/>
          <w:lang w:val="en-US" w:eastAsia="en-US"/>
        </w:rPr>
        <w:t>Intens</w:t>
      </w:r>
      <w:proofErr w:type="spellEnd"/>
      <w:r w:rsidRPr="00EB05E1">
        <w:rPr>
          <w:rFonts w:eastAsia="Calibri"/>
          <w:lang w:val="en-US" w:eastAsia="en-US"/>
        </w:rPr>
        <w:t xml:space="preserve"> </w:t>
      </w:r>
      <w:proofErr w:type="spellStart"/>
      <w:r w:rsidRPr="00EB05E1">
        <w:rPr>
          <w:rFonts w:eastAsia="Calibri"/>
          <w:lang w:val="en-US" w:eastAsia="en-US"/>
        </w:rPr>
        <w:t>Emerg</w:t>
      </w:r>
      <w:proofErr w:type="spellEnd"/>
      <w:r w:rsidRPr="00EB05E1">
        <w:rPr>
          <w:rFonts w:eastAsia="Calibri"/>
          <w:lang w:val="en-US" w:eastAsia="en-US"/>
        </w:rPr>
        <w:t>. 2018 [</w:t>
      </w:r>
      <w:proofErr w:type="spellStart"/>
      <w:r w:rsidRPr="00EB05E1">
        <w:rPr>
          <w:rFonts w:eastAsia="Calibri"/>
          <w:lang w:val="en-US" w:eastAsia="en-US"/>
        </w:rPr>
        <w:t>acceso</w:t>
      </w:r>
      <w:proofErr w:type="spellEnd"/>
      <w:r w:rsidRPr="00EB05E1">
        <w:rPr>
          <w:rFonts w:eastAsia="Calibri"/>
          <w:lang w:val="en-US" w:eastAsia="en-US"/>
        </w:rPr>
        <w:t xml:space="preserve">: 28/12/2019]; 17(4):1-18. Disponible </w:t>
      </w:r>
      <w:proofErr w:type="spellStart"/>
      <w:r w:rsidRPr="00EB05E1">
        <w:rPr>
          <w:rFonts w:eastAsia="Calibri"/>
          <w:lang w:val="en-US" w:eastAsia="en-US"/>
        </w:rPr>
        <w:t>en</w:t>
      </w:r>
      <w:proofErr w:type="spellEnd"/>
      <w:r w:rsidRPr="00EB05E1">
        <w:rPr>
          <w:rFonts w:eastAsia="Calibri"/>
          <w:lang w:val="en-US" w:eastAsia="en-US"/>
        </w:rPr>
        <w:t xml:space="preserve">: </w:t>
      </w:r>
      <w:r w:rsidR="00000000">
        <w:fldChar w:fldCharType="begin"/>
      </w:r>
      <w:r w:rsidR="00000000" w:rsidRPr="007328C8">
        <w:rPr>
          <w:lang w:val="en-US"/>
        </w:rPr>
        <w:instrText xml:space="preserve"> HYPERLINK "http://www.revmie.sld.cu/index.php/mie/article/view/424/601" </w:instrText>
      </w:r>
      <w:r w:rsidR="00000000">
        <w:fldChar w:fldCharType="separate"/>
      </w:r>
      <w:r w:rsidRPr="00EB05E1">
        <w:rPr>
          <w:rFonts w:ascii="Calibri" w:eastAsia="Calibri" w:hAnsi="Calibri"/>
          <w:color w:val="0563C1"/>
          <w:sz w:val="22"/>
          <w:szCs w:val="22"/>
          <w:u w:val="single"/>
          <w:lang w:val="en-US" w:eastAsia="en-US"/>
        </w:rPr>
        <w:t>http://www.revmie.sld.cu/index.php/mie/article/view/424/601</w:t>
      </w:r>
      <w:r w:rsidR="00000000">
        <w:rPr>
          <w:rFonts w:ascii="Calibri" w:eastAsia="Calibri" w:hAnsi="Calibri"/>
          <w:color w:val="0563C1"/>
          <w:sz w:val="22"/>
          <w:szCs w:val="22"/>
          <w:u w:val="single"/>
          <w:lang w:val="en-US" w:eastAsia="en-US"/>
        </w:rPr>
        <w:fldChar w:fldCharType="end"/>
      </w:r>
      <w:r w:rsidRPr="00EB05E1">
        <w:rPr>
          <w:rFonts w:eastAsia="Calibri"/>
          <w:lang w:val="en-US" w:eastAsia="en-US"/>
        </w:rPr>
        <w:t xml:space="preserve">     </w:t>
      </w:r>
    </w:p>
    <w:p w14:paraId="2A80FE75" w14:textId="77777777" w:rsidR="00EB05E1" w:rsidRPr="00EB05E1" w:rsidRDefault="00EB05E1" w:rsidP="00EB05E1">
      <w:pPr>
        <w:autoSpaceDE w:val="0"/>
        <w:autoSpaceDN w:val="0"/>
        <w:adjustRightInd w:val="0"/>
        <w:spacing w:line="360" w:lineRule="auto"/>
        <w:rPr>
          <w:rFonts w:eastAsia="Calibri"/>
          <w:strike/>
          <w:lang w:val="en-US" w:eastAsia="en-US"/>
        </w:rPr>
      </w:pPr>
      <w:r w:rsidRPr="00EB05E1">
        <w:rPr>
          <w:rFonts w:eastAsia="Calibri"/>
          <w:lang w:val="en-US" w:eastAsia="en-US"/>
        </w:rPr>
        <w:lastRenderedPageBreak/>
        <w:t xml:space="preserve">11. Man C, Wang M, Yin G, Huang J, Cheng W, Wu X, Liu L, et al. Clinical features of 47 secondary hemophagocytic </w:t>
      </w:r>
      <w:proofErr w:type="spellStart"/>
      <w:r w:rsidRPr="00EB05E1">
        <w:rPr>
          <w:rFonts w:eastAsia="Calibri"/>
          <w:lang w:val="en-US" w:eastAsia="en-US"/>
        </w:rPr>
        <w:t>lymphohistiocytosis</w:t>
      </w:r>
      <w:proofErr w:type="spellEnd"/>
      <w:r w:rsidRPr="00EB05E1">
        <w:rPr>
          <w:rFonts w:eastAsia="Calibri"/>
          <w:lang w:val="en-US" w:eastAsia="en-US"/>
        </w:rPr>
        <w:t xml:space="preserve"> patients complicated with capillary leak syndrome. Int J </w:t>
      </w:r>
      <w:proofErr w:type="spellStart"/>
      <w:r w:rsidRPr="00EB05E1">
        <w:rPr>
          <w:rFonts w:eastAsia="Calibri"/>
          <w:lang w:val="en-US" w:eastAsia="en-US"/>
        </w:rPr>
        <w:t>Hematol</w:t>
      </w:r>
      <w:proofErr w:type="spellEnd"/>
      <w:r w:rsidRPr="00EB05E1">
        <w:rPr>
          <w:rFonts w:eastAsia="Calibri"/>
          <w:lang w:val="en-US" w:eastAsia="en-US"/>
        </w:rPr>
        <w:t>. 2021; 113(2):263-70. DOI: 10.1007/</w:t>
      </w:r>
      <w:proofErr w:type="spellStart"/>
      <w:r w:rsidRPr="00EB05E1">
        <w:rPr>
          <w:rFonts w:eastAsia="Calibri"/>
          <w:lang w:val="en-US" w:eastAsia="en-US"/>
        </w:rPr>
        <w:t>s12185</w:t>
      </w:r>
      <w:proofErr w:type="spellEnd"/>
      <w:r w:rsidRPr="00EB05E1">
        <w:rPr>
          <w:rFonts w:eastAsia="Calibri"/>
          <w:lang w:val="en-US" w:eastAsia="en-US"/>
        </w:rPr>
        <w:t xml:space="preserve">-020-03011-8 </w:t>
      </w:r>
    </w:p>
    <w:p w14:paraId="31AEA9EB" w14:textId="77777777" w:rsidR="00EB05E1" w:rsidRPr="00EB05E1" w:rsidRDefault="00EB05E1" w:rsidP="00EB05E1">
      <w:pPr>
        <w:autoSpaceDE w:val="0"/>
        <w:autoSpaceDN w:val="0"/>
        <w:adjustRightInd w:val="0"/>
        <w:spacing w:line="360" w:lineRule="auto"/>
        <w:rPr>
          <w:rFonts w:eastAsia="Calibri"/>
          <w:strike/>
          <w:lang w:val="en-US" w:eastAsia="en-US"/>
        </w:rPr>
      </w:pPr>
      <w:r w:rsidRPr="00EB05E1">
        <w:rPr>
          <w:rFonts w:eastAsia="Calibri"/>
          <w:lang w:val="en-US" w:eastAsia="en-US"/>
        </w:rPr>
        <w:t xml:space="preserve">12. </w:t>
      </w:r>
      <w:proofErr w:type="spellStart"/>
      <w:r w:rsidRPr="00EB05E1">
        <w:rPr>
          <w:rFonts w:eastAsia="Calibri"/>
          <w:lang w:val="en-US" w:eastAsia="en-US"/>
        </w:rPr>
        <w:t>Uhing</w:t>
      </w:r>
      <w:proofErr w:type="spellEnd"/>
      <w:r w:rsidRPr="00EB05E1">
        <w:rPr>
          <w:rFonts w:eastAsia="Calibri"/>
          <w:lang w:val="en-US" w:eastAsia="en-US"/>
        </w:rPr>
        <w:t xml:space="preserve"> MR. The albumin controversy. Clin </w:t>
      </w:r>
      <w:proofErr w:type="spellStart"/>
      <w:r w:rsidRPr="00EB05E1">
        <w:rPr>
          <w:rFonts w:eastAsia="Calibri"/>
          <w:lang w:val="en-US" w:eastAsia="en-US"/>
        </w:rPr>
        <w:t>Perinatol</w:t>
      </w:r>
      <w:proofErr w:type="spellEnd"/>
      <w:r w:rsidRPr="00EB05E1">
        <w:rPr>
          <w:rFonts w:eastAsia="Calibri"/>
          <w:lang w:val="en-US" w:eastAsia="en-US"/>
        </w:rPr>
        <w:t>. 2004; 31(3):475-88. DOI: 10.1016/</w:t>
      </w:r>
      <w:proofErr w:type="spellStart"/>
      <w:r w:rsidRPr="00EB05E1">
        <w:rPr>
          <w:rFonts w:eastAsia="Calibri"/>
          <w:lang w:val="en-US" w:eastAsia="en-US"/>
        </w:rPr>
        <w:t>j.clp.2004.03.018</w:t>
      </w:r>
      <w:proofErr w:type="spellEnd"/>
    </w:p>
    <w:p w14:paraId="14B966ED" w14:textId="77777777" w:rsidR="00EB05E1" w:rsidRPr="00EB05E1" w:rsidRDefault="00EB05E1" w:rsidP="00EB05E1">
      <w:pPr>
        <w:autoSpaceDE w:val="0"/>
        <w:autoSpaceDN w:val="0"/>
        <w:adjustRightInd w:val="0"/>
        <w:spacing w:line="360" w:lineRule="auto"/>
        <w:rPr>
          <w:rFonts w:eastAsia="Calibri"/>
          <w:strike/>
          <w:lang w:val="es-ES" w:eastAsia="en-US"/>
        </w:rPr>
      </w:pPr>
      <w:r w:rsidRPr="00EB05E1">
        <w:rPr>
          <w:rFonts w:eastAsia="Calibri"/>
          <w:lang w:val="en-US" w:eastAsia="en-US"/>
        </w:rPr>
        <w:t xml:space="preserve">13. Hernández Rodríguez J. Clinical aspects related to the severe acute respiratory syndrome (SARS-CoV-2). </w:t>
      </w:r>
      <w:proofErr w:type="spellStart"/>
      <w:r w:rsidRPr="00EB05E1">
        <w:rPr>
          <w:rFonts w:eastAsia="Calibri"/>
          <w:lang w:val="es-ES" w:eastAsia="en-US"/>
        </w:rPr>
        <w:t>Rev</w:t>
      </w:r>
      <w:proofErr w:type="spellEnd"/>
      <w:r w:rsidRPr="00EB05E1">
        <w:rPr>
          <w:rFonts w:eastAsia="Calibri"/>
          <w:lang w:val="es-ES" w:eastAsia="en-US"/>
        </w:rPr>
        <w:t xml:space="preserve"> </w:t>
      </w:r>
      <w:proofErr w:type="spellStart"/>
      <w:r w:rsidRPr="00EB05E1">
        <w:rPr>
          <w:rFonts w:eastAsia="Calibri"/>
          <w:lang w:val="es-ES" w:eastAsia="en-US"/>
        </w:rPr>
        <w:t>Haban</w:t>
      </w:r>
      <w:proofErr w:type="spellEnd"/>
      <w:r w:rsidRPr="00EB05E1">
        <w:rPr>
          <w:rFonts w:eastAsia="Calibri"/>
          <w:lang w:val="es-ES" w:eastAsia="en-US"/>
        </w:rPr>
        <w:t xml:space="preserve"> </w:t>
      </w:r>
      <w:proofErr w:type="spellStart"/>
      <w:r w:rsidRPr="00EB05E1">
        <w:rPr>
          <w:rFonts w:eastAsia="Calibri"/>
          <w:lang w:val="es-ES" w:eastAsia="en-US"/>
        </w:rPr>
        <w:t>Cienc</w:t>
      </w:r>
      <w:proofErr w:type="spellEnd"/>
      <w:r w:rsidRPr="00EB05E1">
        <w:rPr>
          <w:rFonts w:eastAsia="Calibri"/>
          <w:lang w:val="es-ES" w:eastAsia="en-US"/>
        </w:rPr>
        <w:t xml:space="preserve"> </w:t>
      </w:r>
      <w:proofErr w:type="spellStart"/>
      <w:r w:rsidRPr="00EB05E1">
        <w:rPr>
          <w:rFonts w:eastAsia="Calibri"/>
          <w:lang w:val="es-ES" w:eastAsia="en-US"/>
        </w:rPr>
        <w:t>Méd</w:t>
      </w:r>
      <w:proofErr w:type="spellEnd"/>
      <w:r w:rsidRPr="00EB05E1">
        <w:rPr>
          <w:rFonts w:eastAsia="Calibri"/>
          <w:lang w:val="es-ES" w:eastAsia="en-US"/>
        </w:rPr>
        <w:t>. 2020 [acceso: 06/10/2020]; 19(</w:t>
      </w:r>
      <w:proofErr w:type="spellStart"/>
      <w:r w:rsidRPr="00EB05E1">
        <w:rPr>
          <w:rFonts w:eastAsia="Calibri"/>
          <w:lang w:val="es-ES" w:eastAsia="en-US"/>
        </w:rPr>
        <w:t>Suppl</w:t>
      </w:r>
      <w:proofErr w:type="spellEnd"/>
      <w:r w:rsidRPr="00EB05E1">
        <w:rPr>
          <w:rFonts w:eastAsia="Calibri"/>
          <w:lang w:val="es-ES" w:eastAsia="en-US"/>
        </w:rPr>
        <w:t xml:space="preserve"> 1): </w:t>
      </w:r>
      <w:proofErr w:type="spellStart"/>
      <w:r w:rsidRPr="00EB05E1">
        <w:rPr>
          <w:rFonts w:eastAsia="Calibri"/>
          <w:lang w:val="es-ES" w:eastAsia="en-US"/>
        </w:rPr>
        <w:t>e3279</w:t>
      </w:r>
      <w:proofErr w:type="spellEnd"/>
      <w:r w:rsidRPr="00EB05E1">
        <w:rPr>
          <w:rFonts w:eastAsia="Calibri"/>
          <w:lang w:val="es-ES" w:eastAsia="en-US"/>
        </w:rPr>
        <w:t xml:space="preserve">. Disponible en: </w:t>
      </w:r>
      <w:hyperlink r:id="rId20" w:history="1">
        <w:r w:rsidRPr="00EB05E1">
          <w:rPr>
            <w:rFonts w:eastAsia="Calibri"/>
            <w:color w:val="0563C1"/>
            <w:u w:val="single"/>
            <w:lang w:val="es-ES" w:eastAsia="en-US"/>
          </w:rPr>
          <w:t>http://scielo.sld.cu/scielo.php?script=sci_arttext&amp;pid=S1729-519X2020000400003&amp;lng=es</w:t>
        </w:r>
      </w:hyperlink>
      <w:r w:rsidRPr="00EB05E1">
        <w:rPr>
          <w:rFonts w:eastAsia="Calibri"/>
          <w:lang w:val="es-ES" w:eastAsia="en-US"/>
        </w:rPr>
        <w:t xml:space="preserve">  </w:t>
      </w:r>
      <w:r w:rsidRPr="00EB05E1">
        <w:rPr>
          <w:rFonts w:eastAsia="Calibri"/>
          <w:strike/>
          <w:lang w:val="es-ES" w:eastAsia="en-US"/>
        </w:rPr>
        <w:t xml:space="preserve"> </w:t>
      </w:r>
    </w:p>
    <w:p w14:paraId="27AE61AC" w14:textId="77777777" w:rsidR="00EB05E1" w:rsidRPr="00EB05E1" w:rsidRDefault="00EB05E1" w:rsidP="00EB05E1">
      <w:pPr>
        <w:autoSpaceDE w:val="0"/>
        <w:autoSpaceDN w:val="0"/>
        <w:adjustRightInd w:val="0"/>
        <w:spacing w:line="360" w:lineRule="auto"/>
        <w:rPr>
          <w:rFonts w:eastAsia="Calibri"/>
          <w:lang w:val="es-ES" w:eastAsia="en-US"/>
        </w:rPr>
      </w:pPr>
      <w:r w:rsidRPr="00EB05E1">
        <w:rPr>
          <w:rFonts w:eastAsia="Calibri"/>
          <w:lang w:val="es-BO" w:eastAsia="en-US"/>
        </w:rPr>
        <w:t xml:space="preserve">14. Saucedo Moreno EM, Fernández-rivera E, </w:t>
      </w:r>
      <w:proofErr w:type="spellStart"/>
      <w:r w:rsidRPr="00EB05E1">
        <w:rPr>
          <w:rFonts w:eastAsia="Calibri"/>
          <w:lang w:val="es-BO" w:eastAsia="en-US"/>
        </w:rPr>
        <w:t>Ricardez</w:t>
      </w:r>
      <w:proofErr w:type="spellEnd"/>
      <w:r w:rsidRPr="00EB05E1">
        <w:rPr>
          <w:rFonts w:eastAsia="Calibri"/>
          <w:lang w:val="es-BO" w:eastAsia="en-US"/>
        </w:rPr>
        <w:t xml:space="preserve">-García JA. Hipoalbuminemia como predictor de mortalidad en sepsis de origen abdominal. Cirugía y Cirujanos. 2020 [acceso: 14/10/2020]; 88(4):484-5 Disponible en: </w:t>
      </w:r>
      <w:hyperlink r:id="rId21" w:history="1">
        <w:r w:rsidRPr="00EB05E1">
          <w:rPr>
            <w:rFonts w:eastAsia="Calibri"/>
            <w:color w:val="0563C1"/>
            <w:u w:val="single"/>
            <w:lang w:val="es-BO" w:eastAsia="en-US"/>
          </w:rPr>
          <w:t>http://www.scielo.org.mx/scielo.php?script=sci_arttext&amp;pid=S2444-054X2020000400481&amp;lng=es</w:t>
        </w:r>
      </w:hyperlink>
      <w:r w:rsidRPr="00EB05E1">
        <w:rPr>
          <w:rFonts w:eastAsia="Calibri"/>
          <w:lang w:val="es-BO" w:eastAsia="en-US"/>
        </w:rPr>
        <w:t xml:space="preserve">   </w:t>
      </w:r>
    </w:p>
    <w:p w14:paraId="67E5D993" w14:textId="77777777" w:rsidR="00EB05E1" w:rsidRPr="00EB05E1" w:rsidRDefault="00EB05E1" w:rsidP="00EB05E1">
      <w:pPr>
        <w:autoSpaceDE w:val="0"/>
        <w:autoSpaceDN w:val="0"/>
        <w:adjustRightInd w:val="0"/>
        <w:spacing w:line="360" w:lineRule="auto"/>
        <w:rPr>
          <w:rFonts w:eastAsia="Calibri"/>
          <w:highlight w:val="yellow"/>
          <w:lang w:val="es-BO" w:eastAsia="en-US"/>
        </w:rPr>
      </w:pPr>
      <w:r w:rsidRPr="00EB05E1">
        <w:rPr>
          <w:rFonts w:eastAsia="Calibri"/>
          <w:lang w:val="es-ES" w:eastAsia="en-US"/>
        </w:rPr>
        <w:t xml:space="preserve">15. </w:t>
      </w:r>
      <w:r w:rsidRPr="00EB05E1">
        <w:rPr>
          <w:rFonts w:eastAsia="Calibri"/>
          <w:lang w:val="es-BO" w:eastAsia="en-US"/>
        </w:rPr>
        <w:t xml:space="preserve">Godínez A, Correa A, Enríquez D, Pérez S, López S, Gracida N. ¿Es la albúmina un predictor de gravedad y de mortalidad en pacientes con sepsis abdominal? Revista </w:t>
      </w:r>
      <w:proofErr w:type="spellStart"/>
      <w:r w:rsidRPr="00EB05E1">
        <w:rPr>
          <w:rFonts w:eastAsia="Calibri"/>
          <w:lang w:val="es-BO" w:eastAsia="en-US"/>
        </w:rPr>
        <w:t>Cir</w:t>
      </w:r>
      <w:proofErr w:type="spellEnd"/>
      <w:r w:rsidRPr="00EB05E1">
        <w:rPr>
          <w:rFonts w:eastAsia="Calibri"/>
          <w:lang w:val="es-BO" w:eastAsia="en-US"/>
        </w:rPr>
        <w:t xml:space="preserve"> Cir. 2019 [acceso: 18/07/2020]; 87:485-9. Disponible en: </w:t>
      </w:r>
      <w:hyperlink r:id="rId22" w:history="1">
        <w:r w:rsidRPr="00EB05E1">
          <w:rPr>
            <w:rFonts w:eastAsia="Calibri"/>
            <w:color w:val="0563C1"/>
            <w:u w:val="single"/>
            <w:lang w:val="es-BO" w:eastAsia="en-US"/>
          </w:rPr>
          <w:t>https://www.medigraphic.com/pdfs/circir/cc-2019/cc195a.pdf</w:t>
        </w:r>
      </w:hyperlink>
      <w:r w:rsidRPr="00EB05E1">
        <w:rPr>
          <w:rFonts w:eastAsia="Calibri"/>
          <w:lang w:val="es-BO" w:eastAsia="en-US"/>
        </w:rPr>
        <w:t xml:space="preserve"> </w:t>
      </w:r>
    </w:p>
    <w:p w14:paraId="77D8D14A" w14:textId="77777777" w:rsidR="00EB05E1" w:rsidRPr="00EB05E1" w:rsidRDefault="00EB05E1" w:rsidP="00EB05E1">
      <w:pPr>
        <w:autoSpaceDE w:val="0"/>
        <w:autoSpaceDN w:val="0"/>
        <w:adjustRightInd w:val="0"/>
        <w:spacing w:line="360" w:lineRule="auto"/>
        <w:rPr>
          <w:rFonts w:eastAsia="Calibri"/>
          <w:lang w:val="en-US" w:eastAsia="en-US"/>
        </w:rPr>
      </w:pPr>
      <w:r w:rsidRPr="00EB05E1">
        <w:rPr>
          <w:rFonts w:eastAsia="Calibri"/>
          <w:lang w:val="en-US" w:eastAsia="en-US"/>
        </w:rPr>
        <w:t xml:space="preserve">16. </w:t>
      </w:r>
      <w:proofErr w:type="spellStart"/>
      <w:r w:rsidRPr="00EB05E1">
        <w:rPr>
          <w:rFonts w:eastAsia="Calibri"/>
          <w:lang w:val="en-US" w:eastAsia="en-US"/>
        </w:rPr>
        <w:t>Akirov</w:t>
      </w:r>
      <w:proofErr w:type="spellEnd"/>
      <w:r w:rsidRPr="00EB05E1">
        <w:rPr>
          <w:rFonts w:eastAsia="Calibri"/>
          <w:lang w:val="en-US" w:eastAsia="en-US"/>
        </w:rPr>
        <w:t xml:space="preserve"> A, </w:t>
      </w:r>
      <w:proofErr w:type="spellStart"/>
      <w:r w:rsidRPr="00EB05E1">
        <w:rPr>
          <w:rFonts w:eastAsia="Calibri"/>
          <w:lang w:val="en-US" w:eastAsia="en-US"/>
        </w:rPr>
        <w:t>Masri</w:t>
      </w:r>
      <w:proofErr w:type="spellEnd"/>
      <w:r w:rsidRPr="00EB05E1">
        <w:rPr>
          <w:rFonts w:eastAsia="Calibri"/>
          <w:lang w:val="en-US" w:eastAsia="en-US"/>
        </w:rPr>
        <w:t xml:space="preserve">-Iraqi H, </w:t>
      </w:r>
      <w:proofErr w:type="spellStart"/>
      <w:r w:rsidRPr="00EB05E1">
        <w:rPr>
          <w:rFonts w:eastAsia="Calibri"/>
          <w:lang w:val="en-US" w:eastAsia="en-US"/>
        </w:rPr>
        <w:t>Atamna</w:t>
      </w:r>
      <w:proofErr w:type="spellEnd"/>
      <w:r w:rsidRPr="00EB05E1">
        <w:rPr>
          <w:rFonts w:eastAsia="Calibri"/>
          <w:lang w:val="en-US" w:eastAsia="en-US"/>
        </w:rPr>
        <w:t xml:space="preserve"> A, Shimon L. Low Albumin Levels Are Associated with Mortality Risk in Hospitalized Patients. The American Journal of Medicine. 2017; 30(12</w:t>
      </w:r>
      <w:proofErr w:type="gramStart"/>
      <w:r w:rsidRPr="00EB05E1">
        <w:rPr>
          <w:rFonts w:eastAsia="Calibri"/>
          <w:lang w:val="en-US" w:eastAsia="en-US"/>
        </w:rPr>
        <w:t>):</w:t>
      </w:r>
      <w:proofErr w:type="spellStart"/>
      <w:r w:rsidRPr="00EB05E1">
        <w:rPr>
          <w:rFonts w:eastAsia="Calibri"/>
          <w:lang w:val="en-US" w:eastAsia="en-US"/>
        </w:rPr>
        <w:t>1465.e</w:t>
      </w:r>
      <w:proofErr w:type="gramEnd"/>
      <w:r w:rsidRPr="00EB05E1">
        <w:rPr>
          <w:rFonts w:eastAsia="Calibri"/>
          <w:lang w:val="en-US" w:eastAsia="en-US"/>
        </w:rPr>
        <w:t>11-1465.e19</w:t>
      </w:r>
      <w:proofErr w:type="spellEnd"/>
      <w:r w:rsidRPr="00EB05E1">
        <w:rPr>
          <w:rFonts w:eastAsia="Calibri"/>
          <w:lang w:val="en-US" w:eastAsia="en-US"/>
        </w:rPr>
        <w:t xml:space="preserve">. DOI: </w:t>
      </w:r>
      <w:hyperlink r:id="rId23" w:history="1">
        <w:r w:rsidRPr="00EB05E1">
          <w:rPr>
            <w:rFonts w:eastAsia="Calibri"/>
            <w:lang w:val="en-US" w:eastAsia="en-US"/>
          </w:rPr>
          <w:t>10.1016/</w:t>
        </w:r>
        <w:proofErr w:type="spellStart"/>
        <w:r w:rsidRPr="00EB05E1">
          <w:rPr>
            <w:rFonts w:eastAsia="Calibri"/>
            <w:lang w:val="en-US" w:eastAsia="en-US"/>
          </w:rPr>
          <w:t>j.amjmed.2017.07.020</w:t>
        </w:r>
        <w:proofErr w:type="spellEnd"/>
      </w:hyperlink>
    </w:p>
    <w:p w14:paraId="53E1EB82" w14:textId="77777777" w:rsidR="00EB05E1" w:rsidRPr="00EB05E1" w:rsidRDefault="00EB05E1" w:rsidP="00EB05E1">
      <w:pPr>
        <w:autoSpaceDE w:val="0"/>
        <w:autoSpaceDN w:val="0"/>
        <w:adjustRightInd w:val="0"/>
        <w:spacing w:line="360" w:lineRule="auto"/>
        <w:rPr>
          <w:rFonts w:eastAsia="Calibri"/>
          <w:lang w:val="en-US" w:eastAsia="en-US"/>
        </w:rPr>
      </w:pPr>
      <w:r w:rsidRPr="00EB05E1">
        <w:rPr>
          <w:rFonts w:eastAsia="Calibri"/>
          <w:lang w:val="es-ES" w:eastAsia="en-US"/>
        </w:rPr>
        <w:t>17. López-Lázaro AB, Aguilar-Murillo GM, Muñoz-</w:t>
      </w:r>
      <w:proofErr w:type="spellStart"/>
      <w:r w:rsidRPr="00EB05E1">
        <w:rPr>
          <w:rFonts w:eastAsia="Calibri"/>
          <w:lang w:val="es-ES" w:eastAsia="en-US"/>
        </w:rPr>
        <w:t>Neciosup</w:t>
      </w:r>
      <w:proofErr w:type="spellEnd"/>
      <w:r w:rsidRPr="00EB05E1">
        <w:rPr>
          <w:rFonts w:eastAsia="Calibri"/>
          <w:lang w:val="es-ES" w:eastAsia="en-US"/>
        </w:rPr>
        <w:t xml:space="preserve"> AP, Goicochea-</w:t>
      </w:r>
      <w:proofErr w:type="spellStart"/>
      <w:r w:rsidRPr="00EB05E1">
        <w:rPr>
          <w:rFonts w:eastAsia="Calibri"/>
          <w:lang w:val="es-ES" w:eastAsia="en-US"/>
        </w:rPr>
        <w:t>Rios</w:t>
      </w:r>
      <w:proofErr w:type="spellEnd"/>
      <w:r w:rsidRPr="00EB05E1">
        <w:rPr>
          <w:rFonts w:eastAsia="Calibri"/>
          <w:lang w:val="es-ES" w:eastAsia="en-US"/>
        </w:rPr>
        <w:t xml:space="preserve"> E. Hipoalbuminemia como predictor de mortalidad de sepsis por COVID-19. </w:t>
      </w:r>
      <w:r w:rsidRPr="00EB05E1">
        <w:rPr>
          <w:rFonts w:eastAsia="Calibri"/>
          <w:lang w:val="en-US" w:eastAsia="en-US"/>
        </w:rPr>
        <w:t xml:space="preserve">Hospital II </w:t>
      </w:r>
      <w:proofErr w:type="spellStart"/>
      <w:r w:rsidRPr="00EB05E1">
        <w:rPr>
          <w:rFonts w:eastAsia="Calibri"/>
          <w:lang w:val="en-US" w:eastAsia="en-US"/>
        </w:rPr>
        <w:t>CHOCOPE</w:t>
      </w:r>
      <w:proofErr w:type="spellEnd"/>
      <w:r w:rsidRPr="00EB05E1">
        <w:rPr>
          <w:rFonts w:eastAsia="Calibri"/>
          <w:lang w:val="en-US" w:eastAsia="en-US"/>
        </w:rPr>
        <w:t>, 2020. Rev. Fac. Med. Hum. 2021; 21(1):12-18. DOI: 10.25176/</w:t>
      </w:r>
      <w:proofErr w:type="spellStart"/>
      <w:r w:rsidRPr="00EB05E1">
        <w:rPr>
          <w:rFonts w:eastAsia="Calibri"/>
          <w:lang w:val="en-US" w:eastAsia="en-US"/>
        </w:rPr>
        <w:t>RFMH.v21i1.3437</w:t>
      </w:r>
      <w:proofErr w:type="spellEnd"/>
    </w:p>
    <w:p w14:paraId="1D14BC29" w14:textId="77777777" w:rsidR="00EB05E1" w:rsidRPr="00EB05E1" w:rsidRDefault="00EB05E1" w:rsidP="00EB05E1">
      <w:pPr>
        <w:spacing w:line="360" w:lineRule="auto"/>
        <w:rPr>
          <w:rFonts w:eastAsia="Calibri"/>
          <w:strike/>
          <w:lang w:val="en-US" w:eastAsia="en-US"/>
        </w:rPr>
      </w:pPr>
      <w:r w:rsidRPr="00EB05E1">
        <w:rPr>
          <w:rFonts w:eastAsia="Calibri"/>
          <w:lang w:val="en-US" w:eastAsia="en-US"/>
        </w:rPr>
        <w:t xml:space="preserve">18. </w:t>
      </w:r>
      <w:proofErr w:type="spellStart"/>
      <w:r w:rsidRPr="00EB05E1">
        <w:rPr>
          <w:rFonts w:eastAsia="Calibri"/>
          <w:lang w:val="en-US" w:eastAsia="en-US"/>
        </w:rPr>
        <w:t>Bteich</w:t>
      </w:r>
      <w:proofErr w:type="spellEnd"/>
      <w:r w:rsidRPr="00EB05E1">
        <w:rPr>
          <w:rFonts w:eastAsia="Calibri"/>
          <w:lang w:val="en-US" w:eastAsia="en-US"/>
        </w:rPr>
        <w:t xml:space="preserve"> M. An overview of albumin and alpha-1-acid glycoprotein main characteristics: highlighting the roles of amino acids in binding kinetics and molecular interactions. </w:t>
      </w:r>
      <w:proofErr w:type="spellStart"/>
      <w:r w:rsidRPr="00EB05E1">
        <w:rPr>
          <w:rFonts w:eastAsia="Calibri"/>
          <w:lang w:val="en-US" w:eastAsia="en-US"/>
        </w:rPr>
        <w:t>Heliyon</w:t>
      </w:r>
      <w:proofErr w:type="spellEnd"/>
      <w:r w:rsidRPr="00EB05E1">
        <w:rPr>
          <w:rFonts w:eastAsia="Calibri"/>
          <w:lang w:val="en-US" w:eastAsia="en-US"/>
        </w:rPr>
        <w:t>. 2019; 5(11</w:t>
      </w:r>
      <w:proofErr w:type="gramStart"/>
      <w:r w:rsidRPr="00EB05E1">
        <w:rPr>
          <w:rFonts w:eastAsia="Calibri"/>
          <w:lang w:val="en-US" w:eastAsia="en-US"/>
        </w:rPr>
        <w:t>):</w:t>
      </w:r>
      <w:proofErr w:type="spellStart"/>
      <w:r w:rsidRPr="00EB05E1">
        <w:rPr>
          <w:rFonts w:eastAsia="Calibri"/>
          <w:lang w:val="en-US" w:eastAsia="en-US"/>
        </w:rPr>
        <w:t>e</w:t>
      </w:r>
      <w:proofErr w:type="gramEnd"/>
      <w:r w:rsidRPr="00EB05E1">
        <w:rPr>
          <w:rFonts w:eastAsia="Calibri"/>
          <w:lang w:val="en-US" w:eastAsia="en-US"/>
        </w:rPr>
        <w:t>02879</w:t>
      </w:r>
      <w:proofErr w:type="spellEnd"/>
      <w:r w:rsidRPr="00EB05E1">
        <w:rPr>
          <w:rFonts w:eastAsia="Calibri"/>
          <w:lang w:val="en-US" w:eastAsia="en-US"/>
        </w:rPr>
        <w:t xml:space="preserve">. DOI: </w:t>
      </w:r>
      <w:proofErr w:type="gramStart"/>
      <w:r w:rsidRPr="00EB05E1">
        <w:rPr>
          <w:rFonts w:eastAsia="Calibri"/>
          <w:lang w:val="en-US" w:eastAsia="en-US"/>
        </w:rPr>
        <w:t>10.1016/</w:t>
      </w:r>
      <w:proofErr w:type="spellStart"/>
      <w:r w:rsidRPr="00EB05E1">
        <w:rPr>
          <w:rFonts w:eastAsia="Calibri"/>
          <w:lang w:val="en-US" w:eastAsia="en-US"/>
        </w:rPr>
        <w:t>j.heliyon.2019.e</w:t>
      </w:r>
      <w:proofErr w:type="gramEnd"/>
      <w:r w:rsidRPr="00EB05E1">
        <w:rPr>
          <w:rFonts w:eastAsia="Calibri"/>
          <w:lang w:val="en-US" w:eastAsia="en-US"/>
        </w:rPr>
        <w:t>02879</w:t>
      </w:r>
      <w:proofErr w:type="spellEnd"/>
      <w:r w:rsidRPr="00EB05E1">
        <w:rPr>
          <w:rFonts w:eastAsia="Calibri"/>
          <w:lang w:val="en-US" w:eastAsia="en-US"/>
        </w:rPr>
        <w:t xml:space="preserve"> </w:t>
      </w:r>
    </w:p>
    <w:p w14:paraId="3F8333E1" w14:textId="77777777" w:rsidR="00EB05E1" w:rsidRPr="00EB05E1" w:rsidRDefault="00EB05E1" w:rsidP="00EB05E1">
      <w:pPr>
        <w:spacing w:line="360" w:lineRule="auto"/>
        <w:rPr>
          <w:rFonts w:eastAsia="Calibri"/>
          <w:strike/>
          <w:lang w:val="en-US" w:eastAsia="en-US"/>
        </w:rPr>
      </w:pPr>
      <w:r w:rsidRPr="00EB05E1">
        <w:rPr>
          <w:rFonts w:eastAsia="Calibri"/>
          <w:lang w:val="en-US" w:eastAsia="en-US"/>
        </w:rPr>
        <w:t xml:space="preserve">19. Vincent </w:t>
      </w:r>
      <w:proofErr w:type="spellStart"/>
      <w:r w:rsidRPr="00EB05E1">
        <w:rPr>
          <w:rFonts w:eastAsia="Calibri"/>
          <w:lang w:val="en-US" w:eastAsia="en-US"/>
        </w:rPr>
        <w:t>JL</w:t>
      </w:r>
      <w:proofErr w:type="spellEnd"/>
      <w:r w:rsidRPr="00EB05E1">
        <w:rPr>
          <w:rFonts w:eastAsia="Calibri"/>
          <w:lang w:val="en-US" w:eastAsia="en-US"/>
        </w:rPr>
        <w:t xml:space="preserve">, </w:t>
      </w:r>
      <w:proofErr w:type="spellStart"/>
      <w:r w:rsidRPr="00EB05E1">
        <w:rPr>
          <w:rFonts w:eastAsia="Calibri"/>
          <w:lang w:val="en-US" w:eastAsia="en-US"/>
        </w:rPr>
        <w:t>Navickis</w:t>
      </w:r>
      <w:proofErr w:type="spellEnd"/>
      <w:r w:rsidRPr="00EB05E1">
        <w:rPr>
          <w:rFonts w:eastAsia="Calibri"/>
          <w:lang w:val="en-US" w:eastAsia="en-US"/>
        </w:rPr>
        <w:t xml:space="preserve">. RJ, And Wilkes MM. Morbidity in hospitalized patients receiving human albumin: A </w:t>
      </w:r>
      <w:proofErr w:type="spellStart"/>
      <w:r w:rsidRPr="00EB05E1">
        <w:rPr>
          <w:rFonts w:eastAsia="Calibri"/>
          <w:lang w:val="en-US" w:eastAsia="en-US"/>
        </w:rPr>
        <w:t>metaanalysis</w:t>
      </w:r>
      <w:proofErr w:type="spellEnd"/>
      <w:r w:rsidRPr="00EB05E1">
        <w:rPr>
          <w:rFonts w:eastAsia="Calibri"/>
          <w:lang w:val="en-US" w:eastAsia="en-US"/>
        </w:rPr>
        <w:t xml:space="preserve"> of randomized, controlled trials. Crit Care Med. 2009; 32(10):2029-38; 32(10):2029-38. DOI: 10.1097/</w:t>
      </w:r>
      <w:proofErr w:type="spellStart"/>
      <w:r w:rsidRPr="00EB05E1">
        <w:rPr>
          <w:rFonts w:eastAsia="Calibri"/>
          <w:lang w:val="en-US" w:eastAsia="en-US"/>
        </w:rPr>
        <w:t>01.ccm.</w:t>
      </w:r>
      <w:proofErr w:type="gramStart"/>
      <w:r w:rsidRPr="00EB05E1">
        <w:rPr>
          <w:rFonts w:eastAsia="Calibri"/>
          <w:lang w:val="en-US" w:eastAsia="en-US"/>
        </w:rPr>
        <w:t>0000142574.00425.e</w:t>
      </w:r>
      <w:proofErr w:type="gramEnd"/>
      <w:r w:rsidRPr="00EB05E1">
        <w:rPr>
          <w:rFonts w:eastAsia="Calibri"/>
          <w:lang w:val="en-US" w:eastAsia="en-US"/>
        </w:rPr>
        <w:t>9</w:t>
      </w:r>
      <w:proofErr w:type="spellEnd"/>
      <w:r w:rsidRPr="00EB05E1">
        <w:rPr>
          <w:rFonts w:eastAsia="Calibri"/>
          <w:lang w:val="en-US" w:eastAsia="en-US"/>
        </w:rPr>
        <w:t xml:space="preserve"> </w:t>
      </w:r>
    </w:p>
    <w:p w14:paraId="276A276A" w14:textId="77777777" w:rsidR="00EB05E1" w:rsidRPr="00EB05E1" w:rsidRDefault="00EB05E1" w:rsidP="00EB05E1">
      <w:pPr>
        <w:autoSpaceDE w:val="0"/>
        <w:autoSpaceDN w:val="0"/>
        <w:adjustRightInd w:val="0"/>
        <w:spacing w:line="360" w:lineRule="auto"/>
        <w:rPr>
          <w:rFonts w:eastAsia="Calibri"/>
          <w:strike/>
          <w:lang w:val="en-US" w:eastAsia="en-US"/>
        </w:rPr>
      </w:pPr>
      <w:r w:rsidRPr="00EB05E1">
        <w:rPr>
          <w:rFonts w:eastAsia="Calibri"/>
          <w:lang w:val="en-US" w:eastAsia="en-US"/>
        </w:rPr>
        <w:lastRenderedPageBreak/>
        <w:t>20. Yin M, Si L, Qin W, Li C, Zhang J, Yang H, et al. Predictive value of serum albumin level for the prognosis of severe sepsis without exogenous human albumin administration. J Intensive Care Med. 2018; 33(12):687-</w:t>
      </w:r>
      <w:proofErr w:type="gramStart"/>
      <w:r w:rsidRPr="00EB05E1">
        <w:rPr>
          <w:rFonts w:eastAsia="Calibri"/>
          <w:lang w:val="en-US" w:eastAsia="en-US"/>
        </w:rPr>
        <w:t>94 ;</w:t>
      </w:r>
      <w:proofErr w:type="gramEnd"/>
      <w:r w:rsidRPr="00EB05E1">
        <w:rPr>
          <w:rFonts w:eastAsia="Calibri"/>
          <w:lang w:val="en-US" w:eastAsia="en-US"/>
        </w:rPr>
        <w:t xml:space="preserve"> 32(10):2029-38. DOI: 10.1177/0885066616685300</w:t>
      </w:r>
    </w:p>
    <w:p w14:paraId="2E76DDD5" w14:textId="77777777" w:rsidR="00EB05E1" w:rsidRPr="00EB05E1" w:rsidRDefault="00EB05E1" w:rsidP="00EB05E1">
      <w:pPr>
        <w:autoSpaceDE w:val="0"/>
        <w:autoSpaceDN w:val="0"/>
        <w:adjustRightInd w:val="0"/>
        <w:spacing w:line="360" w:lineRule="auto"/>
        <w:rPr>
          <w:rFonts w:eastAsia="Calibri"/>
          <w:lang w:val="es-ES" w:eastAsia="en-US"/>
        </w:rPr>
      </w:pPr>
      <w:r w:rsidRPr="00EB05E1">
        <w:rPr>
          <w:rFonts w:eastAsia="Calibri"/>
          <w:lang w:val="en-US" w:eastAsia="en-US"/>
        </w:rPr>
        <w:t xml:space="preserve">21. </w:t>
      </w:r>
      <w:proofErr w:type="spellStart"/>
      <w:r w:rsidRPr="00EB05E1">
        <w:rPr>
          <w:rFonts w:eastAsia="Calibri"/>
          <w:lang w:val="en-US" w:eastAsia="en-US"/>
        </w:rPr>
        <w:t>Jellinge</w:t>
      </w:r>
      <w:proofErr w:type="spellEnd"/>
      <w:r w:rsidRPr="00EB05E1">
        <w:rPr>
          <w:rFonts w:eastAsia="Calibri"/>
          <w:lang w:val="en-US" w:eastAsia="en-US"/>
        </w:rPr>
        <w:t xml:space="preserve"> M, Henriksen D, Hallas P, </w:t>
      </w:r>
      <w:proofErr w:type="spellStart"/>
      <w:r w:rsidRPr="00EB05E1">
        <w:rPr>
          <w:rFonts w:eastAsia="Calibri"/>
          <w:lang w:val="en-US" w:eastAsia="en-US"/>
        </w:rPr>
        <w:t>Brabrand</w:t>
      </w:r>
      <w:proofErr w:type="spellEnd"/>
      <w:r w:rsidRPr="00EB05E1">
        <w:rPr>
          <w:rFonts w:eastAsia="Calibri"/>
          <w:lang w:val="en-US" w:eastAsia="en-US"/>
        </w:rPr>
        <w:t xml:space="preserve"> M. Hypoalbuminemia is a strong predictor of 30-day all-cause mortality in acutely admitted medical patients: a prospective, observational, cohort stud. </w:t>
      </w:r>
      <w:proofErr w:type="spellStart"/>
      <w:r w:rsidRPr="00EB05E1">
        <w:rPr>
          <w:rFonts w:eastAsia="Calibri"/>
          <w:lang w:val="es-ES" w:eastAsia="en-US"/>
        </w:rPr>
        <w:t>PLoS</w:t>
      </w:r>
      <w:proofErr w:type="spellEnd"/>
      <w:r w:rsidRPr="00EB05E1">
        <w:rPr>
          <w:rFonts w:eastAsia="Calibri"/>
          <w:lang w:val="es-ES" w:eastAsia="en-US"/>
        </w:rPr>
        <w:t xml:space="preserve"> </w:t>
      </w:r>
      <w:proofErr w:type="spellStart"/>
      <w:r w:rsidRPr="00EB05E1">
        <w:rPr>
          <w:rFonts w:eastAsia="Calibri"/>
          <w:lang w:val="es-ES" w:eastAsia="en-US"/>
        </w:rPr>
        <w:t>One</w:t>
      </w:r>
      <w:proofErr w:type="spellEnd"/>
      <w:r w:rsidRPr="00EB05E1">
        <w:rPr>
          <w:rFonts w:eastAsia="Calibri"/>
          <w:lang w:val="es-ES" w:eastAsia="en-US"/>
        </w:rPr>
        <w:t xml:space="preserve">. </w:t>
      </w:r>
      <w:proofErr w:type="gramStart"/>
      <w:r w:rsidRPr="00EB05E1">
        <w:rPr>
          <w:rFonts w:eastAsia="Calibri"/>
          <w:lang w:val="es-ES" w:eastAsia="en-US"/>
        </w:rPr>
        <w:t>2014;:</w:t>
      </w:r>
      <w:proofErr w:type="gramEnd"/>
      <w:r w:rsidRPr="00EB05E1">
        <w:rPr>
          <w:rFonts w:eastAsia="Calibri"/>
          <w:lang w:val="es-ES" w:eastAsia="en-US"/>
        </w:rPr>
        <w:t xml:space="preserve"> 9(8):</w:t>
      </w:r>
      <w:proofErr w:type="spellStart"/>
      <w:r w:rsidRPr="00EB05E1">
        <w:rPr>
          <w:rFonts w:eastAsia="Calibri"/>
          <w:lang w:val="es-ES" w:eastAsia="en-US"/>
        </w:rPr>
        <w:t>e1059839</w:t>
      </w:r>
      <w:proofErr w:type="spellEnd"/>
      <w:r w:rsidRPr="00EB05E1">
        <w:rPr>
          <w:rFonts w:eastAsia="Calibri"/>
          <w:lang w:val="es-ES" w:eastAsia="en-US"/>
        </w:rPr>
        <w:t>(8):</w:t>
      </w:r>
      <w:proofErr w:type="spellStart"/>
      <w:r w:rsidRPr="00EB05E1">
        <w:rPr>
          <w:rFonts w:eastAsia="Calibri"/>
          <w:lang w:val="es-ES" w:eastAsia="en-US"/>
        </w:rPr>
        <w:t>e105983</w:t>
      </w:r>
      <w:proofErr w:type="spellEnd"/>
      <w:r w:rsidRPr="00EB05E1">
        <w:rPr>
          <w:rFonts w:eastAsia="Calibri"/>
          <w:lang w:val="es-ES" w:eastAsia="en-US"/>
        </w:rPr>
        <w:t xml:space="preserve">. </w:t>
      </w:r>
      <w:proofErr w:type="spellStart"/>
      <w:r w:rsidRPr="00EB05E1">
        <w:rPr>
          <w:rFonts w:eastAsia="Calibri"/>
          <w:lang w:val="es-ES" w:eastAsia="en-US"/>
        </w:rPr>
        <w:t>DOI</w:t>
      </w:r>
      <w:proofErr w:type="spellEnd"/>
      <w:r w:rsidRPr="00EB05E1">
        <w:rPr>
          <w:rFonts w:eastAsia="Calibri"/>
          <w:lang w:val="es-ES" w:eastAsia="en-US"/>
        </w:rPr>
        <w:t>: 10.1371/</w:t>
      </w:r>
      <w:proofErr w:type="spellStart"/>
      <w:r w:rsidRPr="00EB05E1">
        <w:rPr>
          <w:rFonts w:eastAsia="Calibri"/>
          <w:lang w:val="es-ES" w:eastAsia="en-US"/>
        </w:rPr>
        <w:t>journal.pone.0105983</w:t>
      </w:r>
      <w:proofErr w:type="spellEnd"/>
      <w:r w:rsidRPr="00EB05E1">
        <w:rPr>
          <w:rFonts w:eastAsia="Calibri"/>
          <w:lang w:val="es-ES" w:eastAsia="en-US"/>
        </w:rPr>
        <w:t xml:space="preserve"> </w:t>
      </w:r>
    </w:p>
    <w:p w14:paraId="2129036E" w14:textId="77777777" w:rsidR="00EB05E1" w:rsidRPr="00EB05E1" w:rsidRDefault="00EB05E1" w:rsidP="00EB05E1">
      <w:pPr>
        <w:autoSpaceDE w:val="0"/>
        <w:autoSpaceDN w:val="0"/>
        <w:adjustRightInd w:val="0"/>
        <w:spacing w:line="360" w:lineRule="auto"/>
        <w:rPr>
          <w:rFonts w:eastAsia="Calibri"/>
          <w:lang w:val="en-US" w:eastAsia="en-US"/>
        </w:rPr>
      </w:pPr>
      <w:r w:rsidRPr="00EB05E1">
        <w:rPr>
          <w:rFonts w:eastAsia="Calibri"/>
          <w:lang w:val="es-BO" w:eastAsia="en-US"/>
        </w:rPr>
        <w:t xml:space="preserve">22. </w:t>
      </w:r>
      <w:r w:rsidRPr="00EB05E1">
        <w:rPr>
          <w:rFonts w:eastAsia="Calibri"/>
          <w:lang w:val="es-ES" w:eastAsia="en-US"/>
        </w:rPr>
        <w:t xml:space="preserve">Liñán-Ponce J, Véliz-Vilcapoma F. Características clínicas de los pacientes con sepsis severa admitidos a una Unidad de Cuidados Intensivos. </w:t>
      </w:r>
      <w:r w:rsidRPr="00EB05E1">
        <w:rPr>
          <w:rFonts w:eastAsia="Calibri"/>
          <w:lang w:val="en-US" w:eastAsia="en-US"/>
        </w:rPr>
        <w:t xml:space="preserve">Rev Soc Perú Med Interna. 2008; 21(4):139. DOI: </w:t>
      </w:r>
      <w:r w:rsidR="00000000">
        <w:fldChar w:fldCharType="begin"/>
      </w:r>
      <w:r w:rsidR="00000000" w:rsidRPr="007328C8">
        <w:rPr>
          <w:lang w:val="en-US"/>
        </w:rPr>
        <w:instrText xml:space="preserve"> HYPERLINK "https://doi.org/10.36393/spmi.v21i4.303" </w:instrText>
      </w:r>
      <w:r w:rsidR="00000000">
        <w:fldChar w:fldCharType="separate"/>
      </w:r>
      <w:r w:rsidRPr="00EB05E1">
        <w:rPr>
          <w:rFonts w:eastAsia="Calibri"/>
          <w:shd w:val="clear" w:color="auto" w:fill="FFFFFF"/>
          <w:lang w:val="en-US" w:eastAsia="en-US"/>
        </w:rPr>
        <w:t>10.36393/</w:t>
      </w:r>
      <w:proofErr w:type="spellStart"/>
      <w:proofErr w:type="gramStart"/>
      <w:r w:rsidRPr="00EB05E1">
        <w:rPr>
          <w:rFonts w:eastAsia="Calibri"/>
          <w:shd w:val="clear" w:color="auto" w:fill="FFFFFF"/>
          <w:lang w:val="en-US" w:eastAsia="en-US"/>
        </w:rPr>
        <w:t>spmi.v</w:t>
      </w:r>
      <w:proofErr w:type="gramEnd"/>
      <w:r w:rsidRPr="00EB05E1">
        <w:rPr>
          <w:rFonts w:eastAsia="Calibri"/>
          <w:shd w:val="clear" w:color="auto" w:fill="FFFFFF"/>
          <w:lang w:val="en-US" w:eastAsia="en-US"/>
        </w:rPr>
        <w:t>21i4.303</w:t>
      </w:r>
      <w:proofErr w:type="spellEnd"/>
      <w:r w:rsidR="00000000">
        <w:rPr>
          <w:rFonts w:eastAsia="Calibri"/>
          <w:shd w:val="clear" w:color="auto" w:fill="FFFFFF"/>
          <w:lang w:val="en-US" w:eastAsia="en-US"/>
        </w:rPr>
        <w:fldChar w:fldCharType="end"/>
      </w:r>
    </w:p>
    <w:p w14:paraId="3D755EA4" w14:textId="77777777" w:rsidR="00EB05E1" w:rsidRPr="00EB05E1" w:rsidRDefault="00EB05E1" w:rsidP="00EB05E1">
      <w:pPr>
        <w:autoSpaceDE w:val="0"/>
        <w:autoSpaceDN w:val="0"/>
        <w:adjustRightInd w:val="0"/>
        <w:spacing w:line="360" w:lineRule="auto"/>
        <w:rPr>
          <w:rFonts w:eastAsia="Calibri"/>
          <w:lang w:val="es-BO" w:eastAsia="en-US"/>
        </w:rPr>
      </w:pPr>
      <w:r w:rsidRPr="00EB05E1">
        <w:rPr>
          <w:rFonts w:eastAsia="Calibri"/>
          <w:lang w:val="en-US" w:eastAsia="en-US"/>
        </w:rPr>
        <w:t xml:space="preserve">23. Mohamed AA, Essam A. Disturbed fluid responsiveness and lactate/pyruvate ratio as predictors for mortality of septic shock patients. </w:t>
      </w:r>
      <w:proofErr w:type="spellStart"/>
      <w:r w:rsidRPr="00EB05E1">
        <w:rPr>
          <w:rFonts w:eastAsia="Calibri"/>
          <w:iCs/>
          <w:lang w:val="es-BO" w:eastAsia="en-US"/>
        </w:rPr>
        <w:t>Egyptian</w:t>
      </w:r>
      <w:proofErr w:type="spellEnd"/>
      <w:r w:rsidRPr="00EB05E1">
        <w:rPr>
          <w:rFonts w:eastAsia="Calibri"/>
          <w:iCs/>
          <w:lang w:val="es-BO" w:eastAsia="en-US"/>
        </w:rPr>
        <w:t xml:space="preserve"> </w:t>
      </w:r>
      <w:proofErr w:type="spellStart"/>
      <w:r w:rsidRPr="00EB05E1">
        <w:rPr>
          <w:rFonts w:eastAsia="Calibri"/>
          <w:iCs/>
          <w:lang w:val="es-BO" w:eastAsia="en-US"/>
        </w:rPr>
        <w:t>Journal</w:t>
      </w:r>
      <w:proofErr w:type="spellEnd"/>
      <w:r w:rsidRPr="00EB05E1">
        <w:rPr>
          <w:rFonts w:eastAsia="Calibri"/>
          <w:iCs/>
          <w:lang w:val="es-BO" w:eastAsia="en-US"/>
        </w:rPr>
        <w:t xml:space="preserve"> </w:t>
      </w:r>
      <w:proofErr w:type="spellStart"/>
      <w:r w:rsidRPr="00EB05E1">
        <w:rPr>
          <w:rFonts w:eastAsia="Calibri"/>
          <w:iCs/>
          <w:lang w:val="es-BO" w:eastAsia="en-US"/>
        </w:rPr>
        <w:t>of</w:t>
      </w:r>
      <w:proofErr w:type="spellEnd"/>
      <w:r w:rsidRPr="00EB05E1">
        <w:rPr>
          <w:rFonts w:eastAsia="Calibri"/>
          <w:iCs/>
          <w:lang w:val="es-BO" w:eastAsia="en-US"/>
        </w:rPr>
        <w:t xml:space="preserve"> </w:t>
      </w:r>
      <w:proofErr w:type="spellStart"/>
      <w:r w:rsidRPr="00EB05E1">
        <w:rPr>
          <w:rFonts w:eastAsia="Calibri"/>
          <w:iCs/>
          <w:lang w:val="es-BO" w:eastAsia="en-US"/>
        </w:rPr>
        <w:t>Anaesthesia</w:t>
      </w:r>
      <w:proofErr w:type="spellEnd"/>
      <w:r w:rsidRPr="00EB05E1">
        <w:rPr>
          <w:rFonts w:eastAsia="Calibri"/>
          <w:lang w:val="es-BO" w:eastAsia="en-US"/>
        </w:rPr>
        <w:t xml:space="preserve">. 2016; 32(4):451-61. </w:t>
      </w:r>
      <w:proofErr w:type="spellStart"/>
      <w:r w:rsidRPr="00EB05E1">
        <w:rPr>
          <w:rFonts w:eastAsia="Calibri"/>
          <w:lang w:val="es-BO" w:eastAsia="en-US"/>
        </w:rPr>
        <w:t>DOI</w:t>
      </w:r>
      <w:proofErr w:type="spellEnd"/>
      <w:r w:rsidRPr="00EB05E1">
        <w:rPr>
          <w:rFonts w:eastAsia="Calibri"/>
          <w:lang w:val="es-BO" w:eastAsia="en-US"/>
        </w:rPr>
        <w:t>: 10.1016/</w:t>
      </w:r>
      <w:proofErr w:type="spellStart"/>
      <w:r w:rsidRPr="00EB05E1">
        <w:rPr>
          <w:rFonts w:eastAsia="Calibri"/>
          <w:lang w:val="es-BO" w:eastAsia="en-US"/>
        </w:rPr>
        <w:t>j.egja.2016.04.009</w:t>
      </w:r>
      <w:proofErr w:type="spellEnd"/>
    </w:p>
    <w:p w14:paraId="5ABC7E96" w14:textId="77777777" w:rsidR="00EB05E1" w:rsidRPr="00EB05E1" w:rsidRDefault="00EB05E1" w:rsidP="00EB05E1">
      <w:pPr>
        <w:autoSpaceDE w:val="0"/>
        <w:autoSpaceDN w:val="0"/>
        <w:adjustRightInd w:val="0"/>
        <w:spacing w:line="360" w:lineRule="auto"/>
        <w:rPr>
          <w:rFonts w:eastAsia="Calibri"/>
          <w:lang w:val="es-BO" w:eastAsia="en-US"/>
        </w:rPr>
      </w:pPr>
      <w:r w:rsidRPr="00EB05E1">
        <w:rPr>
          <w:rFonts w:eastAsia="Calibri"/>
          <w:lang w:val="es-BO" w:eastAsia="en-US"/>
        </w:rPr>
        <w:t xml:space="preserve">24. Rodríguez ET, González </w:t>
      </w:r>
      <w:proofErr w:type="spellStart"/>
      <w:r w:rsidRPr="00EB05E1">
        <w:rPr>
          <w:rFonts w:eastAsia="Calibri"/>
          <w:lang w:val="es-BO" w:eastAsia="en-US"/>
        </w:rPr>
        <w:t>JC</w:t>
      </w:r>
      <w:proofErr w:type="spellEnd"/>
      <w:r w:rsidRPr="00EB05E1">
        <w:rPr>
          <w:rFonts w:eastAsia="Calibri"/>
          <w:lang w:val="es-BO" w:eastAsia="en-US"/>
        </w:rPr>
        <w:t xml:space="preserve">, Cabrera JO, Algas LA. Factores pronósticos de fallo orgánico y muerte en pacientes con peritonitis difusa secundaria. </w:t>
      </w:r>
      <w:proofErr w:type="spellStart"/>
      <w:r w:rsidRPr="00EB05E1">
        <w:rPr>
          <w:rFonts w:eastAsia="Calibri"/>
          <w:lang w:val="es-BO" w:eastAsia="en-US"/>
        </w:rPr>
        <w:t>Rev</w:t>
      </w:r>
      <w:proofErr w:type="spellEnd"/>
      <w:r w:rsidRPr="00EB05E1">
        <w:rPr>
          <w:rFonts w:eastAsia="Calibri"/>
          <w:lang w:val="es-BO" w:eastAsia="en-US"/>
        </w:rPr>
        <w:t xml:space="preserve"> </w:t>
      </w:r>
      <w:proofErr w:type="gramStart"/>
      <w:r w:rsidRPr="00EB05E1">
        <w:rPr>
          <w:rFonts w:eastAsia="Calibri"/>
          <w:lang w:val="es-BO" w:eastAsia="en-US"/>
        </w:rPr>
        <w:t>Cubana</w:t>
      </w:r>
      <w:proofErr w:type="gramEnd"/>
      <w:r w:rsidRPr="00EB05E1">
        <w:rPr>
          <w:rFonts w:eastAsia="Calibri"/>
          <w:lang w:val="es-BO" w:eastAsia="en-US"/>
        </w:rPr>
        <w:t xml:space="preserve"> </w:t>
      </w:r>
      <w:proofErr w:type="spellStart"/>
      <w:r w:rsidRPr="00EB05E1">
        <w:rPr>
          <w:rFonts w:eastAsia="Calibri"/>
          <w:lang w:val="es-BO" w:eastAsia="en-US"/>
        </w:rPr>
        <w:t>Med</w:t>
      </w:r>
      <w:proofErr w:type="spellEnd"/>
      <w:r w:rsidRPr="00EB05E1">
        <w:rPr>
          <w:rFonts w:eastAsia="Calibri"/>
          <w:lang w:val="es-BO" w:eastAsia="en-US"/>
        </w:rPr>
        <w:t xml:space="preserve"> </w:t>
      </w:r>
      <w:proofErr w:type="spellStart"/>
      <w:r w:rsidRPr="00EB05E1">
        <w:rPr>
          <w:rFonts w:eastAsia="Calibri"/>
          <w:lang w:val="es-BO" w:eastAsia="en-US"/>
        </w:rPr>
        <w:t>Intens</w:t>
      </w:r>
      <w:proofErr w:type="spellEnd"/>
      <w:r w:rsidRPr="00EB05E1">
        <w:rPr>
          <w:rFonts w:eastAsia="Calibri"/>
          <w:lang w:val="es-BO" w:eastAsia="en-US"/>
        </w:rPr>
        <w:t xml:space="preserve"> </w:t>
      </w:r>
      <w:proofErr w:type="spellStart"/>
      <w:r w:rsidRPr="00EB05E1">
        <w:rPr>
          <w:rFonts w:eastAsia="Calibri"/>
          <w:lang w:val="es-BO" w:eastAsia="en-US"/>
        </w:rPr>
        <w:t>Emerg</w:t>
      </w:r>
      <w:proofErr w:type="spellEnd"/>
      <w:r w:rsidRPr="00EB05E1">
        <w:rPr>
          <w:rFonts w:eastAsia="Calibri"/>
          <w:lang w:val="es-BO" w:eastAsia="en-US"/>
        </w:rPr>
        <w:t xml:space="preserve">. 2018 [acceso: 28/12/2019]; 17(4):1-18. Disponible en: </w:t>
      </w:r>
      <w:hyperlink r:id="rId24" w:history="1">
        <w:r w:rsidRPr="00EB05E1">
          <w:rPr>
            <w:rFonts w:eastAsia="Calibri"/>
            <w:lang w:val="es-BO" w:eastAsia="en-US"/>
          </w:rPr>
          <w:t>http://www.revmie.sld.cu/index.php/mie/article/view/424/601</w:t>
        </w:r>
      </w:hyperlink>
      <w:r w:rsidRPr="00EB05E1">
        <w:rPr>
          <w:rFonts w:eastAsia="Calibri"/>
          <w:lang w:val="es-BO" w:eastAsia="en-US"/>
        </w:rPr>
        <w:t xml:space="preserve">     </w:t>
      </w:r>
    </w:p>
    <w:p w14:paraId="0C512580" w14:textId="77777777" w:rsidR="00EB05E1" w:rsidRPr="00EB05E1" w:rsidRDefault="00EB05E1" w:rsidP="00EB05E1">
      <w:pPr>
        <w:autoSpaceDE w:val="0"/>
        <w:autoSpaceDN w:val="0"/>
        <w:adjustRightInd w:val="0"/>
        <w:spacing w:line="360" w:lineRule="auto"/>
        <w:rPr>
          <w:rFonts w:eastAsia="Calibri"/>
          <w:lang w:val="es-BO" w:eastAsia="en-US"/>
        </w:rPr>
      </w:pPr>
      <w:r w:rsidRPr="00EB05E1">
        <w:rPr>
          <w:rFonts w:eastAsia="Calibri"/>
          <w:lang w:val="en-US" w:eastAsia="en-US"/>
        </w:rPr>
        <w:t xml:space="preserve">25. Sitar ME, Aydin S, </w:t>
      </w:r>
      <w:proofErr w:type="spellStart"/>
      <w:r w:rsidRPr="00EB05E1">
        <w:rPr>
          <w:rFonts w:eastAsia="Calibri"/>
          <w:lang w:val="en-US" w:eastAsia="en-US"/>
        </w:rPr>
        <w:t>Cakatay</w:t>
      </w:r>
      <w:proofErr w:type="spellEnd"/>
      <w:r w:rsidRPr="00EB05E1">
        <w:rPr>
          <w:rFonts w:eastAsia="Calibri"/>
          <w:lang w:val="en-US" w:eastAsia="en-US"/>
        </w:rPr>
        <w:t xml:space="preserve"> U. Human serum albumin and its relation with oxidative stress. </w:t>
      </w:r>
      <w:r w:rsidRPr="00EB05E1">
        <w:rPr>
          <w:rFonts w:eastAsia="Calibri"/>
          <w:lang w:val="es-BO" w:eastAsia="en-US"/>
        </w:rPr>
        <w:t xml:space="preserve">Clin </w:t>
      </w:r>
      <w:proofErr w:type="spellStart"/>
      <w:r w:rsidRPr="00EB05E1">
        <w:rPr>
          <w:rFonts w:eastAsia="Calibri"/>
          <w:lang w:val="es-BO" w:eastAsia="en-US"/>
        </w:rPr>
        <w:t>Lab</w:t>
      </w:r>
      <w:proofErr w:type="spellEnd"/>
      <w:r w:rsidRPr="00EB05E1">
        <w:rPr>
          <w:rFonts w:eastAsia="Calibri"/>
          <w:lang w:val="es-BO" w:eastAsia="en-US"/>
        </w:rPr>
        <w:t xml:space="preserve">. 2013 [acceso: 20/07/2020]; 59(9-10):945-52. Disponible en: https://pubmed.ncbi.nlm.nih.gov/24273915/   </w:t>
      </w:r>
    </w:p>
    <w:p w14:paraId="20184D49" w14:textId="77777777" w:rsidR="00EB05E1" w:rsidRPr="00EB05E1" w:rsidRDefault="00EB05E1" w:rsidP="00EB05E1">
      <w:pPr>
        <w:autoSpaceDE w:val="0"/>
        <w:autoSpaceDN w:val="0"/>
        <w:adjustRightInd w:val="0"/>
        <w:spacing w:line="360" w:lineRule="auto"/>
        <w:rPr>
          <w:rFonts w:eastAsia="Calibri"/>
          <w:strike/>
          <w:lang w:val="en-US" w:eastAsia="en-US"/>
        </w:rPr>
      </w:pPr>
      <w:r w:rsidRPr="00EB05E1">
        <w:rPr>
          <w:rFonts w:eastAsia="Calibri"/>
          <w:lang w:val="en-US" w:eastAsia="en-US"/>
        </w:rPr>
        <w:t xml:space="preserve">26. Vahedi A, </w:t>
      </w:r>
      <w:proofErr w:type="spellStart"/>
      <w:r w:rsidRPr="00EB05E1">
        <w:rPr>
          <w:rFonts w:eastAsia="Calibri"/>
          <w:lang w:val="en-US" w:eastAsia="en-US"/>
        </w:rPr>
        <w:t>Lotfinia</w:t>
      </w:r>
      <w:proofErr w:type="spellEnd"/>
      <w:r w:rsidRPr="00EB05E1">
        <w:rPr>
          <w:rFonts w:eastAsia="Calibri"/>
          <w:lang w:val="en-US" w:eastAsia="en-US"/>
        </w:rPr>
        <w:t xml:space="preserve"> I, Sad RB, </w:t>
      </w:r>
      <w:proofErr w:type="spellStart"/>
      <w:r w:rsidRPr="00EB05E1">
        <w:rPr>
          <w:rFonts w:eastAsia="Calibri"/>
          <w:lang w:val="en-US" w:eastAsia="en-US"/>
        </w:rPr>
        <w:t>Halimi</w:t>
      </w:r>
      <w:proofErr w:type="spellEnd"/>
      <w:r w:rsidRPr="00EB05E1">
        <w:rPr>
          <w:rFonts w:eastAsia="Calibri"/>
          <w:lang w:val="en-US" w:eastAsia="en-US"/>
        </w:rPr>
        <w:t xml:space="preserve"> M, </w:t>
      </w:r>
      <w:proofErr w:type="spellStart"/>
      <w:r w:rsidRPr="00EB05E1">
        <w:rPr>
          <w:rFonts w:eastAsia="Calibri"/>
          <w:lang w:val="en-US" w:eastAsia="en-US"/>
        </w:rPr>
        <w:t>Baybordi</w:t>
      </w:r>
      <w:proofErr w:type="spellEnd"/>
      <w:r w:rsidRPr="00EB05E1">
        <w:rPr>
          <w:rFonts w:eastAsia="Calibri"/>
          <w:lang w:val="en-US" w:eastAsia="en-US"/>
        </w:rPr>
        <w:t xml:space="preserve"> H.  Relationship between admission hypoalbuminemia and </w:t>
      </w:r>
      <w:proofErr w:type="spellStart"/>
      <w:r w:rsidRPr="00EB05E1">
        <w:rPr>
          <w:rFonts w:eastAsia="Calibri"/>
          <w:lang w:val="en-US" w:eastAsia="en-US"/>
        </w:rPr>
        <w:t>inhospital</w:t>
      </w:r>
      <w:proofErr w:type="spellEnd"/>
      <w:r w:rsidRPr="00EB05E1">
        <w:rPr>
          <w:rFonts w:eastAsia="Calibri"/>
          <w:lang w:val="en-US" w:eastAsia="en-US"/>
        </w:rPr>
        <w:t xml:space="preserve"> mortality in acute stroke. Pak J Biol Sci. 2011; 14(2):118-22. DOI: 10.3923/</w:t>
      </w:r>
      <w:proofErr w:type="spellStart"/>
      <w:r w:rsidRPr="00EB05E1">
        <w:rPr>
          <w:rFonts w:eastAsia="Calibri"/>
          <w:lang w:val="en-US" w:eastAsia="en-US"/>
        </w:rPr>
        <w:t>pjbs.2011.118.122</w:t>
      </w:r>
      <w:proofErr w:type="spellEnd"/>
      <w:r w:rsidRPr="00EB05E1">
        <w:rPr>
          <w:rFonts w:eastAsia="Calibri"/>
          <w:lang w:val="en-US" w:eastAsia="en-US"/>
        </w:rPr>
        <w:t xml:space="preserve"> </w:t>
      </w:r>
    </w:p>
    <w:p w14:paraId="5F599C52" w14:textId="77777777" w:rsidR="00EB05E1" w:rsidRPr="00EB05E1" w:rsidRDefault="00EB05E1" w:rsidP="00EB05E1">
      <w:pPr>
        <w:autoSpaceDE w:val="0"/>
        <w:autoSpaceDN w:val="0"/>
        <w:adjustRightInd w:val="0"/>
        <w:spacing w:line="360" w:lineRule="auto"/>
        <w:rPr>
          <w:rFonts w:eastAsia="Calibri"/>
          <w:lang w:val="es-BO" w:eastAsia="en-US"/>
        </w:rPr>
      </w:pPr>
      <w:r w:rsidRPr="00EB05E1">
        <w:rPr>
          <w:rFonts w:eastAsia="Calibri"/>
          <w:lang w:val="en-US" w:eastAsia="en-US"/>
        </w:rPr>
        <w:t xml:space="preserve">27. Sung J, </w:t>
      </w:r>
      <w:proofErr w:type="spellStart"/>
      <w:r w:rsidRPr="00EB05E1">
        <w:rPr>
          <w:rFonts w:eastAsia="Calibri"/>
          <w:lang w:val="en-US" w:eastAsia="en-US"/>
        </w:rPr>
        <w:t>Bochicchio</w:t>
      </w:r>
      <w:proofErr w:type="spellEnd"/>
      <w:r w:rsidRPr="00EB05E1">
        <w:rPr>
          <w:rFonts w:eastAsia="Calibri"/>
          <w:lang w:val="en-US" w:eastAsia="en-US"/>
        </w:rPr>
        <w:t xml:space="preserve"> </w:t>
      </w:r>
      <w:proofErr w:type="spellStart"/>
      <w:r w:rsidRPr="00EB05E1">
        <w:rPr>
          <w:rFonts w:eastAsia="Calibri"/>
          <w:lang w:val="en-US" w:eastAsia="en-US"/>
        </w:rPr>
        <w:t>GV</w:t>
      </w:r>
      <w:proofErr w:type="spellEnd"/>
      <w:r w:rsidRPr="00EB05E1">
        <w:rPr>
          <w:rFonts w:eastAsia="Calibri"/>
          <w:lang w:val="en-US" w:eastAsia="en-US"/>
        </w:rPr>
        <w:t xml:space="preserve">, Joshi M, </w:t>
      </w:r>
      <w:proofErr w:type="spellStart"/>
      <w:r w:rsidRPr="00EB05E1">
        <w:rPr>
          <w:rFonts w:eastAsia="Calibri"/>
          <w:lang w:val="en-US" w:eastAsia="en-US"/>
        </w:rPr>
        <w:t>Bochicchio</w:t>
      </w:r>
      <w:proofErr w:type="spellEnd"/>
      <w:r w:rsidRPr="00EB05E1">
        <w:rPr>
          <w:rFonts w:eastAsia="Calibri"/>
          <w:lang w:val="en-US" w:eastAsia="en-US"/>
        </w:rPr>
        <w:t xml:space="preserve"> K, Costas A, Tracy K, et al. Admission serum albumin is predictive of outcome in critically ill trauma patients. </w:t>
      </w:r>
      <w:r w:rsidRPr="00EB05E1">
        <w:rPr>
          <w:rFonts w:eastAsia="Calibri"/>
          <w:lang w:val="es-BO" w:eastAsia="en-US"/>
        </w:rPr>
        <w:t xml:space="preserve">Am </w:t>
      </w:r>
      <w:proofErr w:type="spellStart"/>
      <w:r w:rsidRPr="00EB05E1">
        <w:rPr>
          <w:rFonts w:eastAsia="Calibri"/>
          <w:lang w:val="es-BO" w:eastAsia="en-US"/>
        </w:rPr>
        <w:t>Surg</w:t>
      </w:r>
      <w:proofErr w:type="spellEnd"/>
      <w:r w:rsidRPr="00EB05E1">
        <w:rPr>
          <w:rFonts w:eastAsia="Calibri"/>
          <w:lang w:val="es-BO" w:eastAsia="en-US"/>
        </w:rPr>
        <w:t xml:space="preserve">. 2004 [acceso: 29/12/2019]; 70(12):1099-102. Disponible en: </w:t>
      </w:r>
      <w:hyperlink r:id="rId25" w:history="1">
        <w:r w:rsidRPr="00EB05E1">
          <w:rPr>
            <w:rFonts w:eastAsia="Calibri"/>
            <w:color w:val="0563C1"/>
            <w:u w:val="single"/>
            <w:lang w:val="es-BO" w:eastAsia="en-US"/>
          </w:rPr>
          <w:t>https://pubmed.ncbi.nlm.nih.gov/15663053/</w:t>
        </w:r>
      </w:hyperlink>
      <w:r w:rsidRPr="00EB05E1">
        <w:rPr>
          <w:rFonts w:eastAsia="Calibri"/>
          <w:lang w:val="es-BO" w:eastAsia="en-US"/>
        </w:rPr>
        <w:t xml:space="preserve"> </w:t>
      </w:r>
    </w:p>
    <w:p w14:paraId="0BCED57A" w14:textId="77777777" w:rsidR="00EB05E1" w:rsidRPr="00EB05E1" w:rsidRDefault="00EB05E1" w:rsidP="00EB05E1">
      <w:pPr>
        <w:autoSpaceDE w:val="0"/>
        <w:autoSpaceDN w:val="0"/>
        <w:adjustRightInd w:val="0"/>
        <w:spacing w:line="360" w:lineRule="auto"/>
        <w:rPr>
          <w:rFonts w:eastAsia="Calibri"/>
          <w:lang w:val="es-BO" w:eastAsia="en-US"/>
        </w:rPr>
      </w:pPr>
      <w:r w:rsidRPr="00EB05E1">
        <w:rPr>
          <w:rFonts w:eastAsia="Calibri"/>
          <w:lang w:val="es-BO" w:eastAsia="en-US"/>
        </w:rPr>
        <w:t xml:space="preserve">28. </w:t>
      </w:r>
      <w:proofErr w:type="spellStart"/>
      <w:r w:rsidRPr="00EB05E1">
        <w:rPr>
          <w:rFonts w:eastAsia="Calibri"/>
          <w:lang w:val="es-BO" w:eastAsia="en-US"/>
        </w:rPr>
        <w:t>Cheon</w:t>
      </w:r>
      <w:proofErr w:type="spellEnd"/>
      <w:r w:rsidRPr="00EB05E1">
        <w:rPr>
          <w:rFonts w:eastAsia="Calibri"/>
          <w:lang w:val="es-BO" w:eastAsia="en-US"/>
        </w:rPr>
        <w:t xml:space="preserve"> </w:t>
      </w:r>
      <w:proofErr w:type="spellStart"/>
      <w:r w:rsidRPr="00EB05E1">
        <w:rPr>
          <w:rFonts w:eastAsia="Calibri"/>
          <w:lang w:val="es-BO" w:eastAsia="en-US"/>
        </w:rPr>
        <w:t>JH</w:t>
      </w:r>
      <w:proofErr w:type="spellEnd"/>
      <w:r w:rsidRPr="00EB05E1">
        <w:rPr>
          <w:rFonts w:eastAsia="Calibri"/>
          <w:lang w:val="es-BO" w:eastAsia="en-US"/>
        </w:rPr>
        <w:t xml:space="preserve">, Kim </w:t>
      </w:r>
      <w:proofErr w:type="spellStart"/>
      <w:r w:rsidRPr="00EB05E1">
        <w:rPr>
          <w:rFonts w:eastAsia="Calibri"/>
          <w:lang w:val="es-BO" w:eastAsia="en-US"/>
        </w:rPr>
        <w:t>JS</w:t>
      </w:r>
      <w:proofErr w:type="spellEnd"/>
      <w:r w:rsidRPr="00EB05E1">
        <w:rPr>
          <w:rFonts w:eastAsia="Calibri"/>
          <w:lang w:val="es-BO" w:eastAsia="en-US"/>
        </w:rPr>
        <w:t xml:space="preserve">, </w:t>
      </w:r>
      <w:proofErr w:type="spellStart"/>
      <w:r w:rsidRPr="00EB05E1">
        <w:rPr>
          <w:rFonts w:eastAsia="Calibri"/>
          <w:lang w:val="es-BO" w:eastAsia="en-US"/>
        </w:rPr>
        <w:t>Ko</w:t>
      </w:r>
      <w:proofErr w:type="spellEnd"/>
      <w:r w:rsidRPr="00EB05E1">
        <w:rPr>
          <w:rFonts w:eastAsia="Calibri"/>
          <w:lang w:val="es-BO" w:eastAsia="en-US"/>
        </w:rPr>
        <w:t xml:space="preserve"> </w:t>
      </w:r>
      <w:proofErr w:type="spellStart"/>
      <w:r w:rsidRPr="00EB05E1">
        <w:rPr>
          <w:rFonts w:eastAsia="Calibri"/>
          <w:lang w:val="es-BO" w:eastAsia="en-US"/>
        </w:rPr>
        <w:t>SJ</w:t>
      </w:r>
      <w:proofErr w:type="spellEnd"/>
      <w:r w:rsidRPr="00EB05E1">
        <w:rPr>
          <w:rFonts w:eastAsia="Calibri"/>
          <w:lang w:val="es-BO" w:eastAsia="en-US"/>
        </w:rPr>
        <w:t xml:space="preserve">, Ye BD, Kim SG, Jung </w:t>
      </w:r>
      <w:proofErr w:type="spellStart"/>
      <w:r w:rsidRPr="00EB05E1">
        <w:rPr>
          <w:rFonts w:eastAsia="Calibri"/>
          <w:lang w:val="es-BO" w:eastAsia="en-US"/>
        </w:rPr>
        <w:t>HC</w:t>
      </w:r>
      <w:proofErr w:type="spellEnd"/>
      <w:r w:rsidRPr="00EB05E1">
        <w:rPr>
          <w:rFonts w:eastAsia="Calibri"/>
          <w:lang w:val="es-BO" w:eastAsia="en-US"/>
        </w:rPr>
        <w:t xml:space="preserve">, et al. </w:t>
      </w:r>
      <w:r w:rsidRPr="00EB05E1">
        <w:rPr>
          <w:rFonts w:eastAsia="Calibri"/>
          <w:lang w:val="en-US" w:eastAsia="en-US"/>
        </w:rPr>
        <w:t xml:space="preserve">Risk factors for upper gastrointestinal rebleeding in critically ill patients. </w:t>
      </w:r>
      <w:proofErr w:type="spellStart"/>
      <w:r w:rsidRPr="00EB05E1">
        <w:rPr>
          <w:rFonts w:eastAsia="Calibri"/>
          <w:lang w:val="es-BO" w:eastAsia="en-US"/>
        </w:rPr>
        <w:t>Hepatogastroenterology</w:t>
      </w:r>
      <w:proofErr w:type="spellEnd"/>
      <w:r w:rsidRPr="00EB05E1">
        <w:rPr>
          <w:rFonts w:eastAsia="Calibri"/>
          <w:lang w:val="es-BO" w:eastAsia="en-US"/>
        </w:rPr>
        <w:t xml:space="preserve">. 2007 [acceso: 30/12/2019]; 54(75) (75):766-9. Disponible en: </w:t>
      </w:r>
      <w:hyperlink r:id="rId26" w:history="1">
        <w:r w:rsidRPr="00EB05E1">
          <w:rPr>
            <w:rFonts w:eastAsia="Calibri"/>
            <w:lang w:val="es-BO" w:eastAsia="en-US"/>
          </w:rPr>
          <w:t>https://pubmed.ncbi.nlm.nih.gov/17591058/</w:t>
        </w:r>
      </w:hyperlink>
      <w:r w:rsidRPr="00EB05E1">
        <w:rPr>
          <w:rFonts w:eastAsia="Calibri"/>
          <w:lang w:val="es-BO" w:eastAsia="en-US"/>
        </w:rPr>
        <w:t xml:space="preserve">  </w:t>
      </w:r>
    </w:p>
    <w:p w14:paraId="18E05B13" w14:textId="77777777" w:rsidR="00EB05E1" w:rsidRPr="00EB05E1" w:rsidRDefault="00EB05E1" w:rsidP="00EB05E1">
      <w:pPr>
        <w:autoSpaceDE w:val="0"/>
        <w:autoSpaceDN w:val="0"/>
        <w:adjustRightInd w:val="0"/>
        <w:spacing w:line="360" w:lineRule="auto"/>
        <w:rPr>
          <w:rFonts w:eastAsia="Calibri"/>
          <w:lang w:val="es-BO" w:eastAsia="en-US"/>
        </w:rPr>
      </w:pPr>
    </w:p>
    <w:p w14:paraId="7212B2C1" w14:textId="77777777" w:rsidR="00EB05E1" w:rsidRPr="00EB05E1" w:rsidRDefault="00EB05E1" w:rsidP="00EB05E1">
      <w:pPr>
        <w:spacing w:line="360" w:lineRule="auto"/>
        <w:jc w:val="both"/>
        <w:rPr>
          <w:rFonts w:eastAsia="Calibri"/>
          <w:b/>
          <w:lang w:val="es-BO" w:eastAsia="en-US"/>
        </w:rPr>
      </w:pPr>
    </w:p>
    <w:p w14:paraId="5260818F" w14:textId="77777777" w:rsidR="00EB05E1" w:rsidRPr="00EB05E1" w:rsidRDefault="00EB05E1" w:rsidP="00EB05E1">
      <w:pPr>
        <w:spacing w:line="360" w:lineRule="auto"/>
        <w:jc w:val="center"/>
        <w:rPr>
          <w:rFonts w:eastAsia="Calibri"/>
          <w:lang w:val="es-BO" w:eastAsia="en-US"/>
        </w:rPr>
      </w:pPr>
      <w:r w:rsidRPr="00EB05E1">
        <w:rPr>
          <w:rFonts w:eastAsia="Calibri"/>
          <w:b/>
          <w:lang w:val="es-BO" w:eastAsia="en-US"/>
        </w:rPr>
        <w:t>Conflictos de interés</w:t>
      </w:r>
    </w:p>
    <w:p w14:paraId="5B573712" w14:textId="77777777" w:rsidR="00EB05E1" w:rsidRPr="00EB05E1" w:rsidRDefault="00EB05E1" w:rsidP="00EB05E1">
      <w:pPr>
        <w:spacing w:line="360" w:lineRule="auto"/>
        <w:jc w:val="both"/>
        <w:rPr>
          <w:rFonts w:eastAsia="Calibri"/>
          <w:lang w:val="es-BO" w:eastAsia="en-US"/>
        </w:rPr>
      </w:pPr>
      <w:r w:rsidRPr="00EB05E1">
        <w:rPr>
          <w:rFonts w:eastAsia="Calibri"/>
          <w:lang w:val="es-BO" w:eastAsia="en-US"/>
        </w:rPr>
        <w:t>Los autores declaran no tener conflictos de interés.</w:t>
      </w:r>
    </w:p>
    <w:p w14:paraId="3BE88B80" w14:textId="77777777" w:rsidR="00EB05E1" w:rsidRPr="00EB05E1" w:rsidRDefault="00EB05E1" w:rsidP="00EB05E1">
      <w:pPr>
        <w:spacing w:line="360" w:lineRule="auto"/>
        <w:jc w:val="both"/>
        <w:rPr>
          <w:rFonts w:eastAsia="Calibri"/>
          <w:b/>
          <w:lang w:val="es-BO" w:eastAsia="en-US"/>
        </w:rPr>
      </w:pPr>
      <w:r w:rsidRPr="00EB05E1">
        <w:rPr>
          <w:rFonts w:eastAsia="Calibri"/>
          <w:b/>
          <w:lang w:val="es-BO" w:eastAsia="en-US"/>
        </w:rPr>
        <w:t xml:space="preserve"> </w:t>
      </w:r>
    </w:p>
    <w:p w14:paraId="633C7ECC" w14:textId="77777777" w:rsidR="00EB05E1" w:rsidRPr="00EB05E1" w:rsidRDefault="00EB05E1" w:rsidP="00EB05E1">
      <w:pPr>
        <w:spacing w:line="360" w:lineRule="auto"/>
        <w:jc w:val="center"/>
        <w:rPr>
          <w:rFonts w:eastAsia="Calibri"/>
          <w:b/>
          <w:bCs/>
          <w:lang w:val="es-BO" w:eastAsia="en-US"/>
        </w:rPr>
      </w:pPr>
      <w:r w:rsidRPr="00EB05E1">
        <w:rPr>
          <w:rFonts w:eastAsia="Calibri"/>
          <w:b/>
          <w:bCs/>
          <w:lang w:val="es-BO" w:eastAsia="en-US"/>
        </w:rPr>
        <w:t>Contribuciones de los autores</w:t>
      </w:r>
    </w:p>
    <w:p w14:paraId="22D93506"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Conceptualización: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w:t>
      </w:r>
    </w:p>
    <w:p w14:paraId="01D3E3A7" w14:textId="77777777" w:rsidR="00EB05E1" w:rsidRPr="00EB05E1" w:rsidRDefault="00EB05E1" w:rsidP="00EB05E1">
      <w:pPr>
        <w:spacing w:line="360" w:lineRule="auto"/>
        <w:rPr>
          <w:rFonts w:eastAsia="Calibri"/>
          <w:i/>
          <w:iCs/>
          <w:lang w:val="es-BO" w:eastAsia="en-US"/>
        </w:rPr>
      </w:pPr>
      <w:r w:rsidRPr="00EB05E1">
        <w:rPr>
          <w:rFonts w:eastAsia="Calibri"/>
          <w:lang w:val="es-BO" w:eastAsia="en-US"/>
        </w:rPr>
        <w:t xml:space="preserve">Curación de datos: </w:t>
      </w:r>
      <w:r w:rsidRPr="00EB05E1">
        <w:rPr>
          <w:rFonts w:eastAsia="Calibri"/>
          <w:i/>
          <w:iCs/>
          <w:lang w:val="es-BO" w:eastAsia="en-US"/>
        </w:rPr>
        <w:t xml:space="preserve">Giovanna Quispe Alarcón,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38D1212F"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Análisis formal: </w:t>
      </w:r>
      <w:r w:rsidRPr="00EB05E1">
        <w:rPr>
          <w:rFonts w:eastAsia="Calibri"/>
          <w:i/>
          <w:iCs/>
          <w:lang w:val="es-BO" w:eastAsia="en-US"/>
        </w:rPr>
        <w:t xml:space="preserve">Giovanna Quispe Alarcón,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49F2E5A9" w14:textId="77777777" w:rsidR="00EB05E1" w:rsidRPr="00EB05E1" w:rsidRDefault="00EB05E1" w:rsidP="00EB05E1">
      <w:pPr>
        <w:spacing w:line="360" w:lineRule="auto"/>
        <w:rPr>
          <w:rFonts w:eastAsia="Calibri"/>
          <w:i/>
          <w:iCs/>
          <w:lang w:val="es-BO" w:eastAsia="en-US"/>
        </w:rPr>
      </w:pPr>
      <w:r w:rsidRPr="00EB05E1">
        <w:rPr>
          <w:rFonts w:eastAsia="Calibri"/>
          <w:lang w:val="es-BO" w:eastAsia="en-US"/>
        </w:rPr>
        <w:t xml:space="preserve">Adquisición de fondos: </w:t>
      </w:r>
      <w:r w:rsidRPr="00EB05E1">
        <w:rPr>
          <w:rFonts w:eastAsia="Calibri"/>
          <w:i/>
          <w:iCs/>
          <w:lang w:val="es-BO" w:eastAsia="en-US"/>
        </w:rPr>
        <w:t>Giovanna Quispe Alarcón, Sergio González García.</w:t>
      </w:r>
    </w:p>
    <w:p w14:paraId="06617038"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Investigación: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Sergio González García,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631AD66E"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Metodología: </w:t>
      </w:r>
      <w:r w:rsidRPr="00EB05E1">
        <w:rPr>
          <w:rFonts w:eastAsia="Calibri"/>
          <w:i/>
          <w:iCs/>
          <w:lang w:val="es-BO" w:eastAsia="en-US"/>
        </w:rPr>
        <w:t xml:space="preserve">Giovanna Quispe Alarcón, Jorge </w:t>
      </w:r>
      <w:proofErr w:type="spellStart"/>
      <w:r w:rsidRPr="00EB05E1">
        <w:rPr>
          <w:rFonts w:eastAsia="Calibri"/>
          <w:i/>
          <w:iCs/>
          <w:lang w:val="es-BO" w:eastAsia="en-US"/>
        </w:rPr>
        <w:t>Soneira</w:t>
      </w:r>
      <w:proofErr w:type="spellEnd"/>
      <w:r w:rsidRPr="00EB05E1">
        <w:rPr>
          <w:rFonts w:eastAsia="Calibri"/>
          <w:i/>
          <w:iCs/>
          <w:lang w:val="es-BO" w:eastAsia="en-US"/>
        </w:rPr>
        <w:t>, Sergio González García.</w:t>
      </w:r>
    </w:p>
    <w:p w14:paraId="17A11BBF"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Administración del proyecto: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1AB22370" w14:textId="77777777" w:rsidR="00EB05E1" w:rsidRPr="00EB05E1" w:rsidRDefault="00EB05E1" w:rsidP="00EB05E1">
      <w:pPr>
        <w:spacing w:line="360" w:lineRule="auto"/>
        <w:rPr>
          <w:rFonts w:eastAsia="Calibri"/>
          <w:i/>
          <w:iCs/>
          <w:lang w:val="es-BO" w:eastAsia="en-US"/>
        </w:rPr>
      </w:pPr>
      <w:r w:rsidRPr="00EB05E1">
        <w:rPr>
          <w:rFonts w:eastAsia="Calibri"/>
          <w:lang w:val="es-BO" w:eastAsia="en-US"/>
        </w:rPr>
        <w:t xml:space="preserve">Recursos: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3F064A3E"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Software: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Pérez, Sergio González García,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6F5AFC18"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Supervisión: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Pérez,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1086212E"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Validación: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Pérez, Sergio González García,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04B389F4"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Visualización: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Pérez,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76BFF781"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Redacción – borrador original: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Pérez, Sergio González García,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3D8713F6" w14:textId="77777777" w:rsidR="00EB05E1" w:rsidRPr="00EB05E1" w:rsidRDefault="00EB05E1" w:rsidP="00EB05E1">
      <w:pPr>
        <w:spacing w:line="360" w:lineRule="auto"/>
        <w:rPr>
          <w:rFonts w:eastAsia="Calibri"/>
          <w:lang w:val="es-BO" w:eastAsia="en-US"/>
        </w:rPr>
      </w:pPr>
      <w:r w:rsidRPr="00EB05E1">
        <w:rPr>
          <w:rFonts w:eastAsia="Calibri"/>
          <w:lang w:val="es-BO" w:eastAsia="en-US"/>
        </w:rPr>
        <w:t xml:space="preserve">Redacción – revisión y edición: </w:t>
      </w:r>
      <w:r w:rsidRPr="00EB05E1">
        <w:rPr>
          <w:rFonts w:eastAsia="Calibri"/>
          <w:i/>
          <w:iCs/>
          <w:lang w:val="es-BO" w:eastAsia="en-US"/>
        </w:rPr>
        <w:t xml:space="preserve">Giovanna Quispe Alarcón, </w:t>
      </w:r>
      <w:proofErr w:type="spellStart"/>
      <w:r w:rsidRPr="00EB05E1">
        <w:rPr>
          <w:rFonts w:eastAsia="Calibri"/>
          <w:i/>
          <w:iCs/>
          <w:lang w:val="es-BO" w:eastAsia="en-US"/>
        </w:rPr>
        <w:t>Yanín</w:t>
      </w:r>
      <w:proofErr w:type="spellEnd"/>
      <w:r w:rsidRPr="00EB05E1">
        <w:rPr>
          <w:rFonts w:eastAsia="Calibri"/>
          <w:i/>
          <w:iCs/>
          <w:lang w:val="es-BO" w:eastAsia="en-US"/>
        </w:rPr>
        <w:t xml:space="preserve"> Díaz Lara, Jorge </w:t>
      </w:r>
      <w:proofErr w:type="spellStart"/>
      <w:r w:rsidRPr="00EB05E1">
        <w:rPr>
          <w:rFonts w:eastAsia="Calibri"/>
          <w:i/>
          <w:iCs/>
          <w:lang w:val="es-BO" w:eastAsia="en-US"/>
        </w:rPr>
        <w:t>Soneira</w:t>
      </w:r>
      <w:proofErr w:type="spellEnd"/>
      <w:r w:rsidRPr="00EB05E1">
        <w:rPr>
          <w:rFonts w:eastAsia="Calibri"/>
          <w:i/>
          <w:iCs/>
          <w:lang w:val="es-BO" w:eastAsia="en-US"/>
        </w:rPr>
        <w:t xml:space="preserve"> Pérez, Sergio González García, </w:t>
      </w:r>
      <w:proofErr w:type="spellStart"/>
      <w:r w:rsidRPr="00EB05E1">
        <w:rPr>
          <w:rFonts w:eastAsia="Calibri"/>
          <w:i/>
          <w:iCs/>
          <w:lang w:val="es-BO" w:eastAsia="en-US"/>
        </w:rPr>
        <w:t>Hedgar</w:t>
      </w:r>
      <w:proofErr w:type="spellEnd"/>
      <w:r w:rsidRPr="00EB05E1">
        <w:rPr>
          <w:rFonts w:eastAsia="Calibri"/>
          <w:i/>
          <w:iCs/>
          <w:lang w:val="es-BO" w:eastAsia="en-US"/>
        </w:rPr>
        <w:t xml:space="preserve"> </w:t>
      </w:r>
      <w:proofErr w:type="spellStart"/>
      <w:r w:rsidRPr="00EB05E1">
        <w:rPr>
          <w:rFonts w:eastAsia="Calibri"/>
          <w:i/>
          <w:iCs/>
          <w:lang w:val="es-BO" w:eastAsia="en-US"/>
        </w:rPr>
        <w:t>Berty</w:t>
      </w:r>
      <w:proofErr w:type="spellEnd"/>
      <w:r w:rsidRPr="00EB05E1">
        <w:rPr>
          <w:rFonts w:eastAsia="Calibri"/>
          <w:i/>
          <w:iCs/>
          <w:lang w:val="es-BO" w:eastAsia="en-US"/>
        </w:rPr>
        <w:t xml:space="preserve"> Gutiérrez.</w:t>
      </w:r>
    </w:p>
    <w:p w14:paraId="4750080B" w14:textId="77777777" w:rsidR="00675476" w:rsidRPr="00EB05E1" w:rsidRDefault="00675476" w:rsidP="00EA1FEF">
      <w:pPr>
        <w:pStyle w:val="PDFRevista"/>
        <w:rPr>
          <w:lang w:val="es-BO"/>
        </w:rPr>
      </w:pPr>
    </w:p>
    <w:sectPr w:rsidR="00675476" w:rsidRPr="00EB05E1"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D3BD" w14:textId="77777777" w:rsidR="005635ED" w:rsidRDefault="005635ED">
      <w:r>
        <w:separator/>
      </w:r>
    </w:p>
  </w:endnote>
  <w:endnote w:type="continuationSeparator" w:id="0">
    <w:p w14:paraId="705D2275" w14:textId="77777777" w:rsidR="005635ED" w:rsidRDefault="0056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882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48641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2D0" w14:textId="0D17BB7E" w:rsidR="000F3690" w:rsidRPr="00AE044C" w:rsidRDefault="00EB05E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3EDF470" wp14:editId="390B99CA">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107149"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3A85AD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CB134C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541C3BB" w14:textId="37AB7A1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B05E1" w:rsidRPr="00EB05E1">
      <w:rPr>
        <w:rFonts w:ascii="Verdana" w:hAnsi="Verdana"/>
        <w:noProof/>
        <w:sz w:val="18"/>
        <w:szCs w:val="18"/>
        <w:lang w:val="en-US" w:eastAsia="en-US"/>
      </w:rPr>
      <w:drawing>
        <wp:inline distT="0" distB="0" distL="0" distR="0" wp14:anchorId="5AC715E6" wp14:editId="3879E74E">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93EC" w14:textId="77777777" w:rsidR="005635ED" w:rsidRDefault="005635ED">
      <w:r>
        <w:separator/>
      </w:r>
    </w:p>
  </w:footnote>
  <w:footnote w:type="continuationSeparator" w:id="0">
    <w:p w14:paraId="3EFE4898" w14:textId="77777777" w:rsidR="005635ED" w:rsidRDefault="0056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3EDB" w14:textId="7E6B7D5D" w:rsidR="00CC376A" w:rsidRPr="00AE044C" w:rsidRDefault="00EB05E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76D5C7F7" wp14:editId="1E94E99B">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w:t>
    </w:r>
    <w:r w:rsidR="007328C8">
      <w:rPr>
        <w:sz w:val="22"/>
        <w:szCs w:val="22"/>
      </w:rPr>
      <w:t>319</w:t>
    </w:r>
    <w:proofErr w:type="spellEnd"/>
  </w:p>
  <w:p w14:paraId="1AE402A5" w14:textId="4B27E392" w:rsidR="00A477DE" w:rsidRDefault="00EB05E1">
    <w:r>
      <w:rPr>
        <w:noProof/>
      </w:rPr>
      <mc:AlternateContent>
        <mc:Choice Requires="wps">
          <w:drawing>
            <wp:anchor distT="0" distB="0" distL="114300" distR="114300" simplePos="0" relativeHeight="251654144" behindDoc="0" locked="0" layoutInCell="1" allowOverlap="1" wp14:anchorId="02655156" wp14:editId="58C2FB19">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B1B1E1"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7542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E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35ED"/>
    <w:rsid w:val="00566F71"/>
    <w:rsid w:val="005918BD"/>
    <w:rsid w:val="006173A6"/>
    <w:rsid w:val="00675476"/>
    <w:rsid w:val="007328C8"/>
    <w:rsid w:val="007C430F"/>
    <w:rsid w:val="007D2D0C"/>
    <w:rsid w:val="007D614D"/>
    <w:rsid w:val="00815385"/>
    <w:rsid w:val="00960D6A"/>
    <w:rsid w:val="009A0560"/>
    <w:rsid w:val="009B0917"/>
    <w:rsid w:val="009F0F96"/>
    <w:rsid w:val="00A23C0C"/>
    <w:rsid w:val="00A477DE"/>
    <w:rsid w:val="00A71E65"/>
    <w:rsid w:val="00AE044C"/>
    <w:rsid w:val="00B31971"/>
    <w:rsid w:val="00B4380A"/>
    <w:rsid w:val="00B66ECB"/>
    <w:rsid w:val="00C630A2"/>
    <w:rsid w:val="00C7523A"/>
    <w:rsid w:val="00CC1B6E"/>
    <w:rsid w:val="00CC376A"/>
    <w:rsid w:val="00CC48A1"/>
    <w:rsid w:val="00CF50E0"/>
    <w:rsid w:val="00D60CA7"/>
    <w:rsid w:val="00D85951"/>
    <w:rsid w:val="00DD413A"/>
    <w:rsid w:val="00E62606"/>
    <w:rsid w:val="00EA1FEF"/>
    <w:rsid w:val="00EB05E1"/>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411D"/>
  <w15:docId w15:val="{7BC4AE5A-95E6-41F8-9EF6-50ECC549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37-6873" TargetMode="External"/><Relationship Id="rId13" Type="http://schemas.openxmlformats.org/officeDocument/2006/relationships/image" Target="media/image1.png"/><Relationship Id="rId18" Type="http://schemas.openxmlformats.org/officeDocument/2006/relationships/hyperlink" Target="https://www.medigraphic.com/pdfs/circir/cc-2019/cc195a.pdf" TargetMode="External"/><Relationship Id="rId26" Type="http://schemas.openxmlformats.org/officeDocument/2006/relationships/hyperlink" Target="https://pubmed.ncbi.nlm.nih.gov/17591058/" TargetMode="External"/><Relationship Id="rId3" Type="http://schemas.openxmlformats.org/officeDocument/2006/relationships/settings" Target="settings.xml"/><Relationship Id="rId21" Type="http://schemas.openxmlformats.org/officeDocument/2006/relationships/hyperlink" Target="http://www.scielo.org.mx/scielo.php?script=sci_arttext&amp;pid=S2444-054X2020000400481&amp;lng=es" TargetMode="External"/><Relationship Id="rId7" Type="http://schemas.openxmlformats.org/officeDocument/2006/relationships/hyperlink" Target="https://orcid.org/0000-0002-4017-0042" TargetMode="External"/><Relationship Id="rId12" Type="http://schemas.openxmlformats.org/officeDocument/2006/relationships/hyperlink" Target="mailto:hedgar@infomed.sld.cu" TargetMode="External"/><Relationship Id="rId17" Type="http://schemas.openxmlformats.org/officeDocument/2006/relationships/hyperlink" Target="http://www.scielo.org.mx/scielo.php?script=sci_arttext&amp;pid=S2448-89092018000300136&amp;lng=es" TargetMode="External"/><Relationship Id="rId25" Type="http://schemas.openxmlformats.org/officeDocument/2006/relationships/hyperlink" Target="https://pubmed.ncbi.nlm.nih.gov/15663053/"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cielo.sld.cu/scielo.php?script=sci_arttext&amp;pid=S1729-519X2020000400003&amp;lng=e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458-2930" TargetMode="External"/><Relationship Id="rId24" Type="http://schemas.openxmlformats.org/officeDocument/2006/relationships/hyperlink" Target="http://www.revmie.sld.cu/index.php/mie/article/view/424/601"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016/j.amjmed.2017.07.020" TargetMode="External"/><Relationship Id="rId28" Type="http://schemas.openxmlformats.org/officeDocument/2006/relationships/footer" Target="footer1.xml"/><Relationship Id="rId10" Type="http://schemas.openxmlformats.org/officeDocument/2006/relationships/hyperlink" Target="https://orcid.org/0000-0002-2359-9656" TargetMode="External"/><Relationship Id="rId19" Type="http://schemas.openxmlformats.org/officeDocument/2006/relationships/hyperlink" Target="https://www.ncbi.nlm.nih.gov/pmc/articles/PMC28613/pdf/235.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4948-6753" TargetMode="External"/><Relationship Id="rId14" Type="http://schemas.openxmlformats.org/officeDocument/2006/relationships/image" Target="media/image2.png"/><Relationship Id="rId22" Type="http://schemas.openxmlformats.org/officeDocument/2006/relationships/hyperlink" Target="https://www.medigraphic.com/pdfs/circir/cc-2019/cc195a.pdf"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15</Pages>
  <Words>4030</Words>
  <Characters>22166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26144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2010-09-13T21:29:00Z</cp:lastPrinted>
  <dcterms:created xsi:type="dcterms:W3CDTF">2023-03-09T00:23:00Z</dcterms:created>
  <dcterms:modified xsi:type="dcterms:W3CDTF">2023-03-09T19:55:00Z</dcterms:modified>
</cp:coreProperties>
</file>