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98835" w14:textId="77777777" w:rsidR="00AA0E07" w:rsidRPr="00AA0E07" w:rsidRDefault="00AA0E07" w:rsidP="00AA0E07">
      <w:pPr>
        <w:spacing w:line="360" w:lineRule="auto"/>
        <w:jc w:val="right"/>
        <w:rPr>
          <w:rFonts w:eastAsiaTheme="minorHAnsi"/>
          <w:bCs/>
          <w:sz w:val="20"/>
          <w:szCs w:val="20"/>
          <w:lang w:val="es-ES" w:eastAsia="en-US"/>
        </w:rPr>
      </w:pPr>
      <w:bookmarkStart w:id="0" w:name="_Hlk101473415"/>
      <w:r w:rsidRPr="00AA0E07">
        <w:rPr>
          <w:rFonts w:eastAsiaTheme="minorHAnsi"/>
          <w:bCs/>
          <w:sz w:val="20"/>
          <w:szCs w:val="20"/>
          <w:lang w:val="es-ES" w:eastAsia="en-US"/>
        </w:rPr>
        <w:t>Presentación de caso</w:t>
      </w:r>
    </w:p>
    <w:p w14:paraId="7ACB61C5" w14:textId="77777777" w:rsidR="00AA0E07" w:rsidRPr="00AA0E07" w:rsidRDefault="00AA0E07" w:rsidP="00AA0E07">
      <w:pPr>
        <w:spacing w:line="360" w:lineRule="auto"/>
        <w:rPr>
          <w:rFonts w:eastAsiaTheme="minorHAnsi"/>
          <w:b/>
          <w:lang w:val="es-ES" w:eastAsia="en-US"/>
        </w:rPr>
      </w:pPr>
    </w:p>
    <w:p w14:paraId="6772C0F8" w14:textId="77777777" w:rsidR="00AA0E07" w:rsidRPr="00AA0E07" w:rsidRDefault="00AA0E07" w:rsidP="00AA0E07">
      <w:pPr>
        <w:spacing w:line="360" w:lineRule="auto"/>
        <w:jc w:val="center"/>
        <w:rPr>
          <w:rFonts w:eastAsiaTheme="minorHAnsi"/>
          <w:b/>
          <w:sz w:val="28"/>
          <w:szCs w:val="28"/>
          <w:lang w:val="es-ES" w:eastAsia="en-US"/>
        </w:rPr>
      </w:pPr>
      <w:r w:rsidRPr="00AA0E07">
        <w:rPr>
          <w:rFonts w:eastAsiaTheme="minorHAnsi"/>
          <w:b/>
          <w:sz w:val="28"/>
          <w:szCs w:val="28"/>
          <w:lang w:val="es-ES" w:eastAsia="en-US"/>
        </w:rPr>
        <w:t>Colangitis aguda por coledocolitiasis múltiple en un paciente con COVID-19 tratada mediante colangiopancreatografía retrógrada endoscópica</w:t>
      </w:r>
    </w:p>
    <w:p w14:paraId="3861D46B" w14:textId="77777777" w:rsidR="00AA0E07" w:rsidRPr="00AA0E07" w:rsidRDefault="00AA0E07" w:rsidP="00AA0E07">
      <w:pPr>
        <w:spacing w:line="360" w:lineRule="auto"/>
        <w:jc w:val="center"/>
        <w:rPr>
          <w:rFonts w:eastAsiaTheme="minorHAnsi"/>
          <w:sz w:val="28"/>
          <w:szCs w:val="28"/>
          <w:lang w:val="en-US" w:eastAsia="en-US"/>
        </w:rPr>
      </w:pPr>
      <w:r w:rsidRPr="00AA0E07">
        <w:rPr>
          <w:rFonts w:eastAsiaTheme="minorHAnsi"/>
          <w:sz w:val="28"/>
          <w:szCs w:val="28"/>
          <w:lang w:val="en-US" w:eastAsia="en-US"/>
        </w:rPr>
        <w:t>Multiple choledocholithiasis acute cholangitis in a patient with COVID-19 treated by endoscopic retrograde cholangiopancreatography</w:t>
      </w:r>
    </w:p>
    <w:bookmarkEnd w:id="0"/>
    <w:p w14:paraId="1C1EDD0C" w14:textId="77777777" w:rsidR="00AA0E07" w:rsidRPr="00AA0E07" w:rsidRDefault="00AA0E07" w:rsidP="00AA0E07">
      <w:pPr>
        <w:spacing w:line="360" w:lineRule="auto"/>
        <w:rPr>
          <w:rFonts w:eastAsiaTheme="minorHAnsi"/>
          <w:b/>
          <w:lang w:val="en-US" w:eastAsia="en-US"/>
        </w:rPr>
      </w:pPr>
    </w:p>
    <w:p w14:paraId="6712D678" w14:textId="77777777" w:rsidR="00AA0E07" w:rsidRPr="00AA0E07" w:rsidRDefault="00AA0E07" w:rsidP="00AA0E07">
      <w:pPr>
        <w:spacing w:line="360" w:lineRule="auto"/>
        <w:rPr>
          <w:rFonts w:eastAsiaTheme="minorHAnsi"/>
          <w:bCs/>
          <w:lang w:val="es-CU" w:eastAsia="en-US"/>
        </w:rPr>
      </w:pPr>
      <w:r w:rsidRPr="00AA0E07">
        <w:rPr>
          <w:rFonts w:eastAsiaTheme="minorHAnsi"/>
          <w:bCs/>
          <w:lang w:val="es-CU" w:eastAsia="en-US"/>
        </w:rPr>
        <w:t>Jeel Moya-Salazar</w:t>
      </w:r>
      <w:r w:rsidRPr="00AA0E07">
        <w:rPr>
          <w:rFonts w:eastAsiaTheme="minorHAnsi"/>
          <w:bCs/>
          <w:vertAlign w:val="superscript"/>
          <w:lang w:val="es-CU" w:eastAsia="en-US"/>
        </w:rPr>
        <w:t>1,2</w:t>
      </w:r>
      <w:r w:rsidRPr="00AA0E07">
        <w:rPr>
          <w:rFonts w:eastAsiaTheme="minorHAnsi"/>
          <w:bCs/>
          <w:lang w:val="es-CU" w:eastAsia="en-US"/>
        </w:rPr>
        <w:t xml:space="preserve">* </w:t>
      </w:r>
      <w:hyperlink r:id="rId7" w:history="1">
        <w:r w:rsidRPr="00AA0E07">
          <w:rPr>
            <w:rFonts w:eastAsiaTheme="minorHAnsi"/>
            <w:bCs/>
            <w:color w:val="0000FF" w:themeColor="hyperlink"/>
            <w:u w:val="single"/>
            <w:lang w:val="es-CU" w:eastAsia="en-US"/>
          </w:rPr>
          <w:t>https://orcid.org/0000-0002-7357-4940</w:t>
        </w:r>
      </w:hyperlink>
      <w:r w:rsidRPr="00AA0E07">
        <w:rPr>
          <w:rFonts w:eastAsiaTheme="minorHAnsi"/>
          <w:bCs/>
          <w:lang w:val="es-CU" w:eastAsia="en-US"/>
        </w:rPr>
        <w:t xml:space="preserve">   </w:t>
      </w:r>
    </w:p>
    <w:p w14:paraId="58BAB3E0" w14:textId="77777777" w:rsidR="00AA0E07" w:rsidRPr="00AA0E07" w:rsidRDefault="00AA0E07" w:rsidP="00AA0E07">
      <w:pPr>
        <w:spacing w:line="360" w:lineRule="auto"/>
        <w:rPr>
          <w:rFonts w:eastAsiaTheme="minorHAnsi"/>
          <w:bCs/>
          <w:lang w:val="es-CU" w:eastAsia="en-US"/>
        </w:rPr>
      </w:pPr>
      <w:r w:rsidRPr="00AA0E07">
        <w:rPr>
          <w:rFonts w:eastAsiaTheme="minorHAnsi"/>
          <w:bCs/>
          <w:lang w:val="es-CU" w:eastAsia="en-US"/>
        </w:rPr>
        <w:t>Jorge Porras-Guillermo</w:t>
      </w:r>
      <w:r w:rsidRPr="00AA0E07">
        <w:rPr>
          <w:rFonts w:eastAsiaTheme="minorHAnsi"/>
          <w:bCs/>
          <w:vertAlign w:val="superscript"/>
          <w:lang w:val="es-CU" w:eastAsia="en-US"/>
        </w:rPr>
        <w:t xml:space="preserve">3,4 </w:t>
      </w:r>
      <w:hyperlink r:id="rId8" w:history="1">
        <w:r w:rsidRPr="00AA0E07">
          <w:rPr>
            <w:rFonts w:eastAsiaTheme="minorHAnsi"/>
            <w:bCs/>
            <w:color w:val="0000FF" w:themeColor="hyperlink"/>
            <w:u w:val="single"/>
            <w:lang w:val="es-CU" w:eastAsia="en-US"/>
          </w:rPr>
          <w:t>https://orcid.org/0000-0003-3424-5981</w:t>
        </w:r>
      </w:hyperlink>
      <w:r w:rsidRPr="00AA0E07">
        <w:rPr>
          <w:rFonts w:eastAsiaTheme="minorHAnsi"/>
          <w:bCs/>
          <w:lang w:val="es-CU" w:eastAsia="en-US"/>
        </w:rPr>
        <w:t xml:space="preserve">  </w:t>
      </w:r>
    </w:p>
    <w:p w14:paraId="0D938300" w14:textId="77777777" w:rsidR="00AA0E07" w:rsidRPr="00AA0E07" w:rsidRDefault="00AA0E07" w:rsidP="00AA0E07">
      <w:pPr>
        <w:spacing w:line="360" w:lineRule="auto"/>
        <w:rPr>
          <w:rFonts w:eastAsiaTheme="minorHAnsi"/>
          <w:bCs/>
          <w:lang w:val="es-CU" w:eastAsia="en-US"/>
        </w:rPr>
      </w:pPr>
      <w:r w:rsidRPr="00AA0E07">
        <w:rPr>
          <w:rFonts w:eastAsiaTheme="minorHAnsi"/>
          <w:bCs/>
          <w:lang w:val="es-CU" w:eastAsia="en-US"/>
        </w:rPr>
        <w:t>Rosario Porras-Guillermo</w:t>
      </w:r>
      <w:r w:rsidRPr="00AA0E07">
        <w:rPr>
          <w:rFonts w:eastAsiaTheme="minorHAnsi"/>
          <w:bCs/>
          <w:vertAlign w:val="superscript"/>
          <w:lang w:val="es-CU" w:eastAsia="en-US"/>
        </w:rPr>
        <w:t xml:space="preserve">5 </w:t>
      </w:r>
      <w:hyperlink r:id="rId9" w:history="1">
        <w:r w:rsidRPr="00AA0E07">
          <w:rPr>
            <w:rFonts w:eastAsiaTheme="minorHAnsi"/>
            <w:bCs/>
            <w:color w:val="0000FF" w:themeColor="hyperlink"/>
            <w:u w:val="single"/>
            <w:lang w:val="es-CU" w:eastAsia="en-US"/>
          </w:rPr>
          <w:t>https://orcid.org/0000-0002-6313-3762</w:t>
        </w:r>
      </w:hyperlink>
      <w:r w:rsidRPr="00AA0E07">
        <w:rPr>
          <w:rFonts w:eastAsiaTheme="minorHAnsi"/>
          <w:bCs/>
          <w:lang w:val="es-CU" w:eastAsia="en-US"/>
        </w:rPr>
        <w:t xml:space="preserve">    </w:t>
      </w:r>
    </w:p>
    <w:p w14:paraId="6F155CAE" w14:textId="77777777" w:rsidR="00AA0E07" w:rsidRPr="00AA0E07" w:rsidRDefault="00AA0E07" w:rsidP="00AA0E07">
      <w:pPr>
        <w:spacing w:line="360" w:lineRule="auto"/>
        <w:rPr>
          <w:rFonts w:eastAsiaTheme="minorHAnsi"/>
          <w:bCs/>
          <w:lang w:val="es-CU" w:eastAsia="en-US"/>
        </w:rPr>
      </w:pPr>
      <w:r w:rsidRPr="00AA0E07">
        <w:rPr>
          <w:rFonts w:eastAsiaTheme="minorHAnsi"/>
          <w:bCs/>
          <w:lang w:val="es-CU" w:eastAsia="en-US"/>
        </w:rPr>
        <w:t>Tatiana Guevara-Rojas</w:t>
      </w:r>
      <w:r w:rsidRPr="00AA0E07">
        <w:rPr>
          <w:rFonts w:eastAsiaTheme="minorHAnsi"/>
          <w:bCs/>
          <w:vertAlign w:val="superscript"/>
          <w:lang w:val="es-CU" w:eastAsia="en-US"/>
        </w:rPr>
        <w:t>2</w:t>
      </w:r>
      <w:r w:rsidRPr="00AA0E07">
        <w:rPr>
          <w:rFonts w:eastAsiaTheme="minorHAnsi"/>
          <w:bCs/>
          <w:lang w:val="es-CU" w:eastAsia="en-US"/>
        </w:rPr>
        <w:t xml:space="preserve"> </w:t>
      </w:r>
      <w:hyperlink r:id="rId10" w:history="1">
        <w:r w:rsidRPr="00AA0E07">
          <w:rPr>
            <w:rFonts w:eastAsiaTheme="minorHAnsi"/>
            <w:bCs/>
            <w:color w:val="0000FF" w:themeColor="hyperlink"/>
            <w:u w:val="single"/>
            <w:lang w:val="es-CU" w:eastAsia="en-US"/>
          </w:rPr>
          <w:t>https://orcid.org/0000-0002-2071-695X</w:t>
        </w:r>
      </w:hyperlink>
      <w:r w:rsidRPr="00AA0E07">
        <w:rPr>
          <w:rFonts w:eastAsiaTheme="minorHAnsi"/>
          <w:bCs/>
          <w:lang w:val="es-CU" w:eastAsia="en-US"/>
        </w:rPr>
        <w:t xml:space="preserve">  </w:t>
      </w:r>
    </w:p>
    <w:p w14:paraId="21917C91" w14:textId="77777777" w:rsidR="00AA0E07" w:rsidRPr="00AA0E07" w:rsidRDefault="00AA0E07" w:rsidP="00AA0E07">
      <w:pPr>
        <w:spacing w:line="360" w:lineRule="auto"/>
        <w:rPr>
          <w:rFonts w:eastAsiaTheme="minorHAnsi"/>
          <w:bCs/>
          <w:lang w:val="es-CU" w:eastAsia="en-US"/>
        </w:rPr>
      </w:pPr>
      <w:r w:rsidRPr="00AA0E07">
        <w:rPr>
          <w:rFonts w:eastAsiaTheme="minorHAnsi"/>
          <w:bCs/>
          <w:lang w:val="es-CU" w:eastAsia="en-US"/>
        </w:rPr>
        <w:t>Jeel G. Moya-Espinoza</w:t>
      </w:r>
      <w:r w:rsidRPr="00AA0E07">
        <w:rPr>
          <w:rFonts w:eastAsiaTheme="minorHAnsi"/>
          <w:bCs/>
          <w:vertAlign w:val="superscript"/>
          <w:lang w:val="es-CU" w:eastAsia="en-US"/>
        </w:rPr>
        <w:t>6</w:t>
      </w:r>
      <w:r w:rsidRPr="00AA0E07">
        <w:rPr>
          <w:rFonts w:eastAsiaTheme="minorHAnsi"/>
          <w:bCs/>
          <w:lang w:val="es-CU" w:eastAsia="en-US"/>
        </w:rPr>
        <w:t xml:space="preserve"> </w:t>
      </w:r>
      <w:hyperlink r:id="rId11" w:history="1">
        <w:r w:rsidRPr="00AA0E07">
          <w:rPr>
            <w:rFonts w:eastAsiaTheme="minorHAnsi"/>
            <w:bCs/>
            <w:color w:val="0000FF" w:themeColor="hyperlink"/>
            <w:u w:val="single"/>
            <w:lang w:val="es-CU" w:eastAsia="en-US"/>
          </w:rPr>
          <w:t>https://orcid.org/0000-0003-3396-022X</w:t>
        </w:r>
      </w:hyperlink>
      <w:r w:rsidRPr="00AA0E07">
        <w:rPr>
          <w:rFonts w:eastAsiaTheme="minorHAnsi"/>
          <w:bCs/>
          <w:lang w:val="es-CU" w:eastAsia="en-US"/>
        </w:rPr>
        <w:t xml:space="preserve"> </w:t>
      </w:r>
    </w:p>
    <w:p w14:paraId="65649C2B" w14:textId="77777777" w:rsidR="00AA0E07" w:rsidRPr="00AA0E07" w:rsidRDefault="00AA0E07" w:rsidP="00AA0E07">
      <w:pPr>
        <w:spacing w:line="360" w:lineRule="auto"/>
        <w:rPr>
          <w:rFonts w:eastAsiaTheme="minorHAnsi"/>
          <w:bCs/>
          <w:lang w:val="es-CU" w:eastAsia="en-US"/>
        </w:rPr>
      </w:pPr>
    </w:p>
    <w:p w14:paraId="5FC80120" w14:textId="17B39414" w:rsidR="00AA0E07" w:rsidRPr="00AA0E07" w:rsidRDefault="00AA0E07" w:rsidP="0089063B">
      <w:pPr>
        <w:spacing w:line="360" w:lineRule="auto"/>
        <w:rPr>
          <w:rFonts w:eastAsiaTheme="minorHAnsi"/>
          <w:bCs/>
          <w:lang w:val="es-CU" w:eastAsia="en-US"/>
        </w:rPr>
      </w:pPr>
      <w:r w:rsidRPr="00AA0E07">
        <w:rPr>
          <w:rFonts w:eastAsiaTheme="minorHAnsi"/>
          <w:bCs/>
          <w:vertAlign w:val="superscript"/>
          <w:lang w:val="es-CU" w:eastAsia="en-US"/>
        </w:rPr>
        <w:t>1</w:t>
      </w:r>
      <w:r w:rsidR="0089063B" w:rsidRPr="0089063B">
        <w:rPr>
          <w:rFonts w:eastAsiaTheme="minorHAnsi"/>
          <w:bCs/>
          <w:lang w:val="es-CU" w:eastAsia="en-US"/>
        </w:rPr>
        <w:t>Universidad Tecnológica del Perú</w:t>
      </w:r>
      <w:r w:rsidR="0089063B">
        <w:rPr>
          <w:rFonts w:eastAsiaTheme="minorHAnsi"/>
          <w:bCs/>
          <w:lang w:val="es-CU" w:eastAsia="en-US"/>
        </w:rPr>
        <w:t>.</w:t>
      </w:r>
      <w:r w:rsidR="0089063B" w:rsidRPr="0089063B">
        <w:rPr>
          <w:rFonts w:eastAsiaTheme="minorHAnsi"/>
          <w:bCs/>
          <w:lang w:val="es-CU" w:eastAsia="en-US"/>
        </w:rPr>
        <w:t xml:space="preserve"> Facultad de Ingeniería</w:t>
      </w:r>
      <w:r w:rsidR="0089063B">
        <w:rPr>
          <w:rFonts w:eastAsiaTheme="minorHAnsi"/>
          <w:bCs/>
          <w:lang w:val="es-CU" w:eastAsia="en-US"/>
        </w:rPr>
        <w:t>.</w:t>
      </w:r>
      <w:r w:rsidR="0089063B" w:rsidRPr="0089063B">
        <w:rPr>
          <w:rFonts w:eastAsiaTheme="minorHAnsi"/>
          <w:bCs/>
          <w:lang w:val="es-CU" w:eastAsia="en-US"/>
        </w:rPr>
        <w:t xml:space="preserve"> Escuela de</w:t>
      </w:r>
      <w:r w:rsidR="00DA1448">
        <w:rPr>
          <w:rFonts w:eastAsiaTheme="minorHAnsi"/>
          <w:bCs/>
          <w:lang w:val="es-CU" w:eastAsia="en-US"/>
        </w:rPr>
        <w:t xml:space="preserve"> </w:t>
      </w:r>
      <w:r w:rsidR="0089063B" w:rsidRPr="0089063B">
        <w:rPr>
          <w:rFonts w:eastAsiaTheme="minorHAnsi"/>
          <w:bCs/>
          <w:lang w:val="es-CU" w:eastAsia="en-US"/>
        </w:rPr>
        <w:t>Ingeniería Biomédica</w:t>
      </w:r>
      <w:r w:rsidR="0089063B">
        <w:rPr>
          <w:rFonts w:eastAsiaTheme="minorHAnsi"/>
          <w:bCs/>
          <w:lang w:val="es-CU" w:eastAsia="en-US"/>
        </w:rPr>
        <w:t>.</w:t>
      </w:r>
      <w:r w:rsidR="0089063B" w:rsidRPr="0089063B">
        <w:rPr>
          <w:rFonts w:eastAsiaTheme="minorHAnsi"/>
          <w:bCs/>
          <w:lang w:val="es-CU" w:eastAsia="en-US"/>
        </w:rPr>
        <w:t xml:space="preserve"> Lima, Perú</w:t>
      </w:r>
      <w:r w:rsidRPr="00AA0E07">
        <w:rPr>
          <w:rFonts w:eastAsiaTheme="minorHAnsi"/>
          <w:bCs/>
          <w:lang w:val="es-CU" w:eastAsia="en-US"/>
        </w:rPr>
        <w:t xml:space="preserve">. </w:t>
      </w:r>
    </w:p>
    <w:p w14:paraId="16E00ADC" w14:textId="77777777" w:rsidR="00AA0E07" w:rsidRPr="00AA0E07" w:rsidRDefault="00AA0E07" w:rsidP="00AA0E07">
      <w:pPr>
        <w:spacing w:line="360" w:lineRule="auto"/>
        <w:rPr>
          <w:rFonts w:eastAsiaTheme="minorHAnsi"/>
          <w:bCs/>
          <w:lang w:val="es-CU" w:eastAsia="en-US"/>
        </w:rPr>
      </w:pPr>
      <w:r w:rsidRPr="007B3F47">
        <w:rPr>
          <w:rFonts w:eastAsiaTheme="minorHAnsi"/>
          <w:bCs/>
          <w:vertAlign w:val="superscript"/>
          <w:lang w:val="en-US" w:eastAsia="en-US"/>
        </w:rPr>
        <w:t>2</w:t>
      </w:r>
      <w:r w:rsidRPr="007B3F47">
        <w:rPr>
          <w:rFonts w:eastAsiaTheme="minorHAnsi"/>
          <w:bCs/>
          <w:lang w:val="en-US" w:eastAsia="en-US"/>
        </w:rPr>
        <w:t xml:space="preserve">Universidad Norbert Wiener. </w:t>
      </w:r>
      <w:r w:rsidRPr="00AA0E07">
        <w:rPr>
          <w:rFonts w:eastAsiaTheme="minorHAnsi"/>
          <w:bCs/>
          <w:lang w:val="en-US" w:eastAsia="en-US"/>
        </w:rPr>
        <w:t xml:space="preserve">South American Center for Research in Education and Public Health. </w:t>
      </w:r>
      <w:r w:rsidRPr="00AA0E07">
        <w:rPr>
          <w:rFonts w:eastAsiaTheme="minorHAnsi"/>
          <w:bCs/>
          <w:lang w:val="es-CU" w:eastAsia="en-US"/>
        </w:rPr>
        <w:t xml:space="preserve">Lima, Perú. </w:t>
      </w:r>
    </w:p>
    <w:p w14:paraId="2C0D526B" w14:textId="77777777" w:rsidR="00AA0E07" w:rsidRPr="00AA0E07" w:rsidRDefault="00AA0E07" w:rsidP="00AA0E07">
      <w:pPr>
        <w:spacing w:line="360" w:lineRule="auto"/>
        <w:rPr>
          <w:rFonts w:eastAsiaTheme="minorHAnsi"/>
          <w:bCs/>
          <w:lang w:val="es-CU" w:eastAsia="en-US"/>
        </w:rPr>
      </w:pPr>
      <w:r w:rsidRPr="00AA0E07">
        <w:rPr>
          <w:rFonts w:eastAsiaTheme="minorHAnsi"/>
          <w:bCs/>
          <w:vertAlign w:val="superscript"/>
          <w:lang w:val="es-CU" w:eastAsia="en-US"/>
        </w:rPr>
        <w:t>3</w:t>
      </w:r>
      <w:r w:rsidRPr="00AA0E07">
        <w:rPr>
          <w:rFonts w:eastAsiaTheme="minorHAnsi"/>
          <w:bCs/>
          <w:lang w:val="es-CU" w:eastAsia="en-US"/>
        </w:rPr>
        <w:t xml:space="preserve">Hospital Cayetano Heredia. Departamento de Radiología. Lima, Perú. </w:t>
      </w:r>
    </w:p>
    <w:p w14:paraId="161FAB11" w14:textId="77777777" w:rsidR="00AA0E07" w:rsidRPr="00AA0E07" w:rsidRDefault="00AA0E07" w:rsidP="00AA0E07">
      <w:pPr>
        <w:spacing w:line="360" w:lineRule="auto"/>
        <w:rPr>
          <w:rFonts w:eastAsiaTheme="minorHAnsi"/>
          <w:bCs/>
          <w:lang w:val="es-CU" w:eastAsia="en-US"/>
        </w:rPr>
      </w:pPr>
      <w:r w:rsidRPr="00AA0E07">
        <w:rPr>
          <w:rFonts w:eastAsiaTheme="minorHAnsi"/>
          <w:bCs/>
          <w:vertAlign w:val="superscript"/>
          <w:lang w:val="es-CU" w:eastAsia="en-US"/>
        </w:rPr>
        <w:t>4</w:t>
      </w:r>
      <w:r w:rsidRPr="00AA0E07">
        <w:rPr>
          <w:rFonts w:eastAsiaTheme="minorHAnsi"/>
          <w:bCs/>
          <w:lang w:val="es-CU" w:eastAsia="en-US"/>
        </w:rPr>
        <w:t xml:space="preserve">Facultad de Ciencias de la Salud. Universidad Norbert Wiener. Escuela de Medicina. Lima, Perú. </w:t>
      </w:r>
    </w:p>
    <w:p w14:paraId="57F256A2" w14:textId="77777777" w:rsidR="00AA0E07" w:rsidRPr="00AA0E07" w:rsidRDefault="00AA0E07" w:rsidP="00AA0E07">
      <w:pPr>
        <w:spacing w:line="360" w:lineRule="auto"/>
        <w:rPr>
          <w:rFonts w:eastAsiaTheme="minorHAnsi"/>
          <w:bCs/>
          <w:lang w:val="es-CU" w:eastAsia="en-US"/>
        </w:rPr>
      </w:pPr>
      <w:r w:rsidRPr="00AA0E07">
        <w:rPr>
          <w:rFonts w:eastAsiaTheme="minorHAnsi"/>
          <w:bCs/>
          <w:vertAlign w:val="superscript"/>
          <w:lang w:val="es-CU" w:eastAsia="en-US"/>
        </w:rPr>
        <w:t>5</w:t>
      </w:r>
      <w:r w:rsidRPr="00AA0E07">
        <w:rPr>
          <w:rFonts w:eastAsiaTheme="minorHAnsi"/>
          <w:bCs/>
          <w:lang w:val="es-CU" w:eastAsia="en-US"/>
        </w:rPr>
        <w:t>Escuela de Medicina. Facultad de Ciencias de la Salud. Universidad de Piura. Lima, Perú.</w:t>
      </w:r>
    </w:p>
    <w:p w14:paraId="06F26C2E" w14:textId="77777777" w:rsidR="00AA0E07" w:rsidRPr="00AA0E07" w:rsidRDefault="00AA0E07" w:rsidP="00AA0E07">
      <w:pPr>
        <w:spacing w:line="360" w:lineRule="auto"/>
        <w:rPr>
          <w:rFonts w:eastAsiaTheme="minorHAnsi"/>
          <w:bCs/>
          <w:lang w:val="es-CU" w:eastAsia="en-US"/>
        </w:rPr>
      </w:pPr>
      <w:r w:rsidRPr="00AA0E07">
        <w:rPr>
          <w:rFonts w:eastAsiaTheme="minorHAnsi"/>
          <w:bCs/>
          <w:vertAlign w:val="superscript"/>
          <w:lang w:val="es-CU" w:eastAsia="en-US"/>
        </w:rPr>
        <w:t>6</w:t>
      </w:r>
      <w:r w:rsidRPr="00AA0E07">
        <w:rPr>
          <w:rFonts w:eastAsiaTheme="minorHAnsi"/>
          <w:bCs/>
          <w:lang w:val="es-CU" w:eastAsia="en-US"/>
        </w:rPr>
        <w:t>Distrito Judicial de Huánuco. Corte Superior de Justicia. Poder Judicial. Huánuco, Perú.</w:t>
      </w:r>
    </w:p>
    <w:p w14:paraId="1D2CE6B2" w14:textId="77777777" w:rsidR="00AA0E07" w:rsidRPr="00AA0E07" w:rsidRDefault="00AA0E07" w:rsidP="00AA0E07">
      <w:pPr>
        <w:spacing w:line="360" w:lineRule="auto"/>
        <w:rPr>
          <w:rFonts w:eastAsiaTheme="minorHAnsi"/>
          <w:bCs/>
          <w:lang w:val="es-CU" w:eastAsia="en-US"/>
        </w:rPr>
      </w:pPr>
    </w:p>
    <w:p w14:paraId="5E9B072A" w14:textId="77777777" w:rsidR="00AA0E07" w:rsidRPr="00AA0E07" w:rsidRDefault="00AA0E07" w:rsidP="00AA0E07">
      <w:pPr>
        <w:spacing w:line="360" w:lineRule="auto"/>
        <w:rPr>
          <w:rFonts w:eastAsiaTheme="minorHAnsi"/>
          <w:bCs/>
          <w:lang w:val="es-CU" w:eastAsia="en-US"/>
        </w:rPr>
      </w:pPr>
      <w:r w:rsidRPr="00AA0E07">
        <w:rPr>
          <w:rFonts w:ascii="Cambria Math" w:eastAsiaTheme="minorHAnsi" w:hAnsi="Cambria Math" w:cs="Cambria Math"/>
          <w:bCs/>
          <w:lang w:val="es-CU" w:eastAsia="en-US"/>
        </w:rPr>
        <w:t>∗</w:t>
      </w:r>
      <w:r w:rsidRPr="00AA0E07">
        <w:rPr>
          <w:rFonts w:eastAsiaTheme="minorHAnsi"/>
          <w:bCs/>
          <w:lang w:val="es-CU" w:eastAsia="en-US"/>
        </w:rPr>
        <w:t xml:space="preserve">Autor para la correspondencia. Correo electrónico:  </w:t>
      </w:r>
      <w:hyperlink r:id="rId12" w:history="1">
        <w:r w:rsidRPr="00AA0E07">
          <w:rPr>
            <w:rFonts w:eastAsiaTheme="minorHAnsi"/>
            <w:bCs/>
            <w:color w:val="0000FF" w:themeColor="hyperlink"/>
            <w:u w:val="single"/>
            <w:lang w:val="es-CU" w:eastAsia="en-US"/>
          </w:rPr>
          <w:t>jeel.moya@uwierner.edu.pe</w:t>
        </w:r>
      </w:hyperlink>
    </w:p>
    <w:p w14:paraId="7C6EC18D" w14:textId="77777777" w:rsidR="00AA0E07" w:rsidRPr="00AA0E07" w:rsidRDefault="00AA0E07" w:rsidP="00AA0E07">
      <w:pPr>
        <w:spacing w:line="360" w:lineRule="auto"/>
        <w:rPr>
          <w:rFonts w:eastAsiaTheme="minorHAnsi"/>
          <w:bCs/>
          <w:lang w:val="es-CU" w:eastAsia="en-US"/>
        </w:rPr>
      </w:pPr>
    </w:p>
    <w:p w14:paraId="4004429F" w14:textId="77777777" w:rsidR="00AA0E07" w:rsidRPr="00AA0E07" w:rsidRDefault="00AA0E07" w:rsidP="00AA0E07">
      <w:pPr>
        <w:spacing w:line="360" w:lineRule="auto"/>
        <w:rPr>
          <w:rFonts w:eastAsiaTheme="minorHAnsi"/>
          <w:b/>
          <w:lang w:val="es-ES" w:eastAsia="en-US"/>
        </w:rPr>
      </w:pPr>
      <w:r w:rsidRPr="00AA0E07">
        <w:rPr>
          <w:rFonts w:eastAsiaTheme="minorHAnsi"/>
          <w:b/>
          <w:lang w:val="es-ES" w:eastAsia="en-US"/>
        </w:rPr>
        <w:t>RESUMEN</w:t>
      </w:r>
    </w:p>
    <w:p w14:paraId="7E7CA619" w14:textId="77777777" w:rsidR="00AA0E07" w:rsidRPr="00AA0E07" w:rsidRDefault="00AA0E07" w:rsidP="00AA0E07">
      <w:pPr>
        <w:spacing w:line="360" w:lineRule="auto"/>
        <w:jc w:val="both"/>
        <w:rPr>
          <w:rFonts w:eastAsiaTheme="minorHAnsi"/>
          <w:lang w:val="es-ES" w:eastAsia="en-US"/>
        </w:rPr>
      </w:pPr>
      <w:r w:rsidRPr="00AA0E07">
        <w:rPr>
          <w:rFonts w:eastAsiaTheme="minorHAnsi"/>
          <w:b/>
          <w:bCs/>
          <w:lang w:val="es-ES" w:eastAsia="en-US"/>
        </w:rPr>
        <w:t>Introducción:</w:t>
      </w:r>
      <w:r w:rsidRPr="00AA0E07">
        <w:rPr>
          <w:rFonts w:eastAsiaTheme="minorHAnsi"/>
          <w:lang w:val="es-ES" w:eastAsia="en-US"/>
        </w:rPr>
        <w:t xml:space="preserve"> La coledocolitiasis es una enfermedad en la cual el conducto biliar común está ocupado por cálculos. La colangiopancreatografía retrógrada endoscópica juega un papel importante en el tratamiento, al conseguir el aclaramiento de la vía biliar principal y restaurar el paso normal de la bilis. </w:t>
      </w:r>
    </w:p>
    <w:p w14:paraId="0EFD1335" w14:textId="77777777" w:rsidR="00AA0E07" w:rsidRPr="00AA0E07" w:rsidRDefault="00AA0E07" w:rsidP="00AA0E07">
      <w:pPr>
        <w:spacing w:line="360" w:lineRule="auto"/>
        <w:jc w:val="both"/>
        <w:rPr>
          <w:rFonts w:eastAsiaTheme="minorHAnsi"/>
          <w:lang w:val="es-ES" w:eastAsia="en-US"/>
        </w:rPr>
      </w:pPr>
      <w:r w:rsidRPr="00AA0E07">
        <w:rPr>
          <w:rFonts w:eastAsiaTheme="minorHAnsi"/>
          <w:b/>
          <w:bCs/>
          <w:lang w:val="es-ES" w:eastAsia="en-US"/>
        </w:rPr>
        <w:lastRenderedPageBreak/>
        <w:t>Objetivo:</w:t>
      </w:r>
      <w:r w:rsidRPr="00AA0E07">
        <w:rPr>
          <w:rFonts w:eastAsiaTheme="minorHAnsi"/>
          <w:lang w:val="es-ES" w:eastAsia="en-US"/>
        </w:rPr>
        <w:t xml:space="preserve"> Presentar un paciente con la COVID-19 y colangitis aguda por coledocolitiasis múltiple, que se le realizó colangiopancreatografía retrógrada endoscópica. </w:t>
      </w:r>
    </w:p>
    <w:p w14:paraId="1DD69120" w14:textId="77777777" w:rsidR="00AA0E07" w:rsidRPr="00AA0E07" w:rsidRDefault="00AA0E07" w:rsidP="00AA0E07">
      <w:pPr>
        <w:spacing w:line="360" w:lineRule="auto"/>
        <w:jc w:val="both"/>
        <w:rPr>
          <w:rFonts w:eastAsiaTheme="minorHAnsi"/>
          <w:lang w:val="es-ES" w:eastAsia="en-US"/>
        </w:rPr>
      </w:pPr>
      <w:r w:rsidRPr="00AA0E07">
        <w:rPr>
          <w:rFonts w:eastAsiaTheme="minorHAnsi"/>
          <w:b/>
          <w:bCs/>
          <w:lang w:val="es-ES" w:eastAsia="en-US"/>
        </w:rPr>
        <w:t xml:space="preserve">Caso clínico: </w:t>
      </w:r>
      <w:r w:rsidRPr="00AA0E07">
        <w:rPr>
          <w:rFonts w:eastAsiaTheme="minorHAnsi"/>
          <w:lang w:val="es-ES" w:eastAsia="en-US"/>
        </w:rPr>
        <w:t xml:space="preserve">Mujer de 58 años, antecedentes de cálculos en vesícula biliar, que ingresó en estado de </w:t>
      </w:r>
      <w:r w:rsidRPr="00AA0E07">
        <w:rPr>
          <w:rFonts w:eastAsiaTheme="minorHAnsi"/>
          <w:i/>
          <w:iCs/>
          <w:lang w:val="es-ES" w:eastAsia="en-US"/>
        </w:rPr>
        <w:t>shock</w:t>
      </w:r>
      <w:r w:rsidRPr="00AA0E07">
        <w:rPr>
          <w:rFonts w:eastAsiaTheme="minorHAnsi"/>
          <w:lang w:val="es-ES" w:eastAsia="en-US"/>
        </w:rPr>
        <w:t xml:space="preserve"> séptico por posible colangitis aguda y síntomas respiratorios leves, con prueba positiva para la COVID-19. Por ultrasonido abdominal se le diagnosticó coledocolitiasis y se le realizó colangiopancreatografìa retrógrada endoscópica, se visualizaron múltiples cálculos en colédoco. Se logró el drenaje exitoso de la vía biliar principal, sin complicaciones y evolución favorable.</w:t>
      </w:r>
    </w:p>
    <w:p w14:paraId="4B8A4D4B" w14:textId="77777777" w:rsidR="00AA0E07" w:rsidRPr="00AA0E07" w:rsidRDefault="00AA0E07" w:rsidP="00AA0E07">
      <w:pPr>
        <w:spacing w:line="360" w:lineRule="auto"/>
        <w:jc w:val="both"/>
        <w:rPr>
          <w:rFonts w:eastAsiaTheme="minorHAnsi"/>
          <w:lang w:val="es-ES" w:eastAsia="en-US"/>
        </w:rPr>
      </w:pPr>
      <w:r w:rsidRPr="00AA0E07">
        <w:rPr>
          <w:rFonts w:eastAsiaTheme="minorHAnsi"/>
          <w:b/>
          <w:bCs/>
          <w:lang w:val="es-ES" w:eastAsia="en-US"/>
        </w:rPr>
        <w:t xml:space="preserve">Conclusión: </w:t>
      </w:r>
      <w:r w:rsidRPr="00AA0E07">
        <w:rPr>
          <w:rFonts w:eastAsiaTheme="minorHAnsi"/>
          <w:lang w:val="es-ES" w:eastAsia="en-US"/>
        </w:rPr>
        <w:t>La terapéutica realizada fue una buena opción, en el contexto clínico, de una paciente con la COVID-19 y colangitis aguda por litiasis coledociana.</w:t>
      </w:r>
    </w:p>
    <w:p w14:paraId="13C419D4" w14:textId="77777777" w:rsidR="00AA0E07" w:rsidRPr="00AA0E07" w:rsidRDefault="00AA0E07" w:rsidP="00AA0E07">
      <w:pPr>
        <w:spacing w:line="360" w:lineRule="auto"/>
        <w:jc w:val="both"/>
        <w:rPr>
          <w:rFonts w:eastAsiaTheme="minorHAnsi"/>
          <w:lang w:val="es-PE" w:eastAsia="en-US"/>
        </w:rPr>
      </w:pPr>
      <w:r w:rsidRPr="00AA0E07">
        <w:rPr>
          <w:rFonts w:eastAsiaTheme="minorHAnsi"/>
          <w:b/>
          <w:lang w:val="es-ES" w:eastAsia="en-US"/>
        </w:rPr>
        <w:t xml:space="preserve">Palabras clave: </w:t>
      </w:r>
      <w:r w:rsidRPr="00AA0E07">
        <w:rPr>
          <w:rFonts w:eastAsiaTheme="minorHAnsi"/>
          <w:lang w:val="es-ES" w:eastAsia="en-US"/>
        </w:rPr>
        <w:t>coledocolitiasis; colangiopancreatografía retrógrada endoscópica; exploración de vía biliar; cálculos biliares comunes; Perú.</w:t>
      </w:r>
      <w:r w:rsidRPr="00AA0E07">
        <w:rPr>
          <w:rFonts w:eastAsiaTheme="minorHAnsi"/>
          <w:lang w:val="es-PE" w:eastAsia="en-US"/>
        </w:rPr>
        <w:t xml:space="preserve"> </w:t>
      </w:r>
    </w:p>
    <w:p w14:paraId="651F9CDA" w14:textId="77777777" w:rsidR="00AA0E07" w:rsidRPr="00AA0E07" w:rsidRDefault="00AA0E07" w:rsidP="00AA0E07">
      <w:pPr>
        <w:spacing w:line="360" w:lineRule="auto"/>
        <w:rPr>
          <w:rFonts w:eastAsiaTheme="minorHAnsi"/>
          <w:b/>
          <w:lang w:val="es-PE" w:eastAsia="en-US"/>
        </w:rPr>
      </w:pPr>
    </w:p>
    <w:p w14:paraId="08D131F0" w14:textId="77777777" w:rsidR="00AA0E07" w:rsidRPr="00AA0E07" w:rsidRDefault="00AA0E07" w:rsidP="00AA0E07">
      <w:pPr>
        <w:spacing w:line="360" w:lineRule="auto"/>
        <w:rPr>
          <w:rFonts w:eastAsiaTheme="minorHAnsi"/>
          <w:b/>
          <w:lang w:val="en-US" w:eastAsia="en-US"/>
        </w:rPr>
      </w:pPr>
      <w:r w:rsidRPr="00AA0E07">
        <w:rPr>
          <w:rFonts w:eastAsiaTheme="minorHAnsi"/>
          <w:b/>
          <w:lang w:val="en-US" w:eastAsia="en-US"/>
        </w:rPr>
        <w:t>ABSTRACT</w:t>
      </w:r>
    </w:p>
    <w:p w14:paraId="5C757663" w14:textId="77777777" w:rsidR="00AA0E07" w:rsidRPr="00AA0E07" w:rsidRDefault="00AA0E07" w:rsidP="00AA0E07">
      <w:pPr>
        <w:spacing w:line="360" w:lineRule="auto"/>
        <w:jc w:val="both"/>
        <w:rPr>
          <w:rFonts w:eastAsiaTheme="minorHAnsi"/>
          <w:lang w:val="en-US" w:eastAsia="en-US"/>
        </w:rPr>
      </w:pPr>
      <w:r w:rsidRPr="00AA0E07">
        <w:rPr>
          <w:rFonts w:eastAsiaTheme="minorHAnsi"/>
          <w:b/>
          <w:bCs/>
          <w:lang w:val="en-US" w:eastAsia="en-US"/>
        </w:rPr>
        <w:t xml:space="preserve">Introduction: </w:t>
      </w:r>
      <w:r w:rsidRPr="00AA0E07">
        <w:rPr>
          <w:rFonts w:eastAsiaTheme="minorHAnsi"/>
          <w:lang w:val="en-US" w:eastAsia="en-US"/>
        </w:rPr>
        <w:t>Choledocholithiasis is a disease in which the common bile duct is occupied by stones. Endoscopic retrograde cholangiopancreatography plays an important role in the treatment where the normal passage of bile is restored.</w:t>
      </w:r>
    </w:p>
    <w:p w14:paraId="214BA8A1" w14:textId="77777777" w:rsidR="00AA0E07" w:rsidRPr="00AA0E07" w:rsidRDefault="00AA0E07" w:rsidP="00AA0E07">
      <w:pPr>
        <w:spacing w:line="360" w:lineRule="auto"/>
        <w:jc w:val="both"/>
        <w:rPr>
          <w:rFonts w:eastAsiaTheme="minorHAnsi"/>
          <w:lang w:val="en-US" w:eastAsia="en-US"/>
        </w:rPr>
      </w:pPr>
      <w:r w:rsidRPr="00AA0E07">
        <w:rPr>
          <w:rFonts w:eastAsiaTheme="minorHAnsi"/>
          <w:b/>
          <w:bCs/>
          <w:lang w:val="en-US" w:eastAsia="en-US"/>
        </w:rPr>
        <w:t xml:space="preserve">Objective: </w:t>
      </w:r>
      <w:r w:rsidRPr="00AA0E07">
        <w:rPr>
          <w:rFonts w:eastAsiaTheme="minorHAnsi"/>
          <w:lang w:val="en-US" w:eastAsia="en-US"/>
        </w:rPr>
        <w:t>To present a patient with COVID-19 and acute cholangitis due to multiple choledocholithiasis, who underwent endoscopic retrograde cholangiopancreatography.</w:t>
      </w:r>
    </w:p>
    <w:p w14:paraId="6E90FB35" w14:textId="77777777" w:rsidR="00AA0E07" w:rsidRPr="00AA0E07" w:rsidRDefault="00AA0E07" w:rsidP="00AA0E07">
      <w:pPr>
        <w:spacing w:line="360" w:lineRule="auto"/>
        <w:jc w:val="both"/>
        <w:rPr>
          <w:rFonts w:eastAsiaTheme="minorHAnsi"/>
          <w:lang w:val="en-US" w:eastAsia="en-US"/>
        </w:rPr>
      </w:pPr>
      <w:r w:rsidRPr="00AA0E07">
        <w:rPr>
          <w:rFonts w:eastAsiaTheme="minorHAnsi"/>
          <w:b/>
          <w:bCs/>
          <w:lang w:val="en-US" w:eastAsia="en-US"/>
        </w:rPr>
        <w:t xml:space="preserve">Clinical case: </w:t>
      </w:r>
      <w:r w:rsidRPr="00AA0E07">
        <w:rPr>
          <w:rFonts w:eastAsiaTheme="minorHAnsi"/>
          <w:lang w:val="en-US" w:eastAsia="en-US"/>
        </w:rPr>
        <w:t>A 58-year-old woman, with a history of gallbladder stones, who was admitted in a state of septic shock due to possible acute cholangitis and mild respiratory symptoms, with a positive test for COVID-19. Choledocholithiasis was diagnosed by abdominal ultrasound and endoscopic retrograde cholangiopancreatography was performed, showing multiple stones in the common bile duct. Successful drainage of the main bile duct was achieved, without complications and favorable evolution.</w:t>
      </w:r>
    </w:p>
    <w:p w14:paraId="4B020E79" w14:textId="77777777" w:rsidR="00AA0E07" w:rsidRPr="00AA0E07" w:rsidRDefault="00AA0E07" w:rsidP="00AA0E07">
      <w:pPr>
        <w:spacing w:line="360" w:lineRule="auto"/>
        <w:jc w:val="both"/>
        <w:rPr>
          <w:rFonts w:eastAsiaTheme="minorHAnsi"/>
          <w:lang w:val="en-US" w:eastAsia="en-US"/>
        </w:rPr>
      </w:pPr>
      <w:r w:rsidRPr="00AA0E07">
        <w:rPr>
          <w:rFonts w:eastAsiaTheme="minorHAnsi"/>
          <w:b/>
          <w:bCs/>
          <w:lang w:val="en-US" w:eastAsia="en-US"/>
        </w:rPr>
        <w:t xml:space="preserve">Conclusion: </w:t>
      </w:r>
      <w:r w:rsidRPr="00AA0E07">
        <w:rPr>
          <w:rFonts w:eastAsiaTheme="minorHAnsi"/>
          <w:lang w:val="en-US" w:eastAsia="en-US"/>
        </w:rPr>
        <w:t xml:space="preserve">The treatment performed was a good option, in the clinical context, of a patient with COVID-19 and acute cholangitis due to common bile duct stones. </w:t>
      </w:r>
    </w:p>
    <w:p w14:paraId="28F2194A" w14:textId="77777777" w:rsidR="00AA0E07" w:rsidRPr="00AA0E07" w:rsidRDefault="00AA0E07" w:rsidP="00AA0E07">
      <w:pPr>
        <w:spacing w:line="360" w:lineRule="auto"/>
        <w:jc w:val="both"/>
        <w:rPr>
          <w:rFonts w:eastAsiaTheme="minorHAnsi"/>
          <w:lang w:val="en-US" w:eastAsia="en-US"/>
        </w:rPr>
      </w:pPr>
      <w:r w:rsidRPr="00AA0E07">
        <w:rPr>
          <w:rFonts w:eastAsiaTheme="minorHAnsi"/>
          <w:b/>
          <w:lang w:val="en-US" w:eastAsia="en-US"/>
        </w:rPr>
        <w:t>Keywords:</w:t>
      </w:r>
      <w:r w:rsidRPr="00AA0E07">
        <w:rPr>
          <w:rFonts w:eastAsiaTheme="minorHAnsi"/>
          <w:lang w:val="en-US" w:eastAsia="en-US"/>
        </w:rPr>
        <w:t xml:space="preserve"> choledocholithiasis; endoscopic retrograde cholangiopancreatography; bile duct exploration; common bile duct stones; Peru.</w:t>
      </w:r>
    </w:p>
    <w:p w14:paraId="6AC103D9" w14:textId="77777777" w:rsidR="00AA0E07" w:rsidRPr="00AA0E07" w:rsidRDefault="00AA0E07" w:rsidP="00AA0E07">
      <w:pPr>
        <w:spacing w:line="360" w:lineRule="auto"/>
        <w:jc w:val="both"/>
        <w:rPr>
          <w:rFonts w:eastAsiaTheme="minorHAnsi"/>
          <w:lang w:val="en-US" w:eastAsia="en-US"/>
        </w:rPr>
      </w:pPr>
    </w:p>
    <w:p w14:paraId="09BD7F1E" w14:textId="77777777" w:rsidR="00AA0E07" w:rsidRPr="00AA0E07" w:rsidRDefault="00AA0E07" w:rsidP="00AA0E07">
      <w:pPr>
        <w:spacing w:line="360" w:lineRule="auto"/>
        <w:jc w:val="both"/>
        <w:rPr>
          <w:rFonts w:eastAsiaTheme="minorHAnsi"/>
          <w:lang w:val="en-US" w:eastAsia="en-US"/>
        </w:rPr>
      </w:pPr>
    </w:p>
    <w:p w14:paraId="45C248DC" w14:textId="77777777" w:rsidR="00AA0E07" w:rsidRPr="00AA0E07" w:rsidRDefault="00AA0E07" w:rsidP="00AA0E07">
      <w:pPr>
        <w:spacing w:line="360" w:lineRule="auto"/>
        <w:jc w:val="both"/>
        <w:rPr>
          <w:rFonts w:eastAsiaTheme="minorHAnsi"/>
          <w:lang w:val="es-PE" w:eastAsia="en-US"/>
        </w:rPr>
      </w:pPr>
      <w:r w:rsidRPr="00AA0E07">
        <w:rPr>
          <w:rFonts w:eastAsiaTheme="minorHAnsi"/>
          <w:lang w:val="es-PE" w:eastAsia="en-US"/>
        </w:rPr>
        <w:t>Recibido: 28/11/2022</w:t>
      </w:r>
    </w:p>
    <w:p w14:paraId="49720B25" w14:textId="77777777" w:rsidR="00AA0E07" w:rsidRPr="00AA0E07" w:rsidRDefault="00AA0E07" w:rsidP="00AA0E07">
      <w:pPr>
        <w:spacing w:line="360" w:lineRule="auto"/>
        <w:jc w:val="both"/>
        <w:rPr>
          <w:rFonts w:eastAsiaTheme="minorHAnsi"/>
          <w:lang w:val="es-PE" w:eastAsia="en-US"/>
        </w:rPr>
      </w:pPr>
      <w:r w:rsidRPr="00AA0E07">
        <w:rPr>
          <w:rFonts w:eastAsiaTheme="minorHAnsi"/>
          <w:lang w:val="es-PE" w:eastAsia="en-US"/>
        </w:rPr>
        <w:t>Aprobado: 23/01/2023</w:t>
      </w:r>
    </w:p>
    <w:p w14:paraId="37226182" w14:textId="77777777" w:rsidR="00F14F67" w:rsidRDefault="00F14F67" w:rsidP="00AA0E07">
      <w:pPr>
        <w:spacing w:line="360" w:lineRule="auto"/>
        <w:jc w:val="center"/>
        <w:rPr>
          <w:rFonts w:eastAsiaTheme="minorHAnsi"/>
          <w:b/>
          <w:sz w:val="32"/>
          <w:szCs w:val="32"/>
          <w:lang w:val="es-ES" w:eastAsia="en-US"/>
        </w:rPr>
      </w:pPr>
    </w:p>
    <w:p w14:paraId="3D03949D" w14:textId="77777777" w:rsidR="00F14F67" w:rsidRDefault="00F14F67" w:rsidP="00AA0E07">
      <w:pPr>
        <w:spacing w:line="360" w:lineRule="auto"/>
        <w:jc w:val="center"/>
        <w:rPr>
          <w:rFonts w:eastAsiaTheme="minorHAnsi"/>
          <w:b/>
          <w:sz w:val="32"/>
          <w:szCs w:val="32"/>
          <w:lang w:val="es-ES" w:eastAsia="en-US"/>
        </w:rPr>
      </w:pPr>
    </w:p>
    <w:p w14:paraId="4D692373" w14:textId="77777777" w:rsidR="00AA0E07" w:rsidRPr="00AA0E07" w:rsidRDefault="00AA0E07" w:rsidP="00AA0E07">
      <w:pPr>
        <w:spacing w:line="360" w:lineRule="auto"/>
        <w:jc w:val="center"/>
        <w:rPr>
          <w:rFonts w:eastAsiaTheme="minorHAnsi"/>
          <w:b/>
          <w:sz w:val="32"/>
          <w:szCs w:val="32"/>
          <w:lang w:val="es-ES" w:eastAsia="en-US"/>
        </w:rPr>
      </w:pPr>
      <w:r w:rsidRPr="00AA0E07">
        <w:rPr>
          <w:rFonts w:eastAsiaTheme="minorHAnsi"/>
          <w:b/>
          <w:sz w:val="32"/>
          <w:szCs w:val="32"/>
          <w:lang w:val="es-ES" w:eastAsia="en-US"/>
        </w:rPr>
        <w:t>INTRODUCCIÓN</w:t>
      </w:r>
    </w:p>
    <w:p w14:paraId="5581D981" w14:textId="77777777" w:rsidR="00AA0E07" w:rsidRPr="00AA0E07" w:rsidRDefault="00AA0E07" w:rsidP="00AA0E07">
      <w:pPr>
        <w:spacing w:line="360" w:lineRule="auto"/>
        <w:jc w:val="both"/>
        <w:rPr>
          <w:rFonts w:eastAsiaTheme="minorHAnsi"/>
          <w:lang w:val="es-ES" w:eastAsia="en-US"/>
        </w:rPr>
      </w:pPr>
      <w:r w:rsidRPr="00AA0E07">
        <w:rPr>
          <w:rFonts w:eastAsiaTheme="minorHAnsi"/>
          <w:lang w:val="es-ES" w:eastAsia="en-US"/>
        </w:rPr>
        <w:t>Debido a que la coledocolitiasis puede presentar complicaciones graves, como colangitis, pancreatitis y muerte, es necesario un tratamiento oportuno.</w:t>
      </w:r>
      <w:r w:rsidRPr="00AA0E07">
        <w:rPr>
          <w:rFonts w:eastAsiaTheme="minorHAnsi"/>
          <w:vertAlign w:val="superscript"/>
          <w:lang w:val="es-PE" w:eastAsia="en-US"/>
        </w:rPr>
        <w:t>(1)</w:t>
      </w:r>
      <w:r w:rsidRPr="00AA0E07">
        <w:rPr>
          <w:rFonts w:eastAsiaTheme="minorHAnsi"/>
          <w:lang w:val="es-PE" w:eastAsia="en-US"/>
        </w:rPr>
        <w:t xml:space="preserve"> </w:t>
      </w:r>
      <w:r w:rsidRPr="00AA0E07">
        <w:rPr>
          <w:rFonts w:eastAsiaTheme="minorHAnsi"/>
          <w:lang w:val="es-ES" w:eastAsia="en-US"/>
        </w:rPr>
        <w:t>La colangiopancreatografía retrógrada endoscópica (CPRE) permite la detección de cálculos del conducto biliar común (CBDS) y es usualmente el procedimiento diagnóstico y terapéutico de la coledocolitiasis.</w:t>
      </w:r>
    </w:p>
    <w:p w14:paraId="718204D3" w14:textId="77777777" w:rsidR="00AA0E07" w:rsidRPr="00AA0E07" w:rsidRDefault="00AA0E07" w:rsidP="00AA0E07">
      <w:pPr>
        <w:spacing w:line="360" w:lineRule="auto"/>
        <w:jc w:val="both"/>
        <w:rPr>
          <w:rFonts w:eastAsiaTheme="minorHAnsi"/>
          <w:lang w:val="es-PE" w:eastAsia="en-US"/>
        </w:rPr>
      </w:pPr>
      <w:r w:rsidRPr="00AA0E07">
        <w:rPr>
          <w:rFonts w:eastAsiaTheme="minorHAnsi"/>
          <w:lang w:val="es-ES" w:eastAsia="en-US"/>
        </w:rPr>
        <w:t>La CPRE presenta riesgos de complicaciones, como pancreatitis aguda, hemorragia, perforación, colangitis, dolor post-CEPRE, e impactación de canastilla de Dormia. Por tanto, su uso requiere un adecuado entrenamiento y factores específicos del paciente, que determinarán la aparición de complicaciones.</w:t>
      </w:r>
      <w:r w:rsidRPr="00AA0E07">
        <w:rPr>
          <w:rFonts w:eastAsiaTheme="minorHAnsi"/>
          <w:vertAlign w:val="superscript"/>
          <w:lang w:val="es-PE" w:eastAsia="en-US"/>
        </w:rPr>
        <w:t>(2)</w:t>
      </w:r>
      <w:r w:rsidRPr="00AA0E07">
        <w:rPr>
          <w:rFonts w:eastAsiaTheme="minorHAnsi"/>
          <w:lang w:val="es-PE" w:eastAsia="en-US"/>
        </w:rPr>
        <w:t xml:space="preserve"> El tratamiento de pacientes con la COVID-19 y </w:t>
      </w:r>
      <w:r w:rsidRPr="00AA0E07">
        <w:rPr>
          <w:rFonts w:eastAsiaTheme="minorHAnsi"/>
          <w:lang w:val="es-ES" w:eastAsia="en-US"/>
        </w:rPr>
        <w:t>coledocolitiasis aún no se ha descrito en Perú.</w:t>
      </w:r>
    </w:p>
    <w:p w14:paraId="24000020" w14:textId="77777777" w:rsidR="00AA0E07" w:rsidRPr="00AA0E07" w:rsidRDefault="00AA0E07" w:rsidP="00AA0E07">
      <w:pPr>
        <w:spacing w:line="360" w:lineRule="auto"/>
        <w:jc w:val="both"/>
        <w:rPr>
          <w:rFonts w:eastAsiaTheme="minorHAnsi"/>
          <w:lang w:val="es-ES" w:eastAsia="en-US"/>
        </w:rPr>
      </w:pPr>
      <w:r w:rsidRPr="00AA0E07">
        <w:rPr>
          <w:rFonts w:eastAsiaTheme="minorHAnsi"/>
          <w:lang w:val="es-PE" w:eastAsia="en-US"/>
        </w:rPr>
        <w:t xml:space="preserve">Siguiendo las pautas de la guía CARE, el objetivo de este estudio es presentar </w:t>
      </w:r>
      <w:r w:rsidRPr="00AA0E07">
        <w:rPr>
          <w:rFonts w:eastAsiaTheme="minorHAnsi"/>
          <w:lang w:val="es-ES" w:eastAsia="en-US"/>
        </w:rPr>
        <w:t>un paciente con la COVID-19 y colangitis aguda por coledocolitiasis múltiple, que se le realizó CPRE.</w:t>
      </w:r>
    </w:p>
    <w:p w14:paraId="2F118DA3" w14:textId="77777777" w:rsidR="00AA0E07" w:rsidRPr="00AA0E07" w:rsidRDefault="00AA0E07" w:rsidP="00AA0E07">
      <w:pPr>
        <w:spacing w:line="360" w:lineRule="auto"/>
        <w:jc w:val="both"/>
        <w:rPr>
          <w:rFonts w:eastAsiaTheme="minorHAnsi"/>
          <w:b/>
          <w:lang w:val="es-ES" w:eastAsia="en-US"/>
        </w:rPr>
      </w:pPr>
    </w:p>
    <w:p w14:paraId="4F738107" w14:textId="77777777" w:rsidR="00AA0E07" w:rsidRPr="00AA0E07" w:rsidRDefault="00AA0E07" w:rsidP="00AA0E07">
      <w:pPr>
        <w:spacing w:line="360" w:lineRule="auto"/>
        <w:jc w:val="both"/>
        <w:rPr>
          <w:rFonts w:eastAsiaTheme="minorHAnsi"/>
          <w:b/>
          <w:lang w:val="es-ES" w:eastAsia="en-US"/>
        </w:rPr>
      </w:pPr>
    </w:p>
    <w:p w14:paraId="1D29C914" w14:textId="77777777" w:rsidR="00AA0E07" w:rsidRPr="00AA0E07" w:rsidRDefault="00AA0E07" w:rsidP="00AA0E07">
      <w:pPr>
        <w:spacing w:line="360" w:lineRule="auto"/>
        <w:jc w:val="center"/>
        <w:rPr>
          <w:rFonts w:eastAsiaTheme="minorHAnsi"/>
          <w:b/>
          <w:sz w:val="32"/>
          <w:szCs w:val="32"/>
          <w:lang w:val="es-ES" w:eastAsia="en-US"/>
        </w:rPr>
      </w:pPr>
      <w:r w:rsidRPr="00AA0E07">
        <w:rPr>
          <w:rFonts w:eastAsiaTheme="minorHAnsi"/>
          <w:b/>
          <w:sz w:val="32"/>
          <w:szCs w:val="32"/>
          <w:lang w:val="es-ES" w:eastAsia="en-US"/>
        </w:rPr>
        <w:t>CASO CLÍNICO</w:t>
      </w:r>
    </w:p>
    <w:p w14:paraId="6713CE71" w14:textId="77777777" w:rsidR="00AA0E07" w:rsidRPr="00AA0E07" w:rsidRDefault="00AA0E07" w:rsidP="00AA0E07">
      <w:pPr>
        <w:spacing w:line="360" w:lineRule="auto"/>
        <w:jc w:val="both"/>
        <w:rPr>
          <w:rFonts w:eastAsiaTheme="minorHAnsi"/>
          <w:lang w:val="es-ES" w:eastAsia="en-US"/>
        </w:rPr>
      </w:pPr>
      <w:r w:rsidRPr="00AA0E07">
        <w:rPr>
          <w:rFonts w:eastAsiaTheme="minorHAnsi"/>
          <w:lang w:val="es-ES" w:eastAsia="en-US"/>
        </w:rPr>
        <w:t xml:space="preserve">Mujer de 58 años de edad; acude a emergencia del Hospital Nacional Cayetano Heredia por presentar hace 5 días dolor abdominal tipo cólico, en epigastrio e hipocondrio derecho, asociado a sensación de alza térmica e hiporexia. Se agrega un episodio de vómito, de contenido alimentario. La paciente presentó antecedente de litiasis vesicular diagnosticada hace 2 años y no reportó cirugías previas. </w:t>
      </w:r>
    </w:p>
    <w:p w14:paraId="7DE3BE82" w14:textId="77777777" w:rsidR="00AA0E07" w:rsidRPr="00AA0E07" w:rsidRDefault="00AA0E07" w:rsidP="00AA0E07">
      <w:pPr>
        <w:spacing w:line="360" w:lineRule="auto"/>
        <w:jc w:val="both"/>
        <w:rPr>
          <w:rFonts w:eastAsiaTheme="minorHAnsi"/>
          <w:lang w:val="es-ES" w:eastAsia="en-US"/>
        </w:rPr>
      </w:pPr>
      <w:r w:rsidRPr="00AA0E07">
        <w:rPr>
          <w:rFonts w:eastAsiaTheme="minorHAnsi"/>
          <w:lang w:val="es-ES" w:eastAsia="en-US"/>
        </w:rPr>
        <w:t xml:space="preserve">En el examen físico se evidencia paciente en regular estado general, de nutrición e hidratación. Su presión arterial fue de 99/65 mmHg, frecuencia respiratoria de 20 por minuto, frecuencia cardiaca de 71 latidos por minuto; saturación de oxígeno al 99 %, fracción inspirada de oxígeno al 21 % y temperatura de </w:t>
      </w:r>
      <w:r w:rsidRPr="00AA0E07">
        <w:rPr>
          <w:rFonts w:eastAsiaTheme="minorHAnsi"/>
          <w:lang w:val="es-ES" w:eastAsia="en-US"/>
        </w:rPr>
        <w:lastRenderedPageBreak/>
        <w:t>36,3 ºC. Se observó ictericia en piel y escleras ++/+++, abdomen globuloso, blando y depresible, doloroso a la palpación en epigastrio e hipocondrio derecho. Se realizó la prueba de la COVID-19 con resultado positivo, pero con síntomas respiratorios leves, sin alteración de la coagulación ni requerimientos ventilatorios. Los demás sistemas aparentemente sin alteraciones.</w:t>
      </w:r>
    </w:p>
    <w:p w14:paraId="25106BED" w14:textId="77777777" w:rsidR="00AA0E07" w:rsidRDefault="00AA0E07" w:rsidP="00AA0E07">
      <w:pPr>
        <w:spacing w:line="360" w:lineRule="auto"/>
        <w:jc w:val="both"/>
        <w:rPr>
          <w:rFonts w:eastAsiaTheme="minorHAnsi"/>
          <w:lang w:val="es-ES" w:eastAsia="en-US"/>
        </w:rPr>
      </w:pPr>
      <w:r w:rsidRPr="00AA0E07">
        <w:rPr>
          <w:rFonts w:eastAsiaTheme="minorHAnsi"/>
          <w:lang w:val="es-ES" w:eastAsia="en-US"/>
        </w:rPr>
        <w:t xml:space="preserve">La impresión diagnostica inicial fue de </w:t>
      </w:r>
      <w:r w:rsidRPr="00AA0E07">
        <w:rPr>
          <w:rFonts w:eastAsiaTheme="minorHAnsi"/>
          <w:i/>
          <w:iCs/>
          <w:lang w:val="es-ES" w:eastAsia="en-US"/>
        </w:rPr>
        <w:t>shock</w:t>
      </w:r>
      <w:r w:rsidRPr="00AA0E07">
        <w:rPr>
          <w:rFonts w:eastAsiaTheme="minorHAnsi"/>
          <w:lang w:val="es-ES" w:eastAsia="en-US"/>
        </w:rPr>
        <w:t xml:space="preserve"> séptico con foco abdominal, con diagnostico presuntivo final de colangitis aguda. Para el tratamiento inicial se indicó hidratación, antibióticos, perfiles completos (Fig. 1), ecografía abdominal y evaluación por cirugía general.</w:t>
      </w:r>
    </w:p>
    <w:p w14:paraId="02092FC1" w14:textId="77777777" w:rsidR="00B37A24" w:rsidRDefault="00B37A24" w:rsidP="00B37A24">
      <w:pPr>
        <w:spacing w:line="360" w:lineRule="auto"/>
        <w:jc w:val="both"/>
        <w:rPr>
          <w:rFonts w:eastAsiaTheme="minorHAnsi"/>
          <w:lang w:val="es-ES" w:eastAsia="en-US"/>
        </w:rPr>
      </w:pPr>
      <w:r w:rsidRPr="00AA0E07">
        <w:rPr>
          <w:rFonts w:eastAsiaTheme="minorHAnsi"/>
          <w:lang w:val="es-ES" w:eastAsia="en-US"/>
        </w:rPr>
        <w:t>El ultrasonido de abdomen mostró coledocolitiasis, que ocasionada dilatación de vías intra y extrahepáticas, colédoco dilatado hasta 15 mm con presencia de cálculo de 14 mm en su interior. Además, vesícula biliar con múltiples cálculos en su interior, el mayor de 17 mm, esteatosis hepática leve y hepatomegalia. Se agregó hiponatremia leve, anemia leve normocítica normocrómica y trastorno hidroelectrolítico (Fig. 2).</w:t>
      </w:r>
    </w:p>
    <w:p w14:paraId="3579AB9F" w14:textId="77777777" w:rsidR="00B37A24" w:rsidRPr="00AA0E07" w:rsidRDefault="00B37A24" w:rsidP="00AA0E07">
      <w:pPr>
        <w:spacing w:line="360" w:lineRule="auto"/>
        <w:jc w:val="both"/>
        <w:rPr>
          <w:rFonts w:eastAsiaTheme="minorHAnsi"/>
          <w:lang w:val="es-ES" w:eastAsia="en-US"/>
        </w:rPr>
      </w:pPr>
    </w:p>
    <w:p w14:paraId="17B9C88F" w14:textId="77777777" w:rsidR="00AA0E07" w:rsidRPr="00AA0E07" w:rsidRDefault="00AA0E07" w:rsidP="00AA0E07">
      <w:pPr>
        <w:spacing w:line="360" w:lineRule="auto"/>
        <w:jc w:val="both"/>
        <w:rPr>
          <w:rFonts w:eastAsiaTheme="minorHAnsi"/>
          <w:lang w:val="es-ES" w:eastAsia="en-US"/>
        </w:rPr>
      </w:pPr>
    </w:p>
    <w:p w14:paraId="4D4FDF9A" w14:textId="199C1FA3" w:rsidR="00AA0E07" w:rsidRPr="00AA0E07" w:rsidRDefault="007B3F47" w:rsidP="00AA0E07">
      <w:pPr>
        <w:spacing w:line="360" w:lineRule="auto"/>
        <w:jc w:val="center"/>
        <w:rPr>
          <w:rFonts w:ascii="Verdana" w:eastAsiaTheme="minorHAnsi" w:hAnsi="Verdana"/>
          <w:sz w:val="18"/>
          <w:szCs w:val="18"/>
          <w:lang w:val="es-PE" w:eastAsia="es-MX"/>
        </w:rPr>
      </w:pPr>
      <w:r>
        <w:rPr>
          <w:rFonts w:ascii="Verdana" w:eastAsiaTheme="minorHAnsi" w:hAnsi="Verdana"/>
          <w:noProof/>
          <w:sz w:val="18"/>
          <w:szCs w:val="18"/>
          <w:lang w:val="es-PE" w:eastAsia="es-MX"/>
        </w:rPr>
        <w:lastRenderedPageBreak/>
        <w:drawing>
          <wp:inline distT="0" distB="0" distL="0" distR="0" wp14:anchorId="15767886" wp14:editId="2DE87D74">
            <wp:extent cx="4191000" cy="59055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3">
                      <a:extLst>
                        <a:ext uri="{28A0092B-C50C-407E-A947-70E740481C1C}">
                          <a14:useLocalDpi xmlns:a14="http://schemas.microsoft.com/office/drawing/2010/main" val="0"/>
                        </a:ext>
                      </a:extLst>
                    </a:blip>
                    <a:stretch>
                      <a:fillRect/>
                    </a:stretch>
                  </pic:blipFill>
                  <pic:spPr>
                    <a:xfrm>
                      <a:off x="0" y="0"/>
                      <a:ext cx="4191000" cy="5905500"/>
                    </a:xfrm>
                    <a:prstGeom prst="rect">
                      <a:avLst/>
                    </a:prstGeom>
                  </pic:spPr>
                </pic:pic>
              </a:graphicData>
            </a:graphic>
          </wp:inline>
        </w:drawing>
      </w:r>
    </w:p>
    <w:p w14:paraId="0C4205FE" w14:textId="77777777" w:rsidR="00AA0E07" w:rsidRPr="00AA0E07" w:rsidRDefault="00AA0E07" w:rsidP="00AA0E07">
      <w:pPr>
        <w:spacing w:line="360" w:lineRule="auto"/>
        <w:jc w:val="center"/>
        <w:rPr>
          <w:rFonts w:eastAsiaTheme="minorHAnsi"/>
          <w:b/>
          <w:bCs/>
          <w:sz w:val="18"/>
          <w:szCs w:val="18"/>
          <w:lang w:val="es-ES" w:eastAsia="en-US"/>
        </w:rPr>
      </w:pPr>
      <w:r w:rsidRPr="00AA0E07">
        <w:rPr>
          <w:rFonts w:eastAsiaTheme="minorHAnsi"/>
          <w:sz w:val="18"/>
          <w:szCs w:val="18"/>
          <w:lang w:val="es-PE" w:eastAsia="es-MX"/>
        </w:rPr>
        <w:t>AP: fosfatasa alcalina, ALAT: aspartato aminotransferasa, ASAT: aspartato aminotransferasa, GGTP: gamma glutamil transpeptidasa, HDL: lipoproteínas de alta densidad, LDL: lipoproteínas de baja densidad, VLDL: lipoproteínas de muy baja densidad, CRP: proteína C reactiva.</w:t>
      </w:r>
    </w:p>
    <w:p w14:paraId="5BEC9C17" w14:textId="23E91BFA" w:rsidR="00AA0E07" w:rsidRPr="00AA0E07" w:rsidRDefault="00AA0E07" w:rsidP="00AA0E07">
      <w:pPr>
        <w:spacing w:line="360" w:lineRule="auto"/>
        <w:jc w:val="center"/>
        <w:rPr>
          <w:rFonts w:eastAsiaTheme="minorHAnsi"/>
          <w:sz w:val="22"/>
          <w:szCs w:val="22"/>
          <w:lang w:val="es-ES" w:eastAsia="en-US"/>
        </w:rPr>
      </w:pPr>
      <w:r w:rsidRPr="00AA0E07">
        <w:rPr>
          <w:rFonts w:eastAsiaTheme="minorHAnsi"/>
          <w:b/>
          <w:bCs/>
          <w:sz w:val="22"/>
          <w:szCs w:val="22"/>
          <w:lang w:val="es-ES" w:eastAsia="en-US"/>
        </w:rPr>
        <w:t xml:space="preserve">Fig. 1 - </w:t>
      </w:r>
      <w:r w:rsidRPr="00AA0E07">
        <w:rPr>
          <w:rFonts w:eastAsiaTheme="minorHAnsi"/>
          <w:sz w:val="22"/>
          <w:szCs w:val="22"/>
          <w:lang w:val="es-ES" w:eastAsia="en-US"/>
        </w:rPr>
        <w:t>Ciclo de resultados de los pacientes durante la estancia hospitalaria. En la interpretación clínica se muestra</w:t>
      </w:r>
      <w:r w:rsidR="00E90CB0">
        <w:rPr>
          <w:rFonts w:eastAsiaTheme="minorHAnsi"/>
          <w:sz w:val="22"/>
          <w:szCs w:val="22"/>
          <w:lang w:val="es-ES" w:eastAsia="en-US"/>
        </w:rPr>
        <w:t>n</w:t>
      </w:r>
      <w:r w:rsidRPr="00AA0E07">
        <w:rPr>
          <w:rFonts w:eastAsiaTheme="minorHAnsi"/>
          <w:sz w:val="22"/>
          <w:szCs w:val="22"/>
          <w:lang w:val="es-ES" w:eastAsia="en-US"/>
        </w:rPr>
        <w:t xml:space="preserve"> los resultados con valores normales (cajas grises), valores reducidos (caja verde) y elevados (caja fucsia).</w:t>
      </w:r>
    </w:p>
    <w:p w14:paraId="1F2D0EC0" w14:textId="77777777" w:rsidR="00AA0E07" w:rsidRPr="00AA0E07" w:rsidRDefault="00AA0E07" w:rsidP="00AA0E07">
      <w:pPr>
        <w:spacing w:line="360" w:lineRule="auto"/>
        <w:jc w:val="both"/>
        <w:rPr>
          <w:rFonts w:eastAsiaTheme="minorHAnsi"/>
          <w:lang w:val="es-ES" w:eastAsia="en-US"/>
        </w:rPr>
      </w:pPr>
    </w:p>
    <w:p w14:paraId="1E9BA0E9" w14:textId="77777777" w:rsidR="00B37A24" w:rsidRPr="00AA0E07" w:rsidRDefault="00B37A24" w:rsidP="00AA0E07">
      <w:pPr>
        <w:spacing w:line="360" w:lineRule="auto"/>
        <w:jc w:val="both"/>
        <w:rPr>
          <w:rFonts w:eastAsiaTheme="minorHAnsi"/>
          <w:lang w:val="es-ES" w:eastAsia="en-US"/>
        </w:rPr>
      </w:pPr>
    </w:p>
    <w:p w14:paraId="5378D738" w14:textId="5B93611A" w:rsidR="00AA0E07" w:rsidRDefault="00A64763" w:rsidP="00AA0E07">
      <w:pPr>
        <w:spacing w:line="360" w:lineRule="auto"/>
        <w:jc w:val="center"/>
        <w:rPr>
          <w:rFonts w:eastAsiaTheme="minorHAnsi"/>
          <w:b/>
          <w:bCs/>
          <w:sz w:val="22"/>
          <w:szCs w:val="22"/>
          <w:lang w:val="es-ES" w:eastAsia="en-US"/>
        </w:rPr>
      </w:pPr>
      <w:r>
        <w:rPr>
          <w:rFonts w:eastAsiaTheme="minorHAnsi"/>
          <w:b/>
          <w:bCs/>
          <w:noProof/>
          <w:sz w:val="22"/>
          <w:szCs w:val="22"/>
          <w:lang w:val="es-ES" w:eastAsia="en-US"/>
        </w:rPr>
        <w:drawing>
          <wp:inline distT="0" distB="0" distL="0" distR="0" wp14:anchorId="40010341" wp14:editId="07E7FF07">
            <wp:extent cx="3810000" cy="39433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4">
                      <a:extLst>
                        <a:ext uri="{28A0092B-C50C-407E-A947-70E740481C1C}">
                          <a14:useLocalDpi xmlns:a14="http://schemas.microsoft.com/office/drawing/2010/main" val="0"/>
                        </a:ext>
                      </a:extLst>
                    </a:blip>
                    <a:stretch>
                      <a:fillRect/>
                    </a:stretch>
                  </pic:blipFill>
                  <pic:spPr>
                    <a:xfrm>
                      <a:off x="0" y="0"/>
                      <a:ext cx="3810000" cy="3943350"/>
                    </a:xfrm>
                    <a:prstGeom prst="rect">
                      <a:avLst/>
                    </a:prstGeom>
                  </pic:spPr>
                </pic:pic>
              </a:graphicData>
            </a:graphic>
          </wp:inline>
        </w:drawing>
      </w:r>
    </w:p>
    <w:p w14:paraId="5DE5719C" w14:textId="77777777" w:rsidR="00AA0E07" w:rsidRPr="00AA0E07" w:rsidRDefault="00AA0E07" w:rsidP="00AA0E07">
      <w:pPr>
        <w:spacing w:line="360" w:lineRule="auto"/>
        <w:jc w:val="center"/>
        <w:rPr>
          <w:rFonts w:eastAsiaTheme="minorHAnsi"/>
          <w:sz w:val="22"/>
          <w:szCs w:val="22"/>
          <w:lang w:val="es-ES" w:eastAsia="en-US"/>
        </w:rPr>
      </w:pPr>
      <w:r w:rsidRPr="00AA0E07">
        <w:rPr>
          <w:rFonts w:eastAsiaTheme="minorHAnsi"/>
          <w:b/>
          <w:bCs/>
          <w:sz w:val="22"/>
          <w:szCs w:val="22"/>
          <w:lang w:val="es-ES" w:eastAsia="en-US"/>
        </w:rPr>
        <w:t xml:space="preserve">Fig. 2 - </w:t>
      </w:r>
      <w:r w:rsidRPr="00AA0E07">
        <w:rPr>
          <w:rFonts w:eastAsiaTheme="minorHAnsi"/>
          <w:sz w:val="22"/>
          <w:szCs w:val="22"/>
          <w:lang w:val="es-ES" w:eastAsia="en-US"/>
        </w:rPr>
        <w:t>Resultados de gases en sangre arterial al ingreso del paciente. En la interpretación clínica se muestran los resultados con valores normales (cajas grises), valor reducidos (caja verde) y elevados (caja fucsia).</w:t>
      </w:r>
    </w:p>
    <w:p w14:paraId="46444796" w14:textId="77777777" w:rsidR="00AA0E07" w:rsidRPr="00AA0E07" w:rsidRDefault="00AA0E07" w:rsidP="00AA0E07">
      <w:pPr>
        <w:spacing w:line="360" w:lineRule="auto"/>
        <w:jc w:val="both"/>
        <w:rPr>
          <w:rFonts w:eastAsiaTheme="minorHAnsi"/>
          <w:lang w:val="es-ES" w:eastAsia="en-US"/>
        </w:rPr>
      </w:pPr>
    </w:p>
    <w:p w14:paraId="447B1E22" w14:textId="77777777" w:rsidR="00AA0E07" w:rsidRPr="00AA0E07" w:rsidRDefault="00AA0E07" w:rsidP="00AA0E07">
      <w:pPr>
        <w:spacing w:line="360" w:lineRule="auto"/>
        <w:jc w:val="both"/>
        <w:rPr>
          <w:rFonts w:eastAsiaTheme="minorHAnsi"/>
          <w:lang w:val="es-ES" w:eastAsia="en-US"/>
        </w:rPr>
      </w:pPr>
      <w:r w:rsidRPr="00AA0E07">
        <w:rPr>
          <w:rFonts w:eastAsiaTheme="minorHAnsi"/>
          <w:lang w:val="es-ES" w:eastAsia="en-US"/>
        </w:rPr>
        <w:t>La evaluación del paciente por cirugía general mostró afectación de las vías biliares dilatadas y signos de infección sistémica (colangitis aguda moderada y coledocolitiasis). Se indicó hospitalización para evaluación por gastroenterología, con CPRE y cobertura antibiótica amplia (Fig. 3).</w:t>
      </w:r>
    </w:p>
    <w:p w14:paraId="423FD39F" w14:textId="77777777" w:rsidR="00AA0E07" w:rsidRPr="00AA0E07" w:rsidRDefault="00AA0E07" w:rsidP="00AA0E07">
      <w:pPr>
        <w:spacing w:line="360" w:lineRule="auto"/>
        <w:jc w:val="both"/>
        <w:rPr>
          <w:rFonts w:eastAsiaTheme="minorHAnsi"/>
          <w:lang w:val="es-ES" w:eastAsia="en-US"/>
        </w:rPr>
      </w:pPr>
    </w:p>
    <w:p w14:paraId="25A6495D" w14:textId="77777777" w:rsidR="00AA0E07" w:rsidRPr="00AA0E07" w:rsidRDefault="00AA0E07" w:rsidP="00AA0E07">
      <w:pPr>
        <w:spacing w:line="360" w:lineRule="auto"/>
        <w:jc w:val="center"/>
        <w:rPr>
          <w:rFonts w:eastAsiaTheme="minorHAnsi"/>
          <w:lang w:val="es-ES" w:eastAsia="en-US"/>
        </w:rPr>
      </w:pPr>
      <w:r w:rsidRPr="00AA0E07">
        <w:rPr>
          <w:rFonts w:eastAsiaTheme="minorHAnsi"/>
          <w:noProof/>
          <w:lang w:val="es-ES" w:eastAsia="es-ES"/>
        </w:rPr>
        <w:lastRenderedPageBreak/>
        <w:drawing>
          <wp:inline distT="0" distB="0" distL="0" distR="0" wp14:anchorId="18909378" wp14:editId="569FA5EA">
            <wp:extent cx="3961216" cy="3017668"/>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03_2326xml.jpg"/>
                    <pic:cNvPicPr/>
                  </pic:nvPicPr>
                  <pic:blipFill>
                    <a:blip r:embed="rId15">
                      <a:extLst>
                        <a:ext uri="{28A0092B-C50C-407E-A947-70E740481C1C}">
                          <a14:useLocalDpi xmlns:a14="http://schemas.microsoft.com/office/drawing/2010/main" val="0"/>
                        </a:ext>
                      </a:extLst>
                    </a:blip>
                    <a:stretch>
                      <a:fillRect/>
                    </a:stretch>
                  </pic:blipFill>
                  <pic:spPr>
                    <a:xfrm>
                      <a:off x="0" y="0"/>
                      <a:ext cx="3972433" cy="3026213"/>
                    </a:xfrm>
                    <a:prstGeom prst="rect">
                      <a:avLst/>
                    </a:prstGeom>
                  </pic:spPr>
                </pic:pic>
              </a:graphicData>
            </a:graphic>
          </wp:inline>
        </w:drawing>
      </w:r>
    </w:p>
    <w:p w14:paraId="77593D03" w14:textId="77777777" w:rsidR="00AA0E07" w:rsidRPr="00AA0E07" w:rsidRDefault="00AA0E07" w:rsidP="00AA0E07">
      <w:pPr>
        <w:spacing w:line="360" w:lineRule="auto"/>
        <w:jc w:val="center"/>
        <w:rPr>
          <w:rFonts w:eastAsiaTheme="minorHAnsi"/>
          <w:sz w:val="22"/>
          <w:szCs w:val="22"/>
          <w:lang w:val="es-ES" w:eastAsia="en-US"/>
        </w:rPr>
      </w:pPr>
      <w:r w:rsidRPr="00AA0E07">
        <w:rPr>
          <w:rFonts w:eastAsiaTheme="minorHAnsi"/>
          <w:b/>
          <w:bCs/>
          <w:sz w:val="22"/>
          <w:szCs w:val="22"/>
          <w:lang w:val="es-ES" w:eastAsia="en-US"/>
        </w:rPr>
        <w:t xml:space="preserve">Fig. 3 - </w:t>
      </w:r>
      <w:r w:rsidRPr="00AA0E07">
        <w:rPr>
          <w:rFonts w:eastAsiaTheme="minorHAnsi"/>
          <w:sz w:val="22"/>
          <w:szCs w:val="22"/>
          <w:lang w:val="es-ES" w:eastAsia="en-US"/>
        </w:rPr>
        <w:t>Fases de resultados de CPRE. A: se confirman múltiples cálculos en el colédoco. B: dilatación con balón de la papila de Váter. C: barrido con balón para extracción de cálculos. D: barrer con cesto para extraer escombros. E: conducto biliar común libre de cálculos.</w:t>
      </w:r>
    </w:p>
    <w:p w14:paraId="3586A030" w14:textId="77777777" w:rsidR="00AA0E07" w:rsidRPr="00AA0E07" w:rsidRDefault="00AA0E07" w:rsidP="00AA0E07">
      <w:pPr>
        <w:spacing w:line="360" w:lineRule="auto"/>
        <w:jc w:val="both"/>
        <w:rPr>
          <w:rFonts w:eastAsiaTheme="minorHAnsi"/>
          <w:lang w:val="es-ES" w:eastAsia="en-US"/>
        </w:rPr>
      </w:pPr>
    </w:p>
    <w:p w14:paraId="08BC3446" w14:textId="77777777" w:rsidR="00AA0E07" w:rsidRPr="00AA0E07" w:rsidRDefault="00AA0E07" w:rsidP="00AA0E07">
      <w:pPr>
        <w:spacing w:line="360" w:lineRule="auto"/>
        <w:jc w:val="both"/>
        <w:rPr>
          <w:rFonts w:eastAsiaTheme="minorHAnsi"/>
          <w:lang w:val="es-ES" w:eastAsia="en-US"/>
        </w:rPr>
      </w:pPr>
      <w:r w:rsidRPr="00AA0E07">
        <w:rPr>
          <w:rFonts w:eastAsiaTheme="minorHAnsi"/>
          <w:lang w:val="es-ES" w:eastAsia="en-US"/>
        </w:rPr>
        <w:t>La CPRE progresó con duodenoscopia hasta la segunda porción duodenal y se observó papila duodenal mayor de aspecto normal, con orificio fistuloso a 1 cm de la papila. Se ingresó guía a través del orificio fistuloso y se realizó canulación selectiva de la vía biliar principal. Se observó dilatación de la vía biliar intrahepática y colédoco, de 12 mm, con presencia de 5 cálculos en su interior, entre 6 a 10 mm. Se realizó esfinterotomía; salió bilis clara y se hizo dilatación con balón de 10 y 11 mm a 3 y 5 atmósfera. Se realizaron múltiples barridos con balón y se logró extraer los 5 cálculos. Se realizó barrido posterior con canastilla de Dormia, se retiró el barro biliar y se dejó la vía biliar permeable, con salida de bilis clara. Se concluyó el procedimiento sin complicaciones inmediatas, se continuó con antibioticoterapia endovenosa por 7 días, Colelap durante la hospitalización y vigilancia de signos de alarma.</w:t>
      </w:r>
    </w:p>
    <w:p w14:paraId="372E04F2" w14:textId="77777777" w:rsidR="00AA0E07" w:rsidRPr="00AA0E07" w:rsidRDefault="00AA0E07" w:rsidP="00AA0E07">
      <w:pPr>
        <w:spacing w:line="360" w:lineRule="auto"/>
        <w:jc w:val="both"/>
        <w:rPr>
          <w:rFonts w:eastAsiaTheme="minorHAnsi"/>
          <w:lang w:val="es-ES" w:eastAsia="en-US"/>
        </w:rPr>
      </w:pPr>
      <w:r w:rsidRPr="00AA0E07">
        <w:rPr>
          <w:rFonts w:eastAsiaTheme="minorHAnsi"/>
          <w:lang w:val="es-ES" w:eastAsia="en-US"/>
        </w:rPr>
        <w:t>La paciente mostró su negativa a la opción quirúrgica (colecistectomía laparoscópica) durante la hospitalización, por lo que se continuó el tratamiento por consultorio externo. Se dio de alta 5 días después, con evolución favorable a los 2 meses.</w:t>
      </w:r>
    </w:p>
    <w:p w14:paraId="7B80957F" w14:textId="77777777" w:rsidR="00AA0E07" w:rsidRPr="00AA0E07" w:rsidRDefault="00AA0E07" w:rsidP="00AA0E07">
      <w:pPr>
        <w:spacing w:line="360" w:lineRule="auto"/>
        <w:jc w:val="both"/>
        <w:rPr>
          <w:rFonts w:eastAsiaTheme="minorHAnsi"/>
          <w:b/>
          <w:lang w:val="es-ES" w:eastAsia="en-US"/>
        </w:rPr>
      </w:pPr>
    </w:p>
    <w:p w14:paraId="0EF42452" w14:textId="77777777" w:rsidR="00AA0E07" w:rsidRPr="00AA0E07" w:rsidRDefault="00AA0E07" w:rsidP="00AA0E07">
      <w:pPr>
        <w:spacing w:line="360" w:lineRule="auto"/>
        <w:jc w:val="center"/>
        <w:rPr>
          <w:rFonts w:eastAsiaTheme="minorHAnsi"/>
          <w:b/>
          <w:lang w:val="es-ES" w:eastAsia="en-US"/>
        </w:rPr>
      </w:pPr>
    </w:p>
    <w:p w14:paraId="472228F1" w14:textId="77777777" w:rsidR="00AA0E07" w:rsidRPr="00AA0E07" w:rsidRDefault="00AA0E07" w:rsidP="00AA0E07">
      <w:pPr>
        <w:spacing w:line="360" w:lineRule="auto"/>
        <w:jc w:val="center"/>
        <w:rPr>
          <w:rFonts w:eastAsiaTheme="minorHAnsi"/>
          <w:b/>
          <w:sz w:val="32"/>
          <w:szCs w:val="32"/>
          <w:lang w:val="es-ES" w:eastAsia="en-US"/>
        </w:rPr>
      </w:pPr>
      <w:r w:rsidRPr="00AA0E07">
        <w:rPr>
          <w:rFonts w:eastAsiaTheme="minorHAnsi"/>
          <w:b/>
          <w:sz w:val="32"/>
          <w:szCs w:val="32"/>
          <w:lang w:val="es-ES" w:eastAsia="en-US"/>
        </w:rPr>
        <w:t>COMENTARIOS</w:t>
      </w:r>
    </w:p>
    <w:p w14:paraId="04898683" w14:textId="77777777" w:rsidR="00AA0E07" w:rsidRPr="00AA0E07" w:rsidRDefault="00AA0E07" w:rsidP="00AA0E07">
      <w:pPr>
        <w:spacing w:line="360" w:lineRule="auto"/>
        <w:jc w:val="both"/>
        <w:rPr>
          <w:rFonts w:eastAsiaTheme="minorHAnsi"/>
          <w:lang w:val="es-ES" w:eastAsia="en-US"/>
        </w:rPr>
      </w:pPr>
      <w:r w:rsidRPr="00AA0E07">
        <w:rPr>
          <w:rFonts w:eastAsiaTheme="minorHAnsi"/>
          <w:lang w:val="es-ES" w:eastAsia="en-US"/>
        </w:rPr>
        <w:t>Los cálculos intraluminales en la coledocolitiasis primaria se originan por estasis biliar y favorecen el sobrecrecimiento bacteriano; mientras que en la coledocolitiasis secundaria, los cálculos se producen en la vesícula biliar y luego migran al conducto biliar común. La coledocolitiasis puede presentar complicaciones graves, como colangitis, pancreatitis y muerte; por tanto es necesario un tratamiento oportuno.</w:t>
      </w:r>
      <w:r w:rsidRPr="00AA0E07">
        <w:rPr>
          <w:rFonts w:eastAsiaTheme="minorHAnsi"/>
          <w:vertAlign w:val="superscript"/>
          <w:lang w:val="es-PE" w:eastAsia="en-US"/>
        </w:rPr>
        <w:t>(1)</w:t>
      </w:r>
      <w:r w:rsidRPr="00AA0E07">
        <w:rPr>
          <w:rFonts w:eastAsiaTheme="minorHAnsi"/>
          <w:lang w:val="es-ES" w:eastAsia="en-US"/>
        </w:rPr>
        <w:t xml:space="preserve"> </w:t>
      </w:r>
    </w:p>
    <w:p w14:paraId="2AFA04B7" w14:textId="77777777" w:rsidR="00AA0E07" w:rsidRPr="00AA0E07" w:rsidRDefault="00AA0E07" w:rsidP="00AA0E07">
      <w:pPr>
        <w:spacing w:line="360" w:lineRule="auto"/>
        <w:jc w:val="both"/>
        <w:rPr>
          <w:rFonts w:eastAsiaTheme="minorHAnsi"/>
          <w:lang w:val="es-ES" w:eastAsia="en-US"/>
        </w:rPr>
      </w:pPr>
      <w:r w:rsidRPr="00AA0E07">
        <w:rPr>
          <w:rFonts w:eastAsiaTheme="minorHAnsi"/>
          <w:lang w:val="es-ES" w:eastAsia="en-US"/>
        </w:rPr>
        <w:t xml:space="preserve">En 1968, </w:t>
      </w:r>
      <w:r w:rsidRPr="00AA0E07">
        <w:rPr>
          <w:rFonts w:eastAsiaTheme="minorHAnsi"/>
          <w:i/>
          <w:iCs/>
          <w:lang w:val="es-ES" w:eastAsia="en-US"/>
        </w:rPr>
        <w:t>McCune</w:t>
      </w:r>
      <w:r w:rsidRPr="00AA0E07">
        <w:rPr>
          <w:rFonts w:eastAsiaTheme="minorHAnsi"/>
          <w:lang w:val="es-ES" w:eastAsia="en-US"/>
        </w:rPr>
        <w:t xml:space="preserve"> y otros</w:t>
      </w:r>
      <w:r w:rsidRPr="00AA0E07">
        <w:rPr>
          <w:rFonts w:eastAsiaTheme="minorHAnsi"/>
          <w:vertAlign w:val="superscript"/>
          <w:lang w:val="es-PE" w:eastAsia="en-US"/>
        </w:rPr>
        <w:t>(3)</w:t>
      </w:r>
      <w:r w:rsidRPr="00AA0E07">
        <w:rPr>
          <w:rFonts w:eastAsiaTheme="minorHAnsi"/>
          <w:lang w:val="es-ES" w:eastAsia="en-US"/>
        </w:rPr>
        <w:t xml:space="preserve"> reportan la primera CPRE, luego de introducir un catéter en la ampolla de Váter con guía endoscópica, utilizando un endoscopio de fibra óptica, con opacificación del conducto pancreático, en lo cual esta técnica es considerada pionera. Luego, en 1974, con el desarrollo de la CPRE con esfinterotomía,</w:t>
      </w:r>
      <w:r w:rsidRPr="00AA0E07">
        <w:rPr>
          <w:rFonts w:eastAsiaTheme="minorHAnsi"/>
          <w:vertAlign w:val="superscript"/>
          <w:lang w:val="es-PE" w:eastAsia="en-US"/>
        </w:rPr>
        <w:t>(4,5)</w:t>
      </w:r>
      <w:r w:rsidRPr="00AA0E07">
        <w:rPr>
          <w:rFonts w:eastAsiaTheme="minorHAnsi"/>
          <w:lang w:val="es-ES" w:eastAsia="en-US"/>
        </w:rPr>
        <w:t xml:space="preserve"> se apertura su camino terapéutico. Este procedimiento requiere de una técnica especial, en la cual se abordan las vías biliares y pancreáticas para confirmar o tratar enfermedades relacionadas con estas, las cuales requieren alguna acción (extracción de cálculos o restitución del flujo biliar).</w:t>
      </w:r>
      <w:r w:rsidRPr="00AA0E07">
        <w:rPr>
          <w:rFonts w:eastAsiaTheme="minorHAnsi"/>
          <w:vertAlign w:val="superscript"/>
          <w:lang w:val="es-PE" w:eastAsia="en-US"/>
        </w:rPr>
        <w:t>(2)</w:t>
      </w:r>
      <w:r w:rsidRPr="00AA0E07">
        <w:rPr>
          <w:rFonts w:eastAsiaTheme="minorHAnsi"/>
          <w:lang w:val="es-ES" w:eastAsia="en-US"/>
        </w:rPr>
        <w:t xml:space="preserve"> La CPRE ha tenido resultados exitosos en la extracción de CBDS en niños,</w:t>
      </w:r>
      <w:r w:rsidRPr="00AA0E07">
        <w:rPr>
          <w:rFonts w:eastAsiaTheme="minorHAnsi"/>
          <w:vertAlign w:val="superscript"/>
          <w:lang w:val="es-PE" w:eastAsia="en-US"/>
        </w:rPr>
        <w:t>(6)</w:t>
      </w:r>
      <w:r w:rsidRPr="00AA0E07">
        <w:rPr>
          <w:rFonts w:eastAsiaTheme="minorHAnsi"/>
          <w:lang w:val="es-ES" w:eastAsia="en-US"/>
        </w:rPr>
        <w:t xml:space="preserve"> extracción de cálculos impactados,</w:t>
      </w:r>
      <w:r w:rsidRPr="00AA0E07">
        <w:rPr>
          <w:rFonts w:eastAsiaTheme="minorHAnsi"/>
          <w:vertAlign w:val="superscript"/>
          <w:lang w:val="es-PE" w:eastAsia="en-US"/>
        </w:rPr>
        <w:t>(7)</w:t>
      </w:r>
      <w:r w:rsidRPr="00AA0E07">
        <w:rPr>
          <w:rFonts w:eastAsiaTheme="minorHAnsi"/>
          <w:lang w:val="es-ES" w:eastAsia="en-US"/>
        </w:rPr>
        <w:t xml:space="preserve"> dilatación del conducto cístico,</w:t>
      </w:r>
      <w:r w:rsidRPr="00AA0E07">
        <w:rPr>
          <w:rFonts w:eastAsiaTheme="minorHAnsi"/>
          <w:vertAlign w:val="superscript"/>
          <w:lang w:val="es-PE" w:eastAsia="en-US"/>
        </w:rPr>
        <w:t>(8)</w:t>
      </w:r>
      <w:r w:rsidRPr="00AA0E07">
        <w:rPr>
          <w:rFonts w:eastAsiaTheme="minorHAnsi"/>
          <w:lang w:val="es-ES" w:eastAsia="en-US"/>
        </w:rPr>
        <w:t xml:space="preserve"> entre otros.</w:t>
      </w:r>
      <w:r w:rsidRPr="00AA0E07">
        <w:rPr>
          <w:rFonts w:eastAsiaTheme="minorHAnsi"/>
          <w:vertAlign w:val="superscript"/>
          <w:lang w:val="es-PE" w:eastAsia="en-US"/>
        </w:rPr>
        <w:t>(9,10)</w:t>
      </w:r>
      <w:r w:rsidRPr="00AA0E07">
        <w:rPr>
          <w:rFonts w:eastAsiaTheme="minorHAnsi"/>
          <w:lang w:val="es-ES" w:eastAsia="en-US"/>
        </w:rPr>
        <w:t xml:space="preserve"> </w:t>
      </w:r>
    </w:p>
    <w:p w14:paraId="5493B200" w14:textId="77777777" w:rsidR="00AA0E07" w:rsidRPr="00AA0E07" w:rsidRDefault="00AA0E07" w:rsidP="00AA0E07">
      <w:pPr>
        <w:spacing w:line="360" w:lineRule="auto"/>
        <w:jc w:val="both"/>
        <w:rPr>
          <w:rFonts w:eastAsiaTheme="minorHAnsi"/>
          <w:lang w:val="es-ES" w:eastAsia="en-US"/>
        </w:rPr>
      </w:pPr>
      <w:r w:rsidRPr="00AA0E07">
        <w:rPr>
          <w:rFonts w:eastAsiaTheme="minorHAnsi"/>
          <w:lang w:val="es-ES" w:eastAsia="en-US"/>
        </w:rPr>
        <w:t>La CPRE requiere un entrenamiento riguroso para minimizar los riesgos y lograr un buen resultado.</w:t>
      </w:r>
      <w:r w:rsidRPr="00AA0E07">
        <w:rPr>
          <w:rFonts w:eastAsiaTheme="minorHAnsi"/>
          <w:vertAlign w:val="superscript"/>
          <w:lang w:val="es-PE" w:eastAsia="en-US"/>
        </w:rPr>
        <w:t xml:space="preserve"> </w:t>
      </w:r>
      <w:r w:rsidRPr="00AA0E07">
        <w:rPr>
          <w:rFonts w:eastAsiaTheme="minorHAnsi"/>
          <w:lang w:val="es-ES" w:eastAsia="en-US"/>
        </w:rPr>
        <w:t>Los componentes anatómicos también juegan un papel importante, así como el trauma mecánico, infección, daño químico, hidrostático, térmico y alergias, que pueden generar eventos adversos, como pancreatitis y hematoma hepático subcapsular post-CPRE.</w:t>
      </w:r>
      <w:r w:rsidRPr="00AA0E07">
        <w:rPr>
          <w:rFonts w:eastAsiaTheme="minorHAnsi"/>
          <w:vertAlign w:val="superscript"/>
          <w:lang w:val="es-PE" w:eastAsia="en-US"/>
        </w:rPr>
        <w:t>(11,12,13)</w:t>
      </w:r>
      <w:r w:rsidRPr="00AA0E07">
        <w:rPr>
          <w:rFonts w:eastAsiaTheme="minorHAnsi"/>
          <w:lang w:val="es-ES" w:eastAsia="en-US"/>
        </w:rPr>
        <w:t xml:space="preserve"> </w:t>
      </w:r>
    </w:p>
    <w:p w14:paraId="41209BD1" w14:textId="77777777" w:rsidR="00AA0E07" w:rsidRPr="00AA0E07" w:rsidRDefault="00AA0E07" w:rsidP="00AA0E07">
      <w:pPr>
        <w:spacing w:line="360" w:lineRule="auto"/>
        <w:jc w:val="both"/>
        <w:rPr>
          <w:rFonts w:eastAsiaTheme="minorHAnsi"/>
          <w:lang w:val="es-ES" w:eastAsia="en-US"/>
        </w:rPr>
      </w:pPr>
      <w:r w:rsidRPr="00AA0E07">
        <w:rPr>
          <w:rFonts w:eastAsiaTheme="minorHAnsi"/>
          <w:lang w:val="es-ES" w:eastAsia="en-US"/>
        </w:rPr>
        <w:t>Se han reportado casos exitosos de CPRE en Perú, sin embargo, muchos pacientes tienen complicaciones, como biliorretroperitoneo,</w:t>
      </w:r>
      <w:r w:rsidRPr="00AA0E07">
        <w:rPr>
          <w:rFonts w:eastAsiaTheme="minorHAnsi"/>
          <w:vertAlign w:val="superscript"/>
          <w:lang w:val="es-PE" w:eastAsia="en-US"/>
        </w:rPr>
        <w:t>(14)</w:t>
      </w:r>
      <w:r w:rsidRPr="00AA0E07">
        <w:rPr>
          <w:rFonts w:eastAsiaTheme="minorHAnsi"/>
          <w:lang w:val="es-ES" w:eastAsia="en-US"/>
        </w:rPr>
        <w:t xml:space="preserve"> laceración hepática con sangrado activo</w:t>
      </w:r>
      <w:r w:rsidRPr="00AA0E07">
        <w:rPr>
          <w:rFonts w:eastAsiaTheme="minorHAnsi"/>
          <w:vertAlign w:val="superscript"/>
          <w:lang w:val="es-PE" w:eastAsia="en-US"/>
        </w:rPr>
        <w:t>(15)</w:t>
      </w:r>
      <w:r w:rsidRPr="00AA0E07">
        <w:rPr>
          <w:rFonts w:eastAsiaTheme="minorHAnsi"/>
          <w:lang w:val="es-ES" w:eastAsia="en-US"/>
        </w:rPr>
        <w:t xml:space="preserve"> y pancreatitis.</w:t>
      </w:r>
      <w:r w:rsidRPr="00AA0E07">
        <w:rPr>
          <w:rFonts w:eastAsiaTheme="minorHAnsi"/>
          <w:vertAlign w:val="superscript"/>
          <w:lang w:val="es-PE" w:eastAsia="en-US"/>
        </w:rPr>
        <w:t>(16)</w:t>
      </w:r>
      <w:r w:rsidRPr="00AA0E07">
        <w:rPr>
          <w:rFonts w:eastAsiaTheme="minorHAnsi"/>
          <w:lang w:val="es-ES" w:eastAsia="en-US"/>
        </w:rPr>
        <w:t xml:space="preserve"> A diferencia de estos reportes, este paciente no tuvo eventos adversos después y hasta 2 meses de seguimiento. Dados los eventos adversos de la CPRE, se recomienda el </w:t>
      </w:r>
      <w:r w:rsidRPr="00AA0E07">
        <w:rPr>
          <w:rFonts w:eastAsiaTheme="minorHAnsi"/>
          <w:i/>
          <w:iCs/>
          <w:lang w:val="es-ES" w:eastAsia="en-US"/>
        </w:rPr>
        <w:t>rendez-vous</w:t>
      </w:r>
      <w:r w:rsidRPr="00AA0E07">
        <w:rPr>
          <w:rFonts w:eastAsiaTheme="minorHAnsi"/>
          <w:lang w:val="es-ES" w:eastAsia="en-US"/>
        </w:rPr>
        <w:t xml:space="preserve"> laparoscópico, como una alternativa segura para el tratamiento de la coledocolitiasis,</w:t>
      </w:r>
      <w:r w:rsidRPr="00AA0E07">
        <w:rPr>
          <w:rFonts w:eastAsiaTheme="minorHAnsi"/>
          <w:vertAlign w:val="superscript"/>
          <w:lang w:val="es-PE" w:eastAsia="en-US"/>
        </w:rPr>
        <w:t>(17)</w:t>
      </w:r>
      <w:r w:rsidRPr="00AA0E07">
        <w:rPr>
          <w:rFonts w:eastAsiaTheme="minorHAnsi"/>
          <w:lang w:val="es-ES" w:eastAsia="en-US"/>
        </w:rPr>
        <w:t xml:space="preserve"> aunque los resultados son preliminares y se requieren estudios integrales de rendimiento y seguridad.</w:t>
      </w:r>
    </w:p>
    <w:p w14:paraId="1B067765" w14:textId="77777777" w:rsidR="00AA0E07" w:rsidRPr="00AA0E07" w:rsidRDefault="00AA0E07" w:rsidP="00AA0E07">
      <w:pPr>
        <w:spacing w:line="360" w:lineRule="auto"/>
        <w:jc w:val="both"/>
        <w:rPr>
          <w:rFonts w:eastAsiaTheme="minorHAnsi"/>
          <w:lang w:val="es-ES" w:eastAsia="en-US"/>
        </w:rPr>
      </w:pPr>
      <w:r w:rsidRPr="00AA0E07">
        <w:rPr>
          <w:rFonts w:eastAsiaTheme="minorHAnsi"/>
          <w:lang w:val="es-ES" w:eastAsia="en-US"/>
        </w:rPr>
        <w:t>CPRE es un procedimiento importante para el tratamiento de la coledocolitiasis, requiere un entrenamiento adecuado que posibilita un seguimiento libre de evento</w:t>
      </w:r>
      <w:r w:rsidR="00D449C1">
        <w:rPr>
          <w:rFonts w:eastAsiaTheme="minorHAnsi"/>
          <w:lang w:val="es-ES" w:eastAsia="en-US"/>
        </w:rPr>
        <w:t>s</w:t>
      </w:r>
      <w:r w:rsidRPr="00AA0E07">
        <w:rPr>
          <w:rFonts w:eastAsiaTheme="minorHAnsi"/>
          <w:lang w:val="es-ES" w:eastAsia="en-US"/>
        </w:rPr>
        <w:t xml:space="preserve"> adversos y riesgos. </w:t>
      </w:r>
      <w:r w:rsidR="00451236" w:rsidRPr="00451236">
        <w:rPr>
          <w:rFonts w:eastAsiaTheme="minorHAnsi"/>
          <w:lang w:val="es-ES" w:eastAsia="en-US"/>
        </w:rPr>
        <w:t xml:space="preserve">La terapéutica </w:t>
      </w:r>
      <w:r w:rsidR="00451236" w:rsidRPr="00451236">
        <w:rPr>
          <w:rFonts w:eastAsiaTheme="minorHAnsi"/>
          <w:lang w:val="es-ES" w:eastAsia="en-US"/>
        </w:rPr>
        <w:lastRenderedPageBreak/>
        <w:t>realizada fue una buena opción, en el contexto clínico, de una paciente con la COVID-19 y colangitis aguda por litiasis coledociana.</w:t>
      </w:r>
    </w:p>
    <w:p w14:paraId="621F28B1" w14:textId="77777777" w:rsidR="00AA0E07" w:rsidRPr="00AA0E07" w:rsidRDefault="00AA0E07" w:rsidP="00AA0E07">
      <w:pPr>
        <w:spacing w:line="360" w:lineRule="auto"/>
        <w:jc w:val="both"/>
        <w:rPr>
          <w:rFonts w:eastAsiaTheme="minorHAnsi"/>
          <w:lang w:val="es-ES" w:eastAsia="en-US"/>
        </w:rPr>
      </w:pPr>
    </w:p>
    <w:p w14:paraId="606907AF" w14:textId="77777777" w:rsidR="00AA0E07" w:rsidRPr="00AA0E07" w:rsidRDefault="00AA0E07" w:rsidP="00AA0E07">
      <w:pPr>
        <w:spacing w:line="360" w:lineRule="auto"/>
        <w:jc w:val="both"/>
        <w:rPr>
          <w:rFonts w:eastAsiaTheme="minorHAnsi"/>
          <w:lang w:val="es-ES" w:eastAsia="en-US"/>
        </w:rPr>
      </w:pPr>
    </w:p>
    <w:p w14:paraId="3858A84E" w14:textId="77777777" w:rsidR="00AA0E07" w:rsidRPr="00AA0E07" w:rsidRDefault="00AA0E07" w:rsidP="00AA0E07">
      <w:pPr>
        <w:spacing w:line="360" w:lineRule="auto"/>
        <w:jc w:val="center"/>
        <w:rPr>
          <w:rFonts w:eastAsiaTheme="minorHAnsi"/>
          <w:b/>
          <w:sz w:val="32"/>
          <w:szCs w:val="32"/>
          <w:lang w:val="es-ES" w:eastAsia="en-US"/>
        </w:rPr>
      </w:pPr>
      <w:r w:rsidRPr="00AA0E07">
        <w:rPr>
          <w:rFonts w:eastAsiaTheme="minorHAnsi"/>
          <w:b/>
          <w:sz w:val="32"/>
          <w:szCs w:val="32"/>
          <w:lang w:val="es-ES" w:eastAsia="en-US"/>
        </w:rPr>
        <w:t>REFERENCIAS BIBLIOGRÁFICAS</w:t>
      </w:r>
    </w:p>
    <w:p w14:paraId="3C3D891C" w14:textId="77777777" w:rsidR="00AA0E07" w:rsidRPr="00AA0E07" w:rsidRDefault="00AA0E07" w:rsidP="00AA0E07">
      <w:pPr>
        <w:spacing w:line="360" w:lineRule="auto"/>
        <w:rPr>
          <w:rFonts w:eastAsiaTheme="minorHAnsi"/>
          <w:bCs/>
          <w:lang w:val="es-PE" w:eastAsia="en-US"/>
        </w:rPr>
      </w:pPr>
      <w:r w:rsidRPr="00AA0E07">
        <w:rPr>
          <w:rFonts w:eastAsiaTheme="minorHAnsi"/>
          <w:bCs/>
          <w:lang w:val="es-ES" w:eastAsia="en-US"/>
        </w:rPr>
        <w:t xml:space="preserve">1. Ahmed A, Cheung RC, Keeffe EB. </w:t>
      </w:r>
      <w:r w:rsidRPr="00AA0E07">
        <w:rPr>
          <w:rFonts w:eastAsiaTheme="minorHAnsi"/>
          <w:bCs/>
          <w:lang w:val="en-US" w:eastAsia="en-US"/>
        </w:rPr>
        <w:t xml:space="preserve">Management of gallstones and their complications. </w:t>
      </w:r>
      <w:r w:rsidRPr="00AA0E07">
        <w:rPr>
          <w:rFonts w:eastAsiaTheme="minorHAnsi"/>
          <w:bCs/>
          <w:lang w:val="es-ES" w:eastAsia="en-US"/>
        </w:rPr>
        <w:t xml:space="preserve">Am Fam Physician. 2000 [acceso: 15/04/2022]; 61(6):1673-80:1687-8.  </w:t>
      </w:r>
      <w:r w:rsidRPr="00AA0E07">
        <w:rPr>
          <w:rFonts w:eastAsiaTheme="minorHAnsi"/>
          <w:bCs/>
          <w:lang w:val="es-PE" w:eastAsia="en-US"/>
        </w:rPr>
        <w:t xml:space="preserve">Disponible en: </w:t>
      </w:r>
      <w:hyperlink r:id="rId16" w:history="1">
        <w:r w:rsidRPr="00AA0E07">
          <w:rPr>
            <w:rFonts w:eastAsiaTheme="minorHAnsi"/>
            <w:bCs/>
            <w:color w:val="0000FF" w:themeColor="hyperlink"/>
            <w:u w:val="single"/>
            <w:lang w:val="es-PE" w:eastAsia="en-US"/>
          </w:rPr>
          <w:t>https://www.aafp.org/link_out?pmid=10750875</w:t>
        </w:r>
      </w:hyperlink>
      <w:r w:rsidRPr="00AA0E07">
        <w:rPr>
          <w:rFonts w:eastAsiaTheme="minorHAnsi"/>
          <w:bCs/>
          <w:lang w:val="es-PE" w:eastAsia="en-US"/>
        </w:rPr>
        <w:t xml:space="preserve">  </w:t>
      </w:r>
    </w:p>
    <w:p w14:paraId="1FC1C9AC" w14:textId="77777777" w:rsidR="00AA0E07" w:rsidRPr="00AA0E07" w:rsidRDefault="00AA0E07" w:rsidP="00AA0E07">
      <w:pPr>
        <w:spacing w:line="360" w:lineRule="auto"/>
        <w:rPr>
          <w:rFonts w:eastAsiaTheme="minorHAnsi"/>
          <w:bCs/>
          <w:lang w:val="es-PE" w:eastAsia="en-US"/>
        </w:rPr>
      </w:pPr>
      <w:r w:rsidRPr="00AA0E07">
        <w:rPr>
          <w:rFonts w:eastAsiaTheme="minorHAnsi"/>
          <w:bCs/>
          <w:lang w:val="es-PE" w:eastAsia="en-US"/>
        </w:rPr>
        <w:t xml:space="preserve">2. Pinilla Morales RE, Montoya J, Oliveros Wilches R, Manrique Acevedo ME, Rey Ferro M, Abadía Díaz M, et al. Colangiopancreatografía retrógrada endoscópica en una institución de referencia en cáncer. Rev Colomb Gastroenterol. 2020 [acceso: 15/04/2022]; 35(4):430-5. Disponible en: </w:t>
      </w:r>
      <w:hyperlink r:id="rId17" w:history="1">
        <w:r w:rsidRPr="00AA0E07">
          <w:rPr>
            <w:rFonts w:eastAsiaTheme="minorHAnsi"/>
            <w:bCs/>
            <w:color w:val="0000FF" w:themeColor="hyperlink"/>
            <w:u w:val="single"/>
            <w:lang w:val="es-PE" w:eastAsia="en-US"/>
          </w:rPr>
          <w:t>https://revistagastrocol.com/index.php/rcg/article/view/512</w:t>
        </w:r>
      </w:hyperlink>
      <w:r w:rsidRPr="00AA0E07">
        <w:rPr>
          <w:rFonts w:eastAsiaTheme="minorHAnsi"/>
          <w:bCs/>
          <w:lang w:val="es-PE" w:eastAsia="en-US"/>
        </w:rPr>
        <w:t xml:space="preserve">  </w:t>
      </w:r>
    </w:p>
    <w:p w14:paraId="68627E6F" w14:textId="77777777" w:rsidR="00AA0E07" w:rsidRPr="00AA0E07" w:rsidRDefault="00AA0E07" w:rsidP="00AA0E07">
      <w:pPr>
        <w:spacing w:line="360" w:lineRule="auto"/>
        <w:rPr>
          <w:rFonts w:eastAsiaTheme="minorHAnsi"/>
          <w:bCs/>
          <w:lang w:val="es-PE" w:eastAsia="en-US"/>
        </w:rPr>
      </w:pPr>
      <w:r w:rsidRPr="00AA0E07">
        <w:rPr>
          <w:rFonts w:eastAsiaTheme="minorHAnsi"/>
          <w:bCs/>
          <w:lang w:val="en-US" w:eastAsia="en-US"/>
        </w:rPr>
        <w:t xml:space="preserve">3. McCune WS, Shorb PE, Moscovitz H. Endoscopic Cannulation of the Ampulla of Vater: A Preliminary Report. </w:t>
      </w:r>
      <w:r w:rsidRPr="00AA0E07">
        <w:rPr>
          <w:rFonts w:eastAsiaTheme="minorHAnsi"/>
          <w:bCs/>
          <w:lang w:val="es-PE" w:eastAsia="en-US"/>
        </w:rPr>
        <w:t xml:space="preserve">Ann Surg. 1968 [acceso: 15/04/2022]; 167(5):752-6. Disponible en: </w:t>
      </w:r>
      <w:hyperlink r:id="rId18" w:history="1">
        <w:r w:rsidRPr="00AA0E07">
          <w:rPr>
            <w:rFonts w:eastAsiaTheme="minorHAnsi"/>
            <w:bCs/>
            <w:color w:val="0000FF" w:themeColor="hyperlink"/>
            <w:u w:val="single"/>
            <w:lang w:val="es-PE" w:eastAsia="en-US"/>
          </w:rPr>
          <w:t>https://www.ncbi.nlm.nih.gov/pmc/articles/PMC1387128/</w:t>
        </w:r>
      </w:hyperlink>
      <w:r w:rsidRPr="00AA0E07">
        <w:rPr>
          <w:rFonts w:eastAsiaTheme="minorHAnsi"/>
          <w:bCs/>
          <w:lang w:val="es-PE" w:eastAsia="en-US"/>
        </w:rPr>
        <w:t xml:space="preserve">  </w:t>
      </w:r>
    </w:p>
    <w:p w14:paraId="259955F2" w14:textId="77777777" w:rsidR="00AA0E07" w:rsidRPr="00AA0E07" w:rsidRDefault="00AA0E07" w:rsidP="00AA0E07">
      <w:pPr>
        <w:spacing w:line="360" w:lineRule="auto"/>
        <w:rPr>
          <w:rFonts w:eastAsiaTheme="minorHAnsi"/>
          <w:bCs/>
          <w:lang w:val="en-US" w:eastAsia="en-US"/>
        </w:rPr>
      </w:pPr>
      <w:r w:rsidRPr="00AA0E07">
        <w:rPr>
          <w:rFonts w:eastAsiaTheme="minorHAnsi"/>
          <w:bCs/>
          <w:lang w:val="en-US" w:eastAsia="en-US"/>
        </w:rPr>
        <w:t xml:space="preserve">4. Classen M, Demling L. Endoskopische Sphinkterotomie der Papilla Vateri und Steinextraktion aus dem Ductus choledochus. DMW - Dtsch Med Wochenschr. 1974 [acceso: 15/04/2022]; 99(11):496-7. Disponible en: </w:t>
      </w:r>
      <w:hyperlink r:id="rId19" w:history="1">
        <w:r w:rsidRPr="00AA0E07">
          <w:rPr>
            <w:rFonts w:eastAsiaTheme="minorHAnsi"/>
            <w:bCs/>
            <w:color w:val="0000FF" w:themeColor="hyperlink"/>
            <w:u w:val="single"/>
            <w:lang w:val="en-US" w:eastAsia="en-US"/>
          </w:rPr>
          <w:t>https://www.thieme-connect.com/products/ejournals/abstract/10.1055/s-0028-1107790</w:t>
        </w:r>
      </w:hyperlink>
      <w:r w:rsidRPr="00AA0E07">
        <w:rPr>
          <w:rFonts w:eastAsiaTheme="minorHAnsi"/>
          <w:bCs/>
          <w:lang w:val="en-US" w:eastAsia="en-US"/>
        </w:rPr>
        <w:t xml:space="preserve">  </w:t>
      </w:r>
    </w:p>
    <w:p w14:paraId="0682F4CB" w14:textId="77777777" w:rsidR="00AA0E07" w:rsidRPr="00AA0E07" w:rsidRDefault="00AA0E07" w:rsidP="00AA0E07">
      <w:pPr>
        <w:spacing w:line="360" w:lineRule="auto"/>
        <w:rPr>
          <w:rFonts w:eastAsiaTheme="minorHAnsi"/>
          <w:bCs/>
          <w:lang w:val="es-PE" w:eastAsia="en-US"/>
        </w:rPr>
      </w:pPr>
      <w:r w:rsidRPr="00AA0E07">
        <w:rPr>
          <w:rFonts w:eastAsiaTheme="minorHAnsi"/>
          <w:bCs/>
          <w:lang w:val="en-US" w:eastAsia="en-US"/>
        </w:rPr>
        <w:t xml:space="preserve">5. Kawai K, Akasaka Y, Murakami K, Tada M, Kohli Y, Nakajima M. Endoscopic sphincterotomy of the ampulla of Vater. </w:t>
      </w:r>
      <w:r w:rsidRPr="00AA0E07">
        <w:rPr>
          <w:rFonts w:eastAsiaTheme="minorHAnsi"/>
          <w:bCs/>
          <w:lang w:val="es-PE" w:eastAsia="en-US"/>
        </w:rPr>
        <w:t xml:space="preserve">Gastrointest Endosc. 1974 [acceso: 15/04/2022]; 20(4):148-51. Disponible en: </w:t>
      </w:r>
      <w:hyperlink r:id="rId20" w:history="1">
        <w:r w:rsidRPr="00AA0E07">
          <w:rPr>
            <w:rFonts w:eastAsiaTheme="minorHAnsi"/>
            <w:bCs/>
            <w:color w:val="0000FF" w:themeColor="hyperlink"/>
            <w:u w:val="single"/>
            <w:lang w:val="es-PE" w:eastAsia="en-US"/>
          </w:rPr>
          <w:t>https://linkinghub.elsevier.com/retrieve/pii/S0016-5107(74)73914-1</w:t>
        </w:r>
      </w:hyperlink>
      <w:r w:rsidRPr="00AA0E07">
        <w:rPr>
          <w:rFonts w:eastAsiaTheme="minorHAnsi"/>
          <w:bCs/>
          <w:lang w:val="es-PE" w:eastAsia="en-US"/>
        </w:rPr>
        <w:t xml:space="preserve">  </w:t>
      </w:r>
    </w:p>
    <w:p w14:paraId="68F5B4FC" w14:textId="77777777" w:rsidR="00AA0E07" w:rsidRPr="00AA0E07" w:rsidRDefault="00AA0E07" w:rsidP="00AA0E07">
      <w:pPr>
        <w:spacing w:line="360" w:lineRule="auto"/>
        <w:rPr>
          <w:rFonts w:eastAsiaTheme="minorHAnsi"/>
          <w:bCs/>
          <w:lang w:val="es-PE" w:eastAsia="en-US"/>
        </w:rPr>
      </w:pPr>
      <w:r w:rsidRPr="00AA0E07">
        <w:rPr>
          <w:rFonts w:eastAsiaTheme="minorHAnsi"/>
          <w:bCs/>
          <w:lang w:val="en-US" w:eastAsia="en-US"/>
        </w:rPr>
        <w:t xml:space="preserve">6. Lou Q, Sun J, Zhang X, Shen H. Successful Therapeutic ERCP in a 99-Day-Old Child with Common Bile Duct Stones: A Case Report and Discussions on the Particularities of the ERCP in Children. </w:t>
      </w:r>
      <w:r w:rsidRPr="00AA0E07">
        <w:rPr>
          <w:rFonts w:eastAsiaTheme="minorHAnsi"/>
          <w:bCs/>
          <w:lang w:val="es-PE" w:eastAsia="en-US"/>
        </w:rPr>
        <w:t xml:space="preserve">Front Pediatr. 2020 [acceso: 15/04/2022]; 8:435. Disponible en:  </w:t>
      </w:r>
      <w:hyperlink r:id="rId21" w:history="1">
        <w:r w:rsidRPr="00AA0E07">
          <w:rPr>
            <w:rFonts w:eastAsiaTheme="minorHAnsi"/>
            <w:bCs/>
            <w:color w:val="0000FF" w:themeColor="hyperlink"/>
            <w:u w:val="single"/>
            <w:lang w:val="es-PE" w:eastAsia="en-US"/>
          </w:rPr>
          <w:t>https://www.frontiersin.org/articles/10.3389/fped.2020.00435/full</w:t>
        </w:r>
      </w:hyperlink>
      <w:r w:rsidRPr="00AA0E07">
        <w:rPr>
          <w:rFonts w:eastAsiaTheme="minorHAnsi"/>
          <w:bCs/>
          <w:lang w:val="es-PE" w:eastAsia="en-US"/>
        </w:rPr>
        <w:t xml:space="preserve">  </w:t>
      </w:r>
    </w:p>
    <w:p w14:paraId="352D0BF4" w14:textId="77777777" w:rsidR="00AA0E07" w:rsidRPr="00AA0E07" w:rsidRDefault="00AA0E07" w:rsidP="00AA0E07">
      <w:pPr>
        <w:spacing w:line="360" w:lineRule="auto"/>
        <w:rPr>
          <w:rFonts w:eastAsiaTheme="minorHAnsi"/>
          <w:bCs/>
          <w:lang w:val="es-PE" w:eastAsia="en-US"/>
        </w:rPr>
      </w:pPr>
      <w:r w:rsidRPr="00AA0E07">
        <w:rPr>
          <w:rFonts w:eastAsiaTheme="minorHAnsi"/>
          <w:bCs/>
          <w:lang w:val="es-PE" w:eastAsia="en-US"/>
        </w:rPr>
        <w:t xml:space="preserve">7. Tepox-Padrón A, Romano-Munive F, Ramírez-Polo AI, Téllez-Ávila FI. </w:t>
      </w:r>
      <w:r w:rsidRPr="00AA0E07">
        <w:rPr>
          <w:rFonts w:eastAsiaTheme="minorHAnsi"/>
          <w:bCs/>
          <w:lang w:val="en-US" w:eastAsia="en-US"/>
        </w:rPr>
        <w:t xml:space="preserve">Three case reports of impacted biliary stone extraction basket. Rev Gastroenterol Mex. 2020 [acceso: 15/04/2022]; </w:t>
      </w:r>
      <w:r w:rsidRPr="00AA0E07">
        <w:rPr>
          <w:rFonts w:eastAsiaTheme="minorHAnsi"/>
          <w:bCs/>
          <w:lang w:val="en-US" w:eastAsia="en-US"/>
        </w:rPr>
        <w:lastRenderedPageBreak/>
        <w:t xml:space="preserve">85(2):222-4. </w:t>
      </w:r>
      <w:r w:rsidRPr="00AA0E07">
        <w:rPr>
          <w:rFonts w:eastAsiaTheme="minorHAnsi"/>
          <w:bCs/>
          <w:lang w:val="es-PE" w:eastAsia="en-US"/>
        </w:rPr>
        <w:t xml:space="preserve">Disponible en: </w:t>
      </w:r>
      <w:hyperlink r:id="rId22" w:history="1">
        <w:r w:rsidRPr="00AA0E07">
          <w:rPr>
            <w:rFonts w:eastAsiaTheme="minorHAnsi"/>
            <w:bCs/>
            <w:color w:val="0000FF" w:themeColor="hyperlink"/>
            <w:u w:val="single"/>
            <w:lang w:val="es-PE" w:eastAsia="en-US"/>
          </w:rPr>
          <w:t>http://www.revistagastroenterologiamexico.org/en-three-case-reports-impacted-biliary-articulo-S2255534X20300074</w:t>
        </w:r>
      </w:hyperlink>
      <w:r w:rsidRPr="00AA0E07">
        <w:rPr>
          <w:rFonts w:eastAsiaTheme="minorHAnsi"/>
          <w:bCs/>
          <w:lang w:val="es-PE" w:eastAsia="en-US"/>
        </w:rPr>
        <w:t xml:space="preserve">  </w:t>
      </w:r>
    </w:p>
    <w:p w14:paraId="1C305267" w14:textId="77777777" w:rsidR="00AA0E07" w:rsidRPr="00AA0E07" w:rsidRDefault="00AA0E07" w:rsidP="00AA0E07">
      <w:pPr>
        <w:spacing w:line="360" w:lineRule="auto"/>
        <w:rPr>
          <w:rFonts w:eastAsiaTheme="minorHAnsi"/>
          <w:bCs/>
          <w:lang w:val="en-US" w:eastAsia="en-US"/>
        </w:rPr>
      </w:pPr>
      <w:r w:rsidRPr="00AA0E07">
        <w:rPr>
          <w:rFonts w:eastAsiaTheme="minorHAnsi"/>
          <w:bCs/>
          <w:lang w:val="en-US" w:eastAsia="en-US"/>
        </w:rPr>
        <w:t xml:space="preserve">8. He YG, Gao MF, Li J, Peng XH, Tang YC, Huang XB, et al. Cystic duct dilation through endoscopic retrograde cholangiopancreatography for treatment of gallstones and choledocholithiasis: Six case reports and review of literature. World J Clin Cases. 2021 [acceso: 15/04/2022]; 9(3):736-47. Disponible en: </w:t>
      </w:r>
      <w:hyperlink r:id="rId23" w:history="1">
        <w:r w:rsidRPr="00AA0E07">
          <w:rPr>
            <w:rFonts w:eastAsiaTheme="minorHAnsi"/>
            <w:bCs/>
            <w:color w:val="0000FF" w:themeColor="hyperlink"/>
            <w:u w:val="single"/>
            <w:lang w:val="en-US" w:eastAsia="en-US"/>
          </w:rPr>
          <w:t>https://www.wjgnet.com/2307-8960/full/v9/i3/736.htm</w:t>
        </w:r>
      </w:hyperlink>
      <w:r w:rsidRPr="00AA0E07">
        <w:rPr>
          <w:rFonts w:eastAsiaTheme="minorHAnsi"/>
          <w:bCs/>
          <w:lang w:val="en-US" w:eastAsia="en-US"/>
        </w:rPr>
        <w:t xml:space="preserve">  </w:t>
      </w:r>
    </w:p>
    <w:p w14:paraId="04D60D31" w14:textId="77777777" w:rsidR="00AA0E07" w:rsidRPr="00AA0E07" w:rsidRDefault="00AA0E07" w:rsidP="00AA0E07">
      <w:pPr>
        <w:spacing w:line="360" w:lineRule="auto"/>
        <w:rPr>
          <w:rFonts w:eastAsiaTheme="minorHAnsi"/>
          <w:bCs/>
          <w:lang w:val="en-US" w:eastAsia="en-US"/>
        </w:rPr>
      </w:pPr>
      <w:r w:rsidRPr="00AA0E07">
        <w:rPr>
          <w:rFonts w:eastAsiaTheme="minorHAnsi"/>
          <w:bCs/>
          <w:lang w:val="en-US" w:eastAsia="en-US"/>
        </w:rPr>
        <w:t xml:space="preserve">9. Peters X, Gannavarapu B, Gangemi A. A case report of choledocholithiasis 33 years after cholecystectomy. Int J Surg Case Rep. 2017 [acceso: 15/04/2022]; 41:80-82. Disponible en: </w:t>
      </w:r>
      <w:hyperlink r:id="rId24" w:history="1">
        <w:r w:rsidRPr="00AA0E07">
          <w:rPr>
            <w:rFonts w:eastAsiaTheme="minorHAnsi"/>
            <w:bCs/>
            <w:color w:val="0000FF" w:themeColor="hyperlink"/>
            <w:u w:val="single"/>
            <w:lang w:val="en-US" w:eastAsia="en-US"/>
          </w:rPr>
          <w:t>https://www.ncbi.nlm.nih.gov/pmc/articles/PMC5645002/</w:t>
        </w:r>
      </w:hyperlink>
      <w:r w:rsidRPr="00AA0E07">
        <w:rPr>
          <w:rFonts w:eastAsiaTheme="minorHAnsi"/>
          <w:bCs/>
          <w:lang w:val="en-US" w:eastAsia="en-US"/>
        </w:rPr>
        <w:t xml:space="preserve">   </w:t>
      </w:r>
    </w:p>
    <w:p w14:paraId="22C4C720" w14:textId="77777777" w:rsidR="00AA0E07" w:rsidRPr="00AA0E07" w:rsidRDefault="00AA0E07" w:rsidP="00AA0E07">
      <w:pPr>
        <w:spacing w:line="360" w:lineRule="auto"/>
        <w:rPr>
          <w:rFonts w:eastAsiaTheme="minorHAnsi"/>
          <w:bCs/>
          <w:lang w:val="en-US" w:eastAsia="en-US"/>
        </w:rPr>
      </w:pPr>
      <w:r w:rsidRPr="00AA0E07">
        <w:rPr>
          <w:rFonts w:eastAsiaTheme="minorHAnsi"/>
          <w:bCs/>
          <w:lang w:val="en-US" w:eastAsia="en-US"/>
        </w:rPr>
        <w:t>10. Prieto-Ortiz RG, Duarte-Osorio AI, García-Echeverri P, Ballén-Párraga H. Treatment of choledocholithiasis by ERCP, and instrumentation through a T-tube. Rev Col Gastroenterol. 2020; 35(3):382-9. DOI: 10.22516/25007440.385</w:t>
      </w:r>
    </w:p>
    <w:p w14:paraId="7217E48C" w14:textId="77777777" w:rsidR="00AA0E07" w:rsidRPr="00AA0E07" w:rsidRDefault="00AA0E07" w:rsidP="00AA0E07">
      <w:pPr>
        <w:spacing w:line="360" w:lineRule="auto"/>
        <w:rPr>
          <w:rFonts w:eastAsiaTheme="minorHAnsi"/>
          <w:bCs/>
          <w:lang w:val="en-US" w:eastAsia="en-US"/>
        </w:rPr>
      </w:pPr>
      <w:r w:rsidRPr="00AA0E07">
        <w:rPr>
          <w:rFonts w:eastAsiaTheme="minorHAnsi"/>
          <w:bCs/>
          <w:lang w:val="en-US" w:eastAsia="en-US"/>
        </w:rPr>
        <w:t xml:space="preserve">11. Johnson KD, Perisetti A, Tharian B, Thandassery R, Jamidar P, Goyal H, et al. Endoscopic Retrograde Cholangiopancreatography-Related Complications and Their Management Strategies: A “Scoping” Literature Review. Dig Dis Sci. 2020; 65(2):361-75. DOI: 10.1007/s10620-019-05970-3 </w:t>
      </w:r>
    </w:p>
    <w:p w14:paraId="19A7CB78" w14:textId="77777777" w:rsidR="00AA0E07" w:rsidRPr="00AA0E07" w:rsidRDefault="00AA0E07" w:rsidP="00AA0E07">
      <w:pPr>
        <w:spacing w:line="360" w:lineRule="auto"/>
        <w:rPr>
          <w:rFonts w:eastAsiaTheme="minorHAnsi"/>
          <w:bCs/>
          <w:lang w:val="en-US" w:eastAsia="en-US"/>
        </w:rPr>
      </w:pPr>
      <w:r w:rsidRPr="00AA0E07">
        <w:rPr>
          <w:rFonts w:eastAsiaTheme="minorHAnsi"/>
          <w:bCs/>
          <w:lang w:val="en-US" w:eastAsia="en-US"/>
        </w:rPr>
        <w:t xml:space="preserve">12. Sommariva C, Lauro A, Pagano N, Vaccari S, D’Andrea V, Marino IR, et al. Subcapsular Hepatic Hematoma Post-ERCP: Case Report and Review of the Literature. Dig Dis Sci. 2019; 64(8):2114–19. DOI: 10.1007/s10620-019-05679-3 </w:t>
      </w:r>
    </w:p>
    <w:p w14:paraId="553570C4" w14:textId="77777777" w:rsidR="00AA0E07" w:rsidRPr="00AA0E07" w:rsidRDefault="00AA0E07" w:rsidP="00AA0E07">
      <w:pPr>
        <w:spacing w:line="360" w:lineRule="auto"/>
        <w:rPr>
          <w:rFonts w:eastAsiaTheme="minorHAnsi"/>
          <w:bCs/>
          <w:lang w:val="es-PE" w:eastAsia="en-US"/>
        </w:rPr>
      </w:pPr>
      <w:r w:rsidRPr="00AA0E07">
        <w:rPr>
          <w:rFonts w:eastAsiaTheme="minorHAnsi"/>
          <w:bCs/>
          <w:lang w:val="en-US" w:eastAsia="en-US"/>
        </w:rPr>
        <w:t xml:space="preserve">13. Schachera FC, Giongoa SM, Teixeiraa FJP, Mattos AZ. Endoscopic retrograde cholangiopancreatography versus surgery for choledocholithiasis – A meta-analysis. </w:t>
      </w:r>
      <w:r w:rsidRPr="00AA0E07">
        <w:rPr>
          <w:rFonts w:eastAsiaTheme="minorHAnsi"/>
          <w:bCs/>
          <w:lang w:val="es-PE" w:eastAsia="en-US"/>
        </w:rPr>
        <w:t xml:space="preserve">Ann Hepatol. 2019; 18(4):595-600. DOI: 10.1016/j.aohep.2019.01.010 </w:t>
      </w:r>
    </w:p>
    <w:p w14:paraId="7E33F58D" w14:textId="77777777" w:rsidR="00AA0E07" w:rsidRPr="00AA0E07" w:rsidRDefault="00AA0E07" w:rsidP="00AA0E07">
      <w:pPr>
        <w:spacing w:line="360" w:lineRule="auto"/>
        <w:rPr>
          <w:rFonts w:eastAsiaTheme="minorHAnsi"/>
          <w:bCs/>
          <w:lang w:val="es-PE" w:eastAsia="en-US"/>
        </w:rPr>
      </w:pPr>
      <w:r w:rsidRPr="00AA0E07">
        <w:rPr>
          <w:rFonts w:eastAsiaTheme="minorHAnsi"/>
          <w:bCs/>
          <w:lang w:val="es-PE" w:eastAsia="en-US"/>
        </w:rPr>
        <w:t xml:space="preserve">14. Barreda Cevasco L, Targarona Modena J, Marcos Enriquez JC, Arroyo Basto C, Morón E. Conociendo una complicación poco frecuente de la colangiopancreatografía retrógrada endoscópica. Rev Gastroenterol Peru. 2017 [acceso: 15/04/2022]; 37(1):39-46. Disponible en: </w:t>
      </w:r>
      <w:hyperlink r:id="rId25" w:history="1">
        <w:r w:rsidRPr="00AA0E07">
          <w:rPr>
            <w:rFonts w:eastAsiaTheme="minorHAnsi"/>
            <w:bCs/>
            <w:color w:val="0000FF" w:themeColor="hyperlink"/>
            <w:u w:val="single"/>
            <w:lang w:val="es-PE" w:eastAsia="en-US"/>
          </w:rPr>
          <w:t>http://www.scielo.org.pe/scielo.php?script=sci_arttext&amp;pid=S1022-51292017000100007</w:t>
        </w:r>
      </w:hyperlink>
      <w:r w:rsidRPr="00AA0E07">
        <w:rPr>
          <w:rFonts w:eastAsiaTheme="minorHAnsi"/>
          <w:bCs/>
          <w:lang w:val="es-PE" w:eastAsia="en-US"/>
        </w:rPr>
        <w:t xml:space="preserve">  </w:t>
      </w:r>
    </w:p>
    <w:p w14:paraId="2A602712" w14:textId="77777777" w:rsidR="00AA0E07" w:rsidRPr="00AA0E07" w:rsidRDefault="00AA0E07" w:rsidP="00AA0E07">
      <w:pPr>
        <w:spacing w:line="360" w:lineRule="auto"/>
        <w:rPr>
          <w:rFonts w:eastAsiaTheme="minorHAnsi"/>
          <w:bCs/>
          <w:lang w:val="es-PE" w:eastAsia="en-US"/>
        </w:rPr>
      </w:pPr>
      <w:r w:rsidRPr="00AA0E07">
        <w:rPr>
          <w:rFonts w:eastAsiaTheme="minorHAnsi"/>
          <w:bCs/>
          <w:lang w:val="es-PE" w:eastAsia="en-US"/>
        </w:rPr>
        <w:t xml:space="preserve">15. Bahena-Aponte JA, Ramírez de Aguilar G, Torres Carrillo JC, Espino Urbina L, Sánchez González JA. Ruptura hepática espontánea en paciente con antecedente de coledocolitiasis resuelta por colangiopancreatografia retrograda endoscópica. Rev Gastroenterol Peru. 2016 [acceso: 15/04/2022]; </w:t>
      </w:r>
      <w:r w:rsidRPr="00AA0E07">
        <w:rPr>
          <w:rFonts w:eastAsiaTheme="minorHAnsi"/>
          <w:bCs/>
          <w:lang w:val="es-PE" w:eastAsia="en-US"/>
        </w:rPr>
        <w:lastRenderedPageBreak/>
        <w:t xml:space="preserve">36(3):249-51. Disponible en: </w:t>
      </w:r>
      <w:hyperlink r:id="rId26" w:history="1">
        <w:r w:rsidRPr="00AA0E07">
          <w:rPr>
            <w:rFonts w:eastAsiaTheme="minorHAnsi"/>
            <w:bCs/>
            <w:color w:val="0000FF" w:themeColor="hyperlink"/>
            <w:u w:val="single"/>
            <w:lang w:val="es-PE" w:eastAsia="en-US"/>
          </w:rPr>
          <w:t>http://www.scielo.org.pe/scielo.php?script=sci_arttext&amp;pid=S1022-51292016000300009</w:t>
        </w:r>
      </w:hyperlink>
      <w:r w:rsidRPr="00AA0E07">
        <w:rPr>
          <w:rFonts w:eastAsiaTheme="minorHAnsi"/>
          <w:bCs/>
          <w:lang w:val="es-PE" w:eastAsia="en-US"/>
        </w:rPr>
        <w:t xml:space="preserve">  </w:t>
      </w:r>
    </w:p>
    <w:p w14:paraId="45C7B954" w14:textId="77777777" w:rsidR="00AA0E07" w:rsidRPr="00AA0E07" w:rsidRDefault="00AA0E07" w:rsidP="00AA0E07">
      <w:pPr>
        <w:spacing w:line="360" w:lineRule="auto"/>
        <w:rPr>
          <w:rFonts w:eastAsiaTheme="minorHAnsi"/>
          <w:bCs/>
          <w:lang w:val="es-PE" w:eastAsia="en-US"/>
        </w:rPr>
      </w:pPr>
      <w:r w:rsidRPr="00AA0E07">
        <w:rPr>
          <w:rFonts w:eastAsiaTheme="minorHAnsi"/>
          <w:bCs/>
          <w:lang w:val="es-PE" w:eastAsia="en-US"/>
        </w:rPr>
        <w:t xml:space="preserve">16. Prochazka Zarate R, Albán Bravo Paredes E, Zegarra Chang A, Corzo Maldonado CD, Delgado Zapata B. Caracterización clínico-radiológica y exploración de asociación entre el éxito terapéutico y edad en pacientes sometidos a pancreatocolangiografía retrógrada endoscópica en un hospital de tercer nivel de los años 2008 al 2014 en Lima-Perú. Rev Gastroenterol Peru. 2015 [acceso: 15/04/2022]; 35(2):151-8. Disponible en: </w:t>
      </w:r>
      <w:hyperlink r:id="rId27" w:history="1">
        <w:r w:rsidRPr="00AA0E07">
          <w:rPr>
            <w:rFonts w:eastAsiaTheme="minorHAnsi"/>
            <w:bCs/>
            <w:color w:val="0000FF" w:themeColor="hyperlink"/>
            <w:u w:val="single"/>
            <w:lang w:val="es-PE" w:eastAsia="en-US"/>
          </w:rPr>
          <w:t>http://www.scielo.org.pe/scielo.php?pid=S1022-51292015000200005&amp;script=sci_abstract</w:t>
        </w:r>
      </w:hyperlink>
      <w:r w:rsidRPr="00AA0E07">
        <w:rPr>
          <w:rFonts w:eastAsiaTheme="minorHAnsi"/>
          <w:bCs/>
          <w:lang w:val="es-PE" w:eastAsia="en-US"/>
        </w:rPr>
        <w:t xml:space="preserve">  </w:t>
      </w:r>
    </w:p>
    <w:p w14:paraId="1A1D928D" w14:textId="77777777" w:rsidR="00AA0E07" w:rsidRPr="00AA0E07" w:rsidRDefault="00AA0E07" w:rsidP="00AA0E07">
      <w:pPr>
        <w:spacing w:line="360" w:lineRule="auto"/>
        <w:rPr>
          <w:rFonts w:eastAsiaTheme="minorHAnsi" w:cstheme="minorBidi"/>
          <w:bCs/>
          <w:lang w:val="es-PE" w:eastAsia="en-US"/>
        </w:rPr>
      </w:pPr>
      <w:r w:rsidRPr="00AA0E07">
        <w:rPr>
          <w:rFonts w:eastAsiaTheme="minorHAnsi"/>
          <w:bCs/>
          <w:lang w:val="en-US" w:eastAsia="en-US"/>
        </w:rPr>
        <w:t xml:space="preserve">17. Kreve F, Takada J, Gatto J, Loss FS, Artifon ELA. Laparoendoscopic rendez-vous: a safe alternative to the treatment of choledocholithiasis. </w:t>
      </w:r>
      <w:r w:rsidRPr="00AA0E07">
        <w:rPr>
          <w:rFonts w:eastAsiaTheme="minorHAnsi"/>
          <w:bCs/>
          <w:lang w:val="es-PE" w:eastAsia="en-US"/>
        </w:rPr>
        <w:t xml:space="preserve">Rev Gastroenterol Peru. 2017 [acceso: 15/04/2022]; 37(2):165-8. Disponible en: </w:t>
      </w:r>
      <w:hyperlink r:id="rId28" w:history="1">
        <w:r w:rsidRPr="00AA0E07">
          <w:rPr>
            <w:rFonts w:eastAsiaTheme="minorHAnsi"/>
            <w:bCs/>
            <w:color w:val="0000FF" w:themeColor="hyperlink"/>
            <w:u w:val="single"/>
            <w:lang w:val="es-PE" w:eastAsia="en-US"/>
          </w:rPr>
          <w:t>http://www.scielo.org.pe/scielo.php?pid=S1022-51292017000200010&amp;script=sci_abstract&amp;tlng=en</w:t>
        </w:r>
      </w:hyperlink>
      <w:r w:rsidRPr="00AA0E07">
        <w:rPr>
          <w:rFonts w:eastAsiaTheme="minorHAnsi"/>
          <w:bCs/>
          <w:lang w:val="es-PE" w:eastAsia="en-US"/>
        </w:rPr>
        <w:t xml:space="preserve"> </w:t>
      </w:r>
      <w:r w:rsidRPr="00AA0E07">
        <w:rPr>
          <w:rFonts w:eastAsiaTheme="minorHAnsi" w:cstheme="minorBidi"/>
          <w:bCs/>
          <w:lang w:val="es-PE" w:eastAsia="en-US"/>
        </w:rPr>
        <w:t xml:space="preserve"> </w:t>
      </w:r>
    </w:p>
    <w:p w14:paraId="7B8BE630" w14:textId="77777777" w:rsidR="00AA0E07" w:rsidRPr="00AA0E07" w:rsidRDefault="00AA0E07" w:rsidP="00AA0E07">
      <w:pPr>
        <w:spacing w:line="360" w:lineRule="auto"/>
        <w:ind w:left="720"/>
        <w:contextualSpacing/>
        <w:jc w:val="both"/>
        <w:rPr>
          <w:rFonts w:eastAsia="Calibri"/>
          <w:bCs/>
          <w:lang w:val="es-PE" w:eastAsia="en-US"/>
        </w:rPr>
      </w:pPr>
    </w:p>
    <w:p w14:paraId="410ABDC4" w14:textId="77777777" w:rsidR="00AA0E07" w:rsidRPr="00AA0E07" w:rsidRDefault="00AA0E07" w:rsidP="00AA0E07">
      <w:pPr>
        <w:spacing w:line="360" w:lineRule="auto"/>
        <w:jc w:val="center"/>
        <w:rPr>
          <w:rFonts w:eastAsiaTheme="minorHAnsi"/>
          <w:b/>
          <w:lang w:val="es-ES" w:eastAsia="en-US"/>
        </w:rPr>
      </w:pPr>
    </w:p>
    <w:p w14:paraId="541EEBA2" w14:textId="77777777" w:rsidR="00AA0E07" w:rsidRPr="00AA0E07" w:rsidRDefault="00AA0E07" w:rsidP="00AA0E07">
      <w:pPr>
        <w:spacing w:line="360" w:lineRule="auto"/>
        <w:jc w:val="center"/>
        <w:rPr>
          <w:rFonts w:eastAsiaTheme="minorHAnsi"/>
          <w:b/>
          <w:lang w:val="es-ES" w:eastAsia="en-US"/>
        </w:rPr>
      </w:pPr>
      <w:r w:rsidRPr="00AA0E07">
        <w:rPr>
          <w:rFonts w:eastAsiaTheme="minorHAnsi"/>
          <w:b/>
          <w:lang w:val="es-ES" w:eastAsia="en-US"/>
        </w:rPr>
        <w:t>Conflicto de intereses</w:t>
      </w:r>
    </w:p>
    <w:p w14:paraId="4142811D" w14:textId="77777777" w:rsidR="00AA0E07" w:rsidRPr="00AA0E07" w:rsidRDefault="00AA0E07" w:rsidP="00AA0E07">
      <w:pPr>
        <w:spacing w:line="360" w:lineRule="auto"/>
        <w:jc w:val="both"/>
        <w:rPr>
          <w:rFonts w:eastAsiaTheme="minorHAnsi"/>
          <w:b/>
          <w:lang w:val="es-PE" w:eastAsia="en-US"/>
        </w:rPr>
      </w:pPr>
      <w:r w:rsidRPr="00AA0E07">
        <w:rPr>
          <w:rFonts w:eastAsiaTheme="minorHAnsi"/>
          <w:bCs/>
          <w:lang w:val="es-ES" w:eastAsia="en-US"/>
        </w:rPr>
        <w:t>Los autores plantean no tener conflictos de interés en relación con el artículo que se presenta.</w:t>
      </w:r>
    </w:p>
    <w:p w14:paraId="2F601884" w14:textId="77777777" w:rsidR="00675476" w:rsidRPr="007954D1" w:rsidRDefault="00675476" w:rsidP="007954D1"/>
    <w:sectPr w:rsidR="00675476" w:rsidRPr="007954D1" w:rsidSect="00FD3DF8">
      <w:headerReference w:type="default" r:id="rId29"/>
      <w:footerReference w:type="even" r:id="rId30"/>
      <w:footerReference w:type="default" r:id="rId3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00BCD" w14:textId="77777777" w:rsidR="00FB0901" w:rsidRDefault="00FB0901">
      <w:r>
        <w:separator/>
      </w:r>
    </w:p>
  </w:endnote>
  <w:endnote w:type="continuationSeparator" w:id="0">
    <w:p w14:paraId="381FEECD" w14:textId="77777777" w:rsidR="00FB0901" w:rsidRDefault="00FB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8A0B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CA051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2872E" w14:textId="77777777" w:rsidR="000F3690" w:rsidRPr="00AE044C" w:rsidRDefault="00FC6B8A" w:rsidP="00391509">
    <w:pPr>
      <w:pStyle w:val="Piedepgina"/>
      <w:ind w:right="360"/>
      <w:rPr>
        <w:sz w:val="22"/>
        <w:szCs w:val="22"/>
      </w:rPr>
    </w:pPr>
    <w:r>
      <w:rPr>
        <w:noProof/>
        <w:lang w:val="es-ES" w:eastAsia="es-ES"/>
      </w:rPr>
      <mc:AlternateContent>
        <mc:Choice Requires="wps">
          <w:drawing>
            <wp:anchor distT="0" distB="0" distL="114300" distR="114300" simplePos="0" relativeHeight="251656192" behindDoc="0" locked="0" layoutInCell="1" allowOverlap="1" wp14:anchorId="46AC4C58" wp14:editId="5AF9A834">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F8D117"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" strokecolor="blue" strokeweight="2.25pt"/>
          </w:pict>
        </mc:Fallback>
      </mc:AlternateContent>
    </w:r>
  </w:p>
  <w:p w14:paraId="2CB8A403"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278D8B0"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311DAA5C"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FC6B8A" w:rsidRPr="00FC6B8A">
      <w:rPr>
        <w:rFonts w:ascii="Verdana" w:hAnsi="Verdana"/>
        <w:noProof/>
        <w:sz w:val="18"/>
        <w:szCs w:val="18"/>
        <w:lang w:val="es-ES" w:eastAsia="es-ES"/>
      </w:rPr>
      <w:drawing>
        <wp:inline distT="0" distB="0" distL="0" distR="0" wp14:anchorId="36B6C3BC" wp14:editId="1C7FCBE8">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2C4AC" w14:textId="77777777" w:rsidR="00FB0901" w:rsidRDefault="00FB0901">
      <w:r>
        <w:separator/>
      </w:r>
    </w:p>
  </w:footnote>
  <w:footnote w:type="continuationSeparator" w:id="0">
    <w:p w14:paraId="460D62CB" w14:textId="77777777" w:rsidR="00FB0901" w:rsidRDefault="00FB0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9691" w14:textId="77777777" w:rsidR="00CC376A" w:rsidRPr="00AE044C" w:rsidRDefault="00FC6B8A"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985B93">
      <w:rPr>
        <w:sz w:val="22"/>
        <w:szCs w:val="22"/>
      </w:rPr>
      <w:t>(</w:t>
    </w:r>
    <w:r w:rsidR="00985B93" w:rsidRPr="00985B93">
      <w:rPr>
        <w:sz w:val="22"/>
        <w:szCs w:val="22"/>
      </w:rPr>
      <w:t>2</w:t>
    </w:r>
    <w:r w:rsidR="007D2D0C" w:rsidRPr="00985B93">
      <w:rPr>
        <w:sz w:val="22"/>
        <w:szCs w:val="22"/>
      </w:rPr>
      <w:t>)</w:t>
    </w:r>
    <w:r w:rsidR="007D2D0C" w:rsidRPr="00AE044C">
      <w:rPr>
        <w:sz w:val="22"/>
        <w:szCs w:val="22"/>
      </w:rPr>
      <w:t>:</w:t>
    </w:r>
    <w:r>
      <w:rPr>
        <w:noProof/>
        <w:lang w:val="es-ES" w:eastAsia="es-ES"/>
      </w:rPr>
      <w:drawing>
        <wp:anchor distT="0" distB="0" distL="114300" distR="114300" simplePos="0" relativeHeight="251663360" behindDoc="1" locked="0" layoutInCell="1" allowOverlap="1" wp14:anchorId="1327286B" wp14:editId="604639A1">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sidR="00AA0E07">
      <w:rPr>
        <w:sz w:val="22"/>
        <w:szCs w:val="22"/>
      </w:rPr>
      <w:t>e02302326</w:t>
    </w:r>
  </w:p>
  <w:p w14:paraId="0F00F9B8" w14:textId="77777777" w:rsidR="00A477DE" w:rsidRDefault="00FC6B8A">
    <w:r>
      <w:rPr>
        <w:noProof/>
        <w:lang w:val="es-ES" w:eastAsia="es-ES"/>
      </w:rPr>
      <mc:AlternateContent>
        <mc:Choice Requires="wps">
          <w:drawing>
            <wp:anchor distT="0" distB="0" distL="114300" distR="114300" simplePos="0" relativeHeight="251654144" behindDoc="0" locked="0" layoutInCell="1" allowOverlap="1" wp14:anchorId="011DCE80" wp14:editId="6F87C563">
              <wp:simplePos x="0" y="0"/>
              <wp:positionH relativeFrom="column">
                <wp:posOffset>635</wp:posOffset>
              </wp:positionH>
              <wp:positionV relativeFrom="paragraph">
                <wp:posOffset>42545</wp:posOffset>
              </wp:positionV>
              <wp:extent cx="6307455" cy="28575"/>
              <wp:effectExtent l="19050" t="19050" r="1714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81FD7B"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B184B"/>
    <w:multiLevelType w:val="hybridMultilevel"/>
    <w:tmpl w:val="B2747B80"/>
    <w:lvl w:ilvl="0" w:tplc="524A5DA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F5968D3"/>
    <w:multiLevelType w:val="hybridMultilevel"/>
    <w:tmpl w:val="94B2DAE4"/>
    <w:lvl w:ilvl="0" w:tplc="355439E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6C0000D8"/>
    <w:multiLevelType w:val="hybridMultilevel"/>
    <w:tmpl w:val="E24E5CA0"/>
    <w:lvl w:ilvl="0" w:tplc="AA54F56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85945399">
    <w:abstractNumId w:val="2"/>
  </w:num>
  <w:num w:numId="2" w16cid:durableId="455637220">
    <w:abstractNumId w:val="1"/>
  </w:num>
  <w:num w:numId="3" w16cid:durableId="2119055557">
    <w:abstractNumId w:val="3"/>
  </w:num>
  <w:num w:numId="4" w16cid:durableId="1436171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E07"/>
    <w:rsid w:val="00057F45"/>
    <w:rsid w:val="000C5518"/>
    <w:rsid w:val="000D3958"/>
    <w:rsid w:val="000F3690"/>
    <w:rsid w:val="001055A8"/>
    <w:rsid w:val="001221D1"/>
    <w:rsid w:val="00165CB5"/>
    <w:rsid w:val="00180CE9"/>
    <w:rsid w:val="001B09FC"/>
    <w:rsid w:val="00230DD5"/>
    <w:rsid w:val="00250AE9"/>
    <w:rsid w:val="00341B40"/>
    <w:rsid w:val="00380D64"/>
    <w:rsid w:val="00391509"/>
    <w:rsid w:val="003B0580"/>
    <w:rsid w:val="003E03D5"/>
    <w:rsid w:val="00451236"/>
    <w:rsid w:val="00486BFA"/>
    <w:rsid w:val="00493701"/>
    <w:rsid w:val="004E2065"/>
    <w:rsid w:val="005508A2"/>
    <w:rsid w:val="0055115D"/>
    <w:rsid w:val="00566F71"/>
    <w:rsid w:val="005918BD"/>
    <w:rsid w:val="005C0C33"/>
    <w:rsid w:val="005C3442"/>
    <w:rsid w:val="006173A6"/>
    <w:rsid w:val="00675476"/>
    <w:rsid w:val="00695441"/>
    <w:rsid w:val="00790E34"/>
    <w:rsid w:val="007954D1"/>
    <w:rsid w:val="007B3F47"/>
    <w:rsid w:val="007C430F"/>
    <w:rsid w:val="007D2D0C"/>
    <w:rsid w:val="007D614D"/>
    <w:rsid w:val="0089063B"/>
    <w:rsid w:val="008D1035"/>
    <w:rsid w:val="00960D6A"/>
    <w:rsid w:val="00985B93"/>
    <w:rsid w:val="009A0560"/>
    <w:rsid w:val="009B0917"/>
    <w:rsid w:val="009F0F96"/>
    <w:rsid w:val="00A23C0C"/>
    <w:rsid w:val="00A477DE"/>
    <w:rsid w:val="00A64763"/>
    <w:rsid w:val="00A71E65"/>
    <w:rsid w:val="00AA0E07"/>
    <w:rsid w:val="00AE044C"/>
    <w:rsid w:val="00B31971"/>
    <w:rsid w:val="00B37A24"/>
    <w:rsid w:val="00B4380A"/>
    <w:rsid w:val="00B66ECB"/>
    <w:rsid w:val="00BE3753"/>
    <w:rsid w:val="00C63C1F"/>
    <w:rsid w:val="00C7523A"/>
    <w:rsid w:val="00CC1B6E"/>
    <w:rsid w:val="00CC376A"/>
    <w:rsid w:val="00CC48A1"/>
    <w:rsid w:val="00CF50E0"/>
    <w:rsid w:val="00D449C1"/>
    <w:rsid w:val="00D85951"/>
    <w:rsid w:val="00DA1448"/>
    <w:rsid w:val="00E62606"/>
    <w:rsid w:val="00E90CB0"/>
    <w:rsid w:val="00EA1FEF"/>
    <w:rsid w:val="00EC5A6B"/>
    <w:rsid w:val="00EE301D"/>
    <w:rsid w:val="00F14F67"/>
    <w:rsid w:val="00FA7CC1"/>
    <w:rsid w:val="00FB0901"/>
    <w:rsid w:val="00FC6B8A"/>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5E181"/>
  <w15:docId w15:val="{77502222-2C52-4EAE-9B07-1825C02B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qFormat="1"/>
    <w:lsdException w:name="HTML Bottom of Form" w:semiHidden="1" w:uiPriority="99" w:unhideWhenUsed="1" w:qFormat="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1"/>
    <w:qFormat/>
    <w:rsid w:val="00FC6B8A"/>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FC6B8A"/>
    <w:pPr>
      <w:keepNext/>
      <w:spacing w:before="240" w:after="60"/>
      <w:outlineLvl w:val="1"/>
    </w:pPr>
    <w:rPr>
      <w:rFonts w:ascii="Calibri Light" w:eastAsia="Calibri Light" w:hAnsi="Calibri Light" w:cs="Calibri Light"/>
      <w:color w:val="538135"/>
      <w:sz w:val="28"/>
      <w:szCs w:val="28"/>
      <w:lang w:val="es-CU" w:eastAsia="es-CU"/>
    </w:rPr>
  </w:style>
  <w:style w:type="paragraph" w:styleId="Ttulo3">
    <w:name w:val="heading 3"/>
    <w:basedOn w:val="Normal"/>
    <w:next w:val="Normal"/>
    <w:link w:val="Ttulo3Car"/>
    <w:uiPriority w:val="9"/>
    <w:semiHidden/>
    <w:unhideWhenUsed/>
    <w:qFormat/>
    <w:rsid w:val="00FC6B8A"/>
    <w:pPr>
      <w:keepNext/>
      <w:spacing w:before="240" w:after="60"/>
      <w:outlineLvl w:val="2"/>
    </w:pPr>
    <w:rPr>
      <w:rFonts w:ascii="Calibri Light" w:eastAsia="Calibri Light" w:hAnsi="Calibri Light" w:cs="Calibri Light"/>
      <w:color w:val="538135"/>
      <w:lang w:val="es-CU" w:eastAsia="es-CU"/>
    </w:rPr>
  </w:style>
  <w:style w:type="paragraph" w:styleId="Ttulo4">
    <w:name w:val="heading 4"/>
    <w:basedOn w:val="Normal"/>
    <w:next w:val="Normal"/>
    <w:link w:val="Ttulo4Car"/>
    <w:uiPriority w:val="9"/>
    <w:semiHidden/>
    <w:unhideWhenUsed/>
    <w:qFormat/>
    <w:rsid w:val="00FC6B8A"/>
    <w:pPr>
      <w:keepNext/>
      <w:spacing w:before="240" w:after="60"/>
      <w:outlineLvl w:val="3"/>
    </w:pPr>
    <w:rPr>
      <w:rFonts w:ascii="Calibri Light" w:eastAsia="Calibri Light" w:hAnsi="Calibri Light" w:cs="Calibri Light"/>
      <w:color w:val="70AD47"/>
      <w:sz w:val="22"/>
      <w:szCs w:val="22"/>
      <w:lang w:val="es-CU" w:eastAsia="es-CU"/>
    </w:rPr>
  </w:style>
  <w:style w:type="paragraph" w:styleId="Ttulo5">
    <w:name w:val="heading 5"/>
    <w:basedOn w:val="Normal"/>
    <w:next w:val="Normal"/>
    <w:link w:val="Ttulo5Car"/>
    <w:uiPriority w:val="9"/>
    <w:semiHidden/>
    <w:unhideWhenUsed/>
    <w:qFormat/>
    <w:rsid w:val="00FC6B8A"/>
    <w:pPr>
      <w:spacing w:before="240" w:after="60"/>
      <w:outlineLvl w:val="4"/>
    </w:pPr>
    <w:rPr>
      <w:rFonts w:ascii="Calibri Light" w:eastAsia="Calibri Light" w:hAnsi="Calibri Light" w:cs="Calibri Light"/>
      <w:i/>
      <w:iCs/>
      <w:color w:val="70AD47"/>
      <w:sz w:val="22"/>
      <w:szCs w:val="22"/>
      <w:lang w:val="es-CU" w:eastAsia="es-CU"/>
    </w:rPr>
  </w:style>
  <w:style w:type="paragraph" w:styleId="Ttulo6">
    <w:name w:val="heading 6"/>
    <w:basedOn w:val="Normal"/>
    <w:next w:val="Normal"/>
    <w:link w:val="Ttulo6Car"/>
    <w:uiPriority w:val="9"/>
    <w:semiHidden/>
    <w:unhideWhenUsed/>
    <w:qFormat/>
    <w:rsid w:val="00FC6B8A"/>
    <w:pPr>
      <w:spacing w:before="240" w:after="60"/>
      <w:outlineLvl w:val="5"/>
    </w:pPr>
    <w:rPr>
      <w:rFonts w:ascii="Calibri Light" w:eastAsia="Calibri Light" w:hAnsi="Calibri Light" w:cs="Calibri Light"/>
      <w:color w:val="70AD47"/>
      <w:sz w:val="20"/>
      <w:szCs w:val="20"/>
      <w:lang w:val="es-CU" w:eastAsia="es-CU"/>
    </w:rPr>
  </w:style>
  <w:style w:type="paragraph" w:styleId="Ttulo7">
    <w:name w:val="heading 7"/>
    <w:basedOn w:val="Normal"/>
    <w:next w:val="Normal"/>
    <w:link w:val="Ttulo7Car"/>
    <w:uiPriority w:val="9"/>
    <w:semiHidden/>
    <w:unhideWhenUsed/>
    <w:qFormat/>
    <w:rsid w:val="00FC6B8A"/>
    <w:pPr>
      <w:spacing w:before="240" w:after="60"/>
      <w:outlineLvl w:val="6"/>
    </w:pPr>
    <w:rPr>
      <w:rFonts w:ascii="Calibri Light" w:eastAsia="Calibri Light" w:hAnsi="Calibri Light" w:cs="Calibri Light"/>
      <w:b/>
      <w:bCs/>
      <w:color w:val="70AD47"/>
      <w:sz w:val="20"/>
      <w:szCs w:val="20"/>
      <w:lang w:val="es-CU" w:eastAsia="es-CU"/>
    </w:rPr>
  </w:style>
  <w:style w:type="paragraph" w:styleId="Ttulo8">
    <w:name w:val="heading 8"/>
    <w:basedOn w:val="Normal"/>
    <w:next w:val="Normal"/>
    <w:link w:val="Ttulo8Car"/>
    <w:uiPriority w:val="9"/>
    <w:semiHidden/>
    <w:unhideWhenUsed/>
    <w:qFormat/>
    <w:rsid w:val="00FC6B8A"/>
    <w:pPr>
      <w:spacing w:before="240" w:after="60"/>
      <w:outlineLvl w:val="7"/>
    </w:pPr>
    <w:rPr>
      <w:rFonts w:ascii="Calibri Light" w:eastAsia="Calibri Light" w:hAnsi="Calibri Light" w:cs="Calibri Light"/>
      <w:b/>
      <w:bCs/>
      <w:i/>
      <w:iCs/>
      <w:color w:val="70AD47"/>
      <w:sz w:val="20"/>
      <w:szCs w:val="20"/>
      <w:lang w:val="es-CU" w:eastAsia="es-CU"/>
    </w:rPr>
  </w:style>
  <w:style w:type="paragraph" w:styleId="Ttulo9">
    <w:name w:val="heading 9"/>
    <w:basedOn w:val="Normal"/>
    <w:next w:val="Normal"/>
    <w:link w:val="Ttulo9Car"/>
    <w:uiPriority w:val="9"/>
    <w:semiHidden/>
    <w:unhideWhenUsed/>
    <w:qFormat/>
    <w:rsid w:val="00FC6B8A"/>
    <w:pPr>
      <w:spacing w:before="240" w:after="60"/>
      <w:outlineLvl w:val="8"/>
    </w:pPr>
    <w:rPr>
      <w:rFonts w:ascii="Calibri Light" w:eastAsia="Calibri Light" w:hAnsi="Calibri Light" w:cs="Calibri Light"/>
      <w:i/>
      <w:iCs/>
      <w:color w:val="70AD47"/>
      <w:sz w:val="20"/>
      <w:szCs w:val="20"/>
      <w:lang w:val="es-CU" w:eastAsia="es-C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qFormat/>
    <w:rsid w:val="00A71E65"/>
    <w:rPr>
      <w:rFonts w:ascii="Tahoma" w:hAnsi="Tahoma" w:cs="Tahoma"/>
      <w:sz w:val="16"/>
      <w:szCs w:val="16"/>
    </w:rPr>
  </w:style>
  <w:style w:type="character" w:customStyle="1" w:styleId="TextodegloboCar">
    <w:name w:val="Texto de globo Car"/>
    <w:link w:val="Textodeglobo"/>
    <w:uiPriority w:val="99"/>
    <w:qFormat/>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paragraph" w:customStyle="1" w:styleId="Ttulo11">
    <w:name w:val="Título 11"/>
    <w:basedOn w:val="Normal"/>
    <w:next w:val="Normal"/>
    <w:link w:val="Ttulo1Car"/>
    <w:uiPriority w:val="9"/>
    <w:qFormat/>
    <w:rsid w:val="00FC6B8A"/>
    <w:pPr>
      <w:keepNext/>
      <w:keepLines/>
      <w:spacing w:before="360" w:after="40"/>
      <w:outlineLvl w:val="0"/>
    </w:pPr>
    <w:rPr>
      <w:rFonts w:ascii="Calibri Light" w:eastAsia="Calibri Light" w:hAnsi="Calibri Light" w:cs="Calibri Light"/>
      <w:color w:val="538135"/>
      <w:sz w:val="40"/>
      <w:szCs w:val="40"/>
      <w:lang w:val="es-CU" w:eastAsia="es-CU"/>
    </w:rPr>
  </w:style>
  <w:style w:type="paragraph" w:customStyle="1" w:styleId="Ttulo21">
    <w:name w:val="Título 21"/>
    <w:basedOn w:val="Normal"/>
    <w:next w:val="Normal"/>
    <w:uiPriority w:val="9"/>
    <w:unhideWhenUsed/>
    <w:qFormat/>
    <w:rsid w:val="00FC6B8A"/>
    <w:pPr>
      <w:keepNext/>
      <w:keepLines/>
      <w:spacing w:before="80"/>
      <w:outlineLvl w:val="1"/>
    </w:pPr>
    <w:rPr>
      <w:rFonts w:ascii="Calibri Light" w:eastAsia="Calibri Light" w:hAnsi="Calibri Light" w:cs="Calibri Light"/>
      <w:color w:val="538135"/>
      <w:sz w:val="28"/>
      <w:szCs w:val="28"/>
      <w:lang w:val="es-ES" w:eastAsia="en-US"/>
    </w:rPr>
  </w:style>
  <w:style w:type="paragraph" w:customStyle="1" w:styleId="Ttulo31">
    <w:name w:val="Título 31"/>
    <w:basedOn w:val="Normal"/>
    <w:next w:val="Normal"/>
    <w:uiPriority w:val="9"/>
    <w:semiHidden/>
    <w:unhideWhenUsed/>
    <w:qFormat/>
    <w:rsid w:val="00FC6B8A"/>
    <w:pPr>
      <w:keepNext/>
      <w:keepLines/>
      <w:spacing w:before="80"/>
      <w:outlineLvl w:val="2"/>
    </w:pPr>
    <w:rPr>
      <w:rFonts w:ascii="Calibri Light" w:eastAsia="Calibri Light" w:hAnsi="Calibri Light" w:cs="Calibri Light"/>
      <w:color w:val="538135"/>
      <w:lang w:val="es-ES" w:eastAsia="en-US"/>
    </w:rPr>
  </w:style>
  <w:style w:type="paragraph" w:customStyle="1" w:styleId="Ttulo41">
    <w:name w:val="Título 41"/>
    <w:basedOn w:val="Normal"/>
    <w:next w:val="Normal"/>
    <w:uiPriority w:val="9"/>
    <w:semiHidden/>
    <w:unhideWhenUsed/>
    <w:qFormat/>
    <w:rsid w:val="00FC6B8A"/>
    <w:pPr>
      <w:keepNext/>
      <w:keepLines/>
      <w:spacing w:before="80" w:line="288" w:lineRule="auto"/>
      <w:outlineLvl w:val="3"/>
    </w:pPr>
    <w:rPr>
      <w:rFonts w:ascii="Calibri Light" w:eastAsia="Calibri Light" w:hAnsi="Calibri Light" w:cs="Calibri Light"/>
      <w:color w:val="70AD47"/>
      <w:sz w:val="22"/>
      <w:szCs w:val="22"/>
      <w:lang w:val="es-ES" w:eastAsia="en-US"/>
    </w:rPr>
  </w:style>
  <w:style w:type="paragraph" w:customStyle="1" w:styleId="Ttulo51">
    <w:name w:val="Título 51"/>
    <w:basedOn w:val="Normal"/>
    <w:next w:val="Normal"/>
    <w:uiPriority w:val="9"/>
    <w:semiHidden/>
    <w:unhideWhenUsed/>
    <w:qFormat/>
    <w:rsid w:val="00FC6B8A"/>
    <w:pPr>
      <w:keepNext/>
      <w:keepLines/>
      <w:spacing w:before="40" w:line="288" w:lineRule="auto"/>
      <w:outlineLvl w:val="4"/>
    </w:pPr>
    <w:rPr>
      <w:rFonts w:ascii="Calibri Light" w:eastAsia="Calibri Light" w:hAnsi="Calibri Light" w:cs="Calibri Light"/>
      <w:i/>
      <w:iCs/>
      <w:color w:val="70AD47"/>
      <w:sz w:val="22"/>
      <w:szCs w:val="22"/>
      <w:lang w:val="es-ES" w:eastAsia="en-US"/>
    </w:rPr>
  </w:style>
  <w:style w:type="paragraph" w:customStyle="1" w:styleId="Ttulo61">
    <w:name w:val="Título 61"/>
    <w:basedOn w:val="Normal"/>
    <w:next w:val="Normal"/>
    <w:uiPriority w:val="9"/>
    <w:semiHidden/>
    <w:unhideWhenUsed/>
    <w:qFormat/>
    <w:rsid w:val="00FC6B8A"/>
    <w:pPr>
      <w:keepNext/>
      <w:keepLines/>
      <w:spacing w:before="40" w:line="288" w:lineRule="auto"/>
      <w:outlineLvl w:val="5"/>
    </w:pPr>
    <w:rPr>
      <w:rFonts w:ascii="Calibri Light" w:eastAsia="Calibri Light" w:hAnsi="Calibri Light" w:cs="Calibri Light"/>
      <w:color w:val="70AD47"/>
      <w:sz w:val="21"/>
      <w:szCs w:val="21"/>
      <w:lang w:val="es-ES" w:eastAsia="en-US"/>
    </w:rPr>
  </w:style>
  <w:style w:type="paragraph" w:customStyle="1" w:styleId="Ttulo71">
    <w:name w:val="Título 71"/>
    <w:basedOn w:val="Normal"/>
    <w:next w:val="Normal"/>
    <w:uiPriority w:val="9"/>
    <w:semiHidden/>
    <w:unhideWhenUsed/>
    <w:qFormat/>
    <w:rsid w:val="00FC6B8A"/>
    <w:pPr>
      <w:keepNext/>
      <w:keepLines/>
      <w:spacing w:before="40" w:line="288" w:lineRule="auto"/>
      <w:outlineLvl w:val="6"/>
    </w:pPr>
    <w:rPr>
      <w:rFonts w:ascii="Calibri Light" w:eastAsia="Calibri Light" w:hAnsi="Calibri Light" w:cs="Calibri Light"/>
      <w:b/>
      <w:bCs/>
      <w:color w:val="70AD47"/>
      <w:sz w:val="21"/>
      <w:szCs w:val="21"/>
      <w:lang w:val="es-ES" w:eastAsia="en-US"/>
    </w:rPr>
  </w:style>
  <w:style w:type="paragraph" w:customStyle="1" w:styleId="Ttulo81">
    <w:name w:val="Título 81"/>
    <w:basedOn w:val="Normal"/>
    <w:next w:val="Normal"/>
    <w:uiPriority w:val="9"/>
    <w:semiHidden/>
    <w:unhideWhenUsed/>
    <w:qFormat/>
    <w:rsid w:val="00FC6B8A"/>
    <w:pPr>
      <w:keepNext/>
      <w:keepLines/>
      <w:spacing w:before="40" w:line="288" w:lineRule="auto"/>
      <w:outlineLvl w:val="7"/>
    </w:pPr>
    <w:rPr>
      <w:rFonts w:ascii="Calibri Light" w:eastAsia="Calibri Light" w:hAnsi="Calibri Light" w:cs="Calibri Light"/>
      <w:b/>
      <w:bCs/>
      <w:i/>
      <w:iCs/>
      <w:color w:val="70AD47"/>
      <w:sz w:val="20"/>
      <w:szCs w:val="20"/>
      <w:lang w:val="es-ES" w:eastAsia="en-US"/>
    </w:rPr>
  </w:style>
  <w:style w:type="paragraph" w:customStyle="1" w:styleId="Ttulo91">
    <w:name w:val="Título 91"/>
    <w:basedOn w:val="Normal"/>
    <w:next w:val="Normal"/>
    <w:uiPriority w:val="9"/>
    <w:semiHidden/>
    <w:unhideWhenUsed/>
    <w:qFormat/>
    <w:rsid w:val="00FC6B8A"/>
    <w:pPr>
      <w:keepNext/>
      <w:keepLines/>
      <w:spacing w:before="40" w:line="288" w:lineRule="auto"/>
      <w:outlineLvl w:val="8"/>
    </w:pPr>
    <w:rPr>
      <w:rFonts w:ascii="Calibri Light" w:eastAsia="Calibri Light" w:hAnsi="Calibri Light" w:cs="Calibri Light"/>
      <w:i/>
      <w:iCs/>
      <w:color w:val="70AD47"/>
      <w:sz w:val="20"/>
      <w:szCs w:val="20"/>
      <w:lang w:val="es-ES" w:eastAsia="en-US"/>
    </w:rPr>
  </w:style>
  <w:style w:type="numbering" w:customStyle="1" w:styleId="Sinlista1">
    <w:name w:val="Sin lista1"/>
    <w:next w:val="Sinlista"/>
    <w:uiPriority w:val="99"/>
    <w:semiHidden/>
    <w:unhideWhenUsed/>
    <w:rsid w:val="00FC6B8A"/>
  </w:style>
  <w:style w:type="character" w:customStyle="1" w:styleId="HTMLconformatoprevioCar">
    <w:name w:val="HTML con formato previo Car"/>
    <w:link w:val="HTMLconformatoprevio"/>
    <w:uiPriority w:val="99"/>
    <w:qFormat/>
    <w:rsid w:val="00FC6B8A"/>
    <w:rPr>
      <w:rFonts w:ascii="Courier New" w:hAnsi="Courier New" w:cs="Courier New"/>
      <w:lang w:eastAsia="es-ES"/>
    </w:rPr>
  </w:style>
  <w:style w:type="character" w:customStyle="1" w:styleId="Ttulo1Car">
    <w:name w:val="Título 1 Car"/>
    <w:link w:val="Ttulo11"/>
    <w:uiPriority w:val="9"/>
    <w:qFormat/>
    <w:rsid w:val="00FC6B8A"/>
    <w:rPr>
      <w:rFonts w:ascii="Calibri Light" w:eastAsia="Calibri Light" w:hAnsi="Calibri Light" w:cs="Calibri Light"/>
      <w:color w:val="538135"/>
      <w:sz w:val="40"/>
      <w:szCs w:val="40"/>
    </w:rPr>
  </w:style>
  <w:style w:type="character" w:customStyle="1" w:styleId="article-alt-title">
    <w:name w:val="article-alt-title"/>
    <w:basedOn w:val="Fuentedeprrafopredeter"/>
    <w:qFormat/>
    <w:rsid w:val="00FC6B8A"/>
  </w:style>
  <w:style w:type="character" w:customStyle="1" w:styleId="title-text">
    <w:name w:val="title-text"/>
    <w:basedOn w:val="Fuentedeprrafopredeter"/>
    <w:qFormat/>
    <w:rsid w:val="00FC6B8A"/>
  </w:style>
  <w:style w:type="character" w:customStyle="1" w:styleId="Ttulo2Car">
    <w:name w:val="Título 2 Car"/>
    <w:link w:val="Ttulo2"/>
    <w:uiPriority w:val="9"/>
    <w:qFormat/>
    <w:rsid w:val="00FC6B8A"/>
    <w:rPr>
      <w:rFonts w:ascii="Calibri Light" w:eastAsia="Calibri Light" w:hAnsi="Calibri Light" w:cs="Calibri Light"/>
      <w:color w:val="538135"/>
      <w:sz w:val="28"/>
      <w:szCs w:val="28"/>
    </w:rPr>
  </w:style>
  <w:style w:type="character" w:customStyle="1" w:styleId="EnlacedeInternet">
    <w:name w:val="Enlace de Internet"/>
    <w:uiPriority w:val="99"/>
    <w:unhideWhenUsed/>
    <w:rsid w:val="00FC6B8A"/>
    <w:rPr>
      <w:color w:val="0000FF"/>
      <w:u w:val="single"/>
    </w:rPr>
  </w:style>
  <w:style w:type="character" w:customStyle="1" w:styleId="z-PrincipiodelformularioCar">
    <w:name w:val="z-Principio del formulario Car"/>
    <w:uiPriority w:val="99"/>
    <w:semiHidden/>
    <w:qFormat/>
    <w:rsid w:val="00FC6B8A"/>
    <w:rPr>
      <w:rFonts w:ascii="Arial" w:eastAsia="Times New Roman" w:hAnsi="Arial" w:cs="Arial"/>
      <w:vanish/>
      <w:sz w:val="16"/>
      <w:szCs w:val="16"/>
      <w:lang w:eastAsia="es-ES"/>
    </w:rPr>
  </w:style>
  <w:style w:type="character" w:customStyle="1" w:styleId="z-FinaldelformularioCar">
    <w:name w:val="z-Final del formulario Car"/>
    <w:uiPriority w:val="99"/>
    <w:semiHidden/>
    <w:qFormat/>
    <w:rsid w:val="00FC6B8A"/>
    <w:rPr>
      <w:rFonts w:ascii="Arial" w:eastAsia="Times New Roman" w:hAnsi="Arial" w:cs="Arial"/>
      <w:vanish/>
      <w:sz w:val="16"/>
      <w:szCs w:val="16"/>
      <w:lang w:eastAsia="es-ES"/>
    </w:rPr>
  </w:style>
  <w:style w:type="character" w:customStyle="1" w:styleId="highwire-cite-metadata-doi">
    <w:name w:val="highwire-cite-metadata-doi"/>
    <w:qFormat/>
    <w:rsid w:val="00FC6B8A"/>
    <w:rPr>
      <w:position w:val="0"/>
      <w:sz w:val="24"/>
      <w:szCs w:val="24"/>
      <w:vertAlign w:val="baseline"/>
    </w:rPr>
  </w:style>
  <w:style w:type="character" w:customStyle="1" w:styleId="label1">
    <w:name w:val="label1"/>
    <w:qFormat/>
    <w:rsid w:val="00FC6B8A"/>
    <w:rPr>
      <w:b/>
      <w:bCs/>
      <w:position w:val="0"/>
      <w:sz w:val="24"/>
      <w:szCs w:val="24"/>
      <w:vertAlign w:val="baseline"/>
    </w:rPr>
  </w:style>
  <w:style w:type="character" w:customStyle="1" w:styleId="selectable">
    <w:name w:val="selectable"/>
    <w:basedOn w:val="Fuentedeprrafopredeter"/>
    <w:qFormat/>
    <w:rsid w:val="00FC6B8A"/>
  </w:style>
  <w:style w:type="character" w:customStyle="1" w:styleId="A3">
    <w:name w:val="A3"/>
    <w:uiPriority w:val="99"/>
    <w:qFormat/>
    <w:rsid w:val="00FC6B8A"/>
    <w:rPr>
      <w:rFonts w:cs="Helvetica"/>
      <w:b/>
      <w:bCs/>
      <w:color w:val="000000"/>
      <w:sz w:val="32"/>
      <w:szCs w:val="32"/>
    </w:rPr>
  </w:style>
  <w:style w:type="character" w:customStyle="1" w:styleId="A0">
    <w:name w:val="A0"/>
    <w:uiPriority w:val="99"/>
    <w:qFormat/>
    <w:rsid w:val="00FC6B8A"/>
    <w:rPr>
      <w:rFonts w:cs="Minion Pro"/>
      <w:color w:val="000000"/>
      <w:sz w:val="16"/>
      <w:szCs w:val="16"/>
    </w:rPr>
  </w:style>
  <w:style w:type="character" w:customStyle="1" w:styleId="Mencinsinresolver1">
    <w:name w:val="Mención sin resolver1"/>
    <w:uiPriority w:val="99"/>
    <w:semiHidden/>
    <w:unhideWhenUsed/>
    <w:qFormat/>
    <w:rsid w:val="00FC6B8A"/>
    <w:rPr>
      <w:color w:val="605E5C"/>
      <w:shd w:val="clear" w:color="auto" w:fill="E1DFDD"/>
    </w:rPr>
  </w:style>
  <w:style w:type="character" w:customStyle="1" w:styleId="Mencinsinresolver2">
    <w:name w:val="Mención sin resolver2"/>
    <w:uiPriority w:val="99"/>
    <w:semiHidden/>
    <w:unhideWhenUsed/>
    <w:qFormat/>
    <w:rsid w:val="00FC6B8A"/>
    <w:rPr>
      <w:color w:val="605E5C"/>
      <w:shd w:val="clear" w:color="auto" w:fill="E1DFDD"/>
    </w:rPr>
  </w:style>
  <w:style w:type="character" w:customStyle="1" w:styleId="titulo">
    <w:name w:val="titulo"/>
    <w:basedOn w:val="Fuentedeprrafopredeter"/>
    <w:qFormat/>
    <w:rsid w:val="00FC6B8A"/>
  </w:style>
  <w:style w:type="character" w:customStyle="1" w:styleId="A7">
    <w:name w:val="A7"/>
    <w:uiPriority w:val="99"/>
    <w:qFormat/>
    <w:rsid w:val="00FC6B8A"/>
    <w:rPr>
      <w:color w:val="000000"/>
      <w:sz w:val="16"/>
      <w:szCs w:val="16"/>
    </w:rPr>
  </w:style>
  <w:style w:type="character" w:styleId="Textoennegrita">
    <w:name w:val="Strong"/>
    <w:uiPriority w:val="22"/>
    <w:qFormat/>
    <w:rsid w:val="00FC6B8A"/>
    <w:rPr>
      <w:b/>
      <w:bCs/>
    </w:rPr>
  </w:style>
  <w:style w:type="character" w:customStyle="1" w:styleId="titleauthoretc4">
    <w:name w:val="titleauthoretc4"/>
    <w:basedOn w:val="Fuentedeprrafopredeter"/>
    <w:qFormat/>
    <w:rsid w:val="00FC6B8A"/>
  </w:style>
  <w:style w:type="character" w:customStyle="1" w:styleId="Mencinsinresolver3">
    <w:name w:val="Mención sin resolver3"/>
    <w:uiPriority w:val="99"/>
    <w:semiHidden/>
    <w:unhideWhenUsed/>
    <w:qFormat/>
    <w:rsid w:val="00FC6B8A"/>
    <w:rPr>
      <w:color w:val="605E5C"/>
      <w:shd w:val="clear" w:color="auto" w:fill="E1DFDD"/>
    </w:rPr>
  </w:style>
  <w:style w:type="character" w:customStyle="1" w:styleId="Hipervnculovisitado1">
    <w:name w:val="Hipervínculo visitado1"/>
    <w:uiPriority w:val="99"/>
    <w:semiHidden/>
    <w:unhideWhenUsed/>
    <w:qFormat/>
    <w:rsid w:val="00FC6B8A"/>
    <w:rPr>
      <w:color w:val="954F72"/>
      <w:u w:val="single"/>
    </w:rPr>
  </w:style>
  <w:style w:type="character" w:customStyle="1" w:styleId="label">
    <w:name w:val="label"/>
    <w:basedOn w:val="Fuentedeprrafopredeter"/>
    <w:qFormat/>
    <w:rsid w:val="00FC6B8A"/>
  </w:style>
  <w:style w:type="character" w:customStyle="1" w:styleId="value">
    <w:name w:val="value"/>
    <w:basedOn w:val="Fuentedeprrafopredeter"/>
    <w:qFormat/>
    <w:rsid w:val="00FC6B8A"/>
  </w:style>
  <w:style w:type="character" w:customStyle="1" w:styleId="Ttulo3Car">
    <w:name w:val="Título 3 Car"/>
    <w:link w:val="Ttulo3"/>
    <w:uiPriority w:val="9"/>
    <w:semiHidden/>
    <w:qFormat/>
    <w:rsid w:val="00FC6B8A"/>
    <w:rPr>
      <w:rFonts w:ascii="Calibri Light" w:eastAsia="Calibri Light" w:hAnsi="Calibri Light" w:cs="Calibri Light"/>
      <w:color w:val="538135"/>
      <w:sz w:val="24"/>
      <w:szCs w:val="24"/>
    </w:rPr>
  </w:style>
  <w:style w:type="character" w:customStyle="1" w:styleId="Ttulo4Car">
    <w:name w:val="Título 4 Car"/>
    <w:link w:val="Ttulo4"/>
    <w:uiPriority w:val="9"/>
    <w:semiHidden/>
    <w:qFormat/>
    <w:rsid w:val="00FC6B8A"/>
    <w:rPr>
      <w:rFonts w:ascii="Calibri Light" w:eastAsia="Calibri Light" w:hAnsi="Calibri Light" w:cs="Calibri Light"/>
      <w:color w:val="70AD47"/>
      <w:sz w:val="22"/>
      <w:szCs w:val="22"/>
    </w:rPr>
  </w:style>
  <w:style w:type="character" w:customStyle="1" w:styleId="Ttulo5Car">
    <w:name w:val="Título 5 Car"/>
    <w:link w:val="Ttulo5"/>
    <w:uiPriority w:val="9"/>
    <w:semiHidden/>
    <w:qFormat/>
    <w:rsid w:val="00FC6B8A"/>
    <w:rPr>
      <w:rFonts w:ascii="Calibri Light" w:eastAsia="Calibri Light" w:hAnsi="Calibri Light" w:cs="Calibri Light"/>
      <w:i/>
      <w:iCs/>
      <w:color w:val="70AD47"/>
      <w:sz w:val="22"/>
      <w:szCs w:val="22"/>
    </w:rPr>
  </w:style>
  <w:style w:type="character" w:customStyle="1" w:styleId="Ttulo6Car">
    <w:name w:val="Título 6 Car"/>
    <w:link w:val="Ttulo6"/>
    <w:uiPriority w:val="9"/>
    <w:semiHidden/>
    <w:qFormat/>
    <w:rsid w:val="00FC6B8A"/>
    <w:rPr>
      <w:rFonts w:ascii="Calibri Light" w:eastAsia="Calibri Light" w:hAnsi="Calibri Light" w:cs="Calibri Light"/>
      <w:color w:val="70AD47"/>
    </w:rPr>
  </w:style>
  <w:style w:type="character" w:customStyle="1" w:styleId="Ttulo7Car">
    <w:name w:val="Título 7 Car"/>
    <w:link w:val="Ttulo7"/>
    <w:uiPriority w:val="9"/>
    <w:semiHidden/>
    <w:qFormat/>
    <w:rsid w:val="00FC6B8A"/>
    <w:rPr>
      <w:rFonts w:ascii="Calibri Light" w:eastAsia="Calibri Light" w:hAnsi="Calibri Light" w:cs="Calibri Light"/>
      <w:b/>
      <w:bCs/>
      <w:color w:val="70AD47"/>
    </w:rPr>
  </w:style>
  <w:style w:type="character" w:customStyle="1" w:styleId="Ttulo8Car">
    <w:name w:val="Título 8 Car"/>
    <w:link w:val="Ttulo8"/>
    <w:uiPriority w:val="9"/>
    <w:semiHidden/>
    <w:qFormat/>
    <w:rsid w:val="00FC6B8A"/>
    <w:rPr>
      <w:rFonts w:ascii="Calibri Light" w:eastAsia="Calibri Light" w:hAnsi="Calibri Light" w:cs="Calibri Light"/>
      <w:b/>
      <w:bCs/>
      <w:i/>
      <w:iCs/>
      <w:color w:val="70AD47"/>
      <w:sz w:val="20"/>
      <w:szCs w:val="20"/>
    </w:rPr>
  </w:style>
  <w:style w:type="character" w:customStyle="1" w:styleId="Ttulo9Car">
    <w:name w:val="Título 9 Car"/>
    <w:link w:val="Ttulo9"/>
    <w:uiPriority w:val="9"/>
    <w:semiHidden/>
    <w:qFormat/>
    <w:rsid w:val="00FC6B8A"/>
    <w:rPr>
      <w:rFonts w:ascii="Calibri Light" w:eastAsia="Calibri Light" w:hAnsi="Calibri Light" w:cs="Calibri Light"/>
      <w:i/>
      <w:iCs/>
      <w:color w:val="70AD47"/>
      <w:sz w:val="20"/>
      <w:szCs w:val="20"/>
    </w:rPr>
  </w:style>
  <w:style w:type="character" w:customStyle="1" w:styleId="TtuloCar">
    <w:name w:val="Título Car"/>
    <w:link w:val="Ttulo"/>
    <w:uiPriority w:val="10"/>
    <w:qFormat/>
    <w:rsid w:val="00FC6B8A"/>
    <w:rPr>
      <w:rFonts w:ascii="Calibri Light" w:eastAsia="Calibri Light" w:hAnsi="Calibri Light" w:cs="Calibri Light"/>
      <w:color w:val="262626"/>
      <w:spacing w:val="-15"/>
      <w:sz w:val="96"/>
      <w:szCs w:val="96"/>
    </w:rPr>
  </w:style>
  <w:style w:type="character" w:customStyle="1" w:styleId="SubttuloCar">
    <w:name w:val="Subtítulo Car"/>
    <w:link w:val="Subttulo"/>
    <w:uiPriority w:val="11"/>
    <w:qFormat/>
    <w:rsid w:val="00FC6B8A"/>
    <w:rPr>
      <w:rFonts w:ascii="Calibri Light" w:eastAsia="Calibri Light" w:hAnsi="Calibri Light" w:cs="Calibri Light"/>
      <w:sz w:val="30"/>
      <w:szCs w:val="30"/>
    </w:rPr>
  </w:style>
  <w:style w:type="character" w:customStyle="1" w:styleId="Destacado">
    <w:name w:val="Destacado"/>
    <w:uiPriority w:val="20"/>
    <w:qFormat/>
    <w:rsid w:val="00FC6B8A"/>
    <w:rPr>
      <w:i/>
      <w:iCs/>
    </w:rPr>
  </w:style>
  <w:style w:type="character" w:customStyle="1" w:styleId="CitaCar">
    <w:name w:val="Cita Car"/>
    <w:link w:val="Cita"/>
    <w:uiPriority w:val="29"/>
    <w:qFormat/>
    <w:rsid w:val="00FC6B8A"/>
    <w:rPr>
      <w:i/>
      <w:iCs/>
      <w:color w:val="262626"/>
    </w:rPr>
  </w:style>
  <w:style w:type="character" w:customStyle="1" w:styleId="CitadestacadaCar">
    <w:name w:val="Cita destacada Car"/>
    <w:link w:val="Citadestacada"/>
    <w:uiPriority w:val="30"/>
    <w:qFormat/>
    <w:rsid w:val="00FC6B8A"/>
    <w:rPr>
      <w:rFonts w:ascii="Calibri Light" w:eastAsia="Calibri Light" w:hAnsi="Calibri Light" w:cs="Calibri Light"/>
      <w:i/>
      <w:iCs/>
      <w:color w:val="70AD47"/>
      <w:sz w:val="32"/>
      <w:szCs w:val="32"/>
    </w:rPr>
  </w:style>
  <w:style w:type="character" w:styleId="nfasissutil">
    <w:name w:val="Subtle Emphasis"/>
    <w:uiPriority w:val="19"/>
    <w:qFormat/>
    <w:rsid w:val="00FC6B8A"/>
    <w:rPr>
      <w:i/>
      <w:iCs/>
    </w:rPr>
  </w:style>
  <w:style w:type="character" w:styleId="nfasisintenso">
    <w:name w:val="Intense Emphasis"/>
    <w:uiPriority w:val="21"/>
    <w:qFormat/>
    <w:rsid w:val="00FC6B8A"/>
    <w:rPr>
      <w:b/>
      <w:bCs/>
      <w:i/>
      <w:iCs/>
    </w:rPr>
  </w:style>
  <w:style w:type="character" w:customStyle="1" w:styleId="Referenciasutil1">
    <w:name w:val="Referencia sutil1"/>
    <w:uiPriority w:val="31"/>
    <w:qFormat/>
    <w:rsid w:val="00FC6B8A"/>
    <w:rPr>
      <w:smallCaps/>
      <w:color w:val="595959"/>
    </w:rPr>
  </w:style>
  <w:style w:type="character" w:customStyle="1" w:styleId="Referenciaintensa1">
    <w:name w:val="Referencia intensa1"/>
    <w:uiPriority w:val="32"/>
    <w:qFormat/>
    <w:rsid w:val="00FC6B8A"/>
    <w:rPr>
      <w:b/>
      <w:bCs/>
      <w:smallCaps/>
      <w:color w:val="70AD47"/>
    </w:rPr>
  </w:style>
  <w:style w:type="character" w:styleId="Ttulodellibro">
    <w:name w:val="Book Title"/>
    <w:uiPriority w:val="33"/>
    <w:qFormat/>
    <w:rsid w:val="00FC6B8A"/>
    <w:rPr>
      <w:b/>
      <w:bCs/>
      <w:smallCaps/>
      <w:spacing w:val="7"/>
      <w:sz w:val="21"/>
      <w:szCs w:val="21"/>
    </w:rPr>
  </w:style>
  <w:style w:type="character" w:customStyle="1" w:styleId="Mencinsinresolver4">
    <w:name w:val="Mención sin resolver4"/>
    <w:uiPriority w:val="99"/>
    <w:semiHidden/>
    <w:unhideWhenUsed/>
    <w:qFormat/>
    <w:rsid w:val="00FC6B8A"/>
    <w:rPr>
      <w:color w:val="605E5C"/>
      <w:shd w:val="clear" w:color="auto" w:fill="E1DFDD"/>
    </w:rPr>
  </w:style>
  <w:style w:type="character" w:customStyle="1" w:styleId="Mencinsinresolver5">
    <w:name w:val="Mención sin resolver5"/>
    <w:uiPriority w:val="99"/>
    <w:semiHidden/>
    <w:unhideWhenUsed/>
    <w:qFormat/>
    <w:rsid w:val="00FC6B8A"/>
    <w:rPr>
      <w:color w:val="605E5C"/>
      <w:shd w:val="clear" w:color="auto" w:fill="E1DFDD"/>
    </w:rPr>
  </w:style>
  <w:style w:type="character" w:customStyle="1" w:styleId="ListLabel1">
    <w:name w:val="ListLabel 1"/>
    <w:qFormat/>
    <w:rsid w:val="00FC6B8A"/>
    <w:rPr>
      <w:color w:val="auto"/>
      <w:u w:val="none"/>
    </w:rPr>
  </w:style>
  <w:style w:type="character" w:customStyle="1" w:styleId="ListLabel2">
    <w:name w:val="ListLabel 2"/>
    <w:qFormat/>
    <w:rsid w:val="00FC6B8A"/>
    <w:rPr>
      <w:rFonts w:ascii="Times New Roman" w:hAnsi="Times New Roman" w:cs="Times New Roman"/>
      <w:color w:val="auto"/>
      <w:sz w:val="24"/>
      <w:szCs w:val="24"/>
      <w:u w:val="none"/>
      <w:lang w:val="en-US"/>
    </w:rPr>
  </w:style>
  <w:style w:type="character" w:customStyle="1" w:styleId="ListLabel3">
    <w:name w:val="ListLabel 3"/>
    <w:qFormat/>
    <w:rsid w:val="00FC6B8A"/>
    <w:rPr>
      <w:rFonts w:ascii="Times New Roman" w:hAnsi="Times New Roman" w:cs="Times New Roman"/>
      <w:color w:val="auto"/>
      <w:sz w:val="24"/>
      <w:szCs w:val="24"/>
      <w:u w:val="none"/>
    </w:rPr>
  </w:style>
  <w:style w:type="character" w:customStyle="1" w:styleId="doi2">
    <w:name w:val="doi2"/>
    <w:basedOn w:val="Fuentedeprrafopredeter"/>
    <w:qFormat/>
    <w:rsid w:val="00FC6B8A"/>
  </w:style>
  <w:style w:type="character" w:customStyle="1" w:styleId="mixed-citation">
    <w:name w:val="mixed-citation"/>
    <w:basedOn w:val="Fuentedeprrafopredeter"/>
    <w:qFormat/>
    <w:rsid w:val="00FC6B8A"/>
  </w:style>
  <w:style w:type="character" w:customStyle="1" w:styleId="ref-title">
    <w:name w:val="ref-title"/>
    <w:basedOn w:val="Fuentedeprrafopredeter"/>
    <w:qFormat/>
    <w:rsid w:val="00FC6B8A"/>
  </w:style>
  <w:style w:type="character" w:customStyle="1" w:styleId="ref-vol">
    <w:name w:val="ref-vol"/>
    <w:basedOn w:val="Fuentedeprrafopredeter"/>
    <w:qFormat/>
    <w:rsid w:val="00FC6B8A"/>
  </w:style>
  <w:style w:type="character" w:customStyle="1" w:styleId="ref-iss">
    <w:name w:val="ref-iss"/>
    <w:basedOn w:val="Fuentedeprrafopredeter"/>
    <w:qFormat/>
    <w:rsid w:val="00FC6B8A"/>
  </w:style>
  <w:style w:type="character" w:customStyle="1" w:styleId="ListLabel4">
    <w:name w:val="ListLabel 4"/>
    <w:qFormat/>
    <w:rsid w:val="00FC6B8A"/>
    <w:rPr>
      <w:color w:val="auto"/>
      <w:u w:val="none"/>
    </w:rPr>
  </w:style>
  <w:style w:type="character" w:customStyle="1" w:styleId="ListLabel5">
    <w:name w:val="ListLabel 5"/>
    <w:qFormat/>
    <w:rsid w:val="00FC6B8A"/>
    <w:rPr>
      <w:rFonts w:ascii="Times New Roman" w:eastAsia="Calibri" w:hAnsi="Times New Roman" w:cs="Times New Roman"/>
      <w:sz w:val="22"/>
      <w:szCs w:val="22"/>
      <w:lang w:val="en-US"/>
    </w:rPr>
  </w:style>
  <w:style w:type="character" w:customStyle="1" w:styleId="ListLabel6">
    <w:name w:val="ListLabel 6"/>
    <w:qFormat/>
    <w:rsid w:val="00FC6B8A"/>
    <w:rPr>
      <w:color w:val="auto"/>
      <w:u w:val="none"/>
    </w:rPr>
  </w:style>
  <w:style w:type="character" w:customStyle="1" w:styleId="ListLabel7">
    <w:name w:val="ListLabel 7"/>
    <w:qFormat/>
    <w:rsid w:val="00FC6B8A"/>
    <w:rPr>
      <w:rFonts w:ascii="Times New Roman" w:hAnsi="Times New Roman" w:cs="Times New Roman"/>
      <w:color w:val="auto"/>
      <w:sz w:val="24"/>
      <w:szCs w:val="24"/>
      <w:u w:val="none"/>
      <w:lang w:val="en-US"/>
    </w:rPr>
  </w:style>
  <w:style w:type="character" w:customStyle="1" w:styleId="ListLabel8">
    <w:name w:val="ListLabel 8"/>
    <w:qFormat/>
    <w:rsid w:val="00FC6B8A"/>
    <w:rPr>
      <w:bCs/>
      <w:i/>
      <w:color w:val="auto"/>
      <w:shd w:val="clear" w:color="auto" w:fill="FFFFFF"/>
      <w:lang w:val="en-US"/>
    </w:rPr>
  </w:style>
  <w:style w:type="character" w:customStyle="1" w:styleId="ListLabel9">
    <w:name w:val="ListLabel 9"/>
    <w:qFormat/>
    <w:rsid w:val="00FC6B8A"/>
    <w:rPr>
      <w:color w:val="auto"/>
      <w:u w:val="none"/>
      <w:lang w:val="en-US"/>
    </w:rPr>
  </w:style>
  <w:style w:type="character" w:customStyle="1" w:styleId="ListLabel10">
    <w:name w:val="ListLabel 10"/>
    <w:qFormat/>
    <w:rsid w:val="00FC6B8A"/>
    <w:rPr>
      <w:rFonts w:ascii="Times New Roman" w:hAnsi="Times New Roman" w:cs="Times New Roman"/>
      <w:color w:val="auto"/>
      <w:sz w:val="24"/>
      <w:szCs w:val="24"/>
      <w:u w:val="none"/>
    </w:rPr>
  </w:style>
  <w:style w:type="character" w:customStyle="1" w:styleId="ListLabel11">
    <w:name w:val="ListLabel 11"/>
    <w:qFormat/>
    <w:rsid w:val="00FC6B8A"/>
    <w:rPr>
      <w:rFonts w:eastAsia="Times New Roman"/>
      <w:color w:val="auto"/>
      <w:lang w:val="en" w:eastAsia="es-ES"/>
    </w:rPr>
  </w:style>
  <w:style w:type="character" w:customStyle="1" w:styleId="ListLabel12">
    <w:name w:val="ListLabel 12"/>
    <w:qFormat/>
    <w:rsid w:val="00FC6B8A"/>
    <w:rPr>
      <w:color w:val="auto"/>
      <w:u w:val="none"/>
      <w:shd w:val="clear" w:color="auto" w:fill="FFFFFF"/>
      <w:lang w:val="en-US"/>
    </w:rPr>
  </w:style>
  <w:style w:type="character" w:customStyle="1" w:styleId="ListLabel13">
    <w:name w:val="ListLabel 13"/>
    <w:qFormat/>
    <w:rsid w:val="00FC6B8A"/>
    <w:rPr>
      <w:color w:val="auto"/>
      <w:u w:val="none"/>
      <w:lang w:val="en"/>
    </w:rPr>
  </w:style>
  <w:style w:type="character" w:customStyle="1" w:styleId="ListLabel14">
    <w:name w:val="ListLabel 14"/>
    <w:qFormat/>
    <w:rsid w:val="00FC6B8A"/>
    <w:rPr>
      <w:rFonts w:ascii="Times New Roman" w:hAnsi="Times New Roman" w:cs="Times New Roman"/>
      <w:color w:val="auto"/>
      <w:sz w:val="24"/>
      <w:szCs w:val="24"/>
      <w:u w:val="none"/>
      <w:lang w:val="en"/>
    </w:rPr>
  </w:style>
  <w:style w:type="paragraph" w:customStyle="1" w:styleId="Ttulo10">
    <w:name w:val="Título1"/>
    <w:basedOn w:val="Normal"/>
    <w:next w:val="Textoindependiente"/>
    <w:uiPriority w:val="10"/>
    <w:qFormat/>
    <w:rsid w:val="00FC6B8A"/>
    <w:pPr>
      <w:contextualSpacing/>
    </w:pPr>
    <w:rPr>
      <w:rFonts w:ascii="Calibri Light" w:eastAsia="Calibri Light" w:hAnsi="Calibri Light" w:cs="Calibri Light"/>
      <w:color w:val="262626"/>
      <w:spacing w:val="-15"/>
      <w:sz w:val="96"/>
      <w:szCs w:val="96"/>
      <w:lang w:val="es-ES" w:eastAsia="en-US"/>
    </w:rPr>
  </w:style>
  <w:style w:type="paragraph" w:styleId="Textoindependiente">
    <w:name w:val="Body Text"/>
    <w:basedOn w:val="Normal"/>
    <w:link w:val="TextoindependienteCar"/>
    <w:rsid w:val="00FC6B8A"/>
    <w:pPr>
      <w:spacing w:after="140" w:line="276" w:lineRule="auto"/>
    </w:pPr>
    <w:rPr>
      <w:rFonts w:ascii="Calibri" w:eastAsia="Calibri" w:hAnsi="Calibri" w:cs="Calibri"/>
      <w:sz w:val="21"/>
      <w:szCs w:val="21"/>
      <w:lang w:val="es-ES" w:eastAsia="en-US"/>
    </w:rPr>
  </w:style>
  <w:style w:type="character" w:customStyle="1" w:styleId="TextoindependienteCar">
    <w:name w:val="Texto independiente Car"/>
    <w:basedOn w:val="Fuentedeprrafopredeter"/>
    <w:link w:val="Textoindependiente"/>
    <w:rsid w:val="00FC6B8A"/>
    <w:rPr>
      <w:rFonts w:ascii="Calibri" w:eastAsia="Calibri" w:hAnsi="Calibri" w:cs="Calibri"/>
      <w:sz w:val="21"/>
      <w:szCs w:val="21"/>
      <w:lang w:val="es-ES" w:eastAsia="en-US"/>
    </w:rPr>
  </w:style>
  <w:style w:type="paragraph" w:styleId="Lista">
    <w:name w:val="List"/>
    <w:basedOn w:val="Textoindependiente"/>
    <w:rsid w:val="00FC6B8A"/>
    <w:rPr>
      <w:rFonts w:cs="Lucida Sans"/>
    </w:rPr>
  </w:style>
  <w:style w:type="paragraph" w:customStyle="1" w:styleId="Descripcin1">
    <w:name w:val="Descripción1"/>
    <w:basedOn w:val="Normal"/>
    <w:next w:val="Normal"/>
    <w:uiPriority w:val="35"/>
    <w:semiHidden/>
    <w:unhideWhenUsed/>
    <w:qFormat/>
    <w:rsid w:val="00FC6B8A"/>
    <w:pPr>
      <w:spacing w:after="200"/>
    </w:pPr>
    <w:rPr>
      <w:rFonts w:ascii="Calibri" w:eastAsia="Calibri" w:hAnsi="Calibri" w:cs="Calibri"/>
      <w:b/>
      <w:bCs/>
      <w:smallCaps/>
      <w:color w:val="595959"/>
      <w:sz w:val="21"/>
      <w:szCs w:val="21"/>
      <w:lang w:val="es-ES" w:eastAsia="en-US"/>
    </w:rPr>
  </w:style>
  <w:style w:type="paragraph" w:customStyle="1" w:styleId="ndice">
    <w:name w:val="Índice"/>
    <w:basedOn w:val="Normal"/>
    <w:qFormat/>
    <w:rsid w:val="00FC6B8A"/>
    <w:pPr>
      <w:suppressLineNumbers/>
      <w:spacing w:after="200" w:line="288" w:lineRule="auto"/>
    </w:pPr>
    <w:rPr>
      <w:rFonts w:ascii="Calibri" w:eastAsia="Calibri" w:hAnsi="Calibri" w:cs="Lucida Sans"/>
      <w:sz w:val="21"/>
      <w:szCs w:val="21"/>
      <w:lang w:val="es-ES" w:eastAsia="en-US"/>
    </w:rPr>
  </w:style>
  <w:style w:type="paragraph" w:customStyle="1" w:styleId="Default">
    <w:name w:val="Default"/>
    <w:qFormat/>
    <w:rsid w:val="00FC6B8A"/>
    <w:rPr>
      <w:rFonts w:eastAsia="Calibri"/>
      <w:color w:val="000000"/>
      <w:sz w:val="24"/>
      <w:szCs w:val="24"/>
      <w:lang w:val="es-ES" w:eastAsia="en-US"/>
    </w:rPr>
  </w:style>
  <w:style w:type="paragraph" w:styleId="Prrafodelista">
    <w:name w:val="List Paragraph"/>
    <w:basedOn w:val="Normal"/>
    <w:uiPriority w:val="34"/>
    <w:qFormat/>
    <w:rsid w:val="00FC6B8A"/>
    <w:pPr>
      <w:spacing w:after="200" w:line="288" w:lineRule="auto"/>
      <w:ind w:left="720"/>
      <w:contextualSpacing/>
    </w:pPr>
    <w:rPr>
      <w:rFonts w:ascii="Calibri" w:eastAsia="Calibri" w:hAnsi="Calibri" w:cs="Calibri"/>
      <w:sz w:val="21"/>
      <w:szCs w:val="21"/>
      <w:lang w:val="es-ES" w:eastAsia="en-US"/>
    </w:rPr>
  </w:style>
  <w:style w:type="paragraph" w:styleId="HTMLconformatoprevio">
    <w:name w:val="HTML Preformatted"/>
    <w:basedOn w:val="Normal"/>
    <w:link w:val="HTMLconformatoprevioCar"/>
    <w:uiPriority w:val="99"/>
    <w:unhideWhenUsed/>
    <w:qFormat/>
    <w:rsid w:val="00FC6B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U" w:eastAsia="es-ES"/>
    </w:rPr>
  </w:style>
  <w:style w:type="character" w:customStyle="1" w:styleId="HTMLconformatoprevioCar1">
    <w:name w:val="HTML con formato previo Car1"/>
    <w:basedOn w:val="Fuentedeprrafopredeter"/>
    <w:semiHidden/>
    <w:rsid w:val="00FC6B8A"/>
    <w:rPr>
      <w:rFonts w:ascii="Courier New" w:hAnsi="Courier New" w:cs="Courier New"/>
      <w:lang w:val="es-ES_tradnl" w:eastAsia="es-ES_tradnl"/>
    </w:rPr>
  </w:style>
  <w:style w:type="paragraph" w:styleId="z-Principiodelformulario">
    <w:name w:val="HTML Top of Form"/>
    <w:basedOn w:val="Normal"/>
    <w:next w:val="Normal"/>
    <w:link w:val="z-PrincipiodelformularioCar1"/>
    <w:uiPriority w:val="99"/>
    <w:semiHidden/>
    <w:unhideWhenUsed/>
    <w:qFormat/>
    <w:rsid w:val="00FC6B8A"/>
    <w:pPr>
      <w:pBdr>
        <w:bottom w:val="single" w:sz="6" w:space="1" w:color="000000"/>
      </w:pBdr>
      <w:jc w:val="center"/>
    </w:pPr>
    <w:rPr>
      <w:rFonts w:ascii="Arial" w:hAnsi="Arial" w:cs="Arial"/>
      <w:vanish/>
      <w:sz w:val="16"/>
      <w:szCs w:val="16"/>
      <w:lang w:val="es-ES" w:eastAsia="es-ES"/>
    </w:rPr>
  </w:style>
  <w:style w:type="character" w:customStyle="1" w:styleId="z-PrincipiodelformularioCar1">
    <w:name w:val="z-Principio del formulario Car1"/>
    <w:basedOn w:val="Fuentedeprrafopredeter"/>
    <w:link w:val="z-Principiodelformulario"/>
    <w:uiPriority w:val="99"/>
    <w:semiHidden/>
    <w:rsid w:val="00FC6B8A"/>
    <w:rPr>
      <w:rFonts w:ascii="Arial" w:hAnsi="Arial" w:cs="Arial"/>
      <w:vanish/>
      <w:sz w:val="16"/>
      <w:szCs w:val="16"/>
      <w:lang w:val="es-ES" w:eastAsia="es-ES"/>
    </w:rPr>
  </w:style>
  <w:style w:type="paragraph" w:styleId="z-Finaldelformulario">
    <w:name w:val="HTML Bottom of Form"/>
    <w:basedOn w:val="Normal"/>
    <w:next w:val="Normal"/>
    <w:link w:val="z-FinaldelformularioCar1"/>
    <w:uiPriority w:val="99"/>
    <w:semiHidden/>
    <w:unhideWhenUsed/>
    <w:qFormat/>
    <w:rsid w:val="00FC6B8A"/>
    <w:pPr>
      <w:pBdr>
        <w:top w:val="single" w:sz="6" w:space="1" w:color="000000"/>
      </w:pBdr>
      <w:jc w:val="center"/>
    </w:pPr>
    <w:rPr>
      <w:rFonts w:ascii="Arial" w:hAnsi="Arial" w:cs="Arial"/>
      <w:vanish/>
      <w:sz w:val="16"/>
      <w:szCs w:val="16"/>
      <w:lang w:val="es-ES" w:eastAsia="es-ES"/>
    </w:rPr>
  </w:style>
  <w:style w:type="character" w:customStyle="1" w:styleId="z-FinaldelformularioCar1">
    <w:name w:val="z-Final del formulario Car1"/>
    <w:basedOn w:val="Fuentedeprrafopredeter"/>
    <w:link w:val="z-Finaldelformulario"/>
    <w:uiPriority w:val="99"/>
    <w:semiHidden/>
    <w:rsid w:val="00FC6B8A"/>
    <w:rPr>
      <w:rFonts w:ascii="Arial" w:hAnsi="Arial" w:cs="Arial"/>
      <w:vanish/>
      <w:sz w:val="16"/>
      <w:szCs w:val="16"/>
      <w:lang w:val="es-ES" w:eastAsia="es-ES"/>
    </w:rPr>
  </w:style>
  <w:style w:type="paragraph" w:customStyle="1" w:styleId="Pa9">
    <w:name w:val="Pa9"/>
    <w:basedOn w:val="Default"/>
    <w:next w:val="Default"/>
    <w:uiPriority w:val="99"/>
    <w:qFormat/>
    <w:rsid w:val="00FC6B8A"/>
    <w:pPr>
      <w:spacing w:line="201" w:lineRule="atLeast"/>
    </w:pPr>
    <w:rPr>
      <w:color w:val="auto"/>
      <w:lang w:val="en-US"/>
    </w:rPr>
  </w:style>
  <w:style w:type="paragraph" w:customStyle="1" w:styleId="Subttulo1">
    <w:name w:val="Subtítulo1"/>
    <w:basedOn w:val="Normal"/>
    <w:next w:val="Normal"/>
    <w:uiPriority w:val="11"/>
    <w:qFormat/>
    <w:rsid w:val="00FC6B8A"/>
    <w:pPr>
      <w:spacing w:after="200"/>
    </w:pPr>
    <w:rPr>
      <w:rFonts w:ascii="Calibri Light" w:eastAsia="Calibri Light" w:hAnsi="Calibri Light" w:cs="Calibri Light"/>
      <w:sz w:val="30"/>
      <w:szCs w:val="30"/>
      <w:lang w:val="es-ES" w:eastAsia="en-US"/>
    </w:rPr>
  </w:style>
  <w:style w:type="paragraph" w:styleId="Sinespaciado">
    <w:name w:val="No Spacing"/>
    <w:uiPriority w:val="1"/>
    <w:qFormat/>
    <w:rsid w:val="00FC6B8A"/>
    <w:rPr>
      <w:rFonts w:ascii="Calibri" w:eastAsia="Calibri" w:hAnsi="Calibri" w:cs="Calibri"/>
      <w:sz w:val="21"/>
      <w:szCs w:val="21"/>
      <w:lang w:val="es-ES" w:eastAsia="en-US"/>
    </w:rPr>
  </w:style>
  <w:style w:type="paragraph" w:customStyle="1" w:styleId="Cita1">
    <w:name w:val="Cita1"/>
    <w:basedOn w:val="Normal"/>
    <w:next w:val="Normal"/>
    <w:uiPriority w:val="29"/>
    <w:qFormat/>
    <w:rsid w:val="00FC6B8A"/>
    <w:pPr>
      <w:spacing w:before="160" w:after="200" w:line="288" w:lineRule="auto"/>
      <w:ind w:left="720" w:right="720"/>
      <w:jc w:val="center"/>
    </w:pPr>
    <w:rPr>
      <w:rFonts w:ascii="Calibri" w:eastAsia="Calibri" w:hAnsi="Calibri" w:cs="Calibri"/>
      <w:i/>
      <w:iCs/>
      <w:color w:val="262626"/>
      <w:sz w:val="21"/>
      <w:szCs w:val="21"/>
      <w:lang w:val="es-ES" w:eastAsia="en-US"/>
    </w:rPr>
  </w:style>
  <w:style w:type="paragraph" w:customStyle="1" w:styleId="Citadestacada1">
    <w:name w:val="Cita destacada1"/>
    <w:basedOn w:val="Normal"/>
    <w:next w:val="Normal"/>
    <w:uiPriority w:val="30"/>
    <w:qFormat/>
    <w:rsid w:val="00FC6B8A"/>
    <w:pPr>
      <w:spacing w:before="160" w:after="160" w:line="264" w:lineRule="auto"/>
      <w:ind w:left="720" w:right="720"/>
      <w:jc w:val="center"/>
    </w:pPr>
    <w:rPr>
      <w:rFonts w:ascii="Calibri Light" w:eastAsia="Calibri Light" w:hAnsi="Calibri Light" w:cs="Calibri Light"/>
      <w:i/>
      <w:iCs/>
      <w:color w:val="70AD47"/>
      <w:sz w:val="32"/>
      <w:szCs w:val="32"/>
      <w:lang w:val="es-ES" w:eastAsia="en-US"/>
    </w:rPr>
  </w:style>
  <w:style w:type="character" w:customStyle="1" w:styleId="Ttulo1Car1">
    <w:name w:val="Título 1 Car1"/>
    <w:basedOn w:val="Fuentedeprrafopredeter"/>
    <w:link w:val="Ttulo1"/>
    <w:rsid w:val="00FC6B8A"/>
    <w:rPr>
      <w:rFonts w:asciiTheme="majorHAnsi" w:eastAsiaTheme="majorEastAsia" w:hAnsiTheme="majorHAnsi" w:cstheme="majorBidi"/>
      <w:b/>
      <w:bCs/>
      <w:kern w:val="32"/>
      <w:sz w:val="32"/>
      <w:szCs w:val="32"/>
      <w:lang w:val="es-ES_tradnl" w:eastAsia="es-ES_tradnl"/>
    </w:rPr>
  </w:style>
  <w:style w:type="paragraph" w:styleId="TtuloTDC">
    <w:name w:val="TOC Heading"/>
    <w:basedOn w:val="Ttulo1"/>
    <w:next w:val="Normal"/>
    <w:uiPriority w:val="39"/>
    <w:semiHidden/>
    <w:unhideWhenUsed/>
    <w:qFormat/>
    <w:rsid w:val="00FC6B8A"/>
    <w:pPr>
      <w:keepLines/>
      <w:spacing w:before="360" w:after="40"/>
    </w:pPr>
    <w:rPr>
      <w:b w:val="0"/>
      <w:bCs w:val="0"/>
      <w:color w:val="538135"/>
      <w:kern w:val="0"/>
      <w:sz w:val="40"/>
      <w:szCs w:val="40"/>
      <w:lang w:val="es-ES" w:eastAsia="en-US"/>
    </w:rPr>
  </w:style>
  <w:style w:type="paragraph" w:customStyle="1" w:styleId="Pa6">
    <w:name w:val="Pa6"/>
    <w:basedOn w:val="Default"/>
    <w:next w:val="Default"/>
    <w:uiPriority w:val="99"/>
    <w:qFormat/>
    <w:rsid w:val="00FC6B8A"/>
    <w:pPr>
      <w:spacing w:line="201" w:lineRule="atLeast"/>
    </w:pPr>
    <w:rPr>
      <w:rFonts w:ascii="Arial" w:hAnsi="Arial" w:cs="Arial"/>
      <w:color w:val="auto"/>
    </w:rPr>
  </w:style>
  <w:style w:type="paragraph" w:customStyle="1" w:styleId="Contenidodelmarco">
    <w:name w:val="Contenido del marco"/>
    <w:basedOn w:val="Normal"/>
    <w:qFormat/>
    <w:rsid w:val="00FC6B8A"/>
    <w:pPr>
      <w:spacing w:after="200" w:line="288" w:lineRule="auto"/>
    </w:pPr>
    <w:rPr>
      <w:rFonts w:ascii="Calibri" w:eastAsia="Calibri" w:hAnsi="Calibri" w:cs="Calibri"/>
      <w:sz w:val="21"/>
      <w:szCs w:val="21"/>
      <w:lang w:val="es-ES" w:eastAsia="en-US"/>
    </w:rPr>
  </w:style>
  <w:style w:type="table" w:customStyle="1" w:styleId="Tablaconcuadrcula1">
    <w:name w:val="Tabla con cuadrícula1"/>
    <w:basedOn w:val="Tablanormal"/>
    <w:next w:val="Tablaconcuadrcula"/>
    <w:uiPriority w:val="39"/>
    <w:rsid w:val="00FC6B8A"/>
    <w:rPr>
      <w:rFonts w:ascii="Calibri" w:eastAsia="Calibri" w:hAnsi="Calibri" w:cs="Calibri"/>
      <w:sz w:val="21"/>
      <w:szCs w:val="21"/>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primerasangra">
    <w:name w:val="Body Text First Indent"/>
    <w:basedOn w:val="Textoindependiente"/>
    <w:link w:val="TextoindependienteprimerasangraCar"/>
    <w:uiPriority w:val="99"/>
    <w:unhideWhenUsed/>
    <w:rsid w:val="00FC6B8A"/>
    <w:pPr>
      <w:spacing w:after="200" w:line="288" w:lineRule="auto"/>
      <w:ind w:firstLine="360"/>
    </w:pPr>
  </w:style>
  <w:style w:type="character" w:customStyle="1" w:styleId="TextoindependienteprimerasangraCar">
    <w:name w:val="Texto independiente primera sangría Car"/>
    <w:basedOn w:val="TextoindependienteCar"/>
    <w:link w:val="Textoindependienteprimerasangra"/>
    <w:uiPriority w:val="99"/>
    <w:rsid w:val="00FC6B8A"/>
    <w:rPr>
      <w:rFonts w:ascii="Calibri" w:eastAsia="Calibri" w:hAnsi="Calibri" w:cs="Calibri"/>
      <w:sz w:val="21"/>
      <w:szCs w:val="21"/>
      <w:lang w:val="es-ES" w:eastAsia="en-US"/>
    </w:rPr>
  </w:style>
  <w:style w:type="paragraph" w:styleId="Sangradetextonormal">
    <w:name w:val="Body Text Indent"/>
    <w:basedOn w:val="Normal"/>
    <w:link w:val="SangradetextonormalCar"/>
    <w:uiPriority w:val="99"/>
    <w:semiHidden/>
    <w:unhideWhenUsed/>
    <w:rsid w:val="00FC6B8A"/>
    <w:pPr>
      <w:spacing w:after="120" w:line="288" w:lineRule="auto"/>
      <w:ind w:left="283"/>
    </w:pPr>
    <w:rPr>
      <w:rFonts w:ascii="Calibri" w:eastAsia="Calibri" w:hAnsi="Calibri" w:cs="Calibri"/>
      <w:sz w:val="21"/>
      <w:szCs w:val="21"/>
      <w:lang w:val="es-ES" w:eastAsia="en-US"/>
    </w:rPr>
  </w:style>
  <w:style w:type="character" w:customStyle="1" w:styleId="SangradetextonormalCar">
    <w:name w:val="Sangría de texto normal Car"/>
    <w:basedOn w:val="Fuentedeprrafopredeter"/>
    <w:link w:val="Sangradetextonormal"/>
    <w:uiPriority w:val="99"/>
    <w:semiHidden/>
    <w:rsid w:val="00FC6B8A"/>
    <w:rPr>
      <w:rFonts w:ascii="Calibri" w:eastAsia="Calibri" w:hAnsi="Calibri" w:cs="Calibri"/>
      <w:sz w:val="21"/>
      <w:szCs w:val="21"/>
      <w:lang w:val="es-ES" w:eastAsia="en-US"/>
    </w:rPr>
  </w:style>
  <w:style w:type="paragraph" w:styleId="Textoindependienteprimerasangra2">
    <w:name w:val="Body Text First Indent 2"/>
    <w:basedOn w:val="Sangradetextonormal"/>
    <w:link w:val="Textoindependienteprimerasangra2Car"/>
    <w:uiPriority w:val="99"/>
    <w:unhideWhenUsed/>
    <w:rsid w:val="00FC6B8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6B8A"/>
    <w:rPr>
      <w:rFonts w:ascii="Calibri" w:eastAsia="Calibri" w:hAnsi="Calibri" w:cs="Calibri"/>
      <w:sz w:val="21"/>
      <w:szCs w:val="21"/>
      <w:lang w:val="es-ES" w:eastAsia="en-US"/>
    </w:rPr>
  </w:style>
  <w:style w:type="character" w:customStyle="1" w:styleId="Mencinsinresolver6">
    <w:name w:val="Mención sin resolver6"/>
    <w:uiPriority w:val="99"/>
    <w:semiHidden/>
    <w:unhideWhenUsed/>
    <w:rsid w:val="00FC6B8A"/>
    <w:rPr>
      <w:color w:val="605E5C"/>
      <w:shd w:val="clear" w:color="auto" w:fill="E1DFDD"/>
    </w:rPr>
  </w:style>
  <w:style w:type="character" w:styleId="Refdecomentario">
    <w:name w:val="annotation reference"/>
    <w:uiPriority w:val="99"/>
    <w:semiHidden/>
    <w:unhideWhenUsed/>
    <w:rsid w:val="00FC6B8A"/>
    <w:rPr>
      <w:sz w:val="16"/>
      <w:szCs w:val="16"/>
    </w:rPr>
  </w:style>
  <w:style w:type="paragraph" w:styleId="Textocomentario">
    <w:name w:val="annotation text"/>
    <w:basedOn w:val="Normal"/>
    <w:link w:val="TextocomentarioCar"/>
    <w:uiPriority w:val="99"/>
    <w:unhideWhenUsed/>
    <w:rsid w:val="00FC6B8A"/>
    <w:pPr>
      <w:spacing w:after="200"/>
    </w:pPr>
    <w:rPr>
      <w:rFonts w:ascii="Calibri" w:eastAsia="Calibri" w:hAnsi="Calibri" w:cs="Calibri"/>
      <w:sz w:val="20"/>
      <w:szCs w:val="20"/>
      <w:lang w:val="es-ES" w:eastAsia="en-US"/>
    </w:rPr>
  </w:style>
  <w:style w:type="character" w:customStyle="1" w:styleId="TextocomentarioCar">
    <w:name w:val="Texto comentario Car"/>
    <w:basedOn w:val="Fuentedeprrafopredeter"/>
    <w:link w:val="Textocomentario"/>
    <w:uiPriority w:val="99"/>
    <w:rsid w:val="00FC6B8A"/>
    <w:rPr>
      <w:rFonts w:ascii="Calibri" w:eastAsia="Calibri" w:hAnsi="Calibri" w:cs="Calibri"/>
      <w:lang w:val="es-ES" w:eastAsia="en-US"/>
    </w:rPr>
  </w:style>
  <w:style w:type="paragraph" w:styleId="Asuntodelcomentario">
    <w:name w:val="annotation subject"/>
    <w:basedOn w:val="Textocomentario"/>
    <w:next w:val="Textocomentario"/>
    <w:link w:val="AsuntodelcomentarioCar"/>
    <w:uiPriority w:val="99"/>
    <w:semiHidden/>
    <w:unhideWhenUsed/>
    <w:rsid w:val="00FC6B8A"/>
    <w:rPr>
      <w:b/>
      <w:bCs/>
    </w:rPr>
  </w:style>
  <w:style w:type="character" w:customStyle="1" w:styleId="AsuntodelcomentarioCar">
    <w:name w:val="Asunto del comentario Car"/>
    <w:basedOn w:val="TextocomentarioCar"/>
    <w:link w:val="Asuntodelcomentario"/>
    <w:uiPriority w:val="99"/>
    <w:semiHidden/>
    <w:rsid w:val="00FC6B8A"/>
    <w:rPr>
      <w:rFonts w:ascii="Calibri" w:eastAsia="Calibri" w:hAnsi="Calibri" w:cs="Calibri"/>
      <w:b/>
      <w:bCs/>
      <w:lang w:val="es-ES" w:eastAsia="en-US"/>
    </w:rPr>
  </w:style>
  <w:style w:type="paragraph" w:styleId="Revisin">
    <w:name w:val="Revision"/>
    <w:hidden/>
    <w:uiPriority w:val="99"/>
    <w:semiHidden/>
    <w:rsid w:val="00FC6B8A"/>
    <w:rPr>
      <w:rFonts w:ascii="Calibri" w:eastAsia="Calibri" w:hAnsi="Calibri" w:cs="Calibri"/>
      <w:sz w:val="21"/>
      <w:szCs w:val="21"/>
      <w:lang w:val="es-ES" w:eastAsia="en-US"/>
    </w:rPr>
  </w:style>
  <w:style w:type="character" w:customStyle="1" w:styleId="Ttulo2Car1">
    <w:name w:val="Título 2 Car1"/>
    <w:basedOn w:val="Fuentedeprrafopredeter"/>
    <w:semiHidden/>
    <w:rsid w:val="00FC6B8A"/>
    <w:rPr>
      <w:rFonts w:asciiTheme="majorHAnsi" w:eastAsiaTheme="majorEastAsia" w:hAnsiTheme="majorHAnsi" w:cstheme="majorBidi"/>
      <w:b/>
      <w:bCs/>
      <w:i/>
      <w:iCs/>
      <w:sz w:val="28"/>
      <w:szCs w:val="28"/>
      <w:lang w:val="es-ES_tradnl" w:eastAsia="es-ES_tradnl"/>
    </w:rPr>
  </w:style>
  <w:style w:type="character" w:styleId="Hipervnculovisitado">
    <w:name w:val="FollowedHyperlink"/>
    <w:basedOn w:val="Fuentedeprrafopredeter"/>
    <w:semiHidden/>
    <w:unhideWhenUsed/>
    <w:rsid w:val="00FC6B8A"/>
    <w:rPr>
      <w:color w:val="800080" w:themeColor="followedHyperlink"/>
      <w:u w:val="single"/>
    </w:rPr>
  </w:style>
  <w:style w:type="character" w:customStyle="1" w:styleId="Ttulo3Car1">
    <w:name w:val="Título 3 Car1"/>
    <w:basedOn w:val="Fuentedeprrafopredeter"/>
    <w:semiHidden/>
    <w:rsid w:val="00FC6B8A"/>
    <w:rPr>
      <w:rFonts w:asciiTheme="majorHAnsi" w:eastAsiaTheme="majorEastAsia" w:hAnsiTheme="majorHAnsi" w:cstheme="majorBidi"/>
      <w:b/>
      <w:bCs/>
      <w:sz w:val="26"/>
      <w:szCs w:val="26"/>
      <w:lang w:val="es-ES_tradnl" w:eastAsia="es-ES_tradnl"/>
    </w:rPr>
  </w:style>
  <w:style w:type="character" w:customStyle="1" w:styleId="Ttulo4Car1">
    <w:name w:val="Título 4 Car1"/>
    <w:basedOn w:val="Fuentedeprrafopredeter"/>
    <w:semiHidden/>
    <w:rsid w:val="00FC6B8A"/>
    <w:rPr>
      <w:rFonts w:asciiTheme="minorHAnsi" w:eastAsiaTheme="minorEastAsia" w:hAnsiTheme="minorHAnsi" w:cstheme="minorBidi"/>
      <w:b/>
      <w:bCs/>
      <w:sz w:val="28"/>
      <w:szCs w:val="28"/>
      <w:lang w:val="es-ES_tradnl" w:eastAsia="es-ES_tradnl"/>
    </w:rPr>
  </w:style>
  <w:style w:type="character" w:customStyle="1" w:styleId="Ttulo5Car1">
    <w:name w:val="Título 5 Car1"/>
    <w:basedOn w:val="Fuentedeprrafopredeter"/>
    <w:semiHidden/>
    <w:rsid w:val="00FC6B8A"/>
    <w:rPr>
      <w:rFonts w:asciiTheme="minorHAnsi" w:eastAsiaTheme="minorEastAsia" w:hAnsiTheme="minorHAnsi" w:cstheme="minorBidi"/>
      <w:b/>
      <w:bCs/>
      <w:i/>
      <w:iCs/>
      <w:sz w:val="26"/>
      <w:szCs w:val="26"/>
      <w:lang w:val="es-ES_tradnl" w:eastAsia="es-ES_tradnl"/>
    </w:rPr>
  </w:style>
  <w:style w:type="character" w:customStyle="1" w:styleId="Ttulo6Car1">
    <w:name w:val="Título 6 Car1"/>
    <w:basedOn w:val="Fuentedeprrafopredeter"/>
    <w:semiHidden/>
    <w:rsid w:val="00FC6B8A"/>
    <w:rPr>
      <w:rFonts w:asciiTheme="minorHAnsi" w:eastAsiaTheme="minorEastAsia" w:hAnsiTheme="minorHAnsi" w:cstheme="minorBidi"/>
      <w:b/>
      <w:bCs/>
      <w:sz w:val="22"/>
      <w:szCs w:val="22"/>
      <w:lang w:val="es-ES_tradnl" w:eastAsia="es-ES_tradnl"/>
    </w:rPr>
  </w:style>
  <w:style w:type="character" w:customStyle="1" w:styleId="Ttulo7Car1">
    <w:name w:val="Título 7 Car1"/>
    <w:basedOn w:val="Fuentedeprrafopredeter"/>
    <w:semiHidden/>
    <w:rsid w:val="00FC6B8A"/>
    <w:rPr>
      <w:rFonts w:asciiTheme="minorHAnsi" w:eastAsiaTheme="minorEastAsia" w:hAnsiTheme="minorHAnsi" w:cstheme="minorBidi"/>
      <w:sz w:val="24"/>
      <w:szCs w:val="24"/>
      <w:lang w:val="es-ES_tradnl" w:eastAsia="es-ES_tradnl"/>
    </w:rPr>
  </w:style>
  <w:style w:type="character" w:customStyle="1" w:styleId="Ttulo8Car1">
    <w:name w:val="Título 8 Car1"/>
    <w:basedOn w:val="Fuentedeprrafopredeter"/>
    <w:semiHidden/>
    <w:rsid w:val="00FC6B8A"/>
    <w:rPr>
      <w:rFonts w:asciiTheme="minorHAnsi" w:eastAsiaTheme="minorEastAsia" w:hAnsiTheme="minorHAnsi" w:cstheme="minorBidi"/>
      <w:i/>
      <w:iCs/>
      <w:sz w:val="24"/>
      <w:szCs w:val="24"/>
      <w:lang w:val="es-ES_tradnl" w:eastAsia="es-ES_tradnl"/>
    </w:rPr>
  </w:style>
  <w:style w:type="character" w:customStyle="1" w:styleId="Ttulo9Car1">
    <w:name w:val="Título 9 Car1"/>
    <w:basedOn w:val="Fuentedeprrafopredeter"/>
    <w:semiHidden/>
    <w:rsid w:val="00FC6B8A"/>
    <w:rPr>
      <w:rFonts w:asciiTheme="majorHAnsi" w:eastAsiaTheme="majorEastAsia" w:hAnsiTheme="majorHAnsi" w:cstheme="majorBidi"/>
      <w:sz w:val="22"/>
      <w:szCs w:val="22"/>
      <w:lang w:val="es-ES_tradnl" w:eastAsia="es-ES_tradnl"/>
    </w:rPr>
  </w:style>
  <w:style w:type="paragraph" w:styleId="Ttulo">
    <w:name w:val="Title"/>
    <w:basedOn w:val="Normal"/>
    <w:next w:val="Normal"/>
    <w:link w:val="TtuloCar"/>
    <w:uiPriority w:val="10"/>
    <w:qFormat/>
    <w:rsid w:val="00FC6B8A"/>
    <w:pPr>
      <w:spacing w:before="240" w:after="60"/>
      <w:jc w:val="center"/>
      <w:outlineLvl w:val="0"/>
    </w:pPr>
    <w:rPr>
      <w:rFonts w:ascii="Calibri Light" w:eastAsia="Calibri Light" w:hAnsi="Calibri Light" w:cs="Calibri Light"/>
      <w:color w:val="262626"/>
      <w:spacing w:val="-15"/>
      <w:sz w:val="96"/>
      <w:szCs w:val="96"/>
      <w:lang w:val="es-CU" w:eastAsia="es-CU"/>
    </w:rPr>
  </w:style>
  <w:style w:type="character" w:customStyle="1" w:styleId="TtuloCar1">
    <w:name w:val="Título Car1"/>
    <w:basedOn w:val="Fuentedeprrafopredeter"/>
    <w:rsid w:val="00FC6B8A"/>
    <w:rPr>
      <w:rFonts w:asciiTheme="majorHAnsi" w:eastAsiaTheme="majorEastAsia" w:hAnsiTheme="majorHAnsi" w:cstheme="majorBidi"/>
      <w:b/>
      <w:bCs/>
      <w:kern w:val="28"/>
      <w:sz w:val="32"/>
      <w:szCs w:val="32"/>
      <w:lang w:val="es-ES_tradnl" w:eastAsia="es-ES_tradnl"/>
    </w:rPr>
  </w:style>
  <w:style w:type="paragraph" w:styleId="Subttulo">
    <w:name w:val="Subtitle"/>
    <w:basedOn w:val="Normal"/>
    <w:next w:val="Normal"/>
    <w:link w:val="SubttuloCar"/>
    <w:uiPriority w:val="11"/>
    <w:qFormat/>
    <w:rsid w:val="00FC6B8A"/>
    <w:pPr>
      <w:spacing w:after="60"/>
      <w:jc w:val="center"/>
      <w:outlineLvl w:val="1"/>
    </w:pPr>
    <w:rPr>
      <w:rFonts w:ascii="Calibri Light" w:eastAsia="Calibri Light" w:hAnsi="Calibri Light" w:cs="Calibri Light"/>
      <w:sz w:val="30"/>
      <w:szCs w:val="30"/>
      <w:lang w:val="es-CU" w:eastAsia="es-CU"/>
    </w:rPr>
  </w:style>
  <w:style w:type="character" w:customStyle="1" w:styleId="SubttuloCar1">
    <w:name w:val="Subtítulo Car1"/>
    <w:basedOn w:val="Fuentedeprrafopredeter"/>
    <w:rsid w:val="00FC6B8A"/>
    <w:rPr>
      <w:rFonts w:asciiTheme="majorHAnsi" w:eastAsiaTheme="majorEastAsia" w:hAnsiTheme="majorHAnsi" w:cstheme="majorBidi"/>
      <w:sz w:val="24"/>
      <w:szCs w:val="24"/>
      <w:lang w:val="es-ES_tradnl" w:eastAsia="es-ES_tradnl"/>
    </w:rPr>
  </w:style>
  <w:style w:type="paragraph" w:styleId="Cita">
    <w:name w:val="Quote"/>
    <w:basedOn w:val="Normal"/>
    <w:next w:val="Normal"/>
    <w:link w:val="CitaCar"/>
    <w:uiPriority w:val="29"/>
    <w:qFormat/>
    <w:rsid w:val="00FC6B8A"/>
    <w:pPr>
      <w:spacing w:before="200" w:after="160"/>
      <w:ind w:left="864" w:right="864"/>
      <w:jc w:val="center"/>
    </w:pPr>
    <w:rPr>
      <w:i/>
      <w:iCs/>
      <w:color w:val="262626"/>
      <w:sz w:val="20"/>
      <w:szCs w:val="20"/>
      <w:lang w:val="es-CU" w:eastAsia="es-CU"/>
    </w:rPr>
  </w:style>
  <w:style w:type="character" w:customStyle="1" w:styleId="CitaCar1">
    <w:name w:val="Cita Car1"/>
    <w:basedOn w:val="Fuentedeprrafopredeter"/>
    <w:uiPriority w:val="29"/>
    <w:rsid w:val="00FC6B8A"/>
    <w:rPr>
      <w:i/>
      <w:iCs/>
      <w:color w:val="404040" w:themeColor="text1" w:themeTint="BF"/>
      <w:sz w:val="24"/>
      <w:szCs w:val="24"/>
      <w:lang w:val="es-ES_tradnl" w:eastAsia="es-ES_tradnl"/>
    </w:rPr>
  </w:style>
  <w:style w:type="paragraph" w:styleId="Citadestacada">
    <w:name w:val="Intense Quote"/>
    <w:basedOn w:val="Normal"/>
    <w:next w:val="Normal"/>
    <w:link w:val="CitadestacadaCar"/>
    <w:uiPriority w:val="30"/>
    <w:qFormat/>
    <w:rsid w:val="00FC6B8A"/>
    <w:pPr>
      <w:pBdr>
        <w:top w:val="single" w:sz="4" w:space="10" w:color="4F81BD" w:themeColor="accent1"/>
        <w:bottom w:val="single" w:sz="4" w:space="10" w:color="4F81BD" w:themeColor="accent1"/>
      </w:pBdr>
      <w:spacing w:before="360" w:after="360"/>
      <w:ind w:left="864" w:right="864"/>
      <w:jc w:val="center"/>
    </w:pPr>
    <w:rPr>
      <w:rFonts w:ascii="Calibri Light" w:eastAsia="Calibri Light" w:hAnsi="Calibri Light" w:cs="Calibri Light"/>
      <w:i/>
      <w:iCs/>
      <w:color w:val="70AD47"/>
      <w:sz w:val="32"/>
      <w:szCs w:val="32"/>
      <w:lang w:val="es-CU" w:eastAsia="es-CU"/>
    </w:rPr>
  </w:style>
  <w:style w:type="character" w:customStyle="1" w:styleId="CitadestacadaCar1">
    <w:name w:val="Cita destacada Car1"/>
    <w:basedOn w:val="Fuentedeprrafopredeter"/>
    <w:uiPriority w:val="30"/>
    <w:rsid w:val="00FC6B8A"/>
    <w:rPr>
      <w:i/>
      <w:iCs/>
      <w:color w:val="4F81BD" w:themeColor="accent1"/>
      <w:sz w:val="24"/>
      <w:szCs w:val="24"/>
      <w:lang w:val="es-ES_tradnl" w:eastAsia="es-ES_tradnl"/>
    </w:rPr>
  </w:style>
  <w:style w:type="character" w:styleId="Referenciasutil">
    <w:name w:val="Subtle Reference"/>
    <w:basedOn w:val="Fuentedeprrafopredeter"/>
    <w:uiPriority w:val="31"/>
    <w:qFormat/>
    <w:rsid w:val="00FC6B8A"/>
    <w:rPr>
      <w:smallCaps/>
      <w:color w:val="5A5A5A" w:themeColor="text1" w:themeTint="A5"/>
    </w:rPr>
  </w:style>
  <w:style w:type="character" w:styleId="Referenciaintensa">
    <w:name w:val="Intense Reference"/>
    <w:basedOn w:val="Fuentedeprrafopredeter"/>
    <w:uiPriority w:val="32"/>
    <w:qFormat/>
    <w:rsid w:val="00FC6B8A"/>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424-5981" TargetMode="External"/><Relationship Id="rId13" Type="http://schemas.openxmlformats.org/officeDocument/2006/relationships/image" Target="media/image1.jpg"/><Relationship Id="rId18" Type="http://schemas.openxmlformats.org/officeDocument/2006/relationships/hyperlink" Target="https://www.ncbi.nlm.nih.gov/pmc/articles/PMC1387128/" TargetMode="External"/><Relationship Id="rId26" Type="http://schemas.openxmlformats.org/officeDocument/2006/relationships/hyperlink" Target="http://www.scielo.org.pe/scielo.php?script=sci_arttext&amp;pid=S1022-51292016000300009" TargetMode="External"/><Relationship Id="rId3" Type="http://schemas.openxmlformats.org/officeDocument/2006/relationships/settings" Target="settings.xml"/><Relationship Id="rId21" Type="http://schemas.openxmlformats.org/officeDocument/2006/relationships/hyperlink" Target="https://www.frontiersin.org/articles/10.3389/fped.2020.00435/full" TargetMode="External"/><Relationship Id="rId7" Type="http://schemas.openxmlformats.org/officeDocument/2006/relationships/hyperlink" Target="https://orcid.org/0000-0002-7357-4940" TargetMode="External"/><Relationship Id="rId12" Type="http://schemas.openxmlformats.org/officeDocument/2006/relationships/hyperlink" Target="mailto:jeel.moya@uwierner.edu.pe" TargetMode="External"/><Relationship Id="rId17" Type="http://schemas.openxmlformats.org/officeDocument/2006/relationships/hyperlink" Target="https://revistagastrocol.com/index.php/rcg/article/view/512" TargetMode="External"/><Relationship Id="rId25" Type="http://schemas.openxmlformats.org/officeDocument/2006/relationships/hyperlink" Target="http://www.scielo.org.pe/scielo.php?script=sci_arttext&amp;pid=S1022-5129201700010000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afp.org/link_out?pmid=10750875" TargetMode="External"/><Relationship Id="rId20" Type="http://schemas.openxmlformats.org/officeDocument/2006/relationships/hyperlink" Target="https://linkinghub.elsevier.com/retrieve/pii/S0016-5107(74)73914-1"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3396-022X" TargetMode="External"/><Relationship Id="rId24" Type="http://schemas.openxmlformats.org/officeDocument/2006/relationships/hyperlink" Target="https://www.ncbi.nlm.nih.gov/pmc/articles/PMC564500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hyperlink" Target="https://www.wjgnet.com/2307-8960/full/v9/i3/736.htm" TargetMode="External"/><Relationship Id="rId28" Type="http://schemas.openxmlformats.org/officeDocument/2006/relationships/hyperlink" Target="http://www.scielo.org.pe/scielo.php?pid=S1022-51292017000200010&amp;script=sci_abstract&amp;tlng=en" TargetMode="External"/><Relationship Id="rId10" Type="http://schemas.openxmlformats.org/officeDocument/2006/relationships/hyperlink" Target="https://orcid.org/0000-0002-2071-695X" TargetMode="External"/><Relationship Id="rId19" Type="http://schemas.openxmlformats.org/officeDocument/2006/relationships/hyperlink" Target="https://www.thieme-connect.com/products/ejournals/abstract/10.1055/s-0028-1107790"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2-6313-3762" TargetMode="External"/><Relationship Id="rId14" Type="http://schemas.openxmlformats.org/officeDocument/2006/relationships/image" Target="media/image2.jpg"/><Relationship Id="rId22" Type="http://schemas.openxmlformats.org/officeDocument/2006/relationships/hyperlink" Target="http://www.revistagastroenterologiamexico.org/en-three-case-reports-impacted-biliary-articulo-S2255534X20300074" TargetMode="External"/><Relationship Id="rId27" Type="http://schemas.openxmlformats.org/officeDocument/2006/relationships/hyperlink" Target="http://www.scielo.org.pe/scielo.php?pid=S1022-51292015000200005&amp;script=sci_abstract"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F:\Plantilla%20PDF.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PDF.dotx</Template>
  <TotalTime>35</TotalTime>
  <Pages>11</Pages>
  <Words>2804</Words>
  <Characters>15423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18191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Usuario de Windows</dc:creator>
  <cp:lastModifiedBy>VR</cp:lastModifiedBy>
  <cp:revision>6</cp:revision>
  <cp:lastPrinted>2023-03-24T22:17:00Z</cp:lastPrinted>
  <dcterms:created xsi:type="dcterms:W3CDTF">2023-03-24T21:28:00Z</dcterms:created>
  <dcterms:modified xsi:type="dcterms:W3CDTF">2023-03-24T22:37:00Z</dcterms:modified>
</cp:coreProperties>
</file>