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FA72" w14:textId="77777777" w:rsidR="0021138B" w:rsidRPr="0021138B" w:rsidRDefault="0021138B" w:rsidP="0021138B">
      <w:pPr>
        <w:spacing w:line="360" w:lineRule="auto"/>
        <w:jc w:val="right"/>
        <w:rPr>
          <w:sz w:val="20"/>
          <w:szCs w:val="20"/>
          <w:lang w:val="es-ES" w:eastAsia="en-US" w:bidi="en-US"/>
        </w:rPr>
      </w:pPr>
      <w:bookmarkStart w:id="0" w:name="_Toc35371586"/>
      <w:r w:rsidRPr="0021138B">
        <w:rPr>
          <w:sz w:val="20"/>
          <w:szCs w:val="20"/>
          <w:lang w:val="es-ES" w:eastAsia="en-US" w:bidi="en-US"/>
        </w:rPr>
        <w:t>Artículo de investigación</w:t>
      </w:r>
    </w:p>
    <w:p w14:paraId="796CDBED" w14:textId="77777777" w:rsidR="0021138B" w:rsidRPr="0021138B" w:rsidRDefault="0021138B" w:rsidP="0021138B">
      <w:pPr>
        <w:spacing w:line="360" w:lineRule="auto"/>
        <w:jc w:val="center"/>
        <w:rPr>
          <w:b/>
          <w:lang w:val="es-ES" w:eastAsia="en-US" w:bidi="en-US"/>
        </w:rPr>
      </w:pPr>
    </w:p>
    <w:p w14:paraId="603DFE3E" w14:textId="77777777" w:rsidR="0021138B" w:rsidRPr="0021138B" w:rsidRDefault="0021138B" w:rsidP="0021138B">
      <w:pPr>
        <w:spacing w:line="360" w:lineRule="auto"/>
        <w:jc w:val="center"/>
        <w:rPr>
          <w:b/>
          <w:sz w:val="28"/>
          <w:szCs w:val="28"/>
          <w:lang w:val="es-ES" w:eastAsia="en-US" w:bidi="en-US"/>
        </w:rPr>
      </w:pPr>
      <w:r w:rsidRPr="0021138B">
        <w:rPr>
          <w:b/>
          <w:sz w:val="28"/>
          <w:szCs w:val="28"/>
          <w:lang w:val="es-ES" w:eastAsia="en-US" w:bidi="en-US"/>
        </w:rPr>
        <w:t xml:space="preserve">Lesiones gástricas preneoplásicas en pacientes con </w:t>
      </w:r>
      <w:proofErr w:type="spellStart"/>
      <w:r w:rsidRPr="0021138B">
        <w:rPr>
          <w:b/>
          <w:i/>
          <w:sz w:val="28"/>
          <w:szCs w:val="28"/>
          <w:lang w:val="es-ES" w:eastAsia="en-US" w:bidi="en-US"/>
        </w:rPr>
        <w:t>Helicobacter</w:t>
      </w:r>
      <w:proofErr w:type="spellEnd"/>
      <w:r w:rsidRPr="0021138B">
        <w:rPr>
          <w:b/>
          <w:i/>
          <w:sz w:val="28"/>
          <w:szCs w:val="28"/>
          <w:lang w:val="es-ES" w:eastAsia="en-US" w:bidi="en-US"/>
        </w:rPr>
        <w:t xml:space="preserve"> pylori</w:t>
      </w:r>
      <w:r w:rsidRPr="0021138B">
        <w:rPr>
          <w:b/>
          <w:sz w:val="28"/>
          <w:szCs w:val="28"/>
          <w:lang w:val="es-ES" w:eastAsia="en-US" w:bidi="en-US"/>
        </w:rPr>
        <w:t xml:space="preserve"> </w:t>
      </w:r>
    </w:p>
    <w:p w14:paraId="454F8723" w14:textId="77777777" w:rsidR="0021138B" w:rsidRPr="0021138B" w:rsidRDefault="0021138B" w:rsidP="0021138B">
      <w:pPr>
        <w:spacing w:line="360" w:lineRule="auto"/>
        <w:jc w:val="center"/>
        <w:rPr>
          <w:lang w:val="en-US" w:eastAsia="en-US" w:bidi="en-US"/>
        </w:rPr>
      </w:pPr>
      <w:r w:rsidRPr="0021138B">
        <w:rPr>
          <w:sz w:val="28"/>
          <w:szCs w:val="28"/>
          <w:lang w:val="en-US" w:eastAsia="en-US" w:bidi="en-US"/>
        </w:rPr>
        <w:t xml:space="preserve">Preneoplastic gastric lesions in patients with </w:t>
      </w:r>
      <w:r w:rsidRPr="0021138B">
        <w:rPr>
          <w:i/>
          <w:sz w:val="28"/>
          <w:szCs w:val="28"/>
          <w:lang w:val="en-US" w:eastAsia="en-US" w:bidi="en-US"/>
        </w:rPr>
        <w:t>Helicobacter pylori</w:t>
      </w:r>
    </w:p>
    <w:p w14:paraId="170011CC"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en-US" w:eastAsia="es-ES"/>
        </w:rPr>
      </w:pPr>
    </w:p>
    <w:p w14:paraId="78B78EE8" w14:textId="77777777" w:rsidR="0021138B" w:rsidRPr="0021138B" w:rsidRDefault="0021138B" w:rsidP="0021138B">
      <w:pPr>
        <w:spacing w:line="360" w:lineRule="auto"/>
        <w:ind w:right="282"/>
        <w:jc w:val="both"/>
        <w:rPr>
          <w:rFonts w:eastAsia="Calibri"/>
          <w:lang w:val="es-US" w:eastAsia="en-US"/>
        </w:rPr>
      </w:pPr>
      <w:r w:rsidRPr="0021138B">
        <w:rPr>
          <w:rFonts w:eastAsia="Calibri"/>
          <w:lang w:val="es-US" w:eastAsia="en-US"/>
        </w:rPr>
        <w:t xml:space="preserve">Ludmila Martínez </w:t>
      </w:r>
      <w:proofErr w:type="spellStart"/>
      <w:r w:rsidRPr="0021138B">
        <w:rPr>
          <w:rFonts w:eastAsia="Calibri"/>
          <w:lang w:val="es-US" w:eastAsia="en-US"/>
        </w:rPr>
        <w:t>Leyva</w:t>
      </w:r>
      <w:r w:rsidRPr="0021138B">
        <w:rPr>
          <w:rFonts w:eastAsia="Calibri"/>
          <w:vertAlign w:val="superscript"/>
          <w:lang w:val="es-US" w:eastAsia="en-US"/>
        </w:rPr>
        <w:t>1</w:t>
      </w:r>
      <w:proofErr w:type="spellEnd"/>
      <w:r w:rsidRPr="0021138B">
        <w:rPr>
          <w:rFonts w:eastAsia="Calibri"/>
          <w:lang w:val="es-US" w:eastAsia="en-US"/>
        </w:rPr>
        <w:t xml:space="preserve">* </w:t>
      </w:r>
      <w:hyperlink r:id="rId7" w:history="1">
        <w:r w:rsidRPr="0021138B">
          <w:rPr>
            <w:rFonts w:eastAsia="Calibri"/>
            <w:color w:val="0563C1"/>
            <w:u w:val="single"/>
            <w:lang w:val="es-US" w:eastAsia="en-US"/>
          </w:rPr>
          <w:t>https://orcid.org/0000-0002-4333-4030</w:t>
        </w:r>
      </w:hyperlink>
    </w:p>
    <w:p w14:paraId="34F24548" w14:textId="77777777" w:rsidR="0021138B" w:rsidRPr="0021138B" w:rsidRDefault="0021138B" w:rsidP="0021138B">
      <w:pPr>
        <w:spacing w:line="360" w:lineRule="auto"/>
        <w:ind w:right="282"/>
        <w:jc w:val="both"/>
        <w:rPr>
          <w:rFonts w:eastAsia="Calibri"/>
          <w:lang w:val="es-US" w:eastAsia="en-US"/>
        </w:rPr>
      </w:pPr>
      <w:r w:rsidRPr="0021138B">
        <w:rPr>
          <w:rFonts w:eastAsia="Calibri"/>
          <w:lang w:val="es-US" w:eastAsia="en-US"/>
        </w:rPr>
        <w:t xml:space="preserve">Teresita de Jesús Montero </w:t>
      </w:r>
      <w:proofErr w:type="spellStart"/>
      <w:r w:rsidRPr="0021138B">
        <w:rPr>
          <w:rFonts w:eastAsia="Calibri"/>
          <w:lang w:val="es-US" w:eastAsia="en-US"/>
        </w:rPr>
        <w:t>González</w:t>
      </w:r>
      <w:r w:rsidRPr="0021138B">
        <w:rPr>
          <w:rFonts w:eastAsia="Calibri"/>
          <w:vertAlign w:val="superscript"/>
          <w:lang w:val="es-US" w:eastAsia="en-US"/>
        </w:rPr>
        <w:t>2</w:t>
      </w:r>
      <w:proofErr w:type="spellEnd"/>
      <w:r w:rsidRPr="0021138B">
        <w:rPr>
          <w:rFonts w:eastAsia="Calibri"/>
          <w:lang w:val="es-US" w:eastAsia="en-US"/>
        </w:rPr>
        <w:t xml:space="preserve"> </w:t>
      </w:r>
      <w:hyperlink r:id="rId8" w:history="1">
        <w:r w:rsidRPr="0021138B">
          <w:rPr>
            <w:rFonts w:eastAsia="Calibri"/>
            <w:color w:val="0563C1"/>
            <w:u w:val="single"/>
            <w:lang w:val="es-US" w:eastAsia="en-US"/>
          </w:rPr>
          <w:t>https://orcid.org/0000-0003-3372-6791</w:t>
        </w:r>
      </w:hyperlink>
    </w:p>
    <w:p w14:paraId="4D589D51" w14:textId="77777777" w:rsidR="0021138B" w:rsidRPr="0021138B" w:rsidRDefault="0021138B" w:rsidP="0021138B">
      <w:pPr>
        <w:spacing w:line="360" w:lineRule="auto"/>
        <w:ind w:right="282"/>
        <w:jc w:val="both"/>
        <w:rPr>
          <w:rFonts w:eastAsia="Calibri"/>
          <w:color w:val="0563C1"/>
          <w:u w:val="single"/>
          <w:lang w:val="es-US" w:eastAsia="en-US"/>
        </w:rPr>
      </w:pPr>
      <w:r w:rsidRPr="0021138B">
        <w:rPr>
          <w:rFonts w:eastAsia="Calibri"/>
          <w:lang w:val="es-US" w:eastAsia="en-US"/>
        </w:rPr>
        <w:t xml:space="preserve">Felipe Neri Piñol </w:t>
      </w:r>
      <w:proofErr w:type="spellStart"/>
      <w:r w:rsidRPr="0021138B">
        <w:rPr>
          <w:rFonts w:eastAsia="Calibri"/>
          <w:lang w:val="es-US" w:eastAsia="en-US"/>
        </w:rPr>
        <w:t>Jiménez</w:t>
      </w:r>
      <w:r w:rsidRPr="0021138B">
        <w:rPr>
          <w:rFonts w:eastAsia="Calibri"/>
          <w:vertAlign w:val="superscript"/>
          <w:lang w:val="es-US" w:eastAsia="en-US"/>
        </w:rPr>
        <w:t>3</w:t>
      </w:r>
      <w:proofErr w:type="spellEnd"/>
      <w:r w:rsidRPr="0021138B">
        <w:rPr>
          <w:rFonts w:eastAsia="Calibri"/>
          <w:lang w:val="es-US" w:eastAsia="en-US"/>
        </w:rPr>
        <w:t xml:space="preserve"> </w:t>
      </w:r>
      <w:hyperlink r:id="rId9" w:history="1">
        <w:r w:rsidRPr="0021138B">
          <w:rPr>
            <w:rFonts w:eastAsia="Calibri"/>
            <w:color w:val="0563C1"/>
            <w:u w:val="single"/>
            <w:lang w:val="es-US" w:eastAsia="en-US"/>
          </w:rPr>
          <w:t>https://orcid.org/0000-0003-0522-8875</w:t>
        </w:r>
      </w:hyperlink>
    </w:p>
    <w:p w14:paraId="5B98152D" w14:textId="77777777" w:rsidR="0021138B" w:rsidRPr="0021138B" w:rsidRDefault="0021138B" w:rsidP="0021138B">
      <w:pPr>
        <w:spacing w:line="360" w:lineRule="auto"/>
        <w:ind w:right="282"/>
        <w:jc w:val="both"/>
        <w:rPr>
          <w:rFonts w:eastAsia="Calibri"/>
          <w:lang w:val="es-US" w:eastAsia="en-US"/>
        </w:rPr>
      </w:pPr>
      <w:r w:rsidRPr="0021138B">
        <w:rPr>
          <w:rFonts w:eastAsia="Calibri"/>
          <w:lang w:val="es-US" w:eastAsia="en-US"/>
        </w:rPr>
        <w:t xml:space="preserve">Raúl Antonio Brizuela </w:t>
      </w:r>
      <w:proofErr w:type="spellStart"/>
      <w:r w:rsidRPr="0021138B">
        <w:rPr>
          <w:rFonts w:eastAsia="Calibri"/>
          <w:lang w:val="es-US" w:eastAsia="en-US"/>
        </w:rPr>
        <w:t>Quintanilla</w:t>
      </w:r>
      <w:r w:rsidRPr="0021138B">
        <w:rPr>
          <w:rFonts w:eastAsia="Calibri"/>
          <w:vertAlign w:val="superscript"/>
          <w:lang w:val="es-US" w:eastAsia="en-US"/>
        </w:rPr>
        <w:t>2</w:t>
      </w:r>
      <w:proofErr w:type="spellEnd"/>
      <w:r w:rsidRPr="0021138B">
        <w:rPr>
          <w:rFonts w:eastAsia="Calibri"/>
          <w:lang w:val="es-US" w:eastAsia="en-US"/>
        </w:rPr>
        <w:t xml:space="preserve"> </w:t>
      </w:r>
      <w:hyperlink r:id="rId10" w:history="1">
        <w:r w:rsidRPr="0021138B">
          <w:rPr>
            <w:rFonts w:eastAsia="Calibri"/>
            <w:color w:val="0563C1"/>
            <w:u w:val="single"/>
            <w:lang w:val="es-US" w:eastAsia="en-US"/>
          </w:rPr>
          <w:t>https://orcid.org/0000-0002-1613-7883</w:t>
        </w:r>
      </w:hyperlink>
    </w:p>
    <w:p w14:paraId="747136A3" w14:textId="77777777" w:rsidR="0021138B" w:rsidRPr="0021138B" w:rsidRDefault="0021138B" w:rsidP="0021138B">
      <w:pPr>
        <w:spacing w:line="360" w:lineRule="auto"/>
        <w:ind w:right="282"/>
        <w:jc w:val="both"/>
        <w:rPr>
          <w:rFonts w:eastAsia="Calibri"/>
          <w:color w:val="0563C1"/>
          <w:u w:val="single"/>
          <w:lang w:val="es-US" w:eastAsia="en-US"/>
        </w:rPr>
      </w:pPr>
      <w:r w:rsidRPr="0021138B">
        <w:rPr>
          <w:rFonts w:eastAsia="Calibri"/>
          <w:lang w:val="es-US" w:eastAsia="en-US"/>
        </w:rPr>
        <w:t xml:space="preserve">Amada Palomino </w:t>
      </w:r>
      <w:proofErr w:type="spellStart"/>
      <w:r w:rsidRPr="0021138B">
        <w:rPr>
          <w:rFonts w:eastAsia="Calibri"/>
          <w:lang w:val="es-US" w:eastAsia="en-US"/>
        </w:rPr>
        <w:t>Besada</w:t>
      </w:r>
      <w:r w:rsidRPr="0021138B">
        <w:rPr>
          <w:rFonts w:eastAsia="Calibri"/>
          <w:vertAlign w:val="superscript"/>
          <w:lang w:val="es-US" w:eastAsia="en-US"/>
        </w:rPr>
        <w:t>1</w:t>
      </w:r>
      <w:proofErr w:type="spellEnd"/>
      <w:r w:rsidRPr="0021138B">
        <w:rPr>
          <w:rFonts w:eastAsia="Calibri"/>
          <w:lang w:val="es-US" w:eastAsia="en-US"/>
        </w:rPr>
        <w:t xml:space="preserve"> </w:t>
      </w:r>
      <w:hyperlink r:id="rId11" w:history="1">
        <w:r w:rsidRPr="0021138B">
          <w:rPr>
            <w:rFonts w:eastAsia="Calibri"/>
            <w:color w:val="0563C1"/>
            <w:u w:val="single"/>
            <w:lang w:val="es-US" w:eastAsia="en-US"/>
          </w:rPr>
          <w:t>https://orcid.org/0000-0002-4581-7693</w:t>
        </w:r>
      </w:hyperlink>
    </w:p>
    <w:p w14:paraId="3649FC82" w14:textId="77777777" w:rsidR="0021138B" w:rsidRPr="0021138B" w:rsidRDefault="0021138B" w:rsidP="0021138B">
      <w:pPr>
        <w:spacing w:line="360" w:lineRule="auto"/>
        <w:ind w:right="282"/>
        <w:jc w:val="both"/>
        <w:rPr>
          <w:rFonts w:eastAsia="Calibri"/>
          <w:vertAlign w:val="superscript"/>
          <w:lang w:val="es-US" w:eastAsia="en-US"/>
        </w:rPr>
      </w:pPr>
      <w:r w:rsidRPr="0021138B">
        <w:rPr>
          <w:rFonts w:eastAsia="Calibri"/>
          <w:lang w:val="es-US" w:eastAsia="en-US"/>
        </w:rPr>
        <w:t xml:space="preserve">Lilia Martínez </w:t>
      </w:r>
      <w:proofErr w:type="spellStart"/>
      <w:r w:rsidRPr="0021138B">
        <w:rPr>
          <w:rFonts w:eastAsia="Calibri"/>
          <w:lang w:val="es-US" w:eastAsia="en-US"/>
        </w:rPr>
        <w:t>Garrido</w:t>
      </w:r>
      <w:r w:rsidRPr="0021138B">
        <w:rPr>
          <w:rFonts w:eastAsia="Calibri"/>
          <w:vertAlign w:val="superscript"/>
          <w:lang w:val="es-US" w:eastAsia="en-US"/>
        </w:rPr>
        <w:t>1</w:t>
      </w:r>
      <w:proofErr w:type="spellEnd"/>
      <w:r w:rsidRPr="0021138B">
        <w:rPr>
          <w:rFonts w:eastAsia="Calibri"/>
          <w:vertAlign w:val="superscript"/>
          <w:lang w:val="es-US" w:eastAsia="en-US"/>
        </w:rPr>
        <w:t xml:space="preserve"> </w:t>
      </w:r>
      <w:hyperlink r:id="rId12" w:history="1">
        <w:r w:rsidRPr="0021138B">
          <w:rPr>
            <w:rFonts w:eastAsia="Calibri"/>
            <w:color w:val="0563C1"/>
            <w:u w:val="single"/>
            <w:lang w:val="es-US" w:eastAsia="en-US"/>
          </w:rPr>
          <w:t>https://orcid.org/0000-0002-8066-985X</w:t>
        </w:r>
      </w:hyperlink>
    </w:p>
    <w:p w14:paraId="4F68D347" w14:textId="77777777" w:rsidR="0021138B" w:rsidRPr="0021138B" w:rsidRDefault="0021138B" w:rsidP="0021138B">
      <w:pPr>
        <w:spacing w:line="360" w:lineRule="auto"/>
        <w:ind w:right="282"/>
        <w:jc w:val="both"/>
        <w:rPr>
          <w:rFonts w:eastAsia="Calibri"/>
          <w:vertAlign w:val="superscript"/>
          <w:lang w:val="es-US" w:eastAsia="en-US"/>
        </w:rPr>
      </w:pPr>
    </w:p>
    <w:p w14:paraId="037E32A6" w14:textId="77777777" w:rsidR="0021138B" w:rsidRPr="0021138B" w:rsidRDefault="0021138B" w:rsidP="0021138B">
      <w:pPr>
        <w:spacing w:line="360" w:lineRule="auto"/>
        <w:ind w:right="282"/>
        <w:jc w:val="both"/>
        <w:rPr>
          <w:rFonts w:eastAsia="Calibri"/>
          <w:lang w:val="es-US" w:eastAsia="en-US"/>
        </w:rPr>
      </w:pPr>
      <w:proofErr w:type="spellStart"/>
      <w:r w:rsidRPr="0021138B">
        <w:rPr>
          <w:rFonts w:eastAsia="Calibri"/>
          <w:vertAlign w:val="superscript"/>
          <w:lang w:val="es-US" w:eastAsia="en-US"/>
        </w:rPr>
        <w:t>1</w:t>
      </w:r>
      <w:r w:rsidRPr="0021138B">
        <w:rPr>
          <w:rFonts w:eastAsia="Calibri"/>
          <w:lang w:val="es-US" w:eastAsia="en-US"/>
        </w:rPr>
        <w:t>Hospital</w:t>
      </w:r>
      <w:proofErr w:type="spellEnd"/>
      <w:r w:rsidRPr="0021138B">
        <w:rPr>
          <w:rFonts w:eastAsia="Calibri"/>
          <w:lang w:val="es-US" w:eastAsia="en-US"/>
        </w:rPr>
        <w:t xml:space="preserve"> Militar Central “Dr. Carlos J. Finlay”. La Habana, Cuba. </w:t>
      </w:r>
    </w:p>
    <w:p w14:paraId="1B69B458" w14:textId="77777777" w:rsidR="0021138B" w:rsidRPr="0021138B" w:rsidRDefault="0021138B" w:rsidP="0021138B">
      <w:pPr>
        <w:spacing w:line="360" w:lineRule="auto"/>
        <w:ind w:right="282"/>
        <w:jc w:val="both"/>
        <w:rPr>
          <w:rFonts w:eastAsia="Calibri"/>
          <w:lang w:val="es-US" w:eastAsia="en-US"/>
        </w:rPr>
      </w:pPr>
      <w:proofErr w:type="spellStart"/>
      <w:r w:rsidRPr="0021138B">
        <w:rPr>
          <w:rFonts w:eastAsia="Calibri"/>
          <w:vertAlign w:val="superscript"/>
          <w:lang w:val="es-US" w:eastAsia="en-US"/>
        </w:rPr>
        <w:t>2</w:t>
      </w:r>
      <w:r w:rsidRPr="0021138B">
        <w:rPr>
          <w:rFonts w:eastAsia="Calibri"/>
          <w:lang w:val="es-US" w:eastAsia="en-US"/>
        </w:rPr>
        <w:t>Hospital</w:t>
      </w:r>
      <w:proofErr w:type="spellEnd"/>
      <w:r w:rsidRPr="0021138B">
        <w:rPr>
          <w:rFonts w:eastAsia="Calibri"/>
          <w:lang w:val="es-US" w:eastAsia="en-US"/>
        </w:rPr>
        <w:t xml:space="preserve"> Militar Central “Dr. Luis Días Soto”. La Habana, Cuba.</w:t>
      </w:r>
    </w:p>
    <w:p w14:paraId="413843A0" w14:textId="77777777" w:rsidR="0021138B" w:rsidRPr="0021138B" w:rsidRDefault="0021138B" w:rsidP="0021138B">
      <w:pPr>
        <w:spacing w:line="360" w:lineRule="auto"/>
        <w:ind w:right="282"/>
        <w:jc w:val="both"/>
        <w:rPr>
          <w:rFonts w:eastAsia="Calibri"/>
          <w:lang w:val="es-US" w:eastAsia="en-US"/>
        </w:rPr>
      </w:pPr>
      <w:proofErr w:type="spellStart"/>
      <w:r w:rsidRPr="0021138B">
        <w:rPr>
          <w:rFonts w:eastAsia="Calibri"/>
          <w:vertAlign w:val="superscript"/>
          <w:lang w:val="es-US" w:eastAsia="en-US"/>
        </w:rPr>
        <w:t>3</w:t>
      </w:r>
      <w:r w:rsidRPr="0021138B">
        <w:rPr>
          <w:rFonts w:eastAsia="Calibri"/>
          <w:lang w:val="es-US" w:eastAsia="en-US"/>
        </w:rPr>
        <w:t>Centro</w:t>
      </w:r>
      <w:proofErr w:type="spellEnd"/>
      <w:r w:rsidRPr="0021138B">
        <w:rPr>
          <w:rFonts w:eastAsia="Calibri"/>
          <w:lang w:val="es-US" w:eastAsia="en-US"/>
        </w:rPr>
        <w:t xml:space="preserve"> Nacional de Cirugía Endoscópica. La Habana, Cuba. </w:t>
      </w:r>
    </w:p>
    <w:p w14:paraId="268718AF" w14:textId="77777777" w:rsidR="0021138B" w:rsidRPr="0021138B" w:rsidRDefault="0021138B" w:rsidP="0021138B">
      <w:pPr>
        <w:spacing w:line="360" w:lineRule="auto"/>
        <w:ind w:right="282"/>
        <w:jc w:val="both"/>
        <w:rPr>
          <w:rFonts w:eastAsia="Calibri"/>
          <w:lang w:val="es-US" w:eastAsia="en-US"/>
        </w:rPr>
      </w:pPr>
    </w:p>
    <w:p w14:paraId="27CAB6F6" w14:textId="77777777" w:rsidR="0021138B" w:rsidRPr="0021138B" w:rsidRDefault="0021138B" w:rsidP="0021138B">
      <w:pPr>
        <w:spacing w:line="360" w:lineRule="auto"/>
        <w:ind w:right="282"/>
        <w:jc w:val="both"/>
        <w:rPr>
          <w:rFonts w:eastAsia="Calibri"/>
          <w:lang w:val="es-US" w:eastAsia="en-US"/>
        </w:rPr>
      </w:pPr>
      <w:r w:rsidRPr="0021138B">
        <w:rPr>
          <w:rFonts w:eastAsia="Calibri"/>
          <w:lang w:val="es-US" w:eastAsia="en-US"/>
        </w:rPr>
        <w:t xml:space="preserve">*Autor para la correspondencia. Correo electrónico: </w:t>
      </w:r>
      <w:hyperlink r:id="rId13" w:history="1">
        <w:r w:rsidRPr="0021138B">
          <w:rPr>
            <w:rFonts w:eastAsia="Calibri"/>
            <w:color w:val="0563C1"/>
            <w:u w:val="single"/>
            <w:lang w:val="es-US" w:eastAsia="en-US"/>
          </w:rPr>
          <w:t>ludmila@infomed.sld.cu</w:t>
        </w:r>
      </w:hyperlink>
    </w:p>
    <w:p w14:paraId="26D9B67D" w14:textId="77777777" w:rsidR="0021138B" w:rsidRPr="0021138B" w:rsidRDefault="0021138B" w:rsidP="0021138B">
      <w:pPr>
        <w:spacing w:line="360" w:lineRule="auto"/>
        <w:jc w:val="both"/>
        <w:rPr>
          <w:rFonts w:eastAsia="Calibri"/>
          <w:b/>
          <w:lang w:val="es-ES" w:eastAsia="en-US"/>
        </w:rPr>
      </w:pPr>
    </w:p>
    <w:p w14:paraId="093A98F4" w14:textId="77777777" w:rsidR="0021138B" w:rsidRPr="0021138B" w:rsidRDefault="0021138B" w:rsidP="0021138B">
      <w:pPr>
        <w:spacing w:line="360" w:lineRule="auto"/>
        <w:jc w:val="both"/>
        <w:rPr>
          <w:rFonts w:eastAsia="Calibri"/>
          <w:b/>
          <w:lang w:val="es-ES" w:eastAsia="en-US"/>
        </w:rPr>
      </w:pPr>
      <w:r w:rsidRPr="0021138B">
        <w:rPr>
          <w:rFonts w:eastAsia="Calibri"/>
          <w:b/>
          <w:lang w:val="es-ES" w:eastAsia="en-US"/>
        </w:rPr>
        <w:t xml:space="preserve">RESUMEN </w:t>
      </w:r>
    </w:p>
    <w:p w14:paraId="280A7D51"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US" w:eastAsia="es-ES"/>
        </w:rPr>
      </w:pPr>
      <w:r w:rsidRPr="0021138B">
        <w:rPr>
          <w:b/>
          <w:lang w:val="es-ES" w:eastAsia="es-ES"/>
        </w:rPr>
        <w:t>Introducción</w:t>
      </w:r>
      <w:r w:rsidRPr="0021138B">
        <w:rPr>
          <w:b/>
          <w:bCs/>
          <w:lang w:val="es-ES" w:eastAsia="es-ES"/>
        </w:rPr>
        <w:t>:</w:t>
      </w:r>
      <w:r w:rsidRPr="0021138B">
        <w:rPr>
          <w:lang w:val="es-ES" w:eastAsia="es-ES"/>
        </w:rPr>
        <w:t xml:space="preserve"> </w:t>
      </w:r>
      <w:proofErr w:type="spellStart"/>
      <w:r w:rsidRPr="0021138B">
        <w:rPr>
          <w:i/>
          <w:lang w:val="es-US" w:eastAsia="es-ES"/>
        </w:rPr>
        <w:t>Helicobacter</w:t>
      </w:r>
      <w:proofErr w:type="spellEnd"/>
      <w:r w:rsidRPr="0021138B">
        <w:rPr>
          <w:i/>
          <w:lang w:val="es-US" w:eastAsia="es-ES"/>
        </w:rPr>
        <w:t xml:space="preserve"> pylori</w:t>
      </w:r>
      <w:r w:rsidRPr="0021138B">
        <w:rPr>
          <w:lang w:val="es-US" w:eastAsia="es-ES"/>
        </w:rPr>
        <w:t xml:space="preserve"> es el principal factor de riesgo para el desarrollo de gastritis crónica atrófica y cáncer gástrico de tipo intestinal. </w:t>
      </w:r>
    </w:p>
    <w:p w14:paraId="35765A81"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21138B">
        <w:rPr>
          <w:b/>
          <w:lang w:val="es-ES" w:eastAsia="es-ES"/>
        </w:rPr>
        <w:t>Objetivo</w:t>
      </w:r>
      <w:r w:rsidRPr="0021138B">
        <w:rPr>
          <w:lang w:val="es-ES" w:eastAsia="es-ES"/>
        </w:rPr>
        <w:t xml:space="preserve">: </w:t>
      </w:r>
      <w:r w:rsidRPr="0021138B">
        <w:rPr>
          <w:color w:val="000000"/>
          <w:shd w:val="clear" w:color="auto" w:fill="FFFFFF"/>
          <w:lang w:val="es-ES" w:eastAsia="es-ES"/>
        </w:rPr>
        <w:t xml:space="preserve">Identificar </w:t>
      </w:r>
      <w:r w:rsidRPr="0021138B">
        <w:rPr>
          <w:lang w:val="es-ES" w:eastAsia="es-ES"/>
        </w:rPr>
        <w:t xml:space="preserve">lesiones gástricas preneoplásicas en pacientes con </w:t>
      </w:r>
      <w:proofErr w:type="spellStart"/>
      <w:r w:rsidRPr="0021138B">
        <w:rPr>
          <w:i/>
          <w:lang w:val="es-ES" w:eastAsia="es-ES"/>
        </w:rPr>
        <w:t>Helicobacter</w:t>
      </w:r>
      <w:proofErr w:type="spellEnd"/>
      <w:r w:rsidRPr="0021138B">
        <w:rPr>
          <w:i/>
          <w:lang w:val="es-ES" w:eastAsia="es-ES"/>
        </w:rPr>
        <w:t xml:space="preserve"> pylori</w:t>
      </w:r>
      <w:r w:rsidRPr="0021138B">
        <w:rPr>
          <w:lang w:val="es-ES" w:eastAsia="es-ES"/>
        </w:rPr>
        <w:t>.</w:t>
      </w:r>
    </w:p>
    <w:p w14:paraId="187AC4AF" w14:textId="77777777" w:rsidR="0021138B" w:rsidRPr="0021138B" w:rsidRDefault="0021138B" w:rsidP="0021138B">
      <w:pPr>
        <w:spacing w:line="360" w:lineRule="auto"/>
        <w:jc w:val="both"/>
        <w:rPr>
          <w:lang w:val="es-ES" w:eastAsia="es-ES"/>
        </w:rPr>
      </w:pPr>
      <w:r w:rsidRPr="0021138B">
        <w:rPr>
          <w:b/>
          <w:lang w:val="es-ES" w:eastAsia="es-ES"/>
        </w:rPr>
        <w:t>Métodos</w:t>
      </w:r>
      <w:r w:rsidRPr="0021138B">
        <w:rPr>
          <w:b/>
          <w:bCs/>
          <w:lang w:val="es-ES" w:eastAsia="es-ES"/>
        </w:rPr>
        <w:t>:</w:t>
      </w:r>
      <w:r w:rsidRPr="0021138B">
        <w:rPr>
          <w:lang w:val="es-ES" w:eastAsia="es-ES"/>
        </w:rPr>
        <w:t xml:space="preserve"> Se realizó un estudio descriptivo, transversal, que incluyó 167 pacientes con infección por </w:t>
      </w:r>
      <w:proofErr w:type="spellStart"/>
      <w:r w:rsidRPr="0021138B">
        <w:rPr>
          <w:i/>
          <w:lang w:val="es-ES" w:eastAsia="es-ES"/>
        </w:rPr>
        <w:t>Helicobacter</w:t>
      </w:r>
      <w:proofErr w:type="spellEnd"/>
      <w:r w:rsidRPr="0021138B">
        <w:rPr>
          <w:i/>
          <w:lang w:val="es-ES" w:eastAsia="es-ES"/>
        </w:rPr>
        <w:t xml:space="preserve"> pylori, </w:t>
      </w:r>
      <w:r w:rsidRPr="0021138B">
        <w:rPr>
          <w:lang w:val="es-ES" w:eastAsia="es-ES"/>
        </w:rPr>
        <w:t>diagnosticado</w:t>
      </w:r>
      <w:r w:rsidRPr="0021138B">
        <w:rPr>
          <w:lang w:eastAsia="es-ES"/>
        </w:rPr>
        <w:t xml:space="preserve"> por endoscopía con biopsia gástrica en antro y cuerpo (caras anterior y posterior) y en la incisura angular. Las variables incluidas fueron: infección por </w:t>
      </w:r>
      <w:proofErr w:type="spellStart"/>
      <w:r w:rsidRPr="0021138B">
        <w:rPr>
          <w:i/>
          <w:lang w:eastAsia="es-ES"/>
        </w:rPr>
        <w:t>Helicobacter</w:t>
      </w:r>
      <w:proofErr w:type="spellEnd"/>
      <w:r w:rsidRPr="0021138B">
        <w:rPr>
          <w:i/>
          <w:lang w:eastAsia="es-ES"/>
        </w:rPr>
        <w:t xml:space="preserve"> pylori</w:t>
      </w:r>
      <w:r w:rsidRPr="0021138B">
        <w:rPr>
          <w:lang w:eastAsia="es-ES"/>
        </w:rPr>
        <w:t xml:space="preserve"> y lesiones gástricas preneoplásicas. Se emplearon como medidas de resumen para variables cualitativas la frecuencia absoluta y el porcentaje. Para evaluar la asociación entre variables cualitativas se aplicó el test </w:t>
      </w:r>
      <w:r w:rsidRPr="0021138B">
        <w:rPr>
          <w:i/>
          <w:lang w:eastAsia="es-ES"/>
        </w:rPr>
        <w:t>ji</w:t>
      </w:r>
      <w:r w:rsidRPr="0021138B">
        <w:rPr>
          <w:lang w:eastAsia="es-ES"/>
        </w:rPr>
        <w:t xml:space="preserve"> cuadrado (</w:t>
      </w:r>
      <w:proofErr w:type="spellStart"/>
      <w:r w:rsidRPr="0021138B">
        <w:rPr>
          <w:lang w:eastAsia="es-ES"/>
        </w:rPr>
        <w:t>χ</w:t>
      </w:r>
      <w:r w:rsidRPr="0021138B">
        <w:rPr>
          <w:vertAlign w:val="superscript"/>
          <w:lang w:eastAsia="es-ES"/>
        </w:rPr>
        <w:t>2</w:t>
      </w:r>
      <w:proofErr w:type="spellEnd"/>
      <w:r w:rsidRPr="0021138B">
        <w:rPr>
          <w:lang w:eastAsia="es-ES"/>
        </w:rPr>
        <w:t xml:space="preserve">), con nivel de significación estadística p≤ 0,05. </w:t>
      </w:r>
    </w:p>
    <w:p w14:paraId="38D81B6E" w14:textId="77777777" w:rsidR="0021138B" w:rsidRPr="0021138B" w:rsidRDefault="0021138B" w:rsidP="0021138B">
      <w:pPr>
        <w:shd w:val="clear" w:color="auto" w:fill="FFFFFF"/>
        <w:spacing w:line="360" w:lineRule="auto"/>
        <w:jc w:val="both"/>
        <w:rPr>
          <w:rFonts w:eastAsia="Calibri"/>
          <w:lang w:val="es-ES" w:eastAsia="es-ES"/>
        </w:rPr>
      </w:pPr>
      <w:r w:rsidRPr="0021138B">
        <w:rPr>
          <w:b/>
          <w:lang w:val="es-ES" w:eastAsia="es-ES"/>
        </w:rPr>
        <w:lastRenderedPageBreak/>
        <w:t>Resultados</w:t>
      </w:r>
      <w:r w:rsidRPr="0021138B">
        <w:rPr>
          <w:b/>
          <w:bCs/>
          <w:lang w:val="es-ES" w:eastAsia="es-ES"/>
        </w:rPr>
        <w:t>:</w:t>
      </w:r>
      <w:r w:rsidRPr="0021138B">
        <w:rPr>
          <w:lang w:val="es-ES" w:eastAsia="es-ES"/>
        </w:rPr>
        <w:t xml:space="preserve"> De los 167 pacientes evaluados 150 (89,82 %) presentaban atrofia gástrica, 42 (25,14 %) metaplasia intestinal y 66 (39,52 %) displasia de bajo grado. No se encontraron pacientes con displasia de alto grado. La reacción linfoepitelial fue encontrada en 138 (83 %) pacientes con atrofia gástrica.</w:t>
      </w:r>
    </w:p>
    <w:p w14:paraId="55A12B18"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b/>
          <w:lang w:val="es-ES" w:eastAsia="es-ES"/>
        </w:rPr>
        <w:t>Conclusiones</w:t>
      </w:r>
      <w:r w:rsidRPr="0021138B">
        <w:rPr>
          <w:b/>
          <w:bCs/>
          <w:lang w:val="es-ES" w:eastAsia="es-ES"/>
        </w:rPr>
        <w:t>:</w:t>
      </w:r>
      <w:r w:rsidRPr="0021138B">
        <w:rPr>
          <w:rFonts w:eastAsia="Calibri"/>
          <w:color w:val="221E1F"/>
          <w:lang w:val="es-ES" w:eastAsia="en-US"/>
        </w:rPr>
        <w:t xml:space="preserve"> La lesión preneoplásica más común en pacientes con </w:t>
      </w:r>
      <w:proofErr w:type="spellStart"/>
      <w:r w:rsidRPr="0021138B">
        <w:rPr>
          <w:rFonts w:eastAsia="Calibri"/>
          <w:i/>
          <w:color w:val="221E1F"/>
          <w:lang w:val="es-ES" w:eastAsia="en-US"/>
        </w:rPr>
        <w:t>Helicobacter</w:t>
      </w:r>
      <w:proofErr w:type="spellEnd"/>
      <w:r w:rsidRPr="0021138B">
        <w:rPr>
          <w:rFonts w:eastAsia="Calibri"/>
          <w:i/>
          <w:color w:val="221E1F"/>
          <w:lang w:val="es-ES" w:eastAsia="en-US"/>
        </w:rPr>
        <w:t xml:space="preserve"> pylori</w:t>
      </w:r>
      <w:r w:rsidRPr="0021138B">
        <w:rPr>
          <w:rFonts w:eastAsia="Calibri"/>
          <w:color w:val="221E1F"/>
          <w:lang w:val="es-ES" w:eastAsia="en-US"/>
        </w:rPr>
        <w:t xml:space="preserve"> fue la atrofia gástrica. La metaplasia intestinal y la displasia se presentaron con menos frecuencia. Predominaron las etapas no avanzadas de atrofia gástrica.</w:t>
      </w:r>
    </w:p>
    <w:p w14:paraId="22FF1349" w14:textId="77777777" w:rsidR="0021138B" w:rsidRPr="0021138B" w:rsidRDefault="0021138B" w:rsidP="0021138B">
      <w:pPr>
        <w:spacing w:line="360" w:lineRule="auto"/>
        <w:jc w:val="both"/>
        <w:rPr>
          <w:b/>
          <w:i/>
          <w:lang w:val="es-US" w:eastAsia="es-ES"/>
        </w:rPr>
      </w:pPr>
      <w:r w:rsidRPr="0021138B">
        <w:rPr>
          <w:b/>
          <w:lang w:val="es-US" w:eastAsia="es-ES"/>
        </w:rPr>
        <w:t>Palabras clave</w:t>
      </w:r>
      <w:r w:rsidRPr="0021138B">
        <w:rPr>
          <w:lang w:val="es-US" w:eastAsia="es-ES"/>
        </w:rPr>
        <w:t xml:space="preserve">: </w:t>
      </w:r>
      <w:proofErr w:type="spellStart"/>
      <w:r w:rsidRPr="0021138B">
        <w:rPr>
          <w:i/>
          <w:lang w:val="es-US" w:eastAsia="es-ES"/>
        </w:rPr>
        <w:t>Helicobacter</w:t>
      </w:r>
      <w:proofErr w:type="spellEnd"/>
      <w:r w:rsidRPr="0021138B">
        <w:rPr>
          <w:i/>
          <w:lang w:val="es-US" w:eastAsia="es-ES"/>
        </w:rPr>
        <w:t xml:space="preserve"> pylori;</w:t>
      </w:r>
      <w:r w:rsidRPr="0021138B">
        <w:rPr>
          <w:lang w:val="es-US" w:eastAsia="es-ES"/>
        </w:rPr>
        <w:t xml:space="preserve"> metaplasia intestinal; displasia; gastritis crónica atrófica; cáncer gástrico.</w:t>
      </w:r>
    </w:p>
    <w:p w14:paraId="2E9389A6" w14:textId="77777777" w:rsidR="0021138B" w:rsidRPr="0021138B" w:rsidRDefault="0021138B" w:rsidP="0021138B">
      <w:pPr>
        <w:spacing w:line="360" w:lineRule="auto"/>
        <w:jc w:val="both"/>
        <w:rPr>
          <w:rFonts w:eastAsia="Calibri"/>
          <w:b/>
          <w:lang w:val="es-US" w:eastAsia="en-US"/>
        </w:rPr>
      </w:pPr>
    </w:p>
    <w:p w14:paraId="6D146CA2" w14:textId="77777777" w:rsidR="0021138B" w:rsidRPr="0021138B" w:rsidRDefault="0021138B" w:rsidP="0021138B">
      <w:pPr>
        <w:spacing w:line="360" w:lineRule="auto"/>
        <w:jc w:val="both"/>
        <w:rPr>
          <w:rFonts w:eastAsia="Calibri"/>
          <w:lang w:val="en-US" w:eastAsia="en-US"/>
        </w:rPr>
      </w:pPr>
      <w:r w:rsidRPr="0021138B">
        <w:rPr>
          <w:rFonts w:eastAsia="Calibri"/>
          <w:b/>
          <w:lang w:val="en-US" w:eastAsia="en-US"/>
        </w:rPr>
        <w:t>ABSTRACT</w:t>
      </w:r>
    </w:p>
    <w:p w14:paraId="4398800F"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21138B">
        <w:rPr>
          <w:b/>
          <w:lang w:val="en-US" w:eastAsia="es-ES"/>
        </w:rPr>
        <w:t>Introduction</w:t>
      </w:r>
      <w:r w:rsidRPr="0021138B">
        <w:rPr>
          <w:b/>
          <w:bCs/>
          <w:lang w:val="en-US" w:eastAsia="es-ES"/>
        </w:rPr>
        <w:t>:</w:t>
      </w:r>
      <w:r w:rsidRPr="0021138B">
        <w:rPr>
          <w:lang w:val="en-US" w:eastAsia="es-ES"/>
        </w:rPr>
        <w:t xml:space="preserve"> </w:t>
      </w:r>
      <w:r w:rsidRPr="0021138B">
        <w:rPr>
          <w:i/>
          <w:lang w:val="en-US" w:eastAsia="es-ES"/>
        </w:rPr>
        <w:t>Helicobacter pylori</w:t>
      </w:r>
      <w:r w:rsidRPr="0021138B">
        <w:rPr>
          <w:lang w:val="en-US" w:eastAsia="es-ES"/>
        </w:rPr>
        <w:t xml:space="preserve"> is the main risk factor for the development of chronic atrophic gastritis and intestinal-type gastric cancer. </w:t>
      </w:r>
    </w:p>
    <w:p w14:paraId="4C758701"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21138B">
        <w:rPr>
          <w:b/>
          <w:lang w:val="en-US" w:eastAsia="es-ES"/>
        </w:rPr>
        <w:t>Objective</w:t>
      </w:r>
      <w:r w:rsidRPr="0021138B">
        <w:rPr>
          <w:lang w:val="en-US" w:eastAsia="es-ES"/>
        </w:rPr>
        <w:t xml:space="preserve">: </w:t>
      </w:r>
      <w:r w:rsidRPr="0021138B">
        <w:rPr>
          <w:lang w:val="en" w:eastAsia="es-ES"/>
        </w:rPr>
        <w:t xml:space="preserve">Identify preneoplastic gastric lesions in patients with </w:t>
      </w:r>
      <w:r w:rsidRPr="0021138B">
        <w:rPr>
          <w:i/>
          <w:lang w:val="en" w:eastAsia="es-ES"/>
        </w:rPr>
        <w:t>Helicobacter pylori</w:t>
      </w:r>
      <w:r w:rsidRPr="0021138B">
        <w:rPr>
          <w:lang w:val="en" w:eastAsia="es-ES"/>
        </w:rPr>
        <w:t>.</w:t>
      </w:r>
    </w:p>
    <w:p w14:paraId="53C91D1C"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21138B">
        <w:rPr>
          <w:b/>
          <w:lang w:val="en-US" w:eastAsia="es-ES"/>
        </w:rPr>
        <w:t>Methods</w:t>
      </w:r>
      <w:r w:rsidRPr="0021138B">
        <w:rPr>
          <w:b/>
          <w:bCs/>
          <w:lang w:val="en-US" w:eastAsia="es-ES"/>
        </w:rPr>
        <w:t>:</w:t>
      </w:r>
      <w:r w:rsidRPr="0021138B">
        <w:rPr>
          <w:lang w:val="en-US" w:eastAsia="es-ES"/>
        </w:rPr>
        <w:t xml:space="preserve"> </w:t>
      </w:r>
      <w:r w:rsidRPr="0021138B">
        <w:rPr>
          <w:lang w:val="en" w:eastAsia="es-ES"/>
        </w:rPr>
        <w:t xml:space="preserve">A descriptive, cross-sectional study was carried out, which included 167 patients with </w:t>
      </w:r>
      <w:r w:rsidRPr="0021138B">
        <w:rPr>
          <w:i/>
          <w:iCs/>
          <w:lang w:val="en" w:eastAsia="es-ES"/>
        </w:rPr>
        <w:t>Helicobacter pylori</w:t>
      </w:r>
      <w:r w:rsidRPr="0021138B">
        <w:rPr>
          <w:lang w:val="en" w:eastAsia="es-ES"/>
        </w:rPr>
        <w:t xml:space="preserve"> infection, diagnosed by endoscopy with gastric biopsy in the antrum and body (anterior and posterior sides) and in the angular notch. The variables included were: </w:t>
      </w:r>
      <w:r w:rsidRPr="0021138B">
        <w:rPr>
          <w:i/>
          <w:lang w:val="en" w:eastAsia="es-ES"/>
        </w:rPr>
        <w:t>Helicobacter pylori</w:t>
      </w:r>
      <w:r w:rsidRPr="0021138B">
        <w:rPr>
          <w:lang w:val="en" w:eastAsia="es-ES"/>
        </w:rPr>
        <w:t xml:space="preserve"> infection and preneoplastic gastric lesions. Absolute frequency and percentage were used as summary measures for qualitative variables. To evaluate the association between qualitative variables, the chi-square test (</w:t>
      </w:r>
      <w:proofErr w:type="spellStart"/>
      <w:r w:rsidRPr="0021138B">
        <w:rPr>
          <w:lang w:val="en" w:eastAsia="es-ES"/>
        </w:rPr>
        <w:t>χ</w:t>
      </w:r>
      <w:r w:rsidRPr="0021138B">
        <w:rPr>
          <w:vertAlign w:val="superscript"/>
          <w:lang w:val="en" w:eastAsia="es-ES"/>
        </w:rPr>
        <w:t>2</w:t>
      </w:r>
      <w:proofErr w:type="spellEnd"/>
      <w:r w:rsidRPr="0021138B">
        <w:rPr>
          <w:lang w:val="en" w:eastAsia="es-ES"/>
        </w:rPr>
        <w:t>) was applied, with a level of statistical significance p≤ 0,05.</w:t>
      </w:r>
    </w:p>
    <w:p w14:paraId="656E9CA7"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21138B">
        <w:rPr>
          <w:b/>
          <w:lang w:val="en-US" w:eastAsia="es-ES"/>
        </w:rPr>
        <w:t>Development</w:t>
      </w:r>
      <w:r w:rsidRPr="0021138B">
        <w:rPr>
          <w:rFonts w:eastAsia="MS Mincho"/>
          <w:b/>
          <w:lang w:val="en-US" w:eastAsia="es-ES"/>
        </w:rPr>
        <w:t>:</w:t>
      </w:r>
      <w:r w:rsidRPr="0021138B">
        <w:rPr>
          <w:rFonts w:eastAsia="MS Mincho"/>
          <w:lang w:val="en-US" w:eastAsia="es-ES"/>
        </w:rPr>
        <w:t xml:space="preserve"> Of 167 patients evaluated, 150 (89,82 %) had gastric atrophy, 42 (25,14 %) intestinal metaplasia, and 66 (39,52 %) low-grade dysplasia. No patients with high-grade dysplasia were found. Moderate chronic gastritis prevailed (83; 49,7 %). Of the 22 patients in stage III, 17 (10,2 %) had severe chronic gastritis. Lymphoepithelial reaction was found in 138 (83 %) patients with gastric atrophy.</w:t>
      </w:r>
    </w:p>
    <w:p w14:paraId="5F7C9892"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21138B">
        <w:rPr>
          <w:b/>
          <w:lang w:val="en-US" w:eastAsia="es-ES"/>
        </w:rPr>
        <w:t>Conclusions:</w:t>
      </w:r>
      <w:r w:rsidRPr="0021138B">
        <w:rPr>
          <w:lang w:val="en-US" w:eastAsia="es-ES"/>
        </w:rPr>
        <w:t xml:space="preserve"> </w:t>
      </w:r>
      <w:r w:rsidRPr="0021138B">
        <w:rPr>
          <w:lang w:val="en" w:eastAsia="es-ES"/>
        </w:rPr>
        <w:t xml:space="preserve">Gastric atrophy is the most common preneoplastic lesion in patients with </w:t>
      </w:r>
      <w:r w:rsidRPr="0021138B">
        <w:rPr>
          <w:i/>
          <w:iCs/>
          <w:lang w:val="en" w:eastAsia="es-ES"/>
        </w:rPr>
        <w:t>Helicobacter pylori</w:t>
      </w:r>
      <w:r w:rsidRPr="0021138B">
        <w:rPr>
          <w:lang w:val="en" w:eastAsia="es-ES"/>
        </w:rPr>
        <w:t xml:space="preserve"> and non-advanced stages of it predominate. Intestinal metaplasia and dysplasia occur less frequently.</w:t>
      </w:r>
    </w:p>
    <w:p w14:paraId="49F5F414"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 w:eastAsia="es-ES"/>
        </w:rPr>
      </w:pPr>
      <w:r w:rsidRPr="0021138B">
        <w:rPr>
          <w:b/>
          <w:lang w:val="en" w:eastAsia="es-ES"/>
        </w:rPr>
        <w:t>Keywords</w:t>
      </w:r>
      <w:r w:rsidRPr="0021138B">
        <w:rPr>
          <w:b/>
          <w:bCs/>
          <w:lang w:val="en" w:eastAsia="es-ES"/>
        </w:rPr>
        <w:t>:</w:t>
      </w:r>
      <w:r w:rsidRPr="0021138B">
        <w:rPr>
          <w:lang w:val="en" w:eastAsia="es-ES"/>
        </w:rPr>
        <w:t xml:space="preserve"> </w:t>
      </w:r>
      <w:r w:rsidRPr="0021138B">
        <w:rPr>
          <w:i/>
          <w:lang w:val="en" w:eastAsia="es-ES"/>
        </w:rPr>
        <w:t>Helicobacter pylori</w:t>
      </w:r>
      <w:r w:rsidRPr="0021138B">
        <w:rPr>
          <w:lang w:val="en" w:eastAsia="es-ES"/>
        </w:rPr>
        <w:t>; intestinal metaplasia; dysplasia; chronic atrophic gastritis; gastric cancer.</w:t>
      </w:r>
    </w:p>
    <w:p w14:paraId="7BA17156"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 w:eastAsia="es-ES"/>
        </w:rPr>
      </w:pPr>
    </w:p>
    <w:p w14:paraId="7B85FAC8"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 w:eastAsia="es-ES"/>
        </w:rPr>
      </w:pPr>
    </w:p>
    <w:p w14:paraId="5DF2C550"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 w:eastAsia="es-ES"/>
        </w:rPr>
      </w:pPr>
      <w:proofErr w:type="spellStart"/>
      <w:r w:rsidRPr="0021138B">
        <w:rPr>
          <w:lang w:val="en" w:eastAsia="es-ES"/>
        </w:rPr>
        <w:t>Recibido</w:t>
      </w:r>
      <w:proofErr w:type="spellEnd"/>
      <w:r w:rsidRPr="0021138B">
        <w:rPr>
          <w:lang w:val="en" w:eastAsia="es-ES"/>
        </w:rPr>
        <w:t>: 02/09/2022</w:t>
      </w:r>
    </w:p>
    <w:p w14:paraId="4588753D"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 w:eastAsia="es-ES"/>
        </w:rPr>
      </w:pPr>
      <w:proofErr w:type="spellStart"/>
      <w:r w:rsidRPr="0021138B">
        <w:rPr>
          <w:lang w:val="en" w:eastAsia="es-ES"/>
        </w:rPr>
        <w:t>Aprobado</w:t>
      </w:r>
      <w:proofErr w:type="spellEnd"/>
      <w:r w:rsidRPr="0021138B">
        <w:rPr>
          <w:lang w:val="en" w:eastAsia="es-ES"/>
        </w:rPr>
        <w:t>: 06/12/2022</w:t>
      </w:r>
    </w:p>
    <w:p w14:paraId="1F068392"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 w:eastAsia="en-US" w:bidi="en-US"/>
        </w:rPr>
      </w:pPr>
    </w:p>
    <w:p w14:paraId="57F24CC8" w14:textId="77777777" w:rsidR="0021138B" w:rsidRPr="0021138B" w:rsidRDefault="0021138B" w:rsidP="0021138B">
      <w:pPr>
        <w:spacing w:line="360" w:lineRule="auto"/>
        <w:ind w:firstLine="142"/>
        <w:jc w:val="both"/>
        <w:rPr>
          <w:b/>
          <w:lang w:val="en" w:eastAsia="en-US" w:bidi="en-US"/>
        </w:rPr>
      </w:pPr>
    </w:p>
    <w:p w14:paraId="05787F35" w14:textId="77777777" w:rsidR="0021138B" w:rsidRPr="0021138B" w:rsidRDefault="0021138B" w:rsidP="0021138B">
      <w:pPr>
        <w:spacing w:line="360" w:lineRule="auto"/>
        <w:jc w:val="center"/>
        <w:rPr>
          <w:b/>
          <w:sz w:val="32"/>
          <w:szCs w:val="32"/>
          <w:lang w:val="es-US" w:eastAsia="en-US" w:bidi="en-US"/>
        </w:rPr>
      </w:pPr>
      <w:r w:rsidRPr="0021138B">
        <w:rPr>
          <w:b/>
          <w:sz w:val="32"/>
          <w:szCs w:val="32"/>
          <w:lang w:val="es-US" w:eastAsia="en-US" w:bidi="en-US"/>
        </w:rPr>
        <w:t>INTRODUCCIÓN</w:t>
      </w:r>
      <w:bookmarkEnd w:id="0"/>
    </w:p>
    <w:p w14:paraId="7AB4D2F7" w14:textId="77777777" w:rsidR="0021138B" w:rsidRPr="0021138B" w:rsidRDefault="0021138B" w:rsidP="0021138B">
      <w:pPr>
        <w:spacing w:line="360" w:lineRule="auto"/>
        <w:jc w:val="both"/>
        <w:rPr>
          <w:rFonts w:eastAsia="Calibri"/>
          <w:vertAlign w:val="superscript"/>
          <w:lang w:val="es-US" w:eastAsia="en-US"/>
        </w:rPr>
      </w:pPr>
      <w:proofErr w:type="spellStart"/>
      <w:r w:rsidRPr="0021138B">
        <w:rPr>
          <w:rFonts w:eastAsia="Calibri"/>
          <w:i/>
          <w:lang w:val="es-ES" w:eastAsia="en-US"/>
        </w:rPr>
        <w:t>Helicobacter</w:t>
      </w:r>
      <w:proofErr w:type="spellEnd"/>
      <w:r w:rsidRPr="0021138B">
        <w:rPr>
          <w:rFonts w:eastAsia="Calibri"/>
          <w:i/>
          <w:lang w:val="es-ES" w:eastAsia="en-US"/>
        </w:rPr>
        <w:t xml:space="preserve"> pylori (H. pylori) </w:t>
      </w:r>
      <w:r w:rsidRPr="0021138B">
        <w:rPr>
          <w:rFonts w:eastAsia="Calibri"/>
          <w:lang w:val="es-ES" w:eastAsia="en-US"/>
        </w:rPr>
        <w:t xml:space="preserve">es considerado como carcinógeno tipo </w:t>
      </w:r>
      <w:proofErr w:type="gramStart"/>
      <w:r w:rsidRPr="0021138B">
        <w:rPr>
          <w:rFonts w:eastAsia="Calibri"/>
          <w:lang w:val="es-ES" w:eastAsia="en-US"/>
        </w:rPr>
        <w:t>1.</w:t>
      </w:r>
      <w:r w:rsidRPr="0021138B">
        <w:rPr>
          <w:rFonts w:eastAsia="Calibri"/>
          <w:vertAlign w:val="superscript"/>
          <w:lang w:val="es-US" w:eastAsia="en-US"/>
        </w:rPr>
        <w:t>(</w:t>
      </w:r>
      <w:proofErr w:type="gramEnd"/>
      <w:r w:rsidRPr="0021138B">
        <w:rPr>
          <w:rFonts w:eastAsia="Calibri"/>
          <w:vertAlign w:val="superscript"/>
          <w:lang w:val="es-US" w:eastAsia="en-US"/>
        </w:rPr>
        <w:t xml:space="preserve">1,2) </w:t>
      </w:r>
      <w:r w:rsidRPr="0021138B">
        <w:rPr>
          <w:rFonts w:eastAsia="Calibri"/>
          <w:lang w:val="es-US" w:eastAsia="en-US"/>
        </w:rPr>
        <w:t xml:space="preserve">Tiene distribución cosmopolita. La prevalencia en países desarrollados es de 40 a 60 % y en países en desarrollo puede alcanzar hasta el 90 </w:t>
      </w:r>
      <w:proofErr w:type="gramStart"/>
      <w:r w:rsidRPr="0021138B">
        <w:rPr>
          <w:rFonts w:eastAsia="Calibri"/>
          <w:lang w:val="es-US" w:eastAsia="en-US"/>
        </w:rPr>
        <w:t>%.</w:t>
      </w:r>
      <w:r w:rsidRPr="0021138B">
        <w:rPr>
          <w:rFonts w:eastAsia="Calibri"/>
          <w:vertAlign w:val="superscript"/>
          <w:lang w:val="es-US" w:eastAsia="en-US"/>
        </w:rPr>
        <w:t>(</w:t>
      </w:r>
      <w:proofErr w:type="gramEnd"/>
      <w:r w:rsidRPr="0021138B">
        <w:rPr>
          <w:rFonts w:eastAsia="Calibri"/>
          <w:vertAlign w:val="superscript"/>
          <w:lang w:val="es-US" w:eastAsia="en-US"/>
        </w:rPr>
        <w:t xml:space="preserve">2) </w:t>
      </w:r>
      <w:r w:rsidRPr="0021138B">
        <w:rPr>
          <w:rFonts w:eastAsia="Calibri"/>
          <w:lang w:val="es-US" w:eastAsia="en-US"/>
        </w:rPr>
        <w:t xml:space="preserve">Su </w:t>
      </w:r>
      <w:r w:rsidRPr="0021138B">
        <w:rPr>
          <w:rFonts w:eastAsia="Calibri"/>
          <w:color w:val="000000"/>
          <w:lang w:val="es-US" w:eastAsia="en-US"/>
        </w:rPr>
        <w:t xml:space="preserve">erradicación reduce la progresión de las lesiones preneoplásicas, excepto de la </w:t>
      </w:r>
      <w:r w:rsidRPr="0021138B">
        <w:rPr>
          <w:rFonts w:eastAsia="Calibri"/>
          <w:lang w:val="es-US" w:eastAsia="en-US"/>
        </w:rPr>
        <w:t>metaplasia intestinal y la displasia.</w:t>
      </w:r>
      <w:r w:rsidRPr="0021138B">
        <w:rPr>
          <w:rFonts w:eastAsia="Calibri"/>
          <w:vertAlign w:val="superscript"/>
          <w:lang w:val="es-US" w:eastAsia="en-US"/>
        </w:rPr>
        <w:t>(3)</w:t>
      </w:r>
    </w:p>
    <w:p w14:paraId="060E4F36" w14:textId="77777777" w:rsidR="0021138B" w:rsidRPr="0021138B" w:rsidRDefault="0021138B" w:rsidP="0021138B">
      <w:pPr>
        <w:spacing w:line="360" w:lineRule="auto"/>
        <w:jc w:val="both"/>
        <w:rPr>
          <w:rFonts w:eastAsia="Calibri"/>
          <w:color w:val="000000"/>
          <w:vertAlign w:val="superscript"/>
          <w:lang w:val="es-US" w:eastAsia="en-US"/>
        </w:rPr>
      </w:pPr>
      <w:r w:rsidRPr="0021138B">
        <w:rPr>
          <w:rFonts w:eastAsia="Calibri"/>
          <w:color w:val="000000"/>
          <w:lang w:val="es-US" w:eastAsia="en-US"/>
        </w:rPr>
        <w:t>Esta bacteria cuenta con diversos factores de virulencia que contribuyen al daño de la mucosa</w:t>
      </w:r>
      <w:r w:rsidRPr="0021138B">
        <w:rPr>
          <w:rFonts w:eastAsia="Calibri"/>
          <w:lang w:val="es-US" w:eastAsia="en-US"/>
        </w:rPr>
        <w:t>,</w:t>
      </w:r>
      <w:r w:rsidRPr="0021138B">
        <w:rPr>
          <w:rFonts w:eastAsia="Calibri"/>
          <w:color w:val="000000"/>
          <w:lang w:val="es-US" w:eastAsia="en-US"/>
        </w:rPr>
        <w:t xml:space="preserve"> entre ellos </w:t>
      </w:r>
      <w:proofErr w:type="spellStart"/>
      <w:r w:rsidRPr="0021138B">
        <w:rPr>
          <w:rFonts w:eastAsia="Calibri"/>
          <w:color w:val="000000"/>
          <w:lang w:val="es-US" w:eastAsia="en-US"/>
        </w:rPr>
        <w:t>CagA</w:t>
      </w:r>
      <w:proofErr w:type="spellEnd"/>
      <w:r w:rsidRPr="0021138B">
        <w:rPr>
          <w:rFonts w:eastAsia="Calibri"/>
          <w:color w:val="000000"/>
          <w:lang w:val="es-US" w:eastAsia="en-US"/>
        </w:rPr>
        <w:t xml:space="preserve"> y </w:t>
      </w:r>
      <w:proofErr w:type="spellStart"/>
      <w:r w:rsidRPr="0021138B">
        <w:rPr>
          <w:rFonts w:eastAsia="Calibri"/>
          <w:color w:val="000000"/>
          <w:lang w:val="es-US" w:eastAsia="en-US"/>
        </w:rPr>
        <w:t>VacA</w:t>
      </w:r>
      <w:proofErr w:type="spellEnd"/>
      <w:r w:rsidRPr="0021138B">
        <w:rPr>
          <w:rFonts w:eastAsia="Calibri"/>
          <w:color w:val="000000"/>
          <w:lang w:val="es-US" w:eastAsia="en-US"/>
        </w:rPr>
        <w:t xml:space="preserve">. Las cepas de </w:t>
      </w:r>
      <w:r w:rsidRPr="0021138B">
        <w:rPr>
          <w:rFonts w:eastAsia="Calibri"/>
          <w:i/>
          <w:color w:val="000000"/>
          <w:lang w:val="es-US" w:eastAsia="en-US"/>
        </w:rPr>
        <w:t>H. pylori</w:t>
      </w:r>
      <w:r w:rsidRPr="0021138B">
        <w:rPr>
          <w:rFonts w:eastAsia="Calibri"/>
          <w:color w:val="000000"/>
          <w:lang w:val="es-US" w:eastAsia="en-US"/>
        </w:rPr>
        <w:t xml:space="preserve"> que presentan la citotoxina </w:t>
      </w:r>
      <w:proofErr w:type="spellStart"/>
      <w:r w:rsidRPr="0021138B">
        <w:rPr>
          <w:rFonts w:eastAsia="Calibri"/>
          <w:color w:val="000000"/>
          <w:lang w:val="es-US" w:eastAsia="en-US"/>
        </w:rPr>
        <w:t>CagA</w:t>
      </w:r>
      <w:proofErr w:type="spellEnd"/>
      <w:r w:rsidRPr="0021138B">
        <w:rPr>
          <w:rFonts w:eastAsia="Calibri"/>
          <w:color w:val="000000"/>
          <w:lang w:val="es-US" w:eastAsia="en-US"/>
        </w:rPr>
        <w:t xml:space="preserve"> se relacionan con úlcera péptica, gastritis crónica atrófica y adenocarcinoma gástrico; mientras que </w:t>
      </w:r>
      <w:proofErr w:type="spellStart"/>
      <w:r w:rsidRPr="0021138B">
        <w:rPr>
          <w:rFonts w:eastAsia="Calibri"/>
          <w:lang w:val="es-US" w:eastAsia="en-US"/>
        </w:rPr>
        <w:t>VacA</w:t>
      </w:r>
      <w:proofErr w:type="spellEnd"/>
      <w:r w:rsidRPr="0021138B">
        <w:rPr>
          <w:rFonts w:eastAsia="Calibri"/>
          <w:lang w:val="es-US" w:eastAsia="en-US"/>
        </w:rPr>
        <w:t xml:space="preserve"> se relaciona</w:t>
      </w:r>
      <w:r w:rsidRPr="0021138B">
        <w:rPr>
          <w:rFonts w:eastAsia="Calibri"/>
          <w:color w:val="000000"/>
          <w:lang w:val="es-US" w:eastAsia="en-US"/>
        </w:rPr>
        <w:t xml:space="preserve"> con el desarrollo de procesos tumorales, al inducir la expresión del factor de crecimiento vascular endotelial. Existen 2 tipos de cepas del </w:t>
      </w:r>
      <w:r w:rsidRPr="0021138B">
        <w:rPr>
          <w:rFonts w:eastAsia="Calibri"/>
          <w:i/>
          <w:color w:val="000000"/>
          <w:lang w:val="es-US" w:eastAsia="en-US"/>
        </w:rPr>
        <w:t>H. pylori</w:t>
      </w:r>
      <w:r w:rsidRPr="0021138B">
        <w:rPr>
          <w:rFonts w:eastAsia="Calibri"/>
          <w:color w:val="000000"/>
          <w:lang w:val="es-US" w:eastAsia="en-US"/>
        </w:rPr>
        <w:t xml:space="preserve">: las tipo I (expresan </w:t>
      </w:r>
      <w:proofErr w:type="spellStart"/>
      <w:r w:rsidRPr="0021138B">
        <w:rPr>
          <w:rFonts w:eastAsia="Calibri"/>
          <w:color w:val="000000"/>
          <w:lang w:val="es-US" w:eastAsia="en-US"/>
        </w:rPr>
        <w:t>CagA</w:t>
      </w:r>
      <w:proofErr w:type="spellEnd"/>
      <w:r w:rsidRPr="0021138B">
        <w:rPr>
          <w:rFonts w:eastAsia="Calibri"/>
          <w:color w:val="000000"/>
          <w:lang w:val="es-US" w:eastAsia="en-US"/>
        </w:rPr>
        <w:t xml:space="preserve"> y </w:t>
      </w:r>
      <w:proofErr w:type="spellStart"/>
      <w:r w:rsidRPr="0021138B">
        <w:rPr>
          <w:rFonts w:eastAsia="Calibri"/>
          <w:color w:val="000000"/>
          <w:lang w:val="es-US" w:eastAsia="en-US"/>
        </w:rPr>
        <w:t>VacA</w:t>
      </w:r>
      <w:proofErr w:type="spellEnd"/>
      <w:r w:rsidRPr="0021138B">
        <w:rPr>
          <w:rFonts w:eastAsia="Calibri"/>
          <w:color w:val="000000"/>
          <w:lang w:val="es-US" w:eastAsia="en-US"/>
        </w:rPr>
        <w:t>) y las tipo II (no expresan estos marcadores</w:t>
      </w:r>
      <w:proofErr w:type="gramStart"/>
      <w:r w:rsidRPr="0021138B">
        <w:rPr>
          <w:rFonts w:eastAsia="Calibri"/>
          <w:color w:val="000000"/>
          <w:lang w:val="es-US" w:eastAsia="en-US"/>
        </w:rPr>
        <w:t>).</w:t>
      </w:r>
      <w:r w:rsidRPr="0021138B">
        <w:rPr>
          <w:rFonts w:eastAsia="Calibri"/>
          <w:color w:val="000000"/>
          <w:vertAlign w:val="superscript"/>
          <w:lang w:val="es-US" w:eastAsia="en-US"/>
        </w:rPr>
        <w:t>(</w:t>
      </w:r>
      <w:proofErr w:type="gramEnd"/>
      <w:r w:rsidRPr="0021138B">
        <w:rPr>
          <w:rFonts w:eastAsia="Calibri"/>
          <w:color w:val="000000"/>
          <w:vertAlign w:val="superscript"/>
          <w:lang w:val="es-US" w:eastAsia="en-US"/>
        </w:rPr>
        <w:t>4)</w:t>
      </w:r>
    </w:p>
    <w:p w14:paraId="6E01794C" w14:textId="77777777" w:rsidR="0021138B" w:rsidRPr="0021138B" w:rsidRDefault="0021138B" w:rsidP="0021138B">
      <w:pPr>
        <w:spacing w:line="360" w:lineRule="auto"/>
        <w:jc w:val="both"/>
        <w:rPr>
          <w:rFonts w:eastAsia="Calibri"/>
          <w:vertAlign w:val="superscript"/>
          <w:lang w:val="es-US" w:eastAsia="en-US"/>
        </w:rPr>
      </w:pPr>
      <w:r w:rsidRPr="0021138B">
        <w:rPr>
          <w:rFonts w:eastAsia="Calibri"/>
          <w:lang w:val="es-US" w:eastAsia="en-US"/>
        </w:rPr>
        <w:t xml:space="preserve">Se ha demostrado que </w:t>
      </w:r>
      <w:r w:rsidRPr="0021138B">
        <w:rPr>
          <w:rFonts w:eastAsia="Calibri"/>
          <w:i/>
          <w:lang w:val="es-US" w:eastAsia="en-US"/>
        </w:rPr>
        <w:t>H. pylori</w:t>
      </w:r>
      <w:r w:rsidRPr="0021138B">
        <w:rPr>
          <w:rFonts w:eastAsia="Calibri"/>
          <w:lang w:val="es-US" w:eastAsia="en-US"/>
        </w:rPr>
        <w:t xml:space="preserve"> es el principal factor de riesgo para el desarrollo de gastritis crónica atrófica y cáncer gástrico de tipo intestinal. En este caso, la evaluación de la extensión de la atrofia gástrica o de la metaplasia intestinal, en la estratificación del riesgo de cáncer gástrico confiere una acción inmediata. Para ello, se utiliza el sistema </w:t>
      </w:r>
      <w:r w:rsidRPr="0021138B">
        <w:rPr>
          <w:rFonts w:eastAsia="Calibri"/>
          <w:i/>
          <w:iCs/>
          <w:lang w:val="es-US" w:eastAsia="en-US"/>
        </w:rPr>
        <w:t xml:space="preserve">Operative Link </w:t>
      </w:r>
      <w:proofErr w:type="spellStart"/>
      <w:r w:rsidRPr="0021138B">
        <w:rPr>
          <w:rFonts w:eastAsia="Calibri"/>
          <w:i/>
          <w:iCs/>
          <w:lang w:val="es-US" w:eastAsia="en-US"/>
        </w:rPr>
        <w:t>on</w:t>
      </w:r>
      <w:proofErr w:type="spellEnd"/>
      <w:r w:rsidRPr="0021138B">
        <w:rPr>
          <w:rFonts w:eastAsia="Calibri"/>
          <w:i/>
          <w:iCs/>
          <w:lang w:val="es-US" w:eastAsia="en-US"/>
        </w:rPr>
        <w:t xml:space="preserve"> Gastritis </w:t>
      </w:r>
      <w:proofErr w:type="spellStart"/>
      <w:r w:rsidRPr="0021138B">
        <w:rPr>
          <w:rFonts w:eastAsia="Calibri"/>
          <w:i/>
          <w:iCs/>
          <w:lang w:val="es-US" w:eastAsia="en-US"/>
        </w:rPr>
        <w:t>Assessment</w:t>
      </w:r>
      <w:proofErr w:type="spellEnd"/>
      <w:r w:rsidRPr="0021138B">
        <w:rPr>
          <w:rFonts w:eastAsia="Calibri"/>
          <w:i/>
          <w:iCs/>
          <w:lang w:val="es-US" w:eastAsia="en-US"/>
        </w:rPr>
        <w:t xml:space="preserve"> </w:t>
      </w:r>
      <w:r w:rsidRPr="0021138B">
        <w:rPr>
          <w:rFonts w:eastAsia="Calibri"/>
          <w:lang w:val="es-US" w:eastAsia="en-US"/>
        </w:rPr>
        <w:t>(OLGA</w:t>
      </w:r>
      <w:proofErr w:type="gramStart"/>
      <w:r w:rsidRPr="0021138B">
        <w:rPr>
          <w:rFonts w:eastAsia="Calibri"/>
          <w:lang w:val="es-US" w:eastAsia="en-US"/>
        </w:rPr>
        <w:t>),</w:t>
      </w:r>
      <w:r w:rsidRPr="0021138B">
        <w:rPr>
          <w:rFonts w:eastAsia="Calibri"/>
          <w:vertAlign w:val="superscript"/>
          <w:lang w:val="es-US" w:eastAsia="en-US"/>
        </w:rPr>
        <w:t>(</w:t>
      </w:r>
      <w:proofErr w:type="gramEnd"/>
      <w:r w:rsidRPr="0021138B">
        <w:rPr>
          <w:rFonts w:eastAsia="Calibri"/>
          <w:vertAlign w:val="superscript"/>
          <w:lang w:val="es-US" w:eastAsia="en-US"/>
        </w:rPr>
        <w:t xml:space="preserve">5,6) </w:t>
      </w:r>
      <w:r w:rsidRPr="0021138B">
        <w:rPr>
          <w:rFonts w:eastAsia="Calibri"/>
          <w:lang w:val="es-US" w:eastAsia="en-US"/>
        </w:rPr>
        <w:t>resultado del consenso de un grupo internacional de patólogos, que han identificado la atrofia gástrica como la lesión histopatológica típica de progresión de la gastritis crónica.</w:t>
      </w:r>
      <w:r w:rsidRPr="0021138B">
        <w:rPr>
          <w:rFonts w:eastAsia="Calibri"/>
          <w:vertAlign w:val="superscript"/>
          <w:lang w:val="es-US" w:eastAsia="en-US"/>
        </w:rPr>
        <w:t>(7,8)</w:t>
      </w:r>
    </w:p>
    <w:p w14:paraId="499738AB" w14:textId="77777777" w:rsidR="0021138B" w:rsidRPr="0021138B" w:rsidRDefault="0021138B" w:rsidP="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21138B">
        <w:rPr>
          <w:lang w:val="es-ES" w:eastAsia="es-ES"/>
        </w:rPr>
        <w:t>Esta investigación se realizó con el objetivo de i</w:t>
      </w:r>
      <w:r w:rsidRPr="0021138B">
        <w:rPr>
          <w:color w:val="000000"/>
          <w:shd w:val="clear" w:color="auto" w:fill="FFFFFF"/>
          <w:lang w:val="es-ES" w:eastAsia="es-ES"/>
        </w:rPr>
        <w:t xml:space="preserve">dentificar </w:t>
      </w:r>
      <w:r w:rsidRPr="0021138B">
        <w:rPr>
          <w:lang w:val="es-ES" w:eastAsia="es-ES"/>
        </w:rPr>
        <w:t xml:space="preserve">lesiones gástricas preneoplásicas en pacientes con </w:t>
      </w:r>
      <w:r w:rsidRPr="0021138B">
        <w:rPr>
          <w:i/>
          <w:lang w:val="es-ES" w:eastAsia="es-ES"/>
        </w:rPr>
        <w:t>H. pylori</w:t>
      </w:r>
      <w:r w:rsidRPr="0021138B">
        <w:rPr>
          <w:lang w:val="es-ES" w:eastAsia="es-ES"/>
        </w:rPr>
        <w:t>.</w:t>
      </w:r>
    </w:p>
    <w:p w14:paraId="4965CCDD" w14:textId="77777777" w:rsidR="0021138B" w:rsidRPr="0021138B" w:rsidRDefault="0021138B" w:rsidP="0021138B">
      <w:pPr>
        <w:spacing w:line="360" w:lineRule="auto"/>
        <w:jc w:val="both"/>
        <w:rPr>
          <w:rFonts w:eastAsia="Calibri"/>
          <w:b/>
          <w:lang w:val="es-ES" w:eastAsia="en-US"/>
        </w:rPr>
      </w:pPr>
    </w:p>
    <w:p w14:paraId="617124D5" w14:textId="77777777" w:rsidR="0021138B" w:rsidRPr="0021138B" w:rsidRDefault="0021138B" w:rsidP="0021138B">
      <w:pPr>
        <w:spacing w:line="360" w:lineRule="auto"/>
        <w:jc w:val="both"/>
        <w:rPr>
          <w:rFonts w:eastAsia="Calibri"/>
          <w:b/>
          <w:lang w:val="es-ES" w:eastAsia="en-US"/>
        </w:rPr>
      </w:pPr>
    </w:p>
    <w:p w14:paraId="70552763" w14:textId="77777777" w:rsidR="002329D5" w:rsidRDefault="002329D5">
      <w:pPr>
        <w:rPr>
          <w:rFonts w:eastAsia="Calibri"/>
          <w:b/>
          <w:sz w:val="32"/>
          <w:szCs w:val="32"/>
          <w:lang w:val="es-ES" w:eastAsia="en-US"/>
        </w:rPr>
      </w:pPr>
      <w:r>
        <w:rPr>
          <w:rFonts w:eastAsia="Calibri"/>
          <w:b/>
          <w:sz w:val="32"/>
          <w:szCs w:val="32"/>
          <w:lang w:val="es-ES" w:eastAsia="en-US"/>
        </w:rPr>
        <w:br w:type="page"/>
      </w:r>
    </w:p>
    <w:p w14:paraId="4C9EE475" w14:textId="5F08D160" w:rsidR="0021138B" w:rsidRPr="0021138B" w:rsidRDefault="0021138B" w:rsidP="0021138B">
      <w:pPr>
        <w:spacing w:line="360" w:lineRule="auto"/>
        <w:jc w:val="center"/>
        <w:rPr>
          <w:rFonts w:eastAsia="Calibri"/>
          <w:b/>
          <w:sz w:val="32"/>
          <w:szCs w:val="32"/>
          <w:lang w:val="es-ES" w:eastAsia="en-US"/>
        </w:rPr>
      </w:pPr>
      <w:r w:rsidRPr="0021138B">
        <w:rPr>
          <w:rFonts w:eastAsia="Calibri"/>
          <w:b/>
          <w:sz w:val="32"/>
          <w:szCs w:val="32"/>
          <w:lang w:val="es-ES" w:eastAsia="en-US"/>
        </w:rPr>
        <w:lastRenderedPageBreak/>
        <w:t>MÉTODOS</w:t>
      </w:r>
    </w:p>
    <w:p w14:paraId="06AF379F" w14:textId="77777777" w:rsidR="0021138B" w:rsidRPr="0021138B" w:rsidRDefault="0021138B" w:rsidP="0021138B">
      <w:pPr>
        <w:autoSpaceDE w:val="0"/>
        <w:autoSpaceDN w:val="0"/>
        <w:adjustRightInd w:val="0"/>
        <w:spacing w:line="360" w:lineRule="auto"/>
        <w:jc w:val="both"/>
        <w:rPr>
          <w:i/>
          <w:color w:val="FF0000"/>
          <w:lang w:val="es-ES" w:eastAsia="es-ES"/>
        </w:rPr>
      </w:pPr>
      <w:r w:rsidRPr="0021138B">
        <w:rPr>
          <w:rFonts w:eastAsia="Calibri"/>
          <w:bCs/>
          <w:lang w:val="es-US" w:eastAsia="zh-CN"/>
        </w:rPr>
        <w:t xml:space="preserve">Se realizó un estudio descriptivo, transversal, </w:t>
      </w:r>
      <w:r w:rsidRPr="0021138B">
        <w:rPr>
          <w:lang w:val="es-ES" w:eastAsia="es-ES"/>
        </w:rPr>
        <w:t>en el Hospital Militar Central “Dr. Carlos J. Finlay”, en el periodo comprendido entre 2011 hasta 2019</w:t>
      </w:r>
      <w:r w:rsidRPr="0021138B">
        <w:rPr>
          <w:rFonts w:eastAsia="DengXian"/>
          <w:color w:val="000000"/>
          <w:lang w:val="es-US" w:eastAsia="zh-CN"/>
        </w:rPr>
        <w:t xml:space="preserve">. </w:t>
      </w:r>
      <w:r w:rsidRPr="0021138B">
        <w:rPr>
          <w:rFonts w:eastAsia="+mn-ea"/>
          <w:color w:val="000000"/>
          <w:kern w:val="24"/>
          <w:lang w:val="es-ES" w:eastAsia="es-ES"/>
        </w:rPr>
        <w:t>Fueron incluidos 167</w:t>
      </w:r>
      <w:r w:rsidRPr="0021138B">
        <w:rPr>
          <w:rFonts w:eastAsia="DengXian"/>
          <w:color w:val="000000"/>
          <w:lang w:val="es-US" w:eastAsia="zh-CN"/>
        </w:rPr>
        <w:t xml:space="preserve"> pacientes, mayores de 18 años de edad, de ambos sexos, procedentes de la consulta externa de Gastroenterología, con dispepsia causada por la bacteria </w:t>
      </w:r>
      <w:r w:rsidRPr="0021138B">
        <w:rPr>
          <w:rFonts w:eastAsia="DengXian"/>
          <w:i/>
          <w:color w:val="000000"/>
          <w:lang w:val="es-US" w:eastAsia="zh-CN"/>
        </w:rPr>
        <w:t>H. pylori</w:t>
      </w:r>
      <w:r w:rsidRPr="0021138B">
        <w:rPr>
          <w:rFonts w:eastAsia="DengXian"/>
          <w:color w:val="000000"/>
          <w:lang w:val="es-US" w:eastAsia="zh-CN"/>
        </w:rPr>
        <w:t xml:space="preserve"> (serología e histología positivas). A todos se les realizó </w:t>
      </w:r>
      <w:r w:rsidRPr="0021138B">
        <w:rPr>
          <w:lang w:val="es-ES" w:eastAsia="es-ES"/>
        </w:rPr>
        <w:t xml:space="preserve">endoscopía digestiva alta y biopsia gástrica en las localizaciones señaladas por el sistema OLGA. </w:t>
      </w:r>
    </w:p>
    <w:p w14:paraId="0AF57D72" w14:textId="77777777" w:rsidR="0021138B" w:rsidRPr="0021138B" w:rsidRDefault="0021138B" w:rsidP="0021138B">
      <w:pPr>
        <w:spacing w:line="360" w:lineRule="auto"/>
        <w:jc w:val="both"/>
        <w:rPr>
          <w:lang w:val="es-ES" w:eastAsia="es-ES"/>
        </w:rPr>
      </w:pPr>
      <w:r w:rsidRPr="0021138B">
        <w:rPr>
          <w:bCs/>
          <w:iCs/>
          <w:lang w:val="es-ES" w:eastAsia="es-ES"/>
        </w:rPr>
        <w:t xml:space="preserve">Se excluyeron los operados gástricos y aquellos con </w:t>
      </w:r>
      <w:r w:rsidRPr="0021138B">
        <w:rPr>
          <w:lang w:val="es-ES" w:eastAsia="es-ES"/>
        </w:rPr>
        <w:t>tratamiento con inhibidores de la bomba de protones, antibióticos o derivados del bismuto, en los 6 meses previos a la exploración.</w:t>
      </w:r>
    </w:p>
    <w:p w14:paraId="06DA381D" w14:textId="77777777" w:rsidR="0021138B" w:rsidRPr="0021138B" w:rsidRDefault="0021138B" w:rsidP="0021138B">
      <w:pPr>
        <w:spacing w:line="360" w:lineRule="auto"/>
        <w:jc w:val="both"/>
        <w:rPr>
          <w:lang w:val="es-US" w:eastAsia="es-ES"/>
        </w:rPr>
      </w:pPr>
      <w:bookmarkStart w:id="1" w:name="_Toc90808741"/>
      <w:r w:rsidRPr="0021138B">
        <w:rPr>
          <w:lang w:val="es-US" w:eastAsia="es-ES"/>
        </w:rPr>
        <w:t>Las variables</w:t>
      </w:r>
      <w:bookmarkEnd w:id="1"/>
      <w:r w:rsidRPr="0021138B">
        <w:rPr>
          <w:lang w:val="es-US" w:eastAsia="es-ES"/>
        </w:rPr>
        <w:t xml:space="preserve"> incluidas fueron: </w:t>
      </w:r>
    </w:p>
    <w:p w14:paraId="7CA75EC3" w14:textId="77777777" w:rsidR="0021138B" w:rsidRPr="0021138B" w:rsidRDefault="0021138B" w:rsidP="0021138B">
      <w:pPr>
        <w:spacing w:line="360" w:lineRule="auto"/>
        <w:jc w:val="both"/>
        <w:rPr>
          <w:color w:val="000000"/>
          <w:shd w:val="clear" w:color="auto" w:fill="FFFFFF"/>
          <w:vertAlign w:val="superscript"/>
          <w:lang w:val="es-ES" w:eastAsia="es-ES"/>
        </w:rPr>
      </w:pPr>
      <w:r w:rsidRPr="0021138B">
        <w:rPr>
          <w:lang w:eastAsia="es-ES"/>
        </w:rPr>
        <w:t xml:space="preserve">Atrofia gástrica (presencia o ausencia): </w:t>
      </w:r>
      <w:r w:rsidRPr="0021138B">
        <w:rPr>
          <w:lang w:val="es-US" w:eastAsia="es-ES"/>
        </w:rPr>
        <w:t xml:space="preserve">disminución o desaparición de las glándulas gástricas normales y su reemplazo por proliferación de tejido conectivo, infiltrado inflamatorio linfoide, o por estructuras glandulares diferentes a las normales del estómago. </w:t>
      </w:r>
      <w:r w:rsidRPr="0021138B">
        <w:rPr>
          <w:lang w:eastAsia="es-ES"/>
        </w:rPr>
        <w:t>Fue</w:t>
      </w:r>
      <w:r w:rsidRPr="0021138B">
        <w:rPr>
          <w:color w:val="000000"/>
          <w:shd w:val="clear" w:color="auto" w:fill="FFFFFF"/>
          <w:lang w:val="es-ES" w:eastAsia="es-ES"/>
        </w:rPr>
        <w:t xml:space="preserve"> clasificada a partir del sistema OLGA, con grados de gravedad desde 0 hasta IV:</w:t>
      </w:r>
      <w:r w:rsidRPr="0021138B">
        <w:rPr>
          <w:color w:val="000000"/>
          <w:shd w:val="clear" w:color="auto" w:fill="FFFFFF"/>
          <w:vertAlign w:val="superscript"/>
          <w:lang w:val="es-ES" w:eastAsia="es-ES"/>
        </w:rPr>
        <w:t>(9)</w:t>
      </w:r>
    </w:p>
    <w:p w14:paraId="3BEB61D1" w14:textId="77777777" w:rsidR="0021138B" w:rsidRPr="0021138B" w:rsidRDefault="0021138B" w:rsidP="00C1504B">
      <w:pPr>
        <w:spacing w:line="360" w:lineRule="auto"/>
        <w:jc w:val="both"/>
        <w:rPr>
          <w:color w:val="000000"/>
          <w:shd w:val="clear" w:color="auto" w:fill="FFFFFF"/>
          <w:vertAlign w:val="superscript"/>
          <w:lang w:val="es-ES" w:eastAsia="es-ES"/>
        </w:rPr>
      </w:pPr>
    </w:p>
    <w:p w14:paraId="501455E2" w14:textId="77777777" w:rsidR="0021138B" w:rsidRPr="0021138B" w:rsidRDefault="0021138B" w:rsidP="00C1504B">
      <w:pPr>
        <w:numPr>
          <w:ilvl w:val="0"/>
          <w:numId w:val="5"/>
        </w:numPr>
        <w:spacing w:line="360" w:lineRule="auto"/>
        <w:contextualSpacing/>
        <w:jc w:val="both"/>
        <w:rPr>
          <w:rFonts w:eastAsia="Calibri"/>
          <w:lang w:val="es-US" w:eastAsia="zh-CN"/>
        </w:rPr>
      </w:pPr>
      <w:r w:rsidRPr="0021138B">
        <w:rPr>
          <w:rFonts w:eastAsia="Calibri"/>
          <w:lang w:val="es-US" w:eastAsia="zh-CN"/>
        </w:rPr>
        <w:t>Estadio 0: sin atrofia en el antro ni en el cuerpo.</w:t>
      </w:r>
    </w:p>
    <w:p w14:paraId="372F9977" w14:textId="77777777" w:rsidR="0021138B" w:rsidRPr="0021138B" w:rsidRDefault="0021138B" w:rsidP="00C1504B">
      <w:pPr>
        <w:numPr>
          <w:ilvl w:val="0"/>
          <w:numId w:val="5"/>
        </w:numPr>
        <w:autoSpaceDE w:val="0"/>
        <w:autoSpaceDN w:val="0"/>
        <w:adjustRightInd w:val="0"/>
        <w:spacing w:line="360" w:lineRule="auto"/>
        <w:contextualSpacing/>
        <w:jc w:val="both"/>
        <w:rPr>
          <w:rFonts w:eastAsia="Calibri"/>
          <w:lang w:val="es-US" w:eastAsia="zh-CN"/>
        </w:rPr>
      </w:pPr>
      <w:r w:rsidRPr="0021138B">
        <w:rPr>
          <w:rFonts w:eastAsia="Calibri"/>
          <w:lang w:val="es-US" w:eastAsia="zh-CN"/>
        </w:rPr>
        <w:t>Estadio I: antro sin atrofia o atrofia leve y cuerpo con atrofia.</w:t>
      </w:r>
    </w:p>
    <w:p w14:paraId="381F4651" w14:textId="77777777" w:rsidR="0021138B" w:rsidRPr="0021138B" w:rsidRDefault="0021138B" w:rsidP="00C1504B">
      <w:pPr>
        <w:numPr>
          <w:ilvl w:val="0"/>
          <w:numId w:val="5"/>
        </w:numPr>
        <w:autoSpaceDE w:val="0"/>
        <w:autoSpaceDN w:val="0"/>
        <w:adjustRightInd w:val="0"/>
        <w:spacing w:line="360" w:lineRule="auto"/>
        <w:contextualSpacing/>
        <w:jc w:val="both"/>
        <w:rPr>
          <w:rFonts w:eastAsia="Calibri"/>
          <w:lang w:val="es-US" w:eastAsia="zh-CN"/>
        </w:rPr>
      </w:pPr>
      <w:r w:rsidRPr="0021138B">
        <w:rPr>
          <w:rFonts w:eastAsia="Calibri"/>
          <w:lang w:val="es-US" w:eastAsia="zh-CN"/>
        </w:rPr>
        <w:t>Estadio II: antro sin atrofia o atrofia leve y cuerpo con atrofia moderada, antro sin atrofia y atrofia intensa en cuerpo, antro con atrofia moderada y cuerpo sin atrofia o atrofia leve, antro con atrofia intensa y cuerpo sin atrofia.</w:t>
      </w:r>
    </w:p>
    <w:p w14:paraId="22D97455" w14:textId="77777777" w:rsidR="0021138B" w:rsidRPr="0021138B" w:rsidRDefault="0021138B" w:rsidP="00C1504B">
      <w:pPr>
        <w:numPr>
          <w:ilvl w:val="0"/>
          <w:numId w:val="5"/>
        </w:numPr>
        <w:autoSpaceDE w:val="0"/>
        <w:autoSpaceDN w:val="0"/>
        <w:adjustRightInd w:val="0"/>
        <w:spacing w:line="360" w:lineRule="auto"/>
        <w:contextualSpacing/>
        <w:jc w:val="both"/>
        <w:rPr>
          <w:rFonts w:eastAsia="Calibri"/>
          <w:lang w:val="es-US" w:eastAsia="zh-CN"/>
        </w:rPr>
      </w:pPr>
      <w:r w:rsidRPr="0021138B">
        <w:rPr>
          <w:rFonts w:eastAsia="Calibri"/>
          <w:lang w:val="es-US" w:eastAsia="zh-CN"/>
        </w:rPr>
        <w:t>Estadio III: antro con atrofia intensa y cuerpo sin atrofia o atrofia leve, antro y cuerpo con atrofia o antro con atrofia leve y cuerpo con atrofia intensa.</w:t>
      </w:r>
    </w:p>
    <w:p w14:paraId="0B50B1BB" w14:textId="77777777" w:rsidR="0021138B" w:rsidRPr="0021138B" w:rsidRDefault="0021138B" w:rsidP="00C1504B">
      <w:pPr>
        <w:numPr>
          <w:ilvl w:val="0"/>
          <w:numId w:val="5"/>
        </w:numPr>
        <w:autoSpaceDE w:val="0"/>
        <w:autoSpaceDN w:val="0"/>
        <w:adjustRightInd w:val="0"/>
        <w:spacing w:line="360" w:lineRule="auto"/>
        <w:contextualSpacing/>
        <w:jc w:val="both"/>
        <w:rPr>
          <w:rFonts w:eastAsia="Calibri"/>
          <w:lang w:val="es-US" w:eastAsia="zh-CN"/>
        </w:rPr>
      </w:pPr>
      <w:r w:rsidRPr="0021138B">
        <w:rPr>
          <w:rFonts w:eastAsia="Calibri"/>
          <w:lang w:val="es-US" w:eastAsia="zh-CN"/>
        </w:rPr>
        <w:t>Estadio IV: antro con atrofia moderada e intensa en cuerpo, antro con atrofia intensa y moderada en cuerpo o antro y cuerpo con atrofia intensa.</w:t>
      </w:r>
    </w:p>
    <w:p w14:paraId="31BF0609" w14:textId="77777777" w:rsidR="0021138B" w:rsidRPr="0021138B" w:rsidRDefault="0021138B" w:rsidP="00C1504B">
      <w:pPr>
        <w:spacing w:line="360" w:lineRule="auto"/>
        <w:jc w:val="both"/>
        <w:rPr>
          <w:lang w:eastAsia="es-ES"/>
        </w:rPr>
      </w:pPr>
    </w:p>
    <w:p w14:paraId="08575C77" w14:textId="77777777" w:rsidR="0021138B" w:rsidRPr="0021138B" w:rsidRDefault="0021138B" w:rsidP="0021138B">
      <w:pPr>
        <w:spacing w:line="360" w:lineRule="auto"/>
        <w:jc w:val="both"/>
        <w:rPr>
          <w:highlight w:val="yellow"/>
          <w:lang w:eastAsia="es-ES"/>
        </w:rPr>
      </w:pPr>
      <w:r w:rsidRPr="0021138B">
        <w:rPr>
          <w:lang w:eastAsia="es-ES"/>
        </w:rPr>
        <w:t xml:space="preserve">Metaplasia intestinal (presencia o ausencia): </w:t>
      </w:r>
      <w:r w:rsidRPr="0021138B">
        <w:rPr>
          <w:lang w:val="es-ES" w:eastAsia="es-ES"/>
        </w:rPr>
        <w:t>transformación de la mucosa gástrica, que sigue a la atrofia gástrica, como una lesión heterogénea según la histología y el tipo de mucina secretada con características que la acercan a la mucosa intestinal, de intestino delgado, de intestino grueso o mixta, en caso de coexistir ambas.</w:t>
      </w:r>
    </w:p>
    <w:p w14:paraId="1A8308DD" w14:textId="77777777" w:rsidR="0021138B" w:rsidRPr="0021138B" w:rsidRDefault="0021138B" w:rsidP="0021138B">
      <w:pPr>
        <w:spacing w:line="360" w:lineRule="auto"/>
        <w:jc w:val="both"/>
        <w:rPr>
          <w:lang w:eastAsia="es-ES"/>
        </w:rPr>
      </w:pPr>
      <w:r w:rsidRPr="0021138B">
        <w:rPr>
          <w:lang w:eastAsia="es-ES"/>
        </w:rPr>
        <w:lastRenderedPageBreak/>
        <w:t>Displasia (presencia o ausencia): se clasificó en displasia de bajo grado o de alto grado. R</w:t>
      </w:r>
      <w:proofErr w:type="spellStart"/>
      <w:r w:rsidRPr="0021138B">
        <w:rPr>
          <w:lang w:val="es-US" w:eastAsia="es-ES"/>
        </w:rPr>
        <w:t>epresenta</w:t>
      </w:r>
      <w:proofErr w:type="spellEnd"/>
      <w:r w:rsidRPr="0021138B">
        <w:rPr>
          <w:lang w:val="es-US" w:eastAsia="es-ES"/>
        </w:rPr>
        <w:t xml:space="preserve"> la penúltima etapa de la secuencia de carcinogénesis gástrica.</w:t>
      </w:r>
    </w:p>
    <w:p w14:paraId="2FF7D2A3" w14:textId="77777777" w:rsidR="0021138B" w:rsidRPr="0021138B" w:rsidRDefault="0021138B" w:rsidP="0021138B">
      <w:pPr>
        <w:spacing w:line="360" w:lineRule="auto"/>
        <w:jc w:val="both"/>
        <w:rPr>
          <w:lang w:eastAsia="es-ES"/>
        </w:rPr>
      </w:pPr>
      <w:r w:rsidRPr="0021138B">
        <w:rPr>
          <w:lang w:eastAsia="es-ES"/>
        </w:rPr>
        <w:t>Acúmulos linfoides (presencia o ausencia):</w:t>
      </w:r>
      <w:r w:rsidRPr="0021138B">
        <w:rPr>
          <w:lang w:val="es-ES" w:eastAsia="es-ES"/>
        </w:rPr>
        <w:t xml:space="preserve"> cúmulos de células linfocíticas que presentan o no eosinófilos en su estructura y también en algunos casos remanentes glandulares incorporados.</w:t>
      </w:r>
    </w:p>
    <w:p w14:paraId="51589493" w14:textId="77777777" w:rsidR="0021138B" w:rsidRPr="0021138B" w:rsidRDefault="0021138B" w:rsidP="0021138B">
      <w:pPr>
        <w:spacing w:line="360" w:lineRule="auto"/>
        <w:jc w:val="both"/>
        <w:rPr>
          <w:lang w:val="es-US" w:eastAsia="es-ES"/>
        </w:rPr>
      </w:pPr>
      <w:r w:rsidRPr="0021138B">
        <w:rPr>
          <w:lang w:eastAsia="es-ES"/>
        </w:rPr>
        <w:t xml:space="preserve">Reacción linfoepitelial (presencia o ausencia): </w:t>
      </w:r>
      <w:r w:rsidRPr="0021138B">
        <w:rPr>
          <w:lang w:val="es-ES" w:eastAsia="es-ES"/>
        </w:rPr>
        <w:t>invasión de agregados linfoides a las glándulas.</w:t>
      </w:r>
    </w:p>
    <w:p w14:paraId="4E48B1AE" w14:textId="77777777" w:rsidR="0021138B" w:rsidRPr="0021138B" w:rsidRDefault="0021138B" w:rsidP="0021138B">
      <w:pPr>
        <w:autoSpaceDE w:val="0"/>
        <w:autoSpaceDN w:val="0"/>
        <w:adjustRightInd w:val="0"/>
        <w:spacing w:line="360" w:lineRule="auto"/>
        <w:jc w:val="both"/>
        <w:rPr>
          <w:rFonts w:eastAsia="Calibri"/>
          <w:vertAlign w:val="superscript"/>
          <w:lang w:val="es-US" w:eastAsia="zh-CN"/>
        </w:rPr>
      </w:pPr>
      <w:r w:rsidRPr="0021138B">
        <w:rPr>
          <w:rFonts w:eastAsia="Calibri"/>
          <w:lang w:val="es-US" w:eastAsia="zh-CN"/>
        </w:rPr>
        <w:t xml:space="preserve">A los pacientes incluidos se les realizó endoscopía digestiva alta y biopsia gástrica en las siguientes localizaciones: 2 del cuerpo, 2 del antro y 1 de la incisura </w:t>
      </w:r>
      <w:proofErr w:type="spellStart"/>
      <w:r w:rsidRPr="0021138B">
        <w:rPr>
          <w:rFonts w:eastAsia="Calibri"/>
          <w:lang w:val="es-US" w:eastAsia="zh-CN"/>
        </w:rPr>
        <w:t>angularis</w:t>
      </w:r>
      <w:proofErr w:type="spellEnd"/>
      <w:r w:rsidRPr="0021138B">
        <w:rPr>
          <w:rFonts w:eastAsia="Calibri"/>
          <w:lang w:val="es-US" w:eastAsia="zh-CN"/>
        </w:rPr>
        <w:t xml:space="preserve">; se marcaron y enviaron en frascos separados. Las biopsias gástricas cumplieron 2 objetivos: el diagnóstico de la infección por </w:t>
      </w:r>
      <w:r w:rsidRPr="0021138B">
        <w:rPr>
          <w:rFonts w:eastAsia="Calibri"/>
          <w:i/>
          <w:lang w:val="es-US" w:eastAsia="zh-CN"/>
        </w:rPr>
        <w:t>H. pylori</w:t>
      </w:r>
      <w:r w:rsidRPr="0021138B">
        <w:rPr>
          <w:rFonts w:eastAsia="Calibri"/>
          <w:lang w:val="es-US" w:eastAsia="zh-CN"/>
        </w:rPr>
        <w:t xml:space="preserve"> y la determinación de lesiones preneoplásicas gástricas.</w:t>
      </w:r>
    </w:p>
    <w:p w14:paraId="55D537BA" w14:textId="77777777" w:rsidR="0021138B" w:rsidRPr="0021138B" w:rsidRDefault="0021138B" w:rsidP="0021138B">
      <w:pPr>
        <w:autoSpaceDE w:val="0"/>
        <w:autoSpaceDN w:val="0"/>
        <w:adjustRightInd w:val="0"/>
        <w:spacing w:line="360" w:lineRule="auto"/>
        <w:jc w:val="both"/>
        <w:rPr>
          <w:rFonts w:eastAsia="Calibri"/>
          <w:lang w:val="es-US" w:eastAsia="zh-CN"/>
        </w:rPr>
      </w:pPr>
      <w:r w:rsidRPr="0021138B">
        <w:rPr>
          <w:rFonts w:eastAsia="Calibri"/>
          <w:lang w:val="es-US" w:eastAsia="zh-CN"/>
        </w:rPr>
        <w:t>Las muestras para estudio histopatológico se procesaron en el departamento de Anatomía Patológica del Hospital Militar Central “Dr. Carlos J. Finlay”.</w:t>
      </w:r>
    </w:p>
    <w:p w14:paraId="6FC7BA67" w14:textId="77777777" w:rsidR="0021138B" w:rsidRPr="0021138B" w:rsidRDefault="0021138B" w:rsidP="0021138B">
      <w:pPr>
        <w:autoSpaceDE w:val="0"/>
        <w:autoSpaceDN w:val="0"/>
        <w:adjustRightInd w:val="0"/>
        <w:spacing w:line="360" w:lineRule="auto"/>
        <w:ind w:right="140"/>
        <w:jc w:val="both"/>
        <w:rPr>
          <w:snapToGrid w:val="0"/>
          <w:lang w:eastAsia="es-ES"/>
        </w:rPr>
      </w:pPr>
      <w:r w:rsidRPr="0021138B">
        <w:rPr>
          <w:lang w:eastAsia="es-ES"/>
        </w:rPr>
        <w:t xml:space="preserve">Se confeccionó una base de datos con las variables analizadas, a las cuales se les realizó un análisis de frecuencias. </w:t>
      </w:r>
      <w:r w:rsidRPr="0021138B">
        <w:rPr>
          <w:snapToGrid w:val="0"/>
          <w:lang w:eastAsia="es-ES"/>
        </w:rPr>
        <w:t xml:space="preserve">Para evaluar asociación se aplicó el test </w:t>
      </w:r>
      <w:proofErr w:type="spellStart"/>
      <w:r w:rsidRPr="0021138B">
        <w:rPr>
          <w:snapToGrid w:val="0"/>
          <w:lang w:eastAsia="es-ES"/>
        </w:rPr>
        <w:t>χ</w:t>
      </w:r>
      <w:r w:rsidRPr="0021138B">
        <w:rPr>
          <w:snapToGrid w:val="0"/>
          <w:vertAlign w:val="superscript"/>
          <w:lang w:eastAsia="es-ES"/>
        </w:rPr>
        <w:t>2</w:t>
      </w:r>
      <w:proofErr w:type="spellEnd"/>
      <w:r w:rsidRPr="0021138B">
        <w:rPr>
          <w:snapToGrid w:val="0"/>
          <w:lang w:eastAsia="es-ES"/>
        </w:rPr>
        <w:t xml:space="preserve"> con</w:t>
      </w:r>
      <w:r w:rsidRPr="0021138B">
        <w:rPr>
          <w:lang w:eastAsia="es-ES"/>
        </w:rPr>
        <w:t xml:space="preserve"> un nivel de significación estadística p≤ 0,05 y </w:t>
      </w:r>
      <w:r w:rsidRPr="0021138B">
        <w:rPr>
          <w:snapToGrid w:val="0"/>
          <w:lang w:eastAsia="es-ES"/>
        </w:rPr>
        <w:t>un nivel de confiabilidad del 95 %.</w:t>
      </w:r>
    </w:p>
    <w:p w14:paraId="5C46E778" w14:textId="77777777" w:rsidR="0021138B" w:rsidRPr="0021138B" w:rsidRDefault="0021138B" w:rsidP="0021138B">
      <w:pPr>
        <w:autoSpaceDE w:val="0"/>
        <w:autoSpaceDN w:val="0"/>
        <w:adjustRightInd w:val="0"/>
        <w:spacing w:line="360" w:lineRule="auto"/>
        <w:ind w:right="140"/>
        <w:jc w:val="both"/>
        <w:rPr>
          <w:rFonts w:eastAsia="Calibri"/>
          <w:lang w:val="es-US" w:eastAsia="zh-CN"/>
        </w:rPr>
      </w:pPr>
      <w:r w:rsidRPr="0021138B">
        <w:rPr>
          <w:rFonts w:eastAsia="Calibri"/>
          <w:bCs/>
          <w:lang w:val="es-US" w:eastAsia="zh-CN"/>
        </w:rPr>
        <w:t xml:space="preserve">A los pacientes </w:t>
      </w:r>
      <w:r w:rsidRPr="0021138B">
        <w:rPr>
          <w:rFonts w:eastAsia="Calibri"/>
          <w:lang w:val="es-US" w:eastAsia="zh-CN"/>
        </w:rPr>
        <w:t xml:space="preserve">se les solicitó el consentimiento para la realización de endoscopía digestiva alta con biopsia. La participación fue voluntaria. Se les explicó las características del estudio, sus objetivos y beneficios. Los datos solo se emplearon con fines investigativos, sin revelar la identidad de los pacientes. </w:t>
      </w:r>
    </w:p>
    <w:p w14:paraId="272ACFB8" w14:textId="77777777" w:rsidR="0021138B" w:rsidRPr="0021138B" w:rsidRDefault="0021138B" w:rsidP="0021138B">
      <w:pPr>
        <w:spacing w:line="360" w:lineRule="auto"/>
        <w:ind w:firstLine="142"/>
        <w:jc w:val="both"/>
        <w:rPr>
          <w:rFonts w:eastAsia="Calibri"/>
          <w:b/>
          <w:lang w:val="es-ES" w:eastAsia="en-US"/>
        </w:rPr>
      </w:pPr>
    </w:p>
    <w:p w14:paraId="306F999D" w14:textId="77777777" w:rsidR="0021138B" w:rsidRPr="0021138B" w:rsidRDefault="0021138B" w:rsidP="0021138B">
      <w:pPr>
        <w:spacing w:line="360" w:lineRule="auto"/>
        <w:jc w:val="both"/>
        <w:rPr>
          <w:rFonts w:eastAsia="Calibri"/>
          <w:b/>
          <w:lang w:val="es-ES" w:eastAsia="en-US"/>
        </w:rPr>
      </w:pPr>
    </w:p>
    <w:p w14:paraId="4464F8B9" w14:textId="77777777" w:rsidR="0021138B" w:rsidRPr="0021138B" w:rsidRDefault="0021138B" w:rsidP="0021138B">
      <w:pPr>
        <w:spacing w:line="360" w:lineRule="auto"/>
        <w:jc w:val="center"/>
        <w:rPr>
          <w:rFonts w:eastAsia="Calibri"/>
          <w:b/>
          <w:sz w:val="32"/>
          <w:szCs w:val="32"/>
          <w:lang w:val="es-ES" w:eastAsia="en-US"/>
        </w:rPr>
      </w:pPr>
      <w:r w:rsidRPr="0021138B">
        <w:rPr>
          <w:rFonts w:eastAsia="Calibri"/>
          <w:b/>
          <w:sz w:val="32"/>
          <w:szCs w:val="32"/>
          <w:lang w:val="es-ES" w:eastAsia="en-US"/>
        </w:rPr>
        <w:t>RESULTADOS</w:t>
      </w:r>
    </w:p>
    <w:p w14:paraId="70A69F21" w14:textId="77777777" w:rsidR="0021138B" w:rsidRPr="0021138B" w:rsidRDefault="0021138B" w:rsidP="0021138B">
      <w:pPr>
        <w:spacing w:line="360" w:lineRule="auto"/>
        <w:jc w:val="both"/>
        <w:rPr>
          <w:rFonts w:eastAsia="Calibri"/>
          <w:lang w:val="es-ES" w:eastAsia="en-US"/>
        </w:rPr>
      </w:pPr>
      <w:r w:rsidRPr="0021138B">
        <w:rPr>
          <w:rFonts w:eastAsia="Calibri"/>
          <w:lang w:val="es-ES" w:eastAsia="en-US"/>
        </w:rPr>
        <w:t xml:space="preserve">En la tabla 1 se observa la distribución de las lesiones preneoplásicas gástricas. De los 167 pacientes evaluados, 150 (89,82 %) presentaban atrofia gástrica, 42 (25,14 %) metaplasia intestinal y 66 (39,52 %) displasia de bajo grado. No se encontraron pacientes con displasia de alto grado. </w:t>
      </w:r>
    </w:p>
    <w:p w14:paraId="4333B198" w14:textId="77777777" w:rsidR="0021138B" w:rsidRPr="0021138B" w:rsidRDefault="0021138B" w:rsidP="0021138B">
      <w:pPr>
        <w:spacing w:line="360" w:lineRule="auto"/>
        <w:jc w:val="both"/>
        <w:rPr>
          <w:rFonts w:eastAsia="Calibri"/>
          <w:lang w:val="es-ES" w:eastAsia="en-US"/>
        </w:rPr>
      </w:pPr>
    </w:p>
    <w:p w14:paraId="6E95691B" w14:textId="77777777" w:rsidR="00C1504B" w:rsidRDefault="00C1504B">
      <w:pPr>
        <w:rPr>
          <w:rFonts w:eastAsia="Calibri"/>
          <w:b/>
          <w:color w:val="221E1F"/>
          <w:sz w:val="22"/>
          <w:szCs w:val="22"/>
          <w:lang w:val="es-ES" w:eastAsia="es-ES"/>
        </w:rPr>
      </w:pPr>
      <w:r>
        <w:rPr>
          <w:rFonts w:eastAsia="Calibri"/>
          <w:b/>
          <w:color w:val="221E1F"/>
          <w:sz w:val="22"/>
          <w:szCs w:val="22"/>
          <w:lang w:val="es-ES" w:eastAsia="es-ES"/>
        </w:rPr>
        <w:br w:type="page"/>
      </w:r>
    </w:p>
    <w:p w14:paraId="3130F0C2" w14:textId="1D7D64EC" w:rsidR="0021138B" w:rsidRPr="0021138B" w:rsidRDefault="0021138B" w:rsidP="0021138B">
      <w:pPr>
        <w:autoSpaceDE w:val="0"/>
        <w:autoSpaceDN w:val="0"/>
        <w:adjustRightInd w:val="0"/>
        <w:spacing w:line="360" w:lineRule="auto"/>
        <w:ind w:firstLine="142"/>
        <w:jc w:val="center"/>
        <w:rPr>
          <w:rFonts w:eastAsia="Calibri"/>
          <w:color w:val="221E1F"/>
          <w:lang w:val="es-ES" w:eastAsia="es-ES"/>
        </w:rPr>
      </w:pPr>
      <w:r w:rsidRPr="0021138B">
        <w:rPr>
          <w:rFonts w:eastAsia="Calibri"/>
          <w:b/>
          <w:color w:val="221E1F"/>
          <w:sz w:val="22"/>
          <w:szCs w:val="22"/>
          <w:lang w:val="es-ES" w:eastAsia="es-ES"/>
        </w:rPr>
        <w:lastRenderedPageBreak/>
        <w:t>Tabla 1 -</w:t>
      </w:r>
      <w:r w:rsidRPr="0021138B">
        <w:rPr>
          <w:rFonts w:eastAsia="Calibri"/>
          <w:color w:val="221E1F"/>
          <w:sz w:val="22"/>
          <w:szCs w:val="22"/>
          <w:lang w:val="es-ES" w:eastAsia="es-ES"/>
        </w:rPr>
        <w:t xml:space="preserve"> Distribución de lesiones preneoplásicas gástricas</w:t>
      </w:r>
    </w:p>
    <w:p w14:paraId="46FCBA7E" w14:textId="57DC92B2" w:rsidR="0021138B" w:rsidRDefault="002E454B" w:rsidP="002E454B">
      <w:pPr>
        <w:autoSpaceDE w:val="0"/>
        <w:autoSpaceDN w:val="0"/>
        <w:adjustRightInd w:val="0"/>
        <w:spacing w:line="360" w:lineRule="auto"/>
        <w:jc w:val="center"/>
        <w:rPr>
          <w:rFonts w:eastAsia="Calibri"/>
          <w:b/>
          <w:color w:val="221E1F"/>
          <w:lang w:val="es-ES" w:eastAsia="es-ES"/>
        </w:rPr>
      </w:pPr>
      <w:r>
        <w:rPr>
          <w:rFonts w:eastAsia="Calibri"/>
          <w:b/>
          <w:noProof/>
          <w:color w:val="221E1F"/>
          <w:lang w:val="es-ES" w:eastAsia="es-ES"/>
        </w:rPr>
        <w:drawing>
          <wp:inline distT="0" distB="0" distL="0" distR="0" wp14:anchorId="43F49B98" wp14:editId="494A3421">
            <wp:extent cx="3857143" cy="1028571"/>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3857143" cy="1028571"/>
                    </a:xfrm>
                    <a:prstGeom prst="rect">
                      <a:avLst/>
                    </a:prstGeom>
                  </pic:spPr>
                </pic:pic>
              </a:graphicData>
            </a:graphic>
          </wp:inline>
        </w:drawing>
      </w:r>
    </w:p>
    <w:p w14:paraId="41013245" w14:textId="77777777" w:rsidR="002E454B" w:rsidRPr="0021138B" w:rsidRDefault="002E454B" w:rsidP="0021138B">
      <w:pPr>
        <w:autoSpaceDE w:val="0"/>
        <w:autoSpaceDN w:val="0"/>
        <w:adjustRightInd w:val="0"/>
        <w:spacing w:line="360" w:lineRule="auto"/>
        <w:rPr>
          <w:rFonts w:eastAsia="Calibri"/>
          <w:b/>
          <w:color w:val="221E1F"/>
          <w:lang w:val="es-ES" w:eastAsia="es-ES"/>
        </w:rPr>
      </w:pPr>
    </w:p>
    <w:p w14:paraId="688B57CD" w14:textId="77777777" w:rsidR="0021138B" w:rsidRPr="0021138B" w:rsidRDefault="0021138B" w:rsidP="0021138B">
      <w:pPr>
        <w:autoSpaceDE w:val="0"/>
        <w:autoSpaceDN w:val="0"/>
        <w:adjustRightInd w:val="0"/>
        <w:spacing w:line="360" w:lineRule="auto"/>
        <w:jc w:val="both"/>
        <w:rPr>
          <w:rFonts w:eastAsia="Calibri"/>
          <w:color w:val="221E1F"/>
          <w:lang w:val="es-ES" w:eastAsia="es-ES"/>
        </w:rPr>
      </w:pPr>
      <w:r w:rsidRPr="0021138B">
        <w:rPr>
          <w:rFonts w:eastAsia="Calibri"/>
          <w:color w:val="221E1F"/>
          <w:lang w:val="es-ES" w:eastAsia="es-ES"/>
        </w:rPr>
        <w:t xml:space="preserve">La tabla 2 refleja la relación entre los acúmulos linfoides y el estadio de OLGA. Resultó </w:t>
      </w:r>
      <w:r w:rsidRPr="0021138B">
        <w:rPr>
          <w:rFonts w:eastAsia="Calibri"/>
          <w:lang w:val="es-ES" w:eastAsia="es-ES"/>
        </w:rPr>
        <w:t xml:space="preserve">estadísticamente significativa </w:t>
      </w:r>
      <w:r w:rsidRPr="0021138B">
        <w:rPr>
          <w:rFonts w:eastAsia="Calibri"/>
          <w:color w:val="221E1F"/>
          <w:lang w:val="es-ES" w:eastAsia="es-ES"/>
        </w:rPr>
        <w:t xml:space="preserve">la presencia de acúmulos linfoides en los estadios 0, I y II (p= 0,0001), contrario a la que se obtuvo para el estadio III (p= 0,6483). El 14 % de los pacientes en estadio II presentaron acúmulos linfoides; en los demás estadios la presencia de estas lesiones fue menor: estadio 0 (1 %), estadio I (1 %) y en el estadio III (3 %). </w:t>
      </w:r>
    </w:p>
    <w:p w14:paraId="44B4401E" w14:textId="77777777" w:rsidR="0021138B" w:rsidRPr="0021138B" w:rsidRDefault="0021138B" w:rsidP="0021138B">
      <w:pPr>
        <w:autoSpaceDE w:val="0"/>
        <w:autoSpaceDN w:val="0"/>
        <w:adjustRightInd w:val="0"/>
        <w:spacing w:line="360" w:lineRule="auto"/>
        <w:jc w:val="both"/>
        <w:rPr>
          <w:rFonts w:eastAsia="Calibri"/>
          <w:color w:val="221E1F"/>
          <w:lang w:val="es-ES" w:eastAsia="es-ES"/>
        </w:rPr>
      </w:pPr>
    </w:p>
    <w:p w14:paraId="4A7A033E" w14:textId="77777777" w:rsidR="0021138B" w:rsidRPr="0021138B" w:rsidRDefault="0021138B" w:rsidP="0021138B">
      <w:pPr>
        <w:shd w:val="clear" w:color="auto" w:fill="FFFFFF"/>
        <w:spacing w:line="360" w:lineRule="auto"/>
        <w:jc w:val="center"/>
        <w:rPr>
          <w:rFonts w:eastAsia="Calibri"/>
          <w:color w:val="000000"/>
          <w:sz w:val="22"/>
          <w:szCs w:val="22"/>
          <w:lang w:val="es-ES" w:eastAsia="es-ES"/>
        </w:rPr>
      </w:pPr>
      <w:r w:rsidRPr="0021138B">
        <w:rPr>
          <w:rFonts w:eastAsia="Calibri"/>
          <w:b/>
          <w:color w:val="221E1F"/>
          <w:sz w:val="22"/>
          <w:szCs w:val="22"/>
          <w:lang w:val="es-ES" w:eastAsia="es-ES"/>
        </w:rPr>
        <w:t>Tabla 2 -</w:t>
      </w:r>
      <w:r w:rsidRPr="0021138B">
        <w:rPr>
          <w:rFonts w:eastAsia="Calibri"/>
          <w:color w:val="000000"/>
          <w:sz w:val="22"/>
          <w:szCs w:val="22"/>
          <w:lang w:val="es-ES" w:eastAsia="es-ES"/>
        </w:rPr>
        <w:t xml:space="preserve"> Estadio</w:t>
      </w:r>
      <w:r w:rsidRPr="0021138B">
        <w:rPr>
          <w:rFonts w:eastAsia="Calibri"/>
          <w:sz w:val="22"/>
          <w:szCs w:val="22"/>
          <w:lang w:val="es-ES" w:eastAsia="es-ES"/>
        </w:rPr>
        <w:t>s</w:t>
      </w:r>
      <w:r w:rsidRPr="0021138B">
        <w:rPr>
          <w:rFonts w:eastAsia="Calibri"/>
          <w:color w:val="000000"/>
          <w:sz w:val="22"/>
          <w:szCs w:val="22"/>
          <w:lang w:val="es-ES" w:eastAsia="es-ES"/>
        </w:rPr>
        <w:t xml:space="preserve"> de OLGA en relación con la presencia de acúmulos linfoides</w:t>
      </w:r>
    </w:p>
    <w:p w14:paraId="139EF293" w14:textId="64AE87E0" w:rsidR="0021138B" w:rsidRDefault="002E454B" w:rsidP="002E454B">
      <w:pPr>
        <w:autoSpaceDE w:val="0"/>
        <w:autoSpaceDN w:val="0"/>
        <w:adjustRightInd w:val="0"/>
        <w:spacing w:line="360" w:lineRule="auto"/>
        <w:jc w:val="center"/>
        <w:rPr>
          <w:rFonts w:eastAsia="Calibri"/>
          <w:color w:val="221E1F"/>
          <w:lang w:val="es-ES" w:eastAsia="es-ES"/>
        </w:rPr>
      </w:pPr>
      <w:r>
        <w:rPr>
          <w:rFonts w:eastAsia="Calibri"/>
          <w:noProof/>
          <w:color w:val="221E1F"/>
          <w:lang w:val="es-ES" w:eastAsia="es-ES"/>
        </w:rPr>
        <w:drawing>
          <wp:inline distT="0" distB="0" distL="0" distR="0" wp14:anchorId="169F9A08" wp14:editId="0778439A">
            <wp:extent cx="4780952" cy="3066667"/>
            <wp:effectExtent l="0" t="0" r="63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4780952" cy="3066667"/>
                    </a:xfrm>
                    <a:prstGeom prst="rect">
                      <a:avLst/>
                    </a:prstGeom>
                  </pic:spPr>
                </pic:pic>
              </a:graphicData>
            </a:graphic>
          </wp:inline>
        </w:drawing>
      </w:r>
    </w:p>
    <w:p w14:paraId="44946C5B" w14:textId="77777777" w:rsidR="002E454B" w:rsidRPr="0021138B" w:rsidRDefault="002E454B" w:rsidP="0021138B">
      <w:pPr>
        <w:autoSpaceDE w:val="0"/>
        <w:autoSpaceDN w:val="0"/>
        <w:adjustRightInd w:val="0"/>
        <w:spacing w:line="360" w:lineRule="auto"/>
        <w:jc w:val="both"/>
        <w:rPr>
          <w:rFonts w:eastAsia="Calibri"/>
          <w:color w:val="221E1F"/>
          <w:lang w:val="es-ES" w:eastAsia="es-ES"/>
        </w:rPr>
      </w:pPr>
    </w:p>
    <w:p w14:paraId="53CCAFF7" w14:textId="77777777" w:rsidR="0021138B" w:rsidRPr="0021138B" w:rsidRDefault="0021138B" w:rsidP="0021138B">
      <w:pPr>
        <w:autoSpaceDE w:val="0"/>
        <w:autoSpaceDN w:val="0"/>
        <w:adjustRightInd w:val="0"/>
        <w:spacing w:line="360" w:lineRule="auto"/>
        <w:jc w:val="both"/>
        <w:rPr>
          <w:rFonts w:eastAsia="Calibri"/>
          <w:color w:val="221E1F"/>
          <w:lang w:val="es-ES" w:eastAsia="es-ES"/>
        </w:rPr>
      </w:pPr>
      <w:r w:rsidRPr="0021138B">
        <w:rPr>
          <w:rFonts w:eastAsia="Calibri"/>
          <w:color w:val="221E1F"/>
          <w:lang w:val="es-ES" w:eastAsia="es-ES"/>
        </w:rPr>
        <w:t xml:space="preserve">La tabla 3 muestra la relación entre los estadios de OLGA y la reacción linfoepitelial. En ninguno de los estadios resultó estadísticamente </w:t>
      </w:r>
      <w:r w:rsidRPr="0021138B">
        <w:rPr>
          <w:rFonts w:eastAsia="Calibri"/>
          <w:lang w:val="es-ES" w:eastAsia="es-ES"/>
        </w:rPr>
        <w:t>significativo</w:t>
      </w:r>
      <w:r w:rsidRPr="0021138B">
        <w:rPr>
          <w:rFonts w:eastAsia="Calibri"/>
          <w:color w:val="221E1F"/>
          <w:lang w:val="es-ES" w:eastAsia="es-ES"/>
        </w:rPr>
        <w:t xml:space="preserve"> el diagnóstico de reacción linfoepitelial.</w:t>
      </w:r>
    </w:p>
    <w:p w14:paraId="6E878A44" w14:textId="77777777" w:rsidR="0021138B" w:rsidRPr="0021138B" w:rsidRDefault="0021138B" w:rsidP="0021138B">
      <w:pPr>
        <w:autoSpaceDE w:val="0"/>
        <w:autoSpaceDN w:val="0"/>
        <w:adjustRightInd w:val="0"/>
        <w:spacing w:line="360" w:lineRule="auto"/>
        <w:jc w:val="both"/>
        <w:rPr>
          <w:lang w:val="es-ES" w:eastAsia="es-ES"/>
        </w:rPr>
      </w:pPr>
    </w:p>
    <w:p w14:paraId="60D0565A" w14:textId="77777777" w:rsidR="0021138B" w:rsidRPr="0021138B" w:rsidRDefault="0021138B" w:rsidP="0021138B">
      <w:pPr>
        <w:autoSpaceDE w:val="0"/>
        <w:autoSpaceDN w:val="0"/>
        <w:adjustRightInd w:val="0"/>
        <w:spacing w:line="360" w:lineRule="auto"/>
        <w:ind w:firstLine="142"/>
        <w:jc w:val="center"/>
        <w:rPr>
          <w:rFonts w:eastAsia="Calibri"/>
          <w:color w:val="221E1F"/>
          <w:sz w:val="22"/>
          <w:szCs w:val="22"/>
          <w:lang w:val="es-ES" w:eastAsia="es-ES"/>
        </w:rPr>
      </w:pPr>
      <w:r w:rsidRPr="0021138B">
        <w:rPr>
          <w:rFonts w:eastAsia="Calibri"/>
          <w:b/>
          <w:color w:val="221E1F"/>
          <w:sz w:val="22"/>
          <w:szCs w:val="22"/>
          <w:lang w:val="es-ES" w:eastAsia="es-ES"/>
        </w:rPr>
        <w:t>Tabla 3 -</w:t>
      </w:r>
      <w:r w:rsidRPr="0021138B">
        <w:rPr>
          <w:rFonts w:eastAsia="Calibri"/>
          <w:color w:val="221E1F"/>
          <w:sz w:val="22"/>
          <w:szCs w:val="22"/>
          <w:lang w:val="es-ES" w:eastAsia="es-ES"/>
        </w:rPr>
        <w:t xml:space="preserve"> Estadio</w:t>
      </w:r>
      <w:r w:rsidRPr="0021138B">
        <w:rPr>
          <w:rFonts w:eastAsia="Calibri"/>
          <w:sz w:val="22"/>
          <w:szCs w:val="22"/>
          <w:lang w:val="es-ES" w:eastAsia="es-ES"/>
        </w:rPr>
        <w:t xml:space="preserve">s </w:t>
      </w:r>
      <w:r w:rsidRPr="0021138B">
        <w:rPr>
          <w:rFonts w:eastAsia="Calibri"/>
          <w:color w:val="221E1F"/>
          <w:sz w:val="22"/>
          <w:szCs w:val="22"/>
          <w:lang w:val="es-ES" w:eastAsia="es-ES"/>
        </w:rPr>
        <w:t>de OLGA en relación con la presencia de reacción linfoepitelial</w:t>
      </w:r>
    </w:p>
    <w:p w14:paraId="316AEE2B" w14:textId="2E88D590" w:rsidR="0021138B" w:rsidRDefault="002E454B" w:rsidP="002E454B">
      <w:pPr>
        <w:autoSpaceDE w:val="0"/>
        <w:autoSpaceDN w:val="0"/>
        <w:adjustRightInd w:val="0"/>
        <w:spacing w:line="360" w:lineRule="auto"/>
        <w:jc w:val="center"/>
        <w:rPr>
          <w:rFonts w:eastAsia="Calibri"/>
          <w:color w:val="221E1F"/>
          <w:lang w:val="es-ES" w:eastAsia="es-ES"/>
        </w:rPr>
      </w:pPr>
      <w:r>
        <w:rPr>
          <w:rFonts w:eastAsia="Calibri"/>
          <w:noProof/>
          <w:color w:val="221E1F"/>
          <w:lang w:val="es-ES" w:eastAsia="es-ES"/>
        </w:rPr>
        <w:drawing>
          <wp:inline distT="0" distB="0" distL="0" distR="0" wp14:anchorId="5275AF15" wp14:editId="09DFA895">
            <wp:extent cx="4371429" cy="3066667"/>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6">
                      <a:extLst>
                        <a:ext uri="{28A0092B-C50C-407E-A947-70E740481C1C}">
                          <a14:useLocalDpi xmlns:a14="http://schemas.microsoft.com/office/drawing/2010/main" val="0"/>
                        </a:ext>
                      </a:extLst>
                    </a:blip>
                    <a:stretch>
                      <a:fillRect/>
                    </a:stretch>
                  </pic:blipFill>
                  <pic:spPr>
                    <a:xfrm>
                      <a:off x="0" y="0"/>
                      <a:ext cx="4371429" cy="3066667"/>
                    </a:xfrm>
                    <a:prstGeom prst="rect">
                      <a:avLst/>
                    </a:prstGeom>
                  </pic:spPr>
                </pic:pic>
              </a:graphicData>
            </a:graphic>
          </wp:inline>
        </w:drawing>
      </w:r>
    </w:p>
    <w:p w14:paraId="36EDC818" w14:textId="77777777" w:rsidR="002E454B" w:rsidRPr="0021138B" w:rsidRDefault="002E454B" w:rsidP="0021138B">
      <w:pPr>
        <w:autoSpaceDE w:val="0"/>
        <w:autoSpaceDN w:val="0"/>
        <w:adjustRightInd w:val="0"/>
        <w:spacing w:line="360" w:lineRule="auto"/>
        <w:jc w:val="both"/>
        <w:rPr>
          <w:rFonts w:eastAsia="Calibri"/>
          <w:color w:val="221E1F"/>
          <w:lang w:val="es-ES" w:eastAsia="es-ES"/>
        </w:rPr>
      </w:pPr>
    </w:p>
    <w:p w14:paraId="6E3FBDF0" w14:textId="77777777" w:rsidR="0021138B" w:rsidRPr="0021138B" w:rsidRDefault="0021138B" w:rsidP="0021138B">
      <w:pPr>
        <w:autoSpaceDE w:val="0"/>
        <w:autoSpaceDN w:val="0"/>
        <w:adjustRightInd w:val="0"/>
        <w:spacing w:line="360" w:lineRule="auto"/>
        <w:jc w:val="both"/>
        <w:rPr>
          <w:rFonts w:eastAsia="Calibri"/>
          <w:color w:val="221E1F"/>
          <w:lang w:val="es-ES" w:eastAsia="es-ES"/>
        </w:rPr>
      </w:pPr>
      <w:r w:rsidRPr="0021138B">
        <w:rPr>
          <w:rFonts w:eastAsia="Calibri"/>
          <w:lang w:val="es-ES" w:eastAsia="es-ES"/>
        </w:rPr>
        <w:t xml:space="preserve">En este estudio no se encontró </w:t>
      </w:r>
      <w:r w:rsidRPr="0021138B">
        <w:rPr>
          <w:rFonts w:eastAsia="Calibri"/>
          <w:color w:val="221E1F"/>
          <w:lang w:val="es-ES" w:eastAsia="es-ES"/>
        </w:rPr>
        <w:t>relación entre los diagnósticos histopatológicos de reacción linfoepitelial, acúmulos linfoides, displasia de bajo grado y la atrofia gástrica. La reacción linfoepitelial (138; 83 %) resultó el diagnóstico histopatológico más frecuente en los individuos con atrofia gástrica (tabla 4).</w:t>
      </w:r>
    </w:p>
    <w:p w14:paraId="1E66839F" w14:textId="77777777" w:rsidR="0021138B" w:rsidRPr="0021138B" w:rsidRDefault="0021138B" w:rsidP="0021138B">
      <w:pPr>
        <w:autoSpaceDE w:val="0"/>
        <w:autoSpaceDN w:val="0"/>
        <w:adjustRightInd w:val="0"/>
        <w:spacing w:line="360" w:lineRule="auto"/>
        <w:ind w:hanging="52"/>
        <w:jc w:val="both"/>
        <w:rPr>
          <w:rFonts w:eastAsia="Calibri"/>
          <w:color w:val="221E1F"/>
          <w:lang w:val="es-ES" w:eastAsia="es-ES"/>
        </w:rPr>
      </w:pPr>
    </w:p>
    <w:p w14:paraId="463C2F0F" w14:textId="77777777" w:rsidR="009A1DD5" w:rsidRDefault="009A1DD5">
      <w:pPr>
        <w:rPr>
          <w:rFonts w:eastAsia="Calibri"/>
          <w:b/>
          <w:color w:val="221E1F"/>
          <w:sz w:val="22"/>
          <w:szCs w:val="22"/>
          <w:lang w:val="es-ES" w:eastAsia="es-ES"/>
        </w:rPr>
      </w:pPr>
      <w:r>
        <w:rPr>
          <w:rFonts w:eastAsia="Calibri"/>
          <w:b/>
          <w:color w:val="221E1F"/>
          <w:sz w:val="22"/>
          <w:szCs w:val="22"/>
          <w:lang w:val="es-ES" w:eastAsia="es-ES"/>
        </w:rPr>
        <w:br w:type="page"/>
      </w:r>
    </w:p>
    <w:p w14:paraId="5DD41FBC" w14:textId="25DDBA2E" w:rsidR="0021138B" w:rsidRPr="0021138B" w:rsidRDefault="0021138B" w:rsidP="0021138B">
      <w:pPr>
        <w:autoSpaceDE w:val="0"/>
        <w:autoSpaceDN w:val="0"/>
        <w:adjustRightInd w:val="0"/>
        <w:spacing w:line="360" w:lineRule="auto"/>
        <w:jc w:val="center"/>
        <w:rPr>
          <w:rFonts w:eastAsia="Calibri"/>
          <w:b/>
          <w:color w:val="221E1F"/>
          <w:sz w:val="22"/>
          <w:szCs w:val="22"/>
          <w:lang w:val="es-ES" w:eastAsia="es-ES"/>
        </w:rPr>
      </w:pPr>
      <w:r w:rsidRPr="0021138B">
        <w:rPr>
          <w:rFonts w:eastAsia="Calibri"/>
          <w:b/>
          <w:color w:val="221E1F"/>
          <w:sz w:val="22"/>
          <w:szCs w:val="22"/>
          <w:lang w:val="es-ES" w:eastAsia="es-ES"/>
        </w:rPr>
        <w:lastRenderedPageBreak/>
        <w:t xml:space="preserve">Tabla 4 - </w:t>
      </w:r>
      <w:r w:rsidRPr="0021138B">
        <w:rPr>
          <w:rFonts w:eastAsia="Calibri"/>
          <w:color w:val="221E1F"/>
          <w:sz w:val="22"/>
          <w:szCs w:val="22"/>
          <w:lang w:val="es-ES" w:eastAsia="es-ES"/>
        </w:rPr>
        <w:t>Relación entre la atrofia gástrica y otros diagnósticos histopatológicos</w:t>
      </w:r>
    </w:p>
    <w:p w14:paraId="3A955471" w14:textId="0DACE182" w:rsidR="0021138B" w:rsidRDefault="002E454B" w:rsidP="002E454B">
      <w:pPr>
        <w:spacing w:line="360" w:lineRule="auto"/>
        <w:jc w:val="center"/>
        <w:rPr>
          <w:b/>
          <w:lang w:val="es-ES" w:eastAsia="es-ES"/>
        </w:rPr>
      </w:pPr>
      <w:r>
        <w:rPr>
          <w:b/>
          <w:noProof/>
          <w:lang w:val="es-ES" w:eastAsia="es-ES"/>
        </w:rPr>
        <w:drawing>
          <wp:inline distT="0" distB="0" distL="0" distR="0" wp14:anchorId="07F3DBD6" wp14:editId="5B52AC67">
            <wp:extent cx="3990476" cy="2457143"/>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7">
                      <a:extLst>
                        <a:ext uri="{28A0092B-C50C-407E-A947-70E740481C1C}">
                          <a14:useLocalDpi xmlns:a14="http://schemas.microsoft.com/office/drawing/2010/main" val="0"/>
                        </a:ext>
                      </a:extLst>
                    </a:blip>
                    <a:stretch>
                      <a:fillRect/>
                    </a:stretch>
                  </pic:blipFill>
                  <pic:spPr>
                    <a:xfrm>
                      <a:off x="0" y="0"/>
                      <a:ext cx="3990476" cy="2457143"/>
                    </a:xfrm>
                    <a:prstGeom prst="rect">
                      <a:avLst/>
                    </a:prstGeom>
                  </pic:spPr>
                </pic:pic>
              </a:graphicData>
            </a:graphic>
          </wp:inline>
        </w:drawing>
      </w:r>
    </w:p>
    <w:p w14:paraId="3C53F5E5" w14:textId="77777777" w:rsidR="002E454B" w:rsidRPr="0021138B" w:rsidRDefault="002E454B" w:rsidP="002E454B">
      <w:pPr>
        <w:spacing w:line="360" w:lineRule="auto"/>
        <w:jc w:val="center"/>
        <w:rPr>
          <w:b/>
          <w:lang w:val="es-ES" w:eastAsia="es-ES"/>
        </w:rPr>
      </w:pPr>
    </w:p>
    <w:p w14:paraId="0DD538D0" w14:textId="77777777" w:rsidR="0021138B" w:rsidRPr="0021138B" w:rsidRDefault="0021138B" w:rsidP="0021138B">
      <w:pPr>
        <w:spacing w:line="360" w:lineRule="auto"/>
        <w:jc w:val="both"/>
        <w:rPr>
          <w:b/>
          <w:lang w:val="es-ES" w:eastAsia="es-ES"/>
        </w:rPr>
      </w:pPr>
    </w:p>
    <w:p w14:paraId="47F13B29" w14:textId="77777777" w:rsidR="0021138B" w:rsidRPr="0021138B" w:rsidRDefault="0021138B" w:rsidP="0021138B">
      <w:pPr>
        <w:spacing w:line="360" w:lineRule="auto"/>
        <w:jc w:val="center"/>
        <w:rPr>
          <w:b/>
          <w:sz w:val="32"/>
          <w:szCs w:val="32"/>
          <w:lang w:val="es-ES" w:eastAsia="es-ES"/>
        </w:rPr>
      </w:pPr>
      <w:r w:rsidRPr="0021138B">
        <w:rPr>
          <w:b/>
          <w:sz w:val="32"/>
          <w:szCs w:val="32"/>
          <w:lang w:val="es-ES" w:eastAsia="es-ES"/>
        </w:rPr>
        <w:t>DISCUSIÓN</w:t>
      </w:r>
    </w:p>
    <w:p w14:paraId="0C776532" w14:textId="77777777" w:rsidR="0021138B" w:rsidRPr="0021138B" w:rsidRDefault="0021138B" w:rsidP="0021138B">
      <w:pPr>
        <w:autoSpaceDE w:val="0"/>
        <w:autoSpaceDN w:val="0"/>
        <w:adjustRightInd w:val="0"/>
        <w:spacing w:line="360" w:lineRule="auto"/>
        <w:jc w:val="both"/>
        <w:rPr>
          <w:lang w:val="es-ES" w:eastAsia="es-ES"/>
        </w:rPr>
      </w:pPr>
      <w:r w:rsidRPr="0021138B">
        <w:rPr>
          <w:lang w:val="es-ES" w:eastAsia="es-ES"/>
        </w:rPr>
        <w:t xml:space="preserve">El sistema OLGA permite determinar grupos de riesgo para cáncer gástrico. En esta investigación, los autores estratificaron en grupos de riesgo para cáncer gástrico, a los pacientes estudiados, lo que permite definir cuáles son los que requieren seguimiento endoscópico. En un </w:t>
      </w:r>
      <w:proofErr w:type="gramStart"/>
      <w:r w:rsidRPr="0021138B">
        <w:rPr>
          <w:lang w:val="es-ES" w:eastAsia="es-ES"/>
        </w:rPr>
        <w:t>estudio</w:t>
      </w:r>
      <w:r w:rsidRPr="0021138B">
        <w:rPr>
          <w:vertAlign w:val="superscript"/>
          <w:lang w:val="es-ES" w:eastAsia="es-ES"/>
        </w:rPr>
        <w:t>(</w:t>
      </w:r>
      <w:proofErr w:type="gramEnd"/>
      <w:r w:rsidRPr="0021138B">
        <w:rPr>
          <w:vertAlign w:val="superscript"/>
          <w:lang w:val="es-ES" w:eastAsia="es-ES"/>
        </w:rPr>
        <w:t>10)</w:t>
      </w:r>
      <w:r w:rsidRPr="0021138B">
        <w:rPr>
          <w:lang w:val="es-ES" w:eastAsia="es-ES"/>
        </w:rPr>
        <w:t xml:space="preserve"> del Perú los grupos III y IV se asociaron a displasia, cáncer gástrico temprano y avanzado; mientras los estadios I y II se asociaron a lesiones inflamatorias y benignas. El conocimiento de los grupos de riesgo para desarrollar cáncer gástrico garantiza el seguimiento de estos y mejor control endoscópico.</w:t>
      </w:r>
    </w:p>
    <w:p w14:paraId="5B71E5B6" w14:textId="77777777" w:rsidR="0021138B" w:rsidRPr="0021138B" w:rsidRDefault="0021138B" w:rsidP="0021138B">
      <w:pPr>
        <w:autoSpaceDE w:val="0"/>
        <w:autoSpaceDN w:val="0"/>
        <w:adjustRightInd w:val="0"/>
        <w:spacing w:line="360" w:lineRule="auto"/>
        <w:jc w:val="both"/>
        <w:rPr>
          <w:lang w:val="es-ES" w:eastAsia="es-ES"/>
        </w:rPr>
      </w:pPr>
      <w:r w:rsidRPr="0021138B">
        <w:rPr>
          <w:lang w:val="es-ES" w:eastAsia="es-ES"/>
        </w:rPr>
        <w:t xml:space="preserve">En esta investigación prevaleció el estadio II y solo 13,2 % de los pacientes se encontraron en estadio III; no se diagnosticaron pacientes en estadio IV.  Un </w:t>
      </w:r>
      <w:proofErr w:type="gramStart"/>
      <w:r w:rsidRPr="0021138B">
        <w:rPr>
          <w:lang w:val="es-ES" w:eastAsia="es-ES"/>
        </w:rPr>
        <w:t>estudio</w:t>
      </w:r>
      <w:r w:rsidRPr="0021138B">
        <w:rPr>
          <w:vertAlign w:val="superscript"/>
          <w:lang w:val="es-ES" w:eastAsia="es-ES"/>
        </w:rPr>
        <w:t>(</w:t>
      </w:r>
      <w:proofErr w:type="gramEnd"/>
      <w:r w:rsidRPr="0021138B">
        <w:rPr>
          <w:vertAlign w:val="superscript"/>
          <w:lang w:val="es-ES" w:eastAsia="es-ES"/>
        </w:rPr>
        <w:t>11)</w:t>
      </w:r>
      <w:r w:rsidRPr="0021138B">
        <w:rPr>
          <w:lang w:val="es-ES" w:eastAsia="es-ES"/>
        </w:rPr>
        <w:t xml:space="preserve"> de Colombia observa que 12,3 % de los pacientes se encontraban en estadios III y IV (alto riesgo para cáncer gástrico). Estos son los grupos que requieren vigilancia endoscópica después de erradicar la infección. En teoría, en los estadios 0, I, II no es necesaria la vigilancia endoscópica después de erradicar </w:t>
      </w:r>
      <w:r w:rsidRPr="0021138B">
        <w:rPr>
          <w:i/>
          <w:lang w:val="es-ES" w:eastAsia="es-ES"/>
        </w:rPr>
        <w:t>H. pylori</w:t>
      </w:r>
      <w:r w:rsidRPr="0021138B">
        <w:rPr>
          <w:lang w:val="es-ES" w:eastAsia="es-ES"/>
        </w:rPr>
        <w:t>.</w:t>
      </w:r>
    </w:p>
    <w:p w14:paraId="3B8659F3" w14:textId="77777777" w:rsidR="0021138B" w:rsidRPr="0021138B" w:rsidRDefault="0021138B" w:rsidP="0021138B">
      <w:pPr>
        <w:autoSpaceDE w:val="0"/>
        <w:autoSpaceDN w:val="0"/>
        <w:adjustRightInd w:val="0"/>
        <w:spacing w:line="360" w:lineRule="auto"/>
        <w:jc w:val="both"/>
        <w:rPr>
          <w:lang w:val="es-ES" w:eastAsia="es-ES"/>
        </w:rPr>
      </w:pPr>
      <w:r w:rsidRPr="0021138B">
        <w:rPr>
          <w:lang w:val="es-ES" w:eastAsia="es-ES"/>
        </w:rPr>
        <w:t xml:space="preserve">El muestreo de biopsias permite definir la necesidad o no de repetir endoscopías en pacientes con gastritis en los que se determinó el riesgo futuro de desarrollar cáncer gástrico a través del sistema </w:t>
      </w:r>
      <w:r w:rsidRPr="0021138B">
        <w:rPr>
          <w:iCs/>
          <w:lang w:val="es-ES" w:eastAsia="es-ES"/>
        </w:rPr>
        <w:t>OLGA</w:t>
      </w:r>
      <w:r w:rsidRPr="0021138B">
        <w:rPr>
          <w:lang w:val="es-ES" w:eastAsia="es-ES"/>
        </w:rPr>
        <w:t>. De esta forma se les evita a los pacientes la realización de estudios innecesarios.</w:t>
      </w:r>
    </w:p>
    <w:p w14:paraId="2C358928" w14:textId="77777777" w:rsidR="0021138B" w:rsidRPr="0021138B" w:rsidRDefault="0021138B" w:rsidP="0021138B">
      <w:pPr>
        <w:autoSpaceDE w:val="0"/>
        <w:autoSpaceDN w:val="0"/>
        <w:adjustRightInd w:val="0"/>
        <w:spacing w:line="360" w:lineRule="auto"/>
        <w:jc w:val="both"/>
        <w:rPr>
          <w:lang w:val="es-ES" w:eastAsia="es-ES"/>
        </w:rPr>
      </w:pPr>
      <w:r w:rsidRPr="0021138B">
        <w:rPr>
          <w:rFonts w:eastAsia="Calibri"/>
          <w:i/>
          <w:lang w:val="es-ES" w:eastAsia="en-US"/>
        </w:rPr>
        <w:lastRenderedPageBreak/>
        <w:t xml:space="preserve">H. pylori </w:t>
      </w:r>
      <w:r w:rsidRPr="0021138B">
        <w:rPr>
          <w:rFonts w:eastAsia="Calibri"/>
          <w:lang w:val="es-ES" w:eastAsia="en-US"/>
        </w:rPr>
        <w:t>da</w:t>
      </w:r>
      <w:r w:rsidRPr="0021138B">
        <w:rPr>
          <w:rFonts w:eastAsia="Calibri"/>
          <w:lang w:val="es-US" w:eastAsia="en-US"/>
        </w:rPr>
        <w:t>ñ</w:t>
      </w:r>
      <w:r w:rsidRPr="0021138B">
        <w:rPr>
          <w:rFonts w:eastAsia="Calibri"/>
          <w:lang w:val="es-ES" w:eastAsia="en-US"/>
        </w:rPr>
        <w:t xml:space="preserve">a la mucosa gástrica a través de sus factores de virulencia y causa inflamación. La mayor parte de las personas con </w:t>
      </w:r>
      <w:r w:rsidRPr="0021138B">
        <w:rPr>
          <w:rFonts w:eastAsia="Calibri"/>
          <w:i/>
          <w:lang w:val="es-ES" w:eastAsia="en-US"/>
        </w:rPr>
        <w:t xml:space="preserve">H. pylori </w:t>
      </w:r>
      <w:r w:rsidRPr="0021138B">
        <w:rPr>
          <w:lang w:val="es-ES" w:eastAsia="es-ES"/>
        </w:rPr>
        <w:t xml:space="preserve">presentan gastritis crónica superficial y debe erradicarse la bacteria. De lo contrario, la inflamación se prolonga durante años, incluso durante toda la </w:t>
      </w:r>
      <w:proofErr w:type="gramStart"/>
      <w:r w:rsidRPr="0021138B">
        <w:rPr>
          <w:lang w:val="es-ES" w:eastAsia="es-ES"/>
        </w:rPr>
        <w:t>vida.</w:t>
      </w:r>
      <w:r w:rsidRPr="0021138B">
        <w:rPr>
          <w:vertAlign w:val="superscript"/>
          <w:lang w:val="es-ES" w:eastAsia="es-ES"/>
        </w:rPr>
        <w:t>(</w:t>
      </w:r>
      <w:proofErr w:type="gramEnd"/>
      <w:r w:rsidRPr="0021138B">
        <w:rPr>
          <w:vertAlign w:val="superscript"/>
          <w:lang w:val="es-ES" w:eastAsia="es-ES"/>
        </w:rPr>
        <w:t>12)</w:t>
      </w:r>
    </w:p>
    <w:p w14:paraId="1CDBA11F" w14:textId="77777777" w:rsidR="0021138B" w:rsidRPr="0021138B" w:rsidRDefault="0021138B" w:rsidP="0021138B">
      <w:pPr>
        <w:shd w:val="clear" w:color="auto" w:fill="FFFFFF"/>
        <w:spacing w:line="360" w:lineRule="auto"/>
        <w:jc w:val="both"/>
        <w:rPr>
          <w:rFonts w:eastAsia="Calibri"/>
          <w:lang w:val="es-ES" w:eastAsia="en-US"/>
        </w:rPr>
      </w:pPr>
      <w:r w:rsidRPr="0021138B">
        <w:rPr>
          <w:rFonts w:eastAsia="Calibri"/>
          <w:lang w:val="es-ES" w:eastAsia="en-US"/>
        </w:rPr>
        <w:t xml:space="preserve">El reflujo </w:t>
      </w:r>
      <w:proofErr w:type="spellStart"/>
      <w:r w:rsidRPr="0021138B">
        <w:rPr>
          <w:rFonts w:eastAsia="Calibri"/>
          <w:lang w:val="es-ES" w:eastAsia="en-US"/>
        </w:rPr>
        <w:t>duodenogástrico</w:t>
      </w:r>
      <w:proofErr w:type="spellEnd"/>
      <w:r w:rsidRPr="0021138B">
        <w:rPr>
          <w:rFonts w:eastAsia="Calibri"/>
          <w:lang w:val="es-ES" w:eastAsia="en-US"/>
        </w:rPr>
        <w:t xml:space="preserve"> y la infección por </w:t>
      </w:r>
      <w:r w:rsidRPr="0021138B">
        <w:rPr>
          <w:rFonts w:eastAsia="Calibri"/>
          <w:i/>
          <w:lang w:val="es-ES" w:eastAsia="en-US"/>
        </w:rPr>
        <w:t>H. pylori</w:t>
      </w:r>
      <w:r w:rsidRPr="0021138B">
        <w:rPr>
          <w:rFonts w:eastAsia="Calibri"/>
          <w:lang w:val="es-ES" w:eastAsia="en-US"/>
        </w:rPr>
        <w:t xml:space="preserve">, causan grados variables de inflamación en la mucosa, que puede progresar a la gastritis crónica atrófica, como lo han demostrado </w:t>
      </w:r>
      <w:r w:rsidRPr="0021138B">
        <w:rPr>
          <w:rFonts w:eastAsia="Calibri"/>
          <w:i/>
          <w:lang w:val="es-ES" w:eastAsia="en-US"/>
        </w:rPr>
        <w:t>Piñol Jiménez</w:t>
      </w:r>
      <w:r w:rsidRPr="0021138B">
        <w:rPr>
          <w:rFonts w:eastAsia="Calibri"/>
          <w:lang w:val="es-ES" w:eastAsia="en-US"/>
        </w:rPr>
        <w:t xml:space="preserve"> y otros.</w:t>
      </w:r>
      <w:r w:rsidRPr="0021138B">
        <w:rPr>
          <w:rFonts w:eastAsia="Calibri"/>
          <w:iCs/>
          <w:vertAlign w:val="superscript"/>
          <w:lang w:val="es-ES" w:eastAsia="en-US"/>
        </w:rPr>
        <w:t>(13)</w:t>
      </w:r>
      <w:r w:rsidRPr="0021138B">
        <w:rPr>
          <w:rFonts w:eastAsia="Calibri"/>
          <w:lang w:val="es-ES" w:eastAsia="en-US"/>
        </w:rPr>
        <w:t xml:space="preserve"> La respuesta inflamatoria causada por </w:t>
      </w:r>
      <w:r w:rsidRPr="0021138B">
        <w:rPr>
          <w:rFonts w:eastAsia="Calibri"/>
          <w:i/>
          <w:lang w:val="es-ES" w:eastAsia="en-US"/>
        </w:rPr>
        <w:t xml:space="preserve">H. pylori </w:t>
      </w:r>
      <w:r w:rsidRPr="0021138B">
        <w:rPr>
          <w:rFonts w:eastAsia="Calibri"/>
          <w:lang w:val="es-ES" w:eastAsia="en-US"/>
        </w:rPr>
        <w:t>produce daño celular y fallas en la reparación de las células, lo que se expresa mediante la presencia de metaplasia intestinal, displasia y la evolución al cáncer gástrico.</w:t>
      </w:r>
      <w:r w:rsidRPr="0021138B">
        <w:rPr>
          <w:rFonts w:eastAsia="Calibri"/>
          <w:vertAlign w:val="superscript"/>
          <w:lang w:val="es-ES" w:eastAsia="en-US"/>
        </w:rPr>
        <w:t xml:space="preserve">(14) </w:t>
      </w:r>
      <w:r w:rsidRPr="0021138B">
        <w:rPr>
          <w:rFonts w:eastAsia="Calibri"/>
          <w:lang w:val="es-ES" w:eastAsia="en-US"/>
        </w:rPr>
        <w:t xml:space="preserve">Estos efectos nocivos no dejan margen para dudas en cuanto al potencial oncogénico de </w:t>
      </w:r>
      <w:r w:rsidRPr="0021138B">
        <w:rPr>
          <w:rFonts w:eastAsia="Calibri"/>
          <w:i/>
          <w:lang w:val="es-ES" w:eastAsia="en-US"/>
        </w:rPr>
        <w:t>H. pylori</w:t>
      </w:r>
      <w:r w:rsidRPr="0021138B">
        <w:rPr>
          <w:rFonts w:eastAsia="Calibri"/>
          <w:lang w:val="es-ES" w:eastAsia="en-US"/>
        </w:rPr>
        <w:t>.</w:t>
      </w:r>
    </w:p>
    <w:p w14:paraId="30C0D0B8" w14:textId="77777777" w:rsidR="0021138B" w:rsidRPr="0021138B" w:rsidRDefault="0021138B" w:rsidP="0021138B">
      <w:pPr>
        <w:spacing w:line="360" w:lineRule="auto"/>
        <w:jc w:val="both"/>
        <w:rPr>
          <w:rFonts w:eastAsia="Calibri"/>
          <w:color w:val="221E1F"/>
          <w:lang w:val="es-ES" w:eastAsia="es-ES"/>
        </w:rPr>
      </w:pPr>
      <w:r w:rsidRPr="0021138B">
        <w:rPr>
          <w:rFonts w:eastAsia="Calibri"/>
          <w:color w:val="221E1F"/>
          <w:lang w:val="es-ES" w:eastAsia="es-ES"/>
        </w:rPr>
        <w:t xml:space="preserve">Los acúmulos linfoides y la reacción linfoepitelial son lesiones causadas en la mucosa por </w:t>
      </w:r>
      <w:r w:rsidRPr="0021138B">
        <w:rPr>
          <w:rFonts w:eastAsia="Calibri"/>
          <w:i/>
          <w:color w:val="221E1F"/>
          <w:lang w:val="es-ES" w:eastAsia="es-ES"/>
        </w:rPr>
        <w:t>H. pylori</w:t>
      </w:r>
      <w:r w:rsidRPr="0021138B">
        <w:rPr>
          <w:rFonts w:eastAsia="Calibri"/>
          <w:color w:val="221E1F"/>
          <w:lang w:val="es-ES" w:eastAsia="es-ES"/>
        </w:rPr>
        <w:t xml:space="preserve">, relacionadas con la inflamación causada por esta bacteria. Este trabajo evidenció </w:t>
      </w:r>
      <w:r w:rsidRPr="0021138B">
        <w:rPr>
          <w:rFonts w:eastAsia="Calibri"/>
          <w:lang w:val="es-ES" w:eastAsia="es-ES"/>
        </w:rPr>
        <w:t xml:space="preserve">la presencia de lesiones inflamatorias gástricas, que pudieran estar en relación con </w:t>
      </w:r>
      <w:r w:rsidRPr="0021138B">
        <w:rPr>
          <w:rFonts w:eastAsia="Calibri"/>
          <w:i/>
          <w:lang w:val="es-ES" w:eastAsia="es-ES"/>
        </w:rPr>
        <w:t>H. pylo</w:t>
      </w:r>
      <w:r w:rsidRPr="0021138B">
        <w:rPr>
          <w:rFonts w:eastAsia="Calibri"/>
          <w:i/>
          <w:color w:val="221E1F"/>
          <w:lang w:val="es-ES" w:eastAsia="es-ES"/>
        </w:rPr>
        <w:t>ri</w:t>
      </w:r>
      <w:r w:rsidRPr="0021138B">
        <w:rPr>
          <w:rFonts w:eastAsia="Calibri"/>
          <w:color w:val="221E1F"/>
          <w:lang w:val="es-ES" w:eastAsia="es-ES"/>
        </w:rPr>
        <w:t xml:space="preserve">, que requieren biopsia gástrica para su diagnóstico. </w:t>
      </w:r>
    </w:p>
    <w:p w14:paraId="7013EDFF" w14:textId="77777777" w:rsidR="0021138B" w:rsidRPr="0021138B" w:rsidRDefault="0021138B" w:rsidP="0021138B">
      <w:pPr>
        <w:autoSpaceDE w:val="0"/>
        <w:autoSpaceDN w:val="0"/>
        <w:adjustRightInd w:val="0"/>
        <w:spacing w:line="360" w:lineRule="auto"/>
        <w:jc w:val="both"/>
        <w:rPr>
          <w:bCs/>
          <w:lang w:eastAsia="es-ES"/>
        </w:rPr>
      </w:pPr>
      <w:r w:rsidRPr="0021138B">
        <w:rPr>
          <w:bCs/>
          <w:lang w:eastAsia="es-ES"/>
        </w:rPr>
        <w:t xml:space="preserve">Con frecuencia, los pacientes con </w:t>
      </w:r>
      <w:r w:rsidRPr="0021138B">
        <w:rPr>
          <w:bCs/>
          <w:i/>
          <w:lang w:eastAsia="es-ES"/>
        </w:rPr>
        <w:t>H. pylori</w:t>
      </w:r>
      <w:r w:rsidRPr="0021138B">
        <w:rPr>
          <w:bCs/>
          <w:lang w:eastAsia="es-ES"/>
        </w:rPr>
        <w:t xml:space="preserve">, presentan folículos linfoides que pudieran estar relacionados con el desarrollo de los linfomas </w:t>
      </w:r>
      <w:proofErr w:type="gramStart"/>
      <w:r w:rsidRPr="0021138B">
        <w:rPr>
          <w:bCs/>
          <w:lang w:eastAsia="es-ES"/>
        </w:rPr>
        <w:t>gástricos.</w:t>
      </w:r>
      <w:r w:rsidRPr="0021138B">
        <w:rPr>
          <w:bCs/>
          <w:vertAlign w:val="superscript"/>
          <w:lang w:eastAsia="es-ES"/>
        </w:rPr>
        <w:t>(</w:t>
      </w:r>
      <w:proofErr w:type="gramEnd"/>
      <w:r w:rsidRPr="0021138B">
        <w:rPr>
          <w:bCs/>
          <w:vertAlign w:val="superscript"/>
          <w:lang w:eastAsia="es-ES"/>
        </w:rPr>
        <w:t>15)</w:t>
      </w:r>
      <w:r w:rsidRPr="0021138B">
        <w:rPr>
          <w:bCs/>
          <w:lang w:eastAsia="es-ES"/>
        </w:rPr>
        <w:t xml:space="preserve"> La vinculación de los folículos linfoides con la reacción linfoepitelial es reconocida</w:t>
      </w:r>
      <w:r w:rsidRPr="0021138B">
        <w:rPr>
          <w:bCs/>
          <w:vertAlign w:val="superscript"/>
          <w:lang w:eastAsia="es-ES"/>
        </w:rPr>
        <w:t xml:space="preserve">(8) </w:t>
      </w:r>
      <w:r w:rsidRPr="0021138B">
        <w:rPr>
          <w:bCs/>
          <w:lang w:eastAsia="es-ES"/>
        </w:rPr>
        <w:t xml:space="preserve">y constituye una lesión histopatológica  característica de la gastritis crónica por </w:t>
      </w:r>
      <w:r w:rsidRPr="0021138B">
        <w:rPr>
          <w:bCs/>
          <w:i/>
          <w:lang w:eastAsia="es-ES"/>
        </w:rPr>
        <w:t>H. pylori</w:t>
      </w:r>
      <w:r w:rsidRPr="0021138B">
        <w:rPr>
          <w:bCs/>
          <w:lang w:eastAsia="es-ES"/>
        </w:rPr>
        <w:t xml:space="preserve">. </w:t>
      </w:r>
    </w:p>
    <w:p w14:paraId="479E3098" w14:textId="77777777" w:rsidR="0021138B" w:rsidRPr="0021138B" w:rsidRDefault="0021138B" w:rsidP="0021138B">
      <w:pPr>
        <w:spacing w:line="360" w:lineRule="auto"/>
        <w:jc w:val="both"/>
        <w:rPr>
          <w:rFonts w:eastAsia="Calibri"/>
          <w:color w:val="221E1F"/>
          <w:lang w:val="es-ES" w:eastAsia="en-US"/>
        </w:rPr>
      </w:pPr>
      <w:r w:rsidRPr="0021138B">
        <w:rPr>
          <w:rFonts w:eastAsia="Calibri"/>
          <w:color w:val="221E1F"/>
          <w:lang w:val="es-ES" w:eastAsia="en-US"/>
        </w:rPr>
        <w:t xml:space="preserve">La evolución natural de la infección es variable y se encuentra determinada por factores ambientales, bacterianos y del hospedero. Esto podría explicar por qué algunos países con altas prevalencias de </w:t>
      </w:r>
      <w:r w:rsidRPr="0021138B">
        <w:rPr>
          <w:rFonts w:eastAsia="Calibri"/>
          <w:i/>
          <w:iCs/>
          <w:color w:val="221E1F"/>
          <w:lang w:val="es-ES" w:eastAsia="en-US"/>
        </w:rPr>
        <w:t xml:space="preserve">H. pylori </w:t>
      </w:r>
      <w:r w:rsidRPr="0021138B">
        <w:rPr>
          <w:rFonts w:eastAsia="Calibri"/>
          <w:color w:val="221E1F"/>
          <w:lang w:val="es-ES" w:eastAsia="en-US"/>
        </w:rPr>
        <w:t xml:space="preserve">tienen baja prevalencia de cáncer gástrico. No todos los pacientes infectados tienen síntomas, aun cuando desarrollan una gastritis </w:t>
      </w:r>
      <w:proofErr w:type="gramStart"/>
      <w:r w:rsidRPr="0021138B">
        <w:rPr>
          <w:rFonts w:eastAsia="Calibri"/>
          <w:color w:val="221E1F"/>
          <w:lang w:val="es-ES" w:eastAsia="en-US"/>
        </w:rPr>
        <w:t>crónica.</w:t>
      </w:r>
      <w:r w:rsidRPr="0021138B">
        <w:rPr>
          <w:rFonts w:eastAsia="Calibri"/>
          <w:color w:val="221E1F"/>
          <w:vertAlign w:val="superscript"/>
          <w:lang w:val="es-ES" w:eastAsia="en-US"/>
        </w:rPr>
        <w:t>(</w:t>
      </w:r>
      <w:proofErr w:type="gramEnd"/>
      <w:r w:rsidRPr="0021138B">
        <w:rPr>
          <w:rFonts w:eastAsia="Calibri"/>
          <w:color w:val="221E1F"/>
          <w:vertAlign w:val="superscript"/>
          <w:lang w:val="es-ES" w:eastAsia="en-US"/>
        </w:rPr>
        <w:t>16)</w:t>
      </w:r>
    </w:p>
    <w:p w14:paraId="1ABB12DC" w14:textId="77777777" w:rsidR="0021138B" w:rsidRPr="0021138B" w:rsidRDefault="0021138B" w:rsidP="0021138B">
      <w:pPr>
        <w:spacing w:line="360" w:lineRule="auto"/>
        <w:jc w:val="both"/>
        <w:rPr>
          <w:rFonts w:eastAsia="Calibri"/>
          <w:color w:val="221E1F"/>
          <w:lang w:val="es-ES" w:eastAsia="en-US"/>
        </w:rPr>
      </w:pPr>
      <w:r w:rsidRPr="0021138B">
        <w:rPr>
          <w:rFonts w:eastAsia="Calibri"/>
          <w:color w:val="221E1F"/>
          <w:lang w:val="es-ES" w:eastAsia="en-US"/>
        </w:rPr>
        <w:t xml:space="preserve">Estos resultados justifican el empleo del sistema OLGA para el diagnóstico y seguimiento de las lesiones inflamatorias de la mucosa, precursoras de cáncer gástrico causadas por </w:t>
      </w:r>
      <w:r w:rsidRPr="0021138B">
        <w:rPr>
          <w:rFonts w:eastAsia="Calibri"/>
          <w:i/>
          <w:color w:val="221E1F"/>
          <w:lang w:val="es-ES" w:eastAsia="en-US"/>
        </w:rPr>
        <w:t>H. pylori.</w:t>
      </w:r>
      <w:r w:rsidRPr="0021138B">
        <w:rPr>
          <w:rFonts w:eastAsia="Calibri"/>
          <w:color w:val="221E1F"/>
          <w:vertAlign w:val="superscript"/>
          <w:lang w:val="es-ES" w:eastAsia="en-US"/>
        </w:rPr>
        <w:t>(6)</w:t>
      </w:r>
      <w:r w:rsidRPr="0021138B">
        <w:rPr>
          <w:rFonts w:eastAsia="Calibri"/>
          <w:color w:val="221E1F"/>
          <w:lang w:val="es-ES" w:eastAsia="en-US"/>
        </w:rPr>
        <w:t xml:space="preserve"> Además, la inclusión de la pesquisa de acúmulos linfoides y reacción linfoepitelial como marcadores directos de la actividad inflamatoria originada por </w:t>
      </w:r>
      <w:r w:rsidRPr="0021138B">
        <w:rPr>
          <w:rFonts w:eastAsia="Calibri"/>
          <w:i/>
          <w:color w:val="221E1F"/>
          <w:lang w:val="es-ES" w:eastAsia="en-US"/>
        </w:rPr>
        <w:t>H. pylori</w:t>
      </w:r>
      <w:r w:rsidRPr="0021138B">
        <w:rPr>
          <w:rFonts w:eastAsia="Calibri"/>
          <w:color w:val="221E1F"/>
          <w:lang w:val="es-ES" w:eastAsia="en-US"/>
        </w:rPr>
        <w:t xml:space="preserve">, podría ayudar a evaluar la gravedad de la inflamación causada en la mucosa gástrica por </w:t>
      </w:r>
      <w:r w:rsidRPr="0021138B">
        <w:rPr>
          <w:rFonts w:eastAsia="Calibri"/>
          <w:i/>
          <w:color w:val="221E1F"/>
          <w:lang w:val="es-ES" w:eastAsia="en-US"/>
        </w:rPr>
        <w:t>H. pylori</w:t>
      </w:r>
      <w:r w:rsidRPr="0021138B">
        <w:rPr>
          <w:rFonts w:eastAsia="Calibri"/>
          <w:color w:val="221E1F"/>
          <w:lang w:val="es-ES" w:eastAsia="en-US"/>
        </w:rPr>
        <w:t xml:space="preserve">, 2 elementos que no se encuentran incluidos en el actual sistema OLGA. </w:t>
      </w:r>
    </w:p>
    <w:p w14:paraId="15CF3B05" w14:textId="1FA8B2BD"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El 90 % de los casos diagnosticados de cáncer gástrico son avanzados. </w:t>
      </w:r>
      <w:r w:rsidRPr="0021138B">
        <w:rPr>
          <w:rFonts w:eastAsia="Calibri"/>
          <w:lang w:val="es-ES" w:eastAsia="en-US"/>
        </w:rPr>
        <w:t xml:space="preserve">La historia natural de la enfermedad brinda una opción para el control del cáncer gástrico. </w:t>
      </w:r>
      <w:r w:rsidRPr="0021138B">
        <w:rPr>
          <w:rFonts w:eastAsia="Calibri"/>
          <w:color w:val="221E1F"/>
          <w:lang w:val="es-ES" w:eastAsia="en-US"/>
        </w:rPr>
        <w:t xml:space="preserve">En Cuba existe un programa para el </w:t>
      </w:r>
      <w:r w:rsidRPr="0021138B">
        <w:rPr>
          <w:rFonts w:eastAsia="Calibri"/>
          <w:color w:val="221E1F"/>
          <w:lang w:val="es-ES" w:eastAsia="en-US"/>
        </w:rPr>
        <w:lastRenderedPageBreak/>
        <w:t>control del cáncer, pero no para la detección y seguimiento de pacientes con lesiones premalignas gástricas. Se requieren estrategias específicas de diagnóstico precoz para modificar el pronóstico de esta enfermedad, debido a su etiología multicausal y las condiciones de cada país.</w:t>
      </w:r>
    </w:p>
    <w:p w14:paraId="4A17F207"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lang w:val="es-ES" w:eastAsia="en-US"/>
        </w:rPr>
        <w:t xml:space="preserve">Como se ha evidenciado, </w:t>
      </w:r>
      <w:r w:rsidRPr="0021138B">
        <w:rPr>
          <w:rFonts w:eastAsia="Calibri"/>
          <w:i/>
          <w:lang w:val="es-ES" w:eastAsia="en-US"/>
        </w:rPr>
        <w:t xml:space="preserve">H. pylori </w:t>
      </w:r>
      <w:r w:rsidRPr="0021138B">
        <w:rPr>
          <w:rFonts w:eastAsia="Calibri"/>
          <w:lang w:val="es-ES" w:eastAsia="en-US"/>
        </w:rPr>
        <w:t xml:space="preserve">es el principal agente etiológico de la gastritis </w:t>
      </w:r>
      <w:proofErr w:type="gramStart"/>
      <w:r w:rsidRPr="0021138B">
        <w:rPr>
          <w:rFonts w:eastAsia="Calibri"/>
          <w:lang w:val="es-ES" w:eastAsia="en-US"/>
        </w:rPr>
        <w:t>crónica,</w:t>
      </w:r>
      <w:r w:rsidRPr="0021138B">
        <w:rPr>
          <w:rFonts w:eastAsia="Calibri"/>
          <w:vertAlign w:val="superscript"/>
          <w:lang w:val="es-ES" w:eastAsia="en-US"/>
        </w:rPr>
        <w:t>(</w:t>
      </w:r>
      <w:proofErr w:type="gramEnd"/>
      <w:r w:rsidRPr="0021138B">
        <w:rPr>
          <w:rFonts w:eastAsia="Calibri"/>
          <w:vertAlign w:val="superscript"/>
          <w:lang w:val="es-ES" w:eastAsia="en-US"/>
        </w:rPr>
        <w:t>17)</w:t>
      </w:r>
      <w:r w:rsidRPr="0021138B">
        <w:rPr>
          <w:rFonts w:eastAsia="Calibri"/>
          <w:lang w:val="es-ES" w:eastAsia="en-US"/>
        </w:rPr>
        <w:t xml:space="preserve"> que puede progresar a gastritis crónica atrófica, atrofia gástrica, metaplasia intestinal, displasia y cáncer gástrico de tipo intestinal. </w:t>
      </w:r>
      <w:r w:rsidRPr="0021138B">
        <w:rPr>
          <w:rFonts w:eastAsia="Calibri"/>
          <w:color w:val="221E1F"/>
          <w:lang w:val="es-ES" w:eastAsia="en-US"/>
        </w:rPr>
        <w:t xml:space="preserve">Este proceso es lento, lo que ofrece a los médicos oportunidades de intervención para modificar el curso de esta enfermedad. Se requiere, además del diagnóstico y tratamiento de la infección por </w:t>
      </w:r>
      <w:r w:rsidRPr="0021138B">
        <w:rPr>
          <w:rFonts w:eastAsia="Calibri"/>
          <w:i/>
          <w:color w:val="221E1F"/>
          <w:lang w:val="es-ES" w:eastAsia="en-US"/>
        </w:rPr>
        <w:t>H. pylori</w:t>
      </w:r>
      <w:r w:rsidRPr="0021138B">
        <w:rPr>
          <w:rFonts w:eastAsia="Calibri"/>
          <w:color w:val="221E1F"/>
          <w:lang w:val="es-ES" w:eastAsia="en-US"/>
        </w:rPr>
        <w:t xml:space="preserve">, la detección de lesiones preneoplásicas en la mucosa gástrica, la educación higiénica sanitaria de los pacientes y la modificación de hábitos y estilos de vida (medicina preventiva).  </w:t>
      </w:r>
    </w:p>
    <w:p w14:paraId="13ACCDC3" w14:textId="77777777" w:rsidR="0021138B" w:rsidRPr="0021138B" w:rsidRDefault="0021138B" w:rsidP="0021138B">
      <w:pPr>
        <w:autoSpaceDE w:val="0"/>
        <w:autoSpaceDN w:val="0"/>
        <w:adjustRightInd w:val="0"/>
        <w:spacing w:line="360" w:lineRule="auto"/>
        <w:jc w:val="both"/>
        <w:rPr>
          <w:rFonts w:eastAsia="Calibri"/>
          <w:color w:val="0070C0"/>
          <w:lang w:val="es-ES" w:eastAsia="en-US"/>
        </w:rPr>
      </w:pPr>
      <w:r w:rsidRPr="0021138B">
        <w:rPr>
          <w:rFonts w:eastAsia="Calibri"/>
          <w:color w:val="221E1F"/>
          <w:lang w:val="es-ES" w:eastAsia="en-US"/>
        </w:rPr>
        <w:t xml:space="preserve">Se puede informar, educar y trazar estrategias de vigilancia para lesiones preneoplásicas gástricas con el conocimiento de la existencia de gastritis crónica atrófica, metaplasia intestinal, displasia e infección por </w:t>
      </w:r>
      <w:r w:rsidRPr="0021138B">
        <w:rPr>
          <w:rFonts w:eastAsia="Calibri"/>
          <w:i/>
          <w:color w:val="221E1F"/>
          <w:lang w:val="es-ES" w:eastAsia="en-US"/>
        </w:rPr>
        <w:t xml:space="preserve">H. </w:t>
      </w:r>
      <w:proofErr w:type="gramStart"/>
      <w:r w:rsidRPr="0021138B">
        <w:rPr>
          <w:rFonts w:eastAsia="Calibri"/>
          <w:i/>
          <w:color w:val="221E1F"/>
          <w:lang w:val="es-ES" w:eastAsia="en-US"/>
        </w:rPr>
        <w:t>pylori</w:t>
      </w:r>
      <w:r w:rsidRPr="0021138B">
        <w:rPr>
          <w:rFonts w:eastAsia="Calibri"/>
          <w:color w:val="221E1F"/>
          <w:lang w:val="es-ES" w:eastAsia="en-US"/>
        </w:rPr>
        <w:t>.</w:t>
      </w:r>
      <w:r w:rsidRPr="0021138B">
        <w:rPr>
          <w:rFonts w:eastAsia="Calibri"/>
          <w:color w:val="221E1F"/>
          <w:vertAlign w:val="superscript"/>
          <w:lang w:val="es-ES" w:eastAsia="en-US"/>
        </w:rPr>
        <w:t>(</w:t>
      </w:r>
      <w:proofErr w:type="gramEnd"/>
      <w:r w:rsidRPr="0021138B">
        <w:rPr>
          <w:rFonts w:eastAsia="Calibri"/>
          <w:color w:val="221E1F"/>
          <w:vertAlign w:val="superscript"/>
          <w:lang w:val="es-ES" w:eastAsia="en-US"/>
        </w:rPr>
        <w:t>17)</w:t>
      </w:r>
      <w:r w:rsidRPr="0021138B">
        <w:rPr>
          <w:rFonts w:eastAsia="Calibri"/>
          <w:color w:val="221E1F"/>
          <w:lang w:val="es-ES" w:eastAsia="en-US"/>
        </w:rPr>
        <w:t xml:space="preserve"> Esto resulta de vital importancia para la prevención y diagnóstico oportuno de lesiones precursoras de cáncer gástrico. Las lesiones de alto riesgo para cáncer gástrico son la atrofia gástrica, la metaplasia intestinal y la </w:t>
      </w:r>
      <w:proofErr w:type="gramStart"/>
      <w:r w:rsidRPr="0021138B">
        <w:rPr>
          <w:rFonts w:eastAsia="Calibri"/>
          <w:color w:val="221E1F"/>
          <w:lang w:val="es-ES" w:eastAsia="en-US"/>
        </w:rPr>
        <w:t>displasia,</w:t>
      </w:r>
      <w:r w:rsidRPr="0021138B">
        <w:rPr>
          <w:rFonts w:eastAsia="Calibri"/>
          <w:color w:val="221E1F"/>
          <w:vertAlign w:val="superscript"/>
          <w:lang w:val="es-ES" w:eastAsia="en-US"/>
        </w:rPr>
        <w:t>(</w:t>
      </w:r>
      <w:proofErr w:type="gramEnd"/>
      <w:r w:rsidRPr="0021138B">
        <w:rPr>
          <w:rFonts w:eastAsia="Calibri"/>
          <w:color w:val="221E1F"/>
          <w:vertAlign w:val="superscript"/>
          <w:lang w:val="es-ES" w:eastAsia="en-US"/>
        </w:rPr>
        <w:t>8)</w:t>
      </w:r>
      <w:r w:rsidRPr="0021138B">
        <w:rPr>
          <w:rFonts w:eastAsia="Calibri"/>
          <w:color w:val="221E1F"/>
          <w:lang w:val="es-ES" w:eastAsia="en-US"/>
        </w:rPr>
        <w:t xml:space="preserve"> pero la presencia de acúmulos linfoides y reacción linfoepitelial orientan sobre la intensidad del daño infamatorio en la mucosa gástrica causado por </w:t>
      </w:r>
      <w:r w:rsidRPr="0021138B">
        <w:rPr>
          <w:rFonts w:eastAsia="Calibri"/>
          <w:i/>
          <w:color w:val="221E1F"/>
          <w:lang w:val="es-ES" w:eastAsia="en-US"/>
        </w:rPr>
        <w:t>H. pylori</w:t>
      </w:r>
      <w:r w:rsidRPr="0021138B">
        <w:rPr>
          <w:rFonts w:eastAsia="Calibri"/>
          <w:color w:val="221E1F"/>
          <w:lang w:val="es-ES" w:eastAsia="en-US"/>
        </w:rPr>
        <w:t>, razón por la cual también es útil su diagnóstico</w:t>
      </w:r>
      <w:r w:rsidRPr="0021138B">
        <w:rPr>
          <w:rFonts w:eastAsia="Calibri"/>
          <w:color w:val="0070C0"/>
          <w:lang w:val="es-ES" w:eastAsia="en-US"/>
        </w:rPr>
        <w:t>.</w:t>
      </w:r>
    </w:p>
    <w:p w14:paraId="675E75CC" w14:textId="77777777" w:rsidR="0021138B" w:rsidRPr="0021138B" w:rsidRDefault="0021138B" w:rsidP="0021138B">
      <w:pPr>
        <w:autoSpaceDE w:val="0"/>
        <w:autoSpaceDN w:val="0"/>
        <w:adjustRightInd w:val="0"/>
        <w:spacing w:line="360" w:lineRule="auto"/>
        <w:jc w:val="both"/>
        <w:rPr>
          <w:rFonts w:eastAsia="Calibri"/>
          <w:color w:val="221E1F"/>
          <w:vertAlign w:val="superscript"/>
          <w:lang w:val="es-ES" w:eastAsia="en-US"/>
        </w:rPr>
      </w:pPr>
      <w:r w:rsidRPr="0021138B">
        <w:rPr>
          <w:rFonts w:eastAsia="Calibri"/>
          <w:color w:val="221E1F"/>
          <w:lang w:val="es-ES" w:eastAsia="en-US"/>
        </w:rPr>
        <w:t xml:space="preserve">La eliminación de </w:t>
      </w:r>
      <w:r w:rsidRPr="0021138B">
        <w:rPr>
          <w:rFonts w:eastAsia="Calibri"/>
          <w:i/>
          <w:color w:val="221E1F"/>
          <w:lang w:val="es-ES" w:eastAsia="en-US"/>
        </w:rPr>
        <w:t>H. pylori</w:t>
      </w:r>
      <w:r w:rsidRPr="0021138B">
        <w:rPr>
          <w:rFonts w:eastAsia="Calibri"/>
          <w:color w:val="221E1F"/>
          <w:lang w:val="es-ES" w:eastAsia="en-US"/>
        </w:rPr>
        <w:t xml:space="preserve"> mediante las terapias establecidas es la solución para la gastritis. Lamentablemente, en los casos con atrofia gástrica y metaplasia intestinal no está claro el efecto de dicha </w:t>
      </w:r>
      <w:proofErr w:type="gramStart"/>
      <w:r w:rsidRPr="0021138B">
        <w:rPr>
          <w:rFonts w:eastAsia="Calibri"/>
          <w:color w:val="221E1F"/>
          <w:lang w:val="es-ES" w:eastAsia="en-US"/>
        </w:rPr>
        <w:t>erradicación.</w:t>
      </w:r>
      <w:r w:rsidRPr="0021138B">
        <w:rPr>
          <w:rFonts w:eastAsia="Calibri"/>
          <w:color w:val="221E1F"/>
          <w:vertAlign w:val="superscript"/>
          <w:lang w:val="es-ES" w:eastAsia="en-US"/>
        </w:rPr>
        <w:t>(</w:t>
      </w:r>
      <w:proofErr w:type="gramEnd"/>
      <w:r w:rsidRPr="0021138B">
        <w:rPr>
          <w:rFonts w:eastAsia="Calibri"/>
          <w:color w:val="221E1F"/>
          <w:vertAlign w:val="superscript"/>
          <w:lang w:val="es-ES" w:eastAsia="en-US"/>
        </w:rPr>
        <w:t>18)</w:t>
      </w:r>
    </w:p>
    <w:p w14:paraId="2DDA09A6"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La aplicación del </w:t>
      </w:r>
      <w:r w:rsidRPr="0021138B">
        <w:rPr>
          <w:rFonts w:eastAsia="Calibri"/>
          <w:lang w:val="es-ES" w:eastAsia="en-US"/>
        </w:rPr>
        <w:t xml:space="preserve">sistema OLGA puede </w:t>
      </w:r>
      <w:r w:rsidRPr="0021138B">
        <w:rPr>
          <w:rFonts w:eastAsia="Calibri"/>
          <w:color w:val="221E1F"/>
          <w:lang w:val="es-ES" w:eastAsia="en-US"/>
        </w:rPr>
        <w:t xml:space="preserve">contribuir a mejorar el diagnóstico precoz de cáncer gástrico. En materia de cáncer lo primordial es su prevención y la pesquisa de lesiones precursoras de cáncer gástrico, sobre las que se puede actuar y definir los pacientes con mayor riesgo de desarrollar cáncer gástrico y evitar su surgimiento o por lo menos detectarlo en estadios precoces, en los cuales es factible la realización de tratamientos endoscópicos o de mínimo acceso. Esto puede contribuir a disminuir los gastos del tratamiento destinado al cáncer gástrico diagnosticado en estadios avanzados. </w:t>
      </w:r>
    </w:p>
    <w:p w14:paraId="20B0E66B"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Además, no se trata solo de recursos materiales, sino también humanos, pues mejorar la calidad de vida de los individuos con riesgo futuro de cáncer gástrico, incluirlos en acciones de </w:t>
      </w:r>
      <w:proofErr w:type="spellStart"/>
      <w:r w:rsidRPr="0021138B">
        <w:rPr>
          <w:rFonts w:eastAsia="Calibri"/>
          <w:color w:val="221E1F"/>
          <w:lang w:val="es-ES" w:eastAsia="en-US"/>
        </w:rPr>
        <w:t>pesquisaje</w:t>
      </w:r>
      <w:proofErr w:type="spellEnd"/>
      <w:r w:rsidRPr="0021138B">
        <w:rPr>
          <w:rFonts w:eastAsia="Calibri"/>
          <w:color w:val="221E1F"/>
          <w:lang w:val="es-ES" w:eastAsia="en-US"/>
        </w:rPr>
        <w:t xml:space="preserve"> y diagnóstico precoz puede repercutir favorablemente en la disminución de la incidencia de cáncer gástrico. </w:t>
      </w:r>
    </w:p>
    <w:p w14:paraId="3D846ACB" w14:textId="77777777" w:rsidR="0021138B" w:rsidRPr="0021138B" w:rsidRDefault="0021138B" w:rsidP="0021138B">
      <w:pPr>
        <w:spacing w:line="360" w:lineRule="auto"/>
        <w:jc w:val="both"/>
        <w:rPr>
          <w:rFonts w:eastAsia="Calibri"/>
          <w:color w:val="221E1F"/>
          <w:lang w:val="es-ES" w:eastAsia="en-US"/>
        </w:rPr>
      </w:pPr>
      <w:r w:rsidRPr="0021138B">
        <w:rPr>
          <w:rFonts w:eastAsia="Calibri"/>
          <w:color w:val="221E1F"/>
          <w:lang w:val="es-ES" w:eastAsia="en-US"/>
        </w:rPr>
        <w:lastRenderedPageBreak/>
        <w:t xml:space="preserve">Como patrones de referencia se mantienen los hallazgos endoscópicos y la confirmación histopatológica para la detección y diagnóstico precoz del cáncer </w:t>
      </w:r>
      <w:proofErr w:type="gramStart"/>
      <w:r w:rsidRPr="0021138B">
        <w:rPr>
          <w:rFonts w:eastAsia="Calibri"/>
          <w:color w:val="221E1F"/>
          <w:lang w:val="es-ES" w:eastAsia="en-US"/>
        </w:rPr>
        <w:t>gástrico.</w:t>
      </w:r>
      <w:r w:rsidRPr="0021138B">
        <w:rPr>
          <w:rFonts w:eastAsia="Calibri"/>
          <w:color w:val="221E1F"/>
          <w:vertAlign w:val="superscript"/>
          <w:lang w:val="es-ES" w:eastAsia="en-US"/>
        </w:rPr>
        <w:t>(</w:t>
      </w:r>
      <w:proofErr w:type="gramEnd"/>
      <w:r w:rsidRPr="0021138B">
        <w:rPr>
          <w:rFonts w:eastAsia="Calibri"/>
          <w:color w:val="221E1F"/>
          <w:vertAlign w:val="superscript"/>
          <w:lang w:val="es-ES" w:eastAsia="en-US"/>
        </w:rPr>
        <w:t xml:space="preserve">19) </w:t>
      </w:r>
      <w:r w:rsidRPr="0021138B">
        <w:rPr>
          <w:rFonts w:eastAsia="Calibri"/>
          <w:color w:val="221E1F"/>
          <w:lang w:val="es-ES" w:eastAsia="en-US"/>
        </w:rPr>
        <w:t>La pesquisa mediante histopatología de lesiones preneoplásicas gástricas determina que los pacientes afectados deberán mantenerse bajo vigilancia endoscópica de acuerdo al grupo de riesgo en el que se encuentren incluidos. Establecer precozmente cuándo inicia el proceso de transformación atrófica-</w:t>
      </w:r>
      <w:proofErr w:type="spellStart"/>
      <w:r w:rsidRPr="0021138B">
        <w:rPr>
          <w:rFonts w:eastAsia="Calibri"/>
          <w:color w:val="221E1F"/>
          <w:lang w:val="es-ES" w:eastAsia="en-US"/>
        </w:rPr>
        <w:t>metaplásica</w:t>
      </w:r>
      <w:proofErr w:type="spellEnd"/>
      <w:r w:rsidRPr="0021138B">
        <w:rPr>
          <w:rFonts w:eastAsia="Calibri"/>
          <w:color w:val="221E1F"/>
          <w:lang w:val="es-ES" w:eastAsia="en-US"/>
        </w:rPr>
        <w:t xml:space="preserve"> es el objetivo de la propuesta </w:t>
      </w:r>
      <w:proofErr w:type="gramStart"/>
      <w:r w:rsidRPr="0021138B">
        <w:rPr>
          <w:rFonts w:eastAsia="Calibri"/>
          <w:color w:val="221E1F"/>
          <w:lang w:val="es-ES" w:eastAsia="en-US"/>
        </w:rPr>
        <w:t>OLGA.</w:t>
      </w:r>
      <w:r w:rsidRPr="0021138B">
        <w:rPr>
          <w:rFonts w:eastAsia="Calibri"/>
          <w:color w:val="221E1F"/>
          <w:vertAlign w:val="superscript"/>
          <w:lang w:val="es-ES" w:eastAsia="en-US"/>
        </w:rPr>
        <w:t>(</w:t>
      </w:r>
      <w:proofErr w:type="gramEnd"/>
      <w:r w:rsidRPr="0021138B">
        <w:rPr>
          <w:rFonts w:eastAsia="Calibri"/>
          <w:color w:val="221E1F"/>
          <w:vertAlign w:val="superscript"/>
          <w:lang w:val="es-ES" w:eastAsia="en-US"/>
        </w:rPr>
        <w:t>17)</w:t>
      </w:r>
    </w:p>
    <w:p w14:paraId="1C01B202"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La aplicación del sistema </w:t>
      </w:r>
      <w:r w:rsidRPr="0021138B">
        <w:rPr>
          <w:rFonts w:eastAsia="Calibri"/>
          <w:iCs/>
          <w:color w:val="221E1F"/>
          <w:lang w:val="es-ES" w:eastAsia="en-US"/>
        </w:rPr>
        <w:t>OLGA</w:t>
      </w:r>
      <w:r w:rsidRPr="0021138B">
        <w:rPr>
          <w:rFonts w:eastAsia="Calibri"/>
          <w:color w:val="221E1F"/>
          <w:lang w:val="es-ES" w:eastAsia="en-US"/>
        </w:rPr>
        <w:t xml:space="preserve"> en las unidades de endoscopia puede implementarse con los recursos actualmente disponibles, pues solo se requiere de un endoscopio, pinza de biopsia, un endoscopista entrenado y el patólogo, que debe incluir en el reporte la gravedad de la atrofia gástrica, metaplasia intestinal y displasia para la estadificación </w:t>
      </w:r>
      <w:r w:rsidRPr="0021138B">
        <w:rPr>
          <w:rFonts w:eastAsia="Calibri"/>
          <w:lang w:val="es-ES" w:eastAsia="en-US"/>
        </w:rPr>
        <w:t xml:space="preserve">OLGA; así </w:t>
      </w:r>
      <w:r w:rsidRPr="0021138B">
        <w:rPr>
          <w:rFonts w:eastAsia="Calibri"/>
          <w:color w:val="221E1F"/>
          <w:lang w:val="es-ES" w:eastAsia="en-US"/>
        </w:rPr>
        <w:t xml:space="preserve">como la presencia de acúmulos linfoides y reacción linfoepitelial para evaluar la actividad inflamatoria de la mucosa gástrica. </w:t>
      </w:r>
    </w:p>
    <w:p w14:paraId="0816BC6A"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El sistema de salud de Cuba cuenta con condiciones e</w:t>
      </w:r>
      <w:r w:rsidRPr="0021138B">
        <w:rPr>
          <w:rFonts w:eastAsia="Calibri"/>
          <w:lang w:val="es-ES" w:eastAsia="en-US"/>
        </w:rPr>
        <w:t>n</w:t>
      </w:r>
      <w:r w:rsidRPr="0021138B">
        <w:rPr>
          <w:rFonts w:eastAsia="Calibri"/>
          <w:color w:val="221E1F"/>
          <w:lang w:val="es-ES" w:eastAsia="en-US"/>
        </w:rPr>
        <w:t xml:space="preserve"> la atención primaria de salud</w:t>
      </w:r>
      <w:r w:rsidRPr="0021138B">
        <w:rPr>
          <w:rFonts w:eastAsia="Calibri"/>
          <w:color w:val="0070C0"/>
          <w:lang w:val="es-ES" w:eastAsia="en-US"/>
        </w:rPr>
        <w:t xml:space="preserve">, </w:t>
      </w:r>
      <w:r w:rsidRPr="0021138B">
        <w:rPr>
          <w:rFonts w:eastAsia="Calibri"/>
          <w:lang w:val="es-ES" w:eastAsia="en-US"/>
        </w:rPr>
        <w:t xml:space="preserve">donde existe </w:t>
      </w:r>
      <w:r w:rsidRPr="0021138B">
        <w:rPr>
          <w:rFonts w:eastAsia="Calibri"/>
          <w:color w:val="221E1F"/>
          <w:lang w:val="es-ES" w:eastAsia="en-US"/>
        </w:rPr>
        <w:t>disponibilidad de endoscopía digestiva alta en los policlínicos y personal entrenado para ello. Aunque no se cuenta con patólogos al nivel de policlínico</w:t>
      </w:r>
      <w:r w:rsidRPr="0021138B">
        <w:rPr>
          <w:rFonts w:eastAsia="Calibri"/>
          <w:lang w:val="es-ES" w:eastAsia="en-US"/>
        </w:rPr>
        <w:t xml:space="preserve">, pero se </w:t>
      </w:r>
      <w:r w:rsidRPr="0021138B">
        <w:rPr>
          <w:rFonts w:eastAsia="Calibri"/>
          <w:color w:val="221E1F"/>
          <w:lang w:val="es-ES" w:eastAsia="en-US"/>
        </w:rPr>
        <w:t>pueden implementar convenios de colaboración entre estas instituciones y los hospitales para la realización de los estudios histopatológicos</w:t>
      </w:r>
      <w:r w:rsidRPr="0021138B">
        <w:rPr>
          <w:rFonts w:eastAsia="Calibri"/>
          <w:color w:val="0070C0"/>
          <w:lang w:val="es-ES" w:eastAsia="en-US"/>
        </w:rPr>
        <w:t>.</w:t>
      </w:r>
    </w:p>
    <w:p w14:paraId="6B46DF22"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Determinar cuáles pacientes tienen mayor riesgo de desarrollar cáncer gástrico en el futuro es vital tanto para los individuos afectados, como para el sistema de salud. El programa integral para el control del cáncer en Cuba, del año 2017 plantea:</w:t>
      </w:r>
      <w:r w:rsidRPr="0021138B">
        <w:rPr>
          <w:rFonts w:eastAsia="Calibri"/>
          <w:color w:val="221E1F"/>
          <w:vertAlign w:val="superscript"/>
          <w:lang w:val="es-ES" w:eastAsia="en-US"/>
        </w:rPr>
        <w:t>(20)</w:t>
      </w:r>
      <w:r w:rsidRPr="0021138B">
        <w:rPr>
          <w:rFonts w:eastAsia="Calibri"/>
          <w:color w:val="221E1F"/>
          <w:lang w:val="es-ES" w:eastAsia="en-US"/>
        </w:rPr>
        <w:t xml:space="preserve"> “Se prevé que para el 2030 el número de casos nuevos de cáncer se incrementará a 59 426 para ambos sexos y el envejecimiento será el indicador demográfico responsable del 67,1 % de este incremento, con 39 904 casos… como consecuencia de estos fenómenos se pronostica un aumento en el número de casos nuevos de cáncer, una mayor demanda de recursos humanos y materiales y, por consiguiente, un incremento de los costos asociados al diagnóstico, tratamiento, seguimiento y rehabilitación de los pacientes…”. </w:t>
      </w:r>
    </w:p>
    <w:p w14:paraId="18EB1723"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Es necesario buscar opciones de prevención y diagnóstico precoz para el cáncer gástrico. El diagnóstico tardío incrementa los costos en tratamiento y disminuye las opciones de tratamiento curativo.</w:t>
      </w:r>
    </w:p>
    <w:p w14:paraId="0DE34FE4"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La lesión preneoplásica más común en pacientes con </w:t>
      </w:r>
      <w:r w:rsidRPr="0021138B">
        <w:rPr>
          <w:rFonts w:eastAsia="Calibri"/>
          <w:i/>
          <w:color w:val="221E1F"/>
          <w:lang w:val="es-ES" w:eastAsia="en-US"/>
        </w:rPr>
        <w:t>H. pylori</w:t>
      </w:r>
      <w:r w:rsidRPr="0021138B">
        <w:rPr>
          <w:rFonts w:eastAsia="Calibri"/>
          <w:color w:val="221E1F"/>
          <w:lang w:val="es-ES" w:eastAsia="en-US"/>
        </w:rPr>
        <w:t xml:space="preserve"> fue la atrofia gástrica. La metaplasia intestinal y la displasia se presentaron con menos frecuencia. Predominaron las etapas no avanzadas de atrofia gástrica.</w:t>
      </w:r>
    </w:p>
    <w:p w14:paraId="647C9DD1" w14:textId="77777777" w:rsidR="0021138B" w:rsidRPr="0021138B" w:rsidRDefault="0021138B" w:rsidP="0021138B">
      <w:pPr>
        <w:autoSpaceDE w:val="0"/>
        <w:autoSpaceDN w:val="0"/>
        <w:adjustRightInd w:val="0"/>
        <w:spacing w:line="360" w:lineRule="auto"/>
        <w:jc w:val="both"/>
        <w:rPr>
          <w:rFonts w:eastAsia="Calibri"/>
          <w:lang w:val="es-ES" w:eastAsia="en-US"/>
        </w:rPr>
      </w:pPr>
    </w:p>
    <w:p w14:paraId="1BBF396A" w14:textId="77777777" w:rsidR="0021138B" w:rsidRPr="0021138B" w:rsidRDefault="0021138B" w:rsidP="0021138B">
      <w:pPr>
        <w:autoSpaceDE w:val="0"/>
        <w:autoSpaceDN w:val="0"/>
        <w:adjustRightInd w:val="0"/>
        <w:spacing w:line="360" w:lineRule="auto"/>
        <w:ind w:right="140" w:firstLine="284"/>
        <w:jc w:val="both"/>
        <w:rPr>
          <w:rFonts w:eastAsia="Calibri"/>
          <w:b/>
          <w:color w:val="221E1F"/>
          <w:lang w:val="es-ES" w:eastAsia="en-US"/>
        </w:rPr>
      </w:pPr>
    </w:p>
    <w:p w14:paraId="120A4CDC" w14:textId="77777777" w:rsidR="0021138B" w:rsidRPr="0021138B" w:rsidRDefault="0021138B" w:rsidP="0021138B">
      <w:pPr>
        <w:autoSpaceDE w:val="0"/>
        <w:autoSpaceDN w:val="0"/>
        <w:adjustRightInd w:val="0"/>
        <w:spacing w:line="360" w:lineRule="auto"/>
        <w:ind w:right="140"/>
        <w:jc w:val="center"/>
        <w:rPr>
          <w:rFonts w:eastAsia="Calibri"/>
          <w:b/>
          <w:color w:val="221E1F"/>
          <w:sz w:val="32"/>
          <w:szCs w:val="32"/>
          <w:lang w:val="es-ES" w:eastAsia="en-US"/>
        </w:rPr>
      </w:pPr>
      <w:r w:rsidRPr="0021138B">
        <w:rPr>
          <w:rFonts w:eastAsia="Calibri"/>
          <w:b/>
          <w:color w:val="221E1F"/>
          <w:sz w:val="32"/>
          <w:szCs w:val="32"/>
          <w:lang w:val="es-ES" w:eastAsia="en-US"/>
        </w:rPr>
        <w:t>REFERENCIAS BIBLIOGRÁFICAS</w:t>
      </w:r>
    </w:p>
    <w:p w14:paraId="303353FD"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 xml:space="preserve">1. Otero R W, Gómez Z M, Otero P L, Trespalacios R A. </w:t>
      </w:r>
      <w:r w:rsidRPr="0021138B">
        <w:rPr>
          <w:rFonts w:eastAsia="MS Mincho"/>
          <w:i/>
          <w:noProof/>
          <w:lang w:val="es-ES" w:eastAsia="es-ES"/>
        </w:rPr>
        <w:t>Helicobacter pylori</w:t>
      </w:r>
      <w:r w:rsidRPr="0021138B">
        <w:rPr>
          <w:rFonts w:eastAsia="MS Mincho"/>
          <w:noProof/>
          <w:lang w:val="es-ES" w:eastAsia="es-ES"/>
        </w:rPr>
        <w:t>: ¿cómo se trata en el 2018? Rev Gastroenterol Perú. 2018 [</w:t>
      </w:r>
      <w:r w:rsidRPr="0021138B">
        <w:rPr>
          <w:rFonts w:eastAsia="MS Mincho"/>
          <w:noProof/>
          <w:lang w:val="es-US" w:eastAsia="es-ES"/>
        </w:rPr>
        <w:t>acceso:</w:t>
      </w:r>
      <w:r w:rsidRPr="0021138B">
        <w:rPr>
          <w:rFonts w:eastAsia="MS Mincho"/>
          <w:noProof/>
          <w:lang w:val="es-ES" w:eastAsia="es-ES"/>
        </w:rPr>
        <w:t>21</w:t>
      </w:r>
      <w:r w:rsidRPr="0021138B">
        <w:rPr>
          <w:rFonts w:eastAsia="MS Mincho"/>
          <w:noProof/>
          <w:lang w:val="es-US" w:eastAsia="es-ES"/>
        </w:rPr>
        <w:t>/06/</w:t>
      </w:r>
      <w:r w:rsidRPr="0021138B">
        <w:rPr>
          <w:rFonts w:eastAsia="MS Mincho"/>
          <w:noProof/>
          <w:lang w:val="es-ES" w:eastAsia="es-ES"/>
        </w:rPr>
        <w:t xml:space="preserve">2018]; 38(1):54-63. </w:t>
      </w:r>
      <w:r w:rsidRPr="0021138B">
        <w:rPr>
          <w:rFonts w:eastAsia="MS Mincho"/>
          <w:noProof/>
          <w:lang w:val="es-US" w:eastAsia="es-ES"/>
        </w:rPr>
        <w:t>Disponible en</w:t>
      </w:r>
      <w:r w:rsidRPr="0021138B">
        <w:rPr>
          <w:rFonts w:eastAsia="MS Mincho"/>
          <w:noProof/>
          <w:lang w:val="es-ES" w:eastAsia="es-ES"/>
        </w:rPr>
        <w:t xml:space="preserve">: </w:t>
      </w:r>
      <w:hyperlink r:id="rId18" w:history="1">
        <w:r w:rsidRPr="0021138B">
          <w:rPr>
            <w:rFonts w:eastAsia="MS Mincho"/>
            <w:noProof/>
            <w:color w:val="0563C1"/>
            <w:u w:val="single"/>
            <w:lang w:val="es-ES" w:eastAsia="es-ES"/>
          </w:rPr>
          <w:t>http://www.scielo.org.pe/scielo.php?script=sci_arttext&amp;pid=S1022-51292018000100009&amp;nrm=iso</w:t>
        </w:r>
      </w:hyperlink>
    </w:p>
    <w:p w14:paraId="3C29D000"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 xml:space="preserve">2. Arévalo A, Otero W, Trespalacios AA. </w:t>
      </w:r>
      <w:r w:rsidRPr="0021138B">
        <w:rPr>
          <w:rFonts w:eastAsia="MS Mincho"/>
          <w:i/>
          <w:noProof/>
          <w:lang w:val="es-ES" w:eastAsia="es-ES"/>
        </w:rPr>
        <w:t>Helicobacter pylori</w:t>
      </w:r>
      <w:r w:rsidRPr="0021138B">
        <w:rPr>
          <w:rFonts w:eastAsia="MS Mincho"/>
          <w:noProof/>
          <w:lang w:val="es-ES" w:eastAsia="es-ES"/>
        </w:rPr>
        <w:t xml:space="preserve">: resistencia múltiple en pacientes de Bogotá, Colombia. Biomédica. 2019 </w:t>
      </w:r>
      <w:r w:rsidRPr="0021138B">
        <w:rPr>
          <w:rFonts w:eastAsia="MS Mincho"/>
          <w:noProof/>
          <w:lang w:val="es-US" w:eastAsia="es-ES"/>
        </w:rPr>
        <w:t xml:space="preserve">[acceso: </w:t>
      </w:r>
      <w:r w:rsidRPr="0021138B">
        <w:rPr>
          <w:rFonts w:eastAsia="MS Mincho"/>
          <w:noProof/>
          <w:lang w:val="es-ES" w:eastAsia="es-ES"/>
        </w:rPr>
        <w:t>21</w:t>
      </w:r>
      <w:r w:rsidRPr="0021138B">
        <w:rPr>
          <w:rFonts w:eastAsia="MS Mincho"/>
          <w:noProof/>
          <w:lang w:val="es-US" w:eastAsia="es-ES"/>
        </w:rPr>
        <w:t>/06/</w:t>
      </w:r>
      <w:r w:rsidRPr="0021138B">
        <w:rPr>
          <w:rFonts w:eastAsia="MS Mincho"/>
          <w:noProof/>
          <w:lang w:val="es-ES" w:eastAsia="es-ES"/>
        </w:rPr>
        <w:t>2019</w:t>
      </w:r>
      <w:r w:rsidRPr="0021138B">
        <w:rPr>
          <w:rFonts w:eastAsia="MS Mincho"/>
          <w:noProof/>
          <w:lang w:val="es-US" w:eastAsia="es-ES"/>
        </w:rPr>
        <w:t>]</w:t>
      </w:r>
      <w:r w:rsidRPr="0021138B">
        <w:rPr>
          <w:rFonts w:eastAsia="MS Mincho"/>
          <w:noProof/>
          <w:lang w:val="es-ES" w:eastAsia="es-ES"/>
        </w:rPr>
        <w:t xml:space="preserve">; 39(1):125-34. </w:t>
      </w:r>
      <w:r w:rsidRPr="0021138B">
        <w:rPr>
          <w:rFonts w:eastAsia="MS Mincho"/>
          <w:noProof/>
          <w:lang w:val="es-US" w:eastAsia="es-ES"/>
        </w:rPr>
        <w:t>Disonible en</w:t>
      </w:r>
      <w:r w:rsidRPr="0021138B">
        <w:rPr>
          <w:rFonts w:eastAsia="MS Mincho"/>
          <w:noProof/>
          <w:lang w:val="es-ES" w:eastAsia="es-ES"/>
        </w:rPr>
        <w:t xml:space="preserve">: </w:t>
      </w:r>
      <w:hyperlink r:id="rId19" w:history="1">
        <w:r w:rsidRPr="0021138B">
          <w:rPr>
            <w:rFonts w:eastAsia="MS Mincho"/>
            <w:noProof/>
            <w:color w:val="0563C1"/>
            <w:u w:val="single"/>
            <w:lang w:val="es-ES" w:eastAsia="es-ES"/>
          </w:rPr>
          <w:t>http://www.scielo.org.co/scielo.php?script=sci_arttext&amp;pid=S0120-41572019000500125&amp;nrm=iso</w:t>
        </w:r>
      </w:hyperlink>
    </w:p>
    <w:p w14:paraId="2B1D6798"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 xml:space="preserve">3. Cervantes-García E. </w:t>
      </w:r>
      <w:r w:rsidRPr="0021138B">
        <w:rPr>
          <w:rFonts w:eastAsia="MS Mincho"/>
          <w:i/>
          <w:noProof/>
          <w:lang w:val="es-ES" w:eastAsia="es-ES"/>
        </w:rPr>
        <w:t>Helicobacter pylori</w:t>
      </w:r>
      <w:r w:rsidRPr="0021138B">
        <w:rPr>
          <w:rFonts w:eastAsia="MS Mincho"/>
          <w:noProof/>
          <w:lang w:val="es-ES" w:eastAsia="es-ES"/>
        </w:rPr>
        <w:t xml:space="preserve">: mecanismos de patogenicidad. Rev Latinoam Patol Clin Med Lab. 2016 [acceso: 21/06/2019]; 63(2):100-9. Disponible en: </w:t>
      </w:r>
      <w:hyperlink r:id="rId20" w:history="1">
        <w:r w:rsidRPr="0021138B">
          <w:rPr>
            <w:rFonts w:eastAsia="MS Mincho"/>
            <w:noProof/>
            <w:color w:val="0563C1"/>
            <w:u w:val="single"/>
            <w:lang w:val="es-ES" w:eastAsia="es-ES"/>
          </w:rPr>
          <w:t>https://www.medigraphic.com/cáncer gástricoi-bin/new/resumen.cáncer gástricoi?IDARTICULO=66548</w:t>
        </w:r>
      </w:hyperlink>
    </w:p>
    <w:p w14:paraId="221BF2A9" w14:textId="77777777" w:rsidR="0021138B" w:rsidRPr="0021138B" w:rsidRDefault="0021138B" w:rsidP="0021138B">
      <w:pPr>
        <w:spacing w:line="360" w:lineRule="auto"/>
        <w:rPr>
          <w:rFonts w:eastAsia="MS Mincho"/>
          <w:noProof/>
          <w:lang w:val="es-US" w:eastAsia="es-ES"/>
        </w:rPr>
      </w:pPr>
      <w:r w:rsidRPr="0021138B">
        <w:rPr>
          <w:rFonts w:eastAsia="MS Mincho"/>
          <w:noProof/>
          <w:lang w:val="en-US" w:eastAsia="es-ES"/>
        </w:rPr>
        <w:t xml:space="preserve">4. Venerito M, Link A, Rokkas T, Malfertheiner P. Gastric cancer – clinical and epidemiological aspects. </w:t>
      </w:r>
      <w:r w:rsidRPr="0021138B">
        <w:rPr>
          <w:rFonts w:eastAsia="MS Mincho"/>
          <w:i/>
          <w:noProof/>
          <w:lang w:val="es-ES" w:eastAsia="es-ES"/>
        </w:rPr>
        <w:t>Helicobacter</w:t>
      </w:r>
      <w:r w:rsidRPr="0021138B">
        <w:rPr>
          <w:rFonts w:eastAsia="MS Mincho"/>
          <w:noProof/>
          <w:lang w:val="es-ES" w:eastAsia="es-ES"/>
        </w:rPr>
        <w:t xml:space="preserve">. 2016; 21(1):39-44. </w:t>
      </w:r>
      <w:r w:rsidRPr="0021138B">
        <w:rPr>
          <w:rFonts w:eastAsia="MS Mincho"/>
          <w:noProof/>
          <w:lang w:val="es-US" w:eastAsia="es-ES"/>
        </w:rPr>
        <w:t>DOI: 10.1111/hel.12339</w:t>
      </w:r>
    </w:p>
    <w:p w14:paraId="2538F8F7"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5. Contreras B. C, Araya C. J, Guidotti C. F, Vergara M. F, Cabello E. N, Trigo B. F, et al. La alta prevalencia de lesiones premalignas gástricas y el bajo rendimiento diagnóstico de la visión endoscópica son argumentos a favor de la toma sistemática de biopsias gástricas por Protocolo Sydney. Rev Gastroenterol Latinoam. 2018 [</w:t>
      </w:r>
      <w:r w:rsidRPr="0021138B">
        <w:rPr>
          <w:rFonts w:eastAsia="MS Mincho"/>
          <w:noProof/>
          <w:lang w:val="es-US" w:eastAsia="es-ES"/>
        </w:rPr>
        <w:t>acceso: 19/06/</w:t>
      </w:r>
      <w:r w:rsidRPr="0021138B">
        <w:rPr>
          <w:rFonts w:eastAsia="MS Mincho"/>
          <w:noProof/>
          <w:lang w:val="es-ES" w:eastAsia="es-ES"/>
        </w:rPr>
        <w:t>2019</w:t>
      </w:r>
      <w:r w:rsidRPr="0021138B">
        <w:rPr>
          <w:rFonts w:eastAsia="MS Mincho"/>
          <w:noProof/>
          <w:lang w:val="es-US" w:eastAsia="es-ES"/>
        </w:rPr>
        <w:t>]</w:t>
      </w:r>
      <w:r w:rsidRPr="0021138B">
        <w:rPr>
          <w:rFonts w:eastAsia="MS Mincho"/>
          <w:noProof/>
          <w:lang w:val="es-ES" w:eastAsia="es-ES"/>
        </w:rPr>
        <w:t xml:space="preserve">; 29(1):9-15. </w:t>
      </w:r>
      <w:r w:rsidRPr="0021138B">
        <w:rPr>
          <w:rFonts w:eastAsia="MS Mincho"/>
          <w:noProof/>
          <w:lang w:val="es-US" w:eastAsia="es-ES"/>
        </w:rPr>
        <w:t>Disponible en</w:t>
      </w:r>
      <w:r w:rsidRPr="0021138B">
        <w:rPr>
          <w:rFonts w:eastAsia="MS Mincho"/>
          <w:noProof/>
          <w:lang w:val="es-ES" w:eastAsia="es-ES"/>
        </w:rPr>
        <w:t xml:space="preserve">: </w:t>
      </w:r>
      <w:hyperlink r:id="rId21" w:history="1">
        <w:r w:rsidRPr="0021138B">
          <w:rPr>
            <w:rFonts w:eastAsia="MS Mincho"/>
            <w:noProof/>
            <w:color w:val="0563C1"/>
            <w:u w:val="single"/>
            <w:lang w:val="es-ES" w:eastAsia="es-ES"/>
          </w:rPr>
          <w:t>https://gastrolat.org/la-alta-prevalencia-de-lesiones-premalignas-gastricas-y-el-bajo-rendimiento-diagnostico-de-la-vision-endoscopica-son-argumentos-a-favor-de-la-toma-sistematica-de-biopsias-gastricas-por-protocolo-sydne/</w:t>
        </w:r>
      </w:hyperlink>
    </w:p>
    <w:p w14:paraId="15B3DEB8"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 xml:space="preserve">6. Solano Muñoz H, Arroyo Lopez A. Cáncer gástrico, actualidades y perspectivas del futuro. Rev Clin Esc Med. 2016 </w:t>
      </w:r>
      <w:r w:rsidRPr="0021138B">
        <w:rPr>
          <w:rFonts w:eastAsia="MS Mincho"/>
          <w:noProof/>
          <w:lang w:val="es-US" w:eastAsia="es-ES"/>
        </w:rPr>
        <w:t>[acceso:</w:t>
      </w:r>
      <w:r w:rsidRPr="0021138B">
        <w:rPr>
          <w:rFonts w:eastAsia="MS Mincho"/>
          <w:noProof/>
          <w:lang w:val="es-ES" w:eastAsia="es-ES"/>
        </w:rPr>
        <w:t xml:space="preserve"> 31</w:t>
      </w:r>
      <w:r w:rsidRPr="0021138B">
        <w:rPr>
          <w:rFonts w:eastAsia="MS Mincho"/>
          <w:noProof/>
          <w:lang w:val="es-US" w:eastAsia="es-ES"/>
        </w:rPr>
        <w:t>/10/</w:t>
      </w:r>
      <w:r w:rsidRPr="0021138B">
        <w:rPr>
          <w:rFonts w:eastAsia="MS Mincho"/>
          <w:noProof/>
          <w:lang w:val="es-ES" w:eastAsia="es-ES"/>
        </w:rPr>
        <w:t xml:space="preserve">2019]; 6(2):28-38. </w:t>
      </w:r>
      <w:r w:rsidRPr="0021138B">
        <w:rPr>
          <w:rFonts w:eastAsia="MS Mincho"/>
          <w:noProof/>
          <w:lang w:val="es-US" w:eastAsia="es-ES"/>
        </w:rPr>
        <w:t>Disponible en</w:t>
      </w:r>
      <w:r w:rsidRPr="0021138B">
        <w:rPr>
          <w:rFonts w:eastAsia="MS Mincho"/>
          <w:noProof/>
          <w:lang w:val="es-ES" w:eastAsia="es-ES"/>
        </w:rPr>
        <w:t>: https://</w:t>
      </w:r>
      <w:hyperlink r:id="rId22" w:history="1">
        <w:r w:rsidRPr="0021138B">
          <w:rPr>
            <w:rFonts w:eastAsia="MS Mincho"/>
            <w:noProof/>
            <w:color w:val="0563C1"/>
            <w:u w:val="single"/>
            <w:lang w:val="es-ES" w:eastAsia="es-ES"/>
          </w:rPr>
          <w:t>www.medigraphic.com/cáncer gástricoi-bin/new/resumenI.cáncer gástricoi?IDARTICULO=67178</w:t>
        </w:r>
      </w:hyperlink>
    </w:p>
    <w:p w14:paraId="3073FB28"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 xml:space="preserve">7. Rugge M, Meggio A, Pennelli G, Piscioli F, Giacomelli L, De Pretis G, et al. </w:t>
      </w:r>
      <w:r w:rsidRPr="0021138B">
        <w:rPr>
          <w:rFonts w:eastAsia="MS Mincho"/>
          <w:noProof/>
          <w:lang w:val="en-US" w:eastAsia="es-ES"/>
        </w:rPr>
        <w:t xml:space="preserve">Gastritis staging in clinical practice: the OLGA staging system. Gut. 2007 [acceso: 19/06/2019]; 56(5):631-6. </w:t>
      </w:r>
      <w:r w:rsidRPr="0021138B">
        <w:rPr>
          <w:rFonts w:eastAsia="MS Mincho"/>
          <w:noProof/>
          <w:lang w:val="es-US" w:eastAsia="es-ES"/>
        </w:rPr>
        <w:t>Disponible en</w:t>
      </w:r>
      <w:r w:rsidRPr="0021138B">
        <w:rPr>
          <w:rFonts w:eastAsia="MS Mincho"/>
          <w:noProof/>
          <w:lang w:val="es-ES" w:eastAsia="es-ES"/>
        </w:rPr>
        <w:t xml:space="preserve">: </w:t>
      </w:r>
      <w:hyperlink r:id="rId23" w:history="1">
        <w:r w:rsidRPr="0021138B">
          <w:rPr>
            <w:rFonts w:eastAsia="MS Mincho"/>
            <w:noProof/>
            <w:color w:val="0563C1"/>
            <w:u w:val="single"/>
            <w:lang w:val="es-ES" w:eastAsia="es-ES"/>
          </w:rPr>
          <w:t>http://gut.bmj.com/content/56/5/631.abstract</w:t>
        </w:r>
      </w:hyperlink>
    </w:p>
    <w:p w14:paraId="6C76FDDA"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lastRenderedPageBreak/>
        <w:t xml:space="preserve">8. Barca Ruiz JW, Guamán Guamán MI. Validación endoscópica de la cromoendoscopía virtual (FICE) en la detección de lesiones preneoplásicas gástricas vs histopatología [Tesis de residencia]. Quito, Ecuador: Universidad Central del Ecuador, Facultad de Ciencias Médicas; 2018 </w:t>
      </w:r>
      <w:r w:rsidRPr="0021138B">
        <w:rPr>
          <w:rFonts w:eastAsia="MS Mincho"/>
          <w:noProof/>
          <w:lang w:val="es-US" w:eastAsia="es-ES"/>
        </w:rPr>
        <w:t>[acceso: 31/10/</w:t>
      </w:r>
      <w:r w:rsidRPr="0021138B">
        <w:rPr>
          <w:rFonts w:eastAsia="MS Mincho"/>
          <w:noProof/>
          <w:lang w:val="es-ES" w:eastAsia="es-ES"/>
        </w:rPr>
        <w:t>2019</w:t>
      </w:r>
      <w:r w:rsidRPr="0021138B">
        <w:rPr>
          <w:rFonts w:eastAsia="MS Mincho"/>
          <w:noProof/>
          <w:lang w:val="es-US" w:eastAsia="es-ES"/>
        </w:rPr>
        <w:t>]</w:t>
      </w:r>
      <w:r w:rsidRPr="0021138B">
        <w:rPr>
          <w:rFonts w:eastAsia="MS Mincho"/>
          <w:noProof/>
          <w:lang w:val="es-ES" w:eastAsia="es-ES"/>
        </w:rPr>
        <w:t xml:space="preserve">. </w:t>
      </w:r>
      <w:r w:rsidRPr="0021138B">
        <w:rPr>
          <w:rFonts w:eastAsia="MS Mincho"/>
          <w:noProof/>
          <w:lang w:val="es-US" w:eastAsia="es-ES"/>
        </w:rPr>
        <w:t>Disponible en</w:t>
      </w:r>
      <w:r w:rsidRPr="0021138B">
        <w:rPr>
          <w:rFonts w:eastAsia="MS Mincho"/>
          <w:noProof/>
          <w:lang w:val="es-ES" w:eastAsia="es-ES"/>
        </w:rPr>
        <w:t xml:space="preserve">: </w:t>
      </w:r>
      <w:hyperlink r:id="rId24" w:history="1">
        <w:r w:rsidRPr="0021138B">
          <w:rPr>
            <w:rFonts w:eastAsia="MS Mincho"/>
            <w:noProof/>
            <w:color w:val="0563C1"/>
            <w:u w:val="single"/>
            <w:lang w:val="es-ES" w:eastAsia="es-ES"/>
          </w:rPr>
          <w:t>http://www.dspace.uce.edu.ec/handle/25000/16413</w:t>
        </w:r>
      </w:hyperlink>
    </w:p>
    <w:p w14:paraId="2BF5899C"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 xml:space="preserve">9. Ramírez-Mendoza P, Hernández-Briseño L, Casarrubias-Ramírez M, Alvarado-Cabrero I, Ángeles-Garay U. Histopatología de mucosa circundante a cáncer gastric. Rev Med Inst Mex Seguro Soc. 2015 [acceso: 06/08/2020]; 53(5):584-90. Disponible en: </w:t>
      </w:r>
      <w:hyperlink r:id="rId25" w:history="1">
        <w:r w:rsidRPr="0021138B">
          <w:rPr>
            <w:rFonts w:eastAsia="MS Mincho"/>
            <w:noProof/>
            <w:color w:val="0563C1"/>
            <w:u w:val="single"/>
            <w:lang w:val="es-ES" w:eastAsia="es-ES"/>
          </w:rPr>
          <w:t>https://www.medigraphic.com/pdfs/imss/im-2015/im155o.pdf</w:t>
        </w:r>
      </w:hyperlink>
    </w:p>
    <w:p w14:paraId="05ACF16E"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10. Liu Bejarano H. Gastritis crónica atrófica: concordancia endoscópica, histológica, lesiones asociadas y aplicación de la cromoendoscopia virtual. Rev Gastroenterol Perú. 2011</w:t>
      </w:r>
      <w:r w:rsidRPr="0021138B">
        <w:rPr>
          <w:rFonts w:eastAsia="MS Mincho"/>
          <w:noProof/>
          <w:lang w:val="es-US" w:eastAsia="es-ES"/>
        </w:rPr>
        <w:t>[acceso: 31/10/</w:t>
      </w:r>
      <w:r w:rsidRPr="0021138B">
        <w:rPr>
          <w:rFonts w:eastAsia="MS Mincho"/>
          <w:noProof/>
          <w:lang w:val="es-ES" w:eastAsia="es-ES"/>
        </w:rPr>
        <w:t>2019</w:t>
      </w:r>
      <w:r w:rsidRPr="0021138B">
        <w:rPr>
          <w:rFonts w:eastAsia="MS Mincho"/>
          <w:noProof/>
          <w:lang w:val="es-US" w:eastAsia="es-ES"/>
        </w:rPr>
        <w:t>]</w:t>
      </w:r>
      <w:r w:rsidRPr="0021138B">
        <w:rPr>
          <w:rFonts w:eastAsia="MS Mincho"/>
          <w:noProof/>
          <w:lang w:val="es-ES" w:eastAsia="es-ES"/>
        </w:rPr>
        <w:t xml:space="preserve">; 31(2):116-23. </w:t>
      </w:r>
      <w:r w:rsidRPr="0021138B">
        <w:rPr>
          <w:rFonts w:eastAsia="MS Mincho"/>
          <w:noProof/>
          <w:lang w:val="es-US" w:eastAsia="es-ES"/>
        </w:rPr>
        <w:t>Disponible en</w:t>
      </w:r>
      <w:r w:rsidRPr="0021138B">
        <w:rPr>
          <w:rFonts w:eastAsia="MS Mincho"/>
          <w:noProof/>
          <w:lang w:val="es-ES" w:eastAsia="es-ES"/>
        </w:rPr>
        <w:t xml:space="preserve">: </w:t>
      </w:r>
      <w:hyperlink r:id="rId26" w:history="1">
        <w:r w:rsidRPr="0021138B">
          <w:rPr>
            <w:rFonts w:eastAsia="MS Mincho"/>
            <w:noProof/>
            <w:color w:val="0563C1"/>
            <w:u w:val="single"/>
            <w:lang w:val="es-ES" w:eastAsia="es-ES"/>
          </w:rPr>
          <w:t>http://www.scielo.org.pe/scielo.php?script=sci_arttext&amp;pid=S1022-51292011000200005&amp;nrm=iso</w:t>
        </w:r>
      </w:hyperlink>
    </w:p>
    <w:p w14:paraId="56B6AE93"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 xml:space="preserve">11. Martínez D, Otero W, Ricaurte O. Impacto del sistema OLGA en la detección de gastritis crónica atrófica en Colombia: un estudio de casos y controles. Rev Col Gastroenterol. 2016 </w:t>
      </w:r>
      <w:r w:rsidRPr="0021138B">
        <w:rPr>
          <w:rFonts w:eastAsia="MS Mincho"/>
          <w:noProof/>
          <w:lang w:val="es-US" w:eastAsia="es-ES"/>
        </w:rPr>
        <w:t xml:space="preserve">[acceso: </w:t>
      </w:r>
      <w:r w:rsidRPr="0021138B">
        <w:rPr>
          <w:rFonts w:eastAsia="MS Mincho"/>
          <w:noProof/>
          <w:lang w:val="es-ES" w:eastAsia="es-ES"/>
        </w:rPr>
        <w:t>31</w:t>
      </w:r>
      <w:r w:rsidRPr="0021138B">
        <w:rPr>
          <w:rFonts w:eastAsia="MS Mincho"/>
          <w:noProof/>
          <w:lang w:val="es-US" w:eastAsia="es-ES"/>
        </w:rPr>
        <w:t>/10/</w:t>
      </w:r>
      <w:r w:rsidRPr="0021138B">
        <w:rPr>
          <w:rFonts w:eastAsia="MS Mincho"/>
          <w:noProof/>
          <w:lang w:val="es-ES" w:eastAsia="es-ES"/>
        </w:rPr>
        <w:t>2019</w:t>
      </w:r>
      <w:r w:rsidRPr="0021138B">
        <w:rPr>
          <w:rFonts w:eastAsia="MS Mincho"/>
          <w:noProof/>
          <w:lang w:val="es-US" w:eastAsia="es-ES"/>
        </w:rPr>
        <w:t>]</w:t>
      </w:r>
      <w:r w:rsidRPr="0021138B">
        <w:rPr>
          <w:rFonts w:eastAsia="MS Mincho"/>
          <w:noProof/>
          <w:lang w:val="es-ES" w:eastAsia="es-ES"/>
        </w:rPr>
        <w:t xml:space="preserve">; 31(4):360-7. </w:t>
      </w:r>
      <w:r w:rsidRPr="0021138B">
        <w:rPr>
          <w:rFonts w:eastAsia="MS Mincho"/>
          <w:noProof/>
          <w:lang w:val="es-US" w:eastAsia="es-ES"/>
        </w:rPr>
        <w:t>Disponible en</w:t>
      </w:r>
      <w:r w:rsidRPr="0021138B">
        <w:rPr>
          <w:rFonts w:eastAsia="MS Mincho"/>
          <w:noProof/>
          <w:lang w:val="es-ES" w:eastAsia="es-ES"/>
        </w:rPr>
        <w:t>: https://</w:t>
      </w:r>
      <w:hyperlink r:id="rId27" w:history="1">
        <w:r w:rsidRPr="0021138B">
          <w:rPr>
            <w:rFonts w:eastAsia="MS Mincho"/>
            <w:noProof/>
            <w:color w:val="0563C1"/>
            <w:u w:val="single"/>
            <w:lang w:val="es-ES" w:eastAsia="es-ES"/>
          </w:rPr>
          <w:t>www.redalyc.org/jatsRepo/3377/337749741006/index.html</w:t>
        </w:r>
      </w:hyperlink>
    </w:p>
    <w:p w14:paraId="39541E49" w14:textId="77777777" w:rsidR="0021138B" w:rsidRPr="0021138B" w:rsidRDefault="0021138B" w:rsidP="0021138B">
      <w:pPr>
        <w:spacing w:line="360" w:lineRule="auto"/>
        <w:rPr>
          <w:rFonts w:eastAsia="MS Mincho"/>
          <w:noProof/>
          <w:color w:val="0563C1"/>
          <w:u w:val="single"/>
          <w:lang w:val="es-ES" w:eastAsia="es-ES"/>
        </w:rPr>
      </w:pPr>
      <w:r w:rsidRPr="0021138B">
        <w:rPr>
          <w:rFonts w:eastAsia="MS Mincho"/>
          <w:noProof/>
          <w:lang w:val="es-ES" w:eastAsia="es-ES"/>
        </w:rPr>
        <w:t xml:space="preserve">12. García Capote E, Crespo Ramírez E, Guanche Garcell H. Infección por </w:t>
      </w:r>
      <w:r w:rsidRPr="0021138B">
        <w:rPr>
          <w:rFonts w:eastAsia="MS Mincho"/>
          <w:i/>
          <w:noProof/>
          <w:lang w:val="es-ES" w:eastAsia="es-ES"/>
        </w:rPr>
        <w:t>Helicobacter pylori</w:t>
      </w:r>
      <w:r w:rsidRPr="0021138B">
        <w:rPr>
          <w:rFonts w:eastAsia="MS Mincho"/>
          <w:noProof/>
          <w:lang w:val="es-ES" w:eastAsia="es-ES"/>
        </w:rPr>
        <w:t xml:space="preserve"> en pacientes atendidos en consulta de gastroenterología. Rev Ciencias Médicas. 2014 </w:t>
      </w:r>
      <w:r w:rsidRPr="0021138B">
        <w:rPr>
          <w:rFonts w:eastAsia="MS Mincho"/>
          <w:noProof/>
          <w:lang w:val="es-US" w:eastAsia="es-ES"/>
        </w:rPr>
        <w:t>[acceso:</w:t>
      </w:r>
      <w:r w:rsidRPr="0021138B">
        <w:rPr>
          <w:rFonts w:eastAsia="MS Mincho"/>
          <w:noProof/>
          <w:lang w:val="es-ES" w:eastAsia="es-ES"/>
        </w:rPr>
        <w:t xml:space="preserve"> 1</w:t>
      </w:r>
      <w:r w:rsidRPr="0021138B">
        <w:rPr>
          <w:rFonts w:eastAsia="MS Mincho"/>
          <w:noProof/>
          <w:lang w:val="es-US" w:eastAsia="es-ES"/>
        </w:rPr>
        <w:t>/11/2</w:t>
      </w:r>
      <w:r w:rsidRPr="0021138B">
        <w:rPr>
          <w:rFonts w:eastAsia="MS Mincho"/>
          <w:noProof/>
          <w:lang w:val="es-ES" w:eastAsia="es-ES"/>
        </w:rPr>
        <w:t>019</w:t>
      </w:r>
      <w:r w:rsidRPr="0021138B">
        <w:rPr>
          <w:rFonts w:eastAsia="MS Mincho"/>
          <w:noProof/>
          <w:lang w:val="es-US" w:eastAsia="es-ES"/>
        </w:rPr>
        <w:t>]</w:t>
      </w:r>
      <w:r w:rsidRPr="0021138B">
        <w:rPr>
          <w:rFonts w:eastAsia="MS Mincho"/>
          <w:noProof/>
          <w:lang w:val="es-ES" w:eastAsia="es-ES"/>
        </w:rPr>
        <w:t>; 18(3):453-62.</w:t>
      </w:r>
      <w:r w:rsidRPr="0021138B">
        <w:rPr>
          <w:rFonts w:eastAsia="MS Mincho"/>
          <w:noProof/>
          <w:lang w:val="es-US" w:eastAsia="es-ES"/>
        </w:rPr>
        <w:t xml:space="preserve"> Disponible en</w:t>
      </w:r>
      <w:r w:rsidRPr="0021138B">
        <w:rPr>
          <w:rFonts w:eastAsia="MS Mincho"/>
          <w:noProof/>
          <w:lang w:val="es-ES" w:eastAsia="es-ES"/>
        </w:rPr>
        <w:t xml:space="preserve">: </w:t>
      </w:r>
      <w:hyperlink r:id="rId28" w:history="1">
        <w:r w:rsidRPr="0021138B">
          <w:rPr>
            <w:rFonts w:eastAsia="MS Mincho"/>
            <w:noProof/>
            <w:color w:val="0563C1"/>
            <w:u w:val="single"/>
            <w:lang w:val="es-ES" w:eastAsia="es-ES"/>
          </w:rPr>
          <w:t>http://scielo.sld.cu/scielo.php?script=sci_arttext&amp;pid=S1561-31942014000300009&amp;nrm=iso</w:t>
        </w:r>
      </w:hyperlink>
    </w:p>
    <w:p w14:paraId="6B1AAB09"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 xml:space="preserve">13. Piñol Jiménez F, Paniagua Estévez M, Pérez Sánchez G, Gra Oramas B, Cendán Cordoví A, Borbolla Busquets E. Metaplasia intestinal en pacientes con reflujo duodenogástrico y ácidos biliares totales elevados. Rev Cubana Med. 2010 [acceso: 07/11/2022]; 49(1):17-32. Disponible en: </w:t>
      </w:r>
      <w:hyperlink r:id="rId29" w:history="1">
        <w:r w:rsidRPr="0021138B">
          <w:rPr>
            <w:rFonts w:eastAsia="MS Mincho"/>
            <w:noProof/>
            <w:color w:val="0563C1"/>
            <w:u w:val="single"/>
            <w:lang w:val="es-ES" w:eastAsia="es-ES"/>
          </w:rPr>
          <w:t>http://scielo.sld.cu/scielo.php?script=sci_arttext&amp;pid=S0034-75232010000100003&amp;lng=es</w:t>
        </w:r>
      </w:hyperlink>
    </w:p>
    <w:p w14:paraId="79207446"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 xml:space="preserve">14. Mulet Pérez AM, Rodríguez Castro Y, Gámez Escalona MM, Rodríguez González L, Rodríguez Diéguez M, Matos Pérez MJ. Gastritis crónica antral por </w:t>
      </w:r>
      <w:r w:rsidRPr="0021138B">
        <w:rPr>
          <w:rFonts w:eastAsia="MS Mincho"/>
          <w:i/>
          <w:noProof/>
          <w:lang w:val="es-ES" w:eastAsia="es-ES"/>
        </w:rPr>
        <w:t>Helicobacter pylori</w:t>
      </w:r>
      <w:r w:rsidRPr="0021138B">
        <w:rPr>
          <w:rFonts w:eastAsia="MS Mincho"/>
          <w:noProof/>
          <w:lang w:val="es-ES" w:eastAsia="es-ES"/>
        </w:rPr>
        <w:t xml:space="preserve"> en pacientes con y sin reflujo duodenogástrico. CCM. 2014 </w:t>
      </w:r>
      <w:r w:rsidRPr="0021138B">
        <w:rPr>
          <w:rFonts w:eastAsia="MS Mincho"/>
          <w:noProof/>
          <w:lang w:val="es-US" w:eastAsia="es-ES"/>
        </w:rPr>
        <w:t>[acceso:</w:t>
      </w:r>
      <w:r w:rsidRPr="0021138B">
        <w:rPr>
          <w:rFonts w:eastAsia="MS Mincho"/>
          <w:noProof/>
          <w:lang w:val="es-ES" w:eastAsia="es-ES"/>
        </w:rPr>
        <w:t xml:space="preserve"> 21</w:t>
      </w:r>
      <w:r w:rsidRPr="0021138B">
        <w:rPr>
          <w:rFonts w:eastAsia="MS Mincho"/>
          <w:noProof/>
          <w:lang w:val="es-US" w:eastAsia="es-ES"/>
        </w:rPr>
        <w:t>/10/2</w:t>
      </w:r>
      <w:r w:rsidRPr="0021138B">
        <w:rPr>
          <w:rFonts w:eastAsia="MS Mincho"/>
          <w:noProof/>
          <w:lang w:val="es-ES" w:eastAsia="es-ES"/>
        </w:rPr>
        <w:t>018</w:t>
      </w:r>
      <w:r w:rsidRPr="0021138B">
        <w:rPr>
          <w:rFonts w:eastAsia="MS Mincho"/>
          <w:noProof/>
          <w:lang w:val="es-US" w:eastAsia="es-ES"/>
        </w:rPr>
        <w:t>]</w:t>
      </w:r>
      <w:r w:rsidRPr="0021138B">
        <w:rPr>
          <w:rFonts w:eastAsia="MS Mincho"/>
          <w:noProof/>
          <w:lang w:val="es-ES" w:eastAsia="es-ES"/>
        </w:rPr>
        <w:t xml:space="preserve">; 18(1):65-78. </w:t>
      </w:r>
      <w:r w:rsidRPr="0021138B">
        <w:rPr>
          <w:rFonts w:eastAsia="MS Mincho"/>
          <w:noProof/>
          <w:lang w:val="es-US" w:eastAsia="es-ES"/>
        </w:rPr>
        <w:t>Disponible en</w:t>
      </w:r>
      <w:r w:rsidRPr="0021138B">
        <w:rPr>
          <w:rFonts w:eastAsia="MS Mincho"/>
          <w:noProof/>
          <w:lang w:val="es-ES" w:eastAsia="es-ES"/>
        </w:rPr>
        <w:t xml:space="preserve">: </w:t>
      </w:r>
      <w:hyperlink r:id="rId30" w:history="1">
        <w:r w:rsidRPr="0021138B">
          <w:rPr>
            <w:rFonts w:eastAsia="MS Mincho"/>
            <w:noProof/>
            <w:color w:val="0563C1"/>
            <w:u w:val="single"/>
            <w:lang w:val="es-ES" w:eastAsia="es-ES"/>
          </w:rPr>
          <w:t>http://scielo.sld.cu/scielo.php?script=sci_arttext&amp;pid=S1560-43812014000100009&amp;nrm=iso</w:t>
        </w:r>
      </w:hyperlink>
    </w:p>
    <w:p w14:paraId="6D1992F2"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lastRenderedPageBreak/>
        <w:t xml:space="preserve">15. González-Carbajal Pascual M, Hernández Garcés H. </w:t>
      </w:r>
      <w:r w:rsidRPr="0021138B">
        <w:rPr>
          <w:rFonts w:eastAsia="MS Mincho"/>
          <w:i/>
          <w:noProof/>
          <w:lang w:val="es-ES" w:eastAsia="es-ES"/>
        </w:rPr>
        <w:t>Helicobacter pylori</w:t>
      </w:r>
      <w:r w:rsidRPr="0021138B">
        <w:rPr>
          <w:rFonts w:eastAsia="MS Mincho"/>
          <w:noProof/>
          <w:lang w:val="es-ES" w:eastAsia="es-ES"/>
        </w:rPr>
        <w:t xml:space="preserve">: Su importancia como problema de salud en la comunidad. Rev Cub Med Gen Integr. 1998 </w:t>
      </w:r>
      <w:r w:rsidRPr="0021138B">
        <w:rPr>
          <w:rFonts w:eastAsia="MS Mincho"/>
          <w:noProof/>
          <w:lang w:val="es-US" w:eastAsia="es-ES"/>
        </w:rPr>
        <w:t>[acceso:</w:t>
      </w:r>
      <w:r w:rsidRPr="0021138B">
        <w:rPr>
          <w:rFonts w:eastAsia="MS Mincho"/>
          <w:noProof/>
          <w:lang w:val="es-ES" w:eastAsia="es-ES"/>
        </w:rPr>
        <w:t xml:space="preserve"> 01</w:t>
      </w:r>
      <w:r w:rsidRPr="0021138B">
        <w:rPr>
          <w:rFonts w:eastAsia="MS Mincho"/>
          <w:noProof/>
          <w:lang w:val="es-US" w:eastAsia="es-ES"/>
        </w:rPr>
        <w:t>/11/</w:t>
      </w:r>
      <w:r w:rsidRPr="0021138B">
        <w:rPr>
          <w:rFonts w:eastAsia="MS Mincho"/>
          <w:noProof/>
          <w:lang w:val="es-ES" w:eastAsia="es-ES"/>
        </w:rPr>
        <w:t>2019</w:t>
      </w:r>
      <w:r w:rsidRPr="0021138B">
        <w:rPr>
          <w:rFonts w:eastAsia="MS Mincho"/>
          <w:noProof/>
          <w:lang w:val="es-US" w:eastAsia="es-ES"/>
        </w:rPr>
        <w:t>]</w:t>
      </w:r>
      <w:r w:rsidRPr="0021138B">
        <w:rPr>
          <w:rFonts w:eastAsia="MS Mincho"/>
          <w:noProof/>
          <w:lang w:val="es-ES" w:eastAsia="es-ES"/>
        </w:rPr>
        <w:t xml:space="preserve">; 14(6):611-8. </w:t>
      </w:r>
      <w:r w:rsidRPr="0021138B">
        <w:rPr>
          <w:rFonts w:eastAsia="MS Mincho"/>
          <w:noProof/>
          <w:lang w:val="es-US" w:eastAsia="es-ES"/>
        </w:rPr>
        <w:t>Disponible en</w:t>
      </w:r>
      <w:r w:rsidRPr="0021138B">
        <w:rPr>
          <w:rFonts w:eastAsia="MS Mincho"/>
          <w:noProof/>
          <w:lang w:val="es-ES" w:eastAsia="es-ES"/>
        </w:rPr>
        <w:t xml:space="preserve">: </w:t>
      </w:r>
      <w:hyperlink r:id="rId31" w:history="1">
        <w:r w:rsidRPr="0021138B">
          <w:rPr>
            <w:rFonts w:eastAsia="MS Mincho"/>
            <w:noProof/>
            <w:color w:val="0563C1"/>
            <w:u w:val="single"/>
            <w:lang w:val="es-ES" w:eastAsia="es-ES"/>
          </w:rPr>
          <w:t>http://scielo.sld.cu/scielo.php?script=sci_arttext&amp;pid=S0864-21251998000600018&amp;nrm=iso</w:t>
        </w:r>
      </w:hyperlink>
    </w:p>
    <w:p w14:paraId="09272EF3" w14:textId="77777777" w:rsidR="0021138B" w:rsidRPr="0021138B" w:rsidRDefault="0021138B" w:rsidP="0021138B">
      <w:pPr>
        <w:spacing w:line="360" w:lineRule="auto"/>
        <w:rPr>
          <w:rFonts w:eastAsia="MS Mincho"/>
          <w:noProof/>
          <w:lang w:val="es-CU" w:eastAsia="es-ES"/>
        </w:rPr>
      </w:pPr>
      <w:r w:rsidRPr="0021138B">
        <w:rPr>
          <w:rFonts w:eastAsia="MS Mincho"/>
          <w:noProof/>
          <w:lang w:val="en-US" w:eastAsia="es-ES"/>
        </w:rPr>
        <w:t xml:space="preserve">16. Kefeli A, Basyigit S, Yeniova AO, Kefeli TT, Aslan M, Tanas O. Comparison of three different regimens against </w:t>
      </w:r>
      <w:r w:rsidRPr="0021138B">
        <w:rPr>
          <w:rFonts w:eastAsia="MS Mincho"/>
          <w:i/>
          <w:noProof/>
          <w:lang w:val="en-US" w:eastAsia="es-ES"/>
        </w:rPr>
        <w:t>Helicobacter pylori</w:t>
      </w:r>
      <w:r w:rsidRPr="0021138B">
        <w:rPr>
          <w:rFonts w:eastAsia="MS Mincho"/>
          <w:noProof/>
          <w:lang w:val="en-US" w:eastAsia="es-ES"/>
        </w:rPr>
        <w:t xml:space="preserve"> as a first-line treatment: A randomized clinical trial. </w:t>
      </w:r>
      <w:r w:rsidRPr="0021138B">
        <w:rPr>
          <w:rFonts w:eastAsia="MS Mincho"/>
          <w:noProof/>
          <w:lang w:val="es-CU" w:eastAsia="es-ES"/>
        </w:rPr>
        <w:t>Bosn J Basic Med Sci. 2016 [acceso: 01/11/2019]; 16(1):52-7. Disponible en: https://</w:t>
      </w:r>
      <w:hyperlink r:id="rId32" w:history="1">
        <w:r w:rsidRPr="0021138B">
          <w:rPr>
            <w:rFonts w:eastAsia="MS Mincho"/>
            <w:noProof/>
            <w:color w:val="0563C1"/>
            <w:u w:val="single"/>
            <w:lang w:val="es-CU" w:eastAsia="es-ES"/>
          </w:rPr>
          <w:t>www.ncbi.nlm.nih.gov/pubmed/26773183</w:t>
        </w:r>
      </w:hyperlink>
    </w:p>
    <w:p w14:paraId="3F40DC72" w14:textId="77777777" w:rsidR="0021138B" w:rsidRPr="0021138B" w:rsidRDefault="0021138B" w:rsidP="0021138B">
      <w:pPr>
        <w:spacing w:line="360" w:lineRule="auto"/>
        <w:rPr>
          <w:rFonts w:eastAsia="MS Mincho"/>
          <w:noProof/>
          <w:lang w:val="es-ES" w:eastAsia="es-ES"/>
        </w:rPr>
      </w:pPr>
      <w:r w:rsidRPr="0021138B">
        <w:rPr>
          <w:rFonts w:eastAsia="MS Mincho"/>
          <w:noProof/>
          <w:lang w:val="es-CU" w:eastAsia="es-ES"/>
        </w:rPr>
        <w:t xml:space="preserve">17. </w:t>
      </w:r>
      <w:r w:rsidRPr="0021138B">
        <w:rPr>
          <w:rFonts w:eastAsia="MS Mincho"/>
          <w:noProof/>
          <w:lang w:val="es-ES" w:eastAsia="es-ES"/>
        </w:rPr>
        <w:t xml:space="preserve">Sotelo S, Manterola C. Morfología y Repercusiones Diagnóstico-Terapéuticas de las Lesiones Preneoplásicas Gástricas. Int J Morphol. 2019 [acceso: 31/10/2019]; 37(3):917-27. Disponible en: </w:t>
      </w:r>
      <w:hyperlink r:id="rId33" w:history="1">
        <w:r w:rsidRPr="0021138B">
          <w:rPr>
            <w:rFonts w:eastAsia="MS Mincho"/>
            <w:noProof/>
            <w:color w:val="0563C1"/>
            <w:u w:val="single"/>
            <w:lang w:val="es-ES" w:eastAsia="es-ES"/>
          </w:rPr>
          <w:t>https://scielo.conicyt.cl/scielo.php?script=sci_arttext&amp;pid=S0717-95022019000300917&amp;nrm=iso</w:t>
        </w:r>
      </w:hyperlink>
    </w:p>
    <w:p w14:paraId="3655D5C9" w14:textId="77777777" w:rsidR="0021138B" w:rsidRPr="0021138B" w:rsidRDefault="0021138B" w:rsidP="0021138B">
      <w:pPr>
        <w:spacing w:line="360" w:lineRule="auto"/>
        <w:rPr>
          <w:rFonts w:eastAsia="MS Mincho"/>
          <w:noProof/>
          <w:lang w:val="es-ES" w:eastAsia="es-ES"/>
        </w:rPr>
      </w:pPr>
      <w:r w:rsidRPr="0021138B">
        <w:rPr>
          <w:rFonts w:eastAsia="MS Mincho"/>
          <w:noProof/>
          <w:lang w:val="es-ES" w:eastAsia="es-ES"/>
        </w:rPr>
        <w:t xml:space="preserve">18. Sánchez Cuén JA, Irineo Cabrales AB, Bernal Magaña G, Peraza Garay FJ. Regresión de la metaplasia intestinal gástrica tras la erradicación de la infección por Helicobacter pylori en un hospital de México. Rev Esp Enferm Dig. 2016 [acceso: 06/08/2020]; 108(12):770-5. Disponible en: </w:t>
      </w:r>
      <w:hyperlink r:id="rId34" w:history="1">
        <w:r w:rsidRPr="0021138B">
          <w:rPr>
            <w:rFonts w:eastAsia="MS Mincho"/>
            <w:noProof/>
            <w:color w:val="0563C1"/>
            <w:u w:val="single"/>
            <w:lang w:val="es-ES" w:eastAsia="es-ES"/>
          </w:rPr>
          <w:t>http://scielo.isciii.es/pdf/diges/v108n12/es_original2.pdf</w:t>
        </w:r>
      </w:hyperlink>
    </w:p>
    <w:p w14:paraId="15F747BB" w14:textId="77777777" w:rsidR="0021138B" w:rsidRPr="0021138B" w:rsidRDefault="0021138B" w:rsidP="0021138B">
      <w:pPr>
        <w:spacing w:line="360" w:lineRule="auto"/>
        <w:rPr>
          <w:rFonts w:eastAsia="MS Mincho"/>
          <w:noProof/>
          <w:lang w:val="es-CU" w:eastAsia="es-ES"/>
        </w:rPr>
      </w:pPr>
      <w:r w:rsidRPr="0021138B">
        <w:rPr>
          <w:rFonts w:eastAsia="MS Mincho"/>
          <w:noProof/>
          <w:lang w:val="en-US" w:eastAsia="es-ES"/>
        </w:rPr>
        <w:t xml:space="preserve">19. Sumiyama K. Past and current trends in endoscopic diagnosis for early stage gastric cancer in Japan. </w:t>
      </w:r>
      <w:r w:rsidRPr="0021138B">
        <w:rPr>
          <w:rFonts w:eastAsia="MS Mincho"/>
          <w:noProof/>
          <w:lang w:val="es-CU" w:eastAsia="es-ES"/>
        </w:rPr>
        <w:t>Gastric Cancer. 2017; 20(1):20-7. DOI: 10.1007/s10120-016-0659-4</w:t>
      </w:r>
    </w:p>
    <w:p w14:paraId="4A877DE4" w14:textId="77777777" w:rsidR="0021138B" w:rsidRPr="0021138B" w:rsidRDefault="0021138B" w:rsidP="0021138B">
      <w:pPr>
        <w:spacing w:line="360" w:lineRule="auto"/>
        <w:rPr>
          <w:rFonts w:eastAsia="MS Mincho"/>
          <w:noProof/>
          <w:lang w:val="es-ES" w:eastAsia="es-ES"/>
        </w:rPr>
      </w:pPr>
      <w:r w:rsidRPr="0021138B">
        <w:rPr>
          <w:rFonts w:eastAsia="MS Mincho"/>
          <w:noProof/>
          <w:lang w:val="es-CU" w:eastAsia="es-ES"/>
        </w:rPr>
        <w:t xml:space="preserve">20. </w:t>
      </w:r>
      <w:r w:rsidRPr="0021138B">
        <w:rPr>
          <w:rFonts w:eastAsia="MS Mincho"/>
          <w:noProof/>
          <w:lang w:val="es-ES" w:eastAsia="es-ES"/>
        </w:rPr>
        <w:t xml:space="preserve">de la Caridad Romero Pérez T, Abreu Ruiz G, Monzón Fernández AN, Bermejo Bencomo W. Programa Integral para el Control del Cáncer en Cuba. Control del Cáncer en la Atención Primaria de Salud. Experiencias Cubanas. La Habana, Cuba: Editorial de Ciencias Médicas (ECIMED); 2017. </w:t>
      </w:r>
      <w:r w:rsidRPr="0021138B">
        <w:rPr>
          <w:rFonts w:eastAsia="MS Mincho"/>
          <w:noProof/>
          <w:lang w:val="es-US" w:eastAsia="es-ES"/>
        </w:rPr>
        <w:t>[</w:t>
      </w:r>
      <w:r w:rsidRPr="0021138B">
        <w:rPr>
          <w:rFonts w:eastAsia="MS Mincho"/>
          <w:noProof/>
          <w:lang w:val="es-ES" w:eastAsia="es-ES"/>
        </w:rPr>
        <w:t>acceso: 21/06/2018</w:t>
      </w:r>
      <w:r w:rsidRPr="0021138B">
        <w:rPr>
          <w:rFonts w:eastAsia="MS Mincho"/>
          <w:noProof/>
          <w:lang w:val="es-US" w:eastAsia="es-ES"/>
        </w:rPr>
        <w:t>]</w:t>
      </w:r>
      <w:r w:rsidRPr="0021138B">
        <w:rPr>
          <w:rFonts w:eastAsia="MS Mincho"/>
          <w:noProof/>
          <w:lang w:val="es-ES" w:eastAsia="es-ES"/>
        </w:rPr>
        <w:t xml:space="preserve">. Disponible en: </w:t>
      </w:r>
      <w:hyperlink r:id="rId35" w:history="1">
        <w:r w:rsidRPr="0021138B">
          <w:rPr>
            <w:rFonts w:eastAsia="MS Mincho"/>
            <w:noProof/>
            <w:color w:val="0563C1"/>
            <w:u w:val="single"/>
            <w:lang w:val="es-ES" w:eastAsia="es-ES"/>
          </w:rPr>
          <w:t>http://www.paho.org/cub/index.php?option=com_docman&amp;task=doc_download&amp;gid=378&amp;Itemid</w:t>
        </w:r>
      </w:hyperlink>
    </w:p>
    <w:p w14:paraId="4AF56D11" w14:textId="77777777" w:rsidR="0021138B" w:rsidRPr="0021138B" w:rsidRDefault="0021138B" w:rsidP="0021138B">
      <w:pPr>
        <w:spacing w:line="360" w:lineRule="auto"/>
        <w:jc w:val="both"/>
        <w:rPr>
          <w:b/>
          <w:lang w:eastAsia="es-ES"/>
        </w:rPr>
      </w:pPr>
    </w:p>
    <w:p w14:paraId="44660BD4" w14:textId="77777777" w:rsidR="0021138B" w:rsidRPr="0021138B" w:rsidRDefault="0021138B" w:rsidP="0021138B">
      <w:pPr>
        <w:spacing w:line="360" w:lineRule="auto"/>
        <w:jc w:val="both"/>
        <w:rPr>
          <w:b/>
          <w:lang w:eastAsia="es-ES"/>
        </w:rPr>
      </w:pPr>
    </w:p>
    <w:p w14:paraId="19E09803" w14:textId="77777777" w:rsidR="0021138B" w:rsidRPr="0021138B" w:rsidRDefault="0021138B" w:rsidP="0021138B">
      <w:pPr>
        <w:spacing w:line="360" w:lineRule="auto"/>
        <w:jc w:val="center"/>
        <w:rPr>
          <w:b/>
          <w:lang w:eastAsia="es-ES"/>
        </w:rPr>
      </w:pPr>
      <w:r w:rsidRPr="0021138B">
        <w:rPr>
          <w:b/>
          <w:lang w:eastAsia="es-ES"/>
        </w:rPr>
        <w:t>Conflictos de interés</w:t>
      </w:r>
    </w:p>
    <w:p w14:paraId="58347651" w14:textId="77777777" w:rsidR="0021138B" w:rsidRPr="0021138B" w:rsidRDefault="0021138B" w:rsidP="0021138B">
      <w:pPr>
        <w:spacing w:line="360" w:lineRule="auto"/>
        <w:jc w:val="both"/>
        <w:rPr>
          <w:lang w:eastAsia="es-ES"/>
        </w:rPr>
      </w:pPr>
      <w:r w:rsidRPr="0021138B">
        <w:rPr>
          <w:lang w:eastAsia="es-ES"/>
        </w:rPr>
        <w:t>No existen conflictos de intereses.</w:t>
      </w:r>
    </w:p>
    <w:p w14:paraId="6FABE959" w14:textId="77777777" w:rsidR="0021138B" w:rsidRPr="0021138B" w:rsidRDefault="0021138B" w:rsidP="0021138B">
      <w:pPr>
        <w:spacing w:line="360" w:lineRule="auto"/>
        <w:jc w:val="both"/>
        <w:rPr>
          <w:rFonts w:eastAsia="MS Mincho"/>
          <w:noProof/>
          <w:lang w:val="es-ES" w:eastAsia="es-ES"/>
        </w:rPr>
      </w:pPr>
    </w:p>
    <w:p w14:paraId="122EE540" w14:textId="77777777" w:rsidR="003841ED" w:rsidRDefault="003841ED">
      <w:pPr>
        <w:rPr>
          <w:rFonts w:eastAsia="MS Mincho"/>
          <w:b/>
          <w:noProof/>
          <w:lang w:val="es-ES" w:eastAsia="es-ES"/>
        </w:rPr>
      </w:pPr>
      <w:r>
        <w:rPr>
          <w:rFonts w:eastAsia="MS Mincho"/>
          <w:b/>
          <w:noProof/>
          <w:lang w:val="es-ES" w:eastAsia="es-ES"/>
        </w:rPr>
        <w:br w:type="page"/>
      </w:r>
    </w:p>
    <w:p w14:paraId="3123F910" w14:textId="5167B245" w:rsidR="0021138B" w:rsidRPr="0021138B" w:rsidRDefault="0021138B" w:rsidP="0021138B">
      <w:pPr>
        <w:spacing w:line="360" w:lineRule="auto"/>
        <w:jc w:val="center"/>
        <w:rPr>
          <w:rFonts w:eastAsia="MS Mincho"/>
          <w:b/>
          <w:noProof/>
          <w:lang w:val="es-ES" w:eastAsia="es-ES"/>
        </w:rPr>
      </w:pPr>
      <w:r w:rsidRPr="0021138B">
        <w:rPr>
          <w:rFonts w:eastAsia="MS Mincho"/>
          <w:b/>
          <w:noProof/>
          <w:lang w:val="es-ES" w:eastAsia="es-ES"/>
        </w:rPr>
        <w:lastRenderedPageBreak/>
        <w:t>Contribuciones de los autores</w:t>
      </w:r>
    </w:p>
    <w:p w14:paraId="4C16ACDC"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Conceptualización: </w:t>
      </w:r>
      <w:r w:rsidRPr="0021138B">
        <w:rPr>
          <w:rFonts w:eastAsia="Calibri"/>
          <w:i/>
          <w:iCs/>
          <w:color w:val="221E1F"/>
          <w:lang w:val="es-ES" w:eastAsia="en-US"/>
        </w:rPr>
        <w:t>Ludmila Martínez Leyva, Teresita de Jesús Montero González, Felipe Neri Piñol Jiménez.</w:t>
      </w:r>
    </w:p>
    <w:p w14:paraId="1CF249CB"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Análisis formal: </w:t>
      </w:r>
      <w:r w:rsidRPr="0021138B">
        <w:rPr>
          <w:rFonts w:eastAsia="Calibri"/>
          <w:i/>
          <w:iCs/>
          <w:color w:val="221E1F"/>
          <w:lang w:val="es-ES" w:eastAsia="en-US"/>
        </w:rPr>
        <w:t>Ludmila Martínez Leyva, Teresita de Jesús Montero González, Felipe Neri Piñol Jiménez.</w:t>
      </w:r>
    </w:p>
    <w:p w14:paraId="1605AA5E"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Investigación: </w:t>
      </w:r>
      <w:r w:rsidRPr="0021138B">
        <w:rPr>
          <w:rFonts w:eastAsia="Calibri"/>
          <w:i/>
          <w:iCs/>
          <w:color w:val="221E1F"/>
          <w:lang w:val="es-ES" w:eastAsia="en-US"/>
        </w:rPr>
        <w:t>Ludmila Martínez Leyva, Teresita de Jesús Montero González, Felipe Neri Piñol Jiménez, Lilia Martínez Garrido.</w:t>
      </w:r>
    </w:p>
    <w:p w14:paraId="7265A5C5"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Metodología: </w:t>
      </w:r>
      <w:r w:rsidRPr="0021138B">
        <w:rPr>
          <w:rFonts w:eastAsia="Calibri"/>
          <w:i/>
          <w:iCs/>
          <w:color w:val="221E1F"/>
          <w:lang w:val="es-ES" w:eastAsia="en-US"/>
        </w:rPr>
        <w:t>Ludmila Martínez Leyva, Teresita de Jesús Montero González, Felipe Neri Piñol Jiménez, Amada Palomino Besada.</w:t>
      </w:r>
    </w:p>
    <w:p w14:paraId="40957DAA"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Supervisión: </w:t>
      </w:r>
      <w:r w:rsidRPr="0021138B">
        <w:rPr>
          <w:rFonts w:eastAsia="Calibri"/>
          <w:i/>
          <w:iCs/>
          <w:color w:val="221E1F"/>
          <w:lang w:val="es-ES" w:eastAsia="en-US"/>
        </w:rPr>
        <w:t>Ludmila Martínez Leyva, Teresita de Jesús Montero González, Felipe Neri Piñol Jiménez.</w:t>
      </w:r>
    </w:p>
    <w:p w14:paraId="4202A96A"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Redacción – borrador original: </w:t>
      </w:r>
      <w:r w:rsidRPr="0021138B">
        <w:rPr>
          <w:rFonts w:eastAsia="Calibri"/>
          <w:i/>
          <w:iCs/>
          <w:color w:val="221E1F"/>
          <w:lang w:val="es-ES" w:eastAsia="en-US"/>
        </w:rPr>
        <w:t>Ludmila Martínez Leyva, Felipe Neri Piñol Jiménez.</w:t>
      </w:r>
      <w:r w:rsidRPr="0021138B">
        <w:rPr>
          <w:rFonts w:eastAsia="Calibri"/>
          <w:color w:val="221E1F"/>
          <w:lang w:val="es-ES" w:eastAsia="en-US"/>
        </w:rPr>
        <w:t xml:space="preserve"> </w:t>
      </w:r>
    </w:p>
    <w:p w14:paraId="7B2A2C5C" w14:textId="77777777" w:rsidR="0021138B" w:rsidRPr="0021138B" w:rsidRDefault="0021138B" w:rsidP="0021138B">
      <w:pPr>
        <w:autoSpaceDE w:val="0"/>
        <w:autoSpaceDN w:val="0"/>
        <w:adjustRightInd w:val="0"/>
        <w:spacing w:line="360" w:lineRule="auto"/>
        <w:jc w:val="both"/>
        <w:rPr>
          <w:rFonts w:eastAsia="Calibri"/>
          <w:color w:val="221E1F"/>
          <w:lang w:val="es-ES" w:eastAsia="en-US"/>
        </w:rPr>
      </w:pPr>
      <w:r w:rsidRPr="0021138B">
        <w:rPr>
          <w:rFonts w:eastAsia="Calibri"/>
          <w:color w:val="221E1F"/>
          <w:lang w:val="es-ES" w:eastAsia="en-US"/>
        </w:rPr>
        <w:t xml:space="preserve">Redacción – revisión y edición: </w:t>
      </w:r>
      <w:r w:rsidRPr="0021138B">
        <w:rPr>
          <w:rFonts w:eastAsia="Calibri"/>
          <w:i/>
          <w:iCs/>
          <w:color w:val="221E1F"/>
          <w:lang w:val="es-ES" w:eastAsia="en-US"/>
        </w:rPr>
        <w:t>Ludmila Martínez Leyva, Raúl Antonio Brizuela Quintanilla.</w:t>
      </w:r>
    </w:p>
    <w:p w14:paraId="48A25018" w14:textId="77777777" w:rsidR="00675476" w:rsidRPr="0021138B" w:rsidRDefault="00675476" w:rsidP="00EA1FEF">
      <w:pPr>
        <w:pStyle w:val="PDFRevista"/>
        <w:rPr>
          <w:lang w:val="es-ES"/>
        </w:rPr>
      </w:pPr>
    </w:p>
    <w:sectPr w:rsidR="00675476" w:rsidRPr="0021138B" w:rsidSect="00FD3DF8">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2662" w14:textId="77777777" w:rsidR="009C22FA" w:rsidRDefault="009C22FA">
      <w:r>
        <w:separator/>
      </w:r>
    </w:p>
  </w:endnote>
  <w:endnote w:type="continuationSeparator" w:id="0">
    <w:p w14:paraId="0951726E" w14:textId="77777777" w:rsidR="009C22FA" w:rsidRDefault="009C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B2B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4C72A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DC5B" w14:textId="33D7F2ED" w:rsidR="000F3690" w:rsidRPr="00AE044C" w:rsidRDefault="0021138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199E852" wp14:editId="48C11F3B">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51EDE9"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2A76CF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C0B4A3D"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82C0D8E" w14:textId="67AA178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1138B" w:rsidRPr="0021138B">
      <w:rPr>
        <w:rFonts w:ascii="Verdana" w:hAnsi="Verdana"/>
        <w:noProof/>
        <w:sz w:val="18"/>
        <w:szCs w:val="18"/>
        <w:lang w:val="en-US" w:eastAsia="en-US"/>
      </w:rPr>
      <w:drawing>
        <wp:inline distT="0" distB="0" distL="0" distR="0" wp14:anchorId="68726B7A" wp14:editId="4432B081">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1CC0" w14:textId="77777777" w:rsidR="009C22FA" w:rsidRDefault="009C22FA">
      <w:r>
        <w:separator/>
      </w:r>
    </w:p>
  </w:footnote>
  <w:footnote w:type="continuationSeparator" w:id="0">
    <w:p w14:paraId="10BC4EAB" w14:textId="77777777" w:rsidR="009C22FA" w:rsidRDefault="009C2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C3ED" w14:textId="4AE4DE2C" w:rsidR="00CC376A" w:rsidRPr="00AE044C" w:rsidRDefault="0021138B"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02302332</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3454F15" wp14:editId="03FE3932">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51CBB" w14:textId="18563789" w:rsidR="00A477DE" w:rsidRDefault="0021138B">
    <w:r>
      <w:rPr>
        <w:noProof/>
      </w:rPr>
      <mc:AlternateContent>
        <mc:Choice Requires="wps">
          <w:drawing>
            <wp:anchor distT="0" distB="0" distL="114300" distR="114300" simplePos="0" relativeHeight="251654144" behindDoc="0" locked="0" layoutInCell="1" allowOverlap="1" wp14:anchorId="74F7CDAA" wp14:editId="1B5EA114">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36123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D4A66"/>
    <w:multiLevelType w:val="hybridMultilevel"/>
    <w:tmpl w:val="E1A03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64D626B0"/>
    <w:multiLevelType w:val="hybridMultilevel"/>
    <w:tmpl w:val="EF5C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21CEA"/>
    <w:multiLevelType w:val="multilevel"/>
    <w:tmpl w:val="CEF0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01A2C"/>
    <w:multiLevelType w:val="multilevel"/>
    <w:tmpl w:val="A23C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962505">
    <w:abstractNumId w:val="1"/>
  </w:num>
  <w:num w:numId="2" w16cid:durableId="2052416834">
    <w:abstractNumId w:val="0"/>
  </w:num>
  <w:num w:numId="3" w16cid:durableId="1743597023">
    <w:abstractNumId w:val="4"/>
  </w:num>
  <w:num w:numId="4" w16cid:durableId="2085641094">
    <w:abstractNumId w:val="3"/>
  </w:num>
  <w:num w:numId="5" w16cid:durableId="1932079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8B"/>
    <w:rsid w:val="00057F45"/>
    <w:rsid w:val="000C10EF"/>
    <w:rsid w:val="000D3958"/>
    <w:rsid w:val="000F3690"/>
    <w:rsid w:val="001221D1"/>
    <w:rsid w:val="00165CB5"/>
    <w:rsid w:val="00180CE9"/>
    <w:rsid w:val="0021138B"/>
    <w:rsid w:val="00230DD5"/>
    <w:rsid w:val="002329D5"/>
    <w:rsid w:val="00250AE9"/>
    <w:rsid w:val="0027490A"/>
    <w:rsid w:val="002E454B"/>
    <w:rsid w:val="00380D64"/>
    <w:rsid w:val="003841ED"/>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A1DD5"/>
    <w:rsid w:val="009B0917"/>
    <w:rsid w:val="009C22FA"/>
    <w:rsid w:val="009F0F96"/>
    <w:rsid w:val="00A23C0C"/>
    <w:rsid w:val="00A477DE"/>
    <w:rsid w:val="00A71E65"/>
    <w:rsid w:val="00AE044C"/>
    <w:rsid w:val="00B31971"/>
    <w:rsid w:val="00B4380A"/>
    <w:rsid w:val="00B66ECB"/>
    <w:rsid w:val="00C1504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31780"/>
  <w15:docId w15:val="{34EBB050-4AEE-4F2B-B3E2-EF5F2E2A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21138B"/>
    <w:pPr>
      <w:keepNext/>
      <w:spacing w:before="240" w:after="60"/>
      <w:outlineLvl w:val="0"/>
    </w:pPr>
    <w:rPr>
      <w:rFonts w:ascii="Cambria" w:hAnsi="Cambria"/>
      <w:b/>
      <w:bCs/>
      <w:kern w:val="32"/>
      <w:sz w:val="32"/>
      <w:szCs w:val="32"/>
      <w:lang w:val="es-ES" w:eastAsia="es-ES"/>
    </w:rPr>
  </w:style>
  <w:style w:type="paragraph" w:styleId="Ttulo2">
    <w:name w:val="heading 2"/>
    <w:basedOn w:val="Normal"/>
    <w:next w:val="Normal"/>
    <w:link w:val="Ttulo2Car"/>
    <w:uiPriority w:val="9"/>
    <w:semiHidden/>
    <w:unhideWhenUsed/>
    <w:qFormat/>
    <w:rsid w:val="0021138B"/>
    <w:pPr>
      <w:keepNext/>
      <w:spacing w:before="240" w:after="60" w:line="276" w:lineRule="auto"/>
      <w:outlineLvl w:val="1"/>
    </w:pPr>
    <w:rPr>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rsid w:val="0021138B"/>
    <w:rPr>
      <w:rFonts w:ascii="Cambria" w:hAnsi="Cambria"/>
      <w:b/>
      <w:bCs/>
      <w:kern w:val="32"/>
      <w:sz w:val="32"/>
      <w:szCs w:val="32"/>
      <w:lang w:val="es-ES" w:eastAsia="es-ES"/>
    </w:rPr>
  </w:style>
  <w:style w:type="character" w:customStyle="1" w:styleId="Ttulo2Car">
    <w:name w:val="Título 2 Car"/>
    <w:basedOn w:val="Fuentedeprrafopredeter"/>
    <w:link w:val="Ttulo2"/>
    <w:uiPriority w:val="9"/>
    <w:semiHidden/>
    <w:rsid w:val="0021138B"/>
    <w:rPr>
      <w:b/>
      <w:bCs/>
      <w:i/>
      <w:iCs/>
      <w:sz w:val="28"/>
      <w:szCs w:val="28"/>
      <w:lang w:val="es-ES" w:eastAsia="es-ES"/>
    </w:rPr>
  </w:style>
  <w:style w:type="numbering" w:customStyle="1" w:styleId="Sinlista1">
    <w:name w:val="Sin lista1"/>
    <w:next w:val="Sinlista"/>
    <w:uiPriority w:val="99"/>
    <w:semiHidden/>
    <w:unhideWhenUsed/>
    <w:rsid w:val="0021138B"/>
  </w:style>
  <w:style w:type="character" w:styleId="Refdecomentario">
    <w:name w:val="annotation reference"/>
    <w:uiPriority w:val="99"/>
    <w:semiHidden/>
    <w:unhideWhenUsed/>
    <w:rsid w:val="0021138B"/>
    <w:rPr>
      <w:sz w:val="16"/>
      <w:szCs w:val="16"/>
    </w:rPr>
  </w:style>
  <w:style w:type="paragraph" w:styleId="Textocomentario">
    <w:name w:val="annotation text"/>
    <w:basedOn w:val="Normal"/>
    <w:link w:val="TextocomentarioCar"/>
    <w:uiPriority w:val="99"/>
    <w:unhideWhenUsed/>
    <w:qFormat/>
    <w:rsid w:val="0021138B"/>
    <w:pPr>
      <w:spacing w:after="200" w:line="276" w:lineRule="auto"/>
    </w:pPr>
    <w:rPr>
      <w:rFonts w:ascii="Calibri" w:eastAsia="Calibri" w:hAnsi="Calibri"/>
      <w:sz w:val="20"/>
      <w:szCs w:val="20"/>
      <w:lang w:val="en-US" w:eastAsia="en-US"/>
    </w:rPr>
  </w:style>
  <w:style w:type="character" w:customStyle="1" w:styleId="TextocomentarioCar">
    <w:name w:val="Texto comentario Car"/>
    <w:basedOn w:val="Fuentedeprrafopredeter"/>
    <w:link w:val="Textocomentario"/>
    <w:uiPriority w:val="99"/>
    <w:qFormat/>
    <w:rsid w:val="0021138B"/>
    <w:rPr>
      <w:rFonts w:ascii="Calibri" w:eastAsia="Calibri" w:hAnsi="Calibri"/>
      <w:lang w:val="en-US" w:eastAsia="en-US"/>
    </w:rPr>
  </w:style>
  <w:style w:type="paragraph" w:customStyle="1" w:styleId="elsevierstylepara">
    <w:name w:val="elsevierstylepara"/>
    <w:basedOn w:val="Normal"/>
    <w:rsid w:val="0021138B"/>
    <w:pPr>
      <w:spacing w:before="100" w:beforeAutospacing="1" w:after="100" w:afterAutospacing="1"/>
    </w:pPr>
    <w:rPr>
      <w:lang w:val="es-ES" w:eastAsia="es-ES"/>
    </w:rPr>
  </w:style>
  <w:style w:type="paragraph" w:styleId="HTMLconformatoprevio">
    <w:name w:val="HTML Preformatted"/>
    <w:basedOn w:val="Normal"/>
    <w:link w:val="HTMLconformatoprevioCar"/>
    <w:uiPriority w:val="99"/>
    <w:unhideWhenUsed/>
    <w:rsid w:val="0021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21138B"/>
    <w:rPr>
      <w:rFonts w:ascii="Courier New" w:hAnsi="Courier New"/>
      <w:lang w:val="es-ES" w:eastAsia="es-ES"/>
    </w:rPr>
  </w:style>
  <w:style w:type="paragraph" w:customStyle="1" w:styleId="EndNoteBibliography">
    <w:name w:val="EndNote Bibliography"/>
    <w:basedOn w:val="Normal"/>
    <w:link w:val="EndNoteBibliographyCar"/>
    <w:rsid w:val="0021138B"/>
    <w:rPr>
      <w:rFonts w:eastAsia="MS Mincho"/>
      <w:noProof/>
      <w:lang w:val="es-ES" w:eastAsia="es-ES"/>
    </w:rPr>
  </w:style>
  <w:style w:type="character" w:customStyle="1" w:styleId="EndNoteBibliographyCar">
    <w:name w:val="EndNote Bibliography Car"/>
    <w:link w:val="EndNoteBibliography"/>
    <w:rsid w:val="0021138B"/>
    <w:rPr>
      <w:rFonts w:eastAsia="MS Mincho"/>
      <w:noProof/>
      <w:sz w:val="24"/>
      <w:szCs w:val="24"/>
      <w:lang w:val="es-ES" w:eastAsia="es-ES"/>
    </w:rPr>
  </w:style>
  <w:style w:type="paragraph" w:customStyle="1" w:styleId="style3">
    <w:name w:val="style3"/>
    <w:basedOn w:val="Normal"/>
    <w:rsid w:val="0021138B"/>
    <w:pPr>
      <w:spacing w:before="100" w:beforeAutospacing="1" w:after="100" w:afterAutospacing="1"/>
    </w:pPr>
    <w:rPr>
      <w:lang w:val="es-ES" w:eastAsia="es-ES"/>
    </w:rPr>
  </w:style>
  <w:style w:type="character" w:styleId="Textoennegrita">
    <w:name w:val="Strong"/>
    <w:uiPriority w:val="22"/>
    <w:qFormat/>
    <w:rsid w:val="0021138B"/>
    <w:rPr>
      <w:b/>
      <w:bCs/>
    </w:rPr>
  </w:style>
  <w:style w:type="paragraph" w:styleId="Prrafodelista">
    <w:name w:val="List Paragraph"/>
    <w:basedOn w:val="Normal"/>
    <w:uiPriority w:val="34"/>
    <w:qFormat/>
    <w:rsid w:val="0021138B"/>
    <w:pPr>
      <w:spacing w:after="200" w:line="276" w:lineRule="auto"/>
      <w:ind w:left="720"/>
      <w:contextualSpacing/>
    </w:pPr>
    <w:rPr>
      <w:rFonts w:ascii="Calibri" w:hAnsi="Calibri"/>
      <w:sz w:val="22"/>
      <w:szCs w:val="22"/>
      <w:lang w:val="es-ES" w:eastAsia="es-ES"/>
    </w:rPr>
  </w:style>
  <w:style w:type="paragraph" w:styleId="Asuntodelcomentario">
    <w:name w:val="annotation subject"/>
    <w:basedOn w:val="Textocomentario"/>
    <w:next w:val="Textocomentario"/>
    <w:link w:val="AsuntodelcomentarioCar"/>
    <w:uiPriority w:val="99"/>
    <w:semiHidden/>
    <w:unhideWhenUsed/>
    <w:rsid w:val="0021138B"/>
    <w:rPr>
      <w:b/>
      <w:bCs/>
    </w:rPr>
  </w:style>
  <w:style w:type="character" w:customStyle="1" w:styleId="AsuntodelcomentarioCar">
    <w:name w:val="Asunto del comentario Car"/>
    <w:basedOn w:val="TextocomentarioCar"/>
    <w:link w:val="Asuntodelcomentario"/>
    <w:uiPriority w:val="99"/>
    <w:semiHidden/>
    <w:rsid w:val="0021138B"/>
    <w:rPr>
      <w:rFonts w:ascii="Calibri" w:eastAsia="Calibri" w:hAnsi="Calibri"/>
      <w:b/>
      <w:bCs/>
      <w:lang w:val="en-US" w:eastAsia="en-US"/>
    </w:rPr>
  </w:style>
  <w:style w:type="paragraph" w:customStyle="1" w:styleId="Epgrafe1">
    <w:name w:val="Epígrafe1"/>
    <w:basedOn w:val="Normal"/>
    <w:next w:val="Normal"/>
    <w:uiPriority w:val="35"/>
    <w:unhideWhenUsed/>
    <w:qFormat/>
    <w:rsid w:val="0021138B"/>
    <w:pPr>
      <w:spacing w:after="200" w:line="276" w:lineRule="auto"/>
    </w:pPr>
    <w:rPr>
      <w:rFonts w:ascii="Calibri" w:hAnsi="Calibri"/>
      <w:b/>
      <w:bCs/>
      <w:sz w:val="20"/>
      <w:szCs w:val="20"/>
      <w:lang w:val="es-ES" w:eastAsia="es-ES"/>
    </w:rPr>
  </w:style>
  <w:style w:type="table" w:customStyle="1" w:styleId="Tablaconcuadrcula1">
    <w:name w:val="Tabla con cuadrícula1"/>
    <w:basedOn w:val="Tablanormal"/>
    <w:next w:val="Tablaconcuadrcula"/>
    <w:uiPriority w:val="59"/>
    <w:rsid w:val="0021138B"/>
    <w:rPr>
      <w:rFonts w:ascii="Calibri" w:hAnsi="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rcid-id-https">
    <w:name w:val="orcid-id-https"/>
    <w:basedOn w:val="Fuentedeprrafopredeter"/>
    <w:rsid w:val="0021138B"/>
  </w:style>
  <w:style w:type="character" w:customStyle="1" w:styleId="jlqj4b">
    <w:name w:val="jlqj4b"/>
    <w:basedOn w:val="Fuentedeprrafopredeter"/>
    <w:rsid w:val="0021138B"/>
  </w:style>
  <w:style w:type="character" w:customStyle="1" w:styleId="viiyi">
    <w:name w:val="viiyi"/>
    <w:basedOn w:val="Fuentedeprrafopredeter"/>
    <w:rsid w:val="0021138B"/>
  </w:style>
  <w:style w:type="paragraph" w:styleId="Revisin">
    <w:name w:val="Revision"/>
    <w:hidden/>
    <w:uiPriority w:val="99"/>
    <w:semiHidden/>
    <w:rsid w:val="0021138B"/>
    <w:rPr>
      <w:rFonts w:ascii="Calibri" w:hAnsi="Calibr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372-6791" TargetMode="External"/><Relationship Id="rId13" Type="http://schemas.openxmlformats.org/officeDocument/2006/relationships/hyperlink" Target="mailto:ludmila@infomed.sld.cu" TargetMode="External"/><Relationship Id="rId18" Type="http://schemas.openxmlformats.org/officeDocument/2006/relationships/hyperlink" Target="http://www.scielo.org.pe/scielo.php?script=sci_arttext&amp;pid=S1022-51292018000100009&amp;nrm=iso" TargetMode="External"/><Relationship Id="rId26" Type="http://schemas.openxmlformats.org/officeDocument/2006/relationships/hyperlink" Target="http://www.scielo.org.pe/scielo.php?script=sci_arttext&amp;pid=S1022-51292011000200005&amp;nrm=iso"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astrolat.org/la-alta-prevalencia-de-lesiones-premalignas-gastricas-y-el-bajo-rendimiento-diagnostico-de-la-vision-endoscopica-son-argumentos-a-favor-de-la-toma-sistematica-de-biopsias-gastricas-por-protocolo-sydne/" TargetMode="External"/><Relationship Id="rId34" Type="http://schemas.openxmlformats.org/officeDocument/2006/relationships/hyperlink" Target="http://scielo.isciii.es/pdf/diges/v108n12/es_original2.pdf" TargetMode="External"/><Relationship Id="rId7" Type="http://schemas.openxmlformats.org/officeDocument/2006/relationships/hyperlink" Target="https://orcid.org/0000-0002-4333-4030" TargetMode="External"/><Relationship Id="rId12" Type="http://schemas.openxmlformats.org/officeDocument/2006/relationships/hyperlink" Target="https://orcid.org/0000-0002-8066-985X" TargetMode="External"/><Relationship Id="rId17" Type="http://schemas.openxmlformats.org/officeDocument/2006/relationships/image" Target="media/image4.png"/><Relationship Id="rId25" Type="http://schemas.openxmlformats.org/officeDocument/2006/relationships/hyperlink" Target="https://www.medigraphic.com/pdfs/imss/im-2015/im155o.pdf" TargetMode="External"/><Relationship Id="rId33" Type="http://schemas.openxmlformats.org/officeDocument/2006/relationships/hyperlink" Target="https://scielo.conicyt.cl/scielo.php?script=sci_arttext&amp;pid=S0717-95022019000300917&amp;nrm=iso"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medigraphic.com/c&#225;ncer%20g&#225;stricoi-bin/new/resumen.c&#225;ncer%20g&#225;stricoi?IDARTICULO=66548" TargetMode="External"/><Relationship Id="rId29" Type="http://schemas.openxmlformats.org/officeDocument/2006/relationships/hyperlink" Target="http://scielo.sld.cu/scielo.php?script=sci_arttext&amp;pid=S0034-75232010000100003&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581-7693" TargetMode="External"/><Relationship Id="rId24" Type="http://schemas.openxmlformats.org/officeDocument/2006/relationships/hyperlink" Target="http://www.dspace.uce.edu.ec/handle/25000/16413" TargetMode="External"/><Relationship Id="rId32" Type="http://schemas.openxmlformats.org/officeDocument/2006/relationships/hyperlink" Target="http://www.ncbi.nlm.nih.gov/pubmed/26773183"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gut.bmj.com/content/56/5/631.abstract" TargetMode="External"/><Relationship Id="rId28" Type="http://schemas.openxmlformats.org/officeDocument/2006/relationships/hyperlink" Target="http://scielo.sld.cu/scielo.php?script=sci_arttext&amp;pid=S1561-31942014000300009&amp;nrm=iso" TargetMode="External"/><Relationship Id="rId36" Type="http://schemas.openxmlformats.org/officeDocument/2006/relationships/header" Target="header1.xml"/><Relationship Id="rId10" Type="http://schemas.openxmlformats.org/officeDocument/2006/relationships/hyperlink" Target="https://orcid.org/0000-0002-1613-7883" TargetMode="External"/><Relationship Id="rId19" Type="http://schemas.openxmlformats.org/officeDocument/2006/relationships/hyperlink" Target="http://www.scielo.org.co/scielo.php?script=sci_arttext&amp;pid=S0120-41572019000500125&amp;nrm=iso" TargetMode="External"/><Relationship Id="rId31" Type="http://schemas.openxmlformats.org/officeDocument/2006/relationships/hyperlink" Target="http://scielo.sld.cu/scielo.php?script=sci_arttext&amp;pid=S0864-21251998000600018&amp;nrm=iso" TargetMode="External"/><Relationship Id="rId4" Type="http://schemas.openxmlformats.org/officeDocument/2006/relationships/webSettings" Target="webSettings.xml"/><Relationship Id="rId9" Type="http://schemas.openxmlformats.org/officeDocument/2006/relationships/hyperlink" Target="https://orcid.org/0000-0003-0522-8875" TargetMode="External"/><Relationship Id="rId14" Type="http://schemas.openxmlformats.org/officeDocument/2006/relationships/image" Target="media/image1.png"/><Relationship Id="rId22" Type="http://schemas.openxmlformats.org/officeDocument/2006/relationships/hyperlink" Target="http://www.medigraphic.com/cgi-bin/new/resumenI.cgi?IDARTICULO=67178" TargetMode="External"/><Relationship Id="rId27" Type="http://schemas.openxmlformats.org/officeDocument/2006/relationships/hyperlink" Target="http://www.redalyc.org/jatsRepo/3377/337749741006/index.html" TargetMode="External"/><Relationship Id="rId30" Type="http://schemas.openxmlformats.org/officeDocument/2006/relationships/hyperlink" Target="http://scielo.sld.cu/scielo.php?script=sci_arttext&amp;pid=S1560-43812014000100009&amp;nrm=iso" TargetMode="External"/><Relationship Id="rId35" Type="http://schemas.openxmlformats.org/officeDocument/2006/relationships/hyperlink" Target="http://www.paho.org/cub/index.php?option=com_docman&amp;task=doc_download&amp;gid=378&amp;Itemid"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15</Pages>
  <Words>4501</Words>
  <Characters>24760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29203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9</cp:revision>
  <cp:lastPrinted>2023-01-01T16:53:00Z</cp:lastPrinted>
  <dcterms:created xsi:type="dcterms:W3CDTF">2022-12-29T17:49:00Z</dcterms:created>
  <dcterms:modified xsi:type="dcterms:W3CDTF">2023-01-01T16:54:00Z</dcterms:modified>
</cp:coreProperties>
</file>