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EFEB" w14:textId="77777777" w:rsidR="00DD69A8" w:rsidRPr="00DD69A8" w:rsidRDefault="00DD69A8" w:rsidP="00DD69A8">
      <w:pPr>
        <w:spacing w:line="360" w:lineRule="auto"/>
        <w:jc w:val="right"/>
        <w:rPr>
          <w:bCs/>
          <w:sz w:val="20"/>
          <w:szCs w:val="20"/>
          <w:lang w:val="en-US" w:eastAsia="en-US"/>
        </w:rPr>
      </w:pPr>
      <w:r w:rsidRPr="00DD69A8">
        <w:rPr>
          <w:bCs/>
          <w:sz w:val="20"/>
          <w:szCs w:val="20"/>
          <w:lang w:val="en-US" w:eastAsia="en-US"/>
        </w:rPr>
        <w:t>Research Article</w:t>
      </w:r>
    </w:p>
    <w:p w14:paraId="39B004CE" w14:textId="77777777" w:rsidR="00DD69A8" w:rsidRPr="00DD69A8" w:rsidRDefault="00DD69A8" w:rsidP="00DD69A8">
      <w:pPr>
        <w:spacing w:line="360" w:lineRule="auto"/>
        <w:jc w:val="right"/>
        <w:rPr>
          <w:b/>
          <w:lang w:val="en-US" w:eastAsia="en-US"/>
        </w:rPr>
      </w:pPr>
    </w:p>
    <w:p w14:paraId="30B5252F" w14:textId="77777777" w:rsidR="00DD69A8" w:rsidRPr="00DD69A8" w:rsidRDefault="00DD69A8" w:rsidP="00DD69A8">
      <w:pPr>
        <w:spacing w:line="360" w:lineRule="auto"/>
        <w:jc w:val="center"/>
        <w:rPr>
          <w:b/>
          <w:sz w:val="28"/>
          <w:szCs w:val="28"/>
          <w:lang w:val="en-US" w:eastAsia="en-US"/>
        </w:rPr>
      </w:pPr>
      <w:r w:rsidRPr="00DD69A8">
        <w:rPr>
          <w:b/>
          <w:sz w:val="28"/>
          <w:szCs w:val="28"/>
          <w:lang w:val="en-US" w:eastAsia="en-US"/>
        </w:rPr>
        <w:t>Serum free light-chain concentration and relationship with some characteristics of patients with multiple myeloma</w:t>
      </w:r>
    </w:p>
    <w:p w14:paraId="30604774" w14:textId="77777777" w:rsidR="00DD69A8" w:rsidRPr="00DD69A8" w:rsidRDefault="00DD69A8" w:rsidP="00DD69A8">
      <w:pPr>
        <w:spacing w:line="360" w:lineRule="auto"/>
        <w:jc w:val="center"/>
        <w:rPr>
          <w:sz w:val="28"/>
          <w:szCs w:val="28"/>
          <w:lang w:val="es-CU" w:eastAsia="en-US"/>
        </w:rPr>
      </w:pPr>
      <w:r w:rsidRPr="00DD69A8">
        <w:rPr>
          <w:sz w:val="28"/>
          <w:szCs w:val="28"/>
          <w:lang w:val="es-CU" w:eastAsia="en-US"/>
        </w:rPr>
        <w:t>Concentración de cadenas ligeras libres en el suero y relación con algunas características de pacientes con mieloma múltiple</w:t>
      </w:r>
    </w:p>
    <w:p w14:paraId="78A1FCA3" w14:textId="77777777" w:rsidR="00DD69A8" w:rsidRPr="00DD69A8" w:rsidRDefault="00DD69A8" w:rsidP="00DD69A8">
      <w:pPr>
        <w:widowControl w:val="0"/>
        <w:spacing w:line="360" w:lineRule="auto"/>
        <w:jc w:val="both"/>
        <w:rPr>
          <w:color w:val="000000"/>
          <w:lang w:val="es-CU" w:eastAsia="en-US"/>
        </w:rPr>
      </w:pPr>
    </w:p>
    <w:p w14:paraId="7965EEB3" w14:textId="77777777" w:rsidR="00DD69A8" w:rsidRPr="00DD69A8" w:rsidRDefault="00DD69A8" w:rsidP="00DD69A8">
      <w:pPr>
        <w:widowControl w:val="0"/>
        <w:spacing w:line="360" w:lineRule="auto"/>
        <w:jc w:val="both"/>
        <w:rPr>
          <w:color w:val="000000"/>
          <w:vertAlign w:val="superscript"/>
          <w:lang w:val="en-US" w:eastAsia="en-US"/>
        </w:rPr>
      </w:pPr>
      <w:r w:rsidRPr="00DD69A8">
        <w:rPr>
          <w:color w:val="000000"/>
          <w:lang w:val="en-US" w:eastAsia="en-US"/>
        </w:rPr>
        <w:t xml:space="preserve">Phan Nguyen Thanh </w:t>
      </w:r>
      <w:proofErr w:type="spellStart"/>
      <w:r w:rsidRPr="00DD69A8">
        <w:rPr>
          <w:color w:val="000000"/>
          <w:lang w:val="en-US" w:eastAsia="en-US"/>
        </w:rPr>
        <w:t>Van</w:t>
      </w:r>
      <w:r w:rsidRPr="00DD69A8">
        <w:rPr>
          <w:color w:val="000000"/>
          <w:vertAlign w:val="superscript"/>
          <w:lang w:val="en-US" w:eastAsia="en-US"/>
        </w:rPr>
        <w:t>1</w:t>
      </w:r>
      <w:proofErr w:type="spellEnd"/>
      <w:r w:rsidRPr="00DD69A8">
        <w:rPr>
          <w:color w:val="000000"/>
          <w:lang w:val="en-US" w:eastAsia="en-US"/>
        </w:rPr>
        <w:t>*</w:t>
      </w:r>
      <w:r w:rsidRPr="00DD69A8">
        <w:rPr>
          <w:color w:val="000000"/>
          <w:vertAlign w:val="superscript"/>
          <w:lang w:val="en-US" w:eastAsia="en-US"/>
        </w:rPr>
        <w:t xml:space="preserve"> </w:t>
      </w:r>
      <w:hyperlink r:id="rId7" w:history="1">
        <w:r w:rsidRPr="00DD69A8">
          <w:rPr>
            <w:color w:val="0563C1"/>
            <w:u w:val="single"/>
            <w:lang w:val="en-US" w:eastAsia="en-US"/>
          </w:rPr>
          <w:t>https://orcid.org/0000-0002-9018-9075</w:t>
        </w:r>
      </w:hyperlink>
      <w:r w:rsidRPr="00DD69A8">
        <w:rPr>
          <w:lang w:val="en-US" w:eastAsia="en-US"/>
        </w:rPr>
        <w:t xml:space="preserve"> </w:t>
      </w:r>
    </w:p>
    <w:p w14:paraId="56834209" w14:textId="77777777" w:rsidR="00DD69A8" w:rsidRPr="00DD69A8" w:rsidRDefault="00DD69A8" w:rsidP="00DD69A8">
      <w:pPr>
        <w:spacing w:line="360" w:lineRule="auto"/>
        <w:jc w:val="both"/>
        <w:rPr>
          <w:rFonts w:eastAsia="Yu Mincho"/>
          <w:color w:val="0563C1"/>
          <w:u w:val="single"/>
          <w:lang w:val="en-US" w:eastAsia="en-US"/>
        </w:rPr>
      </w:pPr>
      <w:r w:rsidRPr="00DD69A8">
        <w:rPr>
          <w:color w:val="000000"/>
          <w:lang w:val="en-US" w:eastAsia="en-US"/>
        </w:rPr>
        <w:t xml:space="preserve">Cao </w:t>
      </w:r>
      <w:proofErr w:type="spellStart"/>
      <w:r w:rsidRPr="00DD69A8">
        <w:rPr>
          <w:color w:val="000000"/>
          <w:lang w:val="en-US" w:eastAsia="en-US"/>
        </w:rPr>
        <w:t>Thi</w:t>
      </w:r>
      <w:proofErr w:type="spellEnd"/>
      <w:r w:rsidRPr="00DD69A8">
        <w:rPr>
          <w:color w:val="000000"/>
          <w:lang w:val="en-US" w:eastAsia="en-US"/>
        </w:rPr>
        <w:t xml:space="preserve"> </w:t>
      </w:r>
      <w:proofErr w:type="spellStart"/>
      <w:r w:rsidRPr="00DD69A8">
        <w:rPr>
          <w:color w:val="000000"/>
          <w:lang w:val="en-US" w:eastAsia="en-US"/>
        </w:rPr>
        <w:t>Loc</w:t>
      </w:r>
      <w:r w:rsidRPr="00DD69A8">
        <w:rPr>
          <w:color w:val="000000"/>
          <w:vertAlign w:val="superscript"/>
          <w:lang w:val="en-US" w:eastAsia="en-US"/>
        </w:rPr>
        <w:t>2</w:t>
      </w:r>
      <w:proofErr w:type="spellEnd"/>
      <w:r w:rsidRPr="00DD69A8">
        <w:rPr>
          <w:color w:val="000000"/>
          <w:vertAlign w:val="superscript"/>
          <w:lang w:val="en-US" w:eastAsia="en-US"/>
        </w:rPr>
        <w:t xml:space="preserve"> </w:t>
      </w:r>
      <w:hyperlink r:id="rId8" w:history="1">
        <w:r w:rsidRPr="00DD69A8">
          <w:rPr>
            <w:rFonts w:eastAsia="Yu Mincho"/>
            <w:color w:val="0563C1"/>
            <w:u w:val="single"/>
            <w:lang w:val="en-US" w:eastAsia="en-US"/>
          </w:rPr>
          <w:t>https://orcid.org/0000-0002-6155-2648</w:t>
        </w:r>
      </w:hyperlink>
      <w:r w:rsidRPr="00DD69A8">
        <w:rPr>
          <w:rFonts w:eastAsia="Yu Mincho"/>
          <w:lang w:val="en-US" w:eastAsia="en-US"/>
        </w:rPr>
        <w:t xml:space="preserve"> </w:t>
      </w:r>
    </w:p>
    <w:p w14:paraId="04893A99" w14:textId="77777777" w:rsidR="00DD69A8" w:rsidRPr="00DD69A8" w:rsidRDefault="00DD69A8" w:rsidP="00DD69A8">
      <w:pPr>
        <w:spacing w:line="360" w:lineRule="auto"/>
        <w:jc w:val="both"/>
        <w:rPr>
          <w:lang w:val="en-US" w:eastAsia="en-US"/>
        </w:rPr>
      </w:pPr>
      <w:r w:rsidRPr="00DD69A8">
        <w:rPr>
          <w:lang w:val="en-US" w:eastAsia="en-US"/>
        </w:rPr>
        <w:t xml:space="preserve">Tong Duc </w:t>
      </w:r>
      <w:proofErr w:type="spellStart"/>
      <w:r w:rsidRPr="00DD69A8">
        <w:rPr>
          <w:lang w:val="en-US" w:eastAsia="en-US"/>
        </w:rPr>
        <w:t>Minh</w:t>
      </w:r>
      <w:r w:rsidRPr="00DD69A8">
        <w:rPr>
          <w:vertAlign w:val="superscript"/>
          <w:lang w:val="en-US" w:eastAsia="en-US"/>
        </w:rPr>
        <w:t>3</w:t>
      </w:r>
      <w:proofErr w:type="spellEnd"/>
      <w:r w:rsidRPr="00DD69A8">
        <w:rPr>
          <w:lang w:val="en-US" w:eastAsia="en-US"/>
        </w:rPr>
        <w:t xml:space="preserve"> </w:t>
      </w:r>
      <w:hyperlink r:id="rId9" w:history="1">
        <w:r w:rsidRPr="00DD69A8">
          <w:rPr>
            <w:color w:val="0563C1"/>
            <w:u w:val="single"/>
            <w:lang w:val="en-US" w:eastAsia="en-US"/>
          </w:rPr>
          <w:t>https://orcid.org/0000-0001-5449-0832</w:t>
        </w:r>
      </w:hyperlink>
      <w:r w:rsidRPr="00DD69A8">
        <w:rPr>
          <w:lang w:val="en-US" w:eastAsia="en-US"/>
        </w:rPr>
        <w:t xml:space="preserve">  </w:t>
      </w:r>
    </w:p>
    <w:p w14:paraId="1F99C591" w14:textId="77777777" w:rsidR="00DD69A8" w:rsidRPr="00DD69A8" w:rsidRDefault="00DD69A8" w:rsidP="00DD69A8">
      <w:pPr>
        <w:spacing w:line="360" w:lineRule="auto"/>
        <w:jc w:val="both"/>
        <w:rPr>
          <w:lang w:val="en-US" w:eastAsia="en-US"/>
        </w:rPr>
      </w:pPr>
      <w:r w:rsidRPr="00DD69A8">
        <w:rPr>
          <w:lang w:val="en-US" w:eastAsia="en-US"/>
        </w:rPr>
        <w:t xml:space="preserve">Nguyen Hoang </w:t>
      </w:r>
      <w:proofErr w:type="spellStart"/>
      <w:r w:rsidRPr="00DD69A8">
        <w:rPr>
          <w:lang w:val="en-US" w:eastAsia="en-US"/>
        </w:rPr>
        <w:t>Trung</w:t>
      </w:r>
      <w:r w:rsidRPr="00DD69A8">
        <w:rPr>
          <w:vertAlign w:val="superscript"/>
          <w:lang w:val="en-US" w:eastAsia="en-US"/>
        </w:rPr>
        <w:t>3</w:t>
      </w:r>
      <w:proofErr w:type="spellEnd"/>
      <w:r w:rsidRPr="00DD69A8">
        <w:rPr>
          <w:lang w:val="en-US" w:eastAsia="en-US"/>
        </w:rPr>
        <w:t xml:space="preserve"> </w:t>
      </w:r>
      <w:hyperlink r:id="rId10" w:history="1">
        <w:r w:rsidRPr="00DD69A8">
          <w:rPr>
            <w:color w:val="0563C1"/>
            <w:u w:val="single"/>
            <w:lang w:val="en-US" w:eastAsia="en-US"/>
          </w:rPr>
          <w:t>https://orcid.org/0000-0003-3527-7037</w:t>
        </w:r>
      </w:hyperlink>
      <w:r w:rsidRPr="00DD69A8">
        <w:rPr>
          <w:lang w:val="en-US" w:eastAsia="en-US"/>
        </w:rPr>
        <w:t xml:space="preserve"> </w:t>
      </w:r>
    </w:p>
    <w:p w14:paraId="693D182D" w14:textId="77777777" w:rsidR="00DD69A8" w:rsidRPr="00DD69A8" w:rsidRDefault="00DD69A8" w:rsidP="00DD69A8">
      <w:pPr>
        <w:spacing w:line="360" w:lineRule="auto"/>
        <w:jc w:val="both"/>
        <w:rPr>
          <w:rFonts w:eastAsia="Yu Mincho"/>
          <w:lang w:val="es-CU" w:eastAsia="en-US"/>
        </w:rPr>
      </w:pPr>
      <w:r w:rsidRPr="00DD69A8">
        <w:rPr>
          <w:rFonts w:eastAsia="Yu Mincho"/>
          <w:lang w:val="es-CU" w:eastAsia="en-US"/>
        </w:rPr>
        <w:t xml:space="preserve">Tran Van </w:t>
      </w:r>
      <w:proofErr w:type="spellStart"/>
      <w:r w:rsidRPr="00DD69A8">
        <w:rPr>
          <w:rFonts w:eastAsia="Yu Mincho"/>
          <w:lang w:val="es-CU" w:eastAsia="en-US"/>
        </w:rPr>
        <w:t>Kha</w:t>
      </w:r>
      <w:r w:rsidRPr="00DD69A8">
        <w:rPr>
          <w:rFonts w:eastAsia="Yu Mincho"/>
          <w:vertAlign w:val="superscript"/>
          <w:lang w:val="es-CU" w:eastAsia="en-US"/>
        </w:rPr>
        <w:t>3</w:t>
      </w:r>
      <w:proofErr w:type="spellEnd"/>
      <w:r w:rsidRPr="00DD69A8">
        <w:rPr>
          <w:rFonts w:eastAsia="Yu Mincho"/>
          <w:vertAlign w:val="superscript"/>
          <w:lang w:val="es-CU" w:eastAsia="en-US"/>
        </w:rPr>
        <w:t xml:space="preserve"> </w:t>
      </w:r>
      <w:hyperlink r:id="rId11" w:history="1">
        <w:r w:rsidRPr="00DD69A8">
          <w:rPr>
            <w:rFonts w:eastAsia="Yu Mincho"/>
            <w:color w:val="0563C1"/>
            <w:u w:val="single"/>
            <w:lang w:val="es-CU" w:eastAsia="en-US"/>
          </w:rPr>
          <w:t>https://orcid.org/0000-0002-9517-3304</w:t>
        </w:r>
      </w:hyperlink>
      <w:r w:rsidRPr="00DD69A8">
        <w:rPr>
          <w:rFonts w:eastAsia="Yu Mincho"/>
          <w:lang w:val="es-CU" w:eastAsia="en-US"/>
        </w:rPr>
        <w:t xml:space="preserve"> </w:t>
      </w:r>
    </w:p>
    <w:p w14:paraId="67D561A5"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Le </w:t>
      </w:r>
      <w:proofErr w:type="spellStart"/>
      <w:r w:rsidRPr="00DD69A8">
        <w:rPr>
          <w:rFonts w:eastAsia="Yu Mincho"/>
          <w:lang w:val="en-US" w:eastAsia="en-US"/>
        </w:rPr>
        <w:t>Trong</w:t>
      </w:r>
      <w:proofErr w:type="spellEnd"/>
      <w:r w:rsidRPr="00DD69A8">
        <w:rPr>
          <w:rFonts w:eastAsia="Yu Mincho"/>
          <w:lang w:val="en-US" w:eastAsia="en-US"/>
        </w:rPr>
        <w:t xml:space="preserve"> </w:t>
      </w:r>
      <w:proofErr w:type="spellStart"/>
      <w:r w:rsidRPr="00DD69A8">
        <w:rPr>
          <w:rFonts w:eastAsia="Yu Mincho"/>
          <w:lang w:val="en-US" w:eastAsia="en-US"/>
        </w:rPr>
        <w:t>Dung</w:t>
      </w:r>
      <w:r w:rsidRPr="00DD69A8">
        <w:rPr>
          <w:rFonts w:eastAsia="Yu Mincho"/>
          <w:vertAlign w:val="superscript"/>
          <w:lang w:val="en-US" w:eastAsia="en-US"/>
        </w:rPr>
        <w:t>4</w:t>
      </w:r>
      <w:proofErr w:type="spellEnd"/>
      <w:r w:rsidRPr="00DD69A8">
        <w:rPr>
          <w:rFonts w:eastAsia="Yu Mincho"/>
          <w:lang w:val="en-US" w:eastAsia="en-US"/>
        </w:rPr>
        <w:t xml:space="preserve"> </w:t>
      </w:r>
      <w:hyperlink r:id="rId12" w:history="1">
        <w:r w:rsidRPr="00DD69A8">
          <w:rPr>
            <w:rFonts w:eastAsia="Yu Mincho"/>
            <w:color w:val="0563C1"/>
            <w:u w:val="single"/>
            <w:lang w:val="en-US" w:eastAsia="en-US"/>
          </w:rPr>
          <w:t>https://orcid.org/0000-0001-9581-3298</w:t>
        </w:r>
      </w:hyperlink>
      <w:r w:rsidRPr="00DD69A8">
        <w:rPr>
          <w:rFonts w:eastAsia="Yu Mincho"/>
          <w:lang w:val="en-US" w:eastAsia="en-US"/>
        </w:rPr>
        <w:t xml:space="preserve"> </w:t>
      </w:r>
    </w:p>
    <w:p w14:paraId="000FD4FB" w14:textId="77777777" w:rsidR="00DD69A8" w:rsidRPr="00DD69A8" w:rsidRDefault="00DD69A8" w:rsidP="00DD69A8">
      <w:pPr>
        <w:widowControl w:val="0"/>
        <w:spacing w:line="360" w:lineRule="auto"/>
        <w:jc w:val="both"/>
        <w:rPr>
          <w:color w:val="000000"/>
          <w:vertAlign w:val="superscript"/>
          <w:lang w:val="en-US" w:eastAsia="en-US"/>
        </w:rPr>
      </w:pPr>
    </w:p>
    <w:p w14:paraId="7A6A5315" w14:textId="77777777" w:rsidR="00DD69A8" w:rsidRPr="00DD69A8" w:rsidRDefault="00DD69A8" w:rsidP="00DD69A8">
      <w:pPr>
        <w:widowControl w:val="0"/>
        <w:spacing w:line="360" w:lineRule="auto"/>
        <w:jc w:val="both"/>
        <w:rPr>
          <w:color w:val="000000"/>
          <w:lang w:val="en-US" w:eastAsia="en-US"/>
        </w:rPr>
      </w:pPr>
      <w:proofErr w:type="spellStart"/>
      <w:r w:rsidRPr="00DD69A8">
        <w:rPr>
          <w:color w:val="000000"/>
          <w:vertAlign w:val="superscript"/>
          <w:lang w:val="en-US" w:eastAsia="en-US"/>
        </w:rPr>
        <w:t>1</w:t>
      </w:r>
      <w:r w:rsidRPr="00DD69A8">
        <w:rPr>
          <w:color w:val="000000"/>
          <w:lang w:val="en-US" w:eastAsia="en-US"/>
        </w:rPr>
        <w:t>Pham</w:t>
      </w:r>
      <w:proofErr w:type="spellEnd"/>
      <w:r w:rsidRPr="00DD69A8">
        <w:rPr>
          <w:color w:val="000000"/>
          <w:lang w:val="en-US" w:eastAsia="en-US"/>
        </w:rPr>
        <w:t xml:space="preserve"> Ngoc Thach University of Medicine. Ho Chi Minh City, Vietnam.</w:t>
      </w:r>
    </w:p>
    <w:p w14:paraId="5C024BC8" w14:textId="77777777" w:rsidR="00DD69A8" w:rsidRPr="00DD69A8" w:rsidRDefault="00DD69A8" w:rsidP="00DD69A8">
      <w:pPr>
        <w:suppressAutoHyphens/>
        <w:spacing w:line="360" w:lineRule="auto"/>
        <w:jc w:val="both"/>
        <w:rPr>
          <w:rFonts w:eastAsia="Calibri"/>
          <w:lang w:val="en-US" w:eastAsia="en-US"/>
        </w:rPr>
      </w:pPr>
      <w:proofErr w:type="spellStart"/>
      <w:r w:rsidRPr="00DD69A8">
        <w:rPr>
          <w:rFonts w:eastAsia="Calibri"/>
          <w:vertAlign w:val="superscript"/>
          <w:lang w:val="en-US" w:eastAsia="en-US"/>
        </w:rPr>
        <w:t>2</w:t>
      </w:r>
      <w:r w:rsidRPr="00DD69A8">
        <w:rPr>
          <w:rFonts w:eastAsia="Calibri"/>
          <w:lang w:val="en-US" w:eastAsia="en-US"/>
        </w:rPr>
        <w:t>Department</w:t>
      </w:r>
      <w:proofErr w:type="spellEnd"/>
      <w:r w:rsidRPr="00DD69A8">
        <w:rPr>
          <w:rFonts w:eastAsia="Calibri"/>
          <w:lang w:val="en-US" w:eastAsia="en-US"/>
        </w:rPr>
        <w:t xml:space="preserve"> of Hematology. Blood Transfusion Hematology Hospital. Ho Chi Minh City, Vietnam. </w:t>
      </w:r>
    </w:p>
    <w:p w14:paraId="5F222892" w14:textId="77777777" w:rsidR="00DD69A8" w:rsidRPr="00DD69A8" w:rsidRDefault="00DD69A8" w:rsidP="00DD69A8">
      <w:pPr>
        <w:spacing w:line="360" w:lineRule="auto"/>
        <w:jc w:val="both"/>
        <w:rPr>
          <w:lang w:val="en-US" w:eastAsia="en-US"/>
        </w:rPr>
      </w:pPr>
      <w:proofErr w:type="spellStart"/>
      <w:r w:rsidRPr="00DD69A8">
        <w:rPr>
          <w:rFonts w:eastAsia="Calibri"/>
          <w:vertAlign w:val="superscript"/>
          <w:lang w:val="en-US" w:eastAsia="en-US"/>
        </w:rPr>
        <w:t>3</w:t>
      </w:r>
      <w:r w:rsidRPr="00DD69A8">
        <w:rPr>
          <w:lang w:val="en-US" w:eastAsia="en-US"/>
        </w:rPr>
        <w:t>Department</w:t>
      </w:r>
      <w:proofErr w:type="spellEnd"/>
      <w:r w:rsidRPr="00DD69A8">
        <w:rPr>
          <w:lang w:val="en-US" w:eastAsia="en-US"/>
        </w:rPr>
        <w:t xml:space="preserve"> of Military Hygiene. Vietnam Military Medical University. Hanoi, Vietnam.</w:t>
      </w:r>
    </w:p>
    <w:p w14:paraId="3C7B5EFA" w14:textId="77777777" w:rsidR="00DD69A8" w:rsidRPr="00DD69A8" w:rsidRDefault="00DD69A8" w:rsidP="00DD69A8">
      <w:pPr>
        <w:suppressAutoHyphens/>
        <w:spacing w:line="360" w:lineRule="auto"/>
        <w:jc w:val="both"/>
        <w:rPr>
          <w:rFonts w:eastAsia="Calibri"/>
          <w:lang w:val="en-US" w:eastAsia="en-US"/>
        </w:rPr>
      </w:pPr>
      <w:proofErr w:type="spellStart"/>
      <w:r w:rsidRPr="00DD69A8">
        <w:rPr>
          <w:rFonts w:eastAsia="Calibri"/>
          <w:vertAlign w:val="superscript"/>
          <w:lang w:val="en-US" w:eastAsia="en-US"/>
        </w:rPr>
        <w:t>4</w:t>
      </w:r>
      <w:r w:rsidRPr="00DD69A8">
        <w:rPr>
          <w:rFonts w:eastAsia="Calibri"/>
          <w:lang w:val="en-US" w:eastAsia="en-US"/>
        </w:rPr>
        <w:t>Organization</w:t>
      </w:r>
      <w:proofErr w:type="spellEnd"/>
      <w:r w:rsidRPr="00DD69A8">
        <w:rPr>
          <w:rFonts w:eastAsia="Calibri"/>
          <w:lang w:val="en-US" w:eastAsia="en-US"/>
        </w:rPr>
        <w:t xml:space="preserve"> and Command of Military Medical Department. Vietnam Military Medical University. Hanoi, Vietnam.</w:t>
      </w:r>
    </w:p>
    <w:p w14:paraId="63F772E9" w14:textId="77777777" w:rsidR="00DD69A8" w:rsidRPr="00DD69A8" w:rsidRDefault="00DD69A8" w:rsidP="00DD69A8">
      <w:pPr>
        <w:suppressAutoHyphens/>
        <w:spacing w:line="360" w:lineRule="auto"/>
        <w:jc w:val="both"/>
        <w:rPr>
          <w:rFonts w:eastAsia="Calibri"/>
          <w:lang w:val="en-US" w:eastAsia="en-US"/>
        </w:rPr>
      </w:pPr>
    </w:p>
    <w:p w14:paraId="27004989" w14:textId="77777777" w:rsidR="00DD69A8" w:rsidRPr="00DD69A8" w:rsidRDefault="00DD69A8" w:rsidP="00DD69A8">
      <w:pPr>
        <w:suppressAutoHyphens/>
        <w:spacing w:line="360" w:lineRule="auto"/>
        <w:jc w:val="both"/>
        <w:rPr>
          <w:rFonts w:eastAsia="Calibri"/>
          <w:lang w:val="en-US" w:eastAsia="en-US"/>
        </w:rPr>
      </w:pPr>
      <w:r w:rsidRPr="00DD69A8">
        <w:rPr>
          <w:rFonts w:eastAsia="Calibri"/>
          <w:lang w:val="en-US" w:eastAsia="en-US"/>
        </w:rPr>
        <w:t xml:space="preserve">*Author for correspondence. Email: </w:t>
      </w:r>
      <w:hyperlink r:id="rId13" w:history="1">
        <w:r w:rsidRPr="00DD69A8">
          <w:rPr>
            <w:rFonts w:eastAsia="Calibri"/>
            <w:color w:val="0563C1"/>
            <w:u w:val="single"/>
            <w:lang w:val="en-US" w:eastAsia="en-US"/>
          </w:rPr>
          <w:t>pnthanhvan@pnt.edu.vn</w:t>
        </w:r>
      </w:hyperlink>
      <w:r w:rsidRPr="00DD69A8">
        <w:rPr>
          <w:rFonts w:eastAsia="Calibri"/>
          <w:lang w:val="en-US" w:eastAsia="en-US"/>
        </w:rPr>
        <w:t xml:space="preserve"> </w:t>
      </w:r>
    </w:p>
    <w:p w14:paraId="5111CE08" w14:textId="77777777" w:rsidR="00DD69A8" w:rsidRPr="00DD69A8" w:rsidRDefault="00DD69A8" w:rsidP="00DD69A8">
      <w:pPr>
        <w:suppressAutoHyphens/>
        <w:spacing w:line="360" w:lineRule="auto"/>
        <w:jc w:val="both"/>
        <w:rPr>
          <w:rFonts w:eastAsia="Calibri"/>
          <w:lang w:val="en-US" w:eastAsia="en-US"/>
        </w:rPr>
      </w:pPr>
    </w:p>
    <w:p w14:paraId="3319EAC4" w14:textId="77777777" w:rsidR="00DD69A8" w:rsidRPr="00DD69A8" w:rsidRDefault="00DD69A8" w:rsidP="00DD69A8">
      <w:pPr>
        <w:suppressAutoHyphens/>
        <w:spacing w:line="360" w:lineRule="auto"/>
        <w:jc w:val="both"/>
        <w:rPr>
          <w:rFonts w:eastAsia="Calibri"/>
          <w:b/>
          <w:lang w:val="en-US" w:eastAsia="en-US"/>
        </w:rPr>
      </w:pPr>
      <w:r w:rsidRPr="00DD69A8">
        <w:rPr>
          <w:rFonts w:eastAsia="Calibri"/>
          <w:b/>
          <w:lang w:val="en-US" w:eastAsia="en-US"/>
        </w:rPr>
        <w:t>ABSTRACT</w:t>
      </w:r>
    </w:p>
    <w:p w14:paraId="04501D3A" w14:textId="77777777" w:rsidR="00DD69A8" w:rsidRPr="00DD69A8" w:rsidRDefault="00DD69A8" w:rsidP="00DD69A8">
      <w:pPr>
        <w:spacing w:line="360" w:lineRule="auto"/>
        <w:jc w:val="both"/>
        <w:rPr>
          <w:lang w:val="en-US" w:eastAsia="en-US"/>
        </w:rPr>
      </w:pPr>
      <w:r w:rsidRPr="00DD69A8">
        <w:rPr>
          <w:b/>
          <w:lang w:val="en-US" w:eastAsia="en-US"/>
        </w:rPr>
        <w:t>Introduction</w:t>
      </w:r>
      <w:r w:rsidRPr="00DD69A8">
        <w:rPr>
          <w:b/>
          <w:bCs/>
          <w:lang w:val="en-US" w:eastAsia="en-US"/>
        </w:rPr>
        <w:t>:</w:t>
      </w:r>
      <w:r w:rsidRPr="00DD69A8">
        <w:rPr>
          <w:lang w:val="en-US" w:eastAsia="en-US"/>
        </w:rPr>
        <w:t xml:space="preserve"> Quantifying serum free light-chain is a valuable test to determine the risk at the time of diagnosis, assess the response to treatment, and monitor the recurrence of multiple myeloma.</w:t>
      </w:r>
    </w:p>
    <w:p w14:paraId="107DDA25" w14:textId="77777777" w:rsidR="00DD69A8" w:rsidRPr="00DD69A8" w:rsidRDefault="00DD69A8" w:rsidP="00DD69A8">
      <w:pPr>
        <w:spacing w:line="360" w:lineRule="auto"/>
        <w:jc w:val="both"/>
        <w:rPr>
          <w:lang w:val="en-US" w:eastAsia="en-US"/>
        </w:rPr>
      </w:pPr>
      <w:r w:rsidRPr="00DD69A8">
        <w:rPr>
          <w:b/>
          <w:lang w:val="en-US" w:eastAsia="en-US"/>
        </w:rPr>
        <w:t>Objective</w:t>
      </w:r>
      <w:r w:rsidRPr="00DD69A8">
        <w:rPr>
          <w:b/>
          <w:bCs/>
          <w:lang w:val="en-US" w:eastAsia="en-US"/>
        </w:rPr>
        <w:t>:</w:t>
      </w:r>
      <w:r w:rsidRPr="00DD69A8">
        <w:rPr>
          <w:lang w:val="en-US" w:eastAsia="en-US"/>
        </w:rPr>
        <w:t xml:space="preserve"> To investigate the characteristics of serum free light-chain concentration and its relationship with some clinical and subclinical characteristics in patients with multiple myeloma.</w:t>
      </w:r>
    </w:p>
    <w:p w14:paraId="47266707" w14:textId="77777777" w:rsidR="00DD69A8" w:rsidRPr="00DD69A8" w:rsidRDefault="00DD69A8" w:rsidP="00DD69A8">
      <w:pPr>
        <w:spacing w:line="360" w:lineRule="auto"/>
        <w:jc w:val="both"/>
        <w:rPr>
          <w:lang w:val="en-US" w:eastAsia="en-US"/>
        </w:rPr>
      </w:pPr>
      <w:r w:rsidRPr="00DD69A8">
        <w:rPr>
          <w:b/>
          <w:lang w:val="en-US" w:eastAsia="en-US"/>
        </w:rPr>
        <w:lastRenderedPageBreak/>
        <w:t>Methods</w:t>
      </w:r>
      <w:r w:rsidRPr="00DD69A8">
        <w:rPr>
          <w:b/>
          <w:bCs/>
          <w:lang w:val="en-US" w:eastAsia="en-US"/>
        </w:rPr>
        <w:t>:</w:t>
      </w:r>
      <w:r w:rsidRPr="00DD69A8">
        <w:rPr>
          <w:lang w:val="en-US" w:eastAsia="en-US"/>
        </w:rPr>
        <w:t xml:space="preserve"> Descriptive, retrospective, non-controlled study was conducted, in 74 patients with multiple myeloma. All patients were completed with quantitative tests serum free light-chain κ, and serum free light-chain λ.</w:t>
      </w:r>
    </w:p>
    <w:p w14:paraId="274B4A1E" w14:textId="77777777" w:rsidR="00DD69A8" w:rsidRPr="00DD69A8" w:rsidRDefault="00DD69A8" w:rsidP="00DD69A8">
      <w:pPr>
        <w:spacing w:line="360" w:lineRule="auto"/>
        <w:jc w:val="both"/>
        <w:rPr>
          <w:lang w:val="en-US" w:eastAsia="en-US"/>
        </w:rPr>
      </w:pPr>
      <w:r w:rsidRPr="00DD69A8">
        <w:rPr>
          <w:b/>
          <w:lang w:val="en-US" w:eastAsia="en-US"/>
        </w:rPr>
        <w:t>Results</w:t>
      </w:r>
      <w:r w:rsidRPr="00DD69A8">
        <w:rPr>
          <w:b/>
          <w:bCs/>
          <w:lang w:val="en-US" w:eastAsia="en-US"/>
        </w:rPr>
        <w:t>:</w:t>
      </w:r>
      <w:r w:rsidRPr="00DD69A8">
        <w:rPr>
          <w:lang w:val="en-US" w:eastAsia="en-US"/>
        </w:rPr>
        <w:t xml:space="preserve"> Intact immunoglobulin multiple myeloma accounted for most patients (81%). Most patients had abnormal serum free light-chain at the time of diagnosis (98.6%). High serum free light-chain concentration was correlated with M protein concentration &gt; 3 g/dL (p&lt; 0.05) and there was no statistically significant correlation between high serum free light-chain and other clinical and subclinical features.</w:t>
      </w:r>
    </w:p>
    <w:p w14:paraId="0E671AD2" w14:textId="77777777" w:rsidR="00DD69A8" w:rsidRPr="00DD69A8" w:rsidRDefault="00DD69A8" w:rsidP="00DD69A8">
      <w:pPr>
        <w:spacing w:line="360" w:lineRule="auto"/>
        <w:jc w:val="both"/>
        <w:rPr>
          <w:lang w:val="en-US" w:eastAsia="en-US"/>
        </w:rPr>
      </w:pPr>
      <w:r w:rsidRPr="00DD69A8">
        <w:rPr>
          <w:b/>
          <w:lang w:val="en-US" w:eastAsia="en-US"/>
        </w:rPr>
        <w:t>Conclusion</w:t>
      </w:r>
      <w:r w:rsidRPr="00DD69A8">
        <w:rPr>
          <w:b/>
          <w:bCs/>
          <w:lang w:val="en-US" w:eastAsia="en-US"/>
        </w:rPr>
        <w:t>:</w:t>
      </w:r>
      <w:r w:rsidRPr="00DD69A8">
        <w:rPr>
          <w:lang w:val="en-US" w:eastAsia="en-US"/>
        </w:rPr>
        <w:t xml:space="preserve"> Most patients with multiple myeloma have an elevated serum free light-chain at admission time. Correlation of high serum free light-chain with increased serum M protein was noted.</w:t>
      </w:r>
    </w:p>
    <w:p w14:paraId="247CAD6D" w14:textId="77777777" w:rsidR="00DD69A8" w:rsidRPr="00DD69A8" w:rsidRDefault="00DD69A8" w:rsidP="00DD69A8">
      <w:pPr>
        <w:spacing w:line="360" w:lineRule="auto"/>
        <w:jc w:val="both"/>
        <w:rPr>
          <w:lang w:val="en-US" w:eastAsia="en-US"/>
        </w:rPr>
      </w:pPr>
      <w:r w:rsidRPr="00DD69A8">
        <w:rPr>
          <w:b/>
          <w:lang w:val="en-US" w:eastAsia="en-US"/>
        </w:rPr>
        <w:t>Keywords</w:t>
      </w:r>
      <w:r w:rsidRPr="00DD69A8">
        <w:rPr>
          <w:b/>
          <w:bCs/>
          <w:lang w:val="en-US" w:eastAsia="en-US"/>
        </w:rPr>
        <w:t>:</w:t>
      </w:r>
      <w:r w:rsidRPr="00DD69A8">
        <w:rPr>
          <w:lang w:val="en-US" w:eastAsia="en-US"/>
        </w:rPr>
        <w:t xml:space="preserve"> multiple myeloma; sFLC concentration; </w:t>
      </w:r>
      <w:proofErr w:type="spellStart"/>
      <w:r w:rsidRPr="00DD69A8">
        <w:rPr>
          <w:lang w:val="en-US" w:eastAsia="en-US"/>
        </w:rPr>
        <w:t>sFLCκ</w:t>
      </w:r>
      <w:proofErr w:type="spellEnd"/>
      <w:r w:rsidRPr="00DD69A8">
        <w:rPr>
          <w:lang w:val="en-US" w:eastAsia="en-US"/>
        </w:rPr>
        <w:t xml:space="preserve">; </w:t>
      </w:r>
      <w:proofErr w:type="spellStart"/>
      <w:r w:rsidRPr="00DD69A8">
        <w:rPr>
          <w:lang w:val="en-US" w:eastAsia="en-US"/>
        </w:rPr>
        <w:t>sFLCλ</w:t>
      </w:r>
      <w:proofErr w:type="spellEnd"/>
      <w:r w:rsidRPr="00DD69A8">
        <w:rPr>
          <w:lang w:val="en-US" w:eastAsia="en-US"/>
        </w:rPr>
        <w:t>.</w:t>
      </w:r>
    </w:p>
    <w:p w14:paraId="5E15FED8" w14:textId="77777777" w:rsidR="00DD69A8" w:rsidRPr="00DD69A8" w:rsidRDefault="00DD69A8" w:rsidP="00DD69A8">
      <w:pPr>
        <w:widowControl w:val="0"/>
        <w:spacing w:line="360" w:lineRule="auto"/>
        <w:jc w:val="both"/>
        <w:rPr>
          <w:b/>
          <w:lang w:val="en-US" w:eastAsia="en-US"/>
        </w:rPr>
      </w:pPr>
    </w:p>
    <w:p w14:paraId="0CDE92EB" w14:textId="77777777" w:rsidR="00DD69A8" w:rsidRPr="00DD69A8" w:rsidRDefault="00DD69A8" w:rsidP="00DD69A8">
      <w:pPr>
        <w:widowControl w:val="0"/>
        <w:spacing w:line="360" w:lineRule="auto"/>
        <w:jc w:val="both"/>
        <w:rPr>
          <w:b/>
          <w:lang w:val="es-CU" w:eastAsia="en-US"/>
        </w:rPr>
      </w:pPr>
      <w:r w:rsidRPr="00DD69A8">
        <w:rPr>
          <w:b/>
          <w:lang w:val="es-CU" w:eastAsia="en-US"/>
        </w:rPr>
        <w:t>RESUMEN</w:t>
      </w:r>
    </w:p>
    <w:p w14:paraId="51B6EACE" w14:textId="77777777" w:rsidR="00DD69A8" w:rsidRPr="00DD69A8" w:rsidRDefault="00DD69A8" w:rsidP="00DD69A8">
      <w:pPr>
        <w:widowControl w:val="0"/>
        <w:spacing w:line="360" w:lineRule="auto"/>
        <w:jc w:val="both"/>
        <w:rPr>
          <w:lang w:val="es-CU" w:eastAsia="en-US"/>
        </w:rPr>
      </w:pPr>
      <w:r w:rsidRPr="00DD69A8">
        <w:rPr>
          <w:b/>
          <w:lang w:val="es-CU" w:eastAsia="en-US"/>
        </w:rPr>
        <w:t>Introducción</w:t>
      </w:r>
      <w:r w:rsidRPr="00DD69A8">
        <w:rPr>
          <w:b/>
          <w:bCs/>
          <w:lang w:val="es-CU" w:eastAsia="en-US"/>
        </w:rPr>
        <w:t>:</w:t>
      </w:r>
      <w:r w:rsidRPr="00DD69A8">
        <w:rPr>
          <w:lang w:val="es-CU" w:eastAsia="en-US"/>
        </w:rPr>
        <w:t xml:space="preserve"> La cuantificación de cadenas ligeras libres en el suero es una prueba valiosa para determinar el riesgo al momento del diagnóstico del mieloma múltiple, así como evaluar la respuesta al tratamiento y monitorear la recurrencia.</w:t>
      </w:r>
    </w:p>
    <w:p w14:paraId="715ACBD5" w14:textId="77777777" w:rsidR="00DD69A8" w:rsidRPr="00DD69A8" w:rsidRDefault="00DD69A8" w:rsidP="00DD69A8">
      <w:pPr>
        <w:widowControl w:val="0"/>
        <w:spacing w:line="360" w:lineRule="auto"/>
        <w:jc w:val="both"/>
        <w:rPr>
          <w:lang w:val="es-CU" w:eastAsia="en-US"/>
        </w:rPr>
      </w:pPr>
      <w:r w:rsidRPr="00DD69A8">
        <w:rPr>
          <w:b/>
          <w:lang w:val="es-CU" w:eastAsia="en-US"/>
        </w:rPr>
        <w:t>Objetivo</w:t>
      </w:r>
      <w:r w:rsidRPr="00DD69A8">
        <w:rPr>
          <w:b/>
          <w:bCs/>
          <w:lang w:val="es-CU" w:eastAsia="en-US"/>
        </w:rPr>
        <w:t>:</w:t>
      </w:r>
      <w:r w:rsidRPr="00DD69A8">
        <w:rPr>
          <w:lang w:val="es-CU" w:eastAsia="en-US"/>
        </w:rPr>
        <w:t xml:space="preserve"> Determinar las características de la concentración de cadenas ligeras libres en el suero y su relación con algunas características clínicas y subclínicas en pacientes con mieloma múltiple.</w:t>
      </w:r>
    </w:p>
    <w:p w14:paraId="434A92E7" w14:textId="77777777" w:rsidR="00DD69A8" w:rsidRPr="00DD69A8" w:rsidRDefault="00DD69A8" w:rsidP="00DD69A8">
      <w:pPr>
        <w:widowControl w:val="0"/>
        <w:spacing w:line="360" w:lineRule="auto"/>
        <w:jc w:val="both"/>
        <w:rPr>
          <w:lang w:val="es-CU" w:eastAsia="en-US"/>
        </w:rPr>
      </w:pPr>
      <w:r w:rsidRPr="00DD69A8">
        <w:rPr>
          <w:b/>
          <w:lang w:val="es-CU" w:eastAsia="en-US"/>
        </w:rPr>
        <w:t>Métodos</w:t>
      </w:r>
      <w:r w:rsidRPr="00DD69A8">
        <w:rPr>
          <w:b/>
          <w:bCs/>
          <w:lang w:val="es-CU" w:eastAsia="en-US"/>
        </w:rPr>
        <w:t>:</w:t>
      </w:r>
      <w:r w:rsidRPr="00DD69A8">
        <w:rPr>
          <w:lang w:val="es-CU" w:eastAsia="en-US"/>
        </w:rPr>
        <w:t xml:space="preserve"> Se realizó un estudio descriptivo, retrospectivo, no controlado, en 74 pacientes con mieloma múltiple. Todos los pacientes completaron pruebas cuantitativas de cadena ligera libre en el suero κ y cadena ligera libre en suero λ.</w:t>
      </w:r>
    </w:p>
    <w:p w14:paraId="1EF290BF" w14:textId="77777777" w:rsidR="00DD69A8" w:rsidRPr="00DD69A8" w:rsidRDefault="00DD69A8" w:rsidP="00DD69A8">
      <w:pPr>
        <w:widowControl w:val="0"/>
        <w:spacing w:line="360" w:lineRule="auto"/>
        <w:jc w:val="both"/>
        <w:rPr>
          <w:lang w:val="es-CU" w:eastAsia="en-US"/>
        </w:rPr>
      </w:pPr>
      <w:r w:rsidRPr="00DD69A8">
        <w:rPr>
          <w:b/>
          <w:lang w:val="es-CU" w:eastAsia="en-US"/>
        </w:rPr>
        <w:t>Resultados</w:t>
      </w:r>
      <w:r w:rsidRPr="00DD69A8">
        <w:rPr>
          <w:b/>
          <w:bCs/>
          <w:lang w:val="es-CU" w:eastAsia="en-US"/>
        </w:rPr>
        <w:t>:</w:t>
      </w:r>
      <w:r w:rsidRPr="00DD69A8">
        <w:rPr>
          <w:lang w:val="es-CU" w:eastAsia="en-US"/>
        </w:rPr>
        <w:t xml:space="preserve"> El mieloma múltiple de inmunoglobulina intacta representó a la mayoría de los pacientes (81 %). La mayoría de los pacientes tenían cadenas ligeras libres séricas anormales en el momento del diagnóstico (98,6 %). La concentración elevada de cadenas ligeras libres en el suero correlacionó con concentración de proteína M &gt; 3 g/</w:t>
      </w:r>
      <w:proofErr w:type="spellStart"/>
      <w:r w:rsidRPr="00DD69A8">
        <w:rPr>
          <w:lang w:val="es-CU" w:eastAsia="en-US"/>
        </w:rPr>
        <w:t>dL</w:t>
      </w:r>
      <w:proofErr w:type="spellEnd"/>
      <w:r w:rsidRPr="00DD69A8">
        <w:rPr>
          <w:lang w:val="es-CU" w:eastAsia="en-US"/>
        </w:rPr>
        <w:t xml:space="preserve"> (p&lt; 0,05) y no hubo correlación estadísticamente significativa entre cadenas ligeras libres en el suero elevadas y otras características clínicas y subclínicas.</w:t>
      </w:r>
    </w:p>
    <w:p w14:paraId="5AA7A748" w14:textId="77777777" w:rsidR="00DD69A8" w:rsidRPr="00DD69A8" w:rsidRDefault="00DD69A8" w:rsidP="00DD69A8">
      <w:pPr>
        <w:widowControl w:val="0"/>
        <w:spacing w:line="360" w:lineRule="auto"/>
        <w:jc w:val="both"/>
        <w:rPr>
          <w:lang w:val="es-CU" w:eastAsia="en-US"/>
        </w:rPr>
      </w:pPr>
      <w:r w:rsidRPr="00DD69A8">
        <w:rPr>
          <w:b/>
          <w:lang w:val="es-CU" w:eastAsia="en-US"/>
        </w:rPr>
        <w:t>Conclusión</w:t>
      </w:r>
      <w:r w:rsidRPr="00DD69A8">
        <w:rPr>
          <w:b/>
          <w:bCs/>
          <w:lang w:val="es-CU" w:eastAsia="en-US"/>
        </w:rPr>
        <w:t>:</w:t>
      </w:r>
      <w:r w:rsidRPr="00DD69A8">
        <w:rPr>
          <w:lang w:val="es-CU" w:eastAsia="en-US"/>
        </w:rPr>
        <w:t xml:space="preserve"> La mayoría de los pacientes con mieloma múltiple tienen cadenas ligeras libres séricas elevadas en el momento del ingreso. Se observa correlación de cadenas ligeras libres séricas altas, con la </w:t>
      </w:r>
      <w:r w:rsidRPr="00DD69A8">
        <w:rPr>
          <w:lang w:val="es-CU" w:eastAsia="en-US"/>
        </w:rPr>
        <w:lastRenderedPageBreak/>
        <w:t>proteína M sérica aumentada.</w:t>
      </w:r>
    </w:p>
    <w:p w14:paraId="6CC96253" w14:textId="77777777" w:rsidR="00DD69A8" w:rsidRPr="00DD69A8" w:rsidRDefault="00DD69A8" w:rsidP="00DD69A8">
      <w:pPr>
        <w:widowControl w:val="0"/>
        <w:spacing w:line="360" w:lineRule="auto"/>
        <w:jc w:val="both"/>
        <w:rPr>
          <w:lang w:val="es-CU" w:eastAsia="en-US"/>
        </w:rPr>
      </w:pPr>
      <w:r w:rsidRPr="00DD69A8">
        <w:rPr>
          <w:b/>
          <w:lang w:val="es-CU" w:eastAsia="en-US"/>
        </w:rPr>
        <w:t>Palabras clave</w:t>
      </w:r>
      <w:r w:rsidRPr="00DD69A8">
        <w:rPr>
          <w:b/>
          <w:bCs/>
          <w:lang w:val="es-CU" w:eastAsia="en-US"/>
        </w:rPr>
        <w:t>:</w:t>
      </w:r>
      <w:r w:rsidRPr="00DD69A8">
        <w:rPr>
          <w:lang w:val="es-CU" w:eastAsia="en-US"/>
        </w:rPr>
        <w:t xml:space="preserve"> mieloma múltiple; concentración de </w:t>
      </w:r>
      <w:proofErr w:type="spellStart"/>
      <w:r w:rsidRPr="00DD69A8">
        <w:rPr>
          <w:lang w:val="es-CU" w:eastAsia="en-US"/>
        </w:rPr>
        <w:t>sLFC</w:t>
      </w:r>
      <w:proofErr w:type="spellEnd"/>
      <w:r w:rsidRPr="00DD69A8">
        <w:rPr>
          <w:lang w:val="es-CU" w:eastAsia="en-US"/>
        </w:rPr>
        <w:t xml:space="preserve">; </w:t>
      </w:r>
      <w:proofErr w:type="spellStart"/>
      <w:r w:rsidRPr="00DD69A8">
        <w:rPr>
          <w:lang w:val="es-CU" w:eastAsia="en-US"/>
        </w:rPr>
        <w:t>sFLC</w:t>
      </w:r>
      <w:proofErr w:type="spellEnd"/>
      <w:r w:rsidRPr="00DD69A8">
        <w:rPr>
          <w:lang w:val="en-US" w:eastAsia="en-US"/>
        </w:rPr>
        <w:t>κ</w:t>
      </w:r>
      <w:r w:rsidRPr="00DD69A8">
        <w:rPr>
          <w:lang w:val="es-CU" w:eastAsia="en-US"/>
        </w:rPr>
        <w:t xml:space="preserve">; </w:t>
      </w:r>
      <w:proofErr w:type="spellStart"/>
      <w:r w:rsidRPr="00DD69A8">
        <w:rPr>
          <w:lang w:val="es-CU" w:eastAsia="en-US"/>
        </w:rPr>
        <w:t>sFLC</w:t>
      </w:r>
      <w:proofErr w:type="spellEnd"/>
      <w:r w:rsidRPr="00DD69A8">
        <w:rPr>
          <w:lang w:val="en-US" w:eastAsia="en-US"/>
        </w:rPr>
        <w:t>λ</w:t>
      </w:r>
      <w:r w:rsidRPr="00DD69A8">
        <w:rPr>
          <w:lang w:val="es-CU" w:eastAsia="en-US"/>
        </w:rPr>
        <w:t>.</w:t>
      </w:r>
    </w:p>
    <w:p w14:paraId="04CDFCF2" w14:textId="77777777" w:rsidR="00DD69A8" w:rsidRPr="00DD69A8" w:rsidRDefault="00DD69A8" w:rsidP="00DD69A8">
      <w:pPr>
        <w:widowControl w:val="0"/>
        <w:spacing w:line="360" w:lineRule="auto"/>
        <w:jc w:val="both"/>
        <w:rPr>
          <w:lang w:val="es-CU" w:eastAsia="en-US"/>
        </w:rPr>
      </w:pPr>
    </w:p>
    <w:p w14:paraId="6D6D8DE1" w14:textId="77777777" w:rsidR="00DD69A8" w:rsidRPr="00DD69A8" w:rsidRDefault="00DD69A8" w:rsidP="00DD69A8">
      <w:pPr>
        <w:widowControl w:val="0"/>
        <w:spacing w:line="360" w:lineRule="auto"/>
        <w:jc w:val="both"/>
        <w:rPr>
          <w:lang w:val="es-CU" w:eastAsia="en-US"/>
        </w:rPr>
      </w:pPr>
    </w:p>
    <w:p w14:paraId="1EE8D2E6" w14:textId="77777777" w:rsidR="00DD69A8" w:rsidRPr="00DD69A8" w:rsidRDefault="00DD69A8" w:rsidP="00DD69A8">
      <w:pPr>
        <w:widowControl w:val="0"/>
        <w:spacing w:line="360" w:lineRule="auto"/>
        <w:jc w:val="both"/>
        <w:rPr>
          <w:lang w:val="en-US" w:eastAsia="en-US"/>
        </w:rPr>
      </w:pPr>
      <w:proofErr w:type="spellStart"/>
      <w:r w:rsidRPr="00DD69A8">
        <w:rPr>
          <w:lang w:val="en-US" w:eastAsia="en-US"/>
        </w:rPr>
        <w:t>Recibido</w:t>
      </w:r>
      <w:proofErr w:type="spellEnd"/>
      <w:r w:rsidRPr="00DD69A8">
        <w:rPr>
          <w:lang w:val="en-US" w:eastAsia="en-US"/>
        </w:rPr>
        <w:t>: 05/09/2022</w:t>
      </w:r>
    </w:p>
    <w:p w14:paraId="64EF733B" w14:textId="77777777" w:rsidR="00DD69A8" w:rsidRPr="00DD69A8" w:rsidRDefault="00DD69A8" w:rsidP="00DD69A8">
      <w:pPr>
        <w:widowControl w:val="0"/>
        <w:spacing w:line="360" w:lineRule="auto"/>
        <w:jc w:val="both"/>
        <w:rPr>
          <w:lang w:val="en-US" w:eastAsia="en-US"/>
        </w:rPr>
      </w:pPr>
      <w:proofErr w:type="spellStart"/>
      <w:r w:rsidRPr="00DD69A8">
        <w:rPr>
          <w:lang w:val="en-US" w:eastAsia="en-US"/>
        </w:rPr>
        <w:t>Aprobado</w:t>
      </w:r>
      <w:proofErr w:type="spellEnd"/>
      <w:r w:rsidRPr="00DD69A8">
        <w:rPr>
          <w:lang w:val="en-US" w:eastAsia="en-US"/>
        </w:rPr>
        <w:t>: 07/12/2022</w:t>
      </w:r>
    </w:p>
    <w:p w14:paraId="512488AE" w14:textId="77777777" w:rsidR="00DD69A8" w:rsidRPr="00DD69A8" w:rsidRDefault="00DD69A8" w:rsidP="00DD69A8">
      <w:pPr>
        <w:spacing w:line="360" w:lineRule="auto"/>
        <w:jc w:val="center"/>
        <w:rPr>
          <w:b/>
          <w:lang w:val="en-US" w:eastAsia="en-US"/>
        </w:rPr>
      </w:pPr>
    </w:p>
    <w:p w14:paraId="019C6AC9" w14:textId="77777777" w:rsidR="00DD69A8" w:rsidRPr="00DD69A8" w:rsidRDefault="00DD69A8" w:rsidP="00DD69A8">
      <w:pPr>
        <w:spacing w:line="360" w:lineRule="auto"/>
        <w:jc w:val="center"/>
        <w:rPr>
          <w:rFonts w:eastAsia="Yu Mincho"/>
          <w:b/>
          <w:lang w:val="en-US" w:eastAsia="en-US"/>
        </w:rPr>
      </w:pPr>
    </w:p>
    <w:p w14:paraId="68B93FE3" w14:textId="77777777" w:rsidR="00DD69A8" w:rsidRPr="00DD69A8" w:rsidRDefault="00DD69A8" w:rsidP="00DD69A8">
      <w:pPr>
        <w:spacing w:line="360" w:lineRule="auto"/>
        <w:jc w:val="center"/>
        <w:rPr>
          <w:rFonts w:eastAsia="Yu Mincho"/>
          <w:b/>
          <w:sz w:val="32"/>
          <w:szCs w:val="32"/>
          <w:lang w:val="en-US" w:eastAsia="en-US"/>
        </w:rPr>
      </w:pPr>
      <w:r w:rsidRPr="00DD69A8">
        <w:rPr>
          <w:rFonts w:eastAsia="Yu Mincho"/>
          <w:b/>
          <w:sz w:val="32"/>
          <w:szCs w:val="32"/>
          <w:lang w:val="en-US" w:eastAsia="en-US"/>
        </w:rPr>
        <w:t>INTRODUCTION</w:t>
      </w:r>
    </w:p>
    <w:p w14:paraId="25D4E160"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Multiple myeloma is a malignant proliferative disease of plasma cells in the bone marrow and some other organs, accounting for 1% of all cancers and 10% of hematologic cancers in particular.</w:t>
      </w:r>
      <w:r w:rsidRPr="00DD69A8">
        <w:rPr>
          <w:rFonts w:eastAsia="Yu Mincho"/>
          <w:vertAlign w:val="superscript"/>
          <w:lang w:val="en-US" w:eastAsia="en-US"/>
        </w:rPr>
        <w:t>(1)</w:t>
      </w:r>
      <w:r w:rsidRPr="00DD69A8">
        <w:rPr>
          <w:rFonts w:eastAsia="Yu Mincho"/>
          <w:lang w:val="en-US" w:eastAsia="en-US"/>
        </w:rPr>
        <w:t xml:space="preserve"> Diagnosis and response assessment of the disease was determined based on the criteria of the International Myeloma Working Group (</w:t>
      </w:r>
      <w:proofErr w:type="spellStart"/>
      <w:r w:rsidRPr="00DD69A8">
        <w:rPr>
          <w:rFonts w:eastAsia="Yu Mincho"/>
          <w:lang w:val="en-US" w:eastAsia="en-US"/>
        </w:rPr>
        <w:t>IMWG</w:t>
      </w:r>
      <w:proofErr w:type="spellEnd"/>
      <w:r w:rsidRPr="00DD69A8">
        <w:rPr>
          <w:rFonts w:eastAsia="Yu Mincho"/>
          <w:lang w:val="en-US" w:eastAsia="en-US"/>
        </w:rPr>
        <w:t>).</w:t>
      </w:r>
      <w:r w:rsidRPr="00DD69A8">
        <w:rPr>
          <w:rFonts w:eastAsia="Yu Mincho"/>
          <w:vertAlign w:val="superscript"/>
          <w:lang w:val="en-US" w:eastAsia="en-US"/>
        </w:rPr>
        <w:t>(2)</w:t>
      </w:r>
      <w:r w:rsidRPr="00DD69A8">
        <w:rPr>
          <w:rFonts w:eastAsia="Yu Mincho"/>
          <w:lang w:val="en-US" w:eastAsia="en-US"/>
        </w:rPr>
        <w:t xml:space="preserve"> The prognosis of multiple myeloma is highly variable due to the biological heterogeneity of multiple myeloma cells, the bone marrow microenvironment, and host factors. Patient prognostic clustering is important as it helps to optimize and initiate appropriate treatment as early as possible to avoid irreversible organ damage.</w:t>
      </w:r>
    </w:p>
    <w:p w14:paraId="72D6F31E" w14:textId="77777777" w:rsidR="00DD69A8" w:rsidRPr="00DD69A8" w:rsidRDefault="00DD69A8" w:rsidP="00DD69A8">
      <w:pPr>
        <w:spacing w:line="360" w:lineRule="auto"/>
        <w:jc w:val="both"/>
        <w:rPr>
          <w:rFonts w:eastAsia="Yu Mincho"/>
          <w:vertAlign w:val="superscript"/>
          <w:lang w:val="en-US" w:eastAsia="en-US"/>
        </w:rPr>
      </w:pPr>
      <w:r w:rsidRPr="00DD69A8">
        <w:rPr>
          <w:rFonts w:eastAsia="Yu Mincho"/>
          <w:lang w:val="en-US" w:eastAsia="en-US"/>
        </w:rPr>
        <w:t xml:space="preserve">Serum free light chain (sFLC) quantification is a valuable risk-defined test at the time of diagnosis, assessment of response to therapy, and monitoring of recurrence; despite the role of it is not yet completely unified. The </w:t>
      </w:r>
      <w:proofErr w:type="spellStart"/>
      <w:r w:rsidRPr="00DD69A8">
        <w:rPr>
          <w:rFonts w:eastAsia="Yu Mincho"/>
          <w:lang w:val="en-US" w:eastAsia="en-US"/>
        </w:rPr>
        <w:t>IMWG</w:t>
      </w:r>
      <w:proofErr w:type="spellEnd"/>
      <w:r w:rsidRPr="00DD69A8">
        <w:rPr>
          <w:rFonts w:eastAsia="Yu Mincho"/>
          <w:lang w:val="en-US" w:eastAsia="en-US"/>
        </w:rPr>
        <w:t xml:space="preserve"> recommends quantifying sFLC as part of the standard investigation in newly diagnosed patients with </w:t>
      </w:r>
      <w:proofErr w:type="gramStart"/>
      <w:r w:rsidRPr="00DD69A8">
        <w:rPr>
          <w:rFonts w:eastAsia="Yu Mincho"/>
          <w:lang w:val="en-US" w:eastAsia="en-US"/>
        </w:rPr>
        <w:t>plasmacytosis,</w:t>
      </w:r>
      <w:r w:rsidRPr="00DD69A8">
        <w:rPr>
          <w:rFonts w:eastAsia="Yu Mincho"/>
          <w:vertAlign w:val="superscript"/>
          <w:lang w:val="en-US" w:eastAsia="en-US"/>
        </w:rPr>
        <w:t>(</w:t>
      </w:r>
      <w:proofErr w:type="gramEnd"/>
      <w:r w:rsidRPr="00DD69A8">
        <w:rPr>
          <w:rFonts w:eastAsia="Yu Mincho"/>
          <w:vertAlign w:val="superscript"/>
          <w:lang w:val="en-US" w:eastAsia="en-US"/>
        </w:rPr>
        <w:t>3)</w:t>
      </w:r>
      <w:r w:rsidRPr="00DD69A8">
        <w:rPr>
          <w:rFonts w:eastAsia="Yu Mincho"/>
          <w:lang w:val="en-US" w:eastAsia="en-US"/>
        </w:rPr>
        <w:t xml:space="preserve"> and sFLC is important in diagnosing patients with light chain myeloma, non-secretory myeloma, amyloidosis and early detection of multiple myeloma nephropathy.</w:t>
      </w:r>
      <w:r w:rsidRPr="00DD69A8">
        <w:rPr>
          <w:rFonts w:eastAsia="Yu Mincho"/>
          <w:vertAlign w:val="superscript"/>
          <w:lang w:val="en-US" w:eastAsia="en-US"/>
        </w:rPr>
        <w:t>(4)</w:t>
      </w:r>
    </w:p>
    <w:p w14:paraId="3B39BE89"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To evaluate the value of sFLC in patients with multiple myeloma, the study was conducted to test the role of sFLC in newly diagnosed multiple myeloma patients treated at Hematology and Blood Transfusion Hospital, Ho Chi Minh City, Vietnam with the objective of investigating the characteristics of sFLC concentration and its relationship with some clinical and subclinical characteristics in patients with multiple myeloma.</w:t>
      </w:r>
    </w:p>
    <w:p w14:paraId="314F5255" w14:textId="77777777" w:rsidR="00DD69A8" w:rsidRPr="00DD69A8" w:rsidRDefault="00DD69A8" w:rsidP="00DD69A8">
      <w:pPr>
        <w:widowControl w:val="0"/>
        <w:spacing w:line="360" w:lineRule="auto"/>
        <w:jc w:val="both"/>
        <w:rPr>
          <w:b/>
          <w:lang w:val="en-US" w:eastAsia="en-US"/>
        </w:rPr>
      </w:pPr>
    </w:p>
    <w:p w14:paraId="4B164212" w14:textId="77777777" w:rsidR="00DD69A8" w:rsidRPr="00DD69A8" w:rsidRDefault="00DD69A8" w:rsidP="00DD69A8">
      <w:pPr>
        <w:spacing w:line="360" w:lineRule="auto"/>
        <w:jc w:val="center"/>
        <w:rPr>
          <w:b/>
          <w:lang w:val="en-US" w:eastAsia="en-US"/>
        </w:rPr>
      </w:pPr>
    </w:p>
    <w:p w14:paraId="2FF19969" w14:textId="77777777" w:rsidR="00DD69A8" w:rsidRPr="00DD69A8" w:rsidRDefault="00DD69A8" w:rsidP="00DD69A8">
      <w:pPr>
        <w:spacing w:line="360" w:lineRule="auto"/>
        <w:jc w:val="center"/>
        <w:rPr>
          <w:b/>
          <w:sz w:val="32"/>
          <w:szCs w:val="32"/>
          <w:lang w:val="en-US" w:eastAsia="en-US"/>
        </w:rPr>
      </w:pPr>
      <w:r w:rsidRPr="00DD69A8">
        <w:rPr>
          <w:b/>
          <w:sz w:val="32"/>
          <w:szCs w:val="32"/>
          <w:lang w:val="en-US" w:eastAsia="en-US"/>
        </w:rPr>
        <w:t>METHODS</w:t>
      </w:r>
    </w:p>
    <w:p w14:paraId="6297280F"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Including 74 multiple myeloma patients hospitalized at Hematology and Blood Transfusion Hospital, Ho Chi Minh City, Vietnam, diagnosed and treated for multiple myeloma, completed quantitative tests </w:t>
      </w:r>
      <w:proofErr w:type="spellStart"/>
      <w:r w:rsidRPr="00DD69A8">
        <w:rPr>
          <w:rFonts w:eastAsia="Yu Mincho"/>
          <w:lang w:val="en-US" w:eastAsia="en-US"/>
        </w:rPr>
        <w:t>sFLCκ</w:t>
      </w:r>
      <w:proofErr w:type="spellEnd"/>
      <w:r w:rsidRPr="00DD69A8">
        <w:rPr>
          <w:rFonts w:eastAsia="Yu Mincho"/>
          <w:lang w:val="en-US" w:eastAsia="en-US"/>
        </w:rPr>
        <w:t xml:space="preserve">, </w:t>
      </w:r>
      <w:proofErr w:type="spellStart"/>
      <w:r w:rsidRPr="00DD69A8">
        <w:rPr>
          <w:rFonts w:eastAsia="Yu Mincho"/>
          <w:lang w:val="en-US" w:eastAsia="en-US"/>
        </w:rPr>
        <w:t>sFLC</w:t>
      </w:r>
      <w:r w:rsidRPr="00DD69A8">
        <w:rPr>
          <w:rFonts w:eastAsia="Yu Mincho"/>
          <w:vertAlign w:val="subscript"/>
          <w:lang w:val="en-US" w:eastAsia="en-US"/>
        </w:rPr>
        <w:t>λ</w:t>
      </w:r>
      <w:proofErr w:type="spellEnd"/>
      <w:r w:rsidRPr="00DD69A8">
        <w:rPr>
          <w:rFonts w:eastAsia="Yu Mincho"/>
          <w:lang w:val="en-US" w:eastAsia="en-US"/>
        </w:rPr>
        <w:t xml:space="preserve"> at the time of diagnosis, from January 2017 to December 2020.</w:t>
      </w:r>
    </w:p>
    <w:p w14:paraId="5BE8BC43"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Selection criteria:</w:t>
      </w:r>
    </w:p>
    <w:p w14:paraId="0A8B3700" w14:textId="77777777" w:rsidR="00DD69A8" w:rsidRPr="00DD69A8" w:rsidRDefault="00DD69A8" w:rsidP="00DD69A8">
      <w:pPr>
        <w:spacing w:line="360" w:lineRule="auto"/>
        <w:jc w:val="both"/>
        <w:rPr>
          <w:rFonts w:eastAsia="Yu Mincho"/>
          <w:lang w:val="en-US" w:eastAsia="en-US"/>
        </w:rPr>
      </w:pPr>
    </w:p>
    <w:p w14:paraId="19C9BA9E" w14:textId="77777777" w:rsidR="00DD69A8" w:rsidRPr="00DD69A8" w:rsidRDefault="00DD69A8" w:rsidP="00DD69A8">
      <w:pPr>
        <w:numPr>
          <w:ilvl w:val="0"/>
          <w:numId w:val="2"/>
        </w:numPr>
        <w:spacing w:line="360" w:lineRule="auto"/>
        <w:contextualSpacing/>
        <w:jc w:val="both"/>
        <w:rPr>
          <w:rFonts w:eastAsia="Yu Mincho"/>
          <w:lang w:val="en-US" w:eastAsia="en-US"/>
        </w:rPr>
      </w:pPr>
      <w:r w:rsidRPr="00DD69A8">
        <w:rPr>
          <w:rFonts w:eastAsia="Yu Mincho"/>
          <w:lang w:val="en-US" w:eastAsia="en-US"/>
        </w:rPr>
        <w:t>Adult patients &gt; 18-year-old</w:t>
      </w:r>
    </w:p>
    <w:p w14:paraId="6B08FB0A" w14:textId="77777777" w:rsidR="00DD69A8" w:rsidRPr="00DD69A8" w:rsidRDefault="00DD69A8" w:rsidP="00DD69A8">
      <w:pPr>
        <w:numPr>
          <w:ilvl w:val="0"/>
          <w:numId w:val="2"/>
        </w:numPr>
        <w:spacing w:line="360" w:lineRule="auto"/>
        <w:contextualSpacing/>
        <w:jc w:val="both"/>
        <w:rPr>
          <w:rFonts w:eastAsia="Yu Mincho"/>
          <w:lang w:val="en-US" w:eastAsia="en-US"/>
        </w:rPr>
      </w:pPr>
      <w:r w:rsidRPr="00DD69A8">
        <w:rPr>
          <w:rFonts w:eastAsia="Yu Mincho"/>
          <w:lang w:val="en-US" w:eastAsia="en-US"/>
        </w:rPr>
        <w:t xml:space="preserve">Definitive diagnosis of multiple myeloma according to the </w:t>
      </w:r>
      <w:proofErr w:type="spellStart"/>
      <w:r w:rsidRPr="00DD69A8">
        <w:rPr>
          <w:rFonts w:eastAsia="Yu Mincho"/>
          <w:lang w:val="en-US" w:eastAsia="en-US"/>
        </w:rPr>
        <w:t>IMWG</w:t>
      </w:r>
      <w:proofErr w:type="spellEnd"/>
      <w:r w:rsidRPr="00DD69A8">
        <w:rPr>
          <w:rFonts w:eastAsia="Yu Mincho"/>
          <w:lang w:val="en-US" w:eastAsia="en-US"/>
        </w:rPr>
        <w:t xml:space="preserve"> criteria</w:t>
      </w:r>
    </w:p>
    <w:p w14:paraId="52939EF3" w14:textId="77777777" w:rsidR="00DD69A8" w:rsidRPr="00DD69A8" w:rsidRDefault="00DD69A8" w:rsidP="00DD69A8">
      <w:pPr>
        <w:numPr>
          <w:ilvl w:val="0"/>
          <w:numId w:val="2"/>
        </w:numPr>
        <w:spacing w:line="360" w:lineRule="auto"/>
        <w:contextualSpacing/>
        <w:jc w:val="both"/>
        <w:rPr>
          <w:rFonts w:eastAsia="Yu Mincho"/>
          <w:lang w:val="en-US" w:eastAsia="en-US"/>
        </w:rPr>
      </w:pPr>
      <w:r w:rsidRPr="00DD69A8">
        <w:rPr>
          <w:rFonts w:eastAsia="Yu Mincho"/>
          <w:lang w:val="en-US" w:eastAsia="en-US"/>
        </w:rPr>
        <w:t>Be treated according to the regimen with bortezomib in the hospital</w:t>
      </w:r>
    </w:p>
    <w:p w14:paraId="0445B4E9" w14:textId="77777777" w:rsidR="00DD69A8" w:rsidRPr="00DD69A8" w:rsidRDefault="00DD69A8" w:rsidP="00DD69A8">
      <w:pPr>
        <w:numPr>
          <w:ilvl w:val="0"/>
          <w:numId w:val="2"/>
        </w:numPr>
        <w:spacing w:line="360" w:lineRule="auto"/>
        <w:contextualSpacing/>
        <w:jc w:val="both"/>
        <w:rPr>
          <w:rFonts w:eastAsia="Yu Mincho"/>
          <w:lang w:val="en-US" w:eastAsia="en-US"/>
        </w:rPr>
      </w:pPr>
      <w:r w:rsidRPr="00DD69A8">
        <w:rPr>
          <w:rFonts w:eastAsia="Yu Mincho"/>
          <w:lang w:val="en-US" w:eastAsia="en-US"/>
        </w:rPr>
        <w:t>Newly diagnosed and untreated disease</w:t>
      </w:r>
    </w:p>
    <w:p w14:paraId="0139FFF4" w14:textId="77777777" w:rsidR="00DD69A8" w:rsidRPr="00DD69A8" w:rsidRDefault="00DD69A8" w:rsidP="00DD69A8">
      <w:pPr>
        <w:spacing w:line="360" w:lineRule="auto"/>
        <w:jc w:val="both"/>
        <w:rPr>
          <w:rFonts w:eastAsia="Yu Mincho"/>
          <w:lang w:val="en-US" w:eastAsia="en-US"/>
        </w:rPr>
      </w:pPr>
    </w:p>
    <w:p w14:paraId="291CD4B0"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Research design: cross-sectional study, non-controlled study.</w:t>
      </w:r>
    </w:p>
    <w:p w14:paraId="52181B63"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Research sample size: the following formula was used to calculate sample size to estimate 1 ratio:</w:t>
      </w:r>
    </w:p>
    <w:p w14:paraId="01DF73D5" w14:textId="77777777" w:rsidR="00DD69A8" w:rsidRPr="00DD69A8" w:rsidRDefault="00DD69A8" w:rsidP="00DD69A8">
      <w:pPr>
        <w:spacing w:line="360" w:lineRule="auto"/>
        <w:jc w:val="both"/>
        <w:rPr>
          <w:rFonts w:eastAsia="Yu Mincho"/>
          <w:lang w:val="en-US" w:eastAsia="en-US"/>
        </w:rPr>
      </w:pPr>
    </w:p>
    <w:p w14:paraId="746B597D" w14:textId="04910AB9" w:rsidR="00DD69A8" w:rsidRPr="00DD69A8" w:rsidRDefault="00DD69A8" w:rsidP="00DD69A8">
      <w:pPr>
        <w:spacing w:line="360" w:lineRule="auto"/>
        <w:jc w:val="center"/>
        <w:rPr>
          <w:lang w:val="en-US" w:eastAsia="en-US"/>
        </w:rPr>
      </w:pPr>
      <w:r w:rsidRPr="00DD69A8">
        <w:rPr>
          <w:lang w:val="vi-VN" w:eastAsia="en-US"/>
        </w:rPr>
        <w:t xml:space="preserve">n </w:t>
      </w:r>
      <m:oMath>
        <m:r>
          <w:rPr>
            <w:rFonts w:ascii="Cambria Math" w:hAnsi="Cambria Math"/>
            <w:lang w:val="vi-VN" w:eastAsia="en-US"/>
          </w:rPr>
          <m:t>=</m:t>
        </m:r>
        <m:f>
          <m:fPr>
            <m:ctrlPr>
              <w:rPr>
                <w:rFonts w:ascii="Cambria Math" w:hAnsi="Cambria Math"/>
                <w:i/>
                <w:lang w:val="en-US" w:eastAsia="en-US"/>
              </w:rPr>
            </m:ctrlPr>
          </m:fPr>
          <m:num>
            <m:sSubSup>
              <m:sSubSupPr>
                <m:ctrlPr>
                  <w:rPr>
                    <w:rFonts w:ascii="Cambria Math" w:hAnsi="Cambria Math"/>
                    <w:i/>
                    <w:lang w:val="en-US" w:eastAsia="en-US"/>
                  </w:rPr>
                </m:ctrlPr>
              </m:sSubSupPr>
              <m:e>
                <m:r>
                  <w:rPr>
                    <w:rFonts w:ascii="Cambria Math" w:hAnsi="Cambria Math"/>
                    <w:lang w:val="en-US" w:eastAsia="en-US"/>
                  </w:rPr>
                  <m:t>Z</m:t>
                </m:r>
              </m:e>
              <m:sub>
                <m:f>
                  <m:fPr>
                    <m:type m:val="lin"/>
                    <m:ctrlPr>
                      <w:rPr>
                        <w:rFonts w:ascii="Cambria Math" w:hAnsi="Cambria Math"/>
                        <w:i/>
                        <w:lang w:val="en-US" w:eastAsia="en-US"/>
                      </w:rPr>
                    </m:ctrlPr>
                  </m:fPr>
                  <m:num>
                    <m:r>
                      <w:rPr>
                        <w:rFonts w:ascii="Cambria Math" w:hAnsi="Cambria Math"/>
                        <w:lang w:val="en-US" w:eastAsia="en-US"/>
                      </w:rPr>
                      <m:t>1-α</m:t>
                    </m:r>
                  </m:num>
                  <m:den>
                    <m:r>
                      <w:rPr>
                        <w:rFonts w:ascii="Cambria Math" w:hAnsi="Cambria Math"/>
                        <w:lang w:val="en-US" w:eastAsia="en-US"/>
                      </w:rPr>
                      <m:t>2</m:t>
                    </m:r>
                  </m:den>
                </m:f>
              </m:sub>
              <m:sup>
                <m:r>
                  <w:rPr>
                    <w:rFonts w:ascii="Cambria Math" w:hAnsi="Cambria Math"/>
                    <w:lang w:val="en-US" w:eastAsia="en-US"/>
                  </w:rPr>
                  <m:t>2</m:t>
                </m:r>
              </m:sup>
            </m:sSubSup>
            <m:r>
              <w:rPr>
                <w:rFonts w:ascii="Cambria Math" w:hAnsi="Cambria Math"/>
                <w:lang w:val="en-US" w:eastAsia="en-US"/>
              </w:rPr>
              <m:t>×P×</m:t>
            </m:r>
            <m:d>
              <m:dPr>
                <m:ctrlPr>
                  <w:rPr>
                    <w:rFonts w:ascii="Cambria Math" w:hAnsi="Cambria Math"/>
                    <w:i/>
                    <w:lang w:val="en-US" w:eastAsia="en-US"/>
                  </w:rPr>
                </m:ctrlPr>
              </m:dPr>
              <m:e>
                <m:r>
                  <w:rPr>
                    <w:rFonts w:ascii="Cambria Math" w:hAnsi="Cambria Math"/>
                    <w:lang w:val="en-US" w:eastAsia="en-US"/>
                  </w:rPr>
                  <m:t>1-P</m:t>
                </m:r>
              </m:e>
            </m:d>
          </m:num>
          <m:den>
            <m:sSup>
              <m:sSupPr>
                <m:ctrlPr>
                  <w:rPr>
                    <w:rFonts w:ascii="Cambria Math" w:hAnsi="Cambria Math"/>
                    <w:i/>
                    <w:lang w:val="en-US" w:eastAsia="en-US"/>
                  </w:rPr>
                </m:ctrlPr>
              </m:sSupPr>
              <m:e>
                <m:r>
                  <w:rPr>
                    <w:rFonts w:ascii="Cambria Math" w:hAnsi="Cambria Math"/>
                    <w:lang w:val="en-US" w:eastAsia="en-US"/>
                  </w:rPr>
                  <m:t>d</m:t>
                </m:r>
              </m:e>
              <m:sup>
                <m:r>
                  <w:rPr>
                    <w:rFonts w:ascii="Cambria Math" w:hAnsi="Cambria Math"/>
                    <w:lang w:val="en-US" w:eastAsia="en-US"/>
                  </w:rPr>
                  <m:t>2</m:t>
                </m:r>
              </m:sup>
            </m:sSup>
          </m:den>
        </m:f>
      </m:oMath>
    </w:p>
    <w:p w14:paraId="55550992" w14:textId="77777777" w:rsidR="00DD69A8" w:rsidRPr="00DD69A8" w:rsidRDefault="00DD69A8" w:rsidP="00DD69A8">
      <w:pPr>
        <w:spacing w:line="360" w:lineRule="auto"/>
        <w:jc w:val="center"/>
        <w:rPr>
          <w:lang w:val="vi-VN" w:eastAsia="en-US"/>
        </w:rPr>
      </w:pPr>
    </w:p>
    <w:p w14:paraId="3A5D0BDE" w14:textId="77777777" w:rsidR="00DD69A8" w:rsidRPr="00DD69A8" w:rsidRDefault="00DD69A8" w:rsidP="00DD69A8">
      <w:pPr>
        <w:numPr>
          <w:ilvl w:val="0"/>
          <w:numId w:val="4"/>
        </w:numPr>
        <w:spacing w:line="360" w:lineRule="auto"/>
        <w:contextualSpacing/>
        <w:jc w:val="both"/>
        <w:rPr>
          <w:rFonts w:eastAsia="Yu Mincho"/>
          <w:lang w:val="en-US" w:eastAsia="en-US"/>
        </w:rPr>
      </w:pPr>
      <w:r w:rsidRPr="00DD69A8">
        <w:rPr>
          <w:rFonts w:eastAsia="Yu Mincho"/>
          <w:lang w:val="en-US" w:eastAsia="en-US"/>
        </w:rPr>
        <w:t>n is the minimum sample size</w:t>
      </w:r>
    </w:p>
    <w:p w14:paraId="1E9D17B8" w14:textId="77777777" w:rsidR="00DD69A8" w:rsidRPr="00DD69A8" w:rsidRDefault="00DD69A8" w:rsidP="00DD69A8">
      <w:pPr>
        <w:numPr>
          <w:ilvl w:val="0"/>
          <w:numId w:val="4"/>
        </w:numPr>
        <w:spacing w:line="360" w:lineRule="auto"/>
        <w:contextualSpacing/>
        <w:jc w:val="both"/>
        <w:rPr>
          <w:rFonts w:eastAsia="Yu Mincho"/>
          <w:lang w:val="en-US" w:eastAsia="en-US"/>
        </w:rPr>
      </w:pPr>
      <w:r w:rsidRPr="00DD69A8">
        <w:rPr>
          <w:rFonts w:eastAsia="Yu Mincho"/>
          <w:lang w:val="en-US" w:eastAsia="en-US"/>
        </w:rPr>
        <w:t>α= 0.05 (probability of error type 1)</w:t>
      </w:r>
    </w:p>
    <w:p w14:paraId="0BA3C00B" w14:textId="77777777" w:rsidR="00DD69A8" w:rsidRPr="00DD69A8" w:rsidRDefault="00DD69A8" w:rsidP="00DD69A8">
      <w:pPr>
        <w:numPr>
          <w:ilvl w:val="0"/>
          <w:numId w:val="4"/>
        </w:numPr>
        <w:spacing w:line="360" w:lineRule="auto"/>
        <w:contextualSpacing/>
        <w:jc w:val="both"/>
        <w:rPr>
          <w:rFonts w:eastAsia="Yu Mincho"/>
          <w:lang w:val="en-US" w:eastAsia="en-US"/>
        </w:rPr>
      </w:pPr>
      <w:r w:rsidRPr="00DD69A8">
        <w:rPr>
          <w:rFonts w:eastAsia="Yu Mincho"/>
          <w:lang w:val="en-US" w:eastAsia="en-US"/>
        </w:rPr>
        <w:t>p= 0.51 (</w:t>
      </w:r>
      <w:r w:rsidRPr="00DD69A8">
        <w:rPr>
          <w:rFonts w:eastAsia="Yu Mincho"/>
          <w:i/>
          <w:iCs/>
          <w:lang w:val="en-US" w:eastAsia="en-US"/>
        </w:rPr>
        <w:t xml:space="preserve">García De </w:t>
      </w:r>
      <w:proofErr w:type="spellStart"/>
      <w:r w:rsidRPr="00DD69A8">
        <w:rPr>
          <w:rFonts w:eastAsia="Yu Mincho"/>
          <w:i/>
          <w:iCs/>
          <w:lang w:val="en-US" w:eastAsia="en-US"/>
        </w:rPr>
        <w:t>Veas</w:t>
      </w:r>
      <w:proofErr w:type="spellEnd"/>
      <w:r w:rsidRPr="00DD69A8">
        <w:rPr>
          <w:rFonts w:eastAsia="Yu Mincho"/>
          <w:i/>
          <w:iCs/>
          <w:lang w:val="en-US" w:eastAsia="en-US"/>
        </w:rPr>
        <w:t xml:space="preserve"> Silva</w:t>
      </w:r>
      <w:r w:rsidRPr="00DD69A8">
        <w:rPr>
          <w:rFonts w:eastAsia="Yu Mincho"/>
          <w:spacing w:val="-4"/>
          <w:lang w:val="en-US" w:eastAsia="en-US"/>
        </w:rPr>
        <w:t>’s study in 2016</w:t>
      </w:r>
      <w:r w:rsidRPr="00DD69A8">
        <w:rPr>
          <w:rFonts w:eastAsia="Yu Mincho"/>
          <w:spacing w:val="-4"/>
          <w:vertAlign w:val="superscript"/>
          <w:lang w:val="en-US" w:eastAsia="en-US"/>
        </w:rPr>
        <w:t>(5)</w:t>
      </w:r>
      <w:r w:rsidRPr="00DD69A8">
        <w:rPr>
          <w:rFonts w:eastAsia="Yu Mincho"/>
          <w:spacing w:val="-4"/>
          <w:lang w:val="en-US" w:eastAsia="en-US"/>
        </w:rPr>
        <w:t xml:space="preserve"> with 51% of patients with high sFLCR with a statistically significant difference in survival prognosis compared with </w:t>
      </w:r>
      <w:r w:rsidRPr="00DD69A8">
        <w:rPr>
          <w:rFonts w:eastAsia="Yu Mincho"/>
          <w:spacing w:val="-2"/>
          <w:lang w:val="en-US" w:eastAsia="en-US"/>
        </w:rPr>
        <w:t>low sFLCR group)</w:t>
      </w:r>
    </w:p>
    <w:p w14:paraId="240B2370" w14:textId="77777777" w:rsidR="00DD69A8" w:rsidRPr="00DD69A8" w:rsidRDefault="00DD69A8" w:rsidP="00DD69A8">
      <w:pPr>
        <w:numPr>
          <w:ilvl w:val="0"/>
          <w:numId w:val="4"/>
        </w:numPr>
        <w:spacing w:line="360" w:lineRule="auto"/>
        <w:contextualSpacing/>
        <w:jc w:val="both"/>
        <w:rPr>
          <w:rFonts w:eastAsia="Yu Mincho"/>
          <w:lang w:val="en-US" w:eastAsia="en-US"/>
        </w:rPr>
      </w:pPr>
      <w:r w:rsidRPr="00DD69A8">
        <w:rPr>
          <w:rFonts w:eastAsia="Yu Mincho"/>
          <w:lang w:val="en-US" w:eastAsia="en-US"/>
        </w:rPr>
        <w:t>d= 0.1 (allowed error)</w:t>
      </w:r>
    </w:p>
    <w:p w14:paraId="5A5B576D" w14:textId="77777777" w:rsidR="00DD69A8" w:rsidRPr="00DD69A8" w:rsidRDefault="00DD69A8" w:rsidP="00DD69A8">
      <w:pPr>
        <w:spacing w:line="360" w:lineRule="auto"/>
        <w:jc w:val="both"/>
        <w:rPr>
          <w:rFonts w:eastAsia="Yu Mincho"/>
          <w:lang w:val="en-US" w:eastAsia="en-US"/>
        </w:rPr>
      </w:pPr>
    </w:p>
    <w:p w14:paraId="7D35E555"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Was calculated n= 96. Thus, the minimum sample size was 96 people. Because the quantitative test for sFLC has just been deployed at the blood transfusion hospital from 2017 to present. Therefore, were collected all newly diagnosed multiple myeloma patients who met the sampling criteria and had a quantitative sFLC test at the time of diagnosis, for a total of 74 patients.</w:t>
      </w:r>
    </w:p>
    <w:p w14:paraId="17ABEDEF"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lastRenderedPageBreak/>
        <w:t>Research variables: mean age, proportion of age groups, sex, characteristics of sFLC concentration at the time of diagnosis, patient characteristics and association with high sFLCR.</w:t>
      </w:r>
    </w:p>
    <w:p w14:paraId="39D3ADA3"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Disease staging according to the </w:t>
      </w:r>
      <w:proofErr w:type="gramStart"/>
      <w:r w:rsidRPr="00DD69A8">
        <w:rPr>
          <w:rFonts w:eastAsia="Yu Mincho"/>
          <w:lang w:val="en-US" w:eastAsia="en-US"/>
        </w:rPr>
        <w:t>International</w:t>
      </w:r>
      <w:proofErr w:type="gramEnd"/>
      <w:r w:rsidRPr="00DD69A8">
        <w:rPr>
          <w:rFonts w:eastAsia="Yu Mincho"/>
          <w:lang w:val="en-US" w:eastAsia="en-US"/>
        </w:rPr>
        <w:t xml:space="preserve"> staging system (ISS):</w:t>
      </w:r>
    </w:p>
    <w:p w14:paraId="08B90875" w14:textId="77777777" w:rsidR="00DD69A8" w:rsidRPr="00DD69A8" w:rsidRDefault="00DD69A8" w:rsidP="00DD69A8">
      <w:pPr>
        <w:spacing w:line="360" w:lineRule="auto"/>
        <w:jc w:val="both"/>
        <w:rPr>
          <w:rFonts w:eastAsia="Yu Mincho"/>
          <w:lang w:val="en-US" w:eastAsia="en-US"/>
        </w:rPr>
      </w:pPr>
    </w:p>
    <w:p w14:paraId="3D86137F" w14:textId="77777777" w:rsidR="00DD69A8" w:rsidRPr="00DD69A8" w:rsidRDefault="00DD69A8" w:rsidP="00DD69A8">
      <w:pPr>
        <w:numPr>
          <w:ilvl w:val="0"/>
          <w:numId w:val="3"/>
        </w:numPr>
        <w:spacing w:line="360" w:lineRule="auto"/>
        <w:contextualSpacing/>
        <w:jc w:val="both"/>
        <w:rPr>
          <w:rFonts w:eastAsia="Yu Mincho"/>
          <w:lang w:val="en-US" w:eastAsia="en-US"/>
        </w:rPr>
      </w:pPr>
      <w:r w:rsidRPr="00DD69A8">
        <w:rPr>
          <w:rFonts w:eastAsia="Yu Mincho"/>
          <w:lang w:val="en-US" w:eastAsia="en-US"/>
        </w:rPr>
        <w:t>Stage I: β2-</w:t>
      </w:r>
      <w:proofErr w:type="spellStart"/>
      <w:r w:rsidRPr="00DD69A8">
        <w:rPr>
          <w:rFonts w:eastAsia="Yu Mincho"/>
          <w:lang w:val="en-US" w:eastAsia="en-US"/>
        </w:rPr>
        <w:t>Microglobulin</w:t>
      </w:r>
      <w:proofErr w:type="spellEnd"/>
      <w:r w:rsidRPr="00DD69A8">
        <w:rPr>
          <w:rFonts w:eastAsia="Yu Mincho"/>
          <w:lang w:val="en-US" w:eastAsia="en-US"/>
        </w:rPr>
        <w:t xml:space="preserve"> &lt; 3.5 mg/L and serum albumin ≥ 3.5 g/dL</w:t>
      </w:r>
    </w:p>
    <w:p w14:paraId="5BA6C24E" w14:textId="77777777" w:rsidR="00DD69A8" w:rsidRPr="00DD69A8" w:rsidRDefault="00DD69A8" w:rsidP="00DD69A8">
      <w:pPr>
        <w:numPr>
          <w:ilvl w:val="0"/>
          <w:numId w:val="3"/>
        </w:numPr>
        <w:spacing w:line="360" w:lineRule="auto"/>
        <w:contextualSpacing/>
        <w:jc w:val="both"/>
        <w:rPr>
          <w:rFonts w:eastAsia="Yu Mincho"/>
          <w:lang w:val="en-US" w:eastAsia="en-US"/>
        </w:rPr>
      </w:pPr>
      <w:r w:rsidRPr="00DD69A8">
        <w:rPr>
          <w:rFonts w:eastAsia="Yu Mincho"/>
          <w:lang w:val="en-US" w:eastAsia="en-US"/>
        </w:rPr>
        <w:t>Stage II: β2-</w:t>
      </w:r>
      <w:proofErr w:type="spellStart"/>
      <w:r w:rsidRPr="00DD69A8">
        <w:rPr>
          <w:rFonts w:eastAsia="Yu Mincho"/>
          <w:lang w:val="en-US" w:eastAsia="en-US"/>
        </w:rPr>
        <w:t>Microglobulin</w:t>
      </w:r>
      <w:proofErr w:type="spellEnd"/>
      <w:r w:rsidRPr="00DD69A8">
        <w:rPr>
          <w:rFonts w:eastAsia="Yu Mincho"/>
          <w:lang w:val="en-US" w:eastAsia="en-US"/>
        </w:rPr>
        <w:t>: 3.5 mg/L - 5.5 mg/dL and/or Albumin &lt; 3.5 g/dL</w:t>
      </w:r>
    </w:p>
    <w:p w14:paraId="27791C01" w14:textId="77777777" w:rsidR="00DD69A8" w:rsidRPr="00DD69A8" w:rsidRDefault="00DD69A8" w:rsidP="00DD69A8">
      <w:pPr>
        <w:numPr>
          <w:ilvl w:val="0"/>
          <w:numId w:val="3"/>
        </w:numPr>
        <w:spacing w:line="360" w:lineRule="auto"/>
        <w:contextualSpacing/>
        <w:jc w:val="both"/>
        <w:rPr>
          <w:rFonts w:eastAsia="Yu Mincho"/>
          <w:lang w:val="en-US" w:eastAsia="en-US"/>
        </w:rPr>
      </w:pPr>
      <w:r w:rsidRPr="00DD69A8">
        <w:rPr>
          <w:rFonts w:eastAsia="Yu Mincho"/>
          <w:lang w:val="en-US" w:eastAsia="en-US"/>
        </w:rPr>
        <w:t>Stage III: β2-</w:t>
      </w:r>
      <w:proofErr w:type="spellStart"/>
      <w:r w:rsidRPr="00DD69A8">
        <w:rPr>
          <w:rFonts w:eastAsia="Yu Mincho"/>
          <w:lang w:val="en-US" w:eastAsia="en-US"/>
        </w:rPr>
        <w:t>Microglobulin</w:t>
      </w:r>
      <w:proofErr w:type="spellEnd"/>
      <w:r w:rsidRPr="00DD69A8">
        <w:rPr>
          <w:rFonts w:eastAsia="Yu Mincho"/>
          <w:lang w:val="en-US" w:eastAsia="en-US"/>
        </w:rPr>
        <w:t xml:space="preserve"> ≥ 5.5 mg/L</w:t>
      </w:r>
    </w:p>
    <w:p w14:paraId="6C341AE4" w14:textId="77777777" w:rsidR="00DD69A8" w:rsidRPr="00DD69A8" w:rsidRDefault="00DD69A8" w:rsidP="00DD69A8">
      <w:pPr>
        <w:spacing w:line="360" w:lineRule="auto"/>
        <w:jc w:val="both"/>
        <w:rPr>
          <w:rFonts w:eastAsia="Yu Mincho"/>
          <w:lang w:val="en-US" w:eastAsia="en-US"/>
        </w:rPr>
      </w:pPr>
    </w:p>
    <w:p w14:paraId="25F89670"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Data management and analysis: data were analyzed with SPSS 22.0 software, using descriptive statistics algorithms, calculating the mean and standard deviation, using the Chi-square test and Fisher's exact test to compare the difference between clinical and laboratory characteristics of patients and the association with high sFLCR. Any variable with p&lt; 0.05 was considered to be statistically significant.</w:t>
      </w:r>
    </w:p>
    <w:p w14:paraId="4CB01909"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From the ethical point of view, the confidentiality of the identity of the patients is maintained, only used for analysis as a group.</w:t>
      </w:r>
    </w:p>
    <w:p w14:paraId="1ABD39A6" w14:textId="77777777" w:rsidR="00DD69A8" w:rsidRPr="00DD69A8" w:rsidRDefault="00DD69A8" w:rsidP="00DD69A8">
      <w:pPr>
        <w:spacing w:line="360" w:lineRule="auto"/>
        <w:jc w:val="both"/>
        <w:rPr>
          <w:rFonts w:eastAsia="Yu Mincho"/>
          <w:lang w:val="en-US" w:eastAsia="en-US"/>
        </w:rPr>
      </w:pPr>
    </w:p>
    <w:p w14:paraId="685964CD" w14:textId="77777777" w:rsidR="00DD69A8" w:rsidRPr="00DD69A8" w:rsidRDefault="00DD69A8" w:rsidP="00DD69A8">
      <w:pPr>
        <w:widowControl w:val="0"/>
        <w:spacing w:line="360" w:lineRule="auto"/>
        <w:jc w:val="center"/>
        <w:rPr>
          <w:b/>
          <w:lang w:val="en-US" w:eastAsia="en-US"/>
        </w:rPr>
      </w:pPr>
    </w:p>
    <w:p w14:paraId="487D01F6" w14:textId="77777777" w:rsidR="00DD69A8" w:rsidRPr="00DD69A8" w:rsidRDefault="00DD69A8" w:rsidP="00DD69A8">
      <w:pPr>
        <w:widowControl w:val="0"/>
        <w:spacing w:line="360" w:lineRule="auto"/>
        <w:jc w:val="center"/>
        <w:rPr>
          <w:b/>
          <w:sz w:val="32"/>
          <w:szCs w:val="32"/>
          <w:lang w:val="en-US" w:eastAsia="en-US"/>
        </w:rPr>
      </w:pPr>
      <w:r w:rsidRPr="00DD69A8">
        <w:rPr>
          <w:b/>
          <w:sz w:val="32"/>
          <w:szCs w:val="32"/>
          <w:lang w:val="en-US" w:eastAsia="en-US"/>
        </w:rPr>
        <w:t>RESULTS</w:t>
      </w:r>
    </w:p>
    <w:p w14:paraId="7EC10D02" w14:textId="77777777" w:rsidR="00DD69A8" w:rsidRPr="00DD69A8" w:rsidRDefault="00DD69A8" w:rsidP="00DD69A8">
      <w:pPr>
        <w:widowControl w:val="0"/>
        <w:spacing w:line="360" w:lineRule="auto"/>
        <w:jc w:val="center"/>
        <w:rPr>
          <w:b/>
          <w:sz w:val="28"/>
          <w:szCs w:val="28"/>
          <w:lang w:val="en-US" w:eastAsia="en-US"/>
        </w:rPr>
      </w:pPr>
      <w:r w:rsidRPr="00DD69A8">
        <w:rPr>
          <w:b/>
          <w:sz w:val="28"/>
          <w:szCs w:val="28"/>
          <w:lang w:val="en-US" w:eastAsia="en-US"/>
        </w:rPr>
        <w:t>Demographic and other characteristics of patients</w:t>
      </w:r>
    </w:p>
    <w:p w14:paraId="4F1D1357"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The proportion of male patients accounted for 48.7%, and female accounted for 51.3%, so the male/female ratio was approximately the same.</w:t>
      </w:r>
    </w:p>
    <w:p w14:paraId="297BD623"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The average age of the study group of patients was 58.7 ± 11.1; in which the oldest age was 79 years old and the youngest age was 32 years old. The age group from 55-64 accounts for the highest percentage, followed by the age group 45-54; age group &lt; 45 or &gt; 84 accounted for low proportion (table 1).</w:t>
      </w:r>
    </w:p>
    <w:p w14:paraId="0ED2B4EA" w14:textId="77777777" w:rsidR="00DD69A8" w:rsidRPr="00DD69A8" w:rsidRDefault="00DD69A8" w:rsidP="00DD69A8">
      <w:pPr>
        <w:spacing w:line="360" w:lineRule="auto"/>
        <w:jc w:val="center"/>
        <w:rPr>
          <w:b/>
          <w:lang w:val="en-US" w:eastAsia="en-US"/>
        </w:rPr>
      </w:pPr>
    </w:p>
    <w:p w14:paraId="44733153" w14:textId="77777777" w:rsidR="00DD69A8" w:rsidRPr="00DD69A8" w:rsidRDefault="00DD69A8" w:rsidP="00DD69A8">
      <w:pPr>
        <w:spacing w:after="160" w:line="259" w:lineRule="auto"/>
        <w:rPr>
          <w:rFonts w:ascii="Verdana" w:hAnsi="Verdana"/>
          <w:b/>
          <w:sz w:val="20"/>
          <w:szCs w:val="20"/>
          <w:lang w:val="en-US" w:eastAsia="en-US"/>
        </w:rPr>
      </w:pPr>
      <w:r w:rsidRPr="00DD69A8">
        <w:rPr>
          <w:rFonts w:ascii="Verdana" w:hAnsi="Verdana"/>
          <w:b/>
          <w:sz w:val="20"/>
          <w:szCs w:val="20"/>
          <w:lang w:val="en-US" w:eastAsia="en-US"/>
        </w:rPr>
        <w:br w:type="page"/>
      </w:r>
    </w:p>
    <w:p w14:paraId="12381F76" w14:textId="77777777" w:rsidR="00DD69A8" w:rsidRPr="00DD69A8" w:rsidRDefault="00DD69A8" w:rsidP="00DD69A8">
      <w:pPr>
        <w:spacing w:line="360" w:lineRule="auto"/>
        <w:jc w:val="center"/>
        <w:rPr>
          <w:sz w:val="22"/>
          <w:szCs w:val="22"/>
          <w:lang w:val="en-US" w:eastAsia="en-US"/>
        </w:rPr>
      </w:pPr>
      <w:r w:rsidRPr="00DD69A8">
        <w:rPr>
          <w:b/>
          <w:sz w:val="22"/>
          <w:szCs w:val="22"/>
          <w:lang w:val="en-US" w:eastAsia="en-US"/>
        </w:rPr>
        <w:lastRenderedPageBreak/>
        <w:t>Table 1</w:t>
      </w:r>
      <w:r w:rsidRPr="00DD69A8">
        <w:rPr>
          <w:sz w:val="22"/>
          <w:szCs w:val="22"/>
          <w:lang w:val="en-US" w:eastAsia="en-US"/>
        </w:rPr>
        <w:t xml:space="preserve"> - Age distribution</w:t>
      </w:r>
    </w:p>
    <w:tbl>
      <w:tblPr>
        <w:tblStyle w:val="Tablaconcuadrcula1"/>
        <w:tblW w:w="0" w:type="auto"/>
        <w:jc w:val="center"/>
        <w:tblLook w:val="04A0" w:firstRow="1" w:lastRow="0" w:firstColumn="1" w:lastColumn="0" w:noHBand="0" w:noVBand="1"/>
      </w:tblPr>
      <w:tblGrid>
        <w:gridCol w:w="1980"/>
        <w:gridCol w:w="989"/>
        <w:gridCol w:w="850"/>
      </w:tblGrid>
      <w:tr w:rsidR="00DD69A8" w:rsidRPr="00DD69A8" w14:paraId="2D1E56C3" w14:textId="77777777" w:rsidTr="0060234B">
        <w:trPr>
          <w:jc w:val="center"/>
        </w:trPr>
        <w:tc>
          <w:tcPr>
            <w:tcW w:w="1980" w:type="dxa"/>
            <w:vAlign w:val="center"/>
          </w:tcPr>
          <w:p w14:paraId="0E1BB15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b/>
                <w:bCs/>
                <w:sz w:val="18"/>
                <w:szCs w:val="18"/>
                <w:lang w:val="en-US" w:eastAsia="en-US"/>
              </w:rPr>
              <w:t>Types (n= 74)</w:t>
            </w:r>
          </w:p>
        </w:tc>
        <w:tc>
          <w:tcPr>
            <w:tcW w:w="989" w:type="dxa"/>
            <w:vAlign w:val="center"/>
          </w:tcPr>
          <w:p w14:paraId="576EDDF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b/>
                <w:bCs/>
                <w:sz w:val="18"/>
                <w:szCs w:val="18"/>
                <w:lang w:val="en-US" w:eastAsia="en-US"/>
              </w:rPr>
              <w:t>n</w:t>
            </w:r>
          </w:p>
        </w:tc>
        <w:tc>
          <w:tcPr>
            <w:tcW w:w="850" w:type="dxa"/>
            <w:vAlign w:val="center"/>
          </w:tcPr>
          <w:p w14:paraId="5345857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b/>
                <w:bCs/>
                <w:sz w:val="18"/>
                <w:szCs w:val="18"/>
                <w:lang w:val="en-US" w:eastAsia="en-US"/>
              </w:rPr>
              <w:t>%</w:t>
            </w:r>
          </w:p>
        </w:tc>
      </w:tr>
      <w:tr w:rsidR="00DD69A8" w:rsidRPr="00DD69A8" w14:paraId="380CB910" w14:textId="77777777" w:rsidTr="0060234B">
        <w:trPr>
          <w:jc w:val="center"/>
        </w:trPr>
        <w:tc>
          <w:tcPr>
            <w:tcW w:w="1980" w:type="dxa"/>
            <w:vAlign w:val="center"/>
          </w:tcPr>
          <w:p w14:paraId="7FF34E94"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&lt; 20</w:t>
            </w:r>
          </w:p>
        </w:tc>
        <w:tc>
          <w:tcPr>
            <w:tcW w:w="989" w:type="dxa"/>
            <w:vAlign w:val="center"/>
          </w:tcPr>
          <w:p w14:paraId="341A788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w:t>
            </w:r>
          </w:p>
        </w:tc>
        <w:tc>
          <w:tcPr>
            <w:tcW w:w="850" w:type="dxa"/>
            <w:vAlign w:val="center"/>
          </w:tcPr>
          <w:p w14:paraId="768DC6B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0.0</w:t>
            </w:r>
          </w:p>
        </w:tc>
      </w:tr>
      <w:tr w:rsidR="00DD69A8" w:rsidRPr="00DD69A8" w14:paraId="0579BA0E" w14:textId="77777777" w:rsidTr="0060234B">
        <w:trPr>
          <w:jc w:val="center"/>
        </w:trPr>
        <w:tc>
          <w:tcPr>
            <w:tcW w:w="1980" w:type="dxa"/>
            <w:vAlign w:val="center"/>
          </w:tcPr>
          <w:p w14:paraId="5B24745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20-34</w:t>
            </w:r>
          </w:p>
        </w:tc>
        <w:tc>
          <w:tcPr>
            <w:tcW w:w="989" w:type="dxa"/>
            <w:vAlign w:val="center"/>
          </w:tcPr>
          <w:p w14:paraId="20907CD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w:t>
            </w:r>
          </w:p>
        </w:tc>
        <w:tc>
          <w:tcPr>
            <w:tcW w:w="850" w:type="dxa"/>
            <w:vAlign w:val="center"/>
          </w:tcPr>
          <w:p w14:paraId="6212C76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1.4</w:t>
            </w:r>
          </w:p>
        </w:tc>
      </w:tr>
      <w:tr w:rsidR="00DD69A8" w:rsidRPr="00DD69A8" w14:paraId="7A2E9469" w14:textId="77777777" w:rsidTr="0060234B">
        <w:trPr>
          <w:jc w:val="center"/>
        </w:trPr>
        <w:tc>
          <w:tcPr>
            <w:tcW w:w="1980" w:type="dxa"/>
            <w:vAlign w:val="center"/>
          </w:tcPr>
          <w:p w14:paraId="29E35E9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35-44</w:t>
            </w:r>
          </w:p>
        </w:tc>
        <w:tc>
          <w:tcPr>
            <w:tcW w:w="989" w:type="dxa"/>
            <w:vAlign w:val="center"/>
          </w:tcPr>
          <w:p w14:paraId="12AF8BF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w:t>
            </w:r>
          </w:p>
        </w:tc>
        <w:tc>
          <w:tcPr>
            <w:tcW w:w="850" w:type="dxa"/>
            <w:vAlign w:val="center"/>
          </w:tcPr>
          <w:p w14:paraId="739A1BEF"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8.1</w:t>
            </w:r>
          </w:p>
        </w:tc>
      </w:tr>
      <w:tr w:rsidR="00DD69A8" w:rsidRPr="00DD69A8" w14:paraId="3A0BC942" w14:textId="77777777" w:rsidTr="0060234B">
        <w:trPr>
          <w:jc w:val="center"/>
        </w:trPr>
        <w:tc>
          <w:tcPr>
            <w:tcW w:w="1980" w:type="dxa"/>
            <w:vAlign w:val="center"/>
          </w:tcPr>
          <w:p w14:paraId="6800724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45-54</w:t>
            </w:r>
          </w:p>
        </w:tc>
        <w:tc>
          <w:tcPr>
            <w:tcW w:w="989" w:type="dxa"/>
            <w:vAlign w:val="center"/>
          </w:tcPr>
          <w:p w14:paraId="742C4064"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16</w:t>
            </w:r>
          </w:p>
        </w:tc>
        <w:tc>
          <w:tcPr>
            <w:tcW w:w="850" w:type="dxa"/>
            <w:vAlign w:val="center"/>
          </w:tcPr>
          <w:p w14:paraId="60AF242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21.6</w:t>
            </w:r>
          </w:p>
        </w:tc>
      </w:tr>
      <w:tr w:rsidR="00DD69A8" w:rsidRPr="00DD69A8" w14:paraId="5FEC7CED" w14:textId="77777777" w:rsidTr="0060234B">
        <w:trPr>
          <w:jc w:val="center"/>
        </w:trPr>
        <w:tc>
          <w:tcPr>
            <w:tcW w:w="1980" w:type="dxa"/>
            <w:vAlign w:val="center"/>
          </w:tcPr>
          <w:p w14:paraId="7134CCE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55-64</w:t>
            </w:r>
          </w:p>
        </w:tc>
        <w:tc>
          <w:tcPr>
            <w:tcW w:w="989" w:type="dxa"/>
            <w:vAlign w:val="center"/>
          </w:tcPr>
          <w:p w14:paraId="11A6AC24"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34</w:t>
            </w:r>
          </w:p>
        </w:tc>
        <w:tc>
          <w:tcPr>
            <w:tcW w:w="850" w:type="dxa"/>
            <w:vAlign w:val="center"/>
          </w:tcPr>
          <w:p w14:paraId="4226A74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45.9</w:t>
            </w:r>
          </w:p>
        </w:tc>
      </w:tr>
      <w:tr w:rsidR="00DD69A8" w:rsidRPr="00DD69A8" w14:paraId="2A8D1B14" w14:textId="77777777" w:rsidTr="0060234B">
        <w:trPr>
          <w:jc w:val="center"/>
        </w:trPr>
        <w:tc>
          <w:tcPr>
            <w:tcW w:w="1980" w:type="dxa"/>
            <w:vAlign w:val="center"/>
          </w:tcPr>
          <w:p w14:paraId="0E816F0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65-74</w:t>
            </w:r>
          </w:p>
        </w:tc>
        <w:tc>
          <w:tcPr>
            <w:tcW w:w="989" w:type="dxa"/>
            <w:vAlign w:val="center"/>
          </w:tcPr>
          <w:p w14:paraId="168D651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10</w:t>
            </w:r>
          </w:p>
        </w:tc>
        <w:tc>
          <w:tcPr>
            <w:tcW w:w="850" w:type="dxa"/>
            <w:vAlign w:val="center"/>
          </w:tcPr>
          <w:p w14:paraId="496B0AE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13.5</w:t>
            </w:r>
          </w:p>
        </w:tc>
      </w:tr>
      <w:tr w:rsidR="00DD69A8" w:rsidRPr="00DD69A8" w14:paraId="5268F3DC" w14:textId="77777777" w:rsidTr="0060234B">
        <w:trPr>
          <w:jc w:val="center"/>
        </w:trPr>
        <w:tc>
          <w:tcPr>
            <w:tcW w:w="1980" w:type="dxa"/>
            <w:vAlign w:val="center"/>
          </w:tcPr>
          <w:p w14:paraId="025490B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75-84</w:t>
            </w:r>
          </w:p>
        </w:tc>
        <w:tc>
          <w:tcPr>
            <w:tcW w:w="989" w:type="dxa"/>
            <w:vAlign w:val="center"/>
          </w:tcPr>
          <w:p w14:paraId="01410DD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w:t>
            </w:r>
          </w:p>
        </w:tc>
        <w:tc>
          <w:tcPr>
            <w:tcW w:w="850" w:type="dxa"/>
            <w:vAlign w:val="center"/>
          </w:tcPr>
          <w:p w14:paraId="37BC6B3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9.5</w:t>
            </w:r>
          </w:p>
        </w:tc>
      </w:tr>
      <w:tr w:rsidR="00DD69A8" w:rsidRPr="00DD69A8" w14:paraId="21658760" w14:textId="77777777" w:rsidTr="0060234B">
        <w:trPr>
          <w:jc w:val="center"/>
        </w:trPr>
        <w:tc>
          <w:tcPr>
            <w:tcW w:w="1980" w:type="dxa"/>
            <w:vAlign w:val="center"/>
          </w:tcPr>
          <w:p w14:paraId="1F602D7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&gt; 84</w:t>
            </w:r>
          </w:p>
        </w:tc>
        <w:tc>
          <w:tcPr>
            <w:tcW w:w="989" w:type="dxa"/>
            <w:vAlign w:val="center"/>
          </w:tcPr>
          <w:p w14:paraId="47BC1ED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w:t>
            </w:r>
          </w:p>
        </w:tc>
        <w:tc>
          <w:tcPr>
            <w:tcW w:w="850" w:type="dxa"/>
            <w:vAlign w:val="center"/>
          </w:tcPr>
          <w:p w14:paraId="16F71EC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0.0</w:t>
            </w:r>
          </w:p>
        </w:tc>
      </w:tr>
      <w:tr w:rsidR="00DD69A8" w:rsidRPr="00DD69A8" w14:paraId="1DDCD12E" w14:textId="77777777" w:rsidTr="0060234B">
        <w:trPr>
          <w:jc w:val="center"/>
        </w:trPr>
        <w:tc>
          <w:tcPr>
            <w:tcW w:w="1980" w:type="dxa"/>
            <w:vAlign w:val="center"/>
          </w:tcPr>
          <w:p w14:paraId="4F072CB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Total</w:t>
            </w:r>
          </w:p>
        </w:tc>
        <w:tc>
          <w:tcPr>
            <w:tcW w:w="989" w:type="dxa"/>
            <w:vAlign w:val="center"/>
          </w:tcPr>
          <w:p w14:paraId="614C37B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74</w:t>
            </w:r>
          </w:p>
        </w:tc>
        <w:tc>
          <w:tcPr>
            <w:tcW w:w="850" w:type="dxa"/>
            <w:vAlign w:val="center"/>
          </w:tcPr>
          <w:p w14:paraId="44020DE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100.0</w:t>
            </w:r>
          </w:p>
        </w:tc>
      </w:tr>
      <w:tr w:rsidR="00DD69A8" w:rsidRPr="00DD69A8" w14:paraId="4EB28183" w14:textId="77777777" w:rsidTr="0060234B">
        <w:trPr>
          <w:jc w:val="center"/>
        </w:trPr>
        <w:tc>
          <w:tcPr>
            <w:tcW w:w="1980" w:type="dxa"/>
            <w:vAlign w:val="center"/>
          </w:tcPr>
          <w:p w14:paraId="3B519F43" w14:textId="56D5A0A9" w:rsidR="00DD69A8" w:rsidRPr="00DD69A8" w:rsidRDefault="00DD69A8" w:rsidP="00DD69A8">
            <w:pPr>
              <w:spacing w:line="360" w:lineRule="auto"/>
              <w:jc w:val="center"/>
              <w:rPr>
                <w:rFonts w:ascii="Times New Roman" w:hAnsi="Times New Roman"/>
                <w:sz w:val="18"/>
                <w:szCs w:val="18"/>
                <w:lang w:val="en-US" w:eastAsia="en-US"/>
              </w:rPr>
            </w:pPr>
            <m:oMath>
              <m:acc>
                <m:accPr>
                  <m:chr m:val="̅"/>
                  <m:ctrlPr>
                    <w:rPr>
                      <w:rFonts w:ascii="Cambria Math" w:hAnsi="Cambria Math"/>
                      <w:i/>
                      <w:sz w:val="18"/>
                      <w:szCs w:val="18"/>
                      <w:lang w:val="en-US" w:eastAsia="en-US"/>
                    </w:rPr>
                  </m:ctrlPr>
                </m:accPr>
                <m:e>
                  <m:r>
                    <w:rPr>
                      <w:rFonts w:ascii="Cambria Math" w:hAnsi="Cambria Math"/>
                      <w:sz w:val="18"/>
                      <w:szCs w:val="18"/>
                      <w:lang w:val="en-US" w:eastAsia="en-US"/>
                    </w:rPr>
                    <m:t xml:space="preserve">X </m:t>
                  </m:r>
                </m:e>
              </m:acc>
            </m:oMath>
            <w:r w:rsidRPr="00DD69A8">
              <w:rPr>
                <w:rFonts w:ascii="Times New Roman" w:hAnsi="Times New Roman"/>
                <w:sz w:val="18"/>
                <w:szCs w:val="18"/>
                <w:lang w:val="en-US" w:eastAsia="en-US"/>
              </w:rPr>
              <w:t>± SD</w:t>
            </w:r>
          </w:p>
        </w:tc>
        <w:tc>
          <w:tcPr>
            <w:tcW w:w="1839" w:type="dxa"/>
            <w:gridSpan w:val="2"/>
            <w:vAlign w:val="center"/>
          </w:tcPr>
          <w:p w14:paraId="4557A71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58.7 ± 11.1</w:t>
            </w:r>
          </w:p>
        </w:tc>
      </w:tr>
      <w:tr w:rsidR="00DD69A8" w:rsidRPr="00DD69A8" w14:paraId="474675E2" w14:textId="77777777" w:rsidTr="0060234B">
        <w:trPr>
          <w:jc w:val="center"/>
        </w:trPr>
        <w:tc>
          <w:tcPr>
            <w:tcW w:w="1980" w:type="dxa"/>
            <w:vAlign w:val="center"/>
          </w:tcPr>
          <w:p w14:paraId="311F5C1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Max – Min</w:t>
            </w:r>
          </w:p>
        </w:tc>
        <w:tc>
          <w:tcPr>
            <w:tcW w:w="1839" w:type="dxa"/>
            <w:gridSpan w:val="2"/>
            <w:vAlign w:val="center"/>
          </w:tcPr>
          <w:p w14:paraId="1B1D1F4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79 - 32</w:t>
            </w:r>
          </w:p>
        </w:tc>
      </w:tr>
    </w:tbl>
    <w:p w14:paraId="75253FAE" w14:textId="77777777" w:rsidR="00DD69A8" w:rsidRPr="00DD69A8" w:rsidRDefault="00DD69A8" w:rsidP="00DD69A8">
      <w:pPr>
        <w:spacing w:line="360" w:lineRule="auto"/>
        <w:jc w:val="both"/>
        <w:rPr>
          <w:lang w:val="en-US" w:eastAsia="en-US"/>
        </w:rPr>
      </w:pPr>
    </w:p>
    <w:p w14:paraId="3108FB96"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The results in the table 2 show that, in this study, intact immunoglobulin multiple myeloma accounted for the majority of patients with a rate of 81%, in intact immunoglobulin multiple myeloma the majority of patients with heavy chain secretion was mainly IgG with 76.7% of patients, Kappa light chain in intact immunoglobulin multiple myeloma accounted for the majority of patients with 72%. For multiple light chain myeloma (19% of patients), Lambda light chain accounted for the majority with 9 patients (64%).</w:t>
      </w:r>
    </w:p>
    <w:p w14:paraId="40A86942" w14:textId="77777777" w:rsidR="00DD69A8" w:rsidRPr="00DD69A8" w:rsidRDefault="00DD69A8" w:rsidP="00DD69A8">
      <w:pPr>
        <w:spacing w:line="360" w:lineRule="auto"/>
        <w:jc w:val="both"/>
        <w:rPr>
          <w:rFonts w:eastAsia="Yu Mincho"/>
          <w:lang w:val="en-US" w:eastAsia="en-US"/>
        </w:rPr>
      </w:pPr>
    </w:p>
    <w:p w14:paraId="17DAD28F" w14:textId="77777777" w:rsidR="00DD69A8" w:rsidRPr="00DD69A8" w:rsidRDefault="00DD69A8" w:rsidP="00DD69A8">
      <w:pPr>
        <w:spacing w:line="360" w:lineRule="auto"/>
        <w:jc w:val="center"/>
        <w:rPr>
          <w:sz w:val="22"/>
          <w:szCs w:val="22"/>
          <w:lang w:val="en-US" w:eastAsia="en-US"/>
        </w:rPr>
      </w:pPr>
      <w:r w:rsidRPr="00DD69A8">
        <w:rPr>
          <w:b/>
          <w:sz w:val="22"/>
          <w:szCs w:val="22"/>
          <w:lang w:val="en-US" w:eastAsia="en-US"/>
        </w:rPr>
        <w:t xml:space="preserve">Table 2 - </w:t>
      </w:r>
      <w:r w:rsidRPr="00DD69A8">
        <w:rPr>
          <w:sz w:val="22"/>
          <w:szCs w:val="22"/>
          <w:lang w:val="en-US" w:eastAsia="en-US"/>
        </w:rPr>
        <w:t>Types of multiple myeloma</w:t>
      </w:r>
    </w:p>
    <w:tbl>
      <w:tblPr>
        <w:tblStyle w:val="Tablaconcuadrcula1"/>
        <w:tblW w:w="6233" w:type="dxa"/>
        <w:jc w:val="center"/>
        <w:tblLook w:val="04A0" w:firstRow="1" w:lastRow="0" w:firstColumn="1" w:lastColumn="0" w:noHBand="0" w:noVBand="1"/>
      </w:tblPr>
      <w:tblGrid>
        <w:gridCol w:w="2263"/>
        <w:gridCol w:w="2127"/>
        <w:gridCol w:w="993"/>
        <w:gridCol w:w="850"/>
      </w:tblGrid>
      <w:tr w:rsidR="00DD69A8" w:rsidRPr="00DD69A8" w14:paraId="67930354" w14:textId="77777777" w:rsidTr="0060234B">
        <w:trPr>
          <w:jc w:val="center"/>
        </w:trPr>
        <w:tc>
          <w:tcPr>
            <w:tcW w:w="4390" w:type="dxa"/>
            <w:gridSpan w:val="2"/>
            <w:vAlign w:val="center"/>
          </w:tcPr>
          <w:p w14:paraId="40CC79A9"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Types (n= 74)</w:t>
            </w:r>
          </w:p>
        </w:tc>
        <w:tc>
          <w:tcPr>
            <w:tcW w:w="993" w:type="dxa"/>
            <w:vAlign w:val="center"/>
          </w:tcPr>
          <w:p w14:paraId="7F642DB2"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n</w:t>
            </w:r>
          </w:p>
        </w:tc>
        <w:tc>
          <w:tcPr>
            <w:tcW w:w="850" w:type="dxa"/>
            <w:vAlign w:val="center"/>
          </w:tcPr>
          <w:p w14:paraId="4139F5AF"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w:t>
            </w:r>
          </w:p>
        </w:tc>
      </w:tr>
      <w:tr w:rsidR="00DD69A8" w:rsidRPr="00DD69A8" w14:paraId="279ECF1C" w14:textId="77777777" w:rsidTr="0060234B">
        <w:trPr>
          <w:jc w:val="center"/>
        </w:trPr>
        <w:tc>
          <w:tcPr>
            <w:tcW w:w="4390" w:type="dxa"/>
            <w:gridSpan w:val="2"/>
            <w:vAlign w:val="center"/>
          </w:tcPr>
          <w:p w14:paraId="0DF395AB" w14:textId="77777777" w:rsidR="00DD69A8" w:rsidRPr="00DD69A8" w:rsidRDefault="00DD69A8" w:rsidP="00DD69A8">
            <w:pPr>
              <w:spacing w:line="360" w:lineRule="auto"/>
              <w:rPr>
                <w:rFonts w:ascii="Times New Roman" w:hAnsi="Times New Roman"/>
                <w:b/>
                <w:bCs/>
                <w:sz w:val="18"/>
                <w:szCs w:val="18"/>
                <w:lang w:val="en-US" w:eastAsia="en-US"/>
              </w:rPr>
            </w:pPr>
            <w:r w:rsidRPr="00DD69A8">
              <w:rPr>
                <w:rFonts w:ascii="Times New Roman" w:hAnsi="Times New Roman"/>
                <w:sz w:val="18"/>
                <w:szCs w:val="18"/>
                <w:lang w:val="en-US" w:eastAsia="en-US"/>
              </w:rPr>
              <w:t>Intact immunoglobulin multiple myeloma</w:t>
            </w:r>
          </w:p>
        </w:tc>
        <w:tc>
          <w:tcPr>
            <w:tcW w:w="993" w:type="dxa"/>
            <w:vAlign w:val="center"/>
          </w:tcPr>
          <w:p w14:paraId="54C18707"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60</w:t>
            </w:r>
          </w:p>
        </w:tc>
        <w:tc>
          <w:tcPr>
            <w:tcW w:w="850" w:type="dxa"/>
            <w:vAlign w:val="center"/>
          </w:tcPr>
          <w:p w14:paraId="1F66037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81</w:t>
            </w:r>
          </w:p>
        </w:tc>
      </w:tr>
      <w:tr w:rsidR="00DD69A8" w:rsidRPr="00DD69A8" w14:paraId="6F5A200A" w14:textId="77777777" w:rsidTr="0060234B">
        <w:trPr>
          <w:jc w:val="center"/>
        </w:trPr>
        <w:tc>
          <w:tcPr>
            <w:tcW w:w="2263" w:type="dxa"/>
            <w:vMerge w:val="restart"/>
            <w:vAlign w:val="center"/>
          </w:tcPr>
          <w:p w14:paraId="127C1C79"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Heavy chain</w:t>
            </w:r>
          </w:p>
        </w:tc>
        <w:tc>
          <w:tcPr>
            <w:tcW w:w="2127" w:type="dxa"/>
            <w:vAlign w:val="center"/>
          </w:tcPr>
          <w:p w14:paraId="3E5D0362"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IgG</w:t>
            </w:r>
          </w:p>
        </w:tc>
        <w:tc>
          <w:tcPr>
            <w:tcW w:w="993" w:type="dxa"/>
            <w:vAlign w:val="center"/>
          </w:tcPr>
          <w:p w14:paraId="11578DA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46</w:t>
            </w:r>
          </w:p>
        </w:tc>
        <w:tc>
          <w:tcPr>
            <w:tcW w:w="850" w:type="dxa"/>
            <w:vAlign w:val="center"/>
          </w:tcPr>
          <w:p w14:paraId="66E1612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76.7</w:t>
            </w:r>
          </w:p>
        </w:tc>
      </w:tr>
      <w:tr w:rsidR="00DD69A8" w:rsidRPr="00DD69A8" w14:paraId="7B576411" w14:textId="77777777" w:rsidTr="0060234B">
        <w:trPr>
          <w:jc w:val="center"/>
        </w:trPr>
        <w:tc>
          <w:tcPr>
            <w:tcW w:w="2263" w:type="dxa"/>
            <w:vMerge/>
            <w:vAlign w:val="center"/>
          </w:tcPr>
          <w:p w14:paraId="6F8C02E9" w14:textId="77777777" w:rsidR="00DD69A8" w:rsidRPr="00DD69A8" w:rsidRDefault="00DD69A8" w:rsidP="00DD69A8">
            <w:pPr>
              <w:spacing w:line="360" w:lineRule="auto"/>
              <w:rPr>
                <w:rFonts w:ascii="Times New Roman" w:hAnsi="Times New Roman"/>
                <w:sz w:val="18"/>
                <w:szCs w:val="18"/>
                <w:lang w:val="en-US" w:eastAsia="en-US"/>
              </w:rPr>
            </w:pPr>
          </w:p>
        </w:tc>
        <w:tc>
          <w:tcPr>
            <w:tcW w:w="2127" w:type="dxa"/>
            <w:vAlign w:val="center"/>
          </w:tcPr>
          <w:p w14:paraId="69589868"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IgA</w:t>
            </w:r>
          </w:p>
        </w:tc>
        <w:tc>
          <w:tcPr>
            <w:tcW w:w="993" w:type="dxa"/>
            <w:vAlign w:val="center"/>
          </w:tcPr>
          <w:p w14:paraId="06DBC00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13</w:t>
            </w:r>
          </w:p>
        </w:tc>
        <w:tc>
          <w:tcPr>
            <w:tcW w:w="850" w:type="dxa"/>
            <w:vAlign w:val="center"/>
          </w:tcPr>
          <w:p w14:paraId="3763664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21.7</w:t>
            </w:r>
          </w:p>
        </w:tc>
      </w:tr>
      <w:tr w:rsidR="00DD69A8" w:rsidRPr="00DD69A8" w14:paraId="15BDD3CA" w14:textId="77777777" w:rsidTr="0060234B">
        <w:trPr>
          <w:jc w:val="center"/>
        </w:trPr>
        <w:tc>
          <w:tcPr>
            <w:tcW w:w="2263" w:type="dxa"/>
            <w:vMerge/>
            <w:vAlign w:val="center"/>
          </w:tcPr>
          <w:p w14:paraId="62A6DBCE" w14:textId="77777777" w:rsidR="00DD69A8" w:rsidRPr="00DD69A8" w:rsidRDefault="00DD69A8" w:rsidP="00DD69A8">
            <w:pPr>
              <w:spacing w:line="360" w:lineRule="auto"/>
              <w:rPr>
                <w:rFonts w:ascii="Times New Roman" w:hAnsi="Times New Roman"/>
                <w:sz w:val="18"/>
                <w:szCs w:val="18"/>
                <w:lang w:val="en-US" w:eastAsia="en-US"/>
              </w:rPr>
            </w:pPr>
          </w:p>
        </w:tc>
        <w:tc>
          <w:tcPr>
            <w:tcW w:w="2127" w:type="dxa"/>
            <w:vAlign w:val="center"/>
          </w:tcPr>
          <w:p w14:paraId="364B62F3"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IgM</w:t>
            </w:r>
          </w:p>
        </w:tc>
        <w:tc>
          <w:tcPr>
            <w:tcW w:w="993" w:type="dxa"/>
            <w:vAlign w:val="center"/>
          </w:tcPr>
          <w:p w14:paraId="051FDA7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w:t>
            </w:r>
          </w:p>
        </w:tc>
        <w:tc>
          <w:tcPr>
            <w:tcW w:w="850" w:type="dxa"/>
            <w:vAlign w:val="center"/>
          </w:tcPr>
          <w:p w14:paraId="320C1CE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1.6</w:t>
            </w:r>
          </w:p>
        </w:tc>
      </w:tr>
      <w:tr w:rsidR="00DD69A8" w:rsidRPr="00DD69A8" w14:paraId="1A1B6E82" w14:textId="77777777" w:rsidTr="0060234B">
        <w:trPr>
          <w:jc w:val="center"/>
        </w:trPr>
        <w:tc>
          <w:tcPr>
            <w:tcW w:w="2263" w:type="dxa"/>
            <w:vMerge w:val="restart"/>
            <w:vAlign w:val="center"/>
          </w:tcPr>
          <w:p w14:paraId="2E72A840"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Light chain</w:t>
            </w:r>
          </w:p>
        </w:tc>
        <w:tc>
          <w:tcPr>
            <w:tcW w:w="2127" w:type="dxa"/>
            <w:vAlign w:val="center"/>
          </w:tcPr>
          <w:p w14:paraId="7FAD7E1B"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Kappa</w:t>
            </w:r>
          </w:p>
        </w:tc>
        <w:tc>
          <w:tcPr>
            <w:tcW w:w="993" w:type="dxa"/>
            <w:vAlign w:val="center"/>
          </w:tcPr>
          <w:p w14:paraId="3DCBD05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43</w:t>
            </w:r>
          </w:p>
        </w:tc>
        <w:tc>
          <w:tcPr>
            <w:tcW w:w="850" w:type="dxa"/>
            <w:vAlign w:val="center"/>
          </w:tcPr>
          <w:p w14:paraId="4F0551A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72</w:t>
            </w:r>
          </w:p>
        </w:tc>
      </w:tr>
      <w:tr w:rsidR="00DD69A8" w:rsidRPr="00DD69A8" w14:paraId="55B3387F" w14:textId="77777777" w:rsidTr="0060234B">
        <w:trPr>
          <w:jc w:val="center"/>
        </w:trPr>
        <w:tc>
          <w:tcPr>
            <w:tcW w:w="2263" w:type="dxa"/>
            <w:vMerge/>
            <w:vAlign w:val="center"/>
          </w:tcPr>
          <w:p w14:paraId="296B3317" w14:textId="77777777" w:rsidR="00DD69A8" w:rsidRPr="00DD69A8" w:rsidRDefault="00DD69A8" w:rsidP="00DD69A8">
            <w:pPr>
              <w:spacing w:line="360" w:lineRule="auto"/>
              <w:rPr>
                <w:rFonts w:ascii="Times New Roman" w:hAnsi="Times New Roman"/>
                <w:sz w:val="18"/>
                <w:szCs w:val="18"/>
                <w:lang w:val="en-US" w:eastAsia="en-US"/>
              </w:rPr>
            </w:pPr>
          </w:p>
        </w:tc>
        <w:tc>
          <w:tcPr>
            <w:tcW w:w="2127" w:type="dxa"/>
            <w:vAlign w:val="center"/>
          </w:tcPr>
          <w:p w14:paraId="1093C63C"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Lambda</w:t>
            </w:r>
          </w:p>
        </w:tc>
        <w:tc>
          <w:tcPr>
            <w:tcW w:w="993" w:type="dxa"/>
            <w:vAlign w:val="center"/>
          </w:tcPr>
          <w:p w14:paraId="1028AD3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17</w:t>
            </w:r>
          </w:p>
        </w:tc>
        <w:tc>
          <w:tcPr>
            <w:tcW w:w="850" w:type="dxa"/>
            <w:vAlign w:val="center"/>
          </w:tcPr>
          <w:p w14:paraId="0389BA0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28</w:t>
            </w:r>
          </w:p>
        </w:tc>
      </w:tr>
      <w:tr w:rsidR="00DD69A8" w:rsidRPr="00DD69A8" w14:paraId="35A512D0" w14:textId="77777777" w:rsidTr="0060234B">
        <w:trPr>
          <w:jc w:val="center"/>
        </w:trPr>
        <w:tc>
          <w:tcPr>
            <w:tcW w:w="4390" w:type="dxa"/>
            <w:gridSpan w:val="2"/>
            <w:vAlign w:val="center"/>
          </w:tcPr>
          <w:p w14:paraId="578B4DAE" w14:textId="77777777" w:rsidR="00DD69A8" w:rsidRPr="00DD69A8" w:rsidRDefault="00DD69A8" w:rsidP="00DD69A8">
            <w:pPr>
              <w:spacing w:line="360" w:lineRule="auto"/>
              <w:rPr>
                <w:rFonts w:ascii="Times New Roman" w:hAnsi="Times New Roman"/>
                <w:b/>
                <w:bCs/>
                <w:sz w:val="18"/>
                <w:szCs w:val="18"/>
                <w:lang w:val="en-US" w:eastAsia="en-US"/>
              </w:rPr>
            </w:pPr>
            <w:r w:rsidRPr="00DD69A8">
              <w:rPr>
                <w:rFonts w:ascii="Times New Roman" w:hAnsi="Times New Roman"/>
                <w:sz w:val="18"/>
                <w:szCs w:val="18"/>
                <w:lang w:val="en-US" w:eastAsia="en-US"/>
              </w:rPr>
              <w:t>Light chain multiple myeloma</w:t>
            </w:r>
          </w:p>
        </w:tc>
        <w:tc>
          <w:tcPr>
            <w:tcW w:w="993" w:type="dxa"/>
            <w:vAlign w:val="center"/>
          </w:tcPr>
          <w:p w14:paraId="162FFB7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14</w:t>
            </w:r>
          </w:p>
        </w:tc>
        <w:tc>
          <w:tcPr>
            <w:tcW w:w="850" w:type="dxa"/>
            <w:vAlign w:val="center"/>
          </w:tcPr>
          <w:p w14:paraId="49CF6D6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19</w:t>
            </w:r>
          </w:p>
        </w:tc>
      </w:tr>
      <w:tr w:rsidR="00DD69A8" w:rsidRPr="00DD69A8" w14:paraId="6ADF3F7A" w14:textId="77777777" w:rsidTr="0060234B">
        <w:trPr>
          <w:jc w:val="center"/>
        </w:trPr>
        <w:tc>
          <w:tcPr>
            <w:tcW w:w="2263" w:type="dxa"/>
            <w:vMerge w:val="restart"/>
            <w:vAlign w:val="center"/>
          </w:tcPr>
          <w:p w14:paraId="18CF7BD9"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Light chain</w:t>
            </w:r>
          </w:p>
        </w:tc>
        <w:tc>
          <w:tcPr>
            <w:tcW w:w="2127" w:type="dxa"/>
            <w:vAlign w:val="center"/>
          </w:tcPr>
          <w:p w14:paraId="6ACEF5D7"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Kappa</w:t>
            </w:r>
          </w:p>
        </w:tc>
        <w:tc>
          <w:tcPr>
            <w:tcW w:w="993" w:type="dxa"/>
            <w:vAlign w:val="center"/>
          </w:tcPr>
          <w:p w14:paraId="20BA3A4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w:t>
            </w:r>
          </w:p>
        </w:tc>
        <w:tc>
          <w:tcPr>
            <w:tcW w:w="850" w:type="dxa"/>
            <w:vAlign w:val="center"/>
          </w:tcPr>
          <w:p w14:paraId="235ABBB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36</w:t>
            </w:r>
          </w:p>
        </w:tc>
      </w:tr>
      <w:tr w:rsidR="00DD69A8" w:rsidRPr="00DD69A8" w14:paraId="227E5A17" w14:textId="77777777" w:rsidTr="0060234B">
        <w:trPr>
          <w:jc w:val="center"/>
        </w:trPr>
        <w:tc>
          <w:tcPr>
            <w:tcW w:w="2263" w:type="dxa"/>
            <w:vMerge/>
            <w:vAlign w:val="center"/>
          </w:tcPr>
          <w:p w14:paraId="119324C8" w14:textId="77777777" w:rsidR="00DD69A8" w:rsidRPr="00DD69A8" w:rsidRDefault="00DD69A8" w:rsidP="00DD69A8">
            <w:pPr>
              <w:spacing w:line="360" w:lineRule="auto"/>
              <w:rPr>
                <w:rFonts w:ascii="Times New Roman" w:hAnsi="Times New Roman"/>
                <w:sz w:val="18"/>
                <w:szCs w:val="18"/>
                <w:lang w:val="en-US" w:eastAsia="en-US"/>
              </w:rPr>
            </w:pPr>
          </w:p>
        </w:tc>
        <w:tc>
          <w:tcPr>
            <w:tcW w:w="2127" w:type="dxa"/>
            <w:vAlign w:val="center"/>
          </w:tcPr>
          <w:p w14:paraId="54F6D111"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Lambda</w:t>
            </w:r>
          </w:p>
        </w:tc>
        <w:tc>
          <w:tcPr>
            <w:tcW w:w="993" w:type="dxa"/>
            <w:vAlign w:val="center"/>
          </w:tcPr>
          <w:p w14:paraId="1BBF4CC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9</w:t>
            </w:r>
          </w:p>
        </w:tc>
        <w:tc>
          <w:tcPr>
            <w:tcW w:w="850" w:type="dxa"/>
            <w:vAlign w:val="center"/>
          </w:tcPr>
          <w:p w14:paraId="14F1FCD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64</w:t>
            </w:r>
          </w:p>
        </w:tc>
      </w:tr>
    </w:tbl>
    <w:p w14:paraId="6452F9D9" w14:textId="77777777" w:rsidR="00DD69A8" w:rsidRPr="00DD69A8" w:rsidRDefault="00DD69A8" w:rsidP="00DD69A8">
      <w:pPr>
        <w:spacing w:line="360" w:lineRule="auto"/>
        <w:jc w:val="center"/>
        <w:rPr>
          <w:rFonts w:eastAsia="Yu Mincho"/>
          <w:lang w:val="en-US" w:eastAsia="en-US"/>
        </w:rPr>
      </w:pPr>
    </w:p>
    <w:p w14:paraId="2668B8FE" w14:textId="77777777" w:rsidR="00F33073" w:rsidRDefault="00F33073">
      <w:pPr>
        <w:rPr>
          <w:rFonts w:eastAsia="Yu Mincho"/>
          <w:b/>
          <w:sz w:val="28"/>
          <w:szCs w:val="28"/>
          <w:lang w:val="en-US" w:eastAsia="en-US"/>
        </w:rPr>
      </w:pPr>
      <w:r>
        <w:rPr>
          <w:rFonts w:eastAsia="Yu Mincho"/>
          <w:b/>
          <w:sz w:val="28"/>
          <w:szCs w:val="28"/>
          <w:lang w:val="en-US" w:eastAsia="en-US"/>
        </w:rPr>
        <w:br w:type="page"/>
      </w:r>
    </w:p>
    <w:p w14:paraId="5E47DD56" w14:textId="02F259B9" w:rsidR="00DD69A8" w:rsidRPr="00DD69A8" w:rsidRDefault="00DD69A8" w:rsidP="00DD69A8">
      <w:pPr>
        <w:spacing w:line="360" w:lineRule="auto"/>
        <w:jc w:val="center"/>
        <w:rPr>
          <w:rFonts w:eastAsia="Yu Mincho"/>
          <w:b/>
          <w:sz w:val="28"/>
          <w:szCs w:val="28"/>
          <w:lang w:val="en-US" w:eastAsia="en-US"/>
        </w:rPr>
      </w:pPr>
      <w:r w:rsidRPr="00DD69A8">
        <w:rPr>
          <w:rFonts w:eastAsia="Yu Mincho"/>
          <w:b/>
          <w:sz w:val="28"/>
          <w:szCs w:val="28"/>
          <w:lang w:val="en-US" w:eastAsia="en-US"/>
        </w:rPr>
        <w:lastRenderedPageBreak/>
        <w:t>Changes in sFLC and sFLCR across therapeutic stages of multiple myeloma</w:t>
      </w:r>
    </w:p>
    <w:p w14:paraId="06030E7A"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Most patients had abnormal sFLCR at the time of diagnosis (98.6%). A patient with sFLCR normally secretes IgG. The median value of sFLC in the 2 groups of intact immunoglobulin multiple myeloma and light chain multiple myeloma differed considerably. In the group of light chain multiple myeloma, sFLC was very high, the median values ​​of the two light chain types were equal (sFLC= 1500 mg/L). In contrast, in the intact immunoglobulin multiple myeloma group, the median value of light chain κ was higher than that of light chain λ. If calculating the rate of light chain secretion in general, λ tends to increase higher than κ (table 3).</w:t>
      </w:r>
    </w:p>
    <w:p w14:paraId="3E4F16D1"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Regarding the median sFLCR in the κ- secreting and λ-secreting groups, the λ-secreting group was higher than the κ-secreting group with values ​​of 55.6 and 39.3 respectively, 38% of patients had a very high sFLCR rate (&gt; 100). So, in this study, patients with multiple myeloma with λ light chain secretion, sFLCR &gt; 55.6 is called high sFLCR group, similarly if sFLCR &gt; 39.3 is called high sFLCR in κ secretory group. Lower than the above two corresponding values ​​are called low sFLCR (Fig. 1).</w:t>
      </w:r>
    </w:p>
    <w:p w14:paraId="7B2B281D" w14:textId="77777777" w:rsidR="00DD69A8" w:rsidRPr="00DD69A8" w:rsidRDefault="00DD69A8" w:rsidP="00DD69A8">
      <w:pPr>
        <w:spacing w:line="360" w:lineRule="auto"/>
        <w:jc w:val="both"/>
        <w:rPr>
          <w:rFonts w:eastAsia="Yu Mincho"/>
          <w:lang w:val="en-US" w:eastAsia="en-US"/>
        </w:rPr>
      </w:pPr>
    </w:p>
    <w:p w14:paraId="41AED8B8" w14:textId="77777777" w:rsidR="00DD69A8" w:rsidRPr="00DD69A8" w:rsidRDefault="00DD69A8" w:rsidP="00DD69A8">
      <w:pPr>
        <w:spacing w:line="360" w:lineRule="auto"/>
        <w:jc w:val="center"/>
        <w:rPr>
          <w:sz w:val="22"/>
          <w:szCs w:val="22"/>
          <w:lang w:val="en-US" w:eastAsia="en-US"/>
        </w:rPr>
      </w:pPr>
      <w:r w:rsidRPr="00DD69A8">
        <w:rPr>
          <w:b/>
          <w:sz w:val="22"/>
          <w:szCs w:val="22"/>
          <w:lang w:val="en-US" w:eastAsia="en-US"/>
        </w:rPr>
        <w:t xml:space="preserve">Table 3 - </w:t>
      </w:r>
      <w:r w:rsidRPr="00DD69A8">
        <w:rPr>
          <w:sz w:val="22"/>
          <w:szCs w:val="22"/>
          <w:lang w:val="en-US" w:eastAsia="en-US"/>
        </w:rPr>
        <w:t>sFLC characteristics at the time of diagnosis</w:t>
      </w:r>
    </w:p>
    <w:tbl>
      <w:tblPr>
        <w:tblStyle w:val="Tablaconcuadrcula1"/>
        <w:tblW w:w="9918" w:type="dxa"/>
        <w:jc w:val="center"/>
        <w:tblLook w:val="04A0" w:firstRow="1" w:lastRow="0" w:firstColumn="1" w:lastColumn="0" w:noHBand="0" w:noVBand="1"/>
      </w:tblPr>
      <w:tblGrid>
        <w:gridCol w:w="2972"/>
        <w:gridCol w:w="3971"/>
        <w:gridCol w:w="6"/>
        <w:gridCol w:w="844"/>
        <w:gridCol w:w="6"/>
        <w:gridCol w:w="2119"/>
      </w:tblGrid>
      <w:tr w:rsidR="00DD69A8" w:rsidRPr="00DD69A8" w14:paraId="05718F43" w14:textId="77777777" w:rsidTr="0060234B">
        <w:trPr>
          <w:jc w:val="center"/>
        </w:trPr>
        <w:tc>
          <w:tcPr>
            <w:tcW w:w="6949" w:type="dxa"/>
            <w:gridSpan w:val="3"/>
            <w:vAlign w:val="center"/>
          </w:tcPr>
          <w:p w14:paraId="6BBCF22B"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Characteristics</w:t>
            </w:r>
          </w:p>
        </w:tc>
        <w:tc>
          <w:tcPr>
            <w:tcW w:w="850" w:type="dxa"/>
            <w:gridSpan w:val="2"/>
            <w:vAlign w:val="center"/>
          </w:tcPr>
          <w:p w14:paraId="4AA347F8"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n</w:t>
            </w:r>
          </w:p>
        </w:tc>
        <w:tc>
          <w:tcPr>
            <w:tcW w:w="2119" w:type="dxa"/>
            <w:vAlign w:val="center"/>
          </w:tcPr>
          <w:p w14:paraId="750CC1BE"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Median</w:t>
            </w:r>
          </w:p>
        </w:tc>
      </w:tr>
      <w:tr w:rsidR="00DD69A8" w:rsidRPr="00DD69A8" w14:paraId="43EAD4EC" w14:textId="77777777" w:rsidTr="0060234B">
        <w:trPr>
          <w:jc w:val="center"/>
        </w:trPr>
        <w:tc>
          <w:tcPr>
            <w:tcW w:w="2972" w:type="dxa"/>
            <w:vMerge w:val="restart"/>
            <w:vAlign w:val="center"/>
          </w:tcPr>
          <w:p w14:paraId="7091ACEB"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Intact immunoglobulin multiple myeloma (n = 60)</w:t>
            </w:r>
          </w:p>
        </w:tc>
        <w:tc>
          <w:tcPr>
            <w:tcW w:w="3971" w:type="dxa"/>
            <w:vAlign w:val="center"/>
          </w:tcPr>
          <w:p w14:paraId="1FA39A53"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 κ (mg/L)</w:t>
            </w:r>
          </w:p>
        </w:tc>
        <w:tc>
          <w:tcPr>
            <w:tcW w:w="850" w:type="dxa"/>
            <w:gridSpan w:val="2"/>
            <w:vAlign w:val="center"/>
          </w:tcPr>
          <w:p w14:paraId="62642BC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43</w:t>
            </w:r>
          </w:p>
        </w:tc>
        <w:tc>
          <w:tcPr>
            <w:tcW w:w="2125" w:type="dxa"/>
            <w:gridSpan w:val="2"/>
            <w:vAlign w:val="center"/>
          </w:tcPr>
          <w:p w14:paraId="37F16CE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320 (30.7 - 1500)</w:t>
            </w:r>
          </w:p>
        </w:tc>
      </w:tr>
      <w:tr w:rsidR="00DD69A8" w:rsidRPr="00DD69A8" w14:paraId="32785398" w14:textId="77777777" w:rsidTr="0060234B">
        <w:trPr>
          <w:jc w:val="center"/>
        </w:trPr>
        <w:tc>
          <w:tcPr>
            <w:tcW w:w="2972" w:type="dxa"/>
            <w:vMerge/>
            <w:vAlign w:val="center"/>
          </w:tcPr>
          <w:p w14:paraId="22F72BC4"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7F56C35C"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 λ (mg/L)</w:t>
            </w:r>
          </w:p>
        </w:tc>
        <w:tc>
          <w:tcPr>
            <w:tcW w:w="850" w:type="dxa"/>
            <w:gridSpan w:val="2"/>
            <w:vAlign w:val="center"/>
          </w:tcPr>
          <w:p w14:paraId="3E91935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17</w:t>
            </w:r>
          </w:p>
        </w:tc>
        <w:tc>
          <w:tcPr>
            <w:tcW w:w="2125" w:type="dxa"/>
            <w:gridSpan w:val="2"/>
            <w:vAlign w:val="center"/>
          </w:tcPr>
          <w:p w14:paraId="71CF22D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127 (46.6 - 1500)</w:t>
            </w:r>
          </w:p>
        </w:tc>
      </w:tr>
      <w:tr w:rsidR="00DD69A8" w:rsidRPr="00DD69A8" w14:paraId="7A085A2F" w14:textId="77777777" w:rsidTr="0060234B">
        <w:trPr>
          <w:jc w:val="center"/>
        </w:trPr>
        <w:tc>
          <w:tcPr>
            <w:tcW w:w="2972" w:type="dxa"/>
            <w:vMerge w:val="restart"/>
            <w:vAlign w:val="center"/>
          </w:tcPr>
          <w:p w14:paraId="4D2BBEC4"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Light chain multiple myeloma (n = 14)</w:t>
            </w:r>
          </w:p>
        </w:tc>
        <w:tc>
          <w:tcPr>
            <w:tcW w:w="3971" w:type="dxa"/>
            <w:vAlign w:val="center"/>
          </w:tcPr>
          <w:p w14:paraId="22424929"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 κ (mg/L)</w:t>
            </w:r>
          </w:p>
        </w:tc>
        <w:tc>
          <w:tcPr>
            <w:tcW w:w="850" w:type="dxa"/>
            <w:gridSpan w:val="2"/>
            <w:vAlign w:val="center"/>
          </w:tcPr>
          <w:p w14:paraId="63FD693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w:t>
            </w:r>
          </w:p>
        </w:tc>
        <w:tc>
          <w:tcPr>
            <w:tcW w:w="2125" w:type="dxa"/>
            <w:gridSpan w:val="2"/>
            <w:vAlign w:val="center"/>
          </w:tcPr>
          <w:p w14:paraId="0BBA02C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1500 (1500 - 1500)</w:t>
            </w:r>
          </w:p>
        </w:tc>
      </w:tr>
      <w:tr w:rsidR="00DD69A8" w:rsidRPr="00DD69A8" w14:paraId="7E4E8174" w14:textId="77777777" w:rsidTr="0060234B">
        <w:trPr>
          <w:jc w:val="center"/>
        </w:trPr>
        <w:tc>
          <w:tcPr>
            <w:tcW w:w="2972" w:type="dxa"/>
            <w:vMerge/>
            <w:vAlign w:val="center"/>
          </w:tcPr>
          <w:p w14:paraId="2D78C67F"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0D63AEB6"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 λ (mg/L)</w:t>
            </w:r>
          </w:p>
        </w:tc>
        <w:tc>
          <w:tcPr>
            <w:tcW w:w="850" w:type="dxa"/>
            <w:gridSpan w:val="2"/>
            <w:vAlign w:val="center"/>
          </w:tcPr>
          <w:p w14:paraId="443234E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9</w:t>
            </w:r>
          </w:p>
        </w:tc>
        <w:tc>
          <w:tcPr>
            <w:tcW w:w="2125" w:type="dxa"/>
            <w:gridSpan w:val="2"/>
            <w:vAlign w:val="center"/>
          </w:tcPr>
          <w:p w14:paraId="5524C2B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1500 (1500 - 1500)</w:t>
            </w:r>
          </w:p>
        </w:tc>
      </w:tr>
      <w:tr w:rsidR="00DD69A8" w:rsidRPr="00DD69A8" w14:paraId="65FF8608" w14:textId="77777777" w:rsidTr="0060234B">
        <w:trPr>
          <w:jc w:val="center"/>
        </w:trPr>
        <w:tc>
          <w:tcPr>
            <w:tcW w:w="2972" w:type="dxa"/>
            <w:vMerge w:val="restart"/>
            <w:vAlign w:val="center"/>
          </w:tcPr>
          <w:p w14:paraId="24C927F8"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General multiple myeloma</w:t>
            </w:r>
          </w:p>
          <w:p w14:paraId="540F0D10"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607512F3"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 κ (mg/L)</w:t>
            </w:r>
          </w:p>
        </w:tc>
        <w:tc>
          <w:tcPr>
            <w:tcW w:w="850" w:type="dxa"/>
            <w:gridSpan w:val="2"/>
            <w:vAlign w:val="center"/>
          </w:tcPr>
          <w:p w14:paraId="0664E2F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48</w:t>
            </w:r>
          </w:p>
        </w:tc>
        <w:tc>
          <w:tcPr>
            <w:tcW w:w="2125" w:type="dxa"/>
            <w:gridSpan w:val="2"/>
            <w:vAlign w:val="center"/>
          </w:tcPr>
          <w:p w14:paraId="6763429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390 (30.7 - 1500)</w:t>
            </w:r>
          </w:p>
        </w:tc>
      </w:tr>
      <w:tr w:rsidR="00DD69A8" w:rsidRPr="00DD69A8" w14:paraId="5BD6207D" w14:textId="77777777" w:rsidTr="0060234B">
        <w:trPr>
          <w:jc w:val="center"/>
        </w:trPr>
        <w:tc>
          <w:tcPr>
            <w:tcW w:w="2972" w:type="dxa"/>
            <w:vMerge/>
            <w:vAlign w:val="center"/>
          </w:tcPr>
          <w:p w14:paraId="16C5CA8F"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3CF887C5"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 λ (mg/L)</w:t>
            </w:r>
          </w:p>
        </w:tc>
        <w:tc>
          <w:tcPr>
            <w:tcW w:w="850" w:type="dxa"/>
            <w:gridSpan w:val="2"/>
            <w:vAlign w:val="center"/>
          </w:tcPr>
          <w:p w14:paraId="257D76C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26</w:t>
            </w:r>
          </w:p>
        </w:tc>
        <w:tc>
          <w:tcPr>
            <w:tcW w:w="2125" w:type="dxa"/>
            <w:gridSpan w:val="2"/>
            <w:vAlign w:val="center"/>
          </w:tcPr>
          <w:p w14:paraId="5942341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633.5 (46.6 - 1500)</w:t>
            </w:r>
          </w:p>
        </w:tc>
      </w:tr>
      <w:tr w:rsidR="00DD69A8" w:rsidRPr="00DD69A8" w14:paraId="5E2A743F" w14:textId="77777777" w:rsidTr="0060234B">
        <w:trPr>
          <w:jc w:val="center"/>
        </w:trPr>
        <w:tc>
          <w:tcPr>
            <w:tcW w:w="2972" w:type="dxa"/>
            <w:vMerge/>
            <w:vAlign w:val="center"/>
          </w:tcPr>
          <w:p w14:paraId="40A94117"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3832D57D"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sFLCR (κ-secreting)</w:t>
            </w:r>
          </w:p>
        </w:tc>
        <w:tc>
          <w:tcPr>
            <w:tcW w:w="850" w:type="dxa"/>
            <w:gridSpan w:val="2"/>
            <w:vAlign w:val="center"/>
          </w:tcPr>
          <w:p w14:paraId="1134F6D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48</w:t>
            </w:r>
          </w:p>
        </w:tc>
        <w:tc>
          <w:tcPr>
            <w:tcW w:w="2125" w:type="dxa"/>
            <w:gridSpan w:val="2"/>
            <w:vAlign w:val="center"/>
          </w:tcPr>
          <w:p w14:paraId="37EEC5E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39.3 (1.2 - 306)</w:t>
            </w:r>
          </w:p>
        </w:tc>
      </w:tr>
      <w:tr w:rsidR="00DD69A8" w:rsidRPr="00DD69A8" w14:paraId="53C3880A" w14:textId="77777777" w:rsidTr="0060234B">
        <w:trPr>
          <w:jc w:val="center"/>
        </w:trPr>
        <w:tc>
          <w:tcPr>
            <w:tcW w:w="2972" w:type="dxa"/>
            <w:vMerge/>
            <w:vAlign w:val="center"/>
          </w:tcPr>
          <w:p w14:paraId="1DBA8C7A"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18ABD3E7"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sFLCR (λ-secreting)</w:t>
            </w:r>
          </w:p>
        </w:tc>
        <w:tc>
          <w:tcPr>
            <w:tcW w:w="850" w:type="dxa"/>
            <w:gridSpan w:val="2"/>
            <w:vAlign w:val="center"/>
          </w:tcPr>
          <w:p w14:paraId="12ED058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26</w:t>
            </w:r>
          </w:p>
        </w:tc>
        <w:tc>
          <w:tcPr>
            <w:tcW w:w="2125" w:type="dxa"/>
            <w:gridSpan w:val="2"/>
            <w:vAlign w:val="center"/>
          </w:tcPr>
          <w:p w14:paraId="29F915B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55.6 (5.2 - 189)</w:t>
            </w:r>
          </w:p>
        </w:tc>
      </w:tr>
      <w:tr w:rsidR="00DD69A8" w:rsidRPr="00DD69A8" w14:paraId="3A71B524" w14:textId="77777777" w:rsidTr="0060234B">
        <w:trPr>
          <w:jc w:val="center"/>
        </w:trPr>
        <w:tc>
          <w:tcPr>
            <w:tcW w:w="2972" w:type="dxa"/>
            <w:vMerge/>
            <w:vAlign w:val="center"/>
          </w:tcPr>
          <w:p w14:paraId="0F46D10F"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2ACEF5BB"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Number of patients with sFLCR &gt; 1,65 or &lt; 0.26 (%)</w:t>
            </w:r>
          </w:p>
        </w:tc>
        <w:tc>
          <w:tcPr>
            <w:tcW w:w="2975" w:type="dxa"/>
            <w:gridSpan w:val="4"/>
            <w:vAlign w:val="center"/>
          </w:tcPr>
          <w:p w14:paraId="60B5D32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73 (98.6%)</w:t>
            </w:r>
          </w:p>
        </w:tc>
      </w:tr>
      <w:tr w:rsidR="00DD69A8" w:rsidRPr="00DD69A8" w14:paraId="0AAEE357" w14:textId="77777777" w:rsidTr="0060234B">
        <w:trPr>
          <w:jc w:val="center"/>
        </w:trPr>
        <w:tc>
          <w:tcPr>
            <w:tcW w:w="2972" w:type="dxa"/>
            <w:vMerge/>
            <w:vAlign w:val="center"/>
          </w:tcPr>
          <w:p w14:paraId="373EEE3C" w14:textId="77777777" w:rsidR="00DD69A8" w:rsidRPr="00DD69A8" w:rsidRDefault="00DD69A8" w:rsidP="00DD69A8">
            <w:pPr>
              <w:spacing w:line="360" w:lineRule="auto"/>
              <w:rPr>
                <w:rFonts w:ascii="Times New Roman" w:hAnsi="Times New Roman"/>
                <w:sz w:val="18"/>
                <w:szCs w:val="18"/>
                <w:lang w:val="en-US" w:eastAsia="en-US"/>
              </w:rPr>
            </w:pPr>
          </w:p>
        </w:tc>
        <w:tc>
          <w:tcPr>
            <w:tcW w:w="3971" w:type="dxa"/>
            <w:vAlign w:val="center"/>
          </w:tcPr>
          <w:p w14:paraId="04464A91"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Number of patients with sFLCR ≥ 100 (%)</w:t>
            </w:r>
          </w:p>
        </w:tc>
        <w:tc>
          <w:tcPr>
            <w:tcW w:w="2975" w:type="dxa"/>
            <w:gridSpan w:val="4"/>
            <w:vAlign w:val="center"/>
          </w:tcPr>
          <w:p w14:paraId="17A75D3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28 (38%)</w:t>
            </w:r>
          </w:p>
        </w:tc>
      </w:tr>
    </w:tbl>
    <w:p w14:paraId="72543F78" w14:textId="77777777" w:rsidR="00DD69A8" w:rsidRPr="00DD69A8" w:rsidRDefault="00DD69A8" w:rsidP="00DD69A8">
      <w:pPr>
        <w:spacing w:line="360" w:lineRule="auto"/>
        <w:jc w:val="center"/>
        <w:rPr>
          <w:lang w:val="en-US" w:eastAsia="en-US"/>
        </w:rPr>
      </w:pPr>
    </w:p>
    <w:p w14:paraId="2513C7A5" w14:textId="4CD23C9F" w:rsidR="00DD69A8" w:rsidRPr="00DD69A8" w:rsidRDefault="00DD69A8" w:rsidP="00DD69A8">
      <w:pPr>
        <w:spacing w:line="360" w:lineRule="auto"/>
        <w:jc w:val="center"/>
        <w:rPr>
          <w:lang w:val="en-US" w:eastAsia="en-US"/>
        </w:rPr>
      </w:pPr>
      <w:r w:rsidRPr="00DD69A8">
        <w:rPr>
          <w:noProof/>
          <w:lang w:val="en-US" w:eastAsia="en-US"/>
        </w:rPr>
        <w:lastRenderedPageBreak/>
        <w:drawing>
          <wp:inline distT="0" distB="0" distL="0" distR="0" wp14:anchorId="7CEEB44E" wp14:editId="7B00127D">
            <wp:extent cx="5067300" cy="391477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0" cy="3914775"/>
                    </a:xfrm>
                    <a:prstGeom prst="rect">
                      <a:avLst/>
                    </a:prstGeom>
                    <a:noFill/>
                    <a:ln>
                      <a:noFill/>
                    </a:ln>
                  </pic:spPr>
                </pic:pic>
              </a:graphicData>
            </a:graphic>
          </wp:inline>
        </w:drawing>
      </w:r>
    </w:p>
    <w:p w14:paraId="02DED1E6" w14:textId="77777777" w:rsidR="00DD69A8" w:rsidRPr="00DD69A8" w:rsidRDefault="00DD69A8" w:rsidP="00DD69A8">
      <w:pPr>
        <w:spacing w:line="360" w:lineRule="auto"/>
        <w:jc w:val="center"/>
        <w:rPr>
          <w:sz w:val="22"/>
          <w:szCs w:val="22"/>
          <w:lang w:val="en-US" w:eastAsia="en-US"/>
        </w:rPr>
      </w:pPr>
      <w:r w:rsidRPr="00DD69A8">
        <w:rPr>
          <w:b/>
          <w:sz w:val="22"/>
          <w:szCs w:val="22"/>
          <w:lang w:val="en-US" w:eastAsia="en-US"/>
        </w:rPr>
        <w:t>Fig. 1</w:t>
      </w:r>
      <w:r w:rsidRPr="00DD69A8">
        <w:rPr>
          <w:sz w:val="22"/>
          <w:szCs w:val="22"/>
          <w:lang w:val="en-US" w:eastAsia="en-US"/>
        </w:rPr>
        <w:t xml:space="preserve"> - sFLC subgroups.</w:t>
      </w:r>
    </w:p>
    <w:p w14:paraId="39270693" w14:textId="77777777" w:rsidR="00DD69A8" w:rsidRPr="00DD69A8" w:rsidRDefault="00DD69A8" w:rsidP="00DD69A8">
      <w:pPr>
        <w:spacing w:line="360" w:lineRule="auto"/>
        <w:jc w:val="center"/>
        <w:rPr>
          <w:lang w:val="en-US" w:eastAsia="en-US"/>
        </w:rPr>
      </w:pPr>
    </w:p>
    <w:p w14:paraId="2933FAB7" w14:textId="77777777" w:rsidR="00DD69A8" w:rsidRPr="00DD69A8" w:rsidRDefault="00DD69A8" w:rsidP="00DD69A8">
      <w:pPr>
        <w:spacing w:line="360" w:lineRule="auto"/>
        <w:jc w:val="center"/>
        <w:rPr>
          <w:rFonts w:eastAsia="Yu Mincho"/>
          <w:b/>
          <w:lang w:val="en-US" w:eastAsia="en-US"/>
        </w:rPr>
      </w:pPr>
      <w:r w:rsidRPr="00DD69A8">
        <w:rPr>
          <w:rFonts w:eastAsia="Yu Mincho"/>
          <w:b/>
          <w:sz w:val="28"/>
          <w:szCs w:val="28"/>
          <w:lang w:val="en-US" w:eastAsia="en-US"/>
        </w:rPr>
        <w:t>Correlation of sFLCR with patient characteristics and parameters related to multiple myeloma</w:t>
      </w:r>
    </w:p>
    <w:p w14:paraId="4A2609A2"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The study noted that high sFLCR was correlated with M protein concentration &gt; 3 g/dL (p&lt; 0.05) and there was no statistically significant correlation between high sFLCR and renal failure (p&lt; 0.01), creatinine &gt; 2 mg/dL), increase in β2M &gt; 3.5 mg/L, anemia (HGB&lt; 10 g/dL), hypercalcemia (Ca&gt; 2.75 mmol/L), increase LDH&gt; 460 U/L, Albumin &lt; 3.5 g/dL as well as the presence of osteolytic lesions and plasma cell infiltration in the marrow. There was a larger proportion of patients classified as ISS stage 3 in the high sFLCR group, but the difference was not statistically significant.</w:t>
      </w:r>
    </w:p>
    <w:p w14:paraId="304C6CCF"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Chromosomes recorded two high-risk mutations, del(</w:t>
      </w:r>
      <w:proofErr w:type="spellStart"/>
      <w:r w:rsidRPr="00DD69A8">
        <w:rPr>
          <w:rFonts w:eastAsia="Yu Mincho"/>
          <w:lang w:val="en-US" w:eastAsia="en-US"/>
        </w:rPr>
        <w:t>17p</w:t>
      </w:r>
      <w:proofErr w:type="spellEnd"/>
      <w:r w:rsidRPr="00DD69A8">
        <w:rPr>
          <w:rFonts w:eastAsia="Yu Mincho"/>
          <w:lang w:val="en-US" w:eastAsia="en-US"/>
        </w:rPr>
        <w:t>), to belong to the low sFLCR group.</w:t>
      </w:r>
    </w:p>
    <w:p w14:paraId="7EF71CAF" w14:textId="77777777" w:rsidR="00DD69A8" w:rsidRPr="00DD69A8" w:rsidRDefault="00DD69A8" w:rsidP="00DD69A8">
      <w:pPr>
        <w:spacing w:line="360" w:lineRule="auto"/>
        <w:jc w:val="both"/>
        <w:rPr>
          <w:rFonts w:eastAsia="Yu Mincho"/>
          <w:lang w:val="en-US" w:eastAsia="en-US"/>
        </w:rPr>
      </w:pPr>
    </w:p>
    <w:p w14:paraId="69145D75" w14:textId="77777777" w:rsidR="00DD69A8" w:rsidRPr="00DD69A8" w:rsidRDefault="00DD69A8" w:rsidP="00DD69A8">
      <w:pPr>
        <w:spacing w:after="160" w:line="259" w:lineRule="auto"/>
        <w:rPr>
          <w:b/>
          <w:sz w:val="22"/>
          <w:szCs w:val="22"/>
          <w:lang w:val="en-US" w:eastAsia="en-US"/>
        </w:rPr>
      </w:pPr>
      <w:r w:rsidRPr="00DD69A8">
        <w:rPr>
          <w:b/>
          <w:sz w:val="22"/>
          <w:szCs w:val="22"/>
          <w:lang w:val="en-US" w:eastAsia="en-US"/>
        </w:rPr>
        <w:br w:type="page"/>
      </w:r>
    </w:p>
    <w:p w14:paraId="4D524352" w14:textId="77777777" w:rsidR="00DD69A8" w:rsidRPr="00DD69A8" w:rsidRDefault="00DD69A8" w:rsidP="00DD69A8">
      <w:pPr>
        <w:spacing w:line="360" w:lineRule="auto"/>
        <w:jc w:val="center"/>
        <w:rPr>
          <w:sz w:val="22"/>
          <w:szCs w:val="22"/>
          <w:lang w:val="en-US" w:eastAsia="en-US"/>
        </w:rPr>
      </w:pPr>
      <w:r w:rsidRPr="00DD69A8">
        <w:rPr>
          <w:b/>
          <w:sz w:val="22"/>
          <w:szCs w:val="22"/>
          <w:lang w:val="en-US" w:eastAsia="en-US"/>
        </w:rPr>
        <w:lastRenderedPageBreak/>
        <w:t xml:space="preserve">Table 4 - </w:t>
      </w:r>
      <w:r w:rsidRPr="00DD69A8">
        <w:rPr>
          <w:sz w:val="22"/>
          <w:szCs w:val="22"/>
          <w:lang w:val="en-US" w:eastAsia="en-US"/>
        </w:rPr>
        <w:t>Patient characteristics and association with high sFLCR</w:t>
      </w:r>
    </w:p>
    <w:tbl>
      <w:tblPr>
        <w:tblStyle w:val="Tablaconcuadrcula1"/>
        <w:tblW w:w="8076" w:type="dxa"/>
        <w:jc w:val="center"/>
        <w:tblLook w:val="04A0" w:firstRow="1" w:lastRow="0" w:firstColumn="1" w:lastColumn="0" w:noHBand="0" w:noVBand="1"/>
      </w:tblPr>
      <w:tblGrid>
        <w:gridCol w:w="3608"/>
        <w:gridCol w:w="1234"/>
        <w:gridCol w:w="1277"/>
        <w:gridCol w:w="953"/>
        <w:gridCol w:w="979"/>
        <w:gridCol w:w="25"/>
      </w:tblGrid>
      <w:tr w:rsidR="00DD69A8" w:rsidRPr="00580875" w14:paraId="4434E72C" w14:textId="77777777" w:rsidTr="0060234B">
        <w:trPr>
          <w:gridAfter w:val="1"/>
          <w:wAfter w:w="24" w:type="dxa"/>
          <w:jc w:val="center"/>
        </w:trPr>
        <w:tc>
          <w:tcPr>
            <w:tcW w:w="3397" w:type="dxa"/>
            <w:vAlign w:val="center"/>
          </w:tcPr>
          <w:p w14:paraId="67ED7741" w14:textId="77777777" w:rsidR="00DD69A8" w:rsidRPr="00DD69A8" w:rsidRDefault="00DD69A8" w:rsidP="00DD69A8">
            <w:pPr>
              <w:spacing w:line="360" w:lineRule="auto"/>
              <w:jc w:val="center"/>
              <w:rPr>
                <w:rFonts w:ascii="Times New Roman" w:hAnsi="Times New Roman"/>
                <w:b/>
                <w:bCs/>
                <w:sz w:val="18"/>
                <w:szCs w:val="18"/>
                <w:lang w:val="en-US" w:eastAsia="en-US"/>
              </w:rPr>
            </w:pPr>
            <w:bookmarkStart w:id="0" w:name="_Hlk45091369"/>
            <w:r w:rsidRPr="00DD69A8">
              <w:rPr>
                <w:rFonts w:ascii="Times New Roman" w:hAnsi="Times New Roman"/>
                <w:b/>
                <w:bCs/>
                <w:sz w:val="18"/>
                <w:szCs w:val="18"/>
                <w:lang w:val="en-US" w:eastAsia="en-US"/>
              </w:rPr>
              <w:t>Parameters</w:t>
            </w:r>
          </w:p>
        </w:tc>
        <w:tc>
          <w:tcPr>
            <w:tcW w:w="0" w:type="auto"/>
            <w:vAlign w:val="center"/>
          </w:tcPr>
          <w:p w14:paraId="1C04E9FB" w14:textId="77777777" w:rsidR="00DD69A8" w:rsidRPr="00DD69A8" w:rsidRDefault="00DD69A8" w:rsidP="00DD69A8">
            <w:pPr>
              <w:spacing w:line="360" w:lineRule="auto"/>
              <w:jc w:val="center"/>
              <w:rPr>
                <w:rFonts w:ascii="Times New Roman" w:hAnsi="Times New Roman"/>
                <w:b/>
                <w:bCs/>
                <w:sz w:val="18"/>
                <w:szCs w:val="18"/>
                <w:lang w:val="vi-VN" w:eastAsia="en-US"/>
              </w:rPr>
            </w:pPr>
            <w:r w:rsidRPr="00DD69A8">
              <w:rPr>
                <w:rFonts w:ascii="Times New Roman" w:hAnsi="Times New Roman"/>
                <w:b/>
                <w:bCs/>
                <w:sz w:val="18"/>
                <w:szCs w:val="18"/>
                <w:lang w:val="en-US" w:eastAsia="en-US"/>
              </w:rPr>
              <w:t xml:space="preserve">Low </w:t>
            </w:r>
            <w:r w:rsidRPr="00DD69A8">
              <w:rPr>
                <w:rFonts w:ascii="Times New Roman" w:hAnsi="Times New Roman"/>
                <w:b/>
                <w:bCs/>
                <w:sz w:val="18"/>
                <w:szCs w:val="18"/>
                <w:lang w:val="vi-VN" w:eastAsia="en-US"/>
              </w:rPr>
              <w:t>s</w:t>
            </w:r>
            <w:r w:rsidRPr="00DD69A8">
              <w:rPr>
                <w:rFonts w:ascii="Times New Roman" w:hAnsi="Times New Roman"/>
                <w:b/>
                <w:bCs/>
                <w:sz w:val="18"/>
                <w:szCs w:val="18"/>
                <w:lang w:val="en-US" w:eastAsia="en-US"/>
              </w:rPr>
              <w:t>FLCR</w:t>
            </w:r>
          </w:p>
          <w:p w14:paraId="03911535"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 xml:space="preserve">(n = </w:t>
            </w:r>
            <w:r w:rsidRPr="00DD69A8">
              <w:rPr>
                <w:rFonts w:ascii="Times New Roman" w:hAnsi="Times New Roman"/>
                <w:b/>
                <w:bCs/>
                <w:sz w:val="18"/>
                <w:szCs w:val="18"/>
                <w:lang w:val="vi-VN" w:eastAsia="en-US"/>
              </w:rPr>
              <w:t>3</w:t>
            </w:r>
            <w:r w:rsidRPr="00DD69A8">
              <w:rPr>
                <w:rFonts w:ascii="Times New Roman" w:hAnsi="Times New Roman"/>
                <w:b/>
                <w:bCs/>
                <w:sz w:val="18"/>
                <w:szCs w:val="18"/>
                <w:lang w:val="en-US" w:eastAsia="en-US"/>
              </w:rPr>
              <w:t>7)</w:t>
            </w:r>
          </w:p>
          <w:p w14:paraId="6FE74F9E"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n (%)</w:t>
            </w:r>
          </w:p>
        </w:tc>
        <w:tc>
          <w:tcPr>
            <w:tcW w:w="0" w:type="auto"/>
            <w:vAlign w:val="center"/>
          </w:tcPr>
          <w:p w14:paraId="17E6578A" w14:textId="77777777" w:rsidR="00DD69A8" w:rsidRPr="00DD69A8" w:rsidRDefault="00DD69A8" w:rsidP="00DD69A8">
            <w:pPr>
              <w:spacing w:line="360" w:lineRule="auto"/>
              <w:jc w:val="center"/>
              <w:rPr>
                <w:rFonts w:ascii="Times New Roman" w:hAnsi="Times New Roman"/>
                <w:b/>
                <w:bCs/>
                <w:sz w:val="18"/>
                <w:szCs w:val="18"/>
                <w:lang w:val="vi-VN" w:eastAsia="en-US"/>
              </w:rPr>
            </w:pPr>
            <w:r w:rsidRPr="00DD69A8">
              <w:rPr>
                <w:rFonts w:ascii="Times New Roman" w:hAnsi="Times New Roman"/>
                <w:b/>
                <w:bCs/>
                <w:sz w:val="18"/>
                <w:szCs w:val="18"/>
                <w:lang w:val="en-US" w:eastAsia="en-US"/>
              </w:rPr>
              <w:t>High sFLCR</w:t>
            </w:r>
            <w:r w:rsidRPr="00DD69A8">
              <w:rPr>
                <w:rFonts w:ascii="Times New Roman" w:hAnsi="Times New Roman"/>
                <w:b/>
                <w:bCs/>
                <w:sz w:val="18"/>
                <w:szCs w:val="18"/>
                <w:lang w:val="vi-VN" w:eastAsia="en-US"/>
              </w:rPr>
              <w:t xml:space="preserve"> </w:t>
            </w:r>
          </w:p>
          <w:p w14:paraId="7AB8F56A"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 xml:space="preserve">(n = </w:t>
            </w:r>
            <w:r w:rsidRPr="00DD69A8">
              <w:rPr>
                <w:rFonts w:ascii="Times New Roman" w:hAnsi="Times New Roman"/>
                <w:b/>
                <w:bCs/>
                <w:sz w:val="18"/>
                <w:szCs w:val="18"/>
                <w:lang w:val="vi-VN" w:eastAsia="en-US"/>
              </w:rPr>
              <w:t>3</w:t>
            </w:r>
            <w:r w:rsidRPr="00DD69A8">
              <w:rPr>
                <w:rFonts w:ascii="Times New Roman" w:hAnsi="Times New Roman"/>
                <w:b/>
                <w:bCs/>
                <w:sz w:val="18"/>
                <w:szCs w:val="18"/>
                <w:lang w:val="en-US" w:eastAsia="en-US"/>
              </w:rPr>
              <w:t>7)</w:t>
            </w:r>
          </w:p>
          <w:p w14:paraId="24ABCAC3"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n (%)</w:t>
            </w:r>
          </w:p>
        </w:tc>
        <w:tc>
          <w:tcPr>
            <w:tcW w:w="0" w:type="auto"/>
            <w:vAlign w:val="center"/>
          </w:tcPr>
          <w:p w14:paraId="6D8E5A00"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Total</w:t>
            </w:r>
          </w:p>
          <w:p w14:paraId="091FB6ED"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(n = 7</w:t>
            </w:r>
            <w:r w:rsidRPr="00DD69A8">
              <w:rPr>
                <w:rFonts w:ascii="Times New Roman" w:hAnsi="Times New Roman"/>
                <w:b/>
                <w:bCs/>
                <w:sz w:val="18"/>
                <w:szCs w:val="18"/>
                <w:lang w:val="vi-VN" w:eastAsia="en-US"/>
              </w:rPr>
              <w:t>4</w:t>
            </w:r>
            <w:r w:rsidRPr="00DD69A8">
              <w:rPr>
                <w:rFonts w:ascii="Times New Roman" w:hAnsi="Times New Roman"/>
                <w:b/>
                <w:bCs/>
                <w:sz w:val="18"/>
                <w:szCs w:val="18"/>
                <w:lang w:val="en-US" w:eastAsia="en-US"/>
              </w:rPr>
              <w:t>)</w:t>
            </w:r>
          </w:p>
          <w:p w14:paraId="20B95E91"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n (%)</w:t>
            </w:r>
          </w:p>
        </w:tc>
        <w:tc>
          <w:tcPr>
            <w:tcW w:w="0" w:type="auto"/>
            <w:vAlign w:val="center"/>
          </w:tcPr>
          <w:p w14:paraId="026DAA8F" w14:textId="77777777" w:rsidR="00DD69A8" w:rsidRPr="00DD69A8" w:rsidRDefault="00DD69A8" w:rsidP="00DD69A8">
            <w:pPr>
              <w:spacing w:line="360" w:lineRule="auto"/>
              <w:jc w:val="center"/>
              <w:rPr>
                <w:rFonts w:ascii="Times New Roman" w:hAnsi="Times New Roman"/>
                <w:b/>
                <w:bCs/>
                <w:sz w:val="18"/>
                <w:szCs w:val="18"/>
                <w:lang w:val="en-US" w:eastAsia="en-US"/>
              </w:rPr>
            </w:pPr>
            <w:r w:rsidRPr="00DD69A8">
              <w:rPr>
                <w:rFonts w:ascii="Times New Roman" w:hAnsi="Times New Roman"/>
                <w:b/>
                <w:bCs/>
                <w:sz w:val="18"/>
                <w:szCs w:val="18"/>
                <w:lang w:val="en-US" w:eastAsia="en-US"/>
              </w:rPr>
              <w:t>p- value*</w:t>
            </w:r>
          </w:p>
        </w:tc>
      </w:tr>
      <w:tr w:rsidR="00DD69A8" w:rsidRPr="00580875" w14:paraId="4E569BF8" w14:textId="77777777" w:rsidTr="0060234B">
        <w:trPr>
          <w:gridAfter w:val="1"/>
          <w:wAfter w:w="24" w:type="dxa"/>
          <w:jc w:val="center"/>
        </w:trPr>
        <w:tc>
          <w:tcPr>
            <w:tcW w:w="3397" w:type="dxa"/>
            <w:vAlign w:val="center"/>
          </w:tcPr>
          <w:p w14:paraId="3C9557CE"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Male/Female (%)</w:t>
            </w:r>
          </w:p>
        </w:tc>
        <w:tc>
          <w:tcPr>
            <w:tcW w:w="0" w:type="auto"/>
            <w:vAlign w:val="center"/>
          </w:tcPr>
          <w:p w14:paraId="48565BFE"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en-US" w:eastAsia="en-US"/>
              </w:rPr>
              <w:t>54.1/45.9</w:t>
            </w:r>
          </w:p>
        </w:tc>
        <w:tc>
          <w:tcPr>
            <w:tcW w:w="0" w:type="auto"/>
            <w:vAlign w:val="center"/>
          </w:tcPr>
          <w:p w14:paraId="3413F72A"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en-US" w:eastAsia="en-US"/>
              </w:rPr>
              <w:t>43.2/56.8</w:t>
            </w:r>
          </w:p>
        </w:tc>
        <w:tc>
          <w:tcPr>
            <w:tcW w:w="0" w:type="auto"/>
            <w:vAlign w:val="center"/>
          </w:tcPr>
          <w:p w14:paraId="7CFDE291"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en-US" w:eastAsia="en-US"/>
              </w:rPr>
              <w:t>48.6/</w:t>
            </w:r>
            <w:r w:rsidRPr="00DD69A8">
              <w:rPr>
                <w:rFonts w:ascii="Times New Roman" w:hAnsi="Times New Roman"/>
                <w:sz w:val="18"/>
                <w:szCs w:val="18"/>
                <w:lang w:val="vi-VN" w:eastAsia="en-US"/>
              </w:rPr>
              <w:t>5</w:t>
            </w:r>
            <w:r w:rsidRPr="00DD69A8">
              <w:rPr>
                <w:rFonts w:ascii="Times New Roman" w:hAnsi="Times New Roman"/>
                <w:sz w:val="18"/>
                <w:szCs w:val="18"/>
                <w:lang w:val="en-US" w:eastAsia="en-US"/>
              </w:rPr>
              <w:t>1.4</w:t>
            </w:r>
          </w:p>
        </w:tc>
        <w:tc>
          <w:tcPr>
            <w:tcW w:w="0" w:type="auto"/>
            <w:vAlign w:val="center"/>
          </w:tcPr>
          <w:p w14:paraId="32E9CC7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0.</w:t>
            </w:r>
            <w:r w:rsidRPr="00DD69A8">
              <w:rPr>
                <w:rFonts w:ascii="Times New Roman" w:hAnsi="Times New Roman"/>
                <w:sz w:val="18"/>
                <w:szCs w:val="18"/>
                <w:lang w:val="en-US" w:eastAsia="en-US"/>
              </w:rPr>
              <w:t>35</w:t>
            </w:r>
          </w:p>
        </w:tc>
      </w:tr>
      <w:tr w:rsidR="00DD69A8" w:rsidRPr="00580875" w14:paraId="528EB805" w14:textId="77777777" w:rsidTr="0060234B">
        <w:trPr>
          <w:gridAfter w:val="1"/>
          <w:wAfter w:w="24" w:type="dxa"/>
          <w:jc w:val="center"/>
        </w:trPr>
        <w:tc>
          <w:tcPr>
            <w:tcW w:w="3397" w:type="dxa"/>
            <w:vAlign w:val="center"/>
          </w:tcPr>
          <w:p w14:paraId="6BAA5AA6"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Age &gt; 65</w:t>
            </w:r>
          </w:p>
        </w:tc>
        <w:tc>
          <w:tcPr>
            <w:tcW w:w="0" w:type="auto"/>
            <w:vAlign w:val="center"/>
          </w:tcPr>
          <w:p w14:paraId="01647F2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 (16.2)</w:t>
            </w:r>
          </w:p>
        </w:tc>
        <w:tc>
          <w:tcPr>
            <w:tcW w:w="0" w:type="auto"/>
            <w:vAlign w:val="center"/>
          </w:tcPr>
          <w:p w14:paraId="076FB85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10 (27.0)</w:t>
            </w:r>
          </w:p>
        </w:tc>
        <w:tc>
          <w:tcPr>
            <w:tcW w:w="0" w:type="auto"/>
            <w:vAlign w:val="center"/>
          </w:tcPr>
          <w:p w14:paraId="63FFB70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w:t>
            </w:r>
            <w:r w:rsidRPr="00DD69A8">
              <w:rPr>
                <w:rFonts w:ascii="Times New Roman" w:hAnsi="Times New Roman"/>
                <w:sz w:val="18"/>
                <w:szCs w:val="18"/>
                <w:lang w:val="vi-VN" w:eastAsia="en-US"/>
              </w:rPr>
              <w:t>6</w:t>
            </w:r>
            <w:r w:rsidRPr="00DD69A8">
              <w:rPr>
                <w:rFonts w:ascii="Times New Roman" w:hAnsi="Times New Roman"/>
                <w:sz w:val="18"/>
                <w:szCs w:val="18"/>
                <w:lang w:val="en-US" w:eastAsia="en-US"/>
              </w:rPr>
              <w:t xml:space="preserve"> (</w:t>
            </w:r>
            <w:r w:rsidRPr="00DD69A8">
              <w:rPr>
                <w:rFonts w:ascii="Times New Roman" w:hAnsi="Times New Roman"/>
                <w:sz w:val="18"/>
                <w:szCs w:val="18"/>
                <w:lang w:val="vi-VN" w:eastAsia="en-US"/>
              </w:rPr>
              <w:t>2</w:t>
            </w:r>
            <w:r w:rsidRPr="00DD69A8">
              <w:rPr>
                <w:rFonts w:ascii="Times New Roman" w:hAnsi="Times New Roman"/>
                <w:sz w:val="18"/>
                <w:szCs w:val="18"/>
                <w:lang w:val="en-US" w:eastAsia="en-US"/>
              </w:rPr>
              <w:t>1.6)</w:t>
            </w:r>
          </w:p>
        </w:tc>
        <w:tc>
          <w:tcPr>
            <w:tcW w:w="0" w:type="auto"/>
            <w:vAlign w:val="center"/>
          </w:tcPr>
          <w:p w14:paraId="641D4937"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0.26</w:t>
            </w:r>
          </w:p>
        </w:tc>
      </w:tr>
      <w:tr w:rsidR="00DD69A8" w:rsidRPr="00580875" w14:paraId="72B170D2" w14:textId="77777777" w:rsidTr="0060234B">
        <w:trPr>
          <w:gridAfter w:val="1"/>
          <w:wAfter w:w="24" w:type="dxa"/>
          <w:jc w:val="center"/>
        </w:trPr>
        <w:tc>
          <w:tcPr>
            <w:tcW w:w="3397" w:type="dxa"/>
            <w:vAlign w:val="center"/>
          </w:tcPr>
          <w:p w14:paraId="48366704"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Intact immunoglobulin multiple myeloma</w:t>
            </w:r>
          </w:p>
        </w:tc>
        <w:tc>
          <w:tcPr>
            <w:tcW w:w="0" w:type="auto"/>
            <w:vAlign w:val="center"/>
          </w:tcPr>
          <w:p w14:paraId="6A1ADE1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34 (91.9)</w:t>
            </w:r>
          </w:p>
        </w:tc>
        <w:tc>
          <w:tcPr>
            <w:tcW w:w="0" w:type="auto"/>
            <w:vAlign w:val="center"/>
          </w:tcPr>
          <w:p w14:paraId="23C6154F"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26 (70.3)</w:t>
            </w:r>
          </w:p>
        </w:tc>
        <w:tc>
          <w:tcPr>
            <w:tcW w:w="0" w:type="auto"/>
            <w:vAlign w:val="center"/>
          </w:tcPr>
          <w:p w14:paraId="012C371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w:t>
            </w:r>
            <w:r w:rsidRPr="00DD69A8">
              <w:rPr>
                <w:rFonts w:ascii="Times New Roman" w:hAnsi="Times New Roman"/>
                <w:sz w:val="18"/>
                <w:szCs w:val="18"/>
                <w:lang w:val="vi-VN" w:eastAsia="en-US"/>
              </w:rPr>
              <w:t>0</w:t>
            </w:r>
            <w:r w:rsidRPr="00DD69A8">
              <w:rPr>
                <w:rFonts w:ascii="Times New Roman" w:hAnsi="Times New Roman"/>
                <w:sz w:val="18"/>
                <w:szCs w:val="18"/>
                <w:lang w:val="en-US" w:eastAsia="en-US"/>
              </w:rPr>
              <w:t xml:space="preserve"> (</w:t>
            </w:r>
            <w:r w:rsidRPr="00DD69A8">
              <w:rPr>
                <w:rFonts w:ascii="Times New Roman" w:hAnsi="Times New Roman"/>
                <w:sz w:val="18"/>
                <w:szCs w:val="18"/>
                <w:lang w:val="vi-VN" w:eastAsia="en-US"/>
              </w:rPr>
              <w:t>81</w:t>
            </w:r>
            <w:r w:rsidRPr="00DD69A8">
              <w:rPr>
                <w:rFonts w:ascii="Times New Roman" w:hAnsi="Times New Roman"/>
                <w:sz w:val="18"/>
                <w:szCs w:val="18"/>
                <w:lang w:val="en-US" w:eastAsia="en-US"/>
              </w:rPr>
              <w:t>.1)</w:t>
            </w:r>
          </w:p>
        </w:tc>
        <w:tc>
          <w:tcPr>
            <w:tcW w:w="0" w:type="auto"/>
            <w:vMerge w:val="restart"/>
            <w:vAlign w:val="center"/>
          </w:tcPr>
          <w:p w14:paraId="184A3A7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0.</w:t>
            </w:r>
            <w:r w:rsidRPr="00DD69A8">
              <w:rPr>
                <w:rFonts w:ascii="Times New Roman" w:hAnsi="Times New Roman"/>
                <w:sz w:val="18"/>
                <w:szCs w:val="18"/>
                <w:lang w:val="en-US" w:eastAsia="en-US"/>
              </w:rPr>
              <w:t>33</w:t>
            </w:r>
          </w:p>
        </w:tc>
      </w:tr>
      <w:tr w:rsidR="00DD69A8" w:rsidRPr="00580875" w14:paraId="79D9FEC5" w14:textId="77777777" w:rsidTr="0060234B">
        <w:trPr>
          <w:gridAfter w:val="1"/>
          <w:wAfter w:w="24" w:type="dxa"/>
          <w:jc w:val="center"/>
        </w:trPr>
        <w:tc>
          <w:tcPr>
            <w:tcW w:w="3397" w:type="dxa"/>
            <w:vAlign w:val="center"/>
          </w:tcPr>
          <w:p w14:paraId="1C421739"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IgG</w:t>
            </w:r>
          </w:p>
        </w:tc>
        <w:tc>
          <w:tcPr>
            <w:tcW w:w="0" w:type="auto"/>
            <w:vAlign w:val="center"/>
          </w:tcPr>
          <w:p w14:paraId="2E81A95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25 (73.5)</w:t>
            </w:r>
          </w:p>
        </w:tc>
        <w:tc>
          <w:tcPr>
            <w:tcW w:w="0" w:type="auto"/>
            <w:vAlign w:val="center"/>
          </w:tcPr>
          <w:p w14:paraId="3F4B55D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2</w:t>
            </w:r>
            <w:r w:rsidRPr="00DD69A8">
              <w:rPr>
                <w:rFonts w:ascii="Times New Roman" w:hAnsi="Times New Roman"/>
                <w:sz w:val="18"/>
                <w:szCs w:val="18"/>
                <w:lang w:val="en-US" w:eastAsia="en-US"/>
              </w:rPr>
              <w:t>1 (80.8)</w:t>
            </w:r>
          </w:p>
        </w:tc>
        <w:tc>
          <w:tcPr>
            <w:tcW w:w="0" w:type="auto"/>
            <w:vAlign w:val="center"/>
          </w:tcPr>
          <w:p w14:paraId="4827DE2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46 (76.7)</w:t>
            </w:r>
          </w:p>
        </w:tc>
        <w:tc>
          <w:tcPr>
            <w:tcW w:w="0" w:type="auto"/>
            <w:vMerge/>
            <w:vAlign w:val="center"/>
          </w:tcPr>
          <w:p w14:paraId="3C829D51" w14:textId="77777777" w:rsidR="00DD69A8" w:rsidRPr="00DD69A8" w:rsidRDefault="00DD69A8" w:rsidP="00DD69A8">
            <w:pPr>
              <w:spacing w:line="360" w:lineRule="auto"/>
              <w:jc w:val="center"/>
              <w:rPr>
                <w:rFonts w:ascii="Times New Roman" w:hAnsi="Times New Roman"/>
                <w:sz w:val="18"/>
                <w:szCs w:val="18"/>
                <w:lang w:val="en-US" w:eastAsia="en-US"/>
              </w:rPr>
            </w:pPr>
          </w:p>
        </w:tc>
      </w:tr>
      <w:tr w:rsidR="00DD69A8" w:rsidRPr="00580875" w14:paraId="21AF842E" w14:textId="77777777" w:rsidTr="0060234B">
        <w:trPr>
          <w:gridAfter w:val="1"/>
          <w:wAfter w:w="24" w:type="dxa"/>
          <w:jc w:val="center"/>
        </w:trPr>
        <w:tc>
          <w:tcPr>
            <w:tcW w:w="3397" w:type="dxa"/>
            <w:vAlign w:val="center"/>
          </w:tcPr>
          <w:p w14:paraId="3B0FBD4F"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IgA</w:t>
            </w:r>
          </w:p>
        </w:tc>
        <w:tc>
          <w:tcPr>
            <w:tcW w:w="0" w:type="auto"/>
            <w:vAlign w:val="center"/>
          </w:tcPr>
          <w:p w14:paraId="65DE4F5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9 (26.5)</w:t>
            </w:r>
          </w:p>
        </w:tc>
        <w:tc>
          <w:tcPr>
            <w:tcW w:w="0" w:type="auto"/>
            <w:vAlign w:val="center"/>
          </w:tcPr>
          <w:p w14:paraId="1C96E66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 (15.4)</w:t>
            </w:r>
          </w:p>
        </w:tc>
        <w:tc>
          <w:tcPr>
            <w:tcW w:w="0" w:type="auto"/>
            <w:vAlign w:val="center"/>
          </w:tcPr>
          <w:p w14:paraId="64117B1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w:t>
            </w:r>
            <w:r w:rsidRPr="00DD69A8">
              <w:rPr>
                <w:rFonts w:ascii="Times New Roman" w:hAnsi="Times New Roman"/>
                <w:sz w:val="18"/>
                <w:szCs w:val="18"/>
                <w:lang w:val="vi-VN" w:eastAsia="en-US"/>
              </w:rPr>
              <w:t>3</w:t>
            </w:r>
            <w:r w:rsidRPr="00DD69A8">
              <w:rPr>
                <w:rFonts w:ascii="Times New Roman" w:hAnsi="Times New Roman"/>
                <w:sz w:val="18"/>
                <w:szCs w:val="18"/>
                <w:lang w:val="en-US" w:eastAsia="en-US"/>
              </w:rPr>
              <w:t xml:space="preserve"> (21.7)</w:t>
            </w:r>
          </w:p>
        </w:tc>
        <w:tc>
          <w:tcPr>
            <w:tcW w:w="0" w:type="auto"/>
            <w:vMerge/>
            <w:vAlign w:val="center"/>
          </w:tcPr>
          <w:p w14:paraId="0DAC2FB9" w14:textId="77777777" w:rsidR="00DD69A8" w:rsidRPr="00DD69A8" w:rsidRDefault="00DD69A8" w:rsidP="00DD69A8">
            <w:pPr>
              <w:spacing w:line="360" w:lineRule="auto"/>
              <w:jc w:val="center"/>
              <w:rPr>
                <w:rFonts w:ascii="Times New Roman" w:hAnsi="Times New Roman"/>
                <w:sz w:val="18"/>
                <w:szCs w:val="18"/>
                <w:lang w:val="en-US" w:eastAsia="en-US"/>
              </w:rPr>
            </w:pPr>
          </w:p>
        </w:tc>
      </w:tr>
      <w:tr w:rsidR="00DD69A8" w:rsidRPr="00580875" w14:paraId="307CB99B" w14:textId="77777777" w:rsidTr="0060234B">
        <w:trPr>
          <w:gridAfter w:val="1"/>
          <w:wAfter w:w="24" w:type="dxa"/>
          <w:jc w:val="center"/>
        </w:trPr>
        <w:tc>
          <w:tcPr>
            <w:tcW w:w="3397" w:type="dxa"/>
            <w:vAlign w:val="center"/>
          </w:tcPr>
          <w:p w14:paraId="656EA67C"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IgM</w:t>
            </w:r>
          </w:p>
        </w:tc>
        <w:tc>
          <w:tcPr>
            <w:tcW w:w="0" w:type="auto"/>
            <w:vAlign w:val="center"/>
          </w:tcPr>
          <w:p w14:paraId="60F5D1B7"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 (0)</w:t>
            </w:r>
          </w:p>
        </w:tc>
        <w:tc>
          <w:tcPr>
            <w:tcW w:w="0" w:type="auto"/>
            <w:vAlign w:val="center"/>
          </w:tcPr>
          <w:p w14:paraId="517B3E2F"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 (3.8)</w:t>
            </w:r>
          </w:p>
        </w:tc>
        <w:tc>
          <w:tcPr>
            <w:tcW w:w="0" w:type="auto"/>
            <w:vAlign w:val="center"/>
          </w:tcPr>
          <w:p w14:paraId="000D6FB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 (1.7)</w:t>
            </w:r>
          </w:p>
        </w:tc>
        <w:tc>
          <w:tcPr>
            <w:tcW w:w="0" w:type="auto"/>
            <w:vMerge/>
            <w:vAlign w:val="center"/>
          </w:tcPr>
          <w:p w14:paraId="1E835C68" w14:textId="77777777" w:rsidR="00DD69A8" w:rsidRPr="00DD69A8" w:rsidRDefault="00DD69A8" w:rsidP="00DD69A8">
            <w:pPr>
              <w:spacing w:line="360" w:lineRule="auto"/>
              <w:jc w:val="center"/>
              <w:rPr>
                <w:rFonts w:ascii="Times New Roman" w:hAnsi="Times New Roman"/>
                <w:sz w:val="18"/>
                <w:szCs w:val="18"/>
                <w:lang w:val="en-US" w:eastAsia="en-US"/>
              </w:rPr>
            </w:pPr>
          </w:p>
        </w:tc>
      </w:tr>
      <w:tr w:rsidR="00DD69A8" w:rsidRPr="00580875" w14:paraId="59F7759F" w14:textId="77777777" w:rsidTr="0060234B">
        <w:trPr>
          <w:gridAfter w:val="1"/>
          <w:wAfter w:w="24" w:type="dxa"/>
          <w:jc w:val="center"/>
        </w:trPr>
        <w:tc>
          <w:tcPr>
            <w:tcW w:w="3397" w:type="dxa"/>
            <w:vAlign w:val="center"/>
          </w:tcPr>
          <w:p w14:paraId="3BE93CC9"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Light chain multiple myeloma</w:t>
            </w:r>
          </w:p>
        </w:tc>
        <w:tc>
          <w:tcPr>
            <w:tcW w:w="0" w:type="auto"/>
            <w:vAlign w:val="center"/>
          </w:tcPr>
          <w:p w14:paraId="7DCDBDD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3</w:t>
            </w:r>
            <w:r w:rsidRPr="00DD69A8">
              <w:rPr>
                <w:rFonts w:ascii="Times New Roman" w:hAnsi="Times New Roman"/>
                <w:sz w:val="18"/>
                <w:szCs w:val="18"/>
                <w:lang w:val="en-US" w:eastAsia="en-US"/>
              </w:rPr>
              <w:t xml:space="preserve"> (8.1)</w:t>
            </w:r>
          </w:p>
        </w:tc>
        <w:tc>
          <w:tcPr>
            <w:tcW w:w="0" w:type="auto"/>
            <w:vAlign w:val="center"/>
          </w:tcPr>
          <w:p w14:paraId="58F7C9C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w:t>
            </w:r>
            <w:r w:rsidRPr="00DD69A8">
              <w:rPr>
                <w:rFonts w:ascii="Times New Roman" w:hAnsi="Times New Roman"/>
                <w:sz w:val="18"/>
                <w:szCs w:val="18"/>
                <w:lang w:val="vi-VN" w:eastAsia="en-US"/>
              </w:rPr>
              <w:t>1</w:t>
            </w:r>
            <w:r w:rsidRPr="00DD69A8">
              <w:rPr>
                <w:rFonts w:ascii="Times New Roman" w:hAnsi="Times New Roman"/>
                <w:sz w:val="18"/>
                <w:szCs w:val="18"/>
                <w:lang w:val="en-US" w:eastAsia="en-US"/>
              </w:rPr>
              <w:t xml:space="preserve"> (29.7)</w:t>
            </w:r>
          </w:p>
        </w:tc>
        <w:tc>
          <w:tcPr>
            <w:tcW w:w="0" w:type="auto"/>
            <w:vAlign w:val="center"/>
          </w:tcPr>
          <w:p w14:paraId="3503A7E3"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en-US" w:eastAsia="en-US"/>
              </w:rPr>
              <w:t>14 (18.9)</w:t>
            </w:r>
          </w:p>
        </w:tc>
        <w:tc>
          <w:tcPr>
            <w:tcW w:w="0" w:type="auto"/>
            <w:vMerge w:val="restart"/>
            <w:vAlign w:val="center"/>
          </w:tcPr>
          <w:p w14:paraId="684C80D6"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vi-VN" w:eastAsia="en-US"/>
              </w:rPr>
              <w:t>0.9</w:t>
            </w:r>
            <w:r w:rsidRPr="00DD69A8">
              <w:rPr>
                <w:rFonts w:ascii="Times New Roman" w:hAnsi="Times New Roman"/>
                <w:sz w:val="18"/>
                <w:szCs w:val="18"/>
                <w:lang w:val="en-US" w:eastAsia="en-US"/>
              </w:rPr>
              <w:t>2</w:t>
            </w:r>
          </w:p>
        </w:tc>
      </w:tr>
      <w:tr w:rsidR="00DD69A8" w:rsidRPr="00580875" w14:paraId="09AB2E7F" w14:textId="77777777" w:rsidTr="0060234B">
        <w:trPr>
          <w:gridAfter w:val="1"/>
          <w:wAfter w:w="24" w:type="dxa"/>
          <w:jc w:val="center"/>
        </w:trPr>
        <w:tc>
          <w:tcPr>
            <w:tcW w:w="3397" w:type="dxa"/>
            <w:vAlign w:val="center"/>
          </w:tcPr>
          <w:p w14:paraId="0568337A"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Kappa</w:t>
            </w:r>
          </w:p>
        </w:tc>
        <w:tc>
          <w:tcPr>
            <w:tcW w:w="0" w:type="auto"/>
            <w:vAlign w:val="center"/>
          </w:tcPr>
          <w:p w14:paraId="098B7337"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 (33.3)</w:t>
            </w:r>
          </w:p>
        </w:tc>
        <w:tc>
          <w:tcPr>
            <w:tcW w:w="0" w:type="auto"/>
            <w:vAlign w:val="center"/>
          </w:tcPr>
          <w:p w14:paraId="45CFB8A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 (36.4)</w:t>
            </w:r>
          </w:p>
        </w:tc>
        <w:tc>
          <w:tcPr>
            <w:tcW w:w="0" w:type="auto"/>
            <w:vAlign w:val="center"/>
          </w:tcPr>
          <w:p w14:paraId="4CECD1C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 (35.7)</w:t>
            </w:r>
          </w:p>
        </w:tc>
        <w:tc>
          <w:tcPr>
            <w:tcW w:w="0" w:type="auto"/>
            <w:vMerge/>
            <w:vAlign w:val="center"/>
          </w:tcPr>
          <w:p w14:paraId="3438FF69" w14:textId="77777777" w:rsidR="00DD69A8" w:rsidRPr="00DD69A8" w:rsidRDefault="00DD69A8" w:rsidP="00DD69A8">
            <w:pPr>
              <w:spacing w:line="360" w:lineRule="auto"/>
              <w:jc w:val="center"/>
              <w:rPr>
                <w:rFonts w:ascii="Times New Roman" w:hAnsi="Times New Roman"/>
                <w:sz w:val="18"/>
                <w:szCs w:val="18"/>
                <w:lang w:val="en-US" w:eastAsia="en-US"/>
              </w:rPr>
            </w:pPr>
          </w:p>
        </w:tc>
      </w:tr>
      <w:tr w:rsidR="00DD69A8" w:rsidRPr="00580875" w14:paraId="576B433B" w14:textId="77777777" w:rsidTr="0060234B">
        <w:trPr>
          <w:gridAfter w:val="1"/>
          <w:wAfter w:w="24" w:type="dxa"/>
          <w:jc w:val="center"/>
        </w:trPr>
        <w:tc>
          <w:tcPr>
            <w:tcW w:w="3397" w:type="dxa"/>
            <w:vAlign w:val="center"/>
          </w:tcPr>
          <w:p w14:paraId="07237F54"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Lambda</w:t>
            </w:r>
          </w:p>
        </w:tc>
        <w:tc>
          <w:tcPr>
            <w:tcW w:w="0" w:type="auto"/>
            <w:vAlign w:val="center"/>
          </w:tcPr>
          <w:p w14:paraId="77D86E0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2</w:t>
            </w:r>
            <w:r w:rsidRPr="00DD69A8">
              <w:rPr>
                <w:rFonts w:ascii="Times New Roman" w:hAnsi="Times New Roman"/>
                <w:sz w:val="18"/>
                <w:szCs w:val="18"/>
                <w:lang w:val="en-US" w:eastAsia="en-US"/>
              </w:rPr>
              <w:t xml:space="preserve"> (66.7)</w:t>
            </w:r>
          </w:p>
        </w:tc>
        <w:tc>
          <w:tcPr>
            <w:tcW w:w="0" w:type="auto"/>
            <w:vAlign w:val="center"/>
          </w:tcPr>
          <w:p w14:paraId="45025C2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7</w:t>
            </w:r>
            <w:r w:rsidRPr="00DD69A8">
              <w:rPr>
                <w:rFonts w:ascii="Times New Roman" w:hAnsi="Times New Roman"/>
                <w:sz w:val="18"/>
                <w:szCs w:val="18"/>
                <w:lang w:val="en-US" w:eastAsia="en-US"/>
              </w:rPr>
              <w:t xml:space="preserve"> (63.6)</w:t>
            </w:r>
          </w:p>
        </w:tc>
        <w:tc>
          <w:tcPr>
            <w:tcW w:w="0" w:type="auto"/>
            <w:vAlign w:val="center"/>
          </w:tcPr>
          <w:p w14:paraId="069570C7"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9 (64.3)</w:t>
            </w:r>
          </w:p>
        </w:tc>
        <w:tc>
          <w:tcPr>
            <w:tcW w:w="0" w:type="auto"/>
            <w:vMerge/>
            <w:vAlign w:val="center"/>
          </w:tcPr>
          <w:p w14:paraId="2E142F67" w14:textId="77777777" w:rsidR="00DD69A8" w:rsidRPr="00DD69A8" w:rsidRDefault="00DD69A8" w:rsidP="00DD69A8">
            <w:pPr>
              <w:spacing w:line="360" w:lineRule="auto"/>
              <w:jc w:val="center"/>
              <w:rPr>
                <w:rFonts w:ascii="Times New Roman" w:hAnsi="Times New Roman"/>
                <w:sz w:val="18"/>
                <w:szCs w:val="18"/>
                <w:lang w:val="en-US" w:eastAsia="en-US"/>
              </w:rPr>
            </w:pPr>
          </w:p>
        </w:tc>
      </w:tr>
      <w:tr w:rsidR="00DD69A8" w:rsidRPr="00580875" w14:paraId="3E08CAE2" w14:textId="77777777" w:rsidTr="0060234B">
        <w:trPr>
          <w:gridAfter w:val="1"/>
          <w:wAfter w:w="24" w:type="dxa"/>
          <w:jc w:val="center"/>
        </w:trPr>
        <w:tc>
          <w:tcPr>
            <w:tcW w:w="3397" w:type="dxa"/>
            <w:vAlign w:val="center"/>
          </w:tcPr>
          <w:p w14:paraId="48FF0CD8"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Creatinine &gt;177 μmol/L</w:t>
            </w:r>
          </w:p>
        </w:tc>
        <w:tc>
          <w:tcPr>
            <w:tcW w:w="0" w:type="auto"/>
            <w:vAlign w:val="center"/>
          </w:tcPr>
          <w:p w14:paraId="7B9C8F3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 (8.1)</w:t>
            </w:r>
          </w:p>
        </w:tc>
        <w:tc>
          <w:tcPr>
            <w:tcW w:w="0" w:type="auto"/>
            <w:vAlign w:val="center"/>
          </w:tcPr>
          <w:p w14:paraId="402EF52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 (18.9)</w:t>
            </w:r>
          </w:p>
        </w:tc>
        <w:tc>
          <w:tcPr>
            <w:tcW w:w="0" w:type="auto"/>
            <w:vAlign w:val="center"/>
          </w:tcPr>
          <w:p w14:paraId="6480317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10 (13</w:t>
            </w:r>
            <w:r w:rsidRPr="00DD69A8">
              <w:rPr>
                <w:rFonts w:ascii="Times New Roman" w:hAnsi="Times New Roman"/>
                <w:sz w:val="18"/>
                <w:szCs w:val="18"/>
                <w:lang w:val="vi-VN" w:eastAsia="en-US"/>
              </w:rPr>
              <w:t>.5</w:t>
            </w:r>
            <w:r w:rsidRPr="00DD69A8">
              <w:rPr>
                <w:rFonts w:ascii="Times New Roman" w:hAnsi="Times New Roman"/>
                <w:sz w:val="18"/>
                <w:szCs w:val="18"/>
                <w:lang w:val="en-US" w:eastAsia="en-US"/>
              </w:rPr>
              <w:t>)</w:t>
            </w:r>
          </w:p>
        </w:tc>
        <w:tc>
          <w:tcPr>
            <w:tcW w:w="0" w:type="auto"/>
            <w:vAlign w:val="center"/>
          </w:tcPr>
          <w:p w14:paraId="24F74B1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0.</w:t>
            </w:r>
            <w:r w:rsidRPr="00DD69A8">
              <w:rPr>
                <w:rFonts w:ascii="Times New Roman" w:hAnsi="Times New Roman"/>
                <w:sz w:val="18"/>
                <w:szCs w:val="18"/>
                <w:lang w:val="en-US" w:eastAsia="en-US"/>
              </w:rPr>
              <w:t>17</w:t>
            </w:r>
          </w:p>
        </w:tc>
      </w:tr>
      <w:tr w:rsidR="00DD69A8" w:rsidRPr="00580875" w14:paraId="02ED93A0" w14:textId="77777777" w:rsidTr="0060234B">
        <w:trPr>
          <w:gridAfter w:val="1"/>
          <w:wAfter w:w="24" w:type="dxa"/>
          <w:jc w:val="center"/>
        </w:trPr>
        <w:tc>
          <w:tcPr>
            <w:tcW w:w="3397" w:type="dxa"/>
            <w:vAlign w:val="center"/>
          </w:tcPr>
          <w:p w14:paraId="725C20E8"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HGB &lt; 10 g/dL</w:t>
            </w:r>
          </w:p>
        </w:tc>
        <w:tc>
          <w:tcPr>
            <w:tcW w:w="0" w:type="auto"/>
            <w:vAlign w:val="center"/>
          </w:tcPr>
          <w:p w14:paraId="5367583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34 (91</w:t>
            </w:r>
            <w:r w:rsidRPr="00DD69A8">
              <w:rPr>
                <w:rFonts w:ascii="Times New Roman" w:hAnsi="Times New Roman"/>
                <w:sz w:val="18"/>
                <w:szCs w:val="18"/>
                <w:lang w:val="vi-VN" w:eastAsia="en-US"/>
              </w:rPr>
              <w:t>.</w:t>
            </w:r>
            <w:r w:rsidRPr="00DD69A8">
              <w:rPr>
                <w:rFonts w:ascii="Times New Roman" w:hAnsi="Times New Roman"/>
                <w:sz w:val="18"/>
                <w:szCs w:val="18"/>
                <w:lang w:val="en-US" w:eastAsia="en-US"/>
              </w:rPr>
              <w:t>4)</w:t>
            </w:r>
          </w:p>
        </w:tc>
        <w:tc>
          <w:tcPr>
            <w:tcW w:w="0" w:type="auto"/>
            <w:vAlign w:val="center"/>
          </w:tcPr>
          <w:p w14:paraId="3EAF500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31 (</w:t>
            </w:r>
            <w:r w:rsidRPr="00DD69A8">
              <w:rPr>
                <w:rFonts w:ascii="Times New Roman" w:hAnsi="Times New Roman"/>
                <w:sz w:val="18"/>
                <w:szCs w:val="18"/>
                <w:lang w:val="vi-VN" w:eastAsia="en-US"/>
              </w:rPr>
              <w:t>8</w:t>
            </w:r>
            <w:r w:rsidRPr="00DD69A8">
              <w:rPr>
                <w:rFonts w:ascii="Times New Roman" w:hAnsi="Times New Roman"/>
                <w:sz w:val="18"/>
                <w:szCs w:val="18"/>
                <w:lang w:val="en-US" w:eastAsia="en-US"/>
              </w:rPr>
              <w:t>3.8)</w:t>
            </w:r>
          </w:p>
        </w:tc>
        <w:tc>
          <w:tcPr>
            <w:tcW w:w="0" w:type="auto"/>
            <w:vAlign w:val="center"/>
          </w:tcPr>
          <w:p w14:paraId="669D080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w:t>
            </w:r>
            <w:r w:rsidRPr="00DD69A8">
              <w:rPr>
                <w:rFonts w:ascii="Times New Roman" w:hAnsi="Times New Roman"/>
                <w:sz w:val="18"/>
                <w:szCs w:val="18"/>
                <w:lang w:val="vi-VN" w:eastAsia="en-US"/>
              </w:rPr>
              <w:t>5</w:t>
            </w:r>
            <w:r w:rsidRPr="00DD69A8">
              <w:rPr>
                <w:rFonts w:ascii="Times New Roman" w:hAnsi="Times New Roman"/>
                <w:sz w:val="18"/>
                <w:szCs w:val="18"/>
                <w:lang w:val="en-US" w:eastAsia="en-US"/>
              </w:rPr>
              <w:t xml:space="preserve"> (</w:t>
            </w:r>
            <w:r w:rsidRPr="00DD69A8">
              <w:rPr>
                <w:rFonts w:ascii="Times New Roman" w:hAnsi="Times New Roman"/>
                <w:sz w:val="18"/>
                <w:szCs w:val="18"/>
                <w:lang w:val="vi-VN" w:eastAsia="en-US"/>
              </w:rPr>
              <w:t>8</w:t>
            </w:r>
            <w:r w:rsidRPr="00DD69A8">
              <w:rPr>
                <w:rFonts w:ascii="Times New Roman" w:hAnsi="Times New Roman"/>
                <w:sz w:val="18"/>
                <w:szCs w:val="18"/>
                <w:lang w:val="en-US" w:eastAsia="en-US"/>
              </w:rPr>
              <w:t>7.</w:t>
            </w:r>
            <w:r w:rsidRPr="00DD69A8">
              <w:rPr>
                <w:rFonts w:ascii="Times New Roman" w:hAnsi="Times New Roman"/>
                <w:sz w:val="18"/>
                <w:szCs w:val="18"/>
                <w:lang w:val="vi-VN" w:eastAsia="en-US"/>
              </w:rPr>
              <w:t>8</w:t>
            </w:r>
            <w:r w:rsidRPr="00DD69A8">
              <w:rPr>
                <w:rFonts w:ascii="Times New Roman" w:hAnsi="Times New Roman"/>
                <w:sz w:val="18"/>
                <w:szCs w:val="18"/>
                <w:lang w:val="en-US" w:eastAsia="en-US"/>
              </w:rPr>
              <w:t>)</w:t>
            </w:r>
          </w:p>
        </w:tc>
        <w:tc>
          <w:tcPr>
            <w:tcW w:w="0" w:type="auto"/>
            <w:vAlign w:val="center"/>
          </w:tcPr>
          <w:p w14:paraId="314A1AA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0.</w:t>
            </w:r>
            <w:r w:rsidRPr="00DD69A8">
              <w:rPr>
                <w:rFonts w:ascii="Times New Roman" w:hAnsi="Times New Roman"/>
                <w:sz w:val="18"/>
                <w:szCs w:val="18"/>
                <w:lang w:val="en-US" w:eastAsia="en-US"/>
              </w:rPr>
              <w:t>29</w:t>
            </w:r>
          </w:p>
        </w:tc>
      </w:tr>
      <w:tr w:rsidR="00DD69A8" w:rsidRPr="00580875" w14:paraId="02D47B9F" w14:textId="77777777" w:rsidTr="0060234B">
        <w:trPr>
          <w:gridAfter w:val="1"/>
          <w:wAfter w:w="24" w:type="dxa"/>
          <w:jc w:val="center"/>
        </w:trPr>
        <w:tc>
          <w:tcPr>
            <w:tcW w:w="3397" w:type="dxa"/>
            <w:vAlign w:val="center"/>
          </w:tcPr>
          <w:p w14:paraId="6F450683"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Calcium &gt; 2.75 mmol/L</w:t>
            </w:r>
          </w:p>
        </w:tc>
        <w:tc>
          <w:tcPr>
            <w:tcW w:w="0" w:type="auto"/>
            <w:vAlign w:val="center"/>
          </w:tcPr>
          <w:p w14:paraId="4617C1EF"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w:t>
            </w:r>
          </w:p>
        </w:tc>
        <w:tc>
          <w:tcPr>
            <w:tcW w:w="0" w:type="auto"/>
            <w:vAlign w:val="center"/>
          </w:tcPr>
          <w:p w14:paraId="1877BF6D"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en-US" w:eastAsia="en-US"/>
              </w:rPr>
              <w:t>2 (</w:t>
            </w:r>
            <w:r w:rsidRPr="00DD69A8">
              <w:rPr>
                <w:rFonts w:ascii="Times New Roman" w:hAnsi="Times New Roman"/>
                <w:sz w:val="18"/>
                <w:szCs w:val="18"/>
                <w:lang w:val="vi-VN" w:eastAsia="en-US"/>
              </w:rPr>
              <w:t>5.</w:t>
            </w:r>
            <w:r w:rsidRPr="00DD69A8">
              <w:rPr>
                <w:rFonts w:ascii="Times New Roman" w:hAnsi="Times New Roman"/>
                <w:sz w:val="18"/>
                <w:szCs w:val="18"/>
                <w:lang w:val="en-US" w:eastAsia="en-US"/>
              </w:rPr>
              <w:t>4</w:t>
            </w:r>
            <w:r w:rsidRPr="00DD69A8">
              <w:rPr>
                <w:rFonts w:ascii="Times New Roman" w:hAnsi="Times New Roman"/>
                <w:sz w:val="18"/>
                <w:szCs w:val="18"/>
                <w:lang w:val="vi-VN" w:eastAsia="en-US"/>
              </w:rPr>
              <w:t>)</w:t>
            </w:r>
          </w:p>
        </w:tc>
        <w:tc>
          <w:tcPr>
            <w:tcW w:w="0" w:type="auto"/>
            <w:vAlign w:val="center"/>
          </w:tcPr>
          <w:p w14:paraId="44F764A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 (2.7)</w:t>
            </w:r>
          </w:p>
        </w:tc>
        <w:tc>
          <w:tcPr>
            <w:tcW w:w="0" w:type="auto"/>
            <w:vAlign w:val="center"/>
          </w:tcPr>
          <w:p w14:paraId="61DD536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0.</w:t>
            </w:r>
            <w:r w:rsidRPr="00DD69A8">
              <w:rPr>
                <w:rFonts w:ascii="Times New Roman" w:hAnsi="Times New Roman"/>
                <w:sz w:val="18"/>
                <w:szCs w:val="18"/>
                <w:lang w:val="en-US" w:eastAsia="en-US"/>
              </w:rPr>
              <w:t>15</w:t>
            </w:r>
          </w:p>
        </w:tc>
      </w:tr>
      <w:tr w:rsidR="00DD69A8" w:rsidRPr="00580875" w14:paraId="790814A2" w14:textId="77777777" w:rsidTr="0060234B">
        <w:trPr>
          <w:gridAfter w:val="1"/>
          <w:wAfter w:w="24" w:type="dxa"/>
          <w:jc w:val="center"/>
        </w:trPr>
        <w:tc>
          <w:tcPr>
            <w:tcW w:w="3397" w:type="dxa"/>
            <w:vAlign w:val="center"/>
          </w:tcPr>
          <w:p w14:paraId="2C972BE6"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β2M &gt; 3.5 mg/L</w:t>
            </w:r>
          </w:p>
        </w:tc>
        <w:tc>
          <w:tcPr>
            <w:tcW w:w="0" w:type="auto"/>
            <w:vAlign w:val="center"/>
          </w:tcPr>
          <w:p w14:paraId="3E7BE5AF"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24 (64.9)</w:t>
            </w:r>
          </w:p>
        </w:tc>
        <w:tc>
          <w:tcPr>
            <w:tcW w:w="0" w:type="auto"/>
            <w:vAlign w:val="center"/>
          </w:tcPr>
          <w:p w14:paraId="32272DD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21 (56.8)</w:t>
            </w:r>
          </w:p>
        </w:tc>
        <w:tc>
          <w:tcPr>
            <w:tcW w:w="0" w:type="auto"/>
            <w:vAlign w:val="center"/>
          </w:tcPr>
          <w:p w14:paraId="24172F1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45 (60.8)</w:t>
            </w:r>
          </w:p>
        </w:tc>
        <w:tc>
          <w:tcPr>
            <w:tcW w:w="0" w:type="auto"/>
            <w:vAlign w:val="center"/>
          </w:tcPr>
          <w:p w14:paraId="28770503"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vi-VN" w:eastAsia="en-US"/>
              </w:rPr>
              <w:t>0.</w:t>
            </w:r>
            <w:r w:rsidRPr="00DD69A8">
              <w:rPr>
                <w:rFonts w:ascii="Times New Roman" w:hAnsi="Times New Roman"/>
                <w:sz w:val="18"/>
                <w:szCs w:val="18"/>
                <w:lang w:val="en-US" w:eastAsia="en-US"/>
              </w:rPr>
              <w:t>47</w:t>
            </w:r>
          </w:p>
        </w:tc>
      </w:tr>
      <w:tr w:rsidR="00DD69A8" w:rsidRPr="00580875" w14:paraId="1656C3DB" w14:textId="77777777" w:rsidTr="0060234B">
        <w:trPr>
          <w:gridAfter w:val="1"/>
          <w:wAfter w:w="24" w:type="dxa"/>
          <w:jc w:val="center"/>
        </w:trPr>
        <w:tc>
          <w:tcPr>
            <w:tcW w:w="3397" w:type="dxa"/>
            <w:vAlign w:val="center"/>
          </w:tcPr>
          <w:p w14:paraId="460C952B"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Albumin &lt; 3.5 g/dL</w:t>
            </w:r>
          </w:p>
        </w:tc>
        <w:tc>
          <w:tcPr>
            <w:tcW w:w="0" w:type="auto"/>
            <w:vAlign w:val="center"/>
          </w:tcPr>
          <w:p w14:paraId="6BC3787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29 (78.4)</w:t>
            </w:r>
          </w:p>
        </w:tc>
        <w:tc>
          <w:tcPr>
            <w:tcW w:w="0" w:type="auto"/>
            <w:vAlign w:val="center"/>
          </w:tcPr>
          <w:p w14:paraId="44F0A7D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27 (73)</w:t>
            </w:r>
          </w:p>
        </w:tc>
        <w:tc>
          <w:tcPr>
            <w:tcW w:w="0" w:type="auto"/>
            <w:vAlign w:val="center"/>
          </w:tcPr>
          <w:p w14:paraId="5F64022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56 (75.7)</w:t>
            </w:r>
          </w:p>
        </w:tc>
        <w:tc>
          <w:tcPr>
            <w:tcW w:w="0" w:type="auto"/>
            <w:vAlign w:val="center"/>
          </w:tcPr>
          <w:p w14:paraId="1AB46A17"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0.58</w:t>
            </w:r>
          </w:p>
        </w:tc>
      </w:tr>
      <w:tr w:rsidR="00DD69A8" w:rsidRPr="00580875" w14:paraId="00A035D1" w14:textId="77777777" w:rsidTr="0060234B">
        <w:trPr>
          <w:gridAfter w:val="1"/>
          <w:wAfter w:w="24" w:type="dxa"/>
          <w:jc w:val="center"/>
        </w:trPr>
        <w:tc>
          <w:tcPr>
            <w:tcW w:w="3397" w:type="dxa"/>
            <w:vAlign w:val="center"/>
          </w:tcPr>
          <w:p w14:paraId="19A477AF"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M-protein &gt; 3 g/dL</w:t>
            </w:r>
          </w:p>
        </w:tc>
        <w:tc>
          <w:tcPr>
            <w:tcW w:w="0" w:type="auto"/>
            <w:vAlign w:val="center"/>
          </w:tcPr>
          <w:p w14:paraId="5590473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19 (51.4)</w:t>
            </w:r>
          </w:p>
        </w:tc>
        <w:tc>
          <w:tcPr>
            <w:tcW w:w="0" w:type="auto"/>
            <w:vAlign w:val="center"/>
          </w:tcPr>
          <w:p w14:paraId="1B09169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29 (78.4)</w:t>
            </w:r>
          </w:p>
        </w:tc>
        <w:tc>
          <w:tcPr>
            <w:tcW w:w="0" w:type="auto"/>
            <w:vAlign w:val="center"/>
          </w:tcPr>
          <w:p w14:paraId="46B4AA9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48 (64.9)</w:t>
            </w:r>
          </w:p>
        </w:tc>
        <w:tc>
          <w:tcPr>
            <w:tcW w:w="0" w:type="auto"/>
            <w:vAlign w:val="center"/>
          </w:tcPr>
          <w:p w14:paraId="1C01803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vi-VN" w:eastAsia="en-US"/>
              </w:rPr>
              <w:t>0.0</w:t>
            </w:r>
            <w:r w:rsidRPr="00DD69A8">
              <w:rPr>
                <w:rFonts w:ascii="Times New Roman" w:hAnsi="Times New Roman"/>
                <w:sz w:val="18"/>
                <w:szCs w:val="18"/>
                <w:lang w:val="en-US" w:eastAsia="en-US"/>
              </w:rPr>
              <w:t>15</w:t>
            </w:r>
          </w:p>
        </w:tc>
      </w:tr>
      <w:tr w:rsidR="00DD69A8" w:rsidRPr="00580875" w14:paraId="141553B9" w14:textId="77777777" w:rsidTr="0060234B">
        <w:trPr>
          <w:gridAfter w:val="1"/>
          <w:wAfter w:w="24" w:type="dxa"/>
          <w:jc w:val="center"/>
        </w:trPr>
        <w:tc>
          <w:tcPr>
            <w:tcW w:w="3397" w:type="dxa"/>
            <w:vAlign w:val="center"/>
          </w:tcPr>
          <w:p w14:paraId="1D3D4E1F"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LDH &gt; 460 U/L</w:t>
            </w:r>
          </w:p>
        </w:tc>
        <w:tc>
          <w:tcPr>
            <w:tcW w:w="0" w:type="auto"/>
            <w:vAlign w:val="center"/>
          </w:tcPr>
          <w:p w14:paraId="53EAC1C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 (0)</w:t>
            </w:r>
          </w:p>
        </w:tc>
        <w:tc>
          <w:tcPr>
            <w:tcW w:w="0" w:type="auto"/>
            <w:vAlign w:val="center"/>
          </w:tcPr>
          <w:p w14:paraId="701884F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 (2.7)</w:t>
            </w:r>
          </w:p>
        </w:tc>
        <w:tc>
          <w:tcPr>
            <w:tcW w:w="0" w:type="auto"/>
            <w:vAlign w:val="center"/>
          </w:tcPr>
          <w:p w14:paraId="77B2949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 (1.4)</w:t>
            </w:r>
          </w:p>
        </w:tc>
        <w:tc>
          <w:tcPr>
            <w:tcW w:w="0" w:type="auto"/>
            <w:vAlign w:val="center"/>
          </w:tcPr>
          <w:p w14:paraId="18FBEF3A" w14:textId="77777777" w:rsidR="00DD69A8" w:rsidRPr="00DD69A8" w:rsidRDefault="00DD69A8" w:rsidP="00DD69A8">
            <w:pPr>
              <w:spacing w:line="360" w:lineRule="auto"/>
              <w:jc w:val="center"/>
              <w:rPr>
                <w:rFonts w:ascii="Times New Roman" w:hAnsi="Times New Roman"/>
                <w:sz w:val="18"/>
                <w:szCs w:val="18"/>
                <w:lang w:val="vi-VN" w:eastAsia="en-US"/>
              </w:rPr>
            </w:pPr>
            <w:r w:rsidRPr="00DD69A8">
              <w:rPr>
                <w:rFonts w:ascii="Times New Roman" w:hAnsi="Times New Roman"/>
                <w:sz w:val="18"/>
                <w:szCs w:val="18"/>
                <w:lang w:val="vi-VN" w:eastAsia="en-US"/>
              </w:rPr>
              <w:t>0.31</w:t>
            </w:r>
          </w:p>
        </w:tc>
      </w:tr>
      <w:tr w:rsidR="00DD69A8" w:rsidRPr="00580875" w14:paraId="11404EDE" w14:textId="77777777" w:rsidTr="0060234B">
        <w:trPr>
          <w:gridAfter w:val="1"/>
          <w:wAfter w:w="24" w:type="dxa"/>
          <w:jc w:val="center"/>
        </w:trPr>
        <w:tc>
          <w:tcPr>
            <w:tcW w:w="3397" w:type="dxa"/>
            <w:vAlign w:val="center"/>
          </w:tcPr>
          <w:p w14:paraId="113996E8" w14:textId="77777777" w:rsidR="00DD69A8" w:rsidRPr="00DD69A8" w:rsidRDefault="00DD69A8" w:rsidP="00DD69A8">
            <w:pPr>
              <w:spacing w:line="360" w:lineRule="auto"/>
              <w:rPr>
                <w:rFonts w:ascii="Times New Roman" w:hAnsi="Times New Roman"/>
                <w:spacing w:val="-6"/>
                <w:sz w:val="18"/>
                <w:szCs w:val="18"/>
                <w:lang w:val="en-US" w:eastAsia="en-US"/>
              </w:rPr>
            </w:pPr>
            <w:r w:rsidRPr="00DD69A8">
              <w:rPr>
                <w:rFonts w:ascii="Times New Roman" w:hAnsi="Times New Roman"/>
                <w:spacing w:val="-6"/>
                <w:sz w:val="18"/>
                <w:szCs w:val="18"/>
                <w:lang w:val="en-US" w:eastAsia="en-US"/>
              </w:rPr>
              <w:t>Percentage of bone marrow plasma cells &gt; 20%</w:t>
            </w:r>
          </w:p>
        </w:tc>
        <w:tc>
          <w:tcPr>
            <w:tcW w:w="0" w:type="auto"/>
            <w:vAlign w:val="center"/>
          </w:tcPr>
          <w:p w14:paraId="695F0CAF"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29 (78.4)</w:t>
            </w:r>
          </w:p>
        </w:tc>
        <w:tc>
          <w:tcPr>
            <w:tcW w:w="0" w:type="auto"/>
            <w:vAlign w:val="center"/>
          </w:tcPr>
          <w:p w14:paraId="7E767D9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27 (73)</w:t>
            </w:r>
          </w:p>
        </w:tc>
        <w:tc>
          <w:tcPr>
            <w:tcW w:w="0" w:type="auto"/>
            <w:vAlign w:val="center"/>
          </w:tcPr>
          <w:p w14:paraId="22BC4EB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56 (75.7)</w:t>
            </w:r>
          </w:p>
        </w:tc>
        <w:tc>
          <w:tcPr>
            <w:tcW w:w="0" w:type="auto"/>
            <w:vAlign w:val="center"/>
          </w:tcPr>
          <w:p w14:paraId="2D25768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0.6</w:t>
            </w:r>
          </w:p>
        </w:tc>
      </w:tr>
      <w:tr w:rsidR="00DD69A8" w:rsidRPr="00580875" w14:paraId="77830DF3" w14:textId="77777777" w:rsidTr="0060234B">
        <w:trPr>
          <w:gridAfter w:val="1"/>
          <w:wAfter w:w="24" w:type="dxa"/>
          <w:jc w:val="center"/>
        </w:trPr>
        <w:tc>
          <w:tcPr>
            <w:tcW w:w="3397" w:type="dxa"/>
            <w:vAlign w:val="center"/>
          </w:tcPr>
          <w:p w14:paraId="6B1E54DE"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Presence of bone damage</w:t>
            </w:r>
          </w:p>
        </w:tc>
        <w:tc>
          <w:tcPr>
            <w:tcW w:w="0" w:type="auto"/>
            <w:vAlign w:val="center"/>
          </w:tcPr>
          <w:p w14:paraId="05AAA7A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33 (89.2)</w:t>
            </w:r>
          </w:p>
        </w:tc>
        <w:tc>
          <w:tcPr>
            <w:tcW w:w="0" w:type="auto"/>
            <w:vAlign w:val="center"/>
          </w:tcPr>
          <w:p w14:paraId="7EEEBE2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35 (94.6)</w:t>
            </w:r>
          </w:p>
        </w:tc>
        <w:tc>
          <w:tcPr>
            <w:tcW w:w="0" w:type="auto"/>
            <w:vAlign w:val="center"/>
          </w:tcPr>
          <w:p w14:paraId="2801F47A"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68 (91.9)</w:t>
            </w:r>
          </w:p>
        </w:tc>
        <w:tc>
          <w:tcPr>
            <w:tcW w:w="0" w:type="auto"/>
            <w:vAlign w:val="center"/>
          </w:tcPr>
          <w:p w14:paraId="6E0CAE2E"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0.39</w:t>
            </w:r>
          </w:p>
        </w:tc>
      </w:tr>
      <w:tr w:rsidR="00DD69A8" w:rsidRPr="00580875" w14:paraId="3EC49BC3" w14:textId="77777777" w:rsidTr="0060234B">
        <w:trPr>
          <w:gridAfter w:val="1"/>
          <w:wAfter w:w="24" w:type="dxa"/>
          <w:jc w:val="center"/>
        </w:trPr>
        <w:tc>
          <w:tcPr>
            <w:tcW w:w="3397" w:type="dxa"/>
            <w:vAlign w:val="center"/>
          </w:tcPr>
          <w:p w14:paraId="79BB0B33"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Plasmacytoma</w:t>
            </w:r>
          </w:p>
        </w:tc>
        <w:tc>
          <w:tcPr>
            <w:tcW w:w="0" w:type="auto"/>
            <w:vAlign w:val="center"/>
          </w:tcPr>
          <w:p w14:paraId="17A9A156"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5 (13.5)</w:t>
            </w:r>
          </w:p>
        </w:tc>
        <w:tc>
          <w:tcPr>
            <w:tcW w:w="0" w:type="auto"/>
            <w:vAlign w:val="center"/>
          </w:tcPr>
          <w:p w14:paraId="619F12D1"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 (8.1)</w:t>
            </w:r>
          </w:p>
        </w:tc>
        <w:tc>
          <w:tcPr>
            <w:tcW w:w="0" w:type="auto"/>
            <w:vAlign w:val="center"/>
          </w:tcPr>
          <w:p w14:paraId="2EA1CD1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8 (10.8)</w:t>
            </w:r>
          </w:p>
        </w:tc>
        <w:tc>
          <w:tcPr>
            <w:tcW w:w="0" w:type="auto"/>
            <w:vAlign w:val="center"/>
          </w:tcPr>
          <w:p w14:paraId="1044E9A8"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0.45</w:t>
            </w:r>
          </w:p>
        </w:tc>
      </w:tr>
      <w:tr w:rsidR="00DD69A8" w:rsidRPr="00580875" w14:paraId="391A9FD1" w14:textId="77777777" w:rsidTr="0060234B">
        <w:trPr>
          <w:gridAfter w:val="1"/>
          <w:wAfter w:w="24" w:type="dxa"/>
          <w:jc w:val="center"/>
        </w:trPr>
        <w:tc>
          <w:tcPr>
            <w:tcW w:w="3397" w:type="dxa"/>
            <w:vAlign w:val="center"/>
          </w:tcPr>
          <w:p w14:paraId="1798577E"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Translocation involving chromosome 14</w:t>
            </w:r>
          </w:p>
        </w:tc>
        <w:tc>
          <w:tcPr>
            <w:tcW w:w="0" w:type="auto"/>
            <w:vAlign w:val="center"/>
          </w:tcPr>
          <w:p w14:paraId="4A61337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13 (35.1)</w:t>
            </w:r>
          </w:p>
        </w:tc>
        <w:tc>
          <w:tcPr>
            <w:tcW w:w="0" w:type="auto"/>
            <w:vAlign w:val="center"/>
          </w:tcPr>
          <w:p w14:paraId="0E00735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9 (24.3)</w:t>
            </w:r>
          </w:p>
        </w:tc>
        <w:tc>
          <w:tcPr>
            <w:tcW w:w="0" w:type="auto"/>
            <w:vAlign w:val="center"/>
          </w:tcPr>
          <w:p w14:paraId="4256786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22 (29.7)</w:t>
            </w:r>
          </w:p>
        </w:tc>
        <w:tc>
          <w:tcPr>
            <w:tcW w:w="0" w:type="auto"/>
            <w:vAlign w:val="center"/>
          </w:tcPr>
          <w:p w14:paraId="0A56A59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0.31</w:t>
            </w:r>
          </w:p>
        </w:tc>
      </w:tr>
      <w:tr w:rsidR="00DD69A8" w:rsidRPr="00580875" w14:paraId="1AF28818" w14:textId="77777777" w:rsidTr="0060234B">
        <w:trPr>
          <w:gridAfter w:val="1"/>
          <w:wAfter w:w="24" w:type="dxa"/>
          <w:jc w:val="center"/>
        </w:trPr>
        <w:tc>
          <w:tcPr>
            <w:tcW w:w="3397" w:type="dxa"/>
            <w:vAlign w:val="center"/>
          </w:tcPr>
          <w:p w14:paraId="4D71DD3B"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Del(17p13)</w:t>
            </w:r>
          </w:p>
        </w:tc>
        <w:tc>
          <w:tcPr>
            <w:tcW w:w="0" w:type="auto"/>
            <w:vAlign w:val="center"/>
          </w:tcPr>
          <w:p w14:paraId="24410524"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 (5.4)</w:t>
            </w:r>
          </w:p>
        </w:tc>
        <w:tc>
          <w:tcPr>
            <w:tcW w:w="0" w:type="auto"/>
            <w:vAlign w:val="center"/>
          </w:tcPr>
          <w:p w14:paraId="6D6EEE5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 (0)</w:t>
            </w:r>
          </w:p>
        </w:tc>
        <w:tc>
          <w:tcPr>
            <w:tcW w:w="0" w:type="auto"/>
            <w:vAlign w:val="center"/>
          </w:tcPr>
          <w:p w14:paraId="53BAB5F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 (2.7)</w:t>
            </w:r>
          </w:p>
        </w:tc>
        <w:tc>
          <w:tcPr>
            <w:tcW w:w="0" w:type="auto"/>
            <w:vAlign w:val="center"/>
          </w:tcPr>
          <w:p w14:paraId="3CE43C8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0.15</w:t>
            </w:r>
          </w:p>
        </w:tc>
      </w:tr>
      <w:tr w:rsidR="00DD69A8" w:rsidRPr="00580875" w14:paraId="569F2748" w14:textId="77777777" w:rsidTr="0060234B">
        <w:trPr>
          <w:gridAfter w:val="1"/>
          <w:wAfter w:w="24" w:type="dxa"/>
          <w:jc w:val="center"/>
        </w:trPr>
        <w:tc>
          <w:tcPr>
            <w:tcW w:w="3397" w:type="dxa"/>
            <w:vAlign w:val="center"/>
          </w:tcPr>
          <w:p w14:paraId="655BC906"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Karyotype abnormalities</w:t>
            </w:r>
          </w:p>
        </w:tc>
        <w:tc>
          <w:tcPr>
            <w:tcW w:w="0" w:type="auto"/>
            <w:vAlign w:val="center"/>
          </w:tcPr>
          <w:p w14:paraId="0D3BCFE3"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10 (27)</w:t>
            </w:r>
          </w:p>
        </w:tc>
        <w:tc>
          <w:tcPr>
            <w:tcW w:w="0" w:type="auto"/>
            <w:vAlign w:val="center"/>
          </w:tcPr>
          <w:p w14:paraId="4AA2EFB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12 (32.4)</w:t>
            </w:r>
          </w:p>
        </w:tc>
        <w:tc>
          <w:tcPr>
            <w:tcW w:w="0" w:type="auto"/>
            <w:vAlign w:val="center"/>
          </w:tcPr>
          <w:p w14:paraId="67D3E8F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22 (39.7)</w:t>
            </w:r>
          </w:p>
        </w:tc>
        <w:tc>
          <w:tcPr>
            <w:tcW w:w="0" w:type="auto"/>
            <w:vAlign w:val="center"/>
          </w:tcPr>
          <w:p w14:paraId="479C6A19"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0.61</w:t>
            </w:r>
          </w:p>
        </w:tc>
      </w:tr>
      <w:tr w:rsidR="00DD69A8" w:rsidRPr="00DD69A8" w14:paraId="15172C22" w14:textId="77777777" w:rsidTr="0060234B">
        <w:trPr>
          <w:jc w:val="center"/>
        </w:trPr>
        <w:tc>
          <w:tcPr>
            <w:tcW w:w="8076" w:type="dxa"/>
            <w:gridSpan w:val="6"/>
            <w:vAlign w:val="center"/>
          </w:tcPr>
          <w:p w14:paraId="32B2EC1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ISS stage</w:t>
            </w:r>
          </w:p>
        </w:tc>
      </w:tr>
      <w:tr w:rsidR="00DD69A8" w:rsidRPr="00580875" w14:paraId="4ABDEF7D" w14:textId="77777777" w:rsidTr="0060234B">
        <w:trPr>
          <w:gridAfter w:val="1"/>
          <w:wAfter w:w="24" w:type="dxa"/>
          <w:jc w:val="center"/>
        </w:trPr>
        <w:tc>
          <w:tcPr>
            <w:tcW w:w="3397" w:type="dxa"/>
            <w:vAlign w:val="center"/>
          </w:tcPr>
          <w:p w14:paraId="3504D3AB"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ISS-1</w:t>
            </w:r>
          </w:p>
        </w:tc>
        <w:tc>
          <w:tcPr>
            <w:tcW w:w="0" w:type="auto"/>
            <w:vAlign w:val="center"/>
          </w:tcPr>
          <w:p w14:paraId="15390D4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4 (13)</w:t>
            </w:r>
          </w:p>
        </w:tc>
        <w:tc>
          <w:tcPr>
            <w:tcW w:w="0" w:type="auto"/>
            <w:vAlign w:val="center"/>
          </w:tcPr>
          <w:p w14:paraId="48BE510D"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7 (14)</w:t>
            </w:r>
          </w:p>
        </w:tc>
        <w:tc>
          <w:tcPr>
            <w:tcW w:w="0" w:type="auto"/>
            <w:vAlign w:val="center"/>
          </w:tcPr>
          <w:p w14:paraId="483842C7"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11 (13.5)</w:t>
            </w:r>
          </w:p>
        </w:tc>
        <w:tc>
          <w:tcPr>
            <w:tcW w:w="0" w:type="auto"/>
            <w:vMerge w:val="restart"/>
            <w:vAlign w:val="center"/>
          </w:tcPr>
          <w:p w14:paraId="3166AB14"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0.58</w:t>
            </w:r>
          </w:p>
        </w:tc>
      </w:tr>
      <w:tr w:rsidR="00DD69A8" w:rsidRPr="00580875" w14:paraId="78494143" w14:textId="77777777" w:rsidTr="0060234B">
        <w:trPr>
          <w:gridAfter w:val="1"/>
          <w:wAfter w:w="24" w:type="dxa"/>
          <w:jc w:val="center"/>
        </w:trPr>
        <w:tc>
          <w:tcPr>
            <w:tcW w:w="3397" w:type="dxa"/>
            <w:vAlign w:val="center"/>
          </w:tcPr>
          <w:p w14:paraId="7399645A"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ISS-2 (so ISS-1)</w:t>
            </w:r>
          </w:p>
        </w:tc>
        <w:tc>
          <w:tcPr>
            <w:tcW w:w="0" w:type="auto"/>
            <w:vAlign w:val="center"/>
          </w:tcPr>
          <w:p w14:paraId="5EABB7A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19 (50)</w:t>
            </w:r>
          </w:p>
        </w:tc>
        <w:tc>
          <w:tcPr>
            <w:tcW w:w="0" w:type="auto"/>
            <w:vAlign w:val="center"/>
          </w:tcPr>
          <w:p w14:paraId="7CB124F5"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16 (39)</w:t>
            </w:r>
          </w:p>
        </w:tc>
        <w:tc>
          <w:tcPr>
            <w:tcW w:w="0" w:type="auto"/>
            <w:vAlign w:val="center"/>
          </w:tcPr>
          <w:p w14:paraId="32E3BA0C"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35 (44.5)</w:t>
            </w:r>
          </w:p>
        </w:tc>
        <w:tc>
          <w:tcPr>
            <w:tcW w:w="0" w:type="auto"/>
            <w:vMerge/>
            <w:vAlign w:val="center"/>
          </w:tcPr>
          <w:p w14:paraId="65653FB0" w14:textId="77777777" w:rsidR="00DD69A8" w:rsidRPr="00DD69A8" w:rsidRDefault="00DD69A8" w:rsidP="00DD69A8">
            <w:pPr>
              <w:spacing w:line="360" w:lineRule="auto"/>
              <w:jc w:val="center"/>
              <w:rPr>
                <w:rFonts w:ascii="Times New Roman" w:hAnsi="Times New Roman"/>
                <w:sz w:val="18"/>
                <w:szCs w:val="18"/>
                <w:lang w:val="en-US" w:eastAsia="en-US"/>
              </w:rPr>
            </w:pPr>
          </w:p>
        </w:tc>
      </w:tr>
      <w:tr w:rsidR="00DD69A8" w:rsidRPr="00580875" w14:paraId="04D5EA6C" w14:textId="77777777" w:rsidTr="0060234B">
        <w:trPr>
          <w:gridAfter w:val="1"/>
          <w:wAfter w:w="24" w:type="dxa"/>
          <w:jc w:val="center"/>
        </w:trPr>
        <w:tc>
          <w:tcPr>
            <w:tcW w:w="3397" w:type="dxa"/>
            <w:vAlign w:val="center"/>
          </w:tcPr>
          <w:p w14:paraId="2D59B0FC" w14:textId="77777777" w:rsidR="00DD69A8" w:rsidRPr="00DD69A8" w:rsidRDefault="00DD69A8" w:rsidP="00DD69A8">
            <w:pPr>
              <w:spacing w:line="360" w:lineRule="auto"/>
              <w:rPr>
                <w:rFonts w:ascii="Times New Roman" w:hAnsi="Times New Roman"/>
                <w:sz w:val="18"/>
                <w:szCs w:val="18"/>
                <w:lang w:val="en-US" w:eastAsia="en-US"/>
              </w:rPr>
            </w:pPr>
            <w:r w:rsidRPr="00DD69A8">
              <w:rPr>
                <w:rFonts w:ascii="Times New Roman" w:hAnsi="Times New Roman"/>
                <w:sz w:val="18"/>
                <w:szCs w:val="18"/>
                <w:lang w:val="en-US" w:eastAsia="en-US"/>
              </w:rPr>
              <w:t>ISS-3 (so ISS-1)</w:t>
            </w:r>
          </w:p>
        </w:tc>
        <w:tc>
          <w:tcPr>
            <w:tcW w:w="0" w:type="auto"/>
            <w:vAlign w:val="center"/>
          </w:tcPr>
          <w:p w14:paraId="64E780F2"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14 (39)</w:t>
            </w:r>
          </w:p>
        </w:tc>
        <w:tc>
          <w:tcPr>
            <w:tcW w:w="0" w:type="auto"/>
            <w:vAlign w:val="center"/>
          </w:tcPr>
          <w:p w14:paraId="204AB61B"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14 (44)</w:t>
            </w:r>
          </w:p>
        </w:tc>
        <w:tc>
          <w:tcPr>
            <w:tcW w:w="0" w:type="auto"/>
            <w:vAlign w:val="center"/>
          </w:tcPr>
          <w:p w14:paraId="6D38FCC0" w14:textId="77777777" w:rsidR="00DD69A8" w:rsidRPr="00DD69A8" w:rsidRDefault="00DD69A8" w:rsidP="00DD69A8">
            <w:pPr>
              <w:spacing w:line="360" w:lineRule="auto"/>
              <w:jc w:val="center"/>
              <w:rPr>
                <w:rFonts w:ascii="Times New Roman" w:hAnsi="Times New Roman"/>
                <w:sz w:val="18"/>
                <w:szCs w:val="18"/>
                <w:lang w:val="en-US" w:eastAsia="en-US"/>
              </w:rPr>
            </w:pPr>
            <w:r w:rsidRPr="00DD69A8">
              <w:rPr>
                <w:rFonts w:ascii="Times New Roman" w:hAnsi="Times New Roman"/>
                <w:sz w:val="18"/>
                <w:szCs w:val="18"/>
                <w:lang w:val="en-US" w:eastAsia="en-US"/>
              </w:rPr>
              <w:t>28 (42)</w:t>
            </w:r>
          </w:p>
        </w:tc>
        <w:tc>
          <w:tcPr>
            <w:tcW w:w="0" w:type="auto"/>
            <w:vMerge/>
            <w:vAlign w:val="center"/>
          </w:tcPr>
          <w:p w14:paraId="3E4554E0" w14:textId="77777777" w:rsidR="00DD69A8" w:rsidRPr="00DD69A8" w:rsidRDefault="00DD69A8" w:rsidP="00DD69A8">
            <w:pPr>
              <w:spacing w:line="360" w:lineRule="auto"/>
              <w:jc w:val="center"/>
              <w:rPr>
                <w:rFonts w:ascii="Times New Roman" w:hAnsi="Times New Roman"/>
                <w:sz w:val="18"/>
                <w:szCs w:val="18"/>
                <w:lang w:val="en-US" w:eastAsia="en-US"/>
              </w:rPr>
            </w:pPr>
          </w:p>
        </w:tc>
      </w:tr>
    </w:tbl>
    <w:bookmarkEnd w:id="0"/>
    <w:p w14:paraId="1D8EEAEE" w14:textId="77777777" w:rsidR="00DD69A8" w:rsidRPr="00DD69A8" w:rsidRDefault="00DD69A8" w:rsidP="00DD69A8">
      <w:pPr>
        <w:spacing w:line="360" w:lineRule="auto"/>
        <w:jc w:val="center"/>
        <w:rPr>
          <w:rFonts w:eastAsia="Yu Mincho"/>
          <w:i/>
          <w:sz w:val="16"/>
          <w:szCs w:val="16"/>
          <w:lang w:val="en-US" w:eastAsia="en-US"/>
        </w:rPr>
      </w:pPr>
      <w:r w:rsidRPr="00DD69A8">
        <w:rPr>
          <w:rFonts w:eastAsia="Yu Mincho"/>
          <w:i/>
          <w:sz w:val="16"/>
          <w:szCs w:val="16"/>
          <w:lang w:val="en-US" w:eastAsia="en-US"/>
        </w:rPr>
        <w:t>* Chi- square test and Fisher exact test</w:t>
      </w:r>
    </w:p>
    <w:p w14:paraId="0ED7810F" w14:textId="77777777" w:rsidR="00DD69A8" w:rsidRPr="00DD69A8" w:rsidRDefault="00DD69A8" w:rsidP="00DD69A8">
      <w:pPr>
        <w:spacing w:line="360" w:lineRule="auto"/>
        <w:jc w:val="both"/>
        <w:rPr>
          <w:rFonts w:eastAsia="Yu Mincho"/>
          <w:lang w:val="en-US" w:eastAsia="en-US"/>
        </w:rPr>
      </w:pPr>
    </w:p>
    <w:p w14:paraId="7C7ED2B2" w14:textId="77777777" w:rsidR="00DD69A8" w:rsidRPr="00DD69A8" w:rsidRDefault="00DD69A8" w:rsidP="00DD69A8">
      <w:pPr>
        <w:spacing w:line="360" w:lineRule="auto"/>
        <w:jc w:val="both"/>
        <w:rPr>
          <w:rFonts w:eastAsia="Yu Mincho"/>
          <w:lang w:val="en-US" w:eastAsia="en-US"/>
        </w:rPr>
      </w:pPr>
    </w:p>
    <w:p w14:paraId="2965C613" w14:textId="77777777" w:rsidR="00580875" w:rsidRDefault="00580875">
      <w:pPr>
        <w:rPr>
          <w:b/>
          <w:sz w:val="32"/>
          <w:szCs w:val="32"/>
          <w:lang w:val="en-US" w:eastAsia="en-US"/>
        </w:rPr>
      </w:pPr>
      <w:r>
        <w:rPr>
          <w:b/>
          <w:sz w:val="32"/>
          <w:szCs w:val="32"/>
          <w:lang w:val="en-US" w:eastAsia="en-US"/>
        </w:rPr>
        <w:br w:type="page"/>
      </w:r>
    </w:p>
    <w:p w14:paraId="2865E3FC" w14:textId="77A8FFAF" w:rsidR="00DD69A8" w:rsidRPr="00DD69A8" w:rsidRDefault="00DD69A8" w:rsidP="00DD69A8">
      <w:pPr>
        <w:widowControl w:val="0"/>
        <w:spacing w:line="360" w:lineRule="auto"/>
        <w:jc w:val="center"/>
        <w:rPr>
          <w:b/>
          <w:sz w:val="32"/>
          <w:szCs w:val="32"/>
          <w:lang w:val="en-US" w:eastAsia="en-US"/>
        </w:rPr>
      </w:pPr>
      <w:r w:rsidRPr="00DD69A8">
        <w:rPr>
          <w:b/>
          <w:sz w:val="32"/>
          <w:szCs w:val="32"/>
          <w:lang w:val="en-US" w:eastAsia="en-US"/>
        </w:rPr>
        <w:lastRenderedPageBreak/>
        <w:t>DISCUSSION</w:t>
      </w:r>
    </w:p>
    <w:p w14:paraId="67E814FC"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About age, compared with other studies in Vietnam, for example, </w:t>
      </w:r>
      <w:r w:rsidRPr="00DD69A8">
        <w:rPr>
          <w:i/>
          <w:iCs/>
          <w:lang w:val="en-US" w:eastAsia="en-US"/>
        </w:rPr>
        <w:t xml:space="preserve">Thanh </w:t>
      </w:r>
      <w:proofErr w:type="gramStart"/>
      <w:r w:rsidRPr="00DD69A8">
        <w:rPr>
          <w:i/>
          <w:iCs/>
          <w:lang w:val="en-US" w:eastAsia="en-US"/>
        </w:rPr>
        <w:t>Thanh</w:t>
      </w:r>
      <w:r w:rsidRPr="00DD69A8">
        <w:rPr>
          <w:vertAlign w:val="superscript"/>
          <w:lang w:val="en-US" w:eastAsia="en-US"/>
        </w:rPr>
        <w:t>(</w:t>
      </w:r>
      <w:proofErr w:type="gramEnd"/>
      <w:r w:rsidRPr="00DD69A8">
        <w:rPr>
          <w:rFonts w:eastAsia="Yu Mincho"/>
          <w:vertAlign w:val="superscript"/>
          <w:lang w:val="en-US" w:eastAsia="en-US"/>
        </w:rPr>
        <w:t>6)</w:t>
      </w:r>
      <w:r w:rsidRPr="00DD69A8">
        <w:rPr>
          <w:rFonts w:eastAsia="Yu Mincho"/>
          <w:lang w:val="en-US" w:eastAsia="en-US"/>
        </w:rPr>
        <w:t xml:space="preserve"> at Cho Ray hospital was 62.5 years old, </w:t>
      </w:r>
      <w:r w:rsidRPr="00DD69A8">
        <w:rPr>
          <w:rFonts w:eastAsia="Yu Mincho"/>
          <w:i/>
          <w:iCs/>
          <w:lang w:val="en-US" w:eastAsia="en-US"/>
        </w:rPr>
        <w:t xml:space="preserve">Ngoc </w:t>
      </w:r>
      <w:proofErr w:type="spellStart"/>
      <w:r w:rsidRPr="00DD69A8">
        <w:rPr>
          <w:rFonts w:eastAsia="Yu Mincho"/>
          <w:i/>
          <w:iCs/>
          <w:lang w:val="en-US" w:eastAsia="en-US"/>
        </w:rPr>
        <w:t>LB</w:t>
      </w:r>
      <w:proofErr w:type="spellEnd"/>
      <w:r w:rsidRPr="00DD69A8">
        <w:rPr>
          <w:rFonts w:eastAsia="Yu Mincho"/>
          <w:lang w:val="en-US" w:eastAsia="en-US"/>
        </w:rPr>
        <w:t xml:space="preserve"> et al.</w:t>
      </w:r>
      <w:r w:rsidRPr="00DD69A8">
        <w:rPr>
          <w:rFonts w:eastAsia="Yu Mincho"/>
          <w:vertAlign w:val="superscript"/>
          <w:lang w:val="en-US" w:eastAsia="en-US"/>
        </w:rPr>
        <w:t>(7)</w:t>
      </w:r>
      <w:r w:rsidRPr="00DD69A8">
        <w:rPr>
          <w:rFonts w:eastAsia="Yu Mincho"/>
          <w:lang w:val="en-US" w:eastAsia="en-US"/>
        </w:rPr>
        <w:t xml:space="preserve"> at Cho Ray hospital was 53.4 years old, the results were quite similar. According to US </w:t>
      </w:r>
      <w:proofErr w:type="gramStart"/>
      <w:r w:rsidRPr="00DD69A8">
        <w:rPr>
          <w:rFonts w:eastAsia="Yu Mincho"/>
          <w:lang w:val="en-US" w:eastAsia="en-US"/>
        </w:rPr>
        <w:t>statistics,</w:t>
      </w:r>
      <w:r w:rsidRPr="00DD69A8">
        <w:rPr>
          <w:rFonts w:eastAsia="Yu Mincho"/>
          <w:vertAlign w:val="superscript"/>
          <w:lang w:val="en-US" w:eastAsia="en-US"/>
        </w:rPr>
        <w:t>(</w:t>
      </w:r>
      <w:proofErr w:type="gramEnd"/>
      <w:r w:rsidRPr="00DD69A8">
        <w:rPr>
          <w:rFonts w:eastAsia="Yu Mincho"/>
          <w:vertAlign w:val="superscript"/>
          <w:lang w:val="en-US" w:eastAsia="en-US"/>
        </w:rPr>
        <w:t>8)</w:t>
      </w:r>
      <w:r w:rsidRPr="00DD69A8">
        <w:rPr>
          <w:rFonts w:eastAsia="Yu Mincho"/>
          <w:lang w:val="en-US" w:eastAsia="en-US"/>
        </w:rPr>
        <w:t xml:space="preserve"> the median age of multiple myeloma was 70.28% from 65 to 74, and 35% was &lt; 65 years. Similarly, the European study also found the mean age of multiple myeloma to be 70 years, with 35-40% being older than 75 </w:t>
      </w:r>
      <w:proofErr w:type="gramStart"/>
      <w:r w:rsidRPr="00DD69A8">
        <w:rPr>
          <w:rFonts w:eastAsia="Yu Mincho"/>
          <w:lang w:val="en-US" w:eastAsia="en-US"/>
        </w:rPr>
        <w:t>years.</w:t>
      </w:r>
      <w:r w:rsidRPr="00DD69A8">
        <w:rPr>
          <w:rFonts w:eastAsia="Yu Mincho"/>
          <w:vertAlign w:val="superscript"/>
          <w:lang w:val="en-US" w:eastAsia="en-US"/>
        </w:rPr>
        <w:t>(</w:t>
      </w:r>
      <w:proofErr w:type="gramEnd"/>
      <w:r w:rsidRPr="00DD69A8">
        <w:rPr>
          <w:rFonts w:eastAsia="Yu Mincho"/>
          <w:vertAlign w:val="superscript"/>
          <w:lang w:val="en-US" w:eastAsia="en-US"/>
        </w:rPr>
        <w:t>9)</w:t>
      </w:r>
      <w:r w:rsidRPr="00DD69A8">
        <w:rPr>
          <w:rFonts w:eastAsia="Yu Mincho"/>
          <w:lang w:val="en-US" w:eastAsia="en-US"/>
        </w:rPr>
        <w:t xml:space="preserve"> The current study found that the average age was lower, and the age of high concentration was also younger, about 55 to 64 years old, accounting for 46%. </w:t>
      </w:r>
    </w:p>
    <w:p w14:paraId="4D79EA9A"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The older population pattern can explain it in European and American countries or it may be that in Vietnam people are perhaps more interested in health, so they should go to the doctor and detect diseases earlier. Another reason is that the hospital site of the study is a specialized one; elderly patients often have co-morbidities and weak health, they will choose general hospitals with Hematology Department for examination and treatment.</w:t>
      </w:r>
    </w:p>
    <w:p w14:paraId="5929F4BA"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In most of the domestic and international studies, the male-female ratio is recorded (the ratio of male to female is 1.1/1 to 2:1), for example, 1.42:1 in the study of </w:t>
      </w:r>
      <w:r w:rsidRPr="00DD69A8">
        <w:rPr>
          <w:rFonts w:eastAsia="Yu Mincho"/>
          <w:i/>
          <w:iCs/>
          <w:lang w:val="en-US" w:eastAsia="en-US"/>
        </w:rPr>
        <w:t xml:space="preserve">Kaustubh </w:t>
      </w:r>
      <w:proofErr w:type="gramStart"/>
      <w:r w:rsidRPr="00DD69A8">
        <w:rPr>
          <w:rFonts w:eastAsia="Yu Mincho"/>
          <w:i/>
          <w:iCs/>
          <w:lang w:val="en-US" w:eastAsia="en-US"/>
        </w:rPr>
        <w:t>Bora</w:t>
      </w:r>
      <w:r w:rsidRPr="00DD69A8">
        <w:rPr>
          <w:rFonts w:eastAsia="Yu Mincho"/>
          <w:vertAlign w:val="superscript"/>
          <w:lang w:val="en-US" w:eastAsia="en-US"/>
        </w:rPr>
        <w:t>(</w:t>
      </w:r>
      <w:proofErr w:type="gramEnd"/>
      <w:r w:rsidRPr="00DD69A8">
        <w:rPr>
          <w:rFonts w:eastAsia="Yu Mincho"/>
          <w:vertAlign w:val="superscript"/>
          <w:lang w:val="en-US" w:eastAsia="en-US"/>
        </w:rPr>
        <w:t>10)</w:t>
      </w:r>
      <w:r w:rsidRPr="00DD69A8">
        <w:rPr>
          <w:rFonts w:eastAsia="Yu Mincho"/>
          <w:lang w:val="en-US" w:eastAsia="en-US"/>
        </w:rPr>
        <w:t xml:space="preserve"> in India, and 1.18:1 in the study of </w:t>
      </w:r>
      <w:r w:rsidRPr="00DD69A8">
        <w:rPr>
          <w:rFonts w:eastAsia="Yu Mincho"/>
          <w:i/>
          <w:iCs/>
          <w:lang w:val="en-US" w:eastAsia="en-US"/>
        </w:rPr>
        <w:t xml:space="preserve">Lee </w:t>
      </w:r>
      <w:proofErr w:type="spellStart"/>
      <w:r w:rsidRPr="00DD69A8">
        <w:rPr>
          <w:rFonts w:eastAsia="Yu Mincho"/>
          <w:i/>
          <w:iCs/>
          <w:lang w:val="en-US" w:eastAsia="en-US"/>
        </w:rPr>
        <w:t>BH</w:t>
      </w:r>
      <w:proofErr w:type="spellEnd"/>
      <w:r w:rsidRPr="00DD69A8">
        <w:rPr>
          <w:rFonts w:eastAsia="Yu Mincho"/>
          <w:lang w:val="en-US" w:eastAsia="en-US"/>
        </w:rPr>
        <w:t xml:space="preserve"> et al.</w:t>
      </w:r>
      <w:r w:rsidRPr="00DD69A8">
        <w:rPr>
          <w:rFonts w:eastAsia="Yu Mincho"/>
          <w:vertAlign w:val="superscript"/>
          <w:lang w:val="en-US" w:eastAsia="en-US"/>
        </w:rPr>
        <w:t>(11)</w:t>
      </w:r>
      <w:r w:rsidRPr="00DD69A8">
        <w:rPr>
          <w:rFonts w:eastAsia="Yu Mincho"/>
          <w:lang w:val="en-US" w:eastAsia="en-US"/>
        </w:rPr>
        <w:t xml:space="preserve"> in Korea. However, also were recognized studies with the opposite ratio such as the study by author </w:t>
      </w:r>
      <w:r w:rsidRPr="00DD69A8">
        <w:rPr>
          <w:rFonts w:eastAsia="Yu Mincho"/>
          <w:i/>
          <w:iCs/>
          <w:lang w:val="en-US" w:eastAsia="en-US"/>
        </w:rPr>
        <w:t xml:space="preserve">García De </w:t>
      </w:r>
      <w:proofErr w:type="spellStart"/>
      <w:r w:rsidRPr="00DD69A8">
        <w:rPr>
          <w:rFonts w:eastAsia="Yu Mincho"/>
          <w:i/>
          <w:iCs/>
          <w:lang w:val="en-US" w:eastAsia="en-US"/>
        </w:rPr>
        <w:t>Veas</w:t>
      </w:r>
      <w:proofErr w:type="spellEnd"/>
      <w:r w:rsidRPr="00DD69A8">
        <w:rPr>
          <w:rFonts w:eastAsia="Yu Mincho"/>
          <w:i/>
          <w:iCs/>
          <w:lang w:val="en-US" w:eastAsia="en-US"/>
        </w:rPr>
        <w:t xml:space="preserve"> </w:t>
      </w:r>
      <w:proofErr w:type="gramStart"/>
      <w:r w:rsidRPr="00DD69A8">
        <w:rPr>
          <w:rFonts w:eastAsia="Yu Mincho"/>
          <w:i/>
          <w:iCs/>
          <w:lang w:val="en-US" w:eastAsia="en-US"/>
        </w:rPr>
        <w:t>Silva</w:t>
      </w:r>
      <w:r w:rsidRPr="00DD69A8">
        <w:rPr>
          <w:rFonts w:eastAsia="Yu Mincho"/>
          <w:vertAlign w:val="superscript"/>
          <w:lang w:val="en-US" w:eastAsia="en-US"/>
        </w:rPr>
        <w:t>(</w:t>
      </w:r>
      <w:proofErr w:type="gramEnd"/>
      <w:r w:rsidRPr="00DD69A8">
        <w:rPr>
          <w:rFonts w:eastAsia="Yu Mincho"/>
          <w:vertAlign w:val="superscript"/>
          <w:lang w:val="en-US" w:eastAsia="en-US"/>
        </w:rPr>
        <w:t>5)</w:t>
      </w:r>
      <w:r w:rsidRPr="00DD69A8">
        <w:rPr>
          <w:rFonts w:eastAsia="Yu Mincho"/>
          <w:lang w:val="en-US" w:eastAsia="en-US"/>
        </w:rPr>
        <w:t xml:space="preserve"> in Spain, which recorded female dominance over men with a ratio of 1:1.2, or domestic studies such as in the hospital Cho Ray Institute with a male: female ratio of 0.73:1, and in the current study, the female ratio was also slightly dominant over male (1.1:1). The sex ratio also fluctuates widely across studies. This may be due to the different sample sizes across them.</w:t>
      </w:r>
    </w:p>
    <w:p w14:paraId="399E7B28"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In current study, IgG-type multiple myeloma accounted for the highest rate (76.7%), followed by IgA, IgM with the rate of 21.7%, and 1.6%, respectively, and light chain multiple myeloma accounting for 19%. No cases of </w:t>
      </w:r>
      <w:proofErr w:type="spellStart"/>
      <w:r w:rsidRPr="00DD69A8">
        <w:rPr>
          <w:rFonts w:eastAsia="Yu Mincho"/>
          <w:lang w:val="en-US" w:eastAsia="en-US"/>
        </w:rPr>
        <w:t>IgD</w:t>
      </w:r>
      <w:proofErr w:type="spellEnd"/>
      <w:r w:rsidRPr="00DD69A8">
        <w:rPr>
          <w:rFonts w:eastAsia="Yu Mincho"/>
          <w:lang w:val="en-US" w:eastAsia="en-US"/>
        </w:rPr>
        <w:t xml:space="preserve"> or </w:t>
      </w:r>
      <w:proofErr w:type="spellStart"/>
      <w:r w:rsidRPr="00DD69A8">
        <w:rPr>
          <w:rFonts w:eastAsia="Yu Mincho"/>
          <w:lang w:val="en-US" w:eastAsia="en-US"/>
        </w:rPr>
        <w:t>IgE</w:t>
      </w:r>
      <w:proofErr w:type="spellEnd"/>
      <w:r w:rsidRPr="00DD69A8">
        <w:rPr>
          <w:rFonts w:eastAsia="Yu Mincho"/>
          <w:lang w:val="en-US" w:eastAsia="en-US"/>
        </w:rPr>
        <w:t xml:space="preserve"> were recorded. This rate compared with previous studies on multiple myeloma in Vietnam by the authors </w:t>
      </w:r>
      <w:r w:rsidRPr="00DD69A8">
        <w:rPr>
          <w:rFonts w:eastAsia="Yu Mincho"/>
          <w:i/>
          <w:iCs/>
          <w:lang w:val="en-US" w:eastAsia="en-US"/>
        </w:rPr>
        <w:t xml:space="preserve">Suzanne </w:t>
      </w:r>
      <w:proofErr w:type="spellStart"/>
      <w:proofErr w:type="gramStart"/>
      <w:r w:rsidRPr="00DD69A8">
        <w:rPr>
          <w:rFonts w:eastAsia="Yu Mincho"/>
          <w:i/>
          <w:iCs/>
          <w:lang w:val="en-US" w:eastAsia="en-US"/>
        </w:rPr>
        <w:t>MCB</w:t>
      </w:r>
      <w:proofErr w:type="spellEnd"/>
      <w:r w:rsidRPr="00DD69A8">
        <w:rPr>
          <w:rFonts w:eastAsia="Yu Mincho"/>
          <w:vertAlign w:val="superscript"/>
          <w:lang w:val="en-US" w:eastAsia="en-US"/>
        </w:rPr>
        <w:t>(</w:t>
      </w:r>
      <w:proofErr w:type="gramEnd"/>
      <w:r w:rsidRPr="00DD69A8">
        <w:rPr>
          <w:rFonts w:eastAsia="Yu Mincho"/>
          <w:vertAlign w:val="superscript"/>
          <w:lang w:val="en-US" w:eastAsia="en-US"/>
        </w:rPr>
        <w:t>6)</w:t>
      </w:r>
      <w:r w:rsidRPr="00DD69A8">
        <w:rPr>
          <w:rFonts w:eastAsia="Yu Mincho"/>
          <w:lang w:val="en-US" w:eastAsia="en-US"/>
        </w:rPr>
        <w:t xml:space="preserve"> and </w:t>
      </w:r>
      <w:proofErr w:type="spellStart"/>
      <w:r w:rsidRPr="00DD69A8">
        <w:rPr>
          <w:rFonts w:eastAsia="Yu Mincho"/>
          <w:i/>
          <w:iCs/>
          <w:lang w:val="en-US" w:eastAsia="en-US"/>
        </w:rPr>
        <w:t>Khanh</w:t>
      </w:r>
      <w:proofErr w:type="spellEnd"/>
      <w:r w:rsidRPr="00DD69A8">
        <w:rPr>
          <w:rFonts w:eastAsia="Yu Mincho"/>
          <w:i/>
          <w:iCs/>
          <w:lang w:val="en-US" w:eastAsia="en-US"/>
        </w:rPr>
        <w:t xml:space="preserve"> BQ</w:t>
      </w:r>
      <w:r w:rsidRPr="00DD69A8">
        <w:rPr>
          <w:rFonts w:eastAsia="Yu Mincho"/>
          <w:lang w:val="en-US" w:eastAsia="en-US"/>
        </w:rPr>
        <w:t>,</w:t>
      </w:r>
      <w:r w:rsidRPr="00DD69A8">
        <w:rPr>
          <w:rFonts w:eastAsia="Yu Mincho"/>
          <w:vertAlign w:val="superscript"/>
          <w:lang w:val="en-US" w:eastAsia="en-US"/>
        </w:rPr>
        <w:t>(12)</w:t>
      </w:r>
      <w:r w:rsidRPr="00DD69A8">
        <w:rPr>
          <w:rFonts w:eastAsia="Yu Mincho"/>
          <w:lang w:val="en-US" w:eastAsia="en-US"/>
        </w:rPr>
        <w:t xml:space="preserve"> somewhat similar to IgG accounted for the highest percentage (78.26% and 73.8%). Compared with the world study of </w:t>
      </w:r>
      <w:r w:rsidRPr="00DD69A8">
        <w:rPr>
          <w:rFonts w:eastAsia="Yu Mincho"/>
          <w:i/>
          <w:iCs/>
          <w:lang w:val="en-US" w:eastAsia="en-US"/>
        </w:rPr>
        <w:t xml:space="preserve">García De </w:t>
      </w:r>
      <w:proofErr w:type="spellStart"/>
      <w:r w:rsidRPr="00DD69A8">
        <w:rPr>
          <w:rFonts w:eastAsia="Yu Mincho"/>
          <w:i/>
          <w:iCs/>
          <w:lang w:val="en-US" w:eastAsia="en-US"/>
        </w:rPr>
        <w:t>Veas</w:t>
      </w:r>
      <w:proofErr w:type="spellEnd"/>
      <w:r w:rsidRPr="00DD69A8">
        <w:rPr>
          <w:rFonts w:eastAsia="Yu Mincho"/>
          <w:i/>
          <w:iCs/>
          <w:lang w:val="en-US" w:eastAsia="en-US"/>
        </w:rPr>
        <w:t xml:space="preserve"> </w:t>
      </w:r>
      <w:proofErr w:type="gramStart"/>
      <w:r w:rsidRPr="00DD69A8">
        <w:rPr>
          <w:rFonts w:eastAsia="Yu Mincho"/>
          <w:i/>
          <w:iCs/>
          <w:lang w:val="en-US" w:eastAsia="en-US"/>
        </w:rPr>
        <w:t>Silva</w:t>
      </w:r>
      <w:r w:rsidRPr="00DD69A8">
        <w:rPr>
          <w:rFonts w:eastAsia="Yu Mincho"/>
          <w:vertAlign w:val="superscript"/>
          <w:lang w:val="en-US" w:eastAsia="en-US"/>
        </w:rPr>
        <w:t>(</w:t>
      </w:r>
      <w:proofErr w:type="gramEnd"/>
      <w:r w:rsidRPr="00DD69A8">
        <w:rPr>
          <w:rFonts w:eastAsia="Yu Mincho"/>
          <w:vertAlign w:val="superscript"/>
          <w:lang w:val="en-US" w:eastAsia="en-US"/>
        </w:rPr>
        <w:t>5)</w:t>
      </w:r>
      <w:r w:rsidRPr="00DD69A8">
        <w:rPr>
          <w:rFonts w:eastAsia="Yu Mincho"/>
          <w:lang w:val="en-US" w:eastAsia="en-US"/>
        </w:rPr>
        <w:t xml:space="preserve"> also recorded the proportion of IgG, IgA, </w:t>
      </w:r>
      <w:proofErr w:type="spellStart"/>
      <w:r w:rsidRPr="00DD69A8">
        <w:rPr>
          <w:rFonts w:eastAsia="Yu Mincho"/>
          <w:lang w:val="en-US" w:eastAsia="en-US"/>
        </w:rPr>
        <w:t>IgD</w:t>
      </w:r>
      <w:proofErr w:type="spellEnd"/>
      <w:r w:rsidRPr="00DD69A8">
        <w:rPr>
          <w:rFonts w:eastAsia="Yu Mincho"/>
          <w:lang w:val="en-US" w:eastAsia="en-US"/>
        </w:rPr>
        <w:t xml:space="preserve"> and IgM respectively 64%, 34%, 2%, 1%, and other studies</w:t>
      </w:r>
      <w:r w:rsidRPr="00DD69A8">
        <w:rPr>
          <w:rFonts w:eastAsia="Yu Mincho"/>
          <w:vertAlign w:val="superscript"/>
          <w:lang w:val="en-US" w:eastAsia="en-US"/>
        </w:rPr>
        <w:t>(13,14)</w:t>
      </w:r>
      <w:r w:rsidRPr="00DD69A8">
        <w:rPr>
          <w:rFonts w:eastAsia="Yu Mincho"/>
          <w:lang w:val="en-US" w:eastAsia="en-US"/>
        </w:rPr>
        <w:t xml:space="preserve"> also had similar results with IgG and IgA - dominant multiple myeloma.</w:t>
      </w:r>
    </w:p>
    <w:p w14:paraId="0FE7837A"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lastRenderedPageBreak/>
        <w:t xml:space="preserve">Multiple myeloma has not been shown to be associated with disease prognosis, but one study found that IgA was often associated with high-risk genetic abnormalities and </w:t>
      </w:r>
      <w:proofErr w:type="spellStart"/>
      <w:r w:rsidRPr="00DD69A8">
        <w:rPr>
          <w:rFonts w:eastAsia="Yu Mincho"/>
          <w:lang w:val="en-US" w:eastAsia="en-US"/>
        </w:rPr>
        <w:t>extramyeloid</w:t>
      </w:r>
      <w:proofErr w:type="spellEnd"/>
      <w:r w:rsidRPr="00DD69A8">
        <w:rPr>
          <w:rFonts w:eastAsia="Yu Mincho"/>
          <w:lang w:val="en-US" w:eastAsia="en-US"/>
        </w:rPr>
        <w:t xml:space="preserve"> disease so it may be related to poor </w:t>
      </w:r>
      <w:proofErr w:type="gramStart"/>
      <w:r w:rsidRPr="00DD69A8">
        <w:rPr>
          <w:rFonts w:eastAsia="Yu Mincho"/>
          <w:lang w:val="en-US" w:eastAsia="en-US"/>
        </w:rPr>
        <w:t>prognosis.</w:t>
      </w:r>
      <w:r w:rsidRPr="00DD69A8">
        <w:rPr>
          <w:rFonts w:eastAsia="Yu Mincho"/>
          <w:vertAlign w:val="superscript"/>
          <w:lang w:val="en-US" w:eastAsia="en-US"/>
        </w:rPr>
        <w:t>(</w:t>
      </w:r>
      <w:proofErr w:type="gramEnd"/>
      <w:r w:rsidRPr="00DD69A8">
        <w:rPr>
          <w:rFonts w:eastAsia="Yu Mincho"/>
          <w:vertAlign w:val="superscript"/>
          <w:lang w:val="en-US" w:eastAsia="en-US"/>
        </w:rPr>
        <w:t>15)</w:t>
      </w:r>
      <w:r w:rsidRPr="00DD69A8">
        <w:rPr>
          <w:rFonts w:eastAsia="Yu Mincho"/>
          <w:lang w:val="en-US" w:eastAsia="en-US"/>
        </w:rPr>
        <w:t xml:space="preserve"> Observing 13 IgA patients in this study, 1 patient had a del(</w:t>
      </w:r>
      <w:proofErr w:type="spellStart"/>
      <w:r w:rsidRPr="00DD69A8">
        <w:rPr>
          <w:rFonts w:eastAsia="Yu Mincho"/>
          <w:lang w:val="en-US" w:eastAsia="en-US"/>
        </w:rPr>
        <w:t>17p</w:t>
      </w:r>
      <w:proofErr w:type="spellEnd"/>
      <w:r w:rsidRPr="00DD69A8">
        <w:rPr>
          <w:rFonts w:eastAsia="Yu Mincho"/>
          <w:lang w:val="en-US" w:eastAsia="en-US"/>
        </w:rPr>
        <w:t>) mutation with poor prognosis, 6 patients had a t(4;14) translocation of intermediate risk.</w:t>
      </w:r>
    </w:p>
    <w:p w14:paraId="3FAB9FE9"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The study noted that 98.6% of patients had abnormal sFLCR at the time of diagnosis. Similar results with the ratio of 339/360 (94%) were reported by the author </w:t>
      </w:r>
      <w:proofErr w:type="spellStart"/>
      <w:r w:rsidRPr="00DD69A8">
        <w:rPr>
          <w:rFonts w:eastAsia="Yu Mincho"/>
          <w:i/>
          <w:iCs/>
          <w:lang w:val="en-US" w:eastAsia="en-US"/>
        </w:rPr>
        <w:t>Moustafa</w:t>
      </w:r>
      <w:proofErr w:type="spellEnd"/>
      <w:r w:rsidRPr="00DD69A8">
        <w:rPr>
          <w:rFonts w:eastAsia="Yu Mincho"/>
          <w:vertAlign w:val="superscript"/>
          <w:lang w:val="en-US" w:eastAsia="en-US"/>
        </w:rPr>
        <w:t xml:space="preserve"> </w:t>
      </w:r>
      <w:proofErr w:type="gramStart"/>
      <w:r w:rsidRPr="00DD69A8">
        <w:rPr>
          <w:rFonts w:eastAsia="Yu Mincho"/>
          <w:lang w:val="en-US" w:eastAsia="en-US"/>
        </w:rPr>
        <w:t>et al.,</w:t>
      </w:r>
      <w:r w:rsidRPr="00DD69A8">
        <w:rPr>
          <w:rFonts w:eastAsia="Yu Mincho"/>
          <w:vertAlign w:val="superscript"/>
          <w:lang w:val="en-US" w:eastAsia="en-US"/>
        </w:rPr>
        <w:t>(</w:t>
      </w:r>
      <w:proofErr w:type="gramEnd"/>
      <w:r w:rsidRPr="00DD69A8">
        <w:rPr>
          <w:rFonts w:eastAsia="Yu Mincho"/>
          <w:vertAlign w:val="superscript"/>
          <w:lang w:val="en-US" w:eastAsia="en-US"/>
        </w:rPr>
        <w:t>16)</w:t>
      </w:r>
      <w:r w:rsidRPr="00DD69A8">
        <w:rPr>
          <w:rFonts w:eastAsia="Yu Mincho"/>
          <w:lang w:val="en-US" w:eastAsia="en-US"/>
        </w:rPr>
        <w:t xml:space="preserve"> and 98% in the study of the author </w:t>
      </w:r>
      <w:r w:rsidRPr="00DD69A8">
        <w:rPr>
          <w:rFonts w:eastAsia="Yu Mincho"/>
          <w:i/>
          <w:iCs/>
          <w:lang w:val="en-US" w:eastAsia="en-US"/>
        </w:rPr>
        <w:t>García De Silva</w:t>
      </w:r>
      <w:r w:rsidRPr="00DD69A8">
        <w:rPr>
          <w:rFonts w:eastAsia="Yu Mincho"/>
          <w:lang w:val="en-US" w:eastAsia="en-US"/>
        </w:rPr>
        <w:t>.</w:t>
      </w:r>
      <w:r w:rsidRPr="00DD69A8">
        <w:rPr>
          <w:rFonts w:eastAsia="Yu Mincho"/>
          <w:vertAlign w:val="superscript"/>
          <w:lang w:val="en-US" w:eastAsia="en-US"/>
        </w:rPr>
        <w:t>(5)</w:t>
      </w:r>
      <w:r w:rsidRPr="00DD69A8">
        <w:rPr>
          <w:rFonts w:eastAsia="Yu Mincho"/>
          <w:lang w:val="en-US" w:eastAsia="en-US"/>
        </w:rPr>
        <w:t xml:space="preserve"> This indicates that there was still a small percentage of patients with normal sFLCR at the time of diagnosis, so that serum electrophoresis (protein electrophoresis and immunofixation electrophoresis) remains a more sensitive technique for diagnosing </w:t>
      </w:r>
      <w:r w:rsidRPr="00DD69A8">
        <w:rPr>
          <w:rFonts w:eastAsia="Calibri"/>
          <w:lang w:val="en-US" w:eastAsia="en-US"/>
        </w:rPr>
        <w:t>intact immunoglobulin multiple myeloma</w:t>
      </w:r>
      <w:r w:rsidRPr="00DD69A8">
        <w:rPr>
          <w:rFonts w:eastAsia="Yu Mincho"/>
          <w:lang w:val="en-US" w:eastAsia="en-US"/>
        </w:rPr>
        <w:t xml:space="preserve">. However, serum </w:t>
      </w:r>
      <w:proofErr w:type="spellStart"/>
      <w:r w:rsidRPr="00DD69A8">
        <w:rPr>
          <w:rFonts w:eastAsia="Yu Mincho"/>
          <w:lang w:val="en-US" w:eastAsia="en-US"/>
        </w:rPr>
        <w:t>FLC</w:t>
      </w:r>
      <w:proofErr w:type="spellEnd"/>
      <w:r w:rsidRPr="00DD69A8">
        <w:rPr>
          <w:rFonts w:eastAsia="Yu Mincho"/>
          <w:lang w:val="en-US" w:eastAsia="en-US"/>
        </w:rPr>
        <w:t xml:space="preserve"> quantification was more sensitive than serum electrophoresis in diagnosing multiple light chain </w:t>
      </w:r>
      <w:proofErr w:type="gramStart"/>
      <w:r w:rsidRPr="00DD69A8">
        <w:rPr>
          <w:rFonts w:eastAsia="Yu Mincho"/>
          <w:lang w:val="en-US" w:eastAsia="en-US"/>
        </w:rPr>
        <w:t>myeloma.</w:t>
      </w:r>
      <w:r w:rsidRPr="00DD69A8">
        <w:rPr>
          <w:rFonts w:eastAsia="Yu Mincho"/>
          <w:vertAlign w:val="superscript"/>
          <w:lang w:val="en-US" w:eastAsia="en-US"/>
        </w:rPr>
        <w:t>(</w:t>
      </w:r>
      <w:proofErr w:type="gramEnd"/>
      <w:r w:rsidRPr="00DD69A8">
        <w:rPr>
          <w:rFonts w:eastAsia="Yu Mincho"/>
          <w:vertAlign w:val="superscript"/>
          <w:lang w:val="en-US" w:eastAsia="en-US"/>
        </w:rPr>
        <w:t>17)</w:t>
      </w:r>
      <w:r w:rsidRPr="00DD69A8">
        <w:rPr>
          <w:rFonts w:eastAsia="Yu Mincho"/>
          <w:lang w:val="en-US" w:eastAsia="en-US"/>
        </w:rPr>
        <w:t xml:space="preserve"> </w:t>
      </w:r>
    </w:p>
    <w:p w14:paraId="36227726" w14:textId="77777777" w:rsidR="00DD69A8" w:rsidRPr="00DD69A8" w:rsidRDefault="00DD69A8" w:rsidP="00DD69A8">
      <w:pPr>
        <w:spacing w:line="360" w:lineRule="auto"/>
        <w:jc w:val="both"/>
        <w:rPr>
          <w:rFonts w:eastAsia="Yu Mincho"/>
          <w:vertAlign w:val="superscript"/>
          <w:lang w:val="en-US" w:eastAsia="en-US"/>
        </w:rPr>
      </w:pPr>
      <w:r w:rsidRPr="00DD69A8">
        <w:rPr>
          <w:rFonts w:eastAsia="Yu Mincho"/>
          <w:lang w:val="en-US" w:eastAsia="en-US"/>
        </w:rPr>
        <w:t xml:space="preserve">Therefore, if multiple myeloma was suspected, the optimal test was still a combination of serum electrophoresis and quantitative serum </w:t>
      </w:r>
      <w:proofErr w:type="spellStart"/>
      <w:r w:rsidRPr="00DD69A8">
        <w:rPr>
          <w:rFonts w:eastAsia="Yu Mincho"/>
          <w:lang w:val="en-US" w:eastAsia="en-US"/>
        </w:rPr>
        <w:t>FLC</w:t>
      </w:r>
      <w:proofErr w:type="spellEnd"/>
      <w:r w:rsidRPr="00DD69A8">
        <w:rPr>
          <w:rFonts w:eastAsia="Yu Mincho"/>
          <w:lang w:val="en-US" w:eastAsia="en-US"/>
        </w:rPr>
        <w:t xml:space="preserve"> test. On the other hand, the incidence of urinary Bence Jones protein reported in previous studies in patients with </w:t>
      </w:r>
      <w:r w:rsidRPr="00DD69A8">
        <w:rPr>
          <w:rFonts w:eastAsia="Calibri"/>
          <w:lang w:val="en-US" w:eastAsia="en-US"/>
        </w:rPr>
        <w:t>intact immunoglobulin multiple myeloma</w:t>
      </w:r>
      <w:r w:rsidRPr="00DD69A8">
        <w:rPr>
          <w:rFonts w:eastAsia="Yu Mincho"/>
          <w:lang w:val="en-US" w:eastAsia="en-US"/>
        </w:rPr>
        <w:t xml:space="preserve"> was only 60</w:t>
      </w:r>
      <w:proofErr w:type="gramStart"/>
      <w:r w:rsidRPr="00DD69A8">
        <w:rPr>
          <w:rFonts w:eastAsia="Yu Mincho"/>
          <w:lang w:val="en-US" w:eastAsia="en-US"/>
        </w:rPr>
        <w:t>%,</w:t>
      </w:r>
      <w:r w:rsidRPr="00DD69A8">
        <w:rPr>
          <w:rFonts w:eastAsia="Yu Mincho"/>
          <w:vertAlign w:val="superscript"/>
          <w:lang w:val="en-US" w:eastAsia="en-US"/>
        </w:rPr>
        <w:t>(</w:t>
      </w:r>
      <w:proofErr w:type="gramEnd"/>
      <w:r w:rsidRPr="00DD69A8">
        <w:rPr>
          <w:rFonts w:eastAsia="Yu Mincho"/>
          <w:vertAlign w:val="superscript"/>
          <w:lang w:val="en-US" w:eastAsia="en-US"/>
        </w:rPr>
        <w:t>18)</w:t>
      </w:r>
      <w:r w:rsidRPr="00DD69A8">
        <w:rPr>
          <w:rFonts w:eastAsia="Yu Mincho"/>
          <w:lang w:val="en-US" w:eastAsia="en-US"/>
        </w:rPr>
        <w:t xml:space="preserve"> with a higher rate of serum </w:t>
      </w:r>
      <w:proofErr w:type="spellStart"/>
      <w:r w:rsidRPr="00DD69A8">
        <w:rPr>
          <w:rFonts w:eastAsia="Yu Mincho"/>
          <w:lang w:val="en-US" w:eastAsia="en-US"/>
        </w:rPr>
        <w:t>FLC</w:t>
      </w:r>
      <w:proofErr w:type="spellEnd"/>
      <w:r w:rsidRPr="00DD69A8">
        <w:rPr>
          <w:rFonts w:eastAsia="Yu Mincho"/>
          <w:lang w:val="en-US" w:eastAsia="en-US"/>
        </w:rPr>
        <w:t xml:space="preserve"> detection in urine was dependent on renal efficiency in </w:t>
      </w:r>
      <w:proofErr w:type="spellStart"/>
      <w:r w:rsidRPr="00DD69A8">
        <w:rPr>
          <w:rFonts w:eastAsia="Yu Mincho"/>
          <w:lang w:val="en-US" w:eastAsia="en-US"/>
        </w:rPr>
        <w:t>FLC</w:t>
      </w:r>
      <w:proofErr w:type="spellEnd"/>
      <w:r w:rsidRPr="00DD69A8">
        <w:rPr>
          <w:rFonts w:eastAsia="Yu Mincho"/>
          <w:lang w:val="en-US" w:eastAsia="en-US"/>
        </w:rPr>
        <w:t xml:space="preserve"> metabolism, so serum </w:t>
      </w:r>
      <w:proofErr w:type="spellStart"/>
      <w:r w:rsidRPr="00DD69A8">
        <w:rPr>
          <w:rFonts w:eastAsia="Yu Mincho"/>
          <w:lang w:val="en-US" w:eastAsia="en-US"/>
        </w:rPr>
        <w:t>FLC</w:t>
      </w:r>
      <w:proofErr w:type="spellEnd"/>
      <w:r w:rsidRPr="00DD69A8">
        <w:rPr>
          <w:rFonts w:eastAsia="Yu Mincho"/>
          <w:lang w:val="en-US" w:eastAsia="en-US"/>
        </w:rPr>
        <w:t xml:space="preserve"> levels remain a more accurate marker of tumor load. Related/unrelated SFLCR has been included in the diagnostic criteria of the </w:t>
      </w:r>
      <w:proofErr w:type="spellStart"/>
      <w:proofErr w:type="gramStart"/>
      <w:r w:rsidRPr="00DD69A8">
        <w:rPr>
          <w:rFonts w:eastAsia="Yu Mincho"/>
          <w:lang w:val="en-US" w:eastAsia="en-US"/>
        </w:rPr>
        <w:t>IMWG</w:t>
      </w:r>
      <w:proofErr w:type="spellEnd"/>
      <w:r w:rsidRPr="00DD69A8">
        <w:rPr>
          <w:rFonts w:eastAsia="Yu Mincho"/>
          <w:lang w:val="en-US" w:eastAsia="en-US"/>
        </w:rPr>
        <w:t>.</w:t>
      </w:r>
      <w:r w:rsidRPr="00DD69A8">
        <w:rPr>
          <w:rFonts w:eastAsia="Yu Mincho"/>
          <w:vertAlign w:val="superscript"/>
          <w:lang w:val="en-US" w:eastAsia="en-US"/>
        </w:rPr>
        <w:t>(</w:t>
      </w:r>
      <w:proofErr w:type="gramEnd"/>
      <w:r w:rsidRPr="00DD69A8">
        <w:rPr>
          <w:rFonts w:eastAsia="Yu Mincho"/>
          <w:vertAlign w:val="superscript"/>
          <w:lang w:val="en-US" w:eastAsia="en-US"/>
        </w:rPr>
        <w:t>1)</w:t>
      </w:r>
    </w:p>
    <w:p w14:paraId="6341CDE9"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The study noted that the median sFLCR value was different at the time of diagnosis for the two light chain types. The median of sFLCR secretion λ was not significantly higher than κ were 55.6 and 39.3, sFLCR &gt; 100 was seen in 38% of cases. The values ​​are also similar to the world study, for example the common median value for all groups was 50.79 in the Spanish </w:t>
      </w:r>
      <w:proofErr w:type="gramStart"/>
      <w:r w:rsidRPr="00DD69A8">
        <w:rPr>
          <w:rFonts w:eastAsia="Yu Mincho"/>
          <w:lang w:val="en-US" w:eastAsia="en-US"/>
        </w:rPr>
        <w:t>study</w:t>
      </w:r>
      <w:r w:rsidRPr="00DD69A8">
        <w:rPr>
          <w:rFonts w:eastAsia="Yu Mincho"/>
          <w:vertAlign w:val="superscript"/>
          <w:lang w:val="en-US" w:eastAsia="en-US"/>
        </w:rPr>
        <w:t>(</w:t>
      </w:r>
      <w:proofErr w:type="gramEnd"/>
      <w:r w:rsidRPr="00DD69A8">
        <w:rPr>
          <w:rFonts w:eastAsia="Yu Mincho"/>
          <w:vertAlign w:val="superscript"/>
          <w:lang w:val="en-US" w:eastAsia="en-US"/>
        </w:rPr>
        <w:t>5)</w:t>
      </w:r>
      <w:r w:rsidRPr="00DD69A8">
        <w:rPr>
          <w:rFonts w:eastAsia="Yu Mincho"/>
          <w:lang w:val="en-US" w:eastAsia="en-US"/>
        </w:rPr>
        <w:t xml:space="preserve"> and sFLCR &gt; 100 was seen in 42.5% of the study. </w:t>
      </w:r>
      <w:proofErr w:type="spellStart"/>
      <w:r w:rsidRPr="00DD69A8">
        <w:rPr>
          <w:rFonts w:eastAsia="Yu Mincho"/>
          <w:i/>
          <w:iCs/>
          <w:lang w:val="en-US" w:eastAsia="en-US"/>
        </w:rPr>
        <w:t>Tacchetti</w:t>
      </w:r>
      <w:proofErr w:type="spellEnd"/>
      <w:r w:rsidRPr="00DD69A8">
        <w:rPr>
          <w:rFonts w:eastAsia="Yu Mincho"/>
          <w:lang w:val="en-US" w:eastAsia="en-US"/>
        </w:rPr>
        <w:t xml:space="preserve"> </w:t>
      </w:r>
      <w:proofErr w:type="gramStart"/>
      <w:r w:rsidRPr="00DD69A8">
        <w:rPr>
          <w:rFonts w:eastAsia="Yu Mincho"/>
          <w:lang w:val="en-US" w:eastAsia="en-US"/>
        </w:rPr>
        <w:t>et al.,</w:t>
      </w:r>
      <w:r w:rsidRPr="00DD69A8">
        <w:rPr>
          <w:rFonts w:eastAsia="Yu Mincho"/>
          <w:vertAlign w:val="superscript"/>
          <w:lang w:val="en-US" w:eastAsia="en-US"/>
        </w:rPr>
        <w:t>(</w:t>
      </w:r>
      <w:proofErr w:type="gramEnd"/>
      <w:r w:rsidRPr="00DD69A8">
        <w:rPr>
          <w:rFonts w:eastAsia="Yu Mincho"/>
          <w:vertAlign w:val="superscript"/>
          <w:lang w:val="en-US" w:eastAsia="en-US"/>
        </w:rPr>
        <w:t>14)</w:t>
      </w:r>
      <w:r w:rsidRPr="00DD69A8">
        <w:rPr>
          <w:rFonts w:eastAsia="Yu Mincho"/>
          <w:lang w:val="en-US" w:eastAsia="en-US"/>
        </w:rPr>
        <w:t xml:space="preserve"> 43% by </w:t>
      </w:r>
      <w:proofErr w:type="spellStart"/>
      <w:r w:rsidRPr="00DD69A8">
        <w:rPr>
          <w:rFonts w:eastAsia="Yu Mincho"/>
          <w:i/>
          <w:iCs/>
          <w:lang w:val="en-US" w:eastAsia="en-US"/>
        </w:rPr>
        <w:t>Moustafa</w:t>
      </w:r>
      <w:proofErr w:type="spellEnd"/>
      <w:r w:rsidRPr="00DD69A8">
        <w:rPr>
          <w:rFonts w:eastAsia="Yu Mincho"/>
          <w:lang w:val="en-US" w:eastAsia="en-US"/>
        </w:rPr>
        <w:t xml:space="preserve"> et al.,</w:t>
      </w:r>
      <w:r w:rsidRPr="00DD69A8">
        <w:rPr>
          <w:rFonts w:eastAsia="Yu Mincho"/>
          <w:vertAlign w:val="superscript"/>
          <w:lang w:val="en-US" w:eastAsia="en-US"/>
        </w:rPr>
        <w:t>(16)</w:t>
      </w:r>
      <w:r w:rsidRPr="00DD69A8">
        <w:rPr>
          <w:rFonts w:eastAsia="Yu Mincho"/>
          <w:lang w:val="en-US" w:eastAsia="en-US"/>
        </w:rPr>
        <w:t xml:space="preserve"> A threshold for related/unrelated sFLC &gt;100 has been included in the </w:t>
      </w:r>
      <w:proofErr w:type="spellStart"/>
      <w:r w:rsidRPr="00DD69A8">
        <w:rPr>
          <w:rFonts w:eastAsia="Yu Mincho"/>
          <w:lang w:val="en-US" w:eastAsia="en-US"/>
        </w:rPr>
        <w:t>IMWG's</w:t>
      </w:r>
      <w:proofErr w:type="spellEnd"/>
      <w:r w:rsidRPr="00DD69A8">
        <w:rPr>
          <w:rFonts w:eastAsia="Yu Mincho"/>
          <w:lang w:val="en-US" w:eastAsia="en-US"/>
        </w:rPr>
        <w:t xml:space="preserve"> diagnostic criteria in other disqualifying cases,</w:t>
      </w:r>
      <w:r w:rsidRPr="00DD69A8">
        <w:rPr>
          <w:rFonts w:eastAsia="Yu Mincho"/>
          <w:vertAlign w:val="superscript"/>
          <w:lang w:val="en-US" w:eastAsia="en-US"/>
        </w:rPr>
        <w:t>(1)</w:t>
      </w:r>
      <w:r w:rsidRPr="00DD69A8">
        <w:rPr>
          <w:rFonts w:eastAsia="Yu Mincho"/>
          <w:lang w:val="en-US" w:eastAsia="en-US"/>
        </w:rPr>
        <w:t xml:space="preserve"> so such a relatively high ratio (38%) also contributes value in the diagnosis of multiple myeloma.</w:t>
      </w:r>
    </w:p>
    <w:p w14:paraId="6E854D11"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On the other hand, in the current study, the median value of sFLC secretion κ was lower than λ with values ​​of 390 and 633.5, respectively; this difference was also recorded in </w:t>
      </w:r>
      <w:r w:rsidRPr="00DD69A8">
        <w:rPr>
          <w:rFonts w:eastAsia="Yu Mincho"/>
          <w:i/>
          <w:iCs/>
          <w:lang w:val="en-US" w:eastAsia="en-US"/>
        </w:rPr>
        <w:t>García De Silva</w:t>
      </w:r>
      <w:r w:rsidRPr="00DD69A8">
        <w:rPr>
          <w:rFonts w:eastAsia="Yu Mincho"/>
          <w:lang w:val="en-US" w:eastAsia="en-US"/>
        </w:rPr>
        <w:t xml:space="preserve">'s study with a corresponding value of 254 and </w:t>
      </w:r>
      <w:proofErr w:type="gramStart"/>
      <w:r w:rsidRPr="00DD69A8">
        <w:rPr>
          <w:rFonts w:eastAsia="Yu Mincho"/>
          <w:lang w:val="en-US" w:eastAsia="en-US"/>
        </w:rPr>
        <w:t>453,</w:t>
      </w:r>
      <w:r w:rsidRPr="00DD69A8">
        <w:rPr>
          <w:rFonts w:eastAsia="Yu Mincho"/>
          <w:vertAlign w:val="superscript"/>
          <w:lang w:val="en-US" w:eastAsia="en-US"/>
        </w:rPr>
        <w:t>(</w:t>
      </w:r>
      <w:proofErr w:type="gramEnd"/>
      <w:r w:rsidRPr="00DD69A8">
        <w:rPr>
          <w:rFonts w:eastAsia="Yu Mincho"/>
          <w:vertAlign w:val="superscript"/>
          <w:lang w:val="en-US" w:eastAsia="en-US"/>
        </w:rPr>
        <w:t>5)</w:t>
      </w:r>
      <w:r w:rsidRPr="00DD69A8">
        <w:rPr>
          <w:rFonts w:eastAsia="Yu Mincho"/>
          <w:lang w:val="en-US" w:eastAsia="en-US"/>
        </w:rPr>
        <w:t xml:space="preserve"> and 400.6 and 500 by </w:t>
      </w:r>
      <w:proofErr w:type="spellStart"/>
      <w:r w:rsidRPr="00DD69A8">
        <w:rPr>
          <w:rFonts w:eastAsia="Yu Mincho"/>
          <w:i/>
          <w:iCs/>
          <w:lang w:val="en-US" w:eastAsia="en-US"/>
        </w:rPr>
        <w:t>Dejoie</w:t>
      </w:r>
      <w:proofErr w:type="spellEnd"/>
      <w:r w:rsidRPr="00DD69A8">
        <w:rPr>
          <w:rFonts w:eastAsia="Yu Mincho"/>
          <w:i/>
          <w:iCs/>
          <w:lang w:val="en-US" w:eastAsia="en-US"/>
        </w:rPr>
        <w:t xml:space="preserve"> T</w:t>
      </w:r>
      <w:r w:rsidRPr="00DD69A8">
        <w:rPr>
          <w:rFonts w:eastAsia="Yu Mincho"/>
          <w:lang w:val="en-US" w:eastAsia="en-US"/>
        </w:rPr>
        <w:t xml:space="preserve"> et al.</w:t>
      </w:r>
      <w:r w:rsidRPr="00DD69A8">
        <w:rPr>
          <w:rFonts w:eastAsia="Yu Mincho"/>
          <w:vertAlign w:val="superscript"/>
          <w:lang w:val="en-US" w:eastAsia="en-US"/>
        </w:rPr>
        <w:t>(19)</w:t>
      </w:r>
      <w:r w:rsidRPr="00DD69A8">
        <w:rPr>
          <w:rFonts w:eastAsia="Yu Mincho"/>
          <w:lang w:val="en-US" w:eastAsia="en-US"/>
        </w:rPr>
        <w:t xml:space="preserve"> Contrary to the above 2 studies, </w:t>
      </w:r>
      <w:proofErr w:type="spellStart"/>
      <w:r w:rsidRPr="00DD69A8">
        <w:rPr>
          <w:rFonts w:eastAsia="Yu Mincho"/>
          <w:i/>
          <w:iCs/>
          <w:lang w:val="en-US" w:eastAsia="en-US"/>
        </w:rPr>
        <w:t>Tacchetti</w:t>
      </w:r>
      <w:proofErr w:type="spellEnd"/>
      <w:r w:rsidRPr="00DD69A8">
        <w:rPr>
          <w:rFonts w:eastAsia="Yu Mincho"/>
          <w:lang w:val="en-US" w:eastAsia="en-US"/>
        </w:rPr>
        <w:t xml:space="preserve"> et al.</w:t>
      </w:r>
      <w:r w:rsidRPr="00DD69A8">
        <w:rPr>
          <w:rFonts w:eastAsia="Yu Mincho"/>
          <w:vertAlign w:val="superscript"/>
          <w:lang w:val="en-US" w:eastAsia="en-US"/>
        </w:rPr>
        <w:t>(14)</w:t>
      </w:r>
      <w:r w:rsidRPr="00DD69A8">
        <w:rPr>
          <w:rFonts w:eastAsia="Yu Mincho"/>
          <w:lang w:val="en-US" w:eastAsia="en-US"/>
        </w:rPr>
        <w:t xml:space="preserve"> recorded a ratio of κ greater than λ, 720 and 480 respectively. This difference </w:t>
      </w:r>
      <w:r w:rsidRPr="00DD69A8">
        <w:rPr>
          <w:rFonts w:eastAsia="Yu Mincho"/>
          <w:lang w:val="en-US" w:eastAsia="en-US"/>
        </w:rPr>
        <w:lastRenderedPageBreak/>
        <w:t xml:space="preserve">may be explained by differences in the study population with different numbers of patients with multiple light chain myeloma. In </w:t>
      </w:r>
      <w:proofErr w:type="spellStart"/>
      <w:r w:rsidRPr="00DD69A8">
        <w:rPr>
          <w:rFonts w:eastAsia="Yu Mincho"/>
          <w:i/>
          <w:iCs/>
          <w:lang w:val="en-US" w:eastAsia="en-US"/>
        </w:rPr>
        <w:t>Tacchetti's</w:t>
      </w:r>
      <w:proofErr w:type="spellEnd"/>
      <w:r w:rsidRPr="00DD69A8">
        <w:rPr>
          <w:rFonts w:eastAsia="Yu Mincho"/>
          <w:lang w:val="en-US" w:eastAsia="en-US"/>
        </w:rPr>
        <w:t xml:space="preserve"> </w:t>
      </w:r>
      <w:proofErr w:type="gramStart"/>
      <w:r w:rsidRPr="00DD69A8">
        <w:rPr>
          <w:rFonts w:eastAsia="Yu Mincho"/>
          <w:lang w:val="en-US" w:eastAsia="en-US"/>
        </w:rPr>
        <w:t>study,</w:t>
      </w:r>
      <w:r w:rsidRPr="00DD69A8">
        <w:rPr>
          <w:rFonts w:eastAsia="Yu Mincho"/>
          <w:vertAlign w:val="superscript"/>
          <w:lang w:val="en-US" w:eastAsia="en-US"/>
        </w:rPr>
        <w:t>(</w:t>
      </w:r>
      <w:proofErr w:type="gramEnd"/>
      <w:r w:rsidRPr="00DD69A8">
        <w:rPr>
          <w:rFonts w:eastAsia="Yu Mincho"/>
          <w:vertAlign w:val="superscript"/>
          <w:lang w:val="en-US" w:eastAsia="en-US"/>
        </w:rPr>
        <w:t>14)</w:t>
      </w:r>
      <w:r w:rsidRPr="00DD69A8">
        <w:rPr>
          <w:rFonts w:eastAsia="Yu Mincho"/>
          <w:lang w:val="en-US" w:eastAsia="en-US"/>
        </w:rPr>
        <w:t xml:space="preserve"> the rate of multiple light chain myeloma that secreted was more than (64% and 33%), in contrast in the current study with the rate of light chain myeloma that secreted κ less than λ, respectively, 36%-64% and 46%-54% by </w:t>
      </w:r>
      <w:r w:rsidRPr="00DD69A8">
        <w:rPr>
          <w:rFonts w:eastAsia="Yu Mincho"/>
          <w:i/>
          <w:iCs/>
          <w:lang w:val="en-US" w:eastAsia="en-US"/>
        </w:rPr>
        <w:t>García De Silva</w:t>
      </w:r>
      <w:r w:rsidRPr="00DD69A8">
        <w:rPr>
          <w:rFonts w:eastAsia="Yu Mincho"/>
          <w:lang w:val="en-US" w:eastAsia="en-US"/>
        </w:rPr>
        <w:t>.</w:t>
      </w:r>
      <w:r w:rsidRPr="00DD69A8">
        <w:rPr>
          <w:rFonts w:eastAsia="Yu Mincho"/>
          <w:vertAlign w:val="superscript"/>
          <w:lang w:val="en-US" w:eastAsia="en-US"/>
        </w:rPr>
        <w:t>(5)</w:t>
      </w:r>
      <w:r w:rsidRPr="00DD69A8">
        <w:rPr>
          <w:rFonts w:eastAsia="Yu Mincho"/>
          <w:lang w:val="en-US" w:eastAsia="en-US"/>
        </w:rPr>
        <w:t xml:space="preserve"> It may be summarized that, in multiple light chain myeloma, very high secreted sFLC concentrations affect the overall ratio when combined with sFLC in </w:t>
      </w:r>
      <w:r w:rsidRPr="00DD69A8">
        <w:rPr>
          <w:rFonts w:eastAsia="Calibri"/>
          <w:lang w:val="en-US" w:eastAsia="en-US"/>
        </w:rPr>
        <w:t>intact immunoglobulin multiple myeloma</w:t>
      </w:r>
      <w:r w:rsidRPr="00DD69A8">
        <w:rPr>
          <w:rFonts w:eastAsia="Yu Mincho"/>
          <w:lang w:val="en-US" w:eastAsia="en-US"/>
        </w:rPr>
        <w:t xml:space="preserve">. This is further confirmed when observed in the current study, the median of both light chains is 1500 which is much higher than the overall median. This is also evident in </w:t>
      </w:r>
      <w:proofErr w:type="spellStart"/>
      <w:r w:rsidRPr="00DD69A8">
        <w:rPr>
          <w:rFonts w:eastAsia="Yu Mincho"/>
          <w:i/>
          <w:iCs/>
          <w:lang w:val="en-US" w:eastAsia="en-US"/>
        </w:rPr>
        <w:t>Dejoie's</w:t>
      </w:r>
      <w:proofErr w:type="spellEnd"/>
      <w:r w:rsidRPr="00DD69A8">
        <w:rPr>
          <w:rFonts w:eastAsia="Yu Mincho"/>
          <w:lang w:val="en-US" w:eastAsia="en-US"/>
        </w:rPr>
        <w:t xml:space="preserve"> </w:t>
      </w:r>
      <w:proofErr w:type="gramStart"/>
      <w:r w:rsidRPr="00DD69A8">
        <w:rPr>
          <w:rFonts w:eastAsia="Yu Mincho"/>
          <w:lang w:val="en-US" w:eastAsia="en-US"/>
        </w:rPr>
        <w:t>et al.</w:t>
      </w:r>
      <w:r w:rsidRPr="00DD69A8">
        <w:rPr>
          <w:rFonts w:eastAsia="Yu Mincho"/>
          <w:vertAlign w:val="superscript"/>
          <w:lang w:val="en-US" w:eastAsia="en-US"/>
        </w:rPr>
        <w:t>(</w:t>
      </w:r>
      <w:proofErr w:type="gramEnd"/>
      <w:r w:rsidRPr="00DD69A8">
        <w:rPr>
          <w:rFonts w:eastAsia="Yu Mincho"/>
          <w:vertAlign w:val="superscript"/>
          <w:lang w:val="en-US" w:eastAsia="en-US"/>
        </w:rPr>
        <w:t>19)</w:t>
      </w:r>
      <w:r w:rsidRPr="00DD69A8">
        <w:rPr>
          <w:rFonts w:eastAsia="Yu Mincho"/>
          <w:lang w:val="en-US" w:eastAsia="en-US"/>
        </w:rPr>
        <w:t xml:space="preserve"> study with a median associated sFLC up to 1890 mg/L, who also highlighted multiple myeloma nephropathy caused by excessive accumulation of sFLC in the renal tubules. Therefore, it is necessary to take appropriate preventive measures for renal failure in these subjects, especially in light chain multiple myeloma.</w:t>
      </w:r>
    </w:p>
    <w:p w14:paraId="0AEA74D3"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The current study only correlated high sFLCR with increased M protein status. Many international studies also recorded a high correlation of sFLCR (sFLCR ≥ 47) with renal failure, increased β2M and osteolytic lesions, plasma cell concentrations in bone marrow, did not record the correlation of sFLCR with deficiency blood, increased calcium, decreased albumin, increased LDH and stage 3 ISS in </w:t>
      </w:r>
      <w:r w:rsidRPr="00DD69A8">
        <w:rPr>
          <w:rFonts w:eastAsia="Yu Mincho"/>
          <w:i/>
          <w:iCs/>
          <w:lang w:val="en-US" w:eastAsia="en-US"/>
        </w:rPr>
        <w:t>García De Silva's</w:t>
      </w:r>
      <w:r w:rsidRPr="00DD69A8">
        <w:rPr>
          <w:rFonts w:eastAsia="Yu Mincho"/>
          <w:lang w:val="en-US" w:eastAsia="en-US"/>
        </w:rPr>
        <w:t xml:space="preserve"> study.</w:t>
      </w:r>
      <w:r w:rsidRPr="00DD69A8">
        <w:rPr>
          <w:rFonts w:eastAsia="Yu Mincho"/>
          <w:vertAlign w:val="superscript"/>
          <w:lang w:val="en-US" w:eastAsia="en-US"/>
        </w:rPr>
        <w:t>(5)</w:t>
      </w:r>
      <w:r w:rsidRPr="00DD69A8">
        <w:rPr>
          <w:rFonts w:eastAsia="Yu Mincho"/>
          <w:lang w:val="en-US" w:eastAsia="en-US"/>
        </w:rPr>
        <w:t xml:space="preserve"> Previous studies also demonstrated results that correlated sFLCR at diagnosis with creatinine, HGB, calcium, β2M, DS and ISS stages, with no correlation with age, sex, and albumin of by </w:t>
      </w:r>
      <w:proofErr w:type="spellStart"/>
      <w:r w:rsidRPr="00DD69A8">
        <w:rPr>
          <w:rFonts w:eastAsia="Yu Mincho"/>
          <w:i/>
          <w:iCs/>
          <w:lang w:val="en-US" w:eastAsia="en-US"/>
        </w:rPr>
        <w:t>Sthaneshwar</w:t>
      </w:r>
      <w:proofErr w:type="spellEnd"/>
      <w:r w:rsidRPr="00DD69A8">
        <w:rPr>
          <w:rFonts w:eastAsia="Yu Mincho"/>
          <w:lang w:val="en-US" w:eastAsia="en-US"/>
        </w:rPr>
        <w:t xml:space="preserve"> et al.</w:t>
      </w:r>
      <w:r w:rsidRPr="00DD69A8">
        <w:rPr>
          <w:rFonts w:eastAsia="Yu Mincho"/>
          <w:vertAlign w:val="superscript"/>
          <w:lang w:val="en-US" w:eastAsia="en-US"/>
        </w:rPr>
        <w:t>(20)</w:t>
      </w:r>
      <w:r w:rsidRPr="00DD69A8">
        <w:rPr>
          <w:rFonts w:eastAsia="Yu Mincho"/>
          <w:lang w:val="en-US" w:eastAsia="en-US"/>
        </w:rPr>
        <w:t xml:space="preserve"> Similar in this author's study showed that sFLCR level was significantly negatively correlated with HGB concentration, positively correlated with bone marrow plasma cell count, LDH level, C-reactive protein (CRP) level and β2M. The study further highlighted that, among patients with multiple myeloma, sFLC levels showed a significant negative correlation with </w:t>
      </w:r>
      <w:proofErr w:type="spellStart"/>
      <w:r w:rsidRPr="00DD69A8">
        <w:rPr>
          <w:rFonts w:eastAsia="Yu Mincho"/>
          <w:lang w:val="en-US" w:eastAsia="en-US"/>
        </w:rPr>
        <w:t>PLT</w:t>
      </w:r>
      <w:proofErr w:type="spellEnd"/>
      <w:r w:rsidRPr="00DD69A8">
        <w:rPr>
          <w:rFonts w:eastAsia="Yu Mincho"/>
          <w:lang w:val="en-US" w:eastAsia="en-US"/>
        </w:rPr>
        <w:t xml:space="preserve"> levels, for light chain λ, sFLC levels were strongly correlated with creatinine levels and 24-hour urine protein. Neither the κ nor the λ light chains were correlated with serum albumin levels. This difference may be due to the difference in the sFLCR cutoff points to separate the 2 groups of high and low sFLCR and the difference in sample size between studies. </w:t>
      </w:r>
    </w:p>
    <w:p w14:paraId="5F9068A4"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Although the results of the studies are not uniform, the common point across the studies is that there is a correlation between sFLCR and β2M concentration, ISS, renal failure and plasma cell count in bone marrow. It is the correlation with these parameters that reinforces the prognostic value of sFLCR because </w:t>
      </w:r>
      <w:r w:rsidRPr="00DD69A8">
        <w:rPr>
          <w:rFonts w:eastAsia="Yu Mincho"/>
          <w:lang w:val="en-US" w:eastAsia="en-US"/>
        </w:rPr>
        <w:lastRenderedPageBreak/>
        <w:t>they reflect a higher tumor burden (ISS, β2, bone marrow plasma cell count), worsening renal function and more advanced disease (LDH, CA).</w:t>
      </w:r>
    </w:p>
    <w:p w14:paraId="420B38F0" w14:textId="77777777" w:rsidR="00DD69A8" w:rsidRPr="00DD69A8" w:rsidRDefault="00DD69A8" w:rsidP="00DD69A8">
      <w:pPr>
        <w:spacing w:line="360" w:lineRule="auto"/>
        <w:jc w:val="both"/>
        <w:rPr>
          <w:rFonts w:eastAsia="Yu Mincho"/>
          <w:lang w:val="en-US" w:eastAsia="en-US"/>
        </w:rPr>
      </w:pPr>
      <w:r w:rsidRPr="00DD69A8">
        <w:rPr>
          <w:rFonts w:eastAsia="Yu Mincho"/>
          <w:lang w:val="en-US" w:eastAsia="en-US"/>
        </w:rPr>
        <w:t xml:space="preserve">Through a study on 74 patients who met the selection criteria for the study (including 60 </w:t>
      </w:r>
      <w:r w:rsidRPr="00DD69A8">
        <w:rPr>
          <w:rFonts w:eastAsia="Calibri"/>
          <w:lang w:val="en-US" w:eastAsia="en-US"/>
        </w:rPr>
        <w:t>intact immunoglobulin multiple myeloma</w:t>
      </w:r>
      <w:r w:rsidRPr="00DD69A8">
        <w:rPr>
          <w:rFonts w:eastAsia="Yu Mincho"/>
          <w:lang w:val="en-US" w:eastAsia="en-US"/>
        </w:rPr>
        <w:t xml:space="preserve"> and 14 light-chain multiple myeloma), the current study found that only a tiny percentage (1/74) of patients with multiple myeloma have a normal sFLCR at the time of diagnosis. Median sFLCR κ and λ were 39.3 and 55.6, respectively. Correlation of high sFLC with increased serum M protein was noted. No high correlation of sFLCR with creatinine, β2M and osteolytic lesions, anemia, percentage of plasma cells in bone marrow and ISS was observed.</w:t>
      </w:r>
    </w:p>
    <w:p w14:paraId="43943577" w14:textId="77777777" w:rsidR="00DD69A8" w:rsidRPr="00DD69A8" w:rsidRDefault="00DD69A8" w:rsidP="00DD69A8">
      <w:pPr>
        <w:spacing w:line="360" w:lineRule="auto"/>
        <w:jc w:val="both"/>
        <w:rPr>
          <w:rFonts w:eastAsia="Yu Mincho"/>
          <w:lang w:val="en-US" w:eastAsia="en-US"/>
        </w:rPr>
      </w:pPr>
    </w:p>
    <w:p w14:paraId="27D3EDC0" w14:textId="77777777" w:rsidR="00DD69A8" w:rsidRPr="00DD69A8" w:rsidRDefault="00DD69A8" w:rsidP="00DD69A8">
      <w:pPr>
        <w:widowControl w:val="0"/>
        <w:spacing w:line="360" w:lineRule="auto"/>
        <w:jc w:val="center"/>
        <w:rPr>
          <w:b/>
          <w:lang w:val="en-US" w:eastAsia="en-US"/>
        </w:rPr>
      </w:pPr>
    </w:p>
    <w:p w14:paraId="08549839" w14:textId="77777777" w:rsidR="00DD69A8" w:rsidRPr="00DD69A8" w:rsidRDefault="00DD69A8" w:rsidP="00DD69A8">
      <w:pPr>
        <w:widowControl w:val="0"/>
        <w:spacing w:line="360" w:lineRule="auto"/>
        <w:jc w:val="center"/>
        <w:rPr>
          <w:b/>
          <w:sz w:val="32"/>
          <w:szCs w:val="32"/>
          <w:lang w:val="es-CU" w:eastAsia="en-US"/>
        </w:rPr>
      </w:pPr>
      <w:proofErr w:type="spellStart"/>
      <w:r w:rsidRPr="00DD69A8">
        <w:rPr>
          <w:b/>
          <w:sz w:val="32"/>
          <w:szCs w:val="32"/>
          <w:lang w:val="es-CU" w:eastAsia="en-US"/>
        </w:rPr>
        <w:t>BIBLIOGRAPHIC</w:t>
      </w:r>
      <w:proofErr w:type="spellEnd"/>
      <w:r w:rsidRPr="00DD69A8">
        <w:rPr>
          <w:b/>
          <w:sz w:val="32"/>
          <w:szCs w:val="32"/>
          <w:lang w:val="es-CU" w:eastAsia="en-US"/>
        </w:rPr>
        <w:t xml:space="preserve"> </w:t>
      </w:r>
      <w:proofErr w:type="spellStart"/>
      <w:r w:rsidRPr="00DD69A8">
        <w:rPr>
          <w:b/>
          <w:sz w:val="32"/>
          <w:szCs w:val="32"/>
          <w:lang w:val="es-CU" w:eastAsia="en-US"/>
        </w:rPr>
        <w:t>REFERENCES</w:t>
      </w:r>
      <w:proofErr w:type="spellEnd"/>
    </w:p>
    <w:p w14:paraId="30608266" w14:textId="77777777" w:rsidR="00DD69A8" w:rsidRPr="00DD69A8" w:rsidRDefault="00DD69A8" w:rsidP="00DD69A8">
      <w:pPr>
        <w:spacing w:line="360" w:lineRule="auto"/>
        <w:rPr>
          <w:lang w:val="en-US" w:eastAsia="en-US"/>
        </w:rPr>
      </w:pPr>
      <w:r w:rsidRPr="00DD69A8">
        <w:rPr>
          <w:lang w:val="es-CU" w:eastAsia="en-US"/>
        </w:rPr>
        <w:t xml:space="preserve">1. </w:t>
      </w:r>
      <w:proofErr w:type="spellStart"/>
      <w:r w:rsidRPr="00DD69A8">
        <w:rPr>
          <w:lang w:val="es-CU" w:eastAsia="en-US"/>
        </w:rPr>
        <w:t>Rajkumar</w:t>
      </w:r>
      <w:proofErr w:type="spellEnd"/>
      <w:r w:rsidRPr="00DD69A8">
        <w:rPr>
          <w:lang w:val="es-CU" w:eastAsia="en-US"/>
        </w:rPr>
        <w:t xml:space="preserve"> SV, </w:t>
      </w:r>
      <w:proofErr w:type="spellStart"/>
      <w:r w:rsidRPr="00DD69A8">
        <w:rPr>
          <w:lang w:val="es-CU" w:eastAsia="en-US"/>
        </w:rPr>
        <w:t>Dimopoulos</w:t>
      </w:r>
      <w:proofErr w:type="spellEnd"/>
      <w:r w:rsidRPr="00DD69A8">
        <w:rPr>
          <w:lang w:val="es-CU" w:eastAsia="en-US"/>
        </w:rPr>
        <w:t xml:space="preserve"> MA, </w:t>
      </w:r>
      <w:proofErr w:type="spellStart"/>
      <w:r w:rsidRPr="00DD69A8">
        <w:rPr>
          <w:lang w:val="es-CU" w:eastAsia="en-US"/>
        </w:rPr>
        <w:t>Palumbo</w:t>
      </w:r>
      <w:proofErr w:type="spellEnd"/>
      <w:r w:rsidRPr="00DD69A8">
        <w:rPr>
          <w:lang w:val="es-CU" w:eastAsia="en-US"/>
        </w:rPr>
        <w:t xml:space="preserve"> A, Blade J, </w:t>
      </w:r>
      <w:proofErr w:type="spellStart"/>
      <w:r w:rsidRPr="00DD69A8">
        <w:rPr>
          <w:lang w:val="es-CU" w:eastAsia="en-US"/>
        </w:rPr>
        <w:t>Merlini</w:t>
      </w:r>
      <w:proofErr w:type="spellEnd"/>
      <w:r w:rsidRPr="00DD69A8">
        <w:rPr>
          <w:lang w:val="es-CU" w:eastAsia="en-US"/>
        </w:rPr>
        <w:t xml:space="preserve"> G, Mateos MV, et al. </w:t>
      </w:r>
      <w:r w:rsidRPr="00DD69A8">
        <w:rPr>
          <w:lang w:val="en-US" w:eastAsia="en-US"/>
        </w:rPr>
        <w:t>International Myeloma Working Group updated criteria for the diagnosis of multiple myeloma. Lancet Oncol. 2014 [access: 01/11/2014]; 15(12</w:t>
      </w:r>
      <w:proofErr w:type="gramStart"/>
      <w:r w:rsidRPr="00DD69A8">
        <w:rPr>
          <w:lang w:val="en-US" w:eastAsia="en-US"/>
        </w:rPr>
        <w:t>):</w:t>
      </w:r>
      <w:proofErr w:type="spellStart"/>
      <w:r w:rsidRPr="00DD69A8">
        <w:rPr>
          <w:lang w:val="en-US" w:eastAsia="en-US"/>
        </w:rPr>
        <w:t>e</w:t>
      </w:r>
      <w:proofErr w:type="gramEnd"/>
      <w:r w:rsidRPr="00DD69A8">
        <w:rPr>
          <w:lang w:val="en-US" w:eastAsia="en-US"/>
        </w:rPr>
        <w:t>538</w:t>
      </w:r>
      <w:proofErr w:type="spellEnd"/>
      <w:r w:rsidRPr="00DD69A8">
        <w:rPr>
          <w:lang w:val="en-US" w:eastAsia="en-US"/>
        </w:rPr>
        <w:t xml:space="preserve">-48. Available at: </w:t>
      </w:r>
      <w:hyperlink r:id="rId15" w:history="1">
        <w:r w:rsidRPr="00DD69A8">
          <w:rPr>
            <w:color w:val="0563C1"/>
            <w:u w:val="single"/>
            <w:lang w:val="en-US" w:eastAsia="en-US"/>
          </w:rPr>
          <w:t>https://www.sciencedirect.com/science/article/abs/pii/S1470204514704425</w:t>
        </w:r>
      </w:hyperlink>
      <w:r w:rsidRPr="00DD69A8">
        <w:rPr>
          <w:lang w:val="en-US" w:eastAsia="en-US"/>
        </w:rPr>
        <w:t xml:space="preserve"> </w:t>
      </w:r>
    </w:p>
    <w:p w14:paraId="017745AC" w14:textId="77777777" w:rsidR="00DD69A8" w:rsidRPr="00DD69A8" w:rsidRDefault="00DD69A8" w:rsidP="00DD69A8">
      <w:pPr>
        <w:spacing w:line="360" w:lineRule="auto"/>
        <w:rPr>
          <w:lang w:val="en-US" w:eastAsia="en-US"/>
        </w:rPr>
      </w:pPr>
      <w:r w:rsidRPr="00DD69A8">
        <w:rPr>
          <w:lang w:val="en-US" w:eastAsia="en-US"/>
        </w:rPr>
        <w:t xml:space="preserve">2. Kyle RA, Rajkumar SV. Erratum: Criteria for diagnosis, staging, risk stratification and response assessment of multiple myeloma. Leukemia. 2014 [access: 09/08/2014]; 28(4):980. Available at: </w:t>
      </w:r>
      <w:hyperlink r:id="rId16" w:history="1">
        <w:r w:rsidRPr="00DD69A8">
          <w:rPr>
            <w:color w:val="0563C1"/>
            <w:u w:val="single"/>
            <w:lang w:val="en-US" w:eastAsia="en-US"/>
          </w:rPr>
          <w:t>https://www.nature.com/articles/leu201411</w:t>
        </w:r>
      </w:hyperlink>
      <w:r w:rsidRPr="00DD69A8">
        <w:rPr>
          <w:lang w:val="en-US" w:eastAsia="en-US"/>
        </w:rPr>
        <w:t xml:space="preserve"> </w:t>
      </w:r>
    </w:p>
    <w:p w14:paraId="57B876F4" w14:textId="77777777" w:rsidR="00DD69A8" w:rsidRPr="00DD69A8" w:rsidRDefault="00DD69A8" w:rsidP="00DD69A8">
      <w:pPr>
        <w:spacing w:line="360" w:lineRule="auto"/>
        <w:rPr>
          <w:lang w:val="en-US" w:eastAsia="en-US"/>
        </w:rPr>
      </w:pPr>
      <w:r w:rsidRPr="00DD69A8">
        <w:rPr>
          <w:lang w:val="en-US" w:eastAsia="en-US"/>
        </w:rPr>
        <w:t xml:space="preserve">3. </w:t>
      </w:r>
      <w:proofErr w:type="spellStart"/>
      <w:r w:rsidRPr="00DD69A8">
        <w:rPr>
          <w:lang w:val="en-US" w:eastAsia="en-US"/>
        </w:rPr>
        <w:t>Dimopoulos</w:t>
      </w:r>
      <w:proofErr w:type="spellEnd"/>
      <w:r w:rsidRPr="00DD69A8">
        <w:rPr>
          <w:lang w:val="en-US" w:eastAsia="en-US"/>
        </w:rPr>
        <w:t xml:space="preserve"> M, Kyle R, </w:t>
      </w:r>
      <w:proofErr w:type="spellStart"/>
      <w:r w:rsidRPr="00DD69A8">
        <w:rPr>
          <w:lang w:val="en-US" w:eastAsia="en-US"/>
        </w:rPr>
        <w:t>Fermand</w:t>
      </w:r>
      <w:proofErr w:type="spellEnd"/>
      <w:r w:rsidRPr="00DD69A8">
        <w:rPr>
          <w:lang w:val="en-US" w:eastAsia="en-US"/>
        </w:rPr>
        <w:t xml:space="preserve"> JP, Rajkumar SV, San MJ, </w:t>
      </w:r>
      <w:proofErr w:type="spellStart"/>
      <w:r w:rsidRPr="00DD69A8">
        <w:rPr>
          <w:lang w:val="en-US" w:eastAsia="en-US"/>
        </w:rPr>
        <w:t>Chanan</w:t>
      </w:r>
      <w:proofErr w:type="spellEnd"/>
      <w:r w:rsidRPr="00DD69A8">
        <w:rPr>
          <w:lang w:val="en-US" w:eastAsia="en-US"/>
        </w:rPr>
        <w:t xml:space="preserve">-Khan A, et al. Consensus recommendations for standard investigative workup: report of the International Myeloma Workshop Consensus Panel 3. Blood, The Journal of the American Society of Hematology. 2011 [access: 05/05/2011]; 117(18):4701-5. Available at: </w:t>
      </w:r>
      <w:hyperlink r:id="rId17" w:history="1">
        <w:r w:rsidRPr="00DD69A8">
          <w:rPr>
            <w:color w:val="0563C1"/>
            <w:u w:val="single"/>
            <w:lang w:val="en-US" w:eastAsia="en-US"/>
          </w:rPr>
          <w:t>https://ashpublications.org/blood/article/117/18/4701/21362/Consensus-recommendations-for-standard</w:t>
        </w:r>
      </w:hyperlink>
      <w:r w:rsidRPr="00DD69A8">
        <w:rPr>
          <w:lang w:val="en-US" w:eastAsia="en-US"/>
        </w:rPr>
        <w:t xml:space="preserve"> </w:t>
      </w:r>
    </w:p>
    <w:p w14:paraId="5AB85392" w14:textId="77777777" w:rsidR="00DD69A8" w:rsidRPr="00DD69A8" w:rsidRDefault="00DD69A8" w:rsidP="00DD69A8">
      <w:pPr>
        <w:spacing w:line="360" w:lineRule="auto"/>
        <w:rPr>
          <w:lang w:val="es-CU" w:eastAsia="en-US"/>
        </w:rPr>
      </w:pPr>
      <w:r w:rsidRPr="00DD69A8">
        <w:rPr>
          <w:lang w:val="en-US" w:eastAsia="en-US"/>
        </w:rPr>
        <w:t xml:space="preserve">4. Jenner E. Serum free light chains in clinical laboratory diagnostics. </w:t>
      </w:r>
      <w:proofErr w:type="spellStart"/>
      <w:r w:rsidRPr="00DD69A8">
        <w:rPr>
          <w:lang w:val="es-CU" w:eastAsia="en-US"/>
        </w:rPr>
        <w:t>Clinica</w:t>
      </w:r>
      <w:proofErr w:type="spellEnd"/>
      <w:r w:rsidRPr="00DD69A8">
        <w:rPr>
          <w:lang w:val="es-CU" w:eastAsia="en-US"/>
        </w:rPr>
        <w:t xml:space="preserve"> </w:t>
      </w:r>
      <w:proofErr w:type="spellStart"/>
      <w:r w:rsidRPr="00DD69A8">
        <w:rPr>
          <w:lang w:val="es-CU" w:eastAsia="en-US"/>
        </w:rPr>
        <w:t>Chimica</w:t>
      </w:r>
      <w:proofErr w:type="spellEnd"/>
      <w:r w:rsidRPr="00DD69A8">
        <w:rPr>
          <w:lang w:val="es-CU" w:eastAsia="en-US"/>
        </w:rPr>
        <w:t xml:space="preserve"> Acta. 2014 [</w:t>
      </w:r>
      <w:proofErr w:type="spellStart"/>
      <w:r w:rsidRPr="00DD69A8">
        <w:rPr>
          <w:lang w:val="es-CU" w:eastAsia="en-US"/>
        </w:rPr>
        <w:t>access</w:t>
      </w:r>
      <w:proofErr w:type="spellEnd"/>
      <w:r w:rsidRPr="00DD69A8">
        <w:rPr>
          <w:lang w:val="es-CU" w:eastAsia="en-US"/>
        </w:rPr>
        <w:t xml:space="preserve">: 01/01/2014]; 427:15-20. </w:t>
      </w:r>
      <w:proofErr w:type="spellStart"/>
      <w:r w:rsidRPr="00DD69A8">
        <w:rPr>
          <w:lang w:val="es-CU" w:eastAsia="en-US"/>
        </w:rPr>
        <w:t>Available</w:t>
      </w:r>
      <w:proofErr w:type="spellEnd"/>
      <w:r w:rsidRPr="00DD69A8">
        <w:rPr>
          <w:lang w:val="es-CU" w:eastAsia="en-US"/>
        </w:rPr>
        <w:t xml:space="preserve"> at: </w:t>
      </w:r>
      <w:hyperlink r:id="rId18" w:history="1">
        <w:r w:rsidRPr="00DD69A8">
          <w:rPr>
            <w:color w:val="0563C1"/>
            <w:u w:val="single"/>
            <w:lang w:val="es-CU" w:eastAsia="en-US"/>
          </w:rPr>
          <w:t>https://www.sciencedirect.com/science/article/pii/S0009898113003288</w:t>
        </w:r>
      </w:hyperlink>
      <w:r w:rsidRPr="00DD69A8">
        <w:rPr>
          <w:lang w:val="es-CU" w:eastAsia="en-US"/>
        </w:rPr>
        <w:t xml:space="preserve"> </w:t>
      </w:r>
    </w:p>
    <w:p w14:paraId="6C6AE0AD" w14:textId="77777777" w:rsidR="00DD69A8" w:rsidRPr="00DD69A8" w:rsidRDefault="00DD69A8" w:rsidP="00DD69A8">
      <w:pPr>
        <w:spacing w:line="360" w:lineRule="auto"/>
        <w:rPr>
          <w:lang w:val="en-US" w:eastAsia="en-US"/>
        </w:rPr>
      </w:pPr>
      <w:r w:rsidRPr="00DD69A8">
        <w:rPr>
          <w:lang w:val="es-CU" w:eastAsia="en-US"/>
        </w:rPr>
        <w:t xml:space="preserve">5. García de Veas Silva </w:t>
      </w:r>
      <w:proofErr w:type="spellStart"/>
      <w:r w:rsidRPr="00DD69A8">
        <w:rPr>
          <w:lang w:val="es-CU" w:eastAsia="en-US"/>
        </w:rPr>
        <w:t>JL</w:t>
      </w:r>
      <w:proofErr w:type="spellEnd"/>
      <w:r w:rsidRPr="00DD69A8">
        <w:rPr>
          <w:lang w:val="es-CU" w:eastAsia="en-US"/>
        </w:rPr>
        <w:t xml:space="preserve">, Bermudo </w:t>
      </w:r>
      <w:proofErr w:type="spellStart"/>
      <w:r w:rsidRPr="00DD69A8">
        <w:rPr>
          <w:lang w:val="es-CU" w:eastAsia="en-US"/>
        </w:rPr>
        <w:t>GC</w:t>
      </w:r>
      <w:proofErr w:type="spellEnd"/>
      <w:r w:rsidRPr="00DD69A8">
        <w:rPr>
          <w:lang w:val="es-CU" w:eastAsia="en-US"/>
        </w:rPr>
        <w:t xml:space="preserve">, Menéndez VP, Rojas Noboa </w:t>
      </w:r>
      <w:proofErr w:type="spellStart"/>
      <w:r w:rsidRPr="00DD69A8">
        <w:rPr>
          <w:lang w:val="es-CU" w:eastAsia="en-US"/>
        </w:rPr>
        <w:t>JC</w:t>
      </w:r>
      <w:proofErr w:type="spellEnd"/>
      <w:r w:rsidRPr="00DD69A8">
        <w:rPr>
          <w:lang w:val="es-CU" w:eastAsia="en-US"/>
        </w:rPr>
        <w:t xml:space="preserve">, </w:t>
      </w:r>
      <w:proofErr w:type="spellStart"/>
      <w:r w:rsidRPr="00DD69A8">
        <w:rPr>
          <w:lang w:val="es-CU" w:eastAsia="en-US"/>
        </w:rPr>
        <w:t>Kestler</w:t>
      </w:r>
      <w:proofErr w:type="spellEnd"/>
      <w:r w:rsidRPr="00DD69A8">
        <w:rPr>
          <w:lang w:val="es-CU" w:eastAsia="en-US"/>
        </w:rPr>
        <w:t xml:space="preserve"> K, Duro MR. </w:t>
      </w:r>
      <w:r w:rsidRPr="00DD69A8">
        <w:rPr>
          <w:lang w:val="en-US" w:eastAsia="en-US"/>
        </w:rPr>
        <w:t xml:space="preserve">Prognostic value of serum free light chains measurements in multiple myeloma patients. </w:t>
      </w:r>
      <w:proofErr w:type="spellStart"/>
      <w:r w:rsidRPr="00DD69A8">
        <w:rPr>
          <w:lang w:val="en-US" w:eastAsia="en-US"/>
        </w:rPr>
        <w:t>PloS</w:t>
      </w:r>
      <w:proofErr w:type="spellEnd"/>
      <w:r w:rsidRPr="00DD69A8">
        <w:rPr>
          <w:lang w:val="en-US" w:eastAsia="en-US"/>
        </w:rPr>
        <w:t xml:space="preserve"> one. </w:t>
      </w:r>
      <w:r w:rsidRPr="00DD69A8">
        <w:rPr>
          <w:lang w:val="en-US" w:eastAsia="en-US"/>
        </w:rPr>
        <w:lastRenderedPageBreak/>
        <w:t>2014 [access: 28/11/2016]; 11(11</w:t>
      </w:r>
      <w:proofErr w:type="gramStart"/>
      <w:r w:rsidRPr="00DD69A8">
        <w:rPr>
          <w:lang w:val="en-US" w:eastAsia="en-US"/>
        </w:rPr>
        <w:t>):</w:t>
      </w:r>
      <w:proofErr w:type="spellStart"/>
      <w:r w:rsidRPr="00DD69A8">
        <w:rPr>
          <w:lang w:val="en-US" w:eastAsia="en-US"/>
        </w:rPr>
        <w:t>e</w:t>
      </w:r>
      <w:proofErr w:type="gramEnd"/>
      <w:r w:rsidRPr="00DD69A8">
        <w:rPr>
          <w:lang w:val="en-US" w:eastAsia="en-US"/>
        </w:rPr>
        <w:t>0166841</w:t>
      </w:r>
      <w:proofErr w:type="spellEnd"/>
      <w:r w:rsidRPr="00DD69A8">
        <w:rPr>
          <w:lang w:val="en-US" w:eastAsia="en-US"/>
        </w:rPr>
        <w:t xml:space="preserve">. Available at: </w:t>
      </w:r>
      <w:hyperlink r:id="rId19" w:history="1">
        <w:r w:rsidRPr="00DD69A8">
          <w:rPr>
            <w:color w:val="0563C1"/>
            <w:u w:val="single"/>
            <w:lang w:val="en-US" w:eastAsia="en-US"/>
          </w:rPr>
          <w:t>https://journals.plos.org/plosone/article?id=10.1371/journal.pone.0166841</w:t>
        </w:r>
      </w:hyperlink>
      <w:r w:rsidRPr="00DD69A8">
        <w:rPr>
          <w:lang w:val="en-US" w:eastAsia="en-US"/>
        </w:rPr>
        <w:t xml:space="preserve"> </w:t>
      </w:r>
    </w:p>
    <w:p w14:paraId="5B3A487A" w14:textId="77777777" w:rsidR="00DD69A8" w:rsidRPr="00DD69A8" w:rsidRDefault="00DD69A8" w:rsidP="00DD69A8">
      <w:pPr>
        <w:spacing w:line="360" w:lineRule="auto"/>
        <w:rPr>
          <w:lang w:val="en-US" w:eastAsia="en-US"/>
        </w:rPr>
      </w:pPr>
      <w:r w:rsidRPr="00DD69A8">
        <w:rPr>
          <w:lang w:val="en-US" w:eastAsia="en-US"/>
        </w:rPr>
        <w:t xml:space="preserve">6. Thanh </w:t>
      </w:r>
      <w:proofErr w:type="spellStart"/>
      <w:r w:rsidRPr="00DD69A8">
        <w:rPr>
          <w:lang w:val="en-US" w:eastAsia="en-US"/>
        </w:rPr>
        <w:t>Thanh</w:t>
      </w:r>
      <w:proofErr w:type="spellEnd"/>
      <w:r w:rsidRPr="00DD69A8">
        <w:rPr>
          <w:lang w:val="en-US" w:eastAsia="en-US"/>
        </w:rPr>
        <w:t xml:space="preserve"> S. Research for Clinical Features of Multiple myeloma at Hematology Department of Cho Ray Hospital. Medical Journal of Ho Chi Minh City. 2011 [access: 01/11/2011]; 15(4):259-66. Available at: </w:t>
      </w:r>
      <w:hyperlink r:id="rId20" w:history="1">
        <w:r w:rsidRPr="00DD69A8">
          <w:rPr>
            <w:color w:val="0563C1"/>
            <w:u w:val="single"/>
            <w:lang w:val="en-US" w:eastAsia="en-US"/>
          </w:rPr>
          <w:t>https://yhoctphcm.ump.edu.vn/index.php?Content=ChiTietBai&amp;idBai=6430</w:t>
        </w:r>
      </w:hyperlink>
      <w:r w:rsidRPr="00DD69A8">
        <w:rPr>
          <w:lang w:val="en-US" w:eastAsia="en-US"/>
        </w:rPr>
        <w:t xml:space="preserve"> </w:t>
      </w:r>
    </w:p>
    <w:p w14:paraId="65FB656E" w14:textId="77777777" w:rsidR="00DD69A8" w:rsidRPr="00DD69A8" w:rsidRDefault="00DD69A8" w:rsidP="00DD69A8">
      <w:pPr>
        <w:spacing w:line="360" w:lineRule="auto"/>
        <w:rPr>
          <w:lang w:val="en-US" w:eastAsia="en-US"/>
        </w:rPr>
      </w:pPr>
      <w:r w:rsidRPr="00DD69A8">
        <w:rPr>
          <w:lang w:val="en-US" w:eastAsia="en-US"/>
        </w:rPr>
        <w:t xml:space="preserve">7. Ngoc </w:t>
      </w:r>
      <w:proofErr w:type="spellStart"/>
      <w:r w:rsidRPr="00DD69A8">
        <w:rPr>
          <w:lang w:val="en-US" w:eastAsia="en-US"/>
        </w:rPr>
        <w:t>LB</w:t>
      </w:r>
      <w:proofErr w:type="spellEnd"/>
      <w:r w:rsidRPr="00DD69A8">
        <w:rPr>
          <w:lang w:val="en-US" w:eastAsia="en-US"/>
        </w:rPr>
        <w:t xml:space="preserve">, </w:t>
      </w:r>
      <w:proofErr w:type="spellStart"/>
      <w:r w:rsidRPr="00DD69A8">
        <w:rPr>
          <w:lang w:val="en-US" w:eastAsia="en-US"/>
        </w:rPr>
        <w:t>Monivong</w:t>
      </w:r>
      <w:proofErr w:type="spellEnd"/>
      <w:r w:rsidRPr="00DD69A8">
        <w:rPr>
          <w:lang w:val="en-US" w:eastAsia="en-US"/>
        </w:rPr>
        <w:t xml:space="preserve"> </w:t>
      </w:r>
      <w:proofErr w:type="spellStart"/>
      <w:r w:rsidRPr="00DD69A8">
        <w:rPr>
          <w:lang w:val="en-US" w:eastAsia="en-US"/>
        </w:rPr>
        <w:t>Cheanh</w:t>
      </w:r>
      <w:proofErr w:type="spellEnd"/>
      <w:r w:rsidRPr="00DD69A8">
        <w:rPr>
          <w:lang w:val="en-US" w:eastAsia="en-US"/>
        </w:rPr>
        <w:t xml:space="preserve"> BS. Treatment efficacy of Bortezomib, Cyclophosphamide and Dexamethasone (VCD) regimens in multiple myeloma patients with renal impairment. Vietnam Medical Journal. 2021 [access: 05/08/2021]; 505(2): 101-05. Available at: </w:t>
      </w:r>
      <w:hyperlink r:id="rId21" w:history="1">
        <w:r w:rsidRPr="00DD69A8">
          <w:rPr>
            <w:color w:val="0563C1"/>
            <w:u w:val="single"/>
            <w:lang w:val="en-US" w:eastAsia="en-US"/>
          </w:rPr>
          <w:t>https://tapchiyhocvietnam.vn/index.php/vmj/article/view/1101/961</w:t>
        </w:r>
      </w:hyperlink>
      <w:r w:rsidRPr="00DD69A8">
        <w:rPr>
          <w:lang w:val="en-US" w:eastAsia="en-US"/>
        </w:rPr>
        <w:t xml:space="preserve"> </w:t>
      </w:r>
    </w:p>
    <w:p w14:paraId="786F297D" w14:textId="77777777" w:rsidR="00DD69A8" w:rsidRPr="00DD69A8" w:rsidRDefault="00DD69A8" w:rsidP="00DD69A8">
      <w:pPr>
        <w:spacing w:line="360" w:lineRule="auto"/>
        <w:rPr>
          <w:lang w:val="en-US" w:eastAsia="en-US"/>
        </w:rPr>
      </w:pPr>
      <w:r w:rsidRPr="00DD69A8">
        <w:rPr>
          <w:lang w:val="en-US" w:eastAsia="en-US"/>
        </w:rPr>
        <w:t xml:space="preserve">8. </w:t>
      </w:r>
      <w:proofErr w:type="spellStart"/>
      <w:r w:rsidRPr="00DD69A8">
        <w:rPr>
          <w:lang w:val="en-US" w:eastAsia="en-US"/>
        </w:rPr>
        <w:t>Howlader</w:t>
      </w:r>
      <w:proofErr w:type="spellEnd"/>
      <w:r w:rsidRPr="00DD69A8">
        <w:rPr>
          <w:lang w:val="en-US" w:eastAsia="en-US"/>
        </w:rPr>
        <w:t xml:space="preserve"> N, </w:t>
      </w:r>
      <w:proofErr w:type="spellStart"/>
      <w:r w:rsidRPr="00DD69A8">
        <w:rPr>
          <w:lang w:val="en-US" w:eastAsia="en-US"/>
        </w:rPr>
        <w:t>Noone</w:t>
      </w:r>
      <w:proofErr w:type="spellEnd"/>
      <w:r w:rsidRPr="00DD69A8">
        <w:rPr>
          <w:lang w:val="en-US" w:eastAsia="en-US"/>
        </w:rPr>
        <w:t xml:space="preserve"> AM, </w:t>
      </w:r>
      <w:proofErr w:type="spellStart"/>
      <w:r w:rsidRPr="00DD69A8">
        <w:rPr>
          <w:lang w:val="en-US" w:eastAsia="en-US"/>
        </w:rPr>
        <w:t>Krapcho</w:t>
      </w:r>
      <w:proofErr w:type="spellEnd"/>
      <w:r w:rsidRPr="00DD69A8">
        <w:rPr>
          <w:lang w:val="en-US" w:eastAsia="en-US"/>
        </w:rPr>
        <w:t xml:space="preserve"> M, </w:t>
      </w:r>
      <w:proofErr w:type="spellStart"/>
      <w:r w:rsidRPr="00DD69A8">
        <w:rPr>
          <w:lang w:val="en-US" w:eastAsia="en-US"/>
        </w:rPr>
        <w:t>Neyman</w:t>
      </w:r>
      <w:proofErr w:type="spellEnd"/>
      <w:r w:rsidRPr="00DD69A8">
        <w:rPr>
          <w:lang w:val="en-US" w:eastAsia="en-US"/>
        </w:rPr>
        <w:t xml:space="preserve"> N, </w:t>
      </w:r>
      <w:proofErr w:type="spellStart"/>
      <w:r w:rsidRPr="00DD69A8">
        <w:rPr>
          <w:lang w:val="en-US" w:eastAsia="en-US"/>
        </w:rPr>
        <w:t>Aminou</w:t>
      </w:r>
      <w:proofErr w:type="spellEnd"/>
      <w:r w:rsidRPr="00DD69A8">
        <w:rPr>
          <w:lang w:val="en-US" w:eastAsia="en-US"/>
        </w:rPr>
        <w:t xml:space="preserve"> R, </w:t>
      </w:r>
      <w:proofErr w:type="spellStart"/>
      <w:r w:rsidRPr="00DD69A8">
        <w:rPr>
          <w:lang w:val="en-US" w:eastAsia="en-US"/>
        </w:rPr>
        <w:t>Altekruse</w:t>
      </w:r>
      <w:proofErr w:type="spellEnd"/>
      <w:r w:rsidRPr="00DD69A8">
        <w:rPr>
          <w:lang w:val="en-US" w:eastAsia="en-US"/>
        </w:rPr>
        <w:t xml:space="preserve"> SF, et al. SEER cancer statistics review, 1975-2009 (vintage 2009 populations). National Cancer Institute; 2012. [access: 05/08/2021]. Available at: </w:t>
      </w:r>
      <w:hyperlink r:id="rId22" w:history="1">
        <w:r w:rsidRPr="00DD69A8">
          <w:rPr>
            <w:color w:val="0563C1"/>
            <w:u w:val="single"/>
            <w:lang w:val="en-US" w:eastAsia="en-US"/>
          </w:rPr>
          <w:t>https://seer.cancer.gov/archive/csr/1975_2009_pops09/</w:t>
        </w:r>
      </w:hyperlink>
      <w:r w:rsidRPr="00DD69A8">
        <w:rPr>
          <w:lang w:val="en-US" w:eastAsia="en-US"/>
        </w:rPr>
        <w:t xml:space="preserve"> </w:t>
      </w:r>
    </w:p>
    <w:p w14:paraId="5B979C44" w14:textId="77777777" w:rsidR="00DD69A8" w:rsidRPr="00DD69A8" w:rsidRDefault="00DD69A8" w:rsidP="00DD69A8">
      <w:pPr>
        <w:spacing w:line="360" w:lineRule="auto"/>
        <w:rPr>
          <w:lang w:val="en-US" w:eastAsia="en-US"/>
        </w:rPr>
      </w:pPr>
      <w:r w:rsidRPr="00DD69A8">
        <w:rPr>
          <w:lang w:val="en-US" w:eastAsia="en-US"/>
        </w:rPr>
        <w:t xml:space="preserve">9. Palumbo A, </w:t>
      </w:r>
      <w:proofErr w:type="spellStart"/>
      <w:r w:rsidRPr="00DD69A8">
        <w:rPr>
          <w:lang w:val="en-US" w:eastAsia="en-US"/>
        </w:rPr>
        <w:t>Bringhen</w:t>
      </w:r>
      <w:proofErr w:type="spellEnd"/>
      <w:r w:rsidRPr="00DD69A8">
        <w:rPr>
          <w:lang w:val="en-US" w:eastAsia="en-US"/>
        </w:rPr>
        <w:t xml:space="preserve"> S, Ludwig H, </w:t>
      </w:r>
      <w:proofErr w:type="spellStart"/>
      <w:r w:rsidRPr="00DD69A8">
        <w:rPr>
          <w:lang w:val="en-US" w:eastAsia="en-US"/>
        </w:rPr>
        <w:t>Dimopoulos</w:t>
      </w:r>
      <w:proofErr w:type="spellEnd"/>
      <w:r w:rsidRPr="00DD69A8">
        <w:rPr>
          <w:lang w:val="en-US" w:eastAsia="en-US"/>
        </w:rPr>
        <w:t xml:space="preserve"> MA, </w:t>
      </w:r>
      <w:proofErr w:type="spellStart"/>
      <w:r w:rsidRPr="00DD69A8">
        <w:rPr>
          <w:lang w:val="en-US" w:eastAsia="en-US"/>
        </w:rPr>
        <w:t>Bladé</w:t>
      </w:r>
      <w:proofErr w:type="spellEnd"/>
      <w:r w:rsidRPr="00DD69A8">
        <w:rPr>
          <w:lang w:val="en-US" w:eastAsia="en-US"/>
        </w:rPr>
        <w:t xml:space="preserve"> J, </w:t>
      </w:r>
      <w:proofErr w:type="spellStart"/>
      <w:r w:rsidRPr="00DD69A8">
        <w:rPr>
          <w:lang w:val="en-US" w:eastAsia="en-US"/>
        </w:rPr>
        <w:t>Mateos</w:t>
      </w:r>
      <w:proofErr w:type="spellEnd"/>
      <w:r w:rsidRPr="00DD69A8">
        <w:rPr>
          <w:lang w:val="en-US" w:eastAsia="en-US"/>
        </w:rPr>
        <w:t xml:space="preserve"> MV, et al. Personalized therapy in multiple myeloma according to patient age and vulnerability: a report of the European Myeloma Network (</w:t>
      </w:r>
      <w:proofErr w:type="spellStart"/>
      <w:r w:rsidRPr="00DD69A8">
        <w:rPr>
          <w:lang w:val="en-US" w:eastAsia="en-US"/>
        </w:rPr>
        <w:t>EMN</w:t>
      </w:r>
      <w:proofErr w:type="spellEnd"/>
      <w:r w:rsidRPr="00DD69A8">
        <w:rPr>
          <w:lang w:val="en-US" w:eastAsia="en-US"/>
        </w:rPr>
        <w:t xml:space="preserve">). Blood, The Journal of the American Society of Hematology. 2011 [access: 27/10/2011]; 118(17):4519-29. Available at: </w:t>
      </w:r>
      <w:hyperlink r:id="rId23" w:history="1">
        <w:r w:rsidRPr="00DD69A8">
          <w:rPr>
            <w:color w:val="0563C1"/>
            <w:u w:val="single"/>
            <w:lang w:val="en-US" w:eastAsia="en-US"/>
          </w:rPr>
          <w:t>https://ashpublications.org/blood/article/118/17/4519/29031/Personalized-therapy-in-multiple-myeloma-according</w:t>
        </w:r>
      </w:hyperlink>
      <w:r w:rsidRPr="00DD69A8">
        <w:rPr>
          <w:lang w:val="en-US" w:eastAsia="en-US"/>
        </w:rPr>
        <w:t xml:space="preserve"> </w:t>
      </w:r>
    </w:p>
    <w:p w14:paraId="6252C048" w14:textId="77777777" w:rsidR="00DD69A8" w:rsidRPr="00DD69A8" w:rsidRDefault="00DD69A8" w:rsidP="00DD69A8">
      <w:pPr>
        <w:spacing w:line="360" w:lineRule="auto"/>
        <w:rPr>
          <w:lang w:val="en-US" w:eastAsia="en-US"/>
        </w:rPr>
      </w:pPr>
      <w:r w:rsidRPr="00DD69A8">
        <w:rPr>
          <w:lang w:val="en-US" w:eastAsia="en-US"/>
        </w:rPr>
        <w:t xml:space="preserve">10. Bora K. Distribution of multiple myeloma in India: Heterogeneity in incidence across age, sex and geography. Cancer epidemiology. 2019 [access: 01/04/2019]; 59:215-20. Available at: </w:t>
      </w:r>
      <w:hyperlink r:id="rId24" w:history="1">
        <w:r w:rsidRPr="00DD69A8">
          <w:rPr>
            <w:color w:val="0563C1"/>
            <w:u w:val="single"/>
            <w:lang w:val="en-US" w:eastAsia="en-US"/>
          </w:rPr>
          <w:t>https://www.sciencedirect.com/science/article/abs/pii/S1877782118307173</w:t>
        </w:r>
      </w:hyperlink>
      <w:r w:rsidRPr="00DD69A8">
        <w:rPr>
          <w:lang w:val="en-US" w:eastAsia="en-US"/>
        </w:rPr>
        <w:t xml:space="preserve"> </w:t>
      </w:r>
    </w:p>
    <w:p w14:paraId="1BA7735C" w14:textId="77777777" w:rsidR="00DD69A8" w:rsidRPr="00DD69A8" w:rsidRDefault="00DD69A8" w:rsidP="00DD69A8">
      <w:pPr>
        <w:spacing w:line="360" w:lineRule="auto"/>
        <w:rPr>
          <w:lang w:val="en-US" w:eastAsia="en-US"/>
        </w:rPr>
      </w:pPr>
      <w:r w:rsidRPr="00DD69A8">
        <w:rPr>
          <w:lang w:val="en-US" w:eastAsia="en-US"/>
        </w:rPr>
        <w:t xml:space="preserve">11. Lee </w:t>
      </w:r>
      <w:proofErr w:type="spellStart"/>
      <w:r w:rsidRPr="00DD69A8">
        <w:rPr>
          <w:lang w:val="en-US" w:eastAsia="en-US"/>
        </w:rPr>
        <w:t>BH</w:t>
      </w:r>
      <w:proofErr w:type="spellEnd"/>
      <w:r w:rsidRPr="00DD69A8">
        <w:rPr>
          <w:lang w:val="en-US" w:eastAsia="en-US"/>
        </w:rPr>
        <w:t xml:space="preserve">, Shin SH, Min CK, </w:t>
      </w:r>
      <w:proofErr w:type="spellStart"/>
      <w:r w:rsidRPr="00DD69A8">
        <w:rPr>
          <w:lang w:val="en-US" w:eastAsia="en-US"/>
        </w:rPr>
        <w:t>Yhim</w:t>
      </w:r>
      <w:proofErr w:type="spellEnd"/>
      <w:r w:rsidRPr="00DD69A8">
        <w:rPr>
          <w:lang w:val="en-US" w:eastAsia="en-US"/>
        </w:rPr>
        <w:t xml:space="preserve"> HY, Kwak JY, Kim JA. Role of high-dose melphalan with autologous stem cell transplantation in multiple myeloma patients receiving </w:t>
      </w:r>
      <w:proofErr w:type="spellStart"/>
      <w:r w:rsidRPr="00DD69A8">
        <w:rPr>
          <w:lang w:val="en-US" w:eastAsia="en-US"/>
        </w:rPr>
        <w:t>botezomib</w:t>
      </w:r>
      <w:proofErr w:type="spellEnd"/>
      <w:r w:rsidRPr="00DD69A8">
        <w:rPr>
          <w:lang w:val="en-US" w:eastAsia="en-US"/>
        </w:rPr>
        <w:t xml:space="preserve">-containing induction therapy. International journal of hematology. 2013 [access: 20/04/2013]; 97(5):634-39. Available at: </w:t>
      </w:r>
      <w:hyperlink r:id="rId25" w:history="1">
        <w:r w:rsidRPr="00DD69A8">
          <w:rPr>
            <w:color w:val="0563C1"/>
            <w:u w:val="single"/>
            <w:lang w:val="en-US" w:eastAsia="en-US"/>
          </w:rPr>
          <w:t>https://link.springer.com/article/10.1007/s12185-013-1311-2</w:t>
        </w:r>
      </w:hyperlink>
      <w:r w:rsidRPr="00DD69A8">
        <w:rPr>
          <w:lang w:val="en-US" w:eastAsia="en-US"/>
        </w:rPr>
        <w:t xml:space="preserve"> </w:t>
      </w:r>
    </w:p>
    <w:p w14:paraId="020144CD" w14:textId="77777777" w:rsidR="00DD69A8" w:rsidRPr="00DD69A8" w:rsidRDefault="00DD69A8" w:rsidP="00DD69A8">
      <w:pPr>
        <w:spacing w:line="360" w:lineRule="auto"/>
        <w:rPr>
          <w:lang w:val="en-US" w:eastAsia="en-US"/>
        </w:rPr>
      </w:pPr>
      <w:r w:rsidRPr="00DD69A8">
        <w:rPr>
          <w:lang w:val="en-US" w:eastAsia="en-US"/>
        </w:rPr>
        <w:t xml:space="preserve">12. </w:t>
      </w:r>
      <w:proofErr w:type="spellStart"/>
      <w:r w:rsidRPr="00DD69A8">
        <w:rPr>
          <w:lang w:val="en-US" w:eastAsia="en-US"/>
        </w:rPr>
        <w:t>Khanh</w:t>
      </w:r>
      <w:proofErr w:type="spellEnd"/>
      <w:r w:rsidRPr="00DD69A8">
        <w:rPr>
          <w:lang w:val="en-US" w:eastAsia="en-US"/>
        </w:rPr>
        <w:t xml:space="preserve"> BQ. Study on Autologous stem cell transplantation in treatment of Multiple Myeloma and non-Hodgkin Lymphoma. PhD thesis, Hanoi Medical University; 2014. [access: 20/01/2015]. </w:t>
      </w:r>
      <w:r w:rsidRPr="00DD69A8">
        <w:rPr>
          <w:lang w:val="en-US" w:eastAsia="en-US"/>
        </w:rPr>
        <w:lastRenderedPageBreak/>
        <w:t xml:space="preserve">Available at: </w:t>
      </w:r>
      <w:hyperlink r:id="rId26" w:history="1">
        <w:r w:rsidRPr="00DD69A8">
          <w:rPr>
            <w:color w:val="0563C1"/>
            <w:u w:val="single"/>
            <w:lang w:val="en-US" w:eastAsia="en-US"/>
          </w:rPr>
          <w:t>https://sdh.hmu.edu.vn/news/cID97_nghien-cuu-hieu-qua-cua-ghep-te-bao-goc-tu-than-dieu-tri-benh-da-u-tuy-xuong-va-u-lympho-ac-tinh-khong-hodgkin.html</w:t>
        </w:r>
      </w:hyperlink>
      <w:r w:rsidRPr="00DD69A8">
        <w:rPr>
          <w:lang w:val="en-US" w:eastAsia="en-US"/>
        </w:rPr>
        <w:t xml:space="preserve"> </w:t>
      </w:r>
    </w:p>
    <w:p w14:paraId="05B91EAE" w14:textId="77777777" w:rsidR="00DD69A8" w:rsidRPr="00DD69A8" w:rsidRDefault="00DD69A8" w:rsidP="00DD69A8">
      <w:pPr>
        <w:spacing w:line="360" w:lineRule="auto"/>
        <w:rPr>
          <w:lang w:val="en-US" w:eastAsia="en-US"/>
        </w:rPr>
      </w:pPr>
      <w:r w:rsidRPr="00DD69A8">
        <w:rPr>
          <w:lang w:val="en-US" w:eastAsia="en-US"/>
        </w:rPr>
        <w:t xml:space="preserve">13. Mori S, Crawford BS, Roddy JV, Phillips G, Elder P, Hofmeister CC, et al. Serum free light chains in myeloma patients with an intact M protein by immunofixation: potential roles for response assessment and prognosis during induction therapy with novel agents. Hematological oncology. 2011 [access: 26/11/2011]; 30(3):156-162. Available at: </w:t>
      </w:r>
      <w:hyperlink r:id="rId27" w:history="1">
        <w:r w:rsidRPr="00DD69A8">
          <w:rPr>
            <w:color w:val="0563C1"/>
            <w:u w:val="single"/>
            <w:lang w:val="en-US" w:eastAsia="en-US"/>
          </w:rPr>
          <w:t>https://onlinelibrary.wiley.com/doi/abs/10.1002/hon.1019</w:t>
        </w:r>
      </w:hyperlink>
      <w:r w:rsidRPr="00DD69A8">
        <w:rPr>
          <w:lang w:val="en-US" w:eastAsia="en-US"/>
        </w:rPr>
        <w:t xml:space="preserve"> </w:t>
      </w:r>
    </w:p>
    <w:p w14:paraId="29DAA127" w14:textId="77777777" w:rsidR="00DD69A8" w:rsidRPr="00DD69A8" w:rsidRDefault="00DD69A8" w:rsidP="00DD69A8">
      <w:pPr>
        <w:spacing w:line="360" w:lineRule="auto"/>
        <w:rPr>
          <w:lang w:val="en-US" w:eastAsia="en-US"/>
        </w:rPr>
      </w:pPr>
      <w:r w:rsidRPr="00DD69A8">
        <w:rPr>
          <w:lang w:val="en-US" w:eastAsia="en-US"/>
        </w:rPr>
        <w:t xml:space="preserve">14. </w:t>
      </w:r>
      <w:proofErr w:type="spellStart"/>
      <w:r w:rsidRPr="00DD69A8">
        <w:rPr>
          <w:lang w:val="en-US" w:eastAsia="en-US"/>
        </w:rPr>
        <w:t>Tacchetti</w:t>
      </w:r>
      <w:proofErr w:type="spellEnd"/>
      <w:r w:rsidRPr="00DD69A8">
        <w:rPr>
          <w:lang w:val="en-US" w:eastAsia="en-US"/>
        </w:rPr>
        <w:t xml:space="preserve"> P, Cavo M, </w:t>
      </w:r>
      <w:proofErr w:type="spellStart"/>
      <w:r w:rsidRPr="00DD69A8">
        <w:rPr>
          <w:lang w:val="en-US" w:eastAsia="en-US"/>
        </w:rPr>
        <w:t>Rocchi</w:t>
      </w:r>
      <w:proofErr w:type="spellEnd"/>
      <w:r w:rsidRPr="00DD69A8">
        <w:rPr>
          <w:lang w:val="en-US" w:eastAsia="en-US"/>
        </w:rPr>
        <w:t xml:space="preserve"> S, </w:t>
      </w:r>
      <w:proofErr w:type="spellStart"/>
      <w:r w:rsidRPr="00DD69A8">
        <w:rPr>
          <w:lang w:val="en-US" w:eastAsia="en-US"/>
        </w:rPr>
        <w:t>Pezzi</w:t>
      </w:r>
      <w:proofErr w:type="spellEnd"/>
      <w:r w:rsidRPr="00DD69A8">
        <w:rPr>
          <w:lang w:val="en-US" w:eastAsia="en-US"/>
        </w:rPr>
        <w:t xml:space="preserve"> A, </w:t>
      </w:r>
      <w:proofErr w:type="spellStart"/>
      <w:r w:rsidRPr="00DD69A8">
        <w:rPr>
          <w:lang w:val="en-US" w:eastAsia="en-US"/>
        </w:rPr>
        <w:t>Pantani</w:t>
      </w:r>
      <w:proofErr w:type="spellEnd"/>
      <w:r w:rsidRPr="00DD69A8">
        <w:rPr>
          <w:lang w:val="en-US" w:eastAsia="en-US"/>
        </w:rPr>
        <w:t xml:space="preserve"> L, </w:t>
      </w:r>
      <w:proofErr w:type="spellStart"/>
      <w:r w:rsidRPr="00DD69A8">
        <w:rPr>
          <w:lang w:val="en-US" w:eastAsia="en-US"/>
        </w:rPr>
        <w:t>Brioli</w:t>
      </w:r>
      <w:proofErr w:type="spellEnd"/>
      <w:r w:rsidRPr="00DD69A8">
        <w:rPr>
          <w:lang w:val="en-US" w:eastAsia="en-US"/>
        </w:rPr>
        <w:t xml:space="preserve"> A, et al. Prognostic impact of serial measurements of serum-free light chain assay throughout the course of newly diagnosed multiple myeloma treated with bortezomib-based regimens. Leukemia &amp; lymphoma. 2016 [access: 23/01/2017]; 57(9):2058-64. Available at: </w:t>
      </w:r>
      <w:hyperlink r:id="rId28" w:history="1">
        <w:r w:rsidRPr="00DD69A8">
          <w:rPr>
            <w:color w:val="0563C1"/>
            <w:u w:val="single"/>
            <w:lang w:val="en-US" w:eastAsia="en-US"/>
          </w:rPr>
          <w:t>https://www.tandfonline.com/doi/abs/10.3109/10428194.2015.1124994</w:t>
        </w:r>
      </w:hyperlink>
      <w:r w:rsidRPr="00DD69A8">
        <w:rPr>
          <w:lang w:val="en-US" w:eastAsia="en-US"/>
        </w:rPr>
        <w:t xml:space="preserve"> </w:t>
      </w:r>
    </w:p>
    <w:p w14:paraId="43651885" w14:textId="77777777" w:rsidR="00DD69A8" w:rsidRPr="00DD69A8" w:rsidRDefault="00DD69A8" w:rsidP="00DD69A8">
      <w:pPr>
        <w:spacing w:line="360" w:lineRule="auto"/>
        <w:rPr>
          <w:lang w:val="en-US" w:eastAsia="en-US"/>
        </w:rPr>
      </w:pPr>
      <w:r w:rsidRPr="00DD69A8">
        <w:rPr>
          <w:lang w:val="en-US" w:eastAsia="en-US"/>
        </w:rPr>
        <w:t xml:space="preserve">15. Wang L, </w:t>
      </w:r>
      <w:proofErr w:type="spellStart"/>
      <w:r w:rsidRPr="00DD69A8">
        <w:rPr>
          <w:lang w:val="en-US" w:eastAsia="en-US"/>
        </w:rPr>
        <w:t>Jin</w:t>
      </w:r>
      <w:proofErr w:type="spellEnd"/>
      <w:r w:rsidRPr="00DD69A8">
        <w:rPr>
          <w:lang w:val="en-US" w:eastAsia="en-US"/>
        </w:rPr>
        <w:t xml:space="preserve"> FY, Li Y, Sun JN, Zhang JJ, Tang R, et al. IgA type multiple myeloma, clinical features, and prognosis. Chinese medical journal. 2018 [access: 28/05/2018]; 131(10):1249-50. Available at: </w:t>
      </w:r>
      <w:hyperlink r:id="rId29" w:history="1">
        <w:r w:rsidRPr="00DD69A8">
          <w:rPr>
            <w:color w:val="0563C1"/>
            <w:u w:val="single"/>
            <w:lang w:val="en-US" w:eastAsia="en-US"/>
          </w:rPr>
          <w:t>https://mednexus.org/doi/full/10.4103/0366-6999.231513</w:t>
        </w:r>
      </w:hyperlink>
      <w:r w:rsidRPr="00DD69A8">
        <w:rPr>
          <w:lang w:val="en-US" w:eastAsia="en-US"/>
        </w:rPr>
        <w:t xml:space="preserve"> </w:t>
      </w:r>
    </w:p>
    <w:p w14:paraId="186A7C39" w14:textId="77777777" w:rsidR="00DD69A8" w:rsidRPr="00DD69A8" w:rsidRDefault="00DD69A8" w:rsidP="00DD69A8">
      <w:pPr>
        <w:spacing w:line="360" w:lineRule="auto"/>
        <w:rPr>
          <w:lang w:val="en-US" w:eastAsia="en-US"/>
        </w:rPr>
      </w:pPr>
      <w:r w:rsidRPr="00DD69A8">
        <w:rPr>
          <w:lang w:val="en-US" w:eastAsia="en-US"/>
        </w:rPr>
        <w:t xml:space="preserve">16. Alhaj </w:t>
      </w:r>
      <w:proofErr w:type="spellStart"/>
      <w:r w:rsidRPr="00DD69A8">
        <w:rPr>
          <w:lang w:val="en-US" w:eastAsia="en-US"/>
        </w:rPr>
        <w:t>Moustafa</w:t>
      </w:r>
      <w:proofErr w:type="spellEnd"/>
      <w:r w:rsidRPr="00DD69A8">
        <w:rPr>
          <w:lang w:val="en-US" w:eastAsia="en-US"/>
        </w:rPr>
        <w:t xml:space="preserve"> M, Rajkumar SV, </w:t>
      </w:r>
      <w:proofErr w:type="spellStart"/>
      <w:r w:rsidRPr="00DD69A8">
        <w:rPr>
          <w:lang w:val="en-US" w:eastAsia="en-US"/>
        </w:rPr>
        <w:t>Dispenzieri</w:t>
      </w:r>
      <w:proofErr w:type="spellEnd"/>
      <w:r w:rsidRPr="00DD69A8">
        <w:rPr>
          <w:lang w:val="en-US" w:eastAsia="en-US"/>
        </w:rPr>
        <w:t xml:space="preserve"> A, Gertz MA, Lacy </w:t>
      </w:r>
      <w:proofErr w:type="spellStart"/>
      <w:r w:rsidRPr="00DD69A8">
        <w:rPr>
          <w:lang w:val="en-US" w:eastAsia="en-US"/>
        </w:rPr>
        <w:t>MQ</w:t>
      </w:r>
      <w:proofErr w:type="spellEnd"/>
      <w:r w:rsidRPr="00DD69A8">
        <w:rPr>
          <w:lang w:val="en-US" w:eastAsia="en-US"/>
        </w:rPr>
        <w:t xml:space="preserve">, </w:t>
      </w:r>
      <w:proofErr w:type="spellStart"/>
      <w:r w:rsidRPr="00DD69A8">
        <w:rPr>
          <w:lang w:val="en-US" w:eastAsia="en-US"/>
        </w:rPr>
        <w:t>Buadi</w:t>
      </w:r>
      <w:proofErr w:type="spellEnd"/>
      <w:r w:rsidRPr="00DD69A8">
        <w:rPr>
          <w:lang w:val="en-US" w:eastAsia="en-US"/>
        </w:rPr>
        <w:t xml:space="preserve"> FK, et al. Utility of serum free light chain measurements in multiple myeloma patients not achieving complete response to therapy. Leukemia. 2015 [access: 12/05/2015]; 29(10):2033-38. Available at: </w:t>
      </w:r>
      <w:hyperlink r:id="rId30" w:history="1">
        <w:r w:rsidRPr="00DD69A8">
          <w:rPr>
            <w:color w:val="0563C1"/>
            <w:u w:val="single"/>
            <w:lang w:val="en-US" w:eastAsia="en-US"/>
          </w:rPr>
          <w:t>https://www.nature.com/articles/leu2015118</w:t>
        </w:r>
      </w:hyperlink>
      <w:r w:rsidRPr="00DD69A8">
        <w:rPr>
          <w:lang w:val="en-US" w:eastAsia="en-US"/>
        </w:rPr>
        <w:t xml:space="preserve"> </w:t>
      </w:r>
    </w:p>
    <w:p w14:paraId="482C6708" w14:textId="77777777" w:rsidR="00DD69A8" w:rsidRPr="00DD69A8" w:rsidRDefault="00DD69A8" w:rsidP="00DD69A8">
      <w:pPr>
        <w:spacing w:line="360" w:lineRule="auto"/>
        <w:rPr>
          <w:lang w:val="en-US" w:eastAsia="en-US"/>
        </w:rPr>
      </w:pPr>
      <w:r w:rsidRPr="00DD69A8">
        <w:rPr>
          <w:lang w:val="en-US" w:eastAsia="en-US"/>
        </w:rPr>
        <w:t xml:space="preserve">17. </w:t>
      </w:r>
      <w:proofErr w:type="spellStart"/>
      <w:r w:rsidRPr="00DD69A8">
        <w:rPr>
          <w:lang w:val="en-US" w:eastAsia="en-US"/>
        </w:rPr>
        <w:t>Rafae</w:t>
      </w:r>
      <w:proofErr w:type="spellEnd"/>
      <w:r w:rsidRPr="00DD69A8">
        <w:rPr>
          <w:lang w:val="en-US" w:eastAsia="en-US"/>
        </w:rPr>
        <w:t xml:space="preserve"> A, Malik MN, </w:t>
      </w:r>
      <w:proofErr w:type="spellStart"/>
      <w:r w:rsidRPr="00DD69A8">
        <w:rPr>
          <w:lang w:val="en-US" w:eastAsia="en-US"/>
        </w:rPr>
        <w:t>Zar</w:t>
      </w:r>
      <w:proofErr w:type="spellEnd"/>
      <w:r w:rsidRPr="00DD69A8">
        <w:rPr>
          <w:lang w:val="en-US" w:eastAsia="en-US"/>
        </w:rPr>
        <w:t xml:space="preserve"> MA, Durer S, Durer C. An Overview of Light Chain Multiple Myeloma: Clinical Characteristics and Rarities, Management Strategies, and Disease Monitoring. </w:t>
      </w:r>
      <w:proofErr w:type="spellStart"/>
      <w:r w:rsidRPr="00DD69A8">
        <w:rPr>
          <w:lang w:val="en-US" w:eastAsia="en-US"/>
        </w:rPr>
        <w:t>Cureus</w:t>
      </w:r>
      <w:proofErr w:type="spellEnd"/>
      <w:r w:rsidRPr="00DD69A8">
        <w:rPr>
          <w:lang w:val="en-US" w:eastAsia="en-US"/>
        </w:rPr>
        <w:t>. 2018 [access: 15/08/2018]; 10(8</w:t>
      </w:r>
      <w:proofErr w:type="gramStart"/>
      <w:r w:rsidRPr="00DD69A8">
        <w:rPr>
          <w:lang w:val="en-US" w:eastAsia="en-US"/>
        </w:rPr>
        <w:t>):[</w:t>
      </w:r>
      <w:proofErr w:type="spellStart"/>
      <w:proofErr w:type="gramEnd"/>
      <w:r w:rsidRPr="00DD69A8">
        <w:rPr>
          <w:lang w:val="en-US" w:eastAsia="en-US"/>
        </w:rPr>
        <w:t>aprox</w:t>
      </w:r>
      <w:proofErr w:type="spellEnd"/>
      <w:r w:rsidRPr="00DD69A8">
        <w:rPr>
          <w:lang w:val="en-US" w:eastAsia="en-US"/>
        </w:rPr>
        <w:t xml:space="preserve">. 17 scr.]. Available at: </w:t>
      </w:r>
      <w:hyperlink r:id="rId31" w:history="1">
        <w:r w:rsidRPr="00DD69A8">
          <w:rPr>
            <w:color w:val="0563C1"/>
            <w:u w:val="single"/>
            <w:lang w:val="en-US" w:eastAsia="en-US"/>
          </w:rPr>
          <w:t>https://www.cureus.com/articles/13514-an-overview-of-light-chain-multiple-myeloma-clinical-characteristics-and-rarities-management-strategies-and-disease-monitoring</w:t>
        </w:r>
      </w:hyperlink>
      <w:r w:rsidRPr="00DD69A8">
        <w:rPr>
          <w:lang w:val="en-US" w:eastAsia="en-US"/>
        </w:rPr>
        <w:t xml:space="preserve"> </w:t>
      </w:r>
    </w:p>
    <w:p w14:paraId="6A796CF4" w14:textId="77777777" w:rsidR="00DD69A8" w:rsidRPr="00DD69A8" w:rsidRDefault="00DD69A8" w:rsidP="00DD69A8">
      <w:pPr>
        <w:spacing w:line="360" w:lineRule="auto"/>
        <w:rPr>
          <w:lang w:val="en-US" w:eastAsia="en-US"/>
        </w:rPr>
      </w:pPr>
      <w:r w:rsidRPr="00DD69A8">
        <w:rPr>
          <w:lang w:val="en-US" w:eastAsia="en-US"/>
        </w:rPr>
        <w:t xml:space="preserve">18. Ramakrishnan N, </w:t>
      </w:r>
      <w:proofErr w:type="spellStart"/>
      <w:r w:rsidRPr="00DD69A8">
        <w:rPr>
          <w:lang w:val="en-US" w:eastAsia="en-US"/>
        </w:rPr>
        <w:t>Jialal</w:t>
      </w:r>
      <w:proofErr w:type="spellEnd"/>
      <w:r w:rsidRPr="00DD69A8">
        <w:rPr>
          <w:lang w:val="en-US" w:eastAsia="en-US"/>
        </w:rPr>
        <w:t xml:space="preserve"> I. Bence-Jones Protein. Treasure Island: </w:t>
      </w:r>
      <w:proofErr w:type="spellStart"/>
      <w:r w:rsidRPr="00DD69A8">
        <w:rPr>
          <w:lang w:val="en-US" w:eastAsia="en-US"/>
        </w:rPr>
        <w:t>StatPearls</w:t>
      </w:r>
      <w:proofErr w:type="spellEnd"/>
      <w:r w:rsidRPr="00DD69A8">
        <w:rPr>
          <w:lang w:val="en-US" w:eastAsia="en-US"/>
        </w:rPr>
        <w:t xml:space="preserve"> Publishing; 2019. [access: 11/08/2019]. Available at: </w:t>
      </w:r>
      <w:hyperlink r:id="rId32" w:history="1">
        <w:r w:rsidRPr="00DD69A8">
          <w:rPr>
            <w:color w:val="0563C1"/>
            <w:u w:val="single"/>
            <w:lang w:val="en-US" w:eastAsia="en-US"/>
          </w:rPr>
          <w:t>https://europepmc.org/article/NBK/nbk541035</w:t>
        </w:r>
      </w:hyperlink>
      <w:r w:rsidRPr="00DD69A8">
        <w:rPr>
          <w:lang w:val="en-US" w:eastAsia="en-US"/>
        </w:rPr>
        <w:t xml:space="preserve"> </w:t>
      </w:r>
    </w:p>
    <w:p w14:paraId="4F55BEAE" w14:textId="77777777" w:rsidR="00DD69A8" w:rsidRPr="00DD69A8" w:rsidRDefault="00DD69A8" w:rsidP="00DD69A8">
      <w:pPr>
        <w:spacing w:line="360" w:lineRule="auto"/>
        <w:rPr>
          <w:lang w:val="en-US" w:eastAsia="en-US"/>
        </w:rPr>
      </w:pPr>
      <w:r w:rsidRPr="00DD69A8">
        <w:rPr>
          <w:lang w:val="en-US" w:eastAsia="en-US"/>
        </w:rPr>
        <w:t xml:space="preserve">19. </w:t>
      </w:r>
      <w:proofErr w:type="spellStart"/>
      <w:r w:rsidRPr="00DD69A8">
        <w:rPr>
          <w:lang w:val="en-US" w:eastAsia="en-US"/>
        </w:rPr>
        <w:t>Dejoie</w:t>
      </w:r>
      <w:proofErr w:type="spellEnd"/>
      <w:r w:rsidRPr="00DD69A8">
        <w:rPr>
          <w:lang w:val="en-US" w:eastAsia="en-US"/>
        </w:rPr>
        <w:t xml:space="preserve"> T, </w:t>
      </w:r>
      <w:proofErr w:type="spellStart"/>
      <w:r w:rsidRPr="00DD69A8">
        <w:rPr>
          <w:lang w:val="en-US" w:eastAsia="en-US"/>
        </w:rPr>
        <w:t>Corre</w:t>
      </w:r>
      <w:proofErr w:type="spellEnd"/>
      <w:r w:rsidRPr="00DD69A8">
        <w:rPr>
          <w:lang w:val="en-US" w:eastAsia="en-US"/>
        </w:rPr>
        <w:t xml:space="preserve"> J, </w:t>
      </w:r>
      <w:proofErr w:type="spellStart"/>
      <w:r w:rsidRPr="00DD69A8">
        <w:rPr>
          <w:lang w:val="en-US" w:eastAsia="en-US"/>
        </w:rPr>
        <w:t>Caillon</w:t>
      </w:r>
      <w:proofErr w:type="spellEnd"/>
      <w:r w:rsidRPr="00DD69A8">
        <w:rPr>
          <w:lang w:val="en-US" w:eastAsia="en-US"/>
        </w:rPr>
        <w:t xml:space="preserve"> H, Hulin C, Perrot A, </w:t>
      </w:r>
      <w:proofErr w:type="spellStart"/>
      <w:r w:rsidRPr="00DD69A8">
        <w:rPr>
          <w:lang w:val="en-US" w:eastAsia="en-US"/>
        </w:rPr>
        <w:t>Caillot</w:t>
      </w:r>
      <w:proofErr w:type="spellEnd"/>
      <w:r w:rsidRPr="00DD69A8">
        <w:rPr>
          <w:lang w:val="en-US" w:eastAsia="en-US"/>
        </w:rPr>
        <w:t xml:space="preserve"> D, et al. Serum free light chains, not urine specimens, should be used to evaluate response in light-chain multiple myeloma. Blood, The Journal of the American Society of Hematology. 2016 [access: 22/12/2016]; 128(25):2941-48. Available at: </w:t>
      </w:r>
      <w:hyperlink r:id="rId33" w:history="1">
        <w:r w:rsidRPr="00DD69A8">
          <w:rPr>
            <w:color w:val="0563C1"/>
            <w:u w:val="single"/>
            <w:lang w:val="en-US" w:eastAsia="en-US"/>
          </w:rPr>
          <w:t>https://ashpublications.org/blood/article/128/25/2941/35690/Serum-free-light-chains-not-urine-specimens-should</w:t>
        </w:r>
      </w:hyperlink>
      <w:r w:rsidRPr="00DD69A8">
        <w:rPr>
          <w:lang w:val="en-US" w:eastAsia="en-US"/>
        </w:rPr>
        <w:t xml:space="preserve"> </w:t>
      </w:r>
    </w:p>
    <w:p w14:paraId="27810496" w14:textId="77777777" w:rsidR="00DD69A8" w:rsidRPr="00DD69A8" w:rsidRDefault="00DD69A8" w:rsidP="00DD69A8">
      <w:pPr>
        <w:spacing w:line="360" w:lineRule="auto"/>
        <w:rPr>
          <w:lang w:val="en-US" w:eastAsia="en-US"/>
        </w:rPr>
      </w:pPr>
      <w:r w:rsidRPr="00DD69A8">
        <w:rPr>
          <w:lang w:val="en-US" w:eastAsia="en-US"/>
        </w:rPr>
        <w:t xml:space="preserve">20. </w:t>
      </w:r>
      <w:proofErr w:type="spellStart"/>
      <w:r w:rsidRPr="00DD69A8">
        <w:rPr>
          <w:lang w:val="en-US" w:eastAsia="en-US"/>
        </w:rPr>
        <w:t>Sthaneshwar</w:t>
      </w:r>
      <w:proofErr w:type="spellEnd"/>
      <w:r w:rsidRPr="00DD69A8">
        <w:rPr>
          <w:lang w:val="en-US" w:eastAsia="en-US"/>
        </w:rPr>
        <w:t xml:space="preserve"> P, </w:t>
      </w:r>
      <w:proofErr w:type="spellStart"/>
      <w:r w:rsidRPr="00DD69A8">
        <w:rPr>
          <w:lang w:val="en-US" w:eastAsia="en-US"/>
        </w:rPr>
        <w:t>Nadarajan</w:t>
      </w:r>
      <w:proofErr w:type="spellEnd"/>
      <w:r w:rsidRPr="00DD69A8">
        <w:rPr>
          <w:lang w:val="en-US" w:eastAsia="en-US"/>
        </w:rPr>
        <w:t xml:space="preserve"> V, </w:t>
      </w:r>
      <w:proofErr w:type="spellStart"/>
      <w:r w:rsidRPr="00DD69A8">
        <w:rPr>
          <w:lang w:val="en-US" w:eastAsia="en-US"/>
        </w:rPr>
        <w:t>Maniam</w:t>
      </w:r>
      <w:proofErr w:type="spellEnd"/>
      <w:r w:rsidRPr="00DD69A8">
        <w:rPr>
          <w:lang w:val="en-US" w:eastAsia="en-US"/>
        </w:rPr>
        <w:t xml:space="preserve"> JA, </w:t>
      </w:r>
      <w:proofErr w:type="spellStart"/>
      <w:r w:rsidRPr="00DD69A8">
        <w:rPr>
          <w:lang w:val="en-US" w:eastAsia="en-US"/>
        </w:rPr>
        <w:t>Nordin</w:t>
      </w:r>
      <w:proofErr w:type="spellEnd"/>
      <w:r w:rsidRPr="00DD69A8">
        <w:rPr>
          <w:lang w:val="en-US" w:eastAsia="en-US"/>
        </w:rPr>
        <w:t xml:space="preserve"> N, Gin GG. Serum free light chains: diagnostic and prognostic value in multiple myeloma. Clinical Chemistry and Laboratory Medicine. 2009 [access: 26/06/2009]; 47(9):1101-07. Available at: </w:t>
      </w:r>
      <w:hyperlink r:id="rId34" w:history="1">
        <w:r w:rsidRPr="00DD69A8">
          <w:rPr>
            <w:color w:val="0563C1"/>
            <w:u w:val="single"/>
            <w:lang w:val="en-US" w:eastAsia="en-US"/>
          </w:rPr>
          <w:t>https://www.degruyter.com/document/doi/10.1515/CCLM.2009.260/html</w:t>
        </w:r>
      </w:hyperlink>
      <w:r w:rsidRPr="00DD69A8">
        <w:rPr>
          <w:lang w:val="en-US" w:eastAsia="en-US"/>
        </w:rPr>
        <w:t xml:space="preserve"> </w:t>
      </w:r>
    </w:p>
    <w:p w14:paraId="1B99AD23" w14:textId="77777777" w:rsidR="00DD69A8" w:rsidRPr="00DD69A8" w:rsidRDefault="00DD69A8" w:rsidP="00DD69A8">
      <w:pPr>
        <w:spacing w:line="360" w:lineRule="auto"/>
        <w:jc w:val="both"/>
        <w:rPr>
          <w:lang w:val="en-US" w:eastAsia="en-US"/>
        </w:rPr>
      </w:pPr>
    </w:p>
    <w:p w14:paraId="7193C57E" w14:textId="77777777" w:rsidR="00DD69A8" w:rsidRPr="00DD69A8" w:rsidRDefault="00DD69A8" w:rsidP="00DD69A8">
      <w:pPr>
        <w:spacing w:line="360" w:lineRule="auto"/>
        <w:jc w:val="center"/>
        <w:rPr>
          <w:rFonts w:eastAsia="Calibri"/>
          <w:b/>
          <w:lang w:val="en-US" w:eastAsia="en-US"/>
        </w:rPr>
      </w:pPr>
    </w:p>
    <w:p w14:paraId="4D0C724D" w14:textId="77777777" w:rsidR="00DD69A8" w:rsidRPr="00DD69A8" w:rsidRDefault="00DD69A8" w:rsidP="00DD69A8">
      <w:pPr>
        <w:spacing w:line="360" w:lineRule="auto"/>
        <w:jc w:val="center"/>
        <w:rPr>
          <w:rFonts w:eastAsia="Calibri"/>
          <w:b/>
          <w:lang w:val="en-US" w:eastAsia="en-US"/>
        </w:rPr>
      </w:pPr>
      <w:r w:rsidRPr="00DD69A8">
        <w:rPr>
          <w:rFonts w:eastAsia="Calibri"/>
          <w:b/>
          <w:lang w:val="en-US" w:eastAsia="en-US"/>
        </w:rPr>
        <w:t>Conflict of interest</w:t>
      </w:r>
    </w:p>
    <w:p w14:paraId="7189D3CE" w14:textId="77777777" w:rsidR="00DD69A8" w:rsidRPr="00DD69A8" w:rsidRDefault="00DD69A8" w:rsidP="00DD69A8">
      <w:pPr>
        <w:spacing w:line="360" w:lineRule="auto"/>
        <w:jc w:val="both"/>
        <w:rPr>
          <w:rFonts w:eastAsia="Calibri"/>
          <w:lang w:val="en-US" w:eastAsia="en-US"/>
        </w:rPr>
      </w:pPr>
      <w:r w:rsidRPr="00DD69A8">
        <w:rPr>
          <w:rFonts w:eastAsia="Calibri"/>
          <w:lang w:val="en-US" w:eastAsia="en-US"/>
        </w:rPr>
        <w:t>The author(s) declared no potential conflicts of interest with respect to the research, authorship, and/or publication of this article.</w:t>
      </w:r>
    </w:p>
    <w:p w14:paraId="4F8F6BE3" w14:textId="77777777" w:rsidR="00DD69A8" w:rsidRPr="00DD69A8" w:rsidRDefault="00DD69A8" w:rsidP="00DD69A8">
      <w:pPr>
        <w:spacing w:line="360" w:lineRule="auto"/>
        <w:jc w:val="both"/>
        <w:rPr>
          <w:rFonts w:eastAsia="Calibri"/>
          <w:lang w:val="en-US" w:eastAsia="en-US"/>
        </w:rPr>
      </w:pPr>
    </w:p>
    <w:p w14:paraId="4C2ACC97" w14:textId="77777777" w:rsidR="00DD69A8" w:rsidRPr="00DD69A8" w:rsidRDefault="00DD69A8" w:rsidP="00DD69A8">
      <w:pPr>
        <w:spacing w:line="360" w:lineRule="auto"/>
        <w:jc w:val="center"/>
        <w:rPr>
          <w:rFonts w:eastAsia="Calibri"/>
          <w:b/>
          <w:lang w:val="en-US" w:eastAsia="en-US"/>
        </w:rPr>
      </w:pPr>
      <w:r w:rsidRPr="00DD69A8">
        <w:rPr>
          <w:rFonts w:eastAsia="Calibri"/>
          <w:b/>
          <w:lang w:val="en-US" w:eastAsia="en-US"/>
        </w:rPr>
        <w:t>Authorship contribution</w:t>
      </w:r>
    </w:p>
    <w:p w14:paraId="20F790A1" w14:textId="77777777" w:rsidR="00DD69A8" w:rsidRPr="00DD69A8" w:rsidRDefault="00DD69A8" w:rsidP="00DD69A8">
      <w:pPr>
        <w:spacing w:line="360" w:lineRule="auto"/>
        <w:jc w:val="both"/>
        <w:rPr>
          <w:rFonts w:eastAsia="Calibri"/>
          <w:color w:val="000000"/>
          <w:lang w:val="en-US" w:eastAsia="en-US"/>
        </w:rPr>
      </w:pPr>
      <w:r w:rsidRPr="00DD69A8">
        <w:rPr>
          <w:rFonts w:eastAsia="Calibri"/>
          <w:color w:val="000000"/>
          <w:lang w:val="en-US" w:eastAsia="en-US"/>
        </w:rPr>
        <w:t xml:space="preserve">Conceptualization: </w:t>
      </w:r>
      <w:r w:rsidRPr="00DD69A8">
        <w:rPr>
          <w:rFonts w:eastAsia="Calibri"/>
          <w:i/>
          <w:color w:val="000000"/>
          <w:lang w:val="en-US" w:eastAsia="en-US"/>
        </w:rPr>
        <w:t xml:space="preserve">Phan Nguyen Thanh Van, Cao </w:t>
      </w:r>
      <w:proofErr w:type="spellStart"/>
      <w:r w:rsidRPr="00DD69A8">
        <w:rPr>
          <w:rFonts w:eastAsia="Calibri"/>
          <w:i/>
          <w:color w:val="000000"/>
          <w:lang w:val="en-US" w:eastAsia="en-US"/>
        </w:rPr>
        <w:t>Thi</w:t>
      </w:r>
      <w:proofErr w:type="spellEnd"/>
      <w:r w:rsidRPr="00DD69A8">
        <w:rPr>
          <w:rFonts w:eastAsia="Calibri"/>
          <w:i/>
          <w:color w:val="000000"/>
          <w:lang w:val="en-US" w:eastAsia="en-US"/>
        </w:rPr>
        <w:t xml:space="preserve"> Loc.</w:t>
      </w:r>
    </w:p>
    <w:p w14:paraId="547426CF" w14:textId="77777777" w:rsidR="00DD69A8" w:rsidRPr="00DD69A8" w:rsidRDefault="00DD69A8" w:rsidP="00DD69A8">
      <w:pPr>
        <w:spacing w:line="360" w:lineRule="auto"/>
        <w:jc w:val="both"/>
        <w:rPr>
          <w:rFonts w:eastAsia="Calibri"/>
          <w:color w:val="000000"/>
          <w:lang w:val="en-US" w:eastAsia="en-US"/>
        </w:rPr>
      </w:pPr>
      <w:r w:rsidRPr="00DD69A8">
        <w:rPr>
          <w:rFonts w:eastAsia="Calibri"/>
          <w:color w:val="000000"/>
          <w:lang w:val="en-US" w:eastAsia="en-US"/>
        </w:rPr>
        <w:t xml:space="preserve">Data curation: </w:t>
      </w:r>
      <w:r w:rsidRPr="00DD69A8">
        <w:rPr>
          <w:rFonts w:eastAsia="Calibri"/>
          <w:i/>
          <w:color w:val="000000"/>
          <w:lang w:val="en-US" w:eastAsia="en-US"/>
        </w:rPr>
        <w:t xml:space="preserve">Cao </w:t>
      </w:r>
      <w:proofErr w:type="spellStart"/>
      <w:r w:rsidRPr="00DD69A8">
        <w:rPr>
          <w:rFonts w:eastAsia="Calibri"/>
          <w:i/>
          <w:color w:val="000000"/>
          <w:lang w:val="en-US" w:eastAsia="en-US"/>
        </w:rPr>
        <w:t>Thi</w:t>
      </w:r>
      <w:proofErr w:type="spellEnd"/>
      <w:r w:rsidRPr="00DD69A8">
        <w:rPr>
          <w:rFonts w:eastAsia="Calibri"/>
          <w:i/>
          <w:color w:val="000000"/>
          <w:lang w:val="en-US" w:eastAsia="en-US"/>
        </w:rPr>
        <w:t xml:space="preserve"> Loc.</w:t>
      </w:r>
    </w:p>
    <w:p w14:paraId="0701C77E" w14:textId="77777777" w:rsidR="00DD69A8" w:rsidRPr="00DD69A8" w:rsidRDefault="00DD69A8" w:rsidP="00DD69A8">
      <w:pPr>
        <w:spacing w:line="360" w:lineRule="auto"/>
        <w:jc w:val="both"/>
        <w:rPr>
          <w:rFonts w:eastAsia="Calibri"/>
          <w:color w:val="000000"/>
          <w:lang w:val="en-US" w:eastAsia="en-US"/>
        </w:rPr>
      </w:pPr>
      <w:r w:rsidRPr="00DD69A8">
        <w:rPr>
          <w:rFonts w:eastAsia="Calibri"/>
          <w:color w:val="000000"/>
          <w:lang w:val="en-US" w:eastAsia="en-US"/>
        </w:rPr>
        <w:t xml:space="preserve">Formal analysis: </w:t>
      </w:r>
      <w:r w:rsidRPr="00DD69A8">
        <w:rPr>
          <w:rFonts w:eastAsia="Calibri"/>
          <w:i/>
          <w:color w:val="000000"/>
          <w:lang w:val="en-US" w:eastAsia="en-US"/>
        </w:rPr>
        <w:t xml:space="preserve">Phan Nguyen Thanh Van, Cao </w:t>
      </w:r>
      <w:proofErr w:type="spellStart"/>
      <w:r w:rsidRPr="00DD69A8">
        <w:rPr>
          <w:rFonts w:eastAsia="Calibri"/>
          <w:i/>
          <w:color w:val="000000"/>
          <w:lang w:val="en-US" w:eastAsia="en-US"/>
        </w:rPr>
        <w:t>Thi</w:t>
      </w:r>
      <w:proofErr w:type="spellEnd"/>
      <w:r w:rsidRPr="00DD69A8">
        <w:rPr>
          <w:rFonts w:eastAsia="Calibri"/>
          <w:i/>
          <w:color w:val="000000"/>
          <w:lang w:val="en-US" w:eastAsia="en-US"/>
        </w:rPr>
        <w:t xml:space="preserve"> Loc, Tong Duc Minh, Nguyen Hoang </w:t>
      </w:r>
      <w:proofErr w:type="spellStart"/>
      <w:r w:rsidRPr="00DD69A8">
        <w:rPr>
          <w:rFonts w:eastAsia="Calibri"/>
          <w:i/>
          <w:color w:val="000000"/>
          <w:lang w:val="en-US" w:eastAsia="en-US"/>
        </w:rPr>
        <w:t>Trung</w:t>
      </w:r>
      <w:proofErr w:type="spellEnd"/>
      <w:r w:rsidRPr="00DD69A8">
        <w:rPr>
          <w:rFonts w:eastAsia="Calibri"/>
          <w:i/>
          <w:color w:val="000000"/>
          <w:lang w:val="en-US" w:eastAsia="en-US"/>
        </w:rPr>
        <w:t xml:space="preserve">, Tran Van Kha, Le </w:t>
      </w:r>
      <w:proofErr w:type="spellStart"/>
      <w:r w:rsidRPr="00DD69A8">
        <w:rPr>
          <w:rFonts w:eastAsia="Calibri"/>
          <w:i/>
          <w:color w:val="000000"/>
          <w:lang w:val="en-US" w:eastAsia="en-US"/>
        </w:rPr>
        <w:t>Trong</w:t>
      </w:r>
      <w:proofErr w:type="spellEnd"/>
      <w:r w:rsidRPr="00DD69A8">
        <w:rPr>
          <w:rFonts w:eastAsia="Calibri"/>
          <w:i/>
          <w:color w:val="000000"/>
          <w:lang w:val="en-US" w:eastAsia="en-US"/>
        </w:rPr>
        <w:t xml:space="preserve"> Dung.</w:t>
      </w:r>
    </w:p>
    <w:p w14:paraId="6A4EDCA6" w14:textId="77777777" w:rsidR="00DD69A8" w:rsidRPr="00DD69A8" w:rsidRDefault="00DD69A8" w:rsidP="00DD69A8">
      <w:pPr>
        <w:spacing w:line="360" w:lineRule="auto"/>
        <w:jc w:val="both"/>
        <w:rPr>
          <w:rFonts w:eastAsia="Calibri"/>
          <w:i/>
          <w:color w:val="000000"/>
          <w:lang w:val="en-US" w:eastAsia="en-US"/>
        </w:rPr>
      </w:pPr>
      <w:r w:rsidRPr="00DD69A8">
        <w:rPr>
          <w:rFonts w:eastAsia="Calibri"/>
          <w:color w:val="000000"/>
          <w:lang w:val="en-US" w:eastAsia="en-US"/>
        </w:rPr>
        <w:t xml:space="preserve">Research: </w:t>
      </w:r>
      <w:r w:rsidRPr="00DD69A8">
        <w:rPr>
          <w:rFonts w:eastAsia="Calibri"/>
          <w:i/>
          <w:color w:val="000000"/>
          <w:lang w:val="en-US" w:eastAsia="en-US"/>
        </w:rPr>
        <w:t xml:space="preserve">Phan Nguyen Thanh Van, Cao </w:t>
      </w:r>
      <w:proofErr w:type="spellStart"/>
      <w:r w:rsidRPr="00DD69A8">
        <w:rPr>
          <w:rFonts w:eastAsia="Calibri"/>
          <w:i/>
          <w:color w:val="000000"/>
          <w:lang w:val="en-US" w:eastAsia="en-US"/>
        </w:rPr>
        <w:t>Thi</w:t>
      </w:r>
      <w:proofErr w:type="spellEnd"/>
      <w:r w:rsidRPr="00DD69A8">
        <w:rPr>
          <w:rFonts w:eastAsia="Calibri"/>
          <w:i/>
          <w:color w:val="000000"/>
          <w:lang w:val="en-US" w:eastAsia="en-US"/>
        </w:rPr>
        <w:t xml:space="preserve"> Loc.</w:t>
      </w:r>
    </w:p>
    <w:p w14:paraId="6E73CF21" w14:textId="77777777" w:rsidR="00DD69A8" w:rsidRPr="00DD69A8" w:rsidRDefault="00DD69A8" w:rsidP="00DD69A8">
      <w:pPr>
        <w:spacing w:line="360" w:lineRule="auto"/>
        <w:jc w:val="both"/>
        <w:rPr>
          <w:rFonts w:eastAsia="Calibri"/>
          <w:color w:val="000000"/>
          <w:lang w:val="en-US" w:eastAsia="en-US"/>
        </w:rPr>
      </w:pPr>
      <w:r w:rsidRPr="00DD69A8">
        <w:rPr>
          <w:rFonts w:eastAsia="Calibri"/>
          <w:color w:val="000000"/>
          <w:lang w:val="en-US" w:eastAsia="en-US"/>
        </w:rPr>
        <w:t xml:space="preserve">Methodology: </w:t>
      </w:r>
      <w:r w:rsidRPr="00DD69A8">
        <w:rPr>
          <w:rFonts w:eastAsia="Calibri"/>
          <w:i/>
          <w:color w:val="000000"/>
          <w:lang w:val="en-US" w:eastAsia="en-US"/>
        </w:rPr>
        <w:t>Phan Nguyen Thanh Van.</w:t>
      </w:r>
    </w:p>
    <w:p w14:paraId="6BDE045F" w14:textId="77777777" w:rsidR="00DD69A8" w:rsidRPr="00DD69A8" w:rsidRDefault="00DD69A8" w:rsidP="00DD69A8">
      <w:pPr>
        <w:spacing w:line="360" w:lineRule="auto"/>
        <w:jc w:val="both"/>
        <w:rPr>
          <w:rFonts w:eastAsia="Calibri"/>
          <w:color w:val="000000"/>
          <w:lang w:val="en-US" w:eastAsia="en-US"/>
        </w:rPr>
      </w:pPr>
      <w:r w:rsidRPr="00DD69A8">
        <w:rPr>
          <w:rFonts w:eastAsia="Calibri"/>
          <w:color w:val="000000"/>
          <w:lang w:val="en-US" w:eastAsia="en-US"/>
        </w:rPr>
        <w:t xml:space="preserve">Project administration: </w:t>
      </w:r>
      <w:r w:rsidRPr="00DD69A8">
        <w:rPr>
          <w:rFonts w:eastAsia="Calibri"/>
          <w:i/>
          <w:color w:val="000000"/>
          <w:lang w:val="en-US" w:eastAsia="en-US"/>
        </w:rPr>
        <w:t>Phan Nguyen Thanh Van.</w:t>
      </w:r>
    </w:p>
    <w:p w14:paraId="3F5A9331" w14:textId="77777777" w:rsidR="00DD69A8" w:rsidRPr="00DD69A8" w:rsidRDefault="00DD69A8" w:rsidP="00DD69A8">
      <w:pPr>
        <w:spacing w:line="360" w:lineRule="auto"/>
        <w:jc w:val="both"/>
        <w:rPr>
          <w:rFonts w:eastAsia="Calibri"/>
          <w:i/>
          <w:color w:val="000000"/>
          <w:lang w:val="en-US" w:eastAsia="en-US"/>
        </w:rPr>
      </w:pPr>
      <w:r w:rsidRPr="00DD69A8">
        <w:rPr>
          <w:rFonts w:eastAsia="Calibri"/>
          <w:color w:val="000000"/>
          <w:lang w:val="en-US" w:eastAsia="en-US"/>
        </w:rPr>
        <w:t xml:space="preserve">Supervision: </w:t>
      </w:r>
      <w:r w:rsidRPr="00DD69A8">
        <w:rPr>
          <w:rFonts w:eastAsia="Calibri"/>
          <w:i/>
          <w:color w:val="000000"/>
          <w:lang w:val="en-US" w:eastAsia="en-US"/>
        </w:rPr>
        <w:t>Phan Nguyen Thanh Van.</w:t>
      </w:r>
    </w:p>
    <w:p w14:paraId="10CDA12F" w14:textId="77777777" w:rsidR="00DD69A8" w:rsidRPr="00DD69A8" w:rsidRDefault="00DD69A8" w:rsidP="00DD69A8">
      <w:pPr>
        <w:spacing w:line="360" w:lineRule="auto"/>
        <w:jc w:val="both"/>
        <w:rPr>
          <w:rFonts w:eastAsia="Calibri"/>
          <w:i/>
          <w:color w:val="000000"/>
          <w:lang w:val="en-US" w:eastAsia="en-US"/>
        </w:rPr>
      </w:pPr>
      <w:r w:rsidRPr="00DD69A8">
        <w:rPr>
          <w:rFonts w:eastAsia="Calibri"/>
          <w:color w:val="000000"/>
          <w:lang w:val="en-US" w:eastAsia="en-US"/>
        </w:rPr>
        <w:t xml:space="preserve">Validation: </w:t>
      </w:r>
      <w:r w:rsidRPr="00DD69A8">
        <w:rPr>
          <w:rFonts w:eastAsia="Calibri"/>
          <w:i/>
          <w:color w:val="000000"/>
          <w:lang w:val="en-US" w:eastAsia="en-US"/>
        </w:rPr>
        <w:t>Phan Nguyen Thanh Van.</w:t>
      </w:r>
    </w:p>
    <w:p w14:paraId="3BAD4E82" w14:textId="77777777" w:rsidR="00DD69A8" w:rsidRPr="00DD69A8" w:rsidRDefault="00DD69A8" w:rsidP="00DD69A8">
      <w:pPr>
        <w:spacing w:line="360" w:lineRule="auto"/>
        <w:jc w:val="both"/>
        <w:rPr>
          <w:rFonts w:eastAsia="Calibri"/>
          <w:color w:val="000000"/>
          <w:lang w:val="en-US" w:eastAsia="en-US"/>
        </w:rPr>
      </w:pPr>
      <w:r w:rsidRPr="00DD69A8">
        <w:rPr>
          <w:rFonts w:eastAsia="Calibri"/>
          <w:color w:val="000000"/>
          <w:lang w:val="en-US" w:eastAsia="en-US"/>
        </w:rPr>
        <w:t xml:space="preserve">Display: </w:t>
      </w:r>
      <w:r w:rsidRPr="00DD69A8">
        <w:rPr>
          <w:rFonts w:eastAsia="Calibri"/>
          <w:i/>
          <w:color w:val="000000"/>
          <w:lang w:val="en-US" w:eastAsia="en-US"/>
        </w:rPr>
        <w:t xml:space="preserve">Phan Nguyen Thanh Van, Cao </w:t>
      </w:r>
      <w:proofErr w:type="spellStart"/>
      <w:r w:rsidRPr="00DD69A8">
        <w:rPr>
          <w:rFonts w:eastAsia="Calibri"/>
          <w:i/>
          <w:color w:val="000000"/>
          <w:lang w:val="en-US" w:eastAsia="en-US"/>
        </w:rPr>
        <w:t>Thi</w:t>
      </w:r>
      <w:proofErr w:type="spellEnd"/>
      <w:r w:rsidRPr="00DD69A8">
        <w:rPr>
          <w:rFonts w:eastAsia="Calibri"/>
          <w:i/>
          <w:color w:val="000000"/>
          <w:lang w:val="en-US" w:eastAsia="en-US"/>
        </w:rPr>
        <w:t xml:space="preserve"> Loc, Tong Duc Minh, Nguyen Hoang </w:t>
      </w:r>
      <w:proofErr w:type="spellStart"/>
      <w:r w:rsidRPr="00DD69A8">
        <w:rPr>
          <w:rFonts w:eastAsia="Calibri"/>
          <w:i/>
          <w:color w:val="000000"/>
          <w:lang w:val="en-US" w:eastAsia="en-US"/>
        </w:rPr>
        <w:t>Trung</w:t>
      </w:r>
      <w:proofErr w:type="spellEnd"/>
      <w:r w:rsidRPr="00DD69A8">
        <w:rPr>
          <w:rFonts w:eastAsia="Calibri"/>
          <w:i/>
          <w:color w:val="000000"/>
          <w:lang w:val="en-US" w:eastAsia="en-US"/>
        </w:rPr>
        <w:t>.</w:t>
      </w:r>
    </w:p>
    <w:p w14:paraId="02A9A12E" w14:textId="77777777" w:rsidR="00DD69A8" w:rsidRPr="00DD69A8" w:rsidRDefault="00DD69A8" w:rsidP="00DD69A8">
      <w:pPr>
        <w:spacing w:line="360" w:lineRule="auto"/>
        <w:jc w:val="both"/>
        <w:rPr>
          <w:rFonts w:eastAsia="Calibri"/>
          <w:color w:val="000000"/>
          <w:lang w:val="en-US" w:eastAsia="en-US"/>
        </w:rPr>
      </w:pPr>
      <w:r w:rsidRPr="00DD69A8">
        <w:rPr>
          <w:rFonts w:eastAsia="Calibri"/>
          <w:color w:val="000000"/>
          <w:lang w:val="en-US" w:eastAsia="en-US"/>
        </w:rPr>
        <w:t xml:space="preserve">Drafting - revision and editing: </w:t>
      </w:r>
      <w:r w:rsidRPr="00DD69A8">
        <w:rPr>
          <w:rFonts w:eastAsia="Calibri"/>
          <w:i/>
          <w:color w:val="000000"/>
          <w:lang w:val="en-US" w:eastAsia="en-US"/>
        </w:rPr>
        <w:t xml:space="preserve">Phan Nguyen Thanh Van, Cao </w:t>
      </w:r>
      <w:proofErr w:type="spellStart"/>
      <w:r w:rsidRPr="00DD69A8">
        <w:rPr>
          <w:rFonts w:eastAsia="Calibri"/>
          <w:i/>
          <w:color w:val="000000"/>
          <w:lang w:val="en-US" w:eastAsia="en-US"/>
        </w:rPr>
        <w:t>Thi</w:t>
      </w:r>
      <w:proofErr w:type="spellEnd"/>
      <w:r w:rsidRPr="00DD69A8">
        <w:rPr>
          <w:rFonts w:eastAsia="Calibri"/>
          <w:i/>
          <w:color w:val="000000"/>
          <w:lang w:val="en-US" w:eastAsia="en-US"/>
        </w:rPr>
        <w:t xml:space="preserve"> Loc, Tong Duc Minh, Nguyen Hoang </w:t>
      </w:r>
      <w:proofErr w:type="spellStart"/>
      <w:r w:rsidRPr="00DD69A8">
        <w:rPr>
          <w:rFonts w:eastAsia="Calibri"/>
          <w:i/>
          <w:color w:val="000000"/>
          <w:lang w:val="en-US" w:eastAsia="en-US"/>
        </w:rPr>
        <w:t>Trung</w:t>
      </w:r>
      <w:proofErr w:type="spellEnd"/>
      <w:r w:rsidRPr="00DD69A8">
        <w:rPr>
          <w:rFonts w:eastAsia="Calibri"/>
          <w:i/>
          <w:color w:val="000000"/>
          <w:lang w:val="en-US" w:eastAsia="en-US"/>
        </w:rPr>
        <w:t xml:space="preserve">, Tran Van Kha, Le </w:t>
      </w:r>
      <w:proofErr w:type="spellStart"/>
      <w:r w:rsidRPr="00DD69A8">
        <w:rPr>
          <w:rFonts w:eastAsia="Calibri"/>
          <w:i/>
          <w:color w:val="000000"/>
          <w:lang w:val="en-US" w:eastAsia="en-US"/>
        </w:rPr>
        <w:t>Trong</w:t>
      </w:r>
      <w:proofErr w:type="spellEnd"/>
      <w:r w:rsidRPr="00DD69A8">
        <w:rPr>
          <w:rFonts w:eastAsia="Calibri"/>
          <w:i/>
          <w:color w:val="000000"/>
          <w:lang w:val="en-US" w:eastAsia="en-US"/>
        </w:rPr>
        <w:t xml:space="preserve"> Dung.</w:t>
      </w:r>
    </w:p>
    <w:p w14:paraId="43FB5E64" w14:textId="77777777" w:rsidR="00675476" w:rsidRPr="00DD69A8" w:rsidRDefault="00675476" w:rsidP="00EA1FEF">
      <w:pPr>
        <w:pStyle w:val="PDFRevista"/>
        <w:rPr>
          <w:lang w:val="en-US"/>
        </w:rPr>
      </w:pPr>
    </w:p>
    <w:sectPr w:rsidR="00675476" w:rsidRPr="00DD69A8"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4507" w14:textId="77777777" w:rsidR="00D33065" w:rsidRDefault="00D33065">
      <w:r>
        <w:separator/>
      </w:r>
    </w:p>
  </w:endnote>
  <w:endnote w:type="continuationSeparator" w:id="0">
    <w:p w14:paraId="714166CD" w14:textId="77777777" w:rsidR="00D33065" w:rsidRDefault="00D3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623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64171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0C8A" w14:textId="683E0619" w:rsidR="000F3690" w:rsidRPr="00AE044C" w:rsidRDefault="00DD69A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C915807" wp14:editId="7E8C524B">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DA6E02"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C93D1F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DEBB82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7051A9E" w14:textId="430D0BB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D69A8" w:rsidRPr="00DD69A8">
      <w:rPr>
        <w:rFonts w:ascii="Verdana" w:hAnsi="Verdana"/>
        <w:noProof/>
        <w:sz w:val="18"/>
        <w:szCs w:val="18"/>
        <w:lang w:val="en-US" w:eastAsia="en-US"/>
      </w:rPr>
      <w:drawing>
        <wp:inline distT="0" distB="0" distL="0" distR="0" wp14:anchorId="7EEAE0A0" wp14:editId="7E594DDD">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6550" w14:textId="77777777" w:rsidR="00D33065" w:rsidRDefault="00D33065">
      <w:r>
        <w:separator/>
      </w:r>
    </w:p>
  </w:footnote>
  <w:footnote w:type="continuationSeparator" w:id="0">
    <w:p w14:paraId="36595FB1" w14:textId="77777777" w:rsidR="00D33065" w:rsidRDefault="00D3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03C0" w14:textId="02AE0C73" w:rsidR="00CC376A" w:rsidRPr="00AE044C" w:rsidRDefault="00DD69A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02302354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95A350D" wp14:editId="7EEDC511">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899F7" w14:textId="1EDB7186" w:rsidR="00A477DE" w:rsidRDefault="00DD69A8">
    <w:r>
      <w:rPr>
        <w:noProof/>
      </w:rPr>
      <mc:AlternateContent>
        <mc:Choice Requires="wps">
          <w:drawing>
            <wp:anchor distT="0" distB="0" distL="114300" distR="114300" simplePos="0" relativeHeight="251654144" behindDoc="0" locked="0" layoutInCell="1" allowOverlap="1" wp14:anchorId="54B205B2" wp14:editId="2BD4D426">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ACEC98"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444D"/>
    <w:multiLevelType w:val="hybridMultilevel"/>
    <w:tmpl w:val="E368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87995"/>
    <w:multiLevelType w:val="hybridMultilevel"/>
    <w:tmpl w:val="51E8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53663"/>
    <w:multiLevelType w:val="hybridMultilevel"/>
    <w:tmpl w:val="7578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367221563">
    <w:abstractNumId w:val="3"/>
  </w:num>
  <w:num w:numId="2" w16cid:durableId="1216893812">
    <w:abstractNumId w:val="2"/>
  </w:num>
  <w:num w:numId="3" w16cid:durableId="1396273185">
    <w:abstractNumId w:val="1"/>
  </w:num>
  <w:num w:numId="4" w16cid:durableId="169187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A8"/>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80875"/>
    <w:rsid w:val="005918BD"/>
    <w:rsid w:val="006173A6"/>
    <w:rsid w:val="00675476"/>
    <w:rsid w:val="007C430F"/>
    <w:rsid w:val="007D2D0C"/>
    <w:rsid w:val="007D614D"/>
    <w:rsid w:val="00960D6A"/>
    <w:rsid w:val="009A0560"/>
    <w:rsid w:val="009A3BE4"/>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33065"/>
    <w:rsid w:val="00D85951"/>
    <w:rsid w:val="00D90C10"/>
    <w:rsid w:val="00DD69A8"/>
    <w:rsid w:val="00E62606"/>
    <w:rsid w:val="00EA1FEF"/>
    <w:rsid w:val="00EC5A6B"/>
    <w:rsid w:val="00EE301D"/>
    <w:rsid w:val="00F33073"/>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9EA8B"/>
  <w15:docId w15:val="{73889B11-F824-4CD6-B084-8C56C056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DD69A8"/>
  </w:style>
  <w:style w:type="paragraph" w:styleId="Prrafodelista">
    <w:name w:val="List Paragraph"/>
    <w:basedOn w:val="Normal"/>
    <w:uiPriority w:val="34"/>
    <w:qFormat/>
    <w:rsid w:val="00DD69A8"/>
    <w:pPr>
      <w:spacing w:line="360" w:lineRule="auto"/>
      <w:ind w:left="720"/>
      <w:contextualSpacing/>
      <w:jc w:val="both"/>
    </w:pPr>
    <w:rPr>
      <w:rFonts w:cs=".VnTime"/>
      <w:sz w:val="28"/>
      <w:szCs w:val="28"/>
      <w:lang w:val="en-US" w:eastAsia="en-US"/>
    </w:rPr>
  </w:style>
  <w:style w:type="paragraph" w:customStyle="1" w:styleId="HNH">
    <w:name w:val="HÌNH"/>
    <w:basedOn w:val="Normal"/>
    <w:link w:val="HNHChar"/>
    <w:qFormat/>
    <w:rsid w:val="00DD69A8"/>
    <w:pPr>
      <w:spacing w:before="120" w:after="120"/>
      <w:jc w:val="center"/>
    </w:pPr>
    <w:rPr>
      <w:rFonts w:eastAsia="Calibri"/>
      <w:noProof/>
      <w:sz w:val="26"/>
      <w:szCs w:val="22"/>
      <w:lang w:val="en-US" w:eastAsia="en-US"/>
    </w:rPr>
  </w:style>
  <w:style w:type="character" w:customStyle="1" w:styleId="HNHChar">
    <w:name w:val="HÌNH Char"/>
    <w:link w:val="HNH"/>
    <w:rsid w:val="00DD69A8"/>
    <w:rPr>
      <w:rFonts w:eastAsia="Calibri"/>
      <w:noProof/>
      <w:sz w:val="26"/>
      <w:szCs w:val="22"/>
      <w:lang w:val="en-US" w:eastAsia="en-US"/>
    </w:rPr>
  </w:style>
  <w:style w:type="table" w:customStyle="1" w:styleId="Tablaconcuadrcula1">
    <w:name w:val="Tabla con cuadrícula1"/>
    <w:basedOn w:val="Tablanormal"/>
    <w:next w:val="Tablaconcuadrcula"/>
    <w:uiPriority w:val="59"/>
    <w:rsid w:val="00DD69A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
    <w:name w:val="BẢNG"/>
    <w:basedOn w:val="Normal"/>
    <w:qFormat/>
    <w:rsid w:val="00DD69A8"/>
    <w:pPr>
      <w:spacing w:before="120" w:after="120"/>
      <w:jc w:val="both"/>
    </w:pPr>
    <w:rPr>
      <w:rFonts w:eastAsia="Calibri"/>
      <w:sz w:val="26"/>
      <w:szCs w:val="22"/>
      <w:lang w:val="en-US" w:eastAsia="en-US"/>
    </w:rPr>
  </w:style>
  <w:style w:type="paragraph" w:customStyle="1" w:styleId="Descripcin1">
    <w:name w:val="Descripción1"/>
    <w:basedOn w:val="Normal"/>
    <w:next w:val="Normal"/>
    <w:uiPriority w:val="35"/>
    <w:unhideWhenUsed/>
    <w:qFormat/>
    <w:rsid w:val="00DD69A8"/>
    <w:pPr>
      <w:spacing w:before="120" w:after="120" w:line="360" w:lineRule="auto"/>
      <w:jc w:val="center"/>
    </w:pPr>
    <w:rPr>
      <w:rFonts w:eastAsia="Calibri"/>
      <w:bCs/>
      <w:sz w:val="26"/>
      <w:szCs w:val="18"/>
      <w:lang w:val="en-US" w:eastAsia="en-US"/>
    </w:rPr>
  </w:style>
  <w:style w:type="character" w:customStyle="1" w:styleId="Hipervnculovisitado1">
    <w:name w:val="Hipervínculo visitado1"/>
    <w:uiPriority w:val="99"/>
    <w:semiHidden/>
    <w:unhideWhenUsed/>
    <w:rsid w:val="00DD69A8"/>
    <w:rPr>
      <w:color w:val="954F72"/>
      <w:u w:val="single"/>
    </w:rPr>
  </w:style>
  <w:style w:type="character" w:customStyle="1" w:styleId="UnresolvedMention1">
    <w:name w:val="Unresolved Mention1"/>
    <w:uiPriority w:val="99"/>
    <w:semiHidden/>
    <w:unhideWhenUsed/>
    <w:rsid w:val="00DD69A8"/>
    <w:rPr>
      <w:color w:val="605E5C"/>
      <w:shd w:val="clear" w:color="auto" w:fill="E1DFDD"/>
    </w:rPr>
  </w:style>
  <w:style w:type="character" w:customStyle="1" w:styleId="Mencinsinresolver1">
    <w:name w:val="Mención sin resolver1"/>
    <w:uiPriority w:val="99"/>
    <w:semiHidden/>
    <w:unhideWhenUsed/>
    <w:rsid w:val="00DD69A8"/>
    <w:rPr>
      <w:color w:val="605E5C"/>
      <w:shd w:val="clear" w:color="auto" w:fill="E1DFDD"/>
    </w:rPr>
  </w:style>
  <w:style w:type="paragraph" w:styleId="Revisin">
    <w:name w:val="Revision"/>
    <w:hidden/>
    <w:uiPriority w:val="99"/>
    <w:semiHidden/>
    <w:rsid w:val="00DD69A8"/>
    <w:rPr>
      <w:rFonts w:cs=".VnTime"/>
      <w:sz w:val="28"/>
      <w:szCs w:val="28"/>
      <w:lang w:val="en-US" w:eastAsia="en-US"/>
    </w:rPr>
  </w:style>
  <w:style w:type="character" w:styleId="Hipervnculovisitado">
    <w:name w:val="FollowedHyperlink"/>
    <w:basedOn w:val="Fuentedeprrafopredeter"/>
    <w:semiHidden/>
    <w:unhideWhenUsed/>
    <w:rsid w:val="00DD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155-2648" TargetMode="External"/><Relationship Id="rId13" Type="http://schemas.openxmlformats.org/officeDocument/2006/relationships/hyperlink" Target="mailto:pnthanhvan@pnt.edu.vn" TargetMode="External"/><Relationship Id="rId18" Type="http://schemas.openxmlformats.org/officeDocument/2006/relationships/hyperlink" Target="https://www.sciencedirect.com/science/article/pii/S0009898113003288" TargetMode="External"/><Relationship Id="rId26" Type="http://schemas.openxmlformats.org/officeDocument/2006/relationships/hyperlink" Target="https://sdh.hmu.edu.vn/news/cID97_nghien-cuu-hieu-qua-cua-ghep-te-bao-goc-tu-than-dieu-tri-benh-da-u-tuy-xuong-va-u-lympho-ac-tinh-khong-hodgkin.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apchiyhocvietnam.vn/index.php/vmj/article/view/1101/961" TargetMode="External"/><Relationship Id="rId34" Type="http://schemas.openxmlformats.org/officeDocument/2006/relationships/hyperlink" Target="https://www.degruyter.com/document/doi/10.1515/CCLM.2009.260/html" TargetMode="External"/><Relationship Id="rId7" Type="http://schemas.openxmlformats.org/officeDocument/2006/relationships/hyperlink" Target="https://orcid.org/0000-0002-9018-9075" TargetMode="External"/><Relationship Id="rId12" Type="http://schemas.openxmlformats.org/officeDocument/2006/relationships/hyperlink" Target="https://orcid.org/0000-0001-9581-3298" TargetMode="External"/><Relationship Id="rId17" Type="http://schemas.openxmlformats.org/officeDocument/2006/relationships/hyperlink" Target="https://ashpublications.org/blood/article/117/18/4701/21362/Consensus-recommendations-for-standard" TargetMode="External"/><Relationship Id="rId25" Type="http://schemas.openxmlformats.org/officeDocument/2006/relationships/hyperlink" Target="https://link.springer.com/article/10.1007/s12185-013-1311-2" TargetMode="External"/><Relationship Id="rId33" Type="http://schemas.openxmlformats.org/officeDocument/2006/relationships/hyperlink" Target="https://ashpublications.org/blood/article/128/25/2941/35690/Serum-free-light-chains-not-urine-specimens-shoul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ture.com/articles/leu201411" TargetMode="External"/><Relationship Id="rId20" Type="http://schemas.openxmlformats.org/officeDocument/2006/relationships/hyperlink" Target="https://yhoctphcm.ump.edu.vn/index.php?Content=ChiTietBai&amp;idBai=6430" TargetMode="External"/><Relationship Id="rId29" Type="http://schemas.openxmlformats.org/officeDocument/2006/relationships/hyperlink" Target="https://mednexus.org/doi/full/10.4103/0366-6999.2315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517-3304" TargetMode="External"/><Relationship Id="rId24" Type="http://schemas.openxmlformats.org/officeDocument/2006/relationships/hyperlink" Target="https://www.sciencedirect.com/science/article/abs/pii/S1877782118307173" TargetMode="External"/><Relationship Id="rId32" Type="http://schemas.openxmlformats.org/officeDocument/2006/relationships/hyperlink" Target="https://europepmc.org/article/NBK/nbk541035"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ncedirect.com/science/article/abs/pii/S1470204514704425" TargetMode="External"/><Relationship Id="rId23" Type="http://schemas.openxmlformats.org/officeDocument/2006/relationships/hyperlink" Target="https://ashpublications.org/blood/article/118/17/4519/29031/Personalized-therapy-in-multiple-myeloma-according" TargetMode="External"/><Relationship Id="rId28" Type="http://schemas.openxmlformats.org/officeDocument/2006/relationships/hyperlink" Target="https://www.tandfonline.com/doi/abs/10.3109/10428194.2015.1124994" TargetMode="External"/><Relationship Id="rId36" Type="http://schemas.openxmlformats.org/officeDocument/2006/relationships/footer" Target="footer1.xml"/><Relationship Id="rId10" Type="http://schemas.openxmlformats.org/officeDocument/2006/relationships/hyperlink" Target="https://orcid.org/0000-0003-3527-7037" TargetMode="External"/><Relationship Id="rId19" Type="http://schemas.openxmlformats.org/officeDocument/2006/relationships/hyperlink" Target="https://journals.plos.org/plosone/article?id=10.1371/journal.pone.0166841" TargetMode="External"/><Relationship Id="rId31" Type="http://schemas.openxmlformats.org/officeDocument/2006/relationships/hyperlink" Target="https://www.cureus.com/articles/13514-an-overview-of-light-chain-multiple-myeloma-clinical-characteristics-and-rarities-management-strategies-and-disease-monitoring" TargetMode="External"/><Relationship Id="rId4" Type="http://schemas.openxmlformats.org/officeDocument/2006/relationships/webSettings" Target="webSettings.xml"/><Relationship Id="rId9" Type="http://schemas.openxmlformats.org/officeDocument/2006/relationships/hyperlink" Target="https://orcid.org/0000-0001-5449-0832" TargetMode="External"/><Relationship Id="rId14" Type="http://schemas.openxmlformats.org/officeDocument/2006/relationships/image" Target="media/image1.jpeg"/><Relationship Id="rId22" Type="http://schemas.openxmlformats.org/officeDocument/2006/relationships/hyperlink" Target="https://seer.cancer.gov/archive/csr/1975_2009_pops09/" TargetMode="External"/><Relationship Id="rId27" Type="http://schemas.openxmlformats.org/officeDocument/2006/relationships/hyperlink" Target="https://onlinelibrary.wiley.com/doi/abs/10.1002/hon.1019" TargetMode="External"/><Relationship Id="rId30" Type="http://schemas.openxmlformats.org/officeDocument/2006/relationships/hyperlink" Target="https://www.nature.com/articles/leu2015118"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16</Pages>
  <Words>4857</Words>
  <Characters>26714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31508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2022-12-29T21:13:00Z</dcterms:created>
  <dcterms:modified xsi:type="dcterms:W3CDTF">2022-12-29T21:15:00Z</dcterms:modified>
</cp:coreProperties>
</file>