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3F98" w14:textId="77777777" w:rsidR="007C68E0" w:rsidRPr="007C68E0" w:rsidRDefault="007C68E0" w:rsidP="007C68E0">
      <w:pPr>
        <w:spacing w:line="360" w:lineRule="auto"/>
        <w:jc w:val="right"/>
        <w:rPr>
          <w:rFonts w:eastAsia="Calibri"/>
          <w:color w:val="000000"/>
          <w:sz w:val="20"/>
          <w:szCs w:val="20"/>
          <w:lang w:val="en-GB" w:eastAsia="en-US"/>
        </w:rPr>
      </w:pPr>
      <w:r w:rsidRPr="007C68E0">
        <w:rPr>
          <w:rFonts w:eastAsia="Calibri"/>
          <w:color w:val="000000"/>
          <w:sz w:val="20"/>
          <w:szCs w:val="20"/>
          <w:lang w:val="en-GB" w:eastAsia="en-US"/>
        </w:rPr>
        <w:t>Research article</w:t>
      </w:r>
    </w:p>
    <w:p w14:paraId="57D794D7" w14:textId="77777777" w:rsidR="007C68E0" w:rsidRPr="007C68E0" w:rsidRDefault="007C68E0" w:rsidP="007C68E0">
      <w:pPr>
        <w:spacing w:line="360" w:lineRule="auto"/>
        <w:jc w:val="both"/>
        <w:rPr>
          <w:rFonts w:eastAsia="Calibri"/>
          <w:b/>
          <w:lang w:val="en-AU" w:eastAsia="en-US"/>
        </w:rPr>
      </w:pPr>
    </w:p>
    <w:p w14:paraId="0475E828" w14:textId="77777777" w:rsidR="007C68E0" w:rsidRPr="007C68E0" w:rsidRDefault="007C68E0" w:rsidP="007C68E0">
      <w:pPr>
        <w:spacing w:line="360" w:lineRule="auto"/>
        <w:jc w:val="center"/>
        <w:rPr>
          <w:rFonts w:eastAsia="Calibri"/>
          <w:b/>
          <w:sz w:val="28"/>
          <w:szCs w:val="28"/>
          <w:lang w:val="en-AU" w:eastAsia="en-US"/>
        </w:rPr>
      </w:pPr>
      <w:r w:rsidRPr="007C68E0">
        <w:rPr>
          <w:rFonts w:eastAsia="Calibri"/>
          <w:b/>
          <w:sz w:val="28"/>
          <w:szCs w:val="28"/>
          <w:lang w:val="en-AU" w:eastAsia="en-US"/>
        </w:rPr>
        <w:t xml:space="preserve">Clinical-demographic characteristics of patient with primary immunodeficiencies </w:t>
      </w:r>
    </w:p>
    <w:p w14:paraId="3A57F729" w14:textId="77777777" w:rsidR="007C68E0" w:rsidRPr="007C68E0" w:rsidRDefault="007C68E0" w:rsidP="007C68E0">
      <w:pPr>
        <w:spacing w:line="360" w:lineRule="auto"/>
        <w:jc w:val="center"/>
        <w:rPr>
          <w:rFonts w:eastAsia="Arial"/>
          <w:bCs/>
          <w:sz w:val="28"/>
          <w:szCs w:val="28"/>
          <w:lang w:val="es-CU" w:eastAsia="en-US"/>
        </w:rPr>
      </w:pPr>
      <w:r w:rsidRPr="007C68E0">
        <w:rPr>
          <w:rFonts w:eastAsia="Arial"/>
          <w:bCs/>
          <w:sz w:val="28"/>
          <w:szCs w:val="28"/>
          <w:lang w:val="es-CU" w:eastAsia="en-US"/>
        </w:rPr>
        <w:t>Características clínico-demográficas de pacientes con inmunodeficiencias primarias</w:t>
      </w:r>
    </w:p>
    <w:p w14:paraId="5BB1B550" w14:textId="77777777" w:rsidR="007C68E0" w:rsidRPr="007C68E0" w:rsidRDefault="007C68E0" w:rsidP="007C68E0">
      <w:pPr>
        <w:spacing w:line="360" w:lineRule="auto"/>
        <w:rPr>
          <w:rFonts w:eastAsia="Arial"/>
          <w:bCs/>
          <w:lang w:val="es-CU" w:eastAsia="en-US"/>
        </w:rPr>
      </w:pPr>
    </w:p>
    <w:p w14:paraId="4B859A99" w14:textId="77777777" w:rsidR="007C68E0" w:rsidRPr="007C68E0" w:rsidRDefault="007C68E0" w:rsidP="007C68E0">
      <w:pPr>
        <w:spacing w:line="360" w:lineRule="auto"/>
        <w:rPr>
          <w:rFonts w:eastAsia="Arial"/>
          <w:bCs/>
          <w:lang w:val="es-CU" w:eastAsia="en-US"/>
        </w:rPr>
      </w:pPr>
      <w:r w:rsidRPr="007C68E0">
        <w:rPr>
          <w:rFonts w:eastAsia="Arial"/>
          <w:bCs/>
          <w:lang w:val="es-CU" w:eastAsia="en-US"/>
        </w:rPr>
        <w:t>Maricarmen González-</w:t>
      </w:r>
      <w:proofErr w:type="spellStart"/>
      <w:r w:rsidRPr="007C68E0">
        <w:rPr>
          <w:rFonts w:eastAsia="Arial"/>
          <w:bCs/>
          <w:lang w:val="es-CU" w:eastAsia="en-US"/>
        </w:rPr>
        <w:t>Costa</w:t>
      </w:r>
      <w:r w:rsidRPr="007C68E0">
        <w:rPr>
          <w:rFonts w:eastAsia="Arial"/>
          <w:bCs/>
          <w:vertAlign w:val="superscript"/>
          <w:lang w:val="es-CU" w:eastAsia="en-US"/>
        </w:rPr>
        <w:t>1</w:t>
      </w:r>
      <w:proofErr w:type="spellEnd"/>
      <w:r w:rsidRPr="007C68E0">
        <w:rPr>
          <w:rFonts w:eastAsia="Arial"/>
          <w:bCs/>
          <w:lang w:val="es-CU" w:eastAsia="en-US"/>
        </w:rPr>
        <w:t xml:space="preserve"> </w:t>
      </w:r>
      <w:hyperlink r:id="rId7" w:history="1">
        <w:r w:rsidRPr="007C68E0">
          <w:rPr>
            <w:rFonts w:eastAsia="Calibri"/>
            <w:color w:val="0563C1"/>
            <w:lang w:val="es-CU" w:eastAsia="en-US"/>
          </w:rPr>
          <w:t>https://orcid.org/0000-0002-4202-5412</w:t>
        </w:r>
      </w:hyperlink>
    </w:p>
    <w:p w14:paraId="5F88C5EF" w14:textId="77777777" w:rsidR="007C68E0" w:rsidRPr="007C68E0" w:rsidRDefault="007C68E0" w:rsidP="007C68E0">
      <w:pPr>
        <w:spacing w:line="360" w:lineRule="auto"/>
        <w:rPr>
          <w:rFonts w:eastAsia="Arial"/>
          <w:bCs/>
          <w:lang w:val="es-CU" w:eastAsia="en-US"/>
        </w:rPr>
      </w:pPr>
      <w:r w:rsidRPr="007C68E0">
        <w:rPr>
          <w:rFonts w:eastAsia="Arial"/>
          <w:bCs/>
          <w:lang w:val="es-CU" w:eastAsia="en-US"/>
        </w:rPr>
        <w:t xml:space="preserve">Lidia Cecilia Pérez </w:t>
      </w:r>
      <w:proofErr w:type="spellStart"/>
      <w:r w:rsidRPr="007C68E0">
        <w:rPr>
          <w:rFonts w:eastAsia="Arial"/>
          <w:bCs/>
          <w:lang w:val="es-CU" w:eastAsia="en-US"/>
        </w:rPr>
        <w:t>Acevedo</w:t>
      </w:r>
      <w:r w:rsidRPr="007C68E0">
        <w:rPr>
          <w:rFonts w:eastAsia="Arial"/>
          <w:bCs/>
          <w:vertAlign w:val="superscript"/>
          <w:lang w:val="es-CU" w:eastAsia="en-US"/>
        </w:rPr>
        <w:t>2</w:t>
      </w:r>
      <w:proofErr w:type="spellEnd"/>
      <w:r w:rsidRPr="007C68E0">
        <w:rPr>
          <w:rFonts w:eastAsia="Arial"/>
          <w:bCs/>
          <w:lang w:val="es-CU" w:eastAsia="en-US"/>
        </w:rPr>
        <w:t xml:space="preserve"> </w:t>
      </w:r>
      <w:r w:rsidRPr="007C68E0">
        <w:rPr>
          <w:rFonts w:eastAsia="Calibri"/>
          <w:lang w:val="es-CU" w:eastAsia="en-US"/>
        </w:rPr>
        <w:t xml:space="preserve"> </w:t>
      </w:r>
      <w:hyperlink r:id="rId8" w:history="1">
        <w:r w:rsidRPr="007C68E0">
          <w:rPr>
            <w:rFonts w:eastAsia="Calibri"/>
            <w:color w:val="0563C1"/>
            <w:lang w:val="es-CU" w:eastAsia="en-US"/>
          </w:rPr>
          <w:t>https://orcid.org/0000-0002-9477-399X</w:t>
        </w:r>
      </w:hyperlink>
    </w:p>
    <w:p w14:paraId="1D1E4050" w14:textId="77777777" w:rsidR="007C68E0" w:rsidRPr="007C68E0" w:rsidRDefault="007C68E0" w:rsidP="007C68E0">
      <w:pPr>
        <w:spacing w:line="360" w:lineRule="auto"/>
        <w:rPr>
          <w:rFonts w:eastAsia="Arial"/>
          <w:bCs/>
          <w:lang w:val="es-CU" w:eastAsia="en-US"/>
        </w:rPr>
      </w:pPr>
      <w:r w:rsidRPr="007C68E0">
        <w:rPr>
          <w:rFonts w:eastAsia="Arial"/>
          <w:bCs/>
          <w:lang w:val="es-CU" w:eastAsia="en-US"/>
        </w:rPr>
        <w:t xml:space="preserve">Bárbara de la Caridad </w:t>
      </w:r>
      <w:proofErr w:type="spellStart"/>
      <w:r w:rsidRPr="007C68E0">
        <w:rPr>
          <w:rFonts w:eastAsia="Arial"/>
          <w:bCs/>
          <w:lang w:val="es-CU" w:eastAsia="en-US"/>
        </w:rPr>
        <w:t>Addine</w:t>
      </w:r>
      <w:proofErr w:type="spellEnd"/>
      <w:r w:rsidRPr="007C68E0">
        <w:rPr>
          <w:rFonts w:eastAsia="Arial"/>
          <w:bCs/>
          <w:lang w:val="es-CU" w:eastAsia="en-US"/>
        </w:rPr>
        <w:t xml:space="preserve"> </w:t>
      </w:r>
      <w:proofErr w:type="spellStart"/>
      <w:r w:rsidRPr="007C68E0">
        <w:rPr>
          <w:rFonts w:eastAsia="Arial"/>
          <w:bCs/>
          <w:lang w:val="es-CU" w:eastAsia="en-US"/>
        </w:rPr>
        <w:t>Ramírez</w:t>
      </w:r>
      <w:r w:rsidRPr="007C68E0">
        <w:rPr>
          <w:rFonts w:eastAsia="Arial"/>
          <w:bCs/>
          <w:vertAlign w:val="superscript"/>
          <w:lang w:val="es-CU" w:eastAsia="en-US"/>
        </w:rPr>
        <w:t>3</w:t>
      </w:r>
      <w:proofErr w:type="spellEnd"/>
      <w:r w:rsidRPr="007C68E0">
        <w:rPr>
          <w:rFonts w:eastAsia="Arial"/>
          <w:b/>
          <w:bCs/>
          <w:lang w:val="es-CU" w:eastAsia="en-US"/>
        </w:rPr>
        <w:t>*</w:t>
      </w:r>
      <w:r w:rsidRPr="007C68E0">
        <w:rPr>
          <w:rFonts w:eastAsia="Arial"/>
          <w:bCs/>
          <w:lang w:val="es-CU" w:eastAsia="en-US"/>
        </w:rPr>
        <w:t xml:space="preserve"> </w:t>
      </w:r>
      <w:hyperlink r:id="rId9" w:history="1">
        <w:r w:rsidRPr="007C68E0">
          <w:rPr>
            <w:rFonts w:eastAsia="Calibri"/>
            <w:color w:val="0563C1"/>
            <w:lang w:val="es-CU" w:eastAsia="en-US"/>
          </w:rPr>
          <w:t>https://orcid.org/0000-0002-4203-8387</w:t>
        </w:r>
      </w:hyperlink>
    </w:p>
    <w:p w14:paraId="2C95F26A" w14:textId="77777777" w:rsidR="007C68E0" w:rsidRPr="007C68E0" w:rsidRDefault="007C68E0" w:rsidP="007C68E0">
      <w:pPr>
        <w:spacing w:line="360" w:lineRule="auto"/>
        <w:rPr>
          <w:rFonts w:eastAsia="Arial"/>
          <w:bCs/>
          <w:lang w:val="es-CU" w:eastAsia="en-US"/>
        </w:rPr>
      </w:pPr>
      <w:r w:rsidRPr="007C68E0">
        <w:rPr>
          <w:rFonts w:eastAsia="Arial"/>
          <w:bCs/>
          <w:lang w:val="es-CU" w:eastAsia="en-US"/>
        </w:rPr>
        <w:t xml:space="preserve">Edel Jiménez </w:t>
      </w:r>
      <w:proofErr w:type="spellStart"/>
      <w:r w:rsidRPr="007C68E0">
        <w:rPr>
          <w:rFonts w:eastAsia="Arial"/>
          <w:bCs/>
          <w:lang w:val="es-CU" w:eastAsia="en-US"/>
        </w:rPr>
        <w:t>Hernández</w:t>
      </w:r>
      <w:r w:rsidRPr="007C68E0">
        <w:rPr>
          <w:rFonts w:eastAsia="Arial"/>
          <w:bCs/>
          <w:vertAlign w:val="superscript"/>
          <w:lang w:val="es-CU" w:eastAsia="en-US"/>
        </w:rPr>
        <w:t>4</w:t>
      </w:r>
      <w:proofErr w:type="spellEnd"/>
      <w:r w:rsidRPr="007C68E0">
        <w:rPr>
          <w:rFonts w:eastAsia="Arial"/>
          <w:bCs/>
          <w:lang w:val="es-CU" w:eastAsia="en-US"/>
        </w:rPr>
        <w:t xml:space="preserve"> </w:t>
      </w:r>
      <w:hyperlink r:id="rId10" w:history="1">
        <w:r w:rsidRPr="007C68E0">
          <w:rPr>
            <w:rFonts w:eastAsia="Calibri"/>
            <w:color w:val="0563C1"/>
            <w:lang w:val="es-CU" w:eastAsia="en-US"/>
          </w:rPr>
          <w:t xml:space="preserve">https://orcid.org/0000-0001-5147-9179 </w:t>
        </w:r>
      </w:hyperlink>
    </w:p>
    <w:p w14:paraId="0F818C93" w14:textId="77777777" w:rsidR="007C68E0" w:rsidRPr="007C68E0" w:rsidRDefault="007C68E0" w:rsidP="007C68E0">
      <w:pPr>
        <w:spacing w:line="360" w:lineRule="auto"/>
        <w:rPr>
          <w:rFonts w:eastAsia="Arial"/>
          <w:bCs/>
          <w:lang w:val="es-CU" w:eastAsia="en-US"/>
        </w:rPr>
      </w:pPr>
      <w:r w:rsidRPr="007C68E0">
        <w:rPr>
          <w:rFonts w:eastAsia="Arial"/>
          <w:bCs/>
          <w:lang w:val="es-CU" w:eastAsia="en-US"/>
        </w:rPr>
        <w:t xml:space="preserve">Reynel Marrón </w:t>
      </w:r>
      <w:proofErr w:type="spellStart"/>
      <w:r w:rsidRPr="007C68E0">
        <w:rPr>
          <w:rFonts w:eastAsia="Arial"/>
          <w:bCs/>
          <w:lang w:val="es-CU" w:eastAsia="en-US"/>
        </w:rPr>
        <w:t>González</w:t>
      </w:r>
      <w:r w:rsidRPr="007C68E0">
        <w:rPr>
          <w:rFonts w:eastAsia="Arial"/>
          <w:bCs/>
          <w:vertAlign w:val="superscript"/>
          <w:lang w:val="es-CU" w:eastAsia="en-US"/>
        </w:rPr>
        <w:t>5</w:t>
      </w:r>
      <w:proofErr w:type="spellEnd"/>
      <w:r w:rsidRPr="007C68E0">
        <w:rPr>
          <w:rFonts w:eastAsia="Arial"/>
          <w:bCs/>
          <w:lang w:val="es-CU" w:eastAsia="en-US"/>
        </w:rPr>
        <w:t xml:space="preserve"> </w:t>
      </w:r>
      <w:hyperlink r:id="rId11" w:history="1">
        <w:r w:rsidRPr="007C68E0">
          <w:rPr>
            <w:rFonts w:eastAsia="Calibri"/>
            <w:color w:val="0563C1"/>
            <w:lang w:val="es-CU" w:eastAsia="en-US"/>
          </w:rPr>
          <w:t>https://orcid.org/0000-0003-4840-5536</w:t>
        </w:r>
      </w:hyperlink>
    </w:p>
    <w:p w14:paraId="77FAA27D" w14:textId="77777777" w:rsidR="007C68E0" w:rsidRPr="007C68E0" w:rsidRDefault="007C68E0" w:rsidP="007C68E0">
      <w:pPr>
        <w:spacing w:line="360" w:lineRule="auto"/>
        <w:rPr>
          <w:rFonts w:eastAsia="Arial"/>
          <w:bCs/>
          <w:lang w:val="es-CU" w:eastAsia="en-US"/>
        </w:rPr>
      </w:pPr>
    </w:p>
    <w:p w14:paraId="6538935D" w14:textId="0E2EEB21" w:rsidR="007C68E0" w:rsidRPr="007C68E0" w:rsidRDefault="007C68E0" w:rsidP="007C68E0">
      <w:pPr>
        <w:spacing w:line="360" w:lineRule="auto"/>
        <w:jc w:val="both"/>
        <w:rPr>
          <w:rFonts w:eastAsia="Calibri"/>
          <w:lang w:val="es-CU" w:eastAsia="en-US"/>
        </w:rPr>
      </w:pPr>
      <w:proofErr w:type="spellStart"/>
      <w:r w:rsidRPr="007C68E0">
        <w:rPr>
          <w:rFonts w:eastAsia="Calibri"/>
          <w:vertAlign w:val="superscript"/>
          <w:lang w:val="es-CU" w:eastAsia="en-US"/>
        </w:rPr>
        <w:t>1</w:t>
      </w:r>
      <w:r w:rsidR="007749CD" w:rsidRPr="007C68E0">
        <w:rPr>
          <w:rFonts w:eastAsia="Calibri"/>
          <w:lang w:val="es-CU" w:eastAsia="en-US"/>
        </w:rPr>
        <w:t>Facultad</w:t>
      </w:r>
      <w:proofErr w:type="spellEnd"/>
      <w:r w:rsidR="007749CD" w:rsidRPr="007C68E0">
        <w:rPr>
          <w:rFonts w:eastAsia="Calibri"/>
          <w:lang w:val="es-CU" w:eastAsia="en-US"/>
        </w:rPr>
        <w:t xml:space="preserve"> de Ciencias Médicas de Bayamo</w:t>
      </w:r>
      <w:r w:rsidR="007749CD">
        <w:rPr>
          <w:rFonts w:eastAsia="Calibri"/>
          <w:lang w:val="es-CU" w:eastAsia="en-US"/>
        </w:rPr>
        <w:t>.</w:t>
      </w:r>
      <w:r w:rsidR="007749CD" w:rsidRPr="007C68E0">
        <w:rPr>
          <w:rFonts w:eastAsia="Calibri"/>
          <w:lang w:val="es-CU" w:eastAsia="en-US"/>
        </w:rPr>
        <w:t xml:space="preserve"> </w:t>
      </w:r>
      <w:r w:rsidRPr="007C68E0">
        <w:rPr>
          <w:rFonts w:eastAsia="Calibri"/>
          <w:lang w:val="es-CU" w:eastAsia="en-US"/>
        </w:rPr>
        <w:t>Hospital Provincial Pediátrico Docente General Milanés. Granma, Cuba.</w:t>
      </w:r>
    </w:p>
    <w:p w14:paraId="467A3DA9" w14:textId="77777777" w:rsidR="007C68E0" w:rsidRPr="007C68E0" w:rsidRDefault="007C68E0" w:rsidP="007C68E0">
      <w:pPr>
        <w:spacing w:line="360" w:lineRule="auto"/>
        <w:jc w:val="both"/>
        <w:rPr>
          <w:rFonts w:eastAsia="Calibri"/>
          <w:lang w:val="es-CU" w:eastAsia="en-US"/>
        </w:rPr>
      </w:pPr>
      <w:proofErr w:type="spellStart"/>
      <w:r w:rsidRPr="007C68E0">
        <w:rPr>
          <w:rFonts w:eastAsia="Calibri"/>
          <w:vertAlign w:val="superscript"/>
          <w:lang w:val="es-CU" w:eastAsia="en-US"/>
        </w:rPr>
        <w:t>2</w:t>
      </w:r>
      <w:r w:rsidRPr="007C68E0">
        <w:rPr>
          <w:rFonts w:eastAsia="Calibri"/>
          <w:lang w:val="es-CU" w:eastAsia="en-US"/>
        </w:rPr>
        <w:t>Instituto</w:t>
      </w:r>
      <w:proofErr w:type="spellEnd"/>
      <w:r w:rsidRPr="007C68E0">
        <w:rPr>
          <w:rFonts w:eastAsia="Calibri"/>
          <w:lang w:val="es-CU" w:eastAsia="en-US"/>
        </w:rPr>
        <w:t xml:space="preserve"> de Ciencias Básicas y Preclínicas “Victoria de Girón”. La Habana, Cuba. </w:t>
      </w:r>
    </w:p>
    <w:p w14:paraId="5A9C654B" w14:textId="77777777" w:rsidR="007C68E0" w:rsidRPr="007C68E0" w:rsidRDefault="007C68E0" w:rsidP="007C68E0">
      <w:pPr>
        <w:spacing w:line="360" w:lineRule="auto"/>
        <w:jc w:val="both"/>
        <w:rPr>
          <w:rFonts w:eastAsia="Calibri"/>
          <w:lang w:val="es-CU" w:eastAsia="en-US"/>
        </w:rPr>
      </w:pPr>
      <w:proofErr w:type="spellStart"/>
      <w:r w:rsidRPr="007C68E0">
        <w:rPr>
          <w:rFonts w:eastAsia="Calibri"/>
          <w:vertAlign w:val="superscript"/>
          <w:lang w:val="es-CU" w:eastAsia="en-US"/>
        </w:rPr>
        <w:t>3</w:t>
      </w:r>
      <w:r w:rsidRPr="007C68E0">
        <w:rPr>
          <w:rFonts w:eastAsia="Calibri"/>
          <w:lang w:val="es-CU" w:eastAsia="en-US"/>
        </w:rPr>
        <w:t>Facultad</w:t>
      </w:r>
      <w:proofErr w:type="spellEnd"/>
      <w:r w:rsidRPr="007C68E0">
        <w:rPr>
          <w:rFonts w:eastAsia="Calibri"/>
          <w:lang w:val="es-CU" w:eastAsia="en-US"/>
        </w:rPr>
        <w:t xml:space="preserve"> de Ciencias Médicas de Bayamo. Granma, Cuba.</w:t>
      </w:r>
    </w:p>
    <w:p w14:paraId="3CE6D37A" w14:textId="77777777" w:rsidR="007C68E0" w:rsidRPr="007C68E0" w:rsidRDefault="007C68E0" w:rsidP="007C68E0">
      <w:pPr>
        <w:spacing w:line="360" w:lineRule="auto"/>
        <w:jc w:val="both"/>
        <w:rPr>
          <w:rFonts w:eastAsia="Calibri"/>
          <w:lang w:val="es-CU" w:eastAsia="en-US"/>
        </w:rPr>
      </w:pPr>
      <w:proofErr w:type="spellStart"/>
      <w:r w:rsidRPr="007C68E0">
        <w:rPr>
          <w:rFonts w:eastAsia="Calibri"/>
          <w:vertAlign w:val="superscript"/>
          <w:lang w:val="es-CU" w:eastAsia="en-US"/>
        </w:rPr>
        <w:t>4</w:t>
      </w:r>
      <w:r w:rsidRPr="007C68E0">
        <w:rPr>
          <w:rFonts w:eastAsia="Calibri"/>
          <w:lang w:val="es-CU" w:eastAsia="en-US"/>
        </w:rPr>
        <w:t>Hospital</w:t>
      </w:r>
      <w:proofErr w:type="spellEnd"/>
      <w:r w:rsidRPr="007C68E0">
        <w:rPr>
          <w:rFonts w:eastAsia="Calibri"/>
          <w:vertAlign w:val="superscript"/>
          <w:lang w:val="es-CU" w:eastAsia="en-US"/>
        </w:rPr>
        <w:t xml:space="preserve"> </w:t>
      </w:r>
      <w:r w:rsidRPr="007C68E0">
        <w:rPr>
          <w:rFonts w:eastAsia="Calibri"/>
          <w:lang w:val="es-CU" w:eastAsia="en-US"/>
        </w:rPr>
        <w:t xml:space="preserve">Clínico Quirúrgico "Hermanos </w:t>
      </w:r>
      <w:proofErr w:type="spellStart"/>
      <w:r w:rsidRPr="007C68E0">
        <w:rPr>
          <w:rFonts w:eastAsia="Calibri"/>
          <w:lang w:val="es-CU" w:eastAsia="en-US"/>
        </w:rPr>
        <w:t>Ameijeiras</w:t>
      </w:r>
      <w:proofErr w:type="spellEnd"/>
      <w:r w:rsidRPr="007C68E0">
        <w:rPr>
          <w:rFonts w:eastAsia="Calibri"/>
          <w:lang w:val="es-CU" w:eastAsia="en-US"/>
        </w:rPr>
        <w:t>". La Habana, Cuba.</w:t>
      </w:r>
    </w:p>
    <w:p w14:paraId="7E4BB201" w14:textId="442B436E" w:rsidR="007C68E0" w:rsidRPr="007C68E0" w:rsidRDefault="007C68E0" w:rsidP="007C68E0">
      <w:pPr>
        <w:spacing w:line="360" w:lineRule="auto"/>
        <w:jc w:val="both"/>
        <w:rPr>
          <w:rFonts w:eastAsia="Calibri"/>
          <w:lang w:val="en-US" w:eastAsia="en-US"/>
        </w:rPr>
      </w:pPr>
      <w:proofErr w:type="spellStart"/>
      <w:r w:rsidRPr="007C68E0">
        <w:rPr>
          <w:rFonts w:eastAsia="Calibri"/>
          <w:vertAlign w:val="superscript"/>
          <w:lang w:val="es-CU" w:eastAsia="en-US"/>
        </w:rPr>
        <w:t>5</w:t>
      </w:r>
      <w:r w:rsidRPr="007C68E0">
        <w:rPr>
          <w:rFonts w:eastAsia="Calibri"/>
          <w:lang w:val="es-CU" w:eastAsia="en-US"/>
        </w:rPr>
        <w:t>Hospital</w:t>
      </w:r>
      <w:proofErr w:type="spellEnd"/>
      <w:r w:rsidRPr="007C68E0">
        <w:rPr>
          <w:rFonts w:eastAsia="Calibri"/>
          <w:lang w:val="es-CU" w:eastAsia="en-US"/>
        </w:rPr>
        <w:t xml:space="preserve"> Provincial Universitario “Carlos Manuel de </w:t>
      </w:r>
      <w:proofErr w:type="spellStart"/>
      <w:r w:rsidRPr="007C68E0">
        <w:rPr>
          <w:rFonts w:eastAsia="Calibri"/>
          <w:lang w:val="es-CU" w:eastAsia="en-US"/>
        </w:rPr>
        <w:t>Céspedes</w:t>
      </w:r>
      <w:proofErr w:type="spellEnd"/>
      <w:r w:rsidRPr="007C68E0">
        <w:rPr>
          <w:rFonts w:eastAsia="Calibri"/>
          <w:lang w:val="es-CU" w:eastAsia="en-US"/>
        </w:rPr>
        <w:t xml:space="preserve">”. </w:t>
      </w:r>
      <w:r w:rsidR="007749CD" w:rsidRPr="007C68E0">
        <w:rPr>
          <w:rFonts w:eastAsia="Calibri"/>
          <w:lang w:val="es-CU" w:eastAsia="en-US"/>
        </w:rPr>
        <w:t xml:space="preserve">Centro Médico Ambulatorio. </w:t>
      </w:r>
      <w:r w:rsidRPr="007C68E0">
        <w:rPr>
          <w:rFonts w:eastAsia="Calibri"/>
          <w:lang w:val="en-US" w:eastAsia="en-US"/>
        </w:rPr>
        <w:t>Bayamo, Granma, Cuba.</w:t>
      </w:r>
    </w:p>
    <w:p w14:paraId="38F8C387" w14:textId="77777777" w:rsidR="007C68E0" w:rsidRPr="007C68E0" w:rsidRDefault="007C68E0" w:rsidP="007C68E0">
      <w:pPr>
        <w:spacing w:line="360" w:lineRule="auto"/>
        <w:jc w:val="both"/>
        <w:rPr>
          <w:rFonts w:eastAsia="Arial"/>
          <w:bCs/>
          <w:lang w:val="en-US" w:eastAsia="en-US"/>
        </w:rPr>
      </w:pPr>
    </w:p>
    <w:p w14:paraId="3A71F2ED" w14:textId="77777777" w:rsidR="007C68E0" w:rsidRPr="007C68E0" w:rsidRDefault="007C68E0" w:rsidP="007C68E0">
      <w:pPr>
        <w:spacing w:line="360" w:lineRule="auto"/>
        <w:rPr>
          <w:rFonts w:eastAsia="Arial"/>
          <w:bCs/>
          <w:lang w:val="en-US" w:eastAsia="en-US"/>
        </w:rPr>
      </w:pPr>
      <w:r w:rsidRPr="007C68E0">
        <w:rPr>
          <w:rFonts w:eastAsia="Arial"/>
          <w:b/>
          <w:bCs/>
          <w:lang w:val="en-US" w:eastAsia="en-US"/>
        </w:rPr>
        <w:t>*</w:t>
      </w:r>
      <w:r w:rsidRPr="007C68E0">
        <w:rPr>
          <w:rFonts w:eastAsia="Arial"/>
          <w:bCs/>
          <w:lang w:val="en-US" w:eastAsia="en-US"/>
        </w:rPr>
        <w:t xml:space="preserve">Author for correspondence. Email: </w:t>
      </w:r>
      <w:hyperlink r:id="rId12" w:history="1">
        <w:r w:rsidRPr="007C68E0">
          <w:rPr>
            <w:rFonts w:eastAsia="Calibri"/>
            <w:color w:val="0563C1"/>
            <w:u w:val="single"/>
            <w:lang w:val="en-US" w:eastAsia="en-US"/>
          </w:rPr>
          <w:t>addine@infomed.sld.cu</w:t>
        </w:r>
      </w:hyperlink>
      <w:r w:rsidRPr="007C68E0">
        <w:rPr>
          <w:rFonts w:eastAsia="Calibri"/>
          <w:lang w:val="en-US" w:eastAsia="en-US"/>
        </w:rPr>
        <w:t xml:space="preserve"> </w:t>
      </w:r>
    </w:p>
    <w:p w14:paraId="4081429E" w14:textId="77777777" w:rsidR="007C68E0" w:rsidRPr="007C68E0" w:rsidRDefault="007C68E0" w:rsidP="007C68E0">
      <w:pPr>
        <w:spacing w:line="360" w:lineRule="auto"/>
        <w:rPr>
          <w:rFonts w:eastAsia="Arial"/>
          <w:bCs/>
          <w:lang w:val="en-US" w:eastAsia="en-US"/>
        </w:rPr>
      </w:pPr>
    </w:p>
    <w:p w14:paraId="39E57D0B" w14:textId="77777777" w:rsidR="007C68E0" w:rsidRPr="007C68E0" w:rsidRDefault="007C68E0" w:rsidP="007C68E0">
      <w:pPr>
        <w:spacing w:line="360" w:lineRule="auto"/>
        <w:jc w:val="both"/>
        <w:rPr>
          <w:rFonts w:eastAsia="Calibri"/>
          <w:b/>
          <w:lang w:val="en-US" w:eastAsia="en-US"/>
        </w:rPr>
      </w:pPr>
      <w:r w:rsidRPr="007C68E0">
        <w:rPr>
          <w:rFonts w:eastAsia="Calibri"/>
          <w:b/>
          <w:lang w:val="en-US" w:eastAsia="en-US"/>
        </w:rPr>
        <w:t>ABSTRACT</w:t>
      </w:r>
    </w:p>
    <w:p w14:paraId="33FADA13" w14:textId="77777777" w:rsidR="007C68E0" w:rsidRPr="007C68E0" w:rsidRDefault="007C68E0" w:rsidP="007C68E0">
      <w:pPr>
        <w:spacing w:line="360" w:lineRule="auto"/>
        <w:jc w:val="both"/>
        <w:rPr>
          <w:rFonts w:eastAsia="Calibri"/>
          <w:lang w:val="en" w:eastAsia="en-US"/>
        </w:rPr>
      </w:pPr>
      <w:r w:rsidRPr="007C68E0">
        <w:rPr>
          <w:rFonts w:eastAsia="Calibri"/>
          <w:b/>
          <w:lang w:val="en" w:eastAsia="en-US"/>
        </w:rPr>
        <w:t>Introduction</w:t>
      </w:r>
      <w:r w:rsidRPr="007C68E0">
        <w:rPr>
          <w:rFonts w:eastAsia="Calibri"/>
          <w:b/>
          <w:bCs/>
          <w:lang w:val="en" w:eastAsia="en-US"/>
        </w:rPr>
        <w:t xml:space="preserve">: </w:t>
      </w:r>
      <w:r w:rsidRPr="007C68E0">
        <w:rPr>
          <w:rFonts w:eastAsia="Calibri"/>
          <w:lang w:val="en" w:eastAsia="en-US"/>
        </w:rPr>
        <w:t xml:space="preserve">Primary immunodeficiencies are a heterogeneous group of genetic disorders that affect the functioning of the immune system. Primary immunodeficiencies can present with variable clinical features in early childhood and adulthood. </w:t>
      </w:r>
    </w:p>
    <w:p w14:paraId="398CE4E4" w14:textId="77777777" w:rsidR="007C68E0" w:rsidRPr="007C68E0" w:rsidRDefault="007C68E0" w:rsidP="007C68E0">
      <w:pPr>
        <w:spacing w:line="360" w:lineRule="auto"/>
        <w:jc w:val="both"/>
        <w:rPr>
          <w:rFonts w:eastAsia="Calibri"/>
          <w:lang w:val="en" w:eastAsia="en-US"/>
        </w:rPr>
      </w:pPr>
      <w:r w:rsidRPr="007C68E0">
        <w:rPr>
          <w:rFonts w:eastAsia="Calibri"/>
          <w:b/>
          <w:lang w:val="en" w:eastAsia="en-US"/>
        </w:rPr>
        <w:t>Objective</w:t>
      </w:r>
      <w:r w:rsidRPr="007C68E0">
        <w:rPr>
          <w:rFonts w:eastAsia="Calibri"/>
          <w:b/>
          <w:bCs/>
          <w:lang w:val="en" w:eastAsia="en-US"/>
        </w:rPr>
        <w:t>:</w:t>
      </w:r>
      <w:r w:rsidRPr="007C68E0">
        <w:rPr>
          <w:rFonts w:eastAsia="Calibri"/>
          <w:lang w:val="en" w:eastAsia="en-US"/>
        </w:rPr>
        <w:t xml:space="preserve"> </w:t>
      </w:r>
      <w:r w:rsidRPr="007C68E0">
        <w:rPr>
          <w:rFonts w:eastAsia="Calibri"/>
          <w:lang w:val="en-US" w:eastAsia="en-US"/>
        </w:rPr>
        <w:t>To characterize patients diagnosed with primary immunodeficiencies clinically and demographically.</w:t>
      </w:r>
      <w:r w:rsidRPr="007C68E0">
        <w:rPr>
          <w:rFonts w:eastAsia="Calibri"/>
          <w:lang w:val="en" w:eastAsia="en-US"/>
        </w:rPr>
        <w:t xml:space="preserve"> </w:t>
      </w:r>
    </w:p>
    <w:p w14:paraId="6D35DE6F" w14:textId="77777777" w:rsidR="007C68E0" w:rsidRPr="007C68E0" w:rsidRDefault="007C68E0" w:rsidP="007C68E0">
      <w:pPr>
        <w:spacing w:line="360" w:lineRule="auto"/>
        <w:jc w:val="both"/>
        <w:rPr>
          <w:rFonts w:eastAsia="Calibri"/>
          <w:lang w:val="en" w:eastAsia="en-US"/>
        </w:rPr>
      </w:pPr>
      <w:r w:rsidRPr="007C68E0">
        <w:rPr>
          <w:rFonts w:eastAsia="Calibri"/>
          <w:b/>
          <w:lang w:val="en" w:eastAsia="en-US"/>
        </w:rPr>
        <w:lastRenderedPageBreak/>
        <w:t>Methods:</w:t>
      </w:r>
      <w:r w:rsidRPr="007C68E0">
        <w:rPr>
          <w:rFonts w:eastAsia="Calibri"/>
          <w:lang w:val="en" w:eastAsia="en-US"/>
        </w:rPr>
        <w:t xml:space="preserve"> A cross-sectional, descriptive, retrospective case series study was carried out with 39 patients of both sexes, diagnosed with primary immunodeficiencies, according to the latest International Union of Immunological Societies classification; attended from January 2012 to December 2021 in Granma. Age (at onset of symptoms, diagnosis, and delay in diagnosis), sex, family history, and clinical manifestations were evaluated. Data from medical records were collected. They were processed using descriptive statistics. </w:t>
      </w:r>
    </w:p>
    <w:p w14:paraId="46A33FD6" w14:textId="77777777" w:rsidR="007C68E0" w:rsidRPr="007C68E0" w:rsidRDefault="007C68E0" w:rsidP="007C68E0">
      <w:pPr>
        <w:spacing w:line="360" w:lineRule="auto"/>
        <w:jc w:val="both"/>
        <w:rPr>
          <w:rFonts w:eastAsia="Calibri"/>
          <w:lang w:val="en" w:eastAsia="en-US"/>
        </w:rPr>
      </w:pPr>
      <w:r w:rsidRPr="007C68E0">
        <w:rPr>
          <w:rFonts w:eastAsia="Calibri"/>
          <w:b/>
          <w:lang w:val="en" w:eastAsia="en-US"/>
        </w:rPr>
        <w:t>Results</w:t>
      </w:r>
      <w:r w:rsidRPr="007C68E0">
        <w:rPr>
          <w:rFonts w:eastAsia="Calibri"/>
          <w:b/>
          <w:bCs/>
          <w:lang w:val="en" w:eastAsia="en-US"/>
        </w:rPr>
        <w:t>:</w:t>
      </w:r>
      <w:r w:rsidRPr="007C68E0">
        <w:rPr>
          <w:rFonts w:eastAsia="Calibri"/>
          <w:lang w:val="en" w:eastAsia="en-US"/>
        </w:rPr>
        <w:t xml:space="preserve"> The age of onset of symptoms ranged from one month of life to 37 years, with a mean of 6.31 years; the average age of diagnosis was 11.89 years. Humoral deficiencies represented 69.23% of all primary immunodeficiencies and relative IgA deficiency predominated (11 cases). A family history of primary immunodeficiencies was reported by 12 patients. Recurrent infections (71.79%) and allergies (61.53%) were the most frequent manifestations; the mortality rate was 2.56%. </w:t>
      </w:r>
    </w:p>
    <w:p w14:paraId="7FD4C3CA" w14:textId="77777777" w:rsidR="007C68E0" w:rsidRPr="007C68E0" w:rsidRDefault="007C68E0" w:rsidP="007C68E0">
      <w:pPr>
        <w:spacing w:line="360" w:lineRule="auto"/>
        <w:jc w:val="both"/>
        <w:rPr>
          <w:rFonts w:eastAsia="Calibri"/>
          <w:b/>
          <w:lang w:val="en-US" w:eastAsia="en-US"/>
        </w:rPr>
      </w:pPr>
      <w:r w:rsidRPr="007C68E0">
        <w:rPr>
          <w:rFonts w:eastAsia="Calibri"/>
          <w:b/>
          <w:lang w:val="en" w:eastAsia="en-US"/>
        </w:rPr>
        <w:t>Conclusions</w:t>
      </w:r>
      <w:r w:rsidRPr="007C68E0">
        <w:rPr>
          <w:rFonts w:eastAsia="Calibri"/>
          <w:lang w:val="en" w:eastAsia="en-US"/>
        </w:rPr>
        <w:t>: Primary immunodeficiencies were more frequent in childhood, with the same behavior in both sexes. Infections, allergies, and a family history of primary immunodeficiency were important findings. Humoral immunodeficiencies were the most prevalent.</w:t>
      </w:r>
    </w:p>
    <w:p w14:paraId="20680E6D" w14:textId="77777777" w:rsidR="007C68E0" w:rsidRPr="007C68E0" w:rsidRDefault="007C68E0" w:rsidP="007C68E0">
      <w:pPr>
        <w:spacing w:line="360" w:lineRule="auto"/>
        <w:jc w:val="both"/>
        <w:rPr>
          <w:rFonts w:eastAsia="Calibri"/>
          <w:lang w:val="en-US" w:eastAsia="en-US"/>
        </w:rPr>
      </w:pPr>
      <w:r w:rsidRPr="007C68E0">
        <w:rPr>
          <w:rFonts w:eastAsia="Calibri"/>
          <w:b/>
          <w:lang w:val="en-US" w:eastAsia="en-US"/>
        </w:rPr>
        <w:t>Keywords</w:t>
      </w:r>
      <w:r w:rsidRPr="007C68E0">
        <w:rPr>
          <w:rFonts w:eastAsia="Calibri"/>
          <w:b/>
          <w:bCs/>
          <w:lang w:val="en-US" w:eastAsia="en-US"/>
        </w:rPr>
        <w:t>:</w:t>
      </w:r>
      <w:r w:rsidRPr="007C68E0">
        <w:rPr>
          <w:rFonts w:eastAsia="Calibri"/>
          <w:lang w:val="en-US" w:eastAsia="en-US"/>
        </w:rPr>
        <w:t xml:space="preserve"> primary immune deficiency; inborn errors of immunity; primary immune deficiency registry. </w:t>
      </w:r>
    </w:p>
    <w:p w14:paraId="52FE30C1" w14:textId="77777777" w:rsidR="007C68E0" w:rsidRPr="007C68E0" w:rsidRDefault="007C68E0" w:rsidP="007C68E0">
      <w:pPr>
        <w:spacing w:line="360" w:lineRule="auto"/>
        <w:jc w:val="both"/>
        <w:rPr>
          <w:rFonts w:eastAsia="Calibri"/>
          <w:lang w:val="en-US" w:eastAsia="en-US"/>
        </w:rPr>
      </w:pPr>
    </w:p>
    <w:p w14:paraId="7CA14F0D" w14:textId="77777777" w:rsidR="007C68E0" w:rsidRPr="007C68E0" w:rsidRDefault="007C68E0" w:rsidP="007C68E0">
      <w:pPr>
        <w:spacing w:line="360" w:lineRule="auto"/>
        <w:jc w:val="both"/>
        <w:rPr>
          <w:rFonts w:eastAsia="Arial"/>
          <w:b/>
          <w:lang w:val="es-CU" w:eastAsia="en-US"/>
        </w:rPr>
      </w:pPr>
      <w:r w:rsidRPr="007C68E0">
        <w:rPr>
          <w:rFonts w:eastAsia="Arial"/>
          <w:b/>
          <w:lang w:val="es-CU" w:eastAsia="en-US"/>
        </w:rPr>
        <w:t>RESUMEN</w:t>
      </w:r>
    </w:p>
    <w:p w14:paraId="536297FD"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t>Introducción</w:t>
      </w:r>
      <w:r w:rsidRPr="007C68E0">
        <w:rPr>
          <w:rFonts w:eastAsia="Calibri"/>
          <w:b/>
          <w:bCs/>
          <w:lang w:val="es-ES" w:eastAsia="en-US"/>
        </w:rPr>
        <w:t>:</w:t>
      </w:r>
      <w:r w:rsidRPr="007C68E0">
        <w:rPr>
          <w:rFonts w:eastAsia="Calibri"/>
          <w:lang w:val="es-ES" w:eastAsia="en-US"/>
        </w:rPr>
        <w:t xml:space="preserve"> Las inmunodeficiencias primarias son un grupo heterogéneo de trastornos genéticos que afectan el funcionamiento del sistema inmunológico. Pueden presentarse con características clínicas variables en la primera infancia y en la edad adulta. </w:t>
      </w:r>
    </w:p>
    <w:p w14:paraId="086D9EE7"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t>Objetivo</w:t>
      </w:r>
      <w:r w:rsidRPr="007C68E0">
        <w:rPr>
          <w:rFonts w:eastAsia="Calibri"/>
          <w:b/>
          <w:bCs/>
          <w:lang w:val="es-ES" w:eastAsia="en-US"/>
        </w:rPr>
        <w:t>:</w:t>
      </w:r>
      <w:r w:rsidRPr="007C68E0">
        <w:rPr>
          <w:rFonts w:eastAsia="Calibri"/>
          <w:lang w:val="es-ES" w:eastAsia="en-US"/>
        </w:rPr>
        <w:t xml:space="preserve"> Caracterizar clínica y demográficamente a pacientes diagnosticados con inmunodeficiencias primarias. </w:t>
      </w:r>
    </w:p>
    <w:p w14:paraId="7075BD29"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t>Métodos</w:t>
      </w:r>
      <w:r w:rsidRPr="007C68E0">
        <w:rPr>
          <w:rFonts w:eastAsia="Calibri"/>
          <w:b/>
          <w:bCs/>
          <w:lang w:val="es-ES" w:eastAsia="en-US"/>
        </w:rPr>
        <w:t>:</w:t>
      </w:r>
      <w:r w:rsidRPr="007C68E0">
        <w:rPr>
          <w:rFonts w:eastAsia="Calibri"/>
          <w:lang w:val="es-ES" w:eastAsia="en-US"/>
        </w:rPr>
        <w:t xml:space="preserve"> Se realizó un estudio de serie de casos, transversal, descriptivo, retrospectivo, con 39 pacientes de ambos sexos, con diagnóstico de inmunodeficiencias primarias, según la última clasificación de la </w:t>
      </w:r>
      <w:r w:rsidRPr="007C68E0">
        <w:rPr>
          <w:rFonts w:eastAsia="Calibri"/>
          <w:i/>
          <w:iCs/>
          <w:lang w:val="es-ES" w:eastAsia="en-US"/>
        </w:rPr>
        <w:t xml:space="preserve">International </w:t>
      </w:r>
      <w:proofErr w:type="spellStart"/>
      <w:r w:rsidRPr="007C68E0">
        <w:rPr>
          <w:rFonts w:eastAsia="Calibri"/>
          <w:i/>
          <w:iCs/>
          <w:lang w:val="es-ES" w:eastAsia="en-US"/>
        </w:rPr>
        <w:t>Union</w:t>
      </w:r>
      <w:proofErr w:type="spellEnd"/>
      <w:r w:rsidRPr="007C68E0">
        <w:rPr>
          <w:rFonts w:eastAsia="Calibri"/>
          <w:i/>
          <w:iCs/>
          <w:lang w:val="es-ES" w:eastAsia="en-US"/>
        </w:rPr>
        <w:t xml:space="preserve"> </w:t>
      </w:r>
      <w:proofErr w:type="spellStart"/>
      <w:r w:rsidRPr="007C68E0">
        <w:rPr>
          <w:rFonts w:eastAsia="Calibri"/>
          <w:i/>
          <w:iCs/>
          <w:lang w:val="es-ES" w:eastAsia="en-US"/>
        </w:rPr>
        <w:t>of</w:t>
      </w:r>
      <w:proofErr w:type="spellEnd"/>
      <w:r w:rsidRPr="007C68E0">
        <w:rPr>
          <w:rFonts w:eastAsia="Calibri"/>
          <w:i/>
          <w:iCs/>
          <w:lang w:val="es-ES" w:eastAsia="en-US"/>
        </w:rPr>
        <w:t xml:space="preserve"> </w:t>
      </w:r>
      <w:proofErr w:type="spellStart"/>
      <w:r w:rsidRPr="007C68E0">
        <w:rPr>
          <w:rFonts w:eastAsia="Calibri"/>
          <w:i/>
          <w:iCs/>
          <w:lang w:val="es-ES" w:eastAsia="en-US"/>
        </w:rPr>
        <w:t>Immunological</w:t>
      </w:r>
      <w:proofErr w:type="spellEnd"/>
      <w:r w:rsidRPr="007C68E0">
        <w:rPr>
          <w:rFonts w:eastAsia="Calibri"/>
          <w:i/>
          <w:iCs/>
          <w:lang w:val="es-ES" w:eastAsia="en-US"/>
        </w:rPr>
        <w:t xml:space="preserve"> </w:t>
      </w:r>
      <w:proofErr w:type="spellStart"/>
      <w:r w:rsidRPr="007C68E0">
        <w:rPr>
          <w:rFonts w:eastAsia="Calibri"/>
          <w:i/>
          <w:iCs/>
          <w:lang w:val="es-ES" w:eastAsia="en-US"/>
        </w:rPr>
        <w:t>Societies</w:t>
      </w:r>
      <w:proofErr w:type="spellEnd"/>
      <w:r w:rsidRPr="007C68E0">
        <w:rPr>
          <w:rFonts w:eastAsia="Calibri"/>
          <w:lang w:val="es-ES" w:eastAsia="en-US"/>
        </w:rPr>
        <w:t xml:space="preserve">; atendidos de enero de 2012 a diciembre de 2021 en Granma. Se evaluó la edad (de inicio de los síntomas, diagnóstico y retraso en el diagnóstico), sexo, antecedentes familiares y manifestaciones clínicas. Se recolectaron los datos de las historias clínicas. Se utilizó estadística descriptiva. </w:t>
      </w:r>
    </w:p>
    <w:p w14:paraId="6FE6C567"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lastRenderedPageBreak/>
        <w:t>Resultados</w:t>
      </w:r>
      <w:r w:rsidRPr="007C68E0">
        <w:rPr>
          <w:rFonts w:eastAsia="Calibri"/>
          <w:b/>
          <w:bCs/>
          <w:lang w:val="es-ES" w:eastAsia="en-US"/>
        </w:rPr>
        <w:t>:</w:t>
      </w:r>
      <w:r w:rsidRPr="007C68E0">
        <w:rPr>
          <w:rFonts w:eastAsia="Calibri"/>
          <w:lang w:val="es-ES" w:eastAsia="en-US"/>
        </w:rPr>
        <w:t xml:space="preserve"> La edad de inicio de los síntomas osciló entre el mes de vida y los 37 años, con una media de 6,31 años; la edad media de diagnóstico fue de 11,89 años. Las deficiencias humorales representaron el 69,23 % de todas las inmunodeficiencias primarias y predominó el déficit relativo de IgA (11 casos). Reportaron antecedentes familiares de inmunodeficiencias primarias 12 pacientes. Las infecciones recurrentes (71,79 %) y las alergias (61,53 %) fueron las manifestaciones más frecuentes; la tasa de mortalidad fue de 2,56 %. </w:t>
      </w:r>
    </w:p>
    <w:p w14:paraId="032FF5D6"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t>Conclusiones</w:t>
      </w:r>
      <w:r w:rsidRPr="007C68E0">
        <w:rPr>
          <w:rFonts w:eastAsia="Calibri"/>
          <w:lang w:val="es-ES" w:eastAsia="en-US"/>
        </w:rPr>
        <w:t xml:space="preserve">: Las inmunodeficiencias primarias fueron más frecuentes en la infancia, con el mismo comportamiento en ambos sexos. Las infecciones, las alergias y los antecedentes familiares de inmunodeficiencia primaria fueron hallazgos importantes. Las inmunodeficiencias humorales fueron las más prevalentes. </w:t>
      </w:r>
    </w:p>
    <w:p w14:paraId="61F6B821" w14:textId="77777777" w:rsidR="007C68E0" w:rsidRPr="007C68E0" w:rsidRDefault="007C68E0" w:rsidP="007C68E0">
      <w:pPr>
        <w:spacing w:line="360" w:lineRule="auto"/>
        <w:jc w:val="both"/>
        <w:rPr>
          <w:rFonts w:eastAsia="Calibri"/>
          <w:lang w:val="es-ES" w:eastAsia="en-US"/>
        </w:rPr>
      </w:pPr>
      <w:r w:rsidRPr="007C68E0">
        <w:rPr>
          <w:rFonts w:eastAsia="Calibri"/>
          <w:b/>
          <w:lang w:val="es-ES" w:eastAsia="en-US"/>
        </w:rPr>
        <w:t>Palabras clave:</w:t>
      </w:r>
      <w:r w:rsidRPr="007C68E0">
        <w:rPr>
          <w:rFonts w:eastAsia="Calibri"/>
          <w:lang w:val="es-ES" w:eastAsia="en-US"/>
        </w:rPr>
        <w:t xml:space="preserve"> inmunodeficiencia primaria; errores congénitos de la inmunidad; registro de inmunodeficiencia primaria.</w:t>
      </w:r>
    </w:p>
    <w:p w14:paraId="5102BC55" w14:textId="77777777" w:rsidR="007C68E0" w:rsidRPr="007C68E0" w:rsidRDefault="007C68E0" w:rsidP="007C68E0">
      <w:pPr>
        <w:spacing w:line="360" w:lineRule="auto"/>
        <w:jc w:val="both"/>
        <w:rPr>
          <w:rFonts w:eastAsia="Calibri"/>
          <w:lang w:val="es-ES" w:eastAsia="en-US"/>
        </w:rPr>
      </w:pPr>
    </w:p>
    <w:p w14:paraId="70FFDA66" w14:textId="77777777" w:rsidR="007C68E0" w:rsidRPr="007C68E0" w:rsidRDefault="007C68E0" w:rsidP="007C68E0">
      <w:pPr>
        <w:spacing w:line="360" w:lineRule="auto"/>
        <w:jc w:val="both"/>
        <w:rPr>
          <w:rFonts w:eastAsia="Calibri"/>
          <w:lang w:val="es-CU" w:eastAsia="en-US"/>
        </w:rPr>
      </w:pPr>
    </w:p>
    <w:p w14:paraId="226A6CDF" w14:textId="77777777" w:rsidR="007C68E0" w:rsidRPr="007C68E0" w:rsidRDefault="007C68E0" w:rsidP="007C68E0">
      <w:pPr>
        <w:spacing w:line="360" w:lineRule="auto"/>
        <w:jc w:val="both"/>
        <w:rPr>
          <w:rFonts w:eastAsia="Calibri"/>
          <w:lang w:val="en-US" w:eastAsia="en-US"/>
        </w:rPr>
      </w:pPr>
      <w:proofErr w:type="spellStart"/>
      <w:r w:rsidRPr="007C68E0">
        <w:rPr>
          <w:rFonts w:eastAsia="Calibri"/>
          <w:lang w:val="en-US" w:eastAsia="en-US"/>
        </w:rPr>
        <w:t>Recibido</w:t>
      </w:r>
      <w:proofErr w:type="spellEnd"/>
      <w:r w:rsidRPr="007C68E0">
        <w:rPr>
          <w:rFonts w:eastAsia="Calibri"/>
          <w:lang w:val="en-US" w:eastAsia="en-US"/>
        </w:rPr>
        <w:t>: 05/09/2022</w:t>
      </w:r>
    </w:p>
    <w:p w14:paraId="67DF7D8D" w14:textId="77777777" w:rsidR="007C68E0" w:rsidRPr="007C68E0" w:rsidRDefault="007C68E0" w:rsidP="007C68E0">
      <w:pPr>
        <w:spacing w:line="360" w:lineRule="auto"/>
        <w:jc w:val="both"/>
        <w:rPr>
          <w:rFonts w:eastAsia="Calibri"/>
          <w:lang w:val="en-US" w:eastAsia="en-US"/>
        </w:rPr>
      </w:pPr>
      <w:proofErr w:type="spellStart"/>
      <w:r w:rsidRPr="007C68E0">
        <w:rPr>
          <w:rFonts w:eastAsia="Calibri"/>
          <w:lang w:val="en-US" w:eastAsia="en-US"/>
        </w:rPr>
        <w:t>Aprobado</w:t>
      </w:r>
      <w:proofErr w:type="spellEnd"/>
      <w:r w:rsidRPr="007C68E0">
        <w:rPr>
          <w:rFonts w:eastAsia="Calibri"/>
          <w:lang w:val="en-US" w:eastAsia="en-US"/>
        </w:rPr>
        <w:t>: 06/03/2023</w:t>
      </w:r>
    </w:p>
    <w:p w14:paraId="03E08290" w14:textId="77777777" w:rsidR="007C68E0" w:rsidRPr="007C68E0" w:rsidRDefault="007C68E0" w:rsidP="007C68E0">
      <w:pPr>
        <w:spacing w:line="360" w:lineRule="auto"/>
        <w:jc w:val="both"/>
        <w:rPr>
          <w:rFonts w:eastAsia="Calibri"/>
          <w:lang w:val="en-US" w:eastAsia="en-US"/>
        </w:rPr>
      </w:pPr>
    </w:p>
    <w:p w14:paraId="56FD76D9" w14:textId="77777777" w:rsidR="007C68E0" w:rsidRPr="007C68E0" w:rsidRDefault="007C68E0" w:rsidP="007C68E0">
      <w:pPr>
        <w:spacing w:line="360" w:lineRule="auto"/>
        <w:jc w:val="both"/>
        <w:rPr>
          <w:rFonts w:eastAsia="Calibri"/>
          <w:b/>
          <w:lang w:val="en-US" w:eastAsia="en-US"/>
        </w:rPr>
      </w:pPr>
    </w:p>
    <w:p w14:paraId="54C546EF" w14:textId="77777777" w:rsidR="007C68E0" w:rsidRPr="007C68E0" w:rsidRDefault="007C68E0" w:rsidP="007C68E0">
      <w:pPr>
        <w:spacing w:line="360" w:lineRule="auto"/>
        <w:jc w:val="center"/>
        <w:rPr>
          <w:rFonts w:eastAsia="Calibri"/>
          <w:b/>
          <w:sz w:val="32"/>
          <w:szCs w:val="32"/>
          <w:lang w:val="en-US" w:eastAsia="en-US"/>
        </w:rPr>
      </w:pPr>
      <w:r w:rsidRPr="007C68E0">
        <w:rPr>
          <w:rFonts w:eastAsia="Calibri"/>
          <w:b/>
          <w:sz w:val="32"/>
          <w:szCs w:val="32"/>
          <w:lang w:val="en-US" w:eastAsia="en-US"/>
        </w:rPr>
        <w:t>INTRODUCTION</w:t>
      </w:r>
    </w:p>
    <w:p w14:paraId="2F3F3271"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Primary immune deficiencies (PIDs), also known as inborn errors of immunity (</w:t>
      </w:r>
      <w:proofErr w:type="spellStart"/>
      <w:r w:rsidRPr="007C68E0">
        <w:rPr>
          <w:rFonts w:eastAsia="Calibri"/>
          <w:lang w:val="en-US" w:eastAsia="en-US"/>
        </w:rPr>
        <w:t>IEI</w:t>
      </w:r>
      <w:proofErr w:type="spellEnd"/>
      <w:r w:rsidRPr="007C68E0">
        <w:rPr>
          <w:rFonts w:eastAsia="Calibri"/>
          <w:lang w:val="en-US" w:eastAsia="en-US"/>
        </w:rPr>
        <w:t>), are a large heterogeneous group of genetically based disorders that affect the proper functioning of the immune system.</w:t>
      </w:r>
    </w:p>
    <w:p w14:paraId="267ED6F2"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According to the most recent report by the International Union of Immunological Societies (IUIS), the identified </w:t>
      </w:r>
      <w:proofErr w:type="spellStart"/>
      <w:r w:rsidRPr="007C68E0">
        <w:rPr>
          <w:rFonts w:eastAsia="Calibri"/>
          <w:lang w:val="en-US" w:eastAsia="en-US"/>
        </w:rPr>
        <w:t>IEI</w:t>
      </w:r>
      <w:proofErr w:type="spellEnd"/>
      <w:r w:rsidRPr="007C68E0">
        <w:rPr>
          <w:rFonts w:eastAsia="Calibri"/>
          <w:lang w:val="en-US" w:eastAsia="en-US"/>
        </w:rPr>
        <w:t xml:space="preserve"> were classified in 10 groups: (a) immunodeficiencies that affect cell and humoral immunities; (b) immunodeficiencies combined with associated characteristics or syndromes; (c) predominantly antibody deficiencies; (d) immune dysregulation diseases; (e) quantitative or functional phagocyte defects; (f) innate immunity defects; (g) autoinflammatory diseases; (h) complement system deficiencies; (</w:t>
      </w:r>
      <w:proofErr w:type="spellStart"/>
      <w:r w:rsidRPr="007C68E0">
        <w:rPr>
          <w:rFonts w:eastAsia="Calibri"/>
          <w:lang w:val="en-US" w:eastAsia="en-US"/>
        </w:rPr>
        <w:t>i</w:t>
      </w:r>
      <w:proofErr w:type="spellEnd"/>
      <w:r w:rsidRPr="007C68E0">
        <w:rPr>
          <w:rFonts w:eastAsia="Calibri"/>
          <w:lang w:val="en-US" w:eastAsia="en-US"/>
        </w:rPr>
        <w:t xml:space="preserve">) bone marrow failure or insufficiency, and (j) </w:t>
      </w:r>
      <w:proofErr w:type="spellStart"/>
      <w:r w:rsidRPr="007C68E0">
        <w:rPr>
          <w:rFonts w:eastAsia="Calibri"/>
          <w:lang w:val="en-US" w:eastAsia="en-US"/>
        </w:rPr>
        <w:t>IEI</w:t>
      </w:r>
      <w:proofErr w:type="spellEnd"/>
      <w:r w:rsidRPr="007C68E0">
        <w:rPr>
          <w:rFonts w:eastAsia="Calibri"/>
          <w:lang w:val="en-US" w:eastAsia="en-US"/>
        </w:rPr>
        <w:t xml:space="preserve"> phenocopies.</w:t>
      </w:r>
      <w:r w:rsidRPr="007C68E0">
        <w:rPr>
          <w:rFonts w:eastAsia="Calibri"/>
          <w:vertAlign w:val="superscript"/>
          <w:lang w:val="en-US" w:eastAsia="en-US"/>
        </w:rPr>
        <w:t>(1)</w:t>
      </w:r>
    </w:p>
    <w:p w14:paraId="6B08B6B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lastRenderedPageBreak/>
        <w:t xml:space="preserve">PIDs can present from early childhood to adulthood and their clinical features are highly variable and include increased susceptibility to infections, lymphoid proliferation, association with allergies and autoimmune diseases, among others manifestations in variable combinations. Patients may be asymptomatic, present mild manifestations or to develop severe symptoms leading to their demise. Generally, the most severe, life-threatening conditions start in the first months of life, which has caused </w:t>
      </w:r>
      <w:proofErr w:type="spellStart"/>
      <w:r w:rsidRPr="007C68E0">
        <w:rPr>
          <w:rFonts w:eastAsia="Calibri"/>
          <w:lang w:val="en-US" w:eastAsia="en-US"/>
        </w:rPr>
        <w:t>IEI</w:t>
      </w:r>
      <w:proofErr w:type="spellEnd"/>
      <w:r w:rsidRPr="007C68E0">
        <w:rPr>
          <w:rFonts w:eastAsia="Calibri"/>
          <w:lang w:val="en-US" w:eastAsia="en-US"/>
        </w:rPr>
        <w:t xml:space="preserve"> to be mistakenly associated with exclusive childhood </w:t>
      </w:r>
      <w:proofErr w:type="gramStart"/>
      <w:r w:rsidRPr="007C68E0">
        <w:rPr>
          <w:rFonts w:eastAsia="Calibri"/>
          <w:lang w:val="en-US" w:eastAsia="en-US"/>
        </w:rPr>
        <w:t>diseases.</w:t>
      </w:r>
      <w:r w:rsidRPr="007C68E0">
        <w:rPr>
          <w:rFonts w:eastAsia="Calibri"/>
          <w:vertAlign w:val="superscript"/>
          <w:lang w:val="en-US" w:eastAsia="en-US"/>
        </w:rPr>
        <w:t>(</w:t>
      </w:r>
      <w:proofErr w:type="gramEnd"/>
      <w:r w:rsidRPr="007C68E0">
        <w:rPr>
          <w:rFonts w:eastAsia="Calibri"/>
          <w:vertAlign w:val="superscript"/>
          <w:lang w:val="en-US" w:eastAsia="en-US"/>
        </w:rPr>
        <w:t>2)</w:t>
      </w:r>
    </w:p>
    <w:p w14:paraId="48574CA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Also, PIDs have been historically considered as rare diseases, with low prevalence in general population. However, for the past years, molecular biology advances have led to the identification of new monogenic </w:t>
      </w:r>
      <w:proofErr w:type="spellStart"/>
      <w:r w:rsidRPr="007C68E0">
        <w:rPr>
          <w:rFonts w:eastAsia="Calibri"/>
          <w:lang w:val="en-US" w:eastAsia="en-US"/>
        </w:rPr>
        <w:t>IEI</w:t>
      </w:r>
      <w:proofErr w:type="spellEnd"/>
      <w:r w:rsidRPr="007C68E0">
        <w:rPr>
          <w:rFonts w:eastAsia="Calibri"/>
          <w:lang w:val="en-US" w:eastAsia="en-US"/>
        </w:rPr>
        <w:t xml:space="preserve"> and the description of novel phenotypes. The IUIS in their last classification update described over 400 PIDs, a number that is permanently increasing. In fact, the suspected worldwide incidence of these diseases ranges from 1/1 000 to 1/5000 births, depending on genetic background, environmental factors, social habits, and access to health </w:t>
      </w:r>
      <w:proofErr w:type="gramStart"/>
      <w:r w:rsidRPr="007C68E0">
        <w:rPr>
          <w:rFonts w:eastAsia="Calibri"/>
          <w:lang w:val="en-US" w:eastAsia="en-US"/>
        </w:rPr>
        <w:t>services.</w:t>
      </w:r>
      <w:r w:rsidRPr="007C68E0">
        <w:rPr>
          <w:rFonts w:eastAsia="Calibri"/>
          <w:vertAlign w:val="superscript"/>
          <w:lang w:val="en-US" w:eastAsia="en-US"/>
        </w:rPr>
        <w:t>(</w:t>
      </w:r>
      <w:proofErr w:type="gramEnd"/>
      <w:r w:rsidRPr="007C68E0">
        <w:rPr>
          <w:rFonts w:eastAsia="Calibri"/>
          <w:vertAlign w:val="superscript"/>
          <w:lang w:val="en-US" w:eastAsia="en-US"/>
        </w:rPr>
        <w:t>1)</w:t>
      </w:r>
      <w:r w:rsidRPr="007C68E0">
        <w:rPr>
          <w:rFonts w:eastAsia="Calibri"/>
          <w:lang w:val="en-US" w:eastAsia="en-US"/>
        </w:rPr>
        <w:t xml:space="preserve">  In Cuba, 337 patients with inborn errors of immunity have been reported until 2019.</w:t>
      </w:r>
      <w:r w:rsidRPr="007C68E0">
        <w:rPr>
          <w:rFonts w:eastAsia="Calibri"/>
          <w:vertAlign w:val="superscript"/>
          <w:lang w:val="en-US" w:eastAsia="en-US"/>
        </w:rPr>
        <w:t>(3)</w:t>
      </w:r>
      <w:r w:rsidRPr="007C68E0">
        <w:rPr>
          <w:rFonts w:eastAsia="Calibri"/>
          <w:lang w:val="en-US" w:eastAsia="en-US"/>
        </w:rPr>
        <w:t xml:space="preserve">  </w:t>
      </w:r>
    </w:p>
    <w:p w14:paraId="58253E6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remarkable clinical variability, along with the high cost of the diagnosis of PIDs, contributes to turning their identification into a challenging task, particularly in developing countries, where statistics are likely underestimated and, consequently, a great number of patients remain untreated. Hence, clinical immunologists ought to address the report of PIDs as a mission of paramount importance. </w:t>
      </w:r>
    </w:p>
    <w:p w14:paraId="27D88A34"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 high index of suspicion is required for early diagnosis; understanding the clinical features and particularities of PIDs presentation is key to raise awareness of these conditions in medical professionals and to ensure that patients with inborn errors of immunity receive proper sanitary care, therefore reducing morbidity and mortality rates, hospitalization and treatments costs and optimizing the use of resources. On the other hand, epidemiological studies of PIDs may help shed some light over the immune pathogenic mechanisms of these diseases, uncover public health blind spots to respond to </w:t>
      </w:r>
      <w:proofErr w:type="gramStart"/>
      <w:r w:rsidRPr="007C68E0">
        <w:rPr>
          <w:rFonts w:eastAsia="Calibri"/>
          <w:lang w:val="en-US" w:eastAsia="en-US"/>
        </w:rPr>
        <w:t>patients</w:t>
      </w:r>
      <w:proofErr w:type="gramEnd"/>
      <w:r w:rsidRPr="007C68E0">
        <w:rPr>
          <w:rFonts w:eastAsia="Calibri"/>
          <w:lang w:val="en-US" w:eastAsia="en-US"/>
        </w:rPr>
        <w:t xml:space="preserve"> necessities and to develop customized strategies to manage these patients nationwide.  </w:t>
      </w:r>
    </w:p>
    <w:p w14:paraId="393AC5FB" w14:textId="77777777" w:rsidR="007C68E0" w:rsidRPr="007C68E0" w:rsidRDefault="007C68E0" w:rsidP="007C68E0">
      <w:pPr>
        <w:spacing w:line="360" w:lineRule="auto"/>
        <w:jc w:val="both"/>
        <w:rPr>
          <w:rFonts w:eastAsia="Calibri"/>
          <w:b/>
          <w:lang w:val="en-US" w:eastAsia="en-US"/>
        </w:rPr>
      </w:pPr>
      <w:r w:rsidRPr="007C68E0">
        <w:rPr>
          <w:rFonts w:eastAsia="Calibri"/>
          <w:lang w:val="en-US" w:eastAsia="en-US"/>
        </w:rPr>
        <w:t xml:space="preserve">Therefore, the objective of this research was to characterize clinically and demographically patients diagnosed with primary immunodeficiencies. </w:t>
      </w:r>
    </w:p>
    <w:p w14:paraId="1ECA06E7" w14:textId="77777777" w:rsidR="007C68E0" w:rsidRPr="007C68E0" w:rsidRDefault="007C68E0" w:rsidP="007C68E0">
      <w:pPr>
        <w:spacing w:line="360" w:lineRule="auto"/>
        <w:jc w:val="both"/>
        <w:rPr>
          <w:rFonts w:eastAsia="Calibri"/>
          <w:b/>
          <w:lang w:val="en-US" w:eastAsia="en-US"/>
        </w:rPr>
      </w:pPr>
    </w:p>
    <w:p w14:paraId="477781CB" w14:textId="77777777" w:rsidR="007C68E0" w:rsidRPr="007C68E0" w:rsidRDefault="007C68E0" w:rsidP="007C68E0">
      <w:pPr>
        <w:spacing w:line="360" w:lineRule="auto"/>
        <w:jc w:val="center"/>
        <w:rPr>
          <w:rFonts w:eastAsia="Calibri"/>
          <w:b/>
          <w:lang w:val="en-US" w:eastAsia="en-US"/>
        </w:rPr>
      </w:pPr>
    </w:p>
    <w:p w14:paraId="4EBB1339" w14:textId="77777777" w:rsidR="007C68E0" w:rsidRPr="007C68E0" w:rsidRDefault="007C68E0" w:rsidP="007C68E0">
      <w:pPr>
        <w:spacing w:line="360" w:lineRule="auto"/>
        <w:jc w:val="center"/>
        <w:rPr>
          <w:rFonts w:eastAsia="Calibri"/>
          <w:b/>
          <w:sz w:val="32"/>
          <w:szCs w:val="32"/>
          <w:lang w:val="en-US" w:eastAsia="en-US"/>
        </w:rPr>
      </w:pPr>
      <w:r w:rsidRPr="007C68E0">
        <w:rPr>
          <w:rFonts w:eastAsia="Calibri"/>
          <w:b/>
          <w:sz w:val="32"/>
          <w:szCs w:val="32"/>
          <w:lang w:val="en-US" w:eastAsia="en-US"/>
        </w:rPr>
        <w:lastRenderedPageBreak/>
        <w:t>METHODS</w:t>
      </w:r>
    </w:p>
    <w:p w14:paraId="79DD60A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 cross-sectional, descriptive, retrospective case series study was carried out with 39 patients of both sexes, who were treated at the Immuno-allergy service of the Outpatient Medical Centre attached to the "Carlos Manuel de Cespedes" Provincial Hospital of Bayamo, Granma province, diagnosed with primary immunodeficiency according to the last classification of the IUIS of </w:t>
      </w:r>
      <w:proofErr w:type="gramStart"/>
      <w:r w:rsidRPr="007C68E0">
        <w:rPr>
          <w:rFonts w:eastAsia="Calibri"/>
          <w:lang w:val="en-US" w:eastAsia="en-US"/>
        </w:rPr>
        <w:t>2020,</w:t>
      </w:r>
      <w:r w:rsidRPr="007C68E0">
        <w:rPr>
          <w:rFonts w:eastAsia="Calibri"/>
          <w:vertAlign w:val="superscript"/>
          <w:lang w:val="en-US" w:eastAsia="en-US"/>
        </w:rPr>
        <w:t>(</w:t>
      </w:r>
      <w:proofErr w:type="gramEnd"/>
      <w:r w:rsidRPr="007C68E0">
        <w:rPr>
          <w:rFonts w:eastAsia="Calibri"/>
          <w:vertAlign w:val="superscript"/>
          <w:lang w:val="en-US" w:eastAsia="en-US"/>
        </w:rPr>
        <w:t>1)</w:t>
      </w:r>
      <w:r w:rsidRPr="007C68E0">
        <w:rPr>
          <w:rFonts w:eastAsia="Calibri"/>
          <w:lang w:val="en-US" w:eastAsia="en-US"/>
        </w:rPr>
        <w:t xml:space="preserve"> in the period of January 2012 to December 2021. </w:t>
      </w:r>
    </w:p>
    <w:p w14:paraId="3CD2A710"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characterization of these patients was carried out through variables: </w:t>
      </w:r>
    </w:p>
    <w:p w14:paraId="785FDEF6" w14:textId="77777777" w:rsidR="007C68E0" w:rsidRPr="007C68E0" w:rsidRDefault="007C68E0" w:rsidP="007C68E0">
      <w:pPr>
        <w:spacing w:line="360" w:lineRule="auto"/>
        <w:jc w:val="both"/>
        <w:rPr>
          <w:rFonts w:eastAsia="Calibri"/>
          <w:lang w:val="en-US" w:eastAsia="en-US"/>
        </w:rPr>
      </w:pPr>
    </w:p>
    <w:p w14:paraId="10F96E85" w14:textId="77777777" w:rsidR="007C68E0" w:rsidRPr="007C68E0" w:rsidRDefault="007C68E0" w:rsidP="007C68E0">
      <w:pPr>
        <w:numPr>
          <w:ilvl w:val="0"/>
          <w:numId w:val="2"/>
        </w:numPr>
        <w:spacing w:after="160" w:line="360" w:lineRule="auto"/>
        <w:contextualSpacing/>
        <w:jc w:val="both"/>
        <w:rPr>
          <w:rFonts w:eastAsia="Calibri"/>
          <w:lang w:val="en-US" w:eastAsia="en-US"/>
        </w:rPr>
      </w:pPr>
      <w:r w:rsidRPr="007C68E0">
        <w:rPr>
          <w:rFonts w:eastAsia="Calibri"/>
          <w:lang w:val="en-US" w:eastAsia="en-US"/>
        </w:rPr>
        <w:t>Age (of symptoms onset, diagnosis, and diagnosis delay: lapse of time between the appearance of the first symptoms and the immunology diagnosis).</w:t>
      </w:r>
    </w:p>
    <w:p w14:paraId="4C118E33" w14:textId="77777777" w:rsidR="007C68E0" w:rsidRPr="007C68E0" w:rsidRDefault="007C68E0" w:rsidP="007C68E0">
      <w:pPr>
        <w:numPr>
          <w:ilvl w:val="0"/>
          <w:numId w:val="2"/>
        </w:numPr>
        <w:spacing w:after="160" w:line="360" w:lineRule="auto"/>
        <w:contextualSpacing/>
        <w:jc w:val="both"/>
        <w:rPr>
          <w:rFonts w:eastAsia="Calibri"/>
          <w:lang w:val="en-US" w:eastAsia="en-US"/>
        </w:rPr>
      </w:pPr>
      <w:r w:rsidRPr="007C68E0">
        <w:rPr>
          <w:rFonts w:eastAsia="Calibri"/>
          <w:lang w:val="en-US" w:eastAsia="en-US"/>
        </w:rPr>
        <w:t>Sex.</w:t>
      </w:r>
    </w:p>
    <w:p w14:paraId="588928F8" w14:textId="77777777" w:rsidR="007C68E0" w:rsidRPr="007C68E0" w:rsidRDefault="007C68E0" w:rsidP="007C68E0">
      <w:pPr>
        <w:numPr>
          <w:ilvl w:val="0"/>
          <w:numId w:val="2"/>
        </w:numPr>
        <w:spacing w:after="160" w:line="360" w:lineRule="auto"/>
        <w:contextualSpacing/>
        <w:jc w:val="both"/>
        <w:rPr>
          <w:rFonts w:eastAsia="Calibri"/>
          <w:lang w:val="en-US" w:eastAsia="en-US"/>
        </w:rPr>
      </w:pPr>
      <w:r w:rsidRPr="007C68E0">
        <w:rPr>
          <w:rFonts w:eastAsia="Calibri"/>
          <w:lang w:val="en-US" w:eastAsia="en-US"/>
        </w:rPr>
        <w:t>Family history.</w:t>
      </w:r>
    </w:p>
    <w:p w14:paraId="20F5A842" w14:textId="77777777" w:rsidR="007C68E0" w:rsidRPr="007C68E0" w:rsidRDefault="007C68E0" w:rsidP="007C68E0">
      <w:pPr>
        <w:numPr>
          <w:ilvl w:val="0"/>
          <w:numId w:val="2"/>
        </w:numPr>
        <w:spacing w:after="160" w:line="360" w:lineRule="auto"/>
        <w:contextualSpacing/>
        <w:jc w:val="both"/>
        <w:rPr>
          <w:rFonts w:eastAsia="Calibri"/>
          <w:lang w:val="en-US" w:eastAsia="en-US"/>
        </w:rPr>
      </w:pPr>
      <w:r w:rsidRPr="007C68E0">
        <w:rPr>
          <w:rFonts w:eastAsia="Calibri"/>
          <w:lang w:val="en-US" w:eastAsia="en-US"/>
        </w:rPr>
        <w:t>Clinical manifestations.</w:t>
      </w:r>
    </w:p>
    <w:p w14:paraId="0B44B09D" w14:textId="77777777" w:rsidR="007C68E0" w:rsidRPr="007C68E0" w:rsidRDefault="007C68E0" w:rsidP="007C68E0">
      <w:pPr>
        <w:numPr>
          <w:ilvl w:val="0"/>
          <w:numId w:val="2"/>
        </w:numPr>
        <w:spacing w:after="160" w:line="360" w:lineRule="auto"/>
        <w:contextualSpacing/>
        <w:jc w:val="both"/>
        <w:rPr>
          <w:rFonts w:eastAsia="Calibri"/>
          <w:lang w:val="en-US" w:eastAsia="en-US"/>
        </w:rPr>
      </w:pPr>
      <w:r w:rsidRPr="007C68E0">
        <w:rPr>
          <w:rFonts w:eastAsia="Calibri"/>
          <w:lang w:val="en-US" w:eastAsia="en-US"/>
        </w:rPr>
        <w:t xml:space="preserve">Type of </w:t>
      </w:r>
      <w:proofErr w:type="spellStart"/>
      <w:r w:rsidRPr="007C68E0">
        <w:rPr>
          <w:rFonts w:eastAsia="Calibri"/>
          <w:lang w:val="en-US" w:eastAsia="en-US"/>
        </w:rPr>
        <w:t>PID</w:t>
      </w:r>
      <w:proofErr w:type="spellEnd"/>
      <w:r w:rsidRPr="007C68E0">
        <w:rPr>
          <w:rFonts w:eastAsia="Calibri"/>
          <w:lang w:val="en-US" w:eastAsia="en-US"/>
        </w:rPr>
        <w:t xml:space="preserve"> (classified according to the IUIS of 2020, from which the diagnostic criteria for primary immunodeficiency were </w:t>
      </w:r>
      <w:proofErr w:type="gramStart"/>
      <w:r w:rsidRPr="007C68E0">
        <w:rPr>
          <w:rFonts w:eastAsia="Calibri"/>
          <w:lang w:val="en-US" w:eastAsia="en-US"/>
        </w:rPr>
        <w:t>taken.</w:t>
      </w:r>
      <w:r w:rsidRPr="007C68E0">
        <w:rPr>
          <w:rFonts w:eastAsia="Calibri"/>
          <w:vertAlign w:val="superscript"/>
          <w:lang w:val="en-US" w:eastAsia="en-US"/>
        </w:rPr>
        <w:t>(</w:t>
      </w:r>
      <w:proofErr w:type="gramEnd"/>
      <w:r w:rsidRPr="007C68E0">
        <w:rPr>
          <w:rFonts w:eastAsia="Calibri"/>
          <w:vertAlign w:val="superscript"/>
          <w:lang w:val="en-US" w:eastAsia="en-US"/>
        </w:rPr>
        <w:t>1)</w:t>
      </w:r>
    </w:p>
    <w:p w14:paraId="65383932" w14:textId="77777777" w:rsidR="007C68E0" w:rsidRPr="007C68E0" w:rsidRDefault="007C68E0" w:rsidP="007C68E0">
      <w:pPr>
        <w:spacing w:line="360" w:lineRule="auto"/>
        <w:jc w:val="both"/>
        <w:rPr>
          <w:rFonts w:eastAsia="Calibri"/>
          <w:lang w:val="en-US" w:eastAsia="en-US"/>
        </w:rPr>
      </w:pPr>
    </w:p>
    <w:p w14:paraId="38F71BEA"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Data were collected from the medical records and from the questioning of parents and patients. The following methods were applied to obtain the data: observation, measurement and clinical method. The statistical methods used were the mean for ages, and for the rest of the variables absolute and relative frequencies. The information obtained was processed through IBM SPSS 25.0 statistic program. </w:t>
      </w:r>
    </w:p>
    <w:p w14:paraId="7AF6B74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To carry out this research, approval was received from the Ethics Committee of the Center, and the subsequent consent of those selected (or legal guardians, in the case of minors).</w:t>
      </w:r>
    </w:p>
    <w:p w14:paraId="65E2CFE6" w14:textId="77777777" w:rsidR="007C68E0" w:rsidRPr="007C68E0" w:rsidRDefault="007C68E0" w:rsidP="007C68E0">
      <w:pPr>
        <w:spacing w:line="360" w:lineRule="auto"/>
        <w:jc w:val="both"/>
        <w:rPr>
          <w:rFonts w:eastAsia="Calibri"/>
          <w:lang w:val="en-US" w:eastAsia="en-US"/>
        </w:rPr>
      </w:pPr>
    </w:p>
    <w:p w14:paraId="494E9CF8" w14:textId="77777777" w:rsidR="007C68E0" w:rsidRPr="007C68E0" w:rsidRDefault="007C68E0" w:rsidP="007C68E0">
      <w:pPr>
        <w:spacing w:line="360" w:lineRule="auto"/>
        <w:jc w:val="center"/>
        <w:rPr>
          <w:rFonts w:eastAsia="Calibri"/>
          <w:b/>
          <w:lang w:val="en-US" w:eastAsia="en-US"/>
        </w:rPr>
      </w:pPr>
    </w:p>
    <w:p w14:paraId="67E8BDF1" w14:textId="77777777" w:rsidR="007C68E0" w:rsidRPr="007C68E0" w:rsidRDefault="007C68E0" w:rsidP="007C68E0">
      <w:pPr>
        <w:spacing w:line="360" w:lineRule="auto"/>
        <w:jc w:val="center"/>
        <w:rPr>
          <w:rFonts w:eastAsia="Calibri"/>
          <w:b/>
          <w:sz w:val="32"/>
          <w:szCs w:val="32"/>
          <w:lang w:val="en-US" w:eastAsia="en-US"/>
        </w:rPr>
      </w:pPr>
      <w:r w:rsidRPr="007C68E0">
        <w:rPr>
          <w:rFonts w:eastAsia="Calibri"/>
          <w:b/>
          <w:sz w:val="32"/>
          <w:szCs w:val="32"/>
          <w:lang w:val="en-US" w:eastAsia="en-US"/>
        </w:rPr>
        <w:t>RESULTS</w:t>
      </w:r>
    </w:p>
    <w:p w14:paraId="66CBBD4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Out of the 39 </w:t>
      </w:r>
      <w:proofErr w:type="spellStart"/>
      <w:r w:rsidRPr="007C68E0">
        <w:rPr>
          <w:rFonts w:eastAsia="Calibri"/>
          <w:lang w:val="en-US" w:eastAsia="en-US"/>
        </w:rPr>
        <w:t>PID</w:t>
      </w:r>
      <w:proofErr w:type="spellEnd"/>
      <w:r w:rsidRPr="007C68E0">
        <w:rPr>
          <w:rFonts w:eastAsia="Calibri"/>
          <w:lang w:val="en-US" w:eastAsia="en-US"/>
        </w:rPr>
        <w:t xml:space="preserve"> cases, 23 (59%) were males and 16 females (41%), with a female/male ratio of 1:1.44. Besides, 28 patients were children under age of 18, representing a 71.79% of the sample. </w:t>
      </w:r>
    </w:p>
    <w:p w14:paraId="312A7C15"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lastRenderedPageBreak/>
        <w:t xml:space="preserve">The age of symptoms onset ranged from one month of life, in a patient with DiGeorge Syndrome, to 37 years in a case of IgG Deficiency, with a mean of 6.31 years. In children, the mean age of onset was 28 months. </w:t>
      </w:r>
    </w:p>
    <w:p w14:paraId="45E6F92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average age of diagnosis was 11.89 years; two cases of Common Variable Immune Deficiency (CVID) were diagnosed at advanced age, between 54 and 62 years of age. Age of diagnosis in children was 3.88 years, in average. </w:t>
      </w:r>
    </w:p>
    <w:p w14:paraId="48F26BD2"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The diagnosis</w:t>
      </w:r>
      <w:r w:rsidRPr="007C68E0">
        <w:rPr>
          <w:bCs/>
          <w:color w:val="000000"/>
          <w:lang w:val="en-US" w:eastAsia="en-US"/>
        </w:rPr>
        <w:t xml:space="preserve"> delay</w:t>
      </w:r>
      <w:r w:rsidRPr="007C68E0">
        <w:rPr>
          <w:b/>
          <w:bCs/>
          <w:color w:val="000000"/>
          <w:lang w:val="en-US" w:eastAsia="en-US"/>
        </w:rPr>
        <w:t xml:space="preserve"> </w:t>
      </w:r>
      <w:r w:rsidRPr="007C68E0">
        <w:rPr>
          <w:rFonts w:eastAsia="Calibri"/>
          <w:lang w:val="en-US" w:eastAsia="en-US"/>
        </w:rPr>
        <w:t xml:space="preserve">was an average of 5.6 years. In children, this mean delay in diagnosis was 19.5 months. </w:t>
      </w:r>
    </w:p>
    <w:p w14:paraId="171F38C6"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According to their clinical manifestations, patients that presented with recurrent infections were diagnosed with a mean delay of 7 years, while those that also reported allergic symptoms had a diagnosis delay of 1.5 years. Patients with recurrent infections, allergies and autoimmune disorders had a diagnosis delay of 10.2 years, and those that presented with autoimmunity as a sole manifestation showed a delay in diagnosis of 14 years.  </w:t>
      </w:r>
    </w:p>
    <w:p w14:paraId="23D1C379"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Patients with common variable immune deficiency had the highest mean age of diagnosis, onset and the longest diagnosis delay period (table 1).</w:t>
      </w:r>
    </w:p>
    <w:p w14:paraId="4144ADA2" w14:textId="77777777" w:rsidR="007C68E0" w:rsidRPr="007C68E0" w:rsidRDefault="007C68E0" w:rsidP="007C68E0">
      <w:pPr>
        <w:spacing w:line="360" w:lineRule="auto"/>
        <w:jc w:val="both"/>
        <w:rPr>
          <w:rFonts w:eastAsia="Calibri"/>
          <w:lang w:val="en-US" w:eastAsia="en-US"/>
        </w:rPr>
      </w:pPr>
    </w:p>
    <w:p w14:paraId="02C5EDEE" w14:textId="77777777" w:rsidR="007C68E0" w:rsidRPr="007C68E0" w:rsidRDefault="007C68E0" w:rsidP="007C68E0">
      <w:pPr>
        <w:spacing w:line="360" w:lineRule="auto"/>
        <w:jc w:val="center"/>
        <w:rPr>
          <w:rFonts w:eastAsia="Calibri"/>
          <w:bCs/>
          <w:sz w:val="22"/>
          <w:szCs w:val="22"/>
          <w:lang w:val="en-US" w:eastAsia="en-US"/>
        </w:rPr>
      </w:pPr>
      <w:r w:rsidRPr="007C68E0">
        <w:rPr>
          <w:rFonts w:eastAsia="Calibri"/>
          <w:b/>
          <w:sz w:val="22"/>
          <w:szCs w:val="22"/>
          <w:lang w:val="en-US" w:eastAsia="en-US"/>
        </w:rPr>
        <w:t xml:space="preserve">Table 1 - </w:t>
      </w:r>
      <w:r w:rsidRPr="007C68E0">
        <w:rPr>
          <w:rFonts w:eastAsia="Calibri"/>
          <w:bCs/>
          <w:sz w:val="22"/>
          <w:szCs w:val="22"/>
          <w:lang w:val="en-US" w:eastAsia="en-US"/>
        </w:rPr>
        <w:t>Age of diagnosis, onset and diagnosis delay of PIDs</w:t>
      </w:r>
    </w:p>
    <w:tbl>
      <w:tblPr>
        <w:tblW w:w="9493" w:type="dxa"/>
        <w:jc w:val="center"/>
        <w:tblLook w:val="04A0" w:firstRow="1" w:lastRow="0" w:firstColumn="1" w:lastColumn="0" w:noHBand="0" w:noVBand="1"/>
      </w:tblPr>
      <w:tblGrid>
        <w:gridCol w:w="3964"/>
        <w:gridCol w:w="2127"/>
        <w:gridCol w:w="1559"/>
        <w:gridCol w:w="1843"/>
      </w:tblGrid>
      <w:tr w:rsidR="007C68E0" w:rsidRPr="007C68E0" w14:paraId="3F5077E2" w14:textId="77777777" w:rsidTr="00CB5128">
        <w:trPr>
          <w:trHeight w:val="60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E458146" w14:textId="77777777" w:rsidR="007C68E0" w:rsidRPr="007C68E0" w:rsidRDefault="007C68E0" w:rsidP="007C68E0">
            <w:pPr>
              <w:spacing w:line="360" w:lineRule="auto"/>
              <w:jc w:val="center"/>
              <w:rPr>
                <w:b/>
                <w:bCs/>
                <w:color w:val="000000"/>
                <w:sz w:val="18"/>
                <w:szCs w:val="18"/>
                <w:lang w:val="en-US" w:eastAsia="en-US"/>
              </w:rPr>
            </w:pPr>
            <w:r w:rsidRPr="007C68E0">
              <w:rPr>
                <w:b/>
                <w:bCs/>
                <w:color w:val="000000"/>
                <w:sz w:val="18"/>
                <w:szCs w:val="18"/>
                <w:lang w:val="en-US" w:eastAsia="en-US"/>
              </w:rPr>
              <w:t>Primary Immune Deficiency</w:t>
            </w:r>
          </w:p>
        </w:tc>
        <w:tc>
          <w:tcPr>
            <w:tcW w:w="2127" w:type="dxa"/>
            <w:tcBorders>
              <w:top w:val="single" w:sz="4" w:space="0" w:color="auto"/>
              <w:left w:val="nil"/>
              <w:bottom w:val="single" w:sz="4" w:space="0" w:color="auto"/>
              <w:right w:val="single" w:sz="4" w:space="0" w:color="auto"/>
            </w:tcBorders>
            <w:shd w:val="clear" w:color="auto" w:fill="auto"/>
            <w:vAlign w:val="center"/>
          </w:tcPr>
          <w:p w14:paraId="4B7D5504" w14:textId="77777777" w:rsidR="007C68E0" w:rsidRPr="007C68E0" w:rsidRDefault="007C68E0" w:rsidP="007C68E0">
            <w:pPr>
              <w:spacing w:line="360" w:lineRule="auto"/>
              <w:ind w:firstLine="31"/>
              <w:jc w:val="center"/>
              <w:rPr>
                <w:b/>
                <w:bCs/>
                <w:color w:val="000000"/>
                <w:sz w:val="18"/>
                <w:szCs w:val="18"/>
                <w:lang w:val="en-US" w:eastAsia="en-US"/>
              </w:rPr>
            </w:pPr>
            <w:r w:rsidRPr="007C68E0">
              <w:rPr>
                <w:b/>
                <w:bCs/>
                <w:color w:val="000000"/>
                <w:sz w:val="18"/>
                <w:szCs w:val="18"/>
                <w:lang w:val="en-US" w:eastAsia="en-US"/>
              </w:rPr>
              <w:t xml:space="preserve">Mean </w:t>
            </w:r>
            <w:r w:rsidRPr="007C68E0">
              <w:rPr>
                <w:rFonts w:eastAsia="Calibri"/>
                <w:b/>
                <w:bCs/>
                <w:sz w:val="18"/>
                <w:szCs w:val="18"/>
                <w:lang w:val="en-US" w:eastAsia="en-US"/>
              </w:rPr>
              <w:t>age of symptoms onset</w:t>
            </w:r>
            <w:r w:rsidRPr="007C68E0">
              <w:rPr>
                <w:b/>
                <w:bCs/>
                <w:color w:val="000000"/>
                <w:sz w:val="18"/>
                <w:szCs w:val="18"/>
                <w:lang w:val="en-US" w:eastAsia="en-US"/>
              </w:rPr>
              <w:t xml:space="preserve"> (years/months)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334B4E" w14:textId="77777777" w:rsidR="007C68E0" w:rsidRPr="007C68E0" w:rsidRDefault="007C68E0" w:rsidP="007C68E0">
            <w:pPr>
              <w:spacing w:line="360" w:lineRule="auto"/>
              <w:jc w:val="center"/>
              <w:rPr>
                <w:b/>
                <w:bCs/>
                <w:color w:val="000000"/>
                <w:sz w:val="18"/>
                <w:szCs w:val="18"/>
                <w:lang w:val="en-US" w:eastAsia="en-US"/>
              </w:rPr>
            </w:pPr>
            <w:r w:rsidRPr="007C68E0">
              <w:rPr>
                <w:b/>
                <w:bCs/>
                <w:color w:val="000000"/>
                <w:sz w:val="18"/>
                <w:szCs w:val="18"/>
                <w:lang w:val="en-US" w:eastAsia="en-US"/>
              </w:rPr>
              <w:t>Mean age of diagnosis (years)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DCA270" w14:textId="77777777" w:rsidR="007C68E0" w:rsidRPr="007C68E0" w:rsidRDefault="007C68E0" w:rsidP="007C68E0">
            <w:pPr>
              <w:spacing w:line="360" w:lineRule="auto"/>
              <w:jc w:val="center"/>
              <w:rPr>
                <w:b/>
                <w:bCs/>
                <w:color w:val="000000"/>
                <w:sz w:val="18"/>
                <w:szCs w:val="18"/>
                <w:lang w:val="en-US" w:eastAsia="en-US"/>
              </w:rPr>
            </w:pPr>
            <w:r w:rsidRPr="007C68E0">
              <w:rPr>
                <w:b/>
                <w:bCs/>
                <w:color w:val="000000"/>
                <w:sz w:val="18"/>
                <w:szCs w:val="18"/>
                <w:lang w:val="en-US" w:eastAsia="en-US"/>
              </w:rPr>
              <w:t>Mean diagnosis delay (years/months)</w:t>
            </w:r>
          </w:p>
        </w:tc>
      </w:tr>
      <w:tr w:rsidR="007C68E0" w:rsidRPr="007C68E0" w14:paraId="78502DC8" w14:textId="77777777" w:rsidTr="00CB5128">
        <w:trPr>
          <w:trHeight w:val="32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D13E0BD"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X-linked agammaglobulinemia</w:t>
            </w:r>
          </w:p>
        </w:tc>
        <w:tc>
          <w:tcPr>
            <w:tcW w:w="2127" w:type="dxa"/>
            <w:tcBorders>
              <w:top w:val="nil"/>
              <w:left w:val="nil"/>
              <w:bottom w:val="single" w:sz="4" w:space="0" w:color="auto"/>
              <w:right w:val="single" w:sz="4" w:space="0" w:color="auto"/>
            </w:tcBorders>
            <w:shd w:val="clear" w:color="auto" w:fill="auto"/>
            <w:noWrap/>
            <w:vAlign w:val="center"/>
          </w:tcPr>
          <w:p w14:paraId="4EA158A6"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0.25/3</w:t>
            </w:r>
          </w:p>
        </w:tc>
        <w:tc>
          <w:tcPr>
            <w:tcW w:w="1559" w:type="dxa"/>
            <w:tcBorders>
              <w:top w:val="nil"/>
              <w:left w:val="nil"/>
              <w:bottom w:val="single" w:sz="4" w:space="0" w:color="auto"/>
              <w:right w:val="single" w:sz="4" w:space="0" w:color="auto"/>
            </w:tcBorders>
            <w:shd w:val="clear" w:color="auto" w:fill="auto"/>
            <w:noWrap/>
            <w:vAlign w:val="center"/>
          </w:tcPr>
          <w:p w14:paraId="1ED2B5AB"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4</w:t>
            </w:r>
          </w:p>
        </w:tc>
        <w:tc>
          <w:tcPr>
            <w:tcW w:w="1843" w:type="dxa"/>
            <w:tcBorders>
              <w:top w:val="nil"/>
              <w:left w:val="nil"/>
              <w:bottom w:val="single" w:sz="4" w:space="0" w:color="auto"/>
              <w:right w:val="single" w:sz="4" w:space="0" w:color="auto"/>
            </w:tcBorders>
            <w:shd w:val="clear" w:color="auto" w:fill="auto"/>
            <w:noWrap/>
            <w:vAlign w:val="center"/>
          </w:tcPr>
          <w:p w14:paraId="1490210A"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3.75/45</w:t>
            </w:r>
          </w:p>
        </w:tc>
      </w:tr>
      <w:tr w:rsidR="007C68E0" w:rsidRPr="007C68E0" w14:paraId="30DF4508" w14:textId="77777777" w:rsidTr="00CB5128">
        <w:trPr>
          <w:trHeight w:val="33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6F957DB"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Chronic granulomatous disease</w:t>
            </w:r>
          </w:p>
        </w:tc>
        <w:tc>
          <w:tcPr>
            <w:tcW w:w="2127" w:type="dxa"/>
            <w:tcBorders>
              <w:top w:val="nil"/>
              <w:left w:val="nil"/>
              <w:bottom w:val="single" w:sz="4" w:space="0" w:color="auto"/>
              <w:right w:val="single" w:sz="4" w:space="0" w:color="auto"/>
            </w:tcBorders>
            <w:shd w:val="clear" w:color="auto" w:fill="auto"/>
            <w:noWrap/>
            <w:vAlign w:val="center"/>
          </w:tcPr>
          <w:p w14:paraId="16AC2C53"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2/24</w:t>
            </w:r>
          </w:p>
        </w:tc>
        <w:tc>
          <w:tcPr>
            <w:tcW w:w="1559" w:type="dxa"/>
            <w:tcBorders>
              <w:top w:val="nil"/>
              <w:left w:val="nil"/>
              <w:bottom w:val="single" w:sz="4" w:space="0" w:color="auto"/>
              <w:right w:val="single" w:sz="4" w:space="0" w:color="auto"/>
            </w:tcBorders>
            <w:shd w:val="clear" w:color="auto" w:fill="auto"/>
            <w:noWrap/>
            <w:vAlign w:val="center"/>
          </w:tcPr>
          <w:p w14:paraId="662D35BB"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12</w:t>
            </w:r>
          </w:p>
        </w:tc>
        <w:tc>
          <w:tcPr>
            <w:tcW w:w="1843" w:type="dxa"/>
            <w:tcBorders>
              <w:top w:val="nil"/>
              <w:left w:val="nil"/>
              <w:bottom w:val="single" w:sz="4" w:space="0" w:color="auto"/>
              <w:right w:val="single" w:sz="4" w:space="0" w:color="auto"/>
            </w:tcBorders>
            <w:shd w:val="clear" w:color="auto" w:fill="auto"/>
            <w:noWrap/>
            <w:vAlign w:val="center"/>
          </w:tcPr>
          <w:p w14:paraId="6F732F02"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10/120</w:t>
            </w:r>
          </w:p>
        </w:tc>
      </w:tr>
      <w:tr w:rsidR="007C68E0" w:rsidRPr="007C68E0" w14:paraId="431EA019" w14:textId="77777777" w:rsidTr="00CB5128">
        <w:trPr>
          <w:trHeight w:val="128"/>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0680D91"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Mucocutaneous candidiasis</w:t>
            </w:r>
          </w:p>
        </w:tc>
        <w:tc>
          <w:tcPr>
            <w:tcW w:w="2127" w:type="dxa"/>
            <w:tcBorders>
              <w:top w:val="nil"/>
              <w:left w:val="nil"/>
              <w:bottom w:val="single" w:sz="4" w:space="0" w:color="auto"/>
              <w:right w:val="single" w:sz="4" w:space="0" w:color="auto"/>
            </w:tcBorders>
            <w:shd w:val="clear" w:color="auto" w:fill="auto"/>
            <w:noWrap/>
            <w:vAlign w:val="center"/>
          </w:tcPr>
          <w:p w14:paraId="32DD15FE"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8/96</w:t>
            </w:r>
          </w:p>
        </w:tc>
        <w:tc>
          <w:tcPr>
            <w:tcW w:w="1559" w:type="dxa"/>
            <w:tcBorders>
              <w:top w:val="nil"/>
              <w:left w:val="nil"/>
              <w:bottom w:val="single" w:sz="4" w:space="0" w:color="auto"/>
              <w:right w:val="single" w:sz="4" w:space="0" w:color="auto"/>
            </w:tcBorders>
            <w:shd w:val="clear" w:color="auto" w:fill="auto"/>
            <w:noWrap/>
            <w:vAlign w:val="center"/>
          </w:tcPr>
          <w:p w14:paraId="66A19274"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13</w:t>
            </w:r>
          </w:p>
        </w:tc>
        <w:tc>
          <w:tcPr>
            <w:tcW w:w="1843" w:type="dxa"/>
            <w:tcBorders>
              <w:top w:val="nil"/>
              <w:left w:val="nil"/>
              <w:bottom w:val="single" w:sz="4" w:space="0" w:color="auto"/>
              <w:right w:val="single" w:sz="4" w:space="0" w:color="auto"/>
            </w:tcBorders>
            <w:shd w:val="clear" w:color="auto" w:fill="auto"/>
            <w:noWrap/>
            <w:vAlign w:val="center"/>
          </w:tcPr>
          <w:p w14:paraId="5F7C6AEB"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5/60</w:t>
            </w:r>
          </w:p>
        </w:tc>
      </w:tr>
      <w:tr w:rsidR="007C68E0" w:rsidRPr="007C68E0" w14:paraId="5E2ED9E7"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8F0BA0C"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IPEX like</w:t>
            </w:r>
          </w:p>
        </w:tc>
        <w:tc>
          <w:tcPr>
            <w:tcW w:w="2127" w:type="dxa"/>
            <w:tcBorders>
              <w:top w:val="nil"/>
              <w:left w:val="nil"/>
              <w:bottom w:val="single" w:sz="4" w:space="0" w:color="auto"/>
              <w:right w:val="single" w:sz="4" w:space="0" w:color="auto"/>
            </w:tcBorders>
            <w:shd w:val="clear" w:color="auto" w:fill="auto"/>
            <w:noWrap/>
            <w:vAlign w:val="center"/>
          </w:tcPr>
          <w:p w14:paraId="161E2578"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0.08/1</w:t>
            </w:r>
          </w:p>
        </w:tc>
        <w:tc>
          <w:tcPr>
            <w:tcW w:w="1559" w:type="dxa"/>
            <w:tcBorders>
              <w:top w:val="nil"/>
              <w:left w:val="nil"/>
              <w:bottom w:val="single" w:sz="4" w:space="0" w:color="auto"/>
              <w:right w:val="single" w:sz="4" w:space="0" w:color="auto"/>
            </w:tcBorders>
            <w:shd w:val="clear" w:color="auto" w:fill="auto"/>
            <w:noWrap/>
            <w:vAlign w:val="center"/>
          </w:tcPr>
          <w:p w14:paraId="1D902E88"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12</w:t>
            </w:r>
          </w:p>
        </w:tc>
        <w:tc>
          <w:tcPr>
            <w:tcW w:w="1843" w:type="dxa"/>
            <w:tcBorders>
              <w:top w:val="nil"/>
              <w:left w:val="nil"/>
              <w:bottom w:val="single" w:sz="4" w:space="0" w:color="auto"/>
              <w:right w:val="single" w:sz="4" w:space="0" w:color="auto"/>
            </w:tcBorders>
            <w:shd w:val="clear" w:color="auto" w:fill="auto"/>
            <w:noWrap/>
            <w:vAlign w:val="center"/>
          </w:tcPr>
          <w:p w14:paraId="3F55EB40"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11.92/144</w:t>
            </w:r>
          </w:p>
        </w:tc>
      </w:tr>
      <w:tr w:rsidR="007C68E0" w:rsidRPr="007C68E0" w14:paraId="427C9AEA"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66A6316"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Common Variable Immune Deficiency (CVID)</w:t>
            </w:r>
          </w:p>
        </w:tc>
        <w:tc>
          <w:tcPr>
            <w:tcW w:w="2127" w:type="dxa"/>
            <w:tcBorders>
              <w:top w:val="nil"/>
              <w:left w:val="nil"/>
              <w:bottom w:val="single" w:sz="4" w:space="0" w:color="auto"/>
              <w:right w:val="single" w:sz="4" w:space="0" w:color="auto"/>
            </w:tcBorders>
            <w:shd w:val="clear" w:color="auto" w:fill="auto"/>
            <w:noWrap/>
            <w:vAlign w:val="center"/>
          </w:tcPr>
          <w:p w14:paraId="7A68199B"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17/204</w:t>
            </w:r>
          </w:p>
        </w:tc>
        <w:tc>
          <w:tcPr>
            <w:tcW w:w="1559" w:type="dxa"/>
            <w:tcBorders>
              <w:top w:val="nil"/>
              <w:left w:val="nil"/>
              <w:bottom w:val="single" w:sz="4" w:space="0" w:color="auto"/>
              <w:right w:val="single" w:sz="4" w:space="0" w:color="auto"/>
            </w:tcBorders>
            <w:shd w:val="clear" w:color="auto" w:fill="auto"/>
            <w:noWrap/>
            <w:vAlign w:val="center"/>
          </w:tcPr>
          <w:p w14:paraId="06AB4E9E"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33.6</w:t>
            </w:r>
          </w:p>
        </w:tc>
        <w:tc>
          <w:tcPr>
            <w:tcW w:w="1843" w:type="dxa"/>
            <w:tcBorders>
              <w:top w:val="nil"/>
              <w:left w:val="nil"/>
              <w:bottom w:val="single" w:sz="4" w:space="0" w:color="auto"/>
              <w:right w:val="single" w:sz="4" w:space="0" w:color="auto"/>
            </w:tcBorders>
            <w:shd w:val="clear" w:color="auto" w:fill="auto"/>
            <w:noWrap/>
            <w:vAlign w:val="center"/>
          </w:tcPr>
          <w:p w14:paraId="74F3A7E3"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16.60/199</w:t>
            </w:r>
          </w:p>
        </w:tc>
      </w:tr>
      <w:tr w:rsidR="007C68E0" w:rsidRPr="007C68E0" w14:paraId="03A173F9"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14FC8C4"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Neutropenia</w:t>
            </w:r>
          </w:p>
        </w:tc>
        <w:tc>
          <w:tcPr>
            <w:tcW w:w="2127" w:type="dxa"/>
            <w:tcBorders>
              <w:top w:val="nil"/>
              <w:left w:val="nil"/>
              <w:bottom w:val="single" w:sz="4" w:space="0" w:color="auto"/>
              <w:right w:val="single" w:sz="4" w:space="0" w:color="auto"/>
            </w:tcBorders>
            <w:shd w:val="clear" w:color="auto" w:fill="auto"/>
            <w:noWrap/>
            <w:vAlign w:val="center"/>
          </w:tcPr>
          <w:p w14:paraId="2CD5E52A"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0.77/9.5</w:t>
            </w:r>
          </w:p>
        </w:tc>
        <w:tc>
          <w:tcPr>
            <w:tcW w:w="1559" w:type="dxa"/>
            <w:tcBorders>
              <w:top w:val="nil"/>
              <w:left w:val="nil"/>
              <w:bottom w:val="single" w:sz="4" w:space="0" w:color="auto"/>
              <w:right w:val="single" w:sz="4" w:space="0" w:color="auto"/>
            </w:tcBorders>
            <w:shd w:val="clear" w:color="auto" w:fill="auto"/>
            <w:noWrap/>
            <w:vAlign w:val="center"/>
          </w:tcPr>
          <w:p w14:paraId="24C54D8F"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w:t>
            </w:r>
          </w:p>
        </w:tc>
        <w:tc>
          <w:tcPr>
            <w:tcW w:w="1843" w:type="dxa"/>
            <w:tcBorders>
              <w:top w:val="nil"/>
              <w:left w:val="nil"/>
              <w:bottom w:val="single" w:sz="4" w:space="0" w:color="auto"/>
              <w:right w:val="single" w:sz="4" w:space="0" w:color="auto"/>
            </w:tcBorders>
            <w:shd w:val="clear" w:color="auto" w:fill="auto"/>
            <w:noWrap/>
            <w:vAlign w:val="center"/>
          </w:tcPr>
          <w:p w14:paraId="403D1D7F"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0.28/3.5</w:t>
            </w:r>
          </w:p>
        </w:tc>
      </w:tr>
      <w:tr w:rsidR="007C68E0" w:rsidRPr="007C68E0" w14:paraId="6436F34C" w14:textId="77777777" w:rsidTr="00CB5128">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63EABAF9"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Thymic hypoplasia with clinic immune deficiency</w:t>
            </w:r>
          </w:p>
        </w:tc>
        <w:tc>
          <w:tcPr>
            <w:tcW w:w="2127" w:type="dxa"/>
            <w:tcBorders>
              <w:top w:val="nil"/>
              <w:left w:val="nil"/>
              <w:bottom w:val="single" w:sz="4" w:space="0" w:color="auto"/>
              <w:right w:val="single" w:sz="4" w:space="0" w:color="auto"/>
            </w:tcBorders>
            <w:shd w:val="clear" w:color="auto" w:fill="auto"/>
            <w:noWrap/>
            <w:vAlign w:val="center"/>
          </w:tcPr>
          <w:p w14:paraId="3F13C00B"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3.51/42</w:t>
            </w:r>
          </w:p>
        </w:tc>
        <w:tc>
          <w:tcPr>
            <w:tcW w:w="1559" w:type="dxa"/>
            <w:tcBorders>
              <w:top w:val="nil"/>
              <w:left w:val="nil"/>
              <w:bottom w:val="single" w:sz="4" w:space="0" w:color="auto"/>
              <w:right w:val="single" w:sz="4" w:space="0" w:color="auto"/>
            </w:tcBorders>
            <w:shd w:val="clear" w:color="auto" w:fill="auto"/>
            <w:noWrap/>
            <w:vAlign w:val="center"/>
          </w:tcPr>
          <w:p w14:paraId="73BB3AD0"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4.15</w:t>
            </w:r>
          </w:p>
        </w:tc>
        <w:tc>
          <w:tcPr>
            <w:tcW w:w="1843" w:type="dxa"/>
            <w:tcBorders>
              <w:top w:val="nil"/>
              <w:left w:val="nil"/>
              <w:bottom w:val="single" w:sz="4" w:space="0" w:color="auto"/>
              <w:right w:val="single" w:sz="4" w:space="0" w:color="auto"/>
            </w:tcBorders>
            <w:shd w:val="clear" w:color="auto" w:fill="auto"/>
            <w:noWrap/>
            <w:vAlign w:val="center"/>
          </w:tcPr>
          <w:p w14:paraId="70CC2F14"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0.66/8</w:t>
            </w:r>
          </w:p>
        </w:tc>
      </w:tr>
      <w:tr w:rsidR="007C68E0" w:rsidRPr="007C68E0" w14:paraId="7BEC4C62"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2B208D24"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DiGeorge Syndrome</w:t>
            </w:r>
          </w:p>
        </w:tc>
        <w:tc>
          <w:tcPr>
            <w:tcW w:w="2127" w:type="dxa"/>
            <w:tcBorders>
              <w:top w:val="nil"/>
              <w:left w:val="nil"/>
              <w:bottom w:val="single" w:sz="4" w:space="0" w:color="auto"/>
              <w:right w:val="single" w:sz="4" w:space="0" w:color="auto"/>
            </w:tcBorders>
            <w:shd w:val="clear" w:color="auto" w:fill="auto"/>
            <w:noWrap/>
            <w:vAlign w:val="center"/>
          </w:tcPr>
          <w:p w14:paraId="1AD37273"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0.16/2</w:t>
            </w:r>
          </w:p>
        </w:tc>
        <w:tc>
          <w:tcPr>
            <w:tcW w:w="1559" w:type="dxa"/>
            <w:tcBorders>
              <w:top w:val="nil"/>
              <w:left w:val="nil"/>
              <w:bottom w:val="single" w:sz="4" w:space="0" w:color="auto"/>
              <w:right w:val="single" w:sz="4" w:space="0" w:color="auto"/>
            </w:tcBorders>
            <w:shd w:val="clear" w:color="auto" w:fill="auto"/>
            <w:noWrap/>
            <w:vAlign w:val="center"/>
          </w:tcPr>
          <w:p w14:paraId="3CDA6D7C"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w:t>
            </w:r>
          </w:p>
        </w:tc>
        <w:tc>
          <w:tcPr>
            <w:tcW w:w="1843" w:type="dxa"/>
            <w:tcBorders>
              <w:top w:val="nil"/>
              <w:left w:val="nil"/>
              <w:bottom w:val="single" w:sz="4" w:space="0" w:color="auto"/>
              <w:right w:val="single" w:sz="4" w:space="0" w:color="auto"/>
            </w:tcBorders>
            <w:shd w:val="clear" w:color="auto" w:fill="auto"/>
            <w:noWrap/>
            <w:vAlign w:val="center"/>
          </w:tcPr>
          <w:p w14:paraId="22A7015F"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0.84/10</w:t>
            </w:r>
          </w:p>
        </w:tc>
      </w:tr>
      <w:tr w:rsidR="007C68E0" w:rsidRPr="007C68E0" w14:paraId="74059061"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33B589E"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Absolute deficit of IgA</w:t>
            </w:r>
          </w:p>
        </w:tc>
        <w:tc>
          <w:tcPr>
            <w:tcW w:w="2127" w:type="dxa"/>
            <w:tcBorders>
              <w:top w:val="nil"/>
              <w:left w:val="nil"/>
              <w:bottom w:val="single" w:sz="4" w:space="0" w:color="auto"/>
              <w:right w:val="single" w:sz="4" w:space="0" w:color="auto"/>
            </w:tcBorders>
            <w:shd w:val="clear" w:color="auto" w:fill="auto"/>
            <w:noWrap/>
            <w:vAlign w:val="center"/>
          </w:tcPr>
          <w:p w14:paraId="06C3798C"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2.60/31</w:t>
            </w:r>
          </w:p>
        </w:tc>
        <w:tc>
          <w:tcPr>
            <w:tcW w:w="1559" w:type="dxa"/>
            <w:tcBorders>
              <w:top w:val="nil"/>
              <w:left w:val="nil"/>
              <w:bottom w:val="single" w:sz="4" w:space="0" w:color="auto"/>
              <w:right w:val="single" w:sz="4" w:space="0" w:color="auto"/>
            </w:tcBorders>
            <w:shd w:val="clear" w:color="auto" w:fill="auto"/>
            <w:noWrap/>
            <w:vAlign w:val="center"/>
          </w:tcPr>
          <w:p w14:paraId="141AA2AA"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6.20</w:t>
            </w:r>
          </w:p>
        </w:tc>
        <w:tc>
          <w:tcPr>
            <w:tcW w:w="1843" w:type="dxa"/>
            <w:tcBorders>
              <w:top w:val="nil"/>
              <w:left w:val="nil"/>
              <w:bottom w:val="single" w:sz="4" w:space="0" w:color="auto"/>
              <w:right w:val="single" w:sz="4" w:space="0" w:color="auto"/>
            </w:tcBorders>
            <w:shd w:val="clear" w:color="auto" w:fill="auto"/>
            <w:noWrap/>
            <w:vAlign w:val="center"/>
          </w:tcPr>
          <w:p w14:paraId="5CDF0D14"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3.66/44</w:t>
            </w:r>
          </w:p>
        </w:tc>
      </w:tr>
      <w:tr w:rsidR="007C68E0" w:rsidRPr="007C68E0" w14:paraId="0946595C"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480CA75"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Relative deficit of IgA</w:t>
            </w:r>
          </w:p>
        </w:tc>
        <w:tc>
          <w:tcPr>
            <w:tcW w:w="2127" w:type="dxa"/>
            <w:tcBorders>
              <w:top w:val="nil"/>
              <w:left w:val="nil"/>
              <w:bottom w:val="single" w:sz="4" w:space="0" w:color="auto"/>
              <w:right w:val="single" w:sz="4" w:space="0" w:color="auto"/>
            </w:tcBorders>
            <w:shd w:val="clear" w:color="auto" w:fill="auto"/>
            <w:noWrap/>
            <w:vAlign w:val="center"/>
          </w:tcPr>
          <w:p w14:paraId="2BE3AFAA"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3.55/42.5</w:t>
            </w:r>
          </w:p>
        </w:tc>
        <w:tc>
          <w:tcPr>
            <w:tcW w:w="1559" w:type="dxa"/>
            <w:tcBorders>
              <w:top w:val="nil"/>
              <w:left w:val="nil"/>
              <w:bottom w:val="single" w:sz="4" w:space="0" w:color="auto"/>
              <w:right w:val="single" w:sz="4" w:space="0" w:color="auto"/>
            </w:tcBorders>
            <w:shd w:val="clear" w:color="auto" w:fill="auto"/>
            <w:noWrap/>
            <w:vAlign w:val="center"/>
          </w:tcPr>
          <w:p w14:paraId="58D6D955"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5.66</w:t>
            </w:r>
          </w:p>
        </w:tc>
        <w:tc>
          <w:tcPr>
            <w:tcW w:w="1843" w:type="dxa"/>
            <w:tcBorders>
              <w:top w:val="nil"/>
              <w:left w:val="nil"/>
              <w:bottom w:val="single" w:sz="4" w:space="0" w:color="auto"/>
              <w:right w:val="single" w:sz="4" w:space="0" w:color="auto"/>
            </w:tcBorders>
            <w:shd w:val="clear" w:color="auto" w:fill="auto"/>
            <w:noWrap/>
            <w:vAlign w:val="center"/>
          </w:tcPr>
          <w:p w14:paraId="455C8425"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2.16/26</w:t>
            </w:r>
          </w:p>
        </w:tc>
      </w:tr>
      <w:tr w:rsidR="007C68E0" w:rsidRPr="007C68E0" w14:paraId="38F09EE3"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6ADED0B2"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Deficit of IgG</w:t>
            </w:r>
          </w:p>
        </w:tc>
        <w:tc>
          <w:tcPr>
            <w:tcW w:w="2127" w:type="dxa"/>
            <w:tcBorders>
              <w:top w:val="nil"/>
              <w:left w:val="nil"/>
              <w:bottom w:val="single" w:sz="4" w:space="0" w:color="auto"/>
              <w:right w:val="single" w:sz="4" w:space="0" w:color="auto"/>
            </w:tcBorders>
            <w:shd w:val="clear" w:color="auto" w:fill="auto"/>
            <w:noWrap/>
            <w:vAlign w:val="center"/>
          </w:tcPr>
          <w:p w14:paraId="00F9384D"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14/168</w:t>
            </w:r>
          </w:p>
        </w:tc>
        <w:tc>
          <w:tcPr>
            <w:tcW w:w="1559" w:type="dxa"/>
            <w:tcBorders>
              <w:top w:val="nil"/>
              <w:left w:val="nil"/>
              <w:bottom w:val="single" w:sz="4" w:space="0" w:color="auto"/>
              <w:right w:val="single" w:sz="4" w:space="0" w:color="auto"/>
            </w:tcBorders>
            <w:shd w:val="clear" w:color="auto" w:fill="auto"/>
            <w:noWrap/>
            <w:vAlign w:val="center"/>
          </w:tcPr>
          <w:p w14:paraId="73F18A5B"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24.33</w:t>
            </w:r>
          </w:p>
        </w:tc>
        <w:tc>
          <w:tcPr>
            <w:tcW w:w="1843" w:type="dxa"/>
            <w:tcBorders>
              <w:top w:val="nil"/>
              <w:left w:val="nil"/>
              <w:bottom w:val="single" w:sz="4" w:space="0" w:color="auto"/>
              <w:right w:val="single" w:sz="4" w:space="0" w:color="auto"/>
            </w:tcBorders>
            <w:shd w:val="clear" w:color="auto" w:fill="auto"/>
            <w:noWrap/>
            <w:vAlign w:val="center"/>
          </w:tcPr>
          <w:p w14:paraId="1455C198"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10.33/124</w:t>
            </w:r>
          </w:p>
        </w:tc>
      </w:tr>
      <w:tr w:rsidR="007C68E0" w:rsidRPr="007C68E0" w14:paraId="3A46AC1C" w14:textId="77777777" w:rsidTr="00CB5128">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20C4CED" w14:textId="77777777" w:rsidR="007C68E0" w:rsidRPr="007C68E0" w:rsidRDefault="007C68E0" w:rsidP="007C68E0">
            <w:pPr>
              <w:spacing w:line="360" w:lineRule="auto"/>
              <w:jc w:val="both"/>
              <w:rPr>
                <w:color w:val="000000"/>
                <w:sz w:val="18"/>
                <w:szCs w:val="18"/>
                <w:lang w:val="en-US" w:eastAsia="en-US"/>
              </w:rPr>
            </w:pPr>
            <w:r w:rsidRPr="007C68E0">
              <w:rPr>
                <w:color w:val="000000"/>
                <w:sz w:val="18"/>
                <w:szCs w:val="18"/>
                <w:lang w:val="en-US" w:eastAsia="en-US"/>
              </w:rPr>
              <w:t>Mixed antibody deficit</w:t>
            </w:r>
          </w:p>
        </w:tc>
        <w:tc>
          <w:tcPr>
            <w:tcW w:w="2127" w:type="dxa"/>
            <w:tcBorders>
              <w:top w:val="nil"/>
              <w:left w:val="nil"/>
              <w:bottom w:val="single" w:sz="4" w:space="0" w:color="auto"/>
              <w:right w:val="single" w:sz="4" w:space="0" w:color="auto"/>
            </w:tcBorders>
            <w:shd w:val="clear" w:color="auto" w:fill="auto"/>
            <w:noWrap/>
            <w:vAlign w:val="center"/>
          </w:tcPr>
          <w:p w14:paraId="2CEFC723" w14:textId="77777777" w:rsidR="007C68E0" w:rsidRPr="007C68E0" w:rsidRDefault="007C68E0" w:rsidP="007C68E0">
            <w:pPr>
              <w:spacing w:line="360" w:lineRule="auto"/>
              <w:ind w:firstLine="31"/>
              <w:jc w:val="center"/>
              <w:rPr>
                <w:color w:val="000000"/>
                <w:sz w:val="18"/>
                <w:szCs w:val="18"/>
                <w:lang w:val="en-US" w:eastAsia="en-US"/>
              </w:rPr>
            </w:pPr>
            <w:r w:rsidRPr="007C68E0">
              <w:rPr>
                <w:color w:val="000000"/>
                <w:sz w:val="18"/>
                <w:szCs w:val="18"/>
                <w:lang w:val="en-US" w:eastAsia="en-US"/>
              </w:rPr>
              <w:t>2/24</w:t>
            </w:r>
          </w:p>
        </w:tc>
        <w:tc>
          <w:tcPr>
            <w:tcW w:w="1559" w:type="dxa"/>
            <w:tcBorders>
              <w:top w:val="nil"/>
              <w:left w:val="nil"/>
              <w:bottom w:val="single" w:sz="4" w:space="0" w:color="auto"/>
              <w:right w:val="single" w:sz="4" w:space="0" w:color="auto"/>
            </w:tcBorders>
            <w:shd w:val="clear" w:color="auto" w:fill="auto"/>
            <w:noWrap/>
            <w:vAlign w:val="center"/>
          </w:tcPr>
          <w:p w14:paraId="05B7558C"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2</w:t>
            </w:r>
          </w:p>
        </w:tc>
        <w:tc>
          <w:tcPr>
            <w:tcW w:w="1843" w:type="dxa"/>
            <w:tcBorders>
              <w:top w:val="nil"/>
              <w:left w:val="nil"/>
              <w:bottom w:val="single" w:sz="4" w:space="0" w:color="auto"/>
              <w:right w:val="single" w:sz="4" w:space="0" w:color="auto"/>
            </w:tcBorders>
            <w:shd w:val="clear" w:color="auto" w:fill="auto"/>
            <w:noWrap/>
            <w:vAlign w:val="center"/>
          </w:tcPr>
          <w:p w14:paraId="65599F71" w14:textId="77777777" w:rsidR="007C68E0" w:rsidRPr="007C68E0" w:rsidRDefault="007C68E0" w:rsidP="007C68E0">
            <w:pPr>
              <w:spacing w:line="360" w:lineRule="auto"/>
              <w:jc w:val="center"/>
              <w:rPr>
                <w:color w:val="000000"/>
                <w:sz w:val="18"/>
                <w:szCs w:val="18"/>
                <w:lang w:val="en-US" w:eastAsia="en-US"/>
              </w:rPr>
            </w:pPr>
            <w:r w:rsidRPr="007C68E0">
              <w:rPr>
                <w:color w:val="000000"/>
                <w:sz w:val="18"/>
                <w:szCs w:val="18"/>
                <w:lang w:val="en-US" w:eastAsia="en-US"/>
              </w:rPr>
              <w:t>0.08/1</w:t>
            </w:r>
          </w:p>
        </w:tc>
      </w:tr>
    </w:tbl>
    <w:p w14:paraId="444583E4" w14:textId="77777777" w:rsidR="007C68E0" w:rsidRPr="007C68E0" w:rsidRDefault="007C68E0" w:rsidP="007C68E0">
      <w:pPr>
        <w:spacing w:line="360" w:lineRule="auto"/>
        <w:jc w:val="both"/>
        <w:rPr>
          <w:rFonts w:eastAsia="Calibri"/>
          <w:lang w:val="en-US" w:eastAsia="en-US"/>
        </w:rPr>
      </w:pPr>
    </w:p>
    <w:p w14:paraId="39E193E0"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As showed in table 2, predominantly antibody deficiencies accounted for the larger number (69.23%) of all inborn errors of immunity, with a very similar distribution in both sexes (13 females vs. 14 male patients). There were not cases diagnosed with autoinflammatory disorders, complement system deficiencies or phenocopies of primary immune deficiencies. </w:t>
      </w:r>
    </w:p>
    <w:p w14:paraId="1DF2CE3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The most frequently diagnosed immunodeficiency in the series was IgA deficiency, which globally accounted for 35.89% of all cases. Relative deficiency of IgA predominated, with 9 patients. IgG deficiency, absolute IgA deficiency CVID and thymic hypoplasia with clinical immunodeficiency occurred in similar order of frequency, with six, five and five cases, respectively (table 2).</w:t>
      </w:r>
    </w:p>
    <w:p w14:paraId="06DF0083" w14:textId="77777777" w:rsidR="007C68E0" w:rsidRPr="007C68E0" w:rsidRDefault="007C68E0" w:rsidP="007C68E0">
      <w:pPr>
        <w:spacing w:line="360" w:lineRule="auto"/>
        <w:jc w:val="both"/>
        <w:rPr>
          <w:rFonts w:eastAsia="Calibri"/>
          <w:lang w:val="en-US" w:eastAsia="en-US"/>
        </w:rPr>
      </w:pPr>
    </w:p>
    <w:p w14:paraId="342348DA" w14:textId="77777777" w:rsidR="007C68E0" w:rsidRPr="007C68E0" w:rsidRDefault="007C68E0" w:rsidP="007C68E0">
      <w:pPr>
        <w:spacing w:line="360" w:lineRule="auto"/>
        <w:jc w:val="center"/>
        <w:rPr>
          <w:rFonts w:eastAsia="Calibri"/>
          <w:bCs/>
          <w:sz w:val="22"/>
          <w:szCs w:val="22"/>
          <w:lang w:val="en-US" w:eastAsia="en-US"/>
        </w:rPr>
      </w:pPr>
      <w:r w:rsidRPr="007C68E0">
        <w:rPr>
          <w:rFonts w:eastAsia="Calibri"/>
          <w:b/>
          <w:sz w:val="22"/>
          <w:szCs w:val="22"/>
          <w:lang w:val="en-US" w:eastAsia="en-US"/>
        </w:rPr>
        <w:t xml:space="preserve">Table 2 - </w:t>
      </w:r>
      <w:r w:rsidRPr="007C68E0">
        <w:rPr>
          <w:rFonts w:eastAsia="Calibri"/>
          <w:bCs/>
          <w:sz w:val="22"/>
          <w:szCs w:val="22"/>
          <w:lang w:val="en-US" w:eastAsia="en-US"/>
        </w:rPr>
        <w:t>Distribution of PIDs based on sex and the latest IUIS classification (1)</w:t>
      </w:r>
    </w:p>
    <w:p w14:paraId="48AEB3ED" w14:textId="20E279FC" w:rsidR="007C68E0" w:rsidRPr="007C68E0" w:rsidRDefault="007C68E0" w:rsidP="007C68E0">
      <w:pPr>
        <w:spacing w:line="360" w:lineRule="auto"/>
        <w:jc w:val="center"/>
        <w:rPr>
          <w:rFonts w:ascii="Verdana" w:eastAsia="Calibri" w:hAnsi="Verdana"/>
          <w:sz w:val="20"/>
          <w:szCs w:val="20"/>
          <w:lang w:val="en-US" w:eastAsia="en-US"/>
        </w:rPr>
      </w:pPr>
      <w:r w:rsidRPr="007C68E0">
        <w:rPr>
          <w:rFonts w:ascii="Verdana" w:eastAsia="Calibri" w:hAnsi="Verdana"/>
          <w:noProof/>
          <w:sz w:val="20"/>
          <w:szCs w:val="20"/>
          <w:lang w:val="en-US" w:eastAsia="en-US"/>
        </w:rPr>
        <w:drawing>
          <wp:inline distT="0" distB="0" distL="0" distR="0" wp14:anchorId="44C2BD9F" wp14:editId="30C21669">
            <wp:extent cx="6331585" cy="348488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1585" cy="3484880"/>
                    </a:xfrm>
                    <a:prstGeom prst="rect">
                      <a:avLst/>
                    </a:prstGeom>
                    <a:noFill/>
                    <a:ln>
                      <a:noFill/>
                    </a:ln>
                  </pic:spPr>
                </pic:pic>
              </a:graphicData>
            </a:graphic>
          </wp:inline>
        </w:drawing>
      </w:r>
    </w:p>
    <w:p w14:paraId="7139780A" w14:textId="77777777" w:rsidR="007C68E0" w:rsidRPr="007C68E0" w:rsidRDefault="007C68E0" w:rsidP="007C68E0">
      <w:pPr>
        <w:spacing w:line="360" w:lineRule="auto"/>
        <w:jc w:val="both"/>
        <w:rPr>
          <w:rFonts w:ascii="Verdana" w:eastAsia="Calibri" w:hAnsi="Verdana"/>
          <w:sz w:val="20"/>
          <w:szCs w:val="20"/>
          <w:lang w:val="en-US" w:eastAsia="en-US"/>
        </w:rPr>
      </w:pPr>
    </w:p>
    <w:p w14:paraId="44BF1BE2"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Family history of primary immunodeficiencies was reported in 30.76% of patients (Fig. 1), who informed some type of familial antecedent of antibody deficiency, which corresponded to the exact immunodeficiency diagnosed in 58.33% of the cases. There was no consanguinity reported. </w:t>
      </w:r>
    </w:p>
    <w:p w14:paraId="729D7781" w14:textId="77777777" w:rsidR="007C68E0" w:rsidRPr="007C68E0" w:rsidRDefault="007C68E0" w:rsidP="007C68E0">
      <w:pPr>
        <w:spacing w:line="360" w:lineRule="auto"/>
        <w:jc w:val="both"/>
        <w:rPr>
          <w:rFonts w:eastAsia="Calibri"/>
          <w:lang w:val="en-US" w:eastAsia="en-US"/>
        </w:rPr>
      </w:pPr>
    </w:p>
    <w:p w14:paraId="1DFE77DE" w14:textId="4503C325" w:rsidR="007C68E0" w:rsidRPr="007C68E0" w:rsidRDefault="007C68E0" w:rsidP="007C68E0">
      <w:pPr>
        <w:spacing w:line="360" w:lineRule="auto"/>
        <w:jc w:val="center"/>
        <w:rPr>
          <w:rFonts w:eastAsia="Calibri"/>
          <w:b/>
          <w:lang w:val="en-US" w:eastAsia="en-US"/>
        </w:rPr>
      </w:pPr>
      <w:r w:rsidRPr="007C68E0">
        <w:rPr>
          <w:rFonts w:eastAsia="Calibri"/>
          <w:b/>
          <w:noProof/>
          <w:lang w:val="en-US" w:eastAsia="en-US"/>
        </w:rPr>
        <w:drawing>
          <wp:inline distT="0" distB="0" distL="0" distR="0" wp14:anchorId="36A11B0F" wp14:editId="50E99FF2">
            <wp:extent cx="5192573" cy="4107689"/>
            <wp:effectExtent l="0" t="0" r="8255" b="762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7011" cy="4119110"/>
                    </a:xfrm>
                    <a:prstGeom prst="rect">
                      <a:avLst/>
                    </a:prstGeom>
                    <a:noFill/>
                    <a:ln>
                      <a:noFill/>
                    </a:ln>
                  </pic:spPr>
                </pic:pic>
              </a:graphicData>
            </a:graphic>
          </wp:inline>
        </w:drawing>
      </w:r>
    </w:p>
    <w:p w14:paraId="4649379F" w14:textId="77777777" w:rsidR="007C68E0" w:rsidRPr="007C68E0" w:rsidRDefault="007C68E0" w:rsidP="007C68E0">
      <w:pPr>
        <w:spacing w:line="360" w:lineRule="auto"/>
        <w:jc w:val="center"/>
        <w:rPr>
          <w:rFonts w:eastAsia="Calibri"/>
          <w:bCs/>
          <w:sz w:val="22"/>
          <w:szCs w:val="22"/>
          <w:lang w:val="en-US" w:eastAsia="en-US"/>
        </w:rPr>
      </w:pPr>
      <w:r w:rsidRPr="007C68E0">
        <w:rPr>
          <w:rFonts w:eastAsia="Calibri"/>
          <w:b/>
          <w:sz w:val="22"/>
          <w:szCs w:val="22"/>
          <w:lang w:val="en-US" w:eastAsia="en-US"/>
        </w:rPr>
        <w:t xml:space="preserve">Fig. 1 - </w:t>
      </w:r>
      <w:r w:rsidRPr="007C68E0">
        <w:rPr>
          <w:rFonts w:eastAsia="Calibri"/>
          <w:bCs/>
          <w:sz w:val="22"/>
          <w:szCs w:val="22"/>
          <w:lang w:val="en-US" w:eastAsia="en-US"/>
        </w:rPr>
        <w:t>Family history of patients with primary immune deficiencies.</w:t>
      </w:r>
    </w:p>
    <w:p w14:paraId="01E79C8B" w14:textId="77777777" w:rsidR="007C68E0" w:rsidRPr="007C68E0" w:rsidRDefault="007C68E0" w:rsidP="007C68E0">
      <w:pPr>
        <w:spacing w:line="360" w:lineRule="auto"/>
        <w:jc w:val="both"/>
        <w:rPr>
          <w:rFonts w:eastAsia="Calibri"/>
          <w:lang w:val="en-US" w:eastAsia="en-US"/>
        </w:rPr>
      </w:pPr>
    </w:p>
    <w:p w14:paraId="2D6D2271"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most frequent clinical manifestations were recurrent infections, in 71.79% of cases, and allergic symptoms (61.53%), as it is shown in figure 2. The greatest variability in clinical expression occurred in predominantly antibody deficiencies; 3 asymptomatic patients were reported, who were studied due to family history of </w:t>
      </w:r>
      <w:proofErr w:type="spellStart"/>
      <w:r w:rsidRPr="007C68E0">
        <w:rPr>
          <w:rFonts w:eastAsia="Calibri"/>
          <w:lang w:val="en-US" w:eastAsia="en-US"/>
        </w:rPr>
        <w:t>PID</w:t>
      </w:r>
      <w:proofErr w:type="spellEnd"/>
      <w:r w:rsidRPr="007C68E0">
        <w:rPr>
          <w:rFonts w:eastAsia="Calibri"/>
          <w:lang w:val="en-US" w:eastAsia="en-US"/>
        </w:rPr>
        <w:t>. Only 1 patient, with a diagnosis of CVID presented a neoplasm; 4 patients with simple humoral deficits had an atopic condition as a soul clinical manifestation and 2 cases presented only with autoimmune diseases.</w:t>
      </w:r>
    </w:p>
    <w:p w14:paraId="4ECF0765"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 patient with chronic granulomatous disease died, for a mortality of 2.56%. </w:t>
      </w:r>
    </w:p>
    <w:p w14:paraId="775B7CF6" w14:textId="77777777" w:rsidR="007C68E0" w:rsidRPr="007C68E0" w:rsidRDefault="007C68E0" w:rsidP="007C68E0">
      <w:pPr>
        <w:spacing w:line="360" w:lineRule="auto"/>
        <w:jc w:val="both"/>
        <w:rPr>
          <w:rFonts w:eastAsia="Calibri"/>
          <w:lang w:val="en-US" w:eastAsia="en-US"/>
        </w:rPr>
      </w:pPr>
    </w:p>
    <w:p w14:paraId="0BD5F051" w14:textId="2DCEC2DE" w:rsidR="007C68E0" w:rsidRPr="007C68E0" w:rsidRDefault="007C68E0" w:rsidP="007C68E0">
      <w:pPr>
        <w:spacing w:line="360" w:lineRule="auto"/>
        <w:jc w:val="center"/>
        <w:rPr>
          <w:rFonts w:eastAsia="Calibri"/>
          <w:b/>
          <w:lang w:val="en-US" w:eastAsia="en-US"/>
        </w:rPr>
      </w:pPr>
      <w:r w:rsidRPr="007C68E0">
        <w:rPr>
          <w:rFonts w:eastAsia="Calibri"/>
          <w:b/>
          <w:noProof/>
          <w:lang w:val="en-US" w:eastAsia="en-US"/>
        </w:rPr>
        <w:lastRenderedPageBreak/>
        <w:drawing>
          <wp:inline distT="0" distB="0" distL="0" distR="0" wp14:anchorId="5DA5D8BB" wp14:editId="6FA29CA1">
            <wp:extent cx="5382584" cy="2911851"/>
            <wp:effectExtent l="0" t="0" r="8890" b="3175"/>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647" cy="2916754"/>
                    </a:xfrm>
                    <a:prstGeom prst="rect">
                      <a:avLst/>
                    </a:prstGeom>
                    <a:noFill/>
                    <a:ln>
                      <a:noFill/>
                    </a:ln>
                  </pic:spPr>
                </pic:pic>
              </a:graphicData>
            </a:graphic>
          </wp:inline>
        </w:drawing>
      </w:r>
    </w:p>
    <w:p w14:paraId="29710C26" w14:textId="77777777" w:rsidR="007C68E0" w:rsidRPr="007C68E0" w:rsidRDefault="007C68E0" w:rsidP="007C68E0">
      <w:pPr>
        <w:spacing w:line="360" w:lineRule="auto"/>
        <w:jc w:val="center"/>
        <w:rPr>
          <w:rFonts w:eastAsia="Calibri"/>
          <w:bCs/>
          <w:sz w:val="22"/>
          <w:szCs w:val="22"/>
          <w:lang w:val="en-US" w:eastAsia="en-US"/>
        </w:rPr>
      </w:pPr>
      <w:r w:rsidRPr="007C68E0">
        <w:rPr>
          <w:rFonts w:eastAsia="Calibri"/>
          <w:b/>
          <w:sz w:val="22"/>
          <w:szCs w:val="22"/>
          <w:lang w:val="en-US" w:eastAsia="en-US"/>
        </w:rPr>
        <w:t xml:space="preserve">Fig. 2 - </w:t>
      </w:r>
      <w:r w:rsidRPr="007C68E0">
        <w:rPr>
          <w:rFonts w:eastAsia="Calibri"/>
          <w:bCs/>
          <w:sz w:val="22"/>
          <w:szCs w:val="22"/>
          <w:lang w:val="en-US" w:eastAsia="en-US"/>
        </w:rPr>
        <w:t>Clinical manifestations in patients with primary immune deficiencies.</w:t>
      </w:r>
    </w:p>
    <w:p w14:paraId="70EBD489" w14:textId="77777777" w:rsidR="007C68E0" w:rsidRPr="007C68E0" w:rsidRDefault="007C68E0" w:rsidP="007C68E0">
      <w:pPr>
        <w:spacing w:line="360" w:lineRule="auto"/>
        <w:jc w:val="both"/>
        <w:rPr>
          <w:rFonts w:eastAsia="Calibri"/>
          <w:b/>
          <w:lang w:val="en-US" w:eastAsia="en-US"/>
        </w:rPr>
      </w:pPr>
    </w:p>
    <w:p w14:paraId="22457798" w14:textId="77777777" w:rsidR="007C68E0" w:rsidRPr="007C68E0" w:rsidRDefault="007C68E0" w:rsidP="007C68E0">
      <w:pPr>
        <w:spacing w:line="360" w:lineRule="auto"/>
        <w:jc w:val="center"/>
        <w:rPr>
          <w:rFonts w:eastAsia="Calibri"/>
          <w:b/>
          <w:lang w:val="en-US" w:eastAsia="en-US"/>
        </w:rPr>
      </w:pPr>
    </w:p>
    <w:p w14:paraId="5E09C461" w14:textId="77777777" w:rsidR="007C68E0" w:rsidRPr="007C68E0" w:rsidRDefault="007C68E0" w:rsidP="007C68E0">
      <w:pPr>
        <w:spacing w:line="360" w:lineRule="auto"/>
        <w:jc w:val="center"/>
        <w:rPr>
          <w:rFonts w:eastAsia="Calibri"/>
          <w:b/>
          <w:sz w:val="32"/>
          <w:szCs w:val="32"/>
          <w:lang w:val="en-US" w:eastAsia="en-US"/>
        </w:rPr>
      </w:pPr>
      <w:r w:rsidRPr="007C68E0">
        <w:rPr>
          <w:rFonts w:eastAsia="Calibri"/>
          <w:b/>
          <w:sz w:val="32"/>
          <w:szCs w:val="32"/>
          <w:lang w:val="en-US" w:eastAsia="en-US"/>
        </w:rPr>
        <w:t>DISCUSSION</w:t>
      </w:r>
    </w:p>
    <w:p w14:paraId="37BFA5FD"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demographic characterization of the sample shows a clear predominance of inborn errors of immunity in males. The United Kingdom </w:t>
      </w:r>
      <w:proofErr w:type="spellStart"/>
      <w:r w:rsidRPr="007C68E0">
        <w:rPr>
          <w:rFonts w:eastAsia="Calibri"/>
          <w:lang w:val="en-US" w:eastAsia="en-US"/>
        </w:rPr>
        <w:t>PID</w:t>
      </w:r>
      <w:proofErr w:type="spellEnd"/>
      <w:r w:rsidRPr="007C68E0">
        <w:rPr>
          <w:rFonts w:eastAsia="Calibri"/>
          <w:lang w:val="en-US" w:eastAsia="en-US"/>
        </w:rPr>
        <w:t xml:space="preserve"> (</w:t>
      </w:r>
      <w:proofErr w:type="spellStart"/>
      <w:r w:rsidRPr="007C68E0">
        <w:rPr>
          <w:rFonts w:eastAsia="Calibri"/>
          <w:lang w:val="en-US" w:eastAsia="en-US"/>
        </w:rPr>
        <w:t>UKPID</w:t>
      </w:r>
      <w:proofErr w:type="spellEnd"/>
      <w:r w:rsidRPr="007C68E0">
        <w:rPr>
          <w:rFonts w:eastAsia="Calibri"/>
          <w:lang w:val="en-US" w:eastAsia="en-US"/>
        </w:rPr>
        <w:t>) registry reported a greater number of women with PIDs than men, 2.399 and 2.359, respectively;</w:t>
      </w:r>
      <w:r w:rsidRPr="007C68E0">
        <w:rPr>
          <w:rFonts w:eastAsia="Calibri"/>
          <w:vertAlign w:val="superscript"/>
          <w:lang w:val="en-US" w:eastAsia="en-US"/>
        </w:rPr>
        <w:t>(4)</w:t>
      </w:r>
      <w:r w:rsidRPr="007C68E0">
        <w:rPr>
          <w:rFonts w:eastAsia="Calibri"/>
          <w:lang w:val="en-US" w:eastAsia="en-US"/>
        </w:rPr>
        <w:t xml:space="preserve"> however, the rest of the consulted </w:t>
      </w:r>
      <w:proofErr w:type="gramStart"/>
      <w:r w:rsidRPr="007C68E0">
        <w:rPr>
          <w:rFonts w:eastAsia="Calibri"/>
          <w:lang w:val="en-US" w:eastAsia="en-US"/>
        </w:rPr>
        <w:t>bibliography</w:t>
      </w:r>
      <w:r w:rsidRPr="007C68E0">
        <w:rPr>
          <w:rFonts w:eastAsia="Calibri"/>
          <w:vertAlign w:val="superscript"/>
          <w:lang w:val="en-US" w:eastAsia="en-US"/>
        </w:rPr>
        <w:t>(</w:t>
      </w:r>
      <w:proofErr w:type="gramEnd"/>
      <w:r w:rsidRPr="007C68E0">
        <w:rPr>
          <w:rFonts w:eastAsia="Calibri"/>
          <w:vertAlign w:val="superscript"/>
          <w:lang w:val="en-US" w:eastAsia="en-US"/>
        </w:rPr>
        <w:t>5,6,7)</w:t>
      </w:r>
      <w:r w:rsidRPr="007C68E0">
        <w:rPr>
          <w:rFonts w:eastAsia="Calibri"/>
          <w:lang w:val="en-US" w:eastAsia="en-US"/>
        </w:rPr>
        <w:t xml:space="preserve"> coincided with the results obtained by the authors.</w:t>
      </w:r>
    </w:p>
    <w:p w14:paraId="4E4FB233"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In pediatric patients, the female/male ratio was 1: 2.29, while in adults, the disproportion between sexes was less marked, with a ratio of 1:1.75. This is associated with the fact that many early-onset primary immunodeficiencies are transmitted by X-linked patterns of inheritance; however, as age advances, this factor loses relevance and other variables come into play that balance the statistics, particularly associated to the appearance of immune dysregulation </w:t>
      </w:r>
      <w:proofErr w:type="gramStart"/>
      <w:r w:rsidRPr="007C68E0">
        <w:rPr>
          <w:rFonts w:eastAsia="Calibri"/>
          <w:lang w:val="en-US" w:eastAsia="en-US"/>
        </w:rPr>
        <w:t>disorders.</w:t>
      </w:r>
      <w:r w:rsidRPr="007C68E0">
        <w:rPr>
          <w:rFonts w:eastAsia="Calibri"/>
          <w:vertAlign w:val="superscript"/>
          <w:lang w:val="en-US" w:eastAsia="en-US"/>
        </w:rPr>
        <w:t>(</w:t>
      </w:r>
      <w:proofErr w:type="gramEnd"/>
      <w:r w:rsidRPr="007C68E0">
        <w:rPr>
          <w:rFonts w:eastAsia="Calibri"/>
          <w:vertAlign w:val="superscript"/>
          <w:lang w:val="en-US" w:eastAsia="en-US"/>
        </w:rPr>
        <w:t>8)</w:t>
      </w:r>
      <w:r w:rsidRPr="007C68E0">
        <w:rPr>
          <w:rFonts w:eastAsia="Calibri"/>
          <w:lang w:val="en-US" w:eastAsia="en-US"/>
        </w:rPr>
        <w:t xml:space="preserve"> </w:t>
      </w:r>
    </w:p>
    <w:p w14:paraId="62743FD1"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While, the 71.79% of the patients studied (28) were of pediatric age, an expected result considering the early childhood onset and great severity of a large group of inborn errors of immunity, which threatens patients' life expectancy. The age of appearance of the first symptoms was variable, in correspondence </w:t>
      </w:r>
      <w:r w:rsidRPr="007C68E0">
        <w:rPr>
          <w:rFonts w:eastAsia="Calibri"/>
          <w:lang w:val="en-US" w:eastAsia="en-US"/>
        </w:rPr>
        <w:lastRenderedPageBreak/>
        <w:t xml:space="preserve">with the behavior of the different types of immunodeficiency. According to a study published by Italian researchers, Common Variable Immunodeficiency is the only </w:t>
      </w:r>
      <w:proofErr w:type="spellStart"/>
      <w:r w:rsidRPr="007C68E0">
        <w:rPr>
          <w:rFonts w:eastAsia="Calibri"/>
          <w:lang w:val="en-US" w:eastAsia="en-US"/>
        </w:rPr>
        <w:t>PID</w:t>
      </w:r>
      <w:proofErr w:type="spellEnd"/>
      <w:r w:rsidRPr="007C68E0">
        <w:rPr>
          <w:rFonts w:eastAsia="Calibri"/>
          <w:lang w:val="en-US" w:eastAsia="en-US"/>
        </w:rPr>
        <w:t xml:space="preserve"> with a more frequent onset and diagnosis in adults (over 18 years of age) than in </w:t>
      </w:r>
      <w:proofErr w:type="gramStart"/>
      <w:r w:rsidRPr="007C68E0">
        <w:rPr>
          <w:rFonts w:eastAsia="Calibri"/>
          <w:lang w:val="en-US" w:eastAsia="en-US"/>
        </w:rPr>
        <w:t>children</w:t>
      </w:r>
      <w:r w:rsidRPr="007C68E0">
        <w:rPr>
          <w:rFonts w:eastAsia="Calibri"/>
          <w:vertAlign w:val="superscript"/>
          <w:lang w:val="en-US" w:eastAsia="en-US"/>
        </w:rPr>
        <w:t>(</w:t>
      </w:r>
      <w:proofErr w:type="gramEnd"/>
      <w:r w:rsidRPr="007C68E0">
        <w:rPr>
          <w:rFonts w:eastAsia="Calibri"/>
          <w:vertAlign w:val="superscript"/>
          <w:lang w:val="en-US" w:eastAsia="en-US"/>
        </w:rPr>
        <w:t>5)</w:t>
      </w:r>
      <w:r w:rsidRPr="007C68E0">
        <w:rPr>
          <w:rFonts w:eastAsia="Calibri"/>
          <w:lang w:val="en-US" w:eastAsia="en-US"/>
        </w:rPr>
        <w:t xml:space="preserve"> which corresponds to the population studied. </w:t>
      </w:r>
    </w:p>
    <w:p w14:paraId="20C12758"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In children, the average age of onset was 28 months. A Chinese study of </w:t>
      </w:r>
      <w:proofErr w:type="spellStart"/>
      <w:r w:rsidRPr="007C68E0">
        <w:rPr>
          <w:rFonts w:eastAsia="Calibri"/>
          <w:lang w:val="en-US" w:eastAsia="en-US"/>
        </w:rPr>
        <w:t>IEI</w:t>
      </w:r>
      <w:proofErr w:type="spellEnd"/>
      <w:r w:rsidRPr="007C68E0">
        <w:rPr>
          <w:rFonts w:eastAsia="Calibri"/>
          <w:lang w:val="en-US" w:eastAsia="en-US"/>
        </w:rPr>
        <w:t xml:space="preserve"> in 112 children reported a mean age of onset of 13 months;</w:t>
      </w:r>
      <w:r w:rsidRPr="007C68E0">
        <w:rPr>
          <w:rFonts w:eastAsia="Calibri"/>
          <w:vertAlign w:val="superscript"/>
          <w:lang w:val="en-US" w:eastAsia="en-US"/>
        </w:rPr>
        <w:t>(9)</w:t>
      </w:r>
      <w:r w:rsidRPr="007C68E0">
        <w:rPr>
          <w:rFonts w:eastAsia="Calibri"/>
          <w:lang w:val="en-US" w:eastAsia="en-US"/>
        </w:rPr>
        <w:t xml:space="preserve"> however, direct comparisons between investigations are impaired since the aforementioned study does not declare the age range of childhood.  </w:t>
      </w:r>
    </w:p>
    <w:p w14:paraId="2D0F1C75"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The average age of diagnosis was 11.89 years, though this result was affected by very extreme ages of diagnosis in cases of CVID. Studies focused in children reported mean diagnosis ages ranging from 4.2</w:t>
      </w:r>
      <w:r w:rsidRPr="007C68E0">
        <w:rPr>
          <w:rFonts w:eastAsia="Calibri"/>
          <w:vertAlign w:val="superscript"/>
          <w:lang w:val="en-US" w:eastAsia="en-US"/>
        </w:rPr>
        <w:t>(10)</w:t>
      </w:r>
      <w:r w:rsidRPr="007C68E0">
        <w:rPr>
          <w:rFonts w:eastAsia="Calibri"/>
          <w:lang w:val="en-US" w:eastAsia="en-US"/>
        </w:rPr>
        <w:t xml:space="preserve"> to 6.3 </w:t>
      </w:r>
      <w:proofErr w:type="gramStart"/>
      <w:r w:rsidRPr="007C68E0">
        <w:rPr>
          <w:rFonts w:eastAsia="Calibri"/>
          <w:lang w:val="en-US" w:eastAsia="en-US"/>
        </w:rPr>
        <w:t>years,</w:t>
      </w:r>
      <w:r w:rsidRPr="007C68E0">
        <w:rPr>
          <w:rFonts w:eastAsia="Calibri"/>
          <w:vertAlign w:val="superscript"/>
          <w:lang w:val="en-US" w:eastAsia="en-US"/>
        </w:rPr>
        <w:t>(</w:t>
      </w:r>
      <w:proofErr w:type="gramEnd"/>
      <w:r w:rsidRPr="007C68E0">
        <w:rPr>
          <w:rFonts w:eastAsia="Calibri"/>
          <w:vertAlign w:val="superscript"/>
          <w:lang w:val="en-US" w:eastAsia="en-US"/>
        </w:rPr>
        <w:t>7)</w:t>
      </w:r>
      <w:r w:rsidRPr="007C68E0">
        <w:rPr>
          <w:rFonts w:eastAsia="Calibri"/>
          <w:lang w:val="en-US" w:eastAsia="en-US"/>
        </w:rPr>
        <w:t xml:space="preserve"> while in this series, age of diagnosis in children was 3.88 years, in average. </w:t>
      </w:r>
    </w:p>
    <w:p w14:paraId="37C384E7"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Diagnosis delay of inborn errors of immunity is an important factor associated with increased morbidity and mortality, since it delays the start of treatment and increases the risk of infectious and onco-proliferative complications. In the studied series, the lapse of time between the appearance of the first symptoms and the Immunology diagnosis was 5.6 years, in average. Common Variable Immune deficiency showed the greater delay, which corresponds to results obtained in the </w:t>
      </w:r>
      <w:proofErr w:type="gramStart"/>
      <w:r w:rsidRPr="007C68E0">
        <w:rPr>
          <w:rFonts w:eastAsia="Calibri"/>
          <w:lang w:val="en-US" w:eastAsia="en-US"/>
        </w:rPr>
        <w:t>UK,</w:t>
      </w:r>
      <w:r w:rsidRPr="007C68E0">
        <w:rPr>
          <w:rFonts w:eastAsia="Calibri"/>
          <w:vertAlign w:val="superscript"/>
          <w:lang w:val="en-US" w:eastAsia="en-US"/>
        </w:rPr>
        <w:t>(</w:t>
      </w:r>
      <w:proofErr w:type="gramEnd"/>
      <w:r w:rsidRPr="007C68E0">
        <w:rPr>
          <w:rFonts w:eastAsia="Calibri"/>
          <w:vertAlign w:val="superscript"/>
          <w:lang w:val="en-US" w:eastAsia="en-US"/>
        </w:rPr>
        <w:t>4)</w:t>
      </w:r>
      <w:r w:rsidRPr="007C68E0">
        <w:rPr>
          <w:rFonts w:eastAsia="Calibri"/>
          <w:lang w:val="en-US" w:eastAsia="en-US"/>
        </w:rPr>
        <w:t xml:space="preserve"> though the </w:t>
      </w:r>
      <w:proofErr w:type="spellStart"/>
      <w:r w:rsidRPr="007C68E0">
        <w:rPr>
          <w:rFonts w:eastAsia="Calibri"/>
          <w:lang w:val="en-US" w:eastAsia="en-US"/>
        </w:rPr>
        <w:t>UKPID</w:t>
      </w:r>
      <w:proofErr w:type="spellEnd"/>
      <w:r w:rsidRPr="007C68E0">
        <w:rPr>
          <w:rFonts w:eastAsia="Calibri"/>
          <w:lang w:val="en-US" w:eastAsia="en-US"/>
        </w:rPr>
        <w:t xml:space="preserve"> reported a 4 years delay against the 16.6 years showed by our study. This difference might be in correspondence with the degree of socioeconomic development of both nations and the access to diagnostic tools. </w:t>
      </w:r>
    </w:p>
    <w:p w14:paraId="62CE67E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It was interesting to notice that the cases that presented with frequent infections and/or allergies alone were diagnosed earlier compared to those that presented with autoimmunity associated or not with other manifestations. An investigation conducted by </w:t>
      </w:r>
      <w:r w:rsidRPr="007C68E0">
        <w:rPr>
          <w:rFonts w:eastAsia="Calibri"/>
          <w:i/>
          <w:lang w:val="en-US" w:eastAsia="en-US"/>
        </w:rPr>
        <w:t>Garcia-Torres</w:t>
      </w:r>
      <w:r w:rsidRPr="007C68E0">
        <w:rPr>
          <w:rFonts w:eastAsia="Calibri"/>
          <w:lang w:val="en-US" w:eastAsia="en-US"/>
        </w:rPr>
        <w:t xml:space="preserve"> </w:t>
      </w:r>
      <w:proofErr w:type="gramStart"/>
      <w:r w:rsidRPr="007C68E0">
        <w:rPr>
          <w:rFonts w:eastAsia="Calibri"/>
          <w:lang w:val="en-US" w:eastAsia="en-US"/>
        </w:rPr>
        <w:t>et al.</w:t>
      </w:r>
      <w:r w:rsidRPr="007C68E0">
        <w:rPr>
          <w:rFonts w:eastAsia="Calibri"/>
          <w:vertAlign w:val="superscript"/>
          <w:lang w:val="en-US" w:eastAsia="en-US"/>
        </w:rPr>
        <w:t>(</w:t>
      </w:r>
      <w:proofErr w:type="gramEnd"/>
      <w:r w:rsidRPr="007C68E0">
        <w:rPr>
          <w:rFonts w:eastAsia="Calibri"/>
          <w:vertAlign w:val="superscript"/>
          <w:lang w:val="en-US" w:eastAsia="en-US"/>
        </w:rPr>
        <w:t>7)</w:t>
      </w:r>
      <w:r w:rsidRPr="007C68E0">
        <w:rPr>
          <w:rFonts w:eastAsia="Calibri"/>
          <w:lang w:val="en-US" w:eastAsia="en-US"/>
        </w:rPr>
        <w:t xml:space="preserve"> also pointed to a relation between quicker diagnosis and severe recurrent infections, as well as autoimmunity manifestations and diagnostic delay.</w:t>
      </w:r>
    </w:p>
    <w:p w14:paraId="237629B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Most of the studies consulted report a lesser diagnosis delay in patients presenting with </w:t>
      </w:r>
      <w:proofErr w:type="gramStart"/>
      <w:r w:rsidRPr="007C68E0">
        <w:rPr>
          <w:rFonts w:eastAsia="Calibri"/>
          <w:lang w:val="en-US" w:eastAsia="en-US"/>
        </w:rPr>
        <w:t>infections.</w:t>
      </w:r>
      <w:r w:rsidRPr="007C68E0">
        <w:rPr>
          <w:rFonts w:eastAsia="Calibri"/>
          <w:vertAlign w:val="superscript"/>
          <w:lang w:val="en-US" w:eastAsia="en-US"/>
        </w:rPr>
        <w:t>(</w:t>
      </w:r>
      <w:proofErr w:type="gramEnd"/>
      <w:r w:rsidRPr="007C68E0">
        <w:rPr>
          <w:rFonts w:eastAsia="Calibri"/>
          <w:vertAlign w:val="superscript"/>
          <w:lang w:val="en-US" w:eastAsia="en-US"/>
        </w:rPr>
        <w:t>4,9,10)</w:t>
      </w:r>
      <w:r w:rsidRPr="007C68E0">
        <w:rPr>
          <w:rFonts w:eastAsia="Calibri"/>
          <w:lang w:val="en-US" w:eastAsia="en-US"/>
        </w:rPr>
        <w:t xml:space="preserve"> This might be explained by the fact that, in contrast with patients with allergies or recurrent infections, who are often assisted by immunologists, patients with autoimmune manifestations are generally evaluated by a series of specialists before they are referred to an immunologist.</w:t>
      </w:r>
    </w:p>
    <w:p w14:paraId="072C49C6"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According to the IUIS </w:t>
      </w:r>
      <w:proofErr w:type="gramStart"/>
      <w:r w:rsidRPr="007C68E0">
        <w:rPr>
          <w:rFonts w:eastAsia="Calibri"/>
          <w:lang w:val="en-US" w:eastAsia="en-US"/>
        </w:rPr>
        <w:t>classification,</w:t>
      </w:r>
      <w:r w:rsidRPr="007C68E0">
        <w:rPr>
          <w:rFonts w:eastAsia="Calibri"/>
          <w:vertAlign w:val="superscript"/>
          <w:lang w:val="en-US" w:eastAsia="en-US"/>
        </w:rPr>
        <w:t>(</w:t>
      </w:r>
      <w:proofErr w:type="gramEnd"/>
      <w:r w:rsidRPr="007C68E0">
        <w:rPr>
          <w:rFonts w:eastAsia="Calibri"/>
          <w:vertAlign w:val="superscript"/>
          <w:lang w:val="en-US" w:eastAsia="en-US"/>
        </w:rPr>
        <w:t>1)</w:t>
      </w:r>
      <w:r w:rsidRPr="007C68E0">
        <w:rPr>
          <w:rFonts w:eastAsia="Calibri"/>
          <w:lang w:val="en-US" w:eastAsia="en-US"/>
        </w:rPr>
        <w:t xml:space="preserve"> the group of inborn errors of immunity with the highest reporting were predominantly antibody deficiencies, which coincides with the global records of IDPS.</w:t>
      </w:r>
      <w:r w:rsidRPr="007C68E0">
        <w:rPr>
          <w:rFonts w:eastAsia="Calibri"/>
          <w:vertAlign w:val="superscript"/>
          <w:lang w:val="en-US" w:eastAsia="en-US"/>
        </w:rPr>
        <w:t>(6)</w:t>
      </w:r>
      <w:r w:rsidRPr="007C68E0">
        <w:rPr>
          <w:rFonts w:eastAsia="Calibri"/>
          <w:lang w:val="en-US" w:eastAsia="en-US"/>
        </w:rPr>
        <w:t xml:space="preserve"> No cases </w:t>
      </w:r>
      <w:r w:rsidRPr="007C68E0">
        <w:rPr>
          <w:rFonts w:eastAsia="Calibri"/>
          <w:lang w:val="en-US" w:eastAsia="en-US"/>
        </w:rPr>
        <w:lastRenderedPageBreak/>
        <w:t>of autoinflammatory disorders, complement deficiencies or phenocopies of primary immunodeficiencies were diagnosed.</w:t>
      </w:r>
    </w:p>
    <w:p w14:paraId="4916EC0C"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most frequent immunodeficiency in the series was IgA deficiency, which globally represented 38.46% of the total cases. IgA deficiency is also the most diagnosed </w:t>
      </w:r>
      <w:proofErr w:type="spellStart"/>
      <w:r w:rsidRPr="007C68E0">
        <w:rPr>
          <w:rFonts w:eastAsia="Calibri"/>
          <w:lang w:val="en-US" w:eastAsia="en-US"/>
        </w:rPr>
        <w:t>PID</w:t>
      </w:r>
      <w:proofErr w:type="spellEnd"/>
      <w:r w:rsidRPr="007C68E0">
        <w:rPr>
          <w:rFonts w:eastAsia="Calibri"/>
          <w:lang w:val="en-US" w:eastAsia="en-US"/>
        </w:rPr>
        <w:t xml:space="preserve"> in Cuba (32% of all cases</w:t>
      </w:r>
      <w:proofErr w:type="gramStart"/>
      <w:r w:rsidRPr="007C68E0">
        <w:rPr>
          <w:rFonts w:eastAsia="Calibri"/>
          <w:lang w:val="en-US" w:eastAsia="en-US"/>
        </w:rPr>
        <w:t>),</w:t>
      </w:r>
      <w:r w:rsidRPr="007C68E0">
        <w:rPr>
          <w:rFonts w:eastAsia="Calibri"/>
          <w:vertAlign w:val="superscript"/>
          <w:lang w:val="en-US" w:eastAsia="en-US"/>
        </w:rPr>
        <w:t>(</w:t>
      </w:r>
      <w:proofErr w:type="gramEnd"/>
      <w:r w:rsidRPr="007C68E0">
        <w:rPr>
          <w:rFonts w:eastAsia="Calibri"/>
          <w:vertAlign w:val="superscript"/>
          <w:lang w:val="en-US" w:eastAsia="en-US"/>
        </w:rPr>
        <w:t>3)</w:t>
      </w:r>
      <w:r w:rsidRPr="007C68E0">
        <w:rPr>
          <w:rFonts w:eastAsia="Calibri"/>
          <w:lang w:val="en-US" w:eastAsia="en-US"/>
        </w:rPr>
        <w:t xml:space="preserve"> as in the American continent, ranking second in order of frequency in Asia and Europe.</w:t>
      </w:r>
      <w:r w:rsidRPr="007C68E0">
        <w:rPr>
          <w:rFonts w:eastAsia="Calibri"/>
          <w:vertAlign w:val="superscript"/>
          <w:lang w:val="en-US" w:eastAsia="en-US"/>
        </w:rPr>
        <w:t>(6)</w:t>
      </w:r>
      <w:r w:rsidRPr="007C68E0">
        <w:rPr>
          <w:rFonts w:eastAsia="Calibri"/>
          <w:lang w:val="en-US" w:eastAsia="en-US"/>
        </w:rPr>
        <w:t xml:space="preserve"> However, in Pakistan, chronic granulomatous disease predominates, a phenomenon associated with the country's high rate of inbreeding and consanguinity (95% in the study sample).</w:t>
      </w:r>
      <w:r w:rsidRPr="007C68E0">
        <w:rPr>
          <w:rFonts w:eastAsia="Calibri"/>
          <w:vertAlign w:val="superscript"/>
          <w:lang w:val="en-US" w:eastAsia="en-US"/>
        </w:rPr>
        <w:t>(10)</w:t>
      </w:r>
      <w:r w:rsidRPr="007C68E0">
        <w:rPr>
          <w:rFonts w:eastAsia="Calibri"/>
          <w:lang w:val="en-US" w:eastAsia="en-US"/>
        </w:rPr>
        <w:t xml:space="preserve"> </w:t>
      </w:r>
    </w:p>
    <w:p w14:paraId="0F6A6E44"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Though consanguinity is rare in Cuba, a study published by </w:t>
      </w:r>
      <w:r w:rsidRPr="007C68E0">
        <w:rPr>
          <w:rFonts w:eastAsia="Calibri"/>
          <w:i/>
          <w:lang w:val="en-US" w:eastAsia="en-US"/>
        </w:rPr>
        <w:t>Lugo</w:t>
      </w:r>
      <w:r w:rsidRPr="007C68E0">
        <w:rPr>
          <w:rFonts w:eastAsia="Calibri"/>
          <w:lang w:val="en-US" w:eastAsia="en-US"/>
        </w:rPr>
        <w:t xml:space="preserve"> </w:t>
      </w:r>
      <w:proofErr w:type="gramStart"/>
      <w:r w:rsidRPr="007C68E0">
        <w:rPr>
          <w:rFonts w:eastAsia="Calibri"/>
          <w:lang w:val="en-US" w:eastAsia="en-US"/>
        </w:rPr>
        <w:t>et al.</w:t>
      </w:r>
      <w:r w:rsidRPr="007C68E0">
        <w:rPr>
          <w:rFonts w:eastAsia="Calibri"/>
          <w:vertAlign w:val="superscript"/>
          <w:lang w:val="en-US" w:eastAsia="en-US"/>
        </w:rPr>
        <w:t>(</w:t>
      </w:r>
      <w:proofErr w:type="gramEnd"/>
      <w:r w:rsidRPr="007C68E0">
        <w:rPr>
          <w:rFonts w:eastAsia="Calibri"/>
          <w:vertAlign w:val="superscript"/>
          <w:lang w:val="en-US" w:eastAsia="en-US"/>
        </w:rPr>
        <w:t>11)</w:t>
      </w:r>
      <w:r w:rsidRPr="007C68E0">
        <w:rPr>
          <w:rFonts w:eastAsia="Calibri"/>
          <w:lang w:val="en-US" w:eastAsia="en-US"/>
        </w:rPr>
        <w:t xml:space="preserve"> reports that approximately 1.1 billion people currently live in countries where consanguineous marriages are customary: in Middle Eastern, North Africa (MENA) and West Asia countries, a geographical area that runs from Pakistan and Afghanistan in the east to Morocco in the west, and including South India. </w:t>
      </w:r>
    </w:p>
    <w:p w14:paraId="0114DB62"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It is directly associated to an increased rate of autosomal recessive </w:t>
      </w:r>
      <w:proofErr w:type="spellStart"/>
      <w:r w:rsidRPr="007C68E0">
        <w:rPr>
          <w:rFonts w:eastAsia="Calibri"/>
          <w:lang w:val="en-US" w:eastAsia="en-US"/>
        </w:rPr>
        <w:t>IEI</w:t>
      </w:r>
      <w:proofErr w:type="spellEnd"/>
      <w:r w:rsidRPr="007C68E0">
        <w:rPr>
          <w:rFonts w:eastAsia="Calibri"/>
          <w:lang w:val="en-US" w:eastAsia="en-US"/>
        </w:rPr>
        <w:t xml:space="preserve"> in siblings with unaffected parents. Even when there were no reports of consanguinity in the series, the familial incidence was high compared to the German registry of PIDs (30.76% vs 21%, respectively) which reported an 8% of patients with related </w:t>
      </w:r>
      <w:proofErr w:type="gramStart"/>
      <w:r w:rsidRPr="007C68E0">
        <w:rPr>
          <w:rFonts w:eastAsia="Calibri"/>
          <w:lang w:val="en-US" w:eastAsia="en-US"/>
        </w:rPr>
        <w:t>parents.</w:t>
      </w:r>
      <w:r w:rsidRPr="007C68E0">
        <w:rPr>
          <w:rFonts w:eastAsia="Calibri"/>
          <w:vertAlign w:val="superscript"/>
          <w:lang w:val="en-US" w:eastAsia="en-US"/>
        </w:rPr>
        <w:t>(</w:t>
      </w:r>
      <w:proofErr w:type="gramEnd"/>
      <w:r w:rsidRPr="007C68E0">
        <w:rPr>
          <w:rFonts w:eastAsia="Calibri"/>
          <w:vertAlign w:val="superscript"/>
          <w:lang w:val="en-US" w:eastAsia="en-US"/>
        </w:rPr>
        <w:t>12)</w:t>
      </w:r>
      <w:r w:rsidRPr="007C68E0">
        <w:rPr>
          <w:rFonts w:eastAsia="Calibri"/>
          <w:lang w:val="en-US" w:eastAsia="en-US"/>
        </w:rPr>
        <w:t xml:space="preserve"> The German study showed that familial cases are more common in CVID and other humoral deficits, CGD and SCID, while in the present investigation a family history of </w:t>
      </w:r>
      <w:proofErr w:type="spellStart"/>
      <w:r w:rsidRPr="007C68E0">
        <w:rPr>
          <w:rFonts w:eastAsia="Calibri"/>
          <w:lang w:val="en-US" w:eastAsia="en-US"/>
        </w:rPr>
        <w:t>IEI</w:t>
      </w:r>
      <w:proofErr w:type="spellEnd"/>
      <w:r w:rsidRPr="007C68E0">
        <w:rPr>
          <w:rFonts w:eastAsia="Calibri"/>
          <w:lang w:val="en-US" w:eastAsia="en-US"/>
        </w:rPr>
        <w:t xml:space="preserve"> was more relevant in IgA and other humoral deficits. This difference might be associated to the low representation of CGD and SCID in our sample, as well as the prevalence of predominantly antibodies </w:t>
      </w:r>
      <w:proofErr w:type="spellStart"/>
      <w:r w:rsidRPr="007C68E0">
        <w:rPr>
          <w:rFonts w:eastAsia="Calibri"/>
          <w:lang w:val="en-US" w:eastAsia="en-US"/>
        </w:rPr>
        <w:t>IEI</w:t>
      </w:r>
      <w:proofErr w:type="spellEnd"/>
      <w:r w:rsidRPr="007C68E0">
        <w:rPr>
          <w:rFonts w:eastAsia="Calibri"/>
          <w:lang w:val="en-US" w:eastAsia="en-US"/>
        </w:rPr>
        <w:t xml:space="preserve">. </w:t>
      </w:r>
    </w:p>
    <w:p w14:paraId="1830E651"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Infections were the most common manifestations in our series. Although most national registries show similar </w:t>
      </w:r>
      <w:proofErr w:type="gramStart"/>
      <w:r w:rsidRPr="007C68E0">
        <w:rPr>
          <w:rFonts w:eastAsia="Calibri"/>
          <w:lang w:val="en-US" w:eastAsia="en-US"/>
        </w:rPr>
        <w:t>results,</w:t>
      </w:r>
      <w:r w:rsidRPr="007C68E0">
        <w:rPr>
          <w:rFonts w:eastAsia="Calibri"/>
          <w:vertAlign w:val="superscript"/>
          <w:lang w:val="en-US" w:eastAsia="en-US"/>
        </w:rPr>
        <w:t>(</w:t>
      </w:r>
      <w:proofErr w:type="gramEnd"/>
      <w:r w:rsidRPr="007C68E0">
        <w:rPr>
          <w:rFonts w:eastAsia="Calibri"/>
          <w:vertAlign w:val="superscript"/>
          <w:lang w:val="en-US" w:eastAsia="en-US"/>
        </w:rPr>
        <w:t>5,8,10,12)</w:t>
      </w:r>
      <w:r w:rsidRPr="007C68E0">
        <w:rPr>
          <w:rFonts w:eastAsia="Calibri"/>
          <w:lang w:val="en-US" w:eastAsia="en-US"/>
        </w:rPr>
        <w:t xml:space="preserve"> non-infectious symptoms are been reported increasingly in the course of </w:t>
      </w:r>
      <w:proofErr w:type="spellStart"/>
      <w:r w:rsidRPr="007C68E0">
        <w:rPr>
          <w:rFonts w:eastAsia="Calibri"/>
          <w:lang w:val="en-US" w:eastAsia="en-US"/>
        </w:rPr>
        <w:t>IEI</w:t>
      </w:r>
      <w:proofErr w:type="spellEnd"/>
      <w:r w:rsidRPr="007C68E0">
        <w:rPr>
          <w:rFonts w:eastAsia="Calibri"/>
          <w:lang w:val="en-US" w:eastAsia="en-US"/>
        </w:rPr>
        <w:t xml:space="preserve">. The </w:t>
      </w:r>
      <w:proofErr w:type="spellStart"/>
      <w:r w:rsidRPr="007C68E0">
        <w:rPr>
          <w:rFonts w:eastAsia="Calibri"/>
          <w:lang w:val="en-US" w:eastAsia="en-US"/>
        </w:rPr>
        <w:t>UKPID</w:t>
      </w:r>
      <w:proofErr w:type="spellEnd"/>
      <w:r w:rsidRPr="007C68E0">
        <w:rPr>
          <w:rFonts w:eastAsia="Calibri"/>
          <w:lang w:val="en-US" w:eastAsia="en-US"/>
        </w:rPr>
        <w:t xml:space="preserve"> registry recounted nearly 25% of cases with symptoms other than recurrent </w:t>
      </w:r>
      <w:proofErr w:type="gramStart"/>
      <w:r w:rsidRPr="007C68E0">
        <w:rPr>
          <w:rFonts w:eastAsia="Calibri"/>
          <w:lang w:val="en-US" w:eastAsia="en-US"/>
        </w:rPr>
        <w:t>infections,</w:t>
      </w:r>
      <w:r w:rsidRPr="007C68E0">
        <w:rPr>
          <w:rFonts w:eastAsia="Calibri"/>
          <w:vertAlign w:val="superscript"/>
          <w:lang w:val="en-US" w:eastAsia="en-US"/>
        </w:rPr>
        <w:t>(</w:t>
      </w:r>
      <w:proofErr w:type="gramEnd"/>
      <w:r w:rsidRPr="007C68E0">
        <w:rPr>
          <w:rFonts w:eastAsia="Calibri"/>
          <w:vertAlign w:val="superscript"/>
          <w:lang w:val="en-US" w:eastAsia="en-US"/>
        </w:rPr>
        <w:t>4)</w:t>
      </w:r>
      <w:r w:rsidRPr="007C68E0">
        <w:rPr>
          <w:rFonts w:eastAsia="Calibri"/>
          <w:lang w:val="en-US" w:eastAsia="en-US"/>
        </w:rPr>
        <w:t xml:space="preserve"> a lesser figure compared to our results. However, the studies consulted showed relevant disparities in the methodology used to classify non-infectious manifestations, hence, comparing and extrapolating results is not feasible. </w:t>
      </w:r>
    </w:p>
    <w:p w14:paraId="27006F3F" w14:textId="77777777" w:rsidR="007C68E0" w:rsidRPr="007C68E0" w:rsidRDefault="007C68E0" w:rsidP="007C68E0">
      <w:pPr>
        <w:spacing w:line="360" w:lineRule="auto"/>
        <w:jc w:val="both"/>
        <w:rPr>
          <w:rFonts w:eastAsia="Calibri"/>
          <w:lang w:val="en-US" w:eastAsia="en-US"/>
        </w:rPr>
      </w:pPr>
      <w:r w:rsidRPr="007C68E0">
        <w:rPr>
          <w:rFonts w:eastAsia="Calibri"/>
          <w:lang w:val="en-US" w:eastAsia="en-US"/>
        </w:rPr>
        <w:t xml:space="preserve">The mortality in the series was low. </w:t>
      </w:r>
      <w:proofErr w:type="spellStart"/>
      <w:r w:rsidRPr="007C68E0">
        <w:rPr>
          <w:rFonts w:eastAsia="Calibri"/>
          <w:i/>
          <w:lang w:val="en-US" w:eastAsia="en-US"/>
        </w:rPr>
        <w:t>Lougaris</w:t>
      </w:r>
      <w:proofErr w:type="spellEnd"/>
      <w:r w:rsidRPr="007C68E0">
        <w:rPr>
          <w:rFonts w:eastAsia="Calibri"/>
          <w:lang w:val="en-US" w:eastAsia="en-US"/>
        </w:rPr>
        <w:t xml:space="preserve"> </w:t>
      </w:r>
      <w:proofErr w:type="gramStart"/>
      <w:r w:rsidRPr="007C68E0">
        <w:rPr>
          <w:rFonts w:eastAsia="Calibri"/>
          <w:lang w:val="en-US" w:eastAsia="en-US"/>
        </w:rPr>
        <w:t>et al.</w:t>
      </w:r>
      <w:r w:rsidRPr="007C68E0">
        <w:rPr>
          <w:rFonts w:eastAsia="Calibri"/>
          <w:vertAlign w:val="superscript"/>
          <w:lang w:val="en-US" w:eastAsia="en-US"/>
        </w:rPr>
        <w:t>(</w:t>
      </w:r>
      <w:proofErr w:type="gramEnd"/>
      <w:r w:rsidRPr="007C68E0">
        <w:rPr>
          <w:rFonts w:eastAsia="Calibri"/>
          <w:vertAlign w:val="superscript"/>
          <w:lang w:val="en-US" w:eastAsia="en-US"/>
        </w:rPr>
        <w:t xml:space="preserve">7) </w:t>
      </w:r>
      <w:r w:rsidRPr="007C68E0">
        <w:rPr>
          <w:rFonts w:eastAsia="Calibri"/>
          <w:lang w:val="en-US" w:eastAsia="en-US"/>
        </w:rPr>
        <w:t xml:space="preserve">compared the mortality rates in patients with </w:t>
      </w:r>
      <w:proofErr w:type="spellStart"/>
      <w:r w:rsidRPr="007C68E0">
        <w:rPr>
          <w:rFonts w:eastAsia="Calibri"/>
          <w:lang w:val="en-US" w:eastAsia="en-US"/>
        </w:rPr>
        <w:t>IEI</w:t>
      </w:r>
      <w:proofErr w:type="spellEnd"/>
      <w:r w:rsidRPr="007C68E0">
        <w:rPr>
          <w:rFonts w:eastAsia="Calibri"/>
          <w:lang w:val="en-US" w:eastAsia="en-US"/>
        </w:rPr>
        <w:t xml:space="preserve"> according to the European registries; our series shows similar figures to populations in Germany and Switzerland.</w:t>
      </w:r>
      <w:r w:rsidRPr="007C68E0">
        <w:rPr>
          <w:rFonts w:eastAsia="Calibri"/>
          <w:vertAlign w:val="superscript"/>
          <w:lang w:val="en-US" w:eastAsia="en-US"/>
        </w:rPr>
        <w:t>(5)</w:t>
      </w:r>
      <w:r w:rsidRPr="007C68E0">
        <w:rPr>
          <w:rFonts w:eastAsia="Calibri"/>
          <w:lang w:val="en-US" w:eastAsia="en-US"/>
        </w:rPr>
        <w:t xml:space="preserve"> A Mexican study showed a slightly higher percent (3.3%), while in Pakistan the mortality raised to 25%.</w:t>
      </w:r>
      <w:r w:rsidRPr="007C68E0">
        <w:rPr>
          <w:rFonts w:eastAsia="Calibri"/>
          <w:vertAlign w:val="superscript"/>
          <w:lang w:val="en-US" w:eastAsia="en-US"/>
        </w:rPr>
        <w:t>(10)</w:t>
      </w:r>
      <w:r w:rsidRPr="007C68E0">
        <w:rPr>
          <w:rFonts w:eastAsia="Calibri"/>
          <w:lang w:val="en-US" w:eastAsia="en-US"/>
        </w:rPr>
        <w:t xml:space="preserve"> There are several factors that influence the outcome of </w:t>
      </w:r>
      <w:proofErr w:type="spellStart"/>
      <w:r w:rsidRPr="007C68E0">
        <w:rPr>
          <w:rFonts w:eastAsia="Calibri"/>
          <w:lang w:val="en-US" w:eastAsia="en-US"/>
        </w:rPr>
        <w:t>IEI</w:t>
      </w:r>
      <w:proofErr w:type="spellEnd"/>
      <w:r w:rsidRPr="007C68E0">
        <w:rPr>
          <w:rFonts w:eastAsia="Calibri"/>
          <w:lang w:val="en-US" w:eastAsia="en-US"/>
        </w:rPr>
        <w:t xml:space="preserve">, such as early diagnosis, </w:t>
      </w:r>
      <w:r w:rsidRPr="007C68E0">
        <w:rPr>
          <w:rFonts w:eastAsia="Calibri"/>
          <w:lang w:val="en-US" w:eastAsia="en-US"/>
        </w:rPr>
        <w:lastRenderedPageBreak/>
        <w:t xml:space="preserve">environmental and genetic factors as well as the access to sanitary services. Immune deficient patients with a history of parental consanguinity have been found to present with more severe </w:t>
      </w:r>
      <w:proofErr w:type="spellStart"/>
      <w:r w:rsidRPr="007C68E0">
        <w:rPr>
          <w:rFonts w:eastAsia="Calibri"/>
          <w:lang w:val="en-US" w:eastAsia="en-US"/>
        </w:rPr>
        <w:t>PID</w:t>
      </w:r>
      <w:proofErr w:type="spellEnd"/>
      <w:r w:rsidRPr="007C68E0">
        <w:rPr>
          <w:rFonts w:eastAsia="Calibri"/>
          <w:lang w:val="en-US" w:eastAsia="en-US"/>
        </w:rPr>
        <w:t xml:space="preserve"> phenotypes, as documented by the significant numbers of complications, atypical, severe and unusual infections, poor performance status, and a higher mortality rate.</w:t>
      </w:r>
      <w:r w:rsidRPr="007C68E0">
        <w:rPr>
          <w:rFonts w:eastAsia="Calibri"/>
          <w:vertAlign w:val="superscript"/>
          <w:lang w:val="en-US" w:eastAsia="en-US"/>
        </w:rPr>
        <w:t>(13)</w:t>
      </w:r>
      <w:r w:rsidRPr="007C68E0">
        <w:rPr>
          <w:rFonts w:eastAsia="Calibri"/>
          <w:lang w:val="en-US" w:eastAsia="en-US"/>
        </w:rPr>
        <w:t xml:space="preserve"> In Cuba, a third-world country, even when there are objective difficulties to make an accurate genetic diagnosis, the public health system ensures the access of general population to medical services and the affordability of treatments.  </w:t>
      </w:r>
    </w:p>
    <w:p w14:paraId="56B87D3E" w14:textId="77777777" w:rsidR="007C68E0" w:rsidRPr="007C68E0" w:rsidRDefault="007C68E0" w:rsidP="007C68E0">
      <w:pPr>
        <w:spacing w:line="360" w:lineRule="auto"/>
        <w:jc w:val="both"/>
        <w:rPr>
          <w:rFonts w:eastAsia="Calibri"/>
          <w:lang w:val="en-US" w:eastAsia="en-US"/>
        </w:rPr>
      </w:pPr>
      <w:r w:rsidRPr="007C68E0">
        <w:rPr>
          <w:rFonts w:eastAsia="Calibri"/>
          <w:lang w:val="en" w:eastAsia="en-US"/>
        </w:rPr>
        <w:t xml:space="preserve">Primary immunodeficiencies were more frequent in childhood, with the same behavior in both sexes. </w:t>
      </w:r>
      <w:r w:rsidRPr="007C68E0">
        <w:rPr>
          <w:rFonts w:eastAsia="Calibri"/>
          <w:lang w:val="en-US" w:eastAsia="en-US"/>
        </w:rPr>
        <w:t xml:space="preserve">Humoral immunodeficiencies were the most prevalent. Infections, allergies and family history of primary immunodeficiency were important finding. </w:t>
      </w:r>
    </w:p>
    <w:p w14:paraId="7EA9A24D" w14:textId="77777777" w:rsidR="007C68E0" w:rsidRPr="007C68E0" w:rsidRDefault="007C68E0" w:rsidP="007C68E0">
      <w:pPr>
        <w:spacing w:line="360" w:lineRule="auto"/>
        <w:jc w:val="both"/>
        <w:rPr>
          <w:rFonts w:eastAsia="Calibri"/>
          <w:lang w:val="en-US" w:eastAsia="en-US"/>
        </w:rPr>
      </w:pPr>
    </w:p>
    <w:p w14:paraId="4CC46659" w14:textId="77777777" w:rsidR="007C68E0" w:rsidRPr="007C68E0" w:rsidRDefault="007C68E0" w:rsidP="007C68E0">
      <w:pPr>
        <w:tabs>
          <w:tab w:val="left" w:pos="284"/>
        </w:tabs>
        <w:spacing w:line="360" w:lineRule="auto"/>
        <w:jc w:val="center"/>
        <w:rPr>
          <w:rFonts w:eastAsia="Calibri"/>
          <w:b/>
          <w:lang w:val="en-US" w:eastAsia="en-US"/>
        </w:rPr>
      </w:pPr>
    </w:p>
    <w:p w14:paraId="25974045" w14:textId="77777777" w:rsidR="007C68E0" w:rsidRPr="007C68E0" w:rsidRDefault="007C68E0" w:rsidP="007C68E0">
      <w:pPr>
        <w:tabs>
          <w:tab w:val="left" w:pos="284"/>
        </w:tabs>
        <w:spacing w:line="360" w:lineRule="auto"/>
        <w:jc w:val="center"/>
        <w:rPr>
          <w:rFonts w:eastAsia="Calibri"/>
          <w:b/>
          <w:sz w:val="32"/>
          <w:szCs w:val="32"/>
          <w:lang w:val="en-US" w:eastAsia="en-US"/>
        </w:rPr>
      </w:pPr>
      <w:r w:rsidRPr="007C68E0">
        <w:rPr>
          <w:rFonts w:eastAsia="Calibri"/>
          <w:b/>
          <w:sz w:val="32"/>
          <w:szCs w:val="32"/>
          <w:lang w:val="en-US" w:eastAsia="en-US"/>
        </w:rPr>
        <w:t>BIBLIOGRAPHIC REFERENCES</w:t>
      </w:r>
    </w:p>
    <w:p w14:paraId="36896C09"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US" w:eastAsia="en-US"/>
        </w:rPr>
        <w:t xml:space="preserve">1. </w:t>
      </w:r>
      <w:proofErr w:type="spellStart"/>
      <w:r w:rsidRPr="007C68E0">
        <w:rPr>
          <w:rFonts w:eastAsia="Calibri"/>
          <w:color w:val="212121"/>
          <w:shd w:val="clear" w:color="auto" w:fill="FFFFFF"/>
          <w:lang w:val="en-US" w:eastAsia="en-US"/>
        </w:rPr>
        <w:t>Tangye</w:t>
      </w:r>
      <w:proofErr w:type="spellEnd"/>
      <w:r w:rsidRPr="007C68E0">
        <w:rPr>
          <w:rFonts w:eastAsia="Calibri"/>
          <w:color w:val="212121"/>
          <w:shd w:val="clear" w:color="auto" w:fill="FFFFFF"/>
          <w:lang w:val="en-US" w:eastAsia="en-US"/>
        </w:rPr>
        <w:t xml:space="preserve"> SG, Al-</w:t>
      </w:r>
      <w:proofErr w:type="spellStart"/>
      <w:r w:rsidRPr="007C68E0">
        <w:rPr>
          <w:rFonts w:eastAsia="Calibri"/>
          <w:color w:val="212121"/>
          <w:shd w:val="clear" w:color="auto" w:fill="FFFFFF"/>
          <w:lang w:val="en-US" w:eastAsia="en-US"/>
        </w:rPr>
        <w:t>Herz</w:t>
      </w:r>
      <w:proofErr w:type="spellEnd"/>
      <w:r w:rsidRPr="007C68E0">
        <w:rPr>
          <w:rFonts w:eastAsia="Calibri"/>
          <w:color w:val="212121"/>
          <w:shd w:val="clear" w:color="auto" w:fill="FFFFFF"/>
          <w:lang w:val="en-US" w:eastAsia="en-US"/>
        </w:rPr>
        <w:t xml:space="preserve"> W, </w:t>
      </w:r>
      <w:proofErr w:type="spellStart"/>
      <w:r w:rsidRPr="007C68E0">
        <w:rPr>
          <w:rFonts w:eastAsia="Calibri"/>
          <w:color w:val="212121"/>
          <w:shd w:val="clear" w:color="auto" w:fill="FFFFFF"/>
          <w:lang w:val="en-US" w:eastAsia="en-US"/>
        </w:rPr>
        <w:t>Bousfiha</w:t>
      </w:r>
      <w:proofErr w:type="spellEnd"/>
      <w:r w:rsidRPr="007C68E0">
        <w:rPr>
          <w:rFonts w:eastAsia="Calibri"/>
          <w:color w:val="212121"/>
          <w:shd w:val="clear" w:color="auto" w:fill="FFFFFF"/>
          <w:lang w:val="en-US" w:eastAsia="en-US"/>
        </w:rPr>
        <w:t xml:space="preserve"> A, </w:t>
      </w:r>
      <w:proofErr w:type="spellStart"/>
      <w:r w:rsidRPr="007C68E0">
        <w:rPr>
          <w:rFonts w:eastAsia="Calibri"/>
          <w:color w:val="212121"/>
          <w:shd w:val="clear" w:color="auto" w:fill="FFFFFF"/>
          <w:lang w:val="en-US" w:eastAsia="en-US"/>
        </w:rPr>
        <w:t>Chatila</w:t>
      </w:r>
      <w:proofErr w:type="spellEnd"/>
      <w:r w:rsidRPr="007C68E0">
        <w:rPr>
          <w:rFonts w:eastAsia="Calibri"/>
          <w:color w:val="212121"/>
          <w:shd w:val="clear" w:color="auto" w:fill="FFFFFF"/>
          <w:lang w:val="en-US" w:eastAsia="en-US"/>
        </w:rPr>
        <w:t xml:space="preserve"> T, Cunningham-Rundles C, Etzioni A, et al. </w:t>
      </w:r>
      <w:r w:rsidRPr="007C68E0">
        <w:rPr>
          <w:rFonts w:eastAsia="Calibri"/>
          <w:color w:val="212121"/>
          <w:shd w:val="clear" w:color="auto" w:fill="FFFFFF"/>
          <w:lang w:val="en-GB" w:eastAsia="en-US"/>
        </w:rPr>
        <w:t>Human Inborn Errors of Immunity: 2019 Update on the Classification from the International Union of Immunological Societies Expert Committee. J Clin Immunol. 2020 [access: 12/07/2022]; 40(1</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41 p.].  Available from: </w:t>
      </w:r>
      <w:hyperlink r:id="rId16" w:history="1">
        <w:r w:rsidRPr="007C68E0">
          <w:rPr>
            <w:rFonts w:eastAsia="Calibri"/>
            <w:color w:val="0563C1"/>
            <w:u w:val="single"/>
            <w:shd w:val="clear" w:color="auto" w:fill="FFFFFF"/>
            <w:lang w:val="en-GB" w:eastAsia="en-US"/>
          </w:rPr>
          <w:t>https://pubmed.ncbi.nlm.nih.gov/31953710/</w:t>
        </w:r>
      </w:hyperlink>
      <w:r w:rsidRPr="007C68E0">
        <w:rPr>
          <w:rFonts w:eastAsia="Calibri"/>
          <w:color w:val="212121"/>
          <w:shd w:val="clear" w:color="auto" w:fill="FFFFFF"/>
          <w:lang w:val="en-GB" w:eastAsia="en-US"/>
        </w:rPr>
        <w:t xml:space="preserve">   </w:t>
      </w:r>
    </w:p>
    <w:p w14:paraId="51026E5C" w14:textId="77777777" w:rsidR="007C68E0" w:rsidRPr="007C68E0" w:rsidRDefault="007C68E0" w:rsidP="007C68E0">
      <w:pPr>
        <w:spacing w:line="360" w:lineRule="auto"/>
        <w:jc w:val="both"/>
        <w:rPr>
          <w:rFonts w:eastAsia="Calibri"/>
          <w:color w:val="212121"/>
          <w:shd w:val="clear" w:color="auto" w:fill="FFFFFF"/>
          <w:lang w:val="es-CU" w:eastAsia="en-US"/>
        </w:rPr>
      </w:pPr>
      <w:r w:rsidRPr="007C68E0">
        <w:rPr>
          <w:rFonts w:eastAsia="Calibri"/>
          <w:color w:val="212121"/>
          <w:shd w:val="clear" w:color="auto" w:fill="FFFFFF"/>
          <w:lang w:val="en-GB" w:eastAsia="en-US"/>
        </w:rPr>
        <w:t xml:space="preserve">2. </w:t>
      </w:r>
      <w:proofErr w:type="spellStart"/>
      <w:r w:rsidRPr="007C68E0">
        <w:rPr>
          <w:rFonts w:eastAsia="Calibri"/>
          <w:color w:val="212121"/>
          <w:shd w:val="clear" w:color="auto" w:fill="FFFFFF"/>
          <w:lang w:val="en-GB" w:eastAsia="en-US"/>
        </w:rPr>
        <w:t>Solé</w:t>
      </w:r>
      <w:proofErr w:type="spellEnd"/>
      <w:r w:rsidRPr="007C68E0">
        <w:rPr>
          <w:rFonts w:eastAsia="Calibri"/>
          <w:color w:val="212121"/>
          <w:shd w:val="clear" w:color="auto" w:fill="FFFFFF"/>
          <w:lang w:val="en-GB" w:eastAsia="en-US"/>
        </w:rPr>
        <w:t xml:space="preserve"> D. Primary immunodeficiencies: a diagnostic challenge? J </w:t>
      </w:r>
      <w:proofErr w:type="spellStart"/>
      <w:r w:rsidRPr="007C68E0">
        <w:rPr>
          <w:rFonts w:eastAsia="Calibri"/>
          <w:color w:val="212121"/>
          <w:shd w:val="clear" w:color="auto" w:fill="FFFFFF"/>
          <w:lang w:val="en-GB" w:eastAsia="en-US"/>
        </w:rPr>
        <w:t>Pediatr</w:t>
      </w:r>
      <w:proofErr w:type="spellEnd"/>
      <w:r w:rsidRPr="007C68E0">
        <w:rPr>
          <w:rFonts w:eastAsia="Calibri"/>
          <w:color w:val="212121"/>
          <w:shd w:val="clear" w:color="auto" w:fill="FFFFFF"/>
          <w:lang w:val="en-GB" w:eastAsia="en-US"/>
        </w:rPr>
        <w:t xml:space="preserve"> (Rio J). 2021 [access: 16/08/2022]; 97(</w:t>
      </w:r>
      <w:proofErr w:type="spellStart"/>
      <w:r w:rsidRPr="007C68E0">
        <w:rPr>
          <w:rFonts w:eastAsia="Calibri"/>
          <w:color w:val="212121"/>
          <w:shd w:val="clear" w:color="auto" w:fill="FFFFFF"/>
          <w:lang w:val="en-GB" w:eastAsia="en-US"/>
        </w:rPr>
        <w:t>Suppl</w:t>
      </w:r>
      <w:proofErr w:type="spellEnd"/>
      <w:r w:rsidRPr="007C68E0">
        <w:rPr>
          <w:rFonts w:eastAsia="Calibri"/>
          <w:color w:val="212121"/>
          <w:shd w:val="clear" w:color="auto" w:fill="FFFFFF"/>
          <w:lang w:val="en-GB" w:eastAsia="en-US"/>
        </w:rPr>
        <w:t xml:space="preserve"> 1</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2 p.]. </w:t>
      </w:r>
      <w:proofErr w:type="spellStart"/>
      <w:r w:rsidRPr="007C68E0">
        <w:rPr>
          <w:rFonts w:eastAsia="Calibri"/>
          <w:color w:val="212121"/>
          <w:shd w:val="clear" w:color="auto" w:fill="FFFFFF"/>
          <w:lang w:val="es-CU" w:eastAsia="en-US"/>
        </w:rPr>
        <w:t>Available</w:t>
      </w:r>
      <w:proofErr w:type="spellEnd"/>
      <w:r w:rsidRPr="007C68E0">
        <w:rPr>
          <w:rFonts w:eastAsia="Calibri"/>
          <w:color w:val="212121"/>
          <w:shd w:val="clear" w:color="auto" w:fill="FFFFFF"/>
          <w:lang w:val="es-CU" w:eastAsia="en-US"/>
        </w:rPr>
        <w:t xml:space="preserve"> </w:t>
      </w:r>
      <w:proofErr w:type="spellStart"/>
      <w:r w:rsidRPr="007C68E0">
        <w:rPr>
          <w:rFonts w:eastAsia="Calibri"/>
          <w:color w:val="212121"/>
          <w:shd w:val="clear" w:color="auto" w:fill="FFFFFF"/>
          <w:lang w:val="es-CU" w:eastAsia="en-US"/>
        </w:rPr>
        <w:t>from</w:t>
      </w:r>
      <w:proofErr w:type="spellEnd"/>
      <w:r w:rsidRPr="007C68E0">
        <w:rPr>
          <w:rFonts w:eastAsia="Calibri"/>
          <w:color w:val="212121"/>
          <w:shd w:val="clear" w:color="auto" w:fill="FFFFFF"/>
          <w:lang w:val="es-CU" w:eastAsia="en-US"/>
        </w:rPr>
        <w:t xml:space="preserve">: </w:t>
      </w:r>
      <w:hyperlink r:id="rId17" w:history="1">
        <w:r w:rsidRPr="007C68E0">
          <w:rPr>
            <w:rFonts w:eastAsia="Calibri"/>
            <w:color w:val="0563C1"/>
            <w:u w:val="single"/>
            <w:shd w:val="clear" w:color="auto" w:fill="FFFFFF"/>
            <w:lang w:val="es-CU" w:eastAsia="en-US"/>
          </w:rPr>
          <w:t>https://pubmed.ncbi.nlm.nih.gov/33352110/</w:t>
        </w:r>
      </w:hyperlink>
      <w:r w:rsidRPr="007C68E0">
        <w:rPr>
          <w:rFonts w:eastAsia="Calibri"/>
          <w:color w:val="212121"/>
          <w:shd w:val="clear" w:color="auto" w:fill="FFFFFF"/>
          <w:lang w:val="es-CU" w:eastAsia="en-US"/>
        </w:rPr>
        <w:t xml:space="preserve">  </w:t>
      </w:r>
    </w:p>
    <w:p w14:paraId="65509823" w14:textId="77777777" w:rsidR="007C68E0" w:rsidRPr="007C68E0" w:rsidRDefault="007C68E0" w:rsidP="007C68E0">
      <w:pPr>
        <w:tabs>
          <w:tab w:val="left" w:pos="426"/>
        </w:tabs>
        <w:spacing w:line="360" w:lineRule="auto"/>
        <w:rPr>
          <w:rFonts w:eastAsia="Calibri"/>
          <w:color w:val="212121"/>
          <w:shd w:val="clear" w:color="auto" w:fill="FFFFFF"/>
          <w:lang w:val="es-CU" w:eastAsia="en-US"/>
        </w:rPr>
      </w:pPr>
      <w:r w:rsidRPr="007C68E0">
        <w:rPr>
          <w:rFonts w:eastAsia="Calibri"/>
          <w:color w:val="212121"/>
          <w:shd w:val="clear" w:color="auto" w:fill="FFFFFF"/>
          <w:lang w:val="es-CU" w:eastAsia="en-US"/>
        </w:rPr>
        <w:t>3. Macías C. Una mirada al diagnóstico y tratamiento de las inmunodeficiencias primarias. Revista Cubana de Hematología, Inmunología y Hemoterapia. 2020 [</w:t>
      </w:r>
      <w:proofErr w:type="spellStart"/>
      <w:r w:rsidRPr="007C68E0">
        <w:rPr>
          <w:rFonts w:eastAsia="Calibri"/>
          <w:color w:val="212121"/>
          <w:shd w:val="clear" w:color="auto" w:fill="FFFFFF"/>
          <w:lang w:val="es-CU" w:eastAsia="en-US"/>
        </w:rPr>
        <w:t>access</w:t>
      </w:r>
      <w:proofErr w:type="spellEnd"/>
      <w:r w:rsidRPr="007C68E0">
        <w:rPr>
          <w:rFonts w:eastAsia="Calibri"/>
          <w:color w:val="212121"/>
          <w:shd w:val="clear" w:color="auto" w:fill="FFFFFF"/>
          <w:lang w:val="es-CU" w:eastAsia="en-US"/>
        </w:rPr>
        <w:t>: 22/06/2022]; 35(4</w:t>
      </w:r>
      <w:proofErr w:type="gramStart"/>
      <w:r w:rsidRPr="007C68E0">
        <w:rPr>
          <w:rFonts w:eastAsia="Calibri"/>
          <w:color w:val="212121"/>
          <w:shd w:val="clear" w:color="auto" w:fill="FFFFFF"/>
          <w:lang w:val="es-CU" w:eastAsia="en-US"/>
        </w:rPr>
        <w:t>):[</w:t>
      </w:r>
      <w:proofErr w:type="gramEnd"/>
      <w:r w:rsidRPr="007C68E0">
        <w:rPr>
          <w:rFonts w:eastAsia="Calibri"/>
          <w:color w:val="212121"/>
          <w:shd w:val="clear" w:color="auto" w:fill="FFFFFF"/>
          <w:lang w:val="es-CU" w:eastAsia="en-US"/>
        </w:rPr>
        <w:t xml:space="preserve">5 p.]. </w:t>
      </w:r>
      <w:proofErr w:type="spellStart"/>
      <w:r w:rsidRPr="007C68E0">
        <w:rPr>
          <w:rFonts w:eastAsia="Calibri"/>
          <w:color w:val="212121"/>
          <w:shd w:val="clear" w:color="auto" w:fill="FFFFFF"/>
          <w:lang w:val="es-CU" w:eastAsia="en-US"/>
        </w:rPr>
        <w:t>Available</w:t>
      </w:r>
      <w:proofErr w:type="spellEnd"/>
      <w:r w:rsidRPr="007C68E0">
        <w:rPr>
          <w:rFonts w:eastAsia="Calibri"/>
          <w:color w:val="212121"/>
          <w:shd w:val="clear" w:color="auto" w:fill="FFFFFF"/>
          <w:lang w:val="es-CU" w:eastAsia="en-US"/>
        </w:rPr>
        <w:t xml:space="preserve"> </w:t>
      </w:r>
      <w:proofErr w:type="spellStart"/>
      <w:r w:rsidRPr="007C68E0">
        <w:rPr>
          <w:rFonts w:eastAsia="Calibri"/>
          <w:color w:val="212121"/>
          <w:shd w:val="clear" w:color="auto" w:fill="FFFFFF"/>
          <w:lang w:val="es-CU" w:eastAsia="en-US"/>
        </w:rPr>
        <w:t>from</w:t>
      </w:r>
      <w:proofErr w:type="spellEnd"/>
      <w:r w:rsidRPr="007C68E0">
        <w:rPr>
          <w:rFonts w:eastAsia="Calibri"/>
          <w:color w:val="212121"/>
          <w:shd w:val="clear" w:color="auto" w:fill="FFFFFF"/>
          <w:lang w:val="es-CU" w:eastAsia="en-US"/>
        </w:rPr>
        <w:t xml:space="preserve">: </w:t>
      </w:r>
      <w:hyperlink r:id="rId18" w:history="1">
        <w:r w:rsidRPr="007C68E0">
          <w:rPr>
            <w:rFonts w:eastAsia="Calibri"/>
            <w:color w:val="0563C1"/>
            <w:u w:val="single"/>
            <w:shd w:val="clear" w:color="auto" w:fill="FFFFFF"/>
            <w:lang w:val="es-CU" w:eastAsia="en-US"/>
          </w:rPr>
          <w:t>http://www.revhematologia.sld.cu/index.php/hih/article/view/1178</w:t>
        </w:r>
      </w:hyperlink>
      <w:r w:rsidRPr="007C68E0">
        <w:rPr>
          <w:rFonts w:eastAsia="Calibri"/>
          <w:color w:val="212121"/>
          <w:shd w:val="clear" w:color="auto" w:fill="FFFFFF"/>
          <w:lang w:val="es-CU" w:eastAsia="en-US"/>
        </w:rPr>
        <w:t xml:space="preserve">  </w:t>
      </w:r>
    </w:p>
    <w:p w14:paraId="5FE952F3"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 xml:space="preserve">4. </w:t>
      </w:r>
      <w:proofErr w:type="spellStart"/>
      <w:r w:rsidRPr="007C68E0">
        <w:rPr>
          <w:rFonts w:eastAsia="Calibri"/>
          <w:color w:val="212121"/>
          <w:shd w:val="clear" w:color="auto" w:fill="FFFFFF"/>
          <w:lang w:val="en-GB" w:eastAsia="en-US"/>
        </w:rPr>
        <w:t>Shillitoe</w:t>
      </w:r>
      <w:proofErr w:type="spellEnd"/>
      <w:r w:rsidRPr="007C68E0">
        <w:rPr>
          <w:rFonts w:eastAsia="Calibri"/>
          <w:color w:val="212121"/>
          <w:shd w:val="clear" w:color="auto" w:fill="FFFFFF"/>
          <w:lang w:val="en-GB" w:eastAsia="en-US"/>
        </w:rPr>
        <w:t xml:space="preserve"> B, Bangs C, Guzman D, </w:t>
      </w:r>
      <w:proofErr w:type="spellStart"/>
      <w:r w:rsidRPr="007C68E0">
        <w:rPr>
          <w:rFonts w:eastAsia="Calibri"/>
          <w:color w:val="212121"/>
          <w:shd w:val="clear" w:color="auto" w:fill="FFFFFF"/>
          <w:lang w:val="en-GB" w:eastAsia="en-US"/>
        </w:rPr>
        <w:t>Gennery</w:t>
      </w:r>
      <w:proofErr w:type="spellEnd"/>
      <w:r w:rsidRPr="007C68E0">
        <w:rPr>
          <w:rFonts w:eastAsia="Calibri"/>
          <w:color w:val="212121"/>
          <w:shd w:val="clear" w:color="auto" w:fill="FFFFFF"/>
          <w:lang w:val="en-GB" w:eastAsia="en-US"/>
        </w:rPr>
        <w:t xml:space="preserve"> AR, Longhurst </w:t>
      </w:r>
      <w:proofErr w:type="spellStart"/>
      <w:r w:rsidRPr="007C68E0">
        <w:rPr>
          <w:rFonts w:eastAsia="Calibri"/>
          <w:color w:val="212121"/>
          <w:shd w:val="clear" w:color="auto" w:fill="FFFFFF"/>
          <w:lang w:val="en-GB" w:eastAsia="en-US"/>
        </w:rPr>
        <w:t>HJ</w:t>
      </w:r>
      <w:proofErr w:type="spellEnd"/>
      <w:r w:rsidRPr="007C68E0">
        <w:rPr>
          <w:rFonts w:eastAsia="Calibri"/>
          <w:color w:val="212121"/>
          <w:shd w:val="clear" w:color="auto" w:fill="FFFFFF"/>
          <w:lang w:val="en-GB" w:eastAsia="en-US"/>
        </w:rPr>
        <w:t>, Slatter M, et al. The United Kingdom Primary Immune Deficiency (</w:t>
      </w:r>
      <w:proofErr w:type="spellStart"/>
      <w:r w:rsidRPr="007C68E0">
        <w:rPr>
          <w:rFonts w:eastAsia="Calibri"/>
          <w:color w:val="212121"/>
          <w:shd w:val="clear" w:color="auto" w:fill="FFFFFF"/>
          <w:lang w:val="en-GB" w:eastAsia="en-US"/>
        </w:rPr>
        <w:t>UKPID</w:t>
      </w:r>
      <w:proofErr w:type="spellEnd"/>
      <w:r w:rsidRPr="007C68E0">
        <w:rPr>
          <w:rFonts w:eastAsia="Calibri"/>
          <w:color w:val="212121"/>
          <w:shd w:val="clear" w:color="auto" w:fill="FFFFFF"/>
          <w:lang w:val="en-GB" w:eastAsia="en-US"/>
        </w:rPr>
        <w:t>) registry 2012 to 2017. Clin Exp Immunol. 2018 [access: 12/07/2022]; 192(3</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7 p.]. Available from: </w:t>
      </w:r>
      <w:hyperlink r:id="rId19" w:history="1">
        <w:r w:rsidRPr="007C68E0">
          <w:rPr>
            <w:rFonts w:eastAsia="Calibri"/>
            <w:color w:val="0563C1"/>
            <w:u w:val="single"/>
            <w:shd w:val="clear" w:color="auto" w:fill="FFFFFF"/>
            <w:lang w:val="en-GB" w:eastAsia="en-US"/>
          </w:rPr>
          <w:t>https://pubmed.ncbi.nlm.nih.gov/29878323/</w:t>
        </w:r>
      </w:hyperlink>
      <w:r w:rsidRPr="007C68E0">
        <w:rPr>
          <w:rFonts w:eastAsia="Calibri"/>
          <w:color w:val="212121"/>
          <w:shd w:val="clear" w:color="auto" w:fill="FFFFFF"/>
          <w:lang w:val="en-GB" w:eastAsia="en-US"/>
        </w:rPr>
        <w:t xml:space="preserve">  </w:t>
      </w:r>
    </w:p>
    <w:p w14:paraId="1520251F"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s-CU" w:eastAsia="en-US"/>
        </w:rPr>
        <w:t xml:space="preserve">5. </w:t>
      </w:r>
      <w:proofErr w:type="spellStart"/>
      <w:r w:rsidRPr="007C68E0">
        <w:rPr>
          <w:rFonts w:eastAsia="Calibri"/>
          <w:color w:val="212121"/>
          <w:shd w:val="clear" w:color="auto" w:fill="FFFFFF"/>
          <w:lang w:val="es-CU" w:eastAsia="en-US"/>
        </w:rPr>
        <w:t>Lougaris</w:t>
      </w:r>
      <w:proofErr w:type="spellEnd"/>
      <w:r w:rsidRPr="007C68E0">
        <w:rPr>
          <w:rFonts w:eastAsia="Calibri"/>
          <w:color w:val="212121"/>
          <w:shd w:val="clear" w:color="auto" w:fill="FFFFFF"/>
          <w:lang w:val="es-CU" w:eastAsia="en-US"/>
        </w:rPr>
        <w:t xml:space="preserve"> V, </w:t>
      </w:r>
      <w:proofErr w:type="spellStart"/>
      <w:r w:rsidRPr="007C68E0">
        <w:rPr>
          <w:rFonts w:eastAsia="Calibri"/>
          <w:color w:val="212121"/>
          <w:shd w:val="clear" w:color="auto" w:fill="FFFFFF"/>
          <w:lang w:val="es-CU" w:eastAsia="en-US"/>
        </w:rPr>
        <w:t>Pession</w:t>
      </w:r>
      <w:proofErr w:type="spellEnd"/>
      <w:r w:rsidRPr="007C68E0">
        <w:rPr>
          <w:rFonts w:eastAsia="Calibri"/>
          <w:color w:val="212121"/>
          <w:shd w:val="clear" w:color="auto" w:fill="FFFFFF"/>
          <w:lang w:val="es-CU" w:eastAsia="en-US"/>
        </w:rPr>
        <w:t xml:space="preserve"> A, </w:t>
      </w:r>
      <w:proofErr w:type="spellStart"/>
      <w:r w:rsidRPr="007C68E0">
        <w:rPr>
          <w:rFonts w:eastAsia="Calibri"/>
          <w:color w:val="212121"/>
          <w:shd w:val="clear" w:color="auto" w:fill="FFFFFF"/>
          <w:lang w:val="es-CU" w:eastAsia="en-US"/>
        </w:rPr>
        <w:t>Baronio</w:t>
      </w:r>
      <w:proofErr w:type="spellEnd"/>
      <w:r w:rsidRPr="007C68E0">
        <w:rPr>
          <w:rFonts w:eastAsia="Calibri"/>
          <w:color w:val="212121"/>
          <w:shd w:val="clear" w:color="auto" w:fill="FFFFFF"/>
          <w:lang w:val="es-CU" w:eastAsia="en-US"/>
        </w:rPr>
        <w:t xml:space="preserve"> M, </w:t>
      </w:r>
      <w:proofErr w:type="spellStart"/>
      <w:r w:rsidRPr="007C68E0">
        <w:rPr>
          <w:rFonts w:eastAsia="Calibri"/>
          <w:color w:val="212121"/>
          <w:shd w:val="clear" w:color="auto" w:fill="FFFFFF"/>
          <w:lang w:val="es-CU" w:eastAsia="en-US"/>
        </w:rPr>
        <w:t>Soresina</w:t>
      </w:r>
      <w:proofErr w:type="spellEnd"/>
      <w:r w:rsidRPr="007C68E0">
        <w:rPr>
          <w:rFonts w:eastAsia="Calibri"/>
          <w:color w:val="212121"/>
          <w:shd w:val="clear" w:color="auto" w:fill="FFFFFF"/>
          <w:lang w:val="es-CU" w:eastAsia="en-US"/>
        </w:rPr>
        <w:t xml:space="preserve"> A, </w:t>
      </w:r>
      <w:proofErr w:type="spellStart"/>
      <w:r w:rsidRPr="007C68E0">
        <w:rPr>
          <w:rFonts w:eastAsia="Calibri"/>
          <w:color w:val="212121"/>
          <w:shd w:val="clear" w:color="auto" w:fill="FFFFFF"/>
          <w:lang w:val="es-CU" w:eastAsia="en-US"/>
        </w:rPr>
        <w:t>Rondelli</w:t>
      </w:r>
      <w:proofErr w:type="spellEnd"/>
      <w:r w:rsidRPr="007C68E0">
        <w:rPr>
          <w:rFonts w:eastAsia="Calibri"/>
          <w:color w:val="212121"/>
          <w:shd w:val="clear" w:color="auto" w:fill="FFFFFF"/>
          <w:lang w:val="es-CU" w:eastAsia="en-US"/>
        </w:rPr>
        <w:t xml:space="preserve"> R, </w:t>
      </w:r>
      <w:proofErr w:type="spellStart"/>
      <w:r w:rsidRPr="007C68E0">
        <w:rPr>
          <w:rFonts w:eastAsia="Calibri"/>
          <w:color w:val="212121"/>
          <w:shd w:val="clear" w:color="auto" w:fill="FFFFFF"/>
          <w:lang w:val="es-CU" w:eastAsia="en-US"/>
        </w:rPr>
        <w:t>Gazzurelli</w:t>
      </w:r>
      <w:proofErr w:type="spellEnd"/>
      <w:r w:rsidRPr="007C68E0">
        <w:rPr>
          <w:rFonts w:eastAsia="Calibri"/>
          <w:color w:val="212121"/>
          <w:shd w:val="clear" w:color="auto" w:fill="FFFFFF"/>
          <w:lang w:val="es-CU" w:eastAsia="en-US"/>
        </w:rPr>
        <w:t xml:space="preserve"> L, et al. </w:t>
      </w:r>
      <w:r w:rsidRPr="007C68E0">
        <w:rPr>
          <w:rFonts w:eastAsia="Calibri"/>
          <w:color w:val="212121"/>
          <w:shd w:val="clear" w:color="auto" w:fill="FFFFFF"/>
          <w:lang w:val="en-GB" w:eastAsia="en-US"/>
        </w:rPr>
        <w:t xml:space="preserve">The Italian Registry for Primary Immunodeficiencies (Italian Primary Immunodeficiency Network; </w:t>
      </w:r>
      <w:proofErr w:type="spellStart"/>
      <w:r w:rsidRPr="007C68E0">
        <w:rPr>
          <w:rFonts w:eastAsia="Calibri"/>
          <w:color w:val="212121"/>
          <w:shd w:val="clear" w:color="auto" w:fill="FFFFFF"/>
          <w:lang w:val="en-GB" w:eastAsia="en-US"/>
        </w:rPr>
        <w:t>IPINet</w:t>
      </w:r>
      <w:proofErr w:type="spellEnd"/>
      <w:r w:rsidRPr="007C68E0">
        <w:rPr>
          <w:rFonts w:eastAsia="Calibri"/>
          <w:color w:val="212121"/>
          <w:shd w:val="clear" w:color="auto" w:fill="FFFFFF"/>
          <w:lang w:val="en-GB" w:eastAsia="en-US"/>
        </w:rPr>
        <w:t>): Twenty Years of Experience (1999-2019). J Clin Immunol. 2020 [access: 11/072022]; 40(7</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12 p.]. Available from: </w:t>
      </w:r>
      <w:hyperlink r:id="rId20" w:history="1">
        <w:r w:rsidRPr="007C68E0">
          <w:rPr>
            <w:rFonts w:eastAsia="Calibri"/>
            <w:color w:val="0563C1"/>
            <w:u w:val="single"/>
            <w:shd w:val="clear" w:color="auto" w:fill="FFFFFF"/>
            <w:lang w:val="en-GB" w:eastAsia="en-US"/>
          </w:rPr>
          <w:t>https://pubmed.ncbi.nlm.nih.gov/32803625/</w:t>
        </w:r>
      </w:hyperlink>
      <w:r w:rsidRPr="007C68E0">
        <w:rPr>
          <w:rFonts w:eastAsia="Calibri"/>
          <w:color w:val="212121"/>
          <w:shd w:val="clear" w:color="auto" w:fill="FFFFFF"/>
          <w:lang w:val="en-GB" w:eastAsia="en-US"/>
        </w:rPr>
        <w:t xml:space="preserve">  </w:t>
      </w:r>
    </w:p>
    <w:p w14:paraId="0D3CDEDF"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lastRenderedPageBreak/>
        <w:t xml:space="preserve">6. </w:t>
      </w:r>
      <w:proofErr w:type="spellStart"/>
      <w:r w:rsidRPr="007C68E0">
        <w:rPr>
          <w:rFonts w:eastAsia="Calibri"/>
          <w:color w:val="212121"/>
          <w:shd w:val="clear" w:color="auto" w:fill="FFFFFF"/>
          <w:lang w:val="en-GB" w:eastAsia="en-US"/>
        </w:rPr>
        <w:t>Abolhassani</w:t>
      </w:r>
      <w:proofErr w:type="spellEnd"/>
      <w:r w:rsidRPr="007C68E0">
        <w:rPr>
          <w:rFonts w:eastAsia="Calibri"/>
          <w:color w:val="212121"/>
          <w:shd w:val="clear" w:color="auto" w:fill="FFFFFF"/>
          <w:lang w:val="en-GB" w:eastAsia="en-US"/>
        </w:rPr>
        <w:t xml:space="preserve"> H, Azizi G, Sharifi L, Yazdani R, </w:t>
      </w:r>
      <w:proofErr w:type="spellStart"/>
      <w:r w:rsidRPr="007C68E0">
        <w:rPr>
          <w:rFonts w:eastAsia="Calibri"/>
          <w:color w:val="212121"/>
          <w:shd w:val="clear" w:color="auto" w:fill="FFFFFF"/>
          <w:lang w:val="en-GB" w:eastAsia="en-US"/>
        </w:rPr>
        <w:t>Mohsenzadegan</w:t>
      </w:r>
      <w:proofErr w:type="spellEnd"/>
      <w:r w:rsidRPr="007C68E0">
        <w:rPr>
          <w:rFonts w:eastAsia="Calibri"/>
          <w:color w:val="212121"/>
          <w:shd w:val="clear" w:color="auto" w:fill="FFFFFF"/>
          <w:lang w:val="en-GB" w:eastAsia="en-US"/>
        </w:rPr>
        <w:t xml:space="preserve"> M, </w:t>
      </w:r>
      <w:proofErr w:type="spellStart"/>
      <w:r w:rsidRPr="007C68E0">
        <w:rPr>
          <w:rFonts w:eastAsia="Calibri"/>
          <w:color w:val="212121"/>
          <w:shd w:val="clear" w:color="auto" w:fill="FFFFFF"/>
          <w:lang w:val="en-GB" w:eastAsia="en-US"/>
        </w:rPr>
        <w:t>Delavari</w:t>
      </w:r>
      <w:proofErr w:type="spellEnd"/>
      <w:r w:rsidRPr="007C68E0">
        <w:rPr>
          <w:rFonts w:eastAsia="Calibri"/>
          <w:color w:val="212121"/>
          <w:shd w:val="clear" w:color="auto" w:fill="FFFFFF"/>
          <w:lang w:val="en-GB" w:eastAsia="en-US"/>
        </w:rPr>
        <w:t xml:space="preserve"> S, et al. Global systematic review of primary immunodeficiency registries. Expert Rev Clin Immunol. 2020 [access: 10/07/2022]; 16(7</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15 p.]. Available from: </w:t>
      </w:r>
      <w:hyperlink r:id="rId21" w:history="1">
        <w:r w:rsidRPr="007C68E0">
          <w:rPr>
            <w:rFonts w:eastAsia="Calibri"/>
            <w:color w:val="0563C1"/>
            <w:u w:val="single"/>
            <w:shd w:val="clear" w:color="auto" w:fill="FFFFFF"/>
            <w:lang w:val="en-GB" w:eastAsia="en-US"/>
          </w:rPr>
          <w:t>https://pubmed.ncbi.nlm.nih.gov/32720819/</w:t>
        </w:r>
      </w:hyperlink>
      <w:r w:rsidRPr="007C68E0">
        <w:rPr>
          <w:rFonts w:eastAsia="Calibri"/>
          <w:color w:val="212121"/>
          <w:shd w:val="clear" w:color="auto" w:fill="FFFFFF"/>
          <w:lang w:val="en-GB" w:eastAsia="en-US"/>
        </w:rPr>
        <w:t xml:space="preserve">  </w:t>
      </w:r>
    </w:p>
    <w:p w14:paraId="733EC4DC"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s-CU" w:eastAsia="en-US"/>
        </w:rPr>
        <w:t xml:space="preserve">7. García-Torres DA, Macías-Robles AP, Pérez-Jiménez L, Rodríguez-Saldaña MB, Albores-Chávez </w:t>
      </w:r>
      <w:proofErr w:type="spellStart"/>
      <w:r w:rsidRPr="007C68E0">
        <w:rPr>
          <w:rFonts w:eastAsia="Calibri"/>
          <w:color w:val="212121"/>
          <w:shd w:val="clear" w:color="auto" w:fill="FFFFFF"/>
          <w:lang w:val="es-CU" w:eastAsia="en-US"/>
        </w:rPr>
        <w:t>YF</w:t>
      </w:r>
      <w:proofErr w:type="spellEnd"/>
      <w:r w:rsidRPr="007C68E0">
        <w:rPr>
          <w:rFonts w:eastAsia="Calibri"/>
          <w:color w:val="212121"/>
          <w:shd w:val="clear" w:color="auto" w:fill="FFFFFF"/>
          <w:lang w:val="es-CU" w:eastAsia="en-US"/>
        </w:rPr>
        <w:t xml:space="preserve">, Tlacuilo-Parra A, et al. </w:t>
      </w:r>
      <w:r w:rsidRPr="007C68E0">
        <w:rPr>
          <w:rFonts w:eastAsia="Calibri"/>
          <w:color w:val="212121"/>
          <w:shd w:val="clear" w:color="auto" w:fill="FFFFFF"/>
          <w:lang w:val="en-GB" w:eastAsia="en-US"/>
        </w:rPr>
        <w:t xml:space="preserve">Clinical characteristics of primary immunodeficiencies in children from a tertiary hospital. Rev </w:t>
      </w:r>
      <w:proofErr w:type="spellStart"/>
      <w:r w:rsidRPr="007C68E0">
        <w:rPr>
          <w:rFonts w:eastAsia="Calibri"/>
          <w:color w:val="212121"/>
          <w:shd w:val="clear" w:color="auto" w:fill="FFFFFF"/>
          <w:lang w:val="en-GB" w:eastAsia="en-US"/>
        </w:rPr>
        <w:t>Alerg</w:t>
      </w:r>
      <w:proofErr w:type="spellEnd"/>
      <w:r w:rsidRPr="007C68E0">
        <w:rPr>
          <w:rFonts w:eastAsia="Calibri"/>
          <w:color w:val="212121"/>
          <w:shd w:val="clear" w:color="auto" w:fill="FFFFFF"/>
          <w:lang w:val="en-GB" w:eastAsia="en-US"/>
        </w:rPr>
        <w:t xml:space="preserve"> Mex. 2020 [access: 10/07/2022]; 67(3</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12 p.]. Available from: </w:t>
      </w:r>
      <w:hyperlink r:id="rId22" w:history="1">
        <w:r w:rsidRPr="007C68E0">
          <w:rPr>
            <w:rFonts w:eastAsia="Calibri"/>
            <w:color w:val="0563C1"/>
            <w:u w:val="single"/>
            <w:shd w:val="clear" w:color="auto" w:fill="FFFFFF"/>
            <w:lang w:val="en-GB" w:eastAsia="en-US"/>
          </w:rPr>
          <w:t>https://pubmed.ncbi.nlm.nih.gov/33636063/</w:t>
        </w:r>
      </w:hyperlink>
      <w:r w:rsidRPr="007C68E0">
        <w:rPr>
          <w:rFonts w:eastAsia="Calibri"/>
          <w:color w:val="212121"/>
          <w:shd w:val="clear" w:color="auto" w:fill="FFFFFF"/>
          <w:lang w:val="en-GB" w:eastAsia="en-US"/>
        </w:rPr>
        <w:t xml:space="preserve">  </w:t>
      </w:r>
    </w:p>
    <w:p w14:paraId="4A13206F"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s-CU" w:eastAsia="en-US"/>
        </w:rPr>
        <w:t xml:space="preserve">8. </w:t>
      </w:r>
      <w:proofErr w:type="spellStart"/>
      <w:r w:rsidRPr="007C68E0">
        <w:rPr>
          <w:rFonts w:eastAsia="Calibri"/>
          <w:color w:val="212121"/>
          <w:shd w:val="clear" w:color="auto" w:fill="FFFFFF"/>
          <w:lang w:val="es-CU" w:eastAsia="en-US"/>
        </w:rPr>
        <w:t>Condino</w:t>
      </w:r>
      <w:proofErr w:type="spellEnd"/>
      <w:r w:rsidRPr="007C68E0">
        <w:rPr>
          <w:rFonts w:eastAsia="Calibri"/>
          <w:color w:val="212121"/>
          <w:shd w:val="clear" w:color="auto" w:fill="FFFFFF"/>
          <w:lang w:val="es-CU" w:eastAsia="en-US"/>
        </w:rPr>
        <w:t xml:space="preserve">-Neto A, Sullivan KE. </w:t>
      </w:r>
      <w:r w:rsidRPr="007C68E0">
        <w:rPr>
          <w:rFonts w:eastAsia="Calibri"/>
          <w:color w:val="212121"/>
          <w:shd w:val="clear" w:color="auto" w:fill="FFFFFF"/>
          <w:lang w:val="en-GB" w:eastAsia="en-US"/>
        </w:rPr>
        <w:t xml:space="preserve">The relevance of primary immunodeficiency registries on a global perspective. J Allergy Clin Immunol. Rev </w:t>
      </w:r>
      <w:proofErr w:type="spellStart"/>
      <w:r w:rsidRPr="007C68E0">
        <w:rPr>
          <w:rFonts w:eastAsia="Calibri"/>
          <w:color w:val="212121"/>
          <w:shd w:val="clear" w:color="auto" w:fill="FFFFFF"/>
          <w:lang w:val="en-GB" w:eastAsia="en-US"/>
        </w:rPr>
        <w:t>Alerg</w:t>
      </w:r>
      <w:proofErr w:type="spellEnd"/>
      <w:r w:rsidRPr="007C68E0">
        <w:rPr>
          <w:rFonts w:eastAsia="Calibri"/>
          <w:color w:val="212121"/>
          <w:shd w:val="clear" w:color="auto" w:fill="FFFFFF"/>
          <w:lang w:val="en-GB" w:eastAsia="en-US"/>
        </w:rPr>
        <w:t xml:space="preserve"> Mex. 2021 [access: 11/06/2022]; 148(5</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2 p.]. Available from: </w:t>
      </w:r>
      <w:hyperlink r:id="rId23" w:history="1">
        <w:r w:rsidRPr="007C68E0">
          <w:rPr>
            <w:rFonts w:eastAsia="Calibri"/>
            <w:color w:val="0563C1"/>
            <w:u w:val="single"/>
            <w:shd w:val="clear" w:color="auto" w:fill="FFFFFF"/>
            <w:lang w:val="en-GB" w:eastAsia="en-US"/>
          </w:rPr>
          <w:t>https://pubmed.ncbi.nlm.nih.gov/34536417/</w:t>
        </w:r>
      </w:hyperlink>
      <w:r w:rsidRPr="007C68E0">
        <w:rPr>
          <w:rFonts w:eastAsia="Calibri"/>
          <w:color w:val="212121"/>
          <w:shd w:val="clear" w:color="auto" w:fill="FFFFFF"/>
          <w:lang w:val="en-GB" w:eastAsia="en-US"/>
        </w:rPr>
        <w:t xml:space="preserve">  </w:t>
      </w:r>
    </w:p>
    <w:p w14:paraId="5AD02D8C"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 xml:space="preserve">9. Wu J, Zhong W, Yin Y, Zhang H. Primary immunodeficiency disease: a retrospective study of 112 Chinese children in a single tertiary care </w:t>
      </w:r>
      <w:proofErr w:type="spellStart"/>
      <w:r w:rsidRPr="007C68E0">
        <w:rPr>
          <w:rFonts w:eastAsia="Calibri"/>
          <w:color w:val="212121"/>
          <w:shd w:val="clear" w:color="auto" w:fill="FFFFFF"/>
          <w:lang w:val="en-GB" w:eastAsia="en-US"/>
        </w:rPr>
        <w:t>center</w:t>
      </w:r>
      <w:proofErr w:type="spellEnd"/>
      <w:r w:rsidRPr="007C68E0">
        <w:rPr>
          <w:rFonts w:eastAsia="Calibri"/>
          <w:color w:val="212121"/>
          <w:shd w:val="clear" w:color="auto" w:fill="FFFFFF"/>
          <w:lang w:val="en-GB" w:eastAsia="en-US"/>
        </w:rPr>
        <w:t xml:space="preserve">. BMC </w:t>
      </w:r>
      <w:proofErr w:type="spellStart"/>
      <w:r w:rsidRPr="007C68E0">
        <w:rPr>
          <w:rFonts w:eastAsia="Calibri"/>
          <w:color w:val="212121"/>
          <w:shd w:val="clear" w:color="auto" w:fill="FFFFFF"/>
          <w:lang w:val="en-GB" w:eastAsia="en-US"/>
        </w:rPr>
        <w:t>Pediatr</w:t>
      </w:r>
      <w:proofErr w:type="spellEnd"/>
      <w:r w:rsidRPr="007C68E0">
        <w:rPr>
          <w:rFonts w:eastAsia="Calibri"/>
          <w:color w:val="212121"/>
          <w:shd w:val="clear" w:color="auto" w:fill="FFFFFF"/>
          <w:lang w:val="en-GB" w:eastAsia="en-US"/>
        </w:rPr>
        <w:t>. 2019 [access: 16/08/2022]; 19(1</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7 p.]. Available from: </w:t>
      </w:r>
      <w:hyperlink r:id="rId24" w:history="1">
        <w:r w:rsidRPr="007C68E0">
          <w:rPr>
            <w:rFonts w:eastAsia="Calibri"/>
            <w:color w:val="0563C1"/>
            <w:u w:val="single"/>
            <w:shd w:val="clear" w:color="auto" w:fill="FFFFFF"/>
            <w:lang w:val="en-GB" w:eastAsia="en-US"/>
          </w:rPr>
          <w:t>https://pubmed.ncbi.nlm.nih.gov/31684895/</w:t>
        </w:r>
      </w:hyperlink>
      <w:r w:rsidRPr="007C68E0">
        <w:rPr>
          <w:rFonts w:eastAsia="Calibri"/>
          <w:color w:val="212121"/>
          <w:shd w:val="clear" w:color="auto" w:fill="FFFFFF"/>
          <w:lang w:val="en-GB" w:eastAsia="en-US"/>
        </w:rPr>
        <w:t xml:space="preserve">  </w:t>
      </w:r>
    </w:p>
    <w:p w14:paraId="7F702AEC"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10.</w:t>
      </w:r>
      <w:r w:rsidRPr="007C68E0">
        <w:rPr>
          <w:rFonts w:eastAsia="Calibri"/>
          <w:color w:val="212121"/>
          <w:shd w:val="clear" w:color="auto" w:fill="FFFFFF"/>
          <w:lang w:val="en-GB" w:eastAsia="en-US"/>
        </w:rPr>
        <w:tab/>
        <w:t xml:space="preserve">Qureshi S, Mir F, </w:t>
      </w:r>
      <w:proofErr w:type="spellStart"/>
      <w:r w:rsidRPr="007C68E0">
        <w:rPr>
          <w:rFonts w:eastAsia="Calibri"/>
          <w:color w:val="212121"/>
          <w:shd w:val="clear" w:color="auto" w:fill="FFFFFF"/>
          <w:lang w:val="en-GB" w:eastAsia="en-US"/>
        </w:rPr>
        <w:t>Junejo</w:t>
      </w:r>
      <w:proofErr w:type="spellEnd"/>
      <w:r w:rsidRPr="007C68E0">
        <w:rPr>
          <w:rFonts w:eastAsia="Calibri"/>
          <w:color w:val="212121"/>
          <w:shd w:val="clear" w:color="auto" w:fill="FFFFFF"/>
          <w:lang w:val="en-GB" w:eastAsia="en-US"/>
        </w:rPr>
        <w:t xml:space="preserve"> S, Saleem K, Zaidi S, Naveed AB, et al. The spectrum of primary immunodeficiencies at a tertiary care hospital in Pakistan. World Allergy Organ J. 2020 [access: 16/08/2022]; 13(7</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13 p.]. Available from: </w:t>
      </w:r>
      <w:hyperlink r:id="rId25" w:history="1">
        <w:r w:rsidRPr="007C68E0">
          <w:rPr>
            <w:rFonts w:eastAsia="Calibri"/>
            <w:color w:val="0563C1"/>
            <w:u w:val="single"/>
            <w:shd w:val="clear" w:color="auto" w:fill="FFFFFF"/>
            <w:lang w:val="en-GB" w:eastAsia="en-US"/>
          </w:rPr>
          <w:t>https://pubmed.ncbi.nlm.nih.gov/32793328/</w:t>
        </w:r>
      </w:hyperlink>
      <w:r w:rsidRPr="007C68E0">
        <w:rPr>
          <w:rFonts w:eastAsia="Calibri"/>
          <w:color w:val="212121"/>
          <w:shd w:val="clear" w:color="auto" w:fill="FFFFFF"/>
          <w:lang w:val="en-GB" w:eastAsia="en-US"/>
        </w:rPr>
        <w:t xml:space="preserve">  </w:t>
      </w:r>
    </w:p>
    <w:p w14:paraId="0D2BA27D"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11.</w:t>
      </w:r>
      <w:r w:rsidRPr="007C68E0">
        <w:rPr>
          <w:rFonts w:eastAsia="Calibri"/>
          <w:color w:val="212121"/>
          <w:shd w:val="clear" w:color="auto" w:fill="FFFFFF"/>
          <w:lang w:val="en-GB" w:eastAsia="en-US"/>
        </w:rPr>
        <w:tab/>
        <w:t xml:space="preserve">Lugo Reyes SO, </w:t>
      </w:r>
      <w:proofErr w:type="spellStart"/>
      <w:r w:rsidRPr="007C68E0">
        <w:rPr>
          <w:rFonts w:eastAsia="Calibri"/>
          <w:color w:val="212121"/>
          <w:shd w:val="clear" w:color="auto" w:fill="FFFFFF"/>
          <w:lang w:val="en-GB" w:eastAsia="en-US"/>
        </w:rPr>
        <w:t>Condino</w:t>
      </w:r>
      <w:proofErr w:type="spellEnd"/>
      <w:r w:rsidRPr="007C68E0">
        <w:rPr>
          <w:rFonts w:eastAsia="Calibri"/>
          <w:color w:val="212121"/>
          <w:shd w:val="clear" w:color="auto" w:fill="FFFFFF"/>
          <w:lang w:val="en-GB" w:eastAsia="en-US"/>
        </w:rPr>
        <w:t xml:space="preserve">-Neto A, </w:t>
      </w:r>
      <w:proofErr w:type="spellStart"/>
      <w:r w:rsidRPr="007C68E0">
        <w:rPr>
          <w:rFonts w:eastAsia="Calibri"/>
          <w:color w:val="212121"/>
          <w:shd w:val="clear" w:color="auto" w:fill="FFFFFF"/>
          <w:lang w:val="en-GB" w:eastAsia="en-US"/>
        </w:rPr>
        <w:t>Stepensky</w:t>
      </w:r>
      <w:proofErr w:type="spellEnd"/>
      <w:r w:rsidRPr="007C68E0">
        <w:rPr>
          <w:rFonts w:eastAsia="Calibri"/>
          <w:color w:val="212121"/>
          <w:shd w:val="clear" w:color="auto" w:fill="FFFFFF"/>
          <w:lang w:val="en-GB" w:eastAsia="en-US"/>
        </w:rPr>
        <w:t xml:space="preserve"> P. Global perspectives on primary immune deficiency diseases. </w:t>
      </w:r>
      <w:proofErr w:type="spellStart"/>
      <w:r w:rsidRPr="007C68E0">
        <w:rPr>
          <w:rFonts w:eastAsia="Calibri"/>
          <w:color w:val="212121"/>
          <w:shd w:val="clear" w:color="auto" w:fill="FFFFFF"/>
          <w:lang w:val="en-GB" w:eastAsia="en-US"/>
        </w:rPr>
        <w:t>Stiehm's</w:t>
      </w:r>
      <w:proofErr w:type="spellEnd"/>
      <w:r w:rsidRPr="007C68E0">
        <w:rPr>
          <w:rFonts w:eastAsia="Calibri"/>
          <w:color w:val="212121"/>
          <w:shd w:val="clear" w:color="auto" w:fill="FFFFFF"/>
          <w:lang w:val="en-GB" w:eastAsia="en-US"/>
        </w:rPr>
        <w:t xml:space="preserve"> Immune Deficiencies. 2020 [access: 16/08/2022]; 2020:1129–42. Available from: </w:t>
      </w:r>
      <w:hyperlink r:id="rId26" w:history="1">
        <w:r w:rsidRPr="007C68E0">
          <w:rPr>
            <w:rFonts w:eastAsia="Calibri"/>
            <w:color w:val="0563C1"/>
            <w:u w:val="single"/>
            <w:shd w:val="clear" w:color="auto" w:fill="FFFFFF"/>
            <w:lang w:val="en-GB" w:eastAsia="en-US"/>
          </w:rPr>
          <w:t>https://www.ncbi.nlm.nih.gov/pmc/articles/PMC7258797/</w:t>
        </w:r>
      </w:hyperlink>
      <w:r w:rsidRPr="007C68E0">
        <w:rPr>
          <w:rFonts w:eastAsia="Calibri"/>
          <w:color w:val="212121"/>
          <w:shd w:val="clear" w:color="auto" w:fill="FFFFFF"/>
          <w:lang w:val="en-GB" w:eastAsia="en-US"/>
        </w:rPr>
        <w:t xml:space="preserve">  </w:t>
      </w:r>
    </w:p>
    <w:p w14:paraId="5E054789"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12.</w:t>
      </w:r>
      <w:r w:rsidRPr="007C68E0">
        <w:rPr>
          <w:rFonts w:eastAsia="Calibri"/>
          <w:color w:val="212121"/>
          <w:shd w:val="clear" w:color="auto" w:fill="FFFFFF"/>
          <w:lang w:val="en-GB" w:eastAsia="en-US"/>
        </w:rPr>
        <w:tab/>
        <w:t>El-</w:t>
      </w:r>
      <w:proofErr w:type="spellStart"/>
      <w:r w:rsidRPr="007C68E0">
        <w:rPr>
          <w:rFonts w:eastAsia="Calibri"/>
          <w:color w:val="212121"/>
          <w:shd w:val="clear" w:color="auto" w:fill="FFFFFF"/>
          <w:lang w:val="en-GB" w:eastAsia="en-US"/>
        </w:rPr>
        <w:t>Helou</w:t>
      </w:r>
      <w:proofErr w:type="spellEnd"/>
      <w:r w:rsidRPr="007C68E0">
        <w:rPr>
          <w:rFonts w:eastAsia="Calibri"/>
          <w:color w:val="212121"/>
          <w:shd w:val="clear" w:color="auto" w:fill="FFFFFF"/>
          <w:lang w:val="en-GB" w:eastAsia="en-US"/>
        </w:rPr>
        <w:t xml:space="preserve"> SM, </w:t>
      </w:r>
      <w:proofErr w:type="spellStart"/>
      <w:r w:rsidRPr="007C68E0">
        <w:rPr>
          <w:rFonts w:eastAsia="Calibri"/>
          <w:color w:val="212121"/>
          <w:shd w:val="clear" w:color="auto" w:fill="FFFFFF"/>
          <w:lang w:val="en-GB" w:eastAsia="en-US"/>
        </w:rPr>
        <w:t>Biegner</w:t>
      </w:r>
      <w:proofErr w:type="spellEnd"/>
      <w:r w:rsidRPr="007C68E0">
        <w:rPr>
          <w:rFonts w:eastAsia="Calibri"/>
          <w:color w:val="212121"/>
          <w:shd w:val="clear" w:color="auto" w:fill="FFFFFF"/>
          <w:lang w:val="en-GB" w:eastAsia="en-US"/>
        </w:rPr>
        <w:t xml:space="preserve"> AK, Bode S, </w:t>
      </w:r>
      <w:proofErr w:type="spellStart"/>
      <w:r w:rsidRPr="007C68E0">
        <w:rPr>
          <w:rFonts w:eastAsia="Calibri"/>
          <w:color w:val="212121"/>
          <w:shd w:val="clear" w:color="auto" w:fill="FFFFFF"/>
          <w:lang w:val="en-GB" w:eastAsia="en-US"/>
        </w:rPr>
        <w:t>Ehl</w:t>
      </w:r>
      <w:proofErr w:type="spellEnd"/>
      <w:r w:rsidRPr="007C68E0">
        <w:rPr>
          <w:rFonts w:eastAsia="Calibri"/>
          <w:color w:val="212121"/>
          <w:shd w:val="clear" w:color="auto" w:fill="FFFFFF"/>
          <w:lang w:val="en-GB" w:eastAsia="en-US"/>
        </w:rPr>
        <w:t xml:space="preserve"> SR, </w:t>
      </w:r>
      <w:proofErr w:type="spellStart"/>
      <w:r w:rsidRPr="007C68E0">
        <w:rPr>
          <w:rFonts w:eastAsia="Calibri"/>
          <w:color w:val="212121"/>
          <w:shd w:val="clear" w:color="auto" w:fill="FFFFFF"/>
          <w:lang w:val="en-GB" w:eastAsia="en-US"/>
        </w:rPr>
        <w:t>Heeg</w:t>
      </w:r>
      <w:proofErr w:type="spellEnd"/>
      <w:r w:rsidRPr="007C68E0">
        <w:rPr>
          <w:rFonts w:eastAsia="Calibri"/>
          <w:color w:val="212121"/>
          <w:shd w:val="clear" w:color="auto" w:fill="FFFFFF"/>
          <w:lang w:val="en-GB" w:eastAsia="en-US"/>
        </w:rPr>
        <w:t xml:space="preserve"> M, </w:t>
      </w:r>
      <w:proofErr w:type="spellStart"/>
      <w:r w:rsidRPr="007C68E0">
        <w:rPr>
          <w:rFonts w:eastAsia="Calibri"/>
          <w:color w:val="212121"/>
          <w:shd w:val="clear" w:color="auto" w:fill="FFFFFF"/>
          <w:lang w:val="en-GB" w:eastAsia="en-US"/>
        </w:rPr>
        <w:t>Maccari</w:t>
      </w:r>
      <w:proofErr w:type="spellEnd"/>
      <w:r w:rsidRPr="007C68E0">
        <w:rPr>
          <w:rFonts w:eastAsia="Calibri"/>
          <w:color w:val="212121"/>
          <w:shd w:val="clear" w:color="auto" w:fill="FFFFFF"/>
          <w:lang w:val="en-GB" w:eastAsia="en-US"/>
        </w:rPr>
        <w:t xml:space="preserve"> ME, et al. The German National Registry of Primary Immunodeficiencies (2012-2017). Front Immunol. 2019 [access: 16/08/2022]; 10(1272</w:t>
      </w:r>
      <w:proofErr w:type="gramStart"/>
      <w:r w:rsidRPr="007C68E0">
        <w:rPr>
          <w:rFonts w:eastAsia="Calibri"/>
          <w:color w:val="212121"/>
          <w:shd w:val="clear" w:color="auto" w:fill="FFFFFF"/>
          <w:lang w:val="en-GB" w:eastAsia="en-US"/>
        </w:rPr>
        <w:t>):[</w:t>
      </w:r>
      <w:proofErr w:type="gramEnd"/>
      <w:r w:rsidRPr="007C68E0">
        <w:rPr>
          <w:rFonts w:eastAsia="Calibri"/>
          <w:color w:val="212121"/>
          <w:shd w:val="clear" w:color="auto" w:fill="FFFFFF"/>
          <w:lang w:val="en-GB" w:eastAsia="en-US"/>
        </w:rPr>
        <w:t xml:space="preserve">25 p.]. Available from: </w:t>
      </w:r>
      <w:hyperlink r:id="rId27" w:history="1">
        <w:r w:rsidRPr="007C68E0">
          <w:rPr>
            <w:rFonts w:eastAsia="Calibri"/>
            <w:color w:val="0563C1"/>
            <w:u w:val="single"/>
            <w:shd w:val="clear" w:color="auto" w:fill="FFFFFF"/>
            <w:lang w:val="en-GB" w:eastAsia="en-US"/>
          </w:rPr>
          <w:t>https://www.ncbi.nlm.nih.gov/pmc/articles/PMC6659583/</w:t>
        </w:r>
      </w:hyperlink>
      <w:r w:rsidRPr="007C68E0">
        <w:rPr>
          <w:rFonts w:eastAsia="Calibri"/>
          <w:color w:val="212121"/>
          <w:shd w:val="clear" w:color="auto" w:fill="FFFFFF"/>
          <w:lang w:val="en-GB" w:eastAsia="en-US"/>
        </w:rPr>
        <w:t xml:space="preserve">  </w:t>
      </w:r>
    </w:p>
    <w:p w14:paraId="0B964078" w14:textId="77777777" w:rsidR="007C68E0" w:rsidRPr="007C68E0" w:rsidRDefault="007C68E0" w:rsidP="007C68E0">
      <w:pPr>
        <w:tabs>
          <w:tab w:val="left" w:pos="426"/>
        </w:tabs>
        <w:spacing w:line="360" w:lineRule="auto"/>
        <w:rPr>
          <w:rFonts w:eastAsia="Calibri"/>
          <w:color w:val="212121"/>
          <w:shd w:val="clear" w:color="auto" w:fill="FFFFFF"/>
          <w:lang w:val="en-GB" w:eastAsia="en-US"/>
        </w:rPr>
      </w:pPr>
      <w:r w:rsidRPr="007C68E0">
        <w:rPr>
          <w:rFonts w:eastAsia="Calibri"/>
          <w:color w:val="212121"/>
          <w:shd w:val="clear" w:color="auto" w:fill="FFFFFF"/>
          <w:lang w:val="en-GB" w:eastAsia="en-US"/>
        </w:rPr>
        <w:t xml:space="preserve">13. </w:t>
      </w:r>
      <w:proofErr w:type="spellStart"/>
      <w:r w:rsidRPr="007C68E0">
        <w:rPr>
          <w:rFonts w:eastAsia="Calibri"/>
          <w:color w:val="212121"/>
          <w:shd w:val="clear" w:color="auto" w:fill="FFFFFF"/>
          <w:lang w:val="en-GB" w:eastAsia="en-US"/>
        </w:rPr>
        <w:t>Barbouche</w:t>
      </w:r>
      <w:proofErr w:type="spellEnd"/>
      <w:r w:rsidRPr="007C68E0">
        <w:rPr>
          <w:rFonts w:eastAsia="Calibri"/>
          <w:color w:val="212121"/>
          <w:shd w:val="clear" w:color="auto" w:fill="FFFFFF"/>
          <w:lang w:val="en-GB" w:eastAsia="en-US"/>
        </w:rPr>
        <w:t xml:space="preserve"> MR, </w:t>
      </w:r>
      <w:proofErr w:type="spellStart"/>
      <w:r w:rsidRPr="007C68E0">
        <w:rPr>
          <w:rFonts w:eastAsia="Calibri"/>
          <w:color w:val="212121"/>
          <w:shd w:val="clear" w:color="auto" w:fill="FFFFFF"/>
          <w:lang w:val="en-GB" w:eastAsia="en-US"/>
        </w:rPr>
        <w:t>Mekki</w:t>
      </w:r>
      <w:proofErr w:type="spellEnd"/>
      <w:r w:rsidRPr="007C68E0">
        <w:rPr>
          <w:rFonts w:eastAsia="Calibri"/>
          <w:color w:val="212121"/>
          <w:shd w:val="clear" w:color="auto" w:fill="FFFFFF"/>
          <w:lang w:val="en-GB" w:eastAsia="en-US"/>
        </w:rPr>
        <w:t xml:space="preserve"> N, Ben-Ali M, Ben-Mustapha I. Lessons from Genetic Studies of Primary Immunodeficiencies in a Highly Consanguineous Population. Front Immunol. 2017 [access: 16/08/2022]; 8:737. Available from: </w:t>
      </w:r>
      <w:hyperlink r:id="rId28" w:history="1">
        <w:r w:rsidRPr="007C68E0">
          <w:rPr>
            <w:rFonts w:eastAsia="Calibri"/>
            <w:color w:val="0563C1"/>
            <w:u w:val="single"/>
            <w:shd w:val="clear" w:color="auto" w:fill="FFFFFF"/>
            <w:lang w:val="en-GB" w:eastAsia="en-US"/>
          </w:rPr>
          <w:t>https://www.ncbi.nlm.nih.gov/pmc/articles/PMC5485821/</w:t>
        </w:r>
      </w:hyperlink>
      <w:r w:rsidRPr="007C68E0">
        <w:rPr>
          <w:rFonts w:eastAsia="Calibri"/>
          <w:color w:val="212121"/>
          <w:shd w:val="clear" w:color="auto" w:fill="FFFFFF"/>
          <w:lang w:val="en-GB" w:eastAsia="en-US"/>
        </w:rPr>
        <w:t xml:space="preserve">  </w:t>
      </w:r>
    </w:p>
    <w:p w14:paraId="1E33EC13" w14:textId="77777777" w:rsidR="007C68E0" w:rsidRPr="007C68E0" w:rsidRDefault="007C68E0" w:rsidP="007C68E0">
      <w:pPr>
        <w:spacing w:line="360" w:lineRule="auto"/>
        <w:jc w:val="both"/>
        <w:rPr>
          <w:rFonts w:eastAsia="Calibri"/>
          <w:b/>
          <w:lang w:val="en-GB" w:eastAsia="en-US"/>
        </w:rPr>
      </w:pPr>
    </w:p>
    <w:p w14:paraId="48F45C62" w14:textId="77777777" w:rsidR="007C68E0" w:rsidRPr="007C68E0" w:rsidRDefault="007C68E0" w:rsidP="007C68E0">
      <w:pPr>
        <w:spacing w:line="360" w:lineRule="auto"/>
        <w:jc w:val="center"/>
        <w:rPr>
          <w:rFonts w:eastAsia="Calibri"/>
          <w:b/>
          <w:lang w:val="en-GB" w:eastAsia="en-US"/>
        </w:rPr>
      </w:pPr>
    </w:p>
    <w:p w14:paraId="10062D9A" w14:textId="77777777" w:rsidR="00DC234C" w:rsidRDefault="00DC234C">
      <w:pPr>
        <w:rPr>
          <w:rFonts w:eastAsia="Calibri"/>
          <w:b/>
          <w:lang w:val="en-GB" w:eastAsia="en-US"/>
        </w:rPr>
      </w:pPr>
      <w:r>
        <w:rPr>
          <w:rFonts w:eastAsia="Calibri"/>
          <w:b/>
          <w:lang w:val="en-GB" w:eastAsia="en-US"/>
        </w:rPr>
        <w:br w:type="page"/>
      </w:r>
    </w:p>
    <w:p w14:paraId="61890061" w14:textId="4C5FBDEE" w:rsidR="007C68E0" w:rsidRPr="007C68E0" w:rsidRDefault="007C68E0" w:rsidP="007C68E0">
      <w:pPr>
        <w:spacing w:line="360" w:lineRule="auto"/>
        <w:jc w:val="center"/>
        <w:rPr>
          <w:rFonts w:eastAsia="Calibri"/>
          <w:lang w:val="en-GB" w:eastAsia="en-US"/>
        </w:rPr>
      </w:pPr>
      <w:r w:rsidRPr="007C68E0">
        <w:rPr>
          <w:rFonts w:eastAsia="Calibri"/>
          <w:b/>
          <w:lang w:val="en-GB" w:eastAsia="en-US"/>
        </w:rPr>
        <w:lastRenderedPageBreak/>
        <w:t>Conflict of interest</w:t>
      </w:r>
    </w:p>
    <w:p w14:paraId="5FE06ED7" w14:textId="77777777" w:rsidR="007C68E0" w:rsidRPr="007C68E0" w:rsidRDefault="007C68E0" w:rsidP="007C68E0">
      <w:pPr>
        <w:spacing w:line="360" w:lineRule="auto"/>
        <w:jc w:val="both"/>
        <w:rPr>
          <w:rFonts w:eastAsia="Calibri"/>
          <w:lang w:val="en-GB" w:eastAsia="en-US"/>
        </w:rPr>
      </w:pPr>
      <w:r w:rsidRPr="007C68E0">
        <w:rPr>
          <w:rFonts w:eastAsia="Calibri"/>
          <w:lang w:val="en-GB" w:eastAsia="en-US"/>
        </w:rPr>
        <w:t>None of the authors declare any conflict of interest.</w:t>
      </w:r>
    </w:p>
    <w:p w14:paraId="400913A2" w14:textId="77777777" w:rsidR="007C68E0" w:rsidRPr="007C68E0" w:rsidRDefault="007C68E0" w:rsidP="007C68E0">
      <w:pPr>
        <w:spacing w:line="360" w:lineRule="auto"/>
        <w:jc w:val="both"/>
        <w:rPr>
          <w:rFonts w:eastAsia="Calibri"/>
          <w:lang w:val="en-GB" w:eastAsia="en-US"/>
        </w:rPr>
      </w:pPr>
    </w:p>
    <w:p w14:paraId="37430C69" w14:textId="77777777" w:rsidR="007C68E0" w:rsidRPr="007C68E0" w:rsidRDefault="007C68E0" w:rsidP="007C68E0">
      <w:pPr>
        <w:tabs>
          <w:tab w:val="left" w:pos="284"/>
        </w:tabs>
        <w:spacing w:line="360" w:lineRule="auto"/>
        <w:jc w:val="center"/>
        <w:rPr>
          <w:lang w:val="es-CU" w:eastAsia="en-US"/>
        </w:rPr>
      </w:pPr>
      <w:proofErr w:type="spellStart"/>
      <w:r w:rsidRPr="007C68E0">
        <w:rPr>
          <w:b/>
          <w:bCs/>
          <w:iCs/>
          <w:lang w:val="es-CU" w:eastAsia="en-US"/>
        </w:rPr>
        <w:t>Authorship</w:t>
      </w:r>
      <w:proofErr w:type="spellEnd"/>
      <w:r w:rsidRPr="007C68E0">
        <w:rPr>
          <w:b/>
          <w:bCs/>
          <w:iCs/>
          <w:lang w:val="es-CU" w:eastAsia="en-US"/>
        </w:rPr>
        <w:t xml:space="preserve"> </w:t>
      </w:r>
      <w:proofErr w:type="spellStart"/>
      <w:r w:rsidRPr="007C68E0">
        <w:rPr>
          <w:b/>
          <w:bCs/>
          <w:iCs/>
          <w:lang w:val="es-CU" w:eastAsia="en-US"/>
        </w:rPr>
        <w:t>contribution</w:t>
      </w:r>
      <w:proofErr w:type="spellEnd"/>
    </w:p>
    <w:p w14:paraId="223FFAD4"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Conceptualization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 </w:t>
      </w:r>
    </w:p>
    <w:p w14:paraId="0B8652F6" w14:textId="77777777" w:rsidR="007C68E0" w:rsidRPr="007C68E0" w:rsidRDefault="007C68E0" w:rsidP="007C68E0">
      <w:pPr>
        <w:spacing w:line="360" w:lineRule="auto"/>
        <w:jc w:val="both"/>
        <w:rPr>
          <w:rFonts w:eastAsia="Calibri"/>
          <w:bCs/>
          <w:lang w:val="es-CU" w:eastAsia="en-US"/>
        </w:rPr>
      </w:pPr>
      <w:r w:rsidRPr="007C68E0">
        <w:rPr>
          <w:rFonts w:eastAsia="Calibri"/>
          <w:bCs/>
          <w:lang w:val="es-CU" w:eastAsia="en-US"/>
        </w:rPr>
        <w:t xml:space="preserve">Data </w:t>
      </w:r>
      <w:proofErr w:type="spellStart"/>
      <w:r w:rsidRPr="007C68E0">
        <w:rPr>
          <w:rFonts w:eastAsia="Calibri"/>
          <w:bCs/>
          <w:lang w:val="es-CU" w:eastAsia="en-US"/>
        </w:rPr>
        <w:t>curation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w:t>
      </w:r>
    </w:p>
    <w:p w14:paraId="3B2966D5" w14:textId="77777777" w:rsidR="007C68E0" w:rsidRPr="007C68E0" w:rsidRDefault="007C68E0" w:rsidP="007C68E0">
      <w:pPr>
        <w:spacing w:line="360" w:lineRule="auto"/>
        <w:jc w:val="both"/>
        <w:rPr>
          <w:rFonts w:eastAsia="Calibri"/>
          <w:bCs/>
          <w:lang w:val="es-CU" w:eastAsia="en-US"/>
        </w:rPr>
      </w:pPr>
      <w:r w:rsidRPr="007C68E0">
        <w:rPr>
          <w:rFonts w:eastAsia="Calibri"/>
          <w:bCs/>
          <w:lang w:val="es-CU" w:eastAsia="en-US"/>
        </w:rPr>
        <w:t xml:space="preserve">Formal </w:t>
      </w:r>
      <w:proofErr w:type="spellStart"/>
      <w:r w:rsidRPr="007C68E0">
        <w:rPr>
          <w:rFonts w:eastAsia="Calibri"/>
          <w:bCs/>
          <w:lang w:val="es-CU" w:eastAsia="en-US"/>
        </w:rPr>
        <w:t>analysis</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 </w:t>
      </w:r>
    </w:p>
    <w:p w14:paraId="3E5ACD73"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Investigation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 </w:t>
      </w:r>
    </w:p>
    <w:p w14:paraId="3C8886F9"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Methodology</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 </w:t>
      </w:r>
    </w:p>
    <w:p w14:paraId="5CAEE243" w14:textId="77777777" w:rsidR="007C68E0" w:rsidRPr="007C68E0" w:rsidRDefault="007C68E0" w:rsidP="007C68E0">
      <w:pPr>
        <w:spacing w:line="360" w:lineRule="auto"/>
        <w:jc w:val="both"/>
        <w:rPr>
          <w:rFonts w:eastAsia="Calibri"/>
          <w:bCs/>
          <w:lang w:val="es-CU" w:eastAsia="en-US"/>
        </w:rPr>
      </w:pPr>
      <w:r w:rsidRPr="007C68E0">
        <w:rPr>
          <w:rFonts w:eastAsia="Calibri"/>
          <w:bCs/>
          <w:lang w:val="es-CU" w:eastAsia="en-US"/>
        </w:rPr>
        <w:t xml:space="preserve">Project </w:t>
      </w:r>
      <w:proofErr w:type="spellStart"/>
      <w:r w:rsidRPr="007C68E0">
        <w:rPr>
          <w:rFonts w:eastAsia="Calibri"/>
          <w:bCs/>
          <w:lang w:val="es-CU" w:eastAsia="en-US"/>
        </w:rPr>
        <w:t>administration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w:t>
      </w:r>
    </w:p>
    <w:p w14:paraId="3C2AFC15"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Supervision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Reynel Marrón González.</w:t>
      </w:r>
      <w:r w:rsidRPr="007C68E0">
        <w:rPr>
          <w:rFonts w:eastAsia="Calibri"/>
          <w:bCs/>
          <w:lang w:val="es-CU" w:eastAsia="en-US"/>
        </w:rPr>
        <w:t xml:space="preserve"> </w:t>
      </w:r>
    </w:p>
    <w:p w14:paraId="58158001"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Validation</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Reynel Marrón González. </w:t>
      </w:r>
    </w:p>
    <w:p w14:paraId="4BDC800D"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Visualization</w:t>
      </w:r>
      <w:proofErr w:type="spellEnd"/>
      <w:r w:rsidRPr="007C68E0">
        <w:rPr>
          <w:rFonts w:eastAsia="Calibri"/>
          <w:bCs/>
          <w:lang w:val="es-CU" w:eastAsia="en-US"/>
        </w:rPr>
        <w:t xml:space="preserve">: </w:t>
      </w:r>
      <w:r w:rsidRPr="007C68E0">
        <w:rPr>
          <w:rFonts w:eastAsia="Calibri"/>
          <w:bCs/>
          <w:i/>
          <w:iCs/>
          <w:lang w:val="es-CU" w:eastAsia="en-US"/>
        </w:rPr>
        <w:t xml:space="preserve">Lidia Cecilia Pérez Acevedo, Rafael Corredera Fernández. </w:t>
      </w:r>
    </w:p>
    <w:p w14:paraId="65295CD2"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Writing</w:t>
      </w:r>
      <w:proofErr w:type="spellEnd"/>
      <w:r w:rsidRPr="007C68E0">
        <w:rPr>
          <w:rFonts w:eastAsia="Calibri"/>
          <w:bCs/>
          <w:lang w:val="es-CU" w:eastAsia="en-US"/>
        </w:rPr>
        <w:t xml:space="preserve">–original draft: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 </w:t>
      </w:r>
    </w:p>
    <w:p w14:paraId="7EDAC5EB" w14:textId="77777777" w:rsidR="007C68E0" w:rsidRPr="007C68E0" w:rsidRDefault="007C68E0" w:rsidP="007C68E0">
      <w:pPr>
        <w:spacing w:line="360" w:lineRule="auto"/>
        <w:jc w:val="both"/>
        <w:rPr>
          <w:rFonts w:eastAsia="Calibri"/>
          <w:bCs/>
          <w:lang w:val="es-CU" w:eastAsia="en-US"/>
        </w:rPr>
      </w:pPr>
      <w:proofErr w:type="spellStart"/>
      <w:r w:rsidRPr="007C68E0">
        <w:rPr>
          <w:rFonts w:eastAsia="Calibri"/>
          <w:bCs/>
          <w:lang w:val="es-CU" w:eastAsia="en-US"/>
        </w:rPr>
        <w:t>Writing</w:t>
      </w:r>
      <w:proofErr w:type="spellEnd"/>
      <w:r w:rsidRPr="007C68E0">
        <w:rPr>
          <w:rFonts w:eastAsia="Calibri"/>
          <w:bCs/>
          <w:lang w:val="es-CU" w:eastAsia="en-US"/>
        </w:rPr>
        <w:t>–</w:t>
      </w:r>
      <w:proofErr w:type="spellStart"/>
      <w:r w:rsidRPr="007C68E0">
        <w:rPr>
          <w:rFonts w:eastAsia="Calibri"/>
          <w:bCs/>
          <w:lang w:val="es-CU" w:eastAsia="en-US"/>
        </w:rPr>
        <w:t>review</w:t>
      </w:r>
      <w:proofErr w:type="spellEnd"/>
      <w:r w:rsidRPr="007C68E0">
        <w:rPr>
          <w:rFonts w:eastAsia="Calibri"/>
          <w:bCs/>
          <w:lang w:val="es-CU" w:eastAsia="en-US"/>
        </w:rPr>
        <w:t xml:space="preserve"> and </w:t>
      </w:r>
      <w:proofErr w:type="spellStart"/>
      <w:r w:rsidRPr="007C68E0">
        <w:rPr>
          <w:rFonts w:eastAsia="Calibri"/>
          <w:bCs/>
          <w:lang w:val="es-CU" w:eastAsia="en-US"/>
        </w:rPr>
        <w:t>editing</w:t>
      </w:r>
      <w:proofErr w:type="spellEnd"/>
      <w:r w:rsidRPr="007C68E0">
        <w:rPr>
          <w:rFonts w:eastAsia="Calibri"/>
          <w:bCs/>
          <w:lang w:val="es-CU" w:eastAsia="en-US"/>
        </w:rPr>
        <w:t xml:space="preserve">: </w:t>
      </w:r>
      <w:r w:rsidRPr="007C68E0">
        <w:rPr>
          <w:rFonts w:eastAsia="Calibri"/>
          <w:bCs/>
          <w:i/>
          <w:iCs/>
          <w:lang w:val="es-CU" w:eastAsia="en-US"/>
        </w:rPr>
        <w:t xml:space="preserve">Maricarmen González-Costa, Lidia Cecilia Pérez Acevedo, Bárbara de la Caridad </w:t>
      </w:r>
      <w:proofErr w:type="spellStart"/>
      <w:r w:rsidRPr="007C68E0">
        <w:rPr>
          <w:rFonts w:eastAsia="Calibri"/>
          <w:bCs/>
          <w:i/>
          <w:iCs/>
          <w:lang w:val="es-CU" w:eastAsia="en-US"/>
        </w:rPr>
        <w:t>Addine</w:t>
      </w:r>
      <w:proofErr w:type="spellEnd"/>
      <w:r w:rsidRPr="007C68E0">
        <w:rPr>
          <w:rFonts w:eastAsia="Calibri"/>
          <w:bCs/>
          <w:i/>
          <w:iCs/>
          <w:lang w:val="es-CU" w:eastAsia="en-US"/>
        </w:rPr>
        <w:t xml:space="preserve"> Ramírez, Rafael Corredera Fernández, Reynel Marrón González.</w:t>
      </w:r>
    </w:p>
    <w:p w14:paraId="4E768D7D" w14:textId="77777777" w:rsidR="00675476" w:rsidRPr="0055115D" w:rsidRDefault="00675476" w:rsidP="00EA1FEF">
      <w:pPr>
        <w:pStyle w:val="PDFRevista"/>
      </w:pPr>
    </w:p>
    <w:sectPr w:rsidR="00675476" w:rsidRPr="0055115D"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E9E0" w14:textId="77777777" w:rsidR="00CB6493" w:rsidRDefault="00CB6493">
      <w:r>
        <w:separator/>
      </w:r>
    </w:p>
  </w:endnote>
  <w:endnote w:type="continuationSeparator" w:id="0">
    <w:p w14:paraId="7B2EEC02" w14:textId="77777777" w:rsidR="00CB6493" w:rsidRDefault="00CB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370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F0961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6CF7" w14:textId="6243EBB5" w:rsidR="000F3690" w:rsidRPr="00AE044C" w:rsidRDefault="007C68E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BD9183F" wp14:editId="3026F9A5">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0312B9"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F01457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ED33C0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8B1AE4E" w14:textId="185879A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C68E0" w:rsidRPr="007C68E0">
      <w:rPr>
        <w:rFonts w:ascii="Verdana" w:hAnsi="Verdana"/>
        <w:noProof/>
        <w:sz w:val="18"/>
        <w:szCs w:val="18"/>
        <w:lang w:val="en-US" w:eastAsia="en-US"/>
      </w:rPr>
      <w:drawing>
        <wp:inline distT="0" distB="0" distL="0" distR="0" wp14:anchorId="3284189B" wp14:editId="6F973EFE">
          <wp:extent cx="638175" cy="146685"/>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EA8F" w14:textId="77777777" w:rsidR="00CB6493" w:rsidRDefault="00CB6493">
      <w:r>
        <w:separator/>
      </w:r>
    </w:p>
  </w:footnote>
  <w:footnote w:type="continuationSeparator" w:id="0">
    <w:p w14:paraId="19C1122C" w14:textId="77777777" w:rsidR="00CB6493" w:rsidRDefault="00CB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C5AA" w14:textId="03CDD6A4" w:rsidR="00CC376A" w:rsidRPr="00AE044C" w:rsidRDefault="007C68E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1F1B755B" wp14:editId="340375E0">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e02302368</w:t>
    </w:r>
    <w:proofErr w:type="spellEnd"/>
  </w:p>
  <w:p w14:paraId="2A08DD08" w14:textId="51BD8E76" w:rsidR="00A477DE" w:rsidRDefault="007C68E0">
    <w:r>
      <w:rPr>
        <w:noProof/>
      </w:rPr>
      <mc:AlternateContent>
        <mc:Choice Requires="wps">
          <w:drawing>
            <wp:anchor distT="0" distB="0" distL="114300" distR="114300" simplePos="0" relativeHeight="251654144" behindDoc="0" locked="0" layoutInCell="1" allowOverlap="1" wp14:anchorId="7B71E7DE" wp14:editId="6AA186CE">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8A40F2"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BDC0C4B"/>
    <w:multiLevelType w:val="hybridMultilevel"/>
    <w:tmpl w:val="7AACB1D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923373942">
    <w:abstractNumId w:val="0"/>
  </w:num>
  <w:num w:numId="2" w16cid:durableId="5945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E0"/>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749CD"/>
    <w:rsid w:val="007C430F"/>
    <w:rsid w:val="007C68E0"/>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B6493"/>
    <w:rsid w:val="00CC1B6E"/>
    <w:rsid w:val="00CC376A"/>
    <w:rsid w:val="00CC48A1"/>
    <w:rsid w:val="00CF50E0"/>
    <w:rsid w:val="00D85951"/>
    <w:rsid w:val="00DC234C"/>
    <w:rsid w:val="00E62606"/>
    <w:rsid w:val="00E763EA"/>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CAFC"/>
  <w15:docId w15:val="{2A64B5A5-D1E5-470F-BDA1-44F257A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77-399X" TargetMode="External"/><Relationship Id="rId13" Type="http://schemas.openxmlformats.org/officeDocument/2006/relationships/image" Target="media/image1.png"/><Relationship Id="rId18" Type="http://schemas.openxmlformats.org/officeDocument/2006/relationships/hyperlink" Target="http://www.revhematologia.sld.cu/index.php/hih/article/view/1178" TargetMode="External"/><Relationship Id="rId26" Type="http://schemas.openxmlformats.org/officeDocument/2006/relationships/hyperlink" Target="https://www.ncbi.nlm.nih.gov/pmc/articles/PMC7258797/" TargetMode="External"/><Relationship Id="rId3" Type="http://schemas.openxmlformats.org/officeDocument/2006/relationships/settings" Target="settings.xml"/><Relationship Id="rId21" Type="http://schemas.openxmlformats.org/officeDocument/2006/relationships/hyperlink" Target="https://pubmed.ncbi.nlm.nih.gov/32720819/" TargetMode="External"/><Relationship Id="rId7" Type="http://schemas.openxmlformats.org/officeDocument/2006/relationships/hyperlink" Target="https://orcid.org/0000-0002-4202-5412" TargetMode="External"/><Relationship Id="rId12" Type="http://schemas.openxmlformats.org/officeDocument/2006/relationships/hyperlink" Target="mailto:addine@infomed.sld.cu" TargetMode="External"/><Relationship Id="rId17" Type="http://schemas.openxmlformats.org/officeDocument/2006/relationships/hyperlink" Target="https://pubmed.ncbi.nlm.nih.gov/33352110/" TargetMode="External"/><Relationship Id="rId25" Type="http://schemas.openxmlformats.org/officeDocument/2006/relationships/hyperlink" Target="https://pubmed.ncbi.nlm.nih.gov/3279332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31953710/" TargetMode="External"/><Relationship Id="rId20" Type="http://schemas.openxmlformats.org/officeDocument/2006/relationships/hyperlink" Target="https://pubmed.ncbi.nlm.nih.gov/3280362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840-5536" TargetMode="External"/><Relationship Id="rId24" Type="http://schemas.openxmlformats.org/officeDocument/2006/relationships/hyperlink" Target="https://pubmed.ncbi.nlm.nih.gov/3168489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pubmed.ncbi.nlm.nih.gov/34536417/" TargetMode="External"/><Relationship Id="rId28" Type="http://schemas.openxmlformats.org/officeDocument/2006/relationships/hyperlink" Target="https://www.ncbi.nlm.nih.gov/pmc/articles/PMC5485821/" TargetMode="External"/><Relationship Id="rId10" Type="http://schemas.openxmlformats.org/officeDocument/2006/relationships/hyperlink" Target="https://orcid.org/0000-0001-5147-9179%20" TargetMode="External"/><Relationship Id="rId19" Type="http://schemas.openxmlformats.org/officeDocument/2006/relationships/hyperlink" Target="https://pubmed.ncbi.nlm.nih.gov/2987832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4203-83878" TargetMode="External"/><Relationship Id="rId14" Type="http://schemas.openxmlformats.org/officeDocument/2006/relationships/image" Target="media/image2.jpeg"/><Relationship Id="rId22" Type="http://schemas.openxmlformats.org/officeDocument/2006/relationships/hyperlink" Target="https://pubmed.ncbi.nlm.nih.gov/33636063/" TargetMode="External"/><Relationship Id="rId27" Type="http://schemas.openxmlformats.org/officeDocument/2006/relationships/hyperlink" Target="https://www.ncbi.nlm.nih.gov/pmc/articles/PMC6659583/"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14</Pages>
  <Words>4159</Words>
  <Characters>22878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26984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2023-04-20T23:28:00Z</cp:lastPrinted>
  <dcterms:created xsi:type="dcterms:W3CDTF">2023-04-20T23:24:00Z</dcterms:created>
  <dcterms:modified xsi:type="dcterms:W3CDTF">2023-04-20T23:30:00Z</dcterms:modified>
</cp:coreProperties>
</file>