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27BE" w14:textId="77777777" w:rsidR="00396BF2" w:rsidRPr="00396BF2" w:rsidRDefault="00396BF2" w:rsidP="00396BF2">
      <w:pPr>
        <w:spacing w:line="360" w:lineRule="auto"/>
        <w:jc w:val="right"/>
        <w:rPr>
          <w:rFonts w:eastAsia="Arial"/>
          <w:bCs/>
          <w:sz w:val="20"/>
          <w:szCs w:val="20"/>
          <w:lang w:val="es-ES" w:eastAsia="es-PE"/>
        </w:rPr>
      </w:pPr>
      <w:r w:rsidRPr="00396BF2">
        <w:rPr>
          <w:rFonts w:eastAsia="Arial"/>
          <w:bCs/>
          <w:sz w:val="20"/>
          <w:szCs w:val="20"/>
          <w:lang w:val="es-ES" w:eastAsia="es-PE"/>
        </w:rPr>
        <w:t>Artículo de investigación</w:t>
      </w:r>
    </w:p>
    <w:p w14:paraId="3E946895" w14:textId="77777777" w:rsidR="00396BF2" w:rsidRPr="00396BF2" w:rsidRDefault="00396BF2" w:rsidP="00396BF2">
      <w:pPr>
        <w:spacing w:line="360" w:lineRule="auto"/>
        <w:jc w:val="right"/>
        <w:rPr>
          <w:rFonts w:eastAsia="Arial"/>
          <w:bCs/>
          <w:sz w:val="20"/>
          <w:szCs w:val="20"/>
          <w:lang w:val="es-ES" w:eastAsia="es-PE"/>
        </w:rPr>
      </w:pPr>
    </w:p>
    <w:p w14:paraId="5E7CFDAF" w14:textId="77777777" w:rsidR="00396BF2" w:rsidRPr="00396BF2" w:rsidRDefault="00396BF2" w:rsidP="00396BF2">
      <w:pPr>
        <w:spacing w:line="360" w:lineRule="auto"/>
        <w:jc w:val="center"/>
        <w:rPr>
          <w:rFonts w:eastAsia="Arial"/>
          <w:b/>
          <w:sz w:val="28"/>
          <w:szCs w:val="28"/>
          <w:lang w:val="es-ES" w:eastAsia="es-PE"/>
        </w:rPr>
      </w:pPr>
      <w:r w:rsidRPr="00396BF2">
        <w:rPr>
          <w:rFonts w:eastAsia="Arial"/>
          <w:b/>
          <w:sz w:val="28"/>
          <w:szCs w:val="28"/>
          <w:lang w:val="es-ES" w:eastAsia="es-PE"/>
        </w:rPr>
        <w:t xml:space="preserve">Factores </w:t>
      </w:r>
      <w:r w:rsidRPr="00396BF2">
        <w:rPr>
          <w:rFonts w:eastAsia="Arial"/>
          <w:b/>
          <w:bCs/>
          <w:sz w:val="28"/>
          <w:szCs w:val="28"/>
          <w:lang w:val="es-ES" w:eastAsia="es-PE"/>
        </w:rPr>
        <w:t>asociados a la percepción de repercusiones del internado hospitalario peruano durante la COVID-19</w:t>
      </w:r>
    </w:p>
    <w:p w14:paraId="7C1D0F71" w14:textId="77777777" w:rsidR="00396BF2" w:rsidRPr="00396BF2" w:rsidRDefault="00396BF2" w:rsidP="00396BF2">
      <w:pPr>
        <w:spacing w:line="360" w:lineRule="auto"/>
        <w:jc w:val="center"/>
        <w:rPr>
          <w:rFonts w:eastAsia="Arial"/>
          <w:bCs/>
          <w:lang w:val="en-US" w:eastAsia="es-PE"/>
        </w:rPr>
      </w:pPr>
      <w:r w:rsidRPr="00396BF2">
        <w:rPr>
          <w:rFonts w:eastAsia="Arial"/>
          <w:bCs/>
          <w:sz w:val="28"/>
          <w:szCs w:val="28"/>
          <w:lang w:val="en-US" w:eastAsia="es-PE"/>
        </w:rPr>
        <w:t>Factors associated with the perceived impact of the Peruvian hospital internship during COVID-19</w:t>
      </w:r>
    </w:p>
    <w:p w14:paraId="01E65F56" w14:textId="77777777" w:rsidR="00396BF2" w:rsidRPr="00396BF2" w:rsidRDefault="00396BF2" w:rsidP="00396BF2">
      <w:pPr>
        <w:spacing w:line="360" w:lineRule="auto"/>
        <w:jc w:val="both"/>
        <w:rPr>
          <w:rFonts w:eastAsia="Arial"/>
          <w:b/>
          <w:lang w:val="en-US" w:eastAsia="es-PE"/>
        </w:rPr>
      </w:pPr>
    </w:p>
    <w:p w14:paraId="7DE40E53" w14:textId="1231C15D" w:rsidR="00396BF2" w:rsidRPr="00396BF2" w:rsidRDefault="0043010E" w:rsidP="00396BF2">
      <w:pPr>
        <w:spacing w:line="360" w:lineRule="auto"/>
        <w:jc w:val="both"/>
        <w:rPr>
          <w:rFonts w:eastAsia="Arial"/>
          <w:bCs/>
          <w:lang w:val="it-IT" w:eastAsia="es-PE"/>
        </w:rPr>
      </w:pPr>
      <w:r w:rsidRPr="00396BF2">
        <w:rPr>
          <w:rFonts w:eastAsia="Arial"/>
          <w:bCs/>
          <w:lang w:val="it-IT" w:eastAsia="es-PE"/>
        </w:rPr>
        <w:t>Leticia Rivera</w:t>
      </w:r>
      <w:r>
        <w:rPr>
          <w:rFonts w:eastAsia="Arial"/>
          <w:bCs/>
          <w:lang w:val="it-IT" w:eastAsia="es-PE"/>
        </w:rPr>
        <w:t>-</w:t>
      </w:r>
      <w:r w:rsidRPr="00396BF2">
        <w:rPr>
          <w:rFonts w:eastAsia="Arial"/>
          <w:bCs/>
          <w:lang w:val="it-IT" w:eastAsia="es-PE"/>
        </w:rPr>
        <w:t>Berrios</w:t>
      </w:r>
      <w:r w:rsidR="00396BF2" w:rsidRPr="00396BF2">
        <w:rPr>
          <w:rFonts w:eastAsia="Arial"/>
          <w:bCs/>
          <w:vertAlign w:val="superscript"/>
          <w:lang w:val="it-IT" w:eastAsia="es-PE"/>
        </w:rPr>
        <w:t>1</w:t>
      </w:r>
      <w:r w:rsidR="00396BF2" w:rsidRPr="00396BF2">
        <w:rPr>
          <w:rFonts w:eastAsia="Arial"/>
          <w:bCs/>
          <w:lang w:val="it-IT" w:eastAsia="es-PE"/>
        </w:rPr>
        <w:t xml:space="preserve">* </w:t>
      </w:r>
      <w:hyperlink r:id="rId7" w:history="1">
        <w:r w:rsidR="00396BF2" w:rsidRPr="00396BF2">
          <w:rPr>
            <w:rFonts w:eastAsia="Arial"/>
            <w:bCs/>
            <w:color w:val="0563C1"/>
            <w:u w:val="single"/>
            <w:lang w:val="it-IT" w:eastAsia="es-PE"/>
          </w:rPr>
          <w:t>https://orcid.org/0000-0001-9635-9736</w:t>
        </w:r>
      </w:hyperlink>
      <w:r w:rsidR="00396BF2" w:rsidRPr="00396BF2">
        <w:rPr>
          <w:rFonts w:eastAsia="Arial"/>
          <w:bCs/>
          <w:lang w:val="it-IT" w:eastAsia="es-PE"/>
        </w:rPr>
        <w:t xml:space="preserve">  </w:t>
      </w:r>
    </w:p>
    <w:p w14:paraId="31068D2D" w14:textId="2EC63D09" w:rsidR="00396BF2" w:rsidRPr="00396BF2" w:rsidRDefault="0043010E" w:rsidP="00396BF2">
      <w:pPr>
        <w:spacing w:line="360" w:lineRule="auto"/>
        <w:jc w:val="both"/>
        <w:rPr>
          <w:rFonts w:eastAsia="Arial"/>
          <w:bCs/>
          <w:lang w:val="es-PE" w:eastAsia="es-PE"/>
        </w:rPr>
      </w:pPr>
      <w:r w:rsidRPr="00396BF2">
        <w:rPr>
          <w:rFonts w:eastAsia="Arial"/>
          <w:bCs/>
          <w:lang w:val="es-PE" w:eastAsia="es-PE"/>
        </w:rPr>
        <w:t>Helton Aguilar</w:t>
      </w:r>
      <w:r>
        <w:rPr>
          <w:rFonts w:eastAsia="Arial"/>
          <w:bCs/>
          <w:lang w:val="es-PE" w:eastAsia="es-PE"/>
        </w:rPr>
        <w:t>-</w:t>
      </w:r>
      <w:r w:rsidRPr="00396BF2">
        <w:rPr>
          <w:rFonts w:eastAsia="Arial"/>
          <w:bCs/>
          <w:lang w:val="es-PE" w:eastAsia="es-PE"/>
        </w:rPr>
        <w:t>Arzapalo</w:t>
      </w:r>
      <w:r w:rsidR="00396BF2" w:rsidRPr="00396BF2">
        <w:rPr>
          <w:rFonts w:eastAsia="Arial"/>
          <w:bCs/>
          <w:vertAlign w:val="superscript"/>
          <w:lang w:val="es-PE" w:eastAsia="es-PE"/>
        </w:rPr>
        <w:t>1</w:t>
      </w:r>
      <w:r w:rsidR="00396BF2" w:rsidRPr="00396BF2">
        <w:rPr>
          <w:rFonts w:eastAsia="Arial"/>
          <w:bCs/>
          <w:lang w:val="es-PE" w:eastAsia="es-PE"/>
        </w:rPr>
        <w:t xml:space="preserve"> </w:t>
      </w:r>
      <w:hyperlink r:id="rId8" w:history="1">
        <w:r w:rsidR="00396BF2" w:rsidRPr="00396BF2">
          <w:rPr>
            <w:rFonts w:eastAsia="Arial"/>
            <w:bCs/>
            <w:color w:val="0563C1"/>
            <w:u w:val="single"/>
            <w:lang w:val="es-PE" w:eastAsia="es-PE"/>
          </w:rPr>
          <w:t>https://orcid.org/0000-0003-4882-6744</w:t>
        </w:r>
      </w:hyperlink>
      <w:r w:rsidR="00396BF2" w:rsidRPr="00396BF2">
        <w:rPr>
          <w:rFonts w:eastAsia="Arial"/>
          <w:bCs/>
          <w:lang w:val="es-PE" w:eastAsia="es-PE"/>
        </w:rPr>
        <w:t xml:space="preserve"> </w:t>
      </w:r>
    </w:p>
    <w:p w14:paraId="6362CE0A" w14:textId="77777777" w:rsidR="00396BF2" w:rsidRPr="00396BF2" w:rsidRDefault="00396BF2" w:rsidP="00396BF2">
      <w:pPr>
        <w:spacing w:line="360" w:lineRule="auto"/>
        <w:jc w:val="both"/>
        <w:rPr>
          <w:rFonts w:eastAsia="Arial"/>
          <w:bCs/>
          <w:lang w:val="es-PE" w:eastAsia="es-PE"/>
        </w:rPr>
      </w:pPr>
      <w:r w:rsidRPr="00396BF2">
        <w:rPr>
          <w:rFonts w:eastAsia="Arial"/>
          <w:bCs/>
          <w:lang w:val="es-PE" w:eastAsia="es-PE"/>
        </w:rPr>
        <w:t>Jose Armada</w:t>
      </w:r>
      <w:r w:rsidRPr="00396BF2">
        <w:rPr>
          <w:rFonts w:eastAsia="Arial"/>
          <w:bCs/>
          <w:vertAlign w:val="superscript"/>
          <w:lang w:val="es-PE" w:eastAsia="es-PE"/>
        </w:rPr>
        <w:t>1</w:t>
      </w:r>
      <w:r w:rsidRPr="00396BF2">
        <w:rPr>
          <w:rFonts w:eastAsia="Arial"/>
          <w:bCs/>
          <w:lang w:val="es-PE" w:eastAsia="es-PE"/>
        </w:rPr>
        <w:t xml:space="preserve"> </w:t>
      </w:r>
      <w:hyperlink r:id="rId9" w:history="1">
        <w:r w:rsidRPr="00396BF2">
          <w:rPr>
            <w:rFonts w:eastAsia="Arial"/>
            <w:bCs/>
            <w:color w:val="0563C1"/>
            <w:u w:val="single"/>
            <w:lang w:val="es-PE" w:eastAsia="es-PE"/>
          </w:rPr>
          <w:t>https://orcid.org/0000-0003-3827-6144</w:t>
        </w:r>
      </w:hyperlink>
      <w:r w:rsidRPr="00396BF2">
        <w:rPr>
          <w:rFonts w:eastAsia="Arial"/>
          <w:bCs/>
          <w:lang w:val="es-PE" w:eastAsia="es-PE"/>
        </w:rPr>
        <w:t xml:space="preserve">  </w:t>
      </w:r>
    </w:p>
    <w:p w14:paraId="6087358A" w14:textId="7F6CF357" w:rsidR="00396BF2" w:rsidRPr="00396BF2" w:rsidRDefault="0043010E" w:rsidP="00396BF2">
      <w:pPr>
        <w:spacing w:line="360" w:lineRule="auto"/>
        <w:jc w:val="both"/>
        <w:rPr>
          <w:rFonts w:eastAsia="Arial"/>
          <w:bCs/>
          <w:lang w:val="es-PE" w:eastAsia="es-PE"/>
        </w:rPr>
      </w:pPr>
      <w:r w:rsidRPr="00396BF2">
        <w:rPr>
          <w:rFonts w:eastAsia="Arial"/>
          <w:bCs/>
          <w:lang w:val="es-PE" w:eastAsia="es-PE"/>
        </w:rPr>
        <w:t xml:space="preserve">Carlos </w:t>
      </w:r>
      <w:r>
        <w:rPr>
          <w:rFonts w:eastAsia="Arial"/>
          <w:bCs/>
          <w:lang w:val="es-PE" w:eastAsia="es-PE"/>
        </w:rPr>
        <w:t xml:space="preserve">E. </w:t>
      </w:r>
      <w:r w:rsidRPr="00396BF2">
        <w:rPr>
          <w:rFonts w:eastAsia="Arial"/>
          <w:bCs/>
          <w:lang w:val="es-PE" w:eastAsia="es-PE"/>
        </w:rPr>
        <w:t>Bayona</w:t>
      </w:r>
      <w:r>
        <w:rPr>
          <w:rFonts w:eastAsia="Arial"/>
          <w:bCs/>
          <w:lang w:val="es-PE" w:eastAsia="es-PE"/>
        </w:rPr>
        <w:t>-</w:t>
      </w:r>
      <w:r w:rsidRPr="00396BF2">
        <w:rPr>
          <w:rFonts w:eastAsia="Arial"/>
          <w:bCs/>
          <w:lang w:val="es-PE" w:eastAsia="es-PE"/>
        </w:rPr>
        <w:t>Zapata</w:t>
      </w:r>
      <w:r w:rsidR="00396BF2" w:rsidRPr="00396BF2">
        <w:rPr>
          <w:rFonts w:eastAsia="Arial"/>
          <w:bCs/>
          <w:vertAlign w:val="superscript"/>
          <w:lang w:val="es-PE" w:eastAsia="es-PE"/>
        </w:rPr>
        <w:t>2</w:t>
      </w:r>
      <w:r w:rsidR="00396BF2" w:rsidRPr="00396BF2">
        <w:rPr>
          <w:rFonts w:eastAsia="Arial"/>
          <w:bCs/>
          <w:lang w:val="es-PE" w:eastAsia="es-PE"/>
        </w:rPr>
        <w:t xml:space="preserve"> </w:t>
      </w:r>
      <w:hyperlink r:id="rId10" w:history="1">
        <w:r w:rsidR="00396BF2" w:rsidRPr="00396BF2">
          <w:rPr>
            <w:rFonts w:eastAsia="Arial"/>
            <w:bCs/>
            <w:color w:val="0563C1"/>
            <w:u w:val="single"/>
            <w:lang w:val="es-PE" w:eastAsia="es-PE"/>
          </w:rPr>
          <w:t>https://orcid.org/0000-0002-6277-9764</w:t>
        </w:r>
      </w:hyperlink>
      <w:r w:rsidR="00396BF2" w:rsidRPr="00396BF2">
        <w:rPr>
          <w:rFonts w:eastAsia="Arial"/>
          <w:bCs/>
          <w:lang w:val="es-PE" w:eastAsia="es-PE"/>
        </w:rPr>
        <w:t xml:space="preserve"> </w:t>
      </w:r>
    </w:p>
    <w:p w14:paraId="3E1DDC27" w14:textId="259C6FE7" w:rsidR="00396BF2" w:rsidRPr="00396BF2" w:rsidRDefault="0043010E" w:rsidP="00396BF2">
      <w:pPr>
        <w:spacing w:line="360" w:lineRule="auto"/>
        <w:jc w:val="both"/>
        <w:rPr>
          <w:rFonts w:eastAsia="Arial"/>
          <w:bCs/>
          <w:lang w:val="es-PE" w:eastAsia="es-PE"/>
        </w:rPr>
      </w:pPr>
      <w:r w:rsidRPr="00396BF2">
        <w:rPr>
          <w:rFonts w:eastAsia="Arial"/>
          <w:bCs/>
          <w:lang w:val="es-PE" w:eastAsia="es-PE"/>
        </w:rPr>
        <w:t xml:space="preserve">Martin </w:t>
      </w:r>
      <w:r>
        <w:rPr>
          <w:rFonts w:eastAsia="Arial"/>
          <w:bCs/>
          <w:lang w:val="es-PE" w:eastAsia="es-PE"/>
        </w:rPr>
        <w:t xml:space="preserve">A. </w:t>
      </w:r>
      <w:r w:rsidRPr="00396BF2">
        <w:rPr>
          <w:rFonts w:eastAsia="Arial"/>
          <w:bCs/>
          <w:lang w:val="es-PE" w:eastAsia="es-PE"/>
        </w:rPr>
        <w:t>Vilela</w:t>
      </w:r>
      <w:r>
        <w:rPr>
          <w:rFonts w:eastAsia="Arial"/>
          <w:bCs/>
          <w:lang w:val="es-PE" w:eastAsia="es-PE"/>
        </w:rPr>
        <w:t>-</w:t>
      </w:r>
      <w:r w:rsidRPr="00396BF2">
        <w:rPr>
          <w:rFonts w:eastAsia="Arial"/>
          <w:bCs/>
          <w:lang w:val="es-PE" w:eastAsia="es-PE"/>
        </w:rPr>
        <w:t>Estrada</w:t>
      </w:r>
      <w:r w:rsidR="00396BF2" w:rsidRPr="00396BF2">
        <w:rPr>
          <w:rFonts w:eastAsia="Arial"/>
          <w:bCs/>
          <w:vertAlign w:val="superscript"/>
          <w:lang w:val="es-PE" w:eastAsia="es-PE"/>
        </w:rPr>
        <w:t>3</w:t>
      </w:r>
      <w:r w:rsidR="00396BF2" w:rsidRPr="00396BF2">
        <w:rPr>
          <w:rFonts w:eastAsia="Arial"/>
          <w:bCs/>
          <w:lang w:val="es-PE" w:eastAsia="es-PE"/>
        </w:rPr>
        <w:t xml:space="preserve"> </w:t>
      </w:r>
      <w:hyperlink r:id="rId11" w:history="1">
        <w:r w:rsidR="00396BF2" w:rsidRPr="00396BF2">
          <w:rPr>
            <w:rFonts w:eastAsia="Arial"/>
            <w:bCs/>
            <w:color w:val="0563C1"/>
            <w:u w:val="single"/>
            <w:lang w:val="es-PE" w:eastAsia="es-PE"/>
          </w:rPr>
          <w:t>https://orcid.org/0000-0002-1494-952X</w:t>
        </w:r>
      </w:hyperlink>
      <w:r w:rsidR="00396BF2" w:rsidRPr="00396BF2">
        <w:rPr>
          <w:rFonts w:eastAsia="Arial"/>
          <w:bCs/>
          <w:lang w:val="es-PE" w:eastAsia="es-PE"/>
        </w:rPr>
        <w:t xml:space="preserve"> </w:t>
      </w:r>
    </w:p>
    <w:p w14:paraId="1A93A906" w14:textId="1E77DFE9" w:rsidR="00396BF2" w:rsidRPr="00396BF2" w:rsidRDefault="0043010E" w:rsidP="00396BF2">
      <w:pPr>
        <w:spacing w:line="360" w:lineRule="auto"/>
        <w:jc w:val="both"/>
        <w:rPr>
          <w:rFonts w:eastAsia="Arial"/>
          <w:bCs/>
          <w:lang w:val="es-PE" w:eastAsia="es-PE"/>
        </w:rPr>
      </w:pPr>
      <w:r w:rsidRPr="00396BF2">
        <w:rPr>
          <w:rFonts w:eastAsia="Arial"/>
          <w:bCs/>
          <w:lang w:val="es-PE" w:eastAsia="es-PE"/>
        </w:rPr>
        <w:t>Victor Serna</w:t>
      </w:r>
      <w:r>
        <w:rPr>
          <w:rFonts w:eastAsia="Arial"/>
          <w:bCs/>
          <w:lang w:val="es-PE" w:eastAsia="es-PE"/>
        </w:rPr>
        <w:t>-</w:t>
      </w:r>
      <w:r w:rsidRPr="00396BF2">
        <w:rPr>
          <w:rFonts w:eastAsia="Arial"/>
          <w:bCs/>
          <w:lang w:val="es-PE" w:eastAsia="es-PE"/>
        </w:rPr>
        <w:t>Alarcón</w:t>
      </w:r>
      <w:r w:rsidR="00396BF2" w:rsidRPr="00396BF2">
        <w:rPr>
          <w:rFonts w:eastAsia="Arial"/>
          <w:bCs/>
          <w:vertAlign w:val="superscript"/>
          <w:lang w:val="es-PE" w:eastAsia="es-PE"/>
        </w:rPr>
        <w:t>3</w:t>
      </w:r>
      <w:r w:rsidR="00396BF2" w:rsidRPr="00396BF2">
        <w:rPr>
          <w:rFonts w:eastAsia="Arial"/>
          <w:bCs/>
          <w:lang w:val="es-PE" w:eastAsia="es-PE"/>
        </w:rPr>
        <w:t xml:space="preserve"> </w:t>
      </w:r>
      <w:hyperlink r:id="rId12" w:history="1">
        <w:r w:rsidR="00396BF2" w:rsidRPr="00396BF2">
          <w:rPr>
            <w:rFonts w:eastAsia="Arial"/>
            <w:bCs/>
            <w:color w:val="0563C1"/>
            <w:u w:val="single"/>
            <w:lang w:val="es-PE" w:eastAsia="es-PE"/>
          </w:rPr>
          <w:t>https://orcid.org/0000-0002-9803-6217</w:t>
        </w:r>
      </w:hyperlink>
      <w:r w:rsidR="00396BF2" w:rsidRPr="00396BF2">
        <w:rPr>
          <w:rFonts w:eastAsia="Arial"/>
          <w:bCs/>
          <w:lang w:val="es-PE" w:eastAsia="es-PE"/>
        </w:rPr>
        <w:t xml:space="preserve"> </w:t>
      </w:r>
    </w:p>
    <w:p w14:paraId="2DC81164" w14:textId="60F41AFD" w:rsidR="00396BF2" w:rsidRPr="00396BF2" w:rsidRDefault="0043010E" w:rsidP="00396BF2">
      <w:pPr>
        <w:spacing w:line="360" w:lineRule="auto"/>
        <w:jc w:val="both"/>
        <w:rPr>
          <w:rFonts w:eastAsia="Arial"/>
          <w:bCs/>
          <w:lang w:val="en-US" w:eastAsia="es-PE"/>
        </w:rPr>
      </w:pPr>
      <w:r w:rsidRPr="00396BF2">
        <w:rPr>
          <w:rFonts w:eastAsia="Arial"/>
          <w:bCs/>
          <w:lang w:val="en-US" w:eastAsia="es-PE"/>
        </w:rPr>
        <w:t xml:space="preserve">Christian </w:t>
      </w:r>
      <w:r>
        <w:rPr>
          <w:rFonts w:eastAsia="Arial"/>
          <w:bCs/>
          <w:lang w:val="en-US" w:eastAsia="es-PE"/>
        </w:rPr>
        <w:t xml:space="preserve">R. </w:t>
      </w:r>
      <w:r w:rsidRPr="00396BF2">
        <w:rPr>
          <w:rFonts w:eastAsia="Arial"/>
          <w:bCs/>
          <w:lang w:val="en-US" w:eastAsia="es-PE"/>
        </w:rPr>
        <w:t>Mejia</w:t>
      </w:r>
      <w:r w:rsidR="00396BF2" w:rsidRPr="00396BF2">
        <w:rPr>
          <w:rFonts w:eastAsia="Arial"/>
          <w:bCs/>
          <w:vertAlign w:val="superscript"/>
          <w:lang w:val="en-US" w:eastAsia="es-PE"/>
        </w:rPr>
        <w:t>4</w:t>
      </w:r>
      <w:r w:rsidR="00396BF2" w:rsidRPr="00396BF2">
        <w:rPr>
          <w:rFonts w:eastAsia="Arial"/>
          <w:bCs/>
          <w:lang w:val="en-US" w:eastAsia="es-PE"/>
        </w:rPr>
        <w:t xml:space="preserve"> </w:t>
      </w:r>
      <w:hyperlink r:id="rId13" w:history="1">
        <w:r w:rsidR="00396BF2" w:rsidRPr="00396BF2">
          <w:rPr>
            <w:rFonts w:eastAsia="Arial"/>
            <w:bCs/>
            <w:color w:val="0563C1"/>
            <w:u w:val="single"/>
            <w:lang w:val="en-US" w:eastAsia="es-PE"/>
          </w:rPr>
          <w:t>https://orcid.org/0000-0002-5940-7281</w:t>
        </w:r>
      </w:hyperlink>
      <w:r w:rsidR="00396BF2" w:rsidRPr="00396BF2">
        <w:rPr>
          <w:rFonts w:eastAsia="Arial"/>
          <w:bCs/>
          <w:lang w:val="en-US" w:eastAsia="es-PE"/>
        </w:rPr>
        <w:t xml:space="preserve"> </w:t>
      </w:r>
    </w:p>
    <w:p w14:paraId="6F4FE45E" w14:textId="77777777" w:rsidR="00396BF2" w:rsidRPr="00396BF2" w:rsidRDefault="00396BF2" w:rsidP="00396BF2">
      <w:pPr>
        <w:spacing w:line="360" w:lineRule="auto"/>
        <w:jc w:val="both"/>
        <w:rPr>
          <w:rFonts w:eastAsia="Arial"/>
          <w:bCs/>
          <w:lang w:val="en-US" w:eastAsia="es-PE"/>
        </w:rPr>
      </w:pPr>
    </w:p>
    <w:p w14:paraId="66F8EF72" w14:textId="77777777" w:rsidR="00396BF2" w:rsidRPr="00396BF2" w:rsidRDefault="00396BF2" w:rsidP="00396BF2">
      <w:pPr>
        <w:spacing w:line="360" w:lineRule="auto"/>
        <w:jc w:val="both"/>
        <w:rPr>
          <w:rFonts w:eastAsia="Arial"/>
          <w:bCs/>
          <w:lang w:val="es-PE" w:eastAsia="es-PE"/>
        </w:rPr>
      </w:pPr>
      <w:r w:rsidRPr="00396BF2">
        <w:rPr>
          <w:rFonts w:eastAsia="Arial"/>
          <w:bCs/>
          <w:vertAlign w:val="superscript"/>
          <w:lang w:val="es-PE" w:eastAsia="es-PE"/>
        </w:rPr>
        <w:t>1</w:t>
      </w:r>
      <w:r w:rsidRPr="00396BF2">
        <w:rPr>
          <w:rFonts w:eastAsia="Arial"/>
          <w:bCs/>
          <w:lang w:val="es-PE" w:eastAsia="es-PE"/>
        </w:rPr>
        <w:t>Universidad Continental. Huancayo, Perú.</w:t>
      </w:r>
    </w:p>
    <w:p w14:paraId="7706C7A5" w14:textId="77777777" w:rsidR="00396BF2" w:rsidRPr="00396BF2" w:rsidRDefault="00396BF2" w:rsidP="00396BF2">
      <w:pPr>
        <w:spacing w:line="360" w:lineRule="auto"/>
        <w:jc w:val="both"/>
        <w:rPr>
          <w:rFonts w:eastAsia="Arial"/>
          <w:bCs/>
          <w:lang w:val="es-CU" w:eastAsia="es-PE"/>
        </w:rPr>
      </w:pPr>
      <w:r w:rsidRPr="00396BF2">
        <w:rPr>
          <w:rFonts w:eastAsia="Arial"/>
          <w:bCs/>
          <w:vertAlign w:val="superscript"/>
          <w:lang w:val="es-CU" w:eastAsia="es-PE"/>
        </w:rPr>
        <w:t>2</w:t>
      </w:r>
      <w:r w:rsidRPr="00396BF2">
        <w:rPr>
          <w:rFonts w:eastAsia="Arial"/>
          <w:bCs/>
          <w:lang w:val="es-CU" w:eastAsia="es-PE"/>
        </w:rPr>
        <w:t>Hospital de la Amistad Perú- Corea Santa Rosa. Piura, Perú.</w:t>
      </w:r>
    </w:p>
    <w:p w14:paraId="5A25FFF9" w14:textId="77777777" w:rsidR="00396BF2" w:rsidRPr="00396BF2" w:rsidRDefault="00396BF2" w:rsidP="00396BF2">
      <w:pPr>
        <w:spacing w:line="360" w:lineRule="auto"/>
        <w:jc w:val="both"/>
        <w:rPr>
          <w:rFonts w:eastAsia="Arial"/>
          <w:bCs/>
          <w:lang w:val="es-CU" w:eastAsia="es-PE"/>
        </w:rPr>
      </w:pPr>
      <w:r w:rsidRPr="00396BF2">
        <w:rPr>
          <w:rFonts w:eastAsia="Arial"/>
          <w:bCs/>
          <w:vertAlign w:val="superscript"/>
          <w:lang w:val="es-CU" w:eastAsia="es-PE"/>
        </w:rPr>
        <w:t>3</w:t>
      </w:r>
      <w:r w:rsidRPr="00396BF2">
        <w:rPr>
          <w:rFonts w:eastAsia="Arial"/>
          <w:bCs/>
          <w:lang w:val="es-CU" w:eastAsia="es-PE"/>
        </w:rPr>
        <w:t>Universidad Privada Antenor Orrego. Escuela de Medicina Humana. Trujillo, Perú.</w:t>
      </w:r>
    </w:p>
    <w:p w14:paraId="7ED9D72F" w14:textId="77777777" w:rsidR="00396BF2" w:rsidRPr="00396BF2" w:rsidRDefault="00396BF2" w:rsidP="00396BF2">
      <w:pPr>
        <w:spacing w:line="360" w:lineRule="auto"/>
        <w:jc w:val="both"/>
        <w:rPr>
          <w:rFonts w:eastAsia="Arial"/>
          <w:bCs/>
          <w:lang w:val="es-CU" w:eastAsia="es-PE"/>
        </w:rPr>
      </w:pPr>
      <w:r w:rsidRPr="00396BF2">
        <w:rPr>
          <w:rFonts w:eastAsia="Arial"/>
          <w:bCs/>
          <w:vertAlign w:val="superscript"/>
          <w:lang w:val="es-CU" w:eastAsia="es-PE"/>
        </w:rPr>
        <w:t>4</w:t>
      </w:r>
      <w:r w:rsidRPr="00396BF2">
        <w:rPr>
          <w:rFonts w:eastAsia="Arial"/>
          <w:bCs/>
          <w:lang w:val="es-CU" w:eastAsia="es-PE"/>
        </w:rPr>
        <w:t>Universidad Norbert Wiener. Centro de Investigación en Medicina Traslacional. Lima; Perú.</w:t>
      </w:r>
    </w:p>
    <w:p w14:paraId="06211D37" w14:textId="77777777" w:rsidR="00396BF2" w:rsidRPr="00396BF2" w:rsidRDefault="00396BF2" w:rsidP="00396BF2">
      <w:pPr>
        <w:spacing w:line="360" w:lineRule="auto"/>
        <w:jc w:val="both"/>
        <w:rPr>
          <w:rFonts w:eastAsia="Arial"/>
          <w:bCs/>
          <w:lang w:val="es-CU" w:eastAsia="es-PE"/>
        </w:rPr>
      </w:pPr>
    </w:p>
    <w:p w14:paraId="3F6A7343" w14:textId="77777777" w:rsidR="00396BF2" w:rsidRPr="00396BF2" w:rsidRDefault="00396BF2" w:rsidP="00396BF2">
      <w:pPr>
        <w:spacing w:line="360" w:lineRule="auto"/>
        <w:jc w:val="both"/>
        <w:rPr>
          <w:rFonts w:eastAsia="Arial"/>
          <w:bCs/>
          <w:lang w:val="es-CU" w:eastAsia="es-PE"/>
        </w:rPr>
      </w:pPr>
      <w:r w:rsidRPr="00396BF2">
        <w:rPr>
          <w:rFonts w:eastAsia="Arial"/>
          <w:bCs/>
          <w:lang w:val="es-CU" w:eastAsia="es-PE"/>
        </w:rPr>
        <w:t xml:space="preserve">*Autor para la correspondencia. Correo electrónico: </w:t>
      </w:r>
      <w:hyperlink r:id="rId14" w:history="1">
        <w:r w:rsidRPr="00396BF2">
          <w:rPr>
            <w:rFonts w:eastAsia="Arial"/>
            <w:bCs/>
            <w:color w:val="0563C1"/>
            <w:u w:val="single"/>
            <w:lang w:val="es-CU" w:eastAsia="es-PE"/>
          </w:rPr>
          <w:t>72802063@continental.edu.pe</w:t>
        </w:r>
      </w:hyperlink>
      <w:r w:rsidRPr="00396BF2">
        <w:rPr>
          <w:rFonts w:eastAsia="Arial"/>
          <w:bCs/>
          <w:lang w:val="es-CU" w:eastAsia="es-PE"/>
        </w:rPr>
        <w:t xml:space="preserve"> </w:t>
      </w:r>
    </w:p>
    <w:p w14:paraId="71D4B897" w14:textId="77777777" w:rsidR="00396BF2" w:rsidRPr="00396BF2" w:rsidRDefault="00396BF2" w:rsidP="00396BF2">
      <w:pPr>
        <w:spacing w:line="360" w:lineRule="auto"/>
        <w:jc w:val="both"/>
        <w:rPr>
          <w:rFonts w:eastAsia="Arial"/>
          <w:b/>
          <w:lang w:val="es-CU" w:eastAsia="es-PE"/>
        </w:rPr>
      </w:pPr>
    </w:p>
    <w:p w14:paraId="08BA5E3D" w14:textId="77777777" w:rsidR="00396BF2" w:rsidRPr="00396BF2" w:rsidRDefault="00396BF2" w:rsidP="00396BF2">
      <w:pPr>
        <w:spacing w:line="360" w:lineRule="auto"/>
        <w:jc w:val="both"/>
        <w:rPr>
          <w:rFonts w:eastAsia="Arial"/>
          <w:b/>
          <w:lang w:val="es-CU" w:eastAsia="es-PE"/>
        </w:rPr>
      </w:pPr>
      <w:r w:rsidRPr="00396BF2">
        <w:rPr>
          <w:rFonts w:eastAsia="Arial"/>
          <w:b/>
          <w:lang w:val="es-CU" w:eastAsia="es-PE"/>
        </w:rPr>
        <w:t>RESUMEN</w:t>
      </w:r>
    </w:p>
    <w:p w14:paraId="70BDF47E" w14:textId="77777777" w:rsidR="00396BF2" w:rsidRPr="00396BF2" w:rsidRDefault="00396BF2" w:rsidP="00396BF2">
      <w:pPr>
        <w:spacing w:line="360" w:lineRule="auto"/>
        <w:jc w:val="both"/>
        <w:rPr>
          <w:rFonts w:eastAsia="Arial"/>
          <w:lang w:val="es-ES" w:eastAsia="es-PE"/>
        </w:rPr>
      </w:pPr>
      <w:r w:rsidRPr="00396BF2">
        <w:rPr>
          <w:rFonts w:eastAsia="Arial"/>
          <w:b/>
          <w:bCs/>
          <w:lang w:val="es-ES" w:eastAsia="es-PE"/>
        </w:rPr>
        <w:t>Introducción:</w:t>
      </w:r>
      <w:r w:rsidRPr="00396BF2">
        <w:rPr>
          <w:rFonts w:eastAsia="Arial"/>
          <w:lang w:val="es-ES" w:eastAsia="es-PE"/>
        </w:rPr>
        <w:t xml:space="preserve"> La pandemia afectó el internado de estudiantes de salud en su asistencia hospitalaria, en la cual realizan las prácticas. </w:t>
      </w:r>
    </w:p>
    <w:p w14:paraId="425977AA" w14:textId="77777777" w:rsidR="00396BF2" w:rsidRPr="00396BF2" w:rsidRDefault="00396BF2" w:rsidP="00396BF2">
      <w:pPr>
        <w:spacing w:line="360" w:lineRule="auto"/>
        <w:jc w:val="both"/>
        <w:rPr>
          <w:rFonts w:eastAsia="Arial"/>
          <w:bCs/>
          <w:lang w:val="es-ES" w:eastAsia="es-PE"/>
        </w:rPr>
      </w:pPr>
      <w:r w:rsidRPr="00396BF2">
        <w:rPr>
          <w:rFonts w:eastAsia="Arial"/>
          <w:b/>
          <w:bCs/>
          <w:lang w:val="es-ES" w:eastAsia="es-PE"/>
        </w:rPr>
        <w:t>Objetivo:</w:t>
      </w:r>
      <w:r w:rsidRPr="00396BF2">
        <w:rPr>
          <w:rFonts w:eastAsia="Arial"/>
          <w:lang w:val="es-ES" w:eastAsia="es-PE"/>
        </w:rPr>
        <w:t xml:space="preserve"> </w:t>
      </w:r>
      <w:r w:rsidRPr="00396BF2">
        <w:rPr>
          <w:rFonts w:eastAsia="Arial"/>
          <w:bCs/>
          <w:lang w:val="es-ES" w:eastAsia="es-PE"/>
        </w:rPr>
        <w:t>Determinar los factores asociados a la percepción de repercusiones del internado hospitalario peruano durante la COVID-19.</w:t>
      </w:r>
    </w:p>
    <w:p w14:paraId="7D509231" w14:textId="77777777" w:rsidR="00396BF2" w:rsidRPr="00396BF2" w:rsidRDefault="00396BF2" w:rsidP="00396BF2">
      <w:pPr>
        <w:spacing w:line="360" w:lineRule="auto"/>
        <w:jc w:val="both"/>
        <w:rPr>
          <w:rFonts w:eastAsia="Arial"/>
          <w:bCs/>
          <w:lang w:val="es-ES" w:eastAsia="es-PE"/>
        </w:rPr>
      </w:pPr>
      <w:r w:rsidRPr="00396BF2">
        <w:rPr>
          <w:rFonts w:eastAsia="Arial"/>
          <w:b/>
          <w:lang w:val="es-ES" w:eastAsia="es-PE"/>
        </w:rPr>
        <w:lastRenderedPageBreak/>
        <w:t>Métodos:</w:t>
      </w:r>
      <w:r w:rsidRPr="00396BF2">
        <w:rPr>
          <w:rFonts w:eastAsia="Arial"/>
          <w:bCs/>
          <w:lang w:val="es-ES" w:eastAsia="es-PE"/>
        </w:rPr>
        <w:t xml:space="preserve"> Estudio transversal; se obtuvo estadística descriptiva, analítica bivariada y multivariada basado en una encuesta realizada de forma exploratoria, como parte de otra investigación mayor, a la cual se le asoció variables como edad, sexo, tipo de universidad, estrés, ansiedad, depresión y repercusiones del internado. </w:t>
      </w:r>
    </w:p>
    <w:p w14:paraId="17054F0D" w14:textId="77777777" w:rsidR="00396BF2" w:rsidRPr="00396BF2" w:rsidRDefault="00396BF2" w:rsidP="00396BF2">
      <w:pPr>
        <w:spacing w:line="360" w:lineRule="auto"/>
        <w:jc w:val="both"/>
        <w:rPr>
          <w:rFonts w:eastAsia="Arial"/>
          <w:lang w:val="es-ES" w:eastAsia="es-PE"/>
        </w:rPr>
      </w:pPr>
      <w:r w:rsidRPr="00396BF2">
        <w:rPr>
          <w:rFonts w:eastAsia="Arial"/>
          <w:b/>
          <w:bCs/>
          <w:lang w:val="es-ES" w:eastAsia="es-PE"/>
        </w:rPr>
        <w:t>Resultados:</w:t>
      </w:r>
      <w:r w:rsidRPr="00396BF2">
        <w:rPr>
          <w:rFonts w:eastAsia="Arial"/>
          <w:lang w:val="es-ES" w:eastAsia="es-PE"/>
        </w:rPr>
        <w:t xml:space="preserve"> De los 121 encuestados, la mayoría pensó que su familia le hubiese apoyado si se enfermaba de gravedad, que pudo haber infectado a sus familiares o alguna amistad/conocido si acudían al hospital. Muchos estuvieron en desacuerdo con que el hospital o la universidad les darían los implementos de seguridad, por la falta de apoyo de estas entidades. Hubo asociación entre el pensar que se habría contagiado de la COVID-19 si iba al hospital versus el puntaje de ansiedad (p= 0,030), el sexo masculino, según la percepción de que la universidad les daría los materiales para cuidarse (p= 0,029) y el provenir de una universidad privada según el percibir que el hospital no le hubiese apoyado, si se enfermaba de gravedad (p= 0,049). </w:t>
      </w:r>
    </w:p>
    <w:p w14:paraId="41B652E8" w14:textId="77777777" w:rsidR="00396BF2" w:rsidRPr="00396BF2" w:rsidRDefault="00396BF2" w:rsidP="00396BF2">
      <w:pPr>
        <w:spacing w:line="360" w:lineRule="auto"/>
        <w:jc w:val="both"/>
        <w:rPr>
          <w:rFonts w:eastAsia="Arial"/>
          <w:bCs/>
          <w:lang w:val="es-ES" w:eastAsia="es-PE"/>
        </w:rPr>
      </w:pPr>
      <w:r w:rsidRPr="00396BF2">
        <w:rPr>
          <w:rFonts w:eastAsia="Arial"/>
          <w:b/>
          <w:lang w:val="es-ES" w:eastAsia="es-PE"/>
        </w:rPr>
        <w:t>Conclusión:</w:t>
      </w:r>
      <w:r w:rsidRPr="00396BF2">
        <w:rPr>
          <w:rFonts w:eastAsia="Arial"/>
          <w:bCs/>
          <w:lang w:val="es-ES" w:eastAsia="es-PE"/>
        </w:rPr>
        <w:t xml:space="preserve"> Los factores asociados a la percepción de repercusiones del internado son el apoyo familiar, el poder contagiar a sus familiares, falta de materiales dados por las universidades y hospitales, la ansiedad, el sexo masculino y provenir de universidades privadas. </w:t>
      </w:r>
      <w:r w:rsidRPr="00396BF2">
        <w:rPr>
          <w:rFonts w:eastAsia="Calibri"/>
          <w:lang w:val="es-ES" w:eastAsia="es-PE"/>
        </w:rPr>
        <w:t xml:space="preserve"> </w:t>
      </w:r>
    </w:p>
    <w:p w14:paraId="0A975611" w14:textId="77777777" w:rsidR="00396BF2" w:rsidRPr="00396BF2" w:rsidRDefault="00396BF2" w:rsidP="00396BF2">
      <w:pPr>
        <w:spacing w:line="360" w:lineRule="auto"/>
        <w:rPr>
          <w:rFonts w:eastAsia="Arial"/>
          <w:bCs/>
          <w:lang w:val="es-ES" w:eastAsia="es-PE"/>
        </w:rPr>
      </w:pPr>
      <w:r w:rsidRPr="00396BF2">
        <w:rPr>
          <w:rFonts w:eastAsia="Arial"/>
          <w:b/>
          <w:lang w:val="es-ES" w:eastAsia="es-PE"/>
        </w:rPr>
        <w:t>Palabras clave:</w:t>
      </w:r>
      <w:r w:rsidRPr="00396BF2">
        <w:rPr>
          <w:rFonts w:eastAsia="Arial"/>
          <w:bCs/>
          <w:lang w:val="es-ES" w:eastAsia="es-PE"/>
        </w:rPr>
        <w:t xml:space="preserve"> internado; COVID-19; rendimiento académico; Perú.</w:t>
      </w:r>
    </w:p>
    <w:p w14:paraId="6ACD7E19" w14:textId="77777777" w:rsidR="00396BF2" w:rsidRPr="00396BF2" w:rsidRDefault="00396BF2" w:rsidP="00396BF2">
      <w:pPr>
        <w:spacing w:line="360" w:lineRule="auto"/>
        <w:rPr>
          <w:rFonts w:eastAsia="Arial"/>
          <w:bCs/>
          <w:lang w:val="es-ES" w:eastAsia="es-PE"/>
        </w:rPr>
      </w:pPr>
    </w:p>
    <w:p w14:paraId="686B8090" w14:textId="77777777" w:rsidR="00396BF2" w:rsidRPr="00396BF2" w:rsidRDefault="00396BF2" w:rsidP="00396BF2">
      <w:pPr>
        <w:spacing w:line="360" w:lineRule="auto"/>
        <w:rPr>
          <w:rFonts w:eastAsia="Arial"/>
          <w:b/>
          <w:lang w:val="en-US" w:eastAsia="es-PE"/>
        </w:rPr>
      </w:pPr>
      <w:r w:rsidRPr="00396BF2">
        <w:rPr>
          <w:rFonts w:eastAsia="Arial"/>
          <w:b/>
          <w:lang w:val="en-US" w:eastAsia="es-PE"/>
        </w:rPr>
        <w:t>ABSTRACT</w:t>
      </w:r>
    </w:p>
    <w:p w14:paraId="7F2FFB56" w14:textId="77777777" w:rsidR="00396BF2" w:rsidRPr="00396BF2" w:rsidRDefault="00396BF2" w:rsidP="00396BF2">
      <w:pPr>
        <w:spacing w:line="360" w:lineRule="auto"/>
        <w:jc w:val="both"/>
        <w:rPr>
          <w:rFonts w:eastAsia="Calibri"/>
          <w:lang w:val="en-US" w:eastAsia="es-PE"/>
        </w:rPr>
      </w:pPr>
      <w:r w:rsidRPr="00396BF2">
        <w:rPr>
          <w:rFonts w:eastAsia="Calibri"/>
          <w:b/>
          <w:lang w:val="en-US" w:eastAsia="es-PE"/>
        </w:rPr>
        <w:t>Introduction:</w:t>
      </w:r>
      <w:r w:rsidRPr="00396BF2">
        <w:rPr>
          <w:rFonts w:eastAsia="Calibri"/>
          <w:lang w:val="en-US" w:eastAsia="es-PE"/>
        </w:rPr>
        <w:t xml:space="preserve"> The pandemic affected the internship of health sciences students when they attended the hospital.</w:t>
      </w:r>
    </w:p>
    <w:p w14:paraId="6ECA0913" w14:textId="77777777" w:rsidR="00396BF2" w:rsidRPr="00396BF2" w:rsidRDefault="00396BF2" w:rsidP="00396BF2">
      <w:pPr>
        <w:spacing w:line="360" w:lineRule="auto"/>
        <w:jc w:val="both"/>
        <w:rPr>
          <w:rFonts w:eastAsia="Calibri"/>
          <w:lang w:val="en-US" w:eastAsia="es-PE"/>
        </w:rPr>
      </w:pPr>
      <w:r w:rsidRPr="00396BF2">
        <w:rPr>
          <w:rFonts w:eastAsia="Calibri"/>
          <w:b/>
          <w:lang w:val="en-US" w:eastAsia="es-PE"/>
        </w:rPr>
        <w:t>Objective:</w:t>
      </w:r>
      <w:r w:rsidRPr="00396BF2">
        <w:rPr>
          <w:rFonts w:eastAsia="Calibri"/>
          <w:lang w:val="en-US" w:eastAsia="es-PE"/>
        </w:rPr>
        <w:t xml:space="preserve"> To determine the factors associated with the perceived impact of the Peruvian hospital internship during COVID-19.</w:t>
      </w:r>
    </w:p>
    <w:p w14:paraId="57CB2166" w14:textId="77777777" w:rsidR="00396BF2" w:rsidRPr="00396BF2" w:rsidRDefault="00396BF2" w:rsidP="00396BF2">
      <w:pPr>
        <w:spacing w:line="360" w:lineRule="auto"/>
        <w:jc w:val="both"/>
        <w:rPr>
          <w:rFonts w:eastAsia="Calibri"/>
          <w:lang w:val="en-US" w:eastAsia="es-PE"/>
        </w:rPr>
      </w:pPr>
      <w:r w:rsidRPr="00396BF2">
        <w:rPr>
          <w:rFonts w:eastAsia="Calibri"/>
          <w:b/>
          <w:lang w:val="en-US" w:eastAsia="es-PE"/>
        </w:rPr>
        <w:t>Methods:</w:t>
      </w:r>
      <w:r w:rsidRPr="00396BF2">
        <w:rPr>
          <w:rFonts w:eastAsia="Calibri"/>
          <w:lang w:val="en-US" w:eastAsia="es-PE"/>
        </w:rPr>
        <w:t xml:space="preserve"> Cross-sectional; descriptive, bivariate analytical and multivariate statistics were obtained based on an exploratory survey conducted as part of a larger investigation, to which variables such as age, sex, type of university, stress, anxiety, depression, and repercussions of the internship were associated. </w:t>
      </w:r>
    </w:p>
    <w:p w14:paraId="26CD3DDE" w14:textId="77777777" w:rsidR="00396BF2" w:rsidRPr="00396BF2" w:rsidRDefault="00396BF2" w:rsidP="00396BF2">
      <w:pPr>
        <w:spacing w:line="360" w:lineRule="auto"/>
        <w:jc w:val="both"/>
        <w:rPr>
          <w:rFonts w:eastAsia="Calibri"/>
          <w:lang w:val="en-US" w:eastAsia="es-PE"/>
        </w:rPr>
      </w:pPr>
      <w:r w:rsidRPr="00396BF2">
        <w:rPr>
          <w:rFonts w:eastAsia="Calibri"/>
          <w:b/>
          <w:lang w:val="en-US" w:eastAsia="es-PE"/>
        </w:rPr>
        <w:t>Results:</w:t>
      </w:r>
      <w:r w:rsidRPr="00396BF2">
        <w:rPr>
          <w:rFonts w:eastAsia="Calibri"/>
          <w:lang w:val="en-US" w:eastAsia="es-PE"/>
        </w:rPr>
        <w:t xml:space="preserve"> Of 121 respondents, most of them thought that family would have supported if they have gotten a severe disease. Also, they thought that they could have infected their families or friends/acquaintances </w:t>
      </w:r>
      <w:r w:rsidRPr="00396BF2">
        <w:rPr>
          <w:rFonts w:eastAsia="Calibri"/>
          <w:lang w:val="en-US" w:eastAsia="es-PE"/>
        </w:rPr>
        <w:lastRenderedPageBreak/>
        <w:t xml:space="preserve">if they have gone to the hospital. Many of them disagreed on the statement about the hospital or university providing them safety implements. There was an association between thinking that they could have gotten COVID-19 if they have gone to the hospital versus anxiety score (p= 0,030), being a male according to the perception that the university provided materials to take care of themselves (p= 0,029), and having studied in a private university according to perceiving that the hospital would not have supported them if they have gotten seriously ill (p= 0,049). </w:t>
      </w:r>
    </w:p>
    <w:p w14:paraId="2ACB3222" w14:textId="77777777" w:rsidR="00396BF2" w:rsidRPr="00396BF2" w:rsidRDefault="00396BF2" w:rsidP="00396BF2">
      <w:pPr>
        <w:spacing w:line="360" w:lineRule="auto"/>
        <w:jc w:val="both"/>
        <w:rPr>
          <w:rFonts w:eastAsia="Arial"/>
          <w:b/>
          <w:lang w:val="en-US" w:eastAsia="es-PE"/>
        </w:rPr>
      </w:pPr>
      <w:r w:rsidRPr="00396BF2">
        <w:rPr>
          <w:rFonts w:eastAsia="Calibri"/>
          <w:b/>
          <w:lang w:val="en-US" w:eastAsia="es-PE"/>
        </w:rPr>
        <w:t>Conclusion:</w:t>
      </w:r>
      <w:r w:rsidRPr="00396BF2">
        <w:rPr>
          <w:rFonts w:eastAsia="Calibri"/>
          <w:lang w:val="en-US" w:eastAsia="es-PE"/>
        </w:rPr>
        <w:t xml:space="preserve"> The factors associated with the perception of repercussions of the boarding school are family support, being able to infect their acquaintances, lack of materials provided by universities and hospitals, anxiety, being male, and coming from private universities.</w:t>
      </w:r>
      <w:r w:rsidRPr="00396BF2">
        <w:rPr>
          <w:rFonts w:eastAsia="Arial"/>
          <w:b/>
          <w:lang w:val="en-US" w:eastAsia="es-PE"/>
        </w:rPr>
        <w:t xml:space="preserve"> </w:t>
      </w:r>
    </w:p>
    <w:p w14:paraId="504F1CF0" w14:textId="77777777" w:rsidR="00396BF2" w:rsidRPr="00396BF2" w:rsidRDefault="00396BF2" w:rsidP="00396BF2">
      <w:pPr>
        <w:spacing w:line="360" w:lineRule="auto"/>
        <w:jc w:val="both"/>
        <w:rPr>
          <w:rFonts w:eastAsia="Arial"/>
          <w:bCs/>
          <w:lang w:val="en-US" w:eastAsia="es-PE"/>
        </w:rPr>
      </w:pPr>
      <w:r w:rsidRPr="00396BF2">
        <w:rPr>
          <w:rFonts w:eastAsia="Arial"/>
          <w:b/>
          <w:lang w:val="en-US" w:eastAsia="es-PE"/>
        </w:rPr>
        <w:t xml:space="preserve">Key words: </w:t>
      </w:r>
      <w:r w:rsidRPr="00396BF2">
        <w:rPr>
          <w:rFonts w:eastAsia="Arial"/>
          <w:bCs/>
          <w:lang w:val="en-US" w:eastAsia="es-PE"/>
        </w:rPr>
        <w:t>internship; COVID-19; academic performance; Peru.</w:t>
      </w:r>
    </w:p>
    <w:p w14:paraId="0616142F" w14:textId="77777777" w:rsidR="00396BF2" w:rsidRPr="00396BF2" w:rsidRDefault="00396BF2" w:rsidP="00396BF2">
      <w:pPr>
        <w:spacing w:line="360" w:lineRule="auto"/>
        <w:jc w:val="both"/>
        <w:rPr>
          <w:rFonts w:eastAsia="Arial"/>
          <w:bCs/>
          <w:lang w:val="en-US" w:eastAsia="es-PE"/>
        </w:rPr>
      </w:pPr>
    </w:p>
    <w:p w14:paraId="1810FF42" w14:textId="77777777" w:rsidR="00396BF2" w:rsidRPr="00396BF2" w:rsidRDefault="00396BF2" w:rsidP="00396BF2">
      <w:pPr>
        <w:spacing w:line="360" w:lineRule="auto"/>
        <w:jc w:val="both"/>
        <w:rPr>
          <w:rFonts w:eastAsia="Arial"/>
          <w:bCs/>
          <w:lang w:val="en-US" w:eastAsia="es-PE"/>
        </w:rPr>
      </w:pPr>
    </w:p>
    <w:p w14:paraId="5F1D3295" w14:textId="77777777" w:rsidR="00396BF2" w:rsidRPr="00396BF2" w:rsidRDefault="00396BF2" w:rsidP="00396BF2">
      <w:pPr>
        <w:spacing w:line="360" w:lineRule="auto"/>
        <w:jc w:val="both"/>
        <w:rPr>
          <w:rFonts w:eastAsia="Arial"/>
          <w:bCs/>
          <w:lang w:val="es-PE" w:eastAsia="es-PE"/>
        </w:rPr>
      </w:pPr>
      <w:r w:rsidRPr="00396BF2">
        <w:rPr>
          <w:rFonts w:eastAsia="Arial"/>
          <w:bCs/>
          <w:lang w:val="es-PE" w:eastAsia="es-PE"/>
        </w:rPr>
        <w:t>Recibido: 05/09/2022</w:t>
      </w:r>
    </w:p>
    <w:p w14:paraId="7E2A7363" w14:textId="77777777" w:rsidR="00396BF2" w:rsidRPr="00396BF2" w:rsidRDefault="00396BF2" w:rsidP="00396BF2">
      <w:pPr>
        <w:spacing w:line="360" w:lineRule="auto"/>
        <w:jc w:val="both"/>
        <w:rPr>
          <w:rFonts w:eastAsia="Arial"/>
          <w:b/>
          <w:lang w:val="es-PE" w:eastAsia="es-PE"/>
        </w:rPr>
      </w:pPr>
      <w:r w:rsidRPr="00396BF2">
        <w:rPr>
          <w:rFonts w:eastAsia="Arial"/>
          <w:bCs/>
          <w:lang w:val="es-PE" w:eastAsia="es-PE"/>
        </w:rPr>
        <w:t>Aprobado: 26/12/2022</w:t>
      </w:r>
    </w:p>
    <w:p w14:paraId="3D99A76F" w14:textId="77777777" w:rsidR="00396BF2" w:rsidRPr="00396BF2" w:rsidRDefault="00396BF2" w:rsidP="00396BF2">
      <w:pPr>
        <w:spacing w:line="360" w:lineRule="auto"/>
        <w:jc w:val="both"/>
        <w:rPr>
          <w:rFonts w:eastAsia="Calibri"/>
          <w:b/>
          <w:lang w:val="es-PE" w:eastAsia="es-PE"/>
        </w:rPr>
      </w:pPr>
    </w:p>
    <w:p w14:paraId="4AB91A93" w14:textId="77777777" w:rsidR="00396BF2" w:rsidRPr="00396BF2" w:rsidRDefault="00396BF2" w:rsidP="00396BF2">
      <w:pPr>
        <w:spacing w:line="360" w:lineRule="auto"/>
        <w:jc w:val="both"/>
        <w:rPr>
          <w:rFonts w:eastAsia="Calibri"/>
          <w:b/>
          <w:lang w:val="es-ES" w:eastAsia="es-PE"/>
        </w:rPr>
      </w:pPr>
    </w:p>
    <w:p w14:paraId="3A3D5DA8" w14:textId="77777777" w:rsidR="00396BF2" w:rsidRPr="00396BF2" w:rsidRDefault="00396BF2" w:rsidP="00396BF2">
      <w:pPr>
        <w:spacing w:line="360" w:lineRule="auto"/>
        <w:jc w:val="center"/>
        <w:rPr>
          <w:rFonts w:eastAsia="Calibri"/>
          <w:b/>
          <w:sz w:val="32"/>
          <w:szCs w:val="32"/>
          <w:lang w:val="es-ES" w:eastAsia="es-PE"/>
        </w:rPr>
      </w:pPr>
      <w:r w:rsidRPr="00396BF2">
        <w:rPr>
          <w:rFonts w:eastAsia="Calibri"/>
          <w:b/>
          <w:sz w:val="32"/>
          <w:szCs w:val="32"/>
          <w:lang w:val="es-ES" w:eastAsia="es-PE"/>
        </w:rPr>
        <w:t>INTRODUCCIÓN</w:t>
      </w:r>
    </w:p>
    <w:p w14:paraId="5F3ED138" w14:textId="77777777" w:rsidR="00396BF2" w:rsidRPr="00396BF2" w:rsidRDefault="00396BF2" w:rsidP="00396BF2">
      <w:pPr>
        <w:spacing w:line="360" w:lineRule="auto"/>
        <w:jc w:val="both"/>
        <w:rPr>
          <w:rFonts w:eastAsia="Calibri"/>
          <w:b/>
          <w:bCs/>
          <w:lang w:val="es-ES" w:eastAsia="es-PE"/>
        </w:rPr>
      </w:pPr>
      <w:r w:rsidRPr="00396BF2">
        <w:rPr>
          <w:rFonts w:eastAsia="Calibri"/>
          <w:lang w:val="es-ES" w:eastAsia="es-PE"/>
        </w:rPr>
        <w:t>La pandemia que generó la COVID-19 trajo cambios en la educación superior,</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{"citationItems":[{"id":"ITEM-1","itemData":{"abstract":"Introducción: la pandemia por COVID-19 tuvo como consecuencia el impulso de clases virtuales a nivel mundial, siendo uno de los grupos más afectados los internos de medicina, pudiendo provocar en ellos niveles elevados de ansiedad. Objetivo: determinar la asociación entre el no inicio de clases virtuales y ansiedad en internos de medicina de Perú durante el 2020. Métodos: estudio observacional, prospectivo, analítico y transversal. Se realizó un muestreo probabilístico en internos de medicina durante el periodo de aislamiento en Perú mientras permanecían aislados de su labor asistencial. Se utilizó el cuestionario “Generalized Anxiety Disorder-7” (GAD-7, siglas en inglés) para la medición de ansiedad y una ficha de recolección de datos. Los datos fueron ingresados a través REDCap® y luego importados a Stata v15.1 para su análisis estadístico. Resultados: se enrolaron a 596 internos de medicina a nivel nacional, el 54,87% era de sexo femenino, el 67,62% pertenecía a universidades privadas, el 42,95% pertenecía a Lima, el 54,53% no había iniciado clases virtuales y la prevalencia de ansiedad encontrada fue de 42%. Se encontró relación entre no iniciar clases virtuales y ansiedad severa [RPc=2,50; IC95%(1,08-5,81); p=0,032] en el modelo crudo, cuya asociación se mantuvo en el análisis multivariado [RPa=4,13; IC95%(1,48-11,51); p=0,007]. Conclusiones: el nivel de ansiedad en internos de medicina durante el periodo de aislamiento por COVID-19 es elevado y más de la mitad de internos no habían recibido clases virtuales por parte de su universidad. Además se encontró asociación entre el no inicio de clases virtuales y la presencia de ansiedad severa.","author":[{"dropping-particle":"","family":"Zeta","given":"Ludwing Alexander","non-dropping-particle":"","parse-names":false,"suffix":""}],"id":"ITEM-1","issued":{"date-parts":[["2021"]]},"title":"Facultad de Ciencias de la Salud Escuela Profesional de Medicina Humana UNIVERSIDAD NACIONAL DE PIURA Facultad de Ciencias de la Salud Escuela Profesional de Medicina Humana","type":"article-journal"},"uris":["http://www.mendeley.com/documents/?uuid=3479a4a7-51b2-4c21-85a0-1f5fae3597e8"]},{"id":"ITEM-2","itemData":{"DOI":"10.35663/AMP.2020.372.999","ISSN":"1728-5917","abstract":"La pandemia de enfermedad por coronavirus de 2019 (COVID-19) ha planteado diversos retos a los estamentos de la sociedad y la educación médica no ha sido la excepción. A nivel mundial, las universidades han planteado diversas iniciativas en el pregrado y el internado medico como la virtualización parcial de su contenido curricular, la modificación de su currículo y las actividades educativas y la incorporación de estudiantes de los últimos años a las actividades asistenciales. En el residentado médico, las especialidades quirúrgicas y las que basan su aprendizaje en procedimientos son las más afectadas. Se ha incorporado residentes de distintas especialidades a labores asistenciales diferentes a su especialidad y se ha virtualizado algunas de sus actividades de aprendizaje. El Perú debe hacer una evaluación de estas estrategias y la posible adaptación a nuestra realidad.","author":[{"dropping-particle":"","family":"Herrera-Añazco","given":"Percy","non-dropping-particle":"","parse-names":false,"suffix":""},{"dropping-particle":"","family":"J.Toro-Huamanchumo","given":"Carlos","non-dropping-particle":"","parse-names":false,"suffix":""},{"dropping-particle":"","family":"Herrera-Añazco","given":"Percy","non-dropping-particle":"","parse-names":false,"suffix":""},{"dropping-particle":"","family":"J.Toro-Huamanchumo","given":"Carlos","non-dropping-particle":"","parse-names":false,"suffix":""}],"container-title":"Acta Médica Peruana","id":"ITEM-2","issue":"2","issued":{"date-parts":[["2020","7","1"]]},"page":"169-175","publisher":"Colegio Médico del Perú","title":"Educación médica durante la pandemia del COVID -19: iniciativas mundiales para el pregrado, internado y el residentado médico","type":"article-journal","volume":"37"},"uris":["http://www.mendeley.com/documents/?uuid=d9decdf7-6932-327b-a0d8-f9d9d079f76e"]}],"mendeley":{"formattedCitation":"(1,2)","plainTextFormattedCitation":"(1,2)","previouslyFormattedCitation":"(1,2)"},"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(1,2)</w:t>
      </w:r>
      <w:r w:rsidRPr="00396BF2">
        <w:rPr>
          <w:rFonts w:eastAsia="Calibri"/>
          <w:vertAlign w:val="superscript"/>
          <w:lang w:val="es-ES" w:eastAsia="es-PE"/>
        </w:rPr>
        <w:fldChar w:fldCharType="end"/>
      </w:r>
      <w:r w:rsidRPr="00396BF2">
        <w:rPr>
          <w:rFonts w:eastAsia="Calibri"/>
          <w:lang w:val="es-ES" w:eastAsia="es-PE"/>
        </w:rPr>
        <w:t xml:space="preserve"> debido a que cortó la presencialidad abruptamente y obligó a las universidades a dar un giro radical hacia la educación virtual.</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10.1001/JAMA.2020.5227","ISSN":"0098-7484","author":[{"dropping-particle":"","family":"Rose","given":"Suzanne","non-dropping-particle":"","parse-names":false,"suffix":""}],"container-title":"JAMA","id":"ITEM-1","issue":"21","issued":{"date-parts":[["2020","6","2"]]},"page":"2131-2132","publisher":"American Medical Association","title":"Medical Student Education in the Time of COVID-19","type":"article-journal","volume":"323"},"uris":["http://www.mendeley.com/documents/?uuid=679599aa-4d2c-392e-947d-2c028eaa56d7"]},{"id":"ITEM-2","itemData":{"abstract":"•El proceso de reforma del sistema de salud\niniciado en el 2009 se caracterizó por una\ncarencia de compromiso político durante\nsu implementación. Además, temas como\nfinanciamiento, viabilidad del proyecto con\nrespecto a escasez de recursos humanos,\ninfraestructura y sostenibilidad fueron\nexcluidos del debate en torno a la reforma.\n•Las medidas implementadas en los últimos\naños no lograron mejorar la capacidad ni\nla calidad del sistema de salud de manera\nsustancial.\n•En ese contexto de precariedad, la pandemia\nprovocada por el COVID-19 ha generado el\ncolapso del sistema de salud público peruano,\ny expuesto la necesidad de una reforma de\nsalud integral.","author":[{"dropping-particle":"","family":"Ponce de Leon","given":"Zoila","non-dropping-particle":"","parse-names":false,"suffix":""}],"container-title":"Pontificia Universidad Católica del Perú","id":"ITEM-2","issued":{"date-parts":[["2021"]]},"page":"8","title":"Sistema de Salud en el Perú y el COVID-19","type":"article-journal","volume":"2"},"uris":["http://www.mendeley.com/documents/?uuid=1685bdeb-c31f-4587-ad26-7775a5031e3c"]}],"mendeley":{"formattedCitation":"(3,4)","plainTextFormattedCitation":"(3,4)","previouslyFormattedCitation":"(3,4)"},"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(3,4)</w:t>
      </w:r>
      <w:r w:rsidRPr="00396BF2">
        <w:rPr>
          <w:rFonts w:eastAsia="Calibri"/>
          <w:vertAlign w:val="superscript"/>
          <w:lang w:val="es-ES" w:eastAsia="es-PE"/>
        </w:rPr>
        <w:fldChar w:fldCharType="end"/>
      </w:r>
      <w:r w:rsidRPr="00396BF2">
        <w:rPr>
          <w:rFonts w:eastAsia="Calibri"/>
          <w:lang w:val="es-ES" w:eastAsia="es-PE"/>
        </w:rPr>
        <w:t xml:space="preserve"> Muchas universidades se adaptaron paulatinamente a esta virtualidad y tuvieron que implementar medidas para que los alumnos recibieran sus clases de forma remota.</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{"citationItems":[{"id":"ITEM-1","itemData":{"DOI":"10.1136/BMJOPEN-2020-042378","ISSN":"2044-6055","PMID":"33154063","abstract":"Objectives To investigate perceptions of medical students on the role of online teaching in facilitating medical education during the COVID-19 pandemic. Design Cross-sectional, online national survey. Setting Responses collected online from 4 th May 2020 to 11 th May 2020 across 40 UK medical schools. Participants Medical students across all years from UK-registered medical schools. Main outcome measures The uses, experiences, perceived benefits and barriers of online teaching during the COVID-19 pandemic. Results 2721 medical students across 39 medical schools responded. Medical schools adapted to the pandemic in different ways. The changes included the development of new distance-learning platforms on which content was released, remote delivery of lectures using platforms and the use of question banks and other online active recall resources. A significant difference was found between time spent on online platforms before and during COVID-19, with 7.35% students before versus 23.56% students during the pandemic spending &gt;15 hours per week (p&lt;0.05). The greatest perceived benefits of online teaching platforms included their flexibility. Whereas the commonly perceived barriers to using online teaching platforms included family distraction (26.76%) and poor internet connection (21.53%). Conclusions Online teaching has enabled the continuation of medical education during these unprecedented times. Moving forward from this pandemic, in order to maximise the benefits of both face-to-face and online teaching and to improve the efficacy of medical education in the future, we suggest medical schools resort to teaching formats such as team-based/problem-based learning. This uses online teaching platforms allowing students to digest information in their own time but also allows students to then constructively discuss this material with peers. It has also been shown to be effective in terms of achieving learning outcomes. Beyond COVID-19, we anticipate further incorporation of online teaching methods within traditional medical education. This may accompany the observed shift in medical practice towards virtual consultations.","author":[{"dropping-particle":"","family":"S","given":"Dost","non-dropping-particle":"","parse-names":false,"suffix":""},{"dropping-particle":"","family":"A","given":"Hossain","non-dropping-particle":"","parse-names":false,"suffix":""},{"dropping-particle":"","family":"M","given":"Shehab","non-dropping-particle":"","parse-names":false,"suffix":""},{"dropping-particle":"","family":"A","given":"Abdelwahed","non-dropping-particle":"","parse-names":false,"suffix":""},{"dropping-particle":"","family":"L","given":"Al-Nusair","non-dropping-particle":"","parse-names":false,"suffix":""}],"container-title":"BMJ open","id":"ITEM-1","issue":"11","issued":{"date-parts":[["2020","11","5"]]},"publisher":"BMJ Open","title":"Perceptions of medical students towards online teaching during the COVID-19 pandemic: a national cross-sectional survey of 2721 UK medical students","type":"article-journal","volume":"10"},"uris":["http://www.mendeley.com/documents/?uuid=cbf04154-d6d5-3c3b-81fd-f15984e68f53"]},{"id":"ITEM-2","itemData":{"DOI":"10.5944/ried.24.1.28080","ISSN":"1390-3306","author":[{"dropping-particle":"","family":"García Aretio","given":"Lorenzo","non-dropping-particle":"","parse-names":false,"suffix":""}],"id":"ITEM-2","issued":{"date-parts":[["2021"]]},"title":"COVID-19 y educación a distancia digital: preconfinamiento, confinamiento y posconfinamiento","type":"article-journal"},"uris":["http://www.mendeley.com/documents/?uuid=7fd28ad1-5798-3add-b66f-e24578162946"]}],"mendeley":{"formattedCitation":"(5,6)","plainTextFormattedCitation":"(5,6)","previouslyFormattedCitation":"(5,6)"},"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(5,6)</w:t>
      </w:r>
      <w:r w:rsidRPr="00396BF2">
        <w:rPr>
          <w:rFonts w:eastAsia="Calibri"/>
          <w:vertAlign w:val="superscript"/>
          <w:lang w:val="es-ES" w:eastAsia="es-PE"/>
        </w:rPr>
        <w:fldChar w:fldCharType="end"/>
      </w:r>
      <w:r w:rsidRPr="00396BF2">
        <w:rPr>
          <w:rFonts w:eastAsia="Calibri"/>
          <w:lang w:val="es-ES" w:eastAsia="es-PE"/>
        </w:rPr>
        <w:t xml:space="preserve"> Sin embargo, no todas las carreras o cursos pudieron adaptarse, por ser de carácter netamente práctico; como son las carreras de ingeniería, arquitectura y las de ciencias de la salud, en las que requerían trabajo de campo.</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{"citationItems":[{"id":"ITEM-1","itemData":{"DOI":"10.4236/JSEA.2021.148022","abstract":"Covid-19 has significantly changed the lives of millions of people worldwide, especially university students. The pandemic has a strong influence on university students, all of whom are concerned about their future. This paper addresses the issue of the impact of the pandemic on final-year internship students. The work’s goal is to illustrate how Covid-19 outbreaks in the last year have influenced final-year internship university students and their internships, internship opportunities, career prospects, psychological well-being, and motivation. The Covid-19 impact is so huge on education. The purpose of this study is to show how it hampers a specific sector, like university final year internship students. In the future, if anybody wants to know the situation of intern students at universities, they will get to know it. The work aims to examine and classify the fundamental problems that final year students have faced in finding an internship during the Covid-19 pandemic period, the obstacles they face in finding an internship, how universities help their students, how students get internships, why internship opportunities are getting limited, and how students overcome obstacles in finding an internship. To complete this research, first, we chose around 25 questions and worked on them to survey different university students in Bangladesh. The research was performed using reviews of different research papers and a survey approach. The survey has been developed using the Google Forms platform. Three hundred students who are currently studying at public and private universities in Bangladesh participated in the study. Students have been asked to answer 25 questions online. The data was evaluated concretely. Most of those students were from the last semester or last year of their university life. And in the end, we finally came to a conclusion about how the research worked. It creates a scenario where over 300 students have shared their thoughts on each aspect of the research questions. Whether they suffer or not, most of them find it pretty difficult to complete their internship because most of the participants were university final year students, and after completing all the research, the results can be written as if there was no situation like this, it would be much easier and more convenient for all the final year university interns.","author":[{"dropping-particle":"","family":"Zaman","given":"Asif","non-dropping-particle":"","parse-names":false,"suffix":""},{"dropping-particle":"","family":"Banna","given":"Hasanul","non-dropping-particle":"","parse-names":false,"suffix":""},{"dropping-particle":"","family":"Rakib","given":"Mohammad Arshadul Alam","non-dropping-particle":"","parse-names":false,"suffix":""},{"dropping-particle":"","family":"Ahmed","given":"Shakil","non-dropping-particle":"","parse-names":false,"suffix":""},{"dropping-particle":"","family":"Khan","given":"Mohammad Monirujjaman","non-dropping-particle":"","parse-names":false,"suffix":""},{"dropping-particle":"","family":"Zaman","given":"Asif","non-dropping-particle":"","parse-names":false,"suffix":""},{"dropping-particle":"","family":"Banna","given":"Hasanul","non-dropping-particle":"","parse-names":false,"suffix":""},{"dropping-particle":"","family":"Rakib","given":"Mohammad Arshadul Alam","non-dropping-particle":"","parse-names":false,"suffix":""},{"dropping-particle":"","family":"Ahmed","given":"Shakil","non-dropping-particle":"","parse-names":false,"suffix":""},{"dropping-particle":"","family":"Khan","given":"Mohammad Monirujjaman","non-dropping-particle":"","parse-names":false,"suffix":""}],"container-title":"Journal of Software Engineering and Applications","id":"ITEM-1","issue":"8","issued":{"date-parts":[["2021","8","3"]]},"page":"363-388","publisher":"Scientific Research Publishing","title":"Impact of Covid-19 on University Final Year Internship Students","type":"article-journal","volume":"14"},"uris":["http://www.mendeley.com/documents/?uuid=32c9d734-3f07-31d4-831c-2559c2cffb39"]},{"id":"ITEM-2","itemData":{"URL":"http://scielo.sld.cu/scielo.php?script=sci_arttext&amp;pid=S0864-21412021000100023","accessed":{"date-parts":[["2021","10","4"]]},"id":"ITEM-2","issued":{"date-parts":[["0"]]},"title":"Impacto de la COVID-19 en la Educación Superior","type":"webpage"},"uris":["http://www.mendeley.com/documents/?uuid=ad7efdd2-34cd-33dc-93cd-9fc0c4e5f515"]}],"mendeley":{"formattedCitation":"(7,8)","plainTextFormattedCitation":"(7,8)","previouslyFormattedCitation":"(7,8)"},"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(7,8)</w:t>
      </w:r>
      <w:r w:rsidRPr="00396BF2">
        <w:rPr>
          <w:rFonts w:eastAsia="Calibri"/>
          <w:vertAlign w:val="superscript"/>
          <w:lang w:val="es-ES" w:eastAsia="es-PE"/>
        </w:rPr>
        <w:fldChar w:fldCharType="end"/>
      </w:r>
      <w:r w:rsidRPr="00396BF2">
        <w:rPr>
          <w:rFonts w:eastAsia="Calibri"/>
          <w:lang w:val="es-ES" w:eastAsia="es-PE"/>
        </w:rPr>
        <w:t xml:space="preserve"> Los estudiantes que cursaban asignaturas con requerimientos prácticos se vieron perjudicados en todo el mundo.</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10.1001/JAMA.2020.5227","ISSN":"0098-7484","author":[{"dropping-particle":"","family":"Rose","given":"Suzanne","non-dropping-particle":"","parse-names":false,"suffix":""}],"container-title":"JAMA","id":"ITEM-1","issue":"21","issued":{"date-parts":[["2020","6","2"]]},"page":"2131-2132","publisher":"American Medical Association","title":"Medical Student Education in the Time of COVID-19","type":"article-journal","volume":"323"},"uris":["http://www.mendeley.com/documents/?uuid=679599aa-4d2c-392e-947d-2c028eaa56d7"]},{"id":"ITEM-2","itemData":{"DOI":"10.4236/JSEA.2021.148022","abstract":"Covid-19 has significantly changed the lives of millions of people worldwide, especially university students. The pandemic has a strong influence on university students, all of whom are concerned about their future. This paper addresses the issue of the impact of the pandemic on final-year internship students. The work’s goal is to illustrate how Covid-19 outbreaks in the last year have influenced final-year internship university students and their internships, internship opportunities, career prospects, psychological well-being, and motivation. The Covid-19 impact is so huge on education. The purpose of this study is to show how it hampers a specific sector, like university final year internship students. In the future, if anybody wants to know the situation of intern students at universities, they will get to know it. The work aims to examine and classify the fundamental problems that final year students have faced in finding an internship during the Covid-19 pandemic period, the obstacles they face in finding an internship, how universities help their students, how students get internships, why internship opportunities are getting limited, and how students overcome obstacles in finding an internship. To complete this research, first, we chose around 25 questions and worked on them to survey different university students in Bangladesh. The research was performed using reviews of different research papers and a survey approach. The survey has been developed using the Google Forms platform. Three hundred students who are currently studying at public and private universities in Bangladesh participated in the study. Students have been asked to answer 25 questions online. The data was evaluated concretely. Most of those students were from the last semester or last year of their university life. And in the end, we finally came to a conclusion about how the research worked. It creates a scenario where over 300 students have shared their thoughts on each aspect of the research questions. Whether they suffer or not, most of them find it pretty difficult to complete their internship because most of the participants were university final year students, and after completing all the research, the results can be written as if there was no situation like this, it would be much easier and more convenient for all the final year university interns.","author":[{"dropping-particle":"","family":"Zaman","given":"Asif","non-dropping-particle":"","parse-names":false,"suffix":""},{"dropping-particle":"","family":"Banna","given":"Hasanul","non-dropping-particle":"","parse-names":false,"suffix":""},{"dropping-particle":"","family":"Rakib","given":"Mohammad Arshadul Alam","non-dropping-particle":"","parse-names":false,"suffix":""},{"dropping-particle":"","family":"Ahmed","given":"Shakil","non-dropping-particle":"","parse-names":false,"suffix":""},{"dropping-particle":"","family":"Khan","given":"Mohammad Monirujjaman","non-dropping-particle":"","parse-names":false,"suffix":""},{"dropping-particle":"","family":"Zaman","given":"Asif","non-dropping-particle":"","parse-names":false,"suffix":""},{"dropping-particle":"","family":"Banna","given":"Hasanul","non-dropping-particle":"","parse-names":false,"suffix":""},{"dropping-particle":"","family":"Rakib","given":"Mohammad Arshadul Alam","non-dropping-particle":"","parse-names":false,"suffix":""},{"dropping-particle":"","family":"Ahmed","given":"Shakil","non-dropping-particle":"","parse-names":false,"suffix":""},{"dropping-particle":"","family":"Khan","given":"Mohammad Monirujjaman","non-dropping-particle":"","parse-names":false,"suffix":""}],"container-title":"Journal of Software Engineering and Applications","id":"ITEM-2","issue":"8","issued":{"date-parts":[["2021","8","3"]]},"page":"363-388","publisher":"Scientific Research Publishing","title":"Impact of Covid-19 on University Final Year Internship Students","type":"article-journal","volume":"14"},"uris":["http://www.mendeley.com/documents/?uuid=32c9d734-3f07-31d4-831c-2559c2cffb39"]}],"mendeley":{"formattedCitation":"(3,7)","plainTextFormattedCitation":"(3,7)","previouslyFormattedCitation":"(3,7)"},"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(3,7)</w:t>
      </w:r>
      <w:r w:rsidRPr="00396BF2">
        <w:rPr>
          <w:rFonts w:eastAsia="Calibri"/>
          <w:vertAlign w:val="superscript"/>
          <w:lang w:val="es-ES" w:eastAsia="es-PE"/>
        </w:rPr>
        <w:fldChar w:fldCharType="end"/>
      </w:r>
    </w:p>
    <w:p w14:paraId="07ED2D5C"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 xml:space="preserve">Un gran grupo de afectados en este contexto fueron los estudiantes de las ciencias de la salud que cursaban el último año de la carrera, ya que ellos realizan el internado, que es la etapa final en que culminan los estudios. Para esto acuden a sedes hospitalarias, donde obtienen las capacidades clínicas </w:t>
      </w:r>
      <w:r w:rsidRPr="00396BF2">
        <w:rPr>
          <w:rFonts w:eastAsia="Calibri"/>
          <w:lang w:val="es-ES" w:eastAsia="es-PE"/>
        </w:rPr>
        <w:lastRenderedPageBreak/>
        <w:t>necesarias para egresar como profesionales.</w:t>
      </w:r>
      <w:r w:rsidRPr="00396BF2">
        <w:rPr>
          <w:rFonts w:eastAsia="Calibri"/>
          <w:vertAlign w:val="superscript"/>
          <w:lang w:val="es-ES" w:eastAsia="es-PE"/>
        </w:rPr>
        <w:fldChar w:fldCharType="begin" w:fldLock="1"/>
      </w:r>
      <w:r w:rsidRPr="00396BF2">
        <w:rPr>
          <w:rFonts w:eastAsia="Calibri"/>
          <w:b/>
          <w:vertAlign w:val="superscript"/>
          <w:lang w:val="es-ES" w:eastAsia="es-PE"/>
        </w:rPr>
        <w:instrText>ADDIN CSL_CITATION {"citationItems":[{"id":"ITEM-1","itemData":{"DOI":"10.17843/RPMESP.2020.373.5729","ISSN":"1726-4634","abstract":"The objective of the study was to describe the medical interns’ (MI) perceptions about the internship suspension during the COVID-19 quarantine in Peru. A cross-sectional descriptive study was conducted by means of a virtual survey regarding the perception of the internship suspension, return conditions and academic activities during quarantine. A total of 353 MIs participated in the study; 54.9% agreed or totally agreed with returning to their hospital sites if biosecurity measures were guaranteed, more than 90% felt uncertain about the restart and end dates, and 85.6% participated in academic virtual classes. It is concluded that the intention to return to the hospital increases when biosecurity measures are guaran-teed. Hospitals should guarantee these measures and ensure health coverage for the MIs, if their return to hospitals is intended.","author":[{"dropping-particle":"","family":"Albitres-Flores","given":"Leonardo","non-dropping-particle":"","parse-names":false,"suffix":""},{"dropping-particle":"","family":"Pisfil-Farroñay","given":"Yhojar A.","non-dropping-particle":"","parse-names":false,"suffix":""},{"dropping-particle":"","family":"Guillen-Macedo","given":"Karla","non-dropping-particle":"","parse-names":false,"suffix":""},{"dropping-particle":"","family":"Niño-Garcia","given":"Roberto","non-dropping-particle":"","parse-names":false,"suffix":""},{"dropping-particle":"","family":"Alarcon-Ruiz","given":"Christoper A.","non-dropping-particle":"","parse-names":false,"suffix":""},{"dropping-particle":"","family":"Albitres-Flores","given":"Leonardo","non-dropping-particle":"","parse-names":false,"suffix":""},{"dropping-particle":"","family":"Pisfil-Farroñay","given":"Yhojar A.","non-dropping-particle":"","parse-names":false,"suffix":""},{"dropping-particle":"","family":"Guillen-Macedo","given":"Karla","non-dropping-particle":"","parse-names":false,"suffix":""},{"dropping-particle":"","family":"Niño-Garcia","given":"Roberto","non-dropping-particle":"","parse-names":false,"suffix":""},{"dropping-particle":"","family":"Alarcon-Ruiz","given":"Christoper A.","non-dropping-particle":"","parse-names":false,"suffix":""}],"container-title":"Revista Peruana de Medicina Experimental y Salud Publica","id":"ITEM-1","issue":"3","issued":{"date-parts":[["2020","7","1"]]},"page":"504-509","publisher":"Instituto Nacional de Salud","title":"Percepción de los internos sobre la suspensión del internado médico durante la cuarentena por la COVID-19","type":"article-journal","volume":"37"},"uris":["http://www.mendeley.com/documents/?uuid=cb5880ad-4ca2-3cdf-bb8f-b3f6f0e93891"]}],"mendeley":{"formattedCitation":"(9)","plainTextFormattedCitation":"(9)","previouslyFormattedCitation":"(9)"},"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(9)</w:t>
      </w:r>
      <w:r w:rsidRPr="00396BF2">
        <w:rPr>
          <w:rFonts w:eastAsia="Calibri"/>
          <w:vertAlign w:val="superscript"/>
          <w:lang w:val="es-ES" w:eastAsia="es-PE"/>
        </w:rPr>
        <w:fldChar w:fldCharType="end"/>
      </w:r>
      <w:r w:rsidRPr="00396BF2">
        <w:rPr>
          <w:rFonts w:eastAsia="Calibri"/>
          <w:lang w:val="es-ES" w:eastAsia="es-PE"/>
        </w:rPr>
        <w:t xml:space="preserve"> Los internos de la salud tuvieron un corte repentino, pues si acudían a los hospitales en ese momento iban a encontrar un sistema sanitario colapsado, con escasez de materiales de protección, con la gran mortalidad debido a la COVID-19 y con las universidades/ hospitales que no podían brindarles la posibilidad de hacer una práctica clínica segura.</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10.1001/JAMA.2020.5227","ISSN":"0098-7484","author":[{"dropping-particle":"","family":"Rose","given":"Suzanne","non-dropping-particle":"","parse-names":false,"suffix":""}],"container-title":"JAMA","id":"ITEM-1","issue":"21","issued":{"date-parts":[["2020","6","2"]]},"page":"2131-2132","publisher":"American Medical Association","title":"Medical Student Education in the Time of COVID-19","type":"article-journal","volume":"323"},"uris":["http://www.mendeley.com/documents/?uuid=679599aa-4d2c-392e-947d-2c028eaa56d7"]}],"mendeley":{"formattedCitation":"(3)","plainTextFormattedCitation":"(3)","previouslyFormattedCitation":"(3)"},"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(3)</w:t>
      </w:r>
      <w:r w:rsidRPr="00396BF2">
        <w:rPr>
          <w:rFonts w:eastAsia="Calibri"/>
          <w:vertAlign w:val="superscript"/>
          <w:lang w:val="es-ES" w:eastAsia="es-PE"/>
        </w:rPr>
        <w:fldChar w:fldCharType="end"/>
      </w:r>
      <w:r w:rsidRPr="00396BF2">
        <w:rPr>
          <w:rFonts w:eastAsia="Calibri"/>
          <w:vertAlign w:val="superscript"/>
          <w:lang w:val="es-ES" w:eastAsia="es-PE"/>
        </w:rPr>
        <w:t xml:space="preserve"> </w:t>
      </w:r>
    </w:p>
    <w:p w14:paraId="30F1D7FF"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Se evidenció el incremento de problemas de salud mental y otras repercusiones entre los estudiantes,</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{"citationItems":[{"id":"ITEM-1","itemData":{"author":[{"dropping-particle":"","family":"Porras Núñez","given":"Estrella Christabel","non-dropping-particle":"","parse-names":false,"suffix":""}],"container-title":"Universidad Nacional de Piura","id":"ITEM-1","issued":{"date-parts":[["2021"]]},"publisher":"Universidad Nacional de Piura","title":"Factores asociados al no retorno al internado médico peruano durante la pandemia por Sars-cov2 en el año 2020: un estudio exploratorio","type":"article-journal"},"uris":["http://www.mendeley.com/documents/?uuid=287ccddf-788c-32f9-ba1d-9ebd44de29b2"]},{"id":"ITEM-2","itemData":{"DOI":"10.1080/20009666.2021.1918475","abstract":"Background: The COVID-19 epidemic has impacted medical education for medical students worldwide. As medical students are already vulnerable to poor psychological well-being, the mental health of me...","author":[{"dropping-particle":"","family":"Mittal","given":"Rea","non-dropping-particle":"","parse-names":false,"suffix":""},{"dropping-particle":"","family":"Su","given":"Lilly","non-dropping-particle":"","parse-names":false,"suffix":""},{"dropping-particle":"","family":"Jain","given":"Rohit","non-dropping-particle":"","parse-names":false,"suffix":""}],"container-title":"https://doi.org/10.1080/20009666.2021.1918475","id":"ITEM-2","issue":"3","issued":{"date-parts":[["2021","5","4"]]},"page":"296-298","publisher":"Taylor &amp; Francis","title":"COVID-19 mental health consequences on medical students worldwide","type":"article-journal","volume":"11"},"uris":["http://www.mendeley.com/documents/?uuid=03311e00-50aa-39cd-9f90-934db0a56c58"]}],"mendeley":{"formattedCitation":"(10,11)","plainTextFormattedCitation":"(10,11)","previouslyFormattedCitation":"(10,11)"},"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(10,11)</w:t>
      </w:r>
      <w:r w:rsidRPr="00396BF2">
        <w:rPr>
          <w:rFonts w:eastAsia="Calibri"/>
          <w:vertAlign w:val="superscript"/>
          <w:lang w:val="es-ES" w:eastAsia="es-PE"/>
        </w:rPr>
        <w:fldChar w:fldCharType="end"/>
      </w:r>
      <w:r w:rsidRPr="00396BF2">
        <w:rPr>
          <w:rFonts w:eastAsia="Calibri"/>
          <w:lang w:val="es-ES" w:eastAsia="es-PE"/>
        </w:rPr>
        <w:t xml:space="preserve"> lo que generó insatisfacción académica, la percepción de que ese año iba a perderse, el atraso de muchas rotaciones, la mala práctica al regreso a los hospitales, entre otras. Sin embargo, esto no ha sido reportado en otras poblaciones, así que es necesario que se vea de forma retrospectiva cómo afectó la pandemia a los futuros profesionales de salud que realizaban su internado. </w:t>
      </w:r>
    </w:p>
    <w:p w14:paraId="48F8269B"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 xml:space="preserve">El objetivo de esta investigación es determinar </w:t>
      </w:r>
      <w:r w:rsidRPr="00396BF2">
        <w:rPr>
          <w:rFonts w:eastAsia="Arial"/>
          <w:lang w:val="es-ES" w:eastAsia="es-PE"/>
        </w:rPr>
        <w:t xml:space="preserve">los </w:t>
      </w:r>
      <w:r w:rsidRPr="00396BF2">
        <w:rPr>
          <w:rFonts w:eastAsia="Calibri"/>
          <w:lang w:val="es-ES" w:eastAsia="es-PE"/>
        </w:rPr>
        <w:t>factores asociados a la percepción de repercusiones del internado hospitalario peruano durante la COVID-19.</w:t>
      </w:r>
    </w:p>
    <w:p w14:paraId="72EDE165" w14:textId="77777777" w:rsidR="00396BF2" w:rsidRPr="00396BF2" w:rsidRDefault="00396BF2" w:rsidP="00396BF2">
      <w:pPr>
        <w:spacing w:line="360" w:lineRule="auto"/>
        <w:jc w:val="both"/>
        <w:rPr>
          <w:rFonts w:eastAsia="Calibri"/>
          <w:b/>
          <w:lang w:val="es-ES" w:eastAsia="es-PE"/>
        </w:rPr>
      </w:pPr>
    </w:p>
    <w:p w14:paraId="2AECDEC5" w14:textId="77777777" w:rsidR="00396BF2" w:rsidRPr="00396BF2" w:rsidRDefault="00396BF2" w:rsidP="00396BF2">
      <w:pPr>
        <w:spacing w:line="360" w:lineRule="auto"/>
        <w:jc w:val="both"/>
        <w:rPr>
          <w:rFonts w:eastAsia="Calibri"/>
          <w:b/>
          <w:lang w:val="es-ES" w:eastAsia="es-PE"/>
        </w:rPr>
      </w:pPr>
    </w:p>
    <w:p w14:paraId="5C2B07CD" w14:textId="77777777" w:rsidR="00396BF2" w:rsidRPr="00396BF2" w:rsidRDefault="00396BF2" w:rsidP="00396BF2">
      <w:pPr>
        <w:spacing w:line="360" w:lineRule="auto"/>
        <w:jc w:val="center"/>
        <w:rPr>
          <w:rFonts w:eastAsia="Calibri"/>
          <w:b/>
          <w:sz w:val="32"/>
          <w:szCs w:val="32"/>
          <w:lang w:val="es-ES" w:eastAsia="es-PE"/>
        </w:rPr>
      </w:pPr>
      <w:r w:rsidRPr="00396BF2">
        <w:rPr>
          <w:rFonts w:eastAsia="Calibri"/>
          <w:b/>
          <w:sz w:val="32"/>
          <w:szCs w:val="32"/>
          <w:lang w:val="es-ES" w:eastAsia="es-PE"/>
        </w:rPr>
        <w:t>MÉTODOS</w:t>
      </w:r>
    </w:p>
    <w:p w14:paraId="79D73450" w14:textId="77777777" w:rsidR="00396BF2" w:rsidRPr="00396BF2" w:rsidRDefault="00396BF2" w:rsidP="00396BF2">
      <w:pPr>
        <w:spacing w:line="360" w:lineRule="auto"/>
        <w:jc w:val="center"/>
        <w:rPr>
          <w:rFonts w:eastAsia="Calibri"/>
          <w:b/>
          <w:sz w:val="28"/>
          <w:szCs w:val="28"/>
          <w:lang w:val="es-ES" w:eastAsia="es-PE"/>
        </w:rPr>
      </w:pPr>
      <w:r w:rsidRPr="00396BF2">
        <w:rPr>
          <w:rFonts w:eastAsia="Calibri"/>
          <w:b/>
          <w:sz w:val="28"/>
          <w:szCs w:val="28"/>
          <w:lang w:val="es-ES" w:eastAsia="es-PE"/>
        </w:rPr>
        <w:t>Población y muestra</w:t>
      </w:r>
    </w:p>
    <w:p w14:paraId="4FFED008"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La encuesta fue tomada a una población de internos de las carreras de la salud durante la pandemia. Se realizó un muestreo por conveniencia, puesto que, por el estado de emergencia, no se pudo tener acceso a listas oficiales. La muestra de tipo exploratoria fue obtenida de una base de datos previa, debido a que se realizó en la etapa cuando la gran mayoría de los internos no iban a los hospitales. Se trató de hacer una convocatoria que abarcara encuestados de la costa, sierra y selva peruana, así como del norte, centro y sur del Perú.</w:t>
      </w:r>
    </w:p>
    <w:p w14:paraId="7D7F9D31"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Se incluyó a los estudiantes universitarios de ciencias de la salud, del último año (internado), mayores de 18 años y que aceptasen participar en el estudio. Se excluyó a los que no respondían todas las preguntas sobre la percepción acerca del internado (menos de 10 encuestas excluidas). Resultaron 121 estudiantes incluidos en el estudio.</w:t>
      </w:r>
    </w:p>
    <w:p w14:paraId="00E9D63B" w14:textId="77777777" w:rsidR="00472693" w:rsidRDefault="00472693">
      <w:pPr>
        <w:rPr>
          <w:rFonts w:eastAsia="Calibri"/>
          <w:b/>
          <w:sz w:val="28"/>
          <w:szCs w:val="28"/>
          <w:lang w:val="es-ES" w:eastAsia="es-PE"/>
        </w:rPr>
      </w:pPr>
      <w:r>
        <w:rPr>
          <w:rFonts w:eastAsia="Calibri"/>
          <w:b/>
          <w:sz w:val="28"/>
          <w:szCs w:val="28"/>
          <w:lang w:val="es-ES" w:eastAsia="es-PE"/>
        </w:rPr>
        <w:br w:type="page"/>
      </w:r>
    </w:p>
    <w:p w14:paraId="23BE5C49" w14:textId="2783A8A7" w:rsidR="00396BF2" w:rsidRPr="00396BF2" w:rsidRDefault="00396BF2" w:rsidP="00396BF2">
      <w:pPr>
        <w:spacing w:line="360" w:lineRule="auto"/>
        <w:jc w:val="center"/>
        <w:rPr>
          <w:rFonts w:eastAsia="Calibri"/>
          <w:b/>
          <w:sz w:val="28"/>
          <w:szCs w:val="28"/>
          <w:lang w:val="es-ES" w:eastAsia="es-PE"/>
        </w:rPr>
      </w:pPr>
      <w:r w:rsidRPr="00396BF2">
        <w:rPr>
          <w:rFonts w:eastAsia="Calibri"/>
          <w:b/>
          <w:sz w:val="28"/>
          <w:szCs w:val="28"/>
          <w:lang w:val="es-ES" w:eastAsia="es-PE"/>
        </w:rPr>
        <w:lastRenderedPageBreak/>
        <w:t>Diseño</w:t>
      </w:r>
    </w:p>
    <w:p w14:paraId="58E71D2E"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Estudio de tipo transversal, con empleo de técnicas de estadística descriptiva, analítica bivariada y multivariada, diseño mostrado en estudios anteriores.</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{"citationItems":[{"id":"ITEM-1","itemData":{"DOI":"10.35434/rcmhnaaa.2020.131.626","ISSN":"2225-5109","abstract":"Los estudios transversales se caracterizan por la medición simultánea de la exposición y el outcome de interés. Son el diseño idóneo para estimar prevalencias, analizar la precisión diagnóstica de una prueba y validar instrumentos, para lo cual es esencial controlar los sesgos de información, selección y confusión ya sea por diseño o por análisis. Asimismo, es crucial escoger la medida de asociación idónea para cada outcome de interés, llámese el odds ratio para eventos raros y la razón de prevalencias para los eventos frecuentes. Finalmente, para su redacción y publicación se recomienda revisar las guías STROBE y STARD","author":[{"dropping-particle":"","family":"Quispe","given":"Antonio M.","non-dropping-particle":"","parse-names":false,"suffix":""},{"dropping-particle":"","family":"Valentin","given":"Elvis B.","non-dropping-particle":"","parse-names":false,"suffix":""},{"dropping-particle":"","family":"Gutierrez","given":"Ana R.","non-dropping-particle":"","parse-names":false,"suffix":""},{"dropping-particle":"","family":"Mares","given":"Juan D.","non-dropping-particle":"","parse-names":false,"suffix":""}],"container-title":"Revista del Cuerpo Médico del HNAAA","id":"ITEM-1","issue":"1","issued":{"date-parts":[["2020"]]},"page":"72-77","title":"Serie de Redacción Científica: Estudios Trasversales","type":"article-journal","volume":"13"},"uris":["http://www.mendeley.com/documents/?uuid=0c9e589b-e860-47eb-b276-83da5eb5cb8b"]},{"id":"ITEM-2","itemData":{"DOI":"10.25176/rfmh.v21i1.3069","ISSN":"18145469","abstract":"Cross-sectional studies are epidemiological design which can be considered as descriptive or analytical designs depending on the general objective. This is a quickly and economical design and allows to calculate the prevalence of a condition. Also, the relationship of temporality between the exposition and the outcome is being measured simultaneously on a unique period, not being possible to identify a directionality in the temporality. When there is an analytic objective, the association measure used is the Prevalence Ratio (PR), specially when the prevalence of the outcome is more or equal to 10% or the Odds Ratio (OR) when that prevalence is lower. To quantify this association different regression models like Binomial log or Poisson log can be used, including generalized lineal models. If the association measure is OR, the most common used model is the multiple logistic regression. RESUMEN Los estudios observacionales transversales pueden ser de tipo descriptivos o también analíticos dependiendo del objetivo general. Este diseño es rápido, económico y permite el cálculo directo de la prevalencia de una condición. Además, la relación de temporalidad entre la exposición y el efecto son medidas de forma simultánea en un único período, no siendo posible identificar una direccionalidad en la temporalidad. Cuando estos estudios persiguen un objetivo general analítico, la medida de asociación es la Razón de Prevalencias (RP), especialmente cuando la prevalencia del efecto es mayor o igual a 10% o el Odds Ratio (OR) cuando la prevalencia es baja. Para cuantificar esta asociación pueden utilizarse diferentes modelos de regresión como el binomial log o Poisson log, incluyendo los modelos lineales generalizados. Cuando la medida de asociación a utilizar es el OR, el modelo más comúnmente empleado es la regresión logística múltiple.","author":[{"dropping-particle":"","family":"Cvetković Vega","given":"Aleksandar","non-dropping-particle":"","parse-names":false,"suffix":""},{"dropping-particle":"","family":"Maguiña","given":"Jorge L.","non-dropping-particle":"","parse-names":false,"suffix":""},{"dropping-particle":"","family":"Soto","given":"Alonso","non-dropping-particle":"","parse-names":false,"suffix":""},{"dropping-particle":"","family":"Lama-Valdivia","given":"Jaime","non-dropping-particle":"","parse-names":false,"suffix":""},{"dropping-particle":"","family":"Correa López","given":"Lucy E.","non-dropping-particle":"","parse-names":false,"suffix":""}],"container-title":"Revista de la Facultad de Medicina Humana","id":"ITEM-2","issue":"1","issued":{"date-parts":[["2021"]]},"page":"164-170","title":"Cross-sectional studies","type":"article-journal","volume":"21"},"uris":["http://www.mendeley.com/documents/?uuid=2c442bdf-0a3c-4f93-a155-aff1feed9010"]}],"mendeley":{"formattedCitation":"(12,13)","plainTextFormattedCitation":"(12,13)","previouslyFormattedCitation":"(12,13)"},"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(12,13)</w:t>
      </w:r>
      <w:r w:rsidRPr="00396BF2">
        <w:rPr>
          <w:rFonts w:eastAsia="Calibri"/>
          <w:vertAlign w:val="superscript"/>
          <w:lang w:val="es-ES" w:eastAsia="es-PE"/>
        </w:rPr>
        <w:fldChar w:fldCharType="end"/>
      </w:r>
      <w:r w:rsidRPr="00396BF2">
        <w:rPr>
          <w:rFonts w:eastAsia="Calibri"/>
          <w:vertAlign w:val="superscript"/>
          <w:lang w:val="es-ES" w:eastAsia="es-PE"/>
        </w:rPr>
        <w:t xml:space="preserve"> </w:t>
      </w:r>
      <w:r w:rsidRPr="00396BF2">
        <w:rPr>
          <w:rFonts w:eastAsia="Calibri"/>
          <w:lang w:val="es-ES" w:eastAsia="es-PE"/>
        </w:rPr>
        <w:t>Además, se realizó un análisis de datos de una base secundaria, ya que se partió de un estudio mayor del cual se tomaron los datos recolectados durante los primeros meses de la pandemia y se analizaron los resultados después de varios meses (ya casi acabando la pandemia), para mostrar lo que ocurrió con este grupo humano en el momento más complicado de la pandemia.</w:t>
      </w:r>
    </w:p>
    <w:p w14:paraId="3557648C" w14:textId="77777777" w:rsidR="00396BF2" w:rsidRPr="00396BF2" w:rsidRDefault="00396BF2" w:rsidP="00396BF2">
      <w:pPr>
        <w:spacing w:line="360" w:lineRule="auto"/>
        <w:jc w:val="center"/>
        <w:rPr>
          <w:rFonts w:eastAsia="Calibri"/>
          <w:b/>
          <w:sz w:val="28"/>
          <w:szCs w:val="28"/>
          <w:lang w:val="es-ES" w:eastAsia="es-PE"/>
        </w:rPr>
      </w:pPr>
      <w:r w:rsidRPr="00396BF2">
        <w:rPr>
          <w:rFonts w:eastAsia="Calibri"/>
          <w:b/>
          <w:sz w:val="28"/>
          <w:szCs w:val="28"/>
          <w:lang w:val="es-ES" w:eastAsia="es-PE"/>
        </w:rPr>
        <w:t>Variables</w:t>
      </w:r>
    </w:p>
    <w:p w14:paraId="74B92BD8" w14:textId="77777777" w:rsidR="00396BF2" w:rsidRPr="00396BF2" w:rsidRDefault="00396BF2" w:rsidP="00472693">
      <w:pPr>
        <w:spacing w:line="360" w:lineRule="auto"/>
        <w:jc w:val="both"/>
        <w:rPr>
          <w:rFonts w:eastAsia="Calibri"/>
          <w:lang w:val="es-ES" w:eastAsia="es-PE"/>
        </w:rPr>
      </w:pPr>
    </w:p>
    <w:p w14:paraId="7ED3E744"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Pérdida del año académico</w:t>
      </w:r>
    </w:p>
    <w:p w14:paraId="225C07D4"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Repercusión en el conocimiento</w:t>
      </w:r>
    </w:p>
    <w:p w14:paraId="3FA507B0"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Repercusión en la atención en SERUMS (Servicio Rural y Urbano Marginal de Salud) o en la especialidad</w:t>
      </w:r>
    </w:p>
    <w:p w14:paraId="3924C334"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Asistencia al hospital durante pandemia</w:t>
      </w:r>
    </w:p>
    <w:p w14:paraId="52617AAE"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Contagio de la COVID-19</w:t>
      </w:r>
    </w:p>
    <w:p w14:paraId="00AC486C"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Apoyo con materiales/ equipos de protección personal (EPP) por parte de la Universidad o los hospitales.</w:t>
      </w:r>
    </w:p>
    <w:p w14:paraId="6C62F73A"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Apoyo de la universidad, el hospital o la familia ante sufrir la COVID-19 grave.</w:t>
      </w:r>
    </w:p>
    <w:p w14:paraId="2BB35B6B"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Posibilidad de infectar a familiares o amistades con la COVID-19.</w:t>
      </w:r>
    </w:p>
    <w:p w14:paraId="1AC6D3BE" w14:textId="77777777" w:rsidR="00396BF2" w:rsidRPr="00396BF2" w:rsidRDefault="00396BF2" w:rsidP="00472693">
      <w:pPr>
        <w:numPr>
          <w:ilvl w:val="0"/>
          <w:numId w:val="2"/>
        </w:numPr>
        <w:spacing w:line="360" w:lineRule="auto"/>
        <w:contextualSpacing/>
        <w:jc w:val="both"/>
        <w:rPr>
          <w:rFonts w:eastAsia="Calibri"/>
          <w:lang w:val="es-ES" w:eastAsia="es-PE"/>
        </w:rPr>
      </w:pPr>
      <w:r w:rsidRPr="00396BF2">
        <w:rPr>
          <w:rFonts w:eastAsia="Calibri"/>
          <w:lang w:val="es-ES" w:eastAsia="es-PE"/>
        </w:rPr>
        <w:t>Asistencia al hospital cuando la situación de la pandemia mejore.</w:t>
      </w:r>
    </w:p>
    <w:p w14:paraId="58B5D885" w14:textId="77777777" w:rsidR="00396BF2" w:rsidRPr="00396BF2" w:rsidRDefault="00396BF2" w:rsidP="00472693">
      <w:pPr>
        <w:spacing w:line="360" w:lineRule="auto"/>
        <w:jc w:val="both"/>
        <w:rPr>
          <w:rFonts w:eastAsia="Calibri"/>
          <w:lang w:val="es-ES" w:eastAsia="es-PE"/>
        </w:rPr>
      </w:pPr>
    </w:p>
    <w:p w14:paraId="53403E82"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Se midieron a través de 15 preguntas (aparecen en la tabla 2 de los resultados), para responder a las principales preocupaciones a corto, mediano y largo plazo por la suspensión del internado. Las preguntas fueron obtenidas por expertos, considerados así los delegados de las promociones y de los internos en los hospitales. Además, fueron cotejadas por otros internos, manifestando que sí eran las preocupaciones que tenían en ese momento.</w:t>
      </w:r>
    </w:p>
    <w:p w14:paraId="62AAD30C" w14:textId="281AE240" w:rsidR="00396BF2" w:rsidRPr="00396BF2" w:rsidRDefault="00396BF2" w:rsidP="00396BF2">
      <w:pPr>
        <w:spacing w:line="360" w:lineRule="auto"/>
        <w:jc w:val="both"/>
        <w:rPr>
          <w:rFonts w:eastAsia="Calibri"/>
          <w:lang w:val="es-ES" w:eastAsia="es-PE"/>
        </w:rPr>
      </w:pPr>
      <w:r w:rsidRPr="00396BF2">
        <w:rPr>
          <w:rFonts w:eastAsia="Calibri"/>
          <w:lang w:val="es-ES" w:eastAsia="es-PE"/>
        </w:rPr>
        <w:lastRenderedPageBreak/>
        <w:t>Para la obtención de las preguntas, primero se consultó bases de datos (MedLine, Scopus y SciELO), de donde se extrajeron algunos artículos e ideas primarias para las preguntas. Luego la lista se evaluó por expertos en el tema (estudiantes que habían realizado publicaciones y que cursaban con el internado médico, docentes y tutores). Hicieron recomendaciones para la mejora de las preguntas. Luego se realizó un estudio piloto en estudiantes del internado de otras carreras y se llegó a la conclusión que las preguntas eran adecuadas. Por último, se hizo aplicó la encuesta a los internos; se obtuvo un valor adecuado del al</w:t>
      </w:r>
      <w:r w:rsidR="00E719EE">
        <w:rPr>
          <w:rFonts w:eastAsia="Calibri"/>
          <w:lang w:val="es-ES" w:eastAsia="es-PE"/>
        </w:rPr>
        <w:t>f</w:t>
      </w:r>
      <w:r w:rsidRPr="00396BF2">
        <w:rPr>
          <w:rFonts w:eastAsia="Calibri"/>
          <w:lang w:val="es-ES" w:eastAsia="es-PE"/>
        </w:rPr>
        <w:t>a de Cronbach (que mostraba homogeneidad en las respuestas).</w:t>
      </w:r>
    </w:p>
    <w:p w14:paraId="4E6F5AAF" w14:textId="77777777" w:rsidR="00396BF2" w:rsidRPr="00396BF2" w:rsidRDefault="00396BF2" w:rsidP="00396BF2">
      <w:pPr>
        <w:spacing w:line="360" w:lineRule="auto"/>
        <w:jc w:val="center"/>
        <w:rPr>
          <w:rFonts w:eastAsia="Calibri"/>
          <w:b/>
          <w:bCs/>
          <w:lang w:val="es-ES" w:eastAsia="es-PE"/>
        </w:rPr>
      </w:pPr>
      <w:r w:rsidRPr="00396BF2">
        <w:rPr>
          <w:rFonts w:eastAsia="Calibri"/>
          <w:b/>
          <w:bCs/>
          <w:lang w:val="es-ES" w:eastAsia="es-PE"/>
        </w:rPr>
        <w:t>Otras variables</w:t>
      </w:r>
    </w:p>
    <w:p w14:paraId="20F6D7EC" w14:textId="77777777" w:rsidR="00396BF2" w:rsidRPr="00396BF2" w:rsidRDefault="00396BF2" w:rsidP="00BE05FA">
      <w:pPr>
        <w:spacing w:line="360" w:lineRule="auto"/>
        <w:jc w:val="both"/>
        <w:rPr>
          <w:rFonts w:eastAsia="Calibri"/>
          <w:lang w:val="es-ES" w:eastAsia="es-PE"/>
        </w:rPr>
      </w:pPr>
    </w:p>
    <w:p w14:paraId="38C6453D" w14:textId="77777777" w:rsidR="00396BF2" w:rsidRPr="00396BF2" w:rsidRDefault="00396BF2" w:rsidP="00BE05FA">
      <w:pPr>
        <w:numPr>
          <w:ilvl w:val="0"/>
          <w:numId w:val="3"/>
        </w:numPr>
        <w:spacing w:line="360" w:lineRule="auto"/>
        <w:contextualSpacing/>
        <w:jc w:val="both"/>
        <w:rPr>
          <w:rFonts w:eastAsia="Calibri"/>
          <w:lang w:val="es-ES" w:eastAsia="es-PE"/>
        </w:rPr>
      </w:pPr>
      <w:r w:rsidRPr="00396BF2">
        <w:rPr>
          <w:rFonts w:eastAsia="Calibri"/>
          <w:lang w:val="es-ES" w:eastAsia="es-PE"/>
        </w:rPr>
        <w:t>Sexo.</w:t>
      </w:r>
    </w:p>
    <w:p w14:paraId="295AFA19" w14:textId="77777777" w:rsidR="00396BF2" w:rsidRPr="00396BF2" w:rsidRDefault="00396BF2" w:rsidP="00BE05FA">
      <w:pPr>
        <w:numPr>
          <w:ilvl w:val="0"/>
          <w:numId w:val="3"/>
        </w:numPr>
        <w:spacing w:line="360" w:lineRule="auto"/>
        <w:contextualSpacing/>
        <w:jc w:val="both"/>
        <w:rPr>
          <w:rFonts w:eastAsia="Calibri"/>
          <w:lang w:val="es-ES" w:eastAsia="es-PE"/>
        </w:rPr>
      </w:pPr>
      <w:r w:rsidRPr="00396BF2">
        <w:rPr>
          <w:rFonts w:eastAsia="Calibri"/>
          <w:lang w:val="es-ES" w:eastAsia="es-PE"/>
        </w:rPr>
        <w:t>Edad (años cumplidos).</w:t>
      </w:r>
    </w:p>
    <w:p w14:paraId="223948C2" w14:textId="77777777" w:rsidR="00396BF2" w:rsidRPr="00396BF2" w:rsidRDefault="00396BF2" w:rsidP="00BE05FA">
      <w:pPr>
        <w:numPr>
          <w:ilvl w:val="0"/>
          <w:numId w:val="3"/>
        </w:numPr>
        <w:spacing w:line="360" w:lineRule="auto"/>
        <w:contextualSpacing/>
        <w:jc w:val="both"/>
        <w:rPr>
          <w:rFonts w:eastAsia="Calibri"/>
          <w:lang w:val="es-ES" w:eastAsia="es-PE"/>
        </w:rPr>
      </w:pPr>
      <w:r w:rsidRPr="00396BF2">
        <w:rPr>
          <w:rFonts w:eastAsia="Calibri"/>
          <w:lang w:val="es-ES" w:eastAsia="es-PE"/>
        </w:rPr>
        <w:t>Tipo de universidad (pública o privada).</w:t>
      </w:r>
    </w:p>
    <w:p w14:paraId="0AA8EC62" w14:textId="77777777" w:rsidR="00396BF2" w:rsidRPr="00396BF2" w:rsidRDefault="00396BF2" w:rsidP="00BE05FA">
      <w:pPr>
        <w:numPr>
          <w:ilvl w:val="0"/>
          <w:numId w:val="3"/>
        </w:numPr>
        <w:spacing w:line="360" w:lineRule="auto"/>
        <w:contextualSpacing/>
        <w:jc w:val="both"/>
        <w:rPr>
          <w:rFonts w:eastAsia="Calibri"/>
          <w:lang w:val="es-ES" w:eastAsia="es-PE"/>
        </w:rPr>
      </w:pPr>
      <w:r w:rsidRPr="00396BF2">
        <w:rPr>
          <w:rFonts w:eastAsia="Calibri"/>
          <w:lang w:val="es-ES" w:eastAsia="es-PE"/>
        </w:rPr>
        <w:t>Carrera (medicina, enfermería, nutrición, obstetricia, odontología, psicología, tecnología médica y farmacia).</w:t>
      </w:r>
    </w:p>
    <w:p w14:paraId="0D811E08" w14:textId="77777777" w:rsidR="00396BF2" w:rsidRPr="00396BF2" w:rsidRDefault="00396BF2" w:rsidP="00BE05FA">
      <w:pPr>
        <w:numPr>
          <w:ilvl w:val="0"/>
          <w:numId w:val="3"/>
        </w:numPr>
        <w:spacing w:line="360" w:lineRule="auto"/>
        <w:contextualSpacing/>
        <w:jc w:val="both"/>
        <w:rPr>
          <w:rFonts w:eastAsia="Calibri"/>
          <w:lang w:val="es-ES" w:eastAsia="es-PE"/>
        </w:rPr>
      </w:pPr>
      <w:r w:rsidRPr="00396BF2">
        <w:rPr>
          <w:rFonts w:eastAsia="Calibri"/>
          <w:lang w:val="es-ES" w:eastAsia="es-PE"/>
        </w:rPr>
        <w:t xml:space="preserve">Si residía solo o acompañado durante la realización del internado. </w:t>
      </w:r>
    </w:p>
    <w:p w14:paraId="2D69D5C0" w14:textId="77777777" w:rsidR="00396BF2" w:rsidRPr="00396BF2" w:rsidRDefault="00396BF2" w:rsidP="00BE05FA">
      <w:pPr>
        <w:numPr>
          <w:ilvl w:val="0"/>
          <w:numId w:val="3"/>
        </w:numPr>
        <w:spacing w:line="360" w:lineRule="auto"/>
        <w:contextualSpacing/>
        <w:jc w:val="both"/>
        <w:rPr>
          <w:rFonts w:eastAsia="Calibri"/>
          <w:lang w:val="es-ES" w:eastAsia="es-PE"/>
        </w:rPr>
      </w:pPr>
      <w:r w:rsidRPr="00396BF2">
        <w:rPr>
          <w:rFonts w:eastAsia="Calibri"/>
          <w:lang w:val="es-ES" w:eastAsia="es-PE"/>
        </w:rPr>
        <w:t>Estrés, ansiedad y depresión: medido con el test DASS-21. Tiene puntajes de 0-42 en cada caso, para evaluarlos como factores asociados a la percepción de repercusiones del internado hospitalario.</w:t>
      </w:r>
    </w:p>
    <w:p w14:paraId="5039ED1B" w14:textId="77777777" w:rsidR="00396BF2" w:rsidRPr="00396BF2" w:rsidRDefault="00396BF2" w:rsidP="00BE05FA">
      <w:pPr>
        <w:spacing w:line="360" w:lineRule="auto"/>
        <w:jc w:val="both"/>
        <w:rPr>
          <w:rFonts w:eastAsia="Calibri"/>
          <w:lang w:val="es-ES" w:eastAsia="es-PE"/>
        </w:rPr>
      </w:pPr>
    </w:p>
    <w:p w14:paraId="594A1427" w14:textId="77777777" w:rsidR="00396BF2" w:rsidRPr="00396BF2" w:rsidRDefault="00396BF2" w:rsidP="00396BF2">
      <w:pPr>
        <w:spacing w:line="360" w:lineRule="auto"/>
        <w:jc w:val="center"/>
        <w:rPr>
          <w:rFonts w:eastAsia="Calibri"/>
          <w:b/>
          <w:sz w:val="28"/>
          <w:szCs w:val="28"/>
          <w:lang w:val="es-ES" w:eastAsia="es-PE"/>
        </w:rPr>
      </w:pPr>
      <w:r w:rsidRPr="00396BF2">
        <w:rPr>
          <w:rFonts w:eastAsia="Calibri"/>
          <w:b/>
          <w:sz w:val="28"/>
          <w:szCs w:val="28"/>
          <w:lang w:val="es-ES" w:eastAsia="es-PE"/>
        </w:rPr>
        <w:t>Procedimientos</w:t>
      </w:r>
    </w:p>
    <w:p w14:paraId="09F3F2DD"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La aplicación de las encuestas se hizo en los últimos 3 meses del 2020, de forma exploratoria, como parte de otra investigación mayor, en la que se midió el estado de salud mental de los internos y otros estudiantes de medicina durante la pandemia. Después de obtener la base, se realizó el control de la calidad de los datos y se depuró, mediante doble digitador (con 2 autores del trabajo). Por último, se exportó la información a una base de datos en el Programa Microsoft Excel 2019, para ser exportada a una base en el programa Stata (versión 11,1).</w:t>
      </w:r>
    </w:p>
    <w:p w14:paraId="603608D0" w14:textId="77777777" w:rsidR="00BE05FA" w:rsidRDefault="00BE05FA">
      <w:pPr>
        <w:rPr>
          <w:rFonts w:eastAsia="Calibri"/>
          <w:b/>
          <w:sz w:val="28"/>
          <w:szCs w:val="28"/>
          <w:lang w:val="es-ES" w:eastAsia="es-PE"/>
        </w:rPr>
      </w:pPr>
      <w:r>
        <w:rPr>
          <w:rFonts w:eastAsia="Calibri"/>
          <w:b/>
          <w:sz w:val="28"/>
          <w:szCs w:val="28"/>
          <w:lang w:val="es-ES" w:eastAsia="es-PE"/>
        </w:rPr>
        <w:br w:type="page"/>
      </w:r>
    </w:p>
    <w:p w14:paraId="6EB8C1D4" w14:textId="48AE4265" w:rsidR="00396BF2" w:rsidRPr="00396BF2" w:rsidRDefault="00396BF2" w:rsidP="00396BF2">
      <w:pPr>
        <w:spacing w:line="360" w:lineRule="auto"/>
        <w:jc w:val="center"/>
        <w:rPr>
          <w:rFonts w:eastAsia="Calibri"/>
          <w:b/>
          <w:sz w:val="28"/>
          <w:szCs w:val="28"/>
          <w:lang w:val="es-ES" w:eastAsia="es-PE"/>
        </w:rPr>
      </w:pPr>
      <w:r w:rsidRPr="00396BF2">
        <w:rPr>
          <w:rFonts w:eastAsia="Calibri"/>
          <w:b/>
          <w:sz w:val="28"/>
          <w:szCs w:val="28"/>
          <w:lang w:val="es-ES" w:eastAsia="es-PE"/>
        </w:rPr>
        <w:lastRenderedPageBreak/>
        <w:t>Análisis de datos</w:t>
      </w:r>
    </w:p>
    <w:p w14:paraId="40F0CF09"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 xml:space="preserve">Se realizó un primer análisis descriptivo, para obtener la frecuencia y porcentaje de las variables cualitativas (sexo y tipo de universidad). Luego las variables cuantitativas (edad, estrés, ansiedad y depresión, medidas con el test DASS-21) se evaluaron con la prueba estadística de Shapiro–Wilk; según la normalidad se reportó la mejor medida de tendencia central y de dispersión. Posteriormente, se obtuvo las razones de prevalencia crudas (RPc), razones de prevalencia ajustadas (RPa), los intervalos de confianza al 95 % (IC95) y los valores p&lt; 0,05 como estadísticamente significativos (tanto para la estadística bivariada como para la multivariada); con el apoyo de los modelos lineales generalizados, y con las que se utilizó la familia Poisson, la función de enlace log y modelos para varianzas robustas. </w:t>
      </w:r>
    </w:p>
    <w:p w14:paraId="71437132" w14:textId="77777777" w:rsidR="00396BF2" w:rsidRPr="00396BF2" w:rsidRDefault="00396BF2" w:rsidP="00396BF2">
      <w:pPr>
        <w:spacing w:line="360" w:lineRule="auto"/>
        <w:jc w:val="center"/>
        <w:rPr>
          <w:rFonts w:eastAsia="Calibri"/>
          <w:b/>
          <w:sz w:val="28"/>
          <w:szCs w:val="28"/>
          <w:lang w:val="es-ES" w:eastAsia="es-PE"/>
        </w:rPr>
      </w:pPr>
      <w:r w:rsidRPr="00396BF2">
        <w:rPr>
          <w:rFonts w:eastAsia="Calibri"/>
          <w:b/>
          <w:sz w:val="28"/>
          <w:szCs w:val="28"/>
          <w:lang w:val="es-ES" w:eastAsia="es-PE"/>
        </w:rPr>
        <w:t>Ética</w:t>
      </w:r>
    </w:p>
    <w:p w14:paraId="435A7EB4"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 xml:space="preserve">Se respetó la ética, las encuestas fueron anónimas y se respetó el derecho a no responder las preguntas que creyese conveniente. La investigación fue aprobada por el Comité de Bioética de la Universidad Privada Antenor Orrego con la Resolución N° 0021-2022-UPAO y por el Comité Institucional de Ética en Investigación de la Universidad Continental con el Oficio N°030-2022-VI-UC. </w:t>
      </w:r>
    </w:p>
    <w:p w14:paraId="01BB9CD5" w14:textId="77777777" w:rsidR="00396BF2" w:rsidRPr="00396BF2" w:rsidRDefault="00396BF2" w:rsidP="00396BF2">
      <w:pPr>
        <w:spacing w:line="360" w:lineRule="auto"/>
        <w:jc w:val="both"/>
        <w:rPr>
          <w:rFonts w:eastAsia="Calibri"/>
          <w:b/>
          <w:bCs/>
          <w:lang w:val="es-ES" w:eastAsia="es-PE"/>
        </w:rPr>
      </w:pPr>
    </w:p>
    <w:p w14:paraId="157C37E7" w14:textId="77777777" w:rsidR="00396BF2" w:rsidRPr="00396BF2" w:rsidRDefault="00396BF2" w:rsidP="00396BF2">
      <w:pPr>
        <w:spacing w:line="360" w:lineRule="auto"/>
        <w:jc w:val="both"/>
        <w:rPr>
          <w:rFonts w:eastAsia="Calibri"/>
          <w:b/>
          <w:bCs/>
          <w:lang w:val="es-ES" w:eastAsia="es-PE"/>
        </w:rPr>
      </w:pPr>
    </w:p>
    <w:p w14:paraId="597945F3" w14:textId="77777777" w:rsidR="00396BF2" w:rsidRPr="00396BF2" w:rsidRDefault="00396BF2" w:rsidP="00396BF2">
      <w:pPr>
        <w:spacing w:line="360" w:lineRule="auto"/>
        <w:jc w:val="center"/>
        <w:rPr>
          <w:rFonts w:eastAsia="Calibri"/>
          <w:b/>
          <w:bCs/>
          <w:sz w:val="32"/>
          <w:szCs w:val="32"/>
          <w:lang w:val="es-ES" w:eastAsia="es-PE"/>
        </w:rPr>
      </w:pPr>
      <w:r w:rsidRPr="00396BF2">
        <w:rPr>
          <w:rFonts w:eastAsia="Calibri"/>
          <w:b/>
          <w:bCs/>
          <w:sz w:val="32"/>
          <w:szCs w:val="32"/>
          <w:lang w:val="es-ES" w:eastAsia="es-PE"/>
        </w:rPr>
        <w:t>RESULTADOS</w:t>
      </w:r>
    </w:p>
    <w:p w14:paraId="1C7D727E"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De los 121 encuestados, la mayoría fueron mujeres (62,8 %), con una mediana de 24 años (rango intercuartílico: 23-25 años), la mayoría provenían de universidades particulares (60,3 %) y tenían medianas de 12 para estrés (rango intercuartílico: 6-16), 4 para ansiedad (rango intercuartílico: 2-8) y 6 para depresión (rango intercuartílico: 4-12) (tabla 1).</w:t>
      </w:r>
    </w:p>
    <w:p w14:paraId="139DFEE1" w14:textId="77777777" w:rsidR="00396BF2" w:rsidRPr="00396BF2" w:rsidRDefault="00396BF2" w:rsidP="00396BF2">
      <w:pPr>
        <w:spacing w:line="360" w:lineRule="auto"/>
        <w:jc w:val="both"/>
        <w:rPr>
          <w:rFonts w:eastAsia="Calibri"/>
          <w:lang w:val="es-ES" w:eastAsia="es-PE"/>
        </w:rPr>
      </w:pPr>
    </w:p>
    <w:p w14:paraId="69CA72FA" w14:textId="77777777" w:rsidR="00BE05FA" w:rsidRDefault="00BE05FA">
      <w:pPr>
        <w:rPr>
          <w:rFonts w:eastAsia="Calibri"/>
          <w:b/>
          <w:bCs/>
          <w:sz w:val="22"/>
          <w:szCs w:val="22"/>
          <w:lang w:val="es-ES" w:eastAsia="es-PE"/>
        </w:rPr>
      </w:pPr>
      <w:r>
        <w:rPr>
          <w:rFonts w:eastAsia="Calibri"/>
          <w:b/>
          <w:bCs/>
          <w:sz w:val="22"/>
          <w:szCs w:val="22"/>
          <w:lang w:val="es-ES" w:eastAsia="es-PE"/>
        </w:rPr>
        <w:br w:type="page"/>
      </w:r>
    </w:p>
    <w:p w14:paraId="2F47AC92" w14:textId="13FCF187" w:rsidR="00396BF2" w:rsidRPr="00396BF2" w:rsidRDefault="00396BF2" w:rsidP="00396BF2">
      <w:pPr>
        <w:spacing w:line="360" w:lineRule="auto"/>
        <w:jc w:val="center"/>
        <w:rPr>
          <w:rFonts w:eastAsia="Calibri"/>
          <w:sz w:val="22"/>
          <w:szCs w:val="22"/>
          <w:lang w:val="es-ES" w:eastAsia="es-PE"/>
        </w:rPr>
      </w:pPr>
      <w:r w:rsidRPr="00396BF2">
        <w:rPr>
          <w:rFonts w:eastAsia="Calibri"/>
          <w:b/>
          <w:bCs/>
          <w:sz w:val="22"/>
          <w:szCs w:val="22"/>
          <w:lang w:val="es-ES" w:eastAsia="es-PE"/>
        </w:rPr>
        <w:lastRenderedPageBreak/>
        <w:t>Tabla 1 -</w:t>
      </w:r>
      <w:r w:rsidRPr="00396BF2">
        <w:rPr>
          <w:rFonts w:eastAsia="Calibri"/>
          <w:sz w:val="22"/>
          <w:szCs w:val="22"/>
          <w:lang w:val="es-ES" w:eastAsia="es-PE"/>
        </w:rPr>
        <w:t xml:space="preserve"> Características de los internos encuestados en el Perú al inicio de la pandemia de la COVID-19</w:t>
      </w:r>
    </w:p>
    <w:p w14:paraId="2B27035B" w14:textId="4E483B47" w:rsidR="00FB5571" w:rsidRDefault="00FB5571" w:rsidP="00396BF2">
      <w:pPr>
        <w:spacing w:line="360" w:lineRule="auto"/>
        <w:jc w:val="center"/>
        <w:rPr>
          <w:rFonts w:eastAsia="Calibri"/>
          <w:sz w:val="16"/>
          <w:szCs w:val="16"/>
          <w:lang w:val="es-ES" w:eastAsia="es-PE"/>
        </w:rPr>
      </w:pPr>
      <w:r>
        <w:rPr>
          <w:rFonts w:eastAsia="Calibri"/>
          <w:noProof/>
          <w:sz w:val="16"/>
          <w:szCs w:val="16"/>
          <w:lang w:val="es-ES" w:eastAsia="es-PE"/>
        </w:rPr>
        <w:drawing>
          <wp:inline distT="0" distB="0" distL="0" distR="0" wp14:anchorId="4416E8BC" wp14:editId="09842039">
            <wp:extent cx="4247619" cy="4095238"/>
            <wp:effectExtent l="0" t="0" r="63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4247619" cy="4095238"/>
                    </a:xfrm>
                    <a:prstGeom prst="rect">
                      <a:avLst/>
                    </a:prstGeom>
                  </pic:spPr>
                </pic:pic>
              </a:graphicData>
            </a:graphic>
          </wp:inline>
        </w:drawing>
      </w:r>
    </w:p>
    <w:p w14:paraId="044A699E" w14:textId="000717C1" w:rsidR="00396BF2" w:rsidRPr="00396BF2" w:rsidRDefault="00396BF2" w:rsidP="00396BF2">
      <w:pPr>
        <w:spacing w:line="360" w:lineRule="auto"/>
        <w:jc w:val="center"/>
        <w:rPr>
          <w:rFonts w:eastAsia="Calibri"/>
          <w:sz w:val="16"/>
          <w:szCs w:val="16"/>
          <w:lang w:val="es-ES" w:eastAsia="es-PE"/>
        </w:rPr>
      </w:pPr>
      <w:r w:rsidRPr="00396BF2">
        <w:rPr>
          <w:rFonts w:eastAsia="Calibri"/>
          <w:sz w:val="16"/>
          <w:szCs w:val="16"/>
          <w:lang w:val="es-ES" w:eastAsia="es-PE"/>
        </w:rPr>
        <w:t>*Estas variables fueron analizados de forma cuantitativa.</w:t>
      </w:r>
    </w:p>
    <w:p w14:paraId="35C2807B" w14:textId="77777777" w:rsidR="00396BF2" w:rsidRPr="00396BF2" w:rsidRDefault="00396BF2" w:rsidP="00396BF2">
      <w:pPr>
        <w:spacing w:line="360" w:lineRule="auto"/>
        <w:jc w:val="both"/>
        <w:rPr>
          <w:rFonts w:eastAsia="Calibri"/>
          <w:lang w:val="es-ES" w:eastAsia="es-PE"/>
        </w:rPr>
      </w:pPr>
    </w:p>
    <w:p w14:paraId="01C7C8DC"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Las premisas más frecuentes en cuanto a las repercusiones fueron el que su familia le hubiese apoyado si se enfermaba de gravedad (55,4 % muy de acuerdo y 22,3 % de acuerdo), que pudo haber infectado a sus familiares (38,8 % muy de acuerdo y 33,9 % de acuerdo) o alguna amistad/ conocido (37,2 % muy de acuerdo y 32,2 % de acuerdo) si es que continuaban yendo al hospital. Por el contrario, muchos estuvieron en desacuerdo con que el hospital (32,9 % muy en desacuerdo y 32,2 % en desacuerdo) o la universidad (33,9 % muy en desacuerdo y 38,8 % en desacuerdo), les darían los implementos para que se cuiden (tabla 2).</w:t>
      </w:r>
    </w:p>
    <w:p w14:paraId="68714FCD" w14:textId="77777777" w:rsidR="00396BF2" w:rsidRPr="00396BF2" w:rsidRDefault="00396BF2" w:rsidP="00396BF2">
      <w:pPr>
        <w:spacing w:line="360" w:lineRule="auto"/>
        <w:jc w:val="both"/>
        <w:rPr>
          <w:rFonts w:eastAsia="Calibri"/>
          <w:lang w:val="es-ES" w:eastAsia="es-PE"/>
        </w:rPr>
      </w:pPr>
    </w:p>
    <w:p w14:paraId="5E0F47EF" w14:textId="77777777" w:rsidR="00396BF2" w:rsidRPr="00396BF2" w:rsidRDefault="00396BF2" w:rsidP="00396BF2">
      <w:pPr>
        <w:spacing w:after="160" w:line="259" w:lineRule="auto"/>
        <w:rPr>
          <w:rFonts w:eastAsia="Calibri"/>
          <w:b/>
          <w:bCs/>
          <w:sz w:val="22"/>
          <w:szCs w:val="22"/>
          <w:lang w:val="es-ES" w:eastAsia="es-PE"/>
        </w:rPr>
      </w:pPr>
      <w:r w:rsidRPr="00396BF2">
        <w:rPr>
          <w:rFonts w:eastAsia="Calibri"/>
          <w:b/>
          <w:bCs/>
          <w:sz w:val="22"/>
          <w:szCs w:val="22"/>
          <w:lang w:val="es-ES" w:eastAsia="es-PE"/>
        </w:rPr>
        <w:br w:type="page"/>
      </w:r>
    </w:p>
    <w:p w14:paraId="0B479237" w14:textId="77777777" w:rsidR="00396BF2" w:rsidRPr="00396BF2" w:rsidRDefault="00396BF2" w:rsidP="00396BF2">
      <w:pPr>
        <w:spacing w:line="360" w:lineRule="auto"/>
        <w:jc w:val="center"/>
        <w:rPr>
          <w:rFonts w:eastAsia="Calibri"/>
          <w:sz w:val="22"/>
          <w:szCs w:val="22"/>
          <w:lang w:val="es-ES" w:eastAsia="es-PE"/>
        </w:rPr>
      </w:pPr>
      <w:r w:rsidRPr="00396BF2">
        <w:rPr>
          <w:rFonts w:eastAsia="Calibri"/>
          <w:b/>
          <w:bCs/>
          <w:sz w:val="22"/>
          <w:szCs w:val="22"/>
          <w:lang w:val="es-ES" w:eastAsia="es-PE"/>
        </w:rPr>
        <w:lastRenderedPageBreak/>
        <w:t>Tabla 2 -</w:t>
      </w:r>
      <w:r w:rsidRPr="00396BF2">
        <w:rPr>
          <w:rFonts w:eastAsia="Calibri"/>
          <w:sz w:val="22"/>
          <w:szCs w:val="22"/>
          <w:lang w:val="es-ES" w:eastAsia="es-PE"/>
        </w:rPr>
        <w:t xml:space="preserve"> Porcentajes de la percepción de la repercusión que tuvo la COVID-19 en el internado médico de Perú.</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00" w:firstRow="0" w:lastRow="0" w:firstColumn="0" w:lastColumn="0" w:noHBand="0" w:noVBand="1"/>
      </w:tblPr>
      <w:tblGrid>
        <w:gridCol w:w="4248"/>
        <w:gridCol w:w="1417"/>
        <w:gridCol w:w="1418"/>
        <w:gridCol w:w="850"/>
        <w:gridCol w:w="993"/>
        <w:gridCol w:w="992"/>
      </w:tblGrid>
      <w:tr w:rsidR="00396BF2" w:rsidRPr="00396BF2" w14:paraId="197385ED" w14:textId="77777777" w:rsidTr="00C27956">
        <w:trPr>
          <w:trHeight w:val="290"/>
          <w:jc w:val="center"/>
        </w:trPr>
        <w:tc>
          <w:tcPr>
            <w:tcW w:w="4248" w:type="dxa"/>
            <w:shd w:val="clear" w:color="auto" w:fill="auto"/>
            <w:vAlign w:val="center"/>
          </w:tcPr>
          <w:p w14:paraId="53C0FB28"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Acerca del internado médico en pandemia, pienso que…</w:t>
            </w:r>
          </w:p>
        </w:tc>
        <w:tc>
          <w:tcPr>
            <w:tcW w:w="1417" w:type="dxa"/>
            <w:vAlign w:val="center"/>
          </w:tcPr>
          <w:p w14:paraId="2D7009B2"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Muy en desacuerdo (%)</w:t>
            </w:r>
          </w:p>
        </w:tc>
        <w:tc>
          <w:tcPr>
            <w:tcW w:w="1418" w:type="dxa"/>
            <w:vAlign w:val="center"/>
          </w:tcPr>
          <w:p w14:paraId="3E30B52D"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En desacuerdo (%)</w:t>
            </w:r>
          </w:p>
        </w:tc>
        <w:tc>
          <w:tcPr>
            <w:tcW w:w="850" w:type="dxa"/>
            <w:vAlign w:val="center"/>
          </w:tcPr>
          <w:p w14:paraId="6DA34C12"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Indiferente (%)</w:t>
            </w:r>
          </w:p>
        </w:tc>
        <w:tc>
          <w:tcPr>
            <w:tcW w:w="993" w:type="dxa"/>
            <w:vAlign w:val="center"/>
          </w:tcPr>
          <w:p w14:paraId="2CAA4EBE"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De acuerdo (%)</w:t>
            </w:r>
          </w:p>
        </w:tc>
        <w:tc>
          <w:tcPr>
            <w:tcW w:w="992" w:type="dxa"/>
            <w:vAlign w:val="center"/>
          </w:tcPr>
          <w:p w14:paraId="1C9BA0C6"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Muy de acuerdo (%)</w:t>
            </w:r>
          </w:p>
        </w:tc>
      </w:tr>
      <w:tr w:rsidR="00396BF2" w:rsidRPr="00396BF2" w14:paraId="730E88B5" w14:textId="77777777" w:rsidTr="00C27956">
        <w:trPr>
          <w:trHeight w:val="290"/>
          <w:jc w:val="center"/>
        </w:trPr>
        <w:tc>
          <w:tcPr>
            <w:tcW w:w="4248" w:type="dxa"/>
            <w:shd w:val="clear" w:color="auto" w:fill="auto"/>
            <w:vAlign w:val="center"/>
          </w:tcPr>
          <w:p w14:paraId="7FE59F33"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He perdido este año académico</w:t>
            </w:r>
          </w:p>
        </w:tc>
        <w:tc>
          <w:tcPr>
            <w:tcW w:w="1417" w:type="dxa"/>
            <w:vAlign w:val="center"/>
          </w:tcPr>
          <w:p w14:paraId="27195A0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c>
          <w:tcPr>
            <w:tcW w:w="1418" w:type="dxa"/>
            <w:vAlign w:val="center"/>
          </w:tcPr>
          <w:p w14:paraId="129F3A4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14,9</w:t>
            </w:r>
          </w:p>
        </w:tc>
        <w:tc>
          <w:tcPr>
            <w:tcW w:w="850" w:type="dxa"/>
            <w:vAlign w:val="center"/>
          </w:tcPr>
          <w:p w14:paraId="018B5BB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11,6</w:t>
            </w:r>
          </w:p>
        </w:tc>
        <w:tc>
          <w:tcPr>
            <w:tcW w:w="993" w:type="dxa"/>
            <w:vAlign w:val="center"/>
          </w:tcPr>
          <w:p w14:paraId="5A4A052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47,9</w:t>
            </w:r>
          </w:p>
        </w:tc>
        <w:tc>
          <w:tcPr>
            <w:tcW w:w="992" w:type="dxa"/>
            <w:vAlign w:val="center"/>
          </w:tcPr>
          <w:p w14:paraId="64B446D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15,7</w:t>
            </w:r>
          </w:p>
        </w:tc>
      </w:tr>
      <w:tr w:rsidR="00396BF2" w:rsidRPr="00396BF2" w14:paraId="1BC55C92" w14:textId="77777777" w:rsidTr="00C27956">
        <w:trPr>
          <w:trHeight w:val="290"/>
          <w:jc w:val="center"/>
        </w:trPr>
        <w:tc>
          <w:tcPr>
            <w:tcW w:w="4248" w:type="dxa"/>
            <w:shd w:val="clear" w:color="auto" w:fill="auto"/>
            <w:vAlign w:val="center"/>
          </w:tcPr>
          <w:p w14:paraId="0F9F8975"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Esto repercutirá en mi conocimiento</w:t>
            </w:r>
          </w:p>
        </w:tc>
        <w:tc>
          <w:tcPr>
            <w:tcW w:w="1417" w:type="dxa"/>
            <w:vAlign w:val="center"/>
          </w:tcPr>
          <w:p w14:paraId="7669112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13,2</w:t>
            </w:r>
          </w:p>
        </w:tc>
        <w:tc>
          <w:tcPr>
            <w:tcW w:w="1418" w:type="dxa"/>
            <w:vAlign w:val="center"/>
          </w:tcPr>
          <w:p w14:paraId="37C452E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10,7</w:t>
            </w:r>
          </w:p>
        </w:tc>
        <w:tc>
          <w:tcPr>
            <w:tcW w:w="850" w:type="dxa"/>
            <w:vAlign w:val="center"/>
          </w:tcPr>
          <w:p w14:paraId="01ADF97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7,5</w:t>
            </w:r>
          </w:p>
        </w:tc>
        <w:tc>
          <w:tcPr>
            <w:tcW w:w="993" w:type="dxa"/>
            <w:vAlign w:val="center"/>
          </w:tcPr>
          <w:p w14:paraId="0A48C40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46,3</w:t>
            </w:r>
          </w:p>
        </w:tc>
        <w:tc>
          <w:tcPr>
            <w:tcW w:w="992" w:type="dxa"/>
            <w:vAlign w:val="center"/>
          </w:tcPr>
          <w:p w14:paraId="2495A41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22,3</w:t>
            </w:r>
          </w:p>
        </w:tc>
      </w:tr>
      <w:tr w:rsidR="00396BF2" w:rsidRPr="00396BF2" w14:paraId="103C59F3" w14:textId="77777777" w:rsidTr="00C27956">
        <w:trPr>
          <w:trHeight w:val="290"/>
          <w:jc w:val="center"/>
        </w:trPr>
        <w:tc>
          <w:tcPr>
            <w:tcW w:w="4248" w:type="dxa"/>
            <w:shd w:val="clear" w:color="auto" w:fill="auto"/>
            <w:vAlign w:val="center"/>
          </w:tcPr>
          <w:p w14:paraId="7D7CFD2D"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Esto repercutirá en la atención/las actividades que haga en mi SERUMS</w:t>
            </w:r>
          </w:p>
        </w:tc>
        <w:tc>
          <w:tcPr>
            <w:tcW w:w="1417" w:type="dxa"/>
            <w:vAlign w:val="center"/>
          </w:tcPr>
          <w:p w14:paraId="3F09AF6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13,2</w:t>
            </w:r>
          </w:p>
        </w:tc>
        <w:tc>
          <w:tcPr>
            <w:tcW w:w="1418" w:type="dxa"/>
            <w:vAlign w:val="center"/>
          </w:tcPr>
          <w:p w14:paraId="719A006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6,6</w:t>
            </w:r>
          </w:p>
        </w:tc>
        <w:tc>
          <w:tcPr>
            <w:tcW w:w="850" w:type="dxa"/>
            <w:vAlign w:val="center"/>
          </w:tcPr>
          <w:p w14:paraId="3C0EDD1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4,2</w:t>
            </w:r>
          </w:p>
        </w:tc>
        <w:tc>
          <w:tcPr>
            <w:tcW w:w="993" w:type="dxa"/>
            <w:vAlign w:val="center"/>
          </w:tcPr>
          <w:p w14:paraId="21449B7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47,9</w:t>
            </w:r>
          </w:p>
        </w:tc>
        <w:tc>
          <w:tcPr>
            <w:tcW w:w="992" w:type="dxa"/>
            <w:vAlign w:val="center"/>
          </w:tcPr>
          <w:p w14:paraId="600DE5F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28,1</w:t>
            </w:r>
          </w:p>
        </w:tc>
      </w:tr>
      <w:tr w:rsidR="00396BF2" w:rsidRPr="00396BF2" w14:paraId="63E31D98" w14:textId="77777777" w:rsidTr="00C27956">
        <w:trPr>
          <w:trHeight w:val="290"/>
          <w:jc w:val="center"/>
        </w:trPr>
        <w:tc>
          <w:tcPr>
            <w:tcW w:w="4248" w:type="dxa"/>
            <w:shd w:val="clear" w:color="auto" w:fill="auto"/>
            <w:vAlign w:val="center"/>
          </w:tcPr>
          <w:p w14:paraId="7653869B"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Esto repercutirá en la atención/las actividades en la especialidad</w:t>
            </w:r>
          </w:p>
        </w:tc>
        <w:tc>
          <w:tcPr>
            <w:tcW w:w="1417" w:type="dxa"/>
            <w:vAlign w:val="center"/>
          </w:tcPr>
          <w:p w14:paraId="7D5FE58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14,1</w:t>
            </w:r>
          </w:p>
        </w:tc>
        <w:tc>
          <w:tcPr>
            <w:tcW w:w="1418" w:type="dxa"/>
            <w:vAlign w:val="center"/>
          </w:tcPr>
          <w:p w14:paraId="62F4C08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14,9</w:t>
            </w:r>
          </w:p>
        </w:tc>
        <w:tc>
          <w:tcPr>
            <w:tcW w:w="850" w:type="dxa"/>
            <w:vAlign w:val="center"/>
          </w:tcPr>
          <w:p w14:paraId="628A270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15,7</w:t>
            </w:r>
          </w:p>
        </w:tc>
        <w:tc>
          <w:tcPr>
            <w:tcW w:w="993" w:type="dxa"/>
            <w:vAlign w:val="center"/>
          </w:tcPr>
          <w:p w14:paraId="6908DFCF"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38,8</w:t>
            </w:r>
          </w:p>
        </w:tc>
        <w:tc>
          <w:tcPr>
            <w:tcW w:w="992" w:type="dxa"/>
            <w:vAlign w:val="center"/>
          </w:tcPr>
          <w:p w14:paraId="147EE9F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16,5</w:t>
            </w:r>
          </w:p>
        </w:tc>
      </w:tr>
      <w:tr w:rsidR="00396BF2" w:rsidRPr="00396BF2" w14:paraId="2A95CC8E" w14:textId="77777777" w:rsidTr="00C27956">
        <w:trPr>
          <w:trHeight w:val="290"/>
          <w:jc w:val="center"/>
        </w:trPr>
        <w:tc>
          <w:tcPr>
            <w:tcW w:w="4248" w:type="dxa"/>
            <w:shd w:val="clear" w:color="auto" w:fill="auto"/>
            <w:vAlign w:val="center"/>
          </w:tcPr>
          <w:p w14:paraId="1AF34123"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 xml:space="preserve">Si podía seguir yendo al hospital </w:t>
            </w:r>
          </w:p>
        </w:tc>
        <w:tc>
          <w:tcPr>
            <w:tcW w:w="1417" w:type="dxa"/>
            <w:vAlign w:val="center"/>
          </w:tcPr>
          <w:p w14:paraId="0116AB4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21,5</w:t>
            </w:r>
          </w:p>
        </w:tc>
        <w:tc>
          <w:tcPr>
            <w:tcW w:w="1418" w:type="dxa"/>
            <w:vAlign w:val="center"/>
          </w:tcPr>
          <w:p w14:paraId="5DB60BF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24,8</w:t>
            </w:r>
          </w:p>
        </w:tc>
        <w:tc>
          <w:tcPr>
            <w:tcW w:w="850" w:type="dxa"/>
            <w:vAlign w:val="center"/>
          </w:tcPr>
          <w:p w14:paraId="2BF6445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16,5</w:t>
            </w:r>
          </w:p>
        </w:tc>
        <w:tc>
          <w:tcPr>
            <w:tcW w:w="993" w:type="dxa"/>
            <w:vAlign w:val="center"/>
          </w:tcPr>
          <w:p w14:paraId="21A8D71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22,3</w:t>
            </w:r>
          </w:p>
        </w:tc>
        <w:tc>
          <w:tcPr>
            <w:tcW w:w="992" w:type="dxa"/>
            <w:vAlign w:val="center"/>
          </w:tcPr>
          <w:p w14:paraId="654F344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14,9</w:t>
            </w:r>
          </w:p>
        </w:tc>
      </w:tr>
      <w:tr w:rsidR="00396BF2" w:rsidRPr="00396BF2" w14:paraId="1CB316F7" w14:textId="77777777" w:rsidTr="00C27956">
        <w:trPr>
          <w:trHeight w:val="290"/>
          <w:jc w:val="center"/>
        </w:trPr>
        <w:tc>
          <w:tcPr>
            <w:tcW w:w="4248" w:type="dxa"/>
            <w:shd w:val="clear" w:color="auto" w:fill="auto"/>
            <w:vAlign w:val="center"/>
          </w:tcPr>
          <w:p w14:paraId="4FD53CFA"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No me habría contagiado si iba al hospital</w:t>
            </w:r>
          </w:p>
        </w:tc>
        <w:tc>
          <w:tcPr>
            <w:tcW w:w="1417" w:type="dxa"/>
            <w:vAlign w:val="center"/>
          </w:tcPr>
          <w:p w14:paraId="4291110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19,0</w:t>
            </w:r>
          </w:p>
        </w:tc>
        <w:tc>
          <w:tcPr>
            <w:tcW w:w="1418" w:type="dxa"/>
            <w:vAlign w:val="center"/>
          </w:tcPr>
          <w:p w14:paraId="5247C51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33,1</w:t>
            </w:r>
          </w:p>
        </w:tc>
        <w:tc>
          <w:tcPr>
            <w:tcW w:w="850" w:type="dxa"/>
            <w:vAlign w:val="center"/>
          </w:tcPr>
          <w:p w14:paraId="2661B58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19,8</w:t>
            </w:r>
          </w:p>
        </w:tc>
        <w:tc>
          <w:tcPr>
            <w:tcW w:w="993" w:type="dxa"/>
            <w:vAlign w:val="center"/>
          </w:tcPr>
          <w:p w14:paraId="0D7D437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18,2</w:t>
            </w:r>
          </w:p>
        </w:tc>
        <w:tc>
          <w:tcPr>
            <w:tcW w:w="992" w:type="dxa"/>
            <w:vAlign w:val="center"/>
          </w:tcPr>
          <w:p w14:paraId="19924D7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r>
      <w:tr w:rsidR="00396BF2" w:rsidRPr="00396BF2" w14:paraId="341AFAE5" w14:textId="77777777" w:rsidTr="00C27956">
        <w:trPr>
          <w:trHeight w:val="290"/>
          <w:jc w:val="center"/>
        </w:trPr>
        <w:tc>
          <w:tcPr>
            <w:tcW w:w="4248" w:type="dxa"/>
            <w:shd w:val="clear" w:color="auto" w:fill="auto"/>
            <w:vAlign w:val="center"/>
          </w:tcPr>
          <w:p w14:paraId="1D84CCD0"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El hospital me daría materiales para cuidarme</w:t>
            </w:r>
          </w:p>
        </w:tc>
        <w:tc>
          <w:tcPr>
            <w:tcW w:w="1417" w:type="dxa"/>
            <w:vAlign w:val="center"/>
          </w:tcPr>
          <w:p w14:paraId="0AB1FB3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32,9</w:t>
            </w:r>
          </w:p>
        </w:tc>
        <w:tc>
          <w:tcPr>
            <w:tcW w:w="1418" w:type="dxa"/>
            <w:vAlign w:val="center"/>
          </w:tcPr>
          <w:p w14:paraId="68FE400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32,2</w:t>
            </w:r>
          </w:p>
        </w:tc>
        <w:tc>
          <w:tcPr>
            <w:tcW w:w="850" w:type="dxa"/>
            <w:vAlign w:val="center"/>
          </w:tcPr>
          <w:p w14:paraId="7CEBDD8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14,9</w:t>
            </w:r>
          </w:p>
        </w:tc>
        <w:tc>
          <w:tcPr>
            <w:tcW w:w="993" w:type="dxa"/>
            <w:vAlign w:val="center"/>
          </w:tcPr>
          <w:p w14:paraId="7F9D933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c>
          <w:tcPr>
            <w:tcW w:w="992" w:type="dxa"/>
            <w:vAlign w:val="center"/>
          </w:tcPr>
          <w:p w14:paraId="5B24F6C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9,1</w:t>
            </w:r>
          </w:p>
        </w:tc>
      </w:tr>
      <w:tr w:rsidR="00396BF2" w:rsidRPr="00396BF2" w14:paraId="60B442A2" w14:textId="77777777" w:rsidTr="00C27956">
        <w:trPr>
          <w:trHeight w:val="290"/>
          <w:jc w:val="center"/>
        </w:trPr>
        <w:tc>
          <w:tcPr>
            <w:tcW w:w="4248" w:type="dxa"/>
            <w:shd w:val="clear" w:color="auto" w:fill="auto"/>
            <w:vAlign w:val="center"/>
          </w:tcPr>
          <w:p w14:paraId="0A17E030"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La universidad me daría materiales para cuidarme</w:t>
            </w:r>
          </w:p>
        </w:tc>
        <w:tc>
          <w:tcPr>
            <w:tcW w:w="1417" w:type="dxa"/>
            <w:vAlign w:val="center"/>
          </w:tcPr>
          <w:p w14:paraId="51003F5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33,9</w:t>
            </w:r>
          </w:p>
        </w:tc>
        <w:tc>
          <w:tcPr>
            <w:tcW w:w="1418" w:type="dxa"/>
            <w:vAlign w:val="center"/>
          </w:tcPr>
          <w:p w14:paraId="118BE04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38,8</w:t>
            </w:r>
          </w:p>
        </w:tc>
        <w:tc>
          <w:tcPr>
            <w:tcW w:w="850" w:type="dxa"/>
            <w:vAlign w:val="center"/>
          </w:tcPr>
          <w:p w14:paraId="3E26CEB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11,6</w:t>
            </w:r>
          </w:p>
        </w:tc>
        <w:tc>
          <w:tcPr>
            <w:tcW w:w="993" w:type="dxa"/>
            <w:vAlign w:val="center"/>
          </w:tcPr>
          <w:p w14:paraId="71D4352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c>
          <w:tcPr>
            <w:tcW w:w="992" w:type="dxa"/>
            <w:vAlign w:val="center"/>
          </w:tcPr>
          <w:p w14:paraId="7508766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5,8</w:t>
            </w:r>
          </w:p>
        </w:tc>
      </w:tr>
      <w:tr w:rsidR="00396BF2" w:rsidRPr="00396BF2" w14:paraId="29692F28" w14:textId="77777777" w:rsidTr="00C27956">
        <w:trPr>
          <w:trHeight w:val="290"/>
          <w:jc w:val="center"/>
        </w:trPr>
        <w:tc>
          <w:tcPr>
            <w:tcW w:w="4248" w:type="dxa"/>
            <w:shd w:val="clear" w:color="auto" w:fill="auto"/>
            <w:vAlign w:val="center"/>
          </w:tcPr>
          <w:p w14:paraId="7E6D379C"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El hospital me habría apoyado si me enfermaba de gravedad por el COVID-19</w:t>
            </w:r>
          </w:p>
        </w:tc>
        <w:tc>
          <w:tcPr>
            <w:tcW w:w="1417" w:type="dxa"/>
            <w:vAlign w:val="center"/>
          </w:tcPr>
          <w:p w14:paraId="3EFB580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19,8</w:t>
            </w:r>
          </w:p>
        </w:tc>
        <w:tc>
          <w:tcPr>
            <w:tcW w:w="1418" w:type="dxa"/>
            <w:vAlign w:val="center"/>
          </w:tcPr>
          <w:p w14:paraId="4B6DD8A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28,1</w:t>
            </w:r>
          </w:p>
        </w:tc>
        <w:tc>
          <w:tcPr>
            <w:tcW w:w="850" w:type="dxa"/>
            <w:vAlign w:val="center"/>
          </w:tcPr>
          <w:p w14:paraId="501CF75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25,6</w:t>
            </w:r>
          </w:p>
        </w:tc>
        <w:tc>
          <w:tcPr>
            <w:tcW w:w="993" w:type="dxa"/>
            <w:vAlign w:val="center"/>
          </w:tcPr>
          <w:p w14:paraId="02490CA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17,4</w:t>
            </w:r>
          </w:p>
        </w:tc>
        <w:tc>
          <w:tcPr>
            <w:tcW w:w="992" w:type="dxa"/>
            <w:vAlign w:val="center"/>
          </w:tcPr>
          <w:p w14:paraId="477688C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9,1</w:t>
            </w:r>
          </w:p>
        </w:tc>
      </w:tr>
      <w:tr w:rsidR="00396BF2" w:rsidRPr="00396BF2" w14:paraId="10E8CCD1" w14:textId="77777777" w:rsidTr="00C27956">
        <w:trPr>
          <w:trHeight w:val="290"/>
          <w:jc w:val="center"/>
        </w:trPr>
        <w:tc>
          <w:tcPr>
            <w:tcW w:w="4248" w:type="dxa"/>
            <w:shd w:val="clear" w:color="auto" w:fill="auto"/>
            <w:vAlign w:val="center"/>
          </w:tcPr>
          <w:p w14:paraId="4342D03F"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La universidad me habría apoyado si me enfermaba de gravedad por el COVID-19</w:t>
            </w:r>
          </w:p>
        </w:tc>
        <w:tc>
          <w:tcPr>
            <w:tcW w:w="1417" w:type="dxa"/>
            <w:vAlign w:val="center"/>
          </w:tcPr>
          <w:p w14:paraId="753BDBFF"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28,9</w:t>
            </w:r>
          </w:p>
        </w:tc>
        <w:tc>
          <w:tcPr>
            <w:tcW w:w="1418" w:type="dxa"/>
            <w:vAlign w:val="center"/>
          </w:tcPr>
          <w:p w14:paraId="1473C10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38,8</w:t>
            </w:r>
          </w:p>
        </w:tc>
        <w:tc>
          <w:tcPr>
            <w:tcW w:w="850" w:type="dxa"/>
            <w:vAlign w:val="center"/>
          </w:tcPr>
          <w:p w14:paraId="37C1A32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13,2</w:t>
            </w:r>
          </w:p>
        </w:tc>
        <w:tc>
          <w:tcPr>
            <w:tcW w:w="993" w:type="dxa"/>
            <w:vAlign w:val="center"/>
          </w:tcPr>
          <w:p w14:paraId="1A9C048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11,6</w:t>
            </w:r>
          </w:p>
        </w:tc>
        <w:tc>
          <w:tcPr>
            <w:tcW w:w="992" w:type="dxa"/>
            <w:vAlign w:val="center"/>
          </w:tcPr>
          <w:p w14:paraId="6E676DB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7,5</w:t>
            </w:r>
          </w:p>
        </w:tc>
      </w:tr>
      <w:tr w:rsidR="00396BF2" w:rsidRPr="00396BF2" w14:paraId="78D7D4FE" w14:textId="77777777" w:rsidTr="00C27956">
        <w:trPr>
          <w:trHeight w:val="290"/>
          <w:jc w:val="center"/>
        </w:trPr>
        <w:tc>
          <w:tcPr>
            <w:tcW w:w="4248" w:type="dxa"/>
            <w:shd w:val="clear" w:color="auto" w:fill="auto"/>
            <w:vAlign w:val="center"/>
          </w:tcPr>
          <w:p w14:paraId="4E061E67"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Mi familia me habría apoyado si me enfermaba de gravedad por el COVID-19</w:t>
            </w:r>
          </w:p>
        </w:tc>
        <w:tc>
          <w:tcPr>
            <w:tcW w:w="1417" w:type="dxa"/>
            <w:vAlign w:val="center"/>
          </w:tcPr>
          <w:p w14:paraId="5BC9434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c>
          <w:tcPr>
            <w:tcW w:w="1418" w:type="dxa"/>
            <w:vAlign w:val="center"/>
          </w:tcPr>
          <w:p w14:paraId="5326461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8,3</w:t>
            </w:r>
          </w:p>
        </w:tc>
        <w:tc>
          <w:tcPr>
            <w:tcW w:w="850" w:type="dxa"/>
            <w:vAlign w:val="center"/>
          </w:tcPr>
          <w:p w14:paraId="7E5CD27F"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4,1</w:t>
            </w:r>
          </w:p>
        </w:tc>
        <w:tc>
          <w:tcPr>
            <w:tcW w:w="993" w:type="dxa"/>
            <w:vAlign w:val="center"/>
          </w:tcPr>
          <w:p w14:paraId="4A045E0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22,3</w:t>
            </w:r>
          </w:p>
        </w:tc>
        <w:tc>
          <w:tcPr>
            <w:tcW w:w="992" w:type="dxa"/>
            <w:vAlign w:val="center"/>
          </w:tcPr>
          <w:p w14:paraId="2498112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55,4</w:t>
            </w:r>
          </w:p>
        </w:tc>
      </w:tr>
      <w:tr w:rsidR="00396BF2" w:rsidRPr="00396BF2" w14:paraId="47CEF406" w14:textId="77777777" w:rsidTr="00C27956">
        <w:trPr>
          <w:trHeight w:val="526"/>
          <w:jc w:val="center"/>
        </w:trPr>
        <w:tc>
          <w:tcPr>
            <w:tcW w:w="4248" w:type="dxa"/>
            <w:shd w:val="clear" w:color="auto" w:fill="auto"/>
            <w:vAlign w:val="center"/>
          </w:tcPr>
          <w:p w14:paraId="0B1318D3"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Mi familia me daría materiales para cuidarme</w:t>
            </w:r>
          </w:p>
        </w:tc>
        <w:tc>
          <w:tcPr>
            <w:tcW w:w="1417" w:type="dxa"/>
            <w:vAlign w:val="center"/>
          </w:tcPr>
          <w:p w14:paraId="76AC169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16,4</w:t>
            </w:r>
          </w:p>
        </w:tc>
        <w:tc>
          <w:tcPr>
            <w:tcW w:w="1418" w:type="dxa"/>
            <w:vAlign w:val="center"/>
          </w:tcPr>
          <w:p w14:paraId="42EA903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11,6</w:t>
            </w:r>
          </w:p>
        </w:tc>
        <w:tc>
          <w:tcPr>
            <w:tcW w:w="850" w:type="dxa"/>
            <w:vAlign w:val="center"/>
          </w:tcPr>
          <w:p w14:paraId="3BAA87A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11,6</w:t>
            </w:r>
          </w:p>
        </w:tc>
        <w:tc>
          <w:tcPr>
            <w:tcW w:w="993" w:type="dxa"/>
            <w:vAlign w:val="center"/>
          </w:tcPr>
          <w:p w14:paraId="182237E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33,1</w:t>
            </w:r>
          </w:p>
        </w:tc>
        <w:tc>
          <w:tcPr>
            <w:tcW w:w="992" w:type="dxa"/>
            <w:vAlign w:val="center"/>
          </w:tcPr>
          <w:p w14:paraId="73C781E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27,3</w:t>
            </w:r>
          </w:p>
        </w:tc>
      </w:tr>
      <w:tr w:rsidR="00396BF2" w:rsidRPr="00396BF2" w14:paraId="240CF398" w14:textId="77777777" w:rsidTr="00C27956">
        <w:trPr>
          <w:trHeight w:val="290"/>
          <w:jc w:val="center"/>
        </w:trPr>
        <w:tc>
          <w:tcPr>
            <w:tcW w:w="4248" w:type="dxa"/>
            <w:shd w:val="clear" w:color="auto" w:fill="auto"/>
            <w:vAlign w:val="center"/>
          </w:tcPr>
          <w:p w14:paraId="69746F1B"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Podría haber infectado a un familiar si continuaba yendo al hospital</w:t>
            </w:r>
          </w:p>
        </w:tc>
        <w:tc>
          <w:tcPr>
            <w:tcW w:w="1417" w:type="dxa"/>
            <w:vAlign w:val="center"/>
          </w:tcPr>
          <w:p w14:paraId="32D7525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c>
          <w:tcPr>
            <w:tcW w:w="1418" w:type="dxa"/>
            <w:vAlign w:val="center"/>
          </w:tcPr>
          <w:p w14:paraId="097EFD9F"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11,6</w:t>
            </w:r>
          </w:p>
        </w:tc>
        <w:tc>
          <w:tcPr>
            <w:tcW w:w="850" w:type="dxa"/>
            <w:vAlign w:val="center"/>
          </w:tcPr>
          <w:p w14:paraId="67D475B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5,8</w:t>
            </w:r>
          </w:p>
        </w:tc>
        <w:tc>
          <w:tcPr>
            <w:tcW w:w="993" w:type="dxa"/>
            <w:vAlign w:val="center"/>
          </w:tcPr>
          <w:p w14:paraId="5CB47C6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33,9</w:t>
            </w:r>
          </w:p>
        </w:tc>
        <w:tc>
          <w:tcPr>
            <w:tcW w:w="992" w:type="dxa"/>
            <w:vAlign w:val="center"/>
          </w:tcPr>
          <w:p w14:paraId="1314E7C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38,8</w:t>
            </w:r>
          </w:p>
        </w:tc>
      </w:tr>
      <w:tr w:rsidR="00396BF2" w:rsidRPr="00396BF2" w14:paraId="7B0AA699" w14:textId="77777777" w:rsidTr="00C27956">
        <w:trPr>
          <w:trHeight w:val="290"/>
          <w:jc w:val="center"/>
        </w:trPr>
        <w:tc>
          <w:tcPr>
            <w:tcW w:w="4248" w:type="dxa"/>
            <w:shd w:val="clear" w:color="auto" w:fill="auto"/>
            <w:vAlign w:val="center"/>
          </w:tcPr>
          <w:p w14:paraId="1FE9E570"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Podría haber infectado a alguna amistad o conocido si continuaba yendo al hospital</w:t>
            </w:r>
          </w:p>
        </w:tc>
        <w:tc>
          <w:tcPr>
            <w:tcW w:w="1417" w:type="dxa"/>
            <w:vAlign w:val="center"/>
          </w:tcPr>
          <w:p w14:paraId="6B13BDA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12,4</w:t>
            </w:r>
          </w:p>
        </w:tc>
        <w:tc>
          <w:tcPr>
            <w:tcW w:w="1418" w:type="dxa"/>
            <w:vAlign w:val="center"/>
          </w:tcPr>
          <w:p w14:paraId="6F5F597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7,5</w:t>
            </w:r>
          </w:p>
        </w:tc>
        <w:tc>
          <w:tcPr>
            <w:tcW w:w="850" w:type="dxa"/>
            <w:vAlign w:val="center"/>
          </w:tcPr>
          <w:p w14:paraId="37F884F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10,7</w:t>
            </w:r>
          </w:p>
        </w:tc>
        <w:tc>
          <w:tcPr>
            <w:tcW w:w="993" w:type="dxa"/>
            <w:vAlign w:val="center"/>
          </w:tcPr>
          <w:p w14:paraId="541119D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32,2</w:t>
            </w:r>
          </w:p>
        </w:tc>
        <w:tc>
          <w:tcPr>
            <w:tcW w:w="992" w:type="dxa"/>
            <w:vAlign w:val="center"/>
          </w:tcPr>
          <w:p w14:paraId="2F195CD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37,2</w:t>
            </w:r>
          </w:p>
        </w:tc>
      </w:tr>
      <w:tr w:rsidR="00396BF2" w:rsidRPr="00396BF2" w14:paraId="0AC3DB56" w14:textId="77777777" w:rsidTr="00C27956">
        <w:trPr>
          <w:trHeight w:val="290"/>
          <w:jc w:val="center"/>
        </w:trPr>
        <w:tc>
          <w:tcPr>
            <w:tcW w:w="4248" w:type="dxa"/>
            <w:shd w:val="clear" w:color="auto" w:fill="auto"/>
            <w:vAlign w:val="center"/>
          </w:tcPr>
          <w:p w14:paraId="62A63244"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Ir a hospitales cuando la situación esté "mejor"</w:t>
            </w:r>
          </w:p>
        </w:tc>
        <w:tc>
          <w:tcPr>
            <w:tcW w:w="1417" w:type="dxa"/>
            <w:vAlign w:val="center"/>
          </w:tcPr>
          <w:p w14:paraId="1CE3501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9,9</w:t>
            </w:r>
          </w:p>
        </w:tc>
        <w:tc>
          <w:tcPr>
            <w:tcW w:w="1418" w:type="dxa"/>
            <w:vAlign w:val="center"/>
          </w:tcPr>
          <w:p w14:paraId="57855A9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11,5</w:t>
            </w:r>
          </w:p>
        </w:tc>
        <w:tc>
          <w:tcPr>
            <w:tcW w:w="850" w:type="dxa"/>
            <w:vAlign w:val="center"/>
          </w:tcPr>
          <w:p w14:paraId="31F0A4C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14,9</w:t>
            </w:r>
          </w:p>
        </w:tc>
        <w:tc>
          <w:tcPr>
            <w:tcW w:w="993" w:type="dxa"/>
            <w:vAlign w:val="center"/>
          </w:tcPr>
          <w:p w14:paraId="77EE24E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33,1</w:t>
            </w:r>
          </w:p>
        </w:tc>
        <w:tc>
          <w:tcPr>
            <w:tcW w:w="992" w:type="dxa"/>
            <w:vAlign w:val="center"/>
          </w:tcPr>
          <w:p w14:paraId="060BB8F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30,6</w:t>
            </w:r>
          </w:p>
        </w:tc>
      </w:tr>
    </w:tbl>
    <w:p w14:paraId="16C23289" w14:textId="77777777" w:rsidR="00396BF2" w:rsidRPr="00396BF2" w:rsidRDefault="00396BF2" w:rsidP="00396BF2">
      <w:pPr>
        <w:spacing w:line="360" w:lineRule="auto"/>
        <w:jc w:val="both"/>
        <w:rPr>
          <w:rFonts w:eastAsia="Calibri"/>
          <w:lang w:val="es-ES" w:eastAsia="es-PE"/>
        </w:rPr>
      </w:pPr>
    </w:p>
    <w:p w14:paraId="33195F67"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En la estadística analítica se encontró que hubo asociación entre pensar que se habría contagiado de la COVID-19 si seguía yendo al hospital, versus el puntaje de ansiedad (p= 0,030); el sexo, según la percepción de que la universidad les daría los materiales para cuidarse (p= 0,029) y provenir de una universidad privada; según percibir que el hospital no le hubiese apoyado si es que se enfermaba de gravedad por la COVID-19 (p= 0,049) (tabla 3).</w:t>
      </w:r>
    </w:p>
    <w:p w14:paraId="6F6DBDA5" w14:textId="77777777" w:rsidR="00396BF2" w:rsidRPr="00396BF2" w:rsidRDefault="00396BF2" w:rsidP="00396BF2">
      <w:pPr>
        <w:spacing w:line="360" w:lineRule="auto"/>
        <w:jc w:val="both"/>
        <w:rPr>
          <w:rFonts w:eastAsia="Calibri"/>
          <w:lang w:val="es-ES" w:eastAsia="es-PE"/>
        </w:rPr>
      </w:pPr>
    </w:p>
    <w:p w14:paraId="60114ADE" w14:textId="77777777" w:rsidR="00396BF2" w:rsidRPr="00396BF2" w:rsidRDefault="00396BF2" w:rsidP="00396BF2">
      <w:pPr>
        <w:spacing w:after="160" w:line="259" w:lineRule="auto"/>
        <w:rPr>
          <w:rFonts w:eastAsia="Calibri"/>
          <w:b/>
          <w:bCs/>
          <w:sz w:val="22"/>
          <w:szCs w:val="22"/>
          <w:lang w:val="es-ES" w:eastAsia="es-PE"/>
        </w:rPr>
      </w:pPr>
      <w:r w:rsidRPr="00396BF2">
        <w:rPr>
          <w:rFonts w:eastAsia="Calibri"/>
          <w:b/>
          <w:bCs/>
          <w:sz w:val="22"/>
          <w:szCs w:val="22"/>
          <w:lang w:val="es-ES" w:eastAsia="es-PE"/>
        </w:rPr>
        <w:br w:type="page"/>
      </w:r>
    </w:p>
    <w:p w14:paraId="1271FE18" w14:textId="77777777" w:rsidR="00396BF2" w:rsidRPr="00396BF2" w:rsidRDefault="00396BF2" w:rsidP="00396BF2">
      <w:pPr>
        <w:spacing w:line="360" w:lineRule="auto"/>
        <w:jc w:val="center"/>
        <w:rPr>
          <w:rFonts w:eastAsia="Calibri"/>
          <w:sz w:val="22"/>
          <w:szCs w:val="22"/>
          <w:lang w:val="es-ES" w:eastAsia="es-PE"/>
        </w:rPr>
      </w:pPr>
      <w:r w:rsidRPr="00396BF2">
        <w:rPr>
          <w:rFonts w:eastAsia="Calibri"/>
          <w:b/>
          <w:bCs/>
          <w:sz w:val="22"/>
          <w:szCs w:val="22"/>
          <w:lang w:val="es-ES" w:eastAsia="es-PE"/>
        </w:rPr>
        <w:lastRenderedPageBreak/>
        <w:t>Tabla 3 -</w:t>
      </w:r>
      <w:r w:rsidRPr="00396BF2">
        <w:rPr>
          <w:rFonts w:eastAsia="Calibri"/>
          <w:sz w:val="22"/>
          <w:szCs w:val="22"/>
          <w:lang w:val="es-ES" w:eastAsia="es-PE"/>
        </w:rPr>
        <w:t xml:space="preserve"> Estadística analítica de los factores asociados a estar de acuerdo o muy de acuerdo con las 15 posibles repercusiones percibidas por los internos de la salud en el Perú</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00" w:firstRow="0" w:lastRow="0" w:firstColumn="0" w:lastColumn="0" w:noHBand="0" w:noVBand="1"/>
      </w:tblPr>
      <w:tblGrid>
        <w:gridCol w:w="5103"/>
        <w:gridCol w:w="709"/>
        <w:gridCol w:w="709"/>
        <w:gridCol w:w="992"/>
        <w:gridCol w:w="851"/>
        <w:gridCol w:w="987"/>
        <w:gridCol w:w="929"/>
      </w:tblGrid>
      <w:tr w:rsidR="00396BF2" w:rsidRPr="00396BF2" w14:paraId="7E1DB3AF" w14:textId="77777777" w:rsidTr="00C27956">
        <w:trPr>
          <w:trHeight w:val="290"/>
          <w:jc w:val="center"/>
        </w:trPr>
        <w:tc>
          <w:tcPr>
            <w:tcW w:w="5103" w:type="dxa"/>
            <w:shd w:val="clear" w:color="auto" w:fill="auto"/>
            <w:vAlign w:val="center"/>
          </w:tcPr>
          <w:p w14:paraId="3A2D9139"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De acuerdo o muy de acuerdo con que…</w:t>
            </w:r>
          </w:p>
        </w:tc>
        <w:tc>
          <w:tcPr>
            <w:tcW w:w="709" w:type="dxa"/>
            <w:vAlign w:val="center"/>
          </w:tcPr>
          <w:p w14:paraId="0128FB85"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Sexo</w:t>
            </w:r>
          </w:p>
        </w:tc>
        <w:tc>
          <w:tcPr>
            <w:tcW w:w="709" w:type="dxa"/>
            <w:vAlign w:val="center"/>
          </w:tcPr>
          <w:p w14:paraId="1C45DF8E"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Edad</w:t>
            </w:r>
          </w:p>
        </w:tc>
        <w:tc>
          <w:tcPr>
            <w:tcW w:w="992" w:type="dxa"/>
            <w:vAlign w:val="center"/>
          </w:tcPr>
          <w:p w14:paraId="3F9E13F1"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U. Privada</w:t>
            </w:r>
          </w:p>
        </w:tc>
        <w:tc>
          <w:tcPr>
            <w:tcW w:w="851" w:type="dxa"/>
            <w:vAlign w:val="center"/>
          </w:tcPr>
          <w:p w14:paraId="2E6FE339"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Estrés</w:t>
            </w:r>
          </w:p>
        </w:tc>
        <w:tc>
          <w:tcPr>
            <w:tcW w:w="987" w:type="dxa"/>
            <w:vAlign w:val="center"/>
          </w:tcPr>
          <w:p w14:paraId="156CDBA0"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Ansiedad</w:t>
            </w:r>
          </w:p>
        </w:tc>
        <w:tc>
          <w:tcPr>
            <w:tcW w:w="929" w:type="dxa"/>
            <w:vAlign w:val="center"/>
          </w:tcPr>
          <w:p w14:paraId="0C323B68" w14:textId="77777777" w:rsidR="00396BF2" w:rsidRPr="00396BF2" w:rsidRDefault="00396BF2" w:rsidP="00396BF2">
            <w:pPr>
              <w:spacing w:line="360" w:lineRule="auto"/>
              <w:jc w:val="center"/>
              <w:rPr>
                <w:rFonts w:eastAsia="Arial"/>
                <w:b/>
                <w:bCs/>
                <w:sz w:val="18"/>
                <w:szCs w:val="18"/>
                <w:lang w:val="es-ES" w:eastAsia="es-PE"/>
              </w:rPr>
            </w:pPr>
            <w:r w:rsidRPr="00396BF2">
              <w:rPr>
                <w:rFonts w:eastAsia="Arial"/>
                <w:b/>
                <w:bCs/>
                <w:sz w:val="18"/>
                <w:szCs w:val="18"/>
                <w:lang w:val="es-ES" w:eastAsia="es-PE"/>
              </w:rPr>
              <w:t>Depresión</w:t>
            </w:r>
          </w:p>
        </w:tc>
      </w:tr>
      <w:tr w:rsidR="00396BF2" w:rsidRPr="00396BF2" w14:paraId="0C17546C" w14:textId="77777777" w:rsidTr="00C27956">
        <w:trPr>
          <w:trHeight w:val="290"/>
          <w:jc w:val="center"/>
        </w:trPr>
        <w:tc>
          <w:tcPr>
            <w:tcW w:w="5103" w:type="dxa"/>
            <w:shd w:val="clear" w:color="auto" w:fill="auto"/>
            <w:vAlign w:val="center"/>
          </w:tcPr>
          <w:p w14:paraId="54833589"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He perdido este año académico</w:t>
            </w:r>
          </w:p>
        </w:tc>
        <w:tc>
          <w:tcPr>
            <w:tcW w:w="709" w:type="dxa"/>
            <w:vAlign w:val="center"/>
          </w:tcPr>
          <w:p w14:paraId="48A9B77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31EF286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3EED62F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33FA610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2768B4A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76E6B76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738F87D6" w14:textId="77777777" w:rsidTr="00C27956">
        <w:trPr>
          <w:trHeight w:val="290"/>
          <w:jc w:val="center"/>
        </w:trPr>
        <w:tc>
          <w:tcPr>
            <w:tcW w:w="5103" w:type="dxa"/>
            <w:shd w:val="clear" w:color="auto" w:fill="auto"/>
            <w:vAlign w:val="center"/>
          </w:tcPr>
          <w:p w14:paraId="760E70E6"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 xml:space="preserve">Esto repercutirá en mi conocimiento </w:t>
            </w:r>
          </w:p>
        </w:tc>
        <w:tc>
          <w:tcPr>
            <w:tcW w:w="709" w:type="dxa"/>
            <w:vAlign w:val="center"/>
          </w:tcPr>
          <w:p w14:paraId="230E143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6E29D10D"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5545C87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7128A16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3EC49EE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181187B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273AF2A9" w14:textId="77777777" w:rsidTr="00C27956">
        <w:trPr>
          <w:trHeight w:val="290"/>
          <w:jc w:val="center"/>
        </w:trPr>
        <w:tc>
          <w:tcPr>
            <w:tcW w:w="5103" w:type="dxa"/>
            <w:shd w:val="clear" w:color="auto" w:fill="auto"/>
            <w:vAlign w:val="center"/>
          </w:tcPr>
          <w:p w14:paraId="645B0437"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Esto repercutirá en la atención/las actividades que haga en mi SERUMS</w:t>
            </w:r>
          </w:p>
        </w:tc>
        <w:tc>
          <w:tcPr>
            <w:tcW w:w="709" w:type="dxa"/>
            <w:vAlign w:val="center"/>
          </w:tcPr>
          <w:p w14:paraId="12BDAC5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118950D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5BEEE34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7692FEB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0042114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019E0BE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79188190" w14:textId="77777777" w:rsidTr="00C27956">
        <w:trPr>
          <w:trHeight w:val="290"/>
          <w:jc w:val="center"/>
        </w:trPr>
        <w:tc>
          <w:tcPr>
            <w:tcW w:w="5103" w:type="dxa"/>
            <w:shd w:val="clear" w:color="auto" w:fill="auto"/>
            <w:vAlign w:val="center"/>
          </w:tcPr>
          <w:p w14:paraId="1B7C1487"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Esto repercutirá en la atención/las actividades en la especialidad</w:t>
            </w:r>
          </w:p>
        </w:tc>
        <w:tc>
          <w:tcPr>
            <w:tcW w:w="709" w:type="dxa"/>
            <w:vAlign w:val="center"/>
          </w:tcPr>
          <w:p w14:paraId="022C30A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74530D3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312F110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75AD623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179D603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0B8143F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64AE77A2" w14:textId="77777777" w:rsidTr="00C27956">
        <w:trPr>
          <w:trHeight w:val="290"/>
          <w:jc w:val="center"/>
        </w:trPr>
        <w:tc>
          <w:tcPr>
            <w:tcW w:w="5103" w:type="dxa"/>
            <w:shd w:val="clear" w:color="auto" w:fill="auto"/>
            <w:vAlign w:val="center"/>
          </w:tcPr>
          <w:p w14:paraId="3C2F6BAC"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 xml:space="preserve">Si podía seguir yendo al hospital </w:t>
            </w:r>
          </w:p>
        </w:tc>
        <w:tc>
          <w:tcPr>
            <w:tcW w:w="709" w:type="dxa"/>
            <w:vAlign w:val="center"/>
          </w:tcPr>
          <w:p w14:paraId="024270C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49EDBDE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409B8D4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2A86DFE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1347E92D"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48C9116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1C5B3F8D" w14:textId="77777777" w:rsidTr="00C27956">
        <w:trPr>
          <w:trHeight w:val="290"/>
          <w:jc w:val="center"/>
        </w:trPr>
        <w:tc>
          <w:tcPr>
            <w:tcW w:w="5103" w:type="dxa"/>
            <w:shd w:val="clear" w:color="auto" w:fill="auto"/>
            <w:vAlign w:val="center"/>
          </w:tcPr>
          <w:p w14:paraId="1430776B"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No me habría contagiado si iba al hospital*</w:t>
            </w:r>
          </w:p>
        </w:tc>
        <w:tc>
          <w:tcPr>
            <w:tcW w:w="709" w:type="dxa"/>
            <w:vAlign w:val="center"/>
          </w:tcPr>
          <w:p w14:paraId="2261F72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2352436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shd w:val="clear" w:color="auto" w:fill="auto"/>
            <w:vAlign w:val="center"/>
          </w:tcPr>
          <w:p w14:paraId="25F0391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shd w:val="clear" w:color="auto" w:fill="auto"/>
            <w:vAlign w:val="center"/>
          </w:tcPr>
          <w:p w14:paraId="0BCAA7B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shd w:val="clear" w:color="auto" w:fill="auto"/>
            <w:vAlign w:val="center"/>
          </w:tcPr>
          <w:p w14:paraId="7891873F"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0,030</w:t>
            </w:r>
          </w:p>
        </w:tc>
        <w:tc>
          <w:tcPr>
            <w:tcW w:w="929" w:type="dxa"/>
            <w:vAlign w:val="center"/>
          </w:tcPr>
          <w:p w14:paraId="01FE85AF"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667125F9" w14:textId="77777777" w:rsidTr="00C27956">
        <w:trPr>
          <w:trHeight w:val="290"/>
          <w:jc w:val="center"/>
        </w:trPr>
        <w:tc>
          <w:tcPr>
            <w:tcW w:w="5103" w:type="dxa"/>
            <w:shd w:val="clear" w:color="auto" w:fill="auto"/>
            <w:vAlign w:val="center"/>
          </w:tcPr>
          <w:p w14:paraId="73A1C7CF"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El hospital NO me daría materiales para cuidarme*</w:t>
            </w:r>
          </w:p>
        </w:tc>
        <w:tc>
          <w:tcPr>
            <w:tcW w:w="709" w:type="dxa"/>
            <w:shd w:val="clear" w:color="auto" w:fill="auto"/>
            <w:vAlign w:val="center"/>
          </w:tcPr>
          <w:p w14:paraId="207B3AE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shd w:val="clear" w:color="auto" w:fill="auto"/>
            <w:vAlign w:val="center"/>
          </w:tcPr>
          <w:p w14:paraId="328F563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shd w:val="clear" w:color="auto" w:fill="auto"/>
            <w:vAlign w:val="center"/>
          </w:tcPr>
          <w:p w14:paraId="3FEB022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shd w:val="clear" w:color="auto" w:fill="auto"/>
            <w:vAlign w:val="center"/>
          </w:tcPr>
          <w:p w14:paraId="35BD5B6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shd w:val="clear" w:color="auto" w:fill="auto"/>
            <w:vAlign w:val="center"/>
          </w:tcPr>
          <w:p w14:paraId="3C68F0E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20EE063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2FF95D7E" w14:textId="77777777" w:rsidTr="00C27956">
        <w:trPr>
          <w:trHeight w:val="290"/>
          <w:jc w:val="center"/>
        </w:trPr>
        <w:tc>
          <w:tcPr>
            <w:tcW w:w="5103" w:type="dxa"/>
            <w:shd w:val="clear" w:color="auto" w:fill="auto"/>
            <w:vAlign w:val="center"/>
          </w:tcPr>
          <w:p w14:paraId="1DCAB1ED"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La universidad NO me daría materiales para cuidarme*</w:t>
            </w:r>
          </w:p>
        </w:tc>
        <w:tc>
          <w:tcPr>
            <w:tcW w:w="709" w:type="dxa"/>
            <w:shd w:val="clear" w:color="auto" w:fill="auto"/>
            <w:vAlign w:val="center"/>
          </w:tcPr>
          <w:p w14:paraId="04189D3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0,029</w:t>
            </w:r>
          </w:p>
        </w:tc>
        <w:tc>
          <w:tcPr>
            <w:tcW w:w="709" w:type="dxa"/>
            <w:shd w:val="clear" w:color="auto" w:fill="auto"/>
            <w:vAlign w:val="center"/>
          </w:tcPr>
          <w:p w14:paraId="3F54828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shd w:val="clear" w:color="auto" w:fill="auto"/>
            <w:vAlign w:val="center"/>
          </w:tcPr>
          <w:p w14:paraId="2820415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shd w:val="clear" w:color="auto" w:fill="auto"/>
            <w:vAlign w:val="center"/>
          </w:tcPr>
          <w:p w14:paraId="7876BD2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shd w:val="clear" w:color="auto" w:fill="auto"/>
            <w:vAlign w:val="center"/>
          </w:tcPr>
          <w:p w14:paraId="7E44781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23C0A15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4B6556D3" w14:textId="77777777" w:rsidTr="00C27956">
        <w:trPr>
          <w:trHeight w:val="290"/>
          <w:jc w:val="center"/>
        </w:trPr>
        <w:tc>
          <w:tcPr>
            <w:tcW w:w="5103" w:type="dxa"/>
            <w:shd w:val="clear" w:color="auto" w:fill="auto"/>
            <w:vAlign w:val="center"/>
          </w:tcPr>
          <w:p w14:paraId="0C84860A"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El hospital NO me habría apoyado si me enfermaba de gravedad por el COVID-19*</w:t>
            </w:r>
          </w:p>
        </w:tc>
        <w:tc>
          <w:tcPr>
            <w:tcW w:w="709" w:type="dxa"/>
            <w:shd w:val="clear" w:color="auto" w:fill="auto"/>
            <w:vAlign w:val="center"/>
          </w:tcPr>
          <w:p w14:paraId="5316EA4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shd w:val="clear" w:color="auto" w:fill="auto"/>
            <w:vAlign w:val="center"/>
          </w:tcPr>
          <w:p w14:paraId="3125711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shd w:val="clear" w:color="auto" w:fill="auto"/>
            <w:vAlign w:val="center"/>
          </w:tcPr>
          <w:p w14:paraId="046F6E86"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0,049</w:t>
            </w:r>
          </w:p>
        </w:tc>
        <w:tc>
          <w:tcPr>
            <w:tcW w:w="851" w:type="dxa"/>
            <w:shd w:val="clear" w:color="auto" w:fill="auto"/>
            <w:vAlign w:val="center"/>
          </w:tcPr>
          <w:p w14:paraId="41EFB9E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shd w:val="clear" w:color="auto" w:fill="auto"/>
            <w:vAlign w:val="center"/>
          </w:tcPr>
          <w:p w14:paraId="24BAFD9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349ECE8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50D66C0C" w14:textId="77777777" w:rsidTr="00C27956">
        <w:trPr>
          <w:trHeight w:val="83"/>
          <w:jc w:val="center"/>
        </w:trPr>
        <w:tc>
          <w:tcPr>
            <w:tcW w:w="5103" w:type="dxa"/>
            <w:shd w:val="clear" w:color="auto" w:fill="auto"/>
            <w:vAlign w:val="center"/>
          </w:tcPr>
          <w:p w14:paraId="09C0B153"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La universidad NO me habría apoyado si me enfermaba de gravedad por el COVID-19*</w:t>
            </w:r>
          </w:p>
        </w:tc>
        <w:tc>
          <w:tcPr>
            <w:tcW w:w="709" w:type="dxa"/>
            <w:shd w:val="clear" w:color="auto" w:fill="auto"/>
            <w:vAlign w:val="center"/>
          </w:tcPr>
          <w:p w14:paraId="405F7A5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shd w:val="clear" w:color="auto" w:fill="auto"/>
            <w:vAlign w:val="center"/>
          </w:tcPr>
          <w:p w14:paraId="29E6515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shd w:val="clear" w:color="auto" w:fill="auto"/>
            <w:vAlign w:val="center"/>
          </w:tcPr>
          <w:p w14:paraId="03CB9E13"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shd w:val="clear" w:color="auto" w:fill="auto"/>
            <w:vAlign w:val="center"/>
          </w:tcPr>
          <w:p w14:paraId="357BF11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shd w:val="clear" w:color="auto" w:fill="auto"/>
            <w:vAlign w:val="center"/>
          </w:tcPr>
          <w:p w14:paraId="6EDD671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3EC96FE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30F757FA" w14:textId="77777777" w:rsidTr="00C27956">
        <w:trPr>
          <w:trHeight w:val="290"/>
          <w:jc w:val="center"/>
        </w:trPr>
        <w:tc>
          <w:tcPr>
            <w:tcW w:w="5103" w:type="dxa"/>
            <w:shd w:val="clear" w:color="auto" w:fill="auto"/>
            <w:vAlign w:val="center"/>
          </w:tcPr>
          <w:p w14:paraId="4CFBE99E"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Mi familia me habría apoyado si me enfermaba de gravedad por el COVID-19</w:t>
            </w:r>
          </w:p>
        </w:tc>
        <w:tc>
          <w:tcPr>
            <w:tcW w:w="709" w:type="dxa"/>
            <w:shd w:val="clear" w:color="auto" w:fill="auto"/>
            <w:vAlign w:val="center"/>
          </w:tcPr>
          <w:p w14:paraId="773E236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shd w:val="clear" w:color="auto" w:fill="auto"/>
            <w:vAlign w:val="center"/>
          </w:tcPr>
          <w:p w14:paraId="25E0C11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shd w:val="clear" w:color="auto" w:fill="auto"/>
            <w:vAlign w:val="center"/>
          </w:tcPr>
          <w:p w14:paraId="3A5C82A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shd w:val="clear" w:color="auto" w:fill="auto"/>
            <w:vAlign w:val="center"/>
          </w:tcPr>
          <w:p w14:paraId="0A0DC8D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shd w:val="clear" w:color="auto" w:fill="auto"/>
            <w:vAlign w:val="center"/>
          </w:tcPr>
          <w:p w14:paraId="4DDFB1F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19BADE85"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7A63679F" w14:textId="77777777" w:rsidTr="00C27956">
        <w:trPr>
          <w:trHeight w:val="290"/>
          <w:jc w:val="center"/>
        </w:trPr>
        <w:tc>
          <w:tcPr>
            <w:tcW w:w="5103" w:type="dxa"/>
            <w:shd w:val="clear" w:color="auto" w:fill="auto"/>
            <w:vAlign w:val="center"/>
          </w:tcPr>
          <w:p w14:paraId="1BF6EC7C"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Mi familia me daría materiales para cuidarme</w:t>
            </w:r>
          </w:p>
        </w:tc>
        <w:tc>
          <w:tcPr>
            <w:tcW w:w="709" w:type="dxa"/>
            <w:vAlign w:val="center"/>
          </w:tcPr>
          <w:p w14:paraId="6ADB22A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73CCE65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16AE502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3844F3C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4849FC4E"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59610757"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51775A8B" w14:textId="77777777" w:rsidTr="00C27956">
        <w:trPr>
          <w:trHeight w:val="290"/>
          <w:jc w:val="center"/>
        </w:trPr>
        <w:tc>
          <w:tcPr>
            <w:tcW w:w="5103" w:type="dxa"/>
            <w:shd w:val="clear" w:color="auto" w:fill="auto"/>
            <w:vAlign w:val="center"/>
          </w:tcPr>
          <w:p w14:paraId="528B48DB"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Podría haber infectado a un familiar si continuaba yendo al hospital</w:t>
            </w:r>
          </w:p>
        </w:tc>
        <w:tc>
          <w:tcPr>
            <w:tcW w:w="709" w:type="dxa"/>
            <w:vAlign w:val="center"/>
          </w:tcPr>
          <w:p w14:paraId="4476CA6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1C3FD140"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574B3314"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7AF3744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68BFFAB1"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280135BD"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6C3B8712" w14:textId="77777777" w:rsidTr="00C27956">
        <w:trPr>
          <w:trHeight w:val="50"/>
          <w:jc w:val="center"/>
        </w:trPr>
        <w:tc>
          <w:tcPr>
            <w:tcW w:w="5103" w:type="dxa"/>
            <w:shd w:val="clear" w:color="auto" w:fill="auto"/>
            <w:vAlign w:val="center"/>
          </w:tcPr>
          <w:p w14:paraId="6AD959E4"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Podría haber infectado a alguna amistad o conocido si continuaba yendo al hospital</w:t>
            </w:r>
          </w:p>
        </w:tc>
        <w:tc>
          <w:tcPr>
            <w:tcW w:w="709" w:type="dxa"/>
            <w:vAlign w:val="center"/>
          </w:tcPr>
          <w:p w14:paraId="2F5A600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39231BCD"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12EE5BD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5D46352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6972D2A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7508C35C"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r w:rsidR="00396BF2" w:rsidRPr="00396BF2" w14:paraId="2427C9FE" w14:textId="77777777" w:rsidTr="00C27956">
        <w:trPr>
          <w:trHeight w:val="290"/>
          <w:jc w:val="center"/>
        </w:trPr>
        <w:tc>
          <w:tcPr>
            <w:tcW w:w="5103" w:type="dxa"/>
            <w:shd w:val="clear" w:color="auto" w:fill="auto"/>
            <w:vAlign w:val="center"/>
          </w:tcPr>
          <w:p w14:paraId="42B9B80C" w14:textId="77777777" w:rsidR="00396BF2" w:rsidRPr="00396BF2" w:rsidRDefault="00396BF2" w:rsidP="00396BF2">
            <w:pPr>
              <w:spacing w:line="360" w:lineRule="auto"/>
              <w:rPr>
                <w:rFonts w:eastAsia="Arial"/>
                <w:sz w:val="18"/>
                <w:szCs w:val="18"/>
                <w:lang w:val="es-ES" w:eastAsia="es-PE"/>
              </w:rPr>
            </w:pPr>
            <w:r w:rsidRPr="00396BF2">
              <w:rPr>
                <w:rFonts w:eastAsia="Arial"/>
                <w:sz w:val="18"/>
                <w:szCs w:val="18"/>
                <w:lang w:val="es-ES" w:eastAsia="es-PE"/>
              </w:rPr>
              <w:t>Ir a hospitales cuando la situación esté "mejor"</w:t>
            </w:r>
          </w:p>
        </w:tc>
        <w:tc>
          <w:tcPr>
            <w:tcW w:w="709" w:type="dxa"/>
            <w:vAlign w:val="center"/>
          </w:tcPr>
          <w:p w14:paraId="69D67D9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709" w:type="dxa"/>
            <w:vAlign w:val="center"/>
          </w:tcPr>
          <w:p w14:paraId="649D3D3B"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92" w:type="dxa"/>
            <w:vAlign w:val="center"/>
          </w:tcPr>
          <w:p w14:paraId="7F42FACA"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851" w:type="dxa"/>
            <w:vAlign w:val="center"/>
          </w:tcPr>
          <w:p w14:paraId="479C08F9"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87" w:type="dxa"/>
            <w:vAlign w:val="center"/>
          </w:tcPr>
          <w:p w14:paraId="48112062"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c>
          <w:tcPr>
            <w:tcW w:w="929" w:type="dxa"/>
            <w:vAlign w:val="center"/>
          </w:tcPr>
          <w:p w14:paraId="541426F8" w14:textId="77777777" w:rsidR="00396BF2" w:rsidRPr="00396BF2" w:rsidRDefault="00396BF2" w:rsidP="00396BF2">
            <w:pPr>
              <w:spacing w:line="360" w:lineRule="auto"/>
              <w:jc w:val="center"/>
              <w:rPr>
                <w:rFonts w:eastAsia="Arial"/>
                <w:sz w:val="18"/>
                <w:szCs w:val="18"/>
                <w:lang w:val="es-ES" w:eastAsia="es-PE"/>
              </w:rPr>
            </w:pPr>
            <w:r w:rsidRPr="00396BF2">
              <w:rPr>
                <w:rFonts w:eastAsia="Arial"/>
                <w:sz w:val="18"/>
                <w:szCs w:val="18"/>
                <w:lang w:val="es-ES" w:eastAsia="es-PE"/>
              </w:rPr>
              <w:t>N.S.</w:t>
            </w:r>
          </w:p>
        </w:tc>
      </w:tr>
    </w:tbl>
    <w:p w14:paraId="257CDD35" w14:textId="77777777" w:rsidR="00396BF2" w:rsidRPr="00396BF2" w:rsidRDefault="00396BF2" w:rsidP="00396BF2">
      <w:pPr>
        <w:spacing w:line="360" w:lineRule="auto"/>
        <w:jc w:val="center"/>
        <w:rPr>
          <w:rFonts w:eastAsia="Calibri"/>
          <w:sz w:val="16"/>
          <w:szCs w:val="16"/>
          <w:lang w:val="es-ES" w:eastAsia="es-PE"/>
        </w:rPr>
      </w:pPr>
      <w:r w:rsidRPr="00396BF2">
        <w:rPr>
          <w:rFonts w:eastAsia="Calibri"/>
          <w:sz w:val="16"/>
          <w:szCs w:val="16"/>
          <w:lang w:val="es-ES" w:eastAsia="es-PE"/>
        </w:rPr>
        <w:t xml:space="preserve">*Estas preguntas se cambiaron a la forma inversa de su estado original en el test (para homogenizar los signos). </w:t>
      </w:r>
      <w:r w:rsidRPr="00396BF2">
        <w:rPr>
          <w:rFonts w:eastAsia="Arial"/>
          <w:sz w:val="16"/>
          <w:szCs w:val="16"/>
          <w:lang w:val="es-ES" w:eastAsia="es-PE"/>
        </w:rPr>
        <w:t xml:space="preserve">N.S: No significativa (p&lt; 0,05). </w:t>
      </w:r>
      <w:r w:rsidRPr="00396BF2">
        <w:rPr>
          <w:rFonts w:eastAsia="Calibri"/>
          <w:sz w:val="16"/>
          <w:szCs w:val="16"/>
          <w:lang w:val="es-ES" w:eastAsia="es-PE"/>
        </w:rPr>
        <w:t>El estrés, la ansiedad y la depresión se midieron con el test DASS-21 y junto con la edad fueron medidas de forma cuantitativa. Los valores p se obtuvieron con los modelos lineales generalizados (familia Poisson, función de enlace log y modelos para varianzas robustas).</w:t>
      </w:r>
    </w:p>
    <w:p w14:paraId="423EFC1E" w14:textId="77777777" w:rsidR="00396BF2" w:rsidRPr="00396BF2" w:rsidRDefault="00396BF2" w:rsidP="00396BF2">
      <w:pPr>
        <w:spacing w:line="360" w:lineRule="auto"/>
        <w:rPr>
          <w:rFonts w:eastAsia="Arial"/>
          <w:b/>
          <w:bCs/>
          <w:lang w:val="es-ES" w:eastAsia="es-PE"/>
        </w:rPr>
      </w:pPr>
    </w:p>
    <w:p w14:paraId="055AD7C7" w14:textId="77777777" w:rsidR="00396BF2" w:rsidRPr="00396BF2" w:rsidRDefault="00396BF2" w:rsidP="00396BF2">
      <w:pPr>
        <w:spacing w:line="360" w:lineRule="auto"/>
        <w:rPr>
          <w:rFonts w:eastAsia="Arial"/>
          <w:b/>
          <w:bCs/>
          <w:lang w:val="es-ES" w:eastAsia="es-PE"/>
        </w:rPr>
      </w:pPr>
    </w:p>
    <w:p w14:paraId="0914AEB6" w14:textId="77777777" w:rsidR="00396BF2" w:rsidRPr="00396BF2" w:rsidRDefault="00396BF2" w:rsidP="00396BF2">
      <w:pPr>
        <w:spacing w:line="360" w:lineRule="auto"/>
        <w:jc w:val="center"/>
        <w:rPr>
          <w:rFonts w:eastAsia="Arial"/>
          <w:b/>
          <w:bCs/>
          <w:sz w:val="32"/>
          <w:szCs w:val="32"/>
          <w:lang w:val="es-ES" w:eastAsia="es-PE"/>
        </w:rPr>
      </w:pPr>
      <w:r w:rsidRPr="00396BF2">
        <w:rPr>
          <w:rFonts w:eastAsia="Arial"/>
          <w:b/>
          <w:bCs/>
          <w:sz w:val="32"/>
          <w:szCs w:val="32"/>
          <w:lang w:val="es-ES" w:eastAsia="es-PE"/>
        </w:rPr>
        <w:t>DISCUSIÓN</w:t>
      </w:r>
    </w:p>
    <w:p w14:paraId="797F1F2E" w14:textId="77777777" w:rsidR="00396BF2" w:rsidRPr="00396BF2" w:rsidRDefault="00396BF2" w:rsidP="00396BF2">
      <w:pPr>
        <w:autoSpaceDE w:val="0"/>
        <w:autoSpaceDN w:val="0"/>
        <w:adjustRightInd w:val="0"/>
        <w:spacing w:line="360" w:lineRule="auto"/>
        <w:jc w:val="both"/>
        <w:rPr>
          <w:rFonts w:eastAsia="Arial"/>
          <w:lang w:val="es-PE" w:eastAsia="es-PE"/>
        </w:rPr>
      </w:pPr>
      <w:r w:rsidRPr="00396BF2">
        <w:rPr>
          <w:rFonts w:eastAsia="Arial"/>
          <w:lang w:val="es-PE" w:eastAsia="es-PE"/>
        </w:rPr>
        <w:t xml:space="preserve">Las principales preocupaciones de los internos fueron las familiares, ya que, 4 de cada 10 </w:t>
      </w:r>
      <w:bookmarkStart w:id="0" w:name="_Hlk111749168"/>
      <w:r w:rsidRPr="00396BF2">
        <w:rPr>
          <w:rFonts w:eastAsia="Arial"/>
          <w:lang w:val="es-PE" w:eastAsia="es-PE"/>
        </w:rPr>
        <w:t>estudiantes estuvieron muy de acuerdo ante la premisa de percibir que podían contagiar a sus seres queridos</w:t>
      </w:r>
      <w:bookmarkEnd w:id="0"/>
      <w:r w:rsidRPr="00396BF2">
        <w:rPr>
          <w:rFonts w:eastAsia="Arial"/>
          <w:lang w:val="es-PE" w:eastAsia="es-PE"/>
        </w:rPr>
        <w:t xml:space="preserve">, así como otro estudio peruano con hallazgos similares que muestra que los estudiantes estuvieron de acuerdo con la suspensión del internado médico, ya que el 76 % piensa que pone en riesgo a sus familiares o </w:t>
      </w:r>
      <w:r w:rsidRPr="00396BF2">
        <w:rPr>
          <w:rFonts w:eastAsia="Arial"/>
          <w:lang w:val="es-PE" w:eastAsia="es-PE"/>
        </w:rPr>
        <w:lastRenderedPageBreak/>
        <w:t>personas cercanas.</w:t>
      </w:r>
      <w:r w:rsidRPr="00396BF2">
        <w:rPr>
          <w:rFonts w:eastAsia="Arial"/>
          <w:vertAlign w:val="superscript"/>
          <w:lang w:val="es-PE" w:eastAsia="es-PE"/>
        </w:rPr>
        <w:fldChar w:fldCharType="begin" w:fldLock="1"/>
      </w:r>
      <w:r w:rsidRPr="00396BF2">
        <w:rPr>
          <w:rFonts w:eastAsia="Arial"/>
          <w:vertAlign w:val="superscript"/>
          <w:lang w:val="es-PE" w:eastAsia="es-PE"/>
        </w:rPr>
        <w:instrText>ADDIN CSL_CITATION {"citationItems":[{"id":"ITEM-1","itemData":{"DOI":"10.17843/RPMESP.2020.373.5729","ISSN":"1726-4634","abstract":"The objective of the study was to describe the medical interns’ (MI) perceptions about the internship suspension during the COVID-19 quarantine in Peru. A cross-sectional descriptive study was conducted by means of a virtual survey regarding the perception of the internship suspension, return conditions and academic activities during quarantine. A total of 353 MIs participated in the study; 54.9% agreed or totally agreed with returning to their hospital sites if biosecurity measures were guaranteed, more than 90% felt uncertain about the restart and end dates, and 85.6% participated in academic virtual classes. It is concluded that the intention to return to the hospital increases when biosecurity measures are guaran-teed. Hospitals should guarantee these measures and ensure health coverage for the MIs, if their return to hospitals is intended.","author":[{"dropping-particle":"","family":"Albitres-Flores","given":"Leonardo","non-dropping-particle":"","parse-names":false,"suffix":""},{"dropping-particle":"","family":"Pisfil-Farroñay","given":"Yhojar A.","non-dropping-particle":"","parse-names":false,"suffix":""},{"dropping-particle":"","family":"Guillen-Macedo","given":"Karla","non-dropping-particle":"","parse-names":false,"suffix":""},{"dropping-particle":"","family":"Niño-Garcia","given":"Roberto","non-dropping-particle":"","parse-names":false,"suffix":""},{"dropping-particle":"","family":"Alarcon-Ruiz","given":"Christoper A.","non-dropping-particle":"","parse-names":false,"suffix":""},{"dropping-particle":"","family":"Albitres-Flores","given":"Leonardo","non-dropping-particle":"","parse-names":false,"suffix":""},{"dropping-particle":"","family":"Pisfil-Farroñay","given":"Yhojar A.","non-dropping-particle":"","parse-names":false,"suffix":""},{"dropping-particle":"","family":"Guillen-Macedo","given":"Karla","non-dropping-particle":"","parse-names":false,"suffix":""},{"dropping-particle":"","family":"Niño-Garcia","given":"Roberto","non-dropping-particle":"","parse-names":false,"suffix":""},{"dropping-particle":"","family":"Alarcon-Ruiz","given":"Christoper A.","non-dropping-particle":"","parse-names":false,"suffix":""}],"container-title":"Revista Peruana de Medicina Experimental y Salud Publica","id":"ITEM-1","issue":"3","issued":{"date-parts":[["2020","7","1"]]},"page":"504-509","publisher":"Instituto Nacional de Salud","title":"Percepción de los internos sobre la suspensión del internado médico durante la cuarentena por la COVID-19","type":"article-journal","volume":"37"},"uris":["http://www.mendeley.com/documents/?uuid=7ed496a6-1d96-3b51-89a8-3d105b7b5b08"]}],"mendeley":{"formattedCitation":"(9)","plainTextFormattedCitation":"(9)","previouslyFormattedCitation":"(9)"},"properties":{"noteIndex":0},"schema":"https://github.com/citation-style-language/schema/raw/master/csl-citation.json"}</w:instrText>
      </w:r>
      <w:r w:rsidRPr="00396BF2">
        <w:rPr>
          <w:rFonts w:eastAsia="Arial"/>
          <w:vertAlign w:val="superscript"/>
          <w:lang w:val="es-PE" w:eastAsia="es-PE"/>
        </w:rPr>
        <w:fldChar w:fldCharType="separate"/>
      </w:r>
      <w:r w:rsidRPr="00396BF2">
        <w:rPr>
          <w:rFonts w:eastAsia="Arial"/>
          <w:noProof/>
          <w:vertAlign w:val="superscript"/>
          <w:lang w:val="es-PE" w:eastAsia="es-PE"/>
        </w:rPr>
        <w:t>(9)</w:t>
      </w:r>
      <w:r w:rsidRPr="00396BF2">
        <w:rPr>
          <w:rFonts w:eastAsia="Arial"/>
          <w:vertAlign w:val="superscript"/>
          <w:lang w:val="es-PE" w:eastAsia="es-PE"/>
        </w:rPr>
        <w:fldChar w:fldCharType="end"/>
      </w:r>
      <w:r w:rsidRPr="00396BF2">
        <w:rPr>
          <w:rFonts w:eastAsia="Arial"/>
          <w:lang w:val="es-PE" w:eastAsia="es-PE"/>
        </w:rPr>
        <w:t xml:space="preserve"> Esta situación sustenta la estrecha relación entre el apoyo que los estudiantes perciben y su desempeño académico.</w:t>
      </w:r>
      <w:r w:rsidRPr="00396BF2">
        <w:rPr>
          <w:rFonts w:eastAsia="Arial"/>
          <w:vertAlign w:val="superscript"/>
          <w:lang w:val="es-PE" w:eastAsia="es-PE"/>
        </w:rPr>
        <w:fldChar w:fldCharType="begin" w:fldLock="1"/>
      </w:r>
      <w:r w:rsidRPr="00396BF2">
        <w:rPr>
          <w:rFonts w:eastAsia="Arial"/>
          <w:vertAlign w:val="superscript"/>
          <w:lang w:val="es-PE" w:eastAsia="es-PE"/>
        </w:rPr>
        <w:instrText>ADDIN CSL_CITATION {"citationItems":[{"id":"ITEM-1","itemData":{"DOI":"10.5354/2452-5014.2019.53797","abstract":"A partir de la consideración de que la familia juega un rol fundamental en la vida de las personas, el presente ensayo bibliográfico se propone dar a conocer el estado del arte de la investigación referida al vínculo entre el contexto familiar y el rendimiento académico de los/as estudiantes universitarios/as.","author":[{"dropping-particle":"","family":"Vilchis Suárez","given":"Aztrid","non-dropping-particle":"","parse-names":false,"suffix":""},{"dropping-particle":"","family":"Sánchez Olavarría","given":"César","non-dropping-particle":"","parse-names":false,"suffix":""}],"container-title":"Revista Saberes Educativos","id":"ITEM-1","issue":"3","issued":{"date-parts":[["2019"]]},"page":"166","title":"Rendimiento académico y contexto familiar en estudiantes universitarios","type":"article-journal"},"uris":["http://www.mendeley.com/documents/?uuid=f5c5ee20-04d7-45b9-a3f9-47364895cac4"]}],"mendeley":{"formattedCitation":"(14)","plainTextFormattedCitation":"(14)","previouslyFormattedCitation":"(14)"},"properties":{"noteIndex":0},"schema":"https://github.com/citation-style-language/schema/raw/master/csl-citation.json"}</w:instrText>
      </w:r>
      <w:r w:rsidRPr="00396BF2">
        <w:rPr>
          <w:rFonts w:eastAsia="Arial"/>
          <w:vertAlign w:val="superscript"/>
          <w:lang w:val="es-PE" w:eastAsia="es-PE"/>
        </w:rPr>
        <w:fldChar w:fldCharType="separate"/>
      </w:r>
      <w:r w:rsidRPr="00396BF2">
        <w:rPr>
          <w:rFonts w:eastAsia="Arial"/>
          <w:noProof/>
          <w:vertAlign w:val="superscript"/>
          <w:lang w:val="es-PE" w:eastAsia="es-PE"/>
        </w:rPr>
        <w:t>(14)</w:t>
      </w:r>
      <w:r w:rsidRPr="00396BF2">
        <w:rPr>
          <w:rFonts w:eastAsia="Arial"/>
          <w:vertAlign w:val="superscript"/>
          <w:lang w:val="es-PE" w:eastAsia="es-PE"/>
        </w:rPr>
        <w:fldChar w:fldCharType="end"/>
      </w:r>
    </w:p>
    <w:p w14:paraId="1CDC2837" w14:textId="77777777" w:rsidR="00396BF2" w:rsidRPr="00396BF2" w:rsidRDefault="00396BF2" w:rsidP="00396BF2">
      <w:pPr>
        <w:autoSpaceDE w:val="0"/>
        <w:autoSpaceDN w:val="0"/>
        <w:adjustRightInd w:val="0"/>
        <w:spacing w:line="360" w:lineRule="auto"/>
        <w:jc w:val="both"/>
        <w:rPr>
          <w:rFonts w:eastAsia="Arial"/>
          <w:color w:val="000000"/>
          <w:lang w:val="es-PE" w:eastAsia="es-PE"/>
        </w:rPr>
      </w:pPr>
      <w:r w:rsidRPr="00396BF2">
        <w:rPr>
          <w:rFonts w:eastAsia="Arial"/>
          <w:color w:val="000000"/>
          <w:lang w:val="es-PE" w:eastAsia="es-PE"/>
        </w:rPr>
        <w:t xml:space="preserve">Otro hallazgo en la percepción de los internos fue que, </w:t>
      </w:r>
      <w:bookmarkStart w:id="1" w:name="_Hlk111749371"/>
      <w:r w:rsidRPr="00396BF2">
        <w:rPr>
          <w:rFonts w:eastAsia="Arial"/>
          <w:color w:val="000000"/>
          <w:lang w:val="es-PE" w:eastAsia="es-PE"/>
        </w:rPr>
        <w:t>en caso de que se enferme de gravedad por el coronavirus, la familia los hubiese apoyado</w:t>
      </w:r>
      <w:bookmarkEnd w:id="1"/>
      <w:r w:rsidRPr="00396BF2">
        <w:rPr>
          <w:rFonts w:eastAsia="Arial"/>
          <w:color w:val="000000"/>
          <w:lang w:val="es-PE" w:eastAsia="es-PE"/>
        </w:rPr>
        <w:t>, evidenciando muy de acuerdo en la mitad de los encuestados, lo que sería debido a que los estudiantes acrecentaron su angustia por la expansión de la pandemia y por el deficiente acceso a los centros de salud en el mundo.</w:t>
      </w:r>
      <w:r w:rsidRPr="00396BF2">
        <w:rPr>
          <w:rFonts w:eastAsia="Arial"/>
          <w:color w:val="000000"/>
          <w:vertAlign w:val="superscript"/>
          <w:lang w:val="es-PE" w:eastAsia="es-PE"/>
        </w:rPr>
        <w:fldChar w:fldCharType="begin" w:fldLock="1"/>
      </w:r>
      <w:r w:rsidRPr="00396BF2">
        <w:rPr>
          <w:rFonts w:eastAsia="Arial"/>
          <w:color w:val="000000"/>
          <w:vertAlign w:val="superscript"/>
          <w:lang w:val="es-PE" w:eastAsia="es-PE"/>
        </w:rPr>
        <w:instrText>ADDIN CSL_CITATION {"citationItems":[{"id":"ITEM-1","itemData":{"DOI":"10.1001/JAMAPEDIATRICS.2021.5840","ISSN":"21686211","abstract":"&lt;h3&gt;Importance&lt;/h3&gt;&lt;p&gt;School closures as part of broader social lockdown measures during the COVID-19 pandemic may be associated with the health and well-being of children and adolescents.&lt;/p&gt;&lt;h3&gt;Objective&lt;/h3&gt;&lt;p&gt;To review published reports on the association of school closures during broader social lockdown with mental health, health behaviors, and well-being in children and adolescents aged 0 to 19 years, excluding associations with transmission of infection.&lt;/p&gt;&lt;h3&gt;Evidence Review&lt;/h3&gt;&lt;p&gt;Eleven databases were searched from inception to September 2020, and machine learning was applied for screening articles. A total of 16 817 records were screened, 151 were reviewed in full text, and 36 studies were included. Quality assessment was tailored to study type. A narrative synthesis of results was undertaken because data did not allow meta-analysis.&lt;/p&gt;&lt;h3&gt;Findings&lt;/h3&gt;&lt;p&gt;A total of 36 studies from 11 countries were identified, involving a total of 79 781 children and adolescents and 18 028 parents, which occurred during the first wave of the COVID-19 pandemic (February to July 2020). All evaluated school closure as part of broader social lockdown during the first COVID-19 wave, and the duration of school closure ranged from 1 week to 3 months. Of those, 9 (25%) were longitudinal pre-post studies, 5 (14%) were cohort, 21 (58%) were cross-sectional, and 1 (3%) was a modeling study. Thirteen studies (36%) were high quality, 17 (47%) were medium quality, and 6 (17%) were low quality. Twenty-three studies (64%) were published, 8 (22%) were online reports, and 5 (14%) were preprints. Twenty-five studies (69%) concerning mental health identified associations across emotional, behavioral, and restlessness/inattention problems; 18% to 60% of children and adolescents scored above risk thresholds for distress, particularly anxiety and depressive symptoms, and 2 studies reported no significant association with suicide. Three studies reported that child protection referrals were lower than expected number of referrals originating in schools. Three studies suggested higher screen time usage, 2 studies reported greater social media use, and 6 studies reported lower physical activity. Studies on sleep (10 studies) and diet (5 studies) provided inconclusive evidence on harms.&lt;/p&gt;&lt;h3&gt;Conclusions and Relevance&lt;/h3&gt;&lt;p&gt;In this narrative synthesis of reports from the first wave of the COVID-19 pandemic, studies of short-term school closures as part of social lockdown measures r…","author":[{"dropping-particle":"","family":"Viner","given":"Russell","non-dropping-particle":"","parse-names":false,"suffix":""},{"dropping-particle":"","family":"Russell","given":"Simon","non-dropping-particle":"","parse-names":false,"suffix":""},{"dropping-particle":"","family":"Saulle","given":"Rosella","non-dropping-particle":"","parse-names":false,"suffix":""},{"dropping-particle":"","family":"Croker","given":"Helen","non-dropping-particle":"","parse-names":false,"suffix":""},{"dropping-particle":"","family":"Stansfield","given":"Claire","non-dropping-particle":"","parse-names":false,"suffix":""},{"dropping-particle":"","family":"Packer","given":"Jessica","non-dropping-particle":"","parse-names":false,"suffix":""},{"dropping-particle":"","family":"Nicholls","given":"Dasha","non-dropping-particle":"","parse-names":false,"suffix":""},{"dropping-particle":"","family":"Goddings","given":"Anne Lise","non-dropping-particle":"","parse-names":false,"suffix":""},{"dropping-particle":"","family":"Bonell","given":"Chris","non-dropping-particle":"","parse-names":false,"suffix":""},{"dropping-particle":"","family":"Hudson","given":"Lee","non-dropping-particle":"","parse-names":false,"suffix":""},{"dropping-particle":"","family":"Hope","given":"Steven","non-dropping-particle":"","parse-names":false,"suffix":""},{"dropping-particle":"","family":"Ward","given":"Joseph","non-dropping-particle":"","parse-names":false,"suffix":""},{"dropping-particle":"","family":"Schwalbe","given":"Nina","non-dropping-particle":"","parse-names":false,"suffix":""},{"dropping-particle":"","family":"Morgan","given":"Antony","non-dropping-particle":"","parse-names":false,"suffix":""},{"dropping-particle":"","family":"Minozzi","given":"Silvia","non-dropping-particle":"","parse-names":false,"suffix":""}],"container-title":"JAMA Pediatrics","id":"ITEM-1","issued":{"date-parts":[["2022"]]},"publisher":"American Medical Association","title":"School Closures During Social Lockdown and Mental Health, Health Behaviors, and Well-being Among Children and Adolescents During the First COVID-19 Wave: A Systematic Review","type":"article-journal"},"uris":["http://www.mendeley.com/documents/?uuid=23278df8-614d-3f4a-b80a-025bf4f8b6c1"]}],"mendeley":{"formattedCitation":"(15)","plainTextFormattedCitation":"(15)","previouslyFormattedCitation":"(15)"},"properties":{"noteIndex":0},"schema":"https://github.com/citation-style-language/schema/raw/master/csl-citation.json"}</w:instrText>
      </w:r>
      <w:r w:rsidRPr="00396BF2">
        <w:rPr>
          <w:rFonts w:eastAsia="Arial"/>
          <w:color w:val="000000"/>
          <w:vertAlign w:val="superscript"/>
          <w:lang w:val="es-PE" w:eastAsia="es-PE"/>
        </w:rPr>
        <w:fldChar w:fldCharType="separate"/>
      </w:r>
      <w:r w:rsidRPr="00396BF2">
        <w:rPr>
          <w:rFonts w:eastAsia="Arial"/>
          <w:noProof/>
          <w:color w:val="000000"/>
          <w:vertAlign w:val="superscript"/>
          <w:lang w:val="es-PE" w:eastAsia="es-PE"/>
        </w:rPr>
        <w:t>(15)</w:t>
      </w:r>
      <w:r w:rsidRPr="00396BF2">
        <w:rPr>
          <w:rFonts w:eastAsia="Arial"/>
          <w:color w:val="000000"/>
          <w:vertAlign w:val="superscript"/>
          <w:lang w:val="es-PE" w:eastAsia="es-PE"/>
        </w:rPr>
        <w:fldChar w:fldCharType="end"/>
      </w:r>
      <w:r w:rsidRPr="00396BF2">
        <w:rPr>
          <w:rFonts w:eastAsia="Arial"/>
          <w:color w:val="000000"/>
          <w:vertAlign w:val="superscript"/>
          <w:lang w:val="es-PE" w:eastAsia="es-PE"/>
        </w:rPr>
        <w:t xml:space="preserve"> </w:t>
      </w:r>
      <w:r w:rsidRPr="00396BF2">
        <w:rPr>
          <w:rFonts w:eastAsia="Arial"/>
          <w:color w:val="000000"/>
          <w:lang w:val="es-PE" w:eastAsia="es-PE"/>
        </w:rPr>
        <w:t>Además, el apoyo familiar y amical genera mayor soporte emocional, satisfacción con la vida personal y mayor resiliencia, que también disminuyen el estrés.</w:t>
      </w:r>
      <w:r w:rsidRPr="00396BF2">
        <w:rPr>
          <w:rFonts w:eastAsia="Arial"/>
          <w:color w:val="000000"/>
          <w:vertAlign w:val="superscript"/>
          <w:lang w:val="es-PE" w:eastAsia="es-PE"/>
        </w:rPr>
        <w:fldChar w:fldCharType="begin" w:fldLock="1"/>
      </w:r>
      <w:r w:rsidRPr="00396BF2">
        <w:rPr>
          <w:rFonts w:eastAsia="Arial"/>
          <w:color w:val="000000"/>
          <w:vertAlign w:val="superscript"/>
          <w:lang w:val="es-PE" w:eastAsia="es-PE"/>
        </w:rPr>
        <w:instrText>ADDIN CSL_CITATION {"citationItems":[{"id":"ITEM-1","itemData":{"abstract":"Introducción\nEn los estudiantes de medicina, la falta de apoyo emocional y social puede generar bajo rendimiento académico y predisponer al desarrollo de estrés psicológico. El apoyo social es un mecanismo de supervivencia frente al estrés, puesto que aquellos estudiantes de medicina que se encuentran satisfechos con su vida y con su red de apoyo muestran baja percepción al estrés y alta resiliencia. Asimismo, el poco apoyo social puede influir en la generación de bajos niveles de empatía, lo cual repercutirá de manera negativa en la futura práctica profesional. El objetivo del presente trabajo fue describir el apoyo social autopercibido en estudiantes de medicina de la Universidad Nacional de Asunción.\n\nMateriales y métodos\nEstudio descriptivo con muestreo no probabilístico que incluyó a 76 estudiantes de medicina de la Universidad Nacional de Asunción (Paraguay). La red de apoyo se estudió con las escalas APGAR familiar y APGAR de amistad.\n\nResultados\nSe incluyó a 76 estudiantes, de los cuales el 60,5% fue del sexo femenino. El 22,4% reporta una importante disfuncionalidad familiar y el 17,1% no se siente apoyado por sus amigos.\n\nConclusiones\nExisten bajos niveles de apoyo social autopercibido por los estudiantes de medicina y esto se manifiesta por el poco apoyo que refieren recibir tanto de sus familias como de sus amigos.","author":[{"dropping-particle":"","family":"Torales","given":"Julio","non-dropping-particle":"","parse-names":false,"suffix":""},{"dropping-particle":"","family":"Barrios","given":"Iván","non-dropping-particle":"","parse-names":false,"suffix":""},{"dropping-particle":"","family":"Samudio","given":"Angélica","non-dropping-particle":"","parse-names":false,"suffix":""},{"dropping-particle":"","family":"Samudio","given":"Margarita","non-dropping-particle":"","parse-names":false,"suffix":""}],"container-title":"Educación médica","id":"ITEM-1","issue":"53","issued":{"date-parts":[["2018"]]},"title":"Apoyo social autopercibido en estudiantes de medicina de la Universidad Nacional de Asunción (Paraguay) | Educación Médica","type":"article-journal","volume":"19"},"uris":["http://www.mendeley.com/documents/?uuid=975d7ad0-132e-3baf-b0fe-3dc7d8cd25ea"]}],"mendeley":{"formattedCitation":"(16)","plainTextFormattedCitation":"(16)","previouslyFormattedCitation":"(16)"},"properties":{"noteIndex":0},"schema":"https://github.com/citation-style-language/schema/raw/master/csl-citation.json"}</w:instrText>
      </w:r>
      <w:r w:rsidRPr="00396BF2">
        <w:rPr>
          <w:rFonts w:eastAsia="Arial"/>
          <w:color w:val="000000"/>
          <w:vertAlign w:val="superscript"/>
          <w:lang w:val="es-PE" w:eastAsia="es-PE"/>
        </w:rPr>
        <w:fldChar w:fldCharType="separate"/>
      </w:r>
      <w:r w:rsidRPr="00396BF2">
        <w:rPr>
          <w:rFonts w:eastAsia="Arial"/>
          <w:noProof/>
          <w:color w:val="000000"/>
          <w:vertAlign w:val="superscript"/>
          <w:lang w:val="es-PE" w:eastAsia="es-PE"/>
        </w:rPr>
        <w:t>(16)</w:t>
      </w:r>
      <w:r w:rsidRPr="00396BF2">
        <w:rPr>
          <w:rFonts w:eastAsia="Arial"/>
          <w:color w:val="000000"/>
          <w:vertAlign w:val="superscript"/>
          <w:lang w:val="es-PE" w:eastAsia="es-PE"/>
        </w:rPr>
        <w:fldChar w:fldCharType="end"/>
      </w:r>
    </w:p>
    <w:p w14:paraId="44FF8D3D" w14:textId="77777777" w:rsidR="00396BF2" w:rsidRPr="00396BF2" w:rsidRDefault="00396BF2" w:rsidP="00396BF2">
      <w:pPr>
        <w:spacing w:line="360" w:lineRule="auto"/>
        <w:jc w:val="both"/>
        <w:rPr>
          <w:rFonts w:eastAsia="Arial"/>
          <w:lang w:val="es-ES" w:eastAsia="es-PE"/>
        </w:rPr>
      </w:pPr>
      <w:r w:rsidRPr="00396BF2">
        <w:rPr>
          <w:rFonts w:eastAsia="Arial"/>
          <w:lang w:val="es-ES" w:eastAsia="es-PE"/>
        </w:rPr>
        <w:t xml:space="preserve">Otra preocupación entre los encuestados se basó en que </w:t>
      </w:r>
      <w:bookmarkStart w:id="2" w:name="_Hlk111749383"/>
      <w:r w:rsidRPr="00396BF2">
        <w:rPr>
          <w:rFonts w:eastAsia="Arial"/>
          <w:lang w:val="es-ES" w:eastAsia="es-PE"/>
        </w:rPr>
        <w:t>no tenían los materiales necesarios para protegerse de la COVID-19. La mayoría estaba muy en desacuerdo y en desacuerdo en que el hospital o las universidades les darían dichos materiales</w:t>
      </w:r>
      <w:bookmarkEnd w:id="2"/>
      <w:r w:rsidRPr="00396BF2">
        <w:rPr>
          <w:rFonts w:eastAsia="Arial"/>
          <w:lang w:val="es-ES" w:eastAsia="es-PE"/>
        </w:rPr>
        <w:t>. Esto pudo deberse a que en Perú y en países latinoamericanos existen condiciones estructurales con falencias, que se manifiestan en la inequidad en salud, sumado a esto, el pobre sistema de protección social y del Estado, que desestabiliza a la población laboral y estudiantil.</w:t>
      </w:r>
      <w:r w:rsidRPr="00396BF2">
        <w:rPr>
          <w:rFonts w:eastAsia="Arial"/>
          <w:vertAlign w:val="superscript"/>
          <w:lang w:val="es-ES" w:eastAsia="es-PE"/>
        </w:rPr>
        <w:fldChar w:fldCharType="begin" w:fldLock="1"/>
      </w:r>
      <w:r w:rsidRPr="00396BF2">
        <w:rPr>
          <w:rFonts w:eastAsia="Arial"/>
          <w:vertAlign w:val="superscript"/>
          <w:lang w:val="es-ES" w:eastAsia="es-PE"/>
        </w:rPr>
        <w:instrText>ADDIN CSL_CITATION {"citationItems":[{"id":"ITEM-1","itemData":{"author":[{"dropping-particle":"","family":"Unidas","given":"Naciones","non-dropping-particle":"","parse-names":false,"suffix":""}],"id":"ITEM-1","issued":{"date-parts":[["2020"]]},"title":"Informe COVID-19: La prolongación de la crisis sanitaria y su impacto en la salud, la economía y el desarrollo social","type":"article-journal"},"uris":["http://www.mendeley.com/documents/?uuid=d19caa59-3263-386a-9ab2-f7b43fdc8fc4"]},{"id":"ITEM-2","itemData":{"abstract":"•El proceso de reforma del sistema de salud\niniciado en el 2009 se caracterizó por una\ncarencia de compromiso político durante\nsu implementación. Además, temas como\nfinanciamiento, viabilidad del proyecto con\nrespecto a escasez de recursos humanos,\ninfraestructura y sostenibilidad fueron\nexcluidos del debate en torno a la reforma.\n•Las medidas implementadas en los últimos\naños no lograron mejorar la capacidad ni\nla calidad del sistema de salud de manera\nsustancial.\n•En ese contexto de precariedad, la pandemia\nprovocada por el COVID-19 ha generado el\ncolapso del sistema de salud público peruano,\ny expuesto la necesidad de una reforma de\nsalud integral.","author":[{"dropping-particle":"","family":"Ponce de Leon","given":"Zoila","non-dropping-particle":"","parse-names":false,"suffix":""}],"container-title":"Pontificia Universidad Católica del Perú","id":"ITEM-2","issued":{"date-parts":[["2021"]]},"page":"8","title":"Sistema de Salud en el Perú y el COVID-19","type":"article-journal","volume":"2"},"uris":["http://www.mendeley.com/documents/?uuid=1685bdeb-c31f-4587-ad26-7775a5031e3c"]}],"mendeley":{"formattedCitation":"(4,17)","plainTextFormattedCitation":"(4,17)","previouslyFormattedCitation":"(4,17)"},"properties":{"noteIndex":0},"schema":"https://github.com/citation-style-language/schema/raw/master/csl-citation.json"}</w:instrText>
      </w:r>
      <w:r w:rsidRPr="00396BF2">
        <w:rPr>
          <w:rFonts w:eastAsia="Arial"/>
          <w:vertAlign w:val="superscript"/>
          <w:lang w:val="es-ES" w:eastAsia="es-PE"/>
        </w:rPr>
        <w:fldChar w:fldCharType="separate"/>
      </w:r>
      <w:r w:rsidRPr="00396BF2">
        <w:rPr>
          <w:rFonts w:eastAsia="Arial"/>
          <w:noProof/>
          <w:vertAlign w:val="superscript"/>
          <w:lang w:val="es-ES" w:eastAsia="es-PE"/>
        </w:rPr>
        <w:t>(4,17)</w:t>
      </w:r>
      <w:r w:rsidRPr="00396BF2">
        <w:rPr>
          <w:rFonts w:eastAsia="Arial"/>
          <w:vertAlign w:val="superscript"/>
          <w:lang w:val="es-ES" w:eastAsia="es-PE"/>
        </w:rPr>
        <w:fldChar w:fldCharType="end"/>
      </w:r>
    </w:p>
    <w:p w14:paraId="1ADA2D09" w14:textId="77777777" w:rsidR="00396BF2" w:rsidRPr="00396BF2" w:rsidRDefault="00396BF2" w:rsidP="00396BF2">
      <w:pPr>
        <w:spacing w:line="360" w:lineRule="auto"/>
        <w:jc w:val="both"/>
        <w:rPr>
          <w:rFonts w:eastAsia="Arial"/>
          <w:lang w:val="es-ES" w:eastAsia="es-PE"/>
        </w:rPr>
      </w:pPr>
      <w:r w:rsidRPr="00396BF2">
        <w:rPr>
          <w:rFonts w:eastAsia="Arial"/>
          <w:lang w:val="es-ES" w:eastAsia="es-PE"/>
        </w:rPr>
        <w:t>Desde el 2020, diversos autores mencionan que la COVID-19 es una enfermedad que no discrimina edades,</w:t>
      </w:r>
      <w:r w:rsidRPr="00396BF2">
        <w:rPr>
          <w:rFonts w:eastAsia="Arial"/>
          <w:vertAlign w:val="superscript"/>
          <w:lang w:val="es-ES" w:eastAsia="es-PE"/>
        </w:rPr>
        <w:fldChar w:fldCharType="begin" w:fldLock="1"/>
      </w:r>
      <w:r w:rsidRPr="00396BF2">
        <w:rPr>
          <w:rFonts w:eastAsia="Arial"/>
          <w:vertAlign w:val="superscript"/>
          <w:lang w:val="es-ES" w:eastAsia="es-PE"/>
        </w:rPr>
        <w:instrText>ADDIN CSL_CITATION {"citationItems":[{"id":"ITEM-1","itemData":{"DOI":"10.35663/AMP.2020.371.929","ISSN":"1728-5917","abstract":"Esta nueva enfermedad (COVID-19), ha desnudado de manera cruda y real, la terrible situación sanitaria del Perú: hospitales viejos, falta de materiales, laboratorios especializados, camas, ventiladores, especialistas, y una población geriátrica abandonada, médicos mal remunerados, sin seguro médico, y como nunca, falta de equipos de bioseguridad para combatir a este nuevo flagelo.","author":[{"dropping-particle":"","family":"Maguiña Vargas","given":"Ciro","non-dropping-particle":"","parse-names":false,"suffix":""},{"dropping-particle":"","family":"Maguiña Vargas","given":"Ciro","non-dropping-particle":"","parse-names":false,"suffix":""}],"container-title":"Acta Médica Peruana","id":"ITEM-1","issue":"1","issued":{"date-parts":[["2020","3"]]},"page":"8-10","publisher":"Colegio Médico del Perú","title":"Reflexiones sobre el COVID-19, el Colegio Médico del Perú y la Salud Pública","type":"article-journal","volume":"37"},"uris":["http://www.mendeley.com/documents/?uuid=c8e2027c-b148-415f-b054-e62bce704b4a"]},{"id":"ITEM-2","itemData":{"URL":"https://www.paho.org/es/noticias/5-5-2021-hospitalizaciones-muertes-por-covid-19-adultos-jovenes-se-disparan-americas","accessed":{"date-parts":[["2022","3","12"]]},"id":"ITEM-2","issued":{"date-parts":[["0"]]},"title":"Hospitalizaciones y muertes por COVID-19 de adultos jóvenes se disparan en las Américas - OPS/OMS | Organización Panamericana de la Salud","type":"webpage"},"uris":["http://www.mendeley.com/documents/?uuid=745290cd-5a4c-3251-a5b7-b488c3e06e2d"]}],"mendeley":{"formattedCitation":"(18,19)","plainTextFormattedCitation":"(18,19)","previouslyFormattedCitation":"(18,19)"},"properties":{"noteIndex":0},"schema":"https://github.com/citation-style-language/schema/raw/master/csl-citation.json"}</w:instrText>
      </w:r>
      <w:r w:rsidRPr="00396BF2">
        <w:rPr>
          <w:rFonts w:eastAsia="Arial"/>
          <w:vertAlign w:val="superscript"/>
          <w:lang w:val="es-ES" w:eastAsia="es-PE"/>
        </w:rPr>
        <w:fldChar w:fldCharType="separate"/>
      </w:r>
      <w:r w:rsidRPr="00396BF2">
        <w:rPr>
          <w:rFonts w:eastAsia="Arial"/>
          <w:noProof/>
          <w:vertAlign w:val="superscript"/>
          <w:lang w:val="es-ES" w:eastAsia="es-PE"/>
        </w:rPr>
        <w:t>(18,19)</w:t>
      </w:r>
      <w:r w:rsidRPr="00396BF2">
        <w:rPr>
          <w:rFonts w:eastAsia="Arial"/>
          <w:vertAlign w:val="superscript"/>
          <w:lang w:val="es-ES" w:eastAsia="es-PE"/>
        </w:rPr>
        <w:fldChar w:fldCharType="end"/>
      </w:r>
      <w:r w:rsidRPr="00396BF2">
        <w:rPr>
          <w:rFonts w:eastAsia="Arial"/>
          <w:lang w:val="es-ES" w:eastAsia="es-PE"/>
        </w:rPr>
        <w:t xml:space="preserve"> motivo para que los internos no vayan a los hospitales, a pesar de la capacidad de poder sumar esfuerzos en la atención sanitaria.</w:t>
      </w:r>
      <w:r w:rsidRPr="00396BF2">
        <w:rPr>
          <w:rFonts w:eastAsia="Arial"/>
          <w:vertAlign w:val="superscript"/>
          <w:lang w:val="es-ES" w:eastAsia="es-PE"/>
        </w:rPr>
        <w:fldChar w:fldCharType="begin" w:fldLock="1"/>
      </w:r>
      <w:r w:rsidRPr="00396BF2">
        <w:rPr>
          <w:rFonts w:eastAsia="Arial"/>
          <w:vertAlign w:val="superscript"/>
          <w:lang w:val="es-ES" w:eastAsia="es-PE"/>
        </w:rPr>
        <w:instrText>ADDIN CSL_CITATION {"citationItems":[{"id":"ITEM-1","itemData":{"URL":"https://observatorio.tec.mx/edu-bits-blog/rol-del-estudiante-de-medicina-y-ciencias-de-la-salud-ante-una-pandemia","accessed":{"date-parts":[["2022","3","12"]]},"id":"ITEM-1","issued":{"date-parts":[["0"]]},"title":"El rol del estudiante de medicina y ciencias de la salud ante una pandemia — Observatorio | Instituto para el Futuro de la Educación","type":"webpage"},"uris":["http://www.mendeley.com/documents/?uuid=77311241-eb27-3865-98b4-706e0159b07e"]}],"mendeley":{"formattedCitation":"(20)","plainTextFormattedCitation":"(20)","previouslyFormattedCitation":"(20)"},"properties":{"noteIndex":0},"schema":"https://github.com/citation-style-language/schema/raw/master/csl-citation.json"}</w:instrText>
      </w:r>
      <w:r w:rsidRPr="00396BF2">
        <w:rPr>
          <w:rFonts w:eastAsia="Arial"/>
          <w:vertAlign w:val="superscript"/>
          <w:lang w:val="es-ES" w:eastAsia="es-PE"/>
        </w:rPr>
        <w:fldChar w:fldCharType="separate"/>
      </w:r>
      <w:r w:rsidRPr="00396BF2">
        <w:rPr>
          <w:rFonts w:eastAsia="Arial"/>
          <w:noProof/>
          <w:vertAlign w:val="superscript"/>
          <w:lang w:val="es-ES" w:eastAsia="es-PE"/>
        </w:rPr>
        <w:t>(20)</w:t>
      </w:r>
      <w:r w:rsidRPr="00396BF2">
        <w:rPr>
          <w:rFonts w:eastAsia="Arial"/>
          <w:vertAlign w:val="superscript"/>
          <w:lang w:val="es-ES" w:eastAsia="es-PE"/>
        </w:rPr>
        <w:fldChar w:fldCharType="end"/>
      </w:r>
      <w:r w:rsidRPr="00396BF2">
        <w:rPr>
          <w:rFonts w:eastAsia="Arial"/>
          <w:vertAlign w:val="superscript"/>
          <w:lang w:val="es-ES" w:eastAsia="es-PE"/>
        </w:rPr>
        <w:t xml:space="preserve"> </w:t>
      </w:r>
      <w:r w:rsidRPr="00396BF2">
        <w:rPr>
          <w:rFonts w:eastAsia="Arial"/>
          <w:lang w:val="es-ES" w:eastAsia="es-PE"/>
        </w:rPr>
        <w:t>Este hecho se muestra en una investigación peruana, en la que los internos tenían una percepción favorable hacia el retorno hospitalario, si se les brindaban los EPP.</w:t>
      </w:r>
      <w:r w:rsidRPr="00396BF2">
        <w:rPr>
          <w:rFonts w:eastAsia="Arial"/>
          <w:vertAlign w:val="superscript"/>
          <w:lang w:val="es-ES" w:eastAsia="es-PE"/>
        </w:rPr>
        <w:fldChar w:fldCharType="begin" w:fldLock="1"/>
      </w:r>
      <w:r w:rsidRPr="00396BF2">
        <w:rPr>
          <w:rFonts w:eastAsia="Arial"/>
          <w:vertAlign w:val="superscript"/>
          <w:lang w:val="es-ES" w:eastAsia="es-PE"/>
        </w:rPr>
        <w:instrText>ADDIN CSL_CITATION {"citationItems":[{"id":"ITEM-1","itemData":{"DOI":"10.17843/RPMESP.2020.373.5729","ISSN":"1726-4634","abstract":"The objective of the study was to describe the medical interns’ (MI) perceptions about the internship suspension during the COVID-19 quarantine in Peru. A cross-sectional descriptive study was conducted by means of a virtual survey regarding the perception of the internship suspension, return conditions and academic activities during quarantine. A total of 353 MIs participated in the study; 54.9% agreed or totally agreed with returning to their hospital sites if biosecurity measures were guaranteed, more than 90% felt uncertain about the restart and end dates, and 85.6% participated in academic virtual classes. It is concluded that the intention to return to the hospital increases when biosecurity measures are guaran-teed. Hospitals should guarantee these measures and ensure health coverage for the MIs, if their return to hospitals is intended.","author":[{"dropping-particle":"","family":"Albitres-Flores","given":"Leonardo","non-dropping-particle":"","parse-names":false,"suffix":""},{"dropping-particle":"","family":"Pisfil-Farroñay","given":"Yhojar A.","non-dropping-particle":"","parse-names":false,"suffix":""},{"dropping-particle":"","family":"Guillen-Macedo","given":"Karla","non-dropping-particle":"","parse-names":false,"suffix":""},{"dropping-particle":"","family":"Niño-Garcia","given":"Roberto","non-dropping-particle":"","parse-names":false,"suffix":""},{"dropping-particle":"","family":"Alarcon-Ruiz","given":"Christoper A.","non-dropping-particle":"","parse-names":false,"suffix":""},{"dropping-particle":"","family":"Albitres-Flores","given":"Leonardo","non-dropping-particle":"","parse-names":false,"suffix":""},{"dropping-particle":"","family":"Pisfil-Farroñay","given":"Yhojar A.","non-dropping-particle":"","parse-names":false,"suffix":""},{"dropping-particle":"","family":"Guillen-Macedo","given":"Karla","non-dropping-particle":"","parse-names":false,"suffix":""},{"dropping-particle":"","family":"Niño-Garcia","given":"Roberto","non-dropping-particle":"","parse-names":false,"suffix":""},{"dropping-particle":"","family":"Alarcon-Ruiz","given":"Christoper A.","non-dropping-particle":"","parse-names":false,"suffix":""}],"container-title":"Revista Peruana de Medicina Experimental y Salud Publica","id":"ITEM-1","issue":"3","issued":{"date-parts":[["2020","7","1"]]},"page":"504-509","publisher":"Instituto Nacional de Salud","title":"Percepción de los internos sobre la suspensión del internado médico durante la cuarentena por la COVID-19","type":"article-journal","volume":"37"},"uris":["http://www.mendeley.com/documents/?uuid=cb5880ad-4ca2-3cdf-bb8f-b3f6f0e93891"]}],"mendeley":{"formattedCitation":"(9)","plainTextFormattedCitation":"(9)","previouslyFormattedCitation":"(9)"},"properties":{"noteIndex":0},"schema":"https://github.com/citation-style-language/schema/raw/master/csl-citation.json"}</w:instrText>
      </w:r>
      <w:r w:rsidRPr="00396BF2">
        <w:rPr>
          <w:rFonts w:eastAsia="Arial"/>
          <w:vertAlign w:val="superscript"/>
          <w:lang w:val="es-ES" w:eastAsia="es-PE"/>
        </w:rPr>
        <w:fldChar w:fldCharType="separate"/>
      </w:r>
      <w:r w:rsidRPr="00396BF2">
        <w:rPr>
          <w:rFonts w:eastAsia="Arial"/>
          <w:noProof/>
          <w:vertAlign w:val="superscript"/>
          <w:lang w:val="es-ES" w:eastAsia="es-PE"/>
        </w:rPr>
        <w:t>(9)</w:t>
      </w:r>
      <w:r w:rsidRPr="00396BF2">
        <w:rPr>
          <w:rFonts w:eastAsia="Arial"/>
          <w:vertAlign w:val="superscript"/>
          <w:lang w:val="es-ES" w:eastAsia="es-PE"/>
        </w:rPr>
        <w:fldChar w:fldCharType="end"/>
      </w:r>
    </w:p>
    <w:p w14:paraId="3EFE7DDF" w14:textId="77777777" w:rsidR="00396BF2" w:rsidRPr="00396BF2" w:rsidRDefault="00396BF2" w:rsidP="00396BF2">
      <w:pPr>
        <w:spacing w:line="360" w:lineRule="auto"/>
        <w:jc w:val="both"/>
        <w:rPr>
          <w:rFonts w:eastAsia="Calibri"/>
          <w:u w:val="single"/>
          <w:lang w:val="es-ES" w:eastAsia="es-PE"/>
        </w:rPr>
      </w:pPr>
      <w:r w:rsidRPr="00396BF2">
        <w:rPr>
          <w:rFonts w:eastAsia="Calibri"/>
          <w:lang w:val="es-ES" w:eastAsia="es-PE"/>
        </w:rPr>
        <w:t xml:space="preserve">En la estadística analítica se halló que hubo </w:t>
      </w:r>
      <w:bookmarkStart w:id="3" w:name="_Hlk111749434"/>
      <w:r w:rsidRPr="00396BF2">
        <w:rPr>
          <w:rFonts w:eastAsia="Calibri"/>
          <w:lang w:val="es-ES" w:eastAsia="es-PE"/>
        </w:rPr>
        <w:t xml:space="preserve">ansiedad ante la posibilidad de contagiarse de la COVID-19 si acudían al hospital, </w:t>
      </w:r>
      <w:bookmarkEnd w:id="3"/>
      <w:r w:rsidRPr="00396BF2">
        <w:rPr>
          <w:rFonts w:eastAsia="Calibri"/>
          <w:lang w:val="es-ES" w:eastAsia="es-PE"/>
        </w:rPr>
        <w:t>para realizar sus prácticas. En este contexto, los brotes epidémicos fomentan retos a la hora de querer restaurar la salud de los infectados, por lo que conlleva el incremento de la angustia, la ansiedad y otros problemas relacionados.</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{"citationItems":[{"id":"ITEM-1","itemData":{"DOI":"10.15381/rinvp.v23i2.19241","ISSN":"1560-909X","abstract":"El objetivo de la presente investigación fue determinar la relación entre ansiedad por Covid - 19 y salud mental en 356 estudiantes universitarios (227 mujeres y 129 hombres, Medad = 22.36 años, DE = 2.46). Asimismo, se comparó la ansiedad por Covid - 19 y salud mental entre algunas variables sociodemográficas. Se aplicó la versión en español de la Coronavirus Anxiety Scale (CAS) y el Mental Health Inventory-5 (MHI). Los resultados muestran que una mayor ansiedad por COVID – 19 se relaciona con una disminución de la salud mental (ρ = −.67, p &lt;.01). Asimismo, respecto a las comparaciones realizadas se evidencian diferencias estadísticamente significativas en función a las variables sociodemográficas previamente mencionadas. El estudio confirma que a mayor ansiedad por COVID – 19 menor salud mental en una muestra de estudiantes universitarios peruanos.","author":[{"dropping-particle":"","family":"Vivanco-Vidal","given":"Andrea","non-dropping-particle":"","parse-names":false,"suffix":""},{"dropping-particle":"","family":"Saroli-Araníbar","given":"Daniela","non-dropping-particle":"","parse-names":false,"suffix":""},{"dropping-particle":"","family":"Caycho-Rodríguez","given":"Tomás","non-dropping-particle":"","parse-names":false,"suffix":""},{"dropping-particle":"","family":"Carbajal-León","given":"Carlos","non-dropping-particle":"","parse-names":false,"suffix":""},{"dropping-particle":"","family":"Noé-Grijalva","given":"Martín","non-dropping-particle":"","parse-names":false,"suffix":""}],"container-title":"Revista de Investigación en Psicología","id":"ITEM-1","issue":"2","issued":{"date-parts":[["2020"]]},"page":"197-215","title":"Ansiedad por Covid - 19 y salud mental en estudiantes universitarios","type":"article-journal","volume":"23"},"uris":["http://www.mendeley.com/documents/?uuid=8f353782-09c1-47cc-9d51-14359f66420b"]}],"mendeley":{"formattedCitation":"(21)","plainTextFormattedCitation":"(21)","previouslyFormattedCitation":"(21)"},"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(21)</w:t>
      </w:r>
      <w:r w:rsidRPr="00396BF2">
        <w:rPr>
          <w:rFonts w:eastAsia="Calibri"/>
          <w:vertAlign w:val="superscript"/>
          <w:lang w:val="es-ES" w:eastAsia="es-PE"/>
        </w:rPr>
        <w:fldChar w:fldCharType="end"/>
      </w:r>
    </w:p>
    <w:p w14:paraId="442FB86A"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Los internos del sexo masculino percibieron que la universidad les daría los materiales para cuidarse. Un estudio lo respalda, ya que muestra mayor cantidad de mujeres que reportan efectos negativos en sus actividades socioeducativas y económicas;</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{"citationItems":[{"id":"ITEM-1","itemData":{"DOI":"10.22201/IIS.01882503P.2021.0.60072","ISSN":"0188-2503","author":[{"dropping-particle":"","family":"Infante Castañeda","given":"Claudia","non-dropping-particle":"","parse-names":false,"suffix":""},{"dropping-particle":"","family":"Peláez Ballestas","given":"Ingris","non-dropping-particle":"","parse-names":false,"suffix":""},{"dropping-particle":"","family":"Giraldo Rodríguez","given":"Liliana","non-dropping-particle":"","parse-names":false,"suffix":""}],"container-title":"Revista mexicana de sociología","id":"ITEM-1","issue":"SPE","issued":{"date-parts":[["2021"]]},"page":"169-196","publisher":"Universidad Nacional Autónoma de México, Instituto de Investigaciones Sociales","title":"Covid-19 y género: efectos diferenciales de la pandemia en universitarios","type":"article-journal","volume":"83"},"uris":["http://www.mendeley.com/documents/?uuid=d4133009-f984-3216-a0b7-6dd9de691cbf"]}],"mendeley":{"formattedCitation":"(22)","plainTextFormattedCitation":"(22)","previouslyFormattedCitation":"(22)"},"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(22)</w:t>
      </w:r>
      <w:r w:rsidRPr="00396BF2">
        <w:rPr>
          <w:rFonts w:eastAsia="Calibri"/>
          <w:vertAlign w:val="superscript"/>
          <w:lang w:val="es-ES" w:eastAsia="es-PE"/>
        </w:rPr>
        <w:fldChar w:fldCharType="end"/>
      </w:r>
      <w:r w:rsidRPr="00396BF2">
        <w:rPr>
          <w:rFonts w:eastAsia="Calibri"/>
          <w:vertAlign w:val="superscript"/>
          <w:lang w:val="es-ES" w:eastAsia="es-PE"/>
        </w:rPr>
        <w:t xml:space="preserve"> </w:t>
      </w:r>
      <w:r w:rsidRPr="00396BF2">
        <w:rPr>
          <w:rFonts w:eastAsia="Calibri"/>
          <w:lang w:val="es-ES" w:eastAsia="es-PE"/>
        </w:rPr>
        <w:t>quebranta la confianza de este género con su centro educativo, a diferencia de los varones, que muestran menos percepciones de riesgo.</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{"citationItems":[{"id":"ITEM-1","itemData":{"DOI":"10.1080/13669877.2020.1758193","ISSN":"14664461","abstract":"The World Health Organization has declared the rapid spread of COVID-19 around the world a global public health emergency. It is well-known that the spread of the disease is influenced by people’s willingness to adopt preventative public health behaviors, which are often associated with public risk perception. In this study, we present the first assessment of public risk perception of COVID-19 around the world using national samples (total N = 6,991) in ten countries across Europe, America, and Asia. We find that although levels of concern are relatively high, they are highest in the UK compared to all other sampled countries. Pooled across countries, personal experience with the virus, individualistic and prosocial values, hearing about the virus from friends and family, trust in government, science, and medical professionals, personal knowledge of government strategy, and personal and collective efficacy were all significant predictors of risk perception. Although there was substantial variability across cultures, individualistic worldviews, personal experience, prosocial values, and social amplification through friends and family in particular were found to be significant determinants in more than half of the countries examined. Risk perception correlated significantly with reported adoption of preventative health behaviors in all ten countries. Implications for effective risk communication are discussed.","author":[{"dropping-particle":"","family":"Dryhurst","given":"Sarah","non-dropping-particle":"","parse-names":false,"suffix":""},{"dropping-particle":"","family":"Schneider","given":"Claudia R.","non-dropping-particle":"","parse-names":false,"suffix":""},{"dropping-particle":"","family":"Kerr","given":"John","non-dropping-particle":"","parse-names":false,"suffix":""},{"dropping-particle":"","family":"Freeman","given":"Alexandra L.J.","non-dropping-particle":"","parse-names":false,"suffix":""},{"dropping-particle":"","family":"Recchia","given":"Gabriel","non-dropping-particle":"","parse-names":false,"suffix":""},{"dropping-particle":"","family":"Bles","given":"Anne Marthe","non-dropping-particle":"van der","parse-names":false,"suffix":""},{"dropping-particle":"","family":"Spiegelhalter","given":"David","non-dropping-particle":"","parse-names":false,"suffix":""},{"dropping-particle":"","family":"Linden","given":"Sander","non-dropping-particle":"van der","parse-names":false,"suffix":""}],"container-title":"Journal of Risk Research","id":"ITEM-1","issue":"7-8","issued":{"date-parts":[["2020"]]},"page":"994-1006","publisher":"Routledge","title":"Risk perceptions of COVID-19 around the world","type":"article-journal","volume":"23"},"uris":["http://www.mendeley.com/documents/?uuid=03200ba0-3a60-3642-b44f-c4b526a2e406"]}],"mendeley":{"formattedCitation":"(23)","plainTextFormattedCitation":"(23)","previouslyFormattedCitation":"(23)"},"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(23)</w:t>
      </w:r>
      <w:r w:rsidRPr="00396BF2">
        <w:rPr>
          <w:rFonts w:eastAsia="Calibri"/>
          <w:vertAlign w:val="superscript"/>
          <w:lang w:val="es-ES" w:eastAsia="es-PE"/>
        </w:rPr>
        <w:fldChar w:fldCharType="end"/>
      </w:r>
    </w:p>
    <w:p w14:paraId="75C2A3A1"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lastRenderedPageBreak/>
        <w:t xml:space="preserve">Finalmente se evidenció que los internos de </w:t>
      </w:r>
      <w:bookmarkStart w:id="4" w:name="_Hlk111749457"/>
      <w:r w:rsidRPr="00396BF2">
        <w:rPr>
          <w:rFonts w:eastAsia="Calibri"/>
          <w:lang w:val="es-ES" w:eastAsia="es-PE"/>
        </w:rPr>
        <w:t>universidades privadas percibieron que no hubiesen recibido apoyo por parte de los hospitales, si es que se enfermaban gravemente de la COVID-19</w:t>
      </w:r>
      <w:bookmarkEnd w:id="4"/>
      <w:r w:rsidRPr="00396BF2">
        <w:rPr>
          <w:rFonts w:eastAsia="Calibri"/>
          <w:lang w:val="es-ES" w:eastAsia="es-PE"/>
        </w:rPr>
        <w:t>, ya que el estado peruano atribuyó al rector de cada universidad la responsabilidad de dar facilidades al Ministerio de Salud, para monitorear a los internos infectados por coronavirus.</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{"citationItems":[{"id":"ITEM-1","itemData":{"URL":"https://www.gob.pe/institucion/minedu/normas-legales/459958-081-2020-minedu","accessed":{"date-parts":[["2022","3","12"]]},"id":"ITEM-1","issued":{"date-parts":[["0"]]},"title":"Resolución Viceministerial N° 081-2020-MINEDU - Gobierno del Perú","type":"webpage"},"uris":["http://www.mendeley.com/documents/?uuid=fb45a790-051b-3cb4-951e-ab0044fbc628"]}],"mendeley":{"formattedCitation":"(24)","plainTextFormattedCitation":"(24)","previouslyFormattedCitation":"(24)"},"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(24)</w:t>
      </w:r>
      <w:r w:rsidRPr="00396BF2">
        <w:rPr>
          <w:rFonts w:eastAsia="Calibri"/>
          <w:vertAlign w:val="superscript"/>
          <w:lang w:val="es-ES" w:eastAsia="es-PE"/>
        </w:rPr>
        <w:fldChar w:fldCharType="end"/>
      </w:r>
      <w:r w:rsidRPr="00396BF2">
        <w:rPr>
          <w:rFonts w:eastAsia="Calibri"/>
          <w:lang w:val="es-ES" w:eastAsia="es-PE"/>
        </w:rPr>
        <w:t xml:space="preserve"> La Asociación Nacional de Facultades de Medicina (ASPEFAM) recomendó el retiro de los internos de los hospitales, por la condición de estudiantes de último año, el déficit de los EPP y seguros de salud.</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{"citationItems":[{"id":"ITEM-1","itemData":{"DOI":"10.35663/amp.2020.374.1852","ISSN":"1018-8800","abstract":"Sr. Editor, Cada año miles de estudiantes de medicina realizan sus prácticas pre-profesionales en diversos establecimientos de salud del Perú, durante el último año de su formación; estas prácticas se denominan internado de medicina [1]. En este periodo, se consolida lo aprendido en años anteriores, además que representa un requisito para obtener el título profesional [2]. Sin embargo, las condiciones laborales del internado se caracterizan por la sobrecarga de trabajo, el maltrato y la precariedad [3,4]. La jornada laboral promedio de un interno de medicina (IM) es de aproximadamente 10 horas diarias, pero se puede prolongar hasta 36 horas sin descanso [3,4]. El 42,5% de egresados refirió no haber descansado luego de las guardias nocturnas en ninguna de sus rotaciones [1]. Asimismo, 3 de cada 4 egresados de medicina refirieron haber sido víctimas de algún tipo de agresión verbal, física o sexual durante el internado [1]. Además, el 85% de los IM han reportado accidentes con sustancias biológicas u objetos punzocortantes [2]. A pesar de los constantes riesgos biológicos, sólo la mitad de los IM tuvieron acceso a algún seguro de salud, y solo 16,4% recibió un seguro por parte de la institución donde laboraba [1]. Además, casi el 40% de los IM no reciben ningún tipo de remuneración por su actividad y a otro importante grupo se le incumple su derecho a la alimentación [1,3]. En este contexto, la normativa que regula a los IM en el Perú se puede observar en la Tabla 1. Esta normativa presenta vacíos respecto a los derechos de los IM y su cumplimiento, tanto en el aspecto formativo como en el laboral [5]. Actualmente, las actividades de los IM se encuentran suspendidas por más de cinco meses desde el inicio de la emergencia sanitaria a causa de la pandemia de la COVID-19 [5]. La Asociación Nacional de Facultades de Medicina (ASPEFAM) siguió las indicaciones de la Resolución Viceministerial 081-2020-MINEDU y decidió recomendar el retiro de los internos de medicina de los establecimientos de salud, dada su condición de estudiantes de último año y que no contaban con equipos de protección personal (EPP) y seguros [5]. El 15 de agosto pasado, se promulgó el Decreto de Urgencia N° 090-2020, el cual estableció la reanudación de actividades del internado como medida para el cierre de brechas de recursos humanos frente a la pandemia, que establece derechos temporales como un estipendio no menor a la remuneración mínima vital de 930 soles, EPP y seguro de salud y vid…","author":[{"dropping-particle":"","family":"Arroyo-Ramirez","given":"Fitzgerald A.","non-dropping-particle":"","parse-names":false,"suffix":""},{"dropping-particle":"","family":"Rojas-Bolivar","given":"Daniel","non-dropping-particle":"","parse-names":false,"suffix":""}],"container-title":"Acta Medica Peruana","id":"ITEM-1","issue":"4","issued":{"date-parts":[["2020"]]},"page":"562-564","title":"Internado médico durante la pandemia del COVID-19: la problemática de los practicantes prepofesionales de medicina ante la legislación peruana","type":"article-journal","volume":"37"},"uris":["http://www.mendeley.com/documents/?uuid=0e980970-ed1d-4507-919b-1f34770dcb9d"]}],"mendeley":{"formattedCitation":"(25)","plainTextFormattedCitation":"(25)","previouslyFormattedCitation":"(25)"},"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(25)</w:t>
      </w:r>
      <w:r w:rsidRPr="00396BF2">
        <w:rPr>
          <w:rFonts w:eastAsia="Calibri"/>
          <w:vertAlign w:val="superscript"/>
          <w:lang w:val="es-ES" w:eastAsia="es-PE"/>
        </w:rPr>
        <w:fldChar w:fldCharType="end"/>
      </w:r>
      <w:r w:rsidRPr="00396BF2">
        <w:rPr>
          <w:rFonts w:eastAsia="Calibri"/>
          <w:lang w:val="es-ES" w:eastAsia="es-PE"/>
        </w:rPr>
        <w:t xml:space="preserve"> Sin embargo, el 15 de agosto del mismo año se indicó la reanudación del internado y se fijaron derechos temporales, con una remuneración mínima vital de 930 soles, que se les brinden los EPP, seguro de salud y vida; promesas incumplidas por el sistema de salud público colapsado.</w:t>
      </w:r>
      <w:r w:rsidRPr="00396BF2">
        <w:rPr>
          <w:rFonts w:eastAsia="Calibri"/>
          <w:vertAlign w:val="superscript"/>
          <w:lang w:val="es-ES" w:eastAsia="es-PE"/>
        </w:rPr>
        <w:fldChar w:fldCharType="begin" w:fldLock="1"/>
      </w:r>
      <w:r w:rsidRPr="00396BF2">
        <w:rPr>
          <w:rFonts w:eastAsia="Calibri"/>
          <w:vertAlign w:val="superscript"/>
          <w:lang w:val="es-ES" w:eastAsia="es-PE"/>
        </w:rPr>
        <w:instrText>ADDIN CSL_CITATION {"citationItems":[{"id":"ITEM-1","itemData":{"URL":"https://gestion.pe/peru/coronavirus-peru-ciro-maguina-sobre-el-sistema-de-salud-hemos-llegado-a-un-limite-el-colapso-esta-ad-portas-covid-19-nndc-noticia/","accessed":{"date-parts":[["2022","3","12"]]},"id":"ITEM-1","issued":{"date-parts":[["0"]]},"title":"Coronavirus Perú | Ciro Maguiña sobre el sistema de salud: “Hemos llegado a un límite, el colapso está ad portas” | COVID-19 | GESTIÓN","type":"webpage"},"uris":["http://www.mendeley.com/documents/?uuid=7d449015-26fd-3070-9911-e67b8090a339"]}],"mendeley":{"formattedCitation":"(26)","plainTextFormattedCitation":"(26)","previouslyFormattedCitation":"(26)"},"properties":{"noteIndex":0},"schema":"https://github.com/citation-style-language/schema/raw/master/csl-citation.json"}</w:instrText>
      </w:r>
      <w:r w:rsidRPr="00396BF2">
        <w:rPr>
          <w:rFonts w:eastAsia="Calibri"/>
          <w:vertAlign w:val="superscript"/>
          <w:lang w:val="es-ES" w:eastAsia="es-PE"/>
        </w:rPr>
        <w:fldChar w:fldCharType="separate"/>
      </w:r>
      <w:r w:rsidRPr="00396BF2">
        <w:rPr>
          <w:rFonts w:eastAsia="Calibri"/>
          <w:noProof/>
          <w:vertAlign w:val="superscript"/>
          <w:lang w:val="es-ES" w:eastAsia="es-PE"/>
        </w:rPr>
        <w:t>(26)</w:t>
      </w:r>
      <w:r w:rsidRPr="00396BF2">
        <w:rPr>
          <w:rFonts w:eastAsia="Calibri"/>
          <w:vertAlign w:val="superscript"/>
          <w:lang w:val="es-ES" w:eastAsia="es-PE"/>
        </w:rPr>
        <w:fldChar w:fldCharType="end"/>
      </w:r>
    </w:p>
    <w:p w14:paraId="470C519F" w14:textId="77777777" w:rsidR="00396BF2" w:rsidRPr="00396BF2" w:rsidRDefault="00396BF2" w:rsidP="00396BF2">
      <w:pPr>
        <w:spacing w:line="360" w:lineRule="auto"/>
        <w:jc w:val="both"/>
        <w:rPr>
          <w:rFonts w:eastAsia="Calibri"/>
          <w:lang w:val="es-ES" w:eastAsia="es-PE"/>
        </w:rPr>
      </w:pPr>
      <w:r w:rsidRPr="00396BF2">
        <w:rPr>
          <w:rFonts w:eastAsia="Calibri"/>
          <w:lang w:val="es-ES" w:eastAsia="es-PE"/>
        </w:rPr>
        <w:t>El estudio tuvo la clara limitación del sesgo de selección y el reducido tamaño muestral. Sin embargo, es un estudio que muestra un análisis basal, que antes no ha sido reportado y muestra las importantes percepciones de este grupo que realiza sus prácticas preprofesionales en hospitales peruanos. Este trabajo es uno de los primeros de su tipo en todo el territorio peruano y en la región de Sudamérica. Servirá para que instituciones educativas, las supervisoras y futuros investigadores tengan una noción de que pasó con este grupo de futuros profesionales de la salud. Se espera que se realicen más investigaciones que indaguen más en estas promociones de profesionales de la salud, que egresaron en una situación muy especial y distinta a otras promociones.</w:t>
      </w:r>
    </w:p>
    <w:p w14:paraId="3EA41D99" w14:textId="77777777" w:rsidR="00396BF2" w:rsidRPr="00396BF2" w:rsidRDefault="00396BF2" w:rsidP="00396BF2">
      <w:pPr>
        <w:spacing w:line="360" w:lineRule="auto"/>
        <w:jc w:val="both"/>
        <w:rPr>
          <w:rFonts w:eastAsia="Arial"/>
          <w:lang w:val="es-ES" w:eastAsia="es-PE"/>
        </w:rPr>
      </w:pPr>
      <w:r w:rsidRPr="00396BF2">
        <w:rPr>
          <w:rFonts w:eastAsia="Arial"/>
          <w:lang w:val="es-ES" w:eastAsia="es-PE"/>
        </w:rPr>
        <w:t xml:space="preserve">Se concluye que los </w:t>
      </w:r>
      <w:r w:rsidRPr="00396BF2">
        <w:rPr>
          <w:rFonts w:eastAsia="Arial"/>
          <w:bCs/>
          <w:lang w:val="es-ES" w:eastAsia="es-PE"/>
        </w:rPr>
        <w:t xml:space="preserve">factores asociados a la percepción de repercusiones del internado hospitalario peruano durante la COVID-19, son </w:t>
      </w:r>
      <w:r w:rsidRPr="00396BF2">
        <w:rPr>
          <w:rFonts w:eastAsia="Arial"/>
          <w:lang w:val="es-ES" w:eastAsia="es-PE"/>
        </w:rPr>
        <w:t>el apoyo familiar ante enfermarse de la COVID-19, poder contagiar a sus familiares si seguían yendo a hospitales y la falta de materiales (EPP) dados por las universidades y hospitales. Hubo asociación entre el pensar que se habría contagiado de la COVID-19 si iba al hospital, versus el puntaje de ansiedad, el sexo masculino según la percepción de que la universidad les darían los materiales para cuidarse y el provenir de una universidad privada, según percibir que el hospital no le hubiese apoyado si se enfermaba de gravedad.</w:t>
      </w:r>
    </w:p>
    <w:p w14:paraId="39105272" w14:textId="77777777" w:rsidR="00396BF2" w:rsidRPr="00396BF2" w:rsidRDefault="00396BF2" w:rsidP="00396BF2">
      <w:pPr>
        <w:spacing w:line="360" w:lineRule="auto"/>
        <w:jc w:val="both"/>
        <w:rPr>
          <w:rFonts w:eastAsia="Arial"/>
          <w:b/>
          <w:bCs/>
          <w:lang w:val="es-ES" w:eastAsia="es-PE"/>
        </w:rPr>
      </w:pPr>
    </w:p>
    <w:p w14:paraId="4237AD6A" w14:textId="77777777" w:rsidR="00396BF2" w:rsidRPr="00396BF2" w:rsidRDefault="00396BF2" w:rsidP="00396BF2">
      <w:pPr>
        <w:spacing w:line="360" w:lineRule="auto"/>
        <w:jc w:val="both"/>
        <w:rPr>
          <w:rFonts w:eastAsia="Arial"/>
          <w:b/>
          <w:bCs/>
          <w:lang w:val="es-ES" w:eastAsia="es-PE"/>
        </w:rPr>
      </w:pPr>
    </w:p>
    <w:p w14:paraId="27FAD9CF" w14:textId="77777777" w:rsidR="001B5893" w:rsidRDefault="001B5893">
      <w:pPr>
        <w:rPr>
          <w:rFonts w:eastAsia="Arial"/>
          <w:b/>
          <w:bCs/>
          <w:sz w:val="32"/>
          <w:szCs w:val="32"/>
          <w:lang w:val="es-ES" w:eastAsia="es-PE"/>
        </w:rPr>
      </w:pPr>
      <w:r>
        <w:rPr>
          <w:rFonts w:eastAsia="Arial"/>
          <w:b/>
          <w:bCs/>
          <w:sz w:val="32"/>
          <w:szCs w:val="32"/>
          <w:lang w:val="es-ES" w:eastAsia="es-PE"/>
        </w:rPr>
        <w:br w:type="page"/>
      </w:r>
    </w:p>
    <w:p w14:paraId="6D0498B7" w14:textId="58CC12D2" w:rsidR="00396BF2" w:rsidRPr="00396BF2" w:rsidRDefault="00396BF2" w:rsidP="00396BF2">
      <w:pPr>
        <w:spacing w:line="360" w:lineRule="auto"/>
        <w:jc w:val="center"/>
        <w:rPr>
          <w:rFonts w:eastAsia="Arial"/>
          <w:b/>
          <w:bCs/>
          <w:sz w:val="32"/>
          <w:szCs w:val="32"/>
          <w:lang w:val="es-ES" w:eastAsia="es-PE"/>
        </w:rPr>
      </w:pPr>
      <w:r w:rsidRPr="00396BF2">
        <w:rPr>
          <w:rFonts w:eastAsia="Arial"/>
          <w:b/>
          <w:bCs/>
          <w:sz w:val="32"/>
          <w:szCs w:val="32"/>
          <w:lang w:val="es-ES" w:eastAsia="es-PE"/>
        </w:rPr>
        <w:lastRenderedPageBreak/>
        <w:t>REFERENCIAS BIBLIOGRÁFICAS</w:t>
      </w:r>
    </w:p>
    <w:p w14:paraId="6463A32F"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1. Zeta LA. Asociación entre el no inicio de clases virtuales y ansiedad durante la suspensión del Internado Médico debido al COVID-19 en Perú, 2020 [Tesis para optar el título profesional de: Médico Cirujano]. Piura: Universidad Nacional de Piura. 2021. [acceso: 12/03/2022]. Disponible en: </w:t>
      </w:r>
      <w:hyperlink r:id="rId16" w:history="1">
        <w:r w:rsidRPr="00396BF2">
          <w:rPr>
            <w:rFonts w:eastAsia="Arial"/>
            <w:color w:val="0563C1"/>
            <w:u w:val="single"/>
            <w:lang w:val="es-ES" w:eastAsia="es-PE"/>
          </w:rPr>
          <w:t>https://repositorio.unp.edu.pe/handle/20.500.12676/2675</w:t>
        </w:r>
      </w:hyperlink>
      <w:r w:rsidRPr="00396BF2">
        <w:rPr>
          <w:rFonts w:eastAsia="Arial"/>
          <w:lang w:val="es-ES" w:eastAsia="es-PE"/>
        </w:rPr>
        <w:t xml:space="preserve"> </w:t>
      </w:r>
    </w:p>
    <w:p w14:paraId="5D7821E8" w14:textId="77777777" w:rsidR="00396BF2" w:rsidRPr="00396BF2" w:rsidRDefault="00396BF2" w:rsidP="00396BF2">
      <w:pPr>
        <w:spacing w:line="360" w:lineRule="auto"/>
        <w:rPr>
          <w:rFonts w:eastAsia="Arial"/>
          <w:lang w:val="en-US" w:eastAsia="es-PE"/>
        </w:rPr>
      </w:pPr>
      <w:r w:rsidRPr="00396BF2">
        <w:rPr>
          <w:rFonts w:eastAsia="Arial"/>
          <w:lang w:val="es-ES" w:eastAsia="es-PE"/>
        </w:rPr>
        <w:t xml:space="preserve">2. Herrera-Añazco P, Toro-Huamanchumo C. Educación médica durante la pandemia del COVID-19: iniciativas mundiales para el pregrado, internado y el residentado médico. </w:t>
      </w:r>
      <w:r w:rsidRPr="00396BF2">
        <w:rPr>
          <w:rFonts w:eastAsia="Arial"/>
          <w:lang w:val="en-US" w:eastAsia="es-PE"/>
        </w:rPr>
        <w:t xml:space="preserve">Acta Médica Peruana. 2020; 37(2):169–75. DOI: 10.35663/amp.2020.372.999 </w:t>
      </w:r>
    </w:p>
    <w:p w14:paraId="64B9A755" w14:textId="77777777" w:rsidR="00396BF2" w:rsidRPr="00396BF2" w:rsidRDefault="00396BF2" w:rsidP="00396BF2">
      <w:pPr>
        <w:spacing w:line="360" w:lineRule="auto"/>
        <w:rPr>
          <w:rFonts w:eastAsia="Arial"/>
          <w:lang w:val="es-ES" w:eastAsia="es-PE"/>
        </w:rPr>
      </w:pPr>
      <w:r w:rsidRPr="00396BF2">
        <w:rPr>
          <w:rFonts w:eastAsia="Arial"/>
          <w:lang w:val="en-US" w:eastAsia="es-PE"/>
        </w:rPr>
        <w:t xml:space="preserve">3. Rose S. Medical Student Education in the Time of COVID-19. </w:t>
      </w:r>
      <w:r w:rsidRPr="00396BF2">
        <w:rPr>
          <w:rFonts w:eastAsia="Arial"/>
          <w:lang w:val="es-CU" w:eastAsia="es-PE"/>
        </w:rPr>
        <w:t xml:space="preserve">JAMA. 2020 [acceso: 06/09/2021]; 323(21):2131–2. </w:t>
      </w:r>
      <w:r w:rsidRPr="00396BF2">
        <w:rPr>
          <w:rFonts w:eastAsia="Arial"/>
          <w:lang w:val="es-ES" w:eastAsia="es-PE"/>
        </w:rPr>
        <w:t xml:space="preserve">Disponible en: </w:t>
      </w:r>
      <w:hyperlink r:id="rId17" w:history="1">
        <w:r w:rsidRPr="00396BF2">
          <w:rPr>
            <w:rFonts w:eastAsia="Arial"/>
            <w:color w:val="0563C1"/>
            <w:u w:val="single"/>
            <w:lang w:val="es-ES" w:eastAsia="es-PE"/>
          </w:rPr>
          <w:t>https://jamanetwork.com/journals/jama/fullarticle/2764138</w:t>
        </w:r>
      </w:hyperlink>
      <w:r w:rsidRPr="00396BF2">
        <w:rPr>
          <w:rFonts w:eastAsia="Arial"/>
          <w:lang w:val="es-ES" w:eastAsia="es-PE"/>
        </w:rPr>
        <w:t xml:space="preserve"> </w:t>
      </w:r>
    </w:p>
    <w:p w14:paraId="415550DB"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4. Ponce de Leon Z. Sistema de Salud en el Perú y el COVID-19: documento de política pública. Lima: Pontif Univ Católica del Perú; 2020. [acceso: 05/09/2021]. Disponible en: </w:t>
      </w:r>
      <w:hyperlink r:id="rId18" w:history="1">
        <w:r w:rsidRPr="00396BF2">
          <w:rPr>
            <w:rFonts w:eastAsia="Arial"/>
            <w:color w:val="0563C1"/>
            <w:u w:val="single"/>
            <w:lang w:val="es-ES" w:eastAsia="es-PE"/>
          </w:rPr>
          <w:t>https://repositorio.pucp.edu.pe/index/bitstream/handle/123456789/176598/La%20salud%20en%20tiempos%20de%20covid-VF5.pdf?sequence=1&amp;isAllowed=y</w:t>
        </w:r>
      </w:hyperlink>
      <w:r w:rsidRPr="00396BF2">
        <w:rPr>
          <w:rFonts w:eastAsia="Arial"/>
          <w:lang w:val="es-ES" w:eastAsia="es-PE"/>
        </w:rPr>
        <w:t xml:space="preserve"> </w:t>
      </w:r>
    </w:p>
    <w:p w14:paraId="010BA765" w14:textId="77777777" w:rsidR="00396BF2" w:rsidRPr="00396BF2" w:rsidRDefault="00396BF2" w:rsidP="00396BF2">
      <w:pPr>
        <w:spacing w:line="360" w:lineRule="auto"/>
        <w:rPr>
          <w:rFonts w:eastAsia="Arial"/>
          <w:lang w:val="es-ES" w:eastAsia="es-PE"/>
        </w:rPr>
      </w:pPr>
      <w:r w:rsidRPr="00396BF2">
        <w:rPr>
          <w:rFonts w:eastAsia="Arial"/>
          <w:lang w:val="en-US" w:eastAsia="es-PE"/>
        </w:rPr>
        <w:t xml:space="preserve">5. Dost S, Hossain A, Shehab M, Abdelwahed A, Al-Nusair L. Perceptions of medical students towards online teaching during the COVID-19 pandemic: a national cross-sectional survey of 2721 UK medical students. </w:t>
      </w:r>
      <w:r w:rsidRPr="00396BF2">
        <w:rPr>
          <w:rFonts w:eastAsia="Arial"/>
          <w:lang w:val="es-ES" w:eastAsia="es-PE"/>
        </w:rPr>
        <w:t xml:space="preserve">BMJ Open. 2020 [acceso: 05/09/2021]; 10(11):e042378.  Disponible en: </w:t>
      </w:r>
      <w:hyperlink r:id="rId19" w:history="1">
        <w:r w:rsidRPr="00396BF2">
          <w:rPr>
            <w:rFonts w:eastAsia="Arial"/>
            <w:color w:val="0563C1"/>
            <w:u w:val="single"/>
            <w:lang w:val="es-ES" w:eastAsia="es-PE"/>
          </w:rPr>
          <w:t>https://pubmed.ncbi.nlm.nih.gov/33154063/</w:t>
        </w:r>
      </w:hyperlink>
      <w:r w:rsidRPr="00396BF2">
        <w:rPr>
          <w:rFonts w:eastAsia="Arial"/>
          <w:lang w:val="es-ES" w:eastAsia="es-PE"/>
        </w:rPr>
        <w:t xml:space="preserve"> </w:t>
      </w:r>
    </w:p>
    <w:p w14:paraId="37218C42" w14:textId="77777777" w:rsidR="00396BF2" w:rsidRPr="00396BF2" w:rsidRDefault="00396BF2" w:rsidP="00396BF2">
      <w:pPr>
        <w:spacing w:line="360" w:lineRule="auto"/>
        <w:rPr>
          <w:rFonts w:eastAsia="Arial"/>
          <w:lang w:val="en-US" w:eastAsia="es-PE"/>
        </w:rPr>
      </w:pPr>
      <w:r w:rsidRPr="00396BF2">
        <w:rPr>
          <w:rFonts w:eastAsia="Arial"/>
          <w:lang w:val="es-ES" w:eastAsia="es-PE"/>
        </w:rPr>
        <w:t xml:space="preserve">6.  García Aretio L. COVID-19 y educación a distancia digital: preconfinamiento, confinamiento y posconfinamiento. </w:t>
      </w:r>
      <w:r w:rsidRPr="00396BF2">
        <w:rPr>
          <w:rFonts w:eastAsia="Arial"/>
          <w:lang w:val="en-US" w:eastAsia="es-PE"/>
        </w:rPr>
        <w:t>Revista Iberoamericana de Educación a Distancia. 2021; 24(1):09-32. DOI:10.5944/ried.24.1.28080</w:t>
      </w:r>
    </w:p>
    <w:p w14:paraId="1D0E8D28" w14:textId="77777777" w:rsidR="00396BF2" w:rsidRPr="00396BF2" w:rsidRDefault="00396BF2" w:rsidP="00396BF2">
      <w:pPr>
        <w:spacing w:line="360" w:lineRule="auto"/>
        <w:rPr>
          <w:rFonts w:eastAsia="Arial"/>
          <w:lang w:val="en-US" w:eastAsia="es-PE"/>
        </w:rPr>
      </w:pPr>
      <w:r w:rsidRPr="00396BF2">
        <w:rPr>
          <w:rFonts w:eastAsia="Arial"/>
          <w:lang w:val="en-US" w:eastAsia="es-PE"/>
        </w:rPr>
        <w:t>7. Zaman A, Banna H, Rakib M, Ahmed S, Khan M. Impact of Covid-19 on University Final Year Internship Students. Journal of Software Engineering and Applications. 2021; 14(8):363–88. DOI: 10.4236/jsea.2021.148022</w:t>
      </w:r>
    </w:p>
    <w:p w14:paraId="5249F9EB" w14:textId="77777777" w:rsidR="00396BF2" w:rsidRPr="00396BF2" w:rsidRDefault="00396BF2" w:rsidP="00396BF2">
      <w:pPr>
        <w:spacing w:line="360" w:lineRule="auto"/>
        <w:rPr>
          <w:rFonts w:eastAsia="Arial"/>
          <w:lang w:val="es-ES" w:eastAsia="es-PE"/>
        </w:rPr>
      </w:pPr>
      <w:r w:rsidRPr="0043010E">
        <w:rPr>
          <w:rFonts w:eastAsia="Arial"/>
          <w:lang w:val="es-CU" w:eastAsia="es-PE"/>
        </w:rPr>
        <w:t xml:space="preserve">8. Vidal M, González M, Armenteros I. Impacto de la COVID-19 en la Educación Superior. </w:t>
      </w:r>
      <w:r w:rsidRPr="00396BF2">
        <w:rPr>
          <w:rFonts w:eastAsia="Arial"/>
          <w:lang w:val="es-ES" w:eastAsia="es-PE"/>
        </w:rPr>
        <w:t xml:space="preserve">Educación Médica Superior. 2021; 35(1):e2851. [acceso: 12/03/2022].  Disponible en: </w:t>
      </w:r>
      <w:hyperlink r:id="rId20" w:history="1">
        <w:r w:rsidRPr="00396BF2">
          <w:rPr>
            <w:rFonts w:eastAsia="Arial"/>
            <w:color w:val="0563C1"/>
            <w:u w:val="single"/>
            <w:lang w:val="es-ES" w:eastAsia="es-PE"/>
          </w:rPr>
          <w:t>http://www.ems.sld.cu/index.php/ems/article/view/2851</w:t>
        </w:r>
      </w:hyperlink>
      <w:r w:rsidRPr="00396BF2">
        <w:rPr>
          <w:rFonts w:eastAsia="Arial"/>
          <w:lang w:val="es-ES" w:eastAsia="es-PE"/>
        </w:rPr>
        <w:t xml:space="preserve"> </w:t>
      </w:r>
    </w:p>
    <w:p w14:paraId="7B0583A9" w14:textId="77777777" w:rsidR="00396BF2" w:rsidRPr="00396BF2" w:rsidRDefault="00396BF2" w:rsidP="00396BF2">
      <w:pPr>
        <w:spacing w:line="360" w:lineRule="auto"/>
        <w:rPr>
          <w:rFonts w:eastAsia="Arial"/>
          <w:lang w:val="es-ES" w:eastAsia="es-PE"/>
        </w:rPr>
      </w:pPr>
      <w:r w:rsidRPr="00396BF2">
        <w:rPr>
          <w:rFonts w:eastAsia="Arial"/>
          <w:lang w:val="es-ES" w:eastAsia="es-PE"/>
        </w:rPr>
        <w:lastRenderedPageBreak/>
        <w:t>9.  Albitres-Flores L, Pisfil-Farroñay YA, Guillen-Macedo K, Niño-Garcia R, Alarcon-Ruiz CA. Percepción de los internos sobre la suspensión del internado médico durante la cuarentena por la COVID-19. Rev Peru Med Exp Salud Publica. 2020; 37(3):504–9. DOI:10.17843/rpmesp.2020.373.5729</w:t>
      </w:r>
    </w:p>
    <w:p w14:paraId="1D98DBB0" w14:textId="77777777" w:rsidR="00396BF2" w:rsidRPr="00396BF2" w:rsidRDefault="00396BF2" w:rsidP="00396BF2">
      <w:pPr>
        <w:spacing w:line="360" w:lineRule="auto"/>
        <w:rPr>
          <w:rFonts w:eastAsia="Arial"/>
          <w:lang w:val="es-CU" w:eastAsia="es-PE"/>
        </w:rPr>
      </w:pPr>
      <w:r w:rsidRPr="00396BF2">
        <w:rPr>
          <w:rFonts w:eastAsia="Arial"/>
          <w:lang w:val="es-ES" w:eastAsia="es-PE"/>
        </w:rPr>
        <w:t xml:space="preserve">10. Porras E. Factores asociados al no retorno al internado médico peruano durante la pandemia por Sars-cov2 en el año 2020: un estudio exploratorio [Tesis para optar el título de médico cirujano]. Piura: Universidad de Piura; </w:t>
      </w:r>
      <w:r w:rsidRPr="00396BF2">
        <w:rPr>
          <w:rFonts w:eastAsia="Arial"/>
          <w:lang w:val="es-CU" w:eastAsia="es-PE"/>
        </w:rPr>
        <w:t xml:space="preserve">2021. [acceso: 12/03/2022] Disponible en: </w:t>
      </w:r>
      <w:hyperlink r:id="rId21" w:history="1">
        <w:r w:rsidRPr="00396BF2">
          <w:rPr>
            <w:rFonts w:eastAsia="Arial"/>
            <w:color w:val="0563C1"/>
            <w:u w:val="single"/>
            <w:lang w:val="es-CU" w:eastAsia="es-PE"/>
          </w:rPr>
          <w:t>https://repositorio.unp.edu.pe/handle/20.500.12676/2751</w:t>
        </w:r>
      </w:hyperlink>
      <w:r w:rsidRPr="00396BF2">
        <w:rPr>
          <w:rFonts w:eastAsia="Arial"/>
          <w:lang w:val="es-CU" w:eastAsia="es-PE"/>
        </w:rPr>
        <w:t xml:space="preserve"> </w:t>
      </w:r>
    </w:p>
    <w:p w14:paraId="0C30BAFE" w14:textId="77777777" w:rsidR="00396BF2" w:rsidRPr="00396BF2" w:rsidRDefault="00396BF2" w:rsidP="00396BF2">
      <w:pPr>
        <w:spacing w:line="360" w:lineRule="auto"/>
        <w:rPr>
          <w:rFonts w:eastAsia="Arial"/>
          <w:lang w:val="en-US" w:eastAsia="es-PE"/>
        </w:rPr>
      </w:pPr>
      <w:r w:rsidRPr="00396BF2">
        <w:rPr>
          <w:rFonts w:eastAsia="Arial"/>
          <w:lang w:val="en-US" w:eastAsia="es-PE"/>
        </w:rPr>
        <w:t>11. Mittal R, Su L, Jain R. COVID-19 mental health consequences on medical students worldwide. Journal of Community Hospital Internal Medicine Perspectives. 2021; 11(3):296-8. DOI: 10.1080/20009666.2021.1918475</w:t>
      </w:r>
    </w:p>
    <w:p w14:paraId="448263C3" w14:textId="77777777" w:rsidR="00396BF2" w:rsidRPr="00396BF2" w:rsidRDefault="00396BF2" w:rsidP="00396BF2">
      <w:pPr>
        <w:spacing w:line="360" w:lineRule="auto"/>
        <w:rPr>
          <w:rFonts w:eastAsia="Arial"/>
          <w:lang w:val="es-ES" w:eastAsia="es-PE"/>
        </w:rPr>
      </w:pPr>
      <w:r w:rsidRPr="00396BF2">
        <w:rPr>
          <w:rFonts w:eastAsia="Arial"/>
          <w:lang w:val="en-US" w:eastAsia="es-PE"/>
        </w:rPr>
        <w:t xml:space="preserve">12. Quispe AM, Valentin EB, Gutierrez AR, Mares JD. </w:t>
      </w:r>
      <w:r w:rsidRPr="00396BF2">
        <w:rPr>
          <w:rFonts w:eastAsia="Arial"/>
          <w:lang w:val="es-ES" w:eastAsia="es-PE"/>
        </w:rPr>
        <w:t>Serie de Redacción Científica: Estudios Trasversales. Rev del Cuerpo Médico del HNAAA. 2020; 13(1):72-7. DOI: 10.35434/rcmhnaaa.2020.131.626</w:t>
      </w:r>
    </w:p>
    <w:p w14:paraId="593A003D" w14:textId="77777777" w:rsidR="00396BF2" w:rsidRPr="00396BF2" w:rsidRDefault="00396BF2" w:rsidP="00396BF2">
      <w:pPr>
        <w:spacing w:line="360" w:lineRule="auto"/>
        <w:rPr>
          <w:rFonts w:eastAsia="Arial"/>
          <w:lang w:val="en-US" w:eastAsia="es-PE"/>
        </w:rPr>
      </w:pPr>
      <w:r w:rsidRPr="00396BF2">
        <w:rPr>
          <w:rFonts w:eastAsia="Arial"/>
          <w:lang w:val="es-ES" w:eastAsia="es-PE"/>
        </w:rPr>
        <w:t xml:space="preserve">13. Cvetković Vega A, Maguiña JL, Soto A, Lama-Valdivia J, Correa López LE. </w:t>
      </w:r>
      <w:r w:rsidRPr="00396BF2">
        <w:rPr>
          <w:rFonts w:eastAsia="Arial"/>
          <w:lang w:val="en-US" w:eastAsia="es-PE"/>
        </w:rPr>
        <w:t>Cross-sectional studies. Rev la Fac Med Humana. 2021; 21(1):164-70. DOI: 10.25176/RFMH.v21i1.3069</w:t>
      </w:r>
    </w:p>
    <w:p w14:paraId="2127FA2E" w14:textId="77777777" w:rsidR="00396BF2" w:rsidRPr="00396BF2" w:rsidRDefault="00396BF2" w:rsidP="00396BF2">
      <w:pPr>
        <w:spacing w:line="360" w:lineRule="auto"/>
        <w:rPr>
          <w:rFonts w:eastAsia="Arial"/>
          <w:lang w:val="en-US" w:eastAsia="es-PE"/>
        </w:rPr>
      </w:pPr>
      <w:r w:rsidRPr="00396BF2">
        <w:rPr>
          <w:rFonts w:eastAsia="Arial"/>
          <w:lang w:val="es-ES" w:eastAsia="es-PE"/>
        </w:rPr>
        <w:t xml:space="preserve">14. Urrutia-Herrera E. Rendimiento académico y contexto familiar en estudiantes universitarios. </w:t>
      </w:r>
      <w:r w:rsidRPr="00396BF2">
        <w:rPr>
          <w:rFonts w:eastAsia="Arial"/>
          <w:lang w:val="en-US" w:eastAsia="es-PE"/>
        </w:rPr>
        <w:t xml:space="preserve">Rev Saberes Educ. 2019; (3):169-181. DOI: 10.5354/2452-5014.2019.53797 </w:t>
      </w:r>
    </w:p>
    <w:p w14:paraId="15B57E45" w14:textId="77777777" w:rsidR="00396BF2" w:rsidRPr="00396BF2" w:rsidRDefault="00396BF2" w:rsidP="00396BF2">
      <w:pPr>
        <w:spacing w:line="360" w:lineRule="auto"/>
        <w:rPr>
          <w:rFonts w:eastAsia="Arial"/>
          <w:lang w:val="es-ES" w:eastAsia="es-PE"/>
        </w:rPr>
      </w:pPr>
      <w:r w:rsidRPr="00396BF2">
        <w:rPr>
          <w:rFonts w:eastAsia="Arial"/>
          <w:lang w:val="en-US" w:eastAsia="es-PE"/>
        </w:rPr>
        <w:t xml:space="preserve">15. Viner R, Russell S, Saulle R, Croker H, Stansfield C, Packer J, et al. School Closures During Social Lockdown and Mental Health, Health Behaviors, and Well-being Among Children and Adolescents During the First COVID-19 Wave: A Systematic Review. </w:t>
      </w:r>
      <w:r w:rsidRPr="00396BF2">
        <w:rPr>
          <w:rFonts w:eastAsia="Arial"/>
          <w:lang w:val="es-PE" w:eastAsia="es-PE"/>
        </w:rPr>
        <w:t xml:space="preserve">JAMA Pediatr. </w:t>
      </w:r>
      <w:r w:rsidRPr="00396BF2">
        <w:rPr>
          <w:rFonts w:eastAsia="Arial"/>
          <w:lang w:val="es-ES" w:eastAsia="es-PE"/>
        </w:rPr>
        <w:t xml:space="preserve">2022 [acceso: 12/03/2022]; 176(4):400-9. Disponible en: </w:t>
      </w:r>
      <w:hyperlink r:id="rId22" w:history="1">
        <w:r w:rsidRPr="00396BF2">
          <w:rPr>
            <w:rFonts w:eastAsia="Arial"/>
            <w:color w:val="0563C1"/>
            <w:u w:val="single"/>
            <w:lang w:val="es-ES" w:eastAsia="es-PE"/>
          </w:rPr>
          <w:t>https://jamanetwork.com/journals/jamapediatrics/fullarticle/2788069</w:t>
        </w:r>
      </w:hyperlink>
      <w:r w:rsidRPr="00396BF2">
        <w:rPr>
          <w:rFonts w:eastAsia="Arial"/>
          <w:lang w:val="es-ES" w:eastAsia="es-PE"/>
        </w:rPr>
        <w:t xml:space="preserve"> </w:t>
      </w:r>
    </w:p>
    <w:p w14:paraId="6EB9E273"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16. Torales J, Barrios I, Samudio A, Samudio M. Apoyo social autopercibido en estudiantes de medicina de la Universidad Nacional de Asunción (Paraguay). Educación Médica. 2018 [acceso: 12/10/2022]; 19(53):313-17. Disponible en: </w:t>
      </w:r>
      <w:hyperlink r:id="rId23" w:history="1">
        <w:r w:rsidRPr="00396BF2">
          <w:rPr>
            <w:rFonts w:eastAsia="Arial"/>
            <w:color w:val="0563C1"/>
            <w:u w:val="single"/>
            <w:lang w:val="es-ES" w:eastAsia="es-PE"/>
          </w:rPr>
          <w:t>https://www.elsevier.es/es-revista-educacion-medica-71-articulo-apoyo-social-autopercibido-estudiantes-medicina-S1575181317301389</w:t>
        </w:r>
      </w:hyperlink>
      <w:r w:rsidRPr="00396BF2">
        <w:rPr>
          <w:rFonts w:eastAsia="Arial"/>
          <w:lang w:val="es-ES" w:eastAsia="es-PE"/>
        </w:rPr>
        <w:t xml:space="preserve"> </w:t>
      </w:r>
    </w:p>
    <w:p w14:paraId="6C313742"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17. Naciones Unidas. Informe COVID-19: La prolongación de la crisis sanitaria y su impacto en la salud, la economía y el desarrollo social. CEPAL. 2020 [acceso: 05/09/2021]. Disponible en: </w:t>
      </w:r>
      <w:hyperlink r:id="rId24" w:history="1">
        <w:r w:rsidRPr="00396BF2">
          <w:rPr>
            <w:rFonts w:eastAsia="Arial"/>
            <w:color w:val="0563C1"/>
            <w:u w:val="single"/>
            <w:lang w:val="es-ES" w:eastAsia="es-PE"/>
          </w:rPr>
          <w:t>https://www.cepal.org/es/publicaciones/47301-la-prolongacion-la-crisis-sanitaria-su-impacto-la-salud-la-economia-desarrollo</w:t>
        </w:r>
      </w:hyperlink>
      <w:r w:rsidRPr="00396BF2">
        <w:rPr>
          <w:rFonts w:eastAsia="Arial"/>
          <w:lang w:val="es-ES" w:eastAsia="es-PE"/>
        </w:rPr>
        <w:t xml:space="preserve"> </w:t>
      </w:r>
    </w:p>
    <w:p w14:paraId="3721C4F4"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18. Maguiña C. Reflexiones sobre el COVID-19, el Colegio Médico del Perú y la Salud Pública. Acta Méd. Perú. 2020; 37(1):8-10. DOI: 10.35663/amp.2020.371.929  </w:t>
      </w:r>
    </w:p>
    <w:p w14:paraId="258DA6B9"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19. OPS. Hospitalizaciones y muertes por COVID-19 de adultos jóvenes se disparan en las Américas. Noticias, Organización Panamericana de la Salud. 2021. [acceso: 12/03/2022]. Disponible en: </w:t>
      </w:r>
      <w:hyperlink r:id="rId25" w:history="1">
        <w:r w:rsidRPr="00396BF2">
          <w:rPr>
            <w:rFonts w:eastAsia="Arial"/>
            <w:color w:val="0563C1"/>
            <w:u w:val="single"/>
            <w:lang w:val="es-ES" w:eastAsia="es-PE"/>
          </w:rPr>
          <w:t>https://www.paho.org/es/noticias/5-5-2021-hospitalizaciones-muertes-por-covid-19-adultos-jovenes-se-disparan-americas</w:t>
        </w:r>
      </w:hyperlink>
      <w:r w:rsidRPr="00396BF2">
        <w:rPr>
          <w:rFonts w:eastAsia="Arial"/>
          <w:lang w:val="es-ES" w:eastAsia="es-PE"/>
        </w:rPr>
        <w:t xml:space="preserve"> </w:t>
      </w:r>
    </w:p>
    <w:p w14:paraId="4641D821" w14:textId="77777777" w:rsidR="00396BF2" w:rsidRPr="00396BF2" w:rsidRDefault="00396BF2" w:rsidP="00396BF2">
      <w:pPr>
        <w:spacing w:line="360" w:lineRule="auto"/>
        <w:rPr>
          <w:rFonts w:eastAsia="Arial"/>
          <w:lang w:val="en-US" w:eastAsia="es-PE"/>
        </w:rPr>
      </w:pPr>
      <w:r w:rsidRPr="00396BF2">
        <w:rPr>
          <w:rFonts w:eastAsia="Arial"/>
          <w:lang w:val="es-ES" w:eastAsia="es-PE"/>
        </w:rPr>
        <w:t xml:space="preserve">20. Valdez-Garcia J, Eraña-Rojas I, Diaz J, Cordero-Diaz M, Torres-Quintanilla A, Zeron-Gutiérrez L. El rol del estudiante de medicina y ciencias de la salud ante una pandemia. </w:t>
      </w:r>
      <w:r w:rsidRPr="00396BF2">
        <w:rPr>
          <w:rFonts w:eastAsia="Arial"/>
          <w:lang w:val="en-US" w:eastAsia="es-PE"/>
        </w:rPr>
        <w:t xml:space="preserve">EDU bits, Institute for the Future Education. 2020. [acceso: 12/03/2022]. Disponible en: </w:t>
      </w:r>
      <w:hyperlink r:id="rId26" w:history="1">
        <w:r w:rsidRPr="00396BF2">
          <w:rPr>
            <w:rFonts w:eastAsia="Arial"/>
            <w:color w:val="0563C1"/>
            <w:u w:val="single"/>
            <w:lang w:val="en-US" w:eastAsia="es-PE"/>
          </w:rPr>
          <w:t>https://observatorio.tec.mx/edu-bits-blog/rol-del-estudiante-de-medicina-y-ciencias-de-la-salud-ante-una-pandemia</w:t>
        </w:r>
      </w:hyperlink>
      <w:r w:rsidRPr="00396BF2">
        <w:rPr>
          <w:rFonts w:eastAsia="Arial"/>
          <w:lang w:val="en-US" w:eastAsia="es-PE"/>
        </w:rPr>
        <w:t xml:space="preserve"> </w:t>
      </w:r>
    </w:p>
    <w:p w14:paraId="670D4A6B" w14:textId="77777777" w:rsidR="00396BF2" w:rsidRPr="00396BF2" w:rsidRDefault="00396BF2" w:rsidP="00396BF2">
      <w:pPr>
        <w:spacing w:line="360" w:lineRule="auto"/>
        <w:rPr>
          <w:rFonts w:eastAsia="Arial"/>
          <w:lang w:val="es-ES" w:eastAsia="es-PE"/>
        </w:rPr>
      </w:pPr>
      <w:r w:rsidRPr="00396BF2">
        <w:rPr>
          <w:rFonts w:eastAsia="Arial"/>
          <w:lang w:val="es-ES" w:eastAsia="es-PE"/>
        </w:rPr>
        <w:t>21. Vivanco-Vidal A, Saroli-Araníbar D, Caycho-Rodríguez T, Carbajal-León C, Noé-Grijalva M. Ansiedad por Covid - 19 y salud mental en estudiantes universitarios. Rev Investig en Psicol. 2020; 23(2):197-215. DOI: 10.15381/rinvp.v23i2.19241</w:t>
      </w:r>
    </w:p>
    <w:p w14:paraId="03ECE250"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22. Infante C, Peláez I, Giraldo L. Covid-19 y género: efectos diferenciales de la pandemia en universitarios. Rev Mex Sociol. 2021 [acceso: 12/10/2022]; 83:169–96. Disponible en: </w:t>
      </w:r>
      <w:hyperlink r:id="rId27" w:history="1">
        <w:r w:rsidRPr="00396BF2">
          <w:rPr>
            <w:rFonts w:eastAsia="Arial"/>
            <w:color w:val="0563C1"/>
            <w:u w:val="single"/>
            <w:lang w:val="es-ES" w:eastAsia="es-PE"/>
          </w:rPr>
          <w:t>http://www.scielo.org.mx/scielo.php?script=sci_arttext&amp;pid=S0188-25032021000500169&amp;lng=es&amp;nrm=iso&amp;tlng=es</w:t>
        </w:r>
      </w:hyperlink>
      <w:r w:rsidRPr="00396BF2">
        <w:rPr>
          <w:rFonts w:eastAsia="Arial"/>
          <w:lang w:val="es-ES" w:eastAsia="es-PE"/>
        </w:rPr>
        <w:t xml:space="preserve"> </w:t>
      </w:r>
    </w:p>
    <w:p w14:paraId="31B2B8B5" w14:textId="77777777" w:rsidR="00396BF2" w:rsidRPr="00396BF2" w:rsidRDefault="00396BF2" w:rsidP="00396BF2">
      <w:pPr>
        <w:spacing w:line="360" w:lineRule="auto"/>
        <w:rPr>
          <w:rFonts w:eastAsia="Arial"/>
          <w:lang w:val="es-CU" w:eastAsia="es-PE"/>
        </w:rPr>
      </w:pPr>
      <w:r w:rsidRPr="00396BF2">
        <w:rPr>
          <w:rFonts w:eastAsia="Arial"/>
          <w:lang w:val="en-US" w:eastAsia="es-PE"/>
        </w:rPr>
        <w:t xml:space="preserve">23. Dryhurst, S, Schneider C, Kerr J, Freeman A, Recchia G, Van Der Bles A, et al. Risk perceptions of COVID-19 around the world. Journal of Risk Research. </w:t>
      </w:r>
      <w:r w:rsidRPr="00396BF2">
        <w:rPr>
          <w:rFonts w:eastAsia="Arial"/>
          <w:lang w:val="es-CU" w:eastAsia="es-PE"/>
        </w:rPr>
        <w:t>2020; 23(7):994-1006. DOI: 10.1080/13669877.2020.1758193</w:t>
      </w:r>
    </w:p>
    <w:p w14:paraId="3064C096" w14:textId="77777777" w:rsidR="00396BF2" w:rsidRPr="00396BF2" w:rsidRDefault="00396BF2" w:rsidP="00396BF2">
      <w:pPr>
        <w:spacing w:line="360" w:lineRule="auto"/>
        <w:rPr>
          <w:rFonts w:eastAsia="Arial"/>
          <w:lang w:val="es-ES" w:eastAsia="es-PE"/>
        </w:rPr>
      </w:pPr>
      <w:r w:rsidRPr="00396BF2">
        <w:rPr>
          <w:rFonts w:eastAsia="Arial"/>
          <w:lang w:val="es-ES" w:eastAsia="es-PE"/>
        </w:rPr>
        <w:t xml:space="preserve">24. Gobierno del Perú. Resolución Viceministerial N° 081-2020-MINEDU. Lima: Ministerio de Educación [actualizado: 12/03/2022; acceso: 12/03/2022]. Disponible en: </w:t>
      </w:r>
      <w:hyperlink r:id="rId28" w:history="1">
        <w:r w:rsidRPr="00396BF2">
          <w:rPr>
            <w:rFonts w:eastAsia="Arial"/>
            <w:color w:val="0563C1"/>
            <w:u w:val="single"/>
            <w:lang w:val="es-ES" w:eastAsia="es-PE"/>
          </w:rPr>
          <w:t>https://www.gob.pe/institucion/minedu/normas-legales/459958-081-2020-minedu</w:t>
        </w:r>
      </w:hyperlink>
      <w:r w:rsidRPr="00396BF2">
        <w:rPr>
          <w:rFonts w:eastAsia="Arial"/>
          <w:lang w:val="es-ES" w:eastAsia="es-PE"/>
        </w:rPr>
        <w:t xml:space="preserve"> </w:t>
      </w:r>
    </w:p>
    <w:p w14:paraId="243D0340" w14:textId="77777777" w:rsidR="00396BF2" w:rsidRPr="00396BF2" w:rsidRDefault="00396BF2" w:rsidP="00396BF2">
      <w:pPr>
        <w:spacing w:line="360" w:lineRule="auto"/>
        <w:rPr>
          <w:rFonts w:eastAsia="Arial"/>
          <w:lang w:val="es-ES" w:eastAsia="es-PE"/>
        </w:rPr>
      </w:pPr>
      <w:r w:rsidRPr="00396BF2">
        <w:rPr>
          <w:rFonts w:eastAsia="Arial"/>
          <w:lang w:val="es-ES" w:eastAsia="es-PE"/>
        </w:rPr>
        <w:t>25. Arroyo-Ramírez FA, Rojas-Bolívar D. Internado médico durante la pandemia del COVID-19: la problemática de los practicantes preprofesionales de medicina ante la legislación peruana. Acta Medica Perú. 2020; 37(4):562–4. DOI: 10.35663/amp.2020.374.1852</w:t>
      </w:r>
    </w:p>
    <w:p w14:paraId="53B27009" w14:textId="77777777" w:rsidR="00396BF2" w:rsidRPr="00396BF2" w:rsidRDefault="00396BF2" w:rsidP="00396BF2">
      <w:pPr>
        <w:spacing w:line="360" w:lineRule="auto"/>
        <w:rPr>
          <w:rFonts w:eastAsia="Arial"/>
          <w:lang w:val="es-ES" w:eastAsia="es-PE"/>
        </w:rPr>
      </w:pPr>
      <w:r w:rsidRPr="00396BF2">
        <w:rPr>
          <w:rFonts w:eastAsia="Arial"/>
          <w:lang w:val="es-ES" w:eastAsia="es-PE"/>
        </w:rPr>
        <w:lastRenderedPageBreak/>
        <w:t xml:space="preserve">26. Redacción Gestión. Ciro Maguiña sobre el sistema de salud: “Hemos llegado a un límite, el colapso está ad portas”. Gestión, Perú. 2020 [acceso: 12/03/2022]. Disponible en: </w:t>
      </w:r>
      <w:hyperlink r:id="rId29" w:history="1">
        <w:r w:rsidRPr="00396BF2">
          <w:rPr>
            <w:rFonts w:eastAsia="Arial"/>
            <w:color w:val="0563C1"/>
            <w:u w:val="single"/>
            <w:lang w:val="es-ES" w:eastAsia="es-PE"/>
          </w:rPr>
          <w:t>https://gestion.pe/peru/coronavirus-peru-ciro-maguina-sobre-el-sistema-de-salud-hemos-llegado-a-un-limite-el-colapso-esta-ad-portas-covid-19-nndc-noticia/</w:t>
        </w:r>
      </w:hyperlink>
      <w:r w:rsidRPr="00396BF2">
        <w:rPr>
          <w:rFonts w:eastAsia="Arial"/>
          <w:lang w:val="es-ES" w:eastAsia="es-PE"/>
        </w:rPr>
        <w:t xml:space="preserve"> </w:t>
      </w:r>
    </w:p>
    <w:p w14:paraId="7F80F58A" w14:textId="77777777" w:rsidR="00396BF2" w:rsidRPr="00396BF2" w:rsidRDefault="00396BF2" w:rsidP="00396BF2">
      <w:pPr>
        <w:spacing w:line="360" w:lineRule="auto"/>
        <w:jc w:val="both"/>
        <w:rPr>
          <w:rFonts w:eastAsia="Arial"/>
          <w:lang w:val="es-ES" w:eastAsia="es-PE"/>
        </w:rPr>
      </w:pPr>
    </w:p>
    <w:p w14:paraId="11589B08" w14:textId="77777777" w:rsidR="00396BF2" w:rsidRPr="00396BF2" w:rsidRDefault="00396BF2" w:rsidP="00396BF2">
      <w:pPr>
        <w:spacing w:line="360" w:lineRule="auto"/>
        <w:jc w:val="both"/>
        <w:rPr>
          <w:rFonts w:eastAsia="Calibri"/>
          <w:b/>
          <w:bCs/>
          <w:lang w:val="es-ES" w:eastAsia="es-PE"/>
        </w:rPr>
      </w:pPr>
    </w:p>
    <w:p w14:paraId="0F404AF7" w14:textId="77777777" w:rsidR="00396BF2" w:rsidRPr="00396BF2" w:rsidRDefault="00396BF2" w:rsidP="00396BF2">
      <w:pPr>
        <w:spacing w:line="360" w:lineRule="auto"/>
        <w:jc w:val="center"/>
        <w:rPr>
          <w:rFonts w:eastAsia="Calibri"/>
          <w:b/>
          <w:bCs/>
          <w:lang w:val="es-ES" w:eastAsia="es-PE"/>
        </w:rPr>
      </w:pPr>
      <w:r w:rsidRPr="00396BF2">
        <w:rPr>
          <w:rFonts w:eastAsia="Calibri"/>
          <w:b/>
          <w:bCs/>
          <w:lang w:val="es-ES" w:eastAsia="es-PE"/>
        </w:rPr>
        <w:t>Conflictos de intereses</w:t>
      </w:r>
    </w:p>
    <w:p w14:paraId="30889D07" w14:textId="77777777" w:rsidR="00396BF2" w:rsidRPr="00396BF2" w:rsidRDefault="00396BF2" w:rsidP="00396BF2">
      <w:pPr>
        <w:spacing w:line="360" w:lineRule="auto"/>
        <w:jc w:val="both"/>
        <w:rPr>
          <w:rFonts w:eastAsia="Calibri"/>
          <w:lang w:val="es-PE" w:eastAsia="es-PE"/>
        </w:rPr>
      </w:pPr>
      <w:r w:rsidRPr="00396BF2">
        <w:rPr>
          <w:rFonts w:eastAsia="Calibri"/>
          <w:lang w:val="es-ES" w:eastAsia="es-PE"/>
        </w:rPr>
        <w:t>Los autores no tienen conflictos de interés que declarar ni fuentes de financiación.</w:t>
      </w:r>
    </w:p>
    <w:p w14:paraId="03FCF156" w14:textId="77777777" w:rsidR="00396BF2" w:rsidRPr="00396BF2" w:rsidRDefault="00396BF2" w:rsidP="00396BF2">
      <w:pPr>
        <w:spacing w:line="360" w:lineRule="auto"/>
        <w:jc w:val="both"/>
        <w:rPr>
          <w:rFonts w:eastAsia="Calibri"/>
          <w:b/>
          <w:bCs/>
          <w:lang w:val="es-PE" w:eastAsia="es-PE"/>
        </w:rPr>
      </w:pPr>
    </w:p>
    <w:p w14:paraId="19C310EA" w14:textId="77777777" w:rsidR="00396BF2" w:rsidRPr="00396BF2" w:rsidRDefault="00396BF2" w:rsidP="00396BF2">
      <w:pPr>
        <w:spacing w:line="360" w:lineRule="auto"/>
        <w:jc w:val="center"/>
        <w:rPr>
          <w:rFonts w:eastAsia="Calibri"/>
          <w:b/>
          <w:bCs/>
          <w:lang w:val="es-PE" w:eastAsia="es-PE"/>
        </w:rPr>
      </w:pPr>
      <w:r w:rsidRPr="00396BF2">
        <w:rPr>
          <w:rFonts w:eastAsia="Calibri"/>
          <w:b/>
          <w:bCs/>
          <w:lang w:val="es-PE" w:eastAsia="es-PE"/>
        </w:rPr>
        <w:t>Contribuciones de los autores</w:t>
      </w:r>
    </w:p>
    <w:p w14:paraId="6B6C9BF9" w14:textId="77777777" w:rsidR="00396BF2" w:rsidRPr="00396BF2" w:rsidRDefault="00396BF2" w:rsidP="00396BF2">
      <w:pPr>
        <w:spacing w:line="360" w:lineRule="auto"/>
        <w:rPr>
          <w:rFonts w:eastAsia="Calibri"/>
          <w:i/>
          <w:iCs/>
          <w:lang w:val="es-PE" w:eastAsia="es-PE"/>
        </w:rPr>
      </w:pPr>
      <w:r w:rsidRPr="00396BF2">
        <w:rPr>
          <w:rFonts w:eastAsia="Calibri"/>
          <w:lang w:val="es-PE" w:eastAsia="es-PE"/>
        </w:rPr>
        <w:t xml:space="preserve">Conceptualización: </w:t>
      </w:r>
      <w:r w:rsidRPr="00396BF2">
        <w:rPr>
          <w:rFonts w:eastAsia="Calibri"/>
          <w:i/>
          <w:iCs/>
          <w:lang w:val="es-PE" w:eastAsia="es-PE"/>
        </w:rPr>
        <w:t>Leticia Rivera-Berrios, Helton Aguilar-Arzapalo y Christian R. Mejia.</w:t>
      </w:r>
    </w:p>
    <w:p w14:paraId="40A89DC9"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Curación de datos: </w:t>
      </w:r>
      <w:r w:rsidRPr="00396BF2">
        <w:rPr>
          <w:rFonts w:eastAsia="Calibri"/>
          <w:i/>
          <w:iCs/>
          <w:lang w:val="es-PE" w:eastAsia="es-PE"/>
        </w:rPr>
        <w:t>Christian R. Mejia y Jose Armada.</w:t>
      </w:r>
    </w:p>
    <w:p w14:paraId="1FBA0B74" w14:textId="77777777" w:rsidR="00396BF2" w:rsidRPr="00396BF2" w:rsidRDefault="00396BF2" w:rsidP="00396BF2">
      <w:pPr>
        <w:spacing w:line="360" w:lineRule="auto"/>
        <w:rPr>
          <w:rFonts w:eastAsia="Calibri"/>
          <w:i/>
          <w:iCs/>
          <w:lang w:val="es-PE" w:eastAsia="es-PE"/>
        </w:rPr>
      </w:pPr>
      <w:r w:rsidRPr="00396BF2">
        <w:rPr>
          <w:rFonts w:eastAsia="Calibri"/>
          <w:lang w:val="es-PE" w:eastAsia="es-PE"/>
        </w:rPr>
        <w:t xml:space="preserve">Análisis formal: </w:t>
      </w:r>
      <w:r w:rsidRPr="00396BF2">
        <w:rPr>
          <w:rFonts w:eastAsia="Calibri"/>
          <w:i/>
          <w:iCs/>
          <w:lang w:val="es-PE" w:eastAsia="es-PE"/>
        </w:rPr>
        <w:t>Christian R. Mejia y Jose Armada.</w:t>
      </w:r>
    </w:p>
    <w:p w14:paraId="3F56160A"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Investigación: </w:t>
      </w:r>
      <w:r w:rsidRPr="00396BF2">
        <w:rPr>
          <w:rFonts w:eastAsia="Calibri"/>
          <w:i/>
          <w:iCs/>
          <w:lang w:val="es-PE" w:eastAsia="es-PE"/>
        </w:rPr>
        <w:t>Leticia Karina Rivera Berrios, Helton Ivan Aguilar Arzapalo, Jose Armada, Carlos Bayona Zapata, Martin Vilela Estrada, Victor Serna Alarcón, Christian Mejia.</w:t>
      </w:r>
    </w:p>
    <w:p w14:paraId="6498609C"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Metodología: </w:t>
      </w:r>
      <w:r w:rsidRPr="00396BF2">
        <w:rPr>
          <w:rFonts w:eastAsia="Calibri"/>
          <w:i/>
          <w:iCs/>
          <w:lang w:val="es-PE" w:eastAsia="es-PE"/>
        </w:rPr>
        <w:t>Christian R. Mejia.</w:t>
      </w:r>
    </w:p>
    <w:p w14:paraId="44BF3EDA"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Administración del proyecto: </w:t>
      </w:r>
      <w:r w:rsidRPr="00396BF2">
        <w:rPr>
          <w:rFonts w:eastAsia="Calibri"/>
          <w:i/>
          <w:iCs/>
          <w:lang w:val="es-PE" w:eastAsia="es-PE"/>
        </w:rPr>
        <w:t>Leticia Rivera-Berrios y Helton Aguilar-Arzapalo.</w:t>
      </w:r>
    </w:p>
    <w:p w14:paraId="77DB0689"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Supervisión: </w:t>
      </w:r>
      <w:r w:rsidRPr="00396BF2">
        <w:rPr>
          <w:rFonts w:eastAsia="Calibri"/>
          <w:i/>
          <w:iCs/>
          <w:lang w:val="es-PE" w:eastAsia="es-PE"/>
        </w:rPr>
        <w:t>Leticia Rivera-Berrios y Helton Aguilar-Arzapalo.</w:t>
      </w:r>
    </w:p>
    <w:p w14:paraId="2896B1B4"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Visualización: </w:t>
      </w:r>
      <w:r w:rsidRPr="00396BF2">
        <w:rPr>
          <w:rFonts w:eastAsia="Calibri"/>
          <w:i/>
          <w:iCs/>
          <w:lang w:val="es-PE" w:eastAsia="es-PE"/>
        </w:rPr>
        <w:t>Leticia Rivera-Berrios, Helton Aguilar-Arzapalo y Christian R. Mejia.</w:t>
      </w:r>
    </w:p>
    <w:p w14:paraId="382C0AA7"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Redacción - borrador original: </w:t>
      </w:r>
      <w:r w:rsidRPr="00396BF2">
        <w:rPr>
          <w:rFonts w:eastAsia="Calibri"/>
          <w:i/>
          <w:iCs/>
          <w:lang w:val="es-PE" w:eastAsia="es-PE"/>
        </w:rPr>
        <w:t>Leticia Karina Rivera Berrios, Helton Ivan Aguilar Arzapalo, Jose Armada, Carlos Bayona Zapata, Martin Vilela Estrada, Victor Serna Alarcón, Christian Mejia.</w:t>
      </w:r>
    </w:p>
    <w:p w14:paraId="0CA16E5B" w14:textId="77777777" w:rsidR="00396BF2" w:rsidRPr="00396BF2" w:rsidRDefault="00396BF2" w:rsidP="00396BF2">
      <w:pPr>
        <w:spacing w:line="360" w:lineRule="auto"/>
        <w:rPr>
          <w:rFonts w:eastAsia="Calibri"/>
          <w:lang w:val="es-PE" w:eastAsia="es-PE"/>
        </w:rPr>
      </w:pPr>
      <w:r w:rsidRPr="00396BF2">
        <w:rPr>
          <w:rFonts w:eastAsia="Calibri"/>
          <w:lang w:val="es-PE" w:eastAsia="es-PE"/>
        </w:rPr>
        <w:t xml:space="preserve">Redacción - revisión y edición: </w:t>
      </w:r>
      <w:r w:rsidRPr="00396BF2">
        <w:rPr>
          <w:rFonts w:eastAsia="Calibri"/>
          <w:i/>
          <w:iCs/>
          <w:lang w:val="es-PE" w:eastAsia="es-PE"/>
        </w:rPr>
        <w:t>Leticia Karina Rivera Berrios, Helton Ivan Aguilar Arzapalo, Jose Armada, Carlos Bayona Zapata, Martin Vilela Estrada, Victor Serna Alarcón, Christian Mejia.</w:t>
      </w:r>
    </w:p>
    <w:p w14:paraId="6FB2543E" w14:textId="77777777" w:rsidR="00675476" w:rsidRPr="00396BF2" w:rsidRDefault="00675476" w:rsidP="00EA1FEF">
      <w:pPr>
        <w:pStyle w:val="PDFRevista"/>
        <w:rPr>
          <w:lang w:val="es-PE"/>
        </w:rPr>
      </w:pPr>
    </w:p>
    <w:sectPr w:rsidR="00675476" w:rsidRPr="00396BF2"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EB0C" w14:textId="77777777" w:rsidR="00730199" w:rsidRDefault="00730199">
      <w:r>
        <w:separator/>
      </w:r>
    </w:p>
  </w:endnote>
  <w:endnote w:type="continuationSeparator" w:id="0">
    <w:p w14:paraId="401821E6" w14:textId="77777777" w:rsidR="00730199" w:rsidRDefault="0073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94D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B7CE7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3936" w14:textId="609D2A33" w:rsidR="000F3690" w:rsidRPr="00AE044C" w:rsidRDefault="00396BF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4C48091" wp14:editId="759141F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1F5B69"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225AA0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9F9A1F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8C77A7E" w14:textId="18EFF68F"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396BF2" w:rsidRPr="00396BF2">
      <w:rPr>
        <w:rFonts w:ascii="Verdana" w:hAnsi="Verdana"/>
        <w:noProof/>
        <w:sz w:val="18"/>
        <w:szCs w:val="18"/>
        <w:lang w:val="en-US" w:eastAsia="en-US"/>
      </w:rPr>
      <w:drawing>
        <wp:inline distT="0" distB="0" distL="0" distR="0" wp14:anchorId="21850349" wp14:editId="1BB564F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9D1C" w14:textId="77777777" w:rsidR="00730199" w:rsidRDefault="00730199">
      <w:r>
        <w:separator/>
      </w:r>
    </w:p>
  </w:footnote>
  <w:footnote w:type="continuationSeparator" w:id="0">
    <w:p w14:paraId="58D96152" w14:textId="77777777" w:rsidR="00730199" w:rsidRDefault="0073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6597" w14:textId="45F03942" w:rsidR="00CC376A" w:rsidRPr="00AE044C" w:rsidRDefault="00396BF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r>
      <w:rPr>
        <w:sz w:val="22"/>
        <w:szCs w:val="22"/>
      </w:rPr>
      <w:t>e02302376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A536A9F" wp14:editId="67446554">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80B54" w14:textId="086E1A3D" w:rsidR="00A477DE" w:rsidRDefault="00396BF2">
    <w:r>
      <w:rPr>
        <w:noProof/>
      </w:rPr>
      <mc:AlternateContent>
        <mc:Choice Requires="wps">
          <w:drawing>
            <wp:anchor distT="0" distB="0" distL="114300" distR="114300" simplePos="0" relativeHeight="251654144" behindDoc="0" locked="0" layoutInCell="1" allowOverlap="1" wp14:anchorId="6D2E501E" wp14:editId="74A56705">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1914A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50C"/>
    <w:multiLevelType w:val="hybridMultilevel"/>
    <w:tmpl w:val="306616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7953472B"/>
    <w:multiLevelType w:val="hybridMultilevel"/>
    <w:tmpl w:val="13C6D82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413669750">
    <w:abstractNumId w:val="1"/>
  </w:num>
  <w:num w:numId="2" w16cid:durableId="215557322">
    <w:abstractNumId w:val="0"/>
  </w:num>
  <w:num w:numId="3" w16cid:durableId="58858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F2"/>
    <w:rsid w:val="00057F45"/>
    <w:rsid w:val="000D3958"/>
    <w:rsid w:val="000F3690"/>
    <w:rsid w:val="001221D1"/>
    <w:rsid w:val="00165CB5"/>
    <w:rsid w:val="00180CE9"/>
    <w:rsid w:val="001B5893"/>
    <w:rsid w:val="00230DD5"/>
    <w:rsid w:val="00250AE9"/>
    <w:rsid w:val="00380D64"/>
    <w:rsid w:val="00391509"/>
    <w:rsid w:val="00396BF2"/>
    <w:rsid w:val="003E03D5"/>
    <w:rsid w:val="0043010E"/>
    <w:rsid w:val="00472693"/>
    <w:rsid w:val="00486BFA"/>
    <w:rsid w:val="00493701"/>
    <w:rsid w:val="004E2065"/>
    <w:rsid w:val="005508A2"/>
    <w:rsid w:val="0055115D"/>
    <w:rsid w:val="00566F71"/>
    <w:rsid w:val="005918BD"/>
    <w:rsid w:val="006173A6"/>
    <w:rsid w:val="00675476"/>
    <w:rsid w:val="00730199"/>
    <w:rsid w:val="007C430F"/>
    <w:rsid w:val="007D2D0C"/>
    <w:rsid w:val="007D614D"/>
    <w:rsid w:val="00960D6A"/>
    <w:rsid w:val="009A0560"/>
    <w:rsid w:val="009B0917"/>
    <w:rsid w:val="009C06FA"/>
    <w:rsid w:val="009F0F96"/>
    <w:rsid w:val="00A23C0C"/>
    <w:rsid w:val="00A477DE"/>
    <w:rsid w:val="00A71E65"/>
    <w:rsid w:val="00AE044C"/>
    <w:rsid w:val="00B31971"/>
    <w:rsid w:val="00B4380A"/>
    <w:rsid w:val="00B66ECB"/>
    <w:rsid w:val="00BE05FA"/>
    <w:rsid w:val="00C7523A"/>
    <w:rsid w:val="00CC1B6E"/>
    <w:rsid w:val="00CC376A"/>
    <w:rsid w:val="00CC48A1"/>
    <w:rsid w:val="00CF50E0"/>
    <w:rsid w:val="00D85951"/>
    <w:rsid w:val="00E62606"/>
    <w:rsid w:val="00E719EE"/>
    <w:rsid w:val="00EA1FEF"/>
    <w:rsid w:val="00EC5A6B"/>
    <w:rsid w:val="00EE301D"/>
    <w:rsid w:val="00FA7CC1"/>
    <w:rsid w:val="00FB557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FF9AA"/>
  <w15:docId w15:val="{23D92C37-356C-4ABE-9EDF-B0EDA9E7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396BF2"/>
    <w:pPr>
      <w:keepNext/>
      <w:keepLines/>
      <w:spacing w:before="480" w:after="120" w:line="259" w:lineRule="auto"/>
      <w:outlineLvl w:val="0"/>
    </w:pPr>
    <w:rPr>
      <w:rFonts w:ascii="Calibri" w:eastAsia="Calibri" w:hAnsi="Calibri" w:cs="Calibri"/>
      <w:b/>
      <w:sz w:val="48"/>
      <w:szCs w:val="48"/>
      <w:lang w:val="es-ES" w:eastAsia="es-PE"/>
    </w:rPr>
  </w:style>
  <w:style w:type="paragraph" w:styleId="Ttulo2">
    <w:name w:val="heading 2"/>
    <w:basedOn w:val="Normal"/>
    <w:next w:val="Normal"/>
    <w:link w:val="Ttulo2Car"/>
    <w:uiPriority w:val="9"/>
    <w:semiHidden/>
    <w:unhideWhenUsed/>
    <w:qFormat/>
    <w:rsid w:val="00396BF2"/>
    <w:pPr>
      <w:keepNext/>
      <w:keepLines/>
      <w:spacing w:before="360" w:after="80" w:line="259" w:lineRule="auto"/>
      <w:outlineLvl w:val="1"/>
    </w:pPr>
    <w:rPr>
      <w:rFonts w:ascii="Calibri" w:eastAsia="Calibri" w:hAnsi="Calibri" w:cs="Calibri"/>
      <w:b/>
      <w:sz w:val="36"/>
      <w:szCs w:val="36"/>
      <w:lang w:val="es-ES" w:eastAsia="es-PE"/>
    </w:rPr>
  </w:style>
  <w:style w:type="paragraph" w:styleId="Ttulo3">
    <w:name w:val="heading 3"/>
    <w:basedOn w:val="Normal"/>
    <w:next w:val="Normal"/>
    <w:link w:val="Ttulo3Car"/>
    <w:uiPriority w:val="9"/>
    <w:semiHidden/>
    <w:unhideWhenUsed/>
    <w:qFormat/>
    <w:rsid w:val="00396BF2"/>
    <w:pPr>
      <w:keepNext/>
      <w:keepLines/>
      <w:spacing w:before="280" w:after="80" w:line="259" w:lineRule="auto"/>
      <w:outlineLvl w:val="2"/>
    </w:pPr>
    <w:rPr>
      <w:rFonts w:ascii="Calibri" w:eastAsia="Calibri" w:hAnsi="Calibri" w:cs="Calibri"/>
      <w:b/>
      <w:sz w:val="28"/>
      <w:szCs w:val="28"/>
      <w:lang w:val="es-ES" w:eastAsia="es-PE"/>
    </w:rPr>
  </w:style>
  <w:style w:type="paragraph" w:styleId="Ttulo4">
    <w:name w:val="heading 4"/>
    <w:basedOn w:val="Normal"/>
    <w:next w:val="Normal"/>
    <w:link w:val="Ttulo4Car"/>
    <w:uiPriority w:val="9"/>
    <w:semiHidden/>
    <w:unhideWhenUsed/>
    <w:qFormat/>
    <w:rsid w:val="00396BF2"/>
    <w:pPr>
      <w:keepNext/>
      <w:keepLines/>
      <w:spacing w:before="240" w:after="40" w:line="259" w:lineRule="auto"/>
      <w:outlineLvl w:val="3"/>
    </w:pPr>
    <w:rPr>
      <w:rFonts w:ascii="Calibri" w:eastAsia="Calibri" w:hAnsi="Calibri" w:cs="Calibri"/>
      <w:b/>
      <w:lang w:val="es-ES" w:eastAsia="es-PE"/>
    </w:rPr>
  </w:style>
  <w:style w:type="paragraph" w:styleId="Ttulo5">
    <w:name w:val="heading 5"/>
    <w:basedOn w:val="Normal"/>
    <w:next w:val="Normal"/>
    <w:link w:val="Ttulo5Car"/>
    <w:uiPriority w:val="9"/>
    <w:semiHidden/>
    <w:unhideWhenUsed/>
    <w:qFormat/>
    <w:rsid w:val="00396BF2"/>
    <w:pPr>
      <w:keepNext/>
      <w:keepLines/>
      <w:spacing w:before="220" w:after="40" w:line="259" w:lineRule="auto"/>
      <w:outlineLvl w:val="4"/>
    </w:pPr>
    <w:rPr>
      <w:rFonts w:ascii="Calibri" w:eastAsia="Calibri" w:hAnsi="Calibri" w:cs="Calibri"/>
      <w:b/>
      <w:sz w:val="22"/>
      <w:szCs w:val="22"/>
      <w:lang w:val="es-ES" w:eastAsia="es-PE"/>
    </w:rPr>
  </w:style>
  <w:style w:type="paragraph" w:styleId="Ttulo6">
    <w:name w:val="heading 6"/>
    <w:basedOn w:val="Normal"/>
    <w:next w:val="Normal"/>
    <w:link w:val="Ttulo6Car"/>
    <w:uiPriority w:val="9"/>
    <w:semiHidden/>
    <w:unhideWhenUsed/>
    <w:qFormat/>
    <w:rsid w:val="00396BF2"/>
    <w:pPr>
      <w:keepNext/>
      <w:keepLines/>
      <w:spacing w:before="200" w:after="40" w:line="259" w:lineRule="auto"/>
      <w:outlineLvl w:val="5"/>
    </w:pPr>
    <w:rPr>
      <w:rFonts w:ascii="Calibri" w:eastAsia="Calibri" w:hAnsi="Calibri" w:cs="Calibri"/>
      <w:b/>
      <w:sz w:val="20"/>
      <w:szCs w:val="20"/>
      <w:lang w:val="es-ES"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396BF2"/>
    <w:rPr>
      <w:rFonts w:ascii="Calibri" w:eastAsia="Calibri" w:hAnsi="Calibri" w:cs="Calibri"/>
      <w:b/>
      <w:sz w:val="48"/>
      <w:szCs w:val="48"/>
      <w:lang w:val="es-ES" w:eastAsia="es-PE"/>
    </w:rPr>
  </w:style>
  <w:style w:type="character" w:customStyle="1" w:styleId="Ttulo2Car">
    <w:name w:val="Título 2 Car"/>
    <w:basedOn w:val="Fuentedeprrafopredeter"/>
    <w:link w:val="Ttulo2"/>
    <w:uiPriority w:val="9"/>
    <w:semiHidden/>
    <w:rsid w:val="00396BF2"/>
    <w:rPr>
      <w:rFonts w:ascii="Calibri" w:eastAsia="Calibri" w:hAnsi="Calibri" w:cs="Calibri"/>
      <w:b/>
      <w:sz w:val="36"/>
      <w:szCs w:val="36"/>
      <w:lang w:val="es-ES" w:eastAsia="es-PE"/>
    </w:rPr>
  </w:style>
  <w:style w:type="character" w:customStyle="1" w:styleId="Ttulo3Car">
    <w:name w:val="Título 3 Car"/>
    <w:basedOn w:val="Fuentedeprrafopredeter"/>
    <w:link w:val="Ttulo3"/>
    <w:uiPriority w:val="9"/>
    <w:semiHidden/>
    <w:rsid w:val="00396BF2"/>
    <w:rPr>
      <w:rFonts w:ascii="Calibri" w:eastAsia="Calibri" w:hAnsi="Calibri" w:cs="Calibri"/>
      <w:b/>
      <w:sz w:val="28"/>
      <w:szCs w:val="28"/>
      <w:lang w:val="es-ES" w:eastAsia="es-PE"/>
    </w:rPr>
  </w:style>
  <w:style w:type="character" w:customStyle="1" w:styleId="Ttulo4Car">
    <w:name w:val="Título 4 Car"/>
    <w:basedOn w:val="Fuentedeprrafopredeter"/>
    <w:link w:val="Ttulo4"/>
    <w:uiPriority w:val="9"/>
    <w:semiHidden/>
    <w:rsid w:val="00396BF2"/>
    <w:rPr>
      <w:rFonts w:ascii="Calibri" w:eastAsia="Calibri" w:hAnsi="Calibri" w:cs="Calibri"/>
      <w:b/>
      <w:sz w:val="24"/>
      <w:szCs w:val="24"/>
      <w:lang w:val="es-ES" w:eastAsia="es-PE"/>
    </w:rPr>
  </w:style>
  <w:style w:type="character" w:customStyle="1" w:styleId="Ttulo5Car">
    <w:name w:val="Título 5 Car"/>
    <w:basedOn w:val="Fuentedeprrafopredeter"/>
    <w:link w:val="Ttulo5"/>
    <w:uiPriority w:val="9"/>
    <w:semiHidden/>
    <w:rsid w:val="00396BF2"/>
    <w:rPr>
      <w:rFonts w:ascii="Calibri" w:eastAsia="Calibri" w:hAnsi="Calibri" w:cs="Calibri"/>
      <w:b/>
      <w:sz w:val="22"/>
      <w:szCs w:val="22"/>
      <w:lang w:val="es-ES" w:eastAsia="es-PE"/>
    </w:rPr>
  </w:style>
  <w:style w:type="character" w:customStyle="1" w:styleId="Ttulo6Car">
    <w:name w:val="Título 6 Car"/>
    <w:basedOn w:val="Fuentedeprrafopredeter"/>
    <w:link w:val="Ttulo6"/>
    <w:uiPriority w:val="9"/>
    <w:semiHidden/>
    <w:rsid w:val="00396BF2"/>
    <w:rPr>
      <w:rFonts w:ascii="Calibri" w:eastAsia="Calibri" w:hAnsi="Calibri" w:cs="Calibri"/>
      <w:b/>
      <w:lang w:val="es-ES" w:eastAsia="es-PE"/>
    </w:rPr>
  </w:style>
  <w:style w:type="numbering" w:customStyle="1" w:styleId="Sinlista1">
    <w:name w:val="Sin lista1"/>
    <w:next w:val="Sinlista"/>
    <w:uiPriority w:val="99"/>
    <w:semiHidden/>
    <w:unhideWhenUsed/>
    <w:rsid w:val="00396BF2"/>
  </w:style>
  <w:style w:type="paragraph" w:styleId="Ttulo">
    <w:name w:val="Title"/>
    <w:basedOn w:val="Normal"/>
    <w:next w:val="Normal"/>
    <w:link w:val="TtuloCar"/>
    <w:uiPriority w:val="10"/>
    <w:qFormat/>
    <w:rsid w:val="00396BF2"/>
    <w:pPr>
      <w:keepNext/>
      <w:keepLines/>
      <w:spacing w:before="480" w:after="120" w:line="259" w:lineRule="auto"/>
    </w:pPr>
    <w:rPr>
      <w:rFonts w:ascii="Calibri" w:eastAsia="Calibri" w:hAnsi="Calibri" w:cs="Calibri"/>
      <w:b/>
      <w:sz w:val="72"/>
      <w:szCs w:val="72"/>
      <w:lang w:val="es-ES" w:eastAsia="es-PE"/>
    </w:rPr>
  </w:style>
  <w:style w:type="character" w:customStyle="1" w:styleId="TtuloCar">
    <w:name w:val="Título Car"/>
    <w:basedOn w:val="Fuentedeprrafopredeter"/>
    <w:link w:val="Ttulo"/>
    <w:uiPriority w:val="10"/>
    <w:rsid w:val="00396BF2"/>
    <w:rPr>
      <w:rFonts w:ascii="Calibri" w:eastAsia="Calibri" w:hAnsi="Calibri" w:cs="Calibri"/>
      <w:b/>
      <w:sz w:val="72"/>
      <w:szCs w:val="72"/>
      <w:lang w:val="es-ES" w:eastAsia="es-PE"/>
    </w:rPr>
  </w:style>
  <w:style w:type="paragraph" w:styleId="Subttulo">
    <w:name w:val="Subtitle"/>
    <w:basedOn w:val="Normal"/>
    <w:next w:val="Normal"/>
    <w:link w:val="SubttuloCar"/>
    <w:uiPriority w:val="11"/>
    <w:qFormat/>
    <w:rsid w:val="00396BF2"/>
    <w:pPr>
      <w:keepNext/>
      <w:keepLines/>
      <w:spacing w:before="360" w:after="80" w:line="259" w:lineRule="auto"/>
    </w:pPr>
    <w:rPr>
      <w:rFonts w:ascii="Georgia" w:eastAsia="Georgia" w:hAnsi="Georgia" w:cs="Georgia"/>
      <w:i/>
      <w:color w:val="666666"/>
      <w:sz w:val="48"/>
      <w:szCs w:val="48"/>
      <w:lang w:val="es-ES" w:eastAsia="es-PE"/>
    </w:rPr>
  </w:style>
  <w:style w:type="character" w:customStyle="1" w:styleId="SubttuloCar">
    <w:name w:val="Subtítulo Car"/>
    <w:basedOn w:val="Fuentedeprrafopredeter"/>
    <w:link w:val="Subttulo"/>
    <w:uiPriority w:val="11"/>
    <w:rsid w:val="00396BF2"/>
    <w:rPr>
      <w:rFonts w:ascii="Georgia" w:eastAsia="Georgia" w:hAnsi="Georgia" w:cs="Georgia"/>
      <w:i/>
      <w:color w:val="666666"/>
      <w:sz w:val="48"/>
      <w:szCs w:val="48"/>
      <w:lang w:val="es-ES" w:eastAsia="es-PE"/>
    </w:rPr>
  </w:style>
  <w:style w:type="table" w:customStyle="1" w:styleId="Tablaconcuadrcula1">
    <w:name w:val="Tabla con cuadrícula1"/>
    <w:basedOn w:val="Tablanormal"/>
    <w:next w:val="Tablaconcuadrcula"/>
    <w:uiPriority w:val="39"/>
    <w:rsid w:val="00396BF2"/>
    <w:rPr>
      <w:rFonts w:ascii="Calibri" w:eastAsia="Calibri" w:hAnsi="Calibri" w:cs="Calibri"/>
      <w:sz w:val="22"/>
      <w:szCs w:val="22"/>
      <w:lang w:val="es-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6BF2"/>
    <w:pPr>
      <w:autoSpaceDE w:val="0"/>
      <w:autoSpaceDN w:val="0"/>
      <w:adjustRightInd w:val="0"/>
    </w:pPr>
    <w:rPr>
      <w:rFonts w:ascii="Arial" w:eastAsia="Calibri" w:hAnsi="Arial" w:cs="Arial"/>
      <w:color w:val="000000"/>
      <w:sz w:val="24"/>
      <w:szCs w:val="24"/>
      <w:lang w:val="es-PE" w:eastAsia="es-PE"/>
    </w:rPr>
  </w:style>
  <w:style w:type="character" w:customStyle="1" w:styleId="Mencinsinresolver1">
    <w:name w:val="Mención sin resolver1"/>
    <w:uiPriority w:val="99"/>
    <w:semiHidden/>
    <w:unhideWhenUsed/>
    <w:rsid w:val="00396BF2"/>
    <w:rPr>
      <w:color w:val="605E5C"/>
      <w:shd w:val="clear" w:color="auto" w:fill="E1DFDD"/>
    </w:rPr>
  </w:style>
  <w:style w:type="character" w:customStyle="1" w:styleId="Hipervnculovisitado1">
    <w:name w:val="Hipervínculo visitado1"/>
    <w:uiPriority w:val="99"/>
    <w:semiHidden/>
    <w:unhideWhenUsed/>
    <w:rsid w:val="00396BF2"/>
    <w:rPr>
      <w:color w:val="954F72"/>
      <w:u w:val="single"/>
    </w:rPr>
  </w:style>
  <w:style w:type="table" w:customStyle="1" w:styleId="NormalTable0">
    <w:name w:val="Normal Table0"/>
    <w:rsid w:val="00396BF2"/>
    <w:pPr>
      <w:spacing w:after="160" w:line="259" w:lineRule="auto"/>
    </w:pPr>
    <w:rPr>
      <w:rFonts w:ascii="Calibri" w:eastAsia="Calibri" w:hAnsi="Calibri" w:cs="Calibri"/>
      <w:sz w:val="22"/>
      <w:szCs w:val="22"/>
      <w:lang w:val="es-ES" w:eastAsia="es-PE"/>
    </w:rPr>
    <w:tblPr>
      <w:tblCellMar>
        <w:top w:w="0" w:type="dxa"/>
        <w:left w:w="0" w:type="dxa"/>
        <w:bottom w:w="0" w:type="dxa"/>
        <w:right w:w="0" w:type="dxa"/>
      </w:tblCellMar>
    </w:tblPr>
  </w:style>
  <w:style w:type="character" w:customStyle="1" w:styleId="authors-list-item">
    <w:name w:val="authors-list-item"/>
    <w:basedOn w:val="Fuentedeprrafopredeter"/>
    <w:rsid w:val="00396BF2"/>
  </w:style>
  <w:style w:type="character" w:customStyle="1" w:styleId="author-sup-separator">
    <w:name w:val="author-sup-separator"/>
    <w:basedOn w:val="Fuentedeprrafopredeter"/>
    <w:rsid w:val="00396BF2"/>
  </w:style>
  <w:style w:type="character" w:customStyle="1" w:styleId="comma">
    <w:name w:val="comma"/>
    <w:basedOn w:val="Fuentedeprrafopredeter"/>
    <w:rsid w:val="00396BF2"/>
  </w:style>
  <w:style w:type="character" w:customStyle="1" w:styleId="Mencinsinresolver2">
    <w:name w:val="Mención sin resolver2"/>
    <w:uiPriority w:val="99"/>
    <w:semiHidden/>
    <w:unhideWhenUsed/>
    <w:rsid w:val="00396BF2"/>
    <w:rPr>
      <w:color w:val="605E5C"/>
      <w:shd w:val="clear" w:color="auto" w:fill="E1DFDD"/>
    </w:rPr>
  </w:style>
  <w:style w:type="character" w:styleId="Textoennegrita">
    <w:name w:val="Strong"/>
    <w:uiPriority w:val="22"/>
    <w:qFormat/>
    <w:rsid w:val="00396BF2"/>
    <w:rPr>
      <w:b/>
      <w:bCs/>
    </w:rPr>
  </w:style>
  <w:style w:type="character" w:styleId="Mencinsinresolver">
    <w:name w:val="Unresolved Mention"/>
    <w:uiPriority w:val="99"/>
    <w:semiHidden/>
    <w:unhideWhenUsed/>
    <w:rsid w:val="00396BF2"/>
    <w:rPr>
      <w:color w:val="605E5C"/>
      <w:shd w:val="clear" w:color="auto" w:fill="E1DFDD"/>
    </w:rPr>
  </w:style>
  <w:style w:type="character" w:styleId="Refdecomentario">
    <w:name w:val="annotation reference"/>
    <w:uiPriority w:val="99"/>
    <w:semiHidden/>
    <w:unhideWhenUsed/>
    <w:rsid w:val="00396BF2"/>
    <w:rPr>
      <w:sz w:val="16"/>
      <w:szCs w:val="16"/>
    </w:rPr>
  </w:style>
  <w:style w:type="paragraph" w:styleId="Textocomentario">
    <w:name w:val="annotation text"/>
    <w:basedOn w:val="Normal"/>
    <w:link w:val="TextocomentarioCar"/>
    <w:uiPriority w:val="99"/>
    <w:unhideWhenUsed/>
    <w:rsid w:val="00396BF2"/>
    <w:pPr>
      <w:spacing w:after="160"/>
    </w:pPr>
    <w:rPr>
      <w:rFonts w:ascii="Calibri" w:eastAsia="Calibri" w:hAnsi="Calibri" w:cs="Calibri"/>
      <w:sz w:val="20"/>
      <w:szCs w:val="20"/>
      <w:lang w:val="es-ES" w:eastAsia="es-PE"/>
    </w:rPr>
  </w:style>
  <w:style w:type="character" w:customStyle="1" w:styleId="TextocomentarioCar">
    <w:name w:val="Texto comentario Car"/>
    <w:basedOn w:val="Fuentedeprrafopredeter"/>
    <w:link w:val="Textocomentario"/>
    <w:uiPriority w:val="99"/>
    <w:rsid w:val="00396BF2"/>
    <w:rPr>
      <w:rFonts w:ascii="Calibri" w:eastAsia="Calibri" w:hAnsi="Calibri" w:cs="Calibri"/>
      <w:lang w:val="es-ES" w:eastAsia="es-PE"/>
    </w:rPr>
  </w:style>
  <w:style w:type="paragraph" w:styleId="Asuntodelcomentario">
    <w:name w:val="annotation subject"/>
    <w:basedOn w:val="Textocomentario"/>
    <w:next w:val="Textocomentario"/>
    <w:link w:val="AsuntodelcomentarioCar"/>
    <w:uiPriority w:val="99"/>
    <w:semiHidden/>
    <w:unhideWhenUsed/>
    <w:rsid w:val="00396BF2"/>
    <w:rPr>
      <w:b/>
      <w:bCs/>
    </w:rPr>
  </w:style>
  <w:style w:type="character" w:customStyle="1" w:styleId="AsuntodelcomentarioCar">
    <w:name w:val="Asunto del comentario Car"/>
    <w:basedOn w:val="TextocomentarioCar"/>
    <w:link w:val="Asuntodelcomentario"/>
    <w:uiPriority w:val="99"/>
    <w:semiHidden/>
    <w:rsid w:val="00396BF2"/>
    <w:rPr>
      <w:rFonts w:ascii="Calibri" w:eastAsia="Calibri" w:hAnsi="Calibri" w:cs="Calibri"/>
      <w:b/>
      <w:bCs/>
      <w:lang w:val="es-ES" w:eastAsia="es-PE"/>
    </w:rPr>
  </w:style>
  <w:style w:type="paragraph" w:styleId="Revisin">
    <w:name w:val="Revision"/>
    <w:hidden/>
    <w:uiPriority w:val="99"/>
    <w:semiHidden/>
    <w:rsid w:val="00396BF2"/>
    <w:rPr>
      <w:rFonts w:ascii="Calibri" w:eastAsia="Calibri" w:hAnsi="Calibri" w:cs="Calibri"/>
      <w:sz w:val="22"/>
      <w:szCs w:val="22"/>
      <w:lang w:val="es-ES" w:eastAsia="es-PE"/>
    </w:rPr>
  </w:style>
  <w:style w:type="paragraph" w:styleId="Prrafodelista">
    <w:name w:val="List Paragraph"/>
    <w:basedOn w:val="Normal"/>
    <w:uiPriority w:val="34"/>
    <w:qFormat/>
    <w:rsid w:val="00396BF2"/>
    <w:pPr>
      <w:spacing w:after="160" w:line="259" w:lineRule="auto"/>
      <w:ind w:left="720"/>
      <w:contextualSpacing/>
    </w:pPr>
    <w:rPr>
      <w:rFonts w:ascii="Calibri" w:eastAsia="Calibri" w:hAnsi="Calibri" w:cs="Calibri"/>
      <w:sz w:val="22"/>
      <w:szCs w:val="22"/>
      <w:lang w:val="es-ES" w:eastAsia="es-PE"/>
    </w:rPr>
  </w:style>
  <w:style w:type="character" w:styleId="Hipervnculovisitado">
    <w:name w:val="FollowedHyperlink"/>
    <w:basedOn w:val="Fuentedeprrafopredeter"/>
    <w:semiHidden/>
    <w:unhideWhenUsed/>
    <w:rsid w:val="00396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882-6744" TargetMode="External"/><Relationship Id="rId13" Type="http://schemas.openxmlformats.org/officeDocument/2006/relationships/hyperlink" Target="https://orcid.org/0000-0002-5940-7281" TargetMode="External"/><Relationship Id="rId18" Type="http://schemas.openxmlformats.org/officeDocument/2006/relationships/hyperlink" Target="https://repositorio.pucp.edu.pe/index/bitstream/handle/123456789/176598/La%20salud%20en%20tiempos%20de%20covid-VF5.pdf?sequence=1&amp;isAllowed=y" TargetMode="External"/><Relationship Id="rId26" Type="http://schemas.openxmlformats.org/officeDocument/2006/relationships/hyperlink" Target="https://observatorio.tec.mx/edu-bits-blog/rol-del-estudiante-de-medicina-y-ciencias-de-la-salud-ante-una-pandemia" TargetMode="External"/><Relationship Id="rId3" Type="http://schemas.openxmlformats.org/officeDocument/2006/relationships/settings" Target="settings.xml"/><Relationship Id="rId21" Type="http://schemas.openxmlformats.org/officeDocument/2006/relationships/hyperlink" Target="https://repositorio.unp.edu.pe/handle/20.500.12676/2751" TargetMode="External"/><Relationship Id="rId34" Type="http://schemas.openxmlformats.org/officeDocument/2006/relationships/theme" Target="theme/theme1.xml"/><Relationship Id="rId7" Type="http://schemas.openxmlformats.org/officeDocument/2006/relationships/hyperlink" Target="https://orcid.org/0000-0001-9635-9736" TargetMode="External"/><Relationship Id="rId12" Type="http://schemas.openxmlformats.org/officeDocument/2006/relationships/hyperlink" Target="https://orcid.org/0000-0002-9803-6217" TargetMode="External"/><Relationship Id="rId17" Type="http://schemas.openxmlformats.org/officeDocument/2006/relationships/hyperlink" Target="https://jamanetwork.com/journals/jama/fullarticle/2764138" TargetMode="External"/><Relationship Id="rId25" Type="http://schemas.openxmlformats.org/officeDocument/2006/relationships/hyperlink" Target="https://www.paho.org/es/noticias/5-5-2021-hospitalizaciones-muertes-por-covid-19-adultos-jovenes-se-disparan-america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sitorio.unp.edu.pe/handle/20.500.12676/2675" TargetMode="External"/><Relationship Id="rId20" Type="http://schemas.openxmlformats.org/officeDocument/2006/relationships/hyperlink" Target="http://www.ems.sld.cu/index.php/ems/article/view/2851" TargetMode="External"/><Relationship Id="rId29" Type="http://schemas.openxmlformats.org/officeDocument/2006/relationships/hyperlink" Target="https://gestion.pe/peru/coronavirus-peru-ciro-maguina-sobre-el-sistema-de-salud-hemos-llegado-a-un-limite-el-colapso-esta-ad-portas-covid-19-nndc-notic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494-952X" TargetMode="External"/><Relationship Id="rId24" Type="http://schemas.openxmlformats.org/officeDocument/2006/relationships/hyperlink" Target="https://www.cepal.org/es/publicaciones/47301-la-prolongacion-la-crisis-sanitaria-su-impacto-la-salud-la-economia-desarrollo"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elsevier.es/es-revista-educacion-medica-71-articulo-apoyo-social-autopercibido-estudiantes-medicina-S1575181317301389" TargetMode="External"/><Relationship Id="rId28" Type="http://schemas.openxmlformats.org/officeDocument/2006/relationships/hyperlink" Target="https://www.gob.pe/institucion/minedu/normas-legales/459958-081-2020-minedu" TargetMode="External"/><Relationship Id="rId10" Type="http://schemas.openxmlformats.org/officeDocument/2006/relationships/hyperlink" Target="https://orcid.org/0000-0002-6277-9764" TargetMode="External"/><Relationship Id="rId19" Type="http://schemas.openxmlformats.org/officeDocument/2006/relationships/hyperlink" Target="https://pubmed.ncbi.nlm.nih.gov/3315406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3827-6144" TargetMode="External"/><Relationship Id="rId14" Type="http://schemas.openxmlformats.org/officeDocument/2006/relationships/hyperlink" Target="mailto:72802063@continental.edu.pe" TargetMode="External"/><Relationship Id="rId22" Type="http://schemas.openxmlformats.org/officeDocument/2006/relationships/hyperlink" Target="https://jamanetwork.com/journals/jamapediatrics/fullarticle/2788069" TargetMode="External"/><Relationship Id="rId27" Type="http://schemas.openxmlformats.org/officeDocument/2006/relationships/hyperlink" Target="http://www.scielo.org.mx/scielo.php?script=sci_arttext&amp;pid=S0188-25032021000500169&amp;lng=es&amp;nrm=iso&amp;tlng=es"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16</Pages>
  <Words>14390</Words>
  <Characters>79150</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93354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2023-01-30T23:21:00Z</cp:lastPrinted>
  <dcterms:created xsi:type="dcterms:W3CDTF">2023-01-30T23:18:00Z</dcterms:created>
  <dcterms:modified xsi:type="dcterms:W3CDTF">2023-02-11T16:32:00Z</dcterms:modified>
</cp:coreProperties>
</file>