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27C2" w14:textId="77777777" w:rsidR="00B33C9A" w:rsidRPr="00B33C9A" w:rsidRDefault="00B33C9A" w:rsidP="00B33C9A">
      <w:pPr>
        <w:spacing w:line="360" w:lineRule="auto"/>
        <w:jc w:val="right"/>
        <w:rPr>
          <w:bCs/>
          <w:sz w:val="20"/>
          <w:szCs w:val="20"/>
          <w:lang w:val="es-PE" w:eastAsia="es-ES"/>
        </w:rPr>
      </w:pPr>
      <w:r w:rsidRPr="00B33C9A">
        <w:rPr>
          <w:bCs/>
          <w:sz w:val="20"/>
          <w:szCs w:val="20"/>
          <w:lang w:val="es-PE" w:eastAsia="es-ES"/>
        </w:rPr>
        <w:t>Artículo de investigación</w:t>
      </w:r>
    </w:p>
    <w:p w14:paraId="46B0FBF7" w14:textId="77777777" w:rsidR="00B33C9A" w:rsidRPr="00B33C9A" w:rsidRDefault="00B33C9A" w:rsidP="00B33C9A">
      <w:pPr>
        <w:spacing w:line="360" w:lineRule="auto"/>
        <w:jc w:val="right"/>
        <w:rPr>
          <w:bCs/>
          <w:lang w:val="es-PE" w:eastAsia="es-ES"/>
        </w:rPr>
      </w:pPr>
    </w:p>
    <w:p w14:paraId="0EBF1F4E" w14:textId="77777777" w:rsidR="00B33C9A" w:rsidRPr="00B33C9A" w:rsidRDefault="00B33C9A" w:rsidP="00B33C9A">
      <w:pPr>
        <w:spacing w:line="360" w:lineRule="auto"/>
        <w:jc w:val="center"/>
        <w:rPr>
          <w:b/>
          <w:sz w:val="28"/>
          <w:szCs w:val="28"/>
          <w:lang w:val="es-PE" w:eastAsia="es-ES"/>
        </w:rPr>
      </w:pPr>
      <w:bookmarkStart w:id="0" w:name="_Hlk109439208"/>
      <w:r w:rsidRPr="00B33C9A">
        <w:rPr>
          <w:b/>
          <w:sz w:val="28"/>
          <w:szCs w:val="28"/>
          <w:lang w:val="es-PE" w:eastAsia="es-ES"/>
        </w:rPr>
        <w:t xml:space="preserve">Potencial antibacteriano de un enjuague bucal a base de </w:t>
      </w:r>
      <w:proofErr w:type="spellStart"/>
      <w:r w:rsidRPr="00B33C9A">
        <w:rPr>
          <w:b/>
          <w:i/>
          <w:sz w:val="28"/>
          <w:szCs w:val="28"/>
          <w:lang w:val="es-PE" w:eastAsia="es-ES"/>
        </w:rPr>
        <w:t>Azadirachta</w:t>
      </w:r>
      <w:proofErr w:type="spellEnd"/>
      <w:r w:rsidRPr="00B33C9A">
        <w:rPr>
          <w:b/>
          <w:i/>
          <w:sz w:val="28"/>
          <w:szCs w:val="28"/>
          <w:lang w:val="es-PE" w:eastAsia="es-ES"/>
        </w:rPr>
        <w:t xml:space="preserve"> indica</w:t>
      </w:r>
      <w:r w:rsidRPr="00B33C9A">
        <w:rPr>
          <w:b/>
          <w:sz w:val="28"/>
          <w:szCs w:val="28"/>
          <w:lang w:val="es-PE" w:eastAsia="es-ES"/>
        </w:rPr>
        <w:t xml:space="preserve"> (</w:t>
      </w:r>
      <w:proofErr w:type="spellStart"/>
      <w:r w:rsidRPr="00B33C9A">
        <w:rPr>
          <w:b/>
          <w:sz w:val="28"/>
          <w:szCs w:val="28"/>
          <w:lang w:val="es-PE" w:eastAsia="es-ES"/>
        </w:rPr>
        <w:t>neem</w:t>
      </w:r>
      <w:proofErr w:type="spellEnd"/>
      <w:r w:rsidRPr="00B33C9A">
        <w:rPr>
          <w:b/>
          <w:sz w:val="28"/>
          <w:szCs w:val="28"/>
          <w:lang w:val="es-PE" w:eastAsia="es-ES"/>
        </w:rPr>
        <w:t>) sobre patógenos orales</w:t>
      </w:r>
    </w:p>
    <w:p w14:paraId="5520AE61" w14:textId="77777777" w:rsidR="00B33C9A" w:rsidRPr="00B33C9A" w:rsidRDefault="00B33C9A" w:rsidP="00B33C9A">
      <w:pPr>
        <w:spacing w:line="360" w:lineRule="auto"/>
        <w:jc w:val="center"/>
        <w:rPr>
          <w:bCs/>
          <w:sz w:val="28"/>
          <w:szCs w:val="28"/>
          <w:lang w:val="en-US" w:eastAsia="es-ES"/>
        </w:rPr>
      </w:pPr>
      <w:bookmarkStart w:id="1" w:name="_heading=h.1t3h5sf" w:colFirst="0" w:colLast="0"/>
      <w:bookmarkEnd w:id="0"/>
      <w:bookmarkEnd w:id="1"/>
      <w:r w:rsidRPr="00B33C9A">
        <w:rPr>
          <w:bCs/>
          <w:sz w:val="28"/>
          <w:szCs w:val="28"/>
          <w:lang w:val="en-US" w:eastAsia="es-ES"/>
        </w:rPr>
        <w:t xml:space="preserve">Antibacterial potential of a mouthwash based on </w:t>
      </w:r>
      <w:proofErr w:type="spellStart"/>
      <w:r w:rsidRPr="00B33C9A">
        <w:rPr>
          <w:bCs/>
          <w:i/>
          <w:iCs/>
          <w:sz w:val="28"/>
          <w:szCs w:val="28"/>
          <w:lang w:val="en-US" w:eastAsia="es-ES"/>
        </w:rPr>
        <w:t>Azadirachta</w:t>
      </w:r>
      <w:proofErr w:type="spellEnd"/>
      <w:r w:rsidRPr="00B33C9A">
        <w:rPr>
          <w:bCs/>
          <w:i/>
          <w:iCs/>
          <w:sz w:val="28"/>
          <w:szCs w:val="28"/>
          <w:lang w:val="en-US" w:eastAsia="es-ES"/>
        </w:rPr>
        <w:t xml:space="preserve"> indica</w:t>
      </w:r>
      <w:r w:rsidRPr="00B33C9A">
        <w:rPr>
          <w:bCs/>
          <w:sz w:val="28"/>
          <w:szCs w:val="28"/>
          <w:lang w:val="en-US" w:eastAsia="es-ES"/>
        </w:rPr>
        <w:t xml:space="preserve"> (neem) on oral pathogens</w:t>
      </w:r>
    </w:p>
    <w:p w14:paraId="61CE9E2C" w14:textId="77777777" w:rsidR="00B33C9A" w:rsidRPr="00B33C9A" w:rsidRDefault="00B33C9A" w:rsidP="00B33C9A">
      <w:pPr>
        <w:spacing w:line="360" w:lineRule="auto"/>
        <w:jc w:val="center"/>
        <w:rPr>
          <w:bCs/>
          <w:sz w:val="28"/>
          <w:szCs w:val="28"/>
          <w:lang w:val="en-US" w:eastAsia="es-ES"/>
        </w:rPr>
      </w:pPr>
    </w:p>
    <w:p w14:paraId="4E96DD25" w14:textId="77777777" w:rsidR="00B33C9A" w:rsidRPr="00B33C9A" w:rsidRDefault="00B33C9A" w:rsidP="00B33C9A">
      <w:pPr>
        <w:spacing w:line="360" w:lineRule="auto"/>
        <w:jc w:val="both"/>
        <w:rPr>
          <w:bCs/>
          <w:lang w:val="es-PE" w:eastAsia="es-ES"/>
        </w:rPr>
      </w:pPr>
      <w:bookmarkStart w:id="2" w:name="_Hlk109439163"/>
      <w:r w:rsidRPr="00B33C9A">
        <w:rPr>
          <w:lang w:val="es-PE" w:eastAsia="es-ES"/>
        </w:rPr>
        <w:t xml:space="preserve">Miguel </w:t>
      </w:r>
      <w:proofErr w:type="spellStart"/>
      <w:r w:rsidRPr="00B33C9A">
        <w:rPr>
          <w:lang w:val="es-PE" w:eastAsia="es-ES"/>
        </w:rPr>
        <w:t>Angel</w:t>
      </w:r>
      <w:proofErr w:type="spellEnd"/>
      <w:r w:rsidRPr="00B33C9A">
        <w:rPr>
          <w:lang w:val="es-PE" w:eastAsia="es-ES"/>
        </w:rPr>
        <w:t xml:space="preserve"> Ruiz-</w:t>
      </w:r>
      <w:proofErr w:type="spellStart"/>
      <w:r w:rsidRPr="00B33C9A">
        <w:rPr>
          <w:lang w:val="es-PE" w:eastAsia="es-ES"/>
        </w:rPr>
        <w:t>Barrueto</w:t>
      </w:r>
      <w:r w:rsidRPr="00B33C9A">
        <w:rPr>
          <w:vertAlign w:val="superscript"/>
          <w:lang w:val="es-PE" w:eastAsia="es-ES"/>
        </w:rPr>
        <w:t>1</w:t>
      </w:r>
      <w:proofErr w:type="spellEnd"/>
      <w:r w:rsidRPr="00B33C9A">
        <w:rPr>
          <w:lang w:val="es-PE" w:eastAsia="es-ES"/>
        </w:rPr>
        <w:t xml:space="preserve">* </w:t>
      </w:r>
      <w:hyperlink r:id="rId7" w:history="1">
        <w:r w:rsidRPr="00B33C9A">
          <w:rPr>
            <w:color w:val="0000FF"/>
            <w:lang w:val="es-PE" w:eastAsia="es-ES"/>
          </w:rPr>
          <w:t>https://orcid.org</w:t>
        </w:r>
        <w:r w:rsidRPr="00B33C9A">
          <w:rPr>
            <w:b/>
            <w:color w:val="0000FF"/>
            <w:lang w:val="es-PE" w:eastAsia="es-ES"/>
          </w:rPr>
          <w:t>/</w:t>
        </w:r>
        <w:r w:rsidRPr="00B33C9A">
          <w:rPr>
            <w:color w:val="0000FF"/>
            <w:lang w:val="es-PE" w:eastAsia="es-ES"/>
          </w:rPr>
          <w:t>0000-0002-3373-4671</w:t>
        </w:r>
      </w:hyperlink>
      <w:r w:rsidRPr="00B33C9A">
        <w:rPr>
          <w:lang w:val="es-PE" w:eastAsia="es-ES"/>
        </w:rPr>
        <w:t xml:space="preserve"> </w:t>
      </w:r>
      <w:r w:rsidRPr="00B33C9A">
        <w:rPr>
          <w:bCs/>
          <w:color w:val="0000FF"/>
          <w:lang w:val="es-PE" w:eastAsia="es-ES"/>
        </w:rPr>
        <w:t xml:space="preserve">    </w:t>
      </w:r>
    </w:p>
    <w:p w14:paraId="0CAEA225" w14:textId="77777777" w:rsidR="00B33C9A" w:rsidRPr="00B33C9A" w:rsidRDefault="00B33C9A" w:rsidP="00B33C9A">
      <w:pPr>
        <w:spacing w:line="360" w:lineRule="auto"/>
        <w:jc w:val="both"/>
        <w:rPr>
          <w:lang w:val="es-PE" w:eastAsia="es-ES"/>
        </w:rPr>
      </w:pPr>
      <w:r w:rsidRPr="00B33C9A">
        <w:rPr>
          <w:lang w:val="es-PE" w:eastAsia="es-ES"/>
        </w:rPr>
        <w:t>Wilfredo Terrones-</w:t>
      </w:r>
      <w:proofErr w:type="spellStart"/>
      <w:r w:rsidRPr="00B33C9A">
        <w:rPr>
          <w:lang w:val="es-PE" w:eastAsia="es-ES"/>
        </w:rPr>
        <w:t>Campos</w:t>
      </w:r>
      <w:r w:rsidRPr="00B33C9A">
        <w:rPr>
          <w:vertAlign w:val="superscript"/>
          <w:lang w:val="es-PE" w:eastAsia="es-ES"/>
        </w:rPr>
        <w:t>2</w:t>
      </w:r>
      <w:proofErr w:type="spellEnd"/>
      <w:r w:rsidRPr="00B33C9A">
        <w:rPr>
          <w:lang w:val="es-PE" w:eastAsia="es-ES"/>
        </w:rPr>
        <w:t xml:space="preserve"> </w:t>
      </w:r>
      <w:hyperlink r:id="rId8" w:history="1">
        <w:r w:rsidRPr="00B33C9A">
          <w:rPr>
            <w:color w:val="0000FF"/>
            <w:lang w:val="es-PE" w:eastAsia="es-ES"/>
          </w:rPr>
          <w:t>https://orcid.org/0000-0002-4818-5855</w:t>
        </w:r>
      </w:hyperlink>
      <w:r w:rsidRPr="00B33C9A">
        <w:rPr>
          <w:lang w:val="es-PE" w:eastAsia="es-ES"/>
        </w:rPr>
        <w:t xml:space="preserve"> </w:t>
      </w:r>
    </w:p>
    <w:p w14:paraId="228F26C8" w14:textId="77777777" w:rsidR="00B33C9A" w:rsidRPr="00B33C9A" w:rsidRDefault="00B33C9A" w:rsidP="00B33C9A">
      <w:pPr>
        <w:spacing w:line="360" w:lineRule="auto"/>
        <w:jc w:val="both"/>
        <w:rPr>
          <w:lang w:val="es-PE" w:eastAsia="es-ES"/>
        </w:rPr>
      </w:pPr>
      <w:r w:rsidRPr="00B33C9A">
        <w:rPr>
          <w:lang w:val="es-PE" w:eastAsia="es-ES"/>
        </w:rPr>
        <w:t>Daniela Alejandra Cueva-</w:t>
      </w:r>
      <w:proofErr w:type="spellStart"/>
      <w:r w:rsidRPr="00B33C9A">
        <w:rPr>
          <w:lang w:val="es-PE" w:eastAsia="es-ES"/>
        </w:rPr>
        <w:t>Yesán</w:t>
      </w:r>
      <w:r w:rsidRPr="00B33C9A">
        <w:rPr>
          <w:vertAlign w:val="superscript"/>
          <w:lang w:val="es-PE" w:eastAsia="es-ES"/>
        </w:rPr>
        <w:t>3</w:t>
      </w:r>
      <w:proofErr w:type="spellEnd"/>
      <w:r w:rsidRPr="00B33C9A">
        <w:rPr>
          <w:vertAlign w:val="superscript"/>
          <w:lang w:val="es-PE" w:eastAsia="es-ES"/>
        </w:rPr>
        <w:t xml:space="preserve"> </w:t>
      </w:r>
      <w:hyperlink r:id="rId9" w:history="1">
        <w:r w:rsidRPr="00B33C9A">
          <w:rPr>
            <w:color w:val="0000FF"/>
            <w:lang w:val="es-PE" w:eastAsia="es-ES"/>
          </w:rPr>
          <w:t>https://orcid.org/0000-0002-2692-3976</w:t>
        </w:r>
      </w:hyperlink>
      <w:r w:rsidRPr="00B33C9A">
        <w:rPr>
          <w:lang w:val="es-PE" w:eastAsia="es-ES"/>
        </w:rPr>
        <w:t xml:space="preserve"> </w:t>
      </w:r>
    </w:p>
    <w:p w14:paraId="68CF891E" w14:textId="77777777" w:rsidR="00B33C9A" w:rsidRPr="00B33C9A" w:rsidRDefault="00B33C9A" w:rsidP="00B33C9A">
      <w:pPr>
        <w:spacing w:line="360" w:lineRule="auto"/>
        <w:jc w:val="both"/>
        <w:rPr>
          <w:bCs/>
          <w:lang w:val="es-PE" w:eastAsia="es-ES"/>
        </w:rPr>
      </w:pPr>
      <w:r w:rsidRPr="00B33C9A">
        <w:rPr>
          <w:lang w:val="es-PE" w:eastAsia="es-ES"/>
        </w:rPr>
        <w:t>María Félix Sánchez-</w:t>
      </w:r>
      <w:proofErr w:type="spellStart"/>
      <w:r w:rsidRPr="00B33C9A">
        <w:rPr>
          <w:lang w:val="es-PE" w:eastAsia="es-ES"/>
        </w:rPr>
        <w:t>Villavicencio</w:t>
      </w:r>
      <w:r w:rsidRPr="00B33C9A">
        <w:rPr>
          <w:vertAlign w:val="superscript"/>
          <w:lang w:val="es-PE" w:eastAsia="es-ES"/>
        </w:rPr>
        <w:t>4</w:t>
      </w:r>
      <w:proofErr w:type="spellEnd"/>
      <w:r w:rsidRPr="00B33C9A">
        <w:rPr>
          <w:lang w:val="es-PE" w:eastAsia="es-ES"/>
        </w:rPr>
        <w:t xml:space="preserve"> </w:t>
      </w:r>
      <w:hyperlink r:id="rId10" w:history="1">
        <w:r w:rsidRPr="00B33C9A">
          <w:rPr>
            <w:color w:val="0000FF"/>
            <w:lang w:val="es-PE" w:eastAsia="es-ES"/>
          </w:rPr>
          <w:t>https://orcid.org/0000-0003-2036-0110</w:t>
        </w:r>
      </w:hyperlink>
      <w:r w:rsidRPr="00B33C9A">
        <w:rPr>
          <w:lang w:val="es-PE" w:eastAsia="es-ES"/>
        </w:rPr>
        <w:t xml:space="preserve"> </w:t>
      </w:r>
    </w:p>
    <w:p w14:paraId="7CCC2228" w14:textId="46E1279B" w:rsidR="00B33C9A" w:rsidRPr="00B33C9A" w:rsidRDefault="00B33C9A" w:rsidP="00B33C9A">
      <w:pPr>
        <w:spacing w:line="360" w:lineRule="auto"/>
        <w:jc w:val="both"/>
        <w:rPr>
          <w:vertAlign w:val="superscript"/>
          <w:lang w:val="es-PE" w:eastAsia="es-ES"/>
        </w:rPr>
      </w:pPr>
      <w:r w:rsidRPr="00B33C9A">
        <w:rPr>
          <w:lang w:val="es-PE" w:eastAsia="es-ES"/>
        </w:rPr>
        <w:t>José Elías Cabrejo-</w:t>
      </w:r>
      <w:proofErr w:type="spellStart"/>
      <w:r w:rsidRPr="00B33C9A">
        <w:rPr>
          <w:lang w:val="es-PE" w:eastAsia="es-ES"/>
        </w:rPr>
        <w:t>Paredes</w:t>
      </w:r>
      <w:r w:rsidR="00F50B09">
        <w:rPr>
          <w:vertAlign w:val="superscript"/>
          <w:lang w:val="es-PE" w:eastAsia="es-ES"/>
        </w:rPr>
        <w:t>5</w:t>
      </w:r>
      <w:proofErr w:type="spellEnd"/>
      <w:r w:rsidRPr="00B33C9A">
        <w:rPr>
          <w:vertAlign w:val="superscript"/>
          <w:lang w:val="es-PE" w:eastAsia="es-ES"/>
        </w:rPr>
        <w:t xml:space="preserve">  </w:t>
      </w:r>
      <w:hyperlink r:id="rId11" w:history="1">
        <w:r w:rsidRPr="00B33C9A">
          <w:rPr>
            <w:color w:val="0000FF"/>
            <w:lang w:val="es-PE" w:eastAsia="es-ES"/>
          </w:rPr>
          <w:t>https://orcid.org/0000-0002-7335-0541</w:t>
        </w:r>
      </w:hyperlink>
      <w:r w:rsidRPr="00B33C9A">
        <w:rPr>
          <w:lang w:val="es-PE" w:eastAsia="es-ES"/>
        </w:rPr>
        <w:t xml:space="preserve">   </w:t>
      </w:r>
    </w:p>
    <w:p w14:paraId="3E4745B4" w14:textId="77777777" w:rsidR="00B33C9A" w:rsidRPr="00B33C9A" w:rsidRDefault="00B33C9A" w:rsidP="00B33C9A">
      <w:pPr>
        <w:spacing w:line="360" w:lineRule="auto"/>
        <w:jc w:val="both"/>
        <w:rPr>
          <w:bCs/>
          <w:lang w:val="es-PE" w:eastAsia="es-ES"/>
        </w:rPr>
      </w:pPr>
    </w:p>
    <w:bookmarkEnd w:id="2"/>
    <w:p w14:paraId="4F49D6E4" w14:textId="77777777" w:rsidR="00B33C9A" w:rsidRPr="00B33C9A" w:rsidRDefault="00B33C9A" w:rsidP="00B33C9A">
      <w:pPr>
        <w:spacing w:line="360" w:lineRule="auto"/>
        <w:jc w:val="both"/>
        <w:rPr>
          <w:bCs/>
          <w:lang w:val="es-PE" w:eastAsia="es-ES"/>
        </w:rPr>
      </w:pPr>
      <w:proofErr w:type="spellStart"/>
      <w:r w:rsidRPr="00B33C9A">
        <w:rPr>
          <w:bCs/>
          <w:vertAlign w:val="superscript"/>
          <w:lang w:val="es-PE" w:eastAsia="es-ES"/>
        </w:rPr>
        <w:t>1</w:t>
      </w:r>
      <w:r w:rsidRPr="00B33C9A">
        <w:rPr>
          <w:bCs/>
          <w:lang w:val="es-PE" w:eastAsia="es-ES"/>
        </w:rPr>
        <w:t>Universidad</w:t>
      </w:r>
      <w:proofErr w:type="spellEnd"/>
      <w:r w:rsidRPr="00B33C9A">
        <w:rPr>
          <w:bCs/>
          <w:lang w:val="es-PE" w:eastAsia="es-ES"/>
        </w:rPr>
        <w:t xml:space="preserve"> César Vallejo. Escuela Profesional de Estomatología. Piura, Perú.</w:t>
      </w:r>
    </w:p>
    <w:p w14:paraId="5EC5D420" w14:textId="77777777" w:rsidR="00B33C9A" w:rsidRPr="00B33C9A" w:rsidRDefault="00B33C9A" w:rsidP="00B33C9A">
      <w:pPr>
        <w:spacing w:line="360" w:lineRule="auto"/>
        <w:jc w:val="both"/>
        <w:rPr>
          <w:bCs/>
          <w:lang w:val="es-PE" w:eastAsia="es-ES"/>
        </w:rPr>
      </w:pPr>
      <w:proofErr w:type="spellStart"/>
      <w:r w:rsidRPr="00B33C9A">
        <w:rPr>
          <w:bCs/>
          <w:vertAlign w:val="superscript"/>
          <w:lang w:val="es-PE" w:eastAsia="es-ES"/>
        </w:rPr>
        <w:t>2</w:t>
      </w:r>
      <w:r w:rsidRPr="00B33C9A">
        <w:rPr>
          <w:bCs/>
          <w:lang w:val="es-PE" w:eastAsia="es-ES"/>
        </w:rPr>
        <w:t>Universidad</w:t>
      </w:r>
      <w:proofErr w:type="spellEnd"/>
      <w:r w:rsidRPr="00B33C9A">
        <w:rPr>
          <w:bCs/>
          <w:lang w:val="es-PE" w:eastAsia="es-ES"/>
        </w:rPr>
        <w:t xml:space="preserve"> Nacional de Piura. Escuela Profesional de Estomatología. Piura, Perú.</w:t>
      </w:r>
    </w:p>
    <w:p w14:paraId="6667ADA8" w14:textId="77777777" w:rsidR="00B33C9A" w:rsidRPr="00B33C9A" w:rsidRDefault="00B33C9A" w:rsidP="00B33C9A">
      <w:pPr>
        <w:spacing w:line="360" w:lineRule="auto"/>
        <w:jc w:val="both"/>
        <w:rPr>
          <w:bCs/>
          <w:lang w:val="es-PE" w:eastAsia="es-ES"/>
        </w:rPr>
      </w:pPr>
      <w:proofErr w:type="spellStart"/>
      <w:r w:rsidRPr="00B33C9A">
        <w:rPr>
          <w:bCs/>
          <w:vertAlign w:val="superscript"/>
          <w:lang w:val="es-PE" w:eastAsia="es-ES"/>
        </w:rPr>
        <w:t>3</w:t>
      </w:r>
      <w:r w:rsidRPr="00B33C9A">
        <w:rPr>
          <w:bCs/>
          <w:lang w:val="es-PE" w:eastAsia="es-ES"/>
        </w:rPr>
        <w:t>Centro</w:t>
      </w:r>
      <w:proofErr w:type="spellEnd"/>
      <w:r w:rsidRPr="00B33C9A">
        <w:rPr>
          <w:bCs/>
          <w:lang w:val="es-PE" w:eastAsia="es-ES"/>
        </w:rPr>
        <w:t xml:space="preserve"> de Salud La Cruz. Departamento de Odontología. Tumbes, Perú.</w:t>
      </w:r>
    </w:p>
    <w:p w14:paraId="327E04A9" w14:textId="77777777" w:rsidR="00B33C9A" w:rsidRPr="00B33C9A" w:rsidRDefault="00B33C9A" w:rsidP="00B33C9A">
      <w:pPr>
        <w:spacing w:line="360" w:lineRule="auto"/>
        <w:jc w:val="both"/>
        <w:rPr>
          <w:bCs/>
          <w:lang w:val="es-PE" w:eastAsia="es-ES"/>
        </w:rPr>
      </w:pPr>
      <w:proofErr w:type="spellStart"/>
      <w:r w:rsidRPr="00B33C9A">
        <w:rPr>
          <w:bCs/>
          <w:vertAlign w:val="superscript"/>
          <w:lang w:val="es-PE" w:eastAsia="es-ES"/>
        </w:rPr>
        <w:t>4</w:t>
      </w:r>
      <w:r w:rsidRPr="00B33C9A">
        <w:rPr>
          <w:bCs/>
          <w:lang w:val="es-PE" w:eastAsia="es-ES"/>
        </w:rPr>
        <w:t>Universidad</w:t>
      </w:r>
      <w:proofErr w:type="spellEnd"/>
      <w:r w:rsidRPr="00B33C9A">
        <w:rPr>
          <w:bCs/>
          <w:lang w:val="es-PE" w:eastAsia="es-ES"/>
        </w:rPr>
        <w:t xml:space="preserve"> Nacional Agraria de La Selva. Facultad de Informática y Sistemas.</w:t>
      </w:r>
      <w:r w:rsidRPr="00B33C9A">
        <w:rPr>
          <w:lang w:val="es-PE" w:eastAsia="es-ES"/>
        </w:rPr>
        <w:t xml:space="preserve"> Tingo María, Perú.</w:t>
      </w:r>
    </w:p>
    <w:p w14:paraId="2785A030" w14:textId="77777777" w:rsidR="00B33C9A" w:rsidRPr="00B33C9A" w:rsidRDefault="00B33C9A" w:rsidP="00B33C9A">
      <w:pPr>
        <w:spacing w:line="360" w:lineRule="auto"/>
        <w:jc w:val="both"/>
        <w:rPr>
          <w:bCs/>
          <w:lang w:val="es-PE" w:eastAsia="es-ES"/>
        </w:rPr>
      </w:pPr>
      <w:proofErr w:type="spellStart"/>
      <w:r w:rsidRPr="00B33C9A">
        <w:rPr>
          <w:bCs/>
          <w:vertAlign w:val="superscript"/>
          <w:lang w:val="es-PE" w:eastAsia="es-ES"/>
        </w:rPr>
        <w:t>5</w:t>
      </w:r>
      <w:r w:rsidRPr="00B33C9A">
        <w:rPr>
          <w:bCs/>
          <w:lang w:val="es-PE" w:eastAsia="es-ES"/>
        </w:rPr>
        <w:t>Universidad</w:t>
      </w:r>
      <w:proofErr w:type="spellEnd"/>
      <w:r w:rsidRPr="00B33C9A">
        <w:rPr>
          <w:bCs/>
          <w:lang w:val="es-PE" w:eastAsia="es-ES"/>
        </w:rPr>
        <w:t xml:space="preserve"> Nacional de Trujillo. Facultad de Medicina. Trujillo, Perú.</w:t>
      </w:r>
    </w:p>
    <w:p w14:paraId="4C5F0E47" w14:textId="77777777" w:rsidR="00B33C9A" w:rsidRPr="00B33C9A" w:rsidRDefault="00B33C9A" w:rsidP="00B33C9A">
      <w:pPr>
        <w:spacing w:line="360" w:lineRule="auto"/>
        <w:ind w:left="426"/>
        <w:jc w:val="both"/>
        <w:rPr>
          <w:bCs/>
          <w:lang w:val="es-PE" w:eastAsia="es-ES"/>
        </w:rPr>
      </w:pPr>
    </w:p>
    <w:p w14:paraId="75B3A683" w14:textId="77777777" w:rsidR="00B33C9A" w:rsidRPr="00B33C9A" w:rsidRDefault="00B33C9A" w:rsidP="00B33C9A">
      <w:pPr>
        <w:spacing w:line="360" w:lineRule="auto"/>
        <w:jc w:val="both"/>
        <w:rPr>
          <w:b/>
          <w:bCs/>
          <w:lang w:val="es-PE" w:eastAsia="es-ES"/>
        </w:rPr>
      </w:pPr>
      <w:r w:rsidRPr="00B33C9A">
        <w:rPr>
          <w:b/>
          <w:bCs/>
          <w:lang w:val="es-PE" w:eastAsia="es-ES"/>
        </w:rPr>
        <w:t>*</w:t>
      </w:r>
      <w:r w:rsidRPr="00B33C9A">
        <w:rPr>
          <w:bCs/>
          <w:lang w:val="es-PE" w:eastAsia="es-ES"/>
        </w:rPr>
        <w:t>Autor para la correspondencia. Correo electrónico</w:t>
      </w:r>
      <w:r w:rsidRPr="00B33C9A">
        <w:rPr>
          <w:b/>
          <w:bCs/>
          <w:lang w:val="es-PE" w:eastAsia="es-ES"/>
        </w:rPr>
        <w:t xml:space="preserve">: </w:t>
      </w:r>
      <w:hyperlink r:id="rId12" w:history="1">
        <w:r w:rsidRPr="00B33C9A">
          <w:rPr>
            <w:color w:val="0000FF"/>
            <w:lang w:val="es-PE" w:eastAsia="es-ES"/>
          </w:rPr>
          <w:t>mruizb@ucv.edu.pe</w:t>
        </w:r>
      </w:hyperlink>
      <w:r w:rsidRPr="00B33C9A">
        <w:rPr>
          <w:lang w:val="es-PE" w:eastAsia="es-ES"/>
        </w:rPr>
        <w:t xml:space="preserve">  </w:t>
      </w:r>
    </w:p>
    <w:p w14:paraId="0807DEF0" w14:textId="77777777" w:rsidR="00B33C9A" w:rsidRPr="00B33C9A" w:rsidRDefault="00B33C9A" w:rsidP="00B33C9A">
      <w:pPr>
        <w:spacing w:line="360" w:lineRule="auto"/>
        <w:jc w:val="center"/>
        <w:rPr>
          <w:bCs/>
          <w:sz w:val="28"/>
          <w:szCs w:val="28"/>
          <w:lang w:val="es-CU" w:eastAsia="es-ES"/>
        </w:rPr>
      </w:pPr>
    </w:p>
    <w:p w14:paraId="31004DAB" w14:textId="77777777" w:rsidR="00B33C9A" w:rsidRPr="00B33C9A" w:rsidRDefault="00B33C9A" w:rsidP="00B33C9A">
      <w:pPr>
        <w:spacing w:line="360" w:lineRule="auto"/>
        <w:jc w:val="both"/>
        <w:rPr>
          <w:b/>
          <w:bCs/>
          <w:lang w:val="es-PE" w:eastAsia="es-ES"/>
        </w:rPr>
      </w:pPr>
      <w:r w:rsidRPr="00B33C9A">
        <w:rPr>
          <w:b/>
          <w:bCs/>
          <w:lang w:val="es-PE" w:eastAsia="es-ES"/>
        </w:rPr>
        <w:t xml:space="preserve">RESUMEN </w:t>
      </w:r>
    </w:p>
    <w:p w14:paraId="73B0609A" w14:textId="77777777" w:rsidR="00B33C9A" w:rsidRPr="00B33C9A" w:rsidRDefault="00B33C9A" w:rsidP="00B33C9A">
      <w:pPr>
        <w:tabs>
          <w:tab w:val="left" w:pos="5103"/>
        </w:tabs>
        <w:spacing w:line="360" w:lineRule="auto"/>
        <w:jc w:val="both"/>
        <w:rPr>
          <w:lang w:val="es-PE" w:eastAsia="es-ES"/>
        </w:rPr>
      </w:pPr>
      <w:r w:rsidRPr="00B33C9A">
        <w:rPr>
          <w:b/>
          <w:bCs/>
          <w:iCs/>
          <w:lang w:val="es-PE" w:eastAsia="es-ES"/>
        </w:rPr>
        <w:t xml:space="preserve">Introducción: </w:t>
      </w:r>
      <w:r w:rsidRPr="00B33C9A">
        <w:rPr>
          <w:iCs/>
          <w:lang w:val="es-PE" w:eastAsia="es-ES"/>
        </w:rPr>
        <w:t xml:space="preserve">La alta prevalencia de enfermedades orales y los efectos colaterales de los fármacos sintéticos ha impulsado el estudio de alternativas terapéuticas como las plantas medicinales que sean seguras, efectivas y económicas para la población. </w:t>
      </w:r>
    </w:p>
    <w:p w14:paraId="5076D8B9" w14:textId="77777777" w:rsidR="00B33C9A" w:rsidRPr="00B33C9A" w:rsidRDefault="00B33C9A" w:rsidP="00B33C9A">
      <w:pPr>
        <w:tabs>
          <w:tab w:val="left" w:pos="5103"/>
        </w:tabs>
        <w:spacing w:line="360" w:lineRule="auto"/>
        <w:jc w:val="both"/>
        <w:rPr>
          <w:lang w:val="es-PE" w:eastAsia="es-ES"/>
        </w:rPr>
      </w:pPr>
      <w:r w:rsidRPr="00B33C9A">
        <w:rPr>
          <w:b/>
          <w:bCs/>
          <w:lang w:val="es-PE" w:eastAsia="es-ES"/>
        </w:rPr>
        <w:t>Objetivo:</w:t>
      </w:r>
      <w:r w:rsidRPr="00B33C9A">
        <w:rPr>
          <w:lang w:val="es-PE" w:eastAsia="es-ES"/>
        </w:rPr>
        <w:t xml:space="preserve"> Evaluar el potencial antibacteriano de 2 enjuagues bucal a base de </w:t>
      </w:r>
      <w:proofErr w:type="spellStart"/>
      <w:r w:rsidRPr="00B33C9A">
        <w:rPr>
          <w:i/>
          <w:iCs/>
          <w:lang w:val="es-PE" w:eastAsia="es-ES"/>
        </w:rPr>
        <w:t>Azadirachta</w:t>
      </w:r>
      <w:proofErr w:type="spellEnd"/>
      <w:r w:rsidRPr="00B33C9A">
        <w:rPr>
          <w:i/>
          <w:iCs/>
          <w:lang w:val="es-PE" w:eastAsia="es-ES"/>
        </w:rPr>
        <w:t xml:space="preserve"> indica</w:t>
      </w:r>
      <w:r w:rsidRPr="00B33C9A">
        <w:rPr>
          <w:lang w:val="es-PE" w:eastAsia="es-ES"/>
        </w:rPr>
        <w:t xml:space="preserve"> (</w:t>
      </w:r>
      <w:proofErr w:type="spellStart"/>
      <w:r w:rsidRPr="00B33C9A">
        <w:rPr>
          <w:lang w:val="es-PE" w:eastAsia="es-ES"/>
        </w:rPr>
        <w:t>neem</w:t>
      </w:r>
      <w:proofErr w:type="spellEnd"/>
      <w:r w:rsidRPr="00B33C9A">
        <w:rPr>
          <w:lang w:val="es-PE" w:eastAsia="es-ES"/>
        </w:rPr>
        <w:t xml:space="preserve">) sobre </w:t>
      </w:r>
      <w:r w:rsidRPr="00B33C9A">
        <w:rPr>
          <w:i/>
          <w:lang w:val="es-PE" w:eastAsia="es-ES"/>
        </w:rPr>
        <w:t>Streptococcus mutans</w:t>
      </w:r>
      <w:r w:rsidRPr="00B33C9A">
        <w:rPr>
          <w:lang w:val="es-PE" w:eastAsia="es-ES"/>
        </w:rPr>
        <w:t xml:space="preserve"> y </w:t>
      </w:r>
      <w:proofErr w:type="spellStart"/>
      <w:r w:rsidRPr="00B33C9A">
        <w:rPr>
          <w:i/>
          <w:lang w:val="es-PE" w:eastAsia="es-ES"/>
        </w:rPr>
        <w:t>Enterococcus</w:t>
      </w:r>
      <w:proofErr w:type="spellEnd"/>
      <w:r w:rsidRPr="00B33C9A">
        <w:rPr>
          <w:i/>
          <w:lang w:val="es-PE" w:eastAsia="es-ES"/>
        </w:rPr>
        <w:t xml:space="preserve"> </w:t>
      </w:r>
      <w:proofErr w:type="spellStart"/>
      <w:r w:rsidRPr="00B33C9A">
        <w:rPr>
          <w:i/>
          <w:lang w:val="es-PE" w:eastAsia="es-ES"/>
        </w:rPr>
        <w:t>faecalis</w:t>
      </w:r>
      <w:proofErr w:type="spellEnd"/>
      <w:r w:rsidRPr="00B33C9A">
        <w:rPr>
          <w:lang w:val="es-PE" w:eastAsia="es-ES"/>
        </w:rPr>
        <w:t xml:space="preserve">. </w:t>
      </w:r>
    </w:p>
    <w:p w14:paraId="7A6516E2" w14:textId="77777777" w:rsidR="00B33C9A" w:rsidRPr="00B33C9A" w:rsidRDefault="00B33C9A" w:rsidP="00B33C9A">
      <w:pPr>
        <w:tabs>
          <w:tab w:val="left" w:pos="5103"/>
        </w:tabs>
        <w:spacing w:line="360" w:lineRule="auto"/>
        <w:jc w:val="both"/>
        <w:rPr>
          <w:lang w:val="es-PE" w:eastAsia="es-ES"/>
        </w:rPr>
      </w:pPr>
      <w:r w:rsidRPr="00B33C9A">
        <w:rPr>
          <w:b/>
          <w:bCs/>
          <w:lang w:val="es-PE" w:eastAsia="es-ES"/>
        </w:rPr>
        <w:lastRenderedPageBreak/>
        <w:t>Métodos:</w:t>
      </w:r>
      <w:r w:rsidRPr="00B33C9A">
        <w:rPr>
          <w:lang w:val="es-PE" w:eastAsia="es-ES"/>
        </w:rPr>
        <w:t xml:space="preserve"> Estudio experimental. Se elaboraron 2 enjuagues bucales del extracto </w:t>
      </w:r>
      <w:proofErr w:type="spellStart"/>
      <w:r w:rsidRPr="00B33C9A">
        <w:rPr>
          <w:lang w:val="es-PE" w:eastAsia="es-ES"/>
        </w:rPr>
        <w:t>hidroetanólico</w:t>
      </w:r>
      <w:proofErr w:type="spellEnd"/>
      <w:r w:rsidRPr="00B33C9A">
        <w:rPr>
          <w:lang w:val="es-PE" w:eastAsia="es-ES"/>
        </w:rPr>
        <w:t xml:space="preserve"> de </w:t>
      </w:r>
      <w:proofErr w:type="spellStart"/>
      <w:r w:rsidRPr="00B33C9A">
        <w:rPr>
          <w:lang w:val="es-PE" w:eastAsia="es-ES"/>
        </w:rPr>
        <w:t>neen</w:t>
      </w:r>
      <w:proofErr w:type="spellEnd"/>
      <w:r w:rsidRPr="00B33C9A">
        <w:rPr>
          <w:lang w:val="es-PE" w:eastAsia="es-ES"/>
        </w:rPr>
        <w:t xml:space="preserve"> con concentraciones de 25 mg/mL y 50 mg/mL. El potencial antibacteriano se evaluó por el método de difusión en disco. Los datos fueron analizados con ANOVA y Tukey en el paquete estadístico SPSS </w:t>
      </w:r>
      <w:proofErr w:type="spellStart"/>
      <w:r w:rsidRPr="00B33C9A">
        <w:rPr>
          <w:lang w:val="es-PE" w:eastAsia="es-ES"/>
        </w:rPr>
        <w:t>v.26</w:t>
      </w:r>
      <w:proofErr w:type="spellEnd"/>
      <w:r w:rsidRPr="00B33C9A">
        <w:rPr>
          <w:lang w:val="es-PE" w:eastAsia="es-ES"/>
        </w:rPr>
        <w:t xml:space="preserve">. </w:t>
      </w:r>
    </w:p>
    <w:p w14:paraId="132BC89A" w14:textId="77777777" w:rsidR="00B33C9A" w:rsidRPr="00B33C9A" w:rsidRDefault="00B33C9A" w:rsidP="00B33C9A">
      <w:pPr>
        <w:tabs>
          <w:tab w:val="left" w:pos="5103"/>
        </w:tabs>
        <w:spacing w:line="360" w:lineRule="auto"/>
        <w:jc w:val="both"/>
        <w:rPr>
          <w:lang w:val="es-PE" w:eastAsia="es-ES"/>
        </w:rPr>
      </w:pPr>
      <w:r w:rsidRPr="00B33C9A">
        <w:rPr>
          <w:b/>
          <w:bCs/>
          <w:lang w:val="es-PE" w:eastAsia="es-ES"/>
        </w:rPr>
        <w:t>Resultados:</w:t>
      </w:r>
      <w:r w:rsidRPr="00B33C9A">
        <w:rPr>
          <w:lang w:val="es-PE" w:eastAsia="es-ES"/>
        </w:rPr>
        <w:t xml:space="preserve"> Para </w:t>
      </w:r>
      <w:r w:rsidRPr="00B33C9A">
        <w:rPr>
          <w:i/>
          <w:lang w:val="es-PE" w:eastAsia="es-ES"/>
        </w:rPr>
        <w:t>Streptococcus mutans</w:t>
      </w:r>
      <w:r w:rsidRPr="00B33C9A">
        <w:rPr>
          <w:lang w:val="es-PE" w:eastAsia="es-ES"/>
        </w:rPr>
        <w:t xml:space="preserve"> el halo del enjuague bucal con 25 mg/mL de extracto de </w:t>
      </w:r>
      <w:proofErr w:type="spellStart"/>
      <w:r w:rsidRPr="00B33C9A">
        <w:rPr>
          <w:lang w:val="es-PE" w:eastAsia="es-ES"/>
        </w:rPr>
        <w:t>neem</w:t>
      </w:r>
      <w:proofErr w:type="spellEnd"/>
      <w:r w:rsidRPr="00B33C9A">
        <w:rPr>
          <w:lang w:val="es-PE" w:eastAsia="es-ES"/>
        </w:rPr>
        <w:t xml:space="preserve"> fue de 25,12 ± 0,798 mm; el de 50 mg/mL formó un halo de 29,40 ± 1,197 mm; el control negativo un halo de 8,62 ± 0,132 mm y la clorhexidina 0,12 % un halo de 17,64 ± 0,160 </w:t>
      </w:r>
      <w:proofErr w:type="spellStart"/>
      <w:r w:rsidRPr="00B33C9A">
        <w:rPr>
          <w:lang w:val="es-PE" w:eastAsia="es-ES"/>
        </w:rPr>
        <w:t>mm.</w:t>
      </w:r>
      <w:proofErr w:type="spellEnd"/>
      <w:r w:rsidRPr="00B33C9A">
        <w:rPr>
          <w:lang w:val="es-PE" w:eastAsia="es-ES"/>
        </w:rPr>
        <w:t xml:space="preserve"> Para </w:t>
      </w:r>
      <w:proofErr w:type="spellStart"/>
      <w:r w:rsidRPr="00B33C9A">
        <w:rPr>
          <w:i/>
          <w:lang w:val="es-PE" w:eastAsia="es-ES"/>
        </w:rPr>
        <w:t>Enterococcus</w:t>
      </w:r>
      <w:proofErr w:type="spellEnd"/>
      <w:r w:rsidRPr="00B33C9A">
        <w:rPr>
          <w:i/>
          <w:lang w:val="es-PE" w:eastAsia="es-ES"/>
        </w:rPr>
        <w:t xml:space="preserve"> </w:t>
      </w:r>
      <w:proofErr w:type="spellStart"/>
      <w:r w:rsidRPr="00B33C9A">
        <w:rPr>
          <w:i/>
          <w:lang w:val="es-PE" w:eastAsia="es-ES"/>
        </w:rPr>
        <w:t>faecalis</w:t>
      </w:r>
      <w:proofErr w:type="spellEnd"/>
      <w:r w:rsidRPr="00B33C9A">
        <w:rPr>
          <w:lang w:val="es-PE" w:eastAsia="es-ES"/>
        </w:rPr>
        <w:t xml:space="preserve">, el halo del enjuague bucal con 25 mg/mL fue de 18,23 ± 1,150 mm; el de 50 mg/mL un halo de 20,93 ± 0,487 mm; el control negativo un halo de 7,91 ± 0,417 mm y la clorhexidina 0,12 % un halo de 16,50 ± 0,505 </w:t>
      </w:r>
      <w:proofErr w:type="spellStart"/>
      <w:r w:rsidRPr="00B33C9A">
        <w:rPr>
          <w:lang w:val="es-PE" w:eastAsia="es-ES"/>
        </w:rPr>
        <w:t>mm.</w:t>
      </w:r>
      <w:proofErr w:type="spellEnd"/>
      <w:r w:rsidRPr="00B33C9A">
        <w:rPr>
          <w:lang w:val="es-PE" w:eastAsia="es-ES"/>
        </w:rPr>
        <w:t xml:space="preserve"> </w:t>
      </w:r>
    </w:p>
    <w:p w14:paraId="11BB7006" w14:textId="77777777" w:rsidR="00B33C9A" w:rsidRPr="00B33C9A" w:rsidRDefault="00B33C9A" w:rsidP="00B33C9A">
      <w:pPr>
        <w:tabs>
          <w:tab w:val="left" w:pos="5103"/>
        </w:tabs>
        <w:spacing w:line="360" w:lineRule="auto"/>
        <w:jc w:val="both"/>
        <w:rPr>
          <w:b/>
          <w:bCs/>
          <w:iCs/>
          <w:lang w:val="es-PE" w:eastAsia="es-ES"/>
        </w:rPr>
      </w:pPr>
      <w:r w:rsidRPr="00B33C9A">
        <w:rPr>
          <w:b/>
          <w:bCs/>
          <w:lang w:val="es-PE" w:eastAsia="es-ES"/>
        </w:rPr>
        <w:t>Conclusión:</w:t>
      </w:r>
      <w:r w:rsidRPr="00B33C9A">
        <w:rPr>
          <w:lang w:val="es-PE" w:eastAsia="es-ES"/>
        </w:rPr>
        <w:t xml:space="preserve">  Los enjuagues bucales a base de </w:t>
      </w:r>
      <w:proofErr w:type="spellStart"/>
      <w:r w:rsidRPr="00B33C9A">
        <w:rPr>
          <w:lang w:val="es-PE" w:eastAsia="es-ES"/>
        </w:rPr>
        <w:t>neem</w:t>
      </w:r>
      <w:proofErr w:type="spellEnd"/>
      <w:r w:rsidRPr="00B33C9A">
        <w:rPr>
          <w:lang w:val="es-PE" w:eastAsia="es-ES"/>
        </w:rPr>
        <w:t xml:space="preserve"> presentan potencial antibacteriano </w:t>
      </w:r>
      <w:r w:rsidRPr="00B33C9A">
        <w:rPr>
          <w:i/>
          <w:lang w:val="es-PE" w:eastAsia="es-ES"/>
        </w:rPr>
        <w:t>in vitro</w:t>
      </w:r>
      <w:r w:rsidRPr="00B33C9A">
        <w:rPr>
          <w:lang w:val="es-PE" w:eastAsia="es-ES"/>
        </w:rPr>
        <w:t xml:space="preserve"> sobre </w:t>
      </w:r>
      <w:r w:rsidRPr="00B33C9A">
        <w:rPr>
          <w:i/>
          <w:lang w:val="es-PE" w:eastAsia="es-ES"/>
        </w:rPr>
        <w:t>Streptococcus mutans</w:t>
      </w:r>
      <w:r w:rsidRPr="00B33C9A">
        <w:rPr>
          <w:lang w:val="es-PE" w:eastAsia="es-ES"/>
        </w:rPr>
        <w:t xml:space="preserve"> y </w:t>
      </w:r>
      <w:proofErr w:type="spellStart"/>
      <w:r w:rsidRPr="00B33C9A">
        <w:rPr>
          <w:i/>
          <w:lang w:val="es-PE" w:eastAsia="es-ES"/>
        </w:rPr>
        <w:t>Enterococcus</w:t>
      </w:r>
      <w:proofErr w:type="spellEnd"/>
      <w:r w:rsidRPr="00B33C9A">
        <w:rPr>
          <w:i/>
          <w:lang w:val="es-PE" w:eastAsia="es-ES"/>
        </w:rPr>
        <w:t xml:space="preserve"> </w:t>
      </w:r>
      <w:proofErr w:type="spellStart"/>
      <w:r w:rsidRPr="00B33C9A">
        <w:rPr>
          <w:i/>
          <w:lang w:val="es-PE" w:eastAsia="es-ES"/>
        </w:rPr>
        <w:t>faecalis</w:t>
      </w:r>
      <w:proofErr w:type="spellEnd"/>
      <w:r w:rsidRPr="00B33C9A">
        <w:rPr>
          <w:lang w:val="es-PE" w:eastAsia="es-ES"/>
        </w:rPr>
        <w:t xml:space="preserve"> y podrían ser utilizados en un futuro en su control y el de otros patógenos orales.</w:t>
      </w:r>
    </w:p>
    <w:p w14:paraId="5EC552DF" w14:textId="77777777" w:rsidR="00B33C9A" w:rsidRPr="00B33C9A" w:rsidRDefault="00B33C9A" w:rsidP="00B33C9A">
      <w:pPr>
        <w:tabs>
          <w:tab w:val="left" w:pos="5103"/>
        </w:tabs>
        <w:spacing w:line="360" w:lineRule="auto"/>
        <w:jc w:val="both"/>
        <w:rPr>
          <w:lang w:val="es-PE" w:eastAsia="es-ES"/>
        </w:rPr>
      </w:pPr>
      <w:r w:rsidRPr="00B33C9A">
        <w:rPr>
          <w:b/>
          <w:lang w:val="es-PE" w:eastAsia="es-ES"/>
        </w:rPr>
        <w:t>Palabras clave:</w:t>
      </w:r>
      <w:r w:rsidRPr="00B33C9A">
        <w:rPr>
          <w:lang w:val="es-PE" w:eastAsia="es-ES"/>
        </w:rPr>
        <w:t xml:space="preserve"> antibacterianos; extractos vegetales; </w:t>
      </w:r>
      <w:proofErr w:type="spellStart"/>
      <w:r w:rsidRPr="00B33C9A">
        <w:rPr>
          <w:i/>
          <w:lang w:val="es-PE" w:eastAsia="es-ES"/>
        </w:rPr>
        <w:t>Azadirachta</w:t>
      </w:r>
      <w:proofErr w:type="spellEnd"/>
      <w:r w:rsidRPr="00B33C9A">
        <w:rPr>
          <w:lang w:val="es-PE" w:eastAsia="es-ES"/>
        </w:rPr>
        <w:t xml:space="preserve">; </w:t>
      </w:r>
      <w:r w:rsidRPr="00B33C9A">
        <w:rPr>
          <w:i/>
          <w:lang w:val="es-PE" w:eastAsia="es-ES"/>
        </w:rPr>
        <w:t>Streptococcus mutans</w:t>
      </w:r>
      <w:r w:rsidRPr="00B33C9A">
        <w:rPr>
          <w:lang w:val="es-PE" w:eastAsia="es-ES"/>
        </w:rPr>
        <w:t xml:space="preserve">; </w:t>
      </w:r>
      <w:proofErr w:type="spellStart"/>
      <w:r w:rsidRPr="00B33C9A">
        <w:rPr>
          <w:i/>
          <w:lang w:val="es-PE" w:eastAsia="es-ES"/>
        </w:rPr>
        <w:t>Enterococcus</w:t>
      </w:r>
      <w:proofErr w:type="spellEnd"/>
      <w:r w:rsidRPr="00B33C9A">
        <w:rPr>
          <w:i/>
          <w:lang w:val="es-PE" w:eastAsia="es-ES"/>
        </w:rPr>
        <w:t xml:space="preserve"> </w:t>
      </w:r>
      <w:proofErr w:type="spellStart"/>
      <w:r w:rsidRPr="00B33C9A">
        <w:rPr>
          <w:i/>
          <w:lang w:val="es-PE" w:eastAsia="es-ES"/>
        </w:rPr>
        <w:t>faecalis</w:t>
      </w:r>
      <w:proofErr w:type="spellEnd"/>
      <w:r w:rsidRPr="00B33C9A">
        <w:rPr>
          <w:lang w:val="es-PE" w:eastAsia="es-ES"/>
        </w:rPr>
        <w:t xml:space="preserve">; antisépticos bucales. </w:t>
      </w:r>
    </w:p>
    <w:p w14:paraId="530913CC" w14:textId="77777777" w:rsidR="00B33C9A" w:rsidRPr="00B33C9A" w:rsidRDefault="00B33C9A" w:rsidP="00B33C9A">
      <w:pPr>
        <w:tabs>
          <w:tab w:val="left" w:pos="5103"/>
        </w:tabs>
        <w:spacing w:line="360" w:lineRule="auto"/>
        <w:jc w:val="both"/>
        <w:rPr>
          <w:lang w:val="es-PE" w:eastAsia="es-ES"/>
        </w:rPr>
      </w:pPr>
      <w:bookmarkStart w:id="3" w:name="_heading=h.4d34og8" w:colFirst="0" w:colLast="0"/>
      <w:bookmarkEnd w:id="3"/>
    </w:p>
    <w:p w14:paraId="1E494A56" w14:textId="77777777" w:rsidR="00B33C9A" w:rsidRPr="00B33C9A" w:rsidRDefault="00B33C9A" w:rsidP="00B33C9A">
      <w:pPr>
        <w:spacing w:line="360" w:lineRule="auto"/>
        <w:jc w:val="both"/>
        <w:rPr>
          <w:b/>
          <w:bCs/>
          <w:lang w:val="en-US" w:eastAsia="es-ES"/>
        </w:rPr>
      </w:pPr>
      <w:r w:rsidRPr="00B33C9A">
        <w:rPr>
          <w:b/>
          <w:bCs/>
          <w:lang w:val="en-US" w:eastAsia="es-ES"/>
        </w:rPr>
        <w:t>ABSTRACT</w:t>
      </w:r>
    </w:p>
    <w:p w14:paraId="7CB574D1" w14:textId="77777777" w:rsidR="00B33C9A" w:rsidRPr="00B33C9A" w:rsidRDefault="00B33C9A" w:rsidP="00B33C9A">
      <w:pPr>
        <w:spacing w:line="360" w:lineRule="auto"/>
        <w:jc w:val="both"/>
        <w:rPr>
          <w:b/>
          <w:bCs/>
          <w:lang w:val="en" w:eastAsia="es-ES"/>
        </w:rPr>
      </w:pPr>
      <w:r w:rsidRPr="00B33C9A">
        <w:rPr>
          <w:b/>
          <w:bCs/>
          <w:lang w:val="en" w:eastAsia="es-ES"/>
        </w:rPr>
        <w:t xml:space="preserve">Introduction: </w:t>
      </w:r>
      <w:r w:rsidRPr="00B33C9A">
        <w:rPr>
          <w:lang w:val="en" w:eastAsia="es-ES"/>
        </w:rPr>
        <w:t>The high prevalence of oral diseases and the side effects of synthetic drugs has promoted the study of therapeutic alternatives such as medicinal plants that are safe, effective and economical for the population.</w:t>
      </w:r>
    </w:p>
    <w:p w14:paraId="584F833D" w14:textId="77777777" w:rsidR="00B33C9A" w:rsidRPr="00B33C9A" w:rsidRDefault="00B33C9A" w:rsidP="00B33C9A">
      <w:pPr>
        <w:spacing w:line="360" w:lineRule="auto"/>
        <w:jc w:val="both"/>
        <w:rPr>
          <w:b/>
          <w:bCs/>
          <w:lang w:val="en" w:eastAsia="es-ES"/>
        </w:rPr>
      </w:pPr>
      <w:r w:rsidRPr="00B33C9A">
        <w:rPr>
          <w:b/>
          <w:bCs/>
          <w:lang w:val="en" w:eastAsia="es-ES"/>
        </w:rPr>
        <w:t xml:space="preserve">Objective: </w:t>
      </w:r>
      <w:r w:rsidRPr="00B33C9A">
        <w:rPr>
          <w:lang w:val="en" w:eastAsia="es-ES"/>
        </w:rPr>
        <w:t xml:space="preserve">To evaluate the antibacterial potential of 2 mouthwashes based on </w:t>
      </w:r>
      <w:proofErr w:type="spellStart"/>
      <w:r w:rsidRPr="00B33C9A">
        <w:rPr>
          <w:i/>
          <w:iCs/>
          <w:lang w:val="en" w:eastAsia="es-ES"/>
        </w:rPr>
        <w:t>Azadirachta</w:t>
      </w:r>
      <w:proofErr w:type="spellEnd"/>
      <w:r w:rsidRPr="00B33C9A">
        <w:rPr>
          <w:i/>
          <w:iCs/>
          <w:lang w:val="en" w:eastAsia="es-ES"/>
        </w:rPr>
        <w:t xml:space="preserve"> indica</w:t>
      </w:r>
      <w:r w:rsidRPr="00B33C9A">
        <w:rPr>
          <w:lang w:val="en" w:eastAsia="es-ES"/>
        </w:rPr>
        <w:t xml:space="preserve"> (neem) on </w:t>
      </w:r>
      <w:r w:rsidRPr="00B33C9A">
        <w:rPr>
          <w:i/>
          <w:iCs/>
          <w:lang w:val="en" w:eastAsia="es-ES"/>
        </w:rPr>
        <w:t>Streptococcus mutans</w:t>
      </w:r>
      <w:r w:rsidRPr="00B33C9A">
        <w:rPr>
          <w:lang w:val="en" w:eastAsia="es-ES"/>
        </w:rPr>
        <w:t xml:space="preserve"> and </w:t>
      </w:r>
      <w:r w:rsidRPr="00B33C9A">
        <w:rPr>
          <w:i/>
          <w:iCs/>
          <w:lang w:val="en" w:eastAsia="es-ES"/>
        </w:rPr>
        <w:t>Enterococcus faecalis</w:t>
      </w:r>
      <w:r w:rsidRPr="00B33C9A">
        <w:rPr>
          <w:lang w:val="en" w:eastAsia="es-ES"/>
        </w:rPr>
        <w:t>.</w:t>
      </w:r>
    </w:p>
    <w:p w14:paraId="7D6AAB2D" w14:textId="77777777" w:rsidR="00B33C9A" w:rsidRPr="00B33C9A" w:rsidRDefault="00B33C9A" w:rsidP="00B33C9A">
      <w:pPr>
        <w:spacing w:line="360" w:lineRule="auto"/>
        <w:jc w:val="both"/>
        <w:rPr>
          <w:b/>
          <w:bCs/>
          <w:lang w:val="en" w:eastAsia="es-ES"/>
        </w:rPr>
      </w:pPr>
      <w:r w:rsidRPr="00B33C9A">
        <w:rPr>
          <w:b/>
          <w:bCs/>
          <w:lang w:val="en" w:eastAsia="es-ES"/>
        </w:rPr>
        <w:t xml:space="preserve">Methods: </w:t>
      </w:r>
      <w:r w:rsidRPr="00B33C9A">
        <w:rPr>
          <w:lang w:val="en" w:eastAsia="es-ES"/>
        </w:rPr>
        <w:t xml:space="preserve">Experimental study. Two mouthwashes were made from the hydroethanolic extract of </w:t>
      </w:r>
      <w:proofErr w:type="spellStart"/>
      <w:r w:rsidRPr="00B33C9A">
        <w:rPr>
          <w:lang w:val="en" w:eastAsia="es-ES"/>
        </w:rPr>
        <w:t>neen</w:t>
      </w:r>
      <w:proofErr w:type="spellEnd"/>
      <w:r w:rsidRPr="00B33C9A">
        <w:rPr>
          <w:lang w:val="en" w:eastAsia="es-ES"/>
        </w:rPr>
        <w:t xml:space="preserve"> with concentrations of 25 mg/mL and 50 mg/</w:t>
      </w:r>
      <w:proofErr w:type="spellStart"/>
      <w:r w:rsidRPr="00B33C9A">
        <w:rPr>
          <w:lang w:val="en" w:eastAsia="es-ES"/>
        </w:rPr>
        <w:t>mL.</w:t>
      </w:r>
      <w:proofErr w:type="spellEnd"/>
      <w:r w:rsidRPr="00B33C9A">
        <w:rPr>
          <w:lang w:val="en" w:eastAsia="es-ES"/>
        </w:rPr>
        <w:t xml:space="preserve"> The antibacterial potential was evaluated by the disk diffusion method. The data were analyzed with ANOVA and Tukey in the statistical package SPSS </w:t>
      </w:r>
      <w:proofErr w:type="spellStart"/>
      <w:r w:rsidRPr="00B33C9A">
        <w:rPr>
          <w:lang w:val="en" w:eastAsia="es-ES"/>
        </w:rPr>
        <w:t>v.26</w:t>
      </w:r>
      <w:proofErr w:type="spellEnd"/>
      <w:r w:rsidRPr="00B33C9A">
        <w:rPr>
          <w:lang w:val="en" w:eastAsia="es-ES"/>
        </w:rPr>
        <w:t>.</w:t>
      </w:r>
    </w:p>
    <w:p w14:paraId="0035CC65" w14:textId="77777777" w:rsidR="00B33C9A" w:rsidRPr="00B33C9A" w:rsidRDefault="00B33C9A" w:rsidP="00B33C9A">
      <w:pPr>
        <w:spacing w:line="360" w:lineRule="auto"/>
        <w:jc w:val="both"/>
        <w:rPr>
          <w:b/>
          <w:bCs/>
          <w:lang w:val="en" w:eastAsia="es-ES"/>
        </w:rPr>
      </w:pPr>
      <w:r w:rsidRPr="00B33C9A">
        <w:rPr>
          <w:b/>
          <w:bCs/>
          <w:lang w:val="en" w:eastAsia="es-ES"/>
        </w:rPr>
        <w:t xml:space="preserve">Results: </w:t>
      </w:r>
      <w:r w:rsidRPr="00B33C9A">
        <w:rPr>
          <w:lang w:val="en" w:eastAsia="es-ES"/>
        </w:rPr>
        <w:t xml:space="preserve">For </w:t>
      </w:r>
      <w:r w:rsidRPr="00B33C9A">
        <w:rPr>
          <w:i/>
          <w:iCs/>
          <w:lang w:val="en" w:eastAsia="es-ES"/>
        </w:rPr>
        <w:t>Streptococcus mutans</w:t>
      </w:r>
      <w:r w:rsidRPr="00B33C9A">
        <w:rPr>
          <w:lang w:val="en" w:eastAsia="es-ES"/>
        </w:rPr>
        <w:t xml:space="preserve">, the halo of the mouthwash with 25 mg/mL of neem extract was 25.12 ± 0.798 mm; that of 50 mg/mL formed a halo of 29.40 ± 1.197 mm; the negative control a halo of 8.62 ± 0.132 mm and chlorhexidine 0.12% a halo of 17.64 ± 0.160 mm. For </w:t>
      </w:r>
      <w:r w:rsidRPr="00B33C9A">
        <w:rPr>
          <w:i/>
          <w:iCs/>
          <w:lang w:val="en" w:eastAsia="es-ES"/>
        </w:rPr>
        <w:t>Enterococcus faecalis</w:t>
      </w:r>
      <w:r w:rsidRPr="00B33C9A">
        <w:rPr>
          <w:lang w:val="en" w:eastAsia="es-ES"/>
        </w:rPr>
        <w:t xml:space="preserve">, the </w:t>
      </w:r>
      <w:r w:rsidRPr="00B33C9A">
        <w:rPr>
          <w:lang w:val="en" w:eastAsia="es-ES"/>
        </w:rPr>
        <w:lastRenderedPageBreak/>
        <w:t>halo of the mouthwash with 25 mg/mL was 18.23 ± 1,150 mm; that of 50 mg/mL a halo of 20.93 ± 0.487 mm; the negative control a halo of 7.91 ± 0.417 mm and chlorhexidine 0.12% a halo of 16.50 ± 0.505 mm.</w:t>
      </w:r>
    </w:p>
    <w:p w14:paraId="2AEEF9A9" w14:textId="77777777" w:rsidR="00B33C9A" w:rsidRPr="00B33C9A" w:rsidRDefault="00B33C9A" w:rsidP="00B33C9A">
      <w:pPr>
        <w:spacing w:line="360" w:lineRule="auto"/>
        <w:jc w:val="both"/>
        <w:rPr>
          <w:lang w:val="en" w:eastAsia="es-ES"/>
        </w:rPr>
      </w:pPr>
      <w:r w:rsidRPr="00B33C9A">
        <w:rPr>
          <w:b/>
          <w:bCs/>
          <w:lang w:val="en" w:eastAsia="es-ES"/>
        </w:rPr>
        <w:t xml:space="preserve">Conclusion: </w:t>
      </w:r>
      <w:r w:rsidRPr="00B33C9A">
        <w:rPr>
          <w:lang w:val="en" w:eastAsia="es-ES"/>
        </w:rPr>
        <w:t xml:space="preserve">Neem-based mouthwashes have in vitro antibacterial potential against </w:t>
      </w:r>
      <w:r w:rsidRPr="00B33C9A">
        <w:rPr>
          <w:i/>
          <w:iCs/>
          <w:lang w:val="en" w:eastAsia="es-ES"/>
        </w:rPr>
        <w:t>Streptococcus mutans</w:t>
      </w:r>
      <w:r w:rsidRPr="00B33C9A">
        <w:rPr>
          <w:lang w:val="en" w:eastAsia="es-ES"/>
        </w:rPr>
        <w:t xml:space="preserve"> and </w:t>
      </w:r>
      <w:r w:rsidRPr="00B33C9A">
        <w:rPr>
          <w:i/>
          <w:iCs/>
          <w:lang w:val="en" w:eastAsia="es-ES"/>
        </w:rPr>
        <w:t>Enterococcus faecalis</w:t>
      </w:r>
      <w:r w:rsidRPr="00B33C9A">
        <w:rPr>
          <w:lang w:val="en" w:eastAsia="es-ES"/>
        </w:rPr>
        <w:t xml:space="preserve"> and could be used in the future to control them and other oral pathogens.</w:t>
      </w:r>
    </w:p>
    <w:p w14:paraId="2CECA05D" w14:textId="77777777" w:rsidR="00B33C9A" w:rsidRPr="00B33C9A" w:rsidRDefault="00B33C9A" w:rsidP="00B33C9A">
      <w:pPr>
        <w:spacing w:line="360" w:lineRule="auto"/>
        <w:jc w:val="both"/>
        <w:rPr>
          <w:b/>
          <w:bCs/>
          <w:lang w:val="en-US" w:eastAsia="es-ES"/>
        </w:rPr>
      </w:pPr>
      <w:r w:rsidRPr="00B33C9A">
        <w:rPr>
          <w:b/>
          <w:bCs/>
          <w:lang w:val="en" w:eastAsia="es-ES"/>
        </w:rPr>
        <w:t xml:space="preserve">Keywords: </w:t>
      </w:r>
      <w:proofErr w:type="spellStart"/>
      <w:r w:rsidRPr="00B33C9A">
        <w:rPr>
          <w:lang w:val="en" w:eastAsia="es-ES"/>
        </w:rPr>
        <w:t>antibacterials</w:t>
      </w:r>
      <w:proofErr w:type="spellEnd"/>
      <w:r w:rsidRPr="00B33C9A">
        <w:rPr>
          <w:lang w:val="en" w:eastAsia="es-ES"/>
        </w:rPr>
        <w:t xml:space="preserve">; vegetable extracts; </w:t>
      </w:r>
      <w:proofErr w:type="spellStart"/>
      <w:r w:rsidRPr="00B33C9A">
        <w:rPr>
          <w:i/>
          <w:iCs/>
          <w:lang w:val="en" w:eastAsia="es-ES"/>
        </w:rPr>
        <w:t>Azadirachta</w:t>
      </w:r>
      <w:proofErr w:type="spellEnd"/>
      <w:r w:rsidRPr="00B33C9A">
        <w:rPr>
          <w:lang w:val="en" w:eastAsia="es-ES"/>
        </w:rPr>
        <w:t xml:space="preserve">; </w:t>
      </w:r>
      <w:r w:rsidRPr="00B33C9A">
        <w:rPr>
          <w:i/>
          <w:iCs/>
          <w:lang w:val="en" w:eastAsia="es-ES"/>
        </w:rPr>
        <w:t>Streptococcus mutans</w:t>
      </w:r>
      <w:r w:rsidRPr="00B33C9A">
        <w:rPr>
          <w:lang w:val="en" w:eastAsia="es-ES"/>
        </w:rPr>
        <w:t xml:space="preserve">; </w:t>
      </w:r>
      <w:r w:rsidRPr="00B33C9A">
        <w:rPr>
          <w:i/>
          <w:iCs/>
          <w:lang w:val="en" w:eastAsia="es-ES"/>
        </w:rPr>
        <w:t>Enterococcus faecalis</w:t>
      </w:r>
      <w:r w:rsidRPr="00B33C9A">
        <w:rPr>
          <w:lang w:val="en" w:eastAsia="es-ES"/>
        </w:rPr>
        <w:t>; oral antiseptics.</w:t>
      </w:r>
    </w:p>
    <w:p w14:paraId="0CD0DB17" w14:textId="77777777" w:rsidR="00B33C9A" w:rsidRPr="00B33C9A" w:rsidRDefault="00B33C9A" w:rsidP="00B33C9A">
      <w:pPr>
        <w:spacing w:line="360" w:lineRule="auto"/>
        <w:jc w:val="both"/>
        <w:rPr>
          <w:lang w:val="en-US" w:eastAsia="es-ES"/>
        </w:rPr>
      </w:pPr>
    </w:p>
    <w:p w14:paraId="4371C9E3" w14:textId="77777777" w:rsidR="00B33C9A" w:rsidRPr="00B33C9A" w:rsidRDefault="00B33C9A" w:rsidP="00B33C9A">
      <w:pPr>
        <w:spacing w:line="360" w:lineRule="auto"/>
        <w:jc w:val="both"/>
        <w:rPr>
          <w:lang w:val="en-US" w:eastAsia="es-ES"/>
        </w:rPr>
      </w:pPr>
    </w:p>
    <w:p w14:paraId="5BD20463" w14:textId="77777777" w:rsidR="00B33C9A" w:rsidRPr="00B33C9A" w:rsidRDefault="00B33C9A" w:rsidP="00B33C9A">
      <w:pPr>
        <w:spacing w:line="360" w:lineRule="auto"/>
        <w:jc w:val="both"/>
        <w:rPr>
          <w:lang w:val="es-CU" w:eastAsia="es-ES"/>
        </w:rPr>
      </w:pPr>
      <w:r w:rsidRPr="00B33C9A">
        <w:rPr>
          <w:lang w:val="es-CU" w:eastAsia="es-ES"/>
        </w:rPr>
        <w:t>Recibido: 15/09/2022</w:t>
      </w:r>
    </w:p>
    <w:p w14:paraId="22FF34E4" w14:textId="77777777" w:rsidR="00B33C9A" w:rsidRPr="00B33C9A" w:rsidRDefault="00B33C9A" w:rsidP="00B33C9A">
      <w:pPr>
        <w:spacing w:line="360" w:lineRule="auto"/>
        <w:jc w:val="both"/>
        <w:rPr>
          <w:lang w:val="es-CU" w:eastAsia="es-ES"/>
        </w:rPr>
      </w:pPr>
      <w:r w:rsidRPr="00B33C9A">
        <w:rPr>
          <w:lang w:val="es-CU" w:eastAsia="es-ES"/>
        </w:rPr>
        <w:t>Aprobado: 11/04/2023</w:t>
      </w:r>
    </w:p>
    <w:p w14:paraId="339CCA06" w14:textId="77777777" w:rsidR="00B33C9A" w:rsidRPr="00B33C9A" w:rsidRDefault="00B33C9A" w:rsidP="00B33C9A">
      <w:pPr>
        <w:spacing w:line="360" w:lineRule="auto"/>
        <w:jc w:val="center"/>
        <w:rPr>
          <w:b/>
          <w:bCs/>
          <w:sz w:val="32"/>
          <w:szCs w:val="32"/>
          <w:lang w:val="es-PE" w:eastAsia="es-ES"/>
        </w:rPr>
      </w:pPr>
    </w:p>
    <w:p w14:paraId="20FF0EB0" w14:textId="77777777" w:rsidR="00B33C9A" w:rsidRPr="00B33C9A" w:rsidRDefault="00B33C9A" w:rsidP="00B33C9A">
      <w:pPr>
        <w:spacing w:line="360" w:lineRule="auto"/>
        <w:jc w:val="center"/>
        <w:rPr>
          <w:b/>
          <w:bCs/>
          <w:sz w:val="32"/>
          <w:szCs w:val="32"/>
          <w:lang w:val="es-PE" w:eastAsia="es-ES"/>
        </w:rPr>
      </w:pPr>
    </w:p>
    <w:p w14:paraId="73E34CDA" w14:textId="77777777" w:rsidR="00B33C9A" w:rsidRPr="00B33C9A" w:rsidRDefault="00B33C9A" w:rsidP="00B33C9A">
      <w:pPr>
        <w:spacing w:line="360" w:lineRule="auto"/>
        <w:jc w:val="center"/>
        <w:rPr>
          <w:b/>
          <w:bCs/>
          <w:sz w:val="32"/>
          <w:szCs w:val="32"/>
          <w:lang w:val="es-PE" w:eastAsia="es-ES"/>
        </w:rPr>
      </w:pPr>
      <w:r w:rsidRPr="00B33C9A">
        <w:rPr>
          <w:b/>
          <w:bCs/>
          <w:sz w:val="32"/>
          <w:szCs w:val="32"/>
          <w:lang w:val="es-PE" w:eastAsia="es-ES"/>
        </w:rPr>
        <w:t>INTRODUCCIÓN</w:t>
      </w:r>
    </w:p>
    <w:p w14:paraId="72083C01" w14:textId="77777777" w:rsidR="00B33C9A" w:rsidRPr="00B33C9A" w:rsidRDefault="00B33C9A" w:rsidP="00B33C9A">
      <w:pPr>
        <w:spacing w:line="360" w:lineRule="auto"/>
        <w:jc w:val="both"/>
        <w:rPr>
          <w:lang w:val="es-PE" w:eastAsia="es-ES"/>
        </w:rPr>
      </w:pPr>
      <w:r w:rsidRPr="00B33C9A">
        <w:rPr>
          <w:lang w:val="es-PE" w:eastAsia="es-ES"/>
        </w:rPr>
        <w:t>La caries dental debido a su alta prevalencia sigue siendo en la actualidad un problema de salud pública mundial.</w:t>
      </w:r>
      <w:r w:rsidRPr="00B33C9A">
        <w:rPr>
          <w:vertAlign w:val="superscript"/>
          <w:lang w:val="es-PE" w:eastAsia="es-ES"/>
        </w:rPr>
        <w:t>(1)</w:t>
      </w:r>
      <w:r w:rsidRPr="00B33C9A">
        <w:rPr>
          <w:lang w:val="es-PE" w:eastAsia="es-ES"/>
        </w:rPr>
        <w:t xml:space="preserve"> </w:t>
      </w:r>
      <w:r w:rsidRPr="00B33C9A">
        <w:rPr>
          <w:i/>
          <w:lang w:val="es-PE" w:eastAsia="es-ES"/>
        </w:rPr>
        <w:t>Streptococcus mutans</w:t>
      </w:r>
      <w:r w:rsidRPr="00B33C9A">
        <w:rPr>
          <w:lang w:val="es-PE" w:eastAsia="es-ES"/>
        </w:rPr>
        <w:t xml:space="preserve"> (</w:t>
      </w:r>
      <w:r w:rsidRPr="00B33C9A">
        <w:rPr>
          <w:i/>
          <w:iCs/>
          <w:lang w:val="es-PE" w:eastAsia="es-ES"/>
        </w:rPr>
        <w:t>S. mutans</w:t>
      </w:r>
      <w:r w:rsidRPr="00B33C9A">
        <w:rPr>
          <w:lang w:val="es-PE" w:eastAsia="es-ES"/>
        </w:rPr>
        <w:t>) es considerado un microorganismo cariogénico y la principal bacteria asociada al inicio y progreso de esta enfermedad.</w:t>
      </w:r>
      <w:bookmarkStart w:id="4" w:name="_Hlk109350830"/>
      <w:r w:rsidRPr="00B33C9A">
        <w:rPr>
          <w:vertAlign w:val="superscript"/>
          <w:lang w:val="es-PE" w:eastAsia="es-ES"/>
        </w:rPr>
        <w:t xml:space="preserve">(2) </w:t>
      </w:r>
      <w:bookmarkEnd w:id="4"/>
      <w:r w:rsidRPr="00B33C9A">
        <w:rPr>
          <w:lang w:val="es-PE" w:eastAsia="es-ES"/>
        </w:rPr>
        <w:t>Los ácidos producto del metabolismo de los carbohidratos remanentes de la dieta desgastan el esmalte y desencadenan la pérdida de estructura dentaria.</w:t>
      </w:r>
      <w:r w:rsidRPr="00B33C9A">
        <w:rPr>
          <w:vertAlign w:val="superscript"/>
          <w:lang w:val="es-PE" w:eastAsia="es-ES"/>
        </w:rPr>
        <w:t xml:space="preserve">(3) </w:t>
      </w:r>
      <w:r w:rsidRPr="00B33C9A">
        <w:rPr>
          <w:lang w:val="es-PE" w:eastAsia="es-ES"/>
        </w:rPr>
        <w:t>Los dientes son una parte importante del cuerpo humano; su ausencia afecta la salud oral, la salud general y mental del individuo, así como su capacidad para socializar.</w:t>
      </w:r>
      <w:r w:rsidRPr="00B33C9A">
        <w:rPr>
          <w:vertAlign w:val="superscript"/>
          <w:lang w:val="es-PE" w:eastAsia="es-ES"/>
        </w:rPr>
        <w:t>(4)</w:t>
      </w:r>
      <w:r w:rsidRPr="00B33C9A">
        <w:rPr>
          <w:lang w:val="es-PE" w:eastAsia="es-ES"/>
        </w:rPr>
        <w:t xml:space="preserve"> </w:t>
      </w:r>
    </w:p>
    <w:p w14:paraId="40F2F976" w14:textId="77777777" w:rsidR="00B33C9A" w:rsidRPr="00B33C9A" w:rsidRDefault="00B33C9A" w:rsidP="00B33C9A">
      <w:pPr>
        <w:spacing w:line="360" w:lineRule="auto"/>
        <w:jc w:val="both"/>
        <w:rPr>
          <w:lang w:val="es-PE" w:eastAsia="es-ES"/>
        </w:rPr>
      </w:pPr>
      <w:r w:rsidRPr="00B33C9A">
        <w:rPr>
          <w:lang w:val="es-PE" w:eastAsia="es-ES"/>
        </w:rPr>
        <w:t xml:space="preserve">De igual forma, la principal causa de las infecciones endodónticas, es la presencia de microorganismos. El patógeno oportunista más frecuentemente aislado en estas infecciones es </w:t>
      </w:r>
      <w:proofErr w:type="spellStart"/>
      <w:r w:rsidRPr="00B33C9A">
        <w:rPr>
          <w:i/>
          <w:iCs/>
          <w:lang w:val="es-PE" w:eastAsia="es-ES"/>
        </w:rPr>
        <w:t>Enterococcus</w:t>
      </w:r>
      <w:proofErr w:type="spellEnd"/>
      <w:r w:rsidRPr="00B33C9A">
        <w:rPr>
          <w:i/>
          <w:iCs/>
          <w:lang w:val="es-PE" w:eastAsia="es-ES"/>
        </w:rPr>
        <w:t xml:space="preserve"> </w:t>
      </w:r>
      <w:proofErr w:type="spellStart"/>
      <w:r w:rsidRPr="00B33C9A">
        <w:rPr>
          <w:i/>
          <w:iCs/>
          <w:lang w:val="es-PE" w:eastAsia="es-ES"/>
        </w:rPr>
        <w:t>faecalis</w:t>
      </w:r>
      <w:proofErr w:type="spellEnd"/>
      <w:r w:rsidRPr="00B33C9A">
        <w:rPr>
          <w:lang w:val="es-PE" w:eastAsia="es-ES"/>
        </w:rPr>
        <w:t xml:space="preserve"> (</w:t>
      </w:r>
      <w:r w:rsidRPr="00B33C9A">
        <w:rPr>
          <w:i/>
          <w:iCs/>
          <w:lang w:val="es-PE" w:eastAsia="es-ES"/>
        </w:rPr>
        <w:t xml:space="preserve">E. </w:t>
      </w:r>
      <w:proofErr w:type="spellStart"/>
      <w:r w:rsidRPr="00B33C9A">
        <w:rPr>
          <w:i/>
          <w:iCs/>
          <w:lang w:val="es-PE" w:eastAsia="es-ES"/>
        </w:rPr>
        <w:t>faecalis</w:t>
      </w:r>
      <w:proofErr w:type="spellEnd"/>
      <w:proofErr w:type="gramStart"/>
      <w:r w:rsidRPr="00B33C9A">
        <w:rPr>
          <w:lang w:val="es-PE" w:eastAsia="es-ES"/>
        </w:rPr>
        <w:t>).</w:t>
      </w:r>
      <w:r w:rsidRPr="00B33C9A">
        <w:rPr>
          <w:vertAlign w:val="superscript"/>
          <w:lang w:val="es-PE" w:eastAsia="es-ES"/>
        </w:rPr>
        <w:t>(</w:t>
      </w:r>
      <w:proofErr w:type="gramEnd"/>
      <w:r w:rsidRPr="00B33C9A">
        <w:rPr>
          <w:vertAlign w:val="superscript"/>
          <w:lang w:val="es-PE" w:eastAsia="es-ES"/>
        </w:rPr>
        <w:t>5)</w:t>
      </w:r>
      <w:r w:rsidRPr="00B33C9A">
        <w:rPr>
          <w:lang w:val="es-PE" w:eastAsia="es-ES"/>
        </w:rPr>
        <w:t xml:space="preserve"> Esta bacteria anaerobia facultativa puede sobrevivir sin nutrientes y en presencia de fármacos e </w:t>
      </w:r>
      <w:proofErr w:type="spellStart"/>
      <w:r w:rsidRPr="00B33C9A">
        <w:rPr>
          <w:lang w:val="es-PE" w:eastAsia="es-ES"/>
        </w:rPr>
        <w:t>irrigantes</w:t>
      </w:r>
      <w:proofErr w:type="spellEnd"/>
      <w:r w:rsidRPr="00B33C9A">
        <w:rPr>
          <w:lang w:val="es-PE" w:eastAsia="es-ES"/>
        </w:rPr>
        <w:t xml:space="preserve"> intracanales debido a la facilidad para adquirir resistencia a los antibióticos, crecer a pH alcalino, tolerar rangos amplios de temperatura. Tiene la capacidad para invadir los túbulos dentinarios, utilizar fluidos del ligamento periodontal y suero como nutrientes y adherirse al colágeno, además de </w:t>
      </w:r>
      <w:r w:rsidRPr="00B33C9A">
        <w:rPr>
          <w:lang w:val="es-PE" w:eastAsia="es-ES"/>
        </w:rPr>
        <w:lastRenderedPageBreak/>
        <w:t xml:space="preserve">otros factores de virulencia que le permiten sobrevivir en condiciones desfavorables y lo hacen difícil de </w:t>
      </w:r>
      <w:proofErr w:type="gramStart"/>
      <w:r w:rsidRPr="00B33C9A">
        <w:rPr>
          <w:lang w:val="es-PE" w:eastAsia="es-ES"/>
        </w:rPr>
        <w:t>eliminar.</w:t>
      </w:r>
      <w:r w:rsidRPr="00B33C9A">
        <w:rPr>
          <w:vertAlign w:val="superscript"/>
          <w:lang w:val="es-PE" w:eastAsia="es-ES"/>
        </w:rPr>
        <w:t>(</w:t>
      </w:r>
      <w:proofErr w:type="gramEnd"/>
      <w:r w:rsidRPr="00B33C9A">
        <w:rPr>
          <w:vertAlign w:val="superscript"/>
          <w:lang w:val="es-PE" w:eastAsia="es-ES"/>
        </w:rPr>
        <w:t>6,7)</w:t>
      </w:r>
    </w:p>
    <w:p w14:paraId="4458EA86" w14:textId="77777777" w:rsidR="00B33C9A" w:rsidRPr="00B33C9A" w:rsidRDefault="00B33C9A" w:rsidP="00B33C9A">
      <w:pPr>
        <w:spacing w:line="360" w:lineRule="auto"/>
        <w:jc w:val="both"/>
        <w:rPr>
          <w:lang w:val="es-PE" w:eastAsia="es-ES"/>
        </w:rPr>
      </w:pPr>
      <w:r w:rsidRPr="00B33C9A">
        <w:rPr>
          <w:lang w:val="es-PE" w:eastAsia="es-ES"/>
        </w:rPr>
        <w:t xml:space="preserve">Las prácticas preventivas y el tratamiento de las principales enfermedades orales, incluyen la higiene bucal mecánica y la utilización de productos complementarios de higiene oral, como los enjuagues bucales que pueden contener compuestos antimicrobianos que eliminan a los microorganismos de las placas </w:t>
      </w:r>
      <w:proofErr w:type="gramStart"/>
      <w:r w:rsidRPr="00B33C9A">
        <w:rPr>
          <w:lang w:val="es-PE" w:eastAsia="es-ES"/>
        </w:rPr>
        <w:t>dentales.</w:t>
      </w:r>
      <w:r w:rsidRPr="00B33C9A">
        <w:rPr>
          <w:vertAlign w:val="superscript"/>
          <w:lang w:val="es-PE" w:eastAsia="es-ES"/>
        </w:rPr>
        <w:t>(</w:t>
      </w:r>
      <w:proofErr w:type="gramEnd"/>
      <w:r w:rsidRPr="00B33C9A">
        <w:rPr>
          <w:vertAlign w:val="superscript"/>
          <w:lang w:val="es-PE" w:eastAsia="es-ES"/>
        </w:rPr>
        <w:t>8)</w:t>
      </w:r>
      <w:r w:rsidRPr="00B33C9A">
        <w:rPr>
          <w:lang w:val="es-PE" w:eastAsia="es-ES"/>
        </w:rPr>
        <w:t xml:space="preserve"> La actividad antibacteriana de los enjuagues bucales es una ventaja, pues su naturaleza permite que llegue a zonas donde otros elementos no podrían. Independientemente de la marca del producto, el principal componente antimicrobiano colocado en la formulación siempre es una sustancia </w:t>
      </w:r>
      <w:proofErr w:type="gramStart"/>
      <w:r w:rsidRPr="00B33C9A">
        <w:rPr>
          <w:lang w:val="es-PE" w:eastAsia="es-ES"/>
        </w:rPr>
        <w:t>química.</w:t>
      </w:r>
      <w:r w:rsidRPr="00B33C9A">
        <w:rPr>
          <w:vertAlign w:val="superscript"/>
          <w:lang w:val="es-PE" w:eastAsia="es-ES"/>
        </w:rPr>
        <w:t>(</w:t>
      </w:r>
      <w:proofErr w:type="gramEnd"/>
      <w:r w:rsidRPr="00B33C9A">
        <w:rPr>
          <w:vertAlign w:val="superscript"/>
          <w:lang w:val="es-PE" w:eastAsia="es-ES"/>
        </w:rPr>
        <w:t>9)</w:t>
      </w:r>
    </w:p>
    <w:p w14:paraId="2229FB89" w14:textId="77777777" w:rsidR="00B33C9A" w:rsidRPr="00B33C9A" w:rsidRDefault="00B33C9A" w:rsidP="00B33C9A">
      <w:pPr>
        <w:spacing w:line="360" w:lineRule="auto"/>
        <w:jc w:val="both"/>
        <w:rPr>
          <w:lang w:val="es-PE" w:eastAsia="es-ES"/>
        </w:rPr>
      </w:pPr>
      <w:r w:rsidRPr="00B33C9A">
        <w:rPr>
          <w:lang w:val="es-PE" w:eastAsia="es-ES"/>
        </w:rPr>
        <w:t>Debido al incremento acelerado de la resistencia a los antimicrobianos y la perspectiva limitada del descubrimiento de nuevos compuestos antimicrobianos sintéticos, el uso efectivo de antimicrobianos en el futuro es incierto.</w:t>
      </w:r>
      <w:r w:rsidRPr="00B33C9A">
        <w:rPr>
          <w:vertAlign w:val="superscript"/>
          <w:lang w:val="es-PE" w:eastAsia="es-ES"/>
        </w:rPr>
        <w:t>(10)</w:t>
      </w:r>
      <w:r w:rsidRPr="00B33C9A">
        <w:rPr>
          <w:lang w:val="es-PE" w:eastAsia="es-ES"/>
        </w:rPr>
        <w:t xml:space="preserve"> Por ello, es primordial investigar nuevas fuentes alternativas de compuestos bioactivos, eficaces y seguros para la población.</w:t>
      </w:r>
      <w:r w:rsidRPr="00B33C9A">
        <w:rPr>
          <w:vertAlign w:val="superscript"/>
          <w:lang w:val="es-PE" w:eastAsia="es-ES"/>
        </w:rPr>
        <w:t>(11)</w:t>
      </w:r>
      <w:r w:rsidRPr="00B33C9A">
        <w:rPr>
          <w:lang w:val="es-PE" w:eastAsia="es-ES"/>
        </w:rPr>
        <w:t xml:space="preserve"> Teniendo en cuenta que las plantas medicinales se han utilizado para curar diversas enfermedades durante siglos, una de estas nuevas opciones son los medicamentos a base de plantas medicinales, que podrían ser una buena opción debido a la seguridad, la biodegradabilidad y la imposición de menos efectos secundarios.</w:t>
      </w:r>
      <w:r w:rsidRPr="00B33C9A">
        <w:rPr>
          <w:vertAlign w:val="superscript"/>
          <w:lang w:val="es-PE" w:eastAsia="es-ES"/>
        </w:rPr>
        <w:t xml:space="preserve">(12) </w:t>
      </w:r>
    </w:p>
    <w:p w14:paraId="3FA37CFA" w14:textId="77777777" w:rsidR="00B33C9A" w:rsidRPr="00B33C9A" w:rsidRDefault="00B33C9A" w:rsidP="00B33C9A">
      <w:pPr>
        <w:spacing w:line="360" w:lineRule="auto"/>
        <w:jc w:val="both"/>
        <w:rPr>
          <w:lang w:val="es-PE" w:eastAsia="es-ES"/>
        </w:rPr>
      </w:pPr>
      <w:r w:rsidRPr="00B33C9A">
        <w:rPr>
          <w:lang w:val="es-PE" w:eastAsia="es-ES"/>
        </w:rPr>
        <w:t>La medicina complementaria y alternativa recomienda numerosos enjuagues bucales a base de plantas medicinales, para el control de diversas enfermedades orales.</w:t>
      </w:r>
      <w:r w:rsidRPr="00B33C9A">
        <w:rPr>
          <w:vertAlign w:val="superscript"/>
          <w:lang w:val="es-PE" w:eastAsia="es-ES"/>
        </w:rPr>
        <w:t>(13)</w:t>
      </w:r>
      <w:r w:rsidRPr="00B33C9A">
        <w:rPr>
          <w:lang w:val="es-PE" w:eastAsia="es-ES"/>
        </w:rPr>
        <w:t xml:space="preserve"> A pesar que ya se ha probado la eficacia antibacteriana de diversas plantas medicinales autóctonas y adaptadas al territorio peruano, los enjuagues bucales a base de productos vegetales están limitados a unos pocos extractos y aceites esenciales.</w:t>
      </w:r>
      <w:r w:rsidRPr="00B33C9A">
        <w:rPr>
          <w:vertAlign w:val="superscript"/>
          <w:lang w:val="es-PE" w:eastAsia="es-ES"/>
        </w:rPr>
        <w:t>(8)</w:t>
      </w:r>
      <w:r w:rsidRPr="00B33C9A">
        <w:rPr>
          <w:lang w:val="es-PE" w:eastAsia="es-ES"/>
        </w:rPr>
        <w:t xml:space="preserve"> </w:t>
      </w:r>
      <w:r w:rsidRPr="00B33C9A">
        <w:rPr>
          <w:iCs/>
          <w:lang w:val="es-PE" w:eastAsia="es-ES"/>
        </w:rPr>
        <w:t xml:space="preserve">En ese contexto, </w:t>
      </w:r>
      <w:proofErr w:type="spellStart"/>
      <w:r w:rsidRPr="00B33C9A">
        <w:rPr>
          <w:i/>
          <w:lang w:val="es-PE" w:eastAsia="es-ES"/>
        </w:rPr>
        <w:t>Azadirachta</w:t>
      </w:r>
      <w:proofErr w:type="spellEnd"/>
      <w:r w:rsidRPr="00B33C9A">
        <w:rPr>
          <w:i/>
          <w:lang w:val="es-PE" w:eastAsia="es-ES"/>
        </w:rPr>
        <w:t xml:space="preserve"> indica</w:t>
      </w:r>
      <w:r w:rsidRPr="00B33C9A">
        <w:rPr>
          <w:lang w:val="es-PE" w:eastAsia="es-ES"/>
        </w:rPr>
        <w:t xml:space="preserve"> (</w:t>
      </w:r>
      <w:proofErr w:type="spellStart"/>
      <w:r w:rsidRPr="00B33C9A">
        <w:rPr>
          <w:lang w:val="es-PE" w:eastAsia="es-ES"/>
        </w:rPr>
        <w:t>neem</w:t>
      </w:r>
      <w:proofErr w:type="spellEnd"/>
      <w:r w:rsidRPr="00B33C9A">
        <w:rPr>
          <w:lang w:val="es-PE" w:eastAsia="es-ES"/>
        </w:rPr>
        <w:t xml:space="preserve">) es una especie vegetal bien conocida en el mundo, por su gran potencial </w:t>
      </w:r>
      <w:proofErr w:type="spellStart"/>
      <w:r w:rsidRPr="00B33C9A">
        <w:rPr>
          <w:lang w:val="es-PE" w:eastAsia="es-ES"/>
        </w:rPr>
        <w:t>etnofarmacológico</w:t>
      </w:r>
      <w:proofErr w:type="spellEnd"/>
      <w:r w:rsidRPr="00B33C9A">
        <w:rPr>
          <w:lang w:val="es-PE" w:eastAsia="es-ES"/>
        </w:rPr>
        <w:t xml:space="preserve">. El </w:t>
      </w:r>
      <w:proofErr w:type="spellStart"/>
      <w:r w:rsidRPr="00B33C9A">
        <w:rPr>
          <w:lang w:val="es-PE" w:eastAsia="es-ES"/>
        </w:rPr>
        <w:t>neem</w:t>
      </w:r>
      <w:proofErr w:type="spellEnd"/>
      <w:r w:rsidRPr="00B33C9A">
        <w:rPr>
          <w:lang w:val="es-PE" w:eastAsia="es-ES"/>
        </w:rPr>
        <w:t xml:space="preserve"> como comúnmente se le denomina, se desarrolla bien en diversas partes del país. Algunos estudios</w:t>
      </w:r>
      <w:r w:rsidRPr="00B33C9A">
        <w:rPr>
          <w:vertAlign w:val="superscript"/>
          <w:lang w:val="es-PE" w:eastAsia="es-ES"/>
        </w:rPr>
        <w:t xml:space="preserve"> (14,15)</w:t>
      </w:r>
      <w:r w:rsidRPr="00B33C9A">
        <w:rPr>
          <w:lang w:val="es-PE" w:eastAsia="es-ES"/>
        </w:rPr>
        <w:t xml:space="preserve"> dan cuenta que el </w:t>
      </w:r>
      <w:proofErr w:type="spellStart"/>
      <w:r w:rsidRPr="00B33C9A">
        <w:rPr>
          <w:lang w:val="es-PE" w:eastAsia="es-ES"/>
        </w:rPr>
        <w:t>azadirachtin</w:t>
      </w:r>
      <w:proofErr w:type="spellEnd"/>
      <w:r w:rsidRPr="00B33C9A">
        <w:rPr>
          <w:lang w:val="es-PE" w:eastAsia="es-ES"/>
        </w:rPr>
        <w:t xml:space="preserve"> y los flavonoides </w:t>
      </w:r>
      <w:proofErr w:type="spellStart"/>
      <w:r w:rsidRPr="00B33C9A">
        <w:rPr>
          <w:lang w:val="es-PE" w:eastAsia="es-ES"/>
        </w:rPr>
        <w:t>polifenólicos</w:t>
      </w:r>
      <w:proofErr w:type="spellEnd"/>
      <w:r w:rsidRPr="00B33C9A">
        <w:rPr>
          <w:lang w:val="es-PE" w:eastAsia="es-ES"/>
        </w:rPr>
        <w:t xml:space="preserve"> purificados de hojas de </w:t>
      </w:r>
      <w:proofErr w:type="spellStart"/>
      <w:r w:rsidRPr="00B33C9A">
        <w:rPr>
          <w:lang w:val="es-PE" w:eastAsia="es-ES"/>
        </w:rPr>
        <w:t>neem</w:t>
      </w:r>
      <w:proofErr w:type="spellEnd"/>
      <w:r w:rsidRPr="00B33C9A">
        <w:rPr>
          <w:lang w:val="es-PE" w:eastAsia="es-ES"/>
        </w:rPr>
        <w:t>, son los principales responsables de su potencial antibacteriano.</w:t>
      </w:r>
      <w:r w:rsidRPr="00B33C9A">
        <w:rPr>
          <w:vertAlign w:val="superscript"/>
          <w:lang w:val="es-PE" w:eastAsia="es-ES"/>
        </w:rPr>
        <w:t xml:space="preserve"> </w:t>
      </w:r>
    </w:p>
    <w:p w14:paraId="7DFE6439" w14:textId="77777777" w:rsidR="00B33C9A" w:rsidRPr="00B33C9A" w:rsidRDefault="00B33C9A" w:rsidP="00B33C9A">
      <w:pPr>
        <w:spacing w:line="360" w:lineRule="auto"/>
        <w:jc w:val="both"/>
        <w:rPr>
          <w:lang w:val="es-PE" w:eastAsia="es-ES"/>
        </w:rPr>
      </w:pPr>
      <w:r w:rsidRPr="00B33C9A">
        <w:rPr>
          <w:lang w:val="es-PE" w:eastAsia="es-ES"/>
        </w:rPr>
        <w:t xml:space="preserve">Al respecto, se ha reportado que el extracto de hojas de </w:t>
      </w:r>
      <w:proofErr w:type="spellStart"/>
      <w:r w:rsidRPr="00B33C9A">
        <w:rPr>
          <w:lang w:val="es-PE" w:eastAsia="es-ES"/>
        </w:rPr>
        <w:t>neem</w:t>
      </w:r>
      <w:proofErr w:type="spellEnd"/>
      <w:r w:rsidRPr="00B33C9A">
        <w:rPr>
          <w:lang w:val="es-PE" w:eastAsia="es-ES"/>
        </w:rPr>
        <w:t xml:space="preserve"> tiene actividad antimicrobiana contra bacterias grampositivas y gramnegativas. Se logró identificar que el beta-d-</w:t>
      </w:r>
      <w:proofErr w:type="spellStart"/>
      <w:r w:rsidRPr="00B33C9A">
        <w:rPr>
          <w:lang w:val="es-PE" w:eastAsia="es-ES"/>
        </w:rPr>
        <w:t>mannofuranoside</w:t>
      </w:r>
      <w:proofErr w:type="spellEnd"/>
      <w:r w:rsidRPr="00B33C9A">
        <w:rPr>
          <w:lang w:val="es-PE" w:eastAsia="es-ES"/>
        </w:rPr>
        <w:t xml:space="preserve"> y el o-</w:t>
      </w:r>
      <w:proofErr w:type="spellStart"/>
      <w:r w:rsidRPr="00B33C9A">
        <w:rPr>
          <w:lang w:val="es-PE" w:eastAsia="es-ES"/>
        </w:rPr>
        <w:t>geranyl</w:t>
      </w:r>
      <w:proofErr w:type="spellEnd"/>
      <w:r w:rsidRPr="00B33C9A">
        <w:rPr>
          <w:lang w:val="es-PE" w:eastAsia="es-ES"/>
        </w:rPr>
        <w:t xml:space="preserve"> son los compuestos con mayor actividad </w:t>
      </w:r>
      <w:proofErr w:type="gramStart"/>
      <w:r w:rsidRPr="00B33C9A">
        <w:rPr>
          <w:lang w:val="es-PE" w:eastAsia="es-ES"/>
        </w:rPr>
        <w:t>antimicrobiana.</w:t>
      </w:r>
      <w:r w:rsidRPr="00B33C9A">
        <w:rPr>
          <w:vertAlign w:val="superscript"/>
          <w:lang w:val="es-PE" w:eastAsia="es-ES"/>
        </w:rPr>
        <w:t>(</w:t>
      </w:r>
      <w:proofErr w:type="gramEnd"/>
      <w:r w:rsidRPr="00B33C9A">
        <w:rPr>
          <w:vertAlign w:val="superscript"/>
          <w:lang w:val="es-PE" w:eastAsia="es-ES"/>
        </w:rPr>
        <w:t>16)</w:t>
      </w:r>
      <w:r w:rsidRPr="00B33C9A">
        <w:rPr>
          <w:lang w:val="es-PE" w:eastAsia="es-ES"/>
        </w:rPr>
        <w:t xml:space="preserve"> También se ha establecido que la catequina es el compuesto bioactivo de </w:t>
      </w:r>
      <w:r w:rsidRPr="00B33C9A">
        <w:rPr>
          <w:i/>
          <w:iCs/>
          <w:lang w:val="es-PE" w:eastAsia="es-ES"/>
        </w:rPr>
        <w:t>A. indica</w:t>
      </w:r>
      <w:r w:rsidRPr="00B33C9A">
        <w:rPr>
          <w:lang w:val="es-PE" w:eastAsia="es-ES"/>
        </w:rPr>
        <w:t xml:space="preserve"> (</w:t>
      </w:r>
      <w:proofErr w:type="spellStart"/>
      <w:r w:rsidRPr="00B33C9A">
        <w:rPr>
          <w:lang w:val="es-PE" w:eastAsia="es-ES"/>
        </w:rPr>
        <w:t>neem</w:t>
      </w:r>
      <w:proofErr w:type="spellEnd"/>
      <w:r w:rsidRPr="00B33C9A">
        <w:rPr>
          <w:lang w:val="es-PE" w:eastAsia="es-ES"/>
        </w:rPr>
        <w:t xml:space="preserve">) más eficiente con actividad </w:t>
      </w:r>
      <w:proofErr w:type="spellStart"/>
      <w:r w:rsidRPr="00B33C9A">
        <w:rPr>
          <w:lang w:val="es-PE" w:eastAsia="es-ES"/>
        </w:rPr>
        <w:t>antibiopelícula</w:t>
      </w:r>
      <w:proofErr w:type="spellEnd"/>
      <w:r w:rsidRPr="00B33C9A">
        <w:rPr>
          <w:lang w:val="es-PE" w:eastAsia="es-ES"/>
        </w:rPr>
        <w:t xml:space="preserve"> y </w:t>
      </w:r>
      <w:proofErr w:type="spellStart"/>
      <w:r w:rsidRPr="00B33C9A">
        <w:rPr>
          <w:lang w:val="es-PE" w:eastAsia="es-ES"/>
        </w:rPr>
        <w:lastRenderedPageBreak/>
        <w:t>antiquorum</w:t>
      </w:r>
      <w:proofErr w:type="spellEnd"/>
      <w:r w:rsidRPr="00B33C9A">
        <w:rPr>
          <w:lang w:val="es-PE" w:eastAsia="es-ES"/>
        </w:rPr>
        <w:t xml:space="preserve"> de </w:t>
      </w:r>
      <w:r w:rsidRPr="00B33C9A">
        <w:rPr>
          <w:i/>
          <w:iCs/>
          <w:lang w:val="es-PE" w:eastAsia="es-ES"/>
        </w:rPr>
        <w:t xml:space="preserve">E. </w:t>
      </w:r>
      <w:proofErr w:type="spellStart"/>
      <w:r w:rsidRPr="00B33C9A">
        <w:rPr>
          <w:i/>
          <w:iCs/>
          <w:lang w:val="es-PE" w:eastAsia="es-ES"/>
        </w:rPr>
        <w:t>faecalis</w:t>
      </w:r>
      <w:proofErr w:type="spellEnd"/>
      <w:r w:rsidRPr="00B33C9A">
        <w:rPr>
          <w:lang w:val="es-PE" w:eastAsia="es-ES"/>
        </w:rPr>
        <w:t xml:space="preserve"> y </w:t>
      </w:r>
      <w:proofErr w:type="spellStart"/>
      <w:r w:rsidRPr="00B33C9A">
        <w:rPr>
          <w:i/>
          <w:iCs/>
          <w:lang w:val="es-PE" w:eastAsia="es-ES"/>
        </w:rPr>
        <w:t>Porphyromonas</w:t>
      </w:r>
      <w:proofErr w:type="spellEnd"/>
      <w:r w:rsidRPr="00B33C9A">
        <w:rPr>
          <w:i/>
          <w:iCs/>
          <w:lang w:val="es-PE" w:eastAsia="es-ES"/>
        </w:rPr>
        <w:t xml:space="preserve"> </w:t>
      </w:r>
      <w:proofErr w:type="spellStart"/>
      <w:r w:rsidRPr="00B33C9A">
        <w:rPr>
          <w:i/>
          <w:iCs/>
          <w:lang w:val="es-PE" w:eastAsia="es-ES"/>
        </w:rPr>
        <w:t>gingivalis</w:t>
      </w:r>
      <w:proofErr w:type="spellEnd"/>
      <w:r w:rsidRPr="00B33C9A">
        <w:rPr>
          <w:lang w:val="es-PE" w:eastAsia="es-ES"/>
        </w:rPr>
        <w:t xml:space="preserve">, evita que estas bacterias se protejan entre sí en presencia de oxígeno. Este compuesto natural podría ser utilizado como fármaco en el tratamiento de infecciones crónicas asociadas a la biopelícula </w:t>
      </w:r>
      <w:proofErr w:type="gramStart"/>
      <w:r w:rsidRPr="00B33C9A">
        <w:rPr>
          <w:lang w:val="es-PE" w:eastAsia="es-ES"/>
        </w:rPr>
        <w:t>dental.</w:t>
      </w:r>
      <w:r w:rsidRPr="00B33C9A">
        <w:rPr>
          <w:vertAlign w:val="superscript"/>
          <w:lang w:val="es-PE" w:eastAsia="es-ES"/>
        </w:rPr>
        <w:t>(</w:t>
      </w:r>
      <w:proofErr w:type="gramEnd"/>
      <w:r w:rsidRPr="00B33C9A">
        <w:rPr>
          <w:vertAlign w:val="superscript"/>
          <w:lang w:val="es-PE" w:eastAsia="es-ES"/>
        </w:rPr>
        <w:t>17,18)</w:t>
      </w:r>
    </w:p>
    <w:p w14:paraId="2357E402" w14:textId="36882650" w:rsidR="00B33C9A" w:rsidRPr="00B33C9A" w:rsidRDefault="00B33C9A" w:rsidP="00B33C9A">
      <w:pPr>
        <w:spacing w:line="360" w:lineRule="auto"/>
        <w:jc w:val="both"/>
        <w:rPr>
          <w:lang w:val="es-PE" w:eastAsia="es-ES"/>
        </w:rPr>
      </w:pPr>
      <w:r w:rsidRPr="00B33C9A">
        <w:rPr>
          <w:lang w:val="es-PE" w:eastAsia="es-ES"/>
        </w:rPr>
        <w:t xml:space="preserve">El objetivo de la presente investigación es evaluar el potencial antibacteriano </w:t>
      </w:r>
      <w:r w:rsidRPr="00B33C9A">
        <w:rPr>
          <w:i/>
          <w:iCs/>
          <w:lang w:val="es-PE" w:eastAsia="es-ES"/>
        </w:rPr>
        <w:t>in vitro</w:t>
      </w:r>
      <w:r w:rsidRPr="00B33C9A">
        <w:rPr>
          <w:lang w:val="es-PE" w:eastAsia="es-ES"/>
        </w:rPr>
        <w:t xml:space="preserve"> de 2 enjuagues bucales del extracto </w:t>
      </w:r>
      <w:proofErr w:type="spellStart"/>
      <w:r w:rsidRPr="00B33C9A">
        <w:rPr>
          <w:lang w:val="es-PE" w:eastAsia="es-ES"/>
        </w:rPr>
        <w:t>hidroetanólico</w:t>
      </w:r>
      <w:proofErr w:type="spellEnd"/>
      <w:r w:rsidRPr="00B33C9A">
        <w:rPr>
          <w:lang w:val="es-PE" w:eastAsia="es-ES"/>
        </w:rPr>
        <w:t xml:space="preserve"> de hojas de </w:t>
      </w:r>
      <w:r w:rsidRPr="00B33C9A">
        <w:rPr>
          <w:i/>
          <w:iCs/>
          <w:lang w:val="es-PE" w:eastAsia="es-ES"/>
        </w:rPr>
        <w:t>A. indica</w:t>
      </w:r>
      <w:r w:rsidRPr="00B33C9A">
        <w:rPr>
          <w:lang w:val="es-PE" w:eastAsia="es-ES"/>
        </w:rPr>
        <w:t xml:space="preserve"> (</w:t>
      </w:r>
      <w:proofErr w:type="spellStart"/>
      <w:r w:rsidRPr="00B33C9A">
        <w:rPr>
          <w:lang w:val="es-PE" w:eastAsia="es-ES"/>
        </w:rPr>
        <w:t>neem</w:t>
      </w:r>
      <w:proofErr w:type="spellEnd"/>
      <w:r w:rsidRPr="00B33C9A">
        <w:rPr>
          <w:lang w:val="es-PE" w:eastAsia="es-ES"/>
        </w:rPr>
        <w:t xml:space="preserve">), con concentraciones de 25 mg/mL y 50 mg/mL sobre cepas de referencia de </w:t>
      </w:r>
      <w:r w:rsidRPr="00B33C9A">
        <w:rPr>
          <w:i/>
          <w:iCs/>
          <w:lang w:val="es-PE" w:eastAsia="es-ES"/>
        </w:rPr>
        <w:t>Streptococcus mutans</w:t>
      </w:r>
      <w:r w:rsidRPr="00B33C9A">
        <w:rPr>
          <w:lang w:val="es-PE" w:eastAsia="es-ES"/>
        </w:rPr>
        <w:t xml:space="preserve"> ATCC</w:t>
      </w:r>
      <w:r w:rsidRPr="00B33C9A">
        <w:rPr>
          <w:vertAlign w:val="superscript"/>
          <w:lang w:val="es-PE" w:eastAsia="es-ES"/>
        </w:rPr>
        <w:t>®</w:t>
      </w:r>
      <w:r w:rsidRPr="00B33C9A">
        <w:rPr>
          <w:lang w:val="es-PE" w:eastAsia="es-ES"/>
        </w:rPr>
        <w:t>35668</w:t>
      </w:r>
      <w:r w:rsidRPr="00B33C9A">
        <w:rPr>
          <w:vertAlign w:val="superscript"/>
          <w:lang w:val="es-PE" w:eastAsia="es-ES"/>
        </w:rPr>
        <w:t>TM</w:t>
      </w:r>
      <w:r w:rsidRPr="00B33C9A">
        <w:rPr>
          <w:lang w:val="es-PE" w:eastAsia="es-ES"/>
        </w:rPr>
        <w:t xml:space="preserve"> y </w:t>
      </w:r>
      <w:proofErr w:type="spellStart"/>
      <w:r w:rsidRPr="00B33C9A">
        <w:rPr>
          <w:i/>
          <w:iCs/>
          <w:lang w:val="es-PE" w:eastAsia="es-ES"/>
        </w:rPr>
        <w:t>Enterococcus</w:t>
      </w:r>
      <w:proofErr w:type="spellEnd"/>
      <w:r w:rsidRPr="00B33C9A">
        <w:rPr>
          <w:i/>
          <w:iCs/>
          <w:lang w:val="es-PE" w:eastAsia="es-ES"/>
        </w:rPr>
        <w:t xml:space="preserve"> </w:t>
      </w:r>
      <w:proofErr w:type="spellStart"/>
      <w:r w:rsidRPr="00B33C9A">
        <w:rPr>
          <w:i/>
          <w:iCs/>
          <w:lang w:val="es-PE" w:eastAsia="es-ES"/>
        </w:rPr>
        <w:t>faecalis</w:t>
      </w:r>
      <w:proofErr w:type="spellEnd"/>
      <w:r w:rsidRPr="00B33C9A">
        <w:rPr>
          <w:lang w:val="es-PE" w:eastAsia="es-ES"/>
        </w:rPr>
        <w:t xml:space="preserve"> </w:t>
      </w:r>
      <w:proofErr w:type="spellStart"/>
      <w:r w:rsidRPr="00B33C9A">
        <w:rPr>
          <w:lang w:val="es-PE" w:eastAsia="es-ES"/>
        </w:rPr>
        <w:t>ATCC</w:t>
      </w:r>
      <w:r w:rsidRPr="00B33C9A">
        <w:rPr>
          <w:vertAlign w:val="superscript"/>
          <w:lang w:val="es-PE" w:eastAsia="es-ES"/>
        </w:rPr>
        <w:t>®</w:t>
      </w:r>
      <w:r w:rsidRPr="00B33C9A">
        <w:rPr>
          <w:lang w:val="es-PE" w:eastAsia="es-ES"/>
        </w:rPr>
        <w:t>29212</w:t>
      </w:r>
      <w:r w:rsidRPr="00B33C9A">
        <w:rPr>
          <w:vertAlign w:val="superscript"/>
          <w:lang w:val="es-PE" w:eastAsia="es-ES"/>
        </w:rPr>
        <w:t>TM</w:t>
      </w:r>
      <w:proofErr w:type="spellEnd"/>
      <w:r w:rsidRPr="00B33C9A">
        <w:rPr>
          <w:lang w:val="es-PE" w:eastAsia="es-ES"/>
        </w:rPr>
        <w:t>.</w:t>
      </w:r>
    </w:p>
    <w:p w14:paraId="7DD2D998" w14:textId="77777777" w:rsidR="00B33C9A" w:rsidRPr="00B33C9A" w:rsidRDefault="00B33C9A" w:rsidP="00B33C9A">
      <w:pPr>
        <w:spacing w:line="360" w:lineRule="auto"/>
        <w:jc w:val="both"/>
        <w:rPr>
          <w:b/>
          <w:lang w:val="es-PE" w:eastAsia="es-ES"/>
        </w:rPr>
      </w:pPr>
      <w:bookmarkStart w:id="5" w:name="_heading=h.lnxbz9" w:colFirst="0" w:colLast="0"/>
      <w:bookmarkStart w:id="6" w:name="_heading=h.1ci93xb" w:colFirst="0" w:colLast="0"/>
      <w:bookmarkEnd w:id="5"/>
      <w:bookmarkEnd w:id="6"/>
    </w:p>
    <w:p w14:paraId="1CF29741" w14:textId="77777777" w:rsidR="00B33C9A" w:rsidRPr="00B33C9A" w:rsidRDefault="00B33C9A" w:rsidP="00B33C9A">
      <w:pPr>
        <w:spacing w:line="360" w:lineRule="auto"/>
        <w:jc w:val="center"/>
        <w:rPr>
          <w:b/>
          <w:sz w:val="32"/>
          <w:szCs w:val="32"/>
          <w:lang w:val="es-PE" w:eastAsia="es-ES"/>
        </w:rPr>
      </w:pPr>
    </w:p>
    <w:p w14:paraId="21A155FB" w14:textId="77777777" w:rsidR="00B33C9A" w:rsidRPr="00B33C9A" w:rsidRDefault="00B33C9A" w:rsidP="00B33C9A">
      <w:pPr>
        <w:spacing w:line="360" w:lineRule="auto"/>
        <w:jc w:val="center"/>
        <w:rPr>
          <w:b/>
          <w:sz w:val="32"/>
          <w:szCs w:val="32"/>
          <w:lang w:val="es-PE" w:eastAsia="es-ES"/>
        </w:rPr>
      </w:pPr>
      <w:r w:rsidRPr="00B33C9A">
        <w:rPr>
          <w:b/>
          <w:sz w:val="32"/>
          <w:szCs w:val="32"/>
          <w:lang w:val="es-PE" w:eastAsia="es-ES"/>
        </w:rPr>
        <w:t>MÉTODOS</w:t>
      </w:r>
    </w:p>
    <w:p w14:paraId="456C4EF5" w14:textId="77777777" w:rsidR="00B33C9A" w:rsidRPr="00B33C9A" w:rsidRDefault="00B33C9A" w:rsidP="00B33C9A">
      <w:pPr>
        <w:spacing w:line="360" w:lineRule="auto"/>
        <w:jc w:val="both"/>
        <w:rPr>
          <w:lang w:val="es-PE" w:eastAsia="es-ES"/>
        </w:rPr>
      </w:pPr>
      <w:bookmarkStart w:id="7" w:name="_heading=h.46r0co2" w:colFirst="0" w:colLast="0"/>
      <w:bookmarkEnd w:id="7"/>
      <w:r w:rsidRPr="00B33C9A">
        <w:rPr>
          <w:lang w:val="es-PE" w:eastAsia="es-ES"/>
        </w:rPr>
        <w:t xml:space="preserve">La investigación fue de tipo básica, de enfoque cuantitativo con diseño experimental </w:t>
      </w:r>
      <w:r w:rsidRPr="00B33C9A">
        <w:rPr>
          <w:i/>
          <w:iCs/>
          <w:lang w:val="es-PE" w:eastAsia="es-ES"/>
        </w:rPr>
        <w:t>in vitro</w:t>
      </w:r>
      <w:r w:rsidRPr="00B33C9A">
        <w:rPr>
          <w:lang w:val="es-PE" w:eastAsia="es-ES"/>
        </w:rPr>
        <w:t>. La muestra fue calculada en el programa G*</w:t>
      </w:r>
      <w:proofErr w:type="spellStart"/>
      <w:r w:rsidRPr="00B33C9A">
        <w:rPr>
          <w:lang w:val="es-PE" w:eastAsia="es-ES"/>
        </w:rPr>
        <w:t>Power</w:t>
      </w:r>
      <w:proofErr w:type="spellEnd"/>
      <w:r w:rsidRPr="00B33C9A">
        <w:rPr>
          <w:lang w:val="es-PE" w:eastAsia="es-ES"/>
        </w:rPr>
        <w:t xml:space="preserve"> v. 3.1.9.7</w:t>
      </w:r>
      <w:r w:rsidRPr="00B33C9A">
        <w:rPr>
          <w:vertAlign w:val="superscript"/>
          <w:lang w:val="es-PE" w:eastAsia="es-ES"/>
        </w:rPr>
        <w:t>(19)</w:t>
      </w:r>
      <w:r w:rsidRPr="00B33C9A">
        <w:rPr>
          <w:lang w:val="es-PE" w:eastAsia="es-ES"/>
        </w:rPr>
        <w:t xml:space="preserve"> y estuvo constituida por placas Petri sembradas con cepas estandarizadas de </w:t>
      </w:r>
      <w:r w:rsidRPr="00B33C9A">
        <w:rPr>
          <w:i/>
          <w:iCs/>
          <w:lang w:val="es-PE" w:eastAsia="es-ES"/>
        </w:rPr>
        <w:t>S. mutans</w:t>
      </w:r>
      <w:r w:rsidRPr="00B33C9A">
        <w:rPr>
          <w:lang w:val="es-PE" w:eastAsia="es-ES"/>
        </w:rPr>
        <w:t xml:space="preserve"> ATCC</w:t>
      </w:r>
      <w:r w:rsidRPr="00B33C9A">
        <w:rPr>
          <w:vertAlign w:val="superscript"/>
          <w:lang w:val="es-PE" w:eastAsia="es-ES"/>
        </w:rPr>
        <w:t>®</w:t>
      </w:r>
      <w:r w:rsidRPr="00B33C9A">
        <w:rPr>
          <w:lang w:val="es-PE" w:eastAsia="es-ES"/>
        </w:rPr>
        <w:t>35668</w:t>
      </w:r>
      <w:r w:rsidRPr="00B33C9A">
        <w:rPr>
          <w:vertAlign w:val="superscript"/>
          <w:lang w:val="es-PE" w:eastAsia="es-ES"/>
        </w:rPr>
        <w:t>TM</w:t>
      </w:r>
      <w:r w:rsidRPr="00B33C9A">
        <w:rPr>
          <w:lang w:val="es-PE" w:eastAsia="es-ES"/>
        </w:rPr>
        <w:t xml:space="preserve"> y </w:t>
      </w:r>
      <w:r w:rsidRPr="00B33C9A">
        <w:rPr>
          <w:i/>
          <w:iCs/>
          <w:lang w:val="es-PE" w:eastAsia="es-ES"/>
        </w:rPr>
        <w:t xml:space="preserve">E. </w:t>
      </w:r>
      <w:proofErr w:type="spellStart"/>
      <w:r w:rsidRPr="00B33C9A">
        <w:rPr>
          <w:i/>
          <w:iCs/>
          <w:lang w:val="es-PE" w:eastAsia="es-ES"/>
        </w:rPr>
        <w:t>faecalis</w:t>
      </w:r>
      <w:proofErr w:type="spellEnd"/>
      <w:r w:rsidRPr="00B33C9A">
        <w:rPr>
          <w:lang w:val="es-PE" w:eastAsia="es-ES"/>
        </w:rPr>
        <w:t xml:space="preserve"> </w:t>
      </w:r>
      <w:proofErr w:type="spellStart"/>
      <w:r w:rsidRPr="00B33C9A">
        <w:rPr>
          <w:lang w:val="es-PE" w:eastAsia="es-ES"/>
        </w:rPr>
        <w:t>ATCC</w:t>
      </w:r>
      <w:r w:rsidRPr="00B33C9A">
        <w:rPr>
          <w:vertAlign w:val="superscript"/>
          <w:lang w:val="es-PE" w:eastAsia="es-ES"/>
        </w:rPr>
        <w:t>®</w:t>
      </w:r>
      <w:r w:rsidRPr="00B33C9A">
        <w:rPr>
          <w:lang w:val="es-PE" w:eastAsia="es-ES"/>
        </w:rPr>
        <w:t>29212</w:t>
      </w:r>
      <w:r w:rsidRPr="00B33C9A">
        <w:rPr>
          <w:vertAlign w:val="superscript"/>
          <w:lang w:val="es-PE" w:eastAsia="es-ES"/>
        </w:rPr>
        <w:t>TM</w:t>
      </w:r>
      <w:proofErr w:type="spellEnd"/>
      <w:r w:rsidRPr="00B33C9A">
        <w:rPr>
          <w:lang w:val="es-PE" w:eastAsia="es-ES"/>
        </w:rPr>
        <w:t xml:space="preserve">. Se realizaron 19 repeticiones por cada enjuague bucal, según la concentración de extracto y tipo de bacteria, lo que hizo un total de 152 unidades experimentales. La ejecución se realizó en los laboratorios del Instituto de Investigación en Ciencia y Tecnología de la Universidad César Vallejo en la ciudad de Trujillo, Perú. </w:t>
      </w:r>
    </w:p>
    <w:p w14:paraId="671DDF7F" w14:textId="77777777" w:rsidR="00B33C9A" w:rsidRPr="00B33C9A" w:rsidRDefault="00B33C9A" w:rsidP="00B33C9A">
      <w:pPr>
        <w:spacing w:line="360" w:lineRule="auto"/>
        <w:jc w:val="center"/>
        <w:rPr>
          <w:b/>
          <w:bCs/>
          <w:sz w:val="28"/>
          <w:szCs w:val="28"/>
          <w:lang w:val="es-PE" w:eastAsia="es-ES"/>
        </w:rPr>
      </w:pPr>
      <w:r w:rsidRPr="00B33C9A">
        <w:rPr>
          <w:b/>
          <w:bCs/>
          <w:sz w:val="28"/>
          <w:szCs w:val="28"/>
          <w:lang w:val="es-PE" w:eastAsia="es-ES"/>
        </w:rPr>
        <w:t xml:space="preserve">Obtención del extracto </w:t>
      </w:r>
      <w:proofErr w:type="spellStart"/>
      <w:r w:rsidRPr="00B33C9A">
        <w:rPr>
          <w:b/>
          <w:bCs/>
          <w:sz w:val="28"/>
          <w:szCs w:val="28"/>
          <w:lang w:val="es-PE" w:eastAsia="es-ES"/>
        </w:rPr>
        <w:t>hidroetanólico</w:t>
      </w:r>
      <w:proofErr w:type="spellEnd"/>
    </w:p>
    <w:p w14:paraId="00140AD2" w14:textId="77777777" w:rsidR="00B33C9A" w:rsidRPr="00B33C9A" w:rsidRDefault="00B33C9A" w:rsidP="00B33C9A">
      <w:pPr>
        <w:spacing w:line="360" w:lineRule="auto"/>
        <w:jc w:val="both"/>
        <w:rPr>
          <w:lang w:val="es-PE" w:eastAsia="es-ES"/>
        </w:rPr>
      </w:pPr>
      <w:r w:rsidRPr="00B33C9A">
        <w:rPr>
          <w:lang w:val="es-PE" w:eastAsia="es-ES"/>
        </w:rPr>
        <w:t xml:space="preserve">El material vegetal, principalmente hojas frescas, se recolectaron en la provincia de Piura, Perú, durante el mes de enero del 2022, en una cantidad aproximada de 1 kg. Las muestras vegetales se identificaron taxonómicamente como </w:t>
      </w:r>
      <w:proofErr w:type="spellStart"/>
      <w:r w:rsidRPr="00B33C9A">
        <w:rPr>
          <w:i/>
          <w:iCs/>
          <w:lang w:val="es-PE" w:eastAsia="es-ES"/>
        </w:rPr>
        <w:t>Azadirachta</w:t>
      </w:r>
      <w:proofErr w:type="spellEnd"/>
      <w:r w:rsidRPr="00B33C9A">
        <w:rPr>
          <w:i/>
          <w:iCs/>
          <w:lang w:val="es-PE" w:eastAsia="es-ES"/>
        </w:rPr>
        <w:t xml:space="preserve"> indica</w:t>
      </w:r>
      <w:r w:rsidRPr="00B33C9A">
        <w:rPr>
          <w:lang w:val="es-PE" w:eastAsia="es-ES"/>
        </w:rPr>
        <w:t xml:space="preserve"> Jussieu 1830 </w:t>
      </w:r>
      <w:proofErr w:type="spellStart"/>
      <w:r w:rsidRPr="00B33C9A">
        <w:rPr>
          <w:lang w:val="es-PE" w:eastAsia="es-ES"/>
        </w:rPr>
        <w:t>MELIACEAE</w:t>
      </w:r>
      <w:proofErr w:type="spellEnd"/>
      <w:r w:rsidRPr="00B33C9A">
        <w:rPr>
          <w:lang w:val="es-PE" w:eastAsia="es-ES"/>
        </w:rPr>
        <w:t xml:space="preserve"> “</w:t>
      </w:r>
      <w:proofErr w:type="spellStart"/>
      <w:r w:rsidRPr="00B33C9A">
        <w:rPr>
          <w:lang w:val="es-PE" w:eastAsia="es-ES"/>
        </w:rPr>
        <w:t>neem</w:t>
      </w:r>
      <w:proofErr w:type="spellEnd"/>
      <w:r w:rsidRPr="00B33C9A">
        <w:rPr>
          <w:lang w:val="es-PE" w:eastAsia="es-ES"/>
        </w:rPr>
        <w:t xml:space="preserve">” en el </w:t>
      </w:r>
      <w:proofErr w:type="spellStart"/>
      <w:r w:rsidRPr="00B33C9A">
        <w:rPr>
          <w:i/>
          <w:iCs/>
          <w:lang w:val="es-PE" w:eastAsia="es-ES"/>
        </w:rPr>
        <w:t>Herbariun</w:t>
      </w:r>
      <w:proofErr w:type="spellEnd"/>
      <w:r w:rsidRPr="00B33C9A">
        <w:rPr>
          <w:i/>
          <w:iCs/>
          <w:lang w:val="es-PE" w:eastAsia="es-ES"/>
        </w:rPr>
        <w:t xml:space="preserve"> </w:t>
      </w:r>
      <w:proofErr w:type="spellStart"/>
      <w:r w:rsidRPr="00B33C9A">
        <w:rPr>
          <w:i/>
          <w:iCs/>
          <w:lang w:val="es-PE" w:eastAsia="es-ES"/>
        </w:rPr>
        <w:t>Piurense</w:t>
      </w:r>
      <w:proofErr w:type="spellEnd"/>
      <w:r w:rsidRPr="00B33C9A">
        <w:rPr>
          <w:lang w:val="es-PE" w:eastAsia="es-ES"/>
        </w:rPr>
        <w:t xml:space="preserve"> con registro No. 0004-2022. Las hojas fueron seleccionadas, lavadas con agua corriente, desinfectas con alcohol al 70 % y posteriormente secadas en estufa a 40 </w:t>
      </w:r>
      <w:proofErr w:type="spellStart"/>
      <w:r w:rsidRPr="00B33C9A">
        <w:rPr>
          <w:vertAlign w:val="superscript"/>
          <w:lang w:val="es-PE" w:eastAsia="es-ES"/>
        </w:rPr>
        <w:t>o</w:t>
      </w:r>
      <w:r w:rsidRPr="00B33C9A">
        <w:rPr>
          <w:lang w:val="es-PE" w:eastAsia="es-ES"/>
        </w:rPr>
        <w:t>C</w:t>
      </w:r>
      <w:proofErr w:type="spellEnd"/>
      <w:r w:rsidRPr="00B33C9A">
        <w:rPr>
          <w:lang w:val="es-PE" w:eastAsia="es-ES"/>
        </w:rPr>
        <w:t xml:space="preserve"> durante 30 horas. El material vegetal seco y molido fue empaquetado en papel de filtro Whatman® grado 1 y colocado en un sistema Soxhlet, para la obtención del extracto </w:t>
      </w:r>
      <w:proofErr w:type="spellStart"/>
      <w:r w:rsidRPr="00B33C9A">
        <w:rPr>
          <w:lang w:val="es-PE" w:eastAsia="es-ES"/>
        </w:rPr>
        <w:t>hidroetanólico</w:t>
      </w:r>
      <w:proofErr w:type="spellEnd"/>
      <w:r w:rsidRPr="00B33C9A">
        <w:rPr>
          <w:lang w:val="es-PE" w:eastAsia="es-ES"/>
        </w:rPr>
        <w:t xml:space="preserve">. Una vez obtenido el extracto total fue concentrado y secado en rotavapor </w:t>
      </w:r>
      <w:proofErr w:type="spellStart"/>
      <w:r w:rsidRPr="00B33C9A">
        <w:rPr>
          <w:lang w:val="es-PE" w:eastAsia="es-ES"/>
        </w:rPr>
        <w:t>Isolab</w:t>
      </w:r>
      <w:proofErr w:type="spellEnd"/>
      <w:r w:rsidRPr="00B33C9A">
        <w:rPr>
          <w:lang w:val="es-PE" w:eastAsia="es-ES"/>
        </w:rPr>
        <w:t>® y almacenado en refrigeración en un frasco de vidrio ámbar hasta su utilización. Las concentraciones de 25 mg/mL y 50 mg/mL se prepararon al momento de la experimentación utilizando como diluyente dimetilsulfóxido (</w:t>
      </w:r>
      <w:proofErr w:type="spellStart"/>
      <w:r w:rsidRPr="00B33C9A">
        <w:rPr>
          <w:lang w:val="es-PE" w:eastAsia="es-ES"/>
        </w:rPr>
        <w:t>DMSO</w:t>
      </w:r>
      <w:proofErr w:type="spellEnd"/>
      <w:r w:rsidRPr="00B33C9A">
        <w:rPr>
          <w:lang w:val="es-PE" w:eastAsia="es-ES"/>
        </w:rPr>
        <w:t xml:space="preserve">) al 1 %. </w:t>
      </w:r>
    </w:p>
    <w:p w14:paraId="1BEFBB2F" w14:textId="77777777" w:rsidR="00B33C9A" w:rsidRPr="00B33C9A" w:rsidRDefault="00B33C9A" w:rsidP="00B33C9A">
      <w:pPr>
        <w:spacing w:line="360" w:lineRule="auto"/>
        <w:jc w:val="center"/>
        <w:rPr>
          <w:b/>
          <w:sz w:val="28"/>
          <w:szCs w:val="28"/>
          <w:lang w:val="es-PE" w:eastAsia="es-ES"/>
        </w:rPr>
      </w:pPr>
      <w:r w:rsidRPr="00B33C9A">
        <w:rPr>
          <w:b/>
          <w:sz w:val="28"/>
          <w:szCs w:val="28"/>
          <w:lang w:val="es-PE" w:eastAsia="es-ES"/>
        </w:rPr>
        <w:lastRenderedPageBreak/>
        <w:t xml:space="preserve">Preparación de enjuagues bucales herbales a base de </w:t>
      </w:r>
      <w:proofErr w:type="spellStart"/>
      <w:r w:rsidRPr="00B33C9A">
        <w:rPr>
          <w:b/>
          <w:sz w:val="28"/>
          <w:szCs w:val="28"/>
          <w:lang w:val="es-PE" w:eastAsia="es-ES"/>
        </w:rPr>
        <w:t>neem</w:t>
      </w:r>
      <w:proofErr w:type="spellEnd"/>
    </w:p>
    <w:p w14:paraId="56ECC9F3" w14:textId="77777777" w:rsidR="00B33C9A" w:rsidRPr="00B33C9A" w:rsidRDefault="00B33C9A" w:rsidP="00B33C9A">
      <w:pPr>
        <w:spacing w:line="360" w:lineRule="auto"/>
        <w:jc w:val="both"/>
        <w:rPr>
          <w:bCs/>
          <w:lang w:val="es-PE" w:eastAsia="es-ES"/>
        </w:rPr>
      </w:pPr>
      <w:r w:rsidRPr="00B33C9A">
        <w:rPr>
          <w:bCs/>
          <w:lang w:val="es-PE" w:eastAsia="es-ES"/>
        </w:rPr>
        <w:t>Se prepararon 2 enjuagues bucales a los cuales se les incorporó las concentraciones de 25</w:t>
      </w:r>
      <w:r w:rsidRPr="00B33C9A">
        <w:rPr>
          <w:lang w:val="es-PE" w:eastAsia="es-ES"/>
        </w:rPr>
        <w:t xml:space="preserve"> </w:t>
      </w:r>
      <w:r w:rsidRPr="00B33C9A">
        <w:rPr>
          <w:bCs/>
          <w:lang w:val="es-PE" w:eastAsia="es-ES"/>
        </w:rPr>
        <w:t xml:space="preserve">mg/mL y 50 mg/mL del extracto </w:t>
      </w:r>
      <w:proofErr w:type="spellStart"/>
      <w:r w:rsidRPr="00B33C9A">
        <w:rPr>
          <w:bCs/>
          <w:lang w:val="es-PE" w:eastAsia="es-ES"/>
        </w:rPr>
        <w:t>hidroetanólico</w:t>
      </w:r>
      <w:proofErr w:type="spellEnd"/>
      <w:r w:rsidRPr="00B33C9A">
        <w:rPr>
          <w:bCs/>
          <w:lang w:val="es-PE" w:eastAsia="es-ES"/>
        </w:rPr>
        <w:t xml:space="preserve"> de </w:t>
      </w:r>
      <w:proofErr w:type="spellStart"/>
      <w:r w:rsidRPr="00B33C9A">
        <w:rPr>
          <w:bCs/>
          <w:lang w:val="es-PE" w:eastAsia="es-ES"/>
        </w:rPr>
        <w:t>neem</w:t>
      </w:r>
      <w:proofErr w:type="spellEnd"/>
      <w:r w:rsidRPr="00B33C9A">
        <w:rPr>
          <w:bCs/>
          <w:lang w:val="es-PE" w:eastAsia="es-ES"/>
        </w:rPr>
        <w:t xml:space="preserve">. Dichas concentraciones son estándares para la evaluación toxicológica de productos naturales. La fórmula unitaria para 80 mL fue la siguiente; </w:t>
      </w:r>
      <w:proofErr w:type="spellStart"/>
      <w:r w:rsidRPr="00B33C9A">
        <w:rPr>
          <w:bCs/>
          <w:lang w:val="es-PE" w:eastAsia="es-ES"/>
        </w:rPr>
        <w:t>emal</w:t>
      </w:r>
      <w:proofErr w:type="spellEnd"/>
      <w:r w:rsidRPr="00B33C9A">
        <w:rPr>
          <w:bCs/>
          <w:lang w:val="es-PE" w:eastAsia="es-ES"/>
        </w:rPr>
        <w:t xml:space="preserve"> (</w:t>
      </w:r>
      <w:proofErr w:type="spellStart"/>
      <w:r w:rsidRPr="00B33C9A">
        <w:rPr>
          <w:bCs/>
          <w:lang w:val="es-PE" w:eastAsia="es-ES"/>
        </w:rPr>
        <w:t>Polioxietileno</w:t>
      </w:r>
      <w:proofErr w:type="spellEnd"/>
      <w:r w:rsidRPr="00B33C9A">
        <w:rPr>
          <w:bCs/>
          <w:lang w:val="es-PE" w:eastAsia="es-ES"/>
        </w:rPr>
        <w:t xml:space="preserve"> lauril éter sulfato de sodio) 70; al 3,75 %, 3 g, glicerina al 18,38 %, 14,7 g, sorbitol al 5,63 %, 4,5 g, sacarina al 0,04 %, 0,032 g y 10 mL de extracto de </w:t>
      </w:r>
      <w:proofErr w:type="spellStart"/>
      <w:r w:rsidRPr="00B33C9A">
        <w:rPr>
          <w:bCs/>
          <w:lang w:val="es-PE" w:eastAsia="es-ES"/>
        </w:rPr>
        <w:t>neem</w:t>
      </w:r>
      <w:proofErr w:type="spellEnd"/>
      <w:r w:rsidRPr="00B33C9A">
        <w:rPr>
          <w:bCs/>
          <w:lang w:val="es-PE" w:eastAsia="es-ES"/>
        </w:rPr>
        <w:t xml:space="preserve"> a concentraciones de 25 mg/mL y 50 mg/mL, agua al 33,88 % </w:t>
      </w:r>
      <w:proofErr w:type="spellStart"/>
      <w:r w:rsidRPr="00B33C9A">
        <w:rPr>
          <w:bCs/>
          <w:lang w:val="es-PE" w:eastAsia="es-ES"/>
        </w:rPr>
        <w:t>c.s.p</w:t>
      </w:r>
      <w:proofErr w:type="spellEnd"/>
      <w:r w:rsidRPr="00B33C9A">
        <w:rPr>
          <w:bCs/>
          <w:lang w:val="es-PE" w:eastAsia="es-ES"/>
        </w:rPr>
        <w:t>., 80 mL.</w:t>
      </w:r>
    </w:p>
    <w:p w14:paraId="550C4884" w14:textId="77777777" w:rsidR="00B33C9A" w:rsidRPr="00B33C9A" w:rsidRDefault="00B33C9A" w:rsidP="00B33C9A">
      <w:pPr>
        <w:spacing w:line="360" w:lineRule="auto"/>
        <w:jc w:val="center"/>
        <w:rPr>
          <w:b/>
          <w:sz w:val="28"/>
          <w:szCs w:val="28"/>
          <w:lang w:val="es-PE" w:eastAsia="es-ES"/>
        </w:rPr>
      </w:pPr>
      <w:r w:rsidRPr="00B33C9A">
        <w:rPr>
          <w:b/>
          <w:sz w:val="28"/>
          <w:szCs w:val="28"/>
          <w:lang w:val="es-PE" w:eastAsia="es-ES"/>
        </w:rPr>
        <w:t>Reactivación de cepas y estandarización del inóculo bacteriano</w:t>
      </w:r>
    </w:p>
    <w:p w14:paraId="5346D69B" w14:textId="77777777" w:rsidR="00B33C9A" w:rsidRPr="00B33C9A" w:rsidRDefault="00B33C9A" w:rsidP="00B33C9A">
      <w:pPr>
        <w:spacing w:line="360" w:lineRule="auto"/>
        <w:jc w:val="both"/>
        <w:rPr>
          <w:lang w:val="es-PE" w:eastAsia="es-ES"/>
        </w:rPr>
      </w:pPr>
      <w:r w:rsidRPr="00B33C9A">
        <w:rPr>
          <w:lang w:val="es-PE" w:eastAsia="es-ES"/>
        </w:rPr>
        <w:t xml:space="preserve">Las cepas certificadas y liofilizadas fueron adquiridas de la empresa </w:t>
      </w:r>
      <w:proofErr w:type="spellStart"/>
      <w:r w:rsidRPr="00B33C9A">
        <w:rPr>
          <w:lang w:val="es-PE" w:eastAsia="es-ES"/>
        </w:rPr>
        <w:t>GenLab</w:t>
      </w:r>
      <w:proofErr w:type="spellEnd"/>
      <w:r w:rsidRPr="00B33C9A">
        <w:rPr>
          <w:lang w:val="es-PE" w:eastAsia="es-ES"/>
        </w:rPr>
        <w:t xml:space="preserve"> Perú </w:t>
      </w:r>
      <w:proofErr w:type="spellStart"/>
      <w:r w:rsidRPr="00B33C9A">
        <w:rPr>
          <w:lang w:val="es-PE" w:eastAsia="es-ES"/>
        </w:rPr>
        <w:t>S.A.C</w:t>
      </w:r>
      <w:proofErr w:type="spellEnd"/>
      <w:r w:rsidRPr="00B33C9A">
        <w:rPr>
          <w:lang w:val="es-PE" w:eastAsia="es-ES"/>
        </w:rPr>
        <w:t>. La reactivación se realizó según recomendaciones del fabricante en caldo Müller-Hinton (</w:t>
      </w:r>
      <w:proofErr w:type="spellStart"/>
      <w:r w:rsidRPr="00B33C9A">
        <w:rPr>
          <w:lang w:val="es-PE" w:eastAsia="es-ES"/>
        </w:rPr>
        <w:t>Millipor</w:t>
      </w:r>
      <w:proofErr w:type="spellEnd"/>
      <w:r w:rsidRPr="00B33C9A">
        <w:rPr>
          <w:vertAlign w:val="superscript"/>
          <w:lang w:val="es-PE" w:eastAsia="es-ES"/>
        </w:rPr>
        <w:t>®</w:t>
      </w:r>
      <w:r w:rsidRPr="00B33C9A">
        <w:rPr>
          <w:lang w:val="es-PE" w:eastAsia="es-ES"/>
        </w:rPr>
        <w:t xml:space="preserve">, Alemania) para </w:t>
      </w:r>
      <w:bookmarkStart w:id="8" w:name="_Hlk108966193"/>
      <w:r w:rsidRPr="00B33C9A">
        <w:rPr>
          <w:i/>
          <w:iCs/>
          <w:lang w:val="es-PE" w:eastAsia="es-ES"/>
        </w:rPr>
        <w:t>Streptococcus mutans</w:t>
      </w:r>
      <w:r w:rsidRPr="00B33C9A">
        <w:rPr>
          <w:lang w:val="es-PE" w:eastAsia="es-ES"/>
        </w:rPr>
        <w:t xml:space="preserve"> ATCC</w:t>
      </w:r>
      <w:r w:rsidRPr="00B33C9A">
        <w:rPr>
          <w:vertAlign w:val="superscript"/>
          <w:lang w:val="es-PE" w:eastAsia="es-ES"/>
        </w:rPr>
        <w:t>®</w:t>
      </w:r>
      <w:r w:rsidRPr="00B33C9A">
        <w:rPr>
          <w:lang w:val="es-PE" w:eastAsia="es-ES"/>
        </w:rPr>
        <w:t>35668</w:t>
      </w:r>
      <w:r w:rsidRPr="00B33C9A">
        <w:rPr>
          <w:vertAlign w:val="superscript"/>
          <w:lang w:val="es-PE" w:eastAsia="es-ES"/>
        </w:rPr>
        <w:t>TM</w:t>
      </w:r>
      <w:r w:rsidRPr="00B33C9A">
        <w:rPr>
          <w:lang w:val="es-PE" w:eastAsia="es-ES"/>
        </w:rPr>
        <w:t xml:space="preserve"> </w:t>
      </w:r>
      <w:bookmarkEnd w:id="8"/>
      <w:r w:rsidRPr="00B33C9A">
        <w:rPr>
          <w:lang w:val="es-PE" w:eastAsia="es-ES"/>
        </w:rPr>
        <w:t>y en caldo Infusión Cerebro Corazón (</w:t>
      </w:r>
      <w:proofErr w:type="spellStart"/>
      <w:r w:rsidRPr="00B33C9A">
        <w:rPr>
          <w:lang w:val="es-PE" w:eastAsia="es-ES"/>
        </w:rPr>
        <w:t>Millipor</w:t>
      </w:r>
      <w:proofErr w:type="spellEnd"/>
      <w:r w:rsidRPr="00B33C9A">
        <w:rPr>
          <w:lang w:val="es-PE" w:eastAsia="es-ES"/>
        </w:rPr>
        <w:t xml:space="preserve">®, Alemania) para </w:t>
      </w:r>
      <w:proofErr w:type="spellStart"/>
      <w:r w:rsidRPr="00B33C9A">
        <w:rPr>
          <w:i/>
          <w:iCs/>
          <w:lang w:val="es-PE" w:eastAsia="es-ES"/>
        </w:rPr>
        <w:t>Enterococcus</w:t>
      </w:r>
      <w:proofErr w:type="spellEnd"/>
      <w:r w:rsidRPr="00B33C9A">
        <w:rPr>
          <w:i/>
          <w:iCs/>
          <w:lang w:val="es-PE" w:eastAsia="es-ES"/>
        </w:rPr>
        <w:t xml:space="preserve"> </w:t>
      </w:r>
      <w:proofErr w:type="spellStart"/>
      <w:r w:rsidRPr="00B33C9A">
        <w:rPr>
          <w:i/>
          <w:iCs/>
          <w:lang w:val="es-PE" w:eastAsia="es-ES"/>
        </w:rPr>
        <w:t>faecalis</w:t>
      </w:r>
      <w:proofErr w:type="spellEnd"/>
      <w:r w:rsidRPr="00B33C9A">
        <w:rPr>
          <w:lang w:val="es-PE" w:eastAsia="es-ES"/>
        </w:rPr>
        <w:t xml:space="preserve"> </w:t>
      </w:r>
      <w:proofErr w:type="spellStart"/>
      <w:r w:rsidRPr="00B33C9A">
        <w:rPr>
          <w:lang w:val="es-PE" w:eastAsia="es-ES"/>
        </w:rPr>
        <w:t>ATCC</w:t>
      </w:r>
      <w:r w:rsidRPr="00B33C9A">
        <w:rPr>
          <w:vertAlign w:val="superscript"/>
          <w:lang w:val="es-PE" w:eastAsia="es-ES"/>
        </w:rPr>
        <w:t>®</w:t>
      </w:r>
      <w:r w:rsidRPr="00B33C9A">
        <w:rPr>
          <w:lang w:val="es-PE" w:eastAsia="es-ES"/>
        </w:rPr>
        <w:t>29212</w:t>
      </w:r>
      <w:r w:rsidRPr="00B33C9A">
        <w:rPr>
          <w:vertAlign w:val="superscript"/>
          <w:lang w:val="es-PE" w:eastAsia="es-ES"/>
        </w:rPr>
        <w:t>TM</w:t>
      </w:r>
      <w:proofErr w:type="spellEnd"/>
      <w:r w:rsidRPr="00B33C9A">
        <w:rPr>
          <w:lang w:val="es-PE" w:eastAsia="es-ES"/>
        </w:rPr>
        <w:t xml:space="preserve">; 24 horas antes de la evaluación en condiciones de aerobiosis a 36,5 </w:t>
      </w:r>
      <w:proofErr w:type="spellStart"/>
      <w:r w:rsidRPr="00B33C9A">
        <w:rPr>
          <w:vertAlign w:val="superscript"/>
          <w:lang w:val="es-PE" w:eastAsia="es-ES"/>
        </w:rPr>
        <w:t>o</w:t>
      </w:r>
      <w:r w:rsidRPr="00B33C9A">
        <w:rPr>
          <w:lang w:val="es-PE" w:eastAsia="es-ES"/>
        </w:rPr>
        <w:t>C</w:t>
      </w:r>
      <w:proofErr w:type="spellEnd"/>
      <w:r w:rsidRPr="00B33C9A">
        <w:rPr>
          <w:lang w:val="es-PE" w:eastAsia="es-ES"/>
        </w:rPr>
        <w:t xml:space="preserve"> en incubadora microbiológica </w:t>
      </w:r>
      <w:proofErr w:type="spellStart"/>
      <w:r w:rsidRPr="00B33C9A">
        <w:rPr>
          <w:lang w:val="es-PE" w:eastAsia="es-ES"/>
        </w:rPr>
        <w:t>Memmert</w:t>
      </w:r>
      <w:proofErr w:type="spellEnd"/>
      <w:r w:rsidRPr="00B33C9A">
        <w:rPr>
          <w:vertAlign w:val="superscript"/>
          <w:lang w:val="es-PE" w:eastAsia="es-ES"/>
        </w:rPr>
        <w:t>®</w:t>
      </w:r>
      <w:r w:rsidRPr="00B33C9A">
        <w:rPr>
          <w:lang w:val="es-PE" w:eastAsia="es-ES"/>
        </w:rPr>
        <w:t xml:space="preserve">. La estandarización del inóculo de ambas bacterias se realizó por turbidimetría en espectrofotómetro </w:t>
      </w:r>
      <w:proofErr w:type="spellStart"/>
      <w:r w:rsidRPr="00B33C9A">
        <w:rPr>
          <w:lang w:val="es-PE" w:eastAsia="es-ES"/>
        </w:rPr>
        <w:t>Thermo</w:t>
      </w:r>
      <w:proofErr w:type="spellEnd"/>
      <w:r w:rsidRPr="00B33C9A">
        <w:rPr>
          <w:lang w:val="es-PE" w:eastAsia="es-ES"/>
        </w:rPr>
        <w:t xml:space="preserve"> </w:t>
      </w:r>
      <w:proofErr w:type="spellStart"/>
      <w:r w:rsidRPr="00B33C9A">
        <w:rPr>
          <w:lang w:val="es-PE" w:eastAsia="es-ES"/>
        </w:rPr>
        <w:t>Scientific</w:t>
      </w:r>
      <w:proofErr w:type="spellEnd"/>
      <w:r w:rsidRPr="00B33C9A">
        <w:rPr>
          <w:vertAlign w:val="superscript"/>
          <w:lang w:val="es-PE" w:eastAsia="es-ES"/>
        </w:rPr>
        <w:t>®</w:t>
      </w:r>
      <w:r w:rsidRPr="00B33C9A">
        <w:rPr>
          <w:lang w:val="es-PE" w:eastAsia="es-ES"/>
        </w:rPr>
        <w:t xml:space="preserve"> </w:t>
      </w:r>
      <w:proofErr w:type="spellStart"/>
      <w:r w:rsidRPr="00B33C9A">
        <w:rPr>
          <w:lang w:val="es-PE" w:eastAsia="es-ES"/>
        </w:rPr>
        <w:t>Genesys</w:t>
      </w:r>
      <w:proofErr w:type="spellEnd"/>
      <w:r w:rsidRPr="00B33C9A">
        <w:rPr>
          <w:lang w:val="es-PE" w:eastAsia="es-ES"/>
        </w:rPr>
        <w:t xml:space="preserve"> 150 y ajustado a la escala McFarland de 0,5 equivalente a </w:t>
      </w:r>
      <w:proofErr w:type="spellStart"/>
      <w:r w:rsidRPr="00B33C9A">
        <w:rPr>
          <w:lang w:val="es-PE" w:eastAsia="es-ES"/>
        </w:rPr>
        <w:t>1,5x10</w:t>
      </w:r>
      <w:r w:rsidRPr="00B33C9A">
        <w:rPr>
          <w:vertAlign w:val="superscript"/>
          <w:lang w:val="es-PE" w:eastAsia="es-ES"/>
        </w:rPr>
        <w:t>8</w:t>
      </w:r>
      <w:proofErr w:type="spellEnd"/>
      <w:r w:rsidRPr="00B33C9A">
        <w:rPr>
          <w:lang w:val="es-PE" w:eastAsia="es-ES"/>
        </w:rPr>
        <w:t xml:space="preserve"> UFC/mL.</w:t>
      </w:r>
    </w:p>
    <w:p w14:paraId="5FA3CC4D" w14:textId="77777777" w:rsidR="00B33C9A" w:rsidRPr="00B33C9A" w:rsidRDefault="00B33C9A" w:rsidP="00B33C9A">
      <w:pPr>
        <w:spacing w:line="360" w:lineRule="auto"/>
        <w:jc w:val="center"/>
        <w:rPr>
          <w:b/>
          <w:bCs/>
          <w:sz w:val="28"/>
          <w:szCs w:val="28"/>
          <w:lang w:val="es-PE" w:eastAsia="es-ES"/>
        </w:rPr>
      </w:pPr>
      <w:r w:rsidRPr="00B33C9A">
        <w:rPr>
          <w:b/>
          <w:bCs/>
          <w:sz w:val="28"/>
          <w:szCs w:val="28"/>
          <w:lang w:val="es-PE" w:eastAsia="es-ES"/>
        </w:rPr>
        <w:t>Evaluación del potencial antibacteriano por el método de difusión en disco</w:t>
      </w:r>
    </w:p>
    <w:p w14:paraId="29E19791" w14:textId="77777777" w:rsidR="00B33C9A" w:rsidRPr="00B33C9A" w:rsidRDefault="00B33C9A" w:rsidP="00B33C9A">
      <w:pPr>
        <w:spacing w:line="360" w:lineRule="auto"/>
        <w:jc w:val="both"/>
        <w:rPr>
          <w:lang w:val="es-PE" w:eastAsia="es-ES"/>
        </w:rPr>
      </w:pPr>
      <w:r w:rsidRPr="00B33C9A">
        <w:rPr>
          <w:lang w:val="es-PE" w:eastAsia="es-ES"/>
        </w:rPr>
        <w:t xml:space="preserve">El efecto antibacteriano de los extractos fue determinado por el método estandarizado de difusión en disco según el </w:t>
      </w:r>
      <w:proofErr w:type="spellStart"/>
      <w:r w:rsidRPr="00B33C9A">
        <w:rPr>
          <w:i/>
          <w:iCs/>
          <w:lang w:val="es-PE" w:eastAsia="es-ES"/>
        </w:rPr>
        <w:t>Clinical</w:t>
      </w:r>
      <w:proofErr w:type="spellEnd"/>
      <w:r w:rsidRPr="00B33C9A">
        <w:rPr>
          <w:i/>
          <w:iCs/>
          <w:lang w:val="es-PE" w:eastAsia="es-ES"/>
        </w:rPr>
        <w:t xml:space="preserve"> and </w:t>
      </w:r>
      <w:proofErr w:type="spellStart"/>
      <w:r w:rsidRPr="00B33C9A">
        <w:rPr>
          <w:i/>
          <w:iCs/>
          <w:lang w:val="es-PE" w:eastAsia="es-ES"/>
        </w:rPr>
        <w:t>Laboratory</w:t>
      </w:r>
      <w:proofErr w:type="spellEnd"/>
      <w:r w:rsidRPr="00B33C9A">
        <w:rPr>
          <w:i/>
          <w:iCs/>
          <w:lang w:val="es-PE" w:eastAsia="es-ES"/>
        </w:rPr>
        <w:t xml:space="preserve"> </w:t>
      </w:r>
      <w:proofErr w:type="spellStart"/>
      <w:r w:rsidRPr="00B33C9A">
        <w:rPr>
          <w:i/>
          <w:iCs/>
          <w:lang w:val="es-PE" w:eastAsia="es-ES"/>
        </w:rPr>
        <w:t>Standards</w:t>
      </w:r>
      <w:proofErr w:type="spellEnd"/>
      <w:r w:rsidRPr="00B33C9A">
        <w:rPr>
          <w:i/>
          <w:iCs/>
          <w:lang w:val="es-PE" w:eastAsia="es-ES"/>
        </w:rPr>
        <w:t xml:space="preserve"> </w:t>
      </w:r>
      <w:proofErr w:type="spellStart"/>
      <w:r w:rsidRPr="00B33C9A">
        <w:rPr>
          <w:i/>
          <w:iCs/>
          <w:lang w:val="es-PE" w:eastAsia="es-ES"/>
        </w:rPr>
        <w:t>Institute</w:t>
      </w:r>
      <w:proofErr w:type="spellEnd"/>
      <w:r w:rsidRPr="00B33C9A">
        <w:rPr>
          <w:lang w:val="es-PE" w:eastAsia="es-ES"/>
        </w:rPr>
        <w:t xml:space="preserve"> (</w:t>
      </w:r>
      <w:proofErr w:type="spellStart"/>
      <w:r w:rsidRPr="00B33C9A">
        <w:rPr>
          <w:lang w:val="es-PE" w:eastAsia="es-ES"/>
        </w:rPr>
        <w:t>CLSI</w:t>
      </w:r>
      <w:proofErr w:type="spellEnd"/>
      <w:proofErr w:type="gramStart"/>
      <w:r w:rsidRPr="00B33C9A">
        <w:rPr>
          <w:lang w:val="es-PE" w:eastAsia="es-ES"/>
        </w:rPr>
        <w:t>).</w:t>
      </w:r>
      <w:r w:rsidRPr="00B33C9A">
        <w:rPr>
          <w:vertAlign w:val="superscript"/>
          <w:lang w:val="es-PE" w:eastAsia="es-ES"/>
        </w:rPr>
        <w:t>(</w:t>
      </w:r>
      <w:proofErr w:type="gramEnd"/>
      <w:r w:rsidRPr="00B33C9A">
        <w:rPr>
          <w:vertAlign w:val="superscript"/>
          <w:lang w:val="es-PE" w:eastAsia="es-ES"/>
        </w:rPr>
        <w:t>20)</w:t>
      </w:r>
      <w:r w:rsidRPr="00B33C9A">
        <w:rPr>
          <w:lang w:val="es-PE" w:eastAsia="es-ES"/>
        </w:rPr>
        <w:t xml:space="preserve"> A partir del inóculo estandarizado se incorporaron 200 </w:t>
      </w:r>
      <w:proofErr w:type="spellStart"/>
      <w:r w:rsidRPr="00B33C9A">
        <w:rPr>
          <w:lang w:val="es-PE" w:eastAsia="es-ES"/>
        </w:rPr>
        <w:t>μL</w:t>
      </w:r>
      <w:proofErr w:type="spellEnd"/>
      <w:r w:rsidRPr="00B33C9A">
        <w:rPr>
          <w:lang w:val="es-PE" w:eastAsia="es-ES"/>
        </w:rPr>
        <w:t xml:space="preserve"> de la suspensión bacteriana a superficies de placas Petri con </w:t>
      </w:r>
      <w:proofErr w:type="spellStart"/>
      <w:r w:rsidRPr="00B33C9A">
        <w:rPr>
          <w:lang w:val="es-PE" w:eastAsia="es-ES"/>
        </w:rPr>
        <w:t>Mitis</w:t>
      </w:r>
      <w:proofErr w:type="spellEnd"/>
      <w:r w:rsidRPr="00B33C9A">
        <w:rPr>
          <w:lang w:val="es-PE" w:eastAsia="es-ES"/>
        </w:rPr>
        <w:t xml:space="preserve"> </w:t>
      </w:r>
      <w:proofErr w:type="spellStart"/>
      <w:r w:rsidRPr="00B33C9A">
        <w:rPr>
          <w:lang w:val="es-PE" w:eastAsia="es-ES"/>
        </w:rPr>
        <w:t>Salivarius</w:t>
      </w:r>
      <w:proofErr w:type="spellEnd"/>
      <w:r w:rsidRPr="00B33C9A">
        <w:rPr>
          <w:lang w:val="es-PE" w:eastAsia="es-ES"/>
        </w:rPr>
        <w:t xml:space="preserve"> Agar (</w:t>
      </w:r>
      <w:proofErr w:type="spellStart"/>
      <w:r w:rsidRPr="00B33C9A">
        <w:rPr>
          <w:lang w:val="es-PE" w:eastAsia="es-ES"/>
        </w:rPr>
        <w:t>Millipor</w:t>
      </w:r>
      <w:proofErr w:type="spellEnd"/>
      <w:r w:rsidRPr="00B33C9A">
        <w:rPr>
          <w:lang w:val="es-PE" w:eastAsia="es-ES"/>
        </w:rPr>
        <w:t>®, Alemania). Se colocaron 4 discos de papel de filtro Whatman N</w:t>
      </w:r>
      <w:r w:rsidRPr="00B33C9A">
        <w:rPr>
          <w:vertAlign w:val="superscript"/>
          <w:lang w:val="es-PE" w:eastAsia="es-ES"/>
        </w:rPr>
        <w:t>o</w:t>
      </w:r>
      <w:r w:rsidRPr="00B33C9A">
        <w:rPr>
          <w:lang w:val="es-PE" w:eastAsia="es-ES"/>
        </w:rPr>
        <w:t xml:space="preserve"> 3 de 6 mm de diámetro cargados con cada volumen de enjuague bucal según concentración y sustancia a evaluar. Los discos fueron colocados sobre las placas inoculadas con cada una de las bacterias y fueron incubadas durante 24-48 horas a 36,5 </w:t>
      </w:r>
      <w:proofErr w:type="spellStart"/>
      <w:r w:rsidRPr="00B33C9A">
        <w:rPr>
          <w:vertAlign w:val="superscript"/>
          <w:lang w:val="es-PE" w:eastAsia="es-ES"/>
        </w:rPr>
        <w:t>o</w:t>
      </w:r>
      <w:r w:rsidRPr="00B33C9A">
        <w:rPr>
          <w:lang w:val="es-PE" w:eastAsia="es-ES"/>
        </w:rPr>
        <w:t>C</w:t>
      </w:r>
      <w:proofErr w:type="spellEnd"/>
      <w:r w:rsidRPr="00B33C9A">
        <w:rPr>
          <w:lang w:val="es-PE" w:eastAsia="es-ES"/>
        </w:rPr>
        <w:t xml:space="preserve"> en </w:t>
      </w:r>
      <w:proofErr w:type="spellStart"/>
      <w:r w:rsidRPr="00B33C9A">
        <w:rPr>
          <w:lang w:val="es-PE" w:eastAsia="es-ES"/>
        </w:rPr>
        <w:t>microaerofilia</w:t>
      </w:r>
      <w:proofErr w:type="spellEnd"/>
      <w:r w:rsidRPr="00B33C9A">
        <w:rPr>
          <w:lang w:val="es-PE" w:eastAsia="es-ES"/>
        </w:rPr>
        <w:t xml:space="preserve">. Después del periodo de incubación se realizó la medición de los diámetros de los halos de inhibición de crecimiento bacteriano expresados en milímetros con un calibrador mecánico </w:t>
      </w:r>
      <w:proofErr w:type="spellStart"/>
      <w:r w:rsidRPr="00B33C9A">
        <w:rPr>
          <w:lang w:val="es-PE" w:eastAsia="es-ES"/>
        </w:rPr>
        <w:t>Starrett</w:t>
      </w:r>
      <w:proofErr w:type="spellEnd"/>
      <w:r w:rsidRPr="00B33C9A">
        <w:rPr>
          <w:vertAlign w:val="superscript"/>
          <w:lang w:val="es-PE" w:eastAsia="es-ES"/>
        </w:rPr>
        <w:t>®</w:t>
      </w:r>
      <w:r w:rsidRPr="00B33C9A">
        <w:rPr>
          <w:lang w:val="es-PE" w:eastAsia="es-ES"/>
        </w:rPr>
        <w:t xml:space="preserve">. </w:t>
      </w:r>
    </w:p>
    <w:p w14:paraId="503FBA6B" w14:textId="77777777" w:rsidR="007439A5" w:rsidRDefault="007439A5">
      <w:pPr>
        <w:rPr>
          <w:b/>
          <w:color w:val="000000"/>
          <w:sz w:val="28"/>
          <w:szCs w:val="28"/>
          <w:lang w:val="es-PE" w:eastAsia="es-ES"/>
        </w:rPr>
      </w:pPr>
      <w:bookmarkStart w:id="9" w:name="_heading=h.111kx3o" w:colFirst="0" w:colLast="0"/>
      <w:bookmarkStart w:id="10" w:name="_heading=h.206ipza" w:colFirst="0" w:colLast="0"/>
      <w:bookmarkEnd w:id="9"/>
      <w:bookmarkEnd w:id="10"/>
      <w:r>
        <w:rPr>
          <w:b/>
          <w:color w:val="000000"/>
          <w:sz w:val="28"/>
          <w:szCs w:val="28"/>
          <w:lang w:val="es-PE" w:eastAsia="es-ES"/>
        </w:rPr>
        <w:br w:type="page"/>
      </w:r>
    </w:p>
    <w:p w14:paraId="4E80573D" w14:textId="33A4B1A4" w:rsidR="00B33C9A" w:rsidRPr="00B33C9A" w:rsidRDefault="00B33C9A" w:rsidP="00B33C9A">
      <w:pPr>
        <w:spacing w:line="360" w:lineRule="auto"/>
        <w:jc w:val="center"/>
        <w:rPr>
          <w:sz w:val="28"/>
          <w:szCs w:val="28"/>
          <w:lang w:val="es-PE" w:eastAsia="es-ES"/>
        </w:rPr>
      </w:pPr>
      <w:r w:rsidRPr="00B33C9A">
        <w:rPr>
          <w:b/>
          <w:color w:val="000000"/>
          <w:sz w:val="28"/>
          <w:szCs w:val="28"/>
          <w:lang w:val="es-PE" w:eastAsia="es-ES"/>
        </w:rPr>
        <w:lastRenderedPageBreak/>
        <w:t>Análisis estadístico</w:t>
      </w:r>
    </w:p>
    <w:p w14:paraId="2C9F9687" w14:textId="77777777" w:rsidR="00B33C9A" w:rsidRPr="00B33C9A" w:rsidRDefault="00B33C9A" w:rsidP="00B33C9A">
      <w:pPr>
        <w:spacing w:line="360" w:lineRule="auto"/>
        <w:jc w:val="both"/>
        <w:rPr>
          <w:color w:val="000000"/>
          <w:lang w:val="es-PE" w:eastAsia="es-ES"/>
        </w:rPr>
      </w:pPr>
      <w:r w:rsidRPr="00B33C9A">
        <w:rPr>
          <w:color w:val="000000"/>
          <w:lang w:val="es-PE" w:eastAsia="es-ES"/>
        </w:rPr>
        <w:t xml:space="preserve">Los datos correspondientes a los diámetros de halos de inhibición fueron analizados en el paquete estadístico SPSS </w:t>
      </w:r>
      <w:proofErr w:type="spellStart"/>
      <w:r w:rsidRPr="00B33C9A">
        <w:rPr>
          <w:color w:val="000000"/>
          <w:lang w:val="es-PE" w:eastAsia="es-ES"/>
        </w:rPr>
        <w:t>v.26.0</w:t>
      </w:r>
      <w:proofErr w:type="spellEnd"/>
      <w:r w:rsidRPr="00B33C9A">
        <w:rPr>
          <w:color w:val="000000"/>
          <w:lang w:val="es-PE" w:eastAsia="es-ES"/>
        </w:rPr>
        <w:t xml:space="preserve"> Se realizaron pruebas de normalidad de Shapiro-Wilk y análisis de varianza (ANOVA). La significación estadística se estableció mediante el análisis </w:t>
      </w:r>
      <w:r w:rsidRPr="00B33C9A">
        <w:rPr>
          <w:i/>
          <w:iCs/>
          <w:color w:val="000000"/>
          <w:lang w:val="es-PE" w:eastAsia="es-ES"/>
        </w:rPr>
        <w:t>post hoc</w:t>
      </w:r>
      <w:r w:rsidRPr="00B33C9A">
        <w:rPr>
          <w:color w:val="000000"/>
          <w:lang w:val="es-PE" w:eastAsia="es-ES"/>
        </w:rPr>
        <w:t xml:space="preserve"> de Tukey (p= 0,05).</w:t>
      </w:r>
    </w:p>
    <w:p w14:paraId="015E8AF2" w14:textId="77777777" w:rsidR="00B33C9A" w:rsidRPr="00B33C9A" w:rsidRDefault="00B33C9A" w:rsidP="00B33C9A">
      <w:pPr>
        <w:spacing w:line="360" w:lineRule="auto"/>
        <w:jc w:val="center"/>
        <w:rPr>
          <w:b/>
          <w:bCs/>
          <w:lang w:val="es-PE" w:eastAsia="es-ES"/>
        </w:rPr>
      </w:pPr>
      <w:bookmarkStart w:id="11" w:name="_heading=h.4k668n3" w:colFirst="0" w:colLast="0"/>
      <w:bookmarkStart w:id="12" w:name="_heading=h.2zbgiuw" w:colFirst="0" w:colLast="0"/>
      <w:bookmarkEnd w:id="11"/>
      <w:bookmarkEnd w:id="12"/>
    </w:p>
    <w:p w14:paraId="2305077C" w14:textId="77777777" w:rsidR="00B33C9A" w:rsidRPr="00B33C9A" w:rsidRDefault="00B33C9A" w:rsidP="00B33C9A">
      <w:pPr>
        <w:spacing w:line="360" w:lineRule="auto"/>
        <w:jc w:val="center"/>
        <w:rPr>
          <w:b/>
          <w:bCs/>
          <w:lang w:val="es-PE" w:eastAsia="es-ES"/>
        </w:rPr>
      </w:pPr>
    </w:p>
    <w:p w14:paraId="0C03363E" w14:textId="77777777" w:rsidR="00B33C9A" w:rsidRPr="00B33C9A" w:rsidRDefault="00B33C9A" w:rsidP="00B33C9A">
      <w:pPr>
        <w:spacing w:line="360" w:lineRule="auto"/>
        <w:jc w:val="center"/>
        <w:rPr>
          <w:b/>
          <w:bCs/>
          <w:sz w:val="32"/>
          <w:szCs w:val="32"/>
          <w:lang w:val="es-PE" w:eastAsia="es-ES"/>
        </w:rPr>
      </w:pPr>
      <w:r w:rsidRPr="00B33C9A">
        <w:rPr>
          <w:b/>
          <w:bCs/>
          <w:sz w:val="32"/>
          <w:szCs w:val="32"/>
          <w:lang w:val="es-PE" w:eastAsia="es-ES"/>
        </w:rPr>
        <w:t>RESULTADOS</w:t>
      </w:r>
    </w:p>
    <w:p w14:paraId="7244B25D" w14:textId="77777777" w:rsidR="00B33C9A" w:rsidRPr="00B33C9A" w:rsidRDefault="00B33C9A" w:rsidP="00B33C9A">
      <w:pPr>
        <w:spacing w:line="360" w:lineRule="auto"/>
        <w:jc w:val="both"/>
        <w:rPr>
          <w:lang w:val="es-PE" w:eastAsia="es-ES"/>
        </w:rPr>
      </w:pPr>
      <w:bookmarkStart w:id="13" w:name="_heading=h.1egqt2p" w:colFirst="0" w:colLast="0"/>
      <w:bookmarkEnd w:id="13"/>
      <w:r w:rsidRPr="00B33C9A">
        <w:rPr>
          <w:lang w:val="es-PE" w:eastAsia="es-ES"/>
        </w:rPr>
        <w:t xml:space="preserve">En la tabla 1 se muestran los resultados promedios del diámetro de las zonas de inhibición generados por los enjuagues bucales a base de 25 mg/mL y 50 mg/mL de extracto </w:t>
      </w:r>
      <w:proofErr w:type="spellStart"/>
      <w:r w:rsidRPr="00B33C9A">
        <w:rPr>
          <w:lang w:val="es-PE" w:eastAsia="es-ES"/>
        </w:rPr>
        <w:t>hidroetanólico</w:t>
      </w:r>
      <w:proofErr w:type="spellEnd"/>
      <w:r w:rsidRPr="00B33C9A">
        <w:rPr>
          <w:lang w:val="es-PE" w:eastAsia="es-ES"/>
        </w:rPr>
        <w:t xml:space="preserve"> de </w:t>
      </w:r>
      <w:proofErr w:type="spellStart"/>
      <w:r w:rsidRPr="00B33C9A">
        <w:rPr>
          <w:lang w:val="es-PE" w:eastAsia="es-ES"/>
        </w:rPr>
        <w:t>neem</w:t>
      </w:r>
      <w:proofErr w:type="spellEnd"/>
      <w:r w:rsidRPr="00B33C9A">
        <w:rPr>
          <w:lang w:val="es-PE" w:eastAsia="es-ES"/>
        </w:rPr>
        <w:t xml:space="preserve"> sobre </w:t>
      </w:r>
      <w:r w:rsidRPr="00B33C9A">
        <w:rPr>
          <w:i/>
          <w:iCs/>
          <w:lang w:val="es-PE" w:eastAsia="es-ES"/>
        </w:rPr>
        <w:t>S. mutans</w:t>
      </w:r>
      <w:r w:rsidRPr="00B33C9A">
        <w:rPr>
          <w:lang w:val="es-PE" w:eastAsia="es-ES"/>
        </w:rPr>
        <w:t xml:space="preserve"> ATCC</w:t>
      </w:r>
      <w:r w:rsidRPr="00B33C9A">
        <w:rPr>
          <w:vertAlign w:val="superscript"/>
          <w:lang w:val="es-PE" w:eastAsia="es-ES"/>
        </w:rPr>
        <w:t>®</w:t>
      </w:r>
      <w:r w:rsidRPr="00B33C9A">
        <w:rPr>
          <w:lang w:val="es-PE" w:eastAsia="es-ES"/>
        </w:rPr>
        <w:t>35668</w:t>
      </w:r>
      <w:r w:rsidRPr="00B33C9A">
        <w:rPr>
          <w:vertAlign w:val="superscript"/>
          <w:lang w:val="es-PE" w:eastAsia="es-ES"/>
        </w:rPr>
        <w:t>TM</w:t>
      </w:r>
      <w:r w:rsidRPr="00B33C9A">
        <w:rPr>
          <w:lang w:val="es-PE" w:eastAsia="es-ES"/>
        </w:rPr>
        <w:t xml:space="preserve">. Los resultados muestran diferencias estadísticamente significativas entre todos los tratamientos evaluados (p&lt; 0,05). La efectividad de los enjuagues bucales con 25 mg/mL y 50 mg/mL de extracto </w:t>
      </w:r>
      <w:proofErr w:type="spellStart"/>
      <w:r w:rsidRPr="00B33C9A">
        <w:rPr>
          <w:lang w:val="es-PE" w:eastAsia="es-ES"/>
        </w:rPr>
        <w:t>hidroetanólico</w:t>
      </w:r>
      <w:proofErr w:type="spellEnd"/>
      <w:r w:rsidRPr="00B33C9A">
        <w:rPr>
          <w:lang w:val="es-PE" w:eastAsia="es-ES"/>
        </w:rPr>
        <w:t xml:space="preserve"> de </w:t>
      </w:r>
      <w:proofErr w:type="spellStart"/>
      <w:r w:rsidRPr="00B33C9A">
        <w:rPr>
          <w:lang w:val="es-PE" w:eastAsia="es-ES"/>
        </w:rPr>
        <w:t>neem</w:t>
      </w:r>
      <w:proofErr w:type="spellEnd"/>
      <w:r w:rsidRPr="00B33C9A">
        <w:rPr>
          <w:lang w:val="es-PE" w:eastAsia="es-ES"/>
        </w:rPr>
        <w:t xml:space="preserve"> fue superior al del control positivo clorhexidina 0,12 %. </w:t>
      </w:r>
    </w:p>
    <w:p w14:paraId="507B8711" w14:textId="77777777" w:rsidR="00B33C9A" w:rsidRPr="00B33C9A" w:rsidRDefault="00B33C9A" w:rsidP="00B33C9A">
      <w:pPr>
        <w:spacing w:line="360" w:lineRule="auto"/>
        <w:jc w:val="both"/>
        <w:rPr>
          <w:lang w:val="es-PE" w:eastAsia="es-ES"/>
        </w:rPr>
      </w:pPr>
    </w:p>
    <w:p w14:paraId="2DF9815A" w14:textId="78426C84" w:rsidR="00B33C9A" w:rsidRPr="00B33C9A" w:rsidRDefault="00B33C9A" w:rsidP="00B33C9A">
      <w:pPr>
        <w:spacing w:line="360" w:lineRule="auto"/>
        <w:jc w:val="center"/>
        <w:rPr>
          <w:lang w:val="es-PE" w:eastAsia="es-ES"/>
        </w:rPr>
      </w:pPr>
      <w:r>
        <w:rPr>
          <w:b/>
          <w:bCs/>
          <w:sz w:val="22"/>
          <w:szCs w:val="22"/>
          <w:lang w:val="es-PE" w:eastAsia="es-ES"/>
        </w:rPr>
        <w:br w:type="page"/>
      </w:r>
      <w:r w:rsidRPr="00B33C9A">
        <w:rPr>
          <w:b/>
          <w:bCs/>
          <w:sz w:val="22"/>
          <w:szCs w:val="22"/>
          <w:lang w:val="es-PE" w:eastAsia="es-ES"/>
        </w:rPr>
        <w:lastRenderedPageBreak/>
        <w:t>Tabla 1 -</w:t>
      </w:r>
      <w:r w:rsidRPr="00B33C9A">
        <w:rPr>
          <w:sz w:val="22"/>
          <w:szCs w:val="22"/>
          <w:lang w:val="es-PE" w:eastAsia="es-ES"/>
        </w:rPr>
        <w:t xml:space="preserve"> </w:t>
      </w:r>
      <w:bookmarkStart w:id="14" w:name="_Hlk108952581"/>
      <w:r w:rsidRPr="00B33C9A">
        <w:rPr>
          <w:sz w:val="22"/>
          <w:szCs w:val="22"/>
          <w:lang w:val="es-PE" w:eastAsia="es-ES"/>
        </w:rPr>
        <w:t xml:space="preserve">Potencial antibacteriano de un enjuague bucal con concentraciones de 25 mg/mL y 50 mg/mL de extracto </w:t>
      </w:r>
      <w:proofErr w:type="spellStart"/>
      <w:r w:rsidRPr="00B33C9A">
        <w:rPr>
          <w:sz w:val="22"/>
          <w:szCs w:val="22"/>
          <w:lang w:val="es-PE" w:eastAsia="es-ES"/>
        </w:rPr>
        <w:t>hidroetanólico</w:t>
      </w:r>
      <w:proofErr w:type="spellEnd"/>
      <w:r w:rsidRPr="00B33C9A">
        <w:rPr>
          <w:sz w:val="22"/>
          <w:szCs w:val="22"/>
          <w:lang w:val="es-PE" w:eastAsia="es-ES"/>
        </w:rPr>
        <w:t xml:space="preserve"> de </w:t>
      </w:r>
      <w:r w:rsidRPr="00B33C9A">
        <w:rPr>
          <w:i/>
          <w:iCs/>
          <w:sz w:val="22"/>
          <w:szCs w:val="22"/>
          <w:lang w:val="es-PE" w:eastAsia="es-ES"/>
        </w:rPr>
        <w:t>A. indica</w:t>
      </w:r>
      <w:r w:rsidRPr="00B33C9A">
        <w:rPr>
          <w:sz w:val="22"/>
          <w:szCs w:val="22"/>
          <w:lang w:val="es-PE" w:eastAsia="es-ES"/>
        </w:rPr>
        <w:t xml:space="preserve"> (</w:t>
      </w:r>
      <w:proofErr w:type="spellStart"/>
      <w:r w:rsidRPr="00B33C9A">
        <w:rPr>
          <w:sz w:val="22"/>
          <w:szCs w:val="22"/>
          <w:lang w:val="es-PE" w:eastAsia="es-ES"/>
        </w:rPr>
        <w:t>neem</w:t>
      </w:r>
      <w:proofErr w:type="spellEnd"/>
      <w:r w:rsidRPr="00B33C9A">
        <w:rPr>
          <w:sz w:val="22"/>
          <w:szCs w:val="22"/>
          <w:lang w:val="es-PE" w:eastAsia="es-ES"/>
        </w:rPr>
        <w:t xml:space="preserve">) sobre </w:t>
      </w:r>
      <w:r w:rsidRPr="00B33C9A">
        <w:rPr>
          <w:i/>
          <w:iCs/>
          <w:sz w:val="22"/>
          <w:szCs w:val="22"/>
          <w:lang w:val="es-PE" w:eastAsia="es-ES"/>
        </w:rPr>
        <w:t>S. mutans</w:t>
      </w:r>
      <w:r w:rsidRPr="00B33C9A">
        <w:rPr>
          <w:sz w:val="22"/>
          <w:szCs w:val="22"/>
          <w:lang w:val="es-PE" w:eastAsia="es-ES"/>
        </w:rPr>
        <w:t xml:space="preserve"> ATCC</w:t>
      </w:r>
      <w:r w:rsidRPr="00B33C9A">
        <w:rPr>
          <w:sz w:val="22"/>
          <w:szCs w:val="22"/>
          <w:vertAlign w:val="superscript"/>
          <w:lang w:val="es-PE" w:eastAsia="es-ES"/>
        </w:rPr>
        <w:t>®</w:t>
      </w:r>
      <w:r w:rsidRPr="00B33C9A">
        <w:rPr>
          <w:sz w:val="22"/>
          <w:szCs w:val="22"/>
          <w:lang w:val="es-PE" w:eastAsia="es-ES"/>
        </w:rPr>
        <w:t>35668</w:t>
      </w:r>
      <w:r w:rsidRPr="00B33C9A">
        <w:rPr>
          <w:sz w:val="22"/>
          <w:szCs w:val="22"/>
          <w:vertAlign w:val="superscript"/>
          <w:lang w:val="es-PE" w:eastAsia="es-ES"/>
        </w:rPr>
        <w:t>TM</w:t>
      </w:r>
    </w:p>
    <w:bookmarkEnd w:id="14"/>
    <w:p w14:paraId="57E41BEE" w14:textId="40C4595A" w:rsidR="00B33C9A" w:rsidRPr="00B33C9A" w:rsidRDefault="00B33C9A" w:rsidP="00B33C9A">
      <w:pPr>
        <w:spacing w:line="360" w:lineRule="auto"/>
        <w:jc w:val="center"/>
        <w:rPr>
          <w:sz w:val="16"/>
          <w:szCs w:val="16"/>
          <w:lang w:val="es-PE" w:eastAsia="es-ES"/>
        </w:rPr>
      </w:pPr>
      <w:r w:rsidRPr="00B33C9A">
        <w:rPr>
          <w:noProof/>
          <w:sz w:val="16"/>
          <w:szCs w:val="16"/>
          <w:lang w:val="es-PE" w:eastAsia="es-ES"/>
        </w:rPr>
        <w:drawing>
          <wp:inline distT="0" distB="0" distL="0" distR="0" wp14:anchorId="198C20AF" wp14:editId="7BBDF09B">
            <wp:extent cx="5106670" cy="292417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6670" cy="2924175"/>
                    </a:xfrm>
                    <a:prstGeom prst="rect">
                      <a:avLst/>
                    </a:prstGeom>
                    <a:noFill/>
                    <a:ln>
                      <a:noFill/>
                    </a:ln>
                  </pic:spPr>
                </pic:pic>
              </a:graphicData>
            </a:graphic>
          </wp:inline>
        </w:drawing>
      </w:r>
    </w:p>
    <w:p w14:paraId="6510692D" w14:textId="77777777" w:rsidR="00B33C9A" w:rsidRPr="00B33C9A" w:rsidRDefault="00B33C9A" w:rsidP="00B33C9A">
      <w:pPr>
        <w:spacing w:line="360" w:lineRule="auto"/>
        <w:jc w:val="center"/>
        <w:rPr>
          <w:sz w:val="16"/>
          <w:szCs w:val="16"/>
          <w:lang w:val="es-PE" w:eastAsia="es-ES"/>
        </w:rPr>
      </w:pPr>
      <w:r w:rsidRPr="00B33C9A">
        <w:rPr>
          <w:sz w:val="16"/>
          <w:szCs w:val="16"/>
          <w:lang w:val="es-PE" w:eastAsia="es-ES"/>
        </w:rPr>
        <w:t>*Desviación estándar</w:t>
      </w:r>
    </w:p>
    <w:p w14:paraId="419FDCE2" w14:textId="77777777" w:rsidR="00B33C9A" w:rsidRPr="00B33C9A" w:rsidRDefault="00B33C9A" w:rsidP="00B33C9A">
      <w:pPr>
        <w:spacing w:line="360" w:lineRule="auto"/>
        <w:jc w:val="center"/>
        <w:rPr>
          <w:sz w:val="16"/>
          <w:szCs w:val="16"/>
          <w:lang w:val="es-PE" w:eastAsia="es-ES"/>
        </w:rPr>
      </w:pPr>
      <w:r w:rsidRPr="00B33C9A">
        <w:rPr>
          <w:sz w:val="16"/>
          <w:szCs w:val="16"/>
          <w:lang w:val="es-PE" w:eastAsia="es-ES"/>
        </w:rPr>
        <w:t xml:space="preserve">** Sig. </w:t>
      </w:r>
      <w:proofErr w:type="spellStart"/>
      <w:r w:rsidRPr="00B33C9A">
        <w:rPr>
          <w:sz w:val="16"/>
          <w:szCs w:val="16"/>
          <w:lang w:val="es-PE" w:eastAsia="es-ES"/>
        </w:rPr>
        <w:t>HDS</w:t>
      </w:r>
      <w:proofErr w:type="spellEnd"/>
      <w:r w:rsidRPr="00B33C9A">
        <w:rPr>
          <w:sz w:val="16"/>
          <w:szCs w:val="16"/>
          <w:lang w:val="es-PE" w:eastAsia="es-ES"/>
        </w:rPr>
        <w:t xml:space="preserve"> Tukey</w:t>
      </w:r>
    </w:p>
    <w:p w14:paraId="2CE99568" w14:textId="77777777" w:rsidR="00B33C9A" w:rsidRPr="00B33C9A" w:rsidRDefault="00B33C9A" w:rsidP="00B33C9A">
      <w:pPr>
        <w:spacing w:line="360" w:lineRule="auto"/>
        <w:jc w:val="center"/>
        <w:rPr>
          <w:sz w:val="16"/>
          <w:szCs w:val="16"/>
          <w:lang w:val="es-PE" w:eastAsia="es-ES"/>
        </w:rPr>
      </w:pPr>
      <w:r w:rsidRPr="00B33C9A">
        <w:rPr>
          <w:sz w:val="16"/>
          <w:szCs w:val="16"/>
          <w:lang w:val="es-PE" w:eastAsia="es-ES"/>
        </w:rPr>
        <w:t>EB: Enjuague bucal; CHX: Clorhexidina.</w:t>
      </w:r>
    </w:p>
    <w:p w14:paraId="18157F51" w14:textId="77777777" w:rsidR="00B33C9A" w:rsidRPr="00B33C9A" w:rsidRDefault="00B33C9A" w:rsidP="00B33C9A">
      <w:pPr>
        <w:spacing w:line="360" w:lineRule="auto"/>
        <w:jc w:val="center"/>
        <w:rPr>
          <w:sz w:val="16"/>
          <w:szCs w:val="16"/>
          <w:lang w:val="es-PE" w:eastAsia="es-ES"/>
        </w:rPr>
      </w:pPr>
    </w:p>
    <w:p w14:paraId="0BC1F350" w14:textId="490FBDE7" w:rsidR="00B33C9A" w:rsidRPr="00B33C9A" w:rsidRDefault="00B33C9A" w:rsidP="00B33C9A">
      <w:pPr>
        <w:spacing w:line="360" w:lineRule="auto"/>
        <w:jc w:val="both"/>
        <w:rPr>
          <w:lang w:val="es-PE" w:eastAsia="es-ES"/>
        </w:rPr>
      </w:pPr>
      <w:r w:rsidRPr="00B33C9A">
        <w:rPr>
          <w:lang w:val="es-PE" w:eastAsia="es-ES"/>
        </w:rPr>
        <w:t xml:space="preserve">En la tabla 2 se observan los promedios de diámetros de las zonas de inhibición de los enjuagues bucales a base de 25 mg/mL y 50 mg/mL de extracto </w:t>
      </w:r>
      <w:proofErr w:type="spellStart"/>
      <w:r w:rsidRPr="00B33C9A">
        <w:rPr>
          <w:lang w:val="es-PE" w:eastAsia="es-ES"/>
        </w:rPr>
        <w:t>hidroetanólico</w:t>
      </w:r>
      <w:proofErr w:type="spellEnd"/>
      <w:r w:rsidRPr="00B33C9A">
        <w:rPr>
          <w:lang w:val="es-PE" w:eastAsia="es-ES"/>
        </w:rPr>
        <w:t xml:space="preserve"> de </w:t>
      </w:r>
      <w:proofErr w:type="spellStart"/>
      <w:r w:rsidRPr="00B33C9A">
        <w:rPr>
          <w:lang w:val="es-PE" w:eastAsia="es-ES"/>
        </w:rPr>
        <w:t>neem</w:t>
      </w:r>
      <w:proofErr w:type="spellEnd"/>
      <w:r w:rsidRPr="00B33C9A">
        <w:rPr>
          <w:lang w:val="es-PE" w:eastAsia="es-ES"/>
        </w:rPr>
        <w:t xml:space="preserve"> sobre </w:t>
      </w:r>
      <w:r w:rsidRPr="00B33C9A">
        <w:rPr>
          <w:i/>
          <w:lang w:val="es-PE" w:eastAsia="es-ES"/>
        </w:rPr>
        <w:t xml:space="preserve">E. </w:t>
      </w:r>
      <w:proofErr w:type="spellStart"/>
      <w:r w:rsidRPr="00B33C9A">
        <w:rPr>
          <w:i/>
          <w:lang w:val="es-PE" w:eastAsia="es-ES"/>
        </w:rPr>
        <w:t>faecalis</w:t>
      </w:r>
      <w:proofErr w:type="spellEnd"/>
      <w:r w:rsidRPr="00B33C9A">
        <w:rPr>
          <w:i/>
          <w:lang w:val="es-PE" w:eastAsia="es-ES"/>
        </w:rPr>
        <w:t xml:space="preserve"> </w:t>
      </w:r>
      <w:proofErr w:type="spellStart"/>
      <w:r w:rsidRPr="00B33C9A">
        <w:rPr>
          <w:lang w:val="es-PE" w:eastAsia="es-ES"/>
        </w:rPr>
        <w:t>ATCC</w:t>
      </w:r>
      <w:r w:rsidRPr="00B33C9A">
        <w:rPr>
          <w:vertAlign w:val="superscript"/>
          <w:lang w:val="es-PE" w:eastAsia="es-ES"/>
        </w:rPr>
        <w:t>®</w:t>
      </w:r>
      <w:r w:rsidRPr="00B33C9A">
        <w:rPr>
          <w:lang w:val="es-PE" w:eastAsia="es-ES"/>
        </w:rPr>
        <w:t>29212</w:t>
      </w:r>
      <w:r w:rsidRPr="00B33C9A">
        <w:rPr>
          <w:vertAlign w:val="superscript"/>
          <w:lang w:val="es-PE" w:eastAsia="es-ES"/>
        </w:rPr>
        <w:t>TM</w:t>
      </w:r>
      <w:proofErr w:type="spellEnd"/>
      <w:r w:rsidRPr="00B33C9A">
        <w:rPr>
          <w:lang w:val="es-PE" w:eastAsia="es-ES"/>
        </w:rPr>
        <w:t xml:space="preserve">. Se aprecian diferencias estadísticamente significativas en la mayoría de tratamientos evaluados (p&lt; 0,05), excepto entre la clorhexidina 0,12 % y el enjuague bucal con 25 mg/mL de </w:t>
      </w:r>
      <w:proofErr w:type="spellStart"/>
      <w:r w:rsidRPr="00B33C9A">
        <w:rPr>
          <w:lang w:val="es-PE" w:eastAsia="es-ES"/>
        </w:rPr>
        <w:t>neem</w:t>
      </w:r>
      <w:proofErr w:type="spellEnd"/>
      <w:r w:rsidRPr="00B33C9A">
        <w:rPr>
          <w:lang w:val="es-PE" w:eastAsia="es-ES"/>
        </w:rPr>
        <w:t>. Ver figura</w:t>
      </w:r>
      <w:r w:rsidR="008F6137">
        <w:rPr>
          <w:lang w:val="es-PE" w:eastAsia="es-ES"/>
        </w:rPr>
        <w:t> </w:t>
      </w:r>
      <w:r w:rsidRPr="00B33C9A">
        <w:rPr>
          <w:lang w:val="es-PE" w:eastAsia="es-ES"/>
        </w:rPr>
        <w:t xml:space="preserve">1. </w:t>
      </w:r>
    </w:p>
    <w:p w14:paraId="2A9FEFF9" w14:textId="77777777" w:rsidR="00B33C9A" w:rsidRPr="00B33C9A" w:rsidRDefault="00B33C9A" w:rsidP="00B33C9A">
      <w:pPr>
        <w:spacing w:line="360" w:lineRule="auto"/>
        <w:jc w:val="both"/>
        <w:rPr>
          <w:i/>
          <w:lang w:val="es-PE" w:eastAsia="es-ES"/>
        </w:rPr>
      </w:pPr>
    </w:p>
    <w:p w14:paraId="54C5E7DE" w14:textId="77777777" w:rsidR="00B33C9A" w:rsidRPr="00B33C9A" w:rsidRDefault="00B33C9A" w:rsidP="00B33C9A">
      <w:pPr>
        <w:spacing w:line="360" w:lineRule="auto"/>
        <w:jc w:val="both"/>
        <w:rPr>
          <w:i/>
          <w:lang w:val="es-PE" w:eastAsia="es-ES"/>
        </w:rPr>
      </w:pPr>
    </w:p>
    <w:p w14:paraId="475D0345" w14:textId="77777777" w:rsidR="00B33C9A" w:rsidRPr="00B33C9A" w:rsidRDefault="00B33C9A" w:rsidP="00B33C9A">
      <w:pPr>
        <w:spacing w:line="360" w:lineRule="auto"/>
        <w:jc w:val="both"/>
        <w:rPr>
          <w:i/>
          <w:lang w:val="es-PE" w:eastAsia="es-ES"/>
        </w:rPr>
      </w:pPr>
    </w:p>
    <w:p w14:paraId="56533CD1" w14:textId="2749F612" w:rsidR="00B33C9A" w:rsidRPr="00B33C9A" w:rsidRDefault="00B33C9A" w:rsidP="00B33C9A">
      <w:pPr>
        <w:spacing w:line="360" w:lineRule="auto"/>
        <w:jc w:val="center"/>
        <w:rPr>
          <w:sz w:val="22"/>
          <w:szCs w:val="22"/>
          <w:lang w:val="es-PE" w:eastAsia="es-ES"/>
        </w:rPr>
      </w:pPr>
      <w:r>
        <w:rPr>
          <w:b/>
          <w:bCs/>
          <w:sz w:val="22"/>
          <w:szCs w:val="22"/>
          <w:lang w:val="es-PE" w:eastAsia="es-ES"/>
        </w:rPr>
        <w:br w:type="page"/>
      </w:r>
      <w:r w:rsidRPr="00B33C9A">
        <w:rPr>
          <w:b/>
          <w:bCs/>
          <w:sz w:val="22"/>
          <w:szCs w:val="22"/>
          <w:lang w:val="es-PE" w:eastAsia="es-ES"/>
        </w:rPr>
        <w:lastRenderedPageBreak/>
        <w:t xml:space="preserve">Tabla 2 - </w:t>
      </w:r>
      <w:r w:rsidRPr="00B33C9A">
        <w:rPr>
          <w:sz w:val="22"/>
          <w:szCs w:val="22"/>
          <w:lang w:val="es-PE" w:eastAsia="es-ES"/>
        </w:rPr>
        <w:t xml:space="preserve">Potencial antibacteriano de un enjuague bucal con concentraciones de 25 mg/mL y 50 mg/mL de extracto </w:t>
      </w:r>
      <w:proofErr w:type="spellStart"/>
      <w:r w:rsidRPr="00B33C9A">
        <w:rPr>
          <w:sz w:val="22"/>
          <w:szCs w:val="22"/>
          <w:lang w:val="es-PE" w:eastAsia="es-ES"/>
        </w:rPr>
        <w:t>hidroetanólico</w:t>
      </w:r>
      <w:proofErr w:type="spellEnd"/>
      <w:r w:rsidRPr="00B33C9A">
        <w:rPr>
          <w:sz w:val="22"/>
          <w:szCs w:val="22"/>
          <w:lang w:val="es-PE" w:eastAsia="es-ES"/>
        </w:rPr>
        <w:t xml:space="preserve"> de </w:t>
      </w:r>
      <w:r w:rsidRPr="00B33C9A">
        <w:rPr>
          <w:i/>
          <w:iCs/>
          <w:sz w:val="22"/>
          <w:szCs w:val="22"/>
          <w:lang w:val="es-PE" w:eastAsia="es-ES"/>
        </w:rPr>
        <w:t>A. indica</w:t>
      </w:r>
      <w:r w:rsidRPr="00B33C9A">
        <w:rPr>
          <w:sz w:val="22"/>
          <w:szCs w:val="22"/>
          <w:lang w:val="es-PE" w:eastAsia="es-ES"/>
        </w:rPr>
        <w:t xml:space="preserve"> (</w:t>
      </w:r>
      <w:proofErr w:type="spellStart"/>
      <w:r w:rsidRPr="00B33C9A">
        <w:rPr>
          <w:sz w:val="22"/>
          <w:szCs w:val="22"/>
          <w:lang w:val="es-PE" w:eastAsia="es-ES"/>
        </w:rPr>
        <w:t>neem</w:t>
      </w:r>
      <w:proofErr w:type="spellEnd"/>
      <w:r w:rsidRPr="00B33C9A">
        <w:rPr>
          <w:sz w:val="22"/>
          <w:szCs w:val="22"/>
          <w:lang w:val="es-PE" w:eastAsia="es-ES"/>
        </w:rPr>
        <w:t xml:space="preserve">) sobre </w:t>
      </w:r>
      <w:r w:rsidRPr="00B33C9A">
        <w:rPr>
          <w:i/>
          <w:sz w:val="22"/>
          <w:szCs w:val="22"/>
          <w:lang w:val="es-PE" w:eastAsia="es-ES"/>
        </w:rPr>
        <w:t xml:space="preserve">E. </w:t>
      </w:r>
      <w:proofErr w:type="spellStart"/>
      <w:r w:rsidRPr="00B33C9A">
        <w:rPr>
          <w:i/>
          <w:sz w:val="22"/>
          <w:szCs w:val="22"/>
          <w:lang w:val="es-PE" w:eastAsia="es-ES"/>
        </w:rPr>
        <w:t>faecalis</w:t>
      </w:r>
      <w:proofErr w:type="spellEnd"/>
      <w:r w:rsidRPr="00B33C9A">
        <w:rPr>
          <w:i/>
          <w:sz w:val="22"/>
          <w:szCs w:val="22"/>
          <w:lang w:val="es-PE" w:eastAsia="es-ES"/>
        </w:rPr>
        <w:t xml:space="preserve"> </w:t>
      </w:r>
      <w:proofErr w:type="spellStart"/>
      <w:r w:rsidRPr="00B33C9A">
        <w:rPr>
          <w:iCs/>
          <w:sz w:val="22"/>
          <w:szCs w:val="22"/>
          <w:lang w:val="es-PE" w:eastAsia="es-ES"/>
        </w:rPr>
        <w:t>ATCC</w:t>
      </w:r>
      <w:r w:rsidRPr="00B33C9A">
        <w:rPr>
          <w:iCs/>
          <w:sz w:val="22"/>
          <w:szCs w:val="22"/>
          <w:vertAlign w:val="superscript"/>
          <w:lang w:val="es-PE" w:eastAsia="es-ES"/>
        </w:rPr>
        <w:t>®</w:t>
      </w:r>
      <w:r w:rsidRPr="00B33C9A">
        <w:rPr>
          <w:sz w:val="22"/>
          <w:szCs w:val="22"/>
          <w:lang w:val="es-PE" w:eastAsia="es-ES"/>
        </w:rPr>
        <w:t>29212</w:t>
      </w:r>
      <w:r w:rsidRPr="00B33C9A">
        <w:rPr>
          <w:sz w:val="22"/>
          <w:szCs w:val="22"/>
          <w:vertAlign w:val="superscript"/>
          <w:lang w:val="es-PE" w:eastAsia="es-ES"/>
        </w:rPr>
        <w:t>TM</w:t>
      </w:r>
      <w:proofErr w:type="spellEnd"/>
    </w:p>
    <w:p w14:paraId="5250F418" w14:textId="0097E1F5" w:rsidR="00B33C9A" w:rsidRPr="00B33C9A" w:rsidRDefault="00B33C9A" w:rsidP="00B33C9A">
      <w:pPr>
        <w:spacing w:line="360" w:lineRule="auto"/>
        <w:jc w:val="center"/>
        <w:rPr>
          <w:sz w:val="16"/>
          <w:szCs w:val="16"/>
          <w:lang w:val="es-PE" w:eastAsia="es-ES"/>
        </w:rPr>
      </w:pPr>
      <w:r w:rsidRPr="00B33C9A">
        <w:rPr>
          <w:noProof/>
          <w:sz w:val="16"/>
          <w:szCs w:val="16"/>
          <w:lang w:val="es-PE" w:eastAsia="es-ES"/>
        </w:rPr>
        <w:drawing>
          <wp:inline distT="0" distB="0" distL="0" distR="0" wp14:anchorId="2FCEA4A7" wp14:editId="1A77CA48">
            <wp:extent cx="5607050" cy="2933065"/>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0" cy="2933065"/>
                    </a:xfrm>
                    <a:prstGeom prst="rect">
                      <a:avLst/>
                    </a:prstGeom>
                    <a:noFill/>
                    <a:ln>
                      <a:noFill/>
                    </a:ln>
                  </pic:spPr>
                </pic:pic>
              </a:graphicData>
            </a:graphic>
          </wp:inline>
        </w:drawing>
      </w:r>
    </w:p>
    <w:p w14:paraId="06B11237" w14:textId="77777777" w:rsidR="00B33C9A" w:rsidRPr="00B33C9A" w:rsidRDefault="00B33C9A" w:rsidP="00B33C9A">
      <w:pPr>
        <w:spacing w:line="360" w:lineRule="auto"/>
        <w:jc w:val="center"/>
        <w:rPr>
          <w:sz w:val="16"/>
          <w:szCs w:val="16"/>
          <w:lang w:val="es-PE" w:eastAsia="es-ES"/>
        </w:rPr>
      </w:pPr>
      <w:r w:rsidRPr="00B33C9A">
        <w:rPr>
          <w:sz w:val="16"/>
          <w:szCs w:val="16"/>
          <w:lang w:val="es-PE" w:eastAsia="es-ES"/>
        </w:rPr>
        <w:t>*Desviación estándar</w:t>
      </w:r>
    </w:p>
    <w:p w14:paraId="5214851F" w14:textId="77777777" w:rsidR="00B33C9A" w:rsidRPr="00B33C9A" w:rsidRDefault="00B33C9A" w:rsidP="00B33C9A">
      <w:pPr>
        <w:spacing w:line="360" w:lineRule="auto"/>
        <w:jc w:val="center"/>
        <w:rPr>
          <w:sz w:val="16"/>
          <w:szCs w:val="16"/>
          <w:lang w:val="es-PE" w:eastAsia="es-ES"/>
        </w:rPr>
      </w:pPr>
      <w:r w:rsidRPr="00B33C9A">
        <w:rPr>
          <w:sz w:val="16"/>
          <w:szCs w:val="16"/>
          <w:lang w:val="es-PE" w:eastAsia="es-ES"/>
        </w:rPr>
        <w:t xml:space="preserve">** Sig. </w:t>
      </w:r>
      <w:proofErr w:type="spellStart"/>
      <w:r w:rsidRPr="00B33C9A">
        <w:rPr>
          <w:sz w:val="16"/>
          <w:szCs w:val="16"/>
          <w:lang w:val="es-PE" w:eastAsia="es-ES"/>
        </w:rPr>
        <w:t>HDS</w:t>
      </w:r>
      <w:proofErr w:type="spellEnd"/>
      <w:r w:rsidRPr="00B33C9A">
        <w:rPr>
          <w:sz w:val="16"/>
          <w:szCs w:val="16"/>
          <w:lang w:val="es-PE" w:eastAsia="es-ES"/>
        </w:rPr>
        <w:t xml:space="preserve"> Tukey</w:t>
      </w:r>
    </w:p>
    <w:p w14:paraId="7843D87D" w14:textId="77777777" w:rsidR="00B33C9A" w:rsidRPr="00B33C9A" w:rsidRDefault="00B33C9A" w:rsidP="00B33C9A">
      <w:pPr>
        <w:spacing w:line="360" w:lineRule="auto"/>
        <w:jc w:val="center"/>
        <w:rPr>
          <w:sz w:val="16"/>
          <w:szCs w:val="16"/>
          <w:lang w:val="es-PE" w:eastAsia="es-ES"/>
        </w:rPr>
      </w:pPr>
      <w:r w:rsidRPr="00B33C9A">
        <w:rPr>
          <w:sz w:val="16"/>
          <w:szCs w:val="16"/>
          <w:lang w:val="es-PE" w:eastAsia="es-ES"/>
        </w:rPr>
        <w:t>EB: Enjuague bucal; CHX: Clorhexidina.</w:t>
      </w:r>
    </w:p>
    <w:p w14:paraId="5DD538A2" w14:textId="77777777" w:rsidR="00B33C9A" w:rsidRPr="00B33C9A" w:rsidRDefault="00B33C9A" w:rsidP="00B33C9A">
      <w:pPr>
        <w:spacing w:line="360" w:lineRule="auto"/>
        <w:jc w:val="center"/>
        <w:rPr>
          <w:rFonts w:ascii="Verdana" w:hAnsi="Verdana"/>
          <w:sz w:val="20"/>
          <w:szCs w:val="20"/>
          <w:lang w:val="es-PE" w:eastAsia="es-ES"/>
        </w:rPr>
      </w:pPr>
    </w:p>
    <w:p w14:paraId="57EA7731" w14:textId="2E0DE195" w:rsidR="00B33C9A" w:rsidRPr="00B33C9A" w:rsidRDefault="00B33C9A" w:rsidP="00B33C9A">
      <w:pPr>
        <w:spacing w:after="200" w:line="276" w:lineRule="auto"/>
        <w:jc w:val="center"/>
        <w:rPr>
          <w:b/>
          <w:bCs/>
          <w:sz w:val="22"/>
          <w:szCs w:val="22"/>
          <w:lang w:val="es-PE" w:eastAsia="es-ES"/>
        </w:rPr>
      </w:pPr>
      <w:r w:rsidRPr="00B33C9A">
        <w:rPr>
          <w:b/>
          <w:noProof/>
          <w:sz w:val="22"/>
          <w:szCs w:val="22"/>
          <w:lang w:val="es-PE" w:eastAsia="es-ES"/>
        </w:rPr>
        <w:drawing>
          <wp:inline distT="0" distB="0" distL="0" distR="0" wp14:anchorId="258F74A9" wp14:editId="68235201">
            <wp:extent cx="4951730" cy="244983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1730" cy="2449830"/>
                    </a:xfrm>
                    <a:prstGeom prst="rect">
                      <a:avLst/>
                    </a:prstGeom>
                    <a:noFill/>
                    <a:ln>
                      <a:noFill/>
                    </a:ln>
                  </pic:spPr>
                </pic:pic>
              </a:graphicData>
            </a:graphic>
          </wp:inline>
        </w:drawing>
      </w:r>
    </w:p>
    <w:p w14:paraId="58EB728F" w14:textId="77777777" w:rsidR="00B33C9A" w:rsidRPr="00B33C9A" w:rsidRDefault="00B33C9A" w:rsidP="00B33C9A">
      <w:pPr>
        <w:spacing w:after="200" w:line="276" w:lineRule="auto"/>
        <w:jc w:val="center"/>
        <w:rPr>
          <w:lang w:val="es-PE" w:eastAsia="es-ES"/>
        </w:rPr>
      </w:pPr>
      <w:r w:rsidRPr="00B33C9A">
        <w:rPr>
          <w:b/>
          <w:bCs/>
          <w:sz w:val="22"/>
          <w:szCs w:val="22"/>
          <w:lang w:val="es-PE" w:eastAsia="es-ES"/>
        </w:rPr>
        <w:t>Fig. 1 -</w:t>
      </w:r>
      <w:r w:rsidRPr="00B33C9A">
        <w:rPr>
          <w:sz w:val="22"/>
          <w:szCs w:val="22"/>
          <w:lang w:val="es-PE" w:eastAsia="es-ES"/>
        </w:rPr>
        <w:t xml:space="preserve"> Zonas de inhibición de un enjuague bucal con concentraciones de 25 mg/mL y 50 mg/mL y de extracto </w:t>
      </w:r>
      <w:proofErr w:type="spellStart"/>
      <w:r w:rsidRPr="00B33C9A">
        <w:rPr>
          <w:sz w:val="22"/>
          <w:szCs w:val="22"/>
          <w:lang w:val="es-PE" w:eastAsia="es-ES"/>
        </w:rPr>
        <w:t>hidroetanólico</w:t>
      </w:r>
      <w:proofErr w:type="spellEnd"/>
      <w:r w:rsidRPr="00B33C9A">
        <w:rPr>
          <w:sz w:val="22"/>
          <w:szCs w:val="22"/>
          <w:lang w:val="es-PE" w:eastAsia="es-ES"/>
        </w:rPr>
        <w:t xml:space="preserve"> de </w:t>
      </w:r>
      <w:r w:rsidRPr="00B33C9A">
        <w:rPr>
          <w:i/>
          <w:iCs/>
          <w:sz w:val="22"/>
          <w:szCs w:val="22"/>
          <w:lang w:val="es-PE" w:eastAsia="es-ES"/>
        </w:rPr>
        <w:t>A. indica</w:t>
      </w:r>
      <w:r w:rsidRPr="00B33C9A">
        <w:rPr>
          <w:sz w:val="22"/>
          <w:szCs w:val="22"/>
          <w:lang w:val="es-PE" w:eastAsia="es-ES"/>
        </w:rPr>
        <w:t xml:space="preserve"> (</w:t>
      </w:r>
      <w:proofErr w:type="spellStart"/>
      <w:r w:rsidRPr="00B33C9A">
        <w:rPr>
          <w:sz w:val="22"/>
          <w:szCs w:val="22"/>
          <w:lang w:val="es-PE" w:eastAsia="es-ES"/>
        </w:rPr>
        <w:t>neem</w:t>
      </w:r>
      <w:proofErr w:type="spellEnd"/>
      <w:r w:rsidRPr="00B33C9A">
        <w:rPr>
          <w:sz w:val="22"/>
          <w:szCs w:val="22"/>
          <w:lang w:val="es-PE" w:eastAsia="es-ES"/>
        </w:rPr>
        <w:t xml:space="preserve">) sobre </w:t>
      </w:r>
      <w:r w:rsidRPr="00B33C9A">
        <w:rPr>
          <w:i/>
          <w:sz w:val="22"/>
          <w:szCs w:val="22"/>
          <w:lang w:val="es-PE" w:eastAsia="es-ES"/>
        </w:rPr>
        <w:t>S. mutans</w:t>
      </w:r>
      <w:r w:rsidRPr="00B33C9A">
        <w:rPr>
          <w:sz w:val="22"/>
          <w:szCs w:val="22"/>
          <w:lang w:val="es-PE" w:eastAsia="es-ES"/>
        </w:rPr>
        <w:t xml:space="preserve"> </w:t>
      </w:r>
      <w:bookmarkStart w:id="15" w:name="_Hlk132577203"/>
      <w:r w:rsidRPr="00B33C9A">
        <w:rPr>
          <w:sz w:val="22"/>
          <w:szCs w:val="22"/>
          <w:lang w:val="es-PE" w:eastAsia="es-ES"/>
        </w:rPr>
        <w:t>ATCC</w:t>
      </w:r>
      <w:r w:rsidRPr="00B33C9A">
        <w:rPr>
          <w:sz w:val="22"/>
          <w:szCs w:val="22"/>
          <w:vertAlign w:val="superscript"/>
          <w:lang w:val="es-PE" w:eastAsia="es-ES"/>
        </w:rPr>
        <w:t>®</w:t>
      </w:r>
      <w:r w:rsidRPr="00B33C9A">
        <w:rPr>
          <w:sz w:val="22"/>
          <w:szCs w:val="22"/>
          <w:lang w:val="es-PE" w:eastAsia="es-ES"/>
        </w:rPr>
        <w:t>35668</w:t>
      </w:r>
      <w:r w:rsidRPr="00B33C9A">
        <w:rPr>
          <w:sz w:val="22"/>
          <w:szCs w:val="22"/>
          <w:vertAlign w:val="superscript"/>
          <w:lang w:val="es-PE" w:eastAsia="es-ES"/>
        </w:rPr>
        <w:t>TM</w:t>
      </w:r>
      <w:r w:rsidRPr="00B33C9A">
        <w:rPr>
          <w:sz w:val="22"/>
          <w:szCs w:val="22"/>
          <w:lang w:val="es-PE" w:eastAsia="es-ES"/>
        </w:rPr>
        <w:t xml:space="preserve"> y </w:t>
      </w:r>
      <w:r w:rsidRPr="00B33C9A">
        <w:rPr>
          <w:i/>
          <w:iCs/>
          <w:sz w:val="22"/>
          <w:szCs w:val="22"/>
          <w:lang w:val="es-PE" w:eastAsia="es-ES"/>
        </w:rPr>
        <w:t xml:space="preserve">E. </w:t>
      </w:r>
      <w:proofErr w:type="spellStart"/>
      <w:r w:rsidRPr="00B33C9A">
        <w:rPr>
          <w:i/>
          <w:iCs/>
          <w:sz w:val="22"/>
          <w:szCs w:val="22"/>
          <w:lang w:val="es-PE" w:eastAsia="es-ES"/>
        </w:rPr>
        <w:t>faecalis</w:t>
      </w:r>
      <w:proofErr w:type="spellEnd"/>
      <w:r w:rsidRPr="00B33C9A">
        <w:rPr>
          <w:sz w:val="22"/>
          <w:szCs w:val="22"/>
          <w:lang w:val="es-PE" w:eastAsia="es-ES"/>
        </w:rPr>
        <w:t xml:space="preserve"> </w:t>
      </w:r>
      <w:proofErr w:type="spellStart"/>
      <w:r w:rsidRPr="00B33C9A">
        <w:rPr>
          <w:sz w:val="22"/>
          <w:szCs w:val="22"/>
          <w:lang w:val="es-PE" w:eastAsia="es-ES"/>
        </w:rPr>
        <w:t>ATCC</w:t>
      </w:r>
      <w:r w:rsidRPr="00B33C9A">
        <w:rPr>
          <w:sz w:val="22"/>
          <w:szCs w:val="22"/>
          <w:vertAlign w:val="superscript"/>
          <w:lang w:val="es-PE" w:eastAsia="es-ES"/>
        </w:rPr>
        <w:t>®</w:t>
      </w:r>
      <w:r w:rsidRPr="00B33C9A">
        <w:rPr>
          <w:sz w:val="22"/>
          <w:szCs w:val="22"/>
          <w:lang w:val="es-PE" w:eastAsia="es-ES"/>
        </w:rPr>
        <w:t>29212</w:t>
      </w:r>
      <w:r w:rsidRPr="00B33C9A">
        <w:rPr>
          <w:sz w:val="22"/>
          <w:szCs w:val="22"/>
          <w:vertAlign w:val="superscript"/>
          <w:lang w:val="es-PE" w:eastAsia="es-ES"/>
        </w:rPr>
        <w:t>TM</w:t>
      </w:r>
      <w:proofErr w:type="spellEnd"/>
      <w:r w:rsidRPr="00B33C9A">
        <w:rPr>
          <w:sz w:val="22"/>
          <w:szCs w:val="22"/>
          <w:lang w:val="es-PE" w:eastAsia="es-ES"/>
        </w:rPr>
        <w:t>.</w:t>
      </w:r>
    </w:p>
    <w:p w14:paraId="5B96B708" w14:textId="77777777" w:rsidR="00B33C9A" w:rsidRPr="00B33C9A" w:rsidRDefault="00B33C9A" w:rsidP="00B33C9A">
      <w:pPr>
        <w:spacing w:line="360" w:lineRule="auto"/>
        <w:jc w:val="center"/>
        <w:rPr>
          <w:b/>
          <w:bCs/>
          <w:lang w:val="es-PE" w:eastAsia="es-ES"/>
        </w:rPr>
      </w:pPr>
      <w:bookmarkStart w:id="16" w:name="_heading=h.3ygebqi" w:colFirst="0" w:colLast="0"/>
      <w:bookmarkEnd w:id="15"/>
      <w:bookmarkEnd w:id="16"/>
    </w:p>
    <w:p w14:paraId="3FF89B01" w14:textId="77777777" w:rsidR="00B33C9A" w:rsidRPr="00B33C9A" w:rsidRDefault="00B33C9A" w:rsidP="00B33C9A">
      <w:pPr>
        <w:spacing w:line="360" w:lineRule="auto"/>
        <w:jc w:val="center"/>
        <w:rPr>
          <w:b/>
          <w:bCs/>
          <w:sz w:val="32"/>
          <w:szCs w:val="32"/>
          <w:lang w:val="es-PE" w:eastAsia="es-ES"/>
        </w:rPr>
      </w:pPr>
    </w:p>
    <w:p w14:paraId="3F5F3AD2" w14:textId="77777777" w:rsidR="00B33C9A" w:rsidRPr="00B33C9A" w:rsidRDefault="00B33C9A" w:rsidP="00B33C9A">
      <w:pPr>
        <w:spacing w:line="360" w:lineRule="auto"/>
        <w:jc w:val="center"/>
        <w:rPr>
          <w:b/>
          <w:bCs/>
          <w:sz w:val="32"/>
          <w:szCs w:val="32"/>
          <w:u w:val="single"/>
          <w:lang w:val="es-PE" w:eastAsia="es-ES"/>
        </w:rPr>
      </w:pPr>
      <w:r w:rsidRPr="00B33C9A">
        <w:rPr>
          <w:b/>
          <w:bCs/>
          <w:sz w:val="32"/>
          <w:szCs w:val="32"/>
          <w:lang w:val="es-PE" w:eastAsia="es-ES"/>
        </w:rPr>
        <w:t>DISCUSIÓN</w:t>
      </w:r>
    </w:p>
    <w:p w14:paraId="436072BD" w14:textId="77777777" w:rsidR="00B33C9A" w:rsidRPr="00B33C9A" w:rsidRDefault="00B33C9A" w:rsidP="00B33C9A">
      <w:pPr>
        <w:spacing w:line="360" w:lineRule="auto"/>
        <w:jc w:val="both"/>
        <w:rPr>
          <w:vertAlign w:val="superscript"/>
          <w:lang w:val="es-PE" w:eastAsia="es-ES"/>
        </w:rPr>
      </w:pPr>
      <w:proofErr w:type="gramStart"/>
      <w:r w:rsidRPr="00B33C9A">
        <w:rPr>
          <w:lang w:val="es-PE" w:eastAsia="es-ES"/>
        </w:rPr>
        <w:t>La microbiota oral</w:t>
      </w:r>
      <w:proofErr w:type="gramEnd"/>
      <w:r w:rsidRPr="00B33C9A">
        <w:rPr>
          <w:lang w:val="es-PE" w:eastAsia="es-ES"/>
        </w:rPr>
        <w:t xml:space="preserve"> que incluye bacterias benéficas y patógenas juega un papel crucial en la homeostasis y en el mantenimiento de la salud oral y el bienestar general del ser humano. Sin embargo, una vez que se rompe este equilibrio, con predominio de patógenos, estos pueden conducir a una variedad de enfermedades orales, como la caries dental, en cuyo inicio y progreso </w:t>
      </w:r>
      <w:r w:rsidRPr="00B33C9A">
        <w:rPr>
          <w:i/>
          <w:iCs/>
          <w:lang w:val="es-PE" w:eastAsia="es-ES"/>
        </w:rPr>
        <w:t>Streptococcus mutans</w:t>
      </w:r>
      <w:r w:rsidRPr="00B33C9A">
        <w:rPr>
          <w:lang w:val="es-PE" w:eastAsia="es-ES"/>
        </w:rPr>
        <w:t xml:space="preserve"> participa de manera activa.</w:t>
      </w:r>
      <w:r w:rsidRPr="00B33C9A">
        <w:rPr>
          <w:vertAlign w:val="superscript"/>
          <w:lang w:val="es-PE" w:eastAsia="es-ES"/>
        </w:rPr>
        <w:t>(1)</w:t>
      </w:r>
      <w:r w:rsidRPr="00B33C9A">
        <w:rPr>
          <w:lang w:val="es-PE" w:eastAsia="es-ES"/>
        </w:rPr>
        <w:t xml:space="preserve"> Por otra parte, </w:t>
      </w:r>
      <w:proofErr w:type="spellStart"/>
      <w:r w:rsidRPr="00B33C9A">
        <w:rPr>
          <w:i/>
          <w:iCs/>
          <w:lang w:val="es-PE" w:eastAsia="es-ES"/>
        </w:rPr>
        <w:t>Enterococcus</w:t>
      </w:r>
      <w:proofErr w:type="spellEnd"/>
      <w:r w:rsidRPr="00B33C9A">
        <w:rPr>
          <w:i/>
          <w:iCs/>
          <w:lang w:val="es-PE" w:eastAsia="es-ES"/>
        </w:rPr>
        <w:t xml:space="preserve"> </w:t>
      </w:r>
      <w:proofErr w:type="spellStart"/>
      <w:r w:rsidRPr="00B33C9A">
        <w:rPr>
          <w:i/>
          <w:iCs/>
          <w:lang w:val="es-PE" w:eastAsia="es-ES"/>
        </w:rPr>
        <w:t>faecalis</w:t>
      </w:r>
      <w:proofErr w:type="spellEnd"/>
      <w:r w:rsidRPr="00B33C9A">
        <w:rPr>
          <w:lang w:val="es-PE" w:eastAsia="es-ES"/>
        </w:rPr>
        <w:t xml:space="preserve"> es uno de los principales responsables del fracaso del tratamiento endodóntico en los casos de periodontitis apical crónica no supurativa.</w:t>
      </w:r>
      <w:r w:rsidRPr="00B33C9A">
        <w:rPr>
          <w:vertAlign w:val="superscript"/>
          <w:lang w:val="es-PE" w:eastAsia="es-ES"/>
        </w:rPr>
        <w:t xml:space="preserve">(5) </w:t>
      </w:r>
      <w:r w:rsidRPr="00B33C9A">
        <w:rPr>
          <w:lang w:val="es-PE" w:eastAsia="es-ES"/>
        </w:rPr>
        <w:t xml:space="preserve">Su permanencia en el conducto radicular se asocia a su resistencia natural a diversos </w:t>
      </w:r>
      <w:proofErr w:type="spellStart"/>
      <w:r w:rsidRPr="00B33C9A">
        <w:rPr>
          <w:lang w:val="es-PE" w:eastAsia="es-ES"/>
        </w:rPr>
        <w:t>irrigantes</w:t>
      </w:r>
      <w:proofErr w:type="spellEnd"/>
      <w:r w:rsidRPr="00B33C9A">
        <w:rPr>
          <w:lang w:val="es-PE" w:eastAsia="es-ES"/>
        </w:rPr>
        <w:t xml:space="preserve"> intracanal y a la capacidad de sobrevivir en ambientes hostiles mediante la formación de biopelículas con otros microorganismos.</w:t>
      </w:r>
      <w:r w:rsidRPr="00B33C9A">
        <w:rPr>
          <w:vertAlign w:val="superscript"/>
          <w:lang w:val="es-PE" w:eastAsia="es-ES"/>
        </w:rPr>
        <w:t xml:space="preserve">(6) </w:t>
      </w:r>
    </w:p>
    <w:p w14:paraId="661E9E71" w14:textId="77777777" w:rsidR="00B33C9A" w:rsidRPr="00B33C9A" w:rsidRDefault="00B33C9A" w:rsidP="00B33C9A">
      <w:pPr>
        <w:spacing w:line="360" w:lineRule="auto"/>
        <w:jc w:val="both"/>
        <w:rPr>
          <w:lang w:val="es-PE" w:eastAsia="es-ES"/>
        </w:rPr>
      </w:pPr>
      <w:r w:rsidRPr="00B33C9A">
        <w:rPr>
          <w:lang w:val="es-PE" w:eastAsia="es-ES"/>
        </w:rPr>
        <w:t xml:space="preserve">Esta realidad obliga a desarrollar nuevas alternativas farmacológicas derivadas de plantas medicinales como </w:t>
      </w:r>
      <w:proofErr w:type="spellStart"/>
      <w:r w:rsidRPr="00B33C9A">
        <w:rPr>
          <w:i/>
          <w:iCs/>
          <w:lang w:val="es-PE" w:eastAsia="es-ES"/>
        </w:rPr>
        <w:t>Azadirachta</w:t>
      </w:r>
      <w:proofErr w:type="spellEnd"/>
      <w:r w:rsidRPr="00B33C9A">
        <w:rPr>
          <w:i/>
          <w:iCs/>
          <w:lang w:val="es-PE" w:eastAsia="es-ES"/>
        </w:rPr>
        <w:t xml:space="preserve"> indica</w:t>
      </w:r>
      <w:r w:rsidRPr="00B33C9A">
        <w:rPr>
          <w:lang w:val="es-PE" w:eastAsia="es-ES"/>
        </w:rPr>
        <w:t xml:space="preserve"> A. </w:t>
      </w:r>
      <w:proofErr w:type="spellStart"/>
      <w:r w:rsidRPr="00B33C9A">
        <w:rPr>
          <w:lang w:val="es-PE" w:eastAsia="es-ES"/>
        </w:rPr>
        <w:t>Juss</w:t>
      </w:r>
      <w:proofErr w:type="spellEnd"/>
      <w:r w:rsidRPr="00B33C9A">
        <w:rPr>
          <w:lang w:val="es-PE" w:eastAsia="es-ES"/>
        </w:rPr>
        <w:t xml:space="preserve"> (</w:t>
      </w:r>
      <w:proofErr w:type="spellStart"/>
      <w:r w:rsidRPr="00B33C9A">
        <w:rPr>
          <w:lang w:val="es-PE" w:eastAsia="es-ES"/>
        </w:rPr>
        <w:t>neem</w:t>
      </w:r>
      <w:proofErr w:type="spellEnd"/>
      <w:r w:rsidRPr="00B33C9A">
        <w:rPr>
          <w:lang w:val="es-PE" w:eastAsia="es-ES"/>
        </w:rPr>
        <w:t>), que es una hierba medicinal originaria de la India, pero que crece bien en la mayoría de los países tropicales y subtropicales, incluidos el Perú; de la cual se han aislado con éxito más de 140 compuestos bioactivos, ha sido utilizada en la medicina tradicional y complementaria durante miles de años, y no se han reportado efectos secundarios debido a su utilización. Estudios precedentes,</w:t>
      </w:r>
      <w:r w:rsidRPr="00B33C9A">
        <w:rPr>
          <w:vertAlign w:val="superscript"/>
          <w:lang w:val="es-PE" w:eastAsia="es-ES"/>
        </w:rPr>
        <w:t xml:space="preserve"> (14,15,16,17)</w:t>
      </w:r>
      <w:r w:rsidRPr="00B33C9A">
        <w:rPr>
          <w:lang w:val="es-PE" w:eastAsia="es-ES"/>
        </w:rPr>
        <w:t xml:space="preserve"> destacan su potencial antimicrobiano, entre muchos otros efectos. Su principio activo más importante es la </w:t>
      </w:r>
      <w:proofErr w:type="spellStart"/>
      <w:r w:rsidRPr="00B33C9A">
        <w:rPr>
          <w:lang w:val="es-PE" w:eastAsia="es-ES"/>
        </w:rPr>
        <w:t>azadiractina</w:t>
      </w:r>
      <w:proofErr w:type="spellEnd"/>
      <w:r w:rsidRPr="00B33C9A">
        <w:rPr>
          <w:lang w:val="es-PE" w:eastAsia="es-ES"/>
        </w:rPr>
        <w:t xml:space="preserve">, sin embargo, también contiene </w:t>
      </w:r>
      <w:proofErr w:type="spellStart"/>
      <w:r w:rsidRPr="00B33C9A">
        <w:rPr>
          <w:lang w:val="es-PE" w:eastAsia="es-ES"/>
        </w:rPr>
        <w:t>limonoides</w:t>
      </w:r>
      <w:proofErr w:type="spellEnd"/>
      <w:r w:rsidRPr="00B33C9A">
        <w:rPr>
          <w:lang w:val="es-PE" w:eastAsia="es-ES"/>
        </w:rPr>
        <w:t xml:space="preserve"> tipo </w:t>
      </w:r>
      <w:proofErr w:type="spellStart"/>
      <w:r w:rsidRPr="00B33C9A">
        <w:rPr>
          <w:lang w:val="es-PE" w:eastAsia="es-ES"/>
        </w:rPr>
        <w:t>tetranortriterpenoides</w:t>
      </w:r>
      <w:proofErr w:type="spellEnd"/>
      <w:r w:rsidRPr="00B33C9A">
        <w:rPr>
          <w:lang w:val="es-PE" w:eastAsia="es-ES"/>
        </w:rPr>
        <w:t xml:space="preserve">, quercetina, </w:t>
      </w:r>
      <w:proofErr w:type="spellStart"/>
      <w:r w:rsidRPr="00B33C9A">
        <w:rPr>
          <w:lang w:val="es-PE" w:eastAsia="es-ES"/>
        </w:rPr>
        <w:t>sitosterol</w:t>
      </w:r>
      <w:proofErr w:type="spellEnd"/>
      <w:r w:rsidRPr="00B33C9A">
        <w:rPr>
          <w:lang w:val="es-PE" w:eastAsia="es-ES"/>
        </w:rPr>
        <w:t xml:space="preserve">, flavonoides </w:t>
      </w:r>
      <w:proofErr w:type="spellStart"/>
      <w:r w:rsidRPr="00B33C9A">
        <w:rPr>
          <w:lang w:val="es-PE" w:eastAsia="es-ES"/>
        </w:rPr>
        <w:t>polifenólicos</w:t>
      </w:r>
      <w:proofErr w:type="spellEnd"/>
      <w:r w:rsidRPr="00B33C9A">
        <w:rPr>
          <w:lang w:val="es-PE" w:eastAsia="es-ES"/>
        </w:rPr>
        <w:t>, principalmente en las hojas de la planta, a los que se les atribuye sus propiedades antibacterianas y antifúngicas.</w:t>
      </w:r>
      <w:r w:rsidRPr="00B33C9A">
        <w:rPr>
          <w:vertAlign w:val="superscript"/>
          <w:lang w:val="es-PE" w:eastAsia="es-ES"/>
        </w:rPr>
        <w:t xml:space="preserve"> </w:t>
      </w:r>
      <w:r w:rsidRPr="00B33C9A">
        <w:rPr>
          <w:lang w:val="es-PE" w:eastAsia="es-ES"/>
        </w:rPr>
        <w:t xml:space="preserve">Al respecto, </w:t>
      </w:r>
      <w:r w:rsidRPr="00B33C9A">
        <w:rPr>
          <w:i/>
          <w:iCs/>
          <w:lang w:val="es-PE" w:eastAsia="es-ES"/>
        </w:rPr>
        <w:t>Lu</w:t>
      </w:r>
      <w:r w:rsidRPr="00B33C9A">
        <w:rPr>
          <w:lang w:val="es-PE" w:eastAsia="es-ES"/>
        </w:rPr>
        <w:t xml:space="preserve"> 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21) </w:t>
      </w:r>
      <w:r w:rsidRPr="00B33C9A">
        <w:rPr>
          <w:lang w:val="es-PE" w:eastAsia="es-ES"/>
        </w:rPr>
        <w:t xml:space="preserve">evaluaron la actividad antibacteriana de 15 tipos de </w:t>
      </w:r>
      <w:proofErr w:type="spellStart"/>
      <w:r w:rsidRPr="00B33C9A">
        <w:rPr>
          <w:lang w:val="es-PE" w:eastAsia="es-ES"/>
        </w:rPr>
        <w:t>limonoides</w:t>
      </w:r>
      <w:proofErr w:type="spellEnd"/>
      <w:r w:rsidRPr="00B33C9A">
        <w:rPr>
          <w:lang w:val="es-PE" w:eastAsia="es-ES"/>
        </w:rPr>
        <w:t xml:space="preserve"> extraídos de semillas de </w:t>
      </w:r>
      <w:proofErr w:type="spellStart"/>
      <w:r w:rsidRPr="00B33C9A">
        <w:rPr>
          <w:lang w:val="es-PE" w:eastAsia="es-ES"/>
        </w:rPr>
        <w:t>neem</w:t>
      </w:r>
      <w:proofErr w:type="spellEnd"/>
      <w:r w:rsidRPr="00B33C9A">
        <w:rPr>
          <w:lang w:val="es-PE" w:eastAsia="es-ES"/>
        </w:rPr>
        <w:t>. Informan que el compuesto 17β-</w:t>
      </w:r>
      <w:proofErr w:type="spellStart"/>
      <w:r w:rsidRPr="00B33C9A">
        <w:rPr>
          <w:lang w:val="es-PE" w:eastAsia="es-ES"/>
        </w:rPr>
        <w:t>hidroxinimbocinol</w:t>
      </w:r>
      <w:proofErr w:type="spellEnd"/>
      <w:r w:rsidRPr="00B33C9A">
        <w:rPr>
          <w:lang w:val="es-PE" w:eastAsia="es-ES"/>
        </w:rPr>
        <w:t xml:space="preserve"> y el 2,3-</w:t>
      </w:r>
      <w:proofErr w:type="spellStart"/>
      <w:r w:rsidRPr="00B33C9A">
        <w:rPr>
          <w:lang w:val="es-PE" w:eastAsia="es-ES"/>
        </w:rPr>
        <w:t>dihidronimbolida</w:t>
      </w:r>
      <w:proofErr w:type="spellEnd"/>
      <w:r w:rsidRPr="00B33C9A">
        <w:rPr>
          <w:lang w:val="es-PE" w:eastAsia="es-ES"/>
        </w:rPr>
        <w:t xml:space="preserve"> muestran actividad inhibitoria contra </w:t>
      </w:r>
      <w:r w:rsidRPr="00B33C9A">
        <w:rPr>
          <w:i/>
          <w:iCs/>
          <w:lang w:val="es-PE" w:eastAsia="es-ES"/>
        </w:rPr>
        <w:t xml:space="preserve">E. </w:t>
      </w:r>
      <w:proofErr w:type="spellStart"/>
      <w:r w:rsidRPr="00B33C9A">
        <w:rPr>
          <w:i/>
          <w:iCs/>
          <w:lang w:val="es-PE" w:eastAsia="es-ES"/>
        </w:rPr>
        <w:t>coli</w:t>
      </w:r>
      <w:proofErr w:type="spellEnd"/>
      <w:r w:rsidRPr="00B33C9A">
        <w:rPr>
          <w:lang w:val="es-PE" w:eastAsia="es-ES"/>
        </w:rPr>
        <w:t xml:space="preserve"> y moderada contra </w:t>
      </w:r>
      <w:proofErr w:type="spellStart"/>
      <w:r w:rsidRPr="00B33C9A">
        <w:rPr>
          <w:i/>
          <w:iCs/>
          <w:lang w:val="es-PE" w:eastAsia="es-ES"/>
        </w:rPr>
        <w:t>Staphylococcus</w:t>
      </w:r>
      <w:proofErr w:type="spellEnd"/>
      <w:r w:rsidRPr="00B33C9A">
        <w:rPr>
          <w:i/>
          <w:iCs/>
          <w:lang w:val="es-PE" w:eastAsia="es-ES"/>
        </w:rPr>
        <w:t xml:space="preserve"> </w:t>
      </w:r>
      <w:proofErr w:type="spellStart"/>
      <w:r w:rsidRPr="00B33C9A">
        <w:rPr>
          <w:i/>
          <w:iCs/>
          <w:lang w:val="es-PE" w:eastAsia="es-ES"/>
        </w:rPr>
        <w:t>epidermidis</w:t>
      </w:r>
      <w:proofErr w:type="spellEnd"/>
      <w:r w:rsidRPr="00B33C9A">
        <w:rPr>
          <w:lang w:val="es-PE" w:eastAsia="es-ES"/>
        </w:rPr>
        <w:t>; mientras que, el 6-</w:t>
      </w:r>
      <w:proofErr w:type="spellStart"/>
      <w:r w:rsidRPr="00B33C9A">
        <w:rPr>
          <w:lang w:val="es-PE" w:eastAsia="es-ES"/>
        </w:rPr>
        <w:t>homodesacetilnimbina</w:t>
      </w:r>
      <w:proofErr w:type="spellEnd"/>
      <w:r w:rsidRPr="00B33C9A">
        <w:rPr>
          <w:lang w:val="es-PE" w:eastAsia="es-ES"/>
        </w:rPr>
        <w:t xml:space="preserve"> y el </w:t>
      </w:r>
      <w:proofErr w:type="spellStart"/>
      <w:r w:rsidRPr="00B33C9A">
        <w:rPr>
          <w:lang w:val="es-PE" w:eastAsia="es-ES"/>
        </w:rPr>
        <w:t>nimbineno</w:t>
      </w:r>
      <w:proofErr w:type="spellEnd"/>
      <w:r w:rsidRPr="00B33C9A">
        <w:rPr>
          <w:lang w:val="es-PE" w:eastAsia="es-ES"/>
        </w:rPr>
        <w:t xml:space="preserve"> inhiben el crecimiento de</w:t>
      </w:r>
      <w:r w:rsidRPr="00B33C9A">
        <w:rPr>
          <w:i/>
          <w:iCs/>
          <w:lang w:val="es-PE" w:eastAsia="es-ES"/>
        </w:rPr>
        <w:t xml:space="preserve"> </w:t>
      </w:r>
      <w:proofErr w:type="spellStart"/>
      <w:r w:rsidRPr="00B33C9A">
        <w:rPr>
          <w:i/>
          <w:iCs/>
          <w:lang w:val="es-PE" w:eastAsia="es-ES"/>
        </w:rPr>
        <w:t>Escherichia</w:t>
      </w:r>
      <w:proofErr w:type="spellEnd"/>
      <w:r w:rsidRPr="00B33C9A">
        <w:rPr>
          <w:i/>
          <w:iCs/>
          <w:lang w:val="es-PE" w:eastAsia="es-ES"/>
        </w:rPr>
        <w:t xml:space="preserve"> </w:t>
      </w:r>
      <w:proofErr w:type="spellStart"/>
      <w:r w:rsidRPr="00B33C9A">
        <w:rPr>
          <w:i/>
          <w:iCs/>
          <w:lang w:val="es-PE" w:eastAsia="es-ES"/>
        </w:rPr>
        <w:t>coli</w:t>
      </w:r>
      <w:proofErr w:type="spellEnd"/>
      <w:r w:rsidRPr="00B33C9A">
        <w:rPr>
          <w:i/>
          <w:iCs/>
          <w:lang w:val="es-PE" w:eastAsia="es-ES"/>
        </w:rPr>
        <w:t xml:space="preserve"> </w:t>
      </w:r>
      <w:r w:rsidRPr="00B33C9A">
        <w:rPr>
          <w:lang w:val="es-PE" w:eastAsia="es-ES"/>
        </w:rPr>
        <w:t xml:space="preserve">y </w:t>
      </w:r>
      <w:r w:rsidRPr="00B33C9A">
        <w:rPr>
          <w:i/>
          <w:iCs/>
          <w:lang w:val="es-PE" w:eastAsia="es-ES"/>
        </w:rPr>
        <w:t xml:space="preserve">Pseudomonas </w:t>
      </w:r>
      <w:proofErr w:type="spellStart"/>
      <w:r w:rsidRPr="00B33C9A">
        <w:rPr>
          <w:i/>
          <w:iCs/>
          <w:lang w:val="es-PE" w:eastAsia="es-ES"/>
        </w:rPr>
        <w:t>aeruginosa</w:t>
      </w:r>
      <w:proofErr w:type="spellEnd"/>
      <w:r w:rsidRPr="00B33C9A">
        <w:rPr>
          <w:lang w:val="es-PE" w:eastAsia="es-ES"/>
        </w:rPr>
        <w:t>.</w:t>
      </w:r>
    </w:p>
    <w:p w14:paraId="3FB13077" w14:textId="77777777" w:rsidR="00B33C9A" w:rsidRPr="00B33C9A" w:rsidRDefault="00B33C9A" w:rsidP="00B33C9A">
      <w:pPr>
        <w:spacing w:line="360" w:lineRule="auto"/>
        <w:jc w:val="both"/>
        <w:rPr>
          <w:lang w:val="es-PE" w:eastAsia="es-ES"/>
        </w:rPr>
      </w:pPr>
      <w:r w:rsidRPr="00B33C9A">
        <w:rPr>
          <w:lang w:val="es-PE" w:eastAsia="es-ES"/>
        </w:rPr>
        <w:t xml:space="preserve">Se ha indicado que la técnica de extracción y el solvente utilizado para la recuperación de </w:t>
      </w:r>
      <w:proofErr w:type="spellStart"/>
      <w:r w:rsidRPr="00B33C9A">
        <w:rPr>
          <w:lang w:val="es-PE" w:eastAsia="es-ES"/>
        </w:rPr>
        <w:t>biocompuestos</w:t>
      </w:r>
      <w:proofErr w:type="spellEnd"/>
      <w:r w:rsidRPr="00B33C9A">
        <w:rPr>
          <w:lang w:val="es-PE" w:eastAsia="es-ES"/>
        </w:rPr>
        <w:t xml:space="preserve"> de plantas medicinales, son relevantes en la evaluación del efecto terapéutico de un producto vegetal, pues influirían en la cantidad de los compuestos bioactivos recuperados. Al respecto, </w:t>
      </w:r>
      <w:proofErr w:type="spellStart"/>
      <w:r w:rsidRPr="00B33C9A">
        <w:rPr>
          <w:i/>
          <w:iCs/>
          <w:lang w:val="es-PE" w:eastAsia="es-ES"/>
        </w:rPr>
        <w:t>Kalita</w:t>
      </w:r>
      <w:proofErr w:type="spellEnd"/>
      <w:r w:rsidRPr="00B33C9A">
        <w:rPr>
          <w:lang w:val="es-PE" w:eastAsia="es-ES"/>
        </w:rPr>
        <w:t xml:space="preserve"> 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22) </w:t>
      </w:r>
      <w:r w:rsidRPr="00B33C9A">
        <w:rPr>
          <w:lang w:val="es-PE" w:eastAsia="es-ES"/>
        </w:rPr>
        <w:lastRenderedPageBreak/>
        <w:t xml:space="preserve">determinaron el potencial antibacteriano del extracto de </w:t>
      </w:r>
      <w:proofErr w:type="spellStart"/>
      <w:r w:rsidRPr="00B33C9A">
        <w:rPr>
          <w:lang w:val="es-PE" w:eastAsia="es-ES"/>
        </w:rPr>
        <w:t>neem</w:t>
      </w:r>
      <w:proofErr w:type="spellEnd"/>
      <w:r w:rsidRPr="00B33C9A">
        <w:rPr>
          <w:lang w:val="es-PE" w:eastAsia="es-ES"/>
        </w:rPr>
        <w:t xml:space="preserve"> y otras plantas contra </w:t>
      </w:r>
      <w:r w:rsidRPr="00B33C9A">
        <w:rPr>
          <w:i/>
          <w:iCs/>
          <w:lang w:val="es-PE" w:eastAsia="es-ES"/>
        </w:rPr>
        <w:t xml:space="preserve">E. </w:t>
      </w:r>
      <w:proofErr w:type="spellStart"/>
      <w:r w:rsidRPr="00B33C9A">
        <w:rPr>
          <w:i/>
          <w:iCs/>
          <w:lang w:val="es-PE" w:eastAsia="es-ES"/>
        </w:rPr>
        <w:t>faecalis</w:t>
      </w:r>
      <w:proofErr w:type="spellEnd"/>
      <w:r w:rsidRPr="00B33C9A">
        <w:rPr>
          <w:lang w:val="es-PE" w:eastAsia="es-ES"/>
        </w:rPr>
        <w:t xml:space="preserve">; lograron establecer que el extracto </w:t>
      </w:r>
      <w:proofErr w:type="spellStart"/>
      <w:r w:rsidRPr="00B33C9A">
        <w:rPr>
          <w:lang w:val="es-PE" w:eastAsia="es-ES"/>
        </w:rPr>
        <w:t>acetónico</w:t>
      </w:r>
      <w:proofErr w:type="spellEnd"/>
      <w:r w:rsidRPr="00B33C9A">
        <w:rPr>
          <w:lang w:val="es-PE" w:eastAsia="es-ES"/>
        </w:rPr>
        <w:t xml:space="preserve"> muestra mayor eficacia antibacteriana que el extracto acuoso. Por su parte, </w:t>
      </w:r>
      <w:proofErr w:type="spellStart"/>
      <w:r w:rsidRPr="00B33C9A">
        <w:rPr>
          <w:i/>
          <w:iCs/>
          <w:lang w:val="es-PE" w:eastAsia="es-ES"/>
        </w:rPr>
        <w:t>Altayb</w:t>
      </w:r>
      <w:proofErr w:type="spellEnd"/>
      <w:r w:rsidRPr="00B33C9A">
        <w:rPr>
          <w:lang w:val="es-PE" w:eastAsia="es-ES"/>
        </w:rPr>
        <w:t xml:space="preserve"> y </w:t>
      </w:r>
      <w:bookmarkStart w:id="17" w:name="_Hlk109432342"/>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16) </w:t>
      </w:r>
      <w:bookmarkEnd w:id="17"/>
      <w:r w:rsidRPr="00B33C9A">
        <w:rPr>
          <w:lang w:val="es-PE" w:eastAsia="es-ES"/>
        </w:rPr>
        <w:t xml:space="preserve">y </w:t>
      </w:r>
      <w:r w:rsidRPr="00B33C9A">
        <w:rPr>
          <w:i/>
          <w:iCs/>
          <w:lang w:val="es-PE" w:eastAsia="es-ES"/>
        </w:rPr>
        <w:t>Arévalo-Híjar</w:t>
      </w:r>
      <w:r w:rsidRPr="00B33C9A">
        <w:rPr>
          <w:lang w:val="es-PE" w:eastAsia="es-ES"/>
        </w:rPr>
        <w:t xml:space="preserve"> y otros,</w:t>
      </w:r>
      <w:r w:rsidRPr="00B33C9A">
        <w:rPr>
          <w:vertAlign w:val="superscript"/>
          <w:lang w:val="es-PE" w:eastAsia="es-ES"/>
        </w:rPr>
        <w:t>(23)</w:t>
      </w:r>
      <w:r w:rsidRPr="00B33C9A">
        <w:rPr>
          <w:lang w:val="es-PE" w:eastAsia="es-ES"/>
        </w:rPr>
        <w:t xml:space="preserve"> comunican que el extracto </w:t>
      </w:r>
      <w:proofErr w:type="spellStart"/>
      <w:r w:rsidRPr="00B33C9A">
        <w:rPr>
          <w:lang w:val="es-PE" w:eastAsia="es-ES"/>
        </w:rPr>
        <w:t>metanólico</w:t>
      </w:r>
      <w:proofErr w:type="spellEnd"/>
      <w:r w:rsidRPr="00B33C9A">
        <w:rPr>
          <w:lang w:val="es-PE" w:eastAsia="es-ES"/>
        </w:rPr>
        <w:t xml:space="preserve"> de </w:t>
      </w:r>
      <w:proofErr w:type="spellStart"/>
      <w:r w:rsidRPr="00B33C9A">
        <w:rPr>
          <w:lang w:val="es-PE" w:eastAsia="es-ES"/>
        </w:rPr>
        <w:t>neem</w:t>
      </w:r>
      <w:proofErr w:type="spellEnd"/>
      <w:r w:rsidRPr="00B33C9A">
        <w:rPr>
          <w:lang w:val="es-PE" w:eastAsia="es-ES"/>
        </w:rPr>
        <w:t xml:space="preserve"> tiene actividad antibacteriana contra </w:t>
      </w:r>
      <w:proofErr w:type="spellStart"/>
      <w:r w:rsidRPr="00B33C9A">
        <w:rPr>
          <w:i/>
          <w:iCs/>
          <w:lang w:val="es-PE" w:eastAsia="es-ES"/>
        </w:rPr>
        <w:t>Staphylococcus</w:t>
      </w:r>
      <w:proofErr w:type="spellEnd"/>
      <w:r w:rsidRPr="00B33C9A">
        <w:rPr>
          <w:i/>
          <w:iCs/>
          <w:lang w:val="es-PE" w:eastAsia="es-ES"/>
        </w:rPr>
        <w:t xml:space="preserve"> </w:t>
      </w:r>
      <w:proofErr w:type="spellStart"/>
      <w:r w:rsidRPr="00B33C9A">
        <w:rPr>
          <w:i/>
          <w:iCs/>
          <w:lang w:val="es-PE" w:eastAsia="es-ES"/>
        </w:rPr>
        <w:t>aureus</w:t>
      </w:r>
      <w:proofErr w:type="spellEnd"/>
      <w:r w:rsidRPr="00B33C9A">
        <w:rPr>
          <w:lang w:val="es-PE" w:eastAsia="es-ES"/>
        </w:rPr>
        <w:t xml:space="preserve">, </w:t>
      </w:r>
      <w:r w:rsidRPr="00B33C9A">
        <w:rPr>
          <w:i/>
          <w:iCs/>
          <w:lang w:val="es-PE" w:eastAsia="es-ES"/>
        </w:rPr>
        <w:t xml:space="preserve">E. </w:t>
      </w:r>
      <w:proofErr w:type="spellStart"/>
      <w:r w:rsidRPr="00B33C9A">
        <w:rPr>
          <w:i/>
          <w:iCs/>
          <w:lang w:val="es-PE" w:eastAsia="es-ES"/>
        </w:rPr>
        <w:t>coli</w:t>
      </w:r>
      <w:proofErr w:type="spellEnd"/>
      <w:r w:rsidRPr="00B33C9A">
        <w:rPr>
          <w:lang w:val="es-PE" w:eastAsia="es-ES"/>
        </w:rPr>
        <w:t xml:space="preserve"> y </w:t>
      </w:r>
      <w:r w:rsidRPr="00B33C9A">
        <w:rPr>
          <w:i/>
          <w:iCs/>
          <w:lang w:val="es-PE" w:eastAsia="es-ES"/>
        </w:rPr>
        <w:t xml:space="preserve">E. </w:t>
      </w:r>
      <w:proofErr w:type="spellStart"/>
      <w:r w:rsidRPr="00B33C9A">
        <w:rPr>
          <w:i/>
          <w:iCs/>
          <w:lang w:val="es-PE" w:eastAsia="es-ES"/>
        </w:rPr>
        <w:t>faecalis</w:t>
      </w:r>
      <w:proofErr w:type="spellEnd"/>
      <w:r w:rsidRPr="00B33C9A">
        <w:rPr>
          <w:lang w:val="es-PE" w:eastAsia="es-ES"/>
        </w:rPr>
        <w:t>. Además, se identificó a O-</w:t>
      </w:r>
      <w:proofErr w:type="spellStart"/>
      <w:r w:rsidRPr="00B33C9A">
        <w:rPr>
          <w:lang w:val="es-PE" w:eastAsia="es-ES"/>
        </w:rPr>
        <w:t>geraniol</w:t>
      </w:r>
      <w:proofErr w:type="spellEnd"/>
      <w:r w:rsidRPr="00B33C9A">
        <w:rPr>
          <w:lang w:val="es-PE" w:eastAsia="es-ES"/>
        </w:rPr>
        <w:t xml:space="preserve"> un Beta d-</w:t>
      </w:r>
      <w:proofErr w:type="spellStart"/>
      <w:r w:rsidRPr="00B33C9A">
        <w:rPr>
          <w:lang w:val="es-PE" w:eastAsia="es-ES"/>
        </w:rPr>
        <w:t>manofuranósido</w:t>
      </w:r>
      <w:proofErr w:type="spellEnd"/>
      <w:r w:rsidRPr="00B33C9A">
        <w:rPr>
          <w:lang w:val="es-PE" w:eastAsia="es-ES"/>
        </w:rPr>
        <w:t xml:space="preserve"> como un agente antibacteriano prometedor, para el control de microorganismos de interés estomatológico y </w:t>
      </w:r>
      <w:proofErr w:type="gramStart"/>
      <w:r w:rsidRPr="00B33C9A">
        <w:rPr>
          <w:lang w:val="es-PE" w:eastAsia="es-ES"/>
        </w:rPr>
        <w:t>médico.</w:t>
      </w:r>
      <w:r w:rsidRPr="00B33C9A">
        <w:rPr>
          <w:vertAlign w:val="superscript"/>
          <w:lang w:val="es-PE" w:eastAsia="es-ES"/>
        </w:rPr>
        <w:t>(</w:t>
      </w:r>
      <w:proofErr w:type="gramEnd"/>
      <w:r w:rsidRPr="00B33C9A">
        <w:rPr>
          <w:vertAlign w:val="superscript"/>
          <w:lang w:val="es-PE" w:eastAsia="es-ES"/>
        </w:rPr>
        <w:t>16)</w:t>
      </w:r>
    </w:p>
    <w:p w14:paraId="0B9D0FCA" w14:textId="77777777" w:rsidR="00B33C9A" w:rsidRPr="00B33C9A" w:rsidRDefault="00B33C9A" w:rsidP="00B33C9A">
      <w:pPr>
        <w:spacing w:line="360" w:lineRule="auto"/>
        <w:jc w:val="both"/>
        <w:rPr>
          <w:lang w:val="es-PE" w:eastAsia="es-ES"/>
        </w:rPr>
      </w:pPr>
      <w:r w:rsidRPr="00B33C9A">
        <w:rPr>
          <w:lang w:val="es-PE" w:eastAsia="es-ES"/>
        </w:rPr>
        <w:t xml:space="preserve">Sin embargo, al parecer este no es el único compuesto con alto potencial antibacteriano presente en el extracto de </w:t>
      </w:r>
      <w:proofErr w:type="spellStart"/>
      <w:r w:rsidRPr="00B33C9A">
        <w:rPr>
          <w:lang w:val="es-PE" w:eastAsia="es-ES"/>
        </w:rPr>
        <w:t>neem</w:t>
      </w:r>
      <w:proofErr w:type="spellEnd"/>
      <w:r w:rsidRPr="00B33C9A">
        <w:rPr>
          <w:lang w:val="es-PE" w:eastAsia="es-ES"/>
        </w:rPr>
        <w:t xml:space="preserve">, pues </w:t>
      </w:r>
      <w:proofErr w:type="spellStart"/>
      <w:r w:rsidRPr="00B33C9A">
        <w:rPr>
          <w:i/>
          <w:iCs/>
          <w:lang w:val="es-PE" w:eastAsia="es-ES"/>
        </w:rPr>
        <w:t>Lahiri</w:t>
      </w:r>
      <w:proofErr w:type="spellEnd"/>
      <w:r w:rsidRPr="00B33C9A">
        <w:rPr>
          <w:lang w:val="es-PE" w:eastAsia="es-ES"/>
        </w:rPr>
        <w:t xml:space="preserve"> 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17) </w:t>
      </w:r>
      <w:r w:rsidRPr="00B33C9A">
        <w:rPr>
          <w:lang w:val="es-PE" w:eastAsia="es-ES"/>
        </w:rPr>
        <w:t xml:space="preserve">compararon el potencial </w:t>
      </w:r>
      <w:proofErr w:type="spellStart"/>
      <w:r w:rsidRPr="00B33C9A">
        <w:rPr>
          <w:lang w:val="es-PE" w:eastAsia="es-ES"/>
        </w:rPr>
        <w:t>antiplaca</w:t>
      </w:r>
      <w:proofErr w:type="spellEnd"/>
      <w:r w:rsidRPr="00B33C9A">
        <w:rPr>
          <w:lang w:val="es-PE" w:eastAsia="es-ES"/>
        </w:rPr>
        <w:t xml:space="preserve"> de la quercetina, la </w:t>
      </w:r>
      <w:proofErr w:type="spellStart"/>
      <w:r w:rsidRPr="00B33C9A">
        <w:rPr>
          <w:lang w:val="es-PE" w:eastAsia="es-ES"/>
        </w:rPr>
        <w:t>nimbolida</w:t>
      </w:r>
      <w:proofErr w:type="spellEnd"/>
      <w:r w:rsidRPr="00B33C9A">
        <w:rPr>
          <w:lang w:val="es-PE" w:eastAsia="es-ES"/>
        </w:rPr>
        <w:t xml:space="preserve">, la </w:t>
      </w:r>
      <w:proofErr w:type="spellStart"/>
      <w:r w:rsidRPr="00B33C9A">
        <w:rPr>
          <w:lang w:val="es-PE" w:eastAsia="es-ES"/>
        </w:rPr>
        <w:t>nimbina</w:t>
      </w:r>
      <w:proofErr w:type="spellEnd"/>
      <w:r w:rsidRPr="00B33C9A">
        <w:rPr>
          <w:lang w:val="es-PE" w:eastAsia="es-ES"/>
        </w:rPr>
        <w:t xml:space="preserve"> y la </w:t>
      </w:r>
      <w:proofErr w:type="spellStart"/>
      <w:r w:rsidRPr="00B33C9A">
        <w:rPr>
          <w:lang w:val="es-PE" w:eastAsia="es-ES"/>
        </w:rPr>
        <w:t>azardiractina</w:t>
      </w:r>
      <w:proofErr w:type="spellEnd"/>
      <w:r w:rsidRPr="00B33C9A">
        <w:rPr>
          <w:lang w:val="es-PE" w:eastAsia="es-ES"/>
        </w:rPr>
        <w:t xml:space="preserve">;  reportan que la catequina fue el compuesto bioactivo más eficiente de </w:t>
      </w:r>
      <w:r w:rsidRPr="00B33C9A">
        <w:rPr>
          <w:i/>
          <w:iCs/>
          <w:lang w:val="es-PE" w:eastAsia="es-ES"/>
        </w:rPr>
        <w:t>A. indica</w:t>
      </w:r>
      <w:r w:rsidRPr="00B33C9A">
        <w:rPr>
          <w:lang w:val="es-PE" w:eastAsia="es-ES"/>
        </w:rPr>
        <w:t xml:space="preserve"> con actividades </w:t>
      </w:r>
      <w:proofErr w:type="spellStart"/>
      <w:r w:rsidRPr="00B33C9A">
        <w:rPr>
          <w:lang w:val="es-PE" w:eastAsia="es-ES"/>
        </w:rPr>
        <w:t>antibiopelícula</w:t>
      </w:r>
      <w:proofErr w:type="spellEnd"/>
      <w:r w:rsidRPr="00B33C9A">
        <w:rPr>
          <w:lang w:val="es-PE" w:eastAsia="es-ES"/>
        </w:rPr>
        <w:t xml:space="preserve"> y </w:t>
      </w:r>
      <w:proofErr w:type="spellStart"/>
      <w:r w:rsidRPr="00B33C9A">
        <w:rPr>
          <w:lang w:val="es-PE" w:eastAsia="es-ES"/>
        </w:rPr>
        <w:t>antiquórum</w:t>
      </w:r>
      <w:proofErr w:type="spellEnd"/>
      <w:r w:rsidRPr="00B33C9A">
        <w:rPr>
          <w:lang w:val="es-PE" w:eastAsia="es-ES"/>
        </w:rPr>
        <w:t xml:space="preserve"> de la biopelícula dental formada por </w:t>
      </w:r>
      <w:proofErr w:type="spellStart"/>
      <w:r w:rsidRPr="00B33C9A">
        <w:rPr>
          <w:i/>
          <w:iCs/>
          <w:lang w:val="es-PE" w:eastAsia="es-ES"/>
        </w:rPr>
        <w:t>Porphyromonas</w:t>
      </w:r>
      <w:proofErr w:type="spellEnd"/>
      <w:r w:rsidRPr="00B33C9A">
        <w:rPr>
          <w:i/>
          <w:iCs/>
          <w:lang w:val="es-PE" w:eastAsia="es-ES"/>
        </w:rPr>
        <w:t xml:space="preserve"> </w:t>
      </w:r>
      <w:proofErr w:type="spellStart"/>
      <w:r w:rsidRPr="00B33C9A">
        <w:rPr>
          <w:i/>
          <w:iCs/>
          <w:lang w:val="es-PE" w:eastAsia="es-ES"/>
        </w:rPr>
        <w:t>gingivalis</w:t>
      </w:r>
      <w:proofErr w:type="spellEnd"/>
      <w:r w:rsidRPr="00B33C9A">
        <w:rPr>
          <w:lang w:val="es-PE" w:eastAsia="es-ES"/>
        </w:rPr>
        <w:t xml:space="preserve"> y </w:t>
      </w:r>
      <w:proofErr w:type="spellStart"/>
      <w:r w:rsidRPr="00B33C9A">
        <w:rPr>
          <w:i/>
          <w:iCs/>
          <w:lang w:val="es-PE" w:eastAsia="es-ES"/>
        </w:rPr>
        <w:t>Alcaligenes</w:t>
      </w:r>
      <w:proofErr w:type="spellEnd"/>
      <w:r w:rsidRPr="00B33C9A">
        <w:rPr>
          <w:i/>
          <w:iCs/>
          <w:lang w:val="es-PE" w:eastAsia="es-ES"/>
        </w:rPr>
        <w:t xml:space="preserve"> </w:t>
      </w:r>
      <w:proofErr w:type="spellStart"/>
      <w:r w:rsidRPr="00B33C9A">
        <w:rPr>
          <w:i/>
          <w:iCs/>
          <w:lang w:val="es-PE" w:eastAsia="es-ES"/>
        </w:rPr>
        <w:t>faecalis</w:t>
      </w:r>
      <w:proofErr w:type="spellEnd"/>
      <w:r w:rsidRPr="00B33C9A">
        <w:rPr>
          <w:lang w:val="es-PE" w:eastAsia="es-ES"/>
        </w:rPr>
        <w:t xml:space="preserve">. Esto se corrobora con lo señalado por </w:t>
      </w:r>
      <w:proofErr w:type="spellStart"/>
      <w:r w:rsidRPr="00B33C9A">
        <w:rPr>
          <w:i/>
          <w:iCs/>
          <w:lang w:val="es-PE" w:eastAsia="es-ES"/>
        </w:rPr>
        <w:t>Heyman</w:t>
      </w:r>
      <w:proofErr w:type="spellEnd"/>
      <w:r w:rsidRPr="00B33C9A">
        <w:rPr>
          <w:lang w:val="es-PE" w:eastAsia="es-ES"/>
        </w:rPr>
        <w:t xml:space="preserve"> 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24) </w:t>
      </w:r>
      <w:r w:rsidRPr="00B33C9A">
        <w:rPr>
          <w:lang w:val="es-PE" w:eastAsia="es-ES"/>
        </w:rPr>
        <w:t xml:space="preserve">quienes reportan que la actividad antibacteriana del extracto de </w:t>
      </w:r>
      <w:proofErr w:type="spellStart"/>
      <w:r w:rsidRPr="00B33C9A">
        <w:rPr>
          <w:lang w:val="es-PE" w:eastAsia="es-ES"/>
        </w:rPr>
        <w:t>neem</w:t>
      </w:r>
      <w:proofErr w:type="spellEnd"/>
      <w:r w:rsidRPr="00B33C9A">
        <w:rPr>
          <w:lang w:val="es-PE" w:eastAsia="es-ES"/>
        </w:rPr>
        <w:t xml:space="preserve"> sobre </w:t>
      </w:r>
      <w:r w:rsidRPr="00B33C9A">
        <w:rPr>
          <w:i/>
          <w:iCs/>
          <w:lang w:val="es-PE" w:eastAsia="es-ES"/>
        </w:rPr>
        <w:t xml:space="preserve">P. </w:t>
      </w:r>
      <w:proofErr w:type="spellStart"/>
      <w:r w:rsidRPr="00B33C9A">
        <w:rPr>
          <w:i/>
          <w:iCs/>
          <w:lang w:val="es-PE" w:eastAsia="es-ES"/>
        </w:rPr>
        <w:t>gingivalis</w:t>
      </w:r>
      <w:proofErr w:type="spellEnd"/>
      <w:r w:rsidRPr="00B33C9A">
        <w:rPr>
          <w:lang w:val="es-PE" w:eastAsia="es-ES"/>
        </w:rPr>
        <w:t xml:space="preserve"> y </w:t>
      </w:r>
      <w:proofErr w:type="spellStart"/>
      <w:r w:rsidRPr="00B33C9A">
        <w:rPr>
          <w:i/>
          <w:iCs/>
          <w:lang w:val="es-PE" w:eastAsia="es-ES"/>
        </w:rPr>
        <w:t>Fusobacterium</w:t>
      </w:r>
      <w:proofErr w:type="spellEnd"/>
      <w:r w:rsidRPr="00B33C9A">
        <w:rPr>
          <w:i/>
          <w:iCs/>
          <w:lang w:val="es-PE" w:eastAsia="es-ES"/>
        </w:rPr>
        <w:t xml:space="preserve"> </w:t>
      </w:r>
      <w:proofErr w:type="spellStart"/>
      <w:r w:rsidRPr="00B33C9A">
        <w:rPr>
          <w:i/>
          <w:iCs/>
          <w:lang w:val="es-PE" w:eastAsia="es-ES"/>
        </w:rPr>
        <w:t>nucleatum</w:t>
      </w:r>
      <w:proofErr w:type="spellEnd"/>
      <w:r w:rsidRPr="00B33C9A">
        <w:rPr>
          <w:lang w:val="es-PE" w:eastAsia="es-ES"/>
        </w:rPr>
        <w:t xml:space="preserve"> es dependiente de la concentración. </w:t>
      </w:r>
    </w:p>
    <w:p w14:paraId="23736198" w14:textId="77777777" w:rsidR="00B33C9A" w:rsidRPr="00B33C9A" w:rsidRDefault="00B33C9A" w:rsidP="00B33C9A">
      <w:pPr>
        <w:spacing w:line="360" w:lineRule="auto"/>
        <w:jc w:val="both"/>
        <w:rPr>
          <w:lang w:val="es-PE" w:eastAsia="es-ES"/>
        </w:rPr>
      </w:pPr>
      <w:r w:rsidRPr="00B33C9A">
        <w:rPr>
          <w:lang w:val="es-PE" w:eastAsia="es-ES"/>
        </w:rPr>
        <w:t xml:space="preserve">Estos resultados no solo corroboran la efectividad antibacteriana de los principios activos presentes en el extracto de </w:t>
      </w:r>
      <w:proofErr w:type="spellStart"/>
      <w:r w:rsidRPr="00B33C9A">
        <w:rPr>
          <w:lang w:val="es-PE" w:eastAsia="es-ES"/>
        </w:rPr>
        <w:t>neem</w:t>
      </w:r>
      <w:proofErr w:type="spellEnd"/>
      <w:r w:rsidRPr="00B33C9A">
        <w:rPr>
          <w:lang w:val="es-PE" w:eastAsia="es-ES"/>
        </w:rPr>
        <w:t xml:space="preserve"> sobre bacterias patógenas orales, sino también, sobre bacterias resistentes a los antibióticos, tal como lo señalaron </w:t>
      </w:r>
      <w:r w:rsidRPr="00B33C9A">
        <w:rPr>
          <w:i/>
          <w:iCs/>
          <w:lang w:val="es-PE" w:eastAsia="es-ES"/>
        </w:rPr>
        <w:t xml:space="preserve">Ali </w:t>
      </w:r>
      <w:r w:rsidRPr="00B33C9A">
        <w:rPr>
          <w:lang w:val="es-PE" w:eastAsia="es-ES"/>
        </w:rPr>
        <w:t>y otros</w:t>
      </w:r>
      <w:r w:rsidRPr="00B33C9A">
        <w:rPr>
          <w:vertAlign w:val="superscript"/>
          <w:lang w:val="es-PE" w:eastAsia="es-ES"/>
        </w:rPr>
        <w:t xml:space="preserve">(25) </w:t>
      </w:r>
      <w:r w:rsidRPr="00B33C9A">
        <w:rPr>
          <w:lang w:val="es-PE" w:eastAsia="es-ES"/>
        </w:rPr>
        <w:t xml:space="preserve">y </w:t>
      </w:r>
      <w:proofErr w:type="spellStart"/>
      <w:r w:rsidRPr="00B33C9A">
        <w:rPr>
          <w:i/>
          <w:iCs/>
          <w:color w:val="000000"/>
          <w:lang w:val="es-PE" w:eastAsia="es-ES"/>
        </w:rPr>
        <w:t>Zihadi</w:t>
      </w:r>
      <w:proofErr w:type="spellEnd"/>
      <w:r w:rsidRPr="00B33C9A">
        <w:rPr>
          <w:color w:val="000000"/>
          <w:lang w:val="es-PE" w:eastAsia="es-ES"/>
        </w:rPr>
        <w:t xml:space="preserve"> y otros,</w:t>
      </w:r>
      <w:r w:rsidRPr="00B33C9A">
        <w:rPr>
          <w:color w:val="000000"/>
          <w:vertAlign w:val="superscript"/>
          <w:lang w:val="es-PE" w:eastAsia="es-ES"/>
        </w:rPr>
        <w:t xml:space="preserve">(26) </w:t>
      </w:r>
      <w:r w:rsidRPr="00B33C9A">
        <w:rPr>
          <w:lang w:val="es-PE" w:eastAsia="es-ES"/>
        </w:rPr>
        <w:t xml:space="preserve">al establecer que el extracto de hojas de </w:t>
      </w:r>
      <w:proofErr w:type="spellStart"/>
      <w:r w:rsidRPr="00B33C9A">
        <w:rPr>
          <w:lang w:val="es-PE" w:eastAsia="es-ES"/>
        </w:rPr>
        <w:t>neem</w:t>
      </w:r>
      <w:proofErr w:type="spellEnd"/>
      <w:r w:rsidRPr="00B33C9A">
        <w:rPr>
          <w:lang w:val="es-PE" w:eastAsia="es-ES"/>
        </w:rPr>
        <w:t xml:space="preserve"> a concentraciones de entre 12,5 mg/mL y 112,5 mg/mL muestran efecto inhibitorio y bactericida sobre diferentes especies de </w:t>
      </w:r>
      <w:r w:rsidRPr="00B33C9A">
        <w:rPr>
          <w:i/>
          <w:iCs/>
          <w:lang w:val="es-PE" w:eastAsia="es-ES"/>
        </w:rPr>
        <w:t>Salmonella</w:t>
      </w:r>
      <w:r w:rsidRPr="00B33C9A">
        <w:rPr>
          <w:lang w:val="es-PE" w:eastAsia="es-ES"/>
        </w:rPr>
        <w:t xml:space="preserve">, </w:t>
      </w:r>
      <w:proofErr w:type="spellStart"/>
      <w:r w:rsidRPr="00B33C9A">
        <w:rPr>
          <w:i/>
          <w:iCs/>
          <w:lang w:val="es-PE" w:eastAsia="es-ES"/>
        </w:rPr>
        <w:t>Pasteurella</w:t>
      </w:r>
      <w:proofErr w:type="spellEnd"/>
      <w:r w:rsidRPr="00B33C9A">
        <w:rPr>
          <w:i/>
          <w:iCs/>
          <w:lang w:val="es-PE" w:eastAsia="es-ES"/>
        </w:rPr>
        <w:t xml:space="preserve"> </w:t>
      </w:r>
      <w:proofErr w:type="spellStart"/>
      <w:r w:rsidRPr="00B33C9A">
        <w:rPr>
          <w:i/>
          <w:iCs/>
          <w:lang w:val="es-PE" w:eastAsia="es-ES"/>
        </w:rPr>
        <w:t>multocida</w:t>
      </w:r>
      <w:proofErr w:type="spellEnd"/>
      <w:r w:rsidRPr="00B33C9A">
        <w:rPr>
          <w:lang w:val="es-PE" w:eastAsia="es-ES"/>
        </w:rPr>
        <w:t xml:space="preserve">, </w:t>
      </w:r>
      <w:r w:rsidRPr="00B33C9A">
        <w:rPr>
          <w:i/>
          <w:iCs/>
          <w:color w:val="000000"/>
          <w:lang w:val="es-PE" w:eastAsia="es-ES"/>
        </w:rPr>
        <w:t xml:space="preserve">S. </w:t>
      </w:r>
      <w:proofErr w:type="spellStart"/>
      <w:r w:rsidRPr="00B33C9A">
        <w:rPr>
          <w:i/>
          <w:iCs/>
          <w:color w:val="000000"/>
          <w:lang w:val="es-PE" w:eastAsia="es-ES"/>
        </w:rPr>
        <w:t>aureus</w:t>
      </w:r>
      <w:proofErr w:type="spellEnd"/>
      <w:r w:rsidRPr="00B33C9A">
        <w:rPr>
          <w:i/>
          <w:iCs/>
          <w:color w:val="000000"/>
          <w:lang w:val="es-PE" w:eastAsia="es-ES"/>
        </w:rPr>
        <w:t xml:space="preserve"> </w:t>
      </w:r>
      <w:r w:rsidRPr="00B33C9A">
        <w:rPr>
          <w:color w:val="000000"/>
          <w:lang w:val="es-PE" w:eastAsia="es-ES"/>
        </w:rPr>
        <w:t xml:space="preserve">y </w:t>
      </w:r>
      <w:r w:rsidRPr="00B33C9A">
        <w:rPr>
          <w:i/>
          <w:iCs/>
          <w:lang w:val="es-PE" w:eastAsia="es-ES"/>
        </w:rPr>
        <w:t xml:space="preserve">E. </w:t>
      </w:r>
      <w:proofErr w:type="spellStart"/>
      <w:r w:rsidRPr="00B33C9A">
        <w:rPr>
          <w:i/>
          <w:iCs/>
          <w:lang w:val="es-PE" w:eastAsia="es-ES"/>
        </w:rPr>
        <w:t>coli</w:t>
      </w:r>
      <w:proofErr w:type="spellEnd"/>
      <w:r w:rsidRPr="00B33C9A">
        <w:rPr>
          <w:lang w:val="es-PE" w:eastAsia="es-ES"/>
        </w:rPr>
        <w:t xml:space="preserve"> resistentes a múltiples fármacos.</w:t>
      </w:r>
    </w:p>
    <w:p w14:paraId="1C73DA50" w14:textId="77777777" w:rsidR="00B33C9A" w:rsidRPr="00B33C9A" w:rsidRDefault="00B33C9A" w:rsidP="00B33C9A">
      <w:pPr>
        <w:spacing w:line="360" w:lineRule="auto"/>
        <w:jc w:val="both"/>
        <w:rPr>
          <w:lang w:val="es-PE" w:eastAsia="es-ES"/>
        </w:rPr>
      </w:pPr>
      <w:r w:rsidRPr="00B33C9A">
        <w:rPr>
          <w:lang w:val="es-PE" w:eastAsia="es-ES"/>
        </w:rPr>
        <w:t xml:space="preserve">Se ha demostrado que la capacidad antibacteriana del extracto de </w:t>
      </w:r>
      <w:proofErr w:type="spellStart"/>
      <w:r w:rsidRPr="00B33C9A">
        <w:rPr>
          <w:lang w:val="es-PE" w:eastAsia="es-ES"/>
        </w:rPr>
        <w:t>neem</w:t>
      </w:r>
      <w:proofErr w:type="spellEnd"/>
      <w:r w:rsidRPr="00B33C9A">
        <w:rPr>
          <w:lang w:val="es-PE" w:eastAsia="es-ES"/>
        </w:rPr>
        <w:t xml:space="preserve"> reportada en diversas investigaciones se mantiene cuando dichos productos herbales son incorporados en formulaciones como enjuagues bucales, colutorios e </w:t>
      </w:r>
      <w:proofErr w:type="spellStart"/>
      <w:r w:rsidRPr="00B33C9A">
        <w:rPr>
          <w:lang w:val="es-PE" w:eastAsia="es-ES"/>
        </w:rPr>
        <w:t>irrigantes</w:t>
      </w:r>
      <w:proofErr w:type="spellEnd"/>
      <w:r w:rsidRPr="00B33C9A">
        <w:rPr>
          <w:lang w:val="es-PE" w:eastAsia="es-ES"/>
        </w:rPr>
        <w:t xml:space="preserve">. Esto se fundamenta también en los estudios de </w:t>
      </w:r>
      <w:r w:rsidRPr="00B33C9A">
        <w:rPr>
          <w:i/>
          <w:iCs/>
          <w:lang w:val="es-PE" w:eastAsia="es-ES"/>
        </w:rPr>
        <w:t xml:space="preserve">Singh </w:t>
      </w:r>
      <w:r w:rsidRPr="00B33C9A">
        <w:rPr>
          <w:lang w:val="es-PE" w:eastAsia="es-ES"/>
        </w:rPr>
        <w:t xml:space="preserve">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27)</w:t>
      </w:r>
      <w:r w:rsidRPr="00B33C9A">
        <w:rPr>
          <w:lang w:val="es-PE" w:eastAsia="es-ES"/>
        </w:rPr>
        <w:t xml:space="preserve"> quienes revelan que las tabletas de enjuague bucal efervescente a base </w:t>
      </w:r>
      <w:proofErr w:type="spellStart"/>
      <w:r w:rsidRPr="00B33C9A">
        <w:rPr>
          <w:lang w:val="es-PE" w:eastAsia="es-ES"/>
        </w:rPr>
        <w:t>neem</w:t>
      </w:r>
      <w:proofErr w:type="spellEnd"/>
      <w:r w:rsidRPr="00B33C9A">
        <w:rPr>
          <w:lang w:val="es-PE" w:eastAsia="es-ES"/>
        </w:rPr>
        <w:t xml:space="preserve"> muestran buen potencial antibacteriano sobre </w:t>
      </w:r>
      <w:r w:rsidRPr="00B33C9A">
        <w:rPr>
          <w:i/>
          <w:iCs/>
          <w:lang w:val="es-PE" w:eastAsia="es-ES"/>
        </w:rPr>
        <w:t>S. mutans</w:t>
      </w:r>
      <w:r w:rsidRPr="00B33C9A">
        <w:rPr>
          <w:lang w:val="es-PE" w:eastAsia="es-ES"/>
        </w:rPr>
        <w:t xml:space="preserve"> y en el mantenimiento de la higiene bucal, en comparación a los enjuagues bucales que contienen alcohol. Por su parte, </w:t>
      </w:r>
      <w:proofErr w:type="spellStart"/>
      <w:r w:rsidRPr="00B33C9A">
        <w:rPr>
          <w:i/>
          <w:iCs/>
          <w:lang w:val="es-PE" w:eastAsia="es-ES"/>
        </w:rPr>
        <w:t>Joy</w:t>
      </w:r>
      <w:proofErr w:type="spellEnd"/>
      <w:r w:rsidRPr="00B33C9A">
        <w:rPr>
          <w:lang w:val="es-PE" w:eastAsia="es-ES"/>
        </w:rPr>
        <w:t xml:space="preserve"> 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28) </w:t>
      </w:r>
      <w:r w:rsidRPr="00B33C9A">
        <w:rPr>
          <w:lang w:val="es-PE" w:eastAsia="es-ES"/>
        </w:rPr>
        <w:t xml:space="preserve">reportan que el efecto antibacteriano del </w:t>
      </w:r>
      <w:proofErr w:type="spellStart"/>
      <w:r w:rsidRPr="00B33C9A">
        <w:rPr>
          <w:lang w:val="es-PE" w:eastAsia="es-ES"/>
        </w:rPr>
        <w:t>neem</w:t>
      </w:r>
      <w:proofErr w:type="spellEnd"/>
      <w:r w:rsidRPr="00B33C9A">
        <w:rPr>
          <w:lang w:val="es-PE" w:eastAsia="es-ES"/>
        </w:rPr>
        <w:t xml:space="preserve"> como </w:t>
      </w:r>
      <w:proofErr w:type="spellStart"/>
      <w:r w:rsidRPr="00B33C9A">
        <w:rPr>
          <w:lang w:val="es-PE" w:eastAsia="es-ES"/>
        </w:rPr>
        <w:t>irrigante</w:t>
      </w:r>
      <w:proofErr w:type="spellEnd"/>
      <w:r w:rsidRPr="00B33C9A">
        <w:rPr>
          <w:lang w:val="es-PE" w:eastAsia="es-ES"/>
        </w:rPr>
        <w:t xml:space="preserve"> endodóntico sobre </w:t>
      </w:r>
      <w:r w:rsidRPr="00B33C9A">
        <w:rPr>
          <w:i/>
          <w:iCs/>
          <w:lang w:val="es-PE" w:eastAsia="es-ES"/>
        </w:rPr>
        <w:t xml:space="preserve">E. </w:t>
      </w:r>
      <w:proofErr w:type="spellStart"/>
      <w:r w:rsidRPr="00B33C9A">
        <w:rPr>
          <w:i/>
          <w:iCs/>
          <w:lang w:val="es-PE" w:eastAsia="es-ES"/>
        </w:rPr>
        <w:t>faecalis</w:t>
      </w:r>
      <w:proofErr w:type="spellEnd"/>
      <w:r w:rsidRPr="00B33C9A">
        <w:rPr>
          <w:lang w:val="es-PE" w:eastAsia="es-ES"/>
        </w:rPr>
        <w:t xml:space="preserve"> fue similar al de la clorhexidina y superior al de otros productos comerciales.  </w:t>
      </w:r>
    </w:p>
    <w:p w14:paraId="238AFD97" w14:textId="77777777" w:rsidR="00B33C9A" w:rsidRPr="00B33C9A" w:rsidRDefault="00B33C9A" w:rsidP="00B33C9A">
      <w:pPr>
        <w:spacing w:line="360" w:lineRule="auto"/>
        <w:jc w:val="both"/>
        <w:rPr>
          <w:lang w:val="es-PE" w:eastAsia="es-ES"/>
        </w:rPr>
      </w:pPr>
      <w:r w:rsidRPr="00B33C9A">
        <w:rPr>
          <w:lang w:val="es-PE" w:eastAsia="es-ES"/>
        </w:rPr>
        <w:lastRenderedPageBreak/>
        <w:t xml:space="preserve">De manera similar, </w:t>
      </w:r>
      <w:proofErr w:type="spellStart"/>
      <w:r w:rsidRPr="00B33C9A">
        <w:rPr>
          <w:i/>
          <w:iCs/>
          <w:lang w:val="es-PE" w:eastAsia="es-ES"/>
        </w:rPr>
        <w:t>Kumari</w:t>
      </w:r>
      <w:proofErr w:type="spellEnd"/>
      <w:r w:rsidRPr="00B33C9A">
        <w:rPr>
          <w:lang w:val="es-PE" w:eastAsia="es-ES"/>
        </w:rPr>
        <w:t xml:space="preserve"> 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29) </w:t>
      </w:r>
      <w:r w:rsidRPr="00B33C9A">
        <w:rPr>
          <w:lang w:val="es-PE" w:eastAsia="es-ES"/>
        </w:rPr>
        <w:t xml:space="preserve">establecen que la incorporación de extractos de </w:t>
      </w:r>
      <w:proofErr w:type="spellStart"/>
      <w:r w:rsidRPr="00B33C9A">
        <w:rPr>
          <w:lang w:val="es-PE" w:eastAsia="es-ES"/>
        </w:rPr>
        <w:t>neem</w:t>
      </w:r>
      <w:proofErr w:type="spellEnd"/>
      <w:r w:rsidRPr="00B33C9A">
        <w:rPr>
          <w:lang w:val="es-PE" w:eastAsia="es-ES"/>
        </w:rPr>
        <w:t xml:space="preserve"> en nuevos materiales de tratamiento restaurador atraumático, muestran actividad antibacteriana considerable contra </w:t>
      </w:r>
      <w:r w:rsidRPr="00B33C9A">
        <w:rPr>
          <w:i/>
          <w:iCs/>
          <w:lang w:val="es-PE" w:eastAsia="es-ES"/>
        </w:rPr>
        <w:t>S. mutans</w:t>
      </w:r>
      <w:r w:rsidRPr="00B33C9A">
        <w:rPr>
          <w:lang w:val="es-PE" w:eastAsia="es-ES"/>
        </w:rPr>
        <w:t>. Esto se correlaciona con lo reportado por</w:t>
      </w:r>
      <w:bookmarkStart w:id="18" w:name="_heading=h.sqyw64" w:colFirst="0" w:colLast="0"/>
      <w:bookmarkEnd w:id="18"/>
      <w:r w:rsidRPr="00B33C9A">
        <w:rPr>
          <w:lang w:val="es-PE" w:eastAsia="es-ES"/>
        </w:rPr>
        <w:t xml:space="preserve"> </w:t>
      </w:r>
      <w:proofErr w:type="spellStart"/>
      <w:r w:rsidRPr="00B33C9A">
        <w:rPr>
          <w:i/>
          <w:iCs/>
          <w:lang w:val="es-PE" w:eastAsia="es-ES"/>
        </w:rPr>
        <w:t>Dhingra</w:t>
      </w:r>
      <w:proofErr w:type="spellEnd"/>
      <w:r w:rsidRPr="00B33C9A">
        <w:rPr>
          <w:i/>
          <w:iCs/>
          <w:lang w:val="es-PE" w:eastAsia="es-ES"/>
        </w:rPr>
        <w:t xml:space="preserve"> </w:t>
      </w:r>
      <w:r w:rsidRPr="00B33C9A">
        <w:rPr>
          <w:lang w:val="es-PE" w:eastAsia="es-ES"/>
        </w:rPr>
        <w:t xml:space="preserve">y </w:t>
      </w:r>
      <w:proofErr w:type="gramStart"/>
      <w:r w:rsidRPr="00B33C9A">
        <w:rPr>
          <w:lang w:val="es-PE" w:eastAsia="es-ES"/>
        </w:rPr>
        <w:t>otros,</w:t>
      </w:r>
      <w:r w:rsidRPr="00B33C9A">
        <w:rPr>
          <w:vertAlign w:val="superscript"/>
          <w:lang w:val="es-PE" w:eastAsia="es-ES"/>
        </w:rPr>
        <w:t>(</w:t>
      </w:r>
      <w:proofErr w:type="gramEnd"/>
      <w:r w:rsidRPr="00B33C9A">
        <w:rPr>
          <w:vertAlign w:val="superscript"/>
          <w:lang w:val="es-PE" w:eastAsia="es-ES"/>
        </w:rPr>
        <w:t xml:space="preserve">30) </w:t>
      </w:r>
      <w:r w:rsidRPr="00B33C9A">
        <w:rPr>
          <w:lang w:val="es-PE" w:eastAsia="es-ES"/>
        </w:rPr>
        <w:t xml:space="preserve">quienes informan que la efectividad de un enjuague bucal herbal preparado con </w:t>
      </w:r>
      <w:proofErr w:type="spellStart"/>
      <w:r w:rsidRPr="00B33C9A">
        <w:rPr>
          <w:lang w:val="es-PE" w:eastAsia="es-ES"/>
        </w:rPr>
        <w:t>neem</w:t>
      </w:r>
      <w:proofErr w:type="spellEnd"/>
      <w:r w:rsidRPr="00B33C9A">
        <w:rPr>
          <w:lang w:val="es-PE" w:eastAsia="es-ES"/>
        </w:rPr>
        <w:t xml:space="preserve">, para controlar la placa dental y la salud gingival, fue similar al que se obtiene con la clorhexidina cuando se emplea después del cepillado en pacientes con enfermedad periodontal inicial. </w:t>
      </w:r>
    </w:p>
    <w:p w14:paraId="262F4B1F" w14:textId="77777777" w:rsidR="00B33C9A" w:rsidRPr="00B33C9A" w:rsidRDefault="00B33C9A" w:rsidP="00B33C9A">
      <w:pPr>
        <w:spacing w:line="360" w:lineRule="auto"/>
        <w:jc w:val="both"/>
        <w:rPr>
          <w:color w:val="000000"/>
          <w:lang w:val="es-PE" w:eastAsia="es-ES"/>
        </w:rPr>
      </w:pPr>
      <w:r w:rsidRPr="00B33C9A">
        <w:rPr>
          <w:lang w:val="es-PE" w:eastAsia="es-ES"/>
        </w:rPr>
        <w:t xml:space="preserve">Se concluye que los </w:t>
      </w:r>
      <w:r w:rsidRPr="00B33C9A">
        <w:rPr>
          <w:color w:val="000000"/>
          <w:lang w:val="es-PE" w:eastAsia="es-ES"/>
        </w:rPr>
        <w:t xml:space="preserve">enjuagues bucales preparados con las concentraciones de 25 mg/mL y 50 mg/mL de extracto </w:t>
      </w:r>
      <w:proofErr w:type="spellStart"/>
      <w:r w:rsidRPr="00B33C9A">
        <w:rPr>
          <w:color w:val="000000"/>
          <w:lang w:val="es-PE" w:eastAsia="es-ES"/>
        </w:rPr>
        <w:t>hidroetanólico</w:t>
      </w:r>
      <w:proofErr w:type="spellEnd"/>
      <w:r w:rsidRPr="00B33C9A">
        <w:rPr>
          <w:color w:val="000000"/>
          <w:lang w:val="es-PE" w:eastAsia="es-ES"/>
        </w:rPr>
        <w:t xml:space="preserve"> de hojas de </w:t>
      </w:r>
      <w:proofErr w:type="spellStart"/>
      <w:r w:rsidRPr="00B33C9A">
        <w:rPr>
          <w:i/>
          <w:color w:val="000000"/>
          <w:lang w:val="es-PE" w:eastAsia="es-ES"/>
        </w:rPr>
        <w:t>Azadirachta</w:t>
      </w:r>
      <w:proofErr w:type="spellEnd"/>
      <w:r w:rsidRPr="00B33C9A">
        <w:rPr>
          <w:i/>
          <w:color w:val="000000"/>
          <w:lang w:val="es-PE" w:eastAsia="es-ES"/>
        </w:rPr>
        <w:t xml:space="preserve"> indica</w:t>
      </w:r>
      <w:r w:rsidRPr="00B33C9A">
        <w:rPr>
          <w:color w:val="000000"/>
          <w:lang w:val="es-PE" w:eastAsia="es-ES"/>
        </w:rPr>
        <w:t xml:space="preserve"> (</w:t>
      </w:r>
      <w:proofErr w:type="spellStart"/>
      <w:r w:rsidRPr="00B33C9A">
        <w:rPr>
          <w:color w:val="000000"/>
          <w:lang w:val="es-PE" w:eastAsia="es-ES"/>
        </w:rPr>
        <w:t>neem</w:t>
      </w:r>
      <w:proofErr w:type="spellEnd"/>
      <w:r w:rsidRPr="00B33C9A">
        <w:rPr>
          <w:color w:val="000000"/>
          <w:lang w:val="es-PE" w:eastAsia="es-ES"/>
        </w:rPr>
        <w:t xml:space="preserve">) presentan potencial antibacteriano </w:t>
      </w:r>
      <w:r w:rsidRPr="00B33C9A">
        <w:rPr>
          <w:i/>
          <w:iCs/>
          <w:color w:val="000000"/>
          <w:lang w:val="es-PE" w:eastAsia="es-ES"/>
        </w:rPr>
        <w:t>in vitro</w:t>
      </w:r>
      <w:r w:rsidRPr="00B33C9A">
        <w:rPr>
          <w:color w:val="000000"/>
          <w:lang w:val="es-PE" w:eastAsia="es-ES"/>
        </w:rPr>
        <w:t xml:space="preserve"> sobre </w:t>
      </w:r>
      <w:r w:rsidRPr="00B33C9A">
        <w:rPr>
          <w:i/>
          <w:color w:val="000000"/>
          <w:lang w:val="es-PE" w:eastAsia="es-ES"/>
        </w:rPr>
        <w:t>Streptococcus mutans</w:t>
      </w:r>
      <w:r w:rsidRPr="00B33C9A">
        <w:rPr>
          <w:color w:val="000000"/>
          <w:lang w:val="es-PE" w:eastAsia="es-ES"/>
        </w:rPr>
        <w:t xml:space="preserve"> ATCC</w:t>
      </w:r>
      <w:r w:rsidRPr="00B33C9A">
        <w:rPr>
          <w:color w:val="000000"/>
          <w:vertAlign w:val="superscript"/>
          <w:lang w:val="es-PE" w:eastAsia="es-ES"/>
        </w:rPr>
        <w:t>®</w:t>
      </w:r>
      <w:r w:rsidRPr="00B33C9A">
        <w:rPr>
          <w:color w:val="000000"/>
          <w:lang w:val="es-PE" w:eastAsia="es-ES"/>
        </w:rPr>
        <w:t>35668</w:t>
      </w:r>
      <w:r w:rsidRPr="00B33C9A">
        <w:rPr>
          <w:color w:val="000000"/>
          <w:vertAlign w:val="superscript"/>
          <w:lang w:val="es-PE" w:eastAsia="es-ES"/>
        </w:rPr>
        <w:t>TM</w:t>
      </w:r>
      <w:r w:rsidRPr="00B33C9A">
        <w:rPr>
          <w:color w:val="000000"/>
          <w:lang w:val="es-PE" w:eastAsia="es-ES"/>
        </w:rPr>
        <w:t xml:space="preserve"> y </w:t>
      </w:r>
      <w:proofErr w:type="spellStart"/>
      <w:r w:rsidRPr="00B33C9A">
        <w:rPr>
          <w:i/>
          <w:color w:val="000000"/>
          <w:lang w:val="es-PE" w:eastAsia="es-ES"/>
        </w:rPr>
        <w:t>Enterococcus</w:t>
      </w:r>
      <w:proofErr w:type="spellEnd"/>
      <w:r w:rsidRPr="00B33C9A">
        <w:rPr>
          <w:i/>
          <w:color w:val="000000"/>
          <w:lang w:val="es-PE" w:eastAsia="es-ES"/>
        </w:rPr>
        <w:t xml:space="preserve"> </w:t>
      </w:r>
      <w:proofErr w:type="spellStart"/>
      <w:r w:rsidRPr="00B33C9A">
        <w:rPr>
          <w:i/>
          <w:color w:val="000000"/>
          <w:lang w:val="es-PE" w:eastAsia="es-ES"/>
        </w:rPr>
        <w:t>faecalis</w:t>
      </w:r>
      <w:proofErr w:type="spellEnd"/>
      <w:r w:rsidRPr="00B33C9A">
        <w:rPr>
          <w:color w:val="000000"/>
          <w:lang w:val="es-PE" w:eastAsia="es-ES"/>
        </w:rPr>
        <w:t xml:space="preserve"> </w:t>
      </w:r>
      <w:proofErr w:type="spellStart"/>
      <w:r w:rsidRPr="00B33C9A">
        <w:rPr>
          <w:color w:val="000000"/>
          <w:lang w:val="es-PE" w:eastAsia="es-ES"/>
        </w:rPr>
        <w:t>ATCC</w:t>
      </w:r>
      <w:r w:rsidRPr="00B33C9A">
        <w:rPr>
          <w:color w:val="000000"/>
          <w:vertAlign w:val="superscript"/>
          <w:lang w:val="es-PE" w:eastAsia="es-ES"/>
        </w:rPr>
        <w:t>®</w:t>
      </w:r>
      <w:r w:rsidRPr="00B33C9A">
        <w:rPr>
          <w:color w:val="000000"/>
          <w:lang w:val="es-PE" w:eastAsia="es-ES"/>
        </w:rPr>
        <w:t>29212</w:t>
      </w:r>
      <w:r w:rsidRPr="00B33C9A">
        <w:rPr>
          <w:color w:val="000000"/>
          <w:vertAlign w:val="superscript"/>
          <w:lang w:val="es-PE" w:eastAsia="es-ES"/>
        </w:rPr>
        <w:t>TM</w:t>
      </w:r>
      <w:proofErr w:type="spellEnd"/>
      <w:r w:rsidRPr="00B33C9A">
        <w:rPr>
          <w:color w:val="000000"/>
          <w:lang w:val="es-PE" w:eastAsia="es-ES"/>
        </w:rPr>
        <w:t xml:space="preserve">, superior al de la clorhexidina 0,12 %. </w:t>
      </w:r>
    </w:p>
    <w:p w14:paraId="7F619FC0" w14:textId="77777777" w:rsidR="00B33C9A" w:rsidRPr="00B33C9A" w:rsidRDefault="00B33C9A" w:rsidP="00B33C9A">
      <w:pPr>
        <w:spacing w:line="360" w:lineRule="auto"/>
        <w:jc w:val="both"/>
        <w:rPr>
          <w:color w:val="000000"/>
          <w:lang w:val="es-PE" w:eastAsia="es-ES"/>
        </w:rPr>
      </w:pPr>
      <w:r w:rsidRPr="00B33C9A">
        <w:rPr>
          <w:color w:val="000000"/>
          <w:lang w:val="es-PE" w:eastAsia="es-ES"/>
        </w:rPr>
        <w:t xml:space="preserve">Se recomienda a la comunidad científica continuar investigando el potencial antimicrobiano de </w:t>
      </w:r>
      <w:proofErr w:type="spellStart"/>
      <w:r w:rsidRPr="00B33C9A">
        <w:rPr>
          <w:i/>
          <w:iCs/>
          <w:color w:val="000000"/>
          <w:lang w:val="es-PE" w:eastAsia="es-ES"/>
        </w:rPr>
        <w:t>Azadirachta</w:t>
      </w:r>
      <w:proofErr w:type="spellEnd"/>
      <w:r w:rsidRPr="00B33C9A">
        <w:rPr>
          <w:i/>
          <w:iCs/>
          <w:color w:val="000000"/>
          <w:lang w:val="es-PE" w:eastAsia="es-ES"/>
        </w:rPr>
        <w:t xml:space="preserve"> indica</w:t>
      </w:r>
      <w:r w:rsidRPr="00B33C9A">
        <w:rPr>
          <w:color w:val="000000"/>
          <w:lang w:val="es-PE" w:eastAsia="es-ES"/>
        </w:rPr>
        <w:t xml:space="preserve"> (</w:t>
      </w:r>
      <w:proofErr w:type="spellStart"/>
      <w:r w:rsidRPr="00B33C9A">
        <w:rPr>
          <w:color w:val="000000"/>
          <w:lang w:val="es-PE" w:eastAsia="es-ES"/>
        </w:rPr>
        <w:t>neem</w:t>
      </w:r>
      <w:proofErr w:type="spellEnd"/>
      <w:r w:rsidRPr="00B33C9A">
        <w:rPr>
          <w:color w:val="000000"/>
          <w:lang w:val="es-PE" w:eastAsia="es-ES"/>
        </w:rPr>
        <w:t>) a fin de que a mediano plazo sus compuestos bioactivos puedan ser utilizados para el control de microorganismos de interés estomatológico y como producto complementario en la higiene oral.</w:t>
      </w:r>
    </w:p>
    <w:p w14:paraId="5F3A917E" w14:textId="77777777" w:rsidR="00B33C9A" w:rsidRPr="00B33C9A" w:rsidRDefault="00B33C9A" w:rsidP="00B33C9A">
      <w:pPr>
        <w:spacing w:line="360" w:lineRule="auto"/>
        <w:jc w:val="both"/>
        <w:rPr>
          <w:color w:val="000000"/>
          <w:lang w:val="es-PE" w:eastAsia="es-ES"/>
        </w:rPr>
      </w:pPr>
    </w:p>
    <w:p w14:paraId="64EC7BA4" w14:textId="77777777" w:rsidR="00B33C9A" w:rsidRPr="00B33C9A" w:rsidRDefault="00B33C9A" w:rsidP="00B33C9A">
      <w:pPr>
        <w:spacing w:line="360" w:lineRule="auto"/>
        <w:jc w:val="both"/>
        <w:rPr>
          <w:b/>
          <w:color w:val="000000"/>
          <w:lang w:val="es-PE" w:eastAsia="es-ES"/>
        </w:rPr>
      </w:pPr>
    </w:p>
    <w:p w14:paraId="5F503FDB" w14:textId="77777777" w:rsidR="00B33C9A" w:rsidRPr="00B33C9A" w:rsidRDefault="00B33C9A" w:rsidP="00B33C9A">
      <w:pPr>
        <w:spacing w:line="360" w:lineRule="auto"/>
        <w:jc w:val="center"/>
        <w:rPr>
          <w:sz w:val="32"/>
          <w:szCs w:val="32"/>
          <w:lang w:val="en-US" w:eastAsia="es-ES"/>
        </w:rPr>
      </w:pPr>
      <w:proofErr w:type="spellStart"/>
      <w:r w:rsidRPr="00B33C9A">
        <w:rPr>
          <w:b/>
          <w:color w:val="000000"/>
          <w:sz w:val="32"/>
          <w:szCs w:val="32"/>
          <w:lang w:val="en-US" w:eastAsia="es-ES"/>
        </w:rPr>
        <w:t>REFERENCIAS</w:t>
      </w:r>
      <w:proofErr w:type="spellEnd"/>
      <w:r w:rsidRPr="00B33C9A">
        <w:rPr>
          <w:b/>
          <w:color w:val="000000"/>
          <w:sz w:val="32"/>
          <w:szCs w:val="32"/>
          <w:lang w:val="en-US" w:eastAsia="es-ES"/>
        </w:rPr>
        <w:t xml:space="preserve"> </w:t>
      </w:r>
      <w:proofErr w:type="spellStart"/>
      <w:r w:rsidRPr="00B33C9A">
        <w:rPr>
          <w:b/>
          <w:color w:val="000000"/>
          <w:sz w:val="32"/>
          <w:szCs w:val="32"/>
          <w:lang w:val="en-US" w:eastAsia="es-ES"/>
        </w:rPr>
        <w:t>BIBLIOGRÁFICAS</w:t>
      </w:r>
      <w:proofErr w:type="spellEnd"/>
    </w:p>
    <w:p w14:paraId="24AEA960" w14:textId="77777777" w:rsidR="00B33C9A" w:rsidRPr="00B33C9A" w:rsidRDefault="00B33C9A" w:rsidP="00B33C9A">
      <w:pPr>
        <w:spacing w:line="360" w:lineRule="auto"/>
        <w:contextualSpacing/>
        <w:rPr>
          <w:rFonts w:eastAsia="Calibri"/>
          <w:color w:val="000000"/>
          <w:lang w:val="en-US" w:eastAsia="en-US"/>
        </w:rPr>
      </w:pPr>
      <w:bookmarkStart w:id="19" w:name="_heading=h.3q5sasy" w:colFirst="0" w:colLast="0"/>
      <w:bookmarkEnd w:id="19"/>
      <w:r w:rsidRPr="00B33C9A">
        <w:rPr>
          <w:rFonts w:eastAsia="Calibri"/>
          <w:color w:val="000000"/>
          <w:lang w:val="en-US" w:eastAsia="en-US"/>
        </w:rPr>
        <w:t xml:space="preserve">1. Peres MA, Macpherson </w:t>
      </w:r>
      <w:proofErr w:type="spellStart"/>
      <w:r w:rsidRPr="00B33C9A">
        <w:rPr>
          <w:rFonts w:eastAsia="Calibri"/>
          <w:color w:val="000000"/>
          <w:lang w:val="en-US" w:eastAsia="en-US"/>
        </w:rPr>
        <w:t>LM</w:t>
      </w:r>
      <w:proofErr w:type="spellEnd"/>
      <w:r w:rsidRPr="00B33C9A">
        <w:rPr>
          <w:rFonts w:eastAsia="Calibri"/>
          <w:color w:val="000000"/>
          <w:lang w:val="en-US" w:eastAsia="en-US"/>
        </w:rPr>
        <w:t xml:space="preserve">, </w:t>
      </w:r>
      <w:proofErr w:type="spellStart"/>
      <w:r w:rsidRPr="00B33C9A">
        <w:rPr>
          <w:rFonts w:eastAsia="Calibri"/>
          <w:color w:val="000000"/>
          <w:lang w:val="en-US" w:eastAsia="en-US"/>
        </w:rPr>
        <w:t>Weyant</w:t>
      </w:r>
      <w:proofErr w:type="spellEnd"/>
      <w:r w:rsidRPr="00B33C9A">
        <w:rPr>
          <w:rFonts w:eastAsia="Calibri"/>
          <w:color w:val="000000"/>
          <w:lang w:val="en-US" w:eastAsia="en-US"/>
        </w:rPr>
        <w:t xml:space="preserve"> RJ, Daly B, </w:t>
      </w:r>
      <w:proofErr w:type="spellStart"/>
      <w:r w:rsidRPr="00B33C9A">
        <w:rPr>
          <w:rFonts w:eastAsia="Calibri"/>
          <w:color w:val="000000"/>
          <w:lang w:val="en-US" w:eastAsia="en-US"/>
        </w:rPr>
        <w:t>Venturelli</w:t>
      </w:r>
      <w:proofErr w:type="spellEnd"/>
      <w:r w:rsidRPr="00B33C9A">
        <w:rPr>
          <w:rFonts w:eastAsia="Calibri"/>
          <w:color w:val="000000"/>
          <w:lang w:val="en-US" w:eastAsia="en-US"/>
        </w:rPr>
        <w:t xml:space="preserve"> R, Mathur MR, et al. Oral diseases: a global public health challenge. Lancet. 2019; 394(10194):249-60. DOI: 10.1016/</w:t>
      </w:r>
      <w:proofErr w:type="spellStart"/>
      <w:r w:rsidRPr="00B33C9A">
        <w:rPr>
          <w:rFonts w:eastAsia="Calibri"/>
          <w:color w:val="000000"/>
          <w:lang w:val="en-US" w:eastAsia="en-US"/>
        </w:rPr>
        <w:t>S0140</w:t>
      </w:r>
      <w:proofErr w:type="spellEnd"/>
      <w:r w:rsidRPr="00B33C9A">
        <w:rPr>
          <w:rFonts w:eastAsia="Calibri"/>
          <w:color w:val="000000"/>
          <w:lang w:val="en-US" w:eastAsia="en-US"/>
        </w:rPr>
        <w:t>-6736(19)31146-8</w:t>
      </w:r>
    </w:p>
    <w:p w14:paraId="5BA4822B"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 Yadav K, Prakash S. Dental Caries: A Microbiological Approach. J Clin Infect Dis </w:t>
      </w:r>
      <w:proofErr w:type="spellStart"/>
      <w:r w:rsidRPr="00B33C9A">
        <w:rPr>
          <w:rFonts w:eastAsia="Calibri"/>
          <w:color w:val="000000"/>
          <w:lang w:val="en-US" w:eastAsia="en-US"/>
        </w:rPr>
        <w:t>Pract</w:t>
      </w:r>
      <w:proofErr w:type="spellEnd"/>
      <w:r w:rsidRPr="00B33C9A">
        <w:rPr>
          <w:rFonts w:eastAsia="Calibri"/>
          <w:color w:val="000000"/>
          <w:lang w:val="en-US" w:eastAsia="en-US"/>
        </w:rPr>
        <w:t>. 2017; 2(1):1000118. DOI: 10.4172/2476-</w:t>
      </w:r>
      <w:proofErr w:type="spellStart"/>
      <w:r w:rsidRPr="00B33C9A">
        <w:rPr>
          <w:rFonts w:eastAsia="Calibri"/>
          <w:color w:val="000000"/>
          <w:lang w:val="en-US" w:eastAsia="en-US"/>
        </w:rPr>
        <w:t>213X.1000118</w:t>
      </w:r>
      <w:proofErr w:type="spellEnd"/>
    </w:p>
    <w:p w14:paraId="51229199" w14:textId="77777777" w:rsidR="00B33C9A" w:rsidRPr="00B33C9A" w:rsidRDefault="00B33C9A" w:rsidP="00B33C9A">
      <w:pPr>
        <w:spacing w:line="360" w:lineRule="auto"/>
        <w:contextualSpacing/>
        <w:rPr>
          <w:rFonts w:eastAsia="Calibri"/>
          <w:color w:val="000000"/>
          <w:lang w:val="es-PE" w:eastAsia="en-US"/>
        </w:rPr>
      </w:pPr>
      <w:r w:rsidRPr="00B33C9A">
        <w:rPr>
          <w:rFonts w:eastAsia="Calibri"/>
          <w:color w:val="000000"/>
          <w:lang w:val="en-US" w:eastAsia="en-US"/>
        </w:rPr>
        <w:t xml:space="preserve">3. </w:t>
      </w:r>
      <w:proofErr w:type="spellStart"/>
      <w:r w:rsidRPr="00B33C9A">
        <w:rPr>
          <w:rFonts w:eastAsia="Calibri"/>
          <w:color w:val="000000"/>
          <w:lang w:val="en-US" w:eastAsia="en-US"/>
        </w:rPr>
        <w:t>Rathee</w:t>
      </w:r>
      <w:proofErr w:type="spellEnd"/>
      <w:r w:rsidRPr="00B33C9A">
        <w:rPr>
          <w:rFonts w:eastAsia="Calibri"/>
          <w:color w:val="000000"/>
          <w:lang w:val="en-US" w:eastAsia="en-US"/>
        </w:rPr>
        <w:t xml:space="preserve"> M, </w:t>
      </w:r>
      <w:proofErr w:type="spellStart"/>
      <w:r w:rsidRPr="00B33C9A">
        <w:rPr>
          <w:rFonts w:eastAsia="Calibri"/>
          <w:color w:val="000000"/>
          <w:lang w:val="en-US" w:eastAsia="en-US"/>
        </w:rPr>
        <w:t>Sapra</w:t>
      </w:r>
      <w:proofErr w:type="spellEnd"/>
      <w:r w:rsidRPr="00B33C9A">
        <w:rPr>
          <w:rFonts w:eastAsia="Calibri"/>
          <w:color w:val="000000"/>
          <w:lang w:val="en-US" w:eastAsia="en-US"/>
        </w:rPr>
        <w:t xml:space="preserve"> A. Dental Caries. Treasure Island (FL): </w:t>
      </w:r>
      <w:proofErr w:type="spellStart"/>
      <w:r w:rsidRPr="00B33C9A">
        <w:rPr>
          <w:rFonts w:eastAsia="Calibri"/>
          <w:color w:val="000000"/>
          <w:lang w:val="en-US" w:eastAsia="en-US"/>
        </w:rPr>
        <w:t>StatPearls</w:t>
      </w:r>
      <w:proofErr w:type="spellEnd"/>
      <w:r w:rsidRPr="00B33C9A">
        <w:rPr>
          <w:rFonts w:eastAsia="Calibri"/>
          <w:color w:val="000000"/>
          <w:lang w:val="en-US" w:eastAsia="en-US"/>
        </w:rPr>
        <w:t xml:space="preserve"> Publishing; 2022. </w:t>
      </w:r>
      <w:r w:rsidRPr="00B33C9A">
        <w:rPr>
          <w:rFonts w:eastAsia="Calibri"/>
          <w:color w:val="000000"/>
          <w:lang w:val="es-PE" w:eastAsia="en-US"/>
        </w:rPr>
        <w:t>[acceso: 02/06/2022</w:t>
      </w:r>
      <w:proofErr w:type="gramStart"/>
      <w:r w:rsidRPr="00B33C9A">
        <w:rPr>
          <w:rFonts w:eastAsia="Calibri"/>
          <w:color w:val="000000"/>
          <w:lang w:val="es-PE" w:eastAsia="en-US"/>
        </w:rPr>
        <w:t>]:[</w:t>
      </w:r>
      <w:proofErr w:type="gramEnd"/>
      <w:r w:rsidRPr="00B33C9A">
        <w:rPr>
          <w:rFonts w:eastAsia="Calibri"/>
          <w:color w:val="000000"/>
          <w:lang w:val="es-PE" w:eastAsia="en-US"/>
        </w:rPr>
        <w:t xml:space="preserve">aprox. 8 </w:t>
      </w:r>
      <w:proofErr w:type="spellStart"/>
      <w:r w:rsidRPr="00B33C9A">
        <w:rPr>
          <w:rFonts w:eastAsia="Calibri"/>
          <w:color w:val="000000"/>
          <w:lang w:val="es-PE" w:eastAsia="en-US"/>
        </w:rPr>
        <w:t>pant</w:t>
      </w:r>
      <w:proofErr w:type="spellEnd"/>
      <w:r w:rsidRPr="00B33C9A">
        <w:rPr>
          <w:rFonts w:eastAsia="Calibri"/>
          <w:color w:val="000000"/>
          <w:lang w:val="es-PE" w:eastAsia="en-US"/>
        </w:rPr>
        <w:t xml:space="preserve">.]. Disponible en: </w:t>
      </w:r>
      <w:hyperlink r:id="rId16" w:history="1">
        <w:r w:rsidRPr="00B33C9A">
          <w:rPr>
            <w:rFonts w:eastAsia="Calibri"/>
            <w:color w:val="0000FF"/>
            <w:u w:val="single"/>
            <w:lang w:val="es-PE" w:eastAsia="en-US"/>
          </w:rPr>
          <w:t>https://www.ncbi.nlm.nih.gov/books/NBK551699/</w:t>
        </w:r>
      </w:hyperlink>
      <w:r w:rsidRPr="00B33C9A">
        <w:rPr>
          <w:rFonts w:eastAsia="Calibri"/>
          <w:color w:val="000000"/>
          <w:lang w:val="es-PE" w:eastAsia="en-US"/>
        </w:rPr>
        <w:t xml:space="preserve"> </w:t>
      </w:r>
    </w:p>
    <w:p w14:paraId="36387C97"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4. </w:t>
      </w:r>
      <w:proofErr w:type="spellStart"/>
      <w:r w:rsidRPr="00B33C9A">
        <w:rPr>
          <w:rFonts w:eastAsia="Calibri"/>
          <w:color w:val="000000"/>
          <w:lang w:val="en-US" w:eastAsia="en-US"/>
        </w:rPr>
        <w:t>Crall</w:t>
      </w:r>
      <w:proofErr w:type="spellEnd"/>
      <w:r w:rsidRPr="00B33C9A">
        <w:rPr>
          <w:rFonts w:eastAsia="Calibri"/>
          <w:color w:val="000000"/>
          <w:lang w:val="en-US" w:eastAsia="en-US"/>
        </w:rPr>
        <w:t xml:space="preserve"> JJ, Forrest CB. A Life Course Health Development Perspective on Oral Health. In: </w:t>
      </w:r>
      <w:proofErr w:type="spellStart"/>
      <w:r w:rsidRPr="00B33C9A">
        <w:rPr>
          <w:rFonts w:eastAsia="Calibri"/>
          <w:color w:val="000000"/>
          <w:lang w:val="en-US" w:eastAsia="en-US"/>
        </w:rPr>
        <w:t>Halfon</w:t>
      </w:r>
      <w:proofErr w:type="spellEnd"/>
      <w:r w:rsidRPr="00B33C9A">
        <w:rPr>
          <w:rFonts w:eastAsia="Calibri"/>
          <w:color w:val="000000"/>
          <w:lang w:val="en-US" w:eastAsia="en-US"/>
        </w:rPr>
        <w:t xml:space="preserve"> N, Forrest C, Lerner R, </w:t>
      </w:r>
      <w:proofErr w:type="spellStart"/>
      <w:r w:rsidRPr="00B33C9A">
        <w:rPr>
          <w:rFonts w:eastAsia="Calibri"/>
          <w:color w:val="000000"/>
          <w:lang w:val="en-US" w:eastAsia="en-US"/>
        </w:rPr>
        <w:t>Faustman</w:t>
      </w:r>
      <w:proofErr w:type="spellEnd"/>
      <w:r w:rsidRPr="00B33C9A">
        <w:rPr>
          <w:rFonts w:eastAsia="Calibri"/>
          <w:color w:val="000000"/>
          <w:lang w:val="en-US" w:eastAsia="en-US"/>
        </w:rPr>
        <w:t xml:space="preserve"> E (eds). Handbook of Life Course Health Development. Springer, Cham. 2018. p. 299–320. DOI: 10.1007/978-3-319-47143-3_13</w:t>
      </w:r>
    </w:p>
    <w:p w14:paraId="301076D0"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lastRenderedPageBreak/>
        <w:t xml:space="preserve">5. Alghamdi F, Shakir M. The Influence of Enterococcus faecalis as a Dental Root Canal Pathogen on Endodontic Treatment: A Systematic Review. </w:t>
      </w:r>
      <w:proofErr w:type="spellStart"/>
      <w:r w:rsidRPr="00B33C9A">
        <w:rPr>
          <w:rFonts w:eastAsia="Calibri"/>
          <w:color w:val="000000"/>
          <w:lang w:val="en-US" w:eastAsia="en-US"/>
        </w:rPr>
        <w:t>Cureus</w:t>
      </w:r>
      <w:proofErr w:type="spellEnd"/>
      <w:r w:rsidRPr="00B33C9A">
        <w:rPr>
          <w:rFonts w:eastAsia="Calibri"/>
          <w:color w:val="000000"/>
          <w:lang w:val="en-US" w:eastAsia="en-US"/>
        </w:rPr>
        <w:t>. 2020; 12(3</w:t>
      </w:r>
      <w:proofErr w:type="gramStart"/>
      <w:r w:rsidRPr="00B33C9A">
        <w:rPr>
          <w:rFonts w:eastAsia="Calibri"/>
          <w:color w:val="000000"/>
          <w:lang w:val="en-US" w:eastAsia="en-US"/>
        </w:rPr>
        <w:t>):</w:t>
      </w:r>
      <w:proofErr w:type="spellStart"/>
      <w:r w:rsidRPr="00B33C9A">
        <w:rPr>
          <w:rFonts w:eastAsia="Calibri"/>
          <w:color w:val="000000"/>
          <w:lang w:val="en-US" w:eastAsia="en-US"/>
        </w:rPr>
        <w:t>e</w:t>
      </w:r>
      <w:proofErr w:type="gramEnd"/>
      <w:r w:rsidRPr="00B33C9A">
        <w:rPr>
          <w:rFonts w:eastAsia="Calibri"/>
          <w:color w:val="000000"/>
          <w:lang w:val="en-US" w:eastAsia="en-US"/>
        </w:rPr>
        <w:t>7257</w:t>
      </w:r>
      <w:proofErr w:type="spellEnd"/>
      <w:r w:rsidRPr="00B33C9A">
        <w:rPr>
          <w:rFonts w:eastAsia="Calibri"/>
          <w:color w:val="000000"/>
          <w:lang w:val="en-US" w:eastAsia="en-US"/>
        </w:rPr>
        <w:t>. DOI: 10.7759/</w:t>
      </w:r>
      <w:proofErr w:type="spellStart"/>
      <w:r w:rsidRPr="00B33C9A">
        <w:rPr>
          <w:rFonts w:eastAsia="Calibri"/>
          <w:color w:val="000000"/>
          <w:lang w:val="en-US" w:eastAsia="en-US"/>
        </w:rPr>
        <w:t>cureus.7257</w:t>
      </w:r>
      <w:proofErr w:type="spellEnd"/>
    </w:p>
    <w:p w14:paraId="02AAC7C2"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6. Siqueira </w:t>
      </w:r>
      <w:proofErr w:type="spellStart"/>
      <w:r w:rsidRPr="00B33C9A">
        <w:rPr>
          <w:rFonts w:eastAsia="Calibri"/>
          <w:color w:val="000000"/>
          <w:lang w:val="en-US" w:eastAsia="en-US"/>
        </w:rPr>
        <w:t>JF</w:t>
      </w:r>
      <w:proofErr w:type="spellEnd"/>
      <w:r w:rsidRPr="00B33C9A">
        <w:rPr>
          <w:rFonts w:eastAsia="Calibri"/>
          <w:color w:val="000000"/>
          <w:lang w:val="en-US" w:eastAsia="en-US"/>
        </w:rPr>
        <w:t xml:space="preserve">, </w:t>
      </w:r>
      <w:proofErr w:type="spellStart"/>
      <w:r w:rsidRPr="00B33C9A">
        <w:rPr>
          <w:rFonts w:eastAsia="Calibri"/>
          <w:color w:val="000000"/>
          <w:lang w:val="en-US" w:eastAsia="en-US"/>
        </w:rPr>
        <w:t>Rôças</w:t>
      </w:r>
      <w:proofErr w:type="spellEnd"/>
      <w:r w:rsidRPr="00B33C9A">
        <w:rPr>
          <w:rFonts w:eastAsia="Calibri"/>
          <w:color w:val="000000"/>
          <w:lang w:val="en-US" w:eastAsia="en-US"/>
        </w:rPr>
        <w:t xml:space="preserve"> IN. Current status and future directions: Microbiology of endodontic infections. Int. </w:t>
      </w:r>
      <w:proofErr w:type="spellStart"/>
      <w:r w:rsidRPr="00B33C9A">
        <w:rPr>
          <w:rFonts w:eastAsia="Calibri"/>
          <w:color w:val="000000"/>
          <w:lang w:val="en-US" w:eastAsia="en-US"/>
        </w:rPr>
        <w:t>Endod</w:t>
      </w:r>
      <w:proofErr w:type="spellEnd"/>
      <w:r w:rsidRPr="00B33C9A">
        <w:rPr>
          <w:rFonts w:eastAsia="Calibri"/>
          <w:color w:val="000000"/>
          <w:lang w:val="en-US" w:eastAsia="en-US"/>
        </w:rPr>
        <w:t xml:space="preserve"> J. 2022; 55(3):512–30. DOI: 10.1111/</w:t>
      </w:r>
      <w:proofErr w:type="spellStart"/>
      <w:r w:rsidRPr="00B33C9A">
        <w:rPr>
          <w:rFonts w:eastAsia="Calibri"/>
          <w:color w:val="000000"/>
          <w:lang w:val="en-US" w:eastAsia="en-US"/>
        </w:rPr>
        <w:t>iej.13677</w:t>
      </w:r>
      <w:proofErr w:type="spellEnd"/>
    </w:p>
    <w:p w14:paraId="6CBE07CF"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7. Prada I, </w:t>
      </w:r>
      <w:proofErr w:type="spellStart"/>
      <w:r w:rsidRPr="00B33C9A">
        <w:rPr>
          <w:rFonts w:eastAsia="Calibri"/>
          <w:color w:val="000000"/>
          <w:lang w:val="en-US" w:eastAsia="en-US"/>
        </w:rPr>
        <w:t>Micó</w:t>
      </w:r>
      <w:proofErr w:type="spellEnd"/>
      <w:r w:rsidRPr="00B33C9A">
        <w:rPr>
          <w:rFonts w:eastAsia="Calibri"/>
          <w:color w:val="000000"/>
          <w:lang w:val="en-US" w:eastAsia="en-US"/>
        </w:rPr>
        <w:t xml:space="preserve">-Muñoz P, </w:t>
      </w:r>
      <w:proofErr w:type="spellStart"/>
      <w:r w:rsidRPr="00B33C9A">
        <w:rPr>
          <w:rFonts w:eastAsia="Calibri"/>
          <w:color w:val="000000"/>
          <w:lang w:val="en-US" w:eastAsia="en-US"/>
        </w:rPr>
        <w:t>Giner-Lluesma</w:t>
      </w:r>
      <w:proofErr w:type="spellEnd"/>
      <w:r w:rsidRPr="00B33C9A">
        <w:rPr>
          <w:rFonts w:eastAsia="Calibri"/>
          <w:color w:val="000000"/>
          <w:lang w:val="en-US" w:eastAsia="en-US"/>
        </w:rPr>
        <w:t xml:space="preserve"> T, </w:t>
      </w:r>
      <w:proofErr w:type="spellStart"/>
      <w:r w:rsidRPr="00B33C9A">
        <w:rPr>
          <w:rFonts w:eastAsia="Calibri"/>
          <w:color w:val="000000"/>
          <w:lang w:val="en-US" w:eastAsia="en-US"/>
        </w:rPr>
        <w:t>Micó</w:t>
      </w:r>
      <w:proofErr w:type="spellEnd"/>
      <w:r w:rsidRPr="00B33C9A">
        <w:rPr>
          <w:rFonts w:eastAsia="Calibri"/>
          <w:color w:val="000000"/>
          <w:lang w:val="en-US" w:eastAsia="en-US"/>
        </w:rPr>
        <w:t xml:space="preserve">-Martínez P, </w:t>
      </w:r>
      <w:proofErr w:type="spellStart"/>
      <w:r w:rsidRPr="00B33C9A">
        <w:rPr>
          <w:rFonts w:eastAsia="Calibri"/>
          <w:color w:val="000000"/>
          <w:lang w:val="en-US" w:eastAsia="en-US"/>
        </w:rPr>
        <w:t>Collado</w:t>
      </w:r>
      <w:proofErr w:type="spellEnd"/>
      <w:r w:rsidRPr="00B33C9A">
        <w:rPr>
          <w:rFonts w:eastAsia="Calibri"/>
          <w:color w:val="000000"/>
          <w:lang w:val="en-US" w:eastAsia="en-US"/>
        </w:rPr>
        <w:t>-Castellano N, Manzano-</w:t>
      </w:r>
      <w:proofErr w:type="spellStart"/>
      <w:r w:rsidRPr="00B33C9A">
        <w:rPr>
          <w:rFonts w:eastAsia="Calibri"/>
          <w:color w:val="000000"/>
          <w:lang w:val="en-US" w:eastAsia="en-US"/>
        </w:rPr>
        <w:t>Saiz</w:t>
      </w:r>
      <w:proofErr w:type="spellEnd"/>
      <w:r w:rsidRPr="00B33C9A">
        <w:rPr>
          <w:rFonts w:eastAsia="Calibri"/>
          <w:color w:val="000000"/>
          <w:lang w:val="en-US" w:eastAsia="en-US"/>
        </w:rPr>
        <w:t xml:space="preserve"> A. Influence of microbiology on endodontic failure. Literature review. Med Oral </w:t>
      </w:r>
      <w:proofErr w:type="spellStart"/>
      <w:r w:rsidRPr="00B33C9A">
        <w:rPr>
          <w:rFonts w:eastAsia="Calibri"/>
          <w:color w:val="000000"/>
          <w:lang w:val="en-US" w:eastAsia="en-US"/>
        </w:rPr>
        <w:t>Patol</w:t>
      </w:r>
      <w:proofErr w:type="spellEnd"/>
      <w:r w:rsidRPr="00B33C9A">
        <w:rPr>
          <w:rFonts w:eastAsia="Calibri"/>
          <w:color w:val="000000"/>
          <w:lang w:val="en-US" w:eastAsia="en-US"/>
        </w:rPr>
        <w:t xml:space="preserve"> Oral Cir </w:t>
      </w:r>
      <w:proofErr w:type="spellStart"/>
      <w:r w:rsidRPr="00B33C9A">
        <w:rPr>
          <w:rFonts w:eastAsia="Calibri"/>
          <w:color w:val="000000"/>
          <w:lang w:val="en-US" w:eastAsia="en-US"/>
        </w:rPr>
        <w:t>Bucal</w:t>
      </w:r>
      <w:proofErr w:type="spellEnd"/>
      <w:r w:rsidRPr="00B33C9A">
        <w:rPr>
          <w:rFonts w:eastAsia="Calibri"/>
          <w:color w:val="000000"/>
          <w:lang w:val="en-US" w:eastAsia="en-US"/>
        </w:rPr>
        <w:t>. 2019; 24(3</w:t>
      </w:r>
      <w:proofErr w:type="gramStart"/>
      <w:r w:rsidRPr="00B33C9A">
        <w:rPr>
          <w:rFonts w:eastAsia="Calibri"/>
          <w:color w:val="000000"/>
          <w:lang w:val="en-US" w:eastAsia="en-US"/>
        </w:rPr>
        <w:t>):</w:t>
      </w:r>
      <w:proofErr w:type="spellStart"/>
      <w:r w:rsidRPr="00B33C9A">
        <w:rPr>
          <w:rFonts w:eastAsia="Calibri"/>
          <w:color w:val="000000"/>
          <w:lang w:val="en-US" w:eastAsia="en-US"/>
        </w:rPr>
        <w:t>e</w:t>
      </w:r>
      <w:proofErr w:type="gramEnd"/>
      <w:r w:rsidRPr="00B33C9A">
        <w:rPr>
          <w:rFonts w:eastAsia="Calibri"/>
          <w:color w:val="000000"/>
          <w:lang w:val="en-US" w:eastAsia="en-US"/>
        </w:rPr>
        <w:t>364-e372</w:t>
      </w:r>
      <w:proofErr w:type="spellEnd"/>
      <w:r w:rsidRPr="00B33C9A">
        <w:rPr>
          <w:rFonts w:eastAsia="Calibri"/>
          <w:color w:val="000000"/>
          <w:lang w:val="en-US" w:eastAsia="en-US"/>
        </w:rPr>
        <w:t>. DOI: 10.4317/</w:t>
      </w:r>
      <w:proofErr w:type="spellStart"/>
      <w:r w:rsidRPr="00B33C9A">
        <w:rPr>
          <w:rFonts w:eastAsia="Calibri"/>
          <w:color w:val="000000"/>
          <w:lang w:val="en-US" w:eastAsia="en-US"/>
        </w:rPr>
        <w:t>medoral.22907</w:t>
      </w:r>
      <w:proofErr w:type="spellEnd"/>
    </w:p>
    <w:p w14:paraId="513E8218"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8. </w:t>
      </w:r>
      <w:proofErr w:type="spellStart"/>
      <w:r w:rsidRPr="00B33C9A">
        <w:rPr>
          <w:rFonts w:eastAsia="Calibri"/>
          <w:color w:val="000000"/>
          <w:lang w:val="en-US" w:eastAsia="en-US"/>
        </w:rPr>
        <w:t>Rajendiran</w:t>
      </w:r>
      <w:proofErr w:type="spellEnd"/>
      <w:r w:rsidRPr="00B33C9A">
        <w:rPr>
          <w:rFonts w:eastAsia="Calibri"/>
          <w:color w:val="000000"/>
          <w:lang w:val="en-US" w:eastAsia="en-US"/>
        </w:rPr>
        <w:t xml:space="preserve"> M, Trivedi HM, Chen D, </w:t>
      </w:r>
      <w:proofErr w:type="spellStart"/>
      <w:r w:rsidRPr="00B33C9A">
        <w:rPr>
          <w:rFonts w:eastAsia="Calibri"/>
          <w:color w:val="000000"/>
          <w:lang w:val="en-US" w:eastAsia="en-US"/>
        </w:rPr>
        <w:t>Gajendrareddy</w:t>
      </w:r>
      <w:proofErr w:type="spellEnd"/>
      <w:r w:rsidRPr="00B33C9A">
        <w:rPr>
          <w:rFonts w:eastAsia="Calibri"/>
          <w:color w:val="000000"/>
          <w:lang w:val="en-US" w:eastAsia="en-US"/>
        </w:rPr>
        <w:t xml:space="preserve"> P, Chen L. Recent Development of Active Ingredients in Mouthwashes and Toothpastes for Periodontal Diseases. Molecules. 2021; 26(7):2001. DOI: 10.3390/</w:t>
      </w:r>
      <w:proofErr w:type="spellStart"/>
      <w:r w:rsidRPr="00B33C9A">
        <w:rPr>
          <w:rFonts w:eastAsia="Calibri"/>
          <w:color w:val="000000"/>
          <w:lang w:val="en-US" w:eastAsia="en-US"/>
        </w:rPr>
        <w:t>molecules26072001</w:t>
      </w:r>
      <w:proofErr w:type="spellEnd"/>
    </w:p>
    <w:p w14:paraId="6611A0DE"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9. </w:t>
      </w:r>
      <w:proofErr w:type="spellStart"/>
      <w:r w:rsidRPr="00B33C9A">
        <w:rPr>
          <w:rFonts w:eastAsia="Calibri"/>
          <w:color w:val="000000"/>
          <w:lang w:val="en-US" w:eastAsia="en-US"/>
        </w:rPr>
        <w:t>Radzki</w:t>
      </w:r>
      <w:proofErr w:type="spellEnd"/>
      <w:r w:rsidRPr="00B33C9A">
        <w:rPr>
          <w:rFonts w:eastAsia="Calibri"/>
          <w:color w:val="000000"/>
          <w:lang w:val="en-US" w:eastAsia="en-US"/>
        </w:rPr>
        <w:t xml:space="preserve"> D, Wilhelm-</w:t>
      </w:r>
      <w:proofErr w:type="spellStart"/>
      <w:r w:rsidRPr="00B33C9A">
        <w:rPr>
          <w:rFonts w:eastAsia="Calibri"/>
          <w:color w:val="000000"/>
          <w:lang w:val="en-US" w:eastAsia="en-US"/>
        </w:rPr>
        <w:t>Węglarz</w:t>
      </w:r>
      <w:proofErr w:type="spellEnd"/>
      <w:r w:rsidRPr="00B33C9A">
        <w:rPr>
          <w:rFonts w:eastAsia="Calibri"/>
          <w:color w:val="000000"/>
          <w:lang w:val="en-US" w:eastAsia="en-US"/>
        </w:rPr>
        <w:t xml:space="preserve"> M, </w:t>
      </w:r>
      <w:proofErr w:type="spellStart"/>
      <w:r w:rsidRPr="00B33C9A">
        <w:rPr>
          <w:rFonts w:eastAsia="Calibri"/>
          <w:color w:val="000000"/>
          <w:lang w:val="en-US" w:eastAsia="en-US"/>
        </w:rPr>
        <w:t>Pruska</w:t>
      </w:r>
      <w:proofErr w:type="spellEnd"/>
      <w:r w:rsidRPr="00B33C9A">
        <w:rPr>
          <w:rFonts w:eastAsia="Calibri"/>
          <w:color w:val="000000"/>
          <w:lang w:val="en-US" w:eastAsia="en-US"/>
        </w:rPr>
        <w:t xml:space="preserve"> K, </w:t>
      </w:r>
      <w:proofErr w:type="spellStart"/>
      <w:r w:rsidRPr="00B33C9A">
        <w:rPr>
          <w:rFonts w:eastAsia="Calibri"/>
          <w:color w:val="000000"/>
          <w:lang w:val="en-US" w:eastAsia="en-US"/>
        </w:rPr>
        <w:t>Kusiak</w:t>
      </w:r>
      <w:proofErr w:type="spellEnd"/>
      <w:r w:rsidRPr="00B33C9A">
        <w:rPr>
          <w:rFonts w:eastAsia="Calibri"/>
          <w:color w:val="000000"/>
          <w:lang w:val="en-US" w:eastAsia="en-US"/>
        </w:rPr>
        <w:t xml:space="preserve"> A, </w:t>
      </w:r>
      <w:proofErr w:type="spellStart"/>
      <w:r w:rsidRPr="00B33C9A">
        <w:rPr>
          <w:rFonts w:eastAsia="Calibri"/>
          <w:color w:val="000000"/>
          <w:lang w:val="en-US" w:eastAsia="en-US"/>
        </w:rPr>
        <w:t>Ordyniec-Kwaśnica</w:t>
      </w:r>
      <w:proofErr w:type="spellEnd"/>
      <w:r w:rsidRPr="00B33C9A">
        <w:rPr>
          <w:rFonts w:eastAsia="Calibri"/>
          <w:color w:val="000000"/>
          <w:lang w:val="en-US" w:eastAsia="en-US"/>
        </w:rPr>
        <w:t xml:space="preserve"> I. A Fresh Look at Mouthwashes-What Is Inside and What Is It For? Int J Environ Res Public Health. 2022; 19(7):3926. DOI: 10.3390/</w:t>
      </w:r>
      <w:proofErr w:type="spellStart"/>
      <w:r w:rsidRPr="00B33C9A">
        <w:rPr>
          <w:rFonts w:eastAsia="Calibri"/>
          <w:color w:val="000000"/>
          <w:lang w:val="en-US" w:eastAsia="en-US"/>
        </w:rPr>
        <w:t>ijerph19073926</w:t>
      </w:r>
      <w:proofErr w:type="spellEnd"/>
    </w:p>
    <w:p w14:paraId="4D554FCC"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10. Uddin TM, Chakraborty AJ, </w:t>
      </w:r>
      <w:proofErr w:type="spellStart"/>
      <w:r w:rsidRPr="00B33C9A">
        <w:rPr>
          <w:rFonts w:eastAsia="Calibri"/>
          <w:color w:val="000000"/>
          <w:lang w:val="en-US" w:eastAsia="en-US"/>
        </w:rPr>
        <w:t>Khusro</w:t>
      </w:r>
      <w:proofErr w:type="spellEnd"/>
      <w:r w:rsidRPr="00B33C9A">
        <w:rPr>
          <w:rFonts w:eastAsia="Calibri"/>
          <w:color w:val="000000"/>
          <w:lang w:val="en-US" w:eastAsia="en-US"/>
        </w:rPr>
        <w:t xml:space="preserve"> A, </w:t>
      </w:r>
      <w:proofErr w:type="spellStart"/>
      <w:r w:rsidRPr="00B33C9A">
        <w:rPr>
          <w:rFonts w:eastAsia="Calibri"/>
          <w:color w:val="000000"/>
          <w:lang w:val="en-US" w:eastAsia="en-US"/>
        </w:rPr>
        <w:t>Zidan</w:t>
      </w:r>
      <w:proofErr w:type="spellEnd"/>
      <w:r w:rsidRPr="00B33C9A">
        <w:rPr>
          <w:rFonts w:eastAsia="Calibri"/>
          <w:color w:val="000000"/>
          <w:lang w:val="en-US" w:eastAsia="en-US"/>
        </w:rPr>
        <w:t xml:space="preserve"> BR, Mitra S, Emran TB, et al. Antibiotic resistance in microbes: History, mechanisms, therapeutic strategies and future prospects. J Infect Public Health. 2021; 14(12):1750-66. DOI: 10.1016/</w:t>
      </w:r>
      <w:proofErr w:type="spellStart"/>
      <w:r w:rsidRPr="00B33C9A">
        <w:rPr>
          <w:rFonts w:eastAsia="Calibri"/>
          <w:color w:val="000000"/>
          <w:lang w:val="en-US" w:eastAsia="en-US"/>
        </w:rPr>
        <w:t>j.jiph.2021.10.020</w:t>
      </w:r>
      <w:proofErr w:type="spellEnd"/>
    </w:p>
    <w:p w14:paraId="5CE31535"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11. </w:t>
      </w:r>
      <w:proofErr w:type="spellStart"/>
      <w:r w:rsidRPr="00B33C9A">
        <w:rPr>
          <w:rFonts w:eastAsia="Calibri"/>
          <w:color w:val="000000"/>
          <w:lang w:val="en-US" w:eastAsia="en-US"/>
        </w:rPr>
        <w:t>Miethke</w:t>
      </w:r>
      <w:proofErr w:type="spellEnd"/>
      <w:r w:rsidRPr="00B33C9A">
        <w:rPr>
          <w:rFonts w:eastAsia="Calibri"/>
          <w:color w:val="000000"/>
          <w:lang w:val="en-US" w:eastAsia="en-US"/>
        </w:rPr>
        <w:t xml:space="preserve"> M, </w:t>
      </w:r>
      <w:proofErr w:type="spellStart"/>
      <w:r w:rsidRPr="00B33C9A">
        <w:rPr>
          <w:rFonts w:eastAsia="Calibri"/>
          <w:color w:val="000000"/>
          <w:lang w:val="en-US" w:eastAsia="en-US"/>
        </w:rPr>
        <w:t>Pieroni</w:t>
      </w:r>
      <w:proofErr w:type="spellEnd"/>
      <w:r w:rsidRPr="00B33C9A">
        <w:rPr>
          <w:rFonts w:eastAsia="Calibri"/>
          <w:color w:val="000000"/>
          <w:lang w:val="en-US" w:eastAsia="en-US"/>
        </w:rPr>
        <w:t xml:space="preserve"> M, Weber T, </w:t>
      </w:r>
      <w:proofErr w:type="spellStart"/>
      <w:r w:rsidRPr="00B33C9A">
        <w:rPr>
          <w:rFonts w:eastAsia="Calibri"/>
          <w:color w:val="000000"/>
          <w:lang w:val="en-US" w:eastAsia="en-US"/>
        </w:rPr>
        <w:t>Brönstrup</w:t>
      </w:r>
      <w:proofErr w:type="spellEnd"/>
      <w:r w:rsidRPr="00B33C9A">
        <w:rPr>
          <w:rFonts w:eastAsia="Calibri"/>
          <w:color w:val="000000"/>
          <w:lang w:val="en-US" w:eastAsia="en-US"/>
        </w:rPr>
        <w:t xml:space="preserve"> M, </w:t>
      </w:r>
      <w:proofErr w:type="spellStart"/>
      <w:r w:rsidRPr="00B33C9A">
        <w:rPr>
          <w:rFonts w:eastAsia="Calibri"/>
          <w:color w:val="000000"/>
          <w:lang w:val="en-US" w:eastAsia="en-US"/>
        </w:rPr>
        <w:t>Hammann</w:t>
      </w:r>
      <w:proofErr w:type="spellEnd"/>
      <w:r w:rsidRPr="00B33C9A">
        <w:rPr>
          <w:rFonts w:eastAsia="Calibri"/>
          <w:color w:val="000000"/>
          <w:lang w:val="en-US" w:eastAsia="en-US"/>
        </w:rPr>
        <w:t xml:space="preserve"> P, </w:t>
      </w:r>
      <w:proofErr w:type="spellStart"/>
      <w:r w:rsidRPr="00B33C9A">
        <w:rPr>
          <w:rFonts w:eastAsia="Calibri"/>
          <w:color w:val="000000"/>
          <w:lang w:val="en-US" w:eastAsia="en-US"/>
        </w:rPr>
        <w:t>Halby</w:t>
      </w:r>
      <w:proofErr w:type="spellEnd"/>
      <w:r w:rsidRPr="00B33C9A">
        <w:rPr>
          <w:rFonts w:eastAsia="Calibri"/>
          <w:color w:val="000000"/>
          <w:lang w:val="en-US" w:eastAsia="en-US"/>
        </w:rPr>
        <w:t xml:space="preserve"> L, et al. Towards the sustainable discovery and development of new antibiotics. Nat Rev Chem. 2021; 5:726–49. DOI: 10.1038/</w:t>
      </w:r>
      <w:proofErr w:type="spellStart"/>
      <w:r w:rsidRPr="00B33C9A">
        <w:rPr>
          <w:rFonts w:eastAsia="Calibri"/>
          <w:color w:val="000000"/>
          <w:lang w:val="en-US" w:eastAsia="en-US"/>
        </w:rPr>
        <w:t>s41570</w:t>
      </w:r>
      <w:proofErr w:type="spellEnd"/>
      <w:r w:rsidRPr="00B33C9A">
        <w:rPr>
          <w:rFonts w:eastAsia="Calibri"/>
          <w:color w:val="000000"/>
          <w:lang w:val="en-US" w:eastAsia="en-US"/>
        </w:rPr>
        <w:t>-021-00313-1</w:t>
      </w:r>
    </w:p>
    <w:p w14:paraId="0EB172C4"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12. Kebede T, </w:t>
      </w:r>
      <w:proofErr w:type="spellStart"/>
      <w:r w:rsidRPr="00B33C9A">
        <w:rPr>
          <w:rFonts w:eastAsia="Calibri"/>
          <w:color w:val="000000"/>
          <w:lang w:val="en-US" w:eastAsia="en-US"/>
        </w:rPr>
        <w:t>Gadisa</w:t>
      </w:r>
      <w:proofErr w:type="spellEnd"/>
      <w:r w:rsidRPr="00B33C9A">
        <w:rPr>
          <w:rFonts w:eastAsia="Calibri"/>
          <w:color w:val="000000"/>
          <w:lang w:val="en-US" w:eastAsia="en-US"/>
        </w:rPr>
        <w:t xml:space="preserve"> E, Tufa A. Antimicrobial activities evaluation and phytochemical screening of some selected medicinal plants: A possible alternative in the treatment of multidrug-resistant microbes. </w:t>
      </w:r>
      <w:proofErr w:type="spellStart"/>
      <w:r w:rsidRPr="00B33C9A">
        <w:rPr>
          <w:rFonts w:eastAsia="Calibri"/>
          <w:color w:val="000000"/>
          <w:lang w:val="en-US" w:eastAsia="en-US"/>
        </w:rPr>
        <w:t>PLoS</w:t>
      </w:r>
      <w:proofErr w:type="spellEnd"/>
      <w:r w:rsidRPr="00B33C9A">
        <w:rPr>
          <w:rFonts w:eastAsia="Calibri"/>
          <w:color w:val="000000"/>
          <w:lang w:val="en-US" w:eastAsia="en-US"/>
        </w:rPr>
        <w:t xml:space="preserve"> ONE. 2021; 16(3</w:t>
      </w:r>
      <w:proofErr w:type="gramStart"/>
      <w:r w:rsidRPr="00B33C9A">
        <w:rPr>
          <w:rFonts w:eastAsia="Calibri"/>
          <w:color w:val="000000"/>
          <w:lang w:val="en-US" w:eastAsia="en-US"/>
        </w:rPr>
        <w:t>):</w:t>
      </w:r>
      <w:proofErr w:type="spellStart"/>
      <w:r w:rsidRPr="00B33C9A">
        <w:rPr>
          <w:rFonts w:eastAsia="Calibri"/>
          <w:color w:val="000000"/>
          <w:lang w:val="en-US" w:eastAsia="en-US"/>
        </w:rPr>
        <w:t>e</w:t>
      </w:r>
      <w:proofErr w:type="gramEnd"/>
      <w:r w:rsidRPr="00B33C9A">
        <w:rPr>
          <w:rFonts w:eastAsia="Calibri"/>
          <w:color w:val="000000"/>
          <w:lang w:val="en-US" w:eastAsia="en-US"/>
        </w:rPr>
        <w:t>0249253</w:t>
      </w:r>
      <w:proofErr w:type="spellEnd"/>
      <w:r w:rsidRPr="00B33C9A">
        <w:rPr>
          <w:rFonts w:eastAsia="Calibri"/>
          <w:color w:val="000000"/>
          <w:lang w:val="en-US" w:eastAsia="en-US"/>
        </w:rPr>
        <w:t xml:space="preserve">. </w:t>
      </w:r>
      <w:proofErr w:type="spellStart"/>
      <w:proofErr w:type="gramStart"/>
      <w:r w:rsidRPr="00B33C9A">
        <w:rPr>
          <w:rFonts w:eastAsia="Calibri"/>
          <w:color w:val="000000"/>
          <w:lang w:val="en-US" w:eastAsia="en-US"/>
        </w:rPr>
        <w:t>DOI:10.1371</w:t>
      </w:r>
      <w:proofErr w:type="spellEnd"/>
      <w:r w:rsidRPr="00B33C9A">
        <w:rPr>
          <w:rFonts w:eastAsia="Calibri"/>
          <w:color w:val="000000"/>
          <w:lang w:val="en-US" w:eastAsia="en-US"/>
        </w:rPr>
        <w:t>/</w:t>
      </w:r>
      <w:proofErr w:type="spellStart"/>
      <w:r w:rsidRPr="00B33C9A">
        <w:rPr>
          <w:rFonts w:eastAsia="Calibri"/>
          <w:color w:val="000000"/>
          <w:lang w:val="en-US" w:eastAsia="en-US"/>
        </w:rPr>
        <w:t>journal.pone</w:t>
      </w:r>
      <w:proofErr w:type="gramEnd"/>
      <w:r w:rsidRPr="00B33C9A">
        <w:rPr>
          <w:rFonts w:eastAsia="Calibri"/>
          <w:color w:val="000000"/>
          <w:lang w:val="en-US" w:eastAsia="en-US"/>
        </w:rPr>
        <w:t>.0249253</w:t>
      </w:r>
      <w:proofErr w:type="spellEnd"/>
    </w:p>
    <w:p w14:paraId="488C7AE1" w14:textId="77777777" w:rsidR="00B33C9A" w:rsidRPr="00B33C9A" w:rsidRDefault="00B33C9A" w:rsidP="00B33C9A">
      <w:pPr>
        <w:spacing w:line="360" w:lineRule="auto"/>
        <w:contextualSpacing/>
        <w:rPr>
          <w:rFonts w:eastAsia="Calibri"/>
          <w:color w:val="000000"/>
          <w:lang w:val="es-PE" w:eastAsia="en-US"/>
        </w:rPr>
      </w:pPr>
      <w:r w:rsidRPr="00B33C9A">
        <w:rPr>
          <w:rFonts w:eastAsia="Calibri"/>
          <w:color w:val="000000"/>
          <w:lang w:val="en-US" w:eastAsia="en-US"/>
        </w:rPr>
        <w:t xml:space="preserve">13. </w:t>
      </w:r>
      <w:proofErr w:type="spellStart"/>
      <w:r w:rsidRPr="00B33C9A">
        <w:rPr>
          <w:rFonts w:eastAsia="Calibri"/>
          <w:color w:val="000000"/>
          <w:lang w:val="en-US" w:eastAsia="en-US"/>
        </w:rPr>
        <w:t>Sedigh-Rahimabadi</w:t>
      </w:r>
      <w:proofErr w:type="spellEnd"/>
      <w:r w:rsidRPr="00B33C9A">
        <w:rPr>
          <w:rFonts w:eastAsia="Calibri"/>
          <w:color w:val="000000"/>
          <w:lang w:val="en-US" w:eastAsia="en-US"/>
        </w:rPr>
        <w:t xml:space="preserve"> M, </w:t>
      </w:r>
      <w:proofErr w:type="spellStart"/>
      <w:r w:rsidRPr="00B33C9A">
        <w:rPr>
          <w:rFonts w:eastAsia="Calibri"/>
          <w:color w:val="000000"/>
          <w:lang w:val="en-US" w:eastAsia="en-US"/>
        </w:rPr>
        <w:t>Fani</w:t>
      </w:r>
      <w:proofErr w:type="spellEnd"/>
      <w:r w:rsidRPr="00B33C9A">
        <w:rPr>
          <w:rFonts w:eastAsia="Calibri"/>
          <w:color w:val="000000"/>
          <w:lang w:val="en-US" w:eastAsia="en-US"/>
        </w:rPr>
        <w:t xml:space="preserve"> M, Rostami-</w:t>
      </w:r>
      <w:proofErr w:type="spellStart"/>
      <w:r w:rsidRPr="00B33C9A">
        <w:rPr>
          <w:rFonts w:eastAsia="Calibri"/>
          <w:color w:val="000000"/>
          <w:lang w:val="en-US" w:eastAsia="en-US"/>
        </w:rPr>
        <w:t>Chijan</w:t>
      </w:r>
      <w:proofErr w:type="spellEnd"/>
      <w:r w:rsidRPr="00B33C9A">
        <w:rPr>
          <w:rFonts w:eastAsia="Calibri"/>
          <w:color w:val="000000"/>
          <w:lang w:val="en-US" w:eastAsia="en-US"/>
        </w:rPr>
        <w:t xml:space="preserve"> M, </w:t>
      </w:r>
      <w:proofErr w:type="spellStart"/>
      <w:r w:rsidRPr="00B33C9A">
        <w:rPr>
          <w:rFonts w:eastAsia="Calibri"/>
          <w:color w:val="000000"/>
          <w:lang w:val="en-US" w:eastAsia="en-US"/>
        </w:rPr>
        <w:t>Zarshenas</w:t>
      </w:r>
      <w:proofErr w:type="spellEnd"/>
      <w:r w:rsidRPr="00B33C9A">
        <w:rPr>
          <w:rFonts w:eastAsia="Calibri"/>
          <w:color w:val="000000"/>
          <w:lang w:val="en-US" w:eastAsia="en-US"/>
        </w:rPr>
        <w:t xml:space="preserve"> MM, Shams M. A Traditional Mouthwash (Punica granatum var </w:t>
      </w:r>
      <w:proofErr w:type="spellStart"/>
      <w:r w:rsidRPr="00B33C9A">
        <w:rPr>
          <w:rFonts w:eastAsia="Calibri"/>
          <w:color w:val="000000"/>
          <w:lang w:val="en-US" w:eastAsia="en-US"/>
        </w:rPr>
        <w:t>pleniflora</w:t>
      </w:r>
      <w:proofErr w:type="spellEnd"/>
      <w:r w:rsidRPr="00B33C9A">
        <w:rPr>
          <w:rFonts w:eastAsia="Calibri"/>
          <w:color w:val="000000"/>
          <w:lang w:val="en-US" w:eastAsia="en-US"/>
        </w:rPr>
        <w:t xml:space="preserve">) for Controlling Gingivitis of Diabetic Patients: A Double-Blind Randomized Controlled Clinical Trial. </w:t>
      </w:r>
      <w:r w:rsidRPr="00B33C9A">
        <w:rPr>
          <w:rFonts w:eastAsia="Calibri"/>
          <w:color w:val="000000"/>
          <w:lang w:val="es-PE" w:eastAsia="en-US"/>
        </w:rPr>
        <w:t xml:space="preserve">J </w:t>
      </w:r>
      <w:proofErr w:type="spellStart"/>
      <w:r w:rsidRPr="00B33C9A">
        <w:rPr>
          <w:rFonts w:eastAsia="Calibri"/>
          <w:color w:val="000000"/>
          <w:lang w:val="es-PE" w:eastAsia="en-US"/>
        </w:rPr>
        <w:t>Evid</w:t>
      </w:r>
      <w:proofErr w:type="spellEnd"/>
      <w:r w:rsidRPr="00B33C9A">
        <w:rPr>
          <w:rFonts w:eastAsia="Calibri"/>
          <w:color w:val="000000"/>
          <w:lang w:val="es-PE" w:eastAsia="en-US"/>
        </w:rPr>
        <w:t xml:space="preserve"> </w:t>
      </w:r>
      <w:proofErr w:type="spellStart"/>
      <w:r w:rsidRPr="00B33C9A">
        <w:rPr>
          <w:rFonts w:eastAsia="Calibri"/>
          <w:color w:val="000000"/>
          <w:lang w:val="es-PE" w:eastAsia="en-US"/>
        </w:rPr>
        <w:t>Based</w:t>
      </w:r>
      <w:proofErr w:type="spellEnd"/>
      <w:r w:rsidRPr="00B33C9A">
        <w:rPr>
          <w:rFonts w:eastAsia="Calibri"/>
          <w:color w:val="000000"/>
          <w:lang w:val="es-PE" w:eastAsia="en-US"/>
        </w:rPr>
        <w:t xml:space="preserve"> </w:t>
      </w:r>
      <w:proofErr w:type="spellStart"/>
      <w:r w:rsidRPr="00B33C9A">
        <w:rPr>
          <w:rFonts w:eastAsia="Calibri"/>
          <w:color w:val="000000"/>
          <w:lang w:val="es-PE" w:eastAsia="en-US"/>
        </w:rPr>
        <w:t>Complementary</w:t>
      </w:r>
      <w:proofErr w:type="spellEnd"/>
      <w:r w:rsidRPr="00B33C9A">
        <w:rPr>
          <w:rFonts w:eastAsia="Calibri"/>
          <w:color w:val="000000"/>
          <w:lang w:val="es-PE" w:eastAsia="en-US"/>
        </w:rPr>
        <w:t xml:space="preserve"> </w:t>
      </w:r>
      <w:proofErr w:type="spellStart"/>
      <w:r w:rsidRPr="00B33C9A">
        <w:rPr>
          <w:rFonts w:eastAsia="Calibri"/>
          <w:color w:val="000000"/>
          <w:lang w:val="es-PE" w:eastAsia="en-US"/>
        </w:rPr>
        <w:t>Altern</w:t>
      </w:r>
      <w:proofErr w:type="spellEnd"/>
      <w:r w:rsidRPr="00B33C9A">
        <w:rPr>
          <w:rFonts w:eastAsia="Calibri"/>
          <w:color w:val="000000"/>
          <w:lang w:val="es-PE" w:eastAsia="en-US"/>
        </w:rPr>
        <w:t xml:space="preserve"> </w:t>
      </w:r>
      <w:proofErr w:type="spellStart"/>
      <w:r w:rsidRPr="00B33C9A">
        <w:rPr>
          <w:rFonts w:eastAsia="Calibri"/>
          <w:color w:val="000000"/>
          <w:lang w:val="es-PE" w:eastAsia="en-US"/>
        </w:rPr>
        <w:t>Med</w:t>
      </w:r>
      <w:proofErr w:type="spellEnd"/>
      <w:r w:rsidRPr="00B33C9A">
        <w:rPr>
          <w:rFonts w:eastAsia="Calibri"/>
          <w:color w:val="000000"/>
          <w:lang w:val="es-PE" w:eastAsia="en-US"/>
        </w:rPr>
        <w:t xml:space="preserve">. 2017; 22(1):59-67. </w:t>
      </w:r>
      <w:proofErr w:type="spellStart"/>
      <w:r w:rsidRPr="00B33C9A">
        <w:rPr>
          <w:rFonts w:eastAsia="Calibri"/>
          <w:color w:val="000000"/>
          <w:lang w:val="es-PE" w:eastAsia="en-US"/>
        </w:rPr>
        <w:t>DOI</w:t>
      </w:r>
      <w:proofErr w:type="spellEnd"/>
      <w:r w:rsidRPr="00B33C9A">
        <w:rPr>
          <w:rFonts w:eastAsia="Calibri"/>
          <w:color w:val="000000"/>
          <w:lang w:val="es-PE" w:eastAsia="en-US"/>
        </w:rPr>
        <w:t xml:space="preserve">: 10.1177/2156587216633370  </w:t>
      </w:r>
    </w:p>
    <w:p w14:paraId="5052F3FC"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s-PE" w:eastAsia="en-US"/>
        </w:rPr>
        <w:lastRenderedPageBreak/>
        <w:t xml:space="preserve">14. Islas </w:t>
      </w:r>
      <w:proofErr w:type="spellStart"/>
      <w:r w:rsidRPr="00B33C9A">
        <w:rPr>
          <w:rFonts w:eastAsia="Calibri"/>
          <w:color w:val="000000"/>
          <w:lang w:val="es-PE" w:eastAsia="en-US"/>
        </w:rPr>
        <w:t>JF</w:t>
      </w:r>
      <w:proofErr w:type="spellEnd"/>
      <w:r w:rsidRPr="00B33C9A">
        <w:rPr>
          <w:rFonts w:eastAsia="Calibri"/>
          <w:color w:val="000000"/>
          <w:lang w:val="es-PE" w:eastAsia="en-US"/>
        </w:rPr>
        <w:t>, Acosta E, G-Buentello Z, Delgado-</w:t>
      </w:r>
      <w:proofErr w:type="gramStart"/>
      <w:r w:rsidRPr="00B33C9A">
        <w:rPr>
          <w:rFonts w:eastAsia="Calibri"/>
          <w:color w:val="000000"/>
          <w:lang w:val="es-PE" w:eastAsia="en-US"/>
        </w:rPr>
        <w:t>Gallegos</w:t>
      </w:r>
      <w:proofErr w:type="gramEnd"/>
      <w:r w:rsidRPr="00B33C9A">
        <w:rPr>
          <w:rFonts w:eastAsia="Calibri"/>
          <w:color w:val="000000"/>
          <w:lang w:val="es-PE" w:eastAsia="en-US"/>
        </w:rPr>
        <w:t xml:space="preserve"> </w:t>
      </w:r>
      <w:proofErr w:type="spellStart"/>
      <w:r w:rsidRPr="00B33C9A">
        <w:rPr>
          <w:rFonts w:eastAsia="Calibri"/>
          <w:color w:val="000000"/>
          <w:lang w:val="es-PE" w:eastAsia="en-US"/>
        </w:rPr>
        <w:t>JL</w:t>
      </w:r>
      <w:proofErr w:type="spellEnd"/>
      <w:r w:rsidRPr="00B33C9A">
        <w:rPr>
          <w:rFonts w:eastAsia="Calibri"/>
          <w:color w:val="000000"/>
          <w:lang w:val="es-PE" w:eastAsia="en-US"/>
        </w:rPr>
        <w:t xml:space="preserve">, Moreno-Treviño MG, Escalante B, et al. </w:t>
      </w:r>
      <w:r w:rsidRPr="00B33C9A">
        <w:rPr>
          <w:rFonts w:eastAsia="Calibri"/>
          <w:color w:val="000000"/>
          <w:lang w:val="en-US" w:eastAsia="en-US"/>
        </w:rPr>
        <w:t>An overview of Neem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and its potential impact on health. J </w:t>
      </w:r>
      <w:proofErr w:type="spellStart"/>
      <w:r w:rsidRPr="00B33C9A">
        <w:rPr>
          <w:rFonts w:eastAsia="Calibri"/>
          <w:color w:val="000000"/>
          <w:lang w:val="en-US" w:eastAsia="en-US"/>
        </w:rPr>
        <w:t>Funct</w:t>
      </w:r>
      <w:proofErr w:type="spellEnd"/>
      <w:r w:rsidRPr="00B33C9A">
        <w:rPr>
          <w:rFonts w:eastAsia="Calibri"/>
          <w:color w:val="000000"/>
          <w:lang w:val="en-US" w:eastAsia="en-US"/>
        </w:rPr>
        <w:t xml:space="preserve"> Foods. 2020; 74:104171. DOI: 10.1016/</w:t>
      </w:r>
      <w:proofErr w:type="spellStart"/>
      <w:r w:rsidRPr="00B33C9A">
        <w:rPr>
          <w:rFonts w:eastAsia="Calibri"/>
          <w:color w:val="000000"/>
          <w:lang w:val="en-US" w:eastAsia="en-US"/>
        </w:rPr>
        <w:t>j.jff.2020.104171</w:t>
      </w:r>
      <w:proofErr w:type="spellEnd"/>
    </w:p>
    <w:p w14:paraId="1966FA1E"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15. Wylie MR, Merrell DS. The Antimicrobial Potential of the Neem Tree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Front </w:t>
      </w:r>
      <w:proofErr w:type="spellStart"/>
      <w:r w:rsidRPr="00B33C9A">
        <w:rPr>
          <w:rFonts w:eastAsia="Calibri"/>
          <w:color w:val="000000"/>
          <w:lang w:val="en-US" w:eastAsia="en-US"/>
        </w:rPr>
        <w:t>Pharmacol</w:t>
      </w:r>
      <w:proofErr w:type="spellEnd"/>
      <w:r w:rsidRPr="00B33C9A">
        <w:rPr>
          <w:rFonts w:eastAsia="Calibri"/>
          <w:color w:val="000000"/>
          <w:lang w:val="en-US" w:eastAsia="en-US"/>
        </w:rPr>
        <w:t>. 2022; 13:891535. DOI: 10.3389/</w:t>
      </w:r>
      <w:proofErr w:type="spellStart"/>
      <w:r w:rsidRPr="00B33C9A">
        <w:rPr>
          <w:rFonts w:eastAsia="Calibri"/>
          <w:color w:val="000000"/>
          <w:lang w:val="en-US" w:eastAsia="en-US"/>
        </w:rPr>
        <w:t>fphar.2022.891535</w:t>
      </w:r>
      <w:proofErr w:type="spellEnd"/>
      <w:r w:rsidRPr="00B33C9A">
        <w:rPr>
          <w:rFonts w:eastAsia="Calibri"/>
          <w:color w:val="000000"/>
          <w:lang w:val="en-US" w:eastAsia="en-US"/>
        </w:rPr>
        <w:t xml:space="preserve"> </w:t>
      </w:r>
    </w:p>
    <w:p w14:paraId="1E961622"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16. </w:t>
      </w:r>
      <w:proofErr w:type="spellStart"/>
      <w:r w:rsidRPr="00B33C9A">
        <w:rPr>
          <w:rFonts w:eastAsia="Calibri"/>
          <w:color w:val="000000"/>
          <w:lang w:val="en-US" w:eastAsia="en-US"/>
        </w:rPr>
        <w:t>Altayb</w:t>
      </w:r>
      <w:proofErr w:type="spellEnd"/>
      <w:r w:rsidRPr="00B33C9A">
        <w:rPr>
          <w:rFonts w:eastAsia="Calibri"/>
          <w:color w:val="000000"/>
          <w:lang w:val="en-US" w:eastAsia="en-US"/>
        </w:rPr>
        <w:t xml:space="preserve"> </w:t>
      </w:r>
      <w:proofErr w:type="spellStart"/>
      <w:r w:rsidRPr="00B33C9A">
        <w:rPr>
          <w:rFonts w:eastAsia="Calibri"/>
          <w:color w:val="000000"/>
          <w:lang w:val="en-US" w:eastAsia="en-US"/>
        </w:rPr>
        <w:t>HN</w:t>
      </w:r>
      <w:proofErr w:type="spellEnd"/>
      <w:r w:rsidRPr="00B33C9A">
        <w:rPr>
          <w:rFonts w:eastAsia="Calibri"/>
          <w:color w:val="000000"/>
          <w:lang w:val="en-US" w:eastAsia="en-US"/>
        </w:rPr>
        <w:t xml:space="preserve">, Yassin NF, </w:t>
      </w:r>
      <w:proofErr w:type="spellStart"/>
      <w:r w:rsidRPr="00B33C9A">
        <w:rPr>
          <w:rFonts w:eastAsia="Calibri"/>
          <w:color w:val="000000"/>
          <w:lang w:val="en-US" w:eastAsia="en-US"/>
        </w:rPr>
        <w:t>Hosawi</w:t>
      </w:r>
      <w:proofErr w:type="spellEnd"/>
      <w:r w:rsidRPr="00B33C9A">
        <w:rPr>
          <w:rFonts w:eastAsia="Calibri"/>
          <w:color w:val="000000"/>
          <w:lang w:val="en-US" w:eastAsia="en-US"/>
        </w:rPr>
        <w:t xml:space="preserve"> S, Kazmi I. In-vitro and in-silico antibacterial activity of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(Neem), methanolic extract, and identification of </w:t>
      </w:r>
      <w:proofErr w:type="spellStart"/>
      <w:r w:rsidRPr="00B33C9A">
        <w:rPr>
          <w:rFonts w:eastAsia="Calibri"/>
          <w:color w:val="000000"/>
          <w:lang w:val="en-US" w:eastAsia="en-US"/>
        </w:rPr>
        <w:t>Beta.d-Mannofuranoside</w:t>
      </w:r>
      <w:proofErr w:type="spellEnd"/>
      <w:r w:rsidRPr="00B33C9A">
        <w:rPr>
          <w:rFonts w:eastAsia="Calibri"/>
          <w:color w:val="000000"/>
          <w:lang w:val="en-US" w:eastAsia="en-US"/>
        </w:rPr>
        <w:t xml:space="preserve"> as a promising antibacterial agent. BMC Plant Biol. 2022; 22(1):262. DOI: 10.1186/</w:t>
      </w:r>
      <w:proofErr w:type="spellStart"/>
      <w:r w:rsidRPr="00B33C9A">
        <w:rPr>
          <w:rFonts w:eastAsia="Calibri"/>
          <w:color w:val="000000"/>
          <w:lang w:val="en-US" w:eastAsia="en-US"/>
        </w:rPr>
        <w:t>s12870</w:t>
      </w:r>
      <w:proofErr w:type="spellEnd"/>
      <w:r w:rsidRPr="00B33C9A">
        <w:rPr>
          <w:rFonts w:eastAsia="Calibri"/>
          <w:color w:val="000000"/>
          <w:lang w:val="en-US" w:eastAsia="en-US"/>
        </w:rPr>
        <w:t>-022-03650-5</w:t>
      </w:r>
    </w:p>
    <w:p w14:paraId="7EDBE9E5"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17. </w:t>
      </w:r>
      <w:proofErr w:type="spellStart"/>
      <w:r w:rsidRPr="00B33C9A">
        <w:rPr>
          <w:rFonts w:eastAsia="Calibri"/>
          <w:color w:val="000000"/>
          <w:lang w:val="en-US" w:eastAsia="en-US"/>
        </w:rPr>
        <w:t>Lahiri</w:t>
      </w:r>
      <w:proofErr w:type="spellEnd"/>
      <w:r w:rsidRPr="00B33C9A">
        <w:rPr>
          <w:rFonts w:eastAsia="Calibri"/>
          <w:color w:val="000000"/>
          <w:lang w:val="en-US" w:eastAsia="en-US"/>
        </w:rPr>
        <w:t xml:space="preserve"> D, Nag M, Dutta B, Mukherjee I, Ghosh S, Dey A, et al. Catechin as the Most Efficient Bioactive Compound from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with Antibiofilm and Anti-quorum Sensing Activities Against Dental Biofilm: </w:t>
      </w:r>
      <w:proofErr w:type="gramStart"/>
      <w:r w:rsidRPr="00B33C9A">
        <w:rPr>
          <w:rFonts w:eastAsia="Calibri"/>
          <w:color w:val="000000"/>
          <w:lang w:val="en-US" w:eastAsia="en-US"/>
        </w:rPr>
        <w:t>an</w:t>
      </w:r>
      <w:proofErr w:type="gramEnd"/>
      <w:r w:rsidRPr="00B33C9A">
        <w:rPr>
          <w:rFonts w:eastAsia="Calibri"/>
          <w:color w:val="000000"/>
          <w:lang w:val="en-US" w:eastAsia="en-US"/>
        </w:rPr>
        <w:t xml:space="preserve"> In Vitro and In Silico Study. Appl </w:t>
      </w:r>
      <w:proofErr w:type="spellStart"/>
      <w:r w:rsidRPr="00B33C9A">
        <w:rPr>
          <w:rFonts w:eastAsia="Calibri"/>
          <w:color w:val="000000"/>
          <w:lang w:val="en-US" w:eastAsia="en-US"/>
        </w:rPr>
        <w:t>Biochem</w:t>
      </w:r>
      <w:proofErr w:type="spellEnd"/>
      <w:r w:rsidRPr="00B33C9A">
        <w:rPr>
          <w:rFonts w:eastAsia="Calibri"/>
          <w:color w:val="000000"/>
          <w:lang w:val="en-US" w:eastAsia="en-US"/>
        </w:rPr>
        <w:t xml:space="preserve"> </w:t>
      </w:r>
      <w:proofErr w:type="spellStart"/>
      <w:r w:rsidRPr="00B33C9A">
        <w:rPr>
          <w:rFonts w:eastAsia="Calibri"/>
          <w:color w:val="000000"/>
          <w:lang w:val="en-US" w:eastAsia="en-US"/>
        </w:rPr>
        <w:t>Biotechnol</w:t>
      </w:r>
      <w:proofErr w:type="spellEnd"/>
      <w:r w:rsidRPr="00B33C9A">
        <w:rPr>
          <w:rFonts w:eastAsia="Calibri"/>
          <w:color w:val="000000"/>
          <w:lang w:val="en-US" w:eastAsia="en-US"/>
        </w:rPr>
        <w:t>. 2021; 193(6):1617-30. DOI: 10.1007/</w:t>
      </w:r>
      <w:proofErr w:type="spellStart"/>
      <w:r w:rsidRPr="00B33C9A">
        <w:rPr>
          <w:rFonts w:eastAsia="Calibri"/>
          <w:color w:val="000000"/>
          <w:lang w:val="en-US" w:eastAsia="en-US"/>
        </w:rPr>
        <w:t>s12010</w:t>
      </w:r>
      <w:proofErr w:type="spellEnd"/>
      <w:r w:rsidRPr="00B33C9A">
        <w:rPr>
          <w:rFonts w:eastAsia="Calibri"/>
          <w:color w:val="000000"/>
          <w:lang w:val="en-US" w:eastAsia="en-US"/>
        </w:rPr>
        <w:t>-021-03511-1</w:t>
      </w:r>
    </w:p>
    <w:p w14:paraId="55A8E456"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18. Bansal V, Gupta M, </w:t>
      </w:r>
      <w:proofErr w:type="spellStart"/>
      <w:r w:rsidRPr="00B33C9A">
        <w:rPr>
          <w:rFonts w:eastAsia="Calibri"/>
          <w:color w:val="000000"/>
          <w:lang w:val="en-US" w:eastAsia="en-US"/>
        </w:rPr>
        <w:t>Bhaduri</w:t>
      </w:r>
      <w:proofErr w:type="spellEnd"/>
      <w:r w:rsidRPr="00B33C9A">
        <w:rPr>
          <w:rFonts w:eastAsia="Calibri"/>
          <w:color w:val="000000"/>
          <w:lang w:val="en-US" w:eastAsia="en-US"/>
        </w:rPr>
        <w:t xml:space="preserve"> T, Shaikh SA, Sayed FR, Bansal V, et al. Assessment of Antimicrobial Effectiveness of Neem and Clove Extract Against Streptococcus mutans and Candida albicans: An In vitro Study. Niger Med J. 2019; 60(6):285-9. DOI: 10.4103/</w:t>
      </w:r>
      <w:proofErr w:type="spellStart"/>
      <w:r w:rsidRPr="00B33C9A">
        <w:rPr>
          <w:rFonts w:eastAsia="Calibri"/>
          <w:color w:val="000000"/>
          <w:lang w:val="en-US" w:eastAsia="en-US"/>
        </w:rPr>
        <w:t>nmj.NMJ_20_19</w:t>
      </w:r>
      <w:proofErr w:type="spellEnd"/>
    </w:p>
    <w:p w14:paraId="4B4C91AE"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19. Kang H. Sample size determination and power analysis using the G*Power software. J Educ Eval Health Prof. 2021; 18:17. DOI: 10.3352/</w:t>
      </w:r>
      <w:proofErr w:type="spellStart"/>
      <w:r w:rsidRPr="00B33C9A">
        <w:rPr>
          <w:rFonts w:eastAsia="Calibri"/>
          <w:color w:val="000000"/>
          <w:lang w:val="en-US" w:eastAsia="en-US"/>
        </w:rPr>
        <w:t>jeehp.2021.18.17</w:t>
      </w:r>
      <w:proofErr w:type="spellEnd"/>
      <w:r w:rsidRPr="00B33C9A">
        <w:rPr>
          <w:rFonts w:eastAsia="Calibri"/>
          <w:color w:val="000000"/>
          <w:lang w:val="en-US" w:eastAsia="en-US"/>
        </w:rPr>
        <w:t xml:space="preserve"> </w:t>
      </w:r>
    </w:p>
    <w:p w14:paraId="537DA344" w14:textId="77777777" w:rsidR="00B33C9A" w:rsidRPr="00B33C9A" w:rsidRDefault="00B33C9A" w:rsidP="00B33C9A">
      <w:pPr>
        <w:spacing w:line="360" w:lineRule="auto"/>
        <w:contextualSpacing/>
        <w:rPr>
          <w:rFonts w:eastAsia="Calibri"/>
          <w:color w:val="000000"/>
          <w:lang w:val="es-PE" w:eastAsia="en-US"/>
        </w:rPr>
      </w:pPr>
      <w:r w:rsidRPr="00B33C9A">
        <w:rPr>
          <w:rFonts w:eastAsia="Calibri"/>
          <w:color w:val="000000"/>
          <w:lang w:val="en-US" w:eastAsia="en-US"/>
        </w:rPr>
        <w:t xml:space="preserve">20. </w:t>
      </w:r>
      <w:proofErr w:type="spellStart"/>
      <w:r w:rsidRPr="00B33C9A">
        <w:rPr>
          <w:rFonts w:eastAsia="Calibri"/>
          <w:color w:val="000000"/>
          <w:lang w:val="en-US" w:eastAsia="en-US"/>
        </w:rPr>
        <w:t>CLSI</w:t>
      </w:r>
      <w:proofErr w:type="spellEnd"/>
      <w:r w:rsidRPr="00B33C9A">
        <w:rPr>
          <w:rFonts w:eastAsia="Calibri"/>
          <w:color w:val="000000"/>
          <w:lang w:val="en-US" w:eastAsia="en-US"/>
        </w:rPr>
        <w:t xml:space="preserve">. Performance Standards for Antimicrobial Susceptibility Testing. 30th ed. </w:t>
      </w:r>
      <w:proofErr w:type="spellStart"/>
      <w:r w:rsidRPr="00B33C9A">
        <w:rPr>
          <w:rFonts w:eastAsia="Calibri"/>
          <w:color w:val="000000"/>
          <w:lang w:val="en-US" w:eastAsia="en-US"/>
        </w:rPr>
        <w:t>CLSI</w:t>
      </w:r>
      <w:proofErr w:type="spellEnd"/>
      <w:r w:rsidRPr="00B33C9A">
        <w:rPr>
          <w:rFonts w:eastAsia="Calibri"/>
          <w:color w:val="000000"/>
          <w:lang w:val="en-US" w:eastAsia="en-US"/>
        </w:rPr>
        <w:t xml:space="preserve"> supplement </w:t>
      </w:r>
      <w:proofErr w:type="spellStart"/>
      <w:r w:rsidRPr="00B33C9A">
        <w:rPr>
          <w:rFonts w:eastAsia="Calibri"/>
          <w:color w:val="000000"/>
          <w:lang w:val="en-US" w:eastAsia="en-US"/>
        </w:rPr>
        <w:t>M100</w:t>
      </w:r>
      <w:proofErr w:type="spellEnd"/>
      <w:r w:rsidRPr="00B33C9A">
        <w:rPr>
          <w:rFonts w:eastAsia="Calibri"/>
          <w:color w:val="000000"/>
          <w:lang w:val="en-US" w:eastAsia="en-US"/>
        </w:rPr>
        <w:t xml:space="preserve">. Wayne, PA: Clinical and </w:t>
      </w:r>
      <w:proofErr w:type="spellStart"/>
      <w:r w:rsidRPr="00B33C9A">
        <w:rPr>
          <w:rFonts w:eastAsia="Calibri"/>
          <w:color w:val="000000"/>
          <w:lang w:val="en-US" w:eastAsia="en-US"/>
        </w:rPr>
        <w:t>Laborator</w:t>
      </w:r>
      <w:proofErr w:type="spellEnd"/>
      <w:r w:rsidRPr="00B33C9A">
        <w:rPr>
          <w:rFonts w:eastAsia="Calibri"/>
          <w:color w:val="000000"/>
          <w:lang w:val="en-US" w:eastAsia="en-US"/>
        </w:rPr>
        <w:t xml:space="preserve"> y standards Institute; 2019 [</w:t>
      </w:r>
      <w:proofErr w:type="spellStart"/>
      <w:r w:rsidRPr="00B33C9A">
        <w:rPr>
          <w:rFonts w:eastAsia="Calibri"/>
          <w:color w:val="000000"/>
          <w:lang w:val="en-US" w:eastAsia="en-US"/>
        </w:rPr>
        <w:t>acceso</w:t>
      </w:r>
      <w:proofErr w:type="spellEnd"/>
      <w:r w:rsidRPr="00B33C9A">
        <w:rPr>
          <w:rFonts w:eastAsia="Calibri"/>
          <w:color w:val="000000"/>
          <w:lang w:val="en-US" w:eastAsia="en-US"/>
        </w:rPr>
        <w:t xml:space="preserve">: 02/06/2022]. </w:t>
      </w:r>
      <w:r w:rsidRPr="00B33C9A">
        <w:rPr>
          <w:rFonts w:eastAsia="Calibri"/>
          <w:color w:val="000000"/>
          <w:lang w:val="es-PE" w:eastAsia="en-US"/>
        </w:rPr>
        <w:t xml:space="preserve">Disponible en:  </w:t>
      </w:r>
      <w:hyperlink r:id="rId17" w:history="1">
        <w:r w:rsidRPr="00B33C9A">
          <w:rPr>
            <w:rFonts w:eastAsia="Calibri"/>
            <w:color w:val="0000FF"/>
            <w:u w:val="single"/>
            <w:lang w:val="es-PE" w:eastAsia="en-US"/>
          </w:rPr>
          <w:t>https://clsi.org/media/3481/m100ed30_sample.pdf</w:t>
        </w:r>
      </w:hyperlink>
      <w:r w:rsidRPr="00B33C9A">
        <w:rPr>
          <w:rFonts w:eastAsia="Calibri"/>
          <w:color w:val="000000"/>
          <w:lang w:val="es-PE" w:eastAsia="en-US"/>
        </w:rPr>
        <w:t xml:space="preserve">  </w:t>
      </w:r>
    </w:p>
    <w:p w14:paraId="15ED467E"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s-PE" w:eastAsia="en-US"/>
        </w:rPr>
        <w:t xml:space="preserve">21. Lu </w:t>
      </w:r>
      <w:proofErr w:type="spellStart"/>
      <w:r w:rsidRPr="00B33C9A">
        <w:rPr>
          <w:rFonts w:eastAsia="Calibri"/>
          <w:color w:val="000000"/>
          <w:lang w:val="es-PE" w:eastAsia="en-US"/>
        </w:rPr>
        <w:t>XF</w:t>
      </w:r>
      <w:proofErr w:type="spellEnd"/>
      <w:r w:rsidRPr="00B33C9A">
        <w:rPr>
          <w:rFonts w:eastAsia="Calibri"/>
          <w:color w:val="000000"/>
          <w:lang w:val="es-PE" w:eastAsia="en-US"/>
        </w:rPr>
        <w:t xml:space="preserve">, Lin PC, </w:t>
      </w:r>
      <w:proofErr w:type="spellStart"/>
      <w:r w:rsidRPr="00B33C9A">
        <w:rPr>
          <w:rFonts w:eastAsia="Calibri"/>
          <w:color w:val="000000"/>
          <w:lang w:val="es-PE" w:eastAsia="en-US"/>
        </w:rPr>
        <w:t>Zi</w:t>
      </w:r>
      <w:proofErr w:type="spellEnd"/>
      <w:r w:rsidRPr="00B33C9A">
        <w:rPr>
          <w:rFonts w:eastAsia="Calibri"/>
          <w:color w:val="000000"/>
          <w:lang w:val="es-PE" w:eastAsia="en-US"/>
        </w:rPr>
        <w:t xml:space="preserve"> </w:t>
      </w:r>
      <w:proofErr w:type="spellStart"/>
      <w:r w:rsidRPr="00B33C9A">
        <w:rPr>
          <w:rFonts w:eastAsia="Calibri"/>
          <w:color w:val="000000"/>
          <w:lang w:val="es-PE" w:eastAsia="en-US"/>
        </w:rPr>
        <w:t>JC</w:t>
      </w:r>
      <w:proofErr w:type="spellEnd"/>
      <w:r w:rsidRPr="00B33C9A">
        <w:rPr>
          <w:rFonts w:eastAsia="Calibri"/>
          <w:color w:val="000000"/>
          <w:lang w:val="es-PE" w:eastAsia="en-US"/>
        </w:rPr>
        <w:t xml:space="preserve">, Fan </w:t>
      </w:r>
      <w:proofErr w:type="spellStart"/>
      <w:r w:rsidRPr="00B33C9A">
        <w:rPr>
          <w:rFonts w:eastAsia="Calibri"/>
          <w:color w:val="000000"/>
          <w:lang w:val="es-PE" w:eastAsia="en-US"/>
        </w:rPr>
        <w:t>XN</w:t>
      </w:r>
      <w:proofErr w:type="spellEnd"/>
      <w:r w:rsidRPr="00B33C9A">
        <w:rPr>
          <w:rFonts w:eastAsia="Calibri"/>
          <w:color w:val="000000"/>
          <w:lang w:val="es-PE" w:eastAsia="en-US"/>
        </w:rPr>
        <w:t xml:space="preserve">. </w:t>
      </w:r>
      <w:r w:rsidRPr="00B33C9A">
        <w:rPr>
          <w:rFonts w:eastAsia="Calibri"/>
          <w:color w:val="000000"/>
          <w:lang w:val="en-US" w:eastAsia="en-US"/>
        </w:rPr>
        <w:t xml:space="preserve">Limonoids from seeds of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and their antibacterial activity. </w:t>
      </w:r>
      <w:proofErr w:type="spellStart"/>
      <w:r w:rsidRPr="00B33C9A">
        <w:rPr>
          <w:rFonts w:eastAsia="Calibri"/>
          <w:color w:val="000000"/>
          <w:lang w:val="en-US" w:eastAsia="en-US"/>
        </w:rPr>
        <w:t>Zhongguo</w:t>
      </w:r>
      <w:proofErr w:type="spellEnd"/>
      <w:r w:rsidRPr="00B33C9A">
        <w:rPr>
          <w:rFonts w:eastAsia="Calibri"/>
          <w:color w:val="000000"/>
          <w:lang w:val="en-US" w:eastAsia="en-US"/>
        </w:rPr>
        <w:t xml:space="preserve"> Zhong Yao Za </w:t>
      </w:r>
      <w:proofErr w:type="spellStart"/>
      <w:r w:rsidRPr="00B33C9A">
        <w:rPr>
          <w:rFonts w:eastAsia="Calibri"/>
          <w:color w:val="000000"/>
          <w:lang w:val="en-US" w:eastAsia="en-US"/>
        </w:rPr>
        <w:t>Zhi</w:t>
      </w:r>
      <w:proofErr w:type="spellEnd"/>
      <w:r w:rsidRPr="00B33C9A">
        <w:rPr>
          <w:rFonts w:eastAsia="Calibri"/>
          <w:color w:val="000000"/>
          <w:lang w:val="en-US" w:eastAsia="en-US"/>
        </w:rPr>
        <w:t>. 2019; 44(22):4864-73. DOI: 10.19540/</w:t>
      </w:r>
      <w:proofErr w:type="spellStart"/>
      <w:r w:rsidRPr="00B33C9A">
        <w:rPr>
          <w:rFonts w:eastAsia="Calibri"/>
          <w:color w:val="000000"/>
          <w:lang w:val="en-US" w:eastAsia="en-US"/>
        </w:rPr>
        <w:t>j.cnki.cjcmm.20190813.202</w:t>
      </w:r>
      <w:proofErr w:type="spellEnd"/>
    </w:p>
    <w:p w14:paraId="4AB5FAA2"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22. </w:t>
      </w:r>
      <w:proofErr w:type="spellStart"/>
      <w:r w:rsidRPr="00B33C9A">
        <w:rPr>
          <w:rFonts w:eastAsia="Calibri"/>
          <w:color w:val="000000"/>
          <w:lang w:val="en-US" w:eastAsia="en-US"/>
        </w:rPr>
        <w:t>Kalita</w:t>
      </w:r>
      <w:proofErr w:type="spellEnd"/>
      <w:r w:rsidRPr="00B33C9A">
        <w:rPr>
          <w:rFonts w:eastAsia="Calibri"/>
          <w:color w:val="000000"/>
          <w:lang w:val="en-US" w:eastAsia="en-US"/>
        </w:rPr>
        <w:t xml:space="preserve"> C, Raja D, </w:t>
      </w:r>
      <w:proofErr w:type="spellStart"/>
      <w:r w:rsidRPr="00B33C9A">
        <w:rPr>
          <w:rFonts w:eastAsia="Calibri"/>
          <w:color w:val="000000"/>
          <w:lang w:val="en-US" w:eastAsia="en-US"/>
        </w:rPr>
        <w:t>Saikia</w:t>
      </w:r>
      <w:proofErr w:type="spellEnd"/>
      <w:r w:rsidRPr="00B33C9A">
        <w:rPr>
          <w:rFonts w:eastAsia="Calibri"/>
          <w:color w:val="000000"/>
          <w:lang w:val="en-US" w:eastAsia="en-US"/>
        </w:rPr>
        <w:t xml:space="preserve"> A, </w:t>
      </w:r>
      <w:proofErr w:type="spellStart"/>
      <w:r w:rsidRPr="00B33C9A">
        <w:rPr>
          <w:rFonts w:eastAsia="Calibri"/>
          <w:color w:val="000000"/>
          <w:lang w:val="en-US" w:eastAsia="en-US"/>
        </w:rPr>
        <w:t>Saikia</w:t>
      </w:r>
      <w:proofErr w:type="spellEnd"/>
      <w:r w:rsidRPr="00B33C9A">
        <w:rPr>
          <w:rFonts w:eastAsia="Calibri"/>
          <w:color w:val="000000"/>
          <w:lang w:val="en-US" w:eastAsia="en-US"/>
        </w:rPr>
        <w:t xml:space="preserve"> AK. Antibacterial property of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w:t>
      </w:r>
      <w:proofErr w:type="spellStart"/>
      <w:r w:rsidRPr="00B33C9A">
        <w:rPr>
          <w:rFonts w:eastAsia="Calibri"/>
          <w:color w:val="000000"/>
          <w:lang w:val="en-US" w:eastAsia="en-US"/>
        </w:rPr>
        <w:t>Ocimum</w:t>
      </w:r>
      <w:proofErr w:type="spellEnd"/>
      <w:r w:rsidRPr="00B33C9A">
        <w:rPr>
          <w:rFonts w:eastAsia="Calibri"/>
          <w:color w:val="000000"/>
          <w:lang w:val="en-US" w:eastAsia="en-US"/>
        </w:rPr>
        <w:t xml:space="preserve"> sanctum, and Vitex negundo against oral microbes. J </w:t>
      </w:r>
      <w:proofErr w:type="spellStart"/>
      <w:r w:rsidRPr="00B33C9A">
        <w:rPr>
          <w:rFonts w:eastAsia="Calibri"/>
          <w:color w:val="000000"/>
          <w:lang w:val="en-US" w:eastAsia="en-US"/>
        </w:rPr>
        <w:t>Conserv</w:t>
      </w:r>
      <w:proofErr w:type="spellEnd"/>
      <w:r w:rsidRPr="00B33C9A">
        <w:rPr>
          <w:rFonts w:eastAsia="Calibri"/>
          <w:color w:val="000000"/>
          <w:lang w:val="en-US" w:eastAsia="en-US"/>
        </w:rPr>
        <w:t xml:space="preserve"> Dent. 2019; 22(6):602-6. DOI: 10.4103/</w:t>
      </w:r>
      <w:proofErr w:type="spellStart"/>
      <w:r w:rsidRPr="00B33C9A">
        <w:rPr>
          <w:rFonts w:eastAsia="Calibri"/>
          <w:color w:val="000000"/>
          <w:lang w:val="en-US" w:eastAsia="en-US"/>
        </w:rPr>
        <w:t>JCD.JCD_268_19</w:t>
      </w:r>
      <w:proofErr w:type="spellEnd"/>
    </w:p>
    <w:p w14:paraId="425CEECB"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23. </w:t>
      </w:r>
      <w:proofErr w:type="spellStart"/>
      <w:r w:rsidRPr="00B33C9A">
        <w:rPr>
          <w:rFonts w:eastAsia="Calibri"/>
          <w:color w:val="000000"/>
          <w:lang w:val="en-US" w:eastAsia="en-US"/>
        </w:rPr>
        <w:t>Arévalo-Híjar</w:t>
      </w:r>
      <w:proofErr w:type="spellEnd"/>
      <w:r w:rsidRPr="00B33C9A">
        <w:rPr>
          <w:rFonts w:eastAsia="Calibri"/>
          <w:color w:val="000000"/>
          <w:lang w:val="en-US" w:eastAsia="en-US"/>
        </w:rPr>
        <w:t xml:space="preserve"> L, Aguilar-Luis </w:t>
      </w:r>
      <w:proofErr w:type="spellStart"/>
      <w:r w:rsidRPr="00B33C9A">
        <w:rPr>
          <w:rFonts w:eastAsia="Calibri"/>
          <w:color w:val="000000"/>
          <w:lang w:val="en-US" w:eastAsia="en-US"/>
        </w:rPr>
        <w:t>MÁ</w:t>
      </w:r>
      <w:proofErr w:type="spellEnd"/>
      <w:r w:rsidRPr="00B33C9A">
        <w:rPr>
          <w:rFonts w:eastAsia="Calibri"/>
          <w:color w:val="000000"/>
          <w:lang w:val="en-US" w:eastAsia="en-US"/>
        </w:rPr>
        <w:t xml:space="preserve">, Caballero-García S, </w:t>
      </w:r>
      <w:proofErr w:type="spellStart"/>
      <w:r w:rsidRPr="00B33C9A">
        <w:rPr>
          <w:rFonts w:eastAsia="Calibri"/>
          <w:color w:val="000000"/>
          <w:lang w:val="en-US" w:eastAsia="en-US"/>
        </w:rPr>
        <w:t>Gonzáles</w:t>
      </w:r>
      <w:proofErr w:type="spellEnd"/>
      <w:r w:rsidRPr="00B33C9A">
        <w:rPr>
          <w:rFonts w:eastAsia="Calibri"/>
          <w:color w:val="000000"/>
          <w:lang w:val="en-US" w:eastAsia="en-US"/>
        </w:rPr>
        <w:t xml:space="preserve">-Soto N, Del Valle-Mendoza J. Antibacterial and Cytotoxic Effects of Moringa oleifera (Moringa) and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(Neem) </w:t>
      </w:r>
      <w:r w:rsidRPr="00B33C9A">
        <w:rPr>
          <w:rFonts w:eastAsia="Calibri"/>
          <w:color w:val="000000"/>
          <w:lang w:val="en-US" w:eastAsia="en-US"/>
        </w:rPr>
        <w:lastRenderedPageBreak/>
        <w:t>Methanolic Extracts against Strains of Enterococcus faecalis. Int J Dent. 2018; 2018:1071676. DOI: 10.1155/2018/1071676</w:t>
      </w:r>
    </w:p>
    <w:p w14:paraId="0241C8B4"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24. Heyman L, Houri-Haddad Y, Heyman S, Ginsburg I, </w:t>
      </w:r>
      <w:proofErr w:type="spellStart"/>
      <w:r w:rsidRPr="00B33C9A">
        <w:rPr>
          <w:rFonts w:eastAsia="Calibri"/>
          <w:color w:val="000000"/>
          <w:lang w:val="en-US" w:eastAsia="en-US"/>
        </w:rPr>
        <w:t>Gleitman</w:t>
      </w:r>
      <w:proofErr w:type="spellEnd"/>
      <w:r w:rsidRPr="00B33C9A">
        <w:rPr>
          <w:rFonts w:eastAsia="Calibri"/>
          <w:color w:val="000000"/>
          <w:lang w:val="en-US" w:eastAsia="en-US"/>
        </w:rPr>
        <w:t xml:space="preserve"> Y, Feuerstein O. Combined antioxidant effects of Neem extract, bacteria, red blood cells and Lysozyme: possible relation to periodontal disease. BMC Complement Altern Med. 2017; 17:399. DOI: 10.1186/</w:t>
      </w:r>
      <w:proofErr w:type="spellStart"/>
      <w:r w:rsidRPr="00B33C9A">
        <w:rPr>
          <w:rFonts w:eastAsia="Calibri"/>
          <w:color w:val="000000"/>
          <w:lang w:val="en-US" w:eastAsia="en-US"/>
        </w:rPr>
        <w:t>s12906</w:t>
      </w:r>
      <w:proofErr w:type="spellEnd"/>
      <w:r w:rsidRPr="00B33C9A">
        <w:rPr>
          <w:rFonts w:eastAsia="Calibri"/>
          <w:color w:val="000000"/>
          <w:lang w:val="en-US" w:eastAsia="en-US"/>
        </w:rPr>
        <w:t>-017-1900-3</w:t>
      </w:r>
    </w:p>
    <w:p w14:paraId="30BD4489"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25. Ali E, Islam MS, </w:t>
      </w:r>
      <w:proofErr w:type="spellStart"/>
      <w:r w:rsidRPr="00B33C9A">
        <w:rPr>
          <w:rFonts w:eastAsia="Calibri"/>
          <w:color w:val="000000"/>
          <w:lang w:val="en-US" w:eastAsia="en-US"/>
        </w:rPr>
        <w:t>Hossen</w:t>
      </w:r>
      <w:proofErr w:type="spellEnd"/>
      <w:r w:rsidRPr="00B33C9A">
        <w:rPr>
          <w:rFonts w:eastAsia="Calibri"/>
          <w:color w:val="000000"/>
          <w:lang w:val="en-US" w:eastAsia="en-US"/>
        </w:rPr>
        <w:t xml:space="preserve"> MI, Khatun MM, Islam MA. Extract of neem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leaf exhibits bactericidal effect against multidrug resistant pathogenic bacteria of poultry. Vet Med Sci. 2021; 7(5):1921-7. DOI: 10.1002/</w:t>
      </w:r>
      <w:proofErr w:type="spellStart"/>
      <w:r w:rsidRPr="00B33C9A">
        <w:rPr>
          <w:rFonts w:eastAsia="Calibri"/>
          <w:color w:val="000000"/>
          <w:lang w:val="en-US" w:eastAsia="en-US"/>
        </w:rPr>
        <w:t>vms3.511</w:t>
      </w:r>
      <w:proofErr w:type="spellEnd"/>
    </w:p>
    <w:p w14:paraId="67FAF683"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26. </w:t>
      </w:r>
      <w:proofErr w:type="spellStart"/>
      <w:r w:rsidRPr="00B33C9A">
        <w:rPr>
          <w:rFonts w:eastAsia="Calibri"/>
          <w:color w:val="000000"/>
          <w:lang w:val="en-US" w:eastAsia="en-US"/>
        </w:rPr>
        <w:t>Zihadi</w:t>
      </w:r>
      <w:proofErr w:type="spellEnd"/>
      <w:r w:rsidRPr="00B33C9A">
        <w:rPr>
          <w:rFonts w:eastAsia="Calibri"/>
          <w:color w:val="000000"/>
          <w:lang w:val="en-US" w:eastAsia="en-US"/>
        </w:rPr>
        <w:t xml:space="preserve"> MA, Rahman M, </w:t>
      </w:r>
      <w:proofErr w:type="spellStart"/>
      <w:r w:rsidRPr="00B33C9A">
        <w:rPr>
          <w:rFonts w:eastAsia="Calibri"/>
          <w:color w:val="000000"/>
          <w:lang w:val="en-US" w:eastAsia="en-US"/>
        </w:rPr>
        <w:t>Talukder</w:t>
      </w:r>
      <w:proofErr w:type="spellEnd"/>
      <w:r w:rsidRPr="00B33C9A">
        <w:rPr>
          <w:rFonts w:eastAsia="Calibri"/>
          <w:color w:val="000000"/>
          <w:lang w:val="en-US" w:eastAsia="en-US"/>
        </w:rPr>
        <w:t xml:space="preserve"> S, Hasan MM, Nahar S, </w:t>
      </w:r>
      <w:proofErr w:type="spellStart"/>
      <w:r w:rsidRPr="00B33C9A">
        <w:rPr>
          <w:rFonts w:eastAsia="Calibri"/>
          <w:color w:val="000000"/>
          <w:lang w:val="en-US" w:eastAsia="en-US"/>
        </w:rPr>
        <w:t>Sikder</w:t>
      </w:r>
      <w:proofErr w:type="spellEnd"/>
      <w:r w:rsidRPr="00B33C9A">
        <w:rPr>
          <w:rFonts w:eastAsia="Calibri"/>
          <w:color w:val="000000"/>
          <w:lang w:val="en-US" w:eastAsia="en-US"/>
        </w:rPr>
        <w:t xml:space="preserve"> MH. Antibacterial efficacy of ethanolic extract of Camellia sinensis and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leaves on methicillin-resistant Staphylococcus aureus and </w:t>
      </w:r>
      <w:proofErr w:type="spellStart"/>
      <w:r w:rsidRPr="00B33C9A">
        <w:rPr>
          <w:rFonts w:eastAsia="Calibri"/>
          <w:color w:val="000000"/>
          <w:lang w:val="en-US" w:eastAsia="en-US"/>
        </w:rPr>
        <w:t>shiga</w:t>
      </w:r>
      <w:proofErr w:type="spellEnd"/>
      <w:r w:rsidRPr="00B33C9A">
        <w:rPr>
          <w:rFonts w:eastAsia="Calibri"/>
          <w:color w:val="000000"/>
          <w:lang w:val="en-US" w:eastAsia="en-US"/>
        </w:rPr>
        <w:t xml:space="preserve">-toxigenic Escherichia coli. J Adv Vet </w:t>
      </w:r>
      <w:proofErr w:type="spellStart"/>
      <w:r w:rsidRPr="00B33C9A">
        <w:rPr>
          <w:rFonts w:eastAsia="Calibri"/>
          <w:color w:val="000000"/>
          <w:lang w:val="en-US" w:eastAsia="en-US"/>
        </w:rPr>
        <w:t>Anim</w:t>
      </w:r>
      <w:proofErr w:type="spellEnd"/>
      <w:r w:rsidRPr="00B33C9A">
        <w:rPr>
          <w:rFonts w:eastAsia="Calibri"/>
          <w:color w:val="000000"/>
          <w:lang w:val="en-US" w:eastAsia="en-US"/>
        </w:rPr>
        <w:t xml:space="preserve"> Res. 2019; 6(2):247-52. DOI: 10.5455/</w:t>
      </w:r>
      <w:proofErr w:type="spellStart"/>
      <w:proofErr w:type="gramStart"/>
      <w:r w:rsidRPr="00B33C9A">
        <w:rPr>
          <w:rFonts w:eastAsia="Calibri"/>
          <w:color w:val="000000"/>
          <w:lang w:val="en-US" w:eastAsia="en-US"/>
        </w:rPr>
        <w:t>javar.2019.f</w:t>
      </w:r>
      <w:proofErr w:type="gramEnd"/>
      <w:r w:rsidRPr="00B33C9A">
        <w:rPr>
          <w:rFonts w:eastAsia="Calibri"/>
          <w:color w:val="000000"/>
          <w:lang w:val="en-US" w:eastAsia="en-US"/>
        </w:rPr>
        <w:t>340</w:t>
      </w:r>
      <w:proofErr w:type="spellEnd"/>
    </w:p>
    <w:p w14:paraId="21D00005"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27. Singh M, Sharma D, Kumar D, Singh G, Swami G, Rathore MS. Formulation, Development, and Evaluation of Herbal Effervescent Mouthwash Tablet Containing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(Neem) and Curcumin for the Maintenance of Oral Hygiene. Recent Pat Drug </w:t>
      </w:r>
      <w:proofErr w:type="spellStart"/>
      <w:r w:rsidRPr="00B33C9A">
        <w:rPr>
          <w:rFonts w:eastAsia="Calibri"/>
          <w:color w:val="000000"/>
          <w:lang w:val="en-US" w:eastAsia="en-US"/>
        </w:rPr>
        <w:t>Deliv</w:t>
      </w:r>
      <w:proofErr w:type="spellEnd"/>
      <w:r w:rsidRPr="00B33C9A">
        <w:rPr>
          <w:rFonts w:eastAsia="Calibri"/>
          <w:color w:val="000000"/>
          <w:lang w:val="en-US" w:eastAsia="en-US"/>
        </w:rPr>
        <w:t xml:space="preserve"> </w:t>
      </w:r>
      <w:proofErr w:type="spellStart"/>
      <w:r w:rsidRPr="00B33C9A">
        <w:rPr>
          <w:rFonts w:eastAsia="Calibri"/>
          <w:color w:val="000000"/>
          <w:lang w:val="en-US" w:eastAsia="en-US"/>
        </w:rPr>
        <w:t>Formul</w:t>
      </w:r>
      <w:proofErr w:type="spellEnd"/>
      <w:r w:rsidRPr="00B33C9A">
        <w:rPr>
          <w:rFonts w:eastAsia="Calibri"/>
          <w:color w:val="000000"/>
          <w:lang w:val="en-US" w:eastAsia="en-US"/>
        </w:rPr>
        <w:t>. 2020; 14(2):145-61. DOI: 10.2174/1872211314666200820142509</w:t>
      </w:r>
    </w:p>
    <w:p w14:paraId="439D8008"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28. Joy S, </w:t>
      </w:r>
      <w:proofErr w:type="spellStart"/>
      <w:r w:rsidRPr="00B33C9A">
        <w:rPr>
          <w:rFonts w:eastAsia="Calibri"/>
          <w:color w:val="000000"/>
          <w:lang w:val="en-US" w:eastAsia="en-US"/>
        </w:rPr>
        <w:t>Nandha</w:t>
      </w:r>
      <w:proofErr w:type="spellEnd"/>
      <w:r w:rsidRPr="00B33C9A">
        <w:rPr>
          <w:rFonts w:eastAsia="Calibri"/>
          <w:color w:val="000000"/>
          <w:lang w:val="en-US" w:eastAsia="en-US"/>
        </w:rPr>
        <w:t xml:space="preserve"> K, Jaiswal N, Vasudeva A, Prabha Tyagi S, Pratap U. Antibacterial Effect of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(Neem) or Curcuma longa (Turmeric) against Enterococcus faecalis Compared with That of 5% Sodium Hypochlorite or 2% Chlorhexidine in vitro. Bull Tokyo Dent Coll. 2017; 58(2):103-9. DOI: 10.2209/</w:t>
      </w:r>
      <w:proofErr w:type="spellStart"/>
      <w:r w:rsidRPr="00B33C9A">
        <w:rPr>
          <w:rFonts w:eastAsia="Calibri"/>
          <w:color w:val="000000"/>
          <w:lang w:val="en-US" w:eastAsia="en-US"/>
        </w:rPr>
        <w:t>tdcpublication.2015</w:t>
      </w:r>
      <w:proofErr w:type="spellEnd"/>
      <w:r w:rsidRPr="00B33C9A">
        <w:rPr>
          <w:rFonts w:eastAsia="Calibri"/>
          <w:color w:val="000000"/>
          <w:lang w:val="en-US" w:eastAsia="en-US"/>
        </w:rPr>
        <w:t>-0029</w:t>
      </w:r>
    </w:p>
    <w:p w14:paraId="0C457FF0" w14:textId="77777777" w:rsidR="00B33C9A" w:rsidRPr="00B33C9A" w:rsidRDefault="00B33C9A" w:rsidP="00B33C9A">
      <w:pPr>
        <w:spacing w:line="360" w:lineRule="auto"/>
        <w:contextualSpacing/>
        <w:rPr>
          <w:rFonts w:eastAsia="Calibri"/>
          <w:color w:val="000000"/>
          <w:lang w:val="en-US" w:eastAsia="en-US"/>
        </w:rPr>
      </w:pPr>
      <w:r w:rsidRPr="00B33C9A">
        <w:rPr>
          <w:rFonts w:eastAsia="Calibri"/>
          <w:color w:val="000000"/>
          <w:lang w:val="en-US" w:eastAsia="en-US"/>
        </w:rPr>
        <w:t xml:space="preserve">29. Kumari P, Shenoy SM, </w:t>
      </w:r>
      <w:proofErr w:type="spellStart"/>
      <w:r w:rsidRPr="00B33C9A">
        <w:rPr>
          <w:rFonts w:eastAsia="Calibri"/>
          <w:color w:val="000000"/>
          <w:lang w:val="en-US" w:eastAsia="en-US"/>
        </w:rPr>
        <w:t>Khijmatgar</w:t>
      </w:r>
      <w:proofErr w:type="spellEnd"/>
      <w:r w:rsidRPr="00B33C9A">
        <w:rPr>
          <w:rFonts w:eastAsia="Calibri"/>
          <w:color w:val="000000"/>
          <w:lang w:val="en-US" w:eastAsia="en-US"/>
        </w:rPr>
        <w:t xml:space="preserve"> S, Chowdhury A, Lynch E, Chowdhury CR. Antibacterial activity of new atraumatic restorative treatment materials incorporated with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(Neem) against Streptococcus mutans. J Oral Biol </w:t>
      </w:r>
      <w:proofErr w:type="spellStart"/>
      <w:r w:rsidRPr="00B33C9A">
        <w:rPr>
          <w:rFonts w:eastAsia="Calibri"/>
          <w:color w:val="000000"/>
          <w:lang w:val="en-US" w:eastAsia="en-US"/>
        </w:rPr>
        <w:t>Craniofac</w:t>
      </w:r>
      <w:proofErr w:type="spellEnd"/>
      <w:r w:rsidRPr="00B33C9A">
        <w:rPr>
          <w:rFonts w:eastAsia="Calibri"/>
          <w:color w:val="000000"/>
          <w:lang w:val="en-US" w:eastAsia="en-US"/>
        </w:rPr>
        <w:t xml:space="preserve"> Res. 2019; 9(4):321-5. DOI: 10.1016/</w:t>
      </w:r>
      <w:proofErr w:type="spellStart"/>
      <w:r w:rsidRPr="00B33C9A">
        <w:rPr>
          <w:rFonts w:eastAsia="Calibri"/>
          <w:color w:val="000000"/>
          <w:lang w:val="en-US" w:eastAsia="en-US"/>
        </w:rPr>
        <w:t>j.jobcr.2019.06.014</w:t>
      </w:r>
      <w:proofErr w:type="spellEnd"/>
    </w:p>
    <w:p w14:paraId="6149C32C" w14:textId="77777777" w:rsidR="00B33C9A" w:rsidRPr="00B33C9A" w:rsidRDefault="00B33C9A" w:rsidP="00B33C9A">
      <w:pPr>
        <w:spacing w:line="360" w:lineRule="auto"/>
        <w:contextualSpacing/>
        <w:rPr>
          <w:rFonts w:eastAsia="Calibri"/>
          <w:lang w:val="es-PE" w:eastAsia="en-US"/>
        </w:rPr>
      </w:pPr>
      <w:r w:rsidRPr="00B33C9A">
        <w:rPr>
          <w:rFonts w:eastAsia="Calibri"/>
          <w:color w:val="000000"/>
          <w:lang w:val="en-US" w:eastAsia="en-US"/>
        </w:rPr>
        <w:t xml:space="preserve">30. Dhingra K, Vandana KL.  Effectiveness of </w:t>
      </w:r>
      <w:proofErr w:type="spellStart"/>
      <w:r w:rsidRPr="00B33C9A">
        <w:rPr>
          <w:rFonts w:eastAsia="Calibri"/>
          <w:color w:val="000000"/>
          <w:lang w:val="en-US" w:eastAsia="en-US"/>
        </w:rPr>
        <w:t>Azadirachta</w:t>
      </w:r>
      <w:proofErr w:type="spellEnd"/>
      <w:r w:rsidRPr="00B33C9A">
        <w:rPr>
          <w:rFonts w:eastAsia="Calibri"/>
          <w:color w:val="000000"/>
          <w:lang w:val="en-US" w:eastAsia="en-US"/>
        </w:rPr>
        <w:t xml:space="preserve"> indica (neem) </w:t>
      </w:r>
      <w:proofErr w:type="spellStart"/>
      <w:r w:rsidRPr="00B33C9A">
        <w:rPr>
          <w:rFonts w:eastAsia="Calibri"/>
          <w:color w:val="000000"/>
          <w:lang w:val="en-US" w:eastAsia="en-US"/>
        </w:rPr>
        <w:t>mouthrinse</w:t>
      </w:r>
      <w:proofErr w:type="spellEnd"/>
      <w:r w:rsidRPr="00B33C9A">
        <w:rPr>
          <w:rFonts w:eastAsia="Calibri"/>
          <w:color w:val="000000"/>
          <w:lang w:val="en-US" w:eastAsia="en-US"/>
        </w:rPr>
        <w:t xml:space="preserve"> in plaque and gingivitis control: a systematic review. </w:t>
      </w:r>
      <w:proofErr w:type="spellStart"/>
      <w:r w:rsidRPr="00B33C9A">
        <w:rPr>
          <w:rFonts w:eastAsia="Calibri"/>
          <w:color w:val="000000"/>
          <w:lang w:val="es-PE" w:eastAsia="en-US"/>
        </w:rPr>
        <w:t>Int</w:t>
      </w:r>
      <w:proofErr w:type="spellEnd"/>
      <w:r w:rsidRPr="00B33C9A">
        <w:rPr>
          <w:rFonts w:eastAsia="Calibri"/>
          <w:color w:val="000000"/>
          <w:lang w:val="es-PE" w:eastAsia="en-US"/>
        </w:rPr>
        <w:t xml:space="preserve"> J </w:t>
      </w:r>
      <w:proofErr w:type="spellStart"/>
      <w:r w:rsidRPr="00B33C9A">
        <w:rPr>
          <w:rFonts w:eastAsia="Calibri"/>
          <w:color w:val="000000"/>
          <w:lang w:val="es-PE" w:eastAsia="en-US"/>
        </w:rPr>
        <w:t>Dent</w:t>
      </w:r>
      <w:proofErr w:type="spellEnd"/>
      <w:r w:rsidRPr="00B33C9A">
        <w:rPr>
          <w:rFonts w:eastAsia="Calibri"/>
          <w:color w:val="000000"/>
          <w:lang w:val="es-PE" w:eastAsia="en-US"/>
        </w:rPr>
        <w:t xml:space="preserve"> </w:t>
      </w:r>
      <w:proofErr w:type="spellStart"/>
      <w:r w:rsidRPr="00B33C9A">
        <w:rPr>
          <w:rFonts w:eastAsia="Calibri"/>
          <w:color w:val="000000"/>
          <w:lang w:val="es-PE" w:eastAsia="en-US"/>
        </w:rPr>
        <w:t>Hyg</w:t>
      </w:r>
      <w:proofErr w:type="spellEnd"/>
      <w:r w:rsidRPr="00B33C9A">
        <w:rPr>
          <w:rFonts w:eastAsia="Calibri"/>
          <w:color w:val="000000"/>
          <w:lang w:val="es-PE" w:eastAsia="en-US"/>
        </w:rPr>
        <w:t xml:space="preserve">. 2017; 15(1):4-15. </w:t>
      </w:r>
      <w:proofErr w:type="spellStart"/>
      <w:r w:rsidRPr="00B33C9A">
        <w:rPr>
          <w:rFonts w:eastAsia="Calibri"/>
          <w:color w:val="000000"/>
          <w:lang w:val="es-PE" w:eastAsia="en-US"/>
        </w:rPr>
        <w:t>DOI</w:t>
      </w:r>
      <w:proofErr w:type="spellEnd"/>
      <w:r w:rsidRPr="00B33C9A">
        <w:rPr>
          <w:rFonts w:eastAsia="Calibri"/>
          <w:color w:val="000000"/>
          <w:lang w:val="es-PE" w:eastAsia="en-US"/>
        </w:rPr>
        <w:t>: 10.1111/</w:t>
      </w:r>
      <w:proofErr w:type="spellStart"/>
      <w:r w:rsidRPr="00B33C9A">
        <w:rPr>
          <w:rFonts w:eastAsia="Calibri"/>
          <w:color w:val="000000"/>
          <w:lang w:val="es-PE" w:eastAsia="en-US"/>
        </w:rPr>
        <w:t>idh.12191</w:t>
      </w:r>
      <w:proofErr w:type="spellEnd"/>
    </w:p>
    <w:p w14:paraId="65D15689" w14:textId="77777777" w:rsidR="00B33C9A" w:rsidRPr="00B33C9A" w:rsidRDefault="00B33C9A" w:rsidP="00B33C9A">
      <w:pPr>
        <w:spacing w:line="360" w:lineRule="auto"/>
        <w:jc w:val="both"/>
        <w:rPr>
          <w:b/>
          <w:bCs/>
          <w:lang w:val="es-PE" w:eastAsia="es-ES"/>
        </w:rPr>
      </w:pPr>
    </w:p>
    <w:p w14:paraId="2AF1A0A9" w14:textId="77777777" w:rsidR="00B33C9A" w:rsidRPr="00B33C9A" w:rsidRDefault="00B33C9A" w:rsidP="00B33C9A">
      <w:pPr>
        <w:spacing w:line="360" w:lineRule="auto"/>
        <w:jc w:val="center"/>
        <w:rPr>
          <w:b/>
          <w:bCs/>
          <w:lang w:val="es-PE" w:eastAsia="es-MX"/>
        </w:rPr>
      </w:pPr>
    </w:p>
    <w:p w14:paraId="12AD3389" w14:textId="77777777" w:rsidR="00B33C9A" w:rsidRPr="00B33C9A" w:rsidRDefault="00B33C9A" w:rsidP="00B33C9A">
      <w:pPr>
        <w:spacing w:line="360" w:lineRule="auto"/>
        <w:jc w:val="center"/>
        <w:rPr>
          <w:b/>
          <w:bCs/>
          <w:lang w:val="es-PE" w:eastAsia="es-MX"/>
        </w:rPr>
      </w:pPr>
      <w:r w:rsidRPr="00B33C9A">
        <w:rPr>
          <w:b/>
          <w:bCs/>
          <w:lang w:val="es-PE" w:eastAsia="es-MX"/>
        </w:rPr>
        <w:lastRenderedPageBreak/>
        <w:t>Conflictos de interés</w:t>
      </w:r>
    </w:p>
    <w:p w14:paraId="199ED4D5" w14:textId="77777777" w:rsidR="00B33C9A" w:rsidRPr="00B33C9A" w:rsidRDefault="00B33C9A" w:rsidP="00B33C9A">
      <w:pPr>
        <w:spacing w:line="360" w:lineRule="auto"/>
        <w:jc w:val="both"/>
        <w:rPr>
          <w:lang w:val="es-PE" w:eastAsia="es-MX"/>
        </w:rPr>
      </w:pPr>
      <w:r w:rsidRPr="00B33C9A">
        <w:rPr>
          <w:lang w:val="es-PE" w:eastAsia="es-MX"/>
        </w:rPr>
        <w:t>Los autores declaran que no tienen conflicto de intereses.</w:t>
      </w:r>
    </w:p>
    <w:p w14:paraId="7D579C7B" w14:textId="77777777" w:rsidR="00B33C9A" w:rsidRPr="00B33C9A" w:rsidRDefault="00B33C9A" w:rsidP="00B33C9A">
      <w:pPr>
        <w:spacing w:line="360" w:lineRule="auto"/>
        <w:jc w:val="center"/>
        <w:rPr>
          <w:b/>
          <w:bCs/>
          <w:lang w:val="es-PE" w:eastAsia="es-ES"/>
        </w:rPr>
      </w:pPr>
    </w:p>
    <w:p w14:paraId="251B283A" w14:textId="77777777" w:rsidR="00B33C9A" w:rsidRPr="00B33C9A" w:rsidRDefault="00B33C9A" w:rsidP="00B33C9A">
      <w:pPr>
        <w:spacing w:line="360" w:lineRule="auto"/>
        <w:jc w:val="center"/>
        <w:rPr>
          <w:b/>
          <w:bCs/>
          <w:lang w:val="es-PE" w:eastAsia="es-ES"/>
        </w:rPr>
      </w:pPr>
      <w:r w:rsidRPr="00B33C9A">
        <w:rPr>
          <w:b/>
          <w:bCs/>
          <w:lang w:val="es-PE" w:eastAsia="es-ES"/>
        </w:rPr>
        <w:t>Contribuciones de los autores</w:t>
      </w:r>
    </w:p>
    <w:p w14:paraId="1DE2F132" w14:textId="77777777" w:rsidR="00B33C9A" w:rsidRPr="00B33C9A" w:rsidRDefault="00B33C9A" w:rsidP="00B33C9A">
      <w:pPr>
        <w:spacing w:line="360" w:lineRule="auto"/>
        <w:jc w:val="both"/>
        <w:rPr>
          <w:i/>
          <w:lang w:val="es-PE" w:eastAsia="es-ES"/>
        </w:rPr>
      </w:pPr>
      <w:r w:rsidRPr="00B33C9A">
        <w:rPr>
          <w:iCs/>
          <w:lang w:val="es-PE" w:eastAsia="es-ES"/>
        </w:rPr>
        <w:t>Conceptualización:</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xml:space="preserve">, Wilfredo Terrones-Campos. </w:t>
      </w:r>
    </w:p>
    <w:p w14:paraId="264BC084" w14:textId="77777777" w:rsidR="00B33C9A" w:rsidRPr="00B33C9A" w:rsidRDefault="00B33C9A" w:rsidP="00B33C9A">
      <w:pPr>
        <w:spacing w:line="360" w:lineRule="auto"/>
        <w:jc w:val="both"/>
        <w:rPr>
          <w:i/>
          <w:lang w:val="es-PE" w:eastAsia="es-ES"/>
        </w:rPr>
      </w:pPr>
      <w:r w:rsidRPr="00B33C9A">
        <w:rPr>
          <w:iCs/>
          <w:lang w:val="es-PE" w:eastAsia="es-ES"/>
        </w:rPr>
        <w:t>Curación de datos:</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xml:space="preserve">, Wilfredo Terrones-Campos. </w:t>
      </w:r>
    </w:p>
    <w:p w14:paraId="43254804" w14:textId="77777777" w:rsidR="00B33C9A" w:rsidRPr="00B33C9A" w:rsidRDefault="00B33C9A" w:rsidP="00B33C9A">
      <w:pPr>
        <w:spacing w:line="360" w:lineRule="auto"/>
        <w:jc w:val="both"/>
        <w:rPr>
          <w:i/>
          <w:lang w:val="es-PE" w:eastAsia="es-ES"/>
        </w:rPr>
      </w:pPr>
      <w:r w:rsidRPr="00B33C9A">
        <w:rPr>
          <w:iCs/>
          <w:lang w:val="es-PE" w:eastAsia="es-ES"/>
        </w:rPr>
        <w:t>Análisis formal:</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María Félix Sánchez-Villavicencio.</w:t>
      </w:r>
    </w:p>
    <w:p w14:paraId="0848A6E9" w14:textId="77777777" w:rsidR="00B33C9A" w:rsidRPr="00B33C9A" w:rsidRDefault="00B33C9A" w:rsidP="00B33C9A">
      <w:pPr>
        <w:spacing w:line="360" w:lineRule="auto"/>
        <w:jc w:val="both"/>
        <w:rPr>
          <w:i/>
          <w:lang w:val="es-PE" w:eastAsia="es-ES"/>
        </w:rPr>
      </w:pPr>
      <w:r w:rsidRPr="00B33C9A">
        <w:rPr>
          <w:iCs/>
          <w:lang w:val="es-PE" w:eastAsia="es-ES"/>
        </w:rPr>
        <w:t>Adquisición de fondos:</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w:t>
      </w:r>
      <w:bookmarkStart w:id="20" w:name="_Hlk109475300"/>
      <w:r w:rsidRPr="00B33C9A">
        <w:rPr>
          <w:i/>
          <w:lang w:val="es-PE" w:eastAsia="es-ES"/>
        </w:rPr>
        <w:t>Wilfredo Terrones-Campos,</w:t>
      </w:r>
      <w:bookmarkEnd w:id="20"/>
      <w:r w:rsidRPr="00B33C9A">
        <w:rPr>
          <w:i/>
          <w:lang w:val="es-PE" w:eastAsia="es-ES"/>
        </w:rPr>
        <w:t xml:space="preserve"> José Elías Cabrejo-Paredes.</w:t>
      </w:r>
    </w:p>
    <w:p w14:paraId="6637E9DF" w14:textId="77777777" w:rsidR="00B33C9A" w:rsidRPr="00B33C9A" w:rsidRDefault="00B33C9A" w:rsidP="00B33C9A">
      <w:pPr>
        <w:spacing w:line="360" w:lineRule="auto"/>
        <w:jc w:val="both"/>
        <w:rPr>
          <w:i/>
          <w:lang w:val="es-PE" w:eastAsia="es-ES"/>
        </w:rPr>
      </w:pPr>
      <w:r w:rsidRPr="00B33C9A">
        <w:rPr>
          <w:iCs/>
          <w:lang w:val="es-PE" w:eastAsia="es-ES"/>
        </w:rPr>
        <w:t>Investigación:</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Wilfredo Terrones Campos.</w:t>
      </w:r>
    </w:p>
    <w:p w14:paraId="0A13F6D1" w14:textId="77777777" w:rsidR="00B33C9A" w:rsidRPr="00B33C9A" w:rsidRDefault="00B33C9A" w:rsidP="00B33C9A">
      <w:pPr>
        <w:spacing w:line="360" w:lineRule="auto"/>
        <w:jc w:val="both"/>
        <w:rPr>
          <w:lang w:val="es-PE" w:eastAsia="es-ES"/>
        </w:rPr>
      </w:pPr>
      <w:r w:rsidRPr="00B33C9A">
        <w:rPr>
          <w:iCs/>
          <w:lang w:val="es-PE" w:eastAsia="es-ES"/>
        </w:rPr>
        <w:t>Metodología:</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María Félix Sánchez-Villavicencio.</w:t>
      </w:r>
    </w:p>
    <w:p w14:paraId="3AF06B7F" w14:textId="77777777" w:rsidR="00B33C9A" w:rsidRPr="00B33C9A" w:rsidRDefault="00B33C9A" w:rsidP="00B33C9A">
      <w:pPr>
        <w:spacing w:line="360" w:lineRule="auto"/>
        <w:jc w:val="both"/>
        <w:rPr>
          <w:i/>
          <w:lang w:val="es-PE" w:eastAsia="es-ES"/>
        </w:rPr>
      </w:pPr>
      <w:r w:rsidRPr="00B33C9A">
        <w:rPr>
          <w:iCs/>
          <w:lang w:val="es-PE" w:eastAsia="es-ES"/>
        </w:rPr>
        <w:t>Administración del proyecto:</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Wilfredo Terrones-Campos, José Elías Cabrejo-Paredes.</w:t>
      </w:r>
    </w:p>
    <w:p w14:paraId="3458AA20" w14:textId="77777777" w:rsidR="00B33C9A" w:rsidRPr="00B33C9A" w:rsidRDefault="00B33C9A" w:rsidP="00B33C9A">
      <w:pPr>
        <w:spacing w:line="360" w:lineRule="auto"/>
        <w:jc w:val="both"/>
        <w:rPr>
          <w:i/>
          <w:lang w:val="es-PE" w:eastAsia="es-ES"/>
        </w:rPr>
      </w:pPr>
      <w:r w:rsidRPr="00B33C9A">
        <w:rPr>
          <w:iCs/>
          <w:lang w:val="es-PE" w:eastAsia="es-ES"/>
        </w:rPr>
        <w:t>Recursos:</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Wilfredo Terrones-Campos, José Elías Cabrejo-Paredes.</w:t>
      </w:r>
    </w:p>
    <w:p w14:paraId="48834FF0" w14:textId="77777777" w:rsidR="00B33C9A" w:rsidRPr="00B33C9A" w:rsidRDefault="00B33C9A" w:rsidP="00B33C9A">
      <w:pPr>
        <w:spacing w:line="360" w:lineRule="auto"/>
        <w:jc w:val="both"/>
        <w:rPr>
          <w:i/>
          <w:lang w:val="es-PE" w:eastAsia="es-ES"/>
        </w:rPr>
      </w:pPr>
      <w:r w:rsidRPr="00B33C9A">
        <w:rPr>
          <w:iCs/>
          <w:lang w:val="es-PE" w:eastAsia="es-ES"/>
        </w:rPr>
        <w:t>Software:</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María Félix Sánchez-Villavicencio.</w:t>
      </w:r>
    </w:p>
    <w:p w14:paraId="709E7A82" w14:textId="77777777" w:rsidR="00B33C9A" w:rsidRPr="00B33C9A" w:rsidRDefault="00B33C9A" w:rsidP="00B33C9A">
      <w:pPr>
        <w:spacing w:line="360" w:lineRule="auto"/>
        <w:jc w:val="both"/>
        <w:rPr>
          <w:i/>
          <w:lang w:val="es-PE" w:eastAsia="es-ES"/>
        </w:rPr>
      </w:pPr>
      <w:r w:rsidRPr="00B33C9A">
        <w:rPr>
          <w:iCs/>
          <w:lang w:val="es-PE" w:eastAsia="es-ES"/>
        </w:rPr>
        <w:t>Supervisión:</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José Elías Cabrejo-Paredes.</w:t>
      </w:r>
    </w:p>
    <w:p w14:paraId="0ACEC2A5" w14:textId="77777777" w:rsidR="00B33C9A" w:rsidRPr="00B33C9A" w:rsidRDefault="00B33C9A" w:rsidP="00B33C9A">
      <w:pPr>
        <w:spacing w:line="360" w:lineRule="auto"/>
        <w:jc w:val="both"/>
        <w:rPr>
          <w:i/>
          <w:lang w:val="es-PE" w:eastAsia="es-ES"/>
        </w:rPr>
      </w:pPr>
      <w:r w:rsidRPr="00B33C9A">
        <w:rPr>
          <w:iCs/>
          <w:lang w:val="es-PE" w:eastAsia="es-ES"/>
        </w:rPr>
        <w:t>Validación:</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María Félix Sánchez-Villavicencio.</w:t>
      </w:r>
    </w:p>
    <w:p w14:paraId="390DD955" w14:textId="77777777" w:rsidR="00B33C9A" w:rsidRPr="00B33C9A" w:rsidRDefault="00B33C9A" w:rsidP="00B33C9A">
      <w:pPr>
        <w:spacing w:line="360" w:lineRule="auto"/>
        <w:jc w:val="both"/>
        <w:rPr>
          <w:i/>
          <w:lang w:val="es-PE" w:eastAsia="es-ES"/>
        </w:rPr>
      </w:pPr>
      <w:r w:rsidRPr="00B33C9A">
        <w:rPr>
          <w:iCs/>
          <w:lang w:val="es-PE" w:eastAsia="es-ES"/>
        </w:rPr>
        <w:t>Visualización:</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xml:space="preserve">, Wilfredo Terrones-Campos. </w:t>
      </w:r>
    </w:p>
    <w:p w14:paraId="63575DDB" w14:textId="77777777" w:rsidR="00B33C9A" w:rsidRPr="00B33C9A" w:rsidRDefault="00B33C9A" w:rsidP="00B33C9A">
      <w:pPr>
        <w:spacing w:line="360" w:lineRule="auto"/>
        <w:jc w:val="both"/>
        <w:rPr>
          <w:i/>
          <w:lang w:val="es-PE" w:eastAsia="es-ES"/>
        </w:rPr>
      </w:pPr>
      <w:r w:rsidRPr="00B33C9A">
        <w:rPr>
          <w:iCs/>
          <w:lang w:val="es-PE" w:eastAsia="es-ES"/>
        </w:rPr>
        <w:t>Redacción – borrador original:</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Daniela Alejandra Cueva-</w:t>
      </w:r>
      <w:proofErr w:type="spellStart"/>
      <w:r w:rsidRPr="00B33C9A">
        <w:rPr>
          <w:i/>
          <w:lang w:val="es-PE" w:eastAsia="es-ES"/>
        </w:rPr>
        <w:t>Yesán</w:t>
      </w:r>
      <w:proofErr w:type="spellEnd"/>
      <w:r w:rsidRPr="00B33C9A">
        <w:rPr>
          <w:i/>
          <w:lang w:val="es-PE" w:eastAsia="es-ES"/>
        </w:rPr>
        <w:t>, Wilfredo Terrones-Campos, José Elías Cabrejo-Paredes.</w:t>
      </w:r>
    </w:p>
    <w:p w14:paraId="29B87B71" w14:textId="77777777" w:rsidR="00B33C9A" w:rsidRPr="00B33C9A" w:rsidRDefault="00B33C9A" w:rsidP="00B33C9A">
      <w:pPr>
        <w:spacing w:line="360" w:lineRule="auto"/>
        <w:jc w:val="both"/>
        <w:rPr>
          <w:lang w:val="es-PE" w:eastAsia="es-ES"/>
        </w:rPr>
      </w:pPr>
      <w:r w:rsidRPr="00B33C9A">
        <w:rPr>
          <w:iCs/>
          <w:lang w:val="es-PE" w:eastAsia="es-ES"/>
        </w:rPr>
        <w:lastRenderedPageBreak/>
        <w:t>Redacción – revisión y edición:</w:t>
      </w:r>
      <w:r w:rsidRPr="00B33C9A">
        <w:rPr>
          <w:lang w:val="es-PE" w:eastAsia="es-ES"/>
        </w:rPr>
        <w:t xml:space="preserve"> </w:t>
      </w:r>
      <w:r w:rsidRPr="00B33C9A">
        <w:rPr>
          <w:i/>
          <w:lang w:val="es-PE" w:eastAsia="es-ES"/>
        </w:rPr>
        <w:t xml:space="preserve">Miguel </w:t>
      </w:r>
      <w:proofErr w:type="spellStart"/>
      <w:r w:rsidRPr="00B33C9A">
        <w:rPr>
          <w:i/>
          <w:lang w:val="es-PE" w:eastAsia="es-ES"/>
        </w:rPr>
        <w:t>Angel</w:t>
      </w:r>
      <w:proofErr w:type="spellEnd"/>
      <w:r w:rsidRPr="00B33C9A">
        <w:rPr>
          <w:i/>
          <w:lang w:val="es-PE" w:eastAsia="es-ES"/>
        </w:rPr>
        <w:t xml:space="preserve"> Ruiz-Barrueto, Wilfredo Terrones-Campos, Daniela Alejandra Cueva-</w:t>
      </w:r>
      <w:proofErr w:type="spellStart"/>
      <w:r w:rsidRPr="00B33C9A">
        <w:rPr>
          <w:i/>
          <w:lang w:val="es-PE" w:eastAsia="es-ES"/>
        </w:rPr>
        <w:t>Yesán</w:t>
      </w:r>
      <w:proofErr w:type="spellEnd"/>
      <w:r w:rsidRPr="00B33C9A">
        <w:rPr>
          <w:i/>
          <w:lang w:val="es-PE" w:eastAsia="es-ES"/>
        </w:rPr>
        <w:t>, María Félix Sánchez-Villavicencio, José Elías Cabrejo-Paredes.</w:t>
      </w:r>
    </w:p>
    <w:p w14:paraId="25647292" w14:textId="77777777" w:rsidR="00675476" w:rsidRPr="00B33C9A" w:rsidRDefault="00675476" w:rsidP="00EA1FEF">
      <w:pPr>
        <w:pStyle w:val="PDFRevista"/>
        <w:rPr>
          <w:lang w:val="es-PE"/>
        </w:rPr>
      </w:pPr>
    </w:p>
    <w:sectPr w:rsidR="00675476" w:rsidRPr="00B33C9A"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D696" w14:textId="77777777" w:rsidR="00B27A15" w:rsidRDefault="00B27A15">
      <w:r>
        <w:separator/>
      </w:r>
    </w:p>
  </w:endnote>
  <w:endnote w:type="continuationSeparator" w:id="0">
    <w:p w14:paraId="7E59BA2C" w14:textId="77777777" w:rsidR="00B27A15" w:rsidRDefault="00B2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712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7E501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D143" w14:textId="1C8927CD" w:rsidR="000F3690" w:rsidRPr="00AE044C" w:rsidRDefault="00B33C9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20CD0A4" wp14:editId="17CFDE20">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C97D37"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F56DA8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20AF33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9217452" w14:textId="3C3B8E3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B33C9A" w:rsidRPr="00B33C9A">
      <w:rPr>
        <w:rFonts w:ascii="Verdana" w:hAnsi="Verdana"/>
        <w:noProof/>
        <w:sz w:val="18"/>
        <w:szCs w:val="18"/>
        <w:lang w:val="en-US" w:eastAsia="en-US"/>
      </w:rPr>
      <w:drawing>
        <wp:inline distT="0" distB="0" distL="0" distR="0" wp14:anchorId="00ACEDD6" wp14:editId="7957E6BB">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D90E" w14:textId="77777777" w:rsidR="00B27A15" w:rsidRDefault="00B27A15">
      <w:r>
        <w:separator/>
      </w:r>
    </w:p>
  </w:footnote>
  <w:footnote w:type="continuationSeparator" w:id="0">
    <w:p w14:paraId="0E419988" w14:textId="77777777" w:rsidR="00B27A15" w:rsidRDefault="00B2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EE5C" w14:textId="631004EC" w:rsidR="00CC376A" w:rsidRPr="00AE044C" w:rsidRDefault="00B33C9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02302386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ACEEFC3" wp14:editId="39EA0D61">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C2C98" w14:textId="7F9FCEB4" w:rsidR="00A477DE" w:rsidRDefault="00B33C9A">
    <w:r>
      <w:rPr>
        <w:noProof/>
      </w:rPr>
      <mc:AlternateContent>
        <mc:Choice Requires="wps">
          <w:drawing>
            <wp:anchor distT="0" distB="0" distL="114300" distR="114300" simplePos="0" relativeHeight="251654144" behindDoc="0" locked="0" layoutInCell="1" allowOverlap="1" wp14:anchorId="6FD10DD6" wp14:editId="2917583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380F1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D4B"/>
    <w:multiLevelType w:val="hybridMultilevel"/>
    <w:tmpl w:val="FD28B5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9F76FB1"/>
    <w:multiLevelType w:val="multilevel"/>
    <w:tmpl w:val="73924BC8"/>
    <w:lvl w:ilvl="0">
      <w:start w:val="6"/>
      <w:numFmt w:val="bullet"/>
      <w:lvlText w:val="-"/>
      <w:lvlJc w:val="left"/>
      <w:pPr>
        <w:ind w:left="2493" w:hanging="360"/>
      </w:pPr>
      <w:rPr>
        <w:rFonts w:ascii="Arial" w:eastAsia="Arial" w:hAnsi="Arial" w:cs="Arial"/>
      </w:rPr>
    </w:lvl>
    <w:lvl w:ilvl="1">
      <w:start w:val="1"/>
      <w:numFmt w:val="bullet"/>
      <w:lvlText w:val="o"/>
      <w:lvlJc w:val="left"/>
      <w:pPr>
        <w:ind w:left="2853" w:hanging="360"/>
      </w:pPr>
      <w:rPr>
        <w:rFonts w:ascii="Courier New" w:eastAsia="Courier New" w:hAnsi="Courier New" w:cs="Courier New"/>
      </w:rPr>
    </w:lvl>
    <w:lvl w:ilvl="2">
      <w:start w:val="1"/>
      <w:numFmt w:val="bullet"/>
      <w:lvlText w:val="▪"/>
      <w:lvlJc w:val="left"/>
      <w:pPr>
        <w:ind w:left="3573" w:hanging="360"/>
      </w:pPr>
      <w:rPr>
        <w:rFonts w:ascii="Noto Sans Symbols" w:eastAsia="Noto Sans Symbols" w:hAnsi="Noto Sans Symbols" w:cs="Noto Sans Symbols"/>
      </w:rPr>
    </w:lvl>
    <w:lvl w:ilvl="3">
      <w:start w:val="1"/>
      <w:numFmt w:val="bullet"/>
      <w:lvlText w:val="●"/>
      <w:lvlJc w:val="left"/>
      <w:pPr>
        <w:ind w:left="4293" w:hanging="360"/>
      </w:pPr>
      <w:rPr>
        <w:rFonts w:ascii="Noto Sans Symbols" w:eastAsia="Noto Sans Symbols" w:hAnsi="Noto Sans Symbols" w:cs="Noto Sans Symbols"/>
      </w:rPr>
    </w:lvl>
    <w:lvl w:ilvl="4">
      <w:start w:val="1"/>
      <w:numFmt w:val="bullet"/>
      <w:lvlText w:val="o"/>
      <w:lvlJc w:val="left"/>
      <w:pPr>
        <w:ind w:left="5013" w:hanging="360"/>
      </w:pPr>
      <w:rPr>
        <w:rFonts w:ascii="Courier New" w:eastAsia="Courier New" w:hAnsi="Courier New" w:cs="Courier New"/>
      </w:rPr>
    </w:lvl>
    <w:lvl w:ilvl="5">
      <w:start w:val="1"/>
      <w:numFmt w:val="bullet"/>
      <w:lvlText w:val="▪"/>
      <w:lvlJc w:val="left"/>
      <w:pPr>
        <w:ind w:left="5733" w:hanging="360"/>
      </w:pPr>
      <w:rPr>
        <w:rFonts w:ascii="Noto Sans Symbols" w:eastAsia="Noto Sans Symbols" w:hAnsi="Noto Sans Symbols" w:cs="Noto Sans Symbols"/>
      </w:rPr>
    </w:lvl>
    <w:lvl w:ilvl="6">
      <w:start w:val="1"/>
      <w:numFmt w:val="bullet"/>
      <w:lvlText w:val="●"/>
      <w:lvlJc w:val="left"/>
      <w:pPr>
        <w:ind w:left="6453" w:hanging="360"/>
      </w:pPr>
      <w:rPr>
        <w:rFonts w:ascii="Noto Sans Symbols" w:eastAsia="Noto Sans Symbols" w:hAnsi="Noto Sans Symbols" w:cs="Noto Sans Symbols"/>
      </w:rPr>
    </w:lvl>
    <w:lvl w:ilvl="7">
      <w:start w:val="1"/>
      <w:numFmt w:val="bullet"/>
      <w:lvlText w:val="o"/>
      <w:lvlJc w:val="left"/>
      <w:pPr>
        <w:ind w:left="7173" w:hanging="360"/>
      </w:pPr>
      <w:rPr>
        <w:rFonts w:ascii="Courier New" w:eastAsia="Courier New" w:hAnsi="Courier New" w:cs="Courier New"/>
      </w:rPr>
    </w:lvl>
    <w:lvl w:ilvl="8">
      <w:start w:val="1"/>
      <w:numFmt w:val="bullet"/>
      <w:lvlText w:val="▪"/>
      <w:lvlJc w:val="left"/>
      <w:pPr>
        <w:ind w:left="7893" w:hanging="360"/>
      </w:pPr>
      <w:rPr>
        <w:rFonts w:ascii="Noto Sans Symbols" w:eastAsia="Noto Sans Symbols" w:hAnsi="Noto Sans Symbols" w:cs="Noto Sans Symbols"/>
      </w:rPr>
    </w:lvl>
  </w:abstractNum>
  <w:abstractNum w:abstractNumId="2" w15:restartNumberingAfterBreak="0">
    <w:nsid w:val="15C30943"/>
    <w:multiLevelType w:val="multilevel"/>
    <w:tmpl w:val="DF64903A"/>
    <w:lvl w:ilvl="0">
      <w:start w:val="1"/>
      <w:numFmt w:val="decimal"/>
      <w:lvlText w:val="%1."/>
      <w:lvlJc w:val="left"/>
      <w:pPr>
        <w:ind w:left="720" w:hanging="360"/>
      </w:pPr>
      <w:rPr>
        <w:sz w:val="24"/>
        <w:szCs w:val="24"/>
      </w:rPr>
    </w:lvl>
    <w:lvl w:ilvl="1">
      <w:start w:val="1"/>
      <w:numFmt w:val="lowerLetter"/>
      <w:pStyle w:val="Ttulo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5E35E6"/>
    <w:multiLevelType w:val="multilevel"/>
    <w:tmpl w:val="F4DC2AF2"/>
    <w:lvl w:ilvl="0">
      <w:start w:val="1"/>
      <w:numFmt w:val="bullet"/>
      <w:lvlText w:val="▪"/>
      <w:lvlJc w:val="left"/>
      <w:pPr>
        <w:ind w:left="896" w:hanging="360"/>
      </w:pPr>
      <w:rPr>
        <w:rFonts w:ascii="Noto Sans Symbols" w:eastAsia="Noto Sans Symbols" w:hAnsi="Noto Sans Symbols" w:cs="Noto Sans Symbols"/>
      </w:rPr>
    </w:lvl>
    <w:lvl w:ilvl="1">
      <w:start w:val="1"/>
      <w:numFmt w:val="bullet"/>
      <w:pStyle w:val="Ttulo9"/>
      <w:lvlText w:val="•"/>
      <w:lvlJc w:val="left"/>
      <w:pPr>
        <w:ind w:left="1781" w:hanging="525"/>
      </w:pPr>
      <w:rPr>
        <w:rFonts w:ascii="Times New Roman" w:eastAsia="Times New Roman" w:hAnsi="Times New Roman" w:cs="Times New Roman"/>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4" w15:restartNumberingAfterBreak="0">
    <w:nsid w:val="28823C44"/>
    <w:multiLevelType w:val="multilevel"/>
    <w:tmpl w:val="5D32C984"/>
    <w:lvl w:ilvl="0">
      <w:start w:val="1"/>
      <w:numFmt w:val="decimal"/>
      <w:lvlText w:val="%1."/>
      <w:lvlJc w:val="left"/>
      <w:pPr>
        <w:ind w:left="3296" w:hanging="360"/>
      </w:pPr>
      <w:rPr>
        <w:b/>
      </w:rPr>
    </w:lvl>
    <w:lvl w:ilvl="1">
      <w:start w:val="1"/>
      <w:numFmt w:val="lowerLetter"/>
      <w:lvlText w:val="%2."/>
      <w:lvlJc w:val="left"/>
      <w:pPr>
        <w:ind w:left="4016" w:hanging="360"/>
      </w:pPr>
    </w:lvl>
    <w:lvl w:ilvl="2">
      <w:start w:val="1"/>
      <w:numFmt w:val="lowerRoman"/>
      <w:lvlText w:val="%3."/>
      <w:lvlJc w:val="right"/>
      <w:pPr>
        <w:ind w:left="4736" w:hanging="180"/>
      </w:pPr>
    </w:lvl>
    <w:lvl w:ilvl="3">
      <w:start w:val="1"/>
      <w:numFmt w:val="decimal"/>
      <w:lvlText w:val="%4."/>
      <w:lvlJc w:val="left"/>
      <w:pPr>
        <w:ind w:left="5456" w:hanging="360"/>
      </w:pPr>
    </w:lvl>
    <w:lvl w:ilvl="4">
      <w:start w:val="1"/>
      <w:numFmt w:val="lowerLetter"/>
      <w:lvlText w:val="%5."/>
      <w:lvlJc w:val="left"/>
      <w:pPr>
        <w:ind w:left="6176" w:hanging="360"/>
      </w:pPr>
    </w:lvl>
    <w:lvl w:ilvl="5">
      <w:start w:val="1"/>
      <w:numFmt w:val="lowerRoman"/>
      <w:lvlText w:val="%6."/>
      <w:lvlJc w:val="right"/>
      <w:pPr>
        <w:ind w:left="6896" w:hanging="180"/>
      </w:pPr>
    </w:lvl>
    <w:lvl w:ilvl="6">
      <w:start w:val="1"/>
      <w:numFmt w:val="decimal"/>
      <w:lvlText w:val="%7."/>
      <w:lvlJc w:val="left"/>
      <w:pPr>
        <w:ind w:left="7616" w:hanging="360"/>
      </w:pPr>
    </w:lvl>
    <w:lvl w:ilvl="7">
      <w:start w:val="1"/>
      <w:numFmt w:val="lowerLetter"/>
      <w:lvlText w:val="%8."/>
      <w:lvlJc w:val="left"/>
      <w:pPr>
        <w:ind w:left="8336" w:hanging="360"/>
      </w:pPr>
    </w:lvl>
    <w:lvl w:ilvl="8">
      <w:start w:val="1"/>
      <w:numFmt w:val="lowerRoman"/>
      <w:lvlText w:val="%9."/>
      <w:lvlJc w:val="right"/>
      <w:pPr>
        <w:ind w:left="9056" w:hanging="180"/>
      </w:pPr>
    </w:lvl>
  </w:abstractNum>
  <w:abstractNum w:abstractNumId="5" w15:restartNumberingAfterBreak="0">
    <w:nsid w:val="2A3D10F9"/>
    <w:multiLevelType w:val="multilevel"/>
    <w:tmpl w:val="988A833A"/>
    <w:lvl w:ilvl="0">
      <w:start w:val="1"/>
      <w:numFmt w:val="lowerLetter"/>
      <w:lvlText w:val="%1."/>
      <w:lvlJc w:val="left"/>
      <w:pPr>
        <w:ind w:left="3555" w:hanging="360"/>
      </w:pPr>
      <w:rPr>
        <w:b/>
      </w:rPr>
    </w:lvl>
    <w:lvl w:ilvl="1">
      <w:start w:val="1"/>
      <w:numFmt w:val="decimal"/>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6" w15:restartNumberingAfterBreak="0">
    <w:nsid w:val="2BB03409"/>
    <w:multiLevelType w:val="hybridMultilevel"/>
    <w:tmpl w:val="DA14B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00E4E5C"/>
    <w:multiLevelType w:val="hybridMultilevel"/>
    <w:tmpl w:val="EC3C77C2"/>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8" w15:restartNumberingAfterBreak="0">
    <w:nsid w:val="32814C8B"/>
    <w:multiLevelType w:val="multilevel"/>
    <w:tmpl w:val="8E70C8C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3354532"/>
    <w:multiLevelType w:val="multilevel"/>
    <w:tmpl w:val="9136610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39E6B8E"/>
    <w:multiLevelType w:val="multilevel"/>
    <w:tmpl w:val="EBB08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345C25"/>
    <w:multiLevelType w:val="multilevel"/>
    <w:tmpl w:val="92903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3C6F97"/>
    <w:multiLevelType w:val="multilevel"/>
    <w:tmpl w:val="B332342A"/>
    <w:lvl w:ilvl="0">
      <w:start w:val="3"/>
      <w:numFmt w:val="decimal"/>
      <w:lvlText w:val="%1."/>
      <w:lvlJc w:val="left"/>
      <w:pPr>
        <w:ind w:left="540" w:hanging="540"/>
      </w:pPr>
      <w:rPr>
        <w:i w:val="0"/>
      </w:rPr>
    </w:lvl>
    <w:lvl w:ilvl="1">
      <w:start w:val="2"/>
      <w:numFmt w:val="decimal"/>
      <w:lvlText w:val="%1.%2."/>
      <w:lvlJc w:val="left"/>
      <w:pPr>
        <w:ind w:left="1146" w:hanging="540"/>
      </w:pPr>
      <w:rPr>
        <w:i w:val="0"/>
      </w:rPr>
    </w:lvl>
    <w:lvl w:ilvl="2">
      <w:start w:val="1"/>
      <w:numFmt w:val="decimal"/>
      <w:lvlText w:val="%1.%2.%3."/>
      <w:lvlJc w:val="left"/>
      <w:pPr>
        <w:ind w:left="1932" w:hanging="720"/>
      </w:pPr>
      <w:rPr>
        <w:b/>
        <w:i w:val="0"/>
      </w:rPr>
    </w:lvl>
    <w:lvl w:ilvl="3">
      <w:start w:val="1"/>
      <w:numFmt w:val="bullet"/>
      <w:lvlText w:val=""/>
      <w:lvlJc w:val="left"/>
      <w:pPr>
        <w:ind w:left="2538" w:hanging="720"/>
      </w:pPr>
      <w:rPr>
        <w:rFonts w:ascii="Symbol" w:hAnsi="Symbol" w:hint="default"/>
        <w:i w:val="0"/>
      </w:rPr>
    </w:lvl>
    <w:lvl w:ilvl="4">
      <w:start w:val="1"/>
      <w:numFmt w:val="decimal"/>
      <w:lvlText w:val="%1.%2.%3.%4.%5."/>
      <w:lvlJc w:val="left"/>
      <w:pPr>
        <w:ind w:left="3504" w:hanging="1080"/>
      </w:pPr>
      <w:rPr>
        <w:i w:val="0"/>
      </w:rPr>
    </w:lvl>
    <w:lvl w:ilvl="5">
      <w:start w:val="1"/>
      <w:numFmt w:val="decimal"/>
      <w:lvlText w:val="%1.%2.%3.%4.%5.%6."/>
      <w:lvlJc w:val="left"/>
      <w:pPr>
        <w:ind w:left="4110" w:hanging="1080"/>
      </w:pPr>
      <w:rPr>
        <w:i w:val="0"/>
      </w:rPr>
    </w:lvl>
    <w:lvl w:ilvl="6">
      <w:start w:val="1"/>
      <w:numFmt w:val="decimal"/>
      <w:lvlText w:val="%1.%2.%3.%4.%5.%6.%7."/>
      <w:lvlJc w:val="left"/>
      <w:pPr>
        <w:ind w:left="5076" w:hanging="1440"/>
      </w:pPr>
      <w:rPr>
        <w:i w:val="0"/>
      </w:rPr>
    </w:lvl>
    <w:lvl w:ilvl="7">
      <w:start w:val="1"/>
      <w:numFmt w:val="decimal"/>
      <w:lvlText w:val="%1.%2.%3.%4.%5.%6.%7.%8."/>
      <w:lvlJc w:val="left"/>
      <w:pPr>
        <w:ind w:left="5682" w:hanging="1440"/>
      </w:pPr>
      <w:rPr>
        <w:i w:val="0"/>
      </w:rPr>
    </w:lvl>
    <w:lvl w:ilvl="8">
      <w:start w:val="1"/>
      <w:numFmt w:val="decimal"/>
      <w:lvlText w:val="%1.%2.%3.%4.%5.%6.%7.%8.%9."/>
      <w:lvlJc w:val="left"/>
      <w:pPr>
        <w:ind w:left="6648" w:hanging="1800"/>
      </w:pPr>
      <w:rPr>
        <w:i w:val="0"/>
      </w:rPr>
    </w:lvl>
  </w:abstractNum>
  <w:abstractNum w:abstractNumId="13" w15:restartNumberingAfterBreak="0">
    <w:nsid w:val="3E051595"/>
    <w:multiLevelType w:val="hybridMultilevel"/>
    <w:tmpl w:val="77DEF5F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4B5D78AC"/>
    <w:multiLevelType w:val="multilevel"/>
    <w:tmpl w:val="7A103BF4"/>
    <w:lvl w:ilvl="0">
      <w:start w:val="1"/>
      <w:numFmt w:val="bullet"/>
      <w:lvlText w:val="●"/>
      <w:lvlJc w:val="left"/>
      <w:pPr>
        <w:ind w:left="2563"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16" w15:restartNumberingAfterBreak="0">
    <w:nsid w:val="4C620E59"/>
    <w:multiLevelType w:val="multilevel"/>
    <w:tmpl w:val="3D508C36"/>
    <w:lvl w:ilvl="0">
      <w:start w:val="1"/>
      <w:numFmt w:val="bullet"/>
      <w:lvlText w:val="●"/>
      <w:lvlJc w:val="left"/>
      <w:pPr>
        <w:ind w:left="1004" w:hanging="360"/>
      </w:pPr>
      <w:rPr>
        <w:rFonts w:ascii="Noto Sans Symbols" w:eastAsia="Noto Sans Symbols" w:hAnsi="Noto Sans Symbols" w:cs="Noto Sans Symbols"/>
      </w:rPr>
    </w:lvl>
    <w:lvl w:ilvl="1">
      <w:start w:val="1"/>
      <w:numFmt w:val="decimal"/>
      <w:pStyle w:val="Ttulo2"/>
      <w:lvlText w:val="%2."/>
      <w:lvlJc w:val="left"/>
      <w:pPr>
        <w:ind w:left="1724" w:hanging="360"/>
      </w:pPr>
    </w:lvl>
    <w:lvl w:ilvl="2">
      <w:start w:val="1"/>
      <w:numFmt w:val="bullet"/>
      <w:pStyle w:val="Ttulo3"/>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7" w15:restartNumberingAfterBreak="0">
    <w:nsid w:val="51E16584"/>
    <w:multiLevelType w:val="multilevel"/>
    <w:tmpl w:val="688AFD56"/>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sz w:val="24"/>
        <w:szCs w:val="24"/>
      </w:rPr>
    </w:lvl>
    <w:lvl w:ilvl="2">
      <w:start w:val="1"/>
      <w:numFmt w:val="decimal"/>
      <w:lvlText w:val="%1.%2.%3."/>
      <w:lvlJc w:val="left"/>
      <w:pPr>
        <w:ind w:left="1440" w:hanging="720"/>
      </w:pPr>
      <w:rPr>
        <w:rFonts w:ascii="Times New Roman" w:hAnsi="Times New Roman" w:cs="Times New Roman" w:hint="default"/>
        <w:b/>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1EE5055"/>
    <w:multiLevelType w:val="multilevel"/>
    <w:tmpl w:val="399ED0EC"/>
    <w:lvl w:ilvl="0">
      <w:start w:val="1"/>
      <w:numFmt w:val="decimal"/>
      <w:lvlText w:val="%1."/>
      <w:lvlJc w:val="left"/>
      <w:pPr>
        <w:ind w:left="532" w:hanging="390"/>
      </w:pPr>
    </w:lvl>
    <w:lvl w:ilvl="1">
      <w:start w:val="1"/>
      <w:numFmt w:val="decimal"/>
      <w:lvlText w:val="%1.%2."/>
      <w:lvlJc w:val="left"/>
      <w:pPr>
        <w:ind w:left="720" w:hanging="720"/>
      </w:pPr>
      <w:rPr>
        <w:b/>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2110D0D"/>
    <w:multiLevelType w:val="multilevel"/>
    <w:tmpl w:val="BD282C6E"/>
    <w:lvl w:ilvl="0">
      <w:start w:val="1"/>
      <w:numFmt w:val="bullet"/>
      <w:lvlText w:val="●"/>
      <w:lvlJc w:val="left"/>
      <w:pPr>
        <w:ind w:left="1855" w:hanging="360"/>
      </w:pPr>
      <w:rPr>
        <w:rFonts w:ascii="Noto Sans Symbols" w:eastAsia="Noto Sans Symbols" w:hAnsi="Noto Sans Symbols" w:cs="Noto Sans Symbols"/>
      </w:rPr>
    </w:lvl>
    <w:lvl w:ilvl="1">
      <w:start w:val="1"/>
      <w:numFmt w:val="bullet"/>
      <w:pStyle w:val="Ttulo6"/>
      <w:lvlText w:val="o"/>
      <w:lvlJc w:val="left"/>
      <w:pPr>
        <w:ind w:left="2575" w:hanging="360"/>
      </w:pPr>
      <w:rPr>
        <w:rFonts w:ascii="Courier New" w:eastAsia="Courier New" w:hAnsi="Courier New" w:cs="Courier New"/>
      </w:rPr>
    </w:lvl>
    <w:lvl w:ilvl="2">
      <w:start w:val="1"/>
      <w:numFmt w:val="bullet"/>
      <w:lvlText w:val="▪"/>
      <w:lvlJc w:val="left"/>
      <w:pPr>
        <w:ind w:left="3295" w:hanging="360"/>
      </w:pPr>
      <w:rPr>
        <w:rFonts w:ascii="Noto Sans Symbols" w:eastAsia="Noto Sans Symbols" w:hAnsi="Noto Sans Symbols" w:cs="Noto Sans Symbols"/>
      </w:rPr>
    </w:lvl>
    <w:lvl w:ilvl="3">
      <w:start w:val="1"/>
      <w:numFmt w:val="bullet"/>
      <w:lvlText w:val="●"/>
      <w:lvlJc w:val="left"/>
      <w:pPr>
        <w:ind w:left="4015" w:hanging="360"/>
      </w:pPr>
      <w:rPr>
        <w:rFonts w:ascii="Noto Sans Symbols" w:eastAsia="Noto Sans Symbols" w:hAnsi="Noto Sans Symbols" w:cs="Noto Sans Symbols"/>
      </w:rPr>
    </w:lvl>
    <w:lvl w:ilvl="4">
      <w:start w:val="1"/>
      <w:numFmt w:val="bullet"/>
      <w:lvlText w:val="o"/>
      <w:lvlJc w:val="left"/>
      <w:pPr>
        <w:ind w:left="4735" w:hanging="360"/>
      </w:pPr>
      <w:rPr>
        <w:rFonts w:ascii="Courier New" w:eastAsia="Courier New" w:hAnsi="Courier New" w:cs="Courier New"/>
      </w:rPr>
    </w:lvl>
    <w:lvl w:ilvl="5">
      <w:start w:val="1"/>
      <w:numFmt w:val="bullet"/>
      <w:lvlText w:val="▪"/>
      <w:lvlJc w:val="left"/>
      <w:pPr>
        <w:ind w:left="5455" w:hanging="360"/>
      </w:pPr>
      <w:rPr>
        <w:rFonts w:ascii="Noto Sans Symbols" w:eastAsia="Noto Sans Symbols" w:hAnsi="Noto Sans Symbols" w:cs="Noto Sans Symbols"/>
      </w:rPr>
    </w:lvl>
    <w:lvl w:ilvl="6">
      <w:start w:val="1"/>
      <w:numFmt w:val="bullet"/>
      <w:lvlText w:val="●"/>
      <w:lvlJc w:val="left"/>
      <w:pPr>
        <w:ind w:left="6175" w:hanging="360"/>
      </w:pPr>
      <w:rPr>
        <w:rFonts w:ascii="Noto Sans Symbols" w:eastAsia="Noto Sans Symbols" w:hAnsi="Noto Sans Symbols" w:cs="Noto Sans Symbols"/>
      </w:rPr>
    </w:lvl>
    <w:lvl w:ilvl="7">
      <w:start w:val="1"/>
      <w:numFmt w:val="bullet"/>
      <w:lvlText w:val="o"/>
      <w:lvlJc w:val="left"/>
      <w:pPr>
        <w:ind w:left="6895" w:hanging="360"/>
      </w:pPr>
      <w:rPr>
        <w:rFonts w:ascii="Courier New" w:eastAsia="Courier New" w:hAnsi="Courier New" w:cs="Courier New"/>
      </w:rPr>
    </w:lvl>
    <w:lvl w:ilvl="8">
      <w:start w:val="1"/>
      <w:numFmt w:val="bullet"/>
      <w:lvlText w:val="▪"/>
      <w:lvlJc w:val="left"/>
      <w:pPr>
        <w:ind w:left="7615" w:hanging="360"/>
      </w:pPr>
      <w:rPr>
        <w:rFonts w:ascii="Noto Sans Symbols" w:eastAsia="Noto Sans Symbols" w:hAnsi="Noto Sans Symbols" w:cs="Noto Sans Symbols"/>
      </w:rPr>
    </w:lvl>
  </w:abstractNum>
  <w:abstractNum w:abstractNumId="20" w15:restartNumberingAfterBreak="0">
    <w:nsid w:val="56473431"/>
    <w:multiLevelType w:val="multilevel"/>
    <w:tmpl w:val="DDA6A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E770E8"/>
    <w:multiLevelType w:val="hybridMultilevel"/>
    <w:tmpl w:val="64D4990C"/>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22" w15:restartNumberingAfterBreak="0">
    <w:nsid w:val="5B703312"/>
    <w:multiLevelType w:val="multilevel"/>
    <w:tmpl w:val="CB4CA35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5D195E9A"/>
    <w:multiLevelType w:val="hybridMultilevel"/>
    <w:tmpl w:val="D58A94BC"/>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4" w15:restartNumberingAfterBreak="0">
    <w:nsid w:val="5DD616AC"/>
    <w:multiLevelType w:val="hybridMultilevel"/>
    <w:tmpl w:val="F640B87C"/>
    <w:lvl w:ilvl="0" w:tplc="BA9095EC">
      <w:start w:val="1"/>
      <w:numFmt w:val="decimal"/>
      <w:lvlText w:val="%1."/>
      <w:lvlJc w:val="left"/>
      <w:pPr>
        <w:ind w:left="744" w:hanging="384"/>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224481F"/>
    <w:multiLevelType w:val="multilevel"/>
    <w:tmpl w:val="44C0D6B8"/>
    <w:lvl w:ilvl="0">
      <w:start w:val="6"/>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67531F5A"/>
    <w:multiLevelType w:val="multilevel"/>
    <w:tmpl w:val="D5F820E6"/>
    <w:lvl w:ilvl="0">
      <w:start w:val="4"/>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75C0DFB"/>
    <w:multiLevelType w:val="multilevel"/>
    <w:tmpl w:val="0BCE482C"/>
    <w:lvl w:ilvl="0">
      <w:start w:val="3"/>
      <w:numFmt w:val="decimal"/>
      <w:lvlText w:val="%1."/>
      <w:lvlJc w:val="left"/>
      <w:pPr>
        <w:ind w:left="360" w:hanging="360"/>
      </w:pPr>
    </w:lvl>
    <w:lvl w:ilvl="1">
      <w:start w:val="1"/>
      <w:numFmt w:val="decimal"/>
      <w:pStyle w:val="Ttulo4"/>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850053A"/>
    <w:multiLevelType w:val="multilevel"/>
    <w:tmpl w:val="7BC82E1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9" w15:restartNumberingAfterBreak="0">
    <w:nsid w:val="6F1307D9"/>
    <w:multiLevelType w:val="multilevel"/>
    <w:tmpl w:val="94A4CFF0"/>
    <w:lvl w:ilvl="0">
      <w:start w:val="1"/>
      <w:numFmt w:val="bullet"/>
      <w:lvlText w:val="▪"/>
      <w:lvlJc w:val="left"/>
      <w:pPr>
        <w:ind w:left="748" w:hanging="360"/>
      </w:pPr>
      <w:rPr>
        <w:rFonts w:ascii="Noto Sans Symbols" w:eastAsia="Noto Sans Symbols" w:hAnsi="Noto Sans Symbols" w:cs="Noto Sans Symbols"/>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30" w15:restartNumberingAfterBreak="0">
    <w:nsid w:val="75A50D68"/>
    <w:multiLevelType w:val="multilevel"/>
    <w:tmpl w:val="F7065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A91556"/>
    <w:multiLevelType w:val="hybridMultilevel"/>
    <w:tmpl w:val="7CB236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B9D781E"/>
    <w:multiLevelType w:val="multilevel"/>
    <w:tmpl w:val="C070F9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7BB825D6"/>
    <w:multiLevelType w:val="multilevel"/>
    <w:tmpl w:val="F7065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613399"/>
    <w:multiLevelType w:val="multilevel"/>
    <w:tmpl w:val="65B64F26"/>
    <w:lvl w:ilvl="0">
      <w:start w:val="1"/>
      <w:numFmt w:val="bullet"/>
      <w:lvlText w:val="−"/>
      <w:lvlJc w:val="left"/>
      <w:pPr>
        <w:ind w:left="3012" w:hanging="360"/>
      </w:pPr>
      <w:rPr>
        <w:rFonts w:ascii="Noto Sans Symbols" w:eastAsia="Noto Sans Symbols" w:hAnsi="Noto Sans Symbols" w:cs="Noto Sans Symbols"/>
      </w:rPr>
    </w:lvl>
    <w:lvl w:ilvl="1">
      <w:start w:val="1"/>
      <w:numFmt w:val="bullet"/>
      <w:lvlText w:val="o"/>
      <w:lvlJc w:val="left"/>
      <w:pPr>
        <w:ind w:left="3732" w:hanging="360"/>
      </w:pPr>
      <w:rPr>
        <w:rFonts w:ascii="Courier New" w:eastAsia="Courier New" w:hAnsi="Courier New" w:cs="Courier New"/>
      </w:rPr>
    </w:lvl>
    <w:lvl w:ilvl="2">
      <w:start w:val="1"/>
      <w:numFmt w:val="bullet"/>
      <w:lvlText w:val="▪"/>
      <w:lvlJc w:val="left"/>
      <w:pPr>
        <w:ind w:left="4452" w:hanging="360"/>
      </w:pPr>
      <w:rPr>
        <w:rFonts w:ascii="Noto Sans Symbols" w:eastAsia="Noto Sans Symbols" w:hAnsi="Noto Sans Symbols" w:cs="Noto Sans Symbols"/>
      </w:rPr>
    </w:lvl>
    <w:lvl w:ilvl="3">
      <w:start w:val="1"/>
      <w:numFmt w:val="bullet"/>
      <w:lvlText w:val="●"/>
      <w:lvlJc w:val="left"/>
      <w:pPr>
        <w:ind w:left="5172" w:hanging="360"/>
      </w:pPr>
      <w:rPr>
        <w:rFonts w:ascii="Noto Sans Symbols" w:eastAsia="Noto Sans Symbols" w:hAnsi="Noto Sans Symbols" w:cs="Noto Sans Symbols"/>
      </w:rPr>
    </w:lvl>
    <w:lvl w:ilvl="4">
      <w:start w:val="1"/>
      <w:numFmt w:val="bullet"/>
      <w:lvlText w:val="o"/>
      <w:lvlJc w:val="left"/>
      <w:pPr>
        <w:ind w:left="5892" w:hanging="360"/>
      </w:pPr>
      <w:rPr>
        <w:rFonts w:ascii="Courier New" w:eastAsia="Courier New" w:hAnsi="Courier New" w:cs="Courier New"/>
      </w:rPr>
    </w:lvl>
    <w:lvl w:ilvl="5">
      <w:start w:val="1"/>
      <w:numFmt w:val="bullet"/>
      <w:lvlText w:val="▪"/>
      <w:lvlJc w:val="left"/>
      <w:pPr>
        <w:ind w:left="6612" w:hanging="360"/>
      </w:pPr>
      <w:rPr>
        <w:rFonts w:ascii="Noto Sans Symbols" w:eastAsia="Noto Sans Symbols" w:hAnsi="Noto Sans Symbols" w:cs="Noto Sans Symbols"/>
      </w:rPr>
    </w:lvl>
    <w:lvl w:ilvl="6">
      <w:start w:val="1"/>
      <w:numFmt w:val="bullet"/>
      <w:lvlText w:val="●"/>
      <w:lvlJc w:val="left"/>
      <w:pPr>
        <w:ind w:left="7332" w:hanging="360"/>
      </w:pPr>
      <w:rPr>
        <w:rFonts w:ascii="Noto Sans Symbols" w:eastAsia="Noto Sans Symbols" w:hAnsi="Noto Sans Symbols" w:cs="Noto Sans Symbols"/>
      </w:rPr>
    </w:lvl>
    <w:lvl w:ilvl="7">
      <w:start w:val="1"/>
      <w:numFmt w:val="bullet"/>
      <w:lvlText w:val="o"/>
      <w:lvlJc w:val="left"/>
      <w:pPr>
        <w:ind w:left="8052" w:hanging="360"/>
      </w:pPr>
      <w:rPr>
        <w:rFonts w:ascii="Courier New" w:eastAsia="Courier New" w:hAnsi="Courier New" w:cs="Courier New"/>
      </w:rPr>
    </w:lvl>
    <w:lvl w:ilvl="8">
      <w:start w:val="1"/>
      <w:numFmt w:val="bullet"/>
      <w:lvlText w:val="▪"/>
      <w:lvlJc w:val="left"/>
      <w:pPr>
        <w:ind w:left="8772" w:hanging="360"/>
      </w:pPr>
      <w:rPr>
        <w:rFonts w:ascii="Noto Sans Symbols" w:eastAsia="Noto Sans Symbols" w:hAnsi="Noto Sans Symbols" w:cs="Noto Sans Symbols"/>
      </w:rPr>
    </w:lvl>
  </w:abstractNum>
  <w:abstractNum w:abstractNumId="35" w15:restartNumberingAfterBreak="0">
    <w:nsid w:val="7EED29E9"/>
    <w:multiLevelType w:val="multilevel"/>
    <w:tmpl w:val="F7065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4E3168"/>
    <w:multiLevelType w:val="multilevel"/>
    <w:tmpl w:val="442E2B4A"/>
    <w:lvl w:ilvl="0">
      <w:start w:val="1"/>
      <w:numFmt w:val="bullet"/>
      <w:lvlText w:val="−"/>
      <w:lvlJc w:val="left"/>
      <w:pPr>
        <w:ind w:left="2493" w:hanging="360"/>
      </w:pPr>
      <w:rPr>
        <w:rFonts w:ascii="Noto Sans Symbols" w:eastAsia="Noto Sans Symbols" w:hAnsi="Noto Sans Symbols" w:cs="Noto Sans Symbols"/>
      </w:rPr>
    </w:lvl>
    <w:lvl w:ilvl="1">
      <w:start w:val="1"/>
      <w:numFmt w:val="bullet"/>
      <w:pStyle w:val="Ttulo7"/>
      <w:lvlText w:val="o"/>
      <w:lvlJc w:val="left"/>
      <w:pPr>
        <w:ind w:left="2853" w:hanging="360"/>
      </w:pPr>
      <w:rPr>
        <w:rFonts w:ascii="Courier New" w:eastAsia="Courier New" w:hAnsi="Courier New" w:cs="Courier New"/>
      </w:rPr>
    </w:lvl>
    <w:lvl w:ilvl="2">
      <w:start w:val="1"/>
      <w:numFmt w:val="bullet"/>
      <w:pStyle w:val="Ttulo8"/>
      <w:lvlText w:val="▪"/>
      <w:lvlJc w:val="left"/>
      <w:pPr>
        <w:ind w:left="3573" w:hanging="360"/>
      </w:pPr>
      <w:rPr>
        <w:rFonts w:ascii="Noto Sans Symbols" w:eastAsia="Noto Sans Symbols" w:hAnsi="Noto Sans Symbols" w:cs="Noto Sans Symbols"/>
      </w:rPr>
    </w:lvl>
    <w:lvl w:ilvl="3">
      <w:start w:val="1"/>
      <w:numFmt w:val="bullet"/>
      <w:lvlText w:val="●"/>
      <w:lvlJc w:val="left"/>
      <w:pPr>
        <w:ind w:left="4293" w:hanging="360"/>
      </w:pPr>
      <w:rPr>
        <w:rFonts w:ascii="Noto Sans Symbols" w:eastAsia="Noto Sans Symbols" w:hAnsi="Noto Sans Symbols" w:cs="Noto Sans Symbols"/>
      </w:rPr>
    </w:lvl>
    <w:lvl w:ilvl="4">
      <w:start w:val="1"/>
      <w:numFmt w:val="bullet"/>
      <w:lvlText w:val="o"/>
      <w:lvlJc w:val="left"/>
      <w:pPr>
        <w:ind w:left="5013" w:hanging="360"/>
      </w:pPr>
      <w:rPr>
        <w:rFonts w:ascii="Courier New" w:eastAsia="Courier New" w:hAnsi="Courier New" w:cs="Courier New"/>
      </w:rPr>
    </w:lvl>
    <w:lvl w:ilvl="5">
      <w:start w:val="1"/>
      <w:numFmt w:val="bullet"/>
      <w:lvlText w:val="▪"/>
      <w:lvlJc w:val="left"/>
      <w:pPr>
        <w:ind w:left="5733" w:hanging="360"/>
      </w:pPr>
      <w:rPr>
        <w:rFonts w:ascii="Noto Sans Symbols" w:eastAsia="Noto Sans Symbols" w:hAnsi="Noto Sans Symbols" w:cs="Noto Sans Symbols"/>
      </w:rPr>
    </w:lvl>
    <w:lvl w:ilvl="6">
      <w:start w:val="1"/>
      <w:numFmt w:val="bullet"/>
      <w:lvlText w:val="●"/>
      <w:lvlJc w:val="left"/>
      <w:pPr>
        <w:ind w:left="6453" w:hanging="360"/>
      </w:pPr>
      <w:rPr>
        <w:rFonts w:ascii="Noto Sans Symbols" w:eastAsia="Noto Sans Symbols" w:hAnsi="Noto Sans Symbols" w:cs="Noto Sans Symbols"/>
      </w:rPr>
    </w:lvl>
    <w:lvl w:ilvl="7">
      <w:start w:val="1"/>
      <w:numFmt w:val="bullet"/>
      <w:lvlText w:val="o"/>
      <w:lvlJc w:val="left"/>
      <w:pPr>
        <w:ind w:left="7173" w:hanging="360"/>
      </w:pPr>
      <w:rPr>
        <w:rFonts w:ascii="Courier New" w:eastAsia="Courier New" w:hAnsi="Courier New" w:cs="Courier New"/>
      </w:rPr>
    </w:lvl>
    <w:lvl w:ilvl="8">
      <w:start w:val="1"/>
      <w:numFmt w:val="bullet"/>
      <w:lvlText w:val="▪"/>
      <w:lvlJc w:val="left"/>
      <w:pPr>
        <w:ind w:left="7893" w:hanging="360"/>
      </w:pPr>
      <w:rPr>
        <w:rFonts w:ascii="Noto Sans Symbols" w:eastAsia="Noto Sans Symbols" w:hAnsi="Noto Sans Symbols" w:cs="Noto Sans Symbols"/>
      </w:rPr>
    </w:lvl>
  </w:abstractNum>
  <w:num w:numId="1" w16cid:durableId="241523011">
    <w:abstractNumId w:val="14"/>
  </w:num>
  <w:num w:numId="2" w16cid:durableId="1804157115">
    <w:abstractNumId w:val="28"/>
  </w:num>
  <w:num w:numId="3" w16cid:durableId="125782535">
    <w:abstractNumId w:val="20"/>
  </w:num>
  <w:num w:numId="4" w16cid:durableId="979774153">
    <w:abstractNumId w:val="16"/>
  </w:num>
  <w:num w:numId="5" w16cid:durableId="517894601">
    <w:abstractNumId w:val="10"/>
  </w:num>
  <w:num w:numId="6" w16cid:durableId="2133859028">
    <w:abstractNumId w:val="4"/>
  </w:num>
  <w:num w:numId="7" w16cid:durableId="1868759650">
    <w:abstractNumId w:val="8"/>
  </w:num>
  <w:num w:numId="8" w16cid:durableId="229966033">
    <w:abstractNumId w:val="5"/>
  </w:num>
  <w:num w:numId="9" w16cid:durableId="112211861">
    <w:abstractNumId w:val="27"/>
  </w:num>
  <w:num w:numId="10" w16cid:durableId="489835074">
    <w:abstractNumId w:val="2"/>
  </w:num>
  <w:num w:numId="11" w16cid:durableId="284624853">
    <w:abstractNumId w:val="12"/>
  </w:num>
  <w:num w:numId="12" w16cid:durableId="660042718">
    <w:abstractNumId w:val="22"/>
  </w:num>
  <w:num w:numId="13" w16cid:durableId="1373774415">
    <w:abstractNumId w:val="32"/>
  </w:num>
  <w:num w:numId="14" w16cid:durableId="1932658423">
    <w:abstractNumId w:val="1"/>
  </w:num>
  <w:num w:numId="15" w16cid:durableId="1863279876">
    <w:abstractNumId w:val="18"/>
  </w:num>
  <w:num w:numId="16" w16cid:durableId="363872606">
    <w:abstractNumId w:val="11"/>
  </w:num>
  <w:num w:numId="17" w16cid:durableId="2134904355">
    <w:abstractNumId w:val="19"/>
  </w:num>
  <w:num w:numId="18" w16cid:durableId="359936943">
    <w:abstractNumId w:val="34"/>
  </w:num>
  <w:num w:numId="19" w16cid:durableId="189686770">
    <w:abstractNumId w:val="36"/>
  </w:num>
  <w:num w:numId="20" w16cid:durableId="397827195">
    <w:abstractNumId w:val="3"/>
  </w:num>
  <w:num w:numId="21" w16cid:durableId="749233166">
    <w:abstractNumId w:val="29"/>
  </w:num>
  <w:num w:numId="22" w16cid:durableId="735126377">
    <w:abstractNumId w:val="30"/>
  </w:num>
  <w:num w:numId="23" w16cid:durableId="442381373">
    <w:abstractNumId w:val="15"/>
  </w:num>
  <w:num w:numId="24" w16cid:durableId="1488353136">
    <w:abstractNumId w:val="9"/>
  </w:num>
  <w:num w:numId="25" w16cid:durableId="1493257035">
    <w:abstractNumId w:val="26"/>
  </w:num>
  <w:num w:numId="26" w16cid:durableId="1380546684">
    <w:abstractNumId w:val="17"/>
  </w:num>
  <w:num w:numId="27" w16cid:durableId="1957173415">
    <w:abstractNumId w:val="25"/>
  </w:num>
  <w:num w:numId="28" w16cid:durableId="1701203434">
    <w:abstractNumId w:val="7"/>
  </w:num>
  <w:num w:numId="29" w16cid:durableId="1156457927">
    <w:abstractNumId w:val="35"/>
  </w:num>
  <w:num w:numId="30" w16cid:durableId="1888762261">
    <w:abstractNumId w:val="33"/>
  </w:num>
  <w:num w:numId="31" w16cid:durableId="1091466515">
    <w:abstractNumId w:val="23"/>
  </w:num>
  <w:num w:numId="32" w16cid:durableId="418646160">
    <w:abstractNumId w:val="21"/>
  </w:num>
  <w:num w:numId="33" w16cid:durableId="669603092">
    <w:abstractNumId w:val="6"/>
  </w:num>
  <w:num w:numId="34" w16cid:durableId="587345504">
    <w:abstractNumId w:val="0"/>
  </w:num>
  <w:num w:numId="35" w16cid:durableId="1641879740">
    <w:abstractNumId w:val="13"/>
  </w:num>
  <w:num w:numId="36" w16cid:durableId="140536179">
    <w:abstractNumId w:val="31"/>
  </w:num>
  <w:num w:numId="37" w16cid:durableId="7692066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9A"/>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439A5"/>
    <w:rsid w:val="007C430F"/>
    <w:rsid w:val="007D2D0C"/>
    <w:rsid w:val="007D614D"/>
    <w:rsid w:val="008F6137"/>
    <w:rsid w:val="00960D6A"/>
    <w:rsid w:val="009A0560"/>
    <w:rsid w:val="009B0917"/>
    <w:rsid w:val="009E1F20"/>
    <w:rsid w:val="009F0F96"/>
    <w:rsid w:val="00A23C0C"/>
    <w:rsid w:val="00A477DE"/>
    <w:rsid w:val="00A71E65"/>
    <w:rsid w:val="00AE044C"/>
    <w:rsid w:val="00B27A15"/>
    <w:rsid w:val="00B31971"/>
    <w:rsid w:val="00B33C9A"/>
    <w:rsid w:val="00B4380A"/>
    <w:rsid w:val="00B66ECB"/>
    <w:rsid w:val="00C7523A"/>
    <w:rsid w:val="00CC1B6E"/>
    <w:rsid w:val="00CC376A"/>
    <w:rsid w:val="00CC48A1"/>
    <w:rsid w:val="00CF50E0"/>
    <w:rsid w:val="00D11B79"/>
    <w:rsid w:val="00D85951"/>
    <w:rsid w:val="00E62606"/>
    <w:rsid w:val="00EA1FEF"/>
    <w:rsid w:val="00EC5A6B"/>
    <w:rsid w:val="00EE301D"/>
    <w:rsid w:val="00F50B09"/>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E7BA1"/>
  <w15:docId w15:val="{E096FCB8-9B9C-46C8-87A3-579C365F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Default"/>
    <w:next w:val="Normal"/>
    <w:link w:val="Ttulo1Car"/>
    <w:uiPriority w:val="9"/>
    <w:qFormat/>
    <w:rsid w:val="00B33C9A"/>
    <w:pPr>
      <w:spacing w:before="120" w:after="120" w:line="360" w:lineRule="auto"/>
      <w:jc w:val="center"/>
      <w:outlineLvl w:val="0"/>
    </w:pPr>
    <w:rPr>
      <w:rFonts w:ascii="Times New Roman" w:hAnsi="Times New Roman" w:cs="Times New Roman"/>
      <w:b/>
    </w:rPr>
  </w:style>
  <w:style w:type="paragraph" w:styleId="Ttulo2">
    <w:name w:val="heading 2"/>
    <w:basedOn w:val="Prrafodelista"/>
    <w:next w:val="Normal"/>
    <w:link w:val="Ttulo2Car"/>
    <w:uiPriority w:val="99"/>
    <w:unhideWhenUsed/>
    <w:qFormat/>
    <w:rsid w:val="00B33C9A"/>
    <w:pPr>
      <w:numPr>
        <w:ilvl w:val="1"/>
        <w:numId w:val="4"/>
      </w:numPr>
      <w:spacing w:before="240" w:after="240"/>
      <w:ind w:left="1440"/>
      <w:contextualSpacing w:val="0"/>
      <w:outlineLvl w:val="1"/>
    </w:pPr>
    <w:rPr>
      <w:rFonts w:ascii="Times New Roman" w:hAnsi="Times New Roman" w:cs="Times New Roman"/>
      <w:b/>
      <w:szCs w:val="24"/>
    </w:rPr>
  </w:style>
  <w:style w:type="paragraph" w:styleId="Ttulo3">
    <w:name w:val="heading 3"/>
    <w:basedOn w:val="Prrafodelista"/>
    <w:next w:val="Normal"/>
    <w:link w:val="Ttulo3Car"/>
    <w:uiPriority w:val="99"/>
    <w:unhideWhenUsed/>
    <w:qFormat/>
    <w:rsid w:val="00B33C9A"/>
    <w:pPr>
      <w:numPr>
        <w:ilvl w:val="2"/>
        <w:numId w:val="4"/>
      </w:numPr>
      <w:tabs>
        <w:tab w:val="left" w:pos="1701"/>
      </w:tabs>
      <w:spacing w:before="240" w:after="240"/>
      <w:ind w:left="1276"/>
      <w:contextualSpacing w:val="0"/>
      <w:outlineLvl w:val="2"/>
    </w:pPr>
    <w:rPr>
      <w:rFonts w:ascii="Times New Roman" w:hAnsi="Times New Roman" w:cs="Times New Roman"/>
      <w:szCs w:val="24"/>
    </w:rPr>
  </w:style>
  <w:style w:type="paragraph" w:styleId="Ttulo4">
    <w:name w:val="heading 4"/>
    <w:basedOn w:val="Prrafodelista"/>
    <w:next w:val="Normal"/>
    <w:link w:val="Ttulo4Car"/>
    <w:uiPriority w:val="9"/>
    <w:unhideWhenUsed/>
    <w:qFormat/>
    <w:rsid w:val="00B33C9A"/>
    <w:pPr>
      <w:numPr>
        <w:ilvl w:val="1"/>
        <w:numId w:val="9"/>
      </w:numPr>
      <w:spacing w:before="360" w:after="240"/>
      <w:ind w:left="709" w:hanging="709"/>
      <w:contextualSpacing w:val="0"/>
      <w:outlineLvl w:val="3"/>
    </w:pPr>
    <w:rPr>
      <w:rFonts w:ascii="Times New Roman" w:hAnsi="Times New Roman" w:cs="Times New Roman"/>
      <w:b/>
      <w:szCs w:val="24"/>
    </w:rPr>
  </w:style>
  <w:style w:type="paragraph" w:styleId="Ttulo5">
    <w:name w:val="heading 5"/>
    <w:basedOn w:val="Prrafodelista"/>
    <w:next w:val="Normal"/>
    <w:link w:val="Ttulo5Car"/>
    <w:uiPriority w:val="9"/>
    <w:unhideWhenUsed/>
    <w:qFormat/>
    <w:rsid w:val="00B33C9A"/>
    <w:pPr>
      <w:numPr>
        <w:ilvl w:val="1"/>
        <w:numId w:val="10"/>
      </w:numPr>
      <w:tabs>
        <w:tab w:val="left" w:pos="567"/>
      </w:tabs>
      <w:ind w:left="567" w:hanging="567"/>
      <w:contextualSpacing w:val="0"/>
      <w:outlineLvl w:val="4"/>
    </w:pPr>
    <w:rPr>
      <w:rFonts w:ascii="Times New Roman" w:hAnsi="Times New Roman" w:cs="Times New Roman"/>
      <w:b/>
      <w:szCs w:val="24"/>
    </w:rPr>
  </w:style>
  <w:style w:type="paragraph" w:styleId="Ttulo6">
    <w:name w:val="heading 6"/>
    <w:basedOn w:val="Prrafodelista"/>
    <w:next w:val="Normal"/>
    <w:link w:val="Ttulo6Car"/>
    <w:uiPriority w:val="9"/>
    <w:unhideWhenUsed/>
    <w:qFormat/>
    <w:rsid w:val="00B33C9A"/>
    <w:pPr>
      <w:numPr>
        <w:ilvl w:val="1"/>
        <w:numId w:val="17"/>
      </w:numPr>
      <w:tabs>
        <w:tab w:val="left" w:pos="567"/>
      </w:tabs>
      <w:ind w:left="851" w:hanging="491"/>
      <w:contextualSpacing w:val="0"/>
      <w:outlineLvl w:val="5"/>
    </w:pPr>
    <w:rPr>
      <w:rFonts w:ascii="Times New Roman" w:hAnsi="Times New Roman" w:cs="Times New Roman"/>
      <w:b/>
      <w:szCs w:val="24"/>
    </w:rPr>
  </w:style>
  <w:style w:type="paragraph" w:styleId="Ttulo7">
    <w:name w:val="heading 7"/>
    <w:basedOn w:val="Prrafodelista"/>
    <w:next w:val="Normal"/>
    <w:link w:val="Ttulo7Car"/>
    <w:uiPriority w:val="9"/>
    <w:unhideWhenUsed/>
    <w:qFormat/>
    <w:rsid w:val="00B33C9A"/>
    <w:pPr>
      <w:numPr>
        <w:ilvl w:val="1"/>
        <w:numId w:val="19"/>
      </w:numPr>
      <w:ind w:left="567" w:hanging="567"/>
      <w:contextualSpacing w:val="0"/>
      <w:outlineLvl w:val="6"/>
    </w:pPr>
    <w:rPr>
      <w:rFonts w:ascii="Times New Roman" w:hAnsi="Times New Roman" w:cs="Times New Roman"/>
      <w:b/>
      <w:szCs w:val="24"/>
    </w:rPr>
  </w:style>
  <w:style w:type="paragraph" w:styleId="Ttulo8">
    <w:name w:val="heading 8"/>
    <w:basedOn w:val="Prrafodelista"/>
    <w:next w:val="Normal"/>
    <w:link w:val="Ttulo8Car"/>
    <w:uiPriority w:val="9"/>
    <w:unhideWhenUsed/>
    <w:qFormat/>
    <w:rsid w:val="00B33C9A"/>
    <w:pPr>
      <w:numPr>
        <w:ilvl w:val="2"/>
        <w:numId w:val="19"/>
      </w:numPr>
      <w:ind w:left="993"/>
      <w:contextualSpacing w:val="0"/>
      <w:outlineLvl w:val="7"/>
    </w:pPr>
    <w:rPr>
      <w:rFonts w:ascii="Times New Roman" w:hAnsi="Times New Roman" w:cs="Times New Roman"/>
      <w:b/>
      <w:szCs w:val="24"/>
    </w:rPr>
  </w:style>
  <w:style w:type="paragraph" w:styleId="Ttulo9">
    <w:name w:val="heading 9"/>
    <w:basedOn w:val="Prrafodelista"/>
    <w:next w:val="Normal"/>
    <w:link w:val="Ttulo9Car"/>
    <w:uiPriority w:val="9"/>
    <w:unhideWhenUsed/>
    <w:qFormat/>
    <w:rsid w:val="00B33C9A"/>
    <w:pPr>
      <w:numPr>
        <w:ilvl w:val="1"/>
        <w:numId w:val="20"/>
      </w:numPr>
      <w:spacing w:before="240" w:after="240"/>
      <w:ind w:left="567" w:hanging="567"/>
      <w:contextualSpacing w:val="0"/>
      <w:outlineLvl w:val="8"/>
    </w:pPr>
    <w:rPr>
      <w:rFonts w:ascii="Times New Roman" w:hAnsi="Times New Roman" w:cs="Times New Roma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B33C9A"/>
    <w:rPr>
      <w:b/>
      <w:color w:val="000000"/>
      <w:sz w:val="24"/>
      <w:szCs w:val="24"/>
      <w:lang w:val="es-ES" w:eastAsia="es-ES"/>
    </w:rPr>
  </w:style>
  <w:style w:type="character" w:customStyle="1" w:styleId="Ttulo2Car">
    <w:name w:val="Título 2 Car"/>
    <w:basedOn w:val="Fuentedeprrafopredeter"/>
    <w:link w:val="Ttulo2"/>
    <w:uiPriority w:val="99"/>
    <w:rsid w:val="00B33C9A"/>
    <w:rPr>
      <w:b/>
      <w:sz w:val="24"/>
      <w:szCs w:val="24"/>
      <w:lang w:val="es-PE" w:eastAsia="es-ES"/>
    </w:rPr>
  </w:style>
  <w:style w:type="character" w:customStyle="1" w:styleId="Ttulo3Car">
    <w:name w:val="Título 3 Car"/>
    <w:basedOn w:val="Fuentedeprrafopredeter"/>
    <w:link w:val="Ttulo3"/>
    <w:uiPriority w:val="99"/>
    <w:rsid w:val="00B33C9A"/>
    <w:rPr>
      <w:sz w:val="24"/>
      <w:szCs w:val="24"/>
      <w:lang w:val="es-PE" w:eastAsia="es-ES"/>
    </w:rPr>
  </w:style>
  <w:style w:type="character" w:customStyle="1" w:styleId="Ttulo4Car">
    <w:name w:val="Título 4 Car"/>
    <w:basedOn w:val="Fuentedeprrafopredeter"/>
    <w:link w:val="Ttulo4"/>
    <w:uiPriority w:val="9"/>
    <w:rsid w:val="00B33C9A"/>
    <w:rPr>
      <w:b/>
      <w:sz w:val="24"/>
      <w:szCs w:val="24"/>
      <w:lang w:val="es-PE" w:eastAsia="es-ES"/>
    </w:rPr>
  </w:style>
  <w:style w:type="character" w:customStyle="1" w:styleId="Ttulo5Car">
    <w:name w:val="Título 5 Car"/>
    <w:basedOn w:val="Fuentedeprrafopredeter"/>
    <w:link w:val="Ttulo5"/>
    <w:uiPriority w:val="9"/>
    <w:rsid w:val="00B33C9A"/>
    <w:rPr>
      <w:b/>
      <w:sz w:val="24"/>
      <w:szCs w:val="24"/>
      <w:lang w:val="es-PE" w:eastAsia="es-ES"/>
    </w:rPr>
  </w:style>
  <w:style w:type="character" w:customStyle="1" w:styleId="Ttulo6Car">
    <w:name w:val="Título 6 Car"/>
    <w:basedOn w:val="Fuentedeprrafopredeter"/>
    <w:link w:val="Ttulo6"/>
    <w:uiPriority w:val="9"/>
    <w:rsid w:val="00B33C9A"/>
    <w:rPr>
      <w:b/>
      <w:sz w:val="24"/>
      <w:szCs w:val="24"/>
      <w:lang w:val="es-PE" w:eastAsia="es-ES"/>
    </w:rPr>
  </w:style>
  <w:style w:type="character" w:customStyle="1" w:styleId="Ttulo7Car">
    <w:name w:val="Título 7 Car"/>
    <w:basedOn w:val="Fuentedeprrafopredeter"/>
    <w:link w:val="Ttulo7"/>
    <w:uiPriority w:val="9"/>
    <w:rsid w:val="00B33C9A"/>
    <w:rPr>
      <w:b/>
      <w:sz w:val="24"/>
      <w:szCs w:val="24"/>
      <w:lang w:val="es-PE" w:eastAsia="es-ES"/>
    </w:rPr>
  </w:style>
  <w:style w:type="character" w:customStyle="1" w:styleId="Ttulo8Car">
    <w:name w:val="Título 8 Car"/>
    <w:basedOn w:val="Fuentedeprrafopredeter"/>
    <w:link w:val="Ttulo8"/>
    <w:uiPriority w:val="9"/>
    <w:rsid w:val="00B33C9A"/>
    <w:rPr>
      <w:b/>
      <w:sz w:val="24"/>
      <w:szCs w:val="24"/>
      <w:lang w:val="es-PE" w:eastAsia="es-ES"/>
    </w:rPr>
  </w:style>
  <w:style w:type="character" w:customStyle="1" w:styleId="Ttulo9Car">
    <w:name w:val="Título 9 Car"/>
    <w:basedOn w:val="Fuentedeprrafopredeter"/>
    <w:link w:val="Ttulo9"/>
    <w:uiPriority w:val="9"/>
    <w:rsid w:val="00B33C9A"/>
    <w:rPr>
      <w:b/>
      <w:sz w:val="24"/>
      <w:szCs w:val="24"/>
      <w:lang w:val="es-PE" w:eastAsia="es-ES"/>
    </w:rPr>
  </w:style>
  <w:style w:type="numbering" w:customStyle="1" w:styleId="Sinlista1">
    <w:name w:val="Sin lista1"/>
    <w:next w:val="Sinlista"/>
    <w:uiPriority w:val="99"/>
    <w:semiHidden/>
    <w:unhideWhenUsed/>
    <w:rsid w:val="00B33C9A"/>
  </w:style>
  <w:style w:type="table" w:customStyle="1" w:styleId="TableNormal">
    <w:name w:val="Table Normal"/>
    <w:rsid w:val="00B33C9A"/>
    <w:pPr>
      <w:spacing w:after="200" w:line="276" w:lineRule="auto"/>
    </w:pPr>
    <w:rPr>
      <w:rFonts w:ascii="Calibri" w:eastAsia="Calibri" w:hAnsi="Calibri" w:cs="Calibri"/>
      <w:sz w:val="22"/>
      <w:szCs w:val="22"/>
      <w:lang w:val="es-ES" w:eastAsia="es-PE"/>
    </w:rPr>
    <w:tblPr>
      <w:tblCellMar>
        <w:top w:w="0" w:type="dxa"/>
        <w:left w:w="0" w:type="dxa"/>
        <w:bottom w:w="0" w:type="dxa"/>
        <w:right w:w="0" w:type="dxa"/>
      </w:tblCellMar>
    </w:tblPr>
  </w:style>
  <w:style w:type="paragraph" w:styleId="Ttulo">
    <w:name w:val="Title"/>
    <w:basedOn w:val="Normal"/>
    <w:next w:val="Normal"/>
    <w:link w:val="TtuloCar"/>
    <w:rsid w:val="00B33C9A"/>
    <w:pPr>
      <w:keepNext/>
      <w:keepLines/>
      <w:spacing w:before="480" w:after="120" w:line="360" w:lineRule="auto"/>
      <w:jc w:val="both"/>
    </w:pPr>
    <w:rPr>
      <w:rFonts w:ascii="Arial" w:hAnsi="Arial" w:cs="Calibri"/>
      <w:b/>
      <w:sz w:val="72"/>
      <w:szCs w:val="72"/>
      <w:lang w:val="es-PE" w:eastAsia="es-ES"/>
    </w:rPr>
  </w:style>
  <w:style w:type="character" w:customStyle="1" w:styleId="TtuloCar">
    <w:name w:val="Título Car"/>
    <w:basedOn w:val="Fuentedeprrafopredeter"/>
    <w:link w:val="Ttulo"/>
    <w:rsid w:val="00B33C9A"/>
    <w:rPr>
      <w:rFonts w:ascii="Arial" w:hAnsi="Arial" w:cs="Calibri"/>
      <w:b/>
      <w:sz w:val="72"/>
      <w:szCs w:val="72"/>
      <w:lang w:val="es-PE" w:eastAsia="es-ES"/>
    </w:rPr>
  </w:style>
  <w:style w:type="paragraph" w:customStyle="1" w:styleId="Default">
    <w:name w:val="Default"/>
    <w:rsid w:val="00B33C9A"/>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link w:val="PrrafodelistaCar"/>
    <w:uiPriority w:val="34"/>
    <w:qFormat/>
    <w:rsid w:val="00B33C9A"/>
    <w:pPr>
      <w:spacing w:before="120" w:after="120" w:line="360" w:lineRule="auto"/>
      <w:ind w:left="720"/>
      <w:contextualSpacing/>
      <w:jc w:val="both"/>
    </w:pPr>
    <w:rPr>
      <w:rFonts w:ascii="Arial" w:hAnsi="Arial" w:cs="Calibri"/>
      <w:szCs w:val="22"/>
      <w:lang w:val="es-PE" w:eastAsia="es-ES"/>
    </w:rPr>
  </w:style>
  <w:style w:type="character" w:customStyle="1" w:styleId="PrrafodelistaCar">
    <w:name w:val="Párrafo de lista Car"/>
    <w:link w:val="Prrafodelista"/>
    <w:uiPriority w:val="34"/>
    <w:rsid w:val="00B33C9A"/>
    <w:rPr>
      <w:rFonts w:ascii="Arial" w:hAnsi="Arial" w:cs="Calibri"/>
      <w:sz w:val="24"/>
      <w:szCs w:val="22"/>
      <w:lang w:val="es-PE" w:eastAsia="es-ES"/>
    </w:rPr>
  </w:style>
  <w:style w:type="table" w:customStyle="1" w:styleId="Tablaconcuadrcula1">
    <w:name w:val="Tabla con cuadrícula1"/>
    <w:basedOn w:val="Tablanormal"/>
    <w:next w:val="Tablaconcuadrcula"/>
    <w:uiPriority w:val="59"/>
    <w:rsid w:val="00B33C9A"/>
    <w:rPr>
      <w:rFonts w:ascii="Calibri" w:eastAsia="Calibri" w:hAnsi="Calibri" w:cs="Calibri"/>
      <w:sz w:val="22"/>
      <w:szCs w:val="22"/>
      <w:lang w:val="es-MX"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B33C9A"/>
    <w:rPr>
      <w:rFonts w:ascii="Calibri" w:eastAsia="Calibri" w:hAnsi="Calibri" w:cs="Calibri"/>
      <w:color w:val="000000"/>
      <w:sz w:val="22"/>
      <w:szCs w:val="22"/>
      <w:lang w:val="es-ES" w:eastAsia="es-P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B630D60F59F403CB531B268FE76FA17">
    <w:name w:val="AB630D60F59F403CB531B268FE76FA17"/>
    <w:rsid w:val="00B33C9A"/>
    <w:pPr>
      <w:spacing w:after="200" w:line="276" w:lineRule="auto"/>
    </w:pPr>
    <w:rPr>
      <w:rFonts w:ascii="Calibri" w:hAnsi="Calibri" w:cs="Calibri"/>
      <w:sz w:val="22"/>
      <w:szCs w:val="22"/>
      <w:lang w:val="es-ES" w:eastAsia="es-PE"/>
    </w:rPr>
  </w:style>
  <w:style w:type="character" w:styleId="Refdecomentario">
    <w:name w:val="annotation reference"/>
    <w:uiPriority w:val="99"/>
    <w:semiHidden/>
    <w:unhideWhenUsed/>
    <w:rsid w:val="00B33C9A"/>
    <w:rPr>
      <w:sz w:val="16"/>
      <w:szCs w:val="16"/>
    </w:rPr>
  </w:style>
  <w:style w:type="paragraph" w:styleId="Textocomentario">
    <w:name w:val="annotation text"/>
    <w:basedOn w:val="Normal"/>
    <w:link w:val="TextocomentarioCar"/>
    <w:uiPriority w:val="99"/>
    <w:semiHidden/>
    <w:unhideWhenUsed/>
    <w:rsid w:val="00B33C9A"/>
    <w:pPr>
      <w:spacing w:before="120" w:after="120"/>
      <w:jc w:val="both"/>
    </w:pPr>
    <w:rPr>
      <w:rFonts w:ascii="Arial" w:hAnsi="Arial" w:cs="Calibri"/>
      <w:sz w:val="20"/>
      <w:szCs w:val="20"/>
      <w:lang w:val="es-PE" w:eastAsia="es-ES"/>
    </w:rPr>
  </w:style>
  <w:style w:type="character" w:customStyle="1" w:styleId="TextocomentarioCar">
    <w:name w:val="Texto comentario Car"/>
    <w:basedOn w:val="Fuentedeprrafopredeter"/>
    <w:link w:val="Textocomentario"/>
    <w:uiPriority w:val="99"/>
    <w:semiHidden/>
    <w:rsid w:val="00B33C9A"/>
    <w:rPr>
      <w:rFonts w:ascii="Arial" w:hAnsi="Arial" w:cs="Calibri"/>
      <w:lang w:val="es-PE" w:eastAsia="es-ES"/>
    </w:rPr>
  </w:style>
  <w:style w:type="paragraph" w:styleId="Asuntodelcomentario">
    <w:name w:val="annotation subject"/>
    <w:basedOn w:val="Textocomentario"/>
    <w:next w:val="Textocomentario"/>
    <w:link w:val="AsuntodelcomentarioCar"/>
    <w:uiPriority w:val="99"/>
    <w:semiHidden/>
    <w:unhideWhenUsed/>
    <w:rsid w:val="00B33C9A"/>
    <w:rPr>
      <w:b/>
      <w:bCs/>
    </w:rPr>
  </w:style>
  <w:style w:type="character" w:customStyle="1" w:styleId="AsuntodelcomentarioCar">
    <w:name w:val="Asunto del comentario Car"/>
    <w:basedOn w:val="TextocomentarioCar"/>
    <w:link w:val="Asuntodelcomentario"/>
    <w:uiPriority w:val="99"/>
    <w:semiHidden/>
    <w:rsid w:val="00B33C9A"/>
    <w:rPr>
      <w:rFonts w:ascii="Arial" w:hAnsi="Arial" w:cs="Calibri"/>
      <w:b/>
      <w:bCs/>
      <w:lang w:val="es-PE" w:eastAsia="es-ES"/>
    </w:rPr>
  </w:style>
  <w:style w:type="paragraph" w:styleId="Sangra2detindependiente">
    <w:name w:val="Body Text Indent 2"/>
    <w:basedOn w:val="Normal"/>
    <w:link w:val="Sangra2detindependienteCar"/>
    <w:uiPriority w:val="99"/>
    <w:semiHidden/>
    <w:unhideWhenUsed/>
    <w:rsid w:val="00B33C9A"/>
    <w:pPr>
      <w:spacing w:before="120" w:after="120" w:line="480" w:lineRule="auto"/>
      <w:ind w:left="283"/>
      <w:jc w:val="both"/>
    </w:pPr>
    <w:rPr>
      <w:rFonts w:ascii="Arial" w:eastAsia="Calibri" w:hAnsi="Arial" w:cs="Calibri"/>
      <w:szCs w:val="22"/>
      <w:lang w:val="es-PE" w:eastAsia="en-US"/>
    </w:rPr>
  </w:style>
  <w:style w:type="character" w:customStyle="1" w:styleId="Sangra2detindependienteCar">
    <w:name w:val="Sangría 2 de t. independiente Car"/>
    <w:basedOn w:val="Fuentedeprrafopredeter"/>
    <w:link w:val="Sangra2detindependiente"/>
    <w:uiPriority w:val="99"/>
    <w:semiHidden/>
    <w:rsid w:val="00B33C9A"/>
    <w:rPr>
      <w:rFonts w:ascii="Arial" w:eastAsia="Calibri" w:hAnsi="Arial" w:cs="Calibri"/>
      <w:sz w:val="24"/>
      <w:szCs w:val="22"/>
      <w:lang w:val="es-PE"/>
    </w:rPr>
  </w:style>
  <w:style w:type="paragraph" w:styleId="Textoindependiente">
    <w:name w:val="Body Text"/>
    <w:basedOn w:val="Normal"/>
    <w:link w:val="TextoindependienteCar"/>
    <w:uiPriority w:val="99"/>
    <w:semiHidden/>
    <w:unhideWhenUsed/>
    <w:rsid w:val="00B33C9A"/>
    <w:pPr>
      <w:spacing w:before="120" w:after="120" w:line="360" w:lineRule="auto"/>
      <w:jc w:val="both"/>
    </w:pPr>
    <w:rPr>
      <w:rFonts w:ascii="Arial" w:eastAsia="Calibri" w:hAnsi="Arial" w:cs="Calibri"/>
      <w:szCs w:val="22"/>
      <w:lang w:val="es-PE" w:eastAsia="en-US"/>
    </w:rPr>
  </w:style>
  <w:style w:type="character" w:customStyle="1" w:styleId="TextoindependienteCar">
    <w:name w:val="Texto independiente Car"/>
    <w:basedOn w:val="Fuentedeprrafopredeter"/>
    <w:link w:val="Textoindependiente"/>
    <w:uiPriority w:val="99"/>
    <w:semiHidden/>
    <w:rsid w:val="00B33C9A"/>
    <w:rPr>
      <w:rFonts w:ascii="Arial" w:eastAsia="Calibri" w:hAnsi="Arial" w:cs="Calibri"/>
      <w:sz w:val="24"/>
      <w:szCs w:val="22"/>
      <w:lang w:val="es-PE"/>
    </w:rPr>
  </w:style>
  <w:style w:type="paragraph" w:styleId="TDC1">
    <w:name w:val="toc 1"/>
    <w:basedOn w:val="Normal"/>
    <w:next w:val="Normal"/>
    <w:autoRedefine/>
    <w:uiPriority w:val="39"/>
    <w:unhideWhenUsed/>
    <w:rsid w:val="00B33C9A"/>
    <w:pPr>
      <w:spacing w:before="120" w:after="100" w:line="360" w:lineRule="auto"/>
      <w:jc w:val="both"/>
    </w:pPr>
    <w:rPr>
      <w:rFonts w:ascii="Arial" w:hAnsi="Arial" w:cs="Calibri"/>
      <w:szCs w:val="22"/>
      <w:lang w:val="es-PE" w:eastAsia="es-ES"/>
    </w:rPr>
  </w:style>
  <w:style w:type="paragraph" w:styleId="TDC2">
    <w:name w:val="toc 2"/>
    <w:basedOn w:val="Normal"/>
    <w:next w:val="Normal"/>
    <w:autoRedefine/>
    <w:uiPriority w:val="39"/>
    <w:unhideWhenUsed/>
    <w:rsid w:val="00B33C9A"/>
    <w:pPr>
      <w:spacing w:before="120" w:after="100" w:line="360" w:lineRule="auto"/>
      <w:ind w:left="220"/>
      <w:jc w:val="both"/>
    </w:pPr>
    <w:rPr>
      <w:rFonts w:ascii="Arial" w:hAnsi="Arial" w:cs="Calibri"/>
      <w:szCs w:val="22"/>
      <w:lang w:val="es-PE" w:eastAsia="es-ES"/>
    </w:rPr>
  </w:style>
  <w:style w:type="paragraph" w:styleId="TDC3">
    <w:name w:val="toc 3"/>
    <w:basedOn w:val="Normal"/>
    <w:next w:val="Normal"/>
    <w:autoRedefine/>
    <w:uiPriority w:val="39"/>
    <w:unhideWhenUsed/>
    <w:rsid w:val="00B33C9A"/>
    <w:pPr>
      <w:spacing w:before="120" w:after="100" w:line="360" w:lineRule="auto"/>
      <w:ind w:left="440"/>
      <w:jc w:val="both"/>
    </w:pPr>
    <w:rPr>
      <w:rFonts w:ascii="Arial" w:hAnsi="Arial" w:cs="Calibri"/>
      <w:szCs w:val="22"/>
      <w:lang w:val="es-PE" w:eastAsia="es-ES"/>
    </w:rPr>
  </w:style>
  <w:style w:type="paragraph" w:styleId="TDC4">
    <w:name w:val="toc 4"/>
    <w:basedOn w:val="Normal"/>
    <w:next w:val="Normal"/>
    <w:autoRedefine/>
    <w:uiPriority w:val="39"/>
    <w:unhideWhenUsed/>
    <w:rsid w:val="00B33C9A"/>
    <w:pPr>
      <w:tabs>
        <w:tab w:val="left" w:pos="851"/>
        <w:tab w:val="right" w:pos="9394"/>
      </w:tabs>
      <w:spacing w:before="120" w:after="100" w:line="360" w:lineRule="auto"/>
      <w:ind w:left="284"/>
      <w:jc w:val="both"/>
    </w:pPr>
    <w:rPr>
      <w:rFonts w:ascii="Arial" w:hAnsi="Arial" w:cs="Calibri"/>
      <w:szCs w:val="22"/>
      <w:lang w:val="es-PE" w:eastAsia="es-ES"/>
    </w:rPr>
  </w:style>
  <w:style w:type="paragraph" w:styleId="TDC5">
    <w:name w:val="toc 5"/>
    <w:basedOn w:val="Normal"/>
    <w:next w:val="Normal"/>
    <w:autoRedefine/>
    <w:uiPriority w:val="39"/>
    <w:unhideWhenUsed/>
    <w:rsid w:val="00B33C9A"/>
    <w:pPr>
      <w:tabs>
        <w:tab w:val="left" w:pos="851"/>
        <w:tab w:val="right" w:pos="9394"/>
      </w:tabs>
      <w:spacing w:before="120" w:after="100" w:line="360" w:lineRule="auto"/>
      <w:ind w:left="284"/>
      <w:jc w:val="both"/>
    </w:pPr>
    <w:rPr>
      <w:rFonts w:ascii="Arial" w:hAnsi="Arial" w:cs="Calibri"/>
      <w:szCs w:val="22"/>
      <w:lang w:val="es-PE" w:eastAsia="es-ES"/>
    </w:rPr>
  </w:style>
  <w:style w:type="paragraph" w:styleId="TDC6">
    <w:name w:val="toc 6"/>
    <w:basedOn w:val="Normal"/>
    <w:next w:val="Normal"/>
    <w:autoRedefine/>
    <w:uiPriority w:val="39"/>
    <w:unhideWhenUsed/>
    <w:rsid w:val="00B33C9A"/>
    <w:pPr>
      <w:tabs>
        <w:tab w:val="left" w:pos="851"/>
        <w:tab w:val="right" w:pos="9394"/>
      </w:tabs>
      <w:spacing w:before="120" w:after="100" w:line="360" w:lineRule="auto"/>
      <w:ind w:left="284"/>
      <w:jc w:val="both"/>
    </w:pPr>
    <w:rPr>
      <w:rFonts w:ascii="Arial" w:hAnsi="Arial" w:cs="Calibri"/>
      <w:szCs w:val="22"/>
      <w:lang w:val="es-PE" w:eastAsia="es-ES"/>
    </w:rPr>
  </w:style>
  <w:style w:type="paragraph" w:styleId="TDC7">
    <w:name w:val="toc 7"/>
    <w:basedOn w:val="Normal"/>
    <w:next w:val="Normal"/>
    <w:autoRedefine/>
    <w:uiPriority w:val="39"/>
    <w:unhideWhenUsed/>
    <w:rsid w:val="00B33C9A"/>
    <w:pPr>
      <w:tabs>
        <w:tab w:val="left" w:pos="851"/>
        <w:tab w:val="right" w:pos="9394"/>
      </w:tabs>
      <w:spacing w:before="120" w:after="100" w:line="360" w:lineRule="auto"/>
      <w:ind w:left="284"/>
      <w:jc w:val="both"/>
    </w:pPr>
    <w:rPr>
      <w:rFonts w:ascii="Arial" w:hAnsi="Arial" w:cs="Calibri"/>
      <w:szCs w:val="22"/>
      <w:lang w:val="es-PE" w:eastAsia="es-ES"/>
    </w:rPr>
  </w:style>
  <w:style w:type="paragraph" w:styleId="TDC8">
    <w:name w:val="toc 8"/>
    <w:basedOn w:val="Normal"/>
    <w:next w:val="Normal"/>
    <w:autoRedefine/>
    <w:uiPriority w:val="39"/>
    <w:unhideWhenUsed/>
    <w:rsid w:val="00B33C9A"/>
    <w:pPr>
      <w:tabs>
        <w:tab w:val="left" w:pos="993"/>
        <w:tab w:val="right" w:pos="9394"/>
      </w:tabs>
      <w:spacing w:before="120" w:after="100" w:line="360" w:lineRule="auto"/>
      <w:ind w:left="426"/>
      <w:jc w:val="both"/>
    </w:pPr>
    <w:rPr>
      <w:rFonts w:ascii="Arial" w:hAnsi="Arial" w:cs="Calibri"/>
      <w:szCs w:val="22"/>
      <w:lang w:val="es-PE" w:eastAsia="es-ES"/>
    </w:rPr>
  </w:style>
  <w:style w:type="paragraph" w:styleId="TDC9">
    <w:name w:val="toc 9"/>
    <w:basedOn w:val="Normal"/>
    <w:next w:val="Normal"/>
    <w:autoRedefine/>
    <w:uiPriority w:val="39"/>
    <w:unhideWhenUsed/>
    <w:rsid w:val="00B33C9A"/>
    <w:pPr>
      <w:tabs>
        <w:tab w:val="left" w:pos="851"/>
        <w:tab w:val="right" w:pos="9394"/>
      </w:tabs>
      <w:spacing w:before="120" w:after="100" w:line="360" w:lineRule="auto"/>
      <w:ind w:left="284"/>
      <w:jc w:val="both"/>
    </w:pPr>
    <w:rPr>
      <w:rFonts w:ascii="Arial" w:hAnsi="Arial" w:cs="Calibri"/>
      <w:szCs w:val="22"/>
      <w:lang w:val="es-PE" w:eastAsia="es-ES"/>
    </w:rPr>
  </w:style>
  <w:style w:type="numbering" w:customStyle="1" w:styleId="Sinlista11">
    <w:name w:val="Sin lista11"/>
    <w:next w:val="Sinlista"/>
    <w:uiPriority w:val="99"/>
    <w:semiHidden/>
    <w:unhideWhenUsed/>
    <w:rsid w:val="00B33C9A"/>
  </w:style>
  <w:style w:type="table" w:customStyle="1" w:styleId="Tablaconcuadrculaclara1">
    <w:name w:val="Tabla con cuadrícula clara1"/>
    <w:basedOn w:val="Tablanormal"/>
    <w:uiPriority w:val="40"/>
    <w:rsid w:val="00B33C9A"/>
    <w:rPr>
      <w:rFonts w:ascii="Calibri" w:eastAsia="Calibri" w:hAnsi="Calibri" w:cs="Calibri"/>
      <w:sz w:val="22"/>
      <w:szCs w:val="22"/>
      <w:lang w:val="es-ES" w:eastAsia="es-P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
    <w:name w:val="Tabla con cuadrícula2"/>
    <w:basedOn w:val="Tablanormal"/>
    <w:next w:val="Tablaconcuadrcula"/>
    <w:uiPriority w:val="59"/>
    <w:rsid w:val="00B33C9A"/>
    <w:rPr>
      <w:rFonts w:ascii="Calibri" w:eastAsia="Calibri" w:hAnsi="Calibri" w:cs="Calibri"/>
      <w:sz w:val="22"/>
      <w:szCs w:val="22"/>
      <w:lang w:val="es-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33C9A"/>
    <w:rPr>
      <w:rFonts w:ascii="Calibri" w:eastAsia="Calibri" w:hAnsi="Calibri" w:cs="Calibri"/>
      <w:sz w:val="22"/>
      <w:szCs w:val="22"/>
      <w:lang w:val="es-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33C9A"/>
    <w:rPr>
      <w:rFonts w:ascii="Calibri" w:eastAsia="Calibri" w:hAnsi="Calibri" w:cs="Calibri"/>
      <w:sz w:val="22"/>
      <w:szCs w:val="22"/>
      <w:lang w:val="es-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B33C9A"/>
    <w:rPr>
      <w:rFonts w:ascii="Calibri" w:eastAsia="Calibri" w:hAnsi="Calibri" w:cs="Calibri"/>
      <w:sz w:val="22"/>
      <w:szCs w:val="22"/>
      <w:lang w:val="es-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B33C9A"/>
    <w:rPr>
      <w:rFonts w:ascii="Calibri" w:eastAsia="Calibri" w:hAnsi="Calibri" w:cs="Calibri"/>
      <w:sz w:val="22"/>
      <w:szCs w:val="22"/>
      <w:lang w:val="es-ES" w:eastAsia="es-P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rsid w:val="00B33C9A"/>
    <w:rPr>
      <w:rFonts w:ascii="Calibri" w:eastAsia="Calibri" w:hAnsi="Calibri" w:cs="Calibri"/>
      <w:sz w:val="22"/>
      <w:szCs w:val="22"/>
      <w:lang w:val="es-ES" w:eastAsia="es-P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clara11">
    <w:name w:val="Tabla con cuadrícula clara11"/>
    <w:basedOn w:val="Tablanormal"/>
    <w:next w:val="Tablaconcuadrculaclara1"/>
    <w:uiPriority w:val="40"/>
    <w:rsid w:val="00B33C9A"/>
    <w:rPr>
      <w:rFonts w:ascii="Calibri" w:eastAsia="Calibri" w:hAnsi="Calibri" w:cs="Calibri"/>
      <w:sz w:val="22"/>
      <w:szCs w:val="22"/>
      <w:lang w:val="es-ES" w:eastAsia="es-P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ncinsinresolver1">
    <w:name w:val="Mención sin resolver1"/>
    <w:uiPriority w:val="99"/>
    <w:semiHidden/>
    <w:unhideWhenUsed/>
    <w:rsid w:val="00B33C9A"/>
    <w:rPr>
      <w:color w:val="605E5C"/>
      <w:shd w:val="clear" w:color="auto" w:fill="E1DFDD"/>
    </w:rPr>
  </w:style>
  <w:style w:type="paragraph" w:styleId="Subttulo">
    <w:name w:val="Subtitle"/>
    <w:basedOn w:val="Normal"/>
    <w:next w:val="Normal"/>
    <w:link w:val="SubttuloCar"/>
    <w:rsid w:val="00B33C9A"/>
    <w:pPr>
      <w:keepNext/>
      <w:keepLines/>
      <w:spacing w:before="360" w:after="80" w:line="360" w:lineRule="auto"/>
      <w:jc w:val="both"/>
    </w:pPr>
    <w:rPr>
      <w:rFonts w:ascii="Georgia" w:eastAsia="Georgia" w:hAnsi="Georgia" w:cs="Georgia"/>
      <w:i/>
      <w:color w:val="666666"/>
      <w:sz w:val="48"/>
      <w:szCs w:val="48"/>
      <w:lang w:val="es-PE" w:eastAsia="es-ES"/>
    </w:rPr>
  </w:style>
  <w:style w:type="character" w:customStyle="1" w:styleId="SubttuloCar">
    <w:name w:val="Subtítulo Car"/>
    <w:basedOn w:val="Fuentedeprrafopredeter"/>
    <w:link w:val="Subttulo"/>
    <w:rsid w:val="00B33C9A"/>
    <w:rPr>
      <w:rFonts w:ascii="Georgia" w:eastAsia="Georgia" w:hAnsi="Georgia" w:cs="Georgia"/>
      <w:i/>
      <w:color w:val="666666"/>
      <w:sz w:val="48"/>
      <w:szCs w:val="48"/>
      <w:lang w:val="es-PE" w:eastAsia="es-ES"/>
    </w:rPr>
  </w:style>
  <w:style w:type="paragraph" w:styleId="Sinespaciado">
    <w:name w:val="No Spacing"/>
    <w:uiPriority w:val="1"/>
    <w:qFormat/>
    <w:rsid w:val="00B33C9A"/>
    <w:rPr>
      <w:rFonts w:ascii="Calibri" w:hAnsi="Calibri" w:cs="Calibri"/>
      <w:sz w:val="22"/>
      <w:szCs w:val="22"/>
      <w:lang w:val="es-ES" w:eastAsia="es-ES"/>
    </w:rPr>
  </w:style>
  <w:style w:type="character" w:customStyle="1" w:styleId="Mencinsinresolver2">
    <w:name w:val="Mención sin resolver2"/>
    <w:uiPriority w:val="99"/>
    <w:semiHidden/>
    <w:unhideWhenUsed/>
    <w:rsid w:val="00B33C9A"/>
    <w:rPr>
      <w:color w:val="605E5C"/>
      <w:shd w:val="clear" w:color="auto" w:fill="E1DFDD"/>
    </w:rPr>
  </w:style>
  <w:style w:type="character" w:styleId="Hipervnculovisitado">
    <w:name w:val="FollowedHyperlink"/>
    <w:uiPriority w:val="99"/>
    <w:semiHidden/>
    <w:unhideWhenUsed/>
    <w:rsid w:val="00B33C9A"/>
    <w:rPr>
      <w:color w:val="800080"/>
      <w:u w:val="single"/>
    </w:rPr>
  </w:style>
  <w:style w:type="paragraph" w:styleId="Revisin">
    <w:name w:val="Revision"/>
    <w:hidden/>
    <w:uiPriority w:val="99"/>
    <w:semiHidden/>
    <w:rsid w:val="00B33C9A"/>
    <w:rPr>
      <w:rFonts w:ascii="Arial" w:hAnsi="Arial" w:cs="Calibri"/>
      <w:sz w:val="24"/>
      <w:szCs w:val="22"/>
      <w:lang w:val="es-PE" w:eastAsia="es-ES"/>
    </w:rPr>
  </w:style>
  <w:style w:type="character" w:styleId="Mencinsinresolver">
    <w:name w:val="Unresolved Mention"/>
    <w:uiPriority w:val="99"/>
    <w:semiHidden/>
    <w:unhideWhenUsed/>
    <w:rsid w:val="00B33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818-5855"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3373-4671" TargetMode="External"/><Relationship Id="rId12" Type="http://schemas.openxmlformats.org/officeDocument/2006/relationships/hyperlink" Target="mailto:mruizb@ucv.edu.pe" TargetMode="External"/><Relationship Id="rId17" Type="http://schemas.openxmlformats.org/officeDocument/2006/relationships/hyperlink" Target="https://clsi.org/media/3481/m100ed30_sample.pdf" TargetMode="External"/><Relationship Id="rId2" Type="http://schemas.openxmlformats.org/officeDocument/2006/relationships/styles" Target="styles.xml"/><Relationship Id="rId16" Type="http://schemas.openxmlformats.org/officeDocument/2006/relationships/hyperlink" Target="https://www.ncbi.nlm.nih.gov/books/NBK55169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335-0541"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orcid.org/0000-0003-2036-011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2692-3976"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4479</Words>
  <Characters>25531</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29951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2023-05-10T21:51:00Z</cp:lastPrinted>
  <dcterms:created xsi:type="dcterms:W3CDTF">2023-05-10T21:46:00Z</dcterms:created>
  <dcterms:modified xsi:type="dcterms:W3CDTF">2023-05-10T21:52:00Z</dcterms:modified>
</cp:coreProperties>
</file>