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5648C" w14:textId="77777777" w:rsidR="00544B28" w:rsidRPr="00544B28" w:rsidRDefault="00544B28" w:rsidP="00544B28">
      <w:pPr>
        <w:spacing w:line="360" w:lineRule="auto"/>
        <w:jc w:val="right"/>
        <w:rPr>
          <w:rFonts w:eastAsia="Calibri"/>
          <w:bCs/>
          <w:color w:val="000000"/>
          <w:sz w:val="20"/>
          <w:szCs w:val="20"/>
          <w:lang w:val="es-ES" w:eastAsia="en-US"/>
        </w:rPr>
      </w:pPr>
      <w:r w:rsidRPr="00544B28">
        <w:rPr>
          <w:rFonts w:eastAsia="Calibri"/>
          <w:bCs/>
          <w:color w:val="000000"/>
          <w:sz w:val="20"/>
          <w:szCs w:val="20"/>
          <w:lang w:val="es-ES" w:eastAsia="en-US"/>
        </w:rPr>
        <w:t xml:space="preserve">Artículo de investigación  </w:t>
      </w:r>
    </w:p>
    <w:p w14:paraId="4EEF2002" w14:textId="77777777" w:rsidR="00544B28" w:rsidRPr="00544B28" w:rsidRDefault="00544B28" w:rsidP="00544B28">
      <w:pPr>
        <w:spacing w:line="360" w:lineRule="auto"/>
        <w:jc w:val="right"/>
        <w:rPr>
          <w:rFonts w:eastAsia="Calibri"/>
          <w:bCs/>
          <w:color w:val="000000"/>
          <w:sz w:val="20"/>
          <w:szCs w:val="20"/>
          <w:lang w:val="es-ES" w:eastAsia="en-US"/>
        </w:rPr>
      </w:pPr>
    </w:p>
    <w:p w14:paraId="46ABBBB3" w14:textId="77777777" w:rsidR="00544B28" w:rsidRPr="00544B28" w:rsidRDefault="00544B28" w:rsidP="00544B28">
      <w:pPr>
        <w:spacing w:line="360" w:lineRule="auto"/>
        <w:jc w:val="center"/>
        <w:rPr>
          <w:rFonts w:eastAsia="Calibri"/>
          <w:b/>
          <w:sz w:val="28"/>
          <w:szCs w:val="28"/>
          <w:lang w:val="es-ES" w:eastAsia="en-US"/>
        </w:rPr>
      </w:pPr>
      <w:r w:rsidRPr="00544B28">
        <w:rPr>
          <w:rFonts w:eastAsia="Calibri"/>
          <w:b/>
          <w:sz w:val="28"/>
          <w:szCs w:val="28"/>
          <w:lang w:val="es-ES" w:eastAsia="en-US"/>
        </w:rPr>
        <w:t>Linfocitopenia como biomarcador de gravedad en pacientes pediátricos con la COVID-19</w:t>
      </w:r>
    </w:p>
    <w:p w14:paraId="454CAD1A" w14:textId="77777777" w:rsidR="00544B28" w:rsidRPr="00544B28" w:rsidRDefault="00544B28" w:rsidP="00544B28">
      <w:pPr>
        <w:spacing w:line="360" w:lineRule="auto"/>
        <w:ind w:left="426"/>
        <w:contextualSpacing/>
        <w:jc w:val="both"/>
        <w:rPr>
          <w:rFonts w:eastAsia="Calibri"/>
          <w:lang w:val="en-US" w:eastAsia="en-US"/>
        </w:rPr>
      </w:pPr>
      <w:r w:rsidRPr="00544B28">
        <w:rPr>
          <w:rFonts w:eastAsia="Calibri"/>
          <w:sz w:val="28"/>
          <w:szCs w:val="28"/>
          <w:lang w:val="en-US" w:eastAsia="en-US"/>
        </w:rPr>
        <w:t xml:space="preserve">Lymphocytopenia as a biomarker of severity in pediatric patients with COVID-19 </w:t>
      </w:r>
    </w:p>
    <w:p w14:paraId="29998794" w14:textId="77777777" w:rsidR="00544B28" w:rsidRPr="00544B28" w:rsidRDefault="00544B28" w:rsidP="00544B28">
      <w:pPr>
        <w:spacing w:line="360" w:lineRule="auto"/>
        <w:contextualSpacing/>
        <w:jc w:val="both"/>
        <w:rPr>
          <w:rFonts w:eastAsia="Calibri"/>
          <w:lang w:val="en-US" w:eastAsia="en-US"/>
        </w:rPr>
      </w:pPr>
    </w:p>
    <w:p w14:paraId="01F2F709" w14:textId="77777777" w:rsidR="00544B28" w:rsidRPr="00544B28" w:rsidRDefault="00544B28" w:rsidP="00544B28">
      <w:pPr>
        <w:spacing w:line="360" w:lineRule="auto"/>
        <w:contextualSpacing/>
        <w:jc w:val="both"/>
        <w:rPr>
          <w:rFonts w:eastAsia="Calibri"/>
          <w:lang w:val="es-CU" w:eastAsia="en-US"/>
        </w:rPr>
      </w:pPr>
      <w:r w:rsidRPr="00544B28">
        <w:rPr>
          <w:rFonts w:eastAsia="Calibri"/>
          <w:lang w:val="es-CU" w:eastAsia="en-US"/>
        </w:rPr>
        <w:t xml:space="preserve">Alberto Rubén </w:t>
      </w:r>
      <w:proofErr w:type="spellStart"/>
      <w:r w:rsidRPr="00544B28">
        <w:rPr>
          <w:rFonts w:eastAsia="Calibri"/>
          <w:lang w:val="es-CU" w:eastAsia="en-US"/>
        </w:rPr>
        <w:t>Piriz</w:t>
      </w:r>
      <w:proofErr w:type="spellEnd"/>
      <w:r w:rsidRPr="00544B28">
        <w:rPr>
          <w:rFonts w:eastAsia="Calibri"/>
          <w:lang w:val="es-CU" w:eastAsia="en-US"/>
        </w:rPr>
        <w:t xml:space="preserve"> </w:t>
      </w:r>
      <w:proofErr w:type="spellStart"/>
      <w:r w:rsidRPr="00544B28">
        <w:rPr>
          <w:rFonts w:eastAsia="Calibri"/>
          <w:lang w:val="es-CU" w:eastAsia="en-US"/>
        </w:rPr>
        <w:t>Assa</w:t>
      </w:r>
      <w:r w:rsidRPr="00544B28">
        <w:rPr>
          <w:rFonts w:eastAsia="Calibri"/>
          <w:vertAlign w:val="superscript"/>
          <w:lang w:val="es-CU" w:eastAsia="en-US"/>
        </w:rPr>
        <w:t>1</w:t>
      </w:r>
      <w:proofErr w:type="spellEnd"/>
      <w:r w:rsidRPr="00544B28">
        <w:rPr>
          <w:rFonts w:eastAsia="Calibri"/>
          <w:lang w:val="es-CU" w:eastAsia="en-US"/>
        </w:rPr>
        <w:t xml:space="preserve">* </w:t>
      </w:r>
      <w:hyperlink r:id="rId7" w:history="1">
        <w:r w:rsidRPr="00544B28">
          <w:rPr>
            <w:rFonts w:eastAsia="Calibri"/>
            <w:color w:val="0563C1"/>
            <w:lang w:val="es-CU" w:eastAsia="en-US"/>
          </w:rPr>
          <w:t>https://orcid.org/0000-0002-6261-5807</w:t>
        </w:r>
      </w:hyperlink>
      <w:r w:rsidRPr="00544B28">
        <w:rPr>
          <w:rFonts w:eastAsia="Calibri"/>
          <w:lang w:val="es-CU" w:eastAsia="en-US"/>
        </w:rPr>
        <w:t xml:space="preserve"> </w:t>
      </w:r>
    </w:p>
    <w:p w14:paraId="60FBC592" w14:textId="77777777" w:rsidR="00544B28" w:rsidRPr="00544B28" w:rsidRDefault="00544B28" w:rsidP="00544B28">
      <w:pPr>
        <w:spacing w:line="360" w:lineRule="auto"/>
        <w:contextualSpacing/>
        <w:jc w:val="both"/>
        <w:rPr>
          <w:rFonts w:eastAsia="Calibri"/>
          <w:lang w:val="es-CU" w:eastAsia="en-US"/>
        </w:rPr>
      </w:pPr>
      <w:r w:rsidRPr="00544B28">
        <w:rPr>
          <w:rFonts w:eastAsia="Calibri"/>
          <w:lang w:val="es-CU" w:eastAsia="en-US"/>
        </w:rPr>
        <w:t xml:space="preserve">Juan Carlos Ortiz </w:t>
      </w:r>
      <w:proofErr w:type="spellStart"/>
      <w:r w:rsidRPr="00544B28">
        <w:rPr>
          <w:rFonts w:eastAsia="Calibri"/>
          <w:lang w:val="es-CU" w:eastAsia="en-US"/>
        </w:rPr>
        <w:t>Sablón</w:t>
      </w:r>
      <w:r w:rsidRPr="00544B28">
        <w:rPr>
          <w:rFonts w:eastAsia="Calibri"/>
          <w:vertAlign w:val="superscript"/>
          <w:lang w:val="es-CU" w:eastAsia="en-US"/>
        </w:rPr>
        <w:t>2</w:t>
      </w:r>
      <w:proofErr w:type="spellEnd"/>
      <w:r w:rsidRPr="00544B28">
        <w:rPr>
          <w:rFonts w:eastAsia="Calibri"/>
          <w:lang w:val="es-CU" w:eastAsia="en-US"/>
        </w:rPr>
        <w:t xml:space="preserve"> </w:t>
      </w:r>
      <w:hyperlink r:id="rId8" w:history="1">
        <w:r w:rsidRPr="00544B28">
          <w:rPr>
            <w:rFonts w:eastAsia="Calibri"/>
            <w:color w:val="0563C1"/>
            <w:lang w:val="es-CU" w:eastAsia="en-US"/>
          </w:rPr>
          <w:t>https://orcid.org/0000-0003-1522-2063</w:t>
        </w:r>
      </w:hyperlink>
      <w:r w:rsidRPr="00544B28">
        <w:rPr>
          <w:rFonts w:eastAsia="Calibri"/>
          <w:lang w:val="es-CU" w:eastAsia="en-US"/>
        </w:rPr>
        <w:t xml:space="preserve"> </w:t>
      </w:r>
    </w:p>
    <w:p w14:paraId="35D75FD0" w14:textId="77777777" w:rsidR="00544B28" w:rsidRPr="00544B28" w:rsidRDefault="00544B28" w:rsidP="00544B28">
      <w:pPr>
        <w:spacing w:line="360" w:lineRule="auto"/>
        <w:contextualSpacing/>
        <w:jc w:val="both"/>
        <w:rPr>
          <w:rFonts w:eastAsia="Calibri"/>
          <w:lang w:val="es-CU" w:eastAsia="en-US"/>
        </w:rPr>
      </w:pPr>
      <w:r w:rsidRPr="00544B28">
        <w:rPr>
          <w:rFonts w:eastAsia="Calibri"/>
          <w:lang w:val="es-CU" w:eastAsia="en-US"/>
        </w:rPr>
        <w:t xml:space="preserve">Gratel Ramos </w:t>
      </w:r>
      <w:proofErr w:type="spellStart"/>
      <w:r w:rsidRPr="00544B28">
        <w:rPr>
          <w:rFonts w:eastAsia="Calibri"/>
          <w:lang w:val="es-CU" w:eastAsia="en-US"/>
        </w:rPr>
        <w:t>Hernández</w:t>
      </w:r>
      <w:r w:rsidRPr="00544B28">
        <w:rPr>
          <w:rFonts w:eastAsia="Calibri"/>
          <w:vertAlign w:val="superscript"/>
          <w:lang w:val="es-CU" w:eastAsia="en-US"/>
        </w:rPr>
        <w:t>1</w:t>
      </w:r>
      <w:proofErr w:type="spellEnd"/>
      <w:r w:rsidRPr="00544B28">
        <w:rPr>
          <w:rFonts w:eastAsia="Calibri"/>
          <w:lang w:val="es-CU" w:eastAsia="en-US"/>
        </w:rPr>
        <w:t xml:space="preserve"> </w:t>
      </w:r>
      <w:hyperlink r:id="rId9" w:history="1">
        <w:r w:rsidRPr="00544B28">
          <w:rPr>
            <w:rFonts w:eastAsia="Calibri"/>
            <w:color w:val="0563C1"/>
            <w:lang w:val="es-CU" w:eastAsia="en-US"/>
          </w:rPr>
          <w:t>https://orcid.org/0000-0001-7232-7107</w:t>
        </w:r>
      </w:hyperlink>
      <w:r w:rsidRPr="00544B28">
        <w:rPr>
          <w:rFonts w:eastAsia="Calibri"/>
          <w:lang w:val="es-CU" w:eastAsia="en-US"/>
        </w:rPr>
        <w:t xml:space="preserve"> </w:t>
      </w:r>
    </w:p>
    <w:p w14:paraId="22837D04" w14:textId="77777777" w:rsidR="00544B28" w:rsidRPr="00544B28" w:rsidRDefault="00544B28" w:rsidP="00544B28">
      <w:pPr>
        <w:spacing w:line="360" w:lineRule="auto"/>
        <w:contextualSpacing/>
        <w:jc w:val="both"/>
        <w:rPr>
          <w:rFonts w:eastAsia="Calibri"/>
          <w:lang w:val="en-US" w:eastAsia="en-US"/>
        </w:rPr>
      </w:pPr>
      <w:r w:rsidRPr="00544B28">
        <w:rPr>
          <w:rFonts w:eastAsia="Calibri"/>
          <w:lang w:val="en-US" w:eastAsia="en-US"/>
        </w:rPr>
        <w:t xml:space="preserve">Yudith Aracelis Fornaris </w:t>
      </w:r>
      <w:proofErr w:type="spellStart"/>
      <w:r w:rsidRPr="00544B28">
        <w:rPr>
          <w:rFonts w:eastAsia="Calibri"/>
          <w:lang w:val="en-US" w:eastAsia="en-US"/>
        </w:rPr>
        <w:t>Pérez</w:t>
      </w:r>
      <w:r w:rsidRPr="00544B28">
        <w:rPr>
          <w:rFonts w:eastAsia="Calibri"/>
          <w:vertAlign w:val="superscript"/>
          <w:lang w:val="en-US" w:eastAsia="en-US"/>
        </w:rPr>
        <w:t>3</w:t>
      </w:r>
      <w:proofErr w:type="spellEnd"/>
      <w:r w:rsidRPr="00544B28">
        <w:rPr>
          <w:rFonts w:eastAsia="Calibri"/>
          <w:lang w:val="en-US" w:eastAsia="en-US"/>
        </w:rPr>
        <w:t xml:space="preserve"> </w:t>
      </w:r>
      <w:hyperlink r:id="rId10" w:history="1">
        <w:r w:rsidRPr="00544B28">
          <w:rPr>
            <w:rFonts w:eastAsia="Calibri"/>
            <w:color w:val="0563C1"/>
            <w:lang w:val="en-US" w:eastAsia="en-US"/>
          </w:rPr>
          <w:t>https://orcid.org/0000-0002-3622-0940</w:t>
        </w:r>
      </w:hyperlink>
      <w:r w:rsidRPr="00544B28">
        <w:rPr>
          <w:rFonts w:eastAsia="Calibri"/>
          <w:lang w:val="en-US" w:eastAsia="en-US"/>
        </w:rPr>
        <w:t xml:space="preserve">  </w:t>
      </w:r>
    </w:p>
    <w:p w14:paraId="295FBCC0" w14:textId="77777777" w:rsidR="00544B28" w:rsidRPr="00544B28" w:rsidRDefault="00544B28" w:rsidP="00544B28">
      <w:pPr>
        <w:spacing w:line="360" w:lineRule="auto"/>
        <w:contextualSpacing/>
        <w:jc w:val="both"/>
        <w:rPr>
          <w:rFonts w:eastAsia="Calibri"/>
          <w:lang w:val="es-CU" w:eastAsia="en-US"/>
        </w:rPr>
      </w:pPr>
      <w:r w:rsidRPr="00544B28">
        <w:rPr>
          <w:rFonts w:eastAsia="Calibri"/>
          <w:lang w:val="es-CU" w:eastAsia="en-US"/>
        </w:rPr>
        <w:t xml:space="preserve">Yarima </w:t>
      </w:r>
      <w:proofErr w:type="spellStart"/>
      <w:r w:rsidRPr="00544B28">
        <w:rPr>
          <w:rFonts w:eastAsia="Calibri"/>
          <w:lang w:val="es-CU" w:eastAsia="en-US"/>
        </w:rPr>
        <w:t>Poll</w:t>
      </w:r>
      <w:proofErr w:type="spellEnd"/>
      <w:r w:rsidRPr="00544B28">
        <w:rPr>
          <w:rFonts w:eastAsia="Calibri"/>
          <w:lang w:val="es-CU" w:eastAsia="en-US"/>
        </w:rPr>
        <w:t xml:space="preserve"> </w:t>
      </w:r>
      <w:proofErr w:type="spellStart"/>
      <w:r w:rsidRPr="00544B28">
        <w:rPr>
          <w:rFonts w:eastAsia="Calibri"/>
          <w:lang w:val="es-CU" w:eastAsia="en-US"/>
        </w:rPr>
        <w:t>Ayala</w:t>
      </w:r>
      <w:r w:rsidRPr="00544B28">
        <w:rPr>
          <w:rFonts w:eastAsia="Calibri"/>
          <w:vertAlign w:val="superscript"/>
          <w:lang w:val="es-CU" w:eastAsia="en-US"/>
        </w:rPr>
        <w:t>1</w:t>
      </w:r>
      <w:proofErr w:type="spellEnd"/>
      <w:r w:rsidRPr="00544B28">
        <w:rPr>
          <w:rFonts w:eastAsia="Calibri"/>
          <w:lang w:val="es-CU" w:eastAsia="en-US"/>
        </w:rPr>
        <w:t xml:space="preserve"> </w:t>
      </w:r>
      <w:hyperlink r:id="rId11" w:history="1">
        <w:r w:rsidRPr="00544B28">
          <w:rPr>
            <w:rFonts w:eastAsia="Calibri"/>
            <w:color w:val="0563C1"/>
            <w:lang w:val="es-CU" w:eastAsia="en-US"/>
          </w:rPr>
          <w:t>https://orcid.org/0000-0001-9681-9560</w:t>
        </w:r>
      </w:hyperlink>
      <w:r w:rsidRPr="00544B28">
        <w:rPr>
          <w:rFonts w:eastAsia="Calibri"/>
          <w:lang w:val="es-CU" w:eastAsia="en-US"/>
        </w:rPr>
        <w:t xml:space="preserve"> </w:t>
      </w:r>
    </w:p>
    <w:p w14:paraId="58D8D15D" w14:textId="77777777" w:rsidR="00544B28" w:rsidRPr="00544B28" w:rsidRDefault="00544B28" w:rsidP="00544B28">
      <w:pPr>
        <w:spacing w:line="360" w:lineRule="auto"/>
        <w:contextualSpacing/>
        <w:jc w:val="both"/>
        <w:rPr>
          <w:rFonts w:eastAsia="Calibri"/>
          <w:lang w:val="es-CU" w:eastAsia="en-US"/>
        </w:rPr>
      </w:pPr>
    </w:p>
    <w:p w14:paraId="10E4BECB" w14:textId="5E9ED921" w:rsidR="00544B28" w:rsidRPr="00544B28" w:rsidRDefault="00544B28" w:rsidP="00544B28">
      <w:pPr>
        <w:spacing w:line="360" w:lineRule="auto"/>
        <w:contextualSpacing/>
        <w:jc w:val="both"/>
        <w:rPr>
          <w:rFonts w:eastAsia="Calibri"/>
          <w:lang w:val="es-CU" w:eastAsia="en-US"/>
        </w:rPr>
      </w:pPr>
      <w:proofErr w:type="spellStart"/>
      <w:r w:rsidRPr="00544B28">
        <w:rPr>
          <w:rFonts w:eastAsia="Calibri"/>
          <w:vertAlign w:val="superscript"/>
          <w:lang w:val="es-CU" w:eastAsia="en-US"/>
        </w:rPr>
        <w:t>1</w:t>
      </w:r>
      <w:r w:rsidR="008F31D4" w:rsidRPr="00544B28">
        <w:rPr>
          <w:rFonts w:eastAsia="Calibri"/>
          <w:lang w:val="es-CU" w:eastAsia="en-US"/>
        </w:rPr>
        <w:t>Hospital</w:t>
      </w:r>
      <w:proofErr w:type="spellEnd"/>
      <w:r w:rsidR="008F31D4" w:rsidRPr="00544B28">
        <w:rPr>
          <w:rFonts w:eastAsia="Calibri"/>
          <w:lang w:val="es-CU" w:eastAsia="en-US"/>
        </w:rPr>
        <w:t xml:space="preserve"> Pediátrico Provincial “Octavio de la Concepción de la Pedraja”.</w:t>
      </w:r>
      <w:r w:rsidR="008F31D4">
        <w:rPr>
          <w:rFonts w:eastAsia="Calibri"/>
          <w:lang w:val="es-CU" w:eastAsia="en-US"/>
        </w:rPr>
        <w:t xml:space="preserve"> </w:t>
      </w:r>
      <w:r w:rsidRPr="00544B28">
        <w:rPr>
          <w:rFonts w:eastAsia="Calibri"/>
          <w:lang w:val="es-CU" w:eastAsia="en-US"/>
        </w:rPr>
        <w:t xml:space="preserve">Unidad de Cuidados Intensivos Pediátricos. Holguín, Cuba. </w:t>
      </w:r>
    </w:p>
    <w:p w14:paraId="32783BB4" w14:textId="77777777" w:rsidR="00544B28" w:rsidRPr="00544B28" w:rsidRDefault="00544B28" w:rsidP="00544B28">
      <w:pPr>
        <w:spacing w:line="360" w:lineRule="auto"/>
        <w:contextualSpacing/>
        <w:jc w:val="both"/>
        <w:rPr>
          <w:rFonts w:eastAsia="Calibri"/>
          <w:lang w:val="es-CU" w:eastAsia="en-US"/>
        </w:rPr>
      </w:pPr>
      <w:proofErr w:type="spellStart"/>
      <w:r w:rsidRPr="00544B28">
        <w:rPr>
          <w:rFonts w:eastAsia="Calibri"/>
          <w:vertAlign w:val="superscript"/>
          <w:lang w:val="es-CU" w:eastAsia="en-US"/>
        </w:rPr>
        <w:t>2</w:t>
      </w:r>
      <w:r w:rsidRPr="00544B28">
        <w:rPr>
          <w:rFonts w:eastAsia="Calibri"/>
          <w:lang w:val="es-CU" w:eastAsia="en-US"/>
        </w:rPr>
        <w:t>Unidad</w:t>
      </w:r>
      <w:proofErr w:type="spellEnd"/>
      <w:r w:rsidRPr="00544B28">
        <w:rPr>
          <w:rFonts w:eastAsia="Calibri"/>
          <w:lang w:val="es-CU" w:eastAsia="en-US"/>
        </w:rPr>
        <w:t xml:space="preserve"> Provincial de Higiene y Epidemiologia. Holguín, Cuba.  </w:t>
      </w:r>
    </w:p>
    <w:p w14:paraId="49972695" w14:textId="77777777" w:rsidR="00544B28" w:rsidRPr="00544B28" w:rsidRDefault="00544B28" w:rsidP="00544B28">
      <w:pPr>
        <w:spacing w:line="360" w:lineRule="auto"/>
        <w:contextualSpacing/>
        <w:jc w:val="both"/>
        <w:rPr>
          <w:rFonts w:eastAsia="Calibri"/>
          <w:lang w:val="es-CU" w:eastAsia="en-US"/>
        </w:rPr>
      </w:pPr>
      <w:proofErr w:type="spellStart"/>
      <w:r w:rsidRPr="00544B28">
        <w:rPr>
          <w:rFonts w:eastAsia="Calibri"/>
          <w:vertAlign w:val="superscript"/>
          <w:lang w:val="es-CU" w:eastAsia="en-US"/>
        </w:rPr>
        <w:t>3</w:t>
      </w:r>
      <w:r w:rsidRPr="00544B28">
        <w:rPr>
          <w:rFonts w:eastAsia="Calibri"/>
          <w:lang w:val="es-CU" w:eastAsia="en-US"/>
        </w:rPr>
        <w:t>Hospital</w:t>
      </w:r>
      <w:proofErr w:type="spellEnd"/>
      <w:r w:rsidRPr="00544B28">
        <w:rPr>
          <w:rFonts w:eastAsia="Calibri"/>
          <w:lang w:val="es-CU" w:eastAsia="en-US"/>
        </w:rPr>
        <w:t xml:space="preserve"> Militar “Dr. Fermín Valdés-Domínguez”. Holguín, Cuba. </w:t>
      </w:r>
    </w:p>
    <w:p w14:paraId="46AFF2D4" w14:textId="77777777" w:rsidR="00544B28" w:rsidRPr="00544B28" w:rsidRDefault="00544B28" w:rsidP="00544B28">
      <w:pPr>
        <w:spacing w:line="360" w:lineRule="auto"/>
        <w:contextualSpacing/>
        <w:jc w:val="both"/>
        <w:rPr>
          <w:rFonts w:eastAsia="Calibri"/>
          <w:lang w:val="es-CU" w:eastAsia="en-US"/>
        </w:rPr>
      </w:pPr>
    </w:p>
    <w:p w14:paraId="67037A8B" w14:textId="77777777" w:rsidR="00544B28" w:rsidRPr="00544B28" w:rsidRDefault="00544B28" w:rsidP="00544B28">
      <w:pPr>
        <w:spacing w:line="360" w:lineRule="auto"/>
        <w:contextualSpacing/>
        <w:jc w:val="both"/>
        <w:rPr>
          <w:rFonts w:eastAsia="Calibri"/>
          <w:lang w:val="es-CU" w:eastAsia="en-US"/>
        </w:rPr>
      </w:pPr>
      <w:r w:rsidRPr="00544B28">
        <w:rPr>
          <w:rFonts w:eastAsia="Calibri"/>
          <w:lang w:val="es-CU" w:eastAsia="en-US"/>
        </w:rPr>
        <w:t xml:space="preserve">*Autor para la correspondencia. Correo electrónico: </w:t>
      </w:r>
      <w:hyperlink r:id="rId12" w:history="1">
        <w:r w:rsidRPr="00544B28">
          <w:rPr>
            <w:rFonts w:eastAsia="Calibri"/>
            <w:color w:val="0563C1"/>
            <w:lang w:val="es-CU" w:eastAsia="en-US"/>
          </w:rPr>
          <w:t>apiriz@infomed.sld.cu</w:t>
        </w:r>
      </w:hyperlink>
      <w:r w:rsidRPr="00544B28">
        <w:rPr>
          <w:rFonts w:eastAsia="Calibri"/>
          <w:lang w:val="es-CU" w:eastAsia="en-US"/>
        </w:rPr>
        <w:t xml:space="preserve"> </w:t>
      </w:r>
    </w:p>
    <w:p w14:paraId="0B8103EF" w14:textId="77777777" w:rsidR="00544B28" w:rsidRPr="00544B28" w:rsidRDefault="00544B28" w:rsidP="00544B28">
      <w:pPr>
        <w:spacing w:line="360" w:lineRule="auto"/>
        <w:contextualSpacing/>
        <w:jc w:val="both"/>
        <w:rPr>
          <w:rFonts w:eastAsia="Calibri"/>
          <w:iCs/>
          <w:lang w:val="es-CU" w:eastAsia="en-US"/>
        </w:rPr>
      </w:pPr>
    </w:p>
    <w:p w14:paraId="6F80AEB4" w14:textId="77777777" w:rsidR="00544B28" w:rsidRPr="00544B28" w:rsidRDefault="00544B28" w:rsidP="00544B28">
      <w:pPr>
        <w:spacing w:line="360" w:lineRule="auto"/>
        <w:jc w:val="both"/>
        <w:rPr>
          <w:rFonts w:eastAsia="Calibri"/>
          <w:b/>
          <w:lang w:val="es-ES" w:eastAsia="en-US"/>
        </w:rPr>
      </w:pPr>
      <w:r w:rsidRPr="00544B28">
        <w:rPr>
          <w:rFonts w:eastAsia="Calibri"/>
          <w:b/>
          <w:lang w:val="es-ES" w:eastAsia="en-US"/>
        </w:rPr>
        <w:t>RESUMEN</w:t>
      </w:r>
    </w:p>
    <w:p w14:paraId="36BB2926" w14:textId="77777777" w:rsidR="00544B28" w:rsidRPr="00544B28" w:rsidRDefault="00544B28" w:rsidP="00544B28">
      <w:pPr>
        <w:spacing w:line="360" w:lineRule="auto"/>
        <w:jc w:val="both"/>
        <w:rPr>
          <w:rFonts w:eastAsia="Calibri"/>
          <w:lang w:val="es-ES" w:eastAsia="en-US"/>
        </w:rPr>
      </w:pPr>
      <w:r w:rsidRPr="00544B28">
        <w:rPr>
          <w:rFonts w:eastAsia="Calibri"/>
          <w:b/>
          <w:lang w:val="es-ES" w:eastAsia="en-US"/>
        </w:rPr>
        <w:t>Introducción:</w:t>
      </w:r>
      <w:r w:rsidRPr="00544B28">
        <w:rPr>
          <w:rFonts w:eastAsia="Calibri"/>
          <w:lang w:val="es-ES" w:eastAsia="en-US"/>
        </w:rPr>
        <w:t xml:space="preserve"> La COVID-19 en edades pediátricas presenta características singulares; un pequeño número de pacientes pediátricos desarrollan un estado clínico grave. </w:t>
      </w:r>
    </w:p>
    <w:p w14:paraId="45267716" w14:textId="77777777" w:rsidR="00544B28" w:rsidRPr="00544B28" w:rsidRDefault="00544B28" w:rsidP="00544B28">
      <w:pPr>
        <w:spacing w:line="360" w:lineRule="auto"/>
        <w:jc w:val="both"/>
        <w:rPr>
          <w:rFonts w:eastAsia="Calibri"/>
          <w:lang w:val="es-ES" w:eastAsia="en-US"/>
        </w:rPr>
      </w:pPr>
      <w:r w:rsidRPr="00544B28">
        <w:rPr>
          <w:rFonts w:eastAsia="Calibri"/>
          <w:b/>
          <w:lang w:val="es-ES" w:eastAsia="en-US"/>
        </w:rPr>
        <w:t>Objetivos:</w:t>
      </w:r>
      <w:r w:rsidRPr="00544B28">
        <w:rPr>
          <w:rFonts w:eastAsia="Calibri"/>
          <w:lang w:val="es-ES" w:eastAsia="en-US"/>
        </w:rPr>
        <w:t xml:space="preserve"> Evaluar si la linfocitopenia es un predictor de gravedad en pacientes pediátricos con la COVID-19.</w:t>
      </w:r>
    </w:p>
    <w:p w14:paraId="6FB3707D" w14:textId="77777777" w:rsidR="00544B28" w:rsidRPr="00544B28" w:rsidRDefault="00544B28" w:rsidP="00544B28">
      <w:pPr>
        <w:spacing w:line="360" w:lineRule="auto"/>
        <w:jc w:val="both"/>
        <w:rPr>
          <w:rFonts w:eastAsia="Calibri"/>
          <w:lang w:val="es-ES" w:eastAsia="en-US"/>
        </w:rPr>
      </w:pPr>
      <w:r w:rsidRPr="00544B28">
        <w:rPr>
          <w:rFonts w:eastAsia="Calibri"/>
          <w:b/>
          <w:lang w:val="es-ES" w:eastAsia="en-US"/>
        </w:rPr>
        <w:t>Métodos:</w:t>
      </w:r>
      <w:r w:rsidRPr="00544B28">
        <w:rPr>
          <w:rFonts w:eastAsia="Calibri"/>
          <w:lang w:val="es-ES" w:eastAsia="en-US"/>
        </w:rPr>
        <w:t xml:space="preserve"> Se estudiaron en 706 pacientes, las variables edad, sexo, antecedentes patológicos personales de enfermedades crónicas de la infancia (asma bronquial, diabetes mellitus), comorbilidades, estado clínico, valores de linfocitos, conteo absoluto de linfocitos (≤ 1 x 10</w:t>
      </w:r>
      <w:r w:rsidRPr="00544B28">
        <w:rPr>
          <w:rFonts w:eastAsia="Calibri"/>
          <w:vertAlign w:val="superscript"/>
          <w:lang w:val="es-ES" w:eastAsia="en-US"/>
        </w:rPr>
        <w:t>9</w:t>
      </w:r>
      <w:r w:rsidRPr="00544B28">
        <w:rPr>
          <w:rFonts w:eastAsia="Calibri"/>
          <w:lang w:val="es-ES" w:eastAsia="en-US"/>
        </w:rPr>
        <w:t xml:space="preserve">/L = linfocitopenia). De acuerdo con el estado clínico los pacientes se agruparon en 5 grupos, de asintomáticos a críticos. Se determinó la </w:t>
      </w:r>
      <w:r w:rsidRPr="00544B28">
        <w:rPr>
          <w:rFonts w:eastAsia="Calibri"/>
          <w:lang w:val="es-ES" w:eastAsia="en-US"/>
        </w:rPr>
        <w:lastRenderedPageBreak/>
        <w:t>correlación entre el estado clínico y el conteo absoluto de linfocitos; de este se determinó su capacidad discriminativa para estimar el pronóstico.</w:t>
      </w:r>
    </w:p>
    <w:p w14:paraId="51EF6205" w14:textId="77777777" w:rsidR="00544B28" w:rsidRPr="00544B28" w:rsidRDefault="00544B28" w:rsidP="00544B28">
      <w:pPr>
        <w:spacing w:line="360" w:lineRule="auto"/>
        <w:jc w:val="both"/>
        <w:rPr>
          <w:rFonts w:eastAsia="Calibri"/>
          <w:lang w:val="es-ES" w:eastAsia="en-US"/>
        </w:rPr>
      </w:pPr>
      <w:r w:rsidRPr="00544B28">
        <w:rPr>
          <w:rFonts w:eastAsia="Calibri"/>
          <w:b/>
          <w:lang w:val="es-ES" w:eastAsia="en-US"/>
        </w:rPr>
        <w:t>Resultados:</w:t>
      </w:r>
      <w:r w:rsidRPr="00544B28">
        <w:rPr>
          <w:rFonts w:eastAsia="Calibri"/>
          <w:lang w:val="es-ES" w:eastAsia="en-US"/>
        </w:rPr>
        <w:t xml:space="preserve"> La media de la edad fue 8,6 años; el 6,2 % de los pacientes evolucionó al estado grave o crítico; 74,6 % tuvo valores normales de linfocitos, el 16,14 % altos y el 9,2 % bajos. Linfocitopenia presentó el 4,2 %; se correlacionó significativamente con estado grave, área bajo la curva de 0,711 (IC 95 %: 0,595-0,827); 46 % de sensibilidad y 98 % de especificidad. </w:t>
      </w:r>
    </w:p>
    <w:p w14:paraId="67904855" w14:textId="77777777" w:rsidR="00544B28" w:rsidRPr="00544B28" w:rsidRDefault="00544B28" w:rsidP="00544B28">
      <w:pPr>
        <w:spacing w:line="360" w:lineRule="auto"/>
        <w:jc w:val="both"/>
        <w:rPr>
          <w:rFonts w:eastAsia="Calibri"/>
          <w:lang w:val="es-ES" w:eastAsia="en-US"/>
        </w:rPr>
      </w:pPr>
      <w:r w:rsidRPr="00544B28">
        <w:rPr>
          <w:rFonts w:eastAsia="Calibri"/>
          <w:b/>
          <w:lang w:val="es-ES" w:eastAsia="en-US"/>
        </w:rPr>
        <w:t>Conclusiones.</w:t>
      </w:r>
      <w:r w:rsidRPr="00544B28">
        <w:rPr>
          <w:rFonts w:eastAsia="Calibri"/>
          <w:lang w:val="es-ES" w:eastAsia="en-US"/>
        </w:rPr>
        <w:t xml:space="preserve"> La linfocitopenia es un biomarcador que puede estimar el pronóstico en pacientes pediátricos con la COVID-19 que desarrollan un estado clínico grave.</w:t>
      </w:r>
    </w:p>
    <w:p w14:paraId="2533E203" w14:textId="77777777" w:rsidR="00544B28" w:rsidRPr="00544B28" w:rsidRDefault="00544B28" w:rsidP="00544B28">
      <w:pPr>
        <w:spacing w:line="360" w:lineRule="auto"/>
        <w:jc w:val="both"/>
        <w:rPr>
          <w:rFonts w:eastAsia="Calibri"/>
          <w:lang w:val="es-ES" w:eastAsia="en-US"/>
        </w:rPr>
      </w:pPr>
      <w:r w:rsidRPr="00544B28">
        <w:rPr>
          <w:rFonts w:eastAsia="Calibri"/>
          <w:b/>
          <w:lang w:val="es-ES" w:eastAsia="en-US"/>
        </w:rPr>
        <w:t>Palabras clave:</w:t>
      </w:r>
      <w:r w:rsidRPr="00544B28">
        <w:rPr>
          <w:rFonts w:eastAsia="Calibri"/>
          <w:lang w:val="es-ES" w:eastAsia="en-US"/>
        </w:rPr>
        <w:t xml:space="preserve"> linfocitos; </w:t>
      </w:r>
      <w:proofErr w:type="spellStart"/>
      <w:r w:rsidRPr="00544B28">
        <w:rPr>
          <w:rFonts w:eastAsia="Calibri"/>
          <w:lang w:val="es-ES" w:eastAsia="en-US"/>
        </w:rPr>
        <w:t>linfopenia</w:t>
      </w:r>
      <w:proofErr w:type="spellEnd"/>
      <w:r w:rsidRPr="00544B28">
        <w:rPr>
          <w:rFonts w:eastAsia="Calibri"/>
          <w:lang w:val="es-ES" w:eastAsia="en-US"/>
        </w:rPr>
        <w:t xml:space="preserve">; pediatría; recuento de linfocitos; SARS-CoV-2. </w:t>
      </w:r>
    </w:p>
    <w:p w14:paraId="52724D9A" w14:textId="77777777" w:rsidR="00544B28" w:rsidRPr="00544B28" w:rsidRDefault="00544B28" w:rsidP="00544B28">
      <w:pPr>
        <w:spacing w:line="360" w:lineRule="auto"/>
        <w:jc w:val="both"/>
        <w:rPr>
          <w:rFonts w:eastAsia="Calibri"/>
          <w:lang w:val="es-CU" w:eastAsia="en-US"/>
        </w:rPr>
      </w:pPr>
      <w:r w:rsidRPr="00544B28">
        <w:rPr>
          <w:rFonts w:eastAsia="Calibri"/>
          <w:lang w:val="es-CU" w:eastAsia="en-US"/>
        </w:rPr>
        <w:tab/>
        <w:t xml:space="preserve"> </w:t>
      </w:r>
    </w:p>
    <w:p w14:paraId="0617F5D9" w14:textId="77777777" w:rsidR="00544B28" w:rsidRPr="00544B28" w:rsidRDefault="00544B28" w:rsidP="00544B28">
      <w:pPr>
        <w:spacing w:line="360" w:lineRule="auto"/>
        <w:jc w:val="both"/>
        <w:rPr>
          <w:rFonts w:eastAsia="Calibri"/>
          <w:b/>
          <w:lang w:val="en-US" w:eastAsia="en-US"/>
        </w:rPr>
      </w:pPr>
      <w:r w:rsidRPr="00544B28">
        <w:rPr>
          <w:rFonts w:eastAsia="Calibri"/>
          <w:b/>
          <w:lang w:val="en-US" w:eastAsia="en-US"/>
        </w:rPr>
        <w:t>ABSTRACT</w:t>
      </w:r>
    </w:p>
    <w:p w14:paraId="603F44B2" w14:textId="77777777" w:rsidR="00544B28" w:rsidRPr="00544B28" w:rsidRDefault="00544B28" w:rsidP="00544B28">
      <w:pPr>
        <w:spacing w:line="360" w:lineRule="auto"/>
        <w:jc w:val="both"/>
        <w:rPr>
          <w:rFonts w:eastAsia="Calibri"/>
          <w:lang w:val="en-US" w:eastAsia="en-US"/>
        </w:rPr>
      </w:pPr>
      <w:r w:rsidRPr="00544B28">
        <w:rPr>
          <w:rFonts w:eastAsia="Calibri"/>
          <w:b/>
          <w:bCs/>
          <w:lang w:val="en-US" w:eastAsia="en-US"/>
        </w:rPr>
        <w:t>Introduction:</w:t>
      </w:r>
      <w:r w:rsidRPr="00544B28">
        <w:rPr>
          <w:rFonts w:eastAsia="Calibri"/>
          <w:lang w:val="en-US" w:eastAsia="en-US"/>
        </w:rPr>
        <w:t xml:space="preserve"> COVID-19 in pediatric ages presents unique features; a small number of pediatric patients develop severe clinical status. </w:t>
      </w:r>
    </w:p>
    <w:p w14:paraId="763B49B6" w14:textId="77777777" w:rsidR="00544B28" w:rsidRPr="00544B28" w:rsidRDefault="00544B28" w:rsidP="00544B28">
      <w:pPr>
        <w:spacing w:line="360" w:lineRule="auto"/>
        <w:jc w:val="both"/>
        <w:rPr>
          <w:rFonts w:eastAsia="Calibri"/>
          <w:lang w:val="en-US" w:eastAsia="en-US"/>
        </w:rPr>
      </w:pPr>
      <w:r w:rsidRPr="00544B28">
        <w:rPr>
          <w:rFonts w:eastAsia="Calibri"/>
          <w:b/>
          <w:bCs/>
          <w:lang w:val="en-US" w:eastAsia="en-US"/>
        </w:rPr>
        <w:t xml:space="preserve">Objectives: </w:t>
      </w:r>
      <w:r w:rsidRPr="00544B28">
        <w:rPr>
          <w:rFonts w:eastAsia="Calibri"/>
          <w:lang w:val="en-US" w:eastAsia="en-US"/>
        </w:rPr>
        <w:t>To evaluate whether lymphocytopenia is a predictor of severity in pediatric patients with COVID-19.</w:t>
      </w:r>
    </w:p>
    <w:p w14:paraId="5B87BE48" w14:textId="77777777" w:rsidR="00544B28" w:rsidRPr="00544B28" w:rsidRDefault="00544B28" w:rsidP="00544B28">
      <w:pPr>
        <w:spacing w:line="360" w:lineRule="auto"/>
        <w:jc w:val="both"/>
        <w:rPr>
          <w:rFonts w:eastAsia="Calibri"/>
          <w:lang w:val="en-US" w:eastAsia="en-US"/>
        </w:rPr>
      </w:pPr>
      <w:r w:rsidRPr="00544B28">
        <w:rPr>
          <w:rFonts w:eastAsia="Calibri"/>
          <w:b/>
          <w:bCs/>
          <w:lang w:val="en-US" w:eastAsia="en-US"/>
        </w:rPr>
        <w:t xml:space="preserve">Methods: </w:t>
      </w:r>
      <w:r w:rsidRPr="00544B28">
        <w:rPr>
          <w:rFonts w:eastAsia="Calibri"/>
          <w:lang w:val="en-US" w:eastAsia="en-US"/>
        </w:rPr>
        <w:t>In 706 patients were studied the variables age, sex, personal pathological history of childhood chronic diseases (bronchial asthma, diabetes mellitus), comorbidities, clinical status, lymphocyte values, absolute lymphocyte count (≤ 1 x 109/L = lymphocytopenia). According to clinical status patients were grouped into 5 groups, from asymptomatic to critical. The correlation between clinical status and absolute lymphocyte count was determined; its discriminative capacity to estimate prognosis was determined.</w:t>
      </w:r>
    </w:p>
    <w:p w14:paraId="019BB10B" w14:textId="77777777" w:rsidR="00544B28" w:rsidRPr="00544B28" w:rsidRDefault="00544B28" w:rsidP="00544B28">
      <w:pPr>
        <w:spacing w:line="360" w:lineRule="auto"/>
        <w:jc w:val="both"/>
        <w:rPr>
          <w:rFonts w:eastAsia="Calibri"/>
          <w:lang w:val="en-US" w:eastAsia="en-US"/>
        </w:rPr>
      </w:pPr>
      <w:r w:rsidRPr="00544B28">
        <w:rPr>
          <w:rFonts w:eastAsia="Calibri"/>
          <w:b/>
          <w:bCs/>
          <w:lang w:val="en-US" w:eastAsia="en-US"/>
        </w:rPr>
        <w:t>Results:</w:t>
      </w:r>
      <w:r w:rsidRPr="00544B28">
        <w:rPr>
          <w:rFonts w:eastAsia="Calibri"/>
          <w:lang w:val="en-US" w:eastAsia="en-US"/>
        </w:rPr>
        <w:t xml:space="preserve"> The mean age was 8.6 years; 6.2% of patients progressed to severe or critical condition; 74.6% had normal lymphocyte values, 16.14% high and 9.2% low. Lymphocytopenia presented 4.2%; it was significantly correlated with severe condition, area under the curve of 0.711 (95% CI: 0.595-0.827); 46% sensitivity and 98% specificity. </w:t>
      </w:r>
    </w:p>
    <w:p w14:paraId="4CE3A127" w14:textId="77777777" w:rsidR="00544B28" w:rsidRPr="00544B28" w:rsidRDefault="00544B28" w:rsidP="00544B28">
      <w:pPr>
        <w:spacing w:line="360" w:lineRule="auto"/>
        <w:jc w:val="both"/>
        <w:rPr>
          <w:rFonts w:eastAsia="Calibri"/>
          <w:lang w:val="en-US" w:eastAsia="en-US"/>
        </w:rPr>
      </w:pPr>
      <w:r w:rsidRPr="00544B28">
        <w:rPr>
          <w:rFonts w:eastAsia="Calibri"/>
          <w:b/>
          <w:bCs/>
          <w:lang w:val="en-US" w:eastAsia="en-US"/>
        </w:rPr>
        <w:t>Conclusions:</w:t>
      </w:r>
      <w:r w:rsidRPr="00544B28">
        <w:rPr>
          <w:rFonts w:eastAsia="Calibri"/>
          <w:lang w:val="en-US" w:eastAsia="en-US"/>
        </w:rPr>
        <w:t xml:space="preserve"> Lymphocytopenia is a biomarker that can estimate prognosis in pediatric patients with COVID-19 who develop severe clinical status.</w:t>
      </w:r>
    </w:p>
    <w:p w14:paraId="53AA2AD0" w14:textId="77777777" w:rsidR="00544B28" w:rsidRPr="00544B28" w:rsidRDefault="00544B28" w:rsidP="00544B28">
      <w:pPr>
        <w:spacing w:line="360" w:lineRule="auto"/>
        <w:jc w:val="both"/>
        <w:rPr>
          <w:rFonts w:eastAsia="Calibri"/>
          <w:lang w:val="en-US" w:eastAsia="en-US"/>
        </w:rPr>
      </w:pPr>
      <w:r w:rsidRPr="00544B28">
        <w:rPr>
          <w:rFonts w:eastAsia="Calibri"/>
          <w:b/>
          <w:bCs/>
          <w:lang w:val="en-US" w:eastAsia="en-US"/>
        </w:rPr>
        <w:t>Keywords:</w:t>
      </w:r>
      <w:r w:rsidRPr="00544B28">
        <w:rPr>
          <w:rFonts w:eastAsia="Calibri"/>
          <w:lang w:val="en-US" w:eastAsia="en-US"/>
        </w:rPr>
        <w:t xml:space="preserve"> lymphocytes; lymphopenia; lymphocyte count; pediatrics; SARS-CoV-2.</w:t>
      </w:r>
    </w:p>
    <w:p w14:paraId="4239441B" w14:textId="77777777" w:rsidR="00544B28" w:rsidRPr="00544B28" w:rsidRDefault="00544B28" w:rsidP="00544B28">
      <w:pPr>
        <w:spacing w:line="360" w:lineRule="auto"/>
        <w:jc w:val="both"/>
        <w:rPr>
          <w:rFonts w:eastAsia="Calibri"/>
          <w:lang w:val="en-US" w:eastAsia="en-US"/>
        </w:rPr>
      </w:pPr>
    </w:p>
    <w:p w14:paraId="29F691C8" w14:textId="77777777" w:rsidR="00544B28" w:rsidRPr="00544B28" w:rsidRDefault="00544B28" w:rsidP="00544B28">
      <w:pPr>
        <w:spacing w:line="360" w:lineRule="auto"/>
        <w:jc w:val="both"/>
        <w:rPr>
          <w:rFonts w:eastAsia="Calibri"/>
          <w:lang w:val="en-US" w:eastAsia="en-US"/>
        </w:rPr>
      </w:pPr>
    </w:p>
    <w:p w14:paraId="7343748E" w14:textId="77777777" w:rsidR="00544B28" w:rsidRPr="00544B28" w:rsidRDefault="00544B28" w:rsidP="00544B28">
      <w:pPr>
        <w:spacing w:line="360" w:lineRule="auto"/>
        <w:jc w:val="both"/>
        <w:rPr>
          <w:rFonts w:eastAsia="Calibri"/>
          <w:lang w:val="es-CU" w:eastAsia="en-US"/>
        </w:rPr>
      </w:pPr>
      <w:r w:rsidRPr="00544B28">
        <w:rPr>
          <w:rFonts w:eastAsia="Calibri"/>
          <w:lang w:val="es-CU" w:eastAsia="en-US"/>
        </w:rPr>
        <w:t>Recibido: 19/09/2022</w:t>
      </w:r>
    </w:p>
    <w:p w14:paraId="7DDB4FB0" w14:textId="77777777" w:rsidR="00544B28" w:rsidRPr="00544B28" w:rsidRDefault="00544B28" w:rsidP="00544B28">
      <w:pPr>
        <w:spacing w:line="360" w:lineRule="auto"/>
        <w:jc w:val="both"/>
        <w:rPr>
          <w:rFonts w:eastAsia="Calibri"/>
          <w:b/>
          <w:lang w:val="es-CU" w:eastAsia="en-US"/>
        </w:rPr>
      </w:pPr>
      <w:r w:rsidRPr="00544B28">
        <w:rPr>
          <w:rFonts w:eastAsia="Calibri"/>
          <w:lang w:val="es-CU" w:eastAsia="en-US"/>
        </w:rPr>
        <w:t>Aprobado: 05/08/2023</w:t>
      </w:r>
    </w:p>
    <w:p w14:paraId="618D068D" w14:textId="77777777" w:rsidR="00544B28" w:rsidRPr="00544B28" w:rsidRDefault="00544B28" w:rsidP="00544B28">
      <w:pPr>
        <w:spacing w:line="360" w:lineRule="auto"/>
        <w:jc w:val="center"/>
        <w:rPr>
          <w:rFonts w:eastAsia="Calibri"/>
          <w:b/>
          <w:sz w:val="32"/>
          <w:szCs w:val="32"/>
          <w:lang w:val="es-ES" w:eastAsia="en-US"/>
        </w:rPr>
      </w:pPr>
    </w:p>
    <w:p w14:paraId="7A41338C" w14:textId="77777777" w:rsidR="00544B28" w:rsidRPr="00544B28" w:rsidRDefault="00544B28" w:rsidP="00544B28">
      <w:pPr>
        <w:spacing w:line="360" w:lineRule="auto"/>
        <w:jc w:val="center"/>
        <w:rPr>
          <w:rFonts w:eastAsia="Calibri"/>
          <w:b/>
          <w:sz w:val="32"/>
          <w:szCs w:val="32"/>
          <w:lang w:val="es-ES" w:eastAsia="en-US"/>
        </w:rPr>
      </w:pPr>
    </w:p>
    <w:p w14:paraId="32638A61" w14:textId="77777777" w:rsidR="00544B28" w:rsidRPr="00544B28" w:rsidRDefault="00544B28" w:rsidP="00544B28">
      <w:pPr>
        <w:spacing w:line="360" w:lineRule="auto"/>
        <w:jc w:val="center"/>
        <w:rPr>
          <w:rFonts w:eastAsia="Calibri"/>
          <w:b/>
          <w:sz w:val="32"/>
          <w:szCs w:val="32"/>
          <w:lang w:val="es-ES" w:eastAsia="en-US"/>
        </w:rPr>
      </w:pPr>
      <w:r w:rsidRPr="00544B28">
        <w:rPr>
          <w:rFonts w:eastAsia="Calibri"/>
          <w:b/>
          <w:sz w:val="32"/>
          <w:szCs w:val="32"/>
          <w:lang w:val="es-ES" w:eastAsia="en-US"/>
        </w:rPr>
        <w:t>INTRODUCCIÓN</w:t>
      </w:r>
    </w:p>
    <w:p w14:paraId="2FC08348" w14:textId="77777777" w:rsidR="00544B28" w:rsidRPr="00544B28" w:rsidRDefault="00544B28" w:rsidP="00544B28">
      <w:pPr>
        <w:spacing w:line="360" w:lineRule="auto"/>
        <w:jc w:val="both"/>
        <w:rPr>
          <w:rFonts w:eastAsia="Calibri"/>
          <w:lang w:val="es-ES" w:eastAsia="en-US"/>
        </w:rPr>
      </w:pPr>
      <w:r w:rsidRPr="00544B28">
        <w:rPr>
          <w:rFonts w:eastAsia="Calibri"/>
          <w:lang w:val="es-ES" w:eastAsia="en-US"/>
        </w:rPr>
        <w:t xml:space="preserve">El virus SARS-CoV-2, denominado así por el Comité Internacional de Taxonomía de Virus, es la etiología de la nueva infección respiratoria aguda por coronavirus (COVID-19). La trasmisión de esta enfermedad en edades pediátricas presentó un </w:t>
      </w:r>
      <w:r w:rsidRPr="00544B28">
        <w:rPr>
          <w:rFonts w:eastAsia="Calibri"/>
          <w:color w:val="000000"/>
          <w:lang w:val="es-ES" w:eastAsia="en-US"/>
        </w:rPr>
        <w:t>comportamiento</w:t>
      </w:r>
      <w:r w:rsidRPr="00544B28">
        <w:rPr>
          <w:rFonts w:eastAsia="Calibri"/>
          <w:color w:val="FF0000"/>
          <w:lang w:val="es-ES" w:eastAsia="en-US"/>
        </w:rPr>
        <w:t xml:space="preserve"> </w:t>
      </w:r>
      <w:r w:rsidRPr="00544B28">
        <w:rPr>
          <w:rFonts w:eastAsia="Calibri"/>
          <w:lang w:val="es-ES" w:eastAsia="en-US"/>
        </w:rPr>
        <w:t xml:space="preserve">singular en Cuba. En un por ciento elevado de niños es asintomático; por otra parte, existe un pequeño número de pacientes pediátricos en los se presenta de forma sintomática, con manifestaciones que van desde una insuficiencia respiratoria leve hasta una </w:t>
      </w:r>
      <w:proofErr w:type="gramStart"/>
      <w:r w:rsidRPr="00544B28">
        <w:rPr>
          <w:rFonts w:eastAsia="Calibri"/>
          <w:lang w:val="es-ES" w:eastAsia="en-US"/>
        </w:rPr>
        <w:t>grave.</w:t>
      </w:r>
      <w:r w:rsidRPr="00544B28">
        <w:rPr>
          <w:rFonts w:eastAsia="Calibri"/>
          <w:vertAlign w:val="superscript"/>
          <w:lang w:val="es-ES" w:eastAsia="en-US"/>
        </w:rPr>
        <w:t>(</w:t>
      </w:r>
      <w:proofErr w:type="gramEnd"/>
      <w:r w:rsidRPr="00544B28">
        <w:rPr>
          <w:rFonts w:eastAsia="Calibri"/>
          <w:vertAlign w:val="superscript"/>
          <w:lang w:val="es-ES" w:eastAsia="en-US"/>
        </w:rPr>
        <w:t>1)</w:t>
      </w:r>
      <w:r w:rsidRPr="00544B28">
        <w:rPr>
          <w:rFonts w:eastAsia="Calibri"/>
          <w:lang w:val="es-ES" w:eastAsia="en-US"/>
        </w:rPr>
        <w:t xml:space="preserve"> </w:t>
      </w:r>
    </w:p>
    <w:p w14:paraId="0779250C" w14:textId="77777777" w:rsidR="00544B28" w:rsidRPr="00544B28" w:rsidRDefault="00544B28" w:rsidP="00544B28">
      <w:pPr>
        <w:spacing w:line="360" w:lineRule="auto"/>
        <w:jc w:val="both"/>
        <w:rPr>
          <w:rFonts w:eastAsia="Calibri"/>
          <w:lang w:val="es-ES" w:eastAsia="en-US"/>
        </w:rPr>
      </w:pPr>
      <w:r w:rsidRPr="00544B28">
        <w:rPr>
          <w:rFonts w:eastAsia="Calibri"/>
          <w:lang w:val="es-ES" w:eastAsia="en-US"/>
        </w:rPr>
        <w:t xml:space="preserve">Se ha demostrado que otros coronavirus, como el que ocasionó el síndrome respiratorio agudo grave y el del síndrome respiratorio del Medio Oriente, causan linfocitopenia. Sin embargo, pocos </w:t>
      </w:r>
      <w:proofErr w:type="gramStart"/>
      <w:r w:rsidRPr="00544B28">
        <w:rPr>
          <w:rFonts w:eastAsia="Calibri"/>
          <w:lang w:val="es-ES" w:eastAsia="en-US"/>
        </w:rPr>
        <w:t>estudios</w:t>
      </w:r>
      <w:r w:rsidRPr="00544B28">
        <w:rPr>
          <w:rFonts w:eastAsia="Calibri"/>
          <w:vertAlign w:val="superscript"/>
          <w:lang w:val="es-ES" w:eastAsia="en-US"/>
        </w:rPr>
        <w:t>(</w:t>
      </w:r>
      <w:proofErr w:type="gramEnd"/>
      <w:r w:rsidRPr="00544B28">
        <w:rPr>
          <w:rFonts w:eastAsia="Calibri"/>
          <w:vertAlign w:val="superscript"/>
          <w:lang w:val="es-ES" w:eastAsia="en-US"/>
        </w:rPr>
        <w:t>2,3,4)</w:t>
      </w:r>
      <w:r w:rsidRPr="00544B28">
        <w:rPr>
          <w:rFonts w:eastAsia="Calibri"/>
          <w:lang w:val="es-ES" w:eastAsia="en-US"/>
        </w:rPr>
        <w:t xml:space="preserve"> han examinado si la linfocitopenia encontrada en el momento del ingreso, es útil como biomarcador, para predecir la evolución a formas graves de esta enfermedad. </w:t>
      </w:r>
    </w:p>
    <w:p w14:paraId="4D8EE033" w14:textId="77777777" w:rsidR="00544B28" w:rsidRPr="00544B28" w:rsidRDefault="00544B28" w:rsidP="00544B28">
      <w:pPr>
        <w:spacing w:line="360" w:lineRule="auto"/>
        <w:jc w:val="both"/>
        <w:rPr>
          <w:rFonts w:eastAsia="Calibri"/>
          <w:lang w:val="es-ES" w:eastAsia="en-US"/>
        </w:rPr>
      </w:pPr>
      <w:r w:rsidRPr="00544B28">
        <w:rPr>
          <w:rFonts w:eastAsia="Calibri"/>
          <w:lang w:val="es-ES" w:eastAsia="en-US"/>
        </w:rPr>
        <w:t xml:space="preserve">El objetivo de este estudio es evaluar si la linfocitopenia es un predictor de gravedad en pacientes pediátricos con la COVID-19. </w:t>
      </w:r>
    </w:p>
    <w:p w14:paraId="7D3BF01F" w14:textId="77777777" w:rsidR="00544B28" w:rsidRPr="00544B28" w:rsidRDefault="00544B28" w:rsidP="00544B28">
      <w:pPr>
        <w:spacing w:line="360" w:lineRule="auto"/>
        <w:jc w:val="both"/>
        <w:rPr>
          <w:rFonts w:eastAsia="Calibri"/>
          <w:b/>
          <w:lang w:val="es-ES" w:eastAsia="en-US"/>
        </w:rPr>
      </w:pPr>
    </w:p>
    <w:p w14:paraId="7F77CF2B" w14:textId="77777777" w:rsidR="00544B28" w:rsidRPr="00544B28" w:rsidRDefault="00544B28" w:rsidP="00544B28">
      <w:pPr>
        <w:spacing w:line="360" w:lineRule="auto"/>
        <w:jc w:val="center"/>
        <w:rPr>
          <w:rFonts w:eastAsia="Calibri"/>
          <w:b/>
          <w:lang w:val="es-ES" w:eastAsia="en-US"/>
        </w:rPr>
      </w:pPr>
    </w:p>
    <w:p w14:paraId="325392D7" w14:textId="77777777" w:rsidR="00544B28" w:rsidRPr="00544B28" w:rsidRDefault="00544B28" w:rsidP="00544B28">
      <w:pPr>
        <w:spacing w:line="360" w:lineRule="auto"/>
        <w:jc w:val="center"/>
        <w:rPr>
          <w:rFonts w:eastAsia="Calibri"/>
          <w:b/>
          <w:sz w:val="32"/>
          <w:szCs w:val="32"/>
          <w:lang w:val="es-ES" w:eastAsia="en-US"/>
        </w:rPr>
      </w:pPr>
      <w:r w:rsidRPr="00544B28">
        <w:rPr>
          <w:rFonts w:eastAsia="Calibri"/>
          <w:b/>
          <w:sz w:val="32"/>
          <w:szCs w:val="32"/>
          <w:lang w:val="es-ES" w:eastAsia="en-US"/>
        </w:rPr>
        <w:t>MÉTODOS</w:t>
      </w:r>
    </w:p>
    <w:p w14:paraId="4B352370" w14:textId="77777777" w:rsidR="00544B28" w:rsidRPr="00544B28" w:rsidRDefault="00544B28" w:rsidP="00544B28">
      <w:pPr>
        <w:spacing w:line="360" w:lineRule="auto"/>
        <w:jc w:val="center"/>
        <w:rPr>
          <w:rFonts w:eastAsia="Calibri"/>
          <w:b/>
          <w:bCs/>
          <w:sz w:val="28"/>
          <w:szCs w:val="28"/>
          <w:lang w:val="es-ES" w:eastAsia="en-US"/>
        </w:rPr>
      </w:pPr>
      <w:r w:rsidRPr="00544B28">
        <w:rPr>
          <w:rFonts w:eastAsia="Calibri"/>
          <w:b/>
          <w:bCs/>
          <w:sz w:val="28"/>
          <w:szCs w:val="28"/>
          <w:lang w:val="es-ES" w:eastAsia="en-US"/>
        </w:rPr>
        <w:t>Diseño</w:t>
      </w:r>
    </w:p>
    <w:p w14:paraId="509D57A7" w14:textId="77777777" w:rsidR="00544B28" w:rsidRPr="00544B28" w:rsidRDefault="00544B28" w:rsidP="00544B28">
      <w:pPr>
        <w:spacing w:line="360" w:lineRule="auto"/>
        <w:jc w:val="both"/>
        <w:rPr>
          <w:rFonts w:eastAsia="Calibri"/>
          <w:lang w:val="es-ES" w:eastAsia="en-US"/>
        </w:rPr>
      </w:pPr>
      <w:r w:rsidRPr="00544B28">
        <w:rPr>
          <w:rFonts w:eastAsia="Calibri"/>
          <w:lang w:val="es-ES" w:eastAsia="en-US"/>
        </w:rPr>
        <w:t>Se realizó un estudio observacional, descriptivo, del tipo de serie de casos, en el Hospital Militar “Dr. Fermín Valdés-Domínguez” y la Villa Cocal (centro adaptado para atender a pacientes con la COVID-19), ambos de Holguín, Cuba; que ingresaron entre marzo del año 2020 y el mes de julio de 2021.</w:t>
      </w:r>
    </w:p>
    <w:p w14:paraId="6B068F89" w14:textId="77777777" w:rsidR="005C63B1" w:rsidRDefault="005C63B1">
      <w:pPr>
        <w:rPr>
          <w:rFonts w:eastAsia="Calibri"/>
          <w:b/>
          <w:bCs/>
          <w:sz w:val="28"/>
          <w:szCs w:val="28"/>
          <w:lang w:val="es-ES" w:eastAsia="en-US"/>
        </w:rPr>
      </w:pPr>
      <w:r>
        <w:rPr>
          <w:rFonts w:eastAsia="Calibri"/>
          <w:b/>
          <w:bCs/>
          <w:sz w:val="28"/>
          <w:szCs w:val="28"/>
          <w:lang w:val="es-ES" w:eastAsia="en-US"/>
        </w:rPr>
        <w:br w:type="page"/>
      </w:r>
    </w:p>
    <w:p w14:paraId="3F3884F3" w14:textId="425FA9EC" w:rsidR="00544B28" w:rsidRPr="00544B28" w:rsidRDefault="00544B28" w:rsidP="00544B28">
      <w:pPr>
        <w:spacing w:line="360" w:lineRule="auto"/>
        <w:jc w:val="center"/>
        <w:rPr>
          <w:rFonts w:eastAsia="Calibri"/>
          <w:b/>
          <w:bCs/>
          <w:sz w:val="28"/>
          <w:szCs w:val="28"/>
          <w:lang w:val="es-ES" w:eastAsia="en-US"/>
        </w:rPr>
      </w:pPr>
      <w:r w:rsidRPr="00544B28">
        <w:rPr>
          <w:rFonts w:eastAsia="Calibri"/>
          <w:b/>
          <w:bCs/>
          <w:sz w:val="28"/>
          <w:szCs w:val="28"/>
          <w:lang w:val="es-ES" w:eastAsia="en-US"/>
        </w:rPr>
        <w:lastRenderedPageBreak/>
        <w:t>Sujetos</w:t>
      </w:r>
    </w:p>
    <w:p w14:paraId="76512B9A" w14:textId="77777777" w:rsidR="00544B28" w:rsidRPr="00544B28" w:rsidRDefault="00544B28" w:rsidP="00544B28">
      <w:pPr>
        <w:spacing w:line="360" w:lineRule="auto"/>
        <w:jc w:val="both"/>
        <w:rPr>
          <w:rFonts w:eastAsia="Calibri"/>
          <w:lang w:val="es-ES" w:eastAsia="en-US"/>
        </w:rPr>
      </w:pPr>
      <w:r w:rsidRPr="00544B28">
        <w:rPr>
          <w:rFonts w:eastAsia="Calibri"/>
          <w:lang w:val="es-ES" w:eastAsia="en-US"/>
        </w:rPr>
        <w:t>Fueron incluidos todos los pacientes, de 0 a 18 años de edad, que ingresaron en el periodo de estudio seleccionado. Resultaron 706 sujetos.</w:t>
      </w:r>
    </w:p>
    <w:p w14:paraId="23029E2B" w14:textId="77777777" w:rsidR="00544B28" w:rsidRPr="00544B28" w:rsidRDefault="00544B28" w:rsidP="00544B28">
      <w:pPr>
        <w:spacing w:line="360" w:lineRule="auto"/>
        <w:jc w:val="center"/>
        <w:rPr>
          <w:rFonts w:eastAsia="Calibri"/>
          <w:b/>
          <w:bCs/>
          <w:sz w:val="28"/>
          <w:szCs w:val="28"/>
          <w:lang w:val="es-ES" w:eastAsia="en-US"/>
        </w:rPr>
      </w:pPr>
      <w:r w:rsidRPr="00544B28">
        <w:rPr>
          <w:rFonts w:eastAsia="Calibri"/>
          <w:b/>
          <w:bCs/>
          <w:sz w:val="28"/>
          <w:szCs w:val="28"/>
          <w:lang w:val="es-ES" w:eastAsia="en-US"/>
        </w:rPr>
        <w:t>Variables</w:t>
      </w:r>
    </w:p>
    <w:p w14:paraId="367AAEC3" w14:textId="77777777" w:rsidR="00544B28" w:rsidRPr="00544B28" w:rsidRDefault="00544B28" w:rsidP="00544B28">
      <w:pPr>
        <w:spacing w:line="360" w:lineRule="auto"/>
        <w:jc w:val="both"/>
        <w:rPr>
          <w:rFonts w:eastAsia="Calibri"/>
          <w:lang w:val="es-ES" w:eastAsia="en-US"/>
        </w:rPr>
      </w:pPr>
      <w:r w:rsidRPr="00544B28">
        <w:rPr>
          <w:rFonts w:eastAsia="Calibri"/>
          <w:lang w:val="es-ES" w:eastAsia="en-US"/>
        </w:rPr>
        <w:t xml:space="preserve">Variables: edad (agrupada en: </w:t>
      </w:r>
      <w:r w:rsidRPr="00544B28">
        <w:rPr>
          <w:rFonts w:ascii="MS Reference Sans Serif" w:eastAsia="Calibri" w:hAnsi="MS Reference Sans Serif"/>
          <w:lang w:val="es-ES" w:eastAsia="en-US"/>
        </w:rPr>
        <w:t>&lt;</w:t>
      </w:r>
      <w:r w:rsidRPr="00544B28">
        <w:rPr>
          <w:rFonts w:eastAsia="Calibri"/>
          <w:lang w:val="es-ES" w:eastAsia="en-US"/>
        </w:rPr>
        <w:t xml:space="preserve"> 1 año; 1 - 4 años; 5 - 10 años; </w:t>
      </w:r>
      <w:r w:rsidRPr="00544B28">
        <w:rPr>
          <w:rFonts w:ascii="MS Reference Sans Serif" w:eastAsia="Calibri" w:hAnsi="MS Reference Sans Serif"/>
          <w:lang w:val="es-ES" w:eastAsia="en-US"/>
        </w:rPr>
        <w:t>&gt; </w:t>
      </w:r>
      <w:r w:rsidRPr="00544B28">
        <w:rPr>
          <w:rFonts w:eastAsia="Calibri"/>
          <w:lang w:val="es-ES" w:eastAsia="en-US"/>
        </w:rPr>
        <w:t>10 años), sexo, antecedentes patológicos personales de enfermedades crónicas de la infancia (asma bronquial, diabetes mellitus), comorbilidades, estado clínico de los pacientes, valores de linfocitos, conteo absoluto de linfocitos (CAL).</w:t>
      </w:r>
    </w:p>
    <w:p w14:paraId="1B8F5233" w14:textId="77777777" w:rsidR="00544B28" w:rsidRPr="00544B28" w:rsidRDefault="00544B28" w:rsidP="00544B28">
      <w:pPr>
        <w:spacing w:line="360" w:lineRule="auto"/>
        <w:jc w:val="both"/>
        <w:rPr>
          <w:rFonts w:eastAsia="Calibri"/>
          <w:lang w:val="es-ES" w:eastAsia="en-US"/>
        </w:rPr>
      </w:pPr>
      <w:r w:rsidRPr="00544B28">
        <w:rPr>
          <w:rFonts w:eastAsia="Calibri"/>
          <w:lang w:val="es-ES" w:eastAsia="en-US"/>
        </w:rPr>
        <w:t xml:space="preserve">El CAL se obtuvo multiplicando la cifra absoluta de leucocitos por microlitro (µL), por el porcentaje de linfocitos en el diferencial </w:t>
      </w:r>
      <w:proofErr w:type="gramStart"/>
      <w:r w:rsidRPr="00544B28">
        <w:rPr>
          <w:rFonts w:eastAsia="Calibri"/>
          <w:lang w:val="es-ES" w:eastAsia="en-US"/>
        </w:rPr>
        <w:t>del leucograma</w:t>
      </w:r>
      <w:proofErr w:type="gramEnd"/>
      <w:r w:rsidRPr="00544B28">
        <w:rPr>
          <w:rFonts w:eastAsia="Calibri"/>
          <w:lang w:val="es-ES" w:eastAsia="en-US"/>
        </w:rPr>
        <w:t>. Se estableció como punto de corte, 1000 µ</w:t>
      </w:r>
      <w:proofErr w:type="gramStart"/>
      <w:r w:rsidRPr="00544B28">
        <w:rPr>
          <w:rFonts w:eastAsia="Calibri"/>
          <w:lang w:val="es-ES" w:eastAsia="en-US"/>
        </w:rPr>
        <w:t>L.</w:t>
      </w:r>
      <w:r w:rsidRPr="00544B28">
        <w:rPr>
          <w:rFonts w:eastAsia="Calibri"/>
          <w:vertAlign w:val="superscript"/>
          <w:lang w:val="es-ES" w:eastAsia="en-US"/>
        </w:rPr>
        <w:t>(</w:t>
      </w:r>
      <w:proofErr w:type="gramEnd"/>
      <w:r w:rsidRPr="00544B28">
        <w:rPr>
          <w:rFonts w:eastAsia="Calibri"/>
          <w:vertAlign w:val="superscript"/>
          <w:lang w:val="es-ES" w:eastAsia="en-US"/>
        </w:rPr>
        <w:t>2,3)</w:t>
      </w:r>
      <w:r w:rsidRPr="00544B28">
        <w:rPr>
          <w:rFonts w:eastAsia="Calibri"/>
          <w:lang w:val="es-ES" w:eastAsia="en-US"/>
        </w:rPr>
        <w:t xml:space="preserve"> Se clasificaron en 2 rangos: </w:t>
      </w:r>
      <w:r w:rsidRPr="00544B28">
        <w:rPr>
          <w:rFonts w:ascii="MS Reference Sans Serif" w:eastAsia="Calibri" w:hAnsi="MS Reference Sans Serif"/>
          <w:lang w:val="es-ES" w:eastAsia="en-US"/>
        </w:rPr>
        <w:t>&gt; </w:t>
      </w:r>
      <w:r w:rsidRPr="00544B28">
        <w:rPr>
          <w:rFonts w:eastAsia="Calibri"/>
          <w:lang w:val="es-ES" w:eastAsia="en-US"/>
        </w:rPr>
        <w:t>1000 µL y ≤ 1000 µL (es decir, ≤ 1 x 10</w:t>
      </w:r>
      <w:r w:rsidRPr="00544B28">
        <w:rPr>
          <w:rFonts w:eastAsia="Calibri"/>
          <w:vertAlign w:val="superscript"/>
          <w:lang w:val="es-ES" w:eastAsia="en-US"/>
        </w:rPr>
        <w:t>9</w:t>
      </w:r>
      <w:r w:rsidRPr="00544B28">
        <w:rPr>
          <w:rFonts w:eastAsia="Calibri"/>
          <w:lang w:val="es-ES" w:eastAsia="en-US"/>
        </w:rPr>
        <w:t xml:space="preserve">/L = linfocitopenia). </w:t>
      </w:r>
    </w:p>
    <w:p w14:paraId="64511C75" w14:textId="77777777" w:rsidR="00544B28" w:rsidRPr="00544B28" w:rsidRDefault="00544B28" w:rsidP="00544B28">
      <w:pPr>
        <w:spacing w:line="360" w:lineRule="auto"/>
        <w:jc w:val="center"/>
        <w:rPr>
          <w:rFonts w:eastAsia="Calibri"/>
          <w:b/>
          <w:bCs/>
          <w:sz w:val="28"/>
          <w:szCs w:val="28"/>
          <w:lang w:val="es-ES" w:eastAsia="en-US"/>
        </w:rPr>
      </w:pPr>
      <w:r w:rsidRPr="00544B28">
        <w:rPr>
          <w:rFonts w:eastAsia="Calibri"/>
          <w:b/>
          <w:bCs/>
          <w:sz w:val="28"/>
          <w:szCs w:val="28"/>
          <w:lang w:val="es-ES" w:eastAsia="en-US"/>
        </w:rPr>
        <w:t>Procedimientos</w:t>
      </w:r>
    </w:p>
    <w:p w14:paraId="16BD9B9C" w14:textId="77777777" w:rsidR="00544B28" w:rsidRPr="00544B28" w:rsidRDefault="00544B28" w:rsidP="00544B28">
      <w:pPr>
        <w:spacing w:line="360" w:lineRule="auto"/>
        <w:jc w:val="both"/>
        <w:rPr>
          <w:rFonts w:eastAsia="Calibri"/>
          <w:lang w:val="es-ES" w:eastAsia="en-US"/>
        </w:rPr>
      </w:pPr>
      <w:r w:rsidRPr="00544B28">
        <w:rPr>
          <w:rFonts w:eastAsia="Calibri"/>
          <w:lang w:val="es-ES" w:eastAsia="en-US"/>
        </w:rPr>
        <w:t xml:space="preserve">A todos los pacientes se les realizó </w:t>
      </w:r>
      <w:proofErr w:type="gramStart"/>
      <w:r w:rsidRPr="00544B28">
        <w:rPr>
          <w:rFonts w:eastAsia="Calibri"/>
          <w:lang w:val="es-ES" w:eastAsia="en-US"/>
        </w:rPr>
        <w:t>un leucograma</w:t>
      </w:r>
      <w:proofErr w:type="gramEnd"/>
      <w:r w:rsidRPr="00544B28">
        <w:rPr>
          <w:rFonts w:eastAsia="Calibri"/>
          <w:lang w:val="es-ES" w:eastAsia="en-US"/>
        </w:rPr>
        <w:t xml:space="preserve"> en las primeras 24 horas del ingreso, del cual se obtuvo el valor de los linfocitos y leucocitos en sangre. La información se recogió desde las historias clínicas y los datos de las variables se almacenaron en una base de datos, que fue procesada mediante el programa IBM SPSS versión 24.</w:t>
      </w:r>
    </w:p>
    <w:p w14:paraId="030760C1" w14:textId="77777777" w:rsidR="00544B28" w:rsidRPr="00544B28" w:rsidRDefault="00544B28" w:rsidP="00544B28">
      <w:pPr>
        <w:spacing w:line="360" w:lineRule="auto"/>
        <w:jc w:val="both"/>
        <w:rPr>
          <w:rFonts w:eastAsia="Calibri"/>
          <w:lang w:val="es-ES" w:eastAsia="en-US"/>
        </w:rPr>
      </w:pPr>
      <w:r w:rsidRPr="00544B28">
        <w:rPr>
          <w:rFonts w:eastAsia="Calibri"/>
          <w:lang w:val="es-ES" w:eastAsia="en-US"/>
        </w:rPr>
        <w:t xml:space="preserve">De acuerdo con el estado clínico, los pacientes fueron agrupados de la siguiente forma: </w:t>
      </w:r>
    </w:p>
    <w:p w14:paraId="4D177E9D" w14:textId="77777777" w:rsidR="00544B28" w:rsidRPr="00544B28" w:rsidRDefault="00544B28" w:rsidP="00544B28">
      <w:pPr>
        <w:spacing w:line="360" w:lineRule="auto"/>
        <w:jc w:val="both"/>
        <w:rPr>
          <w:rFonts w:eastAsia="Calibri"/>
          <w:lang w:val="es-ES" w:eastAsia="en-US"/>
        </w:rPr>
      </w:pPr>
    </w:p>
    <w:p w14:paraId="19613737" w14:textId="77777777" w:rsidR="00544B28" w:rsidRPr="00544B28" w:rsidRDefault="00544B28" w:rsidP="005C63B1">
      <w:pPr>
        <w:numPr>
          <w:ilvl w:val="0"/>
          <w:numId w:val="6"/>
        </w:numPr>
        <w:spacing w:line="360" w:lineRule="auto"/>
        <w:ind w:left="714" w:hanging="357"/>
        <w:contextualSpacing/>
        <w:jc w:val="both"/>
        <w:rPr>
          <w:rFonts w:eastAsia="Calibri"/>
          <w:bCs/>
          <w:lang w:val="es-ES" w:eastAsia="en-US"/>
        </w:rPr>
      </w:pPr>
      <w:r w:rsidRPr="00544B28">
        <w:rPr>
          <w:rFonts w:eastAsia="Calibri"/>
          <w:bCs/>
          <w:lang w:val="es-ES" w:eastAsia="en-US"/>
        </w:rPr>
        <w:t xml:space="preserve">Grupo 0: asintomáticos, sin comorbilidades. </w:t>
      </w:r>
    </w:p>
    <w:p w14:paraId="418FEBDB" w14:textId="77777777" w:rsidR="00544B28" w:rsidRPr="00544B28" w:rsidRDefault="00544B28" w:rsidP="005C63B1">
      <w:pPr>
        <w:numPr>
          <w:ilvl w:val="0"/>
          <w:numId w:val="6"/>
        </w:numPr>
        <w:spacing w:line="360" w:lineRule="auto"/>
        <w:ind w:left="714" w:hanging="357"/>
        <w:jc w:val="both"/>
        <w:rPr>
          <w:rFonts w:eastAsia="Calibri"/>
          <w:bCs/>
          <w:lang w:val="es-ES" w:eastAsia="en-US"/>
        </w:rPr>
      </w:pPr>
      <w:r w:rsidRPr="00544B28">
        <w:rPr>
          <w:rFonts w:eastAsia="Calibri"/>
          <w:bCs/>
          <w:lang w:val="es-ES" w:eastAsia="en-US"/>
        </w:rPr>
        <w:t xml:space="preserve">Grupo I: asintomáticos, con comorbilidades. </w:t>
      </w:r>
    </w:p>
    <w:p w14:paraId="49581736" w14:textId="77777777" w:rsidR="00544B28" w:rsidRPr="00544B28" w:rsidRDefault="00544B28" w:rsidP="005C63B1">
      <w:pPr>
        <w:numPr>
          <w:ilvl w:val="0"/>
          <w:numId w:val="6"/>
        </w:numPr>
        <w:spacing w:line="360" w:lineRule="auto"/>
        <w:ind w:left="714" w:hanging="357"/>
        <w:jc w:val="both"/>
        <w:rPr>
          <w:rFonts w:eastAsia="Calibri"/>
          <w:bCs/>
          <w:lang w:val="es-CU" w:eastAsia="en-US"/>
        </w:rPr>
      </w:pPr>
      <w:r w:rsidRPr="00544B28">
        <w:rPr>
          <w:rFonts w:eastAsia="Calibri"/>
          <w:bCs/>
          <w:lang w:val="es-CU" w:eastAsia="en-US"/>
        </w:rPr>
        <w:t xml:space="preserve">Grupo II: sintomáticos con manifestaciones extrarrespiratorias. </w:t>
      </w:r>
    </w:p>
    <w:p w14:paraId="537F469C" w14:textId="77777777" w:rsidR="00544B28" w:rsidRPr="00544B28" w:rsidRDefault="00544B28" w:rsidP="005C63B1">
      <w:pPr>
        <w:numPr>
          <w:ilvl w:val="0"/>
          <w:numId w:val="6"/>
        </w:numPr>
        <w:spacing w:line="360" w:lineRule="auto"/>
        <w:ind w:left="714" w:hanging="357"/>
        <w:contextualSpacing/>
        <w:jc w:val="both"/>
        <w:rPr>
          <w:rFonts w:eastAsia="Calibri"/>
          <w:bCs/>
          <w:lang w:val="es-CU" w:eastAsia="en-US"/>
        </w:rPr>
      </w:pPr>
      <w:r w:rsidRPr="00544B28">
        <w:rPr>
          <w:rFonts w:eastAsia="Calibri"/>
          <w:bCs/>
          <w:lang w:val="es-ES" w:eastAsia="en-US"/>
        </w:rPr>
        <w:t>Grupo III: sintomáticos respiratorios, que pueden tener manifestaciones</w:t>
      </w:r>
      <w:r w:rsidRPr="00544B28">
        <w:rPr>
          <w:rFonts w:eastAsia="Calibri"/>
          <w:bCs/>
          <w:lang w:val="es-CU" w:eastAsia="en-US"/>
        </w:rPr>
        <w:t xml:space="preserve"> extrarrespiratorias.</w:t>
      </w:r>
    </w:p>
    <w:p w14:paraId="54C4C043" w14:textId="77777777" w:rsidR="00544B28" w:rsidRPr="00544B28" w:rsidRDefault="00544B28" w:rsidP="005C63B1">
      <w:pPr>
        <w:numPr>
          <w:ilvl w:val="0"/>
          <w:numId w:val="6"/>
        </w:numPr>
        <w:spacing w:line="360" w:lineRule="auto"/>
        <w:ind w:left="714" w:hanging="357"/>
        <w:contextualSpacing/>
        <w:jc w:val="both"/>
        <w:rPr>
          <w:rFonts w:eastAsia="Calibri"/>
          <w:bCs/>
          <w:lang w:val="es-CU" w:eastAsia="en-US"/>
        </w:rPr>
      </w:pPr>
      <w:r w:rsidRPr="00544B28">
        <w:rPr>
          <w:rFonts w:eastAsia="Calibri"/>
          <w:bCs/>
          <w:lang w:val="es-CU" w:eastAsia="en-US"/>
        </w:rPr>
        <w:t xml:space="preserve">Grupo IV: graves (con neumonía e hipoxemia, que resuelve con </w:t>
      </w:r>
      <w:proofErr w:type="spellStart"/>
      <w:r w:rsidRPr="00544B28">
        <w:rPr>
          <w:rFonts w:eastAsia="Calibri"/>
          <w:bCs/>
          <w:lang w:val="es-CU" w:eastAsia="en-US"/>
        </w:rPr>
        <w:t>O</w:t>
      </w:r>
      <w:r w:rsidRPr="00544B28">
        <w:rPr>
          <w:rFonts w:eastAsia="Calibri"/>
          <w:bCs/>
          <w:vertAlign w:val="subscript"/>
          <w:lang w:val="es-CU" w:eastAsia="en-US"/>
        </w:rPr>
        <w:t>2</w:t>
      </w:r>
      <w:proofErr w:type="spellEnd"/>
      <w:r w:rsidRPr="00544B28">
        <w:rPr>
          <w:rFonts w:eastAsia="Calibri"/>
          <w:bCs/>
          <w:lang w:val="es-CU" w:eastAsia="en-US"/>
        </w:rPr>
        <w:t xml:space="preserve"> suplementario o falla orgánica única sin necesidad de tratamiento sustitutivo de funciones de órganos).</w:t>
      </w:r>
    </w:p>
    <w:p w14:paraId="1B10B245" w14:textId="77777777" w:rsidR="00544B28" w:rsidRPr="00544B28" w:rsidRDefault="00544B28" w:rsidP="005C63B1">
      <w:pPr>
        <w:numPr>
          <w:ilvl w:val="0"/>
          <w:numId w:val="6"/>
        </w:numPr>
        <w:spacing w:line="360" w:lineRule="auto"/>
        <w:ind w:left="714" w:hanging="357"/>
        <w:contextualSpacing/>
        <w:jc w:val="both"/>
        <w:rPr>
          <w:rFonts w:eastAsia="Calibri"/>
          <w:bCs/>
          <w:lang w:val="es-CU" w:eastAsia="en-US"/>
        </w:rPr>
      </w:pPr>
      <w:r w:rsidRPr="00544B28">
        <w:rPr>
          <w:rFonts w:eastAsia="Calibri"/>
          <w:bCs/>
          <w:lang w:val="es-CU" w:eastAsia="en-US"/>
        </w:rPr>
        <w:t>Grupo V: críticos (síndrome de disfunción múltiple de órganos (</w:t>
      </w:r>
      <w:proofErr w:type="spellStart"/>
      <w:r w:rsidRPr="00544B28">
        <w:rPr>
          <w:rFonts w:eastAsia="Calibri"/>
          <w:bCs/>
          <w:lang w:val="es-CU" w:eastAsia="en-US"/>
        </w:rPr>
        <w:t>SDMO</w:t>
      </w:r>
      <w:proofErr w:type="spellEnd"/>
      <w:r w:rsidRPr="00544B28">
        <w:rPr>
          <w:rFonts w:eastAsia="Calibri"/>
          <w:bCs/>
          <w:lang w:val="es-CU" w:eastAsia="en-US"/>
        </w:rPr>
        <w:t xml:space="preserve">) o que necesitan soportes ventilatorio artificial. </w:t>
      </w:r>
    </w:p>
    <w:p w14:paraId="6A93B211" w14:textId="77777777" w:rsidR="00544B28" w:rsidRPr="00544B28" w:rsidRDefault="00544B28" w:rsidP="00544B28">
      <w:pPr>
        <w:spacing w:line="360" w:lineRule="auto"/>
        <w:jc w:val="both"/>
        <w:rPr>
          <w:rFonts w:eastAsia="Calibri"/>
          <w:lang w:val="es-ES" w:eastAsia="en-US"/>
        </w:rPr>
      </w:pPr>
    </w:p>
    <w:p w14:paraId="3F232E70" w14:textId="77777777" w:rsidR="00544B28" w:rsidRPr="00544B28" w:rsidRDefault="00544B28" w:rsidP="00544B28">
      <w:pPr>
        <w:spacing w:line="360" w:lineRule="auto"/>
        <w:jc w:val="both"/>
        <w:rPr>
          <w:rFonts w:eastAsia="Calibri"/>
          <w:lang w:val="es-ES" w:eastAsia="en-US"/>
        </w:rPr>
      </w:pPr>
      <w:r w:rsidRPr="00544B28">
        <w:rPr>
          <w:rFonts w:eastAsia="Calibri"/>
          <w:lang w:val="es-ES" w:eastAsia="en-US"/>
        </w:rPr>
        <w:lastRenderedPageBreak/>
        <w:t>Para el análisis de los linfocitos en el diferencial del hemograma se establecieron 4 rangos (linfocitopenia= bajos leves y graves).</w:t>
      </w:r>
    </w:p>
    <w:p w14:paraId="43B9469E" w14:textId="77777777" w:rsidR="00544B28" w:rsidRPr="00544B28" w:rsidRDefault="00544B28" w:rsidP="005C63B1">
      <w:pPr>
        <w:spacing w:line="360" w:lineRule="auto"/>
        <w:jc w:val="both"/>
        <w:rPr>
          <w:rFonts w:eastAsia="Calibri"/>
          <w:lang w:val="es-ES" w:eastAsia="en-US"/>
        </w:rPr>
      </w:pPr>
      <w:r w:rsidRPr="00544B28">
        <w:rPr>
          <w:rFonts w:eastAsia="Calibri"/>
          <w:lang w:val="es-ES" w:eastAsia="en-US"/>
        </w:rPr>
        <w:t xml:space="preserve"> </w:t>
      </w:r>
    </w:p>
    <w:p w14:paraId="35D703A0" w14:textId="77777777" w:rsidR="00544B28" w:rsidRPr="00544B28" w:rsidRDefault="00544B28" w:rsidP="005C63B1">
      <w:pPr>
        <w:numPr>
          <w:ilvl w:val="0"/>
          <w:numId w:val="7"/>
        </w:numPr>
        <w:spacing w:line="360" w:lineRule="auto"/>
        <w:contextualSpacing/>
        <w:jc w:val="both"/>
        <w:rPr>
          <w:rFonts w:eastAsia="Calibri"/>
          <w:lang w:val="es-ES" w:eastAsia="en-US"/>
        </w:rPr>
      </w:pPr>
      <w:r w:rsidRPr="00544B28">
        <w:rPr>
          <w:rFonts w:eastAsia="Calibri"/>
          <w:lang w:val="es-ES" w:eastAsia="en-US"/>
        </w:rPr>
        <w:t xml:space="preserve">Normal: 0,31 a 0,40 </w:t>
      </w:r>
    </w:p>
    <w:p w14:paraId="14B2DE01" w14:textId="77777777" w:rsidR="00544B28" w:rsidRPr="00544B28" w:rsidRDefault="00544B28" w:rsidP="005C63B1">
      <w:pPr>
        <w:numPr>
          <w:ilvl w:val="0"/>
          <w:numId w:val="7"/>
        </w:numPr>
        <w:spacing w:line="360" w:lineRule="auto"/>
        <w:contextualSpacing/>
        <w:jc w:val="both"/>
        <w:rPr>
          <w:rFonts w:eastAsia="Calibri"/>
          <w:lang w:val="es-ES" w:eastAsia="en-US"/>
        </w:rPr>
      </w:pPr>
      <w:r w:rsidRPr="00544B28">
        <w:rPr>
          <w:rFonts w:eastAsia="Calibri"/>
          <w:lang w:val="es-ES" w:eastAsia="en-US"/>
        </w:rPr>
        <w:t>Bajos graves: 0,01 a 0,20</w:t>
      </w:r>
    </w:p>
    <w:p w14:paraId="2CFB8DC7" w14:textId="77777777" w:rsidR="00544B28" w:rsidRPr="00544B28" w:rsidRDefault="00544B28" w:rsidP="005C63B1">
      <w:pPr>
        <w:numPr>
          <w:ilvl w:val="0"/>
          <w:numId w:val="7"/>
        </w:numPr>
        <w:spacing w:line="360" w:lineRule="auto"/>
        <w:contextualSpacing/>
        <w:jc w:val="both"/>
        <w:rPr>
          <w:rFonts w:eastAsia="Calibri"/>
          <w:lang w:val="es-ES" w:eastAsia="en-US"/>
        </w:rPr>
      </w:pPr>
      <w:r w:rsidRPr="00544B28">
        <w:rPr>
          <w:rFonts w:eastAsia="Calibri"/>
          <w:lang w:val="es-ES" w:eastAsia="en-US"/>
        </w:rPr>
        <w:t>Bajos leves: 0,21 a 0,30</w:t>
      </w:r>
    </w:p>
    <w:p w14:paraId="497AD4B9" w14:textId="77777777" w:rsidR="00544B28" w:rsidRPr="00544B28" w:rsidRDefault="00544B28" w:rsidP="005C63B1">
      <w:pPr>
        <w:numPr>
          <w:ilvl w:val="0"/>
          <w:numId w:val="7"/>
        </w:numPr>
        <w:spacing w:line="360" w:lineRule="auto"/>
        <w:contextualSpacing/>
        <w:jc w:val="both"/>
        <w:rPr>
          <w:rFonts w:eastAsia="Calibri"/>
          <w:lang w:val="es-ES" w:eastAsia="en-US"/>
        </w:rPr>
      </w:pPr>
      <w:r w:rsidRPr="00544B28">
        <w:rPr>
          <w:rFonts w:eastAsia="Calibri"/>
          <w:lang w:val="es-ES" w:eastAsia="en-US"/>
        </w:rPr>
        <w:t xml:space="preserve">Altos: </w:t>
      </w:r>
      <w:r w:rsidRPr="00544B28">
        <w:rPr>
          <w:rFonts w:ascii="MS Reference Sans Serif" w:eastAsia="Calibri" w:hAnsi="MS Reference Sans Serif"/>
          <w:lang w:val="es-ES" w:eastAsia="en-US"/>
        </w:rPr>
        <w:t>&gt;</w:t>
      </w:r>
      <w:r w:rsidRPr="00544B28">
        <w:rPr>
          <w:rFonts w:eastAsia="Calibri"/>
          <w:lang w:val="es-ES" w:eastAsia="en-US"/>
        </w:rPr>
        <w:t xml:space="preserve"> 0,41 </w:t>
      </w:r>
    </w:p>
    <w:p w14:paraId="083F9759" w14:textId="77777777" w:rsidR="00544B28" w:rsidRPr="00544B28" w:rsidRDefault="00544B28" w:rsidP="005C63B1">
      <w:pPr>
        <w:spacing w:line="360" w:lineRule="auto"/>
        <w:jc w:val="both"/>
        <w:rPr>
          <w:rFonts w:eastAsia="Calibri"/>
          <w:lang w:val="es-ES" w:eastAsia="en-US"/>
        </w:rPr>
      </w:pPr>
    </w:p>
    <w:p w14:paraId="0A9DF884" w14:textId="77777777" w:rsidR="00544B28" w:rsidRPr="00544B28" w:rsidRDefault="00544B28" w:rsidP="00544B28">
      <w:pPr>
        <w:spacing w:line="360" w:lineRule="auto"/>
        <w:jc w:val="center"/>
        <w:rPr>
          <w:rFonts w:eastAsia="Calibri"/>
          <w:b/>
          <w:bCs/>
          <w:iCs/>
          <w:sz w:val="28"/>
          <w:szCs w:val="28"/>
          <w:lang w:val="es-ES" w:eastAsia="en-US"/>
        </w:rPr>
      </w:pPr>
      <w:r w:rsidRPr="00544B28">
        <w:rPr>
          <w:rFonts w:eastAsia="Calibri"/>
          <w:b/>
          <w:bCs/>
          <w:iCs/>
          <w:sz w:val="28"/>
          <w:szCs w:val="28"/>
          <w:lang w:val="es-ES" w:eastAsia="en-US"/>
        </w:rPr>
        <w:t>Procesamiento</w:t>
      </w:r>
    </w:p>
    <w:p w14:paraId="6953A8DB" w14:textId="77777777" w:rsidR="00544B28" w:rsidRPr="00544B28" w:rsidRDefault="00544B28" w:rsidP="00544B28">
      <w:pPr>
        <w:spacing w:line="360" w:lineRule="auto"/>
        <w:jc w:val="both"/>
        <w:rPr>
          <w:rFonts w:eastAsia="Calibri"/>
          <w:lang w:val="es-ES" w:eastAsia="en-US"/>
        </w:rPr>
      </w:pPr>
      <w:r w:rsidRPr="00544B28">
        <w:rPr>
          <w:rFonts w:eastAsia="Calibri"/>
          <w:iCs/>
          <w:lang w:val="es-ES" w:eastAsia="en-US"/>
        </w:rPr>
        <w:t>El análisis estadístico</w:t>
      </w:r>
      <w:r w:rsidRPr="00544B28">
        <w:rPr>
          <w:rFonts w:eastAsia="Calibri"/>
          <w:lang w:val="es-ES" w:eastAsia="en-US"/>
        </w:rPr>
        <w:t xml:space="preserve"> se hizo con el paquete IBM SPSS versión 24. Con los grupos de edades, estado clínico de los pacientes, antecedentes patológicos personales y valores del conteo de linfocitos, se realizó un análisis de frecuencias. A la edad se le calculó la media.</w:t>
      </w:r>
    </w:p>
    <w:p w14:paraId="4981CFA5" w14:textId="77777777" w:rsidR="00544B28" w:rsidRPr="00544B28" w:rsidRDefault="00544B28" w:rsidP="00544B28">
      <w:pPr>
        <w:spacing w:line="360" w:lineRule="auto"/>
        <w:jc w:val="both"/>
        <w:rPr>
          <w:rFonts w:eastAsia="Calibri"/>
          <w:lang w:val="es-ES" w:eastAsia="en-US"/>
        </w:rPr>
      </w:pPr>
      <w:r w:rsidRPr="00544B28">
        <w:rPr>
          <w:rFonts w:eastAsia="Calibri"/>
          <w:lang w:val="es-ES" w:eastAsia="en-US"/>
        </w:rPr>
        <w:t xml:space="preserve">Para determinar correlación entre el CAL y el estado clínico, se utilizó el coeficiente de correlación de </w:t>
      </w:r>
      <w:r w:rsidRPr="00544B28">
        <w:rPr>
          <w:rFonts w:eastAsia="Calibri"/>
          <w:iCs/>
          <w:lang w:val="es-ES" w:eastAsia="en-US"/>
        </w:rPr>
        <w:t>Spearman</w:t>
      </w:r>
      <w:r w:rsidRPr="00544B28">
        <w:rPr>
          <w:rFonts w:eastAsia="Calibri"/>
          <w:lang w:val="es-ES" w:eastAsia="en-US"/>
        </w:rPr>
        <w:t xml:space="preserve">. Además, para el CAL se calcularon los valores de sensibilidad, especificidad y valores predictivos (positivos – </w:t>
      </w:r>
      <w:proofErr w:type="spellStart"/>
      <w:r w:rsidRPr="00544B28">
        <w:rPr>
          <w:rFonts w:eastAsia="Calibri"/>
          <w:lang w:val="es-ES" w:eastAsia="en-US"/>
        </w:rPr>
        <w:t>VPP</w:t>
      </w:r>
      <w:proofErr w:type="spellEnd"/>
      <w:r w:rsidRPr="00544B28">
        <w:rPr>
          <w:rFonts w:eastAsia="Calibri"/>
          <w:lang w:val="es-ES" w:eastAsia="en-US"/>
        </w:rPr>
        <w:t xml:space="preserve">- y negativos -VPN), así como la capacidad discriminativa para estimar el pronóstico, mediante la curva </w:t>
      </w:r>
      <w:r w:rsidRPr="00544B28">
        <w:rPr>
          <w:rFonts w:eastAsia="Calibri"/>
          <w:i/>
          <w:lang w:val="es-ES" w:eastAsia="en-US"/>
        </w:rPr>
        <w:t xml:space="preserve">receiver </w:t>
      </w:r>
      <w:proofErr w:type="spellStart"/>
      <w:r w:rsidRPr="00544B28">
        <w:rPr>
          <w:rFonts w:eastAsia="Calibri"/>
          <w:i/>
          <w:lang w:val="es-ES" w:eastAsia="en-US"/>
        </w:rPr>
        <w:t>operating</w:t>
      </w:r>
      <w:proofErr w:type="spellEnd"/>
      <w:r w:rsidRPr="00544B28">
        <w:rPr>
          <w:rFonts w:eastAsia="Calibri"/>
          <w:i/>
          <w:lang w:val="es-ES" w:eastAsia="en-US"/>
        </w:rPr>
        <w:t xml:space="preserve"> </w:t>
      </w:r>
      <w:proofErr w:type="spellStart"/>
      <w:r w:rsidRPr="00544B28">
        <w:rPr>
          <w:rFonts w:eastAsia="Calibri"/>
          <w:i/>
          <w:lang w:val="es-ES" w:eastAsia="en-US"/>
        </w:rPr>
        <w:t>characteristic</w:t>
      </w:r>
      <w:proofErr w:type="spellEnd"/>
      <w:r w:rsidRPr="00544B28">
        <w:rPr>
          <w:rFonts w:eastAsia="Calibri"/>
          <w:i/>
          <w:lang w:val="es-ES" w:eastAsia="en-US"/>
        </w:rPr>
        <w:t xml:space="preserve"> </w:t>
      </w:r>
      <w:r w:rsidRPr="00544B28">
        <w:rPr>
          <w:rFonts w:eastAsia="Calibri"/>
          <w:iCs/>
          <w:lang w:val="es-ES" w:eastAsia="en-US"/>
        </w:rPr>
        <w:t>(</w:t>
      </w:r>
      <w:r w:rsidRPr="00544B28">
        <w:rPr>
          <w:rFonts w:eastAsia="Calibri"/>
          <w:lang w:val="es-ES" w:eastAsia="en-US"/>
        </w:rPr>
        <w:t>ROC) con un intervalo de confianza (IC) del 95 %.</w:t>
      </w:r>
    </w:p>
    <w:p w14:paraId="1407D0F9" w14:textId="77777777" w:rsidR="00544B28" w:rsidRPr="00544B28" w:rsidRDefault="00544B28" w:rsidP="00544B28">
      <w:pPr>
        <w:spacing w:line="360" w:lineRule="auto"/>
        <w:jc w:val="center"/>
        <w:rPr>
          <w:rFonts w:eastAsia="Calibri"/>
          <w:b/>
          <w:bCs/>
          <w:sz w:val="28"/>
          <w:szCs w:val="28"/>
          <w:lang w:val="es-ES" w:eastAsia="en-US"/>
        </w:rPr>
      </w:pPr>
      <w:r w:rsidRPr="00544B28">
        <w:rPr>
          <w:rFonts w:eastAsia="Calibri"/>
          <w:b/>
          <w:bCs/>
          <w:sz w:val="28"/>
          <w:szCs w:val="28"/>
          <w:lang w:val="es-ES" w:eastAsia="en-US"/>
        </w:rPr>
        <w:t>Aspectos bioéticos</w:t>
      </w:r>
    </w:p>
    <w:p w14:paraId="0AE8A6BE" w14:textId="77777777" w:rsidR="00544B28" w:rsidRPr="00544B28" w:rsidRDefault="00544B28" w:rsidP="00544B28">
      <w:pPr>
        <w:spacing w:line="360" w:lineRule="auto"/>
        <w:jc w:val="both"/>
        <w:rPr>
          <w:rFonts w:eastAsia="Calibri"/>
          <w:lang w:val="es-CU" w:eastAsia="en-US"/>
        </w:rPr>
      </w:pPr>
      <w:r w:rsidRPr="00544B28">
        <w:rPr>
          <w:rFonts w:eastAsia="Calibri"/>
          <w:lang w:val="es-CU" w:eastAsia="en-US"/>
        </w:rPr>
        <w:t>Se trabajó con los datos de los pacientes tomados de las historias clínicas. Se mantuvo el enmascaramiento de la identidad de los pacientes y el estudio fue aprobado por el comité de ética del Hospital Pediátrico Provincial “Octavio de la Concepción de la Pedraja”, Holguín, Cuba.</w:t>
      </w:r>
    </w:p>
    <w:p w14:paraId="1A51890A" w14:textId="77777777" w:rsidR="00544B28" w:rsidRPr="00544B28" w:rsidRDefault="00544B28" w:rsidP="00544B28">
      <w:pPr>
        <w:spacing w:line="360" w:lineRule="auto"/>
        <w:jc w:val="both"/>
        <w:rPr>
          <w:rFonts w:eastAsia="Calibri"/>
          <w:lang w:val="es-ES" w:eastAsia="en-US"/>
        </w:rPr>
      </w:pPr>
    </w:p>
    <w:p w14:paraId="4502F915" w14:textId="77777777" w:rsidR="00544B28" w:rsidRPr="00544B28" w:rsidRDefault="00544B28" w:rsidP="00544B28">
      <w:pPr>
        <w:spacing w:line="360" w:lineRule="auto"/>
        <w:jc w:val="center"/>
        <w:rPr>
          <w:rFonts w:eastAsia="Calibri"/>
          <w:b/>
          <w:lang w:val="es-ES" w:eastAsia="en-US"/>
        </w:rPr>
      </w:pPr>
    </w:p>
    <w:p w14:paraId="1E1A7A2A" w14:textId="77777777" w:rsidR="00544B28" w:rsidRPr="00544B28" w:rsidRDefault="00544B28" w:rsidP="00544B28">
      <w:pPr>
        <w:spacing w:line="360" w:lineRule="auto"/>
        <w:jc w:val="center"/>
        <w:rPr>
          <w:rFonts w:eastAsia="Calibri"/>
          <w:b/>
          <w:sz w:val="32"/>
          <w:szCs w:val="32"/>
          <w:lang w:val="es-ES" w:eastAsia="en-US"/>
        </w:rPr>
      </w:pPr>
      <w:r w:rsidRPr="00544B28">
        <w:rPr>
          <w:rFonts w:eastAsia="Calibri"/>
          <w:b/>
          <w:sz w:val="32"/>
          <w:szCs w:val="32"/>
          <w:lang w:val="es-ES" w:eastAsia="en-US"/>
        </w:rPr>
        <w:t>RESULTADOS</w:t>
      </w:r>
    </w:p>
    <w:p w14:paraId="78CD676F" w14:textId="77777777" w:rsidR="00544B28" w:rsidRPr="00544B28" w:rsidRDefault="00544B28" w:rsidP="00544B28">
      <w:pPr>
        <w:spacing w:line="360" w:lineRule="auto"/>
        <w:jc w:val="both"/>
        <w:rPr>
          <w:rFonts w:eastAsia="Calibri"/>
          <w:lang w:val="es-ES" w:eastAsia="en-US"/>
        </w:rPr>
      </w:pPr>
      <w:r w:rsidRPr="00544B28">
        <w:rPr>
          <w:rFonts w:eastAsia="Calibri"/>
          <w:lang w:val="es-ES" w:eastAsia="en-US"/>
        </w:rPr>
        <w:t xml:space="preserve">La tabla 1 muestra la distribución de los pacientes por edad. Los mayores de 10 años fueron el 42 %; la edad media fue de 8,6 años y la distribución por sexos fue similar. </w:t>
      </w:r>
    </w:p>
    <w:p w14:paraId="7B0606C8" w14:textId="77777777" w:rsidR="00544B28" w:rsidRPr="00544B28" w:rsidRDefault="00544B28" w:rsidP="00544B28">
      <w:pPr>
        <w:spacing w:line="360" w:lineRule="auto"/>
        <w:jc w:val="both"/>
        <w:rPr>
          <w:rFonts w:eastAsia="Calibri"/>
          <w:lang w:val="es-ES" w:eastAsia="en-US"/>
        </w:rPr>
      </w:pPr>
      <w:r w:rsidRPr="00544B28">
        <w:rPr>
          <w:rFonts w:eastAsia="Calibri"/>
          <w:lang w:val="es-ES" w:eastAsia="en-US"/>
        </w:rPr>
        <w:lastRenderedPageBreak/>
        <w:t>La mayor frecuencia, 398 (56,4 %) fue de pacientes asintomáticos, 139 (19,7 %) presentaron síntomas respiratorios y 44 (6,2 %) desarrollaron un estado grave o crítico; 166 (23,5 %) presentaron antecedentes de enfermedades crónicas de la infancia.</w:t>
      </w:r>
    </w:p>
    <w:p w14:paraId="5B8C7CA8" w14:textId="57CE81A7" w:rsidR="00544B28" w:rsidRPr="00544B28" w:rsidRDefault="00544B28" w:rsidP="00544B28">
      <w:pPr>
        <w:spacing w:after="160" w:line="259" w:lineRule="auto"/>
        <w:rPr>
          <w:rFonts w:eastAsia="Calibri"/>
          <w:b/>
          <w:bCs/>
          <w:sz w:val="22"/>
          <w:szCs w:val="22"/>
          <w:lang w:val="es-ES" w:eastAsia="en-US"/>
        </w:rPr>
      </w:pPr>
    </w:p>
    <w:p w14:paraId="37970EC0" w14:textId="77777777" w:rsidR="00544B28" w:rsidRPr="00544B28" w:rsidRDefault="00544B28" w:rsidP="00544B28">
      <w:pPr>
        <w:spacing w:line="360" w:lineRule="auto"/>
        <w:jc w:val="center"/>
        <w:rPr>
          <w:rFonts w:eastAsia="Calibri"/>
          <w:sz w:val="22"/>
          <w:szCs w:val="22"/>
          <w:lang w:val="es-ES" w:eastAsia="en-US"/>
        </w:rPr>
      </w:pPr>
      <w:r w:rsidRPr="00544B28">
        <w:rPr>
          <w:rFonts w:eastAsia="Calibri"/>
          <w:b/>
          <w:bCs/>
          <w:sz w:val="22"/>
          <w:szCs w:val="22"/>
          <w:lang w:val="es-ES" w:eastAsia="en-US"/>
        </w:rPr>
        <w:t>Tabla 1 -</w:t>
      </w:r>
      <w:r w:rsidRPr="00544B28">
        <w:rPr>
          <w:rFonts w:eastAsia="Calibri"/>
          <w:sz w:val="22"/>
          <w:szCs w:val="22"/>
          <w:lang w:val="es-ES" w:eastAsia="en-US"/>
        </w:rPr>
        <w:t xml:space="preserve"> Pacientes según edad, sexo, estado clínico y antecedentes de enfermedades crónicas de la infancia</w:t>
      </w:r>
    </w:p>
    <w:p w14:paraId="2F893F65" w14:textId="514445A7" w:rsidR="00F6676D" w:rsidRDefault="00F6676D" w:rsidP="00544B28">
      <w:pPr>
        <w:spacing w:line="360" w:lineRule="auto"/>
        <w:jc w:val="center"/>
        <w:rPr>
          <w:rFonts w:eastAsia="Calibri"/>
          <w:sz w:val="16"/>
          <w:szCs w:val="16"/>
          <w:lang w:val="es-ES" w:eastAsia="en-US"/>
        </w:rPr>
      </w:pPr>
      <w:r>
        <w:rPr>
          <w:rFonts w:eastAsia="Calibri"/>
          <w:noProof/>
          <w:sz w:val="16"/>
          <w:szCs w:val="16"/>
          <w:lang w:val="es-ES" w:eastAsia="en-US"/>
        </w:rPr>
        <w:drawing>
          <wp:inline distT="0" distB="0" distL="0" distR="0" wp14:anchorId="4330F481" wp14:editId="0CE20B41">
            <wp:extent cx="3171429" cy="4228571"/>
            <wp:effectExtent l="0" t="0" r="0" b="635"/>
            <wp:docPr id="158695476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954765" name="Imagen 1586954765"/>
                    <pic:cNvPicPr/>
                  </pic:nvPicPr>
                  <pic:blipFill>
                    <a:blip r:embed="rId13">
                      <a:extLst>
                        <a:ext uri="{28A0092B-C50C-407E-A947-70E740481C1C}">
                          <a14:useLocalDpi xmlns:a14="http://schemas.microsoft.com/office/drawing/2010/main" val="0"/>
                        </a:ext>
                      </a:extLst>
                    </a:blip>
                    <a:stretch>
                      <a:fillRect/>
                    </a:stretch>
                  </pic:blipFill>
                  <pic:spPr>
                    <a:xfrm>
                      <a:off x="0" y="0"/>
                      <a:ext cx="3171429" cy="4228571"/>
                    </a:xfrm>
                    <a:prstGeom prst="rect">
                      <a:avLst/>
                    </a:prstGeom>
                  </pic:spPr>
                </pic:pic>
              </a:graphicData>
            </a:graphic>
          </wp:inline>
        </w:drawing>
      </w:r>
    </w:p>
    <w:p w14:paraId="15CA3B00" w14:textId="1AB5123C" w:rsidR="00544B28" w:rsidRPr="00544B28" w:rsidRDefault="00544B28" w:rsidP="00544B28">
      <w:pPr>
        <w:spacing w:line="360" w:lineRule="auto"/>
        <w:jc w:val="center"/>
        <w:rPr>
          <w:rFonts w:eastAsia="Calibri"/>
          <w:sz w:val="16"/>
          <w:szCs w:val="16"/>
          <w:lang w:val="es-ES" w:eastAsia="en-US"/>
        </w:rPr>
      </w:pPr>
      <w:r w:rsidRPr="00544B28">
        <w:rPr>
          <w:rFonts w:eastAsia="Calibri"/>
          <w:sz w:val="16"/>
          <w:szCs w:val="16"/>
          <w:lang w:val="es-ES" w:eastAsia="en-US"/>
        </w:rPr>
        <w:t>Grupo 0: asintomáticos, sin comorbilidades; Grupo I: asintomáticos, con comorbilidades; Grupo II: sintomáticos con manifestaciones extrarrespiratorias; Grupo III: sintomáticos respiratorios, que pueden tener manifestaciones extrarrespiratorias; Grupo IV: graves (con neumonía e hipoxemia, que resuelve con O</w:t>
      </w:r>
      <w:r w:rsidRPr="00544B28">
        <w:rPr>
          <w:rFonts w:eastAsia="Calibri"/>
          <w:sz w:val="16"/>
          <w:szCs w:val="16"/>
          <w:vertAlign w:val="subscript"/>
          <w:lang w:val="es-ES" w:eastAsia="en-US"/>
        </w:rPr>
        <w:t>2</w:t>
      </w:r>
      <w:r w:rsidRPr="00544B28">
        <w:rPr>
          <w:rFonts w:eastAsia="Calibri"/>
          <w:sz w:val="16"/>
          <w:szCs w:val="16"/>
          <w:lang w:val="es-ES" w:eastAsia="en-US"/>
        </w:rPr>
        <w:t xml:space="preserve"> suplementario o falla orgánica única sin necesidad de tratamiento sustitutivo de funciones de órganos); Grupo V: críticos (síndrome de disfunción múltiple de órganos (</w:t>
      </w:r>
      <w:proofErr w:type="spellStart"/>
      <w:r w:rsidRPr="00544B28">
        <w:rPr>
          <w:rFonts w:eastAsia="Calibri"/>
          <w:sz w:val="16"/>
          <w:szCs w:val="16"/>
          <w:lang w:val="es-ES" w:eastAsia="en-US"/>
        </w:rPr>
        <w:t>SDMO</w:t>
      </w:r>
      <w:proofErr w:type="spellEnd"/>
      <w:r w:rsidRPr="00544B28">
        <w:rPr>
          <w:rFonts w:eastAsia="Calibri"/>
          <w:sz w:val="16"/>
          <w:szCs w:val="16"/>
          <w:lang w:val="es-ES" w:eastAsia="en-US"/>
        </w:rPr>
        <w:t>) o que necesitan soportes ventilatorio artificial.</w:t>
      </w:r>
    </w:p>
    <w:p w14:paraId="0A463596" w14:textId="77777777" w:rsidR="00544B28" w:rsidRPr="00544B28" w:rsidRDefault="00544B28" w:rsidP="00544B28">
      <w:pPr>
        <w:spacing w:line="360" w:lineRule="auto"/>
        <w:jc w:val="center"/>
        <w:rPr>
          <w:rFonts w:eastAsia="Calibri"/>
          <w:sz w:val="16"/>
          <w:szCs w:val="16"/>
          <w:lang w:val="es-ES" w:eastAsia="en-US"/>
        </w:rPr>
      </w:pPr>
    </w:p>
    <w:p w14:paraId="42827304" w14:textId="77777777" w:rsidR="00544B28" w:rsidRPr="00544B28" w:rsidRDefault="00544B28" w:rsidP="00544B28">
      <w:pPr>
        <w:spacing w:line="360" w:lineRule="auto"/>
        <w:jc w:val="both"/>
        <w:rPr>
          <w:rFonts w:eastAsia="Calibri"/>
          <w:lang w:val="es-ES" w:eastAsia="en-US"/>
        </w:rPr>
      </w:pPr>
      <w:r w:rsidRPr="00544B28">
        <w:rPr>
          <w:rFonts w:eastAsia="Calibri"/>
          <w:lang w:val="es-ES" w:eastAsia="en-US"/>
        </w:rPr>
        <w:t xml:space="preserve">Los valores de los linfocitos se muestran en la tabla 2. La mayoría de los pacientes presentaron valores normales de linfocitos (74,6 %); valores altos 16,14 % y bajos 9,2 %; 30 (4,2 %) presentaron linfocitopenia. </w:t>
      </w:r>
    </w:p>
    <w:p w14:paraId="21832AC9" w14:textId="77777777" w:rsidR="00544B28" w:rsidRPr="00544B28" w:rsidRDefault="00544B28" w:rsidP="00544B28">
      <w:pPr>
        <w:spacing w:line="360" w:lineRule="auto"/>
        <w:jc w:val="both"/>
        <w:rPr>
          <w:rFonts w:eastAsia="Calibri"/>
          <w:lang w:val="es-ES" w:eastAsia="en-US"/>
        </w:rPr>
      </w:pPr>
    </w:p>
    <w:p w14:paraId="51EC1164" w14:textId="328B1634" w:rsidR="00544B28" w:rsidRPr="00544B28" w:rsidRDefault="00544B28" w:rsidP="00D17FF7">
      <w:pPr>
        <w:spacing w:after="160" w:line="259" w:lineRule="auto"/>
        <w:jc w:val="center"/>
        <w:rPr>
          <w:rFonts w:eastAsia="Calibri"/>
          <w:sz w:val="22"/>
          <w:szCs w:val="22"/>
          <w:lang w:val="es-ES" w:eastAsia="en-US"/>
        </w:rPr>
      </w:pPr>
      <w:r w:rsidRPr="00544B28">
        <w:rPr>
          <w:rFonts w:eastAsia="Calibri"/>
          <w:b/>
          <w:bCs/>
          <w:sz w:val="22"/>
          <w:szCs w:val="22"/>
          <w:lang w:val="es-ES" w:eastAsia="en-US"/>
        </w:rPr>
        <w:br w:type="page"/>
      </w:r>
      <w:r w:rsidRPr="00544B28">
        <w:rPr>
          <w:rFonts w:eastAsia="Calibri"/>
          <w:b/>
          <w:bCs/>
          <w:sz w:val="22"/>
          <w:szCs w:val="22"/>
          <w:lang w:val="es-ES" w:eastAsia="en-US"/>
        </w:rPr>
        <w:lastRenderedPageBreak/>
        <w:t>Tabla 2 -</w:t>
      </w:r>
      <w:r w:rsidRPr="00544B28">
        <w:rPr>
          <w:rFonts w:eastAsia="Calibri"/>
          <w:sz w:val="22"/>
          <w:szCs w:val="22"/>
          <w:lang w:val="es-ES" w:eastAsia="en-US"/>
        </w:rPr>
        <w:t xml:space="preserve"> Valores de los linfocitos en el leucograma y CAL</w:t>
      </w:r>
    </w:p>
    <w:p w14:paraId="7B5D769C" w14:textId="20798236" w:rsidR="00F6676D" w:rsidRDefault="00F6676D" w:rsidP="00F6676D">
      <w:pPr>
        <w:spacing w:line="360" w:lineRule="auto"/>
        <w:jc w:val="center"/>
        <w:rPr>
          <w:rFonts w:eastAsia="Calibri"/>
          <w:lang w:val="es-ES" w:eastAsia="en-US"/>
        </w:rPr>
      </w:pPr>
      <w:r>
        <w:rPr>
          <w:rFonts w:eastAsia="Calibri"/>
          <w:noProof/>
          <w:lang w:val="es-ES" w:eastAsia="en-US"/>
        </w:rPr>
        <w:drawing>
          <wp:inline distT="0" distB="0" distL="0" distR="0" wp14:anchorId="7085126D" wp14:editId="54E5E541">
            <wp:extent cx="3266667" cy="2790476"/>
            <wp:effectExtent l="0" t="0" r="0" b="0"/>
            <wp:docPr id="71086105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861055" name="Imagen 710861055"/>
                    <pic:cNvPicPr/>
                  </pic:nvPicPr>
                  <pic:blipFill>
                    <a:blip r:embed="rId14">
                      <a:extLst>
                        <a:ext uri="{28A0092B-C50C-407E-A947-70E740481C1C}">
                          <a14:useLocalDpi xmlns:a14="http://schemas.microsoft.com/office/drawing/2010/main" val="0"/>
                        </a:ext>
                      </a:extLst>
                    </a:blip>
                    <a:stretch>
                      <a:fillRect/>
                    </a:stretch>
                  </pic:blipFill>
                  <pic:spPr>
                    <a:xfrm>
                      <a:off x="0" y="0"/>
                      <a:ext cx="3266667" cy="2790476"/>
                    </a:xfrm>
                    <a:prstGeom prst="rect">
                      <a:avLst/>
                    </a:prstGeom>
                  </pic:spPr>
                </pic:pic>
              </a:graphicData>
            </a:graphic>
          </wp:inline>
        </w:drawing>
      </w:r>
    </w:p>
    <w:p w14:paraId="3ED3A272" w14:textId="56D66E97" w:rsidR="00544B28" w:rsidRPr="00544B28" w:rsidRDefault="00544B28" w:rsidP="00544B28">
      <w:pPr>
        <w:spacing w:line="360" w:lineRule="auto"/>
        <w:jc w:val="both"/>
        <w:rPr>
          <w:rFonts w:eastAsia="Calibri"/>
          <w:lang w:val="es-ES" w:eastAsia="en-US"/>
        </w:rPr>
      </w:pPr>
      <w:r w:rsidRPr="00544B28">
        <w:rPr>
          <w:rFonts w:eastAsia="Calibri"/>
          <w:lang w:val="es-ES" w:eastAsia="en-US"/>
        </w:rPr>
        <w:t xml:space="preserve">                   </w:t>
      </w:r>
    </w:p>
    <w:p w14:paraId="580BC043" w14:textId="77777777" w:rsidR="00544B28" w:rsidRPr="00544B28" w:rsidRDefault="00544B28" w:rsidP="00544B28">
      <w:pPr>
        <w:autoSpaceDE w:val="0"/>
        <w:autoSpaceDN w:val="0"/>
        <w:adjustRightInd w:val="0"/>
        <w:spacing w:line="360" w:lineRule="auto"/>
        <w:jc w:val="both"/>
        <w:rPr>
          <w:rFonts w:eastAsia="Calibri"/>
          <w:lang w:val="es-ES" w:eastAsia="en-US"/>
        </w:rPr>
      </w:pPr>
      <w:r w:rsidRPr="00544B28">
        <w:rPr>
          <w:rFonts w:eastAsia="Calibri"/>
          <w:lang w:val="es-ES" w:eastAsia="en-US"/>
        </w:rPr>
        <w:t xml:space="preserve">En la tabla 3 se presenta el estado clínico de los pacientes, según la presencia de linfocitopenia. En 17 (40,4 %) con estado grave y los 2 (100 %) críticos presentaron linfocitopenia. </w:t>
      </w:r>
    </w:p>
    <w:p w14:paraId="55DBA3CE" w14:textId="77777777" w:rsidR="00544B28" w:rsidRPr="00544B28" w:rsidRDefault="00544B28" w:rsidP="00544B28">
      <w:pPr>
        <w:autoSpaceDE w:val="0"/>
        <w:autoSpaceDN w:val="0"/>
        <w:adjustRightInd w:val="0"/>
        <w:spacing w:line="360" w:lineRule="auto"/>
        <w:jc w:val="both"/>
        <w:rPr>
          <w:rFonts w:eastAsia="Calibri"/>
          <w:lang w:val="es-ES" w:eastAsia="en-US"/>
        </w:rPr>
      </w:pPr>
    </w:p>
    <w:p w14:paraId="6627EB07" w14:textId="77777777" w:rsidR="00544B28" w:rsidRPr="00544B28" w:rsidRDefault="00544B28" w:rsidP="00544B28">
      <w:pPr>
        <w:autoSpaceDE w:val="0"/>
        <w:autoSpaceDN w:val="0"/>
        <w:adjustRightInd w:val="0"/>
        <w:spacing w:line="360" w:lineRule="auto"/>
        <w:jc w:val="center"/>
        <w:rPr>
          <w:rFonts w:eastAsia="Calibri"/>
          <w:sz w:val="22"/>
          <w:szCs w:val="22"/>
          <w:lang w:val="es-ES" w:eastAsia="en-US"/>
        </w:rPr>
      </w:pPr>
      <w:r w:rsidRPr="00544B28">
        <w:rPr>
          <w:rFonts w:eastAsia="Calibri"/>
          <w:b/>
          <w:bCs/>
          <w:sz w:val="22"/>
          <w:szCs w:val="22"/>
          <w:lang w:val="es-ES" w:eastAsia="en-US"/>
        </w:rPr>
        <w:t>Tabla 3 -</w:t>
      </w:r>
      <w:r w:rsidRPr="00544B28">
        <w:rPr>
          <w:rFonts w:eastAsia="Calibri"/>
          <w:sz w:val="22"/>
          <w:szCs w:val="22"/>
          <w:lang w:val="es-ES" w:eastAsia="en-US"/>
        </w:rPr>
        <w:t xml:space="preserve"> Estado clínico del paciente según la presencia de linfocitopenia</w:t>
      </w:r>
    </w:p>
    <w:p w14:paraId="0CCFDEFA" w14:textId="06357CB7" w:rsidR="00F6676D" w:rsidRDefault="00F6676D" w:rsidP="00544B28">
      <w:pPr>
        <w:spacing w:line="360" w:lineRule="auto"/>
        <w:jc w:val="center"/>
        <w:rPr>
          <w:rFonts w:eastAsia="Calibri"/>
          <w:sz w:val="16"/>
          <w:szCs w:val="16"/>
          <w:lang w:val="es-ES" w:eastAsia="en-US"/>
        </w:rPr>
      </w:pPr>
      <w:r>
        <w:rPr>
          <w:rFonts w:eastAsia="Calibri"/>
          <w:noProof/>
          <w:sz w:val="16"/>
          <w:szCs w:val="16"/>
          <w:lang w:val="es-ES" w:eastAsia="en-US"/>
        </w:rPr>
        <w:drawing>
          <wp:inline distT="0" distB="0" distL="0" distR="0" wp14:anchorId="4CFE3698" wp14:editId="74BEFC2D">
            <wp:extent cx="2809524" cy="2304762"/>
            <wp:effectExtent l="0" t="0" r="0" b="635"/>
            <wp:docPr id="207429630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296303" name="Imagen 2074296303"/>
                    <pic:cNvPicPr/>
                  </pic:nvPicPr>
                  <pic:blipFill>
                    <a:blip r:embed="rId15">
                      <a:extLst>
                        <a:ext uri="{28A0092B-C50C-407E-A947-70E740481C1C}">
                          <a14:useLocalDpi xmlns:a14="http://schemas.microsoft.com/office/drawing/2010/main" val="0"/>
                        </a:ext>
                      </a:extLst>
                    </a:blip>
                    <a:stretch>
                      <a:fillRect/>
                    </a:stretch>
                  </pic:blipFill>
                  <pic:spPr>
                    <a:xfrm>
                      <a:off x="0" y="0"/>
                      <a:ext cx="2809524" cy="2304762"/>
                    </a:xfrm>
                    <a:prstGeom prst="rect">
                      <a:avLst/>
                    </a:prstGeom>
                  </pic:spPr>
                </pic:pic>
              </a:graphicData>
            </a:graphic>
          </wp:inline>
        </w:drawing>
      </w:r>
    </w:p>
    <w:p w14:paraId="30E0A8B0" w14:textId="1298D92A" w:rsidR="00544B28" w:rsidRPr="00544B28" w:rsidRDefault="00544B28" w:rsidP="00544B28">
      <w:pPr>
        <w:spacing w:line="360" w:lineRule="auto"/>
        <w:jc w:val="center"/>
        <w:rPr>
          <w:rFonts w:eastAsia="Calibri"/>
          <w:sz w:val="16"/>
          <w:szCs w:val="16"/>
          <w:lang w:val="es-ES" w:eastAsia="en-US"/>
        </w:rPr>
      </w:pPr>
      <w:r w:rsidRPr="00544B28">
        <w:rPr>
          <w:rFonts w:eastAsia="Calibri"/>
          <w:sz w:val="16"/>
          <w:szCs w:val="16"/>
          <w:lang w:val="es-ES" w:eastAsia="en-US"/>
        </w:rPr>
        <w:t xml:space="preserve">Grupo 0: asintomáticos, sin comorbilidades; Grupo I: asintomáticos, con comorbilidades; Grupo II: sintomáticos con manifestaciones extrarrespiratorias; Grupo III: sintomáticos respiratorios, que pueden tener manifestaciones extrarrespiratorias; Grupo IV: graves (con neumonía e hipoxemia, que resuelve con </w:t>
      </w:r>
      <w:r w:rsidRPr="00544B28">
        <w:rPr>
          <w:rFonts w:eastAsia="Calibri"/>
          <w:sz w:val="16"/>
          <w:szCs w:val="16"/>
          <w:lang w:val="es-ES" w:eastAsia="en-US"/>
        </w:rPr>
        <w:lastRenderedPageBreak/>
        <w:t>O</w:t>
      </w:r>
      <w:r w:rsidRPr="00544B28">
        <w:rPr>
          <w:rFonts w:eastAsia="Calibri"/>
          <w:sz w:val="16"/>
          <w:szCs w:val="16"/>
          <w:vertAlign w:val="subscript"/>
          <w:lang w:val="es-ES" w:eastAsia="en-US"/>
        </w:rPr>
        <w:t>2</w:t>
      </w:r>
      <w:r w:rsidRPr="00544B28">
        <w:rPr>
          <w:rFonts w:eastAsia="Calibri"/>
          <w:sz w:val="16"/>
          <w:szCs w:val="16"/>
          <w:lang w:val="es-ES" w:eastAsia="en-US"/>
        </w:rPr>
        <w:t xml:space="preserve"> suplementario o falla orgánica única sin necesidad de tratamiento sustitutivo de funciones de órganos); Grupo V: críticos (síndrome de disfunción múltiple de órganos (</w:t>
      </w:r>
      <w:proofErr w:type="spellStart"/>
      <w:r w:rsidRPr="00544B28">
        <w:rPr>
          <w:rFonts w:eastAsia="Calibri"/>
          <w:sz w:val="16"/>
          <w:szCs w:val="16"/>
          <w:lang w:val="es-ES" w:eastAsia="en-US"/>
        </w:rPr>
        <w:t>SDMO</w:t>
      </w:r>
      <w:proofErr w:type="spellEnd"/>
      <w:r w:rsidRPr="00544B28">
        <w:rPr>
          <w:rFonts w:eastAsia="Calibri"/>
          <w:sz w:val="16"/>
          <w:szCs w:val="16"/>
          <w:lang w:val="es-ES" w:eastAsia="en-US"/>
        </w:rPr>
        <w:t>) o que necesitan soportes ventilatorio artificial.</w:t>
      </w:r>
    </w:p>
    <w:p w14:paraId="35B43ACF" w14:textId="77777777" w:rsidR="00544B28" w:rsidRPr="00544B28" w:rsidRDefault="00544B28" w:rsidP="00544B28">
      <w:pPr>
        <w:spacing w:line="360" w:lineRule="auto"/>
        <w:jc w:val="center"/>
        <w:rPr>
          <w:rFonts w:eastAsia="Calibri"/>
          <w:lang w:val="es-ES" w:eastAsia="en-US"/>
        </w:rPr>
      </w:pPr>
    </w:p>
    <w:p w14:paraId="5E40ECFE" w14:textId="77777777" w:rsidR="00544B28" w:rsidRPr="00544B28" w:rsidRDefault="00544B28" w:rsidP="00544B28">
      <w:pPr>
        <w:spacing w:line="360" w:lineRule="auto"/>
        <w:jc w:val="both"/>
        <w:rPr>
          <w:rFonts w:eastAsia="Calibri"/>
          <w:lang w:val="es-ES" w:eastAsia="en-US"/>
        </w:rPr>
      </w:pPr>
      <w:r w:rsidRPr="00544B28">
        <w:rPr>
          <w:rFonts w:eastAsia="Calibri"/>
          <w:lang w:val="es-ES" w:eastAsia="en-US"/>
        </w:rPr>
        <w:t>Con las variables estado clínico del paciente (en las categorías graves y críticos) y el CAL, se determinó si existía correlación, mediante el coeficiente de Spearman. Se obtuvo una significación asintótica bilateral= 0,000 (p</w:t>
      </w:r>
      <w:r w:rsidRPr="00544B28">
        <w:rPr>
          <w:rFonts w:ascii="MS Reference Sans Serif" w:eastAsia="Calibri" w:hAnsi="MS Reference Sans Serif"/>
          <w:lang w:val="es-ES" w:eastAsia="en-US"/>
        </w:rPr>
        <w:t>&lt; </w:t>
      </w:r>
      <w:r w:rsidRPr="00544B28">
        <w:rPr>
          <w:rFonts w:eastAsia="Calibri"/>
          <w:lang w:val="es-ES" w:eastAsia="en-US"/>
        </w:rPr>
        <w:t xml:space="preserve">0,05). En el análisis para determinar la sensibilidad predictiva del conteo absoluto de linfocitos, para pronosticar un estado clínico grave o crítico, a través de la curva ROC (Fig. 1), el área bajo la curva fue de 0,711 (IC: 0,595 – 0,827). Se detectó un 46 % de sensibilidad y una especificidad de 98 % ante un paciente en estado grave o crítico. El cálculo del </w:t>
      </w:r>
      <w:proofErr w:type="spellStart"/>
      <w:r w:rsidRPr="00544B28">
        <w:rPr>
          <w:rFonts w:eastAsia="Calibri"/>
          <w:lang w:val="es-ES" w:eastAsia="en-US"/>
        </w:rPr>
        <w:t>VPP</w:t>
      </w:r>
      <w:proofErr w:type="spellEnd"/>
      <w:r w:rsidRPr="00544B28">
        <w:rPr>
          <w:rFonts w:eastAsia="Calibri"/>
          <w:lang w:val="es-ES" w:eastAsia="en-US"/>
        </w:rPr>
        <w:t xml:space="preserve"> fue de un 63 % y el VPN fue del 96 % (tabla 4).</w:t>
      </w:r>
    </w:p>
    <w:p w14:paraId="7BD0A549" w14:textId="77777777" w:rsidR="00544B28" w:rsidRPr="00544B28" w:rsidRDefault="00544B28" w:rsidP="00544B28">
      <w:pPr>
        <w:spacing w:line="360" w:lineRule="auto"/>
        <w:jc w:val="both"/>
        <w:rPr>
          <w:rFonts w:eastAsia="Calibri"/>
          <w:lang w:val="es-ES" w:eastAsia="en-US"/>
        </w:rPr>
      </w:pPr>
    </w:p>
    <w:p w14:paraId="0E61D9A2" w14:textId="647866A4" w:rsidR="00544B28" w:rsidRPr="00544B28" w:rsidRDefault="00544B28" w:rsidP="00544B28">
      <w:pPr>
        <w:spacing w:line="360" w:lineRule="auto"/>
        <w:jc w:val="center"/>
        <w:rPr>
          <w:rFonts w:eastAsia="Calibri"/>
          <w:lang w:val="es-ES" w:eastAsia="en-US"/>
        </w:rPr>
      </w:pPr>
      <w:r w:rsidRPr="00544B28">
        <w:rPr>
          <w:rFonts w:eastAsia="Calibri"/>
          <w:noProof/>
          <w:lang w:val="es-ES" w:eastAsia="en-US"/>
        </w:rPr>
        <w:drawing>
          <wp:inline distT="0" distB="0" distL="0" distR="0" wp14:anchorId="6AB9497B" wp14:editId="796424FE">
            <wp:extent cx="3064045" cy="2905343"/>
            <wp:effectExtent l="0" t="0" r="3175" b="952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72443" cy="2913306"/>
                    </a:xfrm>
                    <a:prstGeom prst="rect">
                      <a:avLst/>
                    </a:prstGeom>
                    <a:noFill/>
                    <a:ln>
                      <a:noFill/>
                    </a:ln>
                  </pic:spPr>
                </pic:pic>
              </a:graphicData>
            </a:graphic>
          </wp:inline>
        </w:drawing>
      </w:r>
    </w:p>
    <w:p w14:paraId="5AE6D5EB" w14:textId="77777777" w:rsidR="00544B28" w:rsidRPr="00544B28" w:rsidRDefault="00544B28" w:rsidP="00544B28">
      <w:pPr>
        <w:spacing w:line="360" w:lineRule="auto"/>
        <w:jc w:val="center"/>
        <w:rPr>
          <w:rFonts w:eastAsia="Calibri"/>
          <w:sz w:val="22"/>
          <w:szCs w:val="22"/>
          <w:lang w:val="es-ES" w:eastAsia="en-US"/>
        </w:rPr>
      </w:pPr>
      <w:r w:rsidRPr="00544B28">
        <w:rPr>
          <w:rFonts w:eastAsia="Calibri"/>
          <w:b/>
          <w:bCs/>
          <w:sz w:val="22"/>
          <w:szCs w:val="22"/>
          <w:lang w:val="es-ES" w:eastAsia="en-US"/>
        </w:rPr>
        <w:t>Fig. 1 -</w:t>
      </w:r>
      <w:r w:rsidRPr="00544B28">
        <w:rPr>
          <w:rFonts w:eastAsia="Calibri"/>
          <w:sz w:val="22"/>
          <w:szCs w:val="22"/>
          <w:lang w:val="es-ES" w:eastAsia="en-US"/>
        </w:rPr>
        <w:t xml:space="preserve"> Curva ROC para evaluar sensibilidad y especificidad del CAL en pacientes graves y críticos.</w:t>
      </w:r>
    </w:p>
    <w:p w14:paraId="64A98FCE" w14:textId="77777777" w:rsidR="00544B28" w:rsidRPr="00544B28" w:rsidRDefault="00544B28" w:rsidP="00544B28">
      <w:pPr>
        <w:spacing w:line="360" w:lineRule="auto"/>
        <w:jc w:val="both"/>
        <w:rPr>
          <w:rFonts w:eastAsia="Calibri"/>
          <w:lang w:val="es-ES" w:eastAsia="en-US"/>
        </w:rPr>
      </w:pPr>
    </w:p>
    <w:p w14:paraId="57FEC034" w14:textId="77777777" w:rsidR="00544B28" w:rsidRPr="00544B28" w:rsidRDefault="00544B28" w:rsidP="00544B28">
      <w:pPr>
        <w:spacing w:line="360" w:lineRule="auto"/>
        <w:jc w:val="center"/>
        <w:rPr>
          <w:rFonts w:eastAsia="Calibri"/>
          <w:sz w:val="18"/>
          <w:szCs w:val="18"/>
          <w:lang w:val="es-ES" w:eastAsia="en-US"/>
        </w:rPr>
      </w:pPr>
      <w:r w:rsidRPr="00544B28">
        <w:rPr>
          <w:rFonts w:eastAsia="Calibri"/>
          <w:b/>
          <w:bCs/>
          <w:sz w:val="18"/>
          <w:szCs w:val="18"/>
          <w:lang w:val="es-ES" w:eastAsia="en-US"/>
        </w:rPr>
        <w:t xml:space="preserve">Tabla 4 – </w:t>
      </w:r>
      <w:r w:rsidRPr="00544B28">
        <w:rPr>
          <w:rFonts w:eastAsia="Calibri"/>
          <w:sz w:val="18"/>
          <w:szCs w:val="18"/>
          <w:lang w:val="es-ES" w:eastAsia="en-US"/>
        </w:rPr>
        <w:t>Resultados para en análisis ROC del área bajo la curva para pacientes graves y críticos</w:t>
      </w:r>
    </w:p>
    <w:p w14:paraId="0B31AF9D" w14:textId="0B691162" w:rsidR="00F6676D" w:rsidRDefault="00F6676D" w:rsidP="00544B28">
      <w:pPr>
        <w:spacing w:line="360" w:lineRule="auto"/>
        <w:jc w:val="center"/>
        <w:rPr>
          <w:rFonts w:eastAsia="Calibri"/>
          <w:sz w:val="18"/>
          <w:szCs w:val="18"/>
          <w:lang w:val="es-ES" w:eastAsia="en-US"/>
        </w:rPr>
      </w:pPr>
      <w:r>
        <w:rPr>
          <w:rFonts w:eastAsia="Calibri"/>
          <w:noProof/>
          <w:sz w:val="18"/>
          <w:szCs w:val="18"/>
          <w:lang w:val="es-ES" w:eastAsia="en-US"/>
        </w:rPr>
        <w:drawing>
          <wp:inline distT="0" distB="0" distL="0" distR="0" wp14:anchorId="58CC947F" wp14:editId="55CE27F4">
            <wp:extent cx="5285714" cy="666667"/>
            <wp:effectExtent l="0" t="0" r="0" b="635"/>
            <wp:docPr id="71226798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267982" name="Imagen 712267982"/>
                    <pic:cNvPicPr/>
                  </pic:nvPicPr>
                  <pic:blipFill>
                    <a:blip r:embed="rId17">
                      <a:extLst>
                        <a:ext uri="{28A0092B-C50C-407E-A947-70E740481C1C}">
                          <a14:useLocalDpi xmlns:a14="http://schemas.microsoft.com/office/drawing/2010/main" val="0"/>
                        </a:ext>
                      </a:extLst>
                    </a:blip>
                    <a:stretch>
                      <a:fillRect/>
                    </a:stretch>
                  </pic:blipFill>
                  <pic:spPr>
                    <a:xfrm>
                      <a:off x="0" y="0"/>
                      <a:ext cx="5285714" cy="666667"/>
                    </a:xfrm>
                    <a:prstGeom prst="rect">
                      <a:avLst/>
                    </a:prstGeom>
                  </pic:spPr>
                </pic:pic>
              </a:graphicData>
            </a:graphic>
          </wp:inline>
        </w:drawing>
      </w:r>
    </w:p>
    <w:p w14:paraId="68CE9280" w14:textId="5DDD3B1D" w:rsidR="00544B28" w:rsidRPr="00544B28" w:rsidRDefault="00544B28" w:rsidP="00544B28">
      <w:pPr>
        <w:spacing w:line="360" w:lineRule="auto"/>
        <w:jc w:val="center"/>
        <w:rPr>
          <w:rFonts w:eastAsia="Calibri"/>
          <w:sz w:val="18"/>
          <w:szCs w:val="18"/>
          <w:lang w:val="es-ES" w:eastAsia="en-US"/>
        </w:rPr>
      </w:pPr>
      <w:r w:rsidRPr="00544B28">
        <w:rPr>
          <w:rFonts w:eastAsia="Calibri"/>
          <w:sz w:val="18"/>
          <w:szCs w:val="18"/>
          <w:lang w:val="es-ES" w:eastAsia="en-US"/>
        </w:rPr>
        <w:t>a. Bajo el supuesto no paramétrico; b. Hipótesis nula: área verdadera = 0,5.</w:t>
      </w:r>
    </w:p>
    <w:p w14:paraId="0DBD52CD" w14:textId="60DF9DCC" w:rsidR="00ED7BF6" w:rsidRDefault="00ED7BF6">
      <w:pPr>
        <w:rPr>
          <w:rFonts w:eastAsia="Calibri"/>
          <w:b/>
          <w:sz w:val="32"/>
          <w:szCs w:val="32"/>
          <w:lang w:val="es-ES" w:eastAsia="en-US"/>
        </w:rPr>
      </w:pPr>
    </w:p>
    <w:p w14:paraId="3509A350" w14:textId="77777777" w:rsidR="00F6676D" w:rsidRDefault="00F6676D" w:rsidP="00544B28">
      <w:pPr>
        <w:spacing w:line="360" w:lineRule="auto"/>
        <w:jc w:val="center"/>
        <w:rPr>
          <w:rFonts w:eastAsia="Calibri"/>
          <w:b/>
          <w:sz w:val="32"/>
          <w:szCs w:val="32"/>
          <w:lang w:val="es-ES" w:eastAsia="en-US"/>
        </w:rPr>
      </w:pPr>
    </w:p>
    <w:p w14:paraId="3C891106" w14:textId="7DB572FF" w:rsidR="00544B28" w:rsidRPr="00544B28" w:rsidRDefault="00544B28" w:rsidP="00544B28">
      <w:pPr>
        <w:spacing w:line="360" w:lineRule="auto"/>
        <w:jc w:val="center"/>
        <w:rPr>
          <w:rFonts w:eastAsia="Calibri"/>
          <w:b/>
          <w:sz w:val="32"/>
          <w:szCs w:val="32"/>
          <w:lang w:val="es-ES" w:eastAsia="en-US"/>
        </w:rPr>
      </w:pPr>
      <w:r w:rsidRPr="00544B28">
        <w:rPr>
          <w:rFonts w:eastAsia="Calibri"/>
          <w:b/>
          <w:sz w:val="32"/>
          <w:szCs w:val="32"/>
          <w:lang w:val="es-ES" w:eastAsia="en-US"/>
        </w:rPr>
        <w:t>DISCUSIÓN</w:t>
      </w:r>
    </w:p>
    <w:p w14:paraId="715ED93C" w14:textId="77777777" w:rsidR="00544B28" w:rsidRPr="00544B28" w:rsidRDefault="00544B28" w:rsidP="00544B28">
      <w:pPr>
        <w:spacing w:line="360" w:lineRule="auto"/>
        <w:jc w:val="both"/>
        <w:rPr>
          <w:rFonts w:eastAsia="Calibri"/>
          <w:lang w:val="es-ES" w:eastAsia="en-US"/>
        </w:rPr>
      </w:pPr>
      <w:r w:rsidRPr="00544B28">
        <w:rPr>
          <w:rFonts w:eastAsia="Calibri"/>
          <w:lang w:val="es-ES" w:eastAsia="en-US"/>
        </w:rPr>
        <w:t xml:space="preserve">Pocos estudios han examinado si la linfocitopenia encontrada en el momento del ingreso es útil como biomarcador relacionado con formas graves y críticas de la COVID-19 en pacientes </w:t>
      </w:r>
      <w:proofErr w:type="gramStart"/>
      <w:r w:rsidRPr="00544B28">
        <w:rPr>
          <w:rFonts w:eastAsia="Calibri"/>
          <w:lang w:val="es-ES" w:eastAsia="en-US"/>
        </w:rPr>
        <w:t>pediátricos.</w:t>
      </w:r>
      <w:r w:rsidRPr="00544B28">
        <w:rPr>
          <w:rFonts w:eastAsia="Calibri"/>
          <w:vertAlign w:val="superscript"/>
          <w:lang w:val="es-ES" w:eastAsia="en-US"/>
        </w:rPr>
        <w:t>(</w:t>
      </w:r>
      <w:proofErr w:type="gramEnd"/>
      <w:r w:rsidRPr="00544B28">
        <w:rPr>
          <w:rFonts w:eastAsia="Calibri"/>
          <w:vertAlign w:val="superscript"/>
          <w:lang w:val="es-ES" w:eastAsia="en-US"/>
        </w:rPr>
        <w:t xml:space="preserve">2,3,5) </w:t>
      </w:r>
      <w:r w:rsidRPr="00544B28">
        <w:rPr>
          <w:rFonts w:eastAsia="Calibri"/>
          <w:lang w:val="es-ES" w:eastAsia="en-US"/>
        </w:rPr>
        <w:t xml:space="preserve">La comparación con otros estudios tiene limitaciones, debido a que se refieren a linfocitopenia en pacientes que no sobrevivieron. </w:t>
      </w:r>
    </w:p>
    <w:p w14:paraId="5EC0CCA1" w14:textId="77777777" w:rsidR="00544B28" w:rsidRPr="00544B28" w:rsidRDefault="00544B28" w:rsidP="00544B28">
      <w:pPr>
        <w:spacing w:line="360" w:lineRule="auto"/>
        <w:jc w:val="both"/>
        <w:rPr>
          <w:rFonts w:eastAsia="Calibri"/>
          <w:lang w:val="es-ES" w:eastAsia="en-US"/>
        </w:rPr>
      </w:pPr>
      <w:r w:rsidRPr="00544B28">
        <w:rPr>
          <w:rFonts w:eastAsia="Calibri"/>
          <w:lang w:val="es-ES" w:eastAsia="en-US"/>
        </w:rPr>
        <w:t>En una cohorte multicéntrica retrospectiva, de 191 pacientes con la COVID-19, mayores de 18 años en el hospital de Wuhan describen en 54 pacientes fallecidos, un punto de corte de 0,8 x 10</w:t>
      </w:r>
      <w:r w:rsidRPr="00544B28">
        <w:rPr>
          <w:rFonts w:eastAsia="Calibri"/>
          <w:vertAlign w:val="superscript"/>
          <w:lang w:val="es-ES" w:eastAsia="en-US"/>
        </w:rPr>
        <w:t>9</w:t>
      </w:r>
      <w:r w:rsidRPr="00544B28">
        <w:rPr>
          <w:rFonts w:eastAsia="Calibri"/>
          <w:lang w:val="es-ES" w:eastAsia="en-US"/>
        </w:rPr>
        <w:t xml:space="preserve">/L para valores de linfocitopenia y estuvo presente en el 76 %; en los que sobrevivieron, solo en el 26 %, con significación estadística a favor de la linfocitopenia como factor de riesgo en la mortalidad de los </w:t>
      </w:r>
      <w:proofErr w:type="gramStart"/>
      <w:r w:rsidRPr="00544B28">
        <w:rPr>
          <w:rFonts w:eastAsia="Calibri"/>
          <w:lang w:val="es-ES" w:eastAsia="en-US"/>
        </w:rPr>
        <w:t>pacientes.</w:t>
      </w:r>
      <w:r w:rsidRPr="00544B28">
        <w:rPr>
          <w:rFonts w:eastAsia="Calibri"/>
          <w:vertAlign w:val="superscript"/>
          <w:lang w:val="es-ES" w:eastAsia="en-US"/>
        </w:rPr>
        <w:t>(</w:t>
      </w:r>
      <w:proofErr w:type="gramEnd"/>
      <w:r w:rsidRPr="00544B28">
        <w:rPr>
          <w:rFonts w:eastAsia="Calibri"/>
          <w:vertAlign w:val="superscript"/>
          <w:lang w:val="es-ES" w:eastAsia="en-US"/>
        </w:rPr>
        <w:t>6,7)</w:t>
      </w:r>
      <w:r w:rsidRPr="00544B28">
        <w:rPr>
          <w:rFonts w:eastAsia="Calibri"/>
          <w:lang w:val="es-ES" w:eastAsia="en-US"/>
        </w:rPr>
        <w:t xml:space="preserve">  </w:t>
      </w:r>
    </w:p>
    <w:p w14:paraId="257723D1" w14:textId="77777777" w:rsidR="00544B28" w:rsidRPr="00544B28" w:rsidRDefault="00544B28" w:rsidP="00544B28">
      <w:pPr>
        <w:spacing w:line="360" w:lineRule="auto"/>
        <w:jc w:val="both"/>
        <w:rPr>
          <w:rFonts w:eastAsia="Calibri"/>
          <w:lang w:val="es-ES" w:eastAsia="en-US"/>
        </w:rPr>
      </w:pPr>
      <w:r w:rsidRPr="00544B28">
        <w:rPr>
          <w:rFonts w:eastAsia="Calibri"/>
          <w:i/>
          <w:iCs/>
          <w:lang w:val="es-ES" w:eastAsia="en-US"/>
        </w:rPr>
        <w:t>López-Escobar</w:t>
      </w:r>
      <w:r w:rsidRPr="00544B28">
        <w:rPr>
          <w:rFonts w:eastAsia="Calibri"/>
          <w:lang w:val="es-ES" w:eastAsia="en-US"/>
        </w:rPr>
        <w:t xml:space="preserve"> y </w:t>
      </w:r>
      <w:proofErr w:type="gramStart"/>
      <w:r w:rsidRPr="00544B28">
        <w:rPr>
          <w:rFonts w:eastAsia="Calibri"/>
          <w:lang w:val="es-ES" w:eastAsia="en-US"/>
        </w:rPr>
        <w:t>otros</w:t>
      </w:r>
      <w:r w:rsidRPr="00544B28">
        <w:rPr>
          <w:rFonts w:eastAsia="Calibri"/>
          <w:vertAlign w:val="superscript"/>
          <w:lang w:val="es-ES" w:eastAsia="en-US"/>
        </w:rPr>
        <w:t>(</w:t>
      </w:r>
      <w:proofErr w:type="gramEnd"/>
      <w:r w:rsidRPr="00544B28">
        <w:rPr>
          <w:rFonts w:eastAsia="Calibri"/>
          <w:vertAlign w:val="superscript"/>
          <w:lang w:val="es-ES" w:eastAsia="en-US"/>
        </w:rPr>
        <w:t>8)</w:t>
      </w:r>
      <w:r w:rsidRPr="00544B28">
        <w:rPr>
          <w:rFonts w:eastAsia="Calibri"/>
          <w:lang w:val="es-ES" w:eastAsia="en-US"/>
        </w:rPr>
        <w:t xml:space="preserve"> realizaron un estudio retrospectivo con una muestra de 2088 pacientes con la COVID-19; en 321 fallecidos encontraron un CAL medio de 0,8 × 10</w:t>
      </w:r>
      <w:r w:rsidRPr="00544B28">
        <w:rPr>
          <w:rFonts w:eastAsia="Calibri"/>
          <w:vertAlign w:val="superscript"/>
          <w:lang w:val="es-ES" w:eastAsia="en-US"/>
        </w:rPr>
        <w:t>9</w:t>
      </w:r>
      <w:r w:rsidRPr="00544B28">
        <w:rPr>
          <w:rFonts w:eastAsia="Calibri"/>
          <w:lang w:val="es-ES" w:eastAsia="en-US"/>
        </w:rPr>
        <w:t xml:space="preserve">/L, con un intervalo de CAL de 0,5 a 1,2 y para quienes sobrevivieron, una media de CAL 1,1 y un intervalo de 0,8 a 1,5; se encontró significación estadística, como marcador de mortalidad. </w:t>
      </w:r>
    </w:p>
    <w:p w14:paraId="66A5CEE8" w14:textId="77777777" w:rsidR="00544B28" w:rsidRPr="00544B28" w:rsidRDefault="00544B28" w:rsidP="00544B28">
      <w:pPr>
        <w:spacing w:line="360" w:lineRule="auto"/>
        <w:jc w:val="both"/>
        <w:rPr>
          <w:rFonts w:eastAsia="Calibri"/>
          <w:lang w:val="es-ES" w:eastAsia="en-US"/>
        </w:rPr>
      </w:pPr>
      <w:r w:rsidRPr="00544B28">
        <w:rPr>
          <w:rFonts w:eastAsia="Calibri"/>
          <w:lang w:val="es-ES" w:eastAsia="en-US"/>
        </w:rPr>
        <w:t>Otros estudios demuestran que existe relación entre los niveles de plaquetas y linfocitos a la llegada al centro hospitalario. Reportan que la linfocitopenia para los pacientes que no sobreviven tiene una media de 1,01×10</w:t>
      </w:r>
      <w:r w:rsidRPr="00544B28">
        <w:rPr>
          <w:rFonts w:eastAsia="Calibri"/>
          <w:vertAlign w:val="superscript"/>
          <w:lang w:val="es-ES" w:eastAsia="en-US"/>
        </w:rPr>
        <w:t>9</w:t>
      </w:r>
      <w:r w:rsidRPr="00544B28">
        <w:rPr>
          <w:rFonts w:eastAsia="Calibri"/>
          <w:lang w:val="es-ES" w:eastAsia="en-US"/>
        </w:rPr>
        <w:t xml:space="preserve">/L y una desviación estándar </w:t>
      </w:r>
      <w:r w:rsidRPr="00544B28">
        <w:rPr>
          <w:rFonts w:eastAsia="Calibri"/>
          <w:iCs/>
          <w:lang w:val="es-ES" w:eastAsia="en-US"/>
        </w:rPr>
        <w:t xml:space="preserve">de </w:t>
      </w:r>
      <w:r w:rsidRPr="00544B28">
        <w:rPr>
          <w:rFonts w:eastAsia="Calibri"/>
          <w:lang w:val="es-ES" w:eastAsia="en-US"/>
        </w:rPr>
        <w:t>0,45 y para quienes sobreviven, una media 1,16 × 0</w:t>
      </w:r>
      <w:r w:rsidRPr="00544B28">
        <w:rPr>
          <w:rFonts w:eastAsia="Calibri"/>
          <w:vertAlign w:val="superscript"/>
          <w:lang w:val="es-ES" w:eastAsia="en-US"/>
        </w:rPr>
        <w:t>9</w:t>
      </w:r>
      <w:r w:rsidRPr="00544B28">
        <w:rPr>
          <w:rFonts w:eastAsia="Calibri"/>
          <w:lang w:val="es-ES" w:eastAsia="en-US"/>
        </w:rPr>
        <w:t>/L con una desviación estándar de 0,</w:t>
      </w:r>
      <w:proofErr w:type="gramStart"/>
      <w:r w:rsidRPr="00544B28">
        <w:rPr>
          <w:rFonts w:eastAsia="Calibri"/>
          <w:lang w:val="es-ES" w:eastAsia="en-US"/>
        </w:rPr>
        <w:t>55.</w:t>
      </w:r>
      <w:r w:rsidRPr="00544B28">
        <w:rPr>
          <w:rFonts w:eastAsia="Calibri"/>
          <w:vertAlign w:val="superscript"/>
          <w:lang w:val="es-ES" w:eastAsia="en-US"/>
        </w:rPr>
        <w:t>(</w:t>
      </w:r>
      <w:proofErr w:type="gramEnd"/>
      <w:r w:rsidRPr="00544B28">
        <w:rPr>
          <w:rFonts w:eastAsia="Calibri"/>
          <w:vertAlign w:val="superscript"/>
          <w:lang w:val="es-ES" w:eastAsia="en-US"/>
        </w:rPr>
        <w:t>4, 9,10,11,12)</w:t>
      </w:r>
    </w:p>
    <w:p w14:paraId="01FF8D27" w14:textId="77777777" w:rsidR="00544B28" w:rsidRPr="00544B28" w:rsidRDefault="00544B28" w:rsidP="00544B28">
      <w:pPr>
        <w:spacing w:line="360" w:lineRule="auto"/>
        <w:jc w:val="both"/>
        <w:rPr>
          <w:rFonts w:eastAsia="Calibri"/>
          <w:lang w:val="es-ES" w:eastAsia="en-US"/>
        </w:rPr>
      </w:pPr>
      <w:r w:rsidRPr="00544B28">
        <w:rPr>
          <w:rFonts w:eastAsia="Calibri"/>
          <w:lang w:val="es-ES" w:eastAsia="en-US"/>
        </w:rPr>
        <w:t>La curva ROC en este estudio demostró poseer un valor de 0,7 cuando el conteo de linfocitos era ≤ 1 × 10</w:t>
      </w:r>
      <w:r w:rsidRPr="00544B28">
        <w:rPr>
          <w:rFonts w:eastAsia="Calibri"/>
          <w:vertAlign w:val="superscript"/>
          <w:lang w:val="es-ES" w:eastAsia="en-US"/>
        </w:rPr>
        <w:t>9</w:t>
      </w:r>
      <w:r w:rsidRPr="00544B28">
        <w:rPr>
          <w:rFonts w:eastAsia="Calibri"/>
          <w:lang w:val="es-ES" w:eastAsia="en-US"/>
        </w:rPr>
        <w:t xml:space="preserve">/L. La linfocitopenia mostró baja capacidad discriminativa para estimar la evolución a formas graves o críticas de la enfermedad, pero tuvo una alta especificidad en aquellos pacientes que no desarrollan formas graves o críticas. Existió un </w:t>
      </w:r>
      <w:proofErr w:type="spellStart"/>
      <w:r w:rsidRPr="00544B28">
        <w:rPr>
          <w:rFonts w:eastAsia="Calibri"/>
          <w:lang w:val="es-ES" w:eastAsia="en-US"/>
        </w:rPr>
        <w:t>VPP</w:t>
      </w:r>
      <w:proofErr w:type="spellEnd"/>
      <w:r w:rsidRPr="00544B28">
        <w:rPr>
          <w:rFonts w:eastAsia="Calibri"/>
          <w:lang w:val="es-ES" w:eastAsia="en-US"/>
        </w:rPr>
        <w:t xml:space="preserve"> de 63 %, que expresa la probabilidad de que la linfocitopenia esté presente en quienes desarrollaron formas graves o críticas. El 96 % de VPN refleja que es improbable que la linfocitopenia esté presente en pacientes que no desarrollaron formas graves o críticas. Según este análisis, es posible utilizar la linfocitopenia a la llegada del paciente, como biomarcador para estimar la </w:t>
      </w:r>
      <w:r w:rsidRPr="00544B28">
        <w:rPr>
          <w:rFonts w:eastAsia="Calibri"/>
          <w:lang w:val="es-ES" w:eastAsia="en-US"/>
        </w:rPr>
        <w:lastRenderedPageBreak/>
        <w:t xml:space="preserve">gravedad en pacientes pediátricos con la COVID-19. Otros </w:t>
      </w:r>
      <w:proofErr w:type="gramStart"/>
      <w:r w:rsidRPr="00544B28">
        <w:rPr>
          <w:rFonts w:eastAsia="Calibri"/>
          <w:lang w:val="es-ES" w:eastAsia="en-US"/>
        </w:rPr>
        <w:t>autores</w:t>
      </w:r>
      <w:r w:rsidRPr="00544B28">
        <w:rPr>
          <w:rFonts w:eastAsia="Calibri"/>
          <w:vertAlign w:val="superscript"/>
          <w:lang w:val="es-ES" w:eastAsia="en-US"/>
        </w:rPr>
        <w:t>(</w:t>
      </w:r>
      <w:proofErr w:type="gramEnd"/>
      <w:r w:rsidRPr="00544B28">
        <w:rPr>
          <w:rFonts w:eastAsia="Calibri"/>
          <w:vertAlign w:val="superscript"/>
          <w:lang w:val="es-ES" w:eastAsia="en-US"/>
        </w:rPr>
        <w:t>8,12)</w:t>
      </w:r>
      <w:r w:rsidRPr="00544B28">
        <w:rPr>
          <w:rFonts w:eastAsia="Calibri"/>
          <w:lang w:val="es-ES" w:eastAsia="en-US"/>
        </w:rPr>
        <w:t xml:space="preserve"> realizan similar planteamiento en su análisis, pero utilizan puntos de corte superiores al del presente estudio.  </w:t>
      </w:r>
    </w:p>
    <w:p w14:paraId="43D6AFBD" w14:textId="77777777" w:rsidR="00544B28" w:rsidRPr="00544B28" w:rsidRDefault="00544B28" w:rsidP="00544B28">
      <w:pPr>
        <w:spacing w:line="360" w:lineRule="auto"/>
        <w:jc w:val="both"/>
        <w:rPr>
          <w:rFonts w:eastAsia="Calibri"/>
          <w:lang w:val="es-ES" w:eastAsia="en-US"/>
        </w:rPr>
      </w:pPr>
      <w:r w:rsidRPr="00544B28">
        <w:rPr>
          <w:rFonts w:eastAsia="Calibri"/>
          <w:lang w:val="es-ES" w:eastAsia="en-US"/>
        </w:rPr>
        <w:t xml:space="preserve">La linfocitopenia tiene una alta especificidad para descartar los estados de graves y críticos en pacientes con la COVID 19, no así para detectarlos, pues muestra una baja sensibilidad. </w:t>
      </w:r>
    </w:p>
    <w:p w14:paraId="1E20C3B3" w14:textId="5042A495" w:rsidR="00544B28" w:rsidRPr="00544B28" w:rsidRDefault="00544B28" w:rsidP="00544B28">
      <w:pPr>
        <w:spacing w:line="360" w:lineRule="auto"/>
        <w:jc w:val="both"/>
        <w:rPr>
          <w:rFonts w:eastAsia="Calibri"/>
          <w:lang w:val="es-ES" w:eastAsia="en-US"/>
        </w:rPr>
      </w:pPr>
      <w:r w:rsidRPr="00544B28">
        <w:rPr>
          <w:rFonts w:eastAsia="Calibri"/>
          <w:lang w:val="es-ES" w:eastAsia="en-US"/>
        </w:rPr>
        <w:t>La linfocitopenia es un biomarcador para estimar el pronóstico en pacientes pediátricos con la COVID</w:t>
      </w:r>
      <w:r w:rsidR="0030060C">
        <w:rPr>
          <w:rFonts w:eastAsia="Calibri"/>
          <w:lang w:val="es-ES" w:eastAsia="en-US"/>
        </w:rPr>
        <w:noBreakHyphen/>
      </w:r>
      <w:r w:rsidRPr="00544B28">
        <w:rPr>
          <w:rFonts w:eastAsia="Calibri"/>
          <w:lang w:val="es-ES" w:eastAsia="en-US"/>
        </w:rPr>
        <w:t xml:space="preserve">19.  </w:t>
      </w:r>
    </w:p>
    <w:p w14:paraId="6A0072EE" w14:textId="77777777" w:rsidR="00544B28" w:rsidRPr="00544B28" w:rsidRDefault="00544B28" w:rsidP="00544B28">
      <w:pPr>
        <w:spacing w:line="360" w:lineRule="auto"/>
        <w:jc w:val="both"/>
        <w:rPr>
          <w:rFonts w:eastAsia="Calibri"/>
          <w:b/>
          <w:lang w:val="es-ES" w:eastAsia="en-US"/>
        </w:rPr>
      </w:pPr>
    </w:p>
    <w:p w14:paraId="2E460A8D" w14:textId="77777777" w:rsidR="00544B28" w:rsidRPr="00544B28" w:rsidRDefault="00544B28" w:rsidP="00544B28">
      <w:pPr>
        <w:spacing w:line="360" w:lineRule="auto"/>
        <w:jc w:val="center"/>
        <w:rPr>
          <w:rFonts w:eastAsia="Calibri"/>
          <w:b/>
          <w:lang w:val="es-ES" w:eastAsia="en-US"/>
        </w:rPr>
      </w:pPr>
    </w:p>
    <w:p w14:paraId="500F80E3" w14:textId="77777777" w:rsidR="00544B28" w:rsidRPr="00544B28" w:rsidRDefault="00544B28" w:rsidP="00544B28">
      <w:pPr>
        <w:spacing w:line="360" w:lineRule="auto"/>
        <w:jc w:val="center"/>
        <w:rPr>
          <w:rFonts w:eastAsia="Calibri"/>
          <w:b/>
          <w:sz w:val="32"/>
          <w:szCs w:val="32"/>
          <w:lang w:val="es-ES" w:eastAsia="en-US"/>
        </w:rPr>
      </w:pPr>
      <w:r w:rsidRPr="00544B28">
        <w:rPr>
          <w:rFonts w:eastAsia="Calibri"/>
          <w:b/>
          <w:sz w:val="32"/>
          <w:szCs w:val="32"/>
          <w:lang w:val="es-ES" w:eastAsia="en-US"/>
        </w:rPr>
        <w:t>REFERENCIAS BIBLIOGRÁFICAS</w:t>
      </w:r>
    </w:p>
    <w:p w14:paraId="7DD0711B" w14:textId="77777777" w:rsidR="00544B28" w:rsidRPr="00544B28" w:rsidRDefault="00544B28" w:rsidP="00544B28">
      <w:pPr>
        <w:spacing w:line="360" w:lineRule="auto"/>
        <w:rPr>
          <w:rFonts w:eastAsia="Calibri"/>
          <w:lang w:val="en-US" w:eastAsia="en-US"/>
        </w:rPr>
      </w:pPr>
      <w:r w:rsidRPr="00544B28">
        <w:rPr>
          <w:rFonts w:eastAsia="Calibri"/>
          <w:lang w:val="es-CU" w:eastAsia="en-US"/>
        </w:rPr>
        <w:t xml:space="preserve">1. Zeng F, Li L, Zeng J, Deng Y, Huang H, et al. </w:t>
      </w:r>
      <w:r w:rsidRPr="00544B28">
        <w:rPr>
          <w:rFonts w:eastAsia="Calibri"/>
          <w:lang w:val="en-US" w:eastAsia="en-US"/>
        </w:rPr>
        <w:t>Can we predict the severity of coronavirus disease 2019 with a routine blood test? Polish archives of internal medicine. 2020; 130(5):400–6. DOI: 10.20452/</w:t>
      </w:r>
      <w:proofErr w:type="spellStart"/>
      <w:r w:rsidRPr="00544B28">
        <w:rPr>
          <w:rFonts w:eastAsia="Calibri"/>
          <w:lang w:val="en-US" w:eastAsia="en-US"/>
        </w:rPr>
        <w:t>pamw.15331</w:t>
      </w:r>
      <w:proofErr w:type="spellEnd"/>
    </w:p>
    <w:p w14:paraId="4090278C" w14:textId="77777777" w:rsidR="00544B28" w:rsidRPr="00544B28" w:rsidRDefault="00544B28" w:rsidP="00544B28">
      <w:pPr>
        <w:spacing w:line="360" w:lineRule="auto"/>
        <w:rPr>
          <w:rFonts w:eastAsia="Calibri"/>
          <w:lang w:val="es-ES" w:eastAsia="en-US"/>
        </w:rPr>
      </w:pPr>
      <w:r w:rsidRPr="00544B28">
        <w:rPr>
          <w:rFonts w:eastAsia="Calibri"/>
          <w:lang w:val="en-US" w:eastAsia="en-US"/>
        </w:rPr>
        <w:t xml:space="preserve">2. </w:t>
      </w:r>
      <w:proofErr w:type="spellStart"/>
      <w:r w:rsidRPr="00544B28">
        <w:rPr>
          <w:rFonts w:eastAsia="Calibri"/>
          <w:lang w:val="en-US" w:eastAsia="en-US"/>
        </w:rPr>
        <w:t>Rabaan</w:t>
      </w:r>
      <w:proofErr w:type="spellEnd"/>
      <w:r w:rsidRPr="00544B28">
        <w:rPr>
          <w:rFonts w:eastAsia="Calibri"/>
          <w:lang w:val="en-US" w:eastAsia="en-US"/>
        </w:rPr>
        <w:t xml:space="preserve"> AA, Al-Ahmed SH, Haque S, Sah R, Tiwari R, Mallk YS, et al. SARS-CoV-2, SARS-</w:t>
      </w:r>
      <w:proofErr w:type="spellStart"/>
      <w:r w:rsidRPr="00544B28">
        <w:rPr>
          <w:rFonts w:eastAsia="Calibri"/>
          <w:lang w:val="en-US" w:eastAsia="en-US"/>
        </w:rPr>
        <w:t>CoV</w:t>
      </w:r>
      <w:proofErr w:type="spellEnd"/>
      <w:r w:rsidRPr="00544B28">
        <w:rPr>
          <w:rFonts w:eastAsia="Calibri"/>
          <w:lang w:val="en-US" w:eastAsia="en-US"/>
        </w:rPr>
        <w:t xml:space="preserve">, and MERS-COV: A comparative overview. </w:t>
      </w:r>
      <w:r w:rsidRPr="00544B28">
        <w:rPr>
          <w:rFonts w:eastAsia="Calibri"/>
          <w:lang w:val="es-ES" w:eastAsia="en-US"/>
        </w:rPr>
        <w:t xml:space="preserve">Le </w:t>
      </w:r>
      <w:proofErr w:type="spellStart"/>
      <w:r w:rsidRPr="00544B28">
        <w:rPr>
          <w:rFonts w:eastAsia="Calibri"/>
          <w:lang w:val="es-ES" w:eastAsia="en-US"/>
        </w:rPr>
        <w:t>Infezioni</w:t>
      </w:r>
      <w:proofErr w:type="spellEnd"/>
      <w:r w:rsidRPr="00544B28">
        <w:rPr>
          <w:rFonts w:eastAsia="Calibri"/>
          <w:lang w:val="es-ES" w:eastAsia="en-US"/>
        </w:rPr>
        <w:t xml:space="preserve"> in Medicina. 2020 [acceso: 31/07/2022]; 28(2):174-84. Disponible en: </w:t>
      </w:r>
      <w:hyperlink r:id="rId18" w:history="1">
        <w:r w:rsidRPr="00544B28">
          <w:rPr>
            <w:rFonts w:eastAsia="Calibri"/>
            <w:color w:val="0563C1"/>
            <w:lang w:val="es-ES" w:eastAsia="en-US"/>
          </w:rPr>
          <w:t>https://infezmed.it/media/journal/Vol_28_2_2020_7.pdf</w:t>
        </w:r>
      </w:hyperlink>
      <w:r w:rsidRPr="00544B28">
        <w:rPr>
          <w:rFonts w:eastAsia="Calibri"/>
          <w:lang w:val="es-ES" w:eastAsia="en-US"/>
        </w:rPr>
        <w:t xml:space="preserve">  </w:t>
      </w:r>
    </w:p>
    <w:p w14:paraId="754A00BF" w14:textId="77777777" w:rsidR="00544B28" w:rsidRPr="00544B28" w:rsidRDefault="00544B28" w:rsidP="00544B28">
      <w:pPr>
        <w:spacing w:line="360" w:lineRule="auto"/>
        <w:rPr>
          <w:rFonts w:eastAsia="Calibri"/>
          <w:lang w:val="en-US" w:eastAsia="en-US"/>
        </w:rPr>
      </w:pPr>
      <w:r w:rsidRPr="00544B28">
        <w:rPr>
          <w:rFonts w:eastAsia="Calibri"/>
          <w:lang w:val="en-US" w:eastAsia="en-US"/>
        </w:rPr>
        <w:t>3. Chafekar A, Fielding BC. MERS-</w:t>
      </w:r>
      <w:proofErr w:type="spellStart"/>
      <w:r w:rsidRPr="00544B28">
        <w:rPr>
          <w:rFonts w:eastAsia="Calibri"/>
          <w:lang w:val="en-US" w:eastAsia="en-US"/>
        </w:rPr>
        <w:t>CoV</w:t>
      </w:r>
      <w:proofErr w:type="spellEnd"/>
      <w:r w:rsidRPr="00544B28">
        <w:rPr>
          <w:rFonts w:eastAsia="Calibri"/>
          <w:lang w:val="en-US" w:eastAsia="en-US"/>
        </w:rPr>
        <w:t>: Understanding the Latest Human Coronavirus Threat. Viruses. 2018; 10(2):93. Published 2018 Feb 24. DOI: 10.3390/</w:t>
      </w:r>
      <w:proofErr w:type="spellStart"/>
      <w:r w:rsidRPr="00544B28">
        <w:rPr>
          <w:rFonts w:eastAsia="Calibri"/>
          <w:lang w:val="en-US" w:eastAsia="en-US"/>
        </w:rPr>
        <w:t>v10020093</w:t>
      </w:r>
      <w:proofErr w:type="spellEnd"/>
    </w:p>
    <w:p w14:paraId="330B85E4" w14:textId="77777777" w:rsidR="00544B28" w:rsidRPr="00544B28" w:rsidRDefault="00544B28" w:rsidP="00544B28">
      <w:pPr>
        <w:spacing w:line="360" w:lineRule="auto"/>
        <w:rPr>
          <w:rFonts w:eastAsia="Calibri"/>
          <w:lang w:val="en-US" w:eastAsia="en-US"/>
        </w:rPr>
      </w:pPr>
      <w:r w:rsidRPr="00544B28">
        <w:rPr>
          <w:rFonts w:eastAsia="Calibri"/>
          <w:lang w:val="en-US" w:eastAsia="en-US"/>
        </w:rPr>
        <w:t xml:space="preserve">4. Zhang JJ, Dong X, Cao </w:t>
      </w:r>
      <w:proofErr w:type="spellStart"/>
      <w:r w:rsidRPr="00544B28">
        <w:rPr>
          <w:rFonts w:eastAsia="Calibri"/>
          <w:lang w:val="en-US" w:eastAsia="en-US"/>
        </w:rPr>
        <w:t>YY</w:t>
      </w:r>
      <w:proofErr w:type="spellEnd"/>
      <w:r w:rsidRPr="00544B28">
        <w:rPr>
          <w:rFonts w:eastAsia="Calibri"/>
          <w:lang w:val="en-US" w:eastAsia="en-US"/>
        </w:rPr>
        <w:t xml:space="preserve">, Yuan Y, Yang </w:t>
      </w:r>
      <w:proofErr w:type="gramStart"/>
      <w:r w:rsidRPr="00544B28">
        <w:rPr>
          <w:rFonts w:eastAsia="Calibri"/>
          <w:lang w:val="en-US" w:eastAsia="en-US"/>
        </w:rPr>
        <w:t>Y,  Yan</w:t>
      </w:r>
      <w:proofErr w:type="gramEnd"/>
      <w:r w:rsidRPr="00544B28">
        <w:rPr>
          <w:rFonts w:eastAsia="Calibri"/>
          <w:lang w:val="en-US" w:eastAsia="en-US"/>
        </w:rPr>
        <w:t xml:space="preserve"> Y, et al. Clinical characteristics of 140 patients infected with SARS-CoV-2 in Wuhan, China. Allergy. 2020; 75:1730–1741. DOI: 10.1111/</w:t>
      </w:r>
      <w:proofErr w:type="spellStart"/>
      <w:r w:rsidRPr="00544B28">
        <w:rPr>
          <w:rFonts w:eastAsia="Calibri"/>
          <w:lang w:val="en-US" w:eastAsia="en-US"/>
        </w:rPr>
        <w:t>all.1423</w:t>
      </w:r>
      <w:proofErr w:type="spellEnd"/>
      <w:r w:rsidRPr="00544B28">
        <w:rPr>
          <w:rFonts w:eastAsia="Calibri"/>
          <w:lang w:val="en-US" w:eastAsia="en-US"/>
        </w:rPr>
        <w:t xml:space="preserve"> </w:t>
      </w:r>
    </w:p>
    <w:p w14:paraId="5C1C41E2" w14:textId="77777777" w:rsidR="00544B28" w:rsidRPr="00544B28" w:rsidRDefault="00544B28" w:rsidP="00544B28">
      <w:pPr>
        <w:spacing w:line="360" w:lineRule="auto"/>
        <w:rPr>
          <w:rFonts w:eastAsia="Calibri"/>
          <w:lang w:val="es-ES" w:eastAsia="en-US"/>
        </w:rPr>
      </w:pPr>
      <w:r w:rsidRPr="00544B28">
        <w:rPr>
          <w:rFonts w:eastAsia="Calibri"/>
          <w:lang w:val="en-US" w:eastAsia="en-US"/>
        </w:rPr>
        <w:t xml:space="preserve">5. Al Johani S, </w:t>
      </w:r>
      <w:proofErr w:type="spellStart"/>
      <w:r w:rsidRPr="00544B28">
        <w:rPr>
          <w:rFonts w:eastAsia="Calibri"/>
          <w:lang w:val="en-US" w:eastAsia="en-US"/>
        </w:rPr>
        <w:t>Hajeer</w:t>
      </w:r>
      <w:proofErr w:type="spellEnd"/>
      <w:r w:rsidRPr="00544B28">
        <w:rPr>
          <w:rFonts w:eastAsia="Calibri"/>
          <w:lang w:val="en-US" w:eastAsia="en-US"/>
        </w:rPr>
        <w:t xml:space="preserve"> AH. MERS-</w:t>
      </w:r>
      <w:proofErr w:type="spellStart"/>
      <w:r w:rsidRPr="00544B28">
        <w:rPr>
          <w:rFonts w:eastAsia="Calibri"/>
          <w:lang w:val="en-US" w:eastAsia="en-US"/>
        </w:rPr>
        <w:t>CoV</w:t>
      </w:r>
      <w:proofErr w:type="spellEnd"/>
      <w:r w:rsidRPr="00544B28">
        <w:rPr>
          <w:rFonts w:eastAsia="Calibri"/>
          <w:lang w:val="en-US" w:eastAsia="en-US"/>
        </w:rPr>
        <w:t xml:space="preserve"> diagnosis: An update. J Infect Public Health. 2016 [</w:t>
      </w:r>
      <w:proofErr w:type="spellStart"/>
      <w:r w:rsidRPr="00544B28">
        <w:rPr>
          <w:rFonts w:eastAsia="Calibri"/>
          <w:lang w:val="en-US" w:eastAsia="en-US"/>
        </w:rPr>
        <w:t>acceso</w:t>
      </w:r>
      <w:proofErr w:type="spellEnd"/>
      <w:r w:rsidRPr="00544B28">
        <w:rPr>
          <w:rFonts w:eastAsia="Calibri"/>
          <w:lang w:val="en-US" w:eastAsia="en-US"/>
        </w:rPr>
        <w:t xml:space="preserve">: 31/07/2022]; 9(3):216-9. </w:t>
      </w:r>
      <w:r w:rsidRPr="00544B28">
        <w:rPr>
          <w:rFonts w:eastAsia="Calibri"/>
          <w:lang w:val="es-ES" w:eastAsia="en-US"/>
        </w:rPr>
        <w:t xml:space="preserve">Disponible en: </w:t>
      </w:r>
      <w:hyperlink r:id="rId19" w:history="1">
        <w:r w:rsidRPr="00544B28">
          <w:rPr>
            <w:rFonts w:eastAsia="Calibri"/>
            <w:color w:val="0563C1"/>
            <w:lang w:val="es-ES" w:eastAsia="en-US"/>
          </w:rPr>
          <w:t>https://www.sciencedirect.com/science/article/pii/S1876034116300223</w:t>
        </w:r>
      </w:hyperlink>
      <w:r w:rsidRPr="00544B28">
        <w:rPr>
          <w:rFonts w:eastAsia="Calibri"/>
          <w:lang w:val="es-ES" w:eastAsia="en-US"/>
        </w:rPr>
        <w:t xml:space="preserve">  </w:t>
      </w:r>
    </w:p>
    <w:p w14:paraId="431874EF" w14:textId="77777777" w:rsidR="00544B28" w:rsidRPr="00544B28" w:rsidRDefault="00544B28" w:rsidP="00544B28">
      <w:pPr>
        <w:spacing w:line="360" w:lineRule="auto"/>
        <w:rPr>
          <w:rFonts w:eastAsia="Calibri"/>
          <w:lang w:val="en-US" w:eastAsia="en-US"/>
        </w:rPr>
      </w:pPr>
      <w:r w:rsidRPr="00544B28">
        <w:rPr>
          <w:rFonts w:eastAsia="Calibri"/>
          <w:lang w:val="es-ES" w:eastAsia="en-US"/>
        </w:rPr>
        <w:t xml:space="preserve">6. Zhou F, </w:t>
      </w:r>
      <w:proofErr w:type="spellStart"/>
      <w:r w:rsidRPr="00544B28">
        <w:rPr>
          <w:rFonts w:eastAsia="Calibri"/>
          <w:lang w:val="es-ES" w:eastAsia="en-US"/>
        </w:rPr>
        <w:t>Yu</w:t>
      </w:r>
      <w:proofErr w:type="spellEnd"/>
      <w:r w:rsidRPr="00544B28">
        <w:rPr>
          <w:rFonts w:eastAsia="Calibri"/>
          <w:lang w:val="es-ES" w:eastAsia="en-US"/>
        </w:rPr>
        <w:t xml:space="preserve"> T, Du R, Fan G, Liu Y, Liu Z, et al. </w:t>
      </w:r>
      <w:r w:rsidRPr="00544B28">
        <w:rPr>
          <w:rFonts w:eastAsia="Calibri"/>
          <w:lang w:val="en-US" w:eastAsia="en-US"/>
        </w:rPr>
        <w:t>Clinical course and risk factors for mortality of adult inpatients with COVID-19 in Wuhan, China: a retrospective cohort study. 2020; 395(10229):1038. DOI: 10.1016/</w:t>
      </w:r>
      <w:proofErr w:type="spellStart"/>
      <w:r w:rsidRPr="00544B28">
        <w:rPr>
          <w:rFonts w:eastAsia="Calibri"/>
          <w:lang w:val="en-US" w:eastAsia="en-US"/>
        </w:rPr>
        <w:t>S0140</w:t>
      </w:r>
      <w:proofErr w:type="spellEnd"/>
      <w:r w:rsidRPr="00544B28">
        <w:rPr>
          <w:rFonts w:eastAsia="Calibri"/>
          <w:lang w:val="en-US" w:eastAsia="en-US"/>
        </w:rPr>
        <w:t>-6736(20)30566-3</w:t>
      </w:r>
    </w:p>
    <w:p w14:paraId="1C4ADC01" w14:textId="77777777" w:rsidR="00544B28" w:rsidRPr="00544B28" w:rsidRDefault="00544B28" w:rsidP="00544B28">
      <w:pPr>
        <w:spacing w:line="360" w:lineRule="auto"/>
        <w:rPr>
          <w:rFonts w:eastAsia="Calibri"/>
          <w:lang w:val="es-ES" w:eastAsia="en-US"/>
        </w:rPr>
      </w:pPr>
      <w:r w:rsidRPr="00544B28">
        <w:rPr>
          <w:rFonts w:eastAsia="Calibri"/>
          <w:lang w:val="en-US" w:eastAsia="en-US"/>
        </w:rPr>
        <w:t xml:space="preserve">7. Hoang VT, Dao TL, </w:t>
      </w:r>
      <w:proofErr w:type="spellStart"/>
      <w:r w:rsidRPr="00544B28">
        <w:rPr>
          <w:rFonts w:eastAsia="Calibri"/>
          <w:lang w:val="en-US" w:eastAsia="en-US"/>
        </w:rPr>
        <w:t>Gautret</w:t>
      </w:r>
      <w:proofErr w:type="spellEnd"/>
      <w:r w:rsidRPr="00544B28">
        <w:rPr>
          <w:rFonts w:eastAsia="Calibri"/>
          <w:lang w:val="en-US" w:eastAsia="en-US"/>
        </w:rPr>
        <w:t xml:space="preserve"> P. Recurrence of positive SARS-CoV-2 in patients recovered from COVID-19. </w:t>
      </w:r>
      <w:r w:rsidRPr="00544B28">
        <w:rPr>
          <w:rFonts w:eastAsia="Calibri"/>
          <w:lang w:val="es-ES" w:eastAsia="en-US"/>
        </w:rPr>
        <w:t xml:space="preserve">J </w:t>
      </w:r>
      <w:proofErr w:type="spellStart"/>
      <w:r w:rsidRPr="00544B28">
        <w:rPr>
          <w:rFonts w:eastAsia="Calibri"/>
          <w:lang w:val="es-ES" w:eastAsia="en-US"/>
        </w:rPr>
        <w:t>Med</w:t>
      </w:r>
      <w:proofErr w:type="spellEnd"/>
      <w:r w:rsidRPr="00544B28">
        <w:rPr>
          <w:rFonts w:eastAsia="Calibri"/>
          <w:lang w:val="es-ES" w:eastAsia="en-US"/>
        </w:rPr>
        <w:t xml:space="preserve"> Virol. 2020 [acceso: 30/06/2022]; 92(11):2366-7. Disponible en: </w:t>
      </w:r>
      <w:hyperlink r:id="rId20" w:history="1">
        <w:r w:rsidRPr="00544B28">
          <w:rPr>
            <w:rFonts w:eastAsia="Calibri"/>
            <w:color w:val="0563C1"/>
            <w:lang w:val="es-ES" w:eastAsia="en-US"/>
          </w:rPr>
          <w:t>https://onlinelibrary.wiley.com/doi/10.1002/jmv.26056</w:t>
        </w:r>
      </w:hyperlink>
      <w:r w:rsidRPr="00544B28">
        <w:rPr>
          <w:rFonts w:eastAsia="Calibri"/>
          <w:lang w:val="es-ES" w:eastAsia="en-US"/>
        </w:rPr>
        <w:t xml:space="preserve">  </w:t>
      </w:r>
    </w:p>
    <w:p w14:paraId="7EE6CA68" w14:textId="77777777" w:rsidR="00544B28" w:rsidRPr="00544B28" w:rsidRDefault="00544B28" w:rsidP="00544B28">
      <w:pPr>
        <w:spacing w:line="360" w:lineRule="auto"/>
        <w:rPr>
          <w:rFonts w:eastAsia="Calibri"/>
          <w:lang w:val="es-ES" w:eastAsia="en-US"/>
        </w:rPr>
      </w:pPr>
      <w:r w:rsidRPr="00544B28">
        <w:rPr>
          <w:rFonts w:eastAsia="Calibri"/>
          <w:lang w:val="es-ES" w:eastAsia="en-US"/>
        </w:rPr>
        <w:lastRenderedPageBreak/>
        <w:t xml:space="preserve">8. López-Escobar A, Madurga R, Castellano </w:t>
      </w:r>
      <w:proofErr w:type="spellStart"/>
      <w:r w:rsidRPr="00544B28">
        <w:rPr>
          <w:rFonts w:eastAsia="Calibri"/>
          <w:lang w:val="es-ES" w:eastAsia="en-US"/>
        </w:rPr>
        <w:t>JM</w:t>
      </w:r>
      <w:proofErr w:type="spellEnd"/>
      <w:r w:rsidRPr="00544B28">
        <w:rPr>
          <w:rFonts w:eastAsia="Calibri"/>
          <w:lang w:val="es-ES" w:eastAsia="en-US"/>
        </w:rPr>
        <w:t xml:space="preserve">, Ruiz de Aguiar S, Velázquez S, </w:t>
      </w:r>
      <w:proofErr w:type="spellStart"/>
      <w:r w:rsidRPr="00544B28">
        <w:rPr>
          <w:rFonts w:eastAsia="Calibri"/>
          <w:lang w:val="es-ES" w:eastAsia="en-US"/>
        </w:rPr>
        <w:t>Bucar</w:t>
      </w:r>
      <w:proofErr w:type="spellEnd"/>
      <w:r w:rsidRPr="00544B28">
        <w:rPr>
          <w:rFonts w:eastAsia="Calibri"/>
          <w:lang w:val="es-ES" w:eastAsia="en-US"/>
        </w:rPr>
        <w:t xml:space="preserve"> M, et al. </w:t>
      </w:r>
      <w:r w:rsidRPr="00544B28">
        <w:rPr>
          <w:rFonts w:eastAsia="Calibri"/>
          <w:lang w:val="en-US" w:eastAsia="en-US"/>
        </w:rPr>
        <w:t xml:space="preserve">Hemogram as marker of in-hospital mortality in COVID-19. J </w:t>
      </w:r>
      <w:proofErr w:type="spellStart"/>
      <w:r w:rsidRPr="00544B28">
        <w:rPr>
          <w:rFonts w:eastAsia="Calibri"/>
          <w:lang w:val="en-US" w:eastAsia="en-US"/>
        </w:rPr>
        <w:t>Investig</w:t>
      </w:r>
      <w:proofErr w:type="spellEnd"/>
      <w:r w:rsidRPr="00544B28">
        <w:rPr>
          <w:rFonts w:eastAsia="Calibri"/>
          <w:lang w:val="en-US" w:eastAsia="en-US"/>
        </w:rPr>
        <w:t xml:space="preserve"> Med. 2021; [</w:t>
      </w:r>
      <w:proofErr w:type="spellStart"/>
      <w:r w:rsidRPr="00544B28">
        <w:rPr>
          <w:rFonts w:eastAsia="Calibri"/>
          <w:lang w:val="en-US" w:eastAsia="en-US"/>
        </w:rPr>
        <w:t>acceso</w:t>
      </w:r>
      <w:proofErr w:type="spellEnd"/>
      <w:r w:rsidRPr="00544B28">
        <w:rPr>
          <w:rFonts w:eastAsia="Calibri"/>
          <w:lang w:val="en-US" w:eastAsia="en-US"/>
        </w:rPr>
        <w:t xml:space="preserve">: 31/07/2022]; 69(5):962-9. </w:t>
      </w:r>
      <w:r w:rsidRPr="00544B28">
        <w:rPr>
          <w:rFonts w:eastAsia="Calibri"/>
          <w:lang w:val="es-ES" w:eastAsia="en-US"/>
        </w:rPr>
        <w:t xml:space="preserve">Disponible en:  </w:t>
      </w:r>
      <w:hyperlink r:id="rId21" w:history="1">
        <w:r w:rsidRPr="00544B28">
          <w:rPr>
            <w:rFonts w:eastAsia="Calibri"/>
            <w:color w:val="0563C1"/>
            <w:lang w:val="es-ES" w:eastAsia="en-US"/>
          </w:rPr>
          <w:t>https://web.archive.org/web/20210429073154id_/https://jim.bmj.com/content/jim/early/2021/04/12/jim-2021-001810.full.pdf</w:t>
        </w:r>
      </w:hyperlink>
      <w:r w:rsidRPr="00544B28">
        <w:rPr>
          <w:rFonts w:eastAsia="Calibri"/>
          <w:lang w:val="es-ES" w:eastAsia="en-US"/>
        </w:rPr>
        <w:t xml:space="preserve">  </w:t>
      </w:r>
    </w:p>
    <w:p w14:paraId="76EFF2E3" w14:textId="77777777" w:rsidR="00544B28" w:rsidRPr="00544B28" w:rsidRDefault="00544B28" w:rsidP="00544B28">
      <w:pPr>
        <w:spacing w:line="360" w:lineRule="auto"/>
        <w:rPr>
          <w:rFonts w:eastAsia="Calibri"/>
          <w:lang w:val="en-US" w:eastAsia="en-US"/>
        </w:rPr>
      </w:pPr>
      <w:r w:rsidRPr="00544B28">
        <w:rPr>
          <w:rFonts w:eastAsia="Calibri"/>
          <w:lang w:val="es-ES" w:eastAsia="en-US"/>
        </w:rPr>
        <w:t xml:space="preserve">9. Qu R, Ling Y, Zhang </w:t>
      </w:r>
      <w:proofErr w:type="spellStart"/>
      <w:r w:rsidRPr="00544B28">
        <w:rPr>
          <w:rFonts w:eastAsia="Calibri"/>
          <w:lang w:val="es-ES" w:eastAsia="en-US"/>
        </w:rPr>
        <w:t>YH</w:t>
      </w:r>
      <w:proofErr w:type="spellEnd"/>
      <w:r w:rsidRPr="00544B28">
        <w:rPr>
          <w:rFonts w:eastAsia="Calibri"/>
          <w:lang w:val="es-ES" w:eastAsia="en-US"/>
        </w:rPr>
        <w:t xml:space="preserve">. </w:t>
      </w:r>
      <w:r w:rsidRPr="00544B28">
        <w:rPr>
          <w:rFonts w:eastAsia="Calibri"/>
          <w:lang w:val="en-US" w:eastAsia="en-US"/>
        </w:rPr>
        <w:t xml:space="preserve">Platelet-to-lymphocyte ratio is associated with prognosis in patients with coronavirus disease-19. J Med </w:t>
      </w:r>
      <w:proofErr w:type="spellStart"/>
      <w:r w:rsidRPr="00544B28">
        <w:rPr>
          <w:rFonts w:eastAsia="Calibri"/>
          <w:lang w:val="en-US" w:eastAsia="en-US"/>
        </w:rPr>
        <w:t>Virol</w:t>
      </w:r>
      <w:proofErr w:type="spellEnd"/>
      <w:r w:rsidRPr="00544B28">
        <w:rPr>
          <w:rFonts w:eastAsia="Calibri"/>
          <w:lang w:val="en-US" w:eastAsia="en-US"/>
        </w:rPr>
        <w:t>. 2020; 92(9):1533-41. DOI: 10.1002/</w:t>
      </w:r>
      <w:proofErr w:type="spellStart"/>
      <w:r w:rsidRPr="00544B28">
        <w:rPr>
          <w:rFonts w:eastAsia="Calibri"/>
          <w:lang w:val="en-US" w:eastAsia="en-US"/>
        </w:rPr>
        <w:t>jmv.25767</w:t>
      </w:r>
      <w:proofErr w:type="spellEnd"/>
      <w:r w:rsidRPr="00544B28">
        <w:rPr>
          <w:rFonts w:eastAsia="Calibri"/>
          <w:lang w:val="en-US" w:eastAsia="en-US"/>
        </w:rPr>
        <w:t xml:space="preserve"> </w:t>
      </w:r>
    </w:p>
    <w:p w14:paraId="6E45D916" w14:textId="77777777" w:rsidR="00544B28" w:rsidRPr="00544B28" w:rsidRDefault="00544B28" w:rsidP="00544B28">
      <w:pPr>
        <w:spacing w:line="360" w:lineRule="auto"/>
        <w:rPr>
          <w:rFonts w:eastAsia="Calibri"/>
          <w:lang w:val="es-CU" w:eastAsia="en-US"/>
        </w:rPr>
      </w:pPr>
      <w:r w:rsidRPr="00544B28">
        <w:rPr>
          <w:rFonts w:eastAsia="Calibri"/>
          <w:lang w:val="en-US" w:eastAsia="en-US"/>
        </w:rPr>
        <w:t xml:space="preserve">10. Sun X, Liu X, Liu J, Chen S, Xu D, Li W, et al. Preoperative neutrophil-to-lymphocyte ratio plus platelet-to-lymphocyte ratio in predicting survival for patients with stage I-II gastric cancer. </w:t>
      </w:r>
      <w:r w:rsidRPr="00544B28">
        <w:rPr>
          <w:rFonts w:eastAsia="Calibri"/>
          <w:lang w:val="es-ES" w:eastAsia="en-US"/>
        </w:rPr>
        <w:t xml:space="preserve">Chin J </w:t>
      </w:r>
      <w:proofErr w:type="spellStart"/>
      <w:r w:rsidRPr="00544B28">
        <w:rPr>
          <w:rFonts w:eastAsia="Calibri"/>
          <w:lang w:val="es-ES" w:eastAsia="en-US"/>
        </w:rPr>
        <w:t>Cancer</w:t>
      </w:r>
      <w:proofErr w:type="spellEnd"/>
      <w:r w:rsidRPr="00544B28">
        <w:rPr>
          <w:rFonts w:eastAsia="Calibri"/>
          <w:lang w:val="es-ES" w:eastAsia="en-US"/>
        </w:rPr>
        <w:t xml:space="preserve">. 2016; [acceso: 30/06/2022]; 35(1):57. </w:t>
      </w:r>
      <w:r w:rsidRPr="00544B28">
        <w:rPr>
          <w:rFonts w:eastAsia="Calibri"/>
          <w:lang w:val="es-CU" w:eastAsia="en-US"/>
        </w:rPr>
        <w:t xml:space="preserve">Disponible en: </w:t>
      </w:r>
      <w:hyperlink r:id="rId22" w:history="1">
        <w:r w:rsidRPr="00544B28">
          <w:rPr>
            <w:rFonts w:eastAsia="Calibri"/>
            <w:color w:val="0563C1"/>
            <w:lang w:val="es-CU" w:eastAsia="en-US"/>
          </w:rPr>
          <w:t>https://cancercommun.biomedcentral.com/articles/10.1186/s40880-016-0122-2</w:t>
        </w:r>
      </w:hyperlink>
      <w:r w:rsidRPr="00544B28">
        <w:rPr>
          <w:rFonts w:eastAsia="Calibri"/>
          <w:lang w:val="es-CU" w:eastAsia="en-US"/>
        </w:rPr>
        <w:t xml:space="preserve">  </w:t>
      </w:r>
    </w:p>
    <w:p w14:paraId="08A60D1E" w14:textId="77777777" w:rsidR="00544B28" w:rsidRPr="00544B28" w:rsidRDefault="00544B28" w:rsidP="00544B28">
      <w:pPr>
        <w:spacing w:line="360" w:lineRule="auto"/>
        <w:rPr>
          <w:rFonts w:eastAsia="Calibri"/>
          <w:lang w:val="en-US" w:eastAsia="en-US"/>
        </w:rPr>
      </w:pPr>
      <w:r w:rsidRPr="00544B28">
        <w:rPr>
          <w:rFonts w:eastAsia="Calibri"/>
          <w:lang w:val="en-US" w:eastAsia="en-US"/>
        </w:rPr>
        <w:t>11. Huang I, Pranata R. Lymphopenia in severe coronavirus disease-2019 (COVID-19): systematic review and meta-analysis. J Intensive Care. 2020; 8(36</w:t>
      </w:r>
      <w:proofErr w:type="gramStart"/>
      <w:r w:rsidRPr="00544B28">
        <w:rPr>
          <w:rFonts w:eastAsia="Calibri"/>
          <w:lang w:val="en-US" w:eastAsia="en-US"/>
        </w:rPr>
        <w:t>):[</w:t>
      </w:r>
      <w:proofErr w:type="spellStart"/>
      <w:proofErr w:type="gramEnd"/>
      <w:r w:rsidRPr="00544B28">
        <w:rPr>
          <w:rFonts w:eastAsia="Calibri"/>
          <w:lang w:val="en-US" w:eastAsia="en-US"/>
        </w:rPr>
        <w:t>aprox</w:t>
      </w:r>
      <w:proofErr w:type="spellEnd"/>
      <w:r w:rsidRPr="00544B28">
        <w:rPr>
          <w:rFonts w:eastAsia="Calibri"/>
          <w:lang w:val="en-US" w:eastAsia="en-US"/>
        </w:rPr>
        <w:t>. 20 p.]. DOI: 10.1186/</w:t>
      </w:r>
      <w:proofErr w:type="spellStart"/>
      <w:r w:rsidRPr="00544B28">
        <w:rPr>
          <w:rFonts w:eastAsia="Calibri"/>
          <w:lang w:val="en-US" w:eastAsia="en-US"/>
        </w:rPr>
        <w:t>s40560</w:t>
      </w:r>
      <w:proofErr w:type="spellEnd"/>
      <w:r w:rsidRPr="00544B28">
        <w:rPr>
          <w:rFonts w:eastAsia="Calibri"/>
          <w:lang w:val="en-US" w:eastAsia="en-US"/>
        </w:rPr>
        <w:t>-020-00453-4</w:t>
      </w:r>
    </w:p>
    <w:p w14:paraId="6551EF91" w14:textId="77777777" w:rsidR="00544B28" w:rsidRPr="00544B28" w:rsidRDefault="00544B28" w:rsidP="00544B28">
      <w:pPr>
        <w:spacing w:line="360" w:lineRule="auto"/>
        <w:rPr>
          <w:rFonts w:eastAsia="Calibri"/>
          <w:lang w:val="es-ES" w:eastAsia="en-US"/>
        </w:rPr>
      </w:pPr>
      <w:r w:rsidRPr="00544B28">
        <w:rPr>
          <w:rFonts w:eastAsia="Calibri"/>
          <w:lang w:val="en-US" w:eastAsia="en-US"/>
        </w:rPr>
        <w:t xml:space="preserve">12. Zhang JJ, Dong X, Cao </w:t>
      </w:r>
      <w:proofErr w:type="spellStart"/>
      <w:r w:rsidRPr="00544B28">
        <w:rPr>
          <w:rFonts w:eastAsia="Calibri"/>
          <w:lang w:val="en-US" w:eastAsia="en-US"/>
        </w:rPr>
        <w:t>YY</w:t>
      </w:r>
      <w:proofErr w:type="spellEnd"/>
      <w:r w:rsidRPr="00544B28">
        <w:rPr>
          <w:rFonts w:eastAsia="Calibri"/>
          <w:lang w:val="en-US" w:eastAsia="en-US"/>
        </w:rPr>
        <w:t xml:space="preserve">, Yuan YD, Yang YB, Yan </w:t>
      </w:r>
      <w:proofErr w:type="spellStart"/>
      <w:r w:rsidRPr="00544B28">
        <w:rPr>
          <w:rFonts w:eastAsia="Calibri"/>
          <w:lang w:val="en-US" w:eastAsia="en-US"/>
        </w:rPr>
        <w:t>YQ</w:t>
      </w:r>
      <w:proofErr w:type="spellEnd"/>
      <w:r w:rsidRPr="00544B28">
        <w:rPr>
          <w:rFonts w:eastAsia="Calibri"/>
          <w:lang w:val="en-US" w:eastAsia="en-US"/>
        </w:rPr>
        <w:t xml:space="preserve">, et al. Clinical characteristics of 140 patients infected with SARS-CoV-2 in Wuhan, China. </w:t>
      </w:r>
      <w:proofErr w:type="spellStart"/>
      <w:r w:rsidRPr="00544B28">
        <w:rPr>
          <w:rFonts w:eastAsia="Calibri"/>
          <w:lang w:val="es-ES" w:eastAsia="en-US"/>
        </w:rPr>
        <w:t>Allergy</w:t>
      </w:r>
      <w:proofErr w:type="spellEnd"/>
      <w:r w:rsidRPr="00544B28">
        <w:rPr>
          <w:rFonts w:eastAsia="Calibri"/>
          <w:lang w:val="es-ES" w:eastAsia="en-US"/>
        </w:rPr>
        <w:t xml:space="preserve">. 2020; 75(7):1730-41. </w:t>
      </w:r>
      <w:proofErr w:type="spellStart"/>
      <w:r w:rsidRPr="00544B28">
        <w:rPr>
          <w:rFonts w:eastAsia="Calibri"/>
          <w:lang w:val="es-ES" w:eastAsia="en-US"/>
        </w:rPr>
        <w:t>DOI</w:t>
      </w:r>
      <w:proofErr w:type="spellEnd"/>
      <w:r w:rsidRPr="00544B28">
        <w:rPr>
          <w:rFonts w:eastAsia="Calibri"/>
          <w:lang w:val="es-ES" w:eastAsia="en-US"/>
        </w:rPr>
        <w:t>: 10.1111/</w:t>
      </w:r>
      <w:proofErr w:type="spellStart"/>
      <w:r w:rsidRPr="00544B28">
        <w:rPr>
          <w:rFonts w:eastAsia="Calibri"/>
          <w:lang w:val="es-ES" w:eastAsia="en-US"/>
        </w:rPr>
        <w:t>all.14238</w:t>
      </w:r>
      <w:proofErr w:type="spellEnd"/>
    </w:p>
    <w:p w14:paraId="13608C4F" w14:textId="77777777" w:rsidR="00544B28" w:rsidRPr="00544B28" w:rsidRDefault="00544B28" w:rsidP="00544B28">
      <w:pPr>
        <w:spacing w:line="360" w:lineRule="auto"/>
        <w:jc w:val="both"/>
        <w:rPr>
          <w:rFonts w:eastAsia="Calibri"/>
          <w:lang w:val="es-ES" w:eastAsia="en-US"/>
        </w:rPr>
      </w:pPr>
    </w:p>
    <w:p w14:paraId="79F3651F" w14:textId="77777777" w:rsidR="00544B28" w:rsidRPr="00544B28" w:rsidRDefault="00544B28" w:rsidP="00544B28">
      <w:pPr>
        <w:spacing w:line="360" w:lineRule="auto"/>
        <w:jc w:val="both"/>
        <w:rPr>
          <w:rFonts w:eastAsia="Calibri"/>
          <w:lang w:val="es-ES" w:eastAsia="en-US"/>
        </w:rPr>
      </w:pPr>
    </w:p>
    <w:p w14:paraId="097B5FD5" w14:textId="77777777" w:rsidR="00544B28" w:rsidRPr="00544B28" w:rsidRDefault="00544B28" w:rsidP="00544B28">
      <w:pPr>
        <w:spacing w:line="360" w:lineRule="auto"/>
        <w:jc w:val="center"/>
        <w:rPr>
          <w:b/>
          <w:bCs/>
          <w:lang w:val="es-ES" w:eastAsia="es-ES"/>
        </w:rPr>
      </w:pPr>
      <w:r w:rsidRPr="00544B28">
        <w:rPr>
          <w:b/>
          <w:bCs/>
          <w:lang w:val="es-ES" w:eastAsia="es-ES"/>
        </w:rPr>
        <w:t>Conflictos de interés</w:t>
      </w:r>
    </w:p>
    <w:p w14:paraId="5D1834BC" w14:textId="77777777" w:rsidR="00544B28" w:rsidRPr="00544B28" w:rsidRDefault="00544B28" w:rsidP="00544B28">
      <w:pPr>
        <w:spacing w:line="360" w:lineRule="auto"/>
        <w:jc w:val="both"/>
        <w:rPr>
          <w:lang w:val="es-ES" w:eastAsia="es-ES"/>
        </w:rPr>
      </w:pPr>
      <w:r w:rsidRPr="00544B28">
        <w:rPr>
          <w:lang w:val="es-ES" w:eastAsia="es-ES"/>
        </w:rPr>
        <w:t>Los autores no tienen conflictos de interés que declarar.</w:t>
      </w:r>
    </w:p>
    <w:p w14:paraId="04ABFFA5" w14:textId="77777777" w:rsidR="00544B28" w:rsidRPr="00544B28" w:rsidRDefault="00544B28" w:rsidP="00544B28">
      <w:pPr>
        <w:spacing w:line="360" w:lineRule="auto"/>
        <w:jc w:val="both"/>
        <w:rPr>
          <w:b/>
          <w:bCs/>
          <w:i/>
          <w:iCs/>
          <w:lang w:val="es-ES" w:eastAsia="es-ES"/>
        </w:rPr>
      </w:pPr>
    </w:p>
    <w:p w14:paraId="557B0D45" w14:textId="77777777" w:rsidR="00544B28" w:rsidRPr="00544B28" w:rsidRDefault="00544B28" w:rsidP="00544B28">
      <w:pPr>
        <w:spacing w:line="360" w:lineRule="auto"/>
        <w:jc w:val="center"/>
        <w:rPr>
          <w:b/>
          <w:bCs/>
          <w:lang w:val="es-ES" w:eastAsia="es-ES"/>
        </w:rPr>
      </w:pPr>
      <w:r w:rsidRPr="00544B28">
        <w:rPr>
          <w:b/>
          <w:bCs/>
          <w:lang w:val="es-ES" w:eastAsia="es-ES"/>
        </w:rPr>
        <w:t>Contribuciones de los autores</w:t>
      </w:r>
    </w:p>
    <w:p w14:paraId="6CB8EFF9" w14:textId="77777777" w:rsidR="00544B28" w:rsidRPr="00544B28" w:rsidRDefault="00544B28" w:rsidP="00544B28">
      <w:pPr>
        <w:spacing w:line="360" w:lineRule="auto"/>
        <w:jc w:val="both"/>
        <w:rPr>
          <w:lang w:val="es-ES" w:eastAsia="es-ES"/>
        </w:rPr>
      </w:pPr>
      <w:r w:rsidRPr="00544B28">
        <w:rPr>
          <w:lang w:val="es-ES" w:eastAsia="es-ES"/>
        </w:rPr>
        <w:t xml:space="preserve">Conceptualización: </w:t>
      </w:r>
      <w:r w:rsidRPr="00544B28">
        <w:rPr>
          <w:i/>
          <w:iCs/>
          <w:lang w:val="es-ES" w:eastAsia="es-ES"/>
        </w:rPr>
        <w:t xml:space="preserve">Alberto Rubén </w:t>
      </w:r>
      <w:proofErr w:type="spellStart"/>
      <w:r w:rsidRPr="00544B28">
        <w:rPr>
          <w:i/>
          <w:iCs/>
          <w:lang w:val="es-ES" w:eastAsia="es-ES"/>
        </w:rPr>
        <w:t>Piriz</w:t>
      </w:r>
      <w:proofErr w:type="spellEnd"/>
      <w:r w:rsidRPr="00544B28">
        <w:rPr>
          <w:i/>
          <w:iCs/>
          <w:lang w:val="es-ES" w:eastAsia="es-ES"/>
        </w:rPr>
        <w:t xml:space="preserve"> </w:t>
      </w:r>
      <w:proofErr w:type="spellStart"/>
      <w:r w:rsidRPr="00544B28">
        <w:rPr>
          <w:i/>
          <w:iCs/>
          <w:lang w:val="es-ES" w:eastAsia="es-ES"/>
        </w:rPr>
        <w:t>Assa</w:t>
      </w:r>
      <w:proofErr w:type="spellEnd"/>
      <w:r w:rsidRPr="00544B28">
        <w:rPr>
          <w:i/>
          <w:iCs/>
          <w:lang w:val="es-ES" w:eastAsia="es-ES"/>
        </w:rPr>
        <w:t xml:space="preserve">, Juan Carlos Ortiz Sablón, Gratel Ramos Hernández. </w:t>
      </w:r>
    </w:p>
    <w:p w14:paraId="0DDB107B" w14:textId="77777777" w:rsidR="00544B28" w:rsidRPr="00544B28" w:rsidRDefault="00544B28" w:rsidP="00544B28">
      <w:pPr>
        <w:spacing w:line="360" w:lineRule="auto"/>
        <w:jc w:val="both"/>
        <w:rPr>
          <w:lang w:val="es-ES" w:eastAsia="es-ES"/>
        </w:rPr>
      </w:pPr>
      <w:r w:rsidRPr="00544B28">
        <w:rPr>
          <w:lang w:val="es-ES" w:eastAsia="es-ES"/>
        </w:rPr>
        <w:t xml:space="preserve">Curación de datos: </w:t>
      </w:r>
      <w:r w:rsidRPr="00544B28">
        <w:rPr>
          <w:i/>
          <w:iCs/>
          <w:lang w:val="es-ES" w:eastAsia="es-ES"/>
        </w:rPr>
        <w:t xml:space="preserve">Juan Carlos Ortiz Sablón, Yarima </w:t>
      </w:r>
      <w:proofErr w:type="spellStart"/>
      <w:r w:rsidRPr="00544B28">
        <w:rPr>
          <w:i/>
          <w:iCs/>
          <w:lang w:val="es-ES" w:eastAsia="es-ES"/>
        </w:rPr>
        <w:t>Poll</w:t>
      </w:r>
      <w:proofErr w:type="spellEnd"/>
      <w:r w:rsidRPr="00544B28">
        <w:rPr>
          <w:i/>
          <w:iCs/>
          <w:lang w:val="es-ES" w:eastAsia="es-ES"/>
        </w:rPr>
        <w:t xml:space="preserve"> Ayala.</w:t>
      </w:r>
    </w:p>
    <w:p w14:paraId="2813FD40" w14:textId="77777777" w:rsidR="00544B28" w:rsidRPr="00544B28" w:rsidRDefault="00544B28" w:rsidP="00544B28">
      <w:pPr>
        <w:spacing w:line="360" w:lineRule="auto"/>
        <w:jc w:val="both"/>
        <w:rPr>
          <w:lang w:val="es-ES" w:eastAsia="es-ES"/>
        </w:rPr>
      </w:pPr>
      <w:r w:rsidRPr="00544B28">
        <w:rPr>
          <w:lang w:val="es-ES" w:eastAsia="es-ES"/>
        </w:rPr>
        <w:t xml:space="preserve">Análisis formal: </w:t>
      </w:r>
      <w:r w:rsidRPr="00544B28">
        <w:rPr>
          <w:i/>
          <w:iCs/>
          <w:lang w:val="es-ES" w:eastAsia="es-ES"/>
        </w:rPr>
        <w:t xml:space="preserve">Alberto Rubén </w:t>
      </w:r>
      <w:proofErr w:type="spellStart"/>
      <w:r w:rsidRPr="00544B28">
        <w:rPr>
          <w:i/>
          <w:iCs/>
          <w:lang w:val="es-ES" w:eastAsia="es-ES"/>
        </w:rPr>
        <w:t>Piriz</w:t>
      </w:r>
      <w:proofErr w:type="spellEnd"/>
      <w:r w:rsidRPr="00544B28">
        <w:rPr>
          <w:i/>
          <w:iCs/>
          <w:lang w:val="es-ES" w:eastAsia="es-ES"/>
        </w:rPr>
        <w:t xml:space="preserve"> </w:t>
      </w:r>
      <w:proofErr w:type="spellStart"/>
      <w:r w:rsidRPr="00544B28">
        <w:rPr>
          <w:i/>
          <w:iCs/>
          <w:lang w:val="es-ES" w:eastAsia="es-ES"/>
        </w:rPr>
        <w:t>Assa</w:t>
      </w:r>
      <w:proofErr w:type="spellEnd"/>
      <w:r w:rsidRPr="00544B28">
        <w:rPr>
          <w:i/>
          <w:iCs/>
          <w:lang w:val="es-ES" w:eastAsia="es-ES"/>
        </w:rPr>
        <w:t xml:space="preserve">, Juan Carlos Ortiz Sablón, Yudith Aracelis </w:t>
      </w:r>
      <w:proofErr w:type="spellStart"/>
      <w:r w:rsidRPr="00544B28">
        <w:rPr>
          <w:i/>
          <w:iCs/>
          <w:lang w:val="es-ES" w:eastAsia="es-ES"/>
        </w:rPr>
        <w:t>Fornaris</w:t>
      </w:r>
      <w:proofErr w:type="spellEnd"/>
      <w:r w:rsidRPr="00544B28">
        <w:rPr>
          <w:i/>
          <w:iCs/>
          <w:lang w:val="es-ES" w:eastAsia="es-ES"/>
        </w:rPr>
        <w:t xml:space="preserve"> Pérez.</w:t>
      </w:r>
      <w:r w:rsidRPr="00544B28">
        <w:rPr>
          <w:lang w:val="es-ES" w:eastAsia="es-ES"/>
        </w:rPr>
        <w:t xml:space="preserve"> </w:t>
      </w:r>
    </w:p>
    <w:p w14:paraId="21E74D6E" w14:textId="77777777" w:rsidR="00544B28" w:rsidRPr="00544B28" w:rsidRDefault="00544B28" w:rsidP="00544B28">
      <w:pPr>
        <w:spacing w:line="360" w:lineRule="auto"/>
        <w:jc w:val="both"/>
        <w:rPr>
          <w:lang w:val="es-ES" w:eastAsia="es-ES"/>
        </w:rPr>
      </w:pPr>
      <w:r w:rsidRPr="00544B28">
        <w:rPr>
          <w:lang w:val="es-ES" w:eastAsia="es-ES"/>
        </w:rPr>
        <w:t xml:space="preserve">Adquisición de fondos: </w:t>
      </w:r>
      <w:r w:rsidRPr="00544B28">
        <w:rPr>
          <w:i/>
          <w:iCs/>
          <w:lang w:val="es-ES" w:eastAsia="es-ES"/>
        </w:rPr>
        <w:t xml:space="preserve">Gratel Ramos Hernández, Yudith Aracelis </w:t>
      </w:r>
      <w:proofErr w:type="spellStart"/>
      <w:r w:rsidRPr="00544B28">
        <w:rPr>
          <w:i/>
          <w:iCs/>
          <w:lang w:val="es-ES" w:eastAsia="es-ES"/>
        </w:rPr>
        <w:t>Fornaris</w:t>
      </w:r>
      <w:proofErr w:type="spellEnd"/>
      <w:r w:rsidRPr="00544B28">
        <w:rPr>
          <w:i/>
          <w:iCs/>
          <w:lang w:val="es-ES" w:eastAsia="es-ES"/>
        </w:rPr>
        <w:t xml:space="preserve"> Pérez, Yarima </w:t>
      </w:r>
      <w:proofErr w:type="spellStart"/>
      <w:r w:rsidRPr="00544B28">
        <w:rPr>
          <w:i/>
          <w:iCs/>
          <w:lang w:val="es-ES" w:eastAsia="es-ES"/>
        </w:rPr>
        <w:t>Poll</w:t>
      </w:r>
      <w:proofErr w:type="spellEnd"/>
      <w:r w:rsidRPr="00544B28">
        <w:rPr>
          <w:i/>
          <w:iCs/>
          <w:lang w:val="es-ES" w:eastAsia="es-ES"/>
        </w:rPr>
        <w:t xml:space="preserve"> Ayala.</w:t>
      </w:r>
    </w:p>
    <w:p w14:paraId="41922BE2" w14:textId="77777777" w:rsidR="00544B28" w:rsidRPr="00544B28" w:rsidRDefault="00544B28" w:rsidP="00544B28">
      <w:pPr>
        <w:spacing w:line="360" w:lineRule="auto"/>
        <w:jc w:val="both"/>
        <w:rPr>
          <w:lang w:val="es-ES" w:eastAsia="es-ES"/>
        </w:rPr>
      </w:pPr>
      <w:r w:rsidRPr="00544B28">
        <w:rPr>
          <w:lang w:val="es-ES" w:eastAsia="es-ES"/>
        </w:rPr>
        <w:t xml:space="preserve">Investigación: </w:t>
      </w:r>
      <w:r w:rsidRPr="00544B28">
        <w:rPr>
          <w:i/>
          <w:iCs/>
          <w:lang w:val="es-ES" w:eastAsia="es-ES"/>
        </w:rPr>
        <w:t xml:space="preserve">Alberto Rubén </w:t>
      </w:r>
      <w:proofErr w:type="spellStart"/>
      <w:r w:rsidRPr="00544B28">
        <w:rPr>
          <w:i/>
          <w:iCs/>
          <w:lang w:val="es-ES" w:eastAsia="es-ES"/>
        </w:rPr>
        <w:t>Piriz</w:t>
      </w:r>
      <w:proofErr w:type="spellEnd"/>
      <w:r w:rsidRPr="00544B28">
        <w:rPr>
          <w:i/>
          <w:iCs/>
          <w:lang w:val="es-ES" w:eastAsia="es-ES"/>
        </w:rPr>
        <w:t xml:space="preserve"> </w:t>
      </w:r>
      <w:proofErr w:type="spellStart"/>
      <w:r w:rsidRPr="00544B28">
        <w:rPr>
          <w:i/>
          <w:iCs/>
          <w:lang w:val="es-ES" w:eastAsia="es-ES"/>
        </w:rPr>
        <w:t>Assa</w:t>
      </w:r>
      <w:proofErr w:type="spellEnd"/>
      <w:r w:rsidRPr="00544B28">
        <w:rPr>
          <w:i/>
          <w:iCs/>
          <w:lang w:val="es-ES" w:eastAsia="es-ES"/>
        </w:rPr>
        <w:t xml:space="preserve">, Juan Carlos Ortiz Sablón, Yarima </w:t>
      </w:r>
      <w:proofErr w:type="spellStart"/>
      <w:r w:rsidRPr="00544B28">
        <w:rPr>
          <w:i/>
          <w:iCs/>
          <w:lang w:val="es-ES" w:eastAsia="es-ES"/>
        </w:rPr>
        <w:t>Poll</w:t>
      </w:r>
      <w:proofErr w:type="spellEnd"/>
      <w:r w:rsidRPr="00544B28">
        <w:rPr>
          <w:i/>
          <w:iCs/>
          <w:lang w:val="es-ES" w:eastAsia="es-ES"/>
        </w:rPr>
        <w:t xml:space="preserve"> Ayala.</w:t>
      </w:r>
    </w:p>
    <w:p w14:paraId="1FAA5C6A" w14:textId="77777777" w:rsidR="00544B28" w:rsidRPr="00544B28" w:rsidRDefault="00544B28" w:rsidP="00544B28">
      <w:pPr>
        <w:spacing w:line="360" w:lineRule="auto"/>
        <w:jc w:val="both"/>
        <w:rPr>
          <w:lang w:val="es-ES" w:eastAsia="es-ES"/>
        </w:rPr>
      </w:pPr>
      <w:r w:rsidRPr="00544B28">
        <w:rPr>
          <w:lang w:val="es-ES" w:eastAsia="es-ES"/>
        </w:rPr>
        <w:t xml:space="preserve">Metodología: </w:t>
      </w:r>
      <w:r w:rsidRPr="00544B28">
        <w:rPr>
          <w:i/>
          <w:iCs/>
          <w:lang w:val="es-ES" w:eastAsia="es-ES"/>
        </w:rPr>
        <w:t xml:space="preserve">Alberto Rubén </w:t>
      </w:r>
      <w:proofErr w:type="spellStart"/>
      <w:r w:rsidRPr="00544B28">
        <w:rPr>
          <w:i/>
          <w:iCs/>
          <w:lang w:val="es-ES" w:eastAsia="es-ES"/>
        </w:rPr>
        <w:t>Piriz</w:t>
      </w:r>
      <w:proofErr w:type="spellEnd"/>
      <w:r w:rsidRPr="00544B28">
        <w:rPr>
          <w:i/>
          <w:iCs/>
          <w:lang w:val="es-ES" w:eastAsia="es-ES"/>
        </w:rPr>
        <w:t xml:space="preserve"> </w:t>
      </w:r>
      <w:proofErr w:type="spellStart"/>
      <w:r w:rsidRPr="00544B28">
        <w:rPr>
          <w:i/>
          <w:iCs/>
          <w:lang w:val="es-ES" w:eastAsia="es-ES"/>
        </w:rPr>
        <w:t>Assa</w:t>
      </w:r>
      <w:proofErr w:type="spellEnd"/>
      <w:r w:rsidRPr="00544B28">
        <w:rPr>
          <w:i/>
          <w:iCs/>
          <w:lang w:val="es-ES" w:eastAsia="es-ES"/>
        </w:rPr>
        <w:t>, Gratel Ramos Hernández.</w:t>
      </w:r>
      <w:r w:rsidRPr="00544B28">
        <w:rPr>
          <w:lang w:val="es-ES" w:eastAsia="es-ES"/>
        </w:rPr>
        <w:t xml:space="preserve"> </w:t>
      </w:r>
    </w:p>
    <w:p w14:paraId="65A803C8" w14:textId="77777777" w:rsidR="00544B28" w:rsidRPr="00544B28" w:rsidRDefault="00544B28" w:rsidP="00544B28">
      <w:pPr>
        <w:spacing w:line="360" w:lineRule="auto"/>
        <w:jc w:val="both"/>
        <w:rPr>
          <w:lang w:val="es-ES" w:eastAsia="es-ES"/>
        </w:rPr>
      </w:pPr>
      <w:r w:rsidRPr="00544B28">
        <w:rPr>
          <w:lang w:val="es-ES" w:eastAsia="es-ES"/>
        </w:rPr>
        <w:t xml:space="preserve">Administración del proyecto: </w:t>
      </w:r>
      <w:r w:rsidRPr="00544B28">
        <w:rPr>
          <w:i/>
          <w:iCs/>
          <w:lang w:val="es-ES" w:eastAsia="es-ES"/>
        </w:rPr>
        <w:t>Gratel Ramos Hernández.</w:t>
      </w:r>
      <w:r w:rsidRPr="00544B28">
        <w:rPr>
          <w:lang w:val="es-ES" w:eastAsia="es-ES"/>
        </w:rPr>
        <w:t xml:space="preserve"> </w:t>
      </w:r>
    </w:p>
    <w:p w14:paraId="79A5EF1D" w14:textId="77777777" w:rsidR="00544B28" w:rsidRPr="00544B28" w:rsidRDefault="00544B28" w:rsidP="00544B28">
      <w:pPr>
        <w:spacing w:line="360" w:lineRule="auto"/>
        <w:jc w:val="both"/>
        <w:rPr>
          <w:lang w:val="es-ES" w:eastAsia="es-ES"/>
        </w:rPr>
      </w:pPr>
      <w:r w:rsidRPr="00544B28">
        <w:rPr>
          <w:lang w:val="es-ES" w:eastAsia="es-ES"/>
        </w:rPr>
        <w:lastRenderedPageBreak/>
        <w:t xml:space="preserve">Recursos: </w:t>
      </w:r>
      <w:r w:rsidRPr="00544B28">
        <w:rPr>
          <w:i/>
          <w:iCs/>
          <w:lang w:val="es-ES" w:eastAsia="es-ES"/>
        </w:rPr>
        <w:t xml:space="preserve">Alberto Rubén </w:t>
      </w:r>
      <w:proofErr w:type="spellStart"/>
      <w:r w:rsidRPr="00544B28">
        <w:rPr>
          <w:i/>
          <w:iCs/>
          <w:lang w:val="es-ES" w:eastAsia="es-ES"/>
        </w:rPr>
        <w:t>Piriz</w:t>
      </w:r>
      <w:proofErr w:type="spellEnd"/>
      <w:r w:rsidRPr="00544B28">
        <w:rPr>
          <w:i/>
          <w:iCs/>
          <w:lang w:val="es-ES" w:eastAsia="es-ES"/>
        </w:rPr>
        <w:t xml:space="preserve"> </w:t>
      </w:r>
      <w:proofErr w:type="spellStart"/>
      <w:r w:rsidRPr="00544B28">
        <w:rPr>
          <w:i/>
          <w:iCs/>
          <w:lang w:val="es-ES" w:eastAsia="es-ES"/>
        </w:rPr>
        <w:t>Assa</w:t>
      </w:r>
      <w:proofErr w:type="spellEnd"/>
      <w:r w:rsidRPr="00544B28">
        <w:rPr>
          <w:i/>
          <w:iCs/>
          <w:lang w:val="es-ES" w:eastAsia="es-ES"/>
        </w:rPr>
        <w:t xml:space="preserve">, Yudith Aracelis </w:t>
      </w:r>
      <w:proofErr w:type="spellStart"/>
      <w:r w:rsidRPr="00544B28">
        <w:rPr>
          <w:i/>
          <w:iCs/>
          <w:lang w:val="es-ES" w:eastAsia="es-ES"/>
        </w:rPr>
        <w:t>Fornaris</w:t>
      </w:r>
      <w:proofErr w:type="spellEnd"/>
      <w:r w:rsidRPr="00544B28">
        <w:rPr>
          <w:i/>
          <w:iCs/>
          <w:lang w:val="es-ES" w:eastAsia="es-ES"/>
        </w:rPr>
        <w:t xml:space="preserve"> Pérez.</w:t>
      </w:r>
      <w:r w:rsidRPr="00544B28">
        <w:rPr>
          <w:lang w:val="es-ES" w:eastAsia="es-ES"/>
        </w:rPr>
        <w:t xml:space="preserve"> </w:t>
      </w:r>
    </w:p>
    <w:p w14:paraId="6DD3151B" w14:textId="77777777" w:rsidR="00544B28" w:rsidRPr="00544B28" w:rsidRDefault="00544B28" w:rsidP="00544B28">
      <w:pPr>
        <w:spacing w:line="360" w:lineRule="auto"/>
        <w:jc w:val="both"/>
        <w:rPr>
          <w:lang w:val="es-ES" w:eastAsia="es-ES"/>
        </w:rPr>
      </w:pPr>
      <w:r w:rsidRPr="00544B28">
        <w:rPr>
          <w:lang w:val="es-ES" w:eastAsia="es-ES"/>
        </w:rPr>
        <w:t xml:space="preserve">Supervisión: </w:t>
      </w:r>
      <w:r w:rsidRPr="00544B28">
        <w:rPr>
          <w:i/>
          <w:iCs/>
          <w:lang w:val="es-ES" w:eastAsia="es-ES"/>
        </w:rPr>
        <w:t xml:space="preserve">Alberto Rubén </w:t>
      </w:r>
      <w:proofErr w:type="spellStart"/>
      <w:r w:rsidRPr="00544B28">
        <w:rPr>
          <w:i/>
          <w:iCs/>
          <w:lang w:val="es-ES" w:eastAsia="es-ES"/>
        </w:rPr>
        <w:t>Piriz</w:t>
      </w:r>
      <w:proofErr w:type="spellEnd"/>
      <w:r w:rsidRPr="00544B28">
        <w:rPr>
          <w:i/>
          <w:iCs/>
          <w:lang w:val="es-ES" w:eastAsia="es-ES"/>
        </w:rPr>
        <w:t xml:space="preserve"> </w:t>
      </w:r>
      <w:proofErr w:type="spellStart"/>
      <w:r w:rsidRPr="00544B28">
        <w:rPr>
          <w:i/>
          <w:iCs/>
          <w:lang w:val="es-ES" w:eastAsia="es-ES"/>
        </w:rPr>
        <w:t>Assa</w:t>
      </w:r>
      <w:proofErr w:type="spellEnd"/>
      <w:r w:rsidRPr="00544B28">
        <w:rPr>
          <w:i/>
          <w:iCs/>
          <w:lang w:val="es-ES" w:eastAsia="es-ES"/>
        </w:rPr>
        <w:t>, Juan Carlos Ortiz Sablón.</w:t>
      </w:r>
      <w:r w:rsidRPr="00544B28">
        <w:rPr>
          <w:lang w:val="es-ES" w:eastAsia="es-ES"/>
        </w:rPr>
        <w:t xml:space="preserve"> </w:t>
      </w:r>
    </w:p>
    <w:p w14:paraId="55DDAA76" w14:textId="77777777" w:rsidR="00544B28" w:rsidRPr="00544B28" w:rsidRDefault="00544B28" w:rsidP="00544B28">
      <w:pPr>
        <w:spacing w:line="360" w:lineRule="auto"/>
        <w:jc w:val="both"/>
        <w:rPr>
          <w:lang w:val="es-ES" w:eastAsia="es-ES"/>
        </w:rPr>
      </w:pPr>
      <w:r w:rsidRPr="00544B28">
        <w:rPr>
          <w:lang w:val="es-ES" w:eastAsia="es-ES"/>
        </w:rPr>
        <w:t xml:space="preserve">Validación: </w:t>
      </w:r>
      <w:r w:rsidRPr="00544B28">
        <w:rPr>
          <w:i/>
          <w:iCs/>
          <w:lang w:val="es-ES" w:eastAsia="es-ES"/>
        </w:rPr>
        <w:t xml:space="preserve">Gratel Ramos Hernández, Yudith Aracelis </w:t>
      </w:r>
      <w:proofErr w:type="spellStart"/>
      <w:r w:rsidRPr="00544B28">
        <w:rPr>
          <w:i/>
          <w:iCs/>
          <w:lang w:val="es-ES" w:eastAsia="es-ES"/>
        </w:rPr>
        <w:t>Fornaris</w:t>
      </w:r>
      <w:proofErr w:type="spellEnd"/>
      <w:r w:rsidRPr="00544B28">
        <w:rPr>
          <w:i/>
          <w:iCs/>
          <w:lang w:val="es-ES" w:eastAsia="es-ES"/>
        </w:rPr>
        <w:t xml:space="preserve"> Pérez.</w:t>
      </w:r>
      <w:r w:rsidRPr="00544B28">
        <w:rPr>
          <w:lang w:val="es-ES" w:eastAsia="es-ES"/>
        </w:rPr>
        <w:t xml:space="preserve"> </w:t>
      </w:r>
    </w:p>
    <w:p w14:paraId="33E1623C" w14:textId="77777777" w:rsidR="00544B28" w:rsidRPr="00544B28" w:rsidRDefault="00544B28" w:rsidP="00544B28">
      <w:pPr>
        <w:spacing w:line="360" w:lineRule="auto"/>
        <w:jc w:val="both"/>
        <w:rPr>
          <w:lang w:val="es-ES" w:eastAsia="es-ES"/>
        </w:rPr>
      </w:pPr>
      <w:r w:rsidRPr="00544B28">
        <w:rPr>
          <w:lang w:val="es-ES" w:eastAsia="es-ES"/>
        </w:rPr>
        <w:t xml:space="preserve">Visualización: </w:t>
      </w:r>
      <w:r w:rsidRPr="00544B28">
        <w:rPr>
          <w:i/>
          <w:iCs/>
          <w:lang w:val="es-ES" w:eastAsia="es-ES"/>
        </w:rPr>
        <w:t xml:space="preserve">Alberto Rubén </w:t>
      </w:r>
      <w:proofErr w:type="spellStart"/>
      <w:r w:rsidRPr="00544B28">
        <w:rPr>
          <w:i/>
          <w:iCs/>
          <w:lang w:val="es-ES" w:eastAsia="es-ES"/>
        </w:rPr>
        <w:t>Piriz</w:t>
      </w:r>
      <w:proofErr w:type="spellEnd"/>
      <w:r w:rsidRPr="00544B28">
        <w:rPr>
          <w:i/>
          <w:iCs/>
          <w:lang w:val="es-ES" w:eastAsia="es-ES"/>
        </w:rPr>
        <w:t xml:space="preserve"> </w:t>
      </w:r>
      <w:proofErr w:type="spellStart"/>
      <w:r w:rsidRPr="00544B28">
        <w:rPr>
          <w:i/>
          <w:iCs/>
          <w:lang w:val="es-ES" w:eastAsia="es-ES"/>
        </w:rPr>
        <w:t>Assa</w:t>
      </w:r>
      <w:proofErr w:type="spellEnd"/>
      <w:r w:rsidRPr="00544B28">
        <w:rPr>
          <w:i/>
          <w:iCs/>
          <w:lang w:val="es-ES" w:eastAsia="es-ES"/>
        </w:rPr>
        <w:t xml:space="preserve">, Juan Carlos Ortiz Sablón, Yarima </w:t>
      </w:r>
      <w:proofErr w:type="spellStart"/>
      <w:r w:rsidRPr="00544B28">
        <w:rPr>
          <w:i/>
          <w:iCs/>
          <w:lang w:val="es-ES" w:eastAsia="es-ES"/>
        </w:rPr>
        <w:t>Poll</w:t>
      </w:r>
      <w:proofErr w:type="spellEnd"/>
      <w:r w:rsidRPr="00544B28">
        <w:rPr>
          <w:i/>
          <w:iCs/>
          <w:lang w:val="es-ES" w:eastAsia="es-ES"/>
        </w:rPr>
        <w:t xml:space="preserve"> Ayala.</w:t>
      </w:r>
    </w:p>
    <w:p w14:paraId="68826AD1" w14:textId="77777777" w:rsidR="00544B28" w:rsidRPr="00544B28" w:rsidRDefault="00544B28" w:rsidP="00544B28">
      <w:pPr>
        <w:spacing w:line="360" w:lineRule="auto"/>
        <w:jc w:val="both"/>
        <w:rPr>
          <w:lang w:val="es-ES" w:eastAsia="es-ES"/>
        </w:rPr>
      </w:pPr>
      <w:r w:rsidRPr="00544B28">
        <w:rPr>
          <w:lang w:val="es-ES" w:eastAsia="es-ES"/>
        </w:rPr>
        <w:t xml:space="preserve">Redacción – borrador original: </w:t>
      </w:r>
      <w:r w:rsidRPr="00544B28">
        <w:rPr>
          <w:i/>
          <w:iCs/>
          <w:lang w:val="es-ES" w:eastAsia="es-ES"/>
        </w:rPr>
        <w:t xml:space="preserve">Alberto Rubén </w:t>
      </w:r>
      <w:proofErr w:type="spellStart"/>
      <w:r w:rsidRPr="00544B28">
        <w:rPr>
          <w:i/>
          <w:iCs/>
          <w:lang w:val="es-ES" w:eastAsia="es-ES"/>
        </w:rPr>
        <w:t>Piriz</w:t>
      </w:r>
      <w:proofErr w:type="spellEnd"/>
      <w:r w:rsidRPr="00544B28">
        <w:rPr>
          <w:i/>
          <w:iCs/>
          <w:lang w:val="es-ES" w:eastAsia="es-ES"/>
        </w:rPr>
        <w:t xml:space="preserve"> </w:t>
      </w:r>
      <w:proofErr w:type="spellStart"/>
      <w:r w:rsidRPr="00544B28">
        <w:rPr>
          <w:i/>
          <w:iCs/>
          <w:lang w:val="es-ES" w:eastAsia="es-ES"/>
        </w:rPr>
        <w:t>Assa</w:t>
      </w:r>
      <w:proofErr w:type="spellEnd"/>
      <w:r w:rsidRPr="00544B28">
        <w:rPr>
          <w:i/>
          <w:iCs/>
          <w:lang w:val="es-ES" w:eastAsia="es-ES"/>
        </w:rPr>
        <w:t xml:space="preserve">, Yarima </w:t>
      </w:r>
      <w:proofErr w:type="spellStart"/>
      <w:r w:rsidRPr="00544B28">
        <w:rPr>
          <w:i/>
          <w:iCs/>
          <w:lang w:val="es-ES" w:eastAsia="es-ES"/>
        </w:rPr>
        <w:t>Poll</w:t>
      </w:r>
      <w:proofErr w:type="spellEnd"/>
      <w:r w:rsidRPr="00544B28">
        <w:rPr>
          <w:i/>
          <w:iCs/>
          <w:lang w:val="es-ES" w:eastAsia="es-ES"/>
        </w:rPr>
        <w:t xml:space="preserve"> Ayala.</w:t>
      </w:r>
    </w:p>
    <w:p w14:paraId="6E48B7A7" w14:textId="77777777" w:rsidR="00544B28" w:rsidRPr="00544B28" w:rsidRDefault="00544B28" w:rsidP="00544B28">
      <w:pPr>
        <w:spacing w:line="360" w:lineRule="auto"/>
        <w:jc w:val="both"/>
        <w:rPr>
          <w:lang w:val="es-ES" w:eastAsia="es-ES"/>
        </w:rPr>
      </w:pPr>
      <w:r w:rsidRPr="00544B28">
        <w:rPr>
          <w:lang w:val="es-ES" w:eastAsia="es-ES"/>
        </w:rPr>
        <w:t xml:space="preserve">Redacción – revisión y edición: </w:t>
      </w:r>
      <w:r w:rsidRPr="00544B28">
        <w:rPr>
          <w:i/>
          <w:iCs/>
          <w:lang w:val="es-ES" w:eastAsia="es-ES"/>
        </w:rPr>
        <w:t xml:space="preserve">Alberto Rubén </w:t>
      </w:r>
      <w:proofErr w:type="spellStart"/>
      <w:r w:rsidRPr="00544B28">
        <w:rPr>
          <w:i/>
          <w:iCs/>
          <w:lang w:val="es-ES" w:eastAsia="es-ES"/>
        </w:rPr>
        <w:t>Piriz</w:t>
      </w:r>
      <w:proofErr w:type="spellEnd"/>
      <w:r w:rsidRPr="00544B28">
        <w:rPr>
          <w:i/>
          <w:iCs/>
          <w:lang w:val="es-ES" w:eastAsia="es-ES"/>
        </w:rPr>
        <w:t xml:space="preserve"> </w:t>
      </w:r>
      <w:proofErr w:type="spellStart"/>
      <w:r w:rsidRPr="00544B28">
        <w:rPr>
          <w:i/>
          <w:iCs/>
          <w:lang w:val="es-ES" w:eastAsia="es-ES"/>
        </w:rPr>
        <w:t>Assa</w:t>
      </w:r>
      <w:proofErr w:type="spellEnd"/>
      <w:r w:rsidRPr="00544B28">
        <w:rPr>
          <w:i/>
          <w:iCs/>
          <w:lang w:val="es-ES" w:eastAsia="es-ES"/>
        </w:rPr>
        <w:t>, Juan Carlos Ortiz Sablón, Gratel Ramos Hernández.</w:t>
      </w:r>
    </w:p>
    <w:p w14:paraId="76BA78CD" w14:textId="77777777" w:rsidR="00675476" w:rsidRPr="00544B28" w:rsidRDefault="00675476" w:rsidP="00EA1FEF">
      <w:pPr>
        <w:pStyle w:val="PDFRevista"/>
        <w:rPr>
          <w:lang w:val="es-ES"/>
        </w:rPr>
      </w:pPr>
    </w:p>
    <w:sectPr w:rsidR="00675476" w:rsidRPr="00544B28" w:rsidSect="00FD3DF8">
      <w:headerReference w:type="default" r:id="rId23"/>
      <w:footerReference w:type="even" r:id="rId24"/>
      <w:footerReference w:type="default" r:id="rId2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5BC7D" w14:textId="77777777" w:rsidR="00C515B2" w:rsidRDefault="00C515B2">
      <w:r>
        <w:separator/>
      </w:r>
    </w:p>
  </w:endnote>
  <w:endnote w:type="continuationSeparator" w:id="0">
    <w:p w14:paraId="42F524C6" w14:textId="77777777" w:rsidR="00C515B2" w:rsidRDefault="00C51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D8FD3"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8A36BF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87426" w14:textId="43265158" w:rsidR="000F3690" w:rsidRPr="00AE044C" w:rsidRDefault="00544B28"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03A19BD9" wp14:editId="6FDE6DC7">
              <wp:simplePos x="0" y="0"/>
              <wp:positionH relativeFrom="column">
                <wp:posOffset>3810</wp:posOffset>
              </wp:positionH>
              <wp:positionV relativeFrom="paragraph">
                <wp:posOffset>50165</wp:posOffset>
              </wp:positionV>
              <wp:extent cx="6286500" cy="19050"/>
              <wp:effectExtent l="19050" t="19050" r="0" b="0"/>
              <wp:wrapNone/>
              <wp:docPr id="2064962593"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E27B89"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01FCA648"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5483CEC7"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5FA09218" w14:textId="2E7C4C35"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544B28" w:rsidRPr="00544B28">
      <w:rPr>
        <w:rFonts w:ascii="Verdana" w:hAnsi="Verdana"/>
        <w:noProof/>
        <w:sz w:val="18"/>
        <w:szCs w:val="18"/>
        <w:lang w:val="en-US" w:eastAsia="en-US"/>
      </w:rPr>
      <w:drawing>
        <wp:inline distT="0" distB="0" distL="0" distR="0" wp14:anchorId="69E477F2" wp14:editId="5554BA4F">
          <wp:extent cx="641350" cy="14986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1350" cy="1498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87A6F" w14:textId="77777777" w:rsidR="00C515B2" w:rsidRDefault="00C515B2">
      <w:r>
        <w:separator/>
      </w:r>
    </w:p>
  </w:footnote>
  <w:footnote w:type="continuationSeparator" w:id="0">
    <w:p w14:paraId="64CE5554" w14:textId="77777777" w:rsidR="00C515B2" w:rsidRDefault="00C51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EE055" w14:textId="5931E7F9" w:rsidR="00CC376A" w:rsidRPr="00AE044C" w:rsidRDefault="00544B28"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39771220" wp14:editId="1DC993A5">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e02302419</w:t>
    </w:r>
    <w:proofErr w:type="spellEnd"/>
  </w:p>
  <w:p w14:paraId="14A0D2C1" w14:textId="680935F8" w:rsidR="00A477DE" w:rsidRDefault="00544B28">
    <w:r>
      <w:rPr>
        <w:noProof/>
      </w:rPr>
      <mc:AlternateContent>
        <mc:Choice Requires="wps">
          <w:drawing>
            <wp:anchor distT="0" distB="0" distL="114300" distR="114300" simplePos="0" relativeHeight="251654144" behindDoc="0" locked="0" layoutInCell="1" allowOverlap="1" wp14:anchorId="27FF2E58" wp14:editId="7CA52F01">
              <wp:simplePos x="0" y="0"/>
              <wp:positionH relativeFrom="column">
                <wp:posOffset>635</wp:posOffset>
              </wp:positionH>
              <wp:positionV relativeFrom="paragraph">
                <wp:posOffset>42545</wp:posOffset>
              </wp:positionV>
              <wp:extent cx="6307455" cy="28575"/>
              <wp:effectExtent l="19050" t="19050" r="17145" b="9525"/>
              <wp:wrapNone/>
              <wp:docPr id="1285363810"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DB7B58"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6EE2"/>
    <w:multiLevelType w:val="hybridMultilevel"/>
    <w:tmpl w:val="339403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00520B"/>
    <w:multiLevelType w:val="hybridMultilevel"/>
    <w:tmpl w:val="9E4AE636"/>
    <w:lvl w:ilvl="0" w:tplc="75104B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A465E"/>
    <w:multiLevelType w:val="hybridMultilevel"/>
    <w:tmpl w:val="169A58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2456FDB"/>
    <w:multiLevelType w:val="multilevel"/>
    <w:tmpl w:val="CB40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B0F71"/>
    <w:multiLevelType w:val="hybridMultilevel"/>
    <w:tmpl w:val="6756AFD0"/>
    <w:lvl w:ilvl="0" w:tplc="1C4AC0F8">
      <w:start w:val="1"/>
      <w:numFmt w:val="bullet"/>
      <w:lvlText w:val="-"/>
      <w:lvlJc w:val="left"/>
      <w:pPr>
        <w:ind w:left="720" w:hanging="360"/>
      </w:pPr>
      <w:rPr>
        <w:rFonts w:ascii="Calibri" w:eastAsiaTheme="minorHAnsi" w:hAnsi="Calibri" w:cs="Calibri"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15:restartNumberingAfterBreak="0">
    <w:nsid w:val="41727956"/>
    <w:multiLevelType w:val="hybridMultilevel"/>
    <w:tmpl w:val="6C28A11E"/>
    <w:lvl w:ilvl="0" w:tplc="C798BBB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45A0571"/>
    <w:multiLevelType w:val="hybridMultilevel"/>
    <w:tmpl w:val="BDB07816"/>
    <w:lvl w:ilvl="0" w:tplc="0C0A0001">
      <w:start w:val="1"/>
      <w:numFmt w:val="bullet"/>
      <w:lvlText w:val=""/>
      <w:lvlJc w:val="left"/>
      <w:pPr>
        <w:ind w:left="790" w:hanging="360"/>
      </w:pPr>
      <w:rPr>
        <w:rFonts w:ascii="Symbol" w:hAnsi="Symbol" w:hint="default"/>
      </w:rPr>
    </w:lvl>
    <w:lvl w:ilvl="1" w:tplc="0C0A0003" w:tentative="1">
      <w:start w:val="1"/>
      <w:numFmt w:val="bullet"/>
      <w:lvlText w:val="o"/>
      <w:lvlJc w:val="left"/>
      <w:pPr>
        <w:ind w:left="1510" w:hanging="360"/>
      </w:pPr>
      <w:rPr>
        <w:rFonts w:ascii="Courier New" w:hAnsi="Courier New" w:cs="Courier New" w:hint="default"/>
      </w:rPr>
    </w:lvl>
    <w:lvl w:ilvl="2" w:tplc="0C0A0005" w:tentative="1">
      <w:start w:val="1"/>
      <w:numFmt w:val="bullet"/>
      <w:lvlText w:val=""/>
      <w:lvlJc w:val="left"/>
      <w:pPr>
        <w:ind w:left="2230" w:hanging="360"/>
      </w:pPr>
      <w:rPr>
        <w:rFonts w:ascii="Wingdings" w:hAnsi="Wingdings" w:hint="default"/>
      </w:rPr>
    </w:lvl>
    <w:lvl w:ilvl="3" w:tplc="0C0A0001" w:tentative="1">
      <w:start w:val="1"/>
      <w:numFmt w:val="bullet"/>
      <w:lvlText w:val=""/>
      <w:lvlJc w:val="left"/>
      <w:pPr>
        <w:ind w:left="2950" w:hanging="360"/>
      </w:pPr>
      <w:rPr>
        <w:rFonts w:ascii="Symbol" w:hAnsi="Symbol" w:hint="default"/>
      </w:rPr>
    </w:lvl>
    <w:lvl w:ilvl="4" w:tplc="0C0A0003" w:tentative="1">
      <w:start w:val="1"/>
      <w:numFmt w:val="bullet"/>
      <w:lvlText w:val="o"/>
      <w:lvlJc w:val="left"/>
      <w:pPr>
        <w:ind w:left="3670" w:hanging="360"/>
      </w:pPr>
      <w:rPr>
        <w:rFonts w:ascii="Courier New" w:hAnsi="Courier New" w:cs="Courier New" w:hint="default"/>
      </w:rPr>
    </w:lvl>
    <w:lvl w:ilvl="5" w:tplc="0C0A0005" w:tentative="1">
      <w:start w:val="1"/>
      <w:numFmt w:val="bullet"/>
      <w:lvlText w:val=""/>
      <w:lvlJc w:val="left"/>
      <w:pPr>
        <w:ind w:left="4390" w:hanging="360"/>
      </w:pPr>
      <w:rPr>
        <w:rFonts w:ascii="Wingdings" w:hAnsi="Wingdings" w:hint="default"/>
      </w:rPr>
    </w:lvl>
    <w:lvl w:ilvl="6" w:tplc="0C0A0001" w:tentative="1">
      <w:start w:val="1"/>
      <w:numFmt w:val="bullet"/>
      <w:lvlText w:val=""/>
      <w:lvlJc w:val="left"/>
      <w:pPr>
        <w:ind w:left="5110" w:hanging="360"/>
      </w:pPr>
      <w:rPr>
        <w:rFonts w:ascii="Symbol" w:hAnsi="Symbol" w:hint="default"/>
      </w:rPr>
    </w:lvl>
    <w:lvl w:ilvl="7" w:tplc="0C0A0003" w:tentative="1">
      <w:start w:val="1"/>
      <w:numFmt w:val="bullet"/>
      <w:lvlText w:val="o"/>
      <w:lvlJc w:val="left"/>
      <w:pPr>
        <w:ind w:left="5830" w:hanging="360"/>
      </w:pPr>
      <w:rPr>
        <w:rFonts w:ascii="Courier New" w:hAnsi="Courier New" w:cs="Courier New" w:hint="default"/>
      </w:rPr>
    </w:lvl>
    <w:lvl w:ilvl="8" w:tplc="0C0A0005" w:tentative="1">
      <w:start w:val="1"/>
      <w:numFmt w:val="bullet"/>
      <w:lvlText w:val=""/>
      <w:lvlJc w:val="left"/>
      <w:pPr>
        <w:ind w:left="6550" w:hanging="360"/>
      </w:pPr>
      <w:rPr>
        <w:rFonts w:ascii="Wingdings" w:hAnsi="Wingdings" w:hint="default"/>
      </w:rPr>
    </w:lvl>
  </w:abstractNum>
  <w:abstractNum w:abstractNumId="7" w15:restartNumberingAfterBreak="0">
    <w:nsid w:val="48314351"/>
    <w:multiLevelType w:val="hybridMultilevel"/>
    <w:tmpl w:val="581467D6"/>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abstractNum w:abstractNumId="8"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15:restartNumberingAfterBreak="0">
    <w:nsid w:val="4E085F2D"/>
    <w:multiLevelType w:val="hybridMultilevel"/>
    <w:tmpl w:val="2960C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63256A4"/>
    <w:multiLevelType w:val="hybridMultilevel"/>
    <w:tmpl w:val="426A5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AE93A54"/>
    <w:multiLevelType w:val="hybridMultilevel"/>
    <w:tmpl w:val="C366A5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BCB13BD"/>
    <w:multiLevelType w:val="hybridMultilevel"/>
    <w:tmpl w:val="84F08A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1E65994"/>
    <w:multiLevelType w:val="hybridMultilevel"/>
    <w:tmpl w:val="9984E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5AC1085"/>
    <w:multiLevelType w:val="hybridMultilevel"/>
    <w:tmpl w:val="EF9018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90291865">
    <w:abstractNumId w:val="8"/>
  </w:num>
  <w:num w:numId="2" w16cid:durableId="1545096822">
    <w:abstractNumId w:val="5"/>
  </w:num>
  <w:num w:numId="3" w16cid:durableId="1180267758">
    <w:abstractNumId w:val="0"/>
  </w:num>
  <w:num w:numId="4" w16cid:durableId="540674874">
    <w:abstractNumId w:val="13"/>
  </w:num>
  <w:num w:numId="5" w16cid:durableId="1950121116">
    <w:abstractNumId w:val="6"/>
  </w:num>
  <w:num w:numId="6" w16cid:durableId="945844939">
    <w:abstractNumId w:val="10"/>
  </w:num>
  <w:num w:numId="7" w16cid:durableId="576791979">
    <w:abstractNumId w:val="9"/>
  </w:num>
  <w:num w:numId="8" w16cid:durableId="1485973535">
    <w:abstractNumId w:val="7"/>
  </w:num>
  <w:num w:numId="9" w16cid:durableId="1685593595">
    <w:abstractNumId w:val="14"/>
  </w:num>
  <w:num w:numId="10" w16cid:durableId="1869177834">
    <w:abstractNumId w:val="12"/>
  </w:num>
  <w:num w:numId="11" w16cid:durableId="1650207954">
    <w:abstractNumId w:val="3"/>
  </w:num>
  <w:num w:numId="12" w16cid:durableId="916014291">
    <w:abstractNumId w:val="2"/>
  </w:num>
  <w:num w:numId="13" w16cid:durableId="337579903">
    <w:abstractNumId w:val="11"/>
  </w:num>
  <w:num w:numId="14" w16cid:durableId="819930751">
    <w:abstractNumId w:val="4"/>
  </w:num>
  <w:num w:numId="15" w16cid:durableId="176047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28"/>
    <w:rsid w:val="00057F45"/>
    <w:rsid w:val="000D3958"/>
    <w:rsid w:val="000F3690"/>
    <w:rsid w:val="001221D1"/>
    <w:rsid w:val="00165CB5"/>
    <w:rsid w:val="00180CE9"/>
    <w:rsid w:val="00230DD5"/>
    <w:rsid w:val="00250AE9"/>
    <w:rsid w:val="0030060C"/>
    <w:rsid w:val="00380D64"/>
    <w:rsid w:val="00391509"/>
    <w:rsid w:val="003E03D5"/>
    <w:rsid w:val="00486BFA"/>
    <w:rsid w:val="00493701"/>
    <w:rsid w:val="004E2065"/>
    <w:rsid w:val="00544B28"/>
    <w:rsid w:val="005508A2"/>
    <w:rsid w:val="0055115D"/>
    <w:rsid w:val="00566F71"/>
    <w:rsid w:val="005918BD"/>
    <w:rsid w:val="005C63B1"/>
    <w:rsid w:val="006173A6"/>
    <w:rsid w:val="00675476"/>
    <w:rsid w:val="007C430F"/>
    <w:rsid w:val="007D2D0C"/>
    <w:rsid w:val="007D614D"/>
    <w:rsid w:val="008F31D4"/>
    <w:rsid w:val="00915D3C"/>
    <w:rsid w:val="00960D6A"/>
    <w:rsid w:val="009A0560"/>
    <w:rsid w:val="009B0917"/>
    <w:rsid w:val="009F0F96"/>
    <w:rsid w:val="00A23C0C"/>
    <w:rsid w:val="00A477DE"/>
    <w:rsid w:val="00A66186"/>
    <w:rsid w:val="00A71E65"/>
    <w:rsid w:val="00AE044C"/>
    <w:rsid w:val="00B31971"/>
    <w:rsid w:val="00B4380A"/>
    <w:rsid w:val="00B66ECB"/>
    <w:rsid w:val="00C515B2"/>
    <w:rsid w:val="00C7523A"/>
    <w:rsid w:val="00CC1B6E"/>
    <w:rsid w:val="00CC376A"/>
    <w:rsid w:val="00CC48A1"/>
    <w:rsid w:val="00CF50E0"/>
    <w:rsid w:val="00D17FF7"/>
    <w:rsid w:val="00D85951"/>
    <w:rsid w:val="00E62606"/>
    <w:rsid w:val="00EA1FEF"/>
    <w:rsid w:val="00EC5A6B"/>
    <w:rsid w:val="00ED7BF6"/>
    <w:rsid w:val="00EE301D"/>
    <w:rsid w:val="00F6676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65150"/>
  <w15:docId w15:val="{41A4D443-F933-44C1-92C5-6EC4516D7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numbering" w:customStyle="1" w:styleId="Sinlista1">
    <w:name w:val="Sin lista1"/>
    <w:next w:val="Sinlista"/>
    <w:uiPriority w:val="99"/>
    <w:semiHidden/>
    <w:unhideWhenUsed/>
    <w:rsid w:val="00544B28"/>
  </w:style>
  <w:style w:type="paragraph" w:styleId="Prrafodelista">
    <w:name w:val="List Paragraph"/>
    <w:basedOn w:val="Normal"/>
    <w:uiPriority w:val="34"/>
    <w:qFormat/>
    <w:rsid w:val="00544B28"/>
    <w:pPr>
      <w:spacing w:after="160" w:line="259" w:lineRule="auto"/>
      <w:ind w:left="720"/>
      <w:contextualSpacing/>
    </w:pPr>
    <w:rPr>
      <w:rFonts w:ascii="Calibri" w:eastAsia="Calibri" w:hAnsi="Calibri"/>
      <w:sz w:val="22"/>
      <w:szCs w:val="22"/>
      <w:lang w:val="es-ES" w:eastAsia="en-US"/>
    </w:rPr>
  </w:style>
  <w:style w:type="character" w:styleId="Refdecomentario">
    <w:name w:val="annotation reference"/>
    <w:uiPriority w:val="99"/>
    <w:semiHidden/>
    <w:unhideWhenUsed/>
    <w:rsid w:val="00544B28"/>
    <w:rPr>
      <w:sz w:val="16"/>
      <w:szCs w:val="16"/>
    </w:rPr>
  </w:style>
  <w:style w:type="paragraph" w:styleId="Textocomentario">
    <w:name w:val="annotation text"/>
    <w:basedOn w:val="Normal"/>
    <w:link w:val="TextocomentarioCar"/>
    <w:uiPriority w:val="99"/>
    <w:semiHidden/>
    <w:unhideWhenUsed/>
    <w:rsid w:val="00544B28"/>
    <w:pPr>
      <w:spacing w:after="16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semiHidden/>
    <w:rsid w:val="00544B28"/>
    <w:rPr>
      <w:rFonts w:ascii="Calibri" w:eastAsia="Calibri" w:hAnsi="Calibri"/>
      <w:lang w:val="es-ES"/>
    </w:rPr>
  </w:style>
  <w:style w:type="paragraph" w:styleId="Asuntodelcomentario">
    <w:name w:val="annotation subject"/>
    <w:basedOn w:val="Textocomentario"/>
    <w:next w:val="Textocomentario"/>
    <w:link w:val="AsuntodelcomentarioCar"/>
    <w:uiPriority w:val="99"/>
    <w:semiHidden/>
    <w:unhideWhenUsed/>
    <w:rsid w:val="00544B28"/>
    <w:rPr>
      <w:b/>
      <w:bCs/>
    </w:rPr>
  </w:style>
  <w:style w:type="character" w:customStyle="1" w:styleId="AsuntodelcomentarioCar">
    <w:name w:val="Asunto del comentario Car"/>
    <w:basedOn w:val="TextocomentarioCar"/>
    <w:link w:val="Asuntodelcomentario"/>
    <w:uiPriority w:val="99"/>
    <w:semiHidden/>
    <w:rsid w:val="00544B28"/>
    <w:rPr>
      <w:rFonts w:ascii="Calibri" w:eastAsia="Calibri" w:hAnsi="Calibri"/>
      <w:b/>
      <w:bCs/>
      <w:lang w:val="es-ES"/>
    </w:rPr>
  </w:style>
  <w:style w:type="table" w:customStyle="1" w:styleId="Tablaconcuadrcula1">
    <w:name w:val="Tabla con cuadrícula1"/>
    <w:basedOn w:val="Tablanormal"/>
    <w:next w:val="Tablaconcuadrcula"/>
    <w:uiPriority w:val="39"/>
    <w:rsid w:val="00544B28"/>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2">
    <w:name w:val="n2"/>
    <w:basedOn w:val="Normal"/>
    <w:rsid w:val="00544B28"/>
    <w:pPr>
      <w:spacing w:before="100" w:beforeAutospacing="1" w:after="100" w:afterAutospacing="1"/>
    </w:pPr>
    <w:rPr>
      <w:lang w:val="es-CU" w:eastAsia="es-CU"/>
    </w:rPr>
  </w:style>
  <w:style w:type="character" w:styleId="nfasis">
    <w:name w:val="Emphasis"/>
    <w:uiPriority w:val="20"/>
    <w:qFormat/>
    <w:rsid w:val="00544B28"/>
    <w:rPr>
      <w:i/>
      <w:iCs/>
    </w:rPr>
  </w:style>
  <w:style w:type="paragraph" w:customStyle="1" w:styleId="n5">
    <w:name w:val="n5"/>
    <w:basedOn w:val="Normal"/>
    <w:rsid w:val="00544B28"/>
    <w:pPr>
      <w:spacing w:before="100" w:beforeAutospacing="1" w:after="100" w:afterAutospacing="1"/>
    </w:pPr>
    <w:rPr>
      <w:lang w:val="es-CU" w:eastAsia="es-CU"/>
    </w:rPr>
  </w:style>
  <w:style w:type="paragraph" w:customStyle="1" w:styleId="j">
    <w:name w:val="j"/>
    <w:basedOn w:val="Normal"/>
    <w:rsid w:val="00544B28"/>
    <w:pPr>
      <w:spacing w:before="100" w:beforeAutospacing="1" w:after="100" w:afterAutospacing="1"/>
    </w:pPr>
    <w:rPr>
      <w:lang w:val="es-CU" w:eastAsia="es-CU"/>
    </w:rPr>
  </w:style>
  <w:style w:type="character" w:customStyle="1" w:styleId="nacep">
    <w:name w:val="n_acep"/>
    <w:basedOn w:val="Fuentedeprrafopredeter"/>
    <w:rsid w:val="00544B28"/>
  </w:style>
  <w:style w:type="paragraph" w:styleId="Textoindependiente">
    <w:name w:val="Body Text"/>
    <w:basedOn w:val="Normal"/>
    <w:link w:val="TextoindependienteCar"/>
    <w:uiPriority w:val="99"/>
    <w:unhideWhenUsed/>
    <w:rsid w:val="00544B28"/>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544B28"/>
    <w:rPr>
      <w:rFonts w:ascii="Arial" w:hAnsi="Arial" w:cs="Arial"/>
      <w:sz w:val="12"/>
      <w:szCs w:val="12"/>
      <w:lang w:val="es-ES" w:eastAsia="es-ES"/>
    </w:rPr>
  </w:style>
  <w:style w:type="paragraph" w:styleId="Lista">
    <w:name w:val="List"/>
    <w:basedOn w:val="Normal"/>
    <w:uiPriority w:val="99"/>
    <w:unhideWhenUsed/>
    <w:rsid w:val="00544B28"/>
    <w:pPr>
      <w:ind w:left="283" w:hanging="283"/>
      <w:contextualSpacing/>
    </w:pPr>
    <w:rPr>
      <w:rFonts w:ascii="Arial" w:hAnsi="Arial" w:cs="Arial"/>
      <w:sz w:val="12"/>
      <w:szCs w:val="12"/>
      <w:lang w:val="es-ES" w:eastAsia="es-ES"/>
    </w:rPr>
  </w:style>
  <w:style w:type="character" w:customStyle="1" w:styleId="UnresolvedMention1">
    <w:name w:val="Unresolved Mention1"/>
    <w:uiPriority w:val="99"/>
    <w:semiHidden/>
    <w:unhideWhenUsed/>
    <w:rsid w:val="00544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1522-2063" TargetMode="External"/><Relationship Id="rId13" Type="http://schemas.openxmlformats.org/officeDocument/2006/relationships/image" Target="media/image1.png"/><Relationship Id="rId18" Type="http://schemas.openxmlformats.org/officeDocument/2006/relationships/hyperlink" Target="https://infezmed.it/media/journal/Vol_28_2_2020_7.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eb.archive.org/web/20210429073154id_/https://jim.bmj.com/content/jim/early/2021/04/12/jim-2021-001810.full.pdf" TargetMode="External"/><Relationship Id="rId7" Type="http://schemas.openxmlformats.org/officeDocument/2006/relationships/hyperlink" Target="https://orcid.org/0000-0002-6261-5807" TargetMode="External"/><Relationship Id="rId12" Type="http://schemas.openxmlformats.org/officeDocument/2006/relationships/hyperlink" Target="mailto:apiriz@infomed.sld.cu" TargetMode="External"/><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onlinelibrary.wiley.com/doi/10.1002/jmv.2605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9681-956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hyperlink" Target="https://orcid.org/0000-0002-3622-0940" TargetMode="External"/><Relationship Id="rId19" Type="http://schemas.openxmlformats.org/officeDocument/2006/relationships/hyperlink" Target="https://www.sciencedirect.com/science/article/pii/S1876034116300223" TargetMode="External"/><Relationship Id="rId4" Type="http://schemas.openxmlformats.org/officeDocument/2006/relationships/webSettings" Target="webSettings.xml"/><Relationship Id="rId9" Type="http://schemas.openxmlformats.org/officeDocument/2006/relationships/hyperlink" Target="https://orcid.org/0000-0001-7232-7107" TargetMode="External"/><Relationship Id="rId14" Type="http://schemas.openxmlformats.org/officeDocument/2006/relationships/image" Target="media/image2.png"/><Relationship Id="rId22" Type="http://schemas.openxmlformats.org/officeDocument/2006/relationships/hyperlink" Target="https://cancercommun.biomedcentral.com/articles/10.1186/s40880-016-0122-2"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9</TotalTime>
  <Pages>12</Pages>
  <Words>2767</Words>
  <Characters>15778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18508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8</cp:revision>
  <cp:lastPrinted>2023-08-26T00:13:00Z</cp:lastPrinted>
  <dcterms:created xsi:type="dcterms:W3CDTF">2023-08-26T00:06:00Z</dcterms:created>
  <dcterms:modified xsi:type="dcterms:W3CDTF">2023-08-26T00:15:00Z</dcterms:modified>
</cp:coreProperties>
</file>