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3323" w14:textId="77777777" w:rsidR="004451CE" w:rsidRPr="004451CE" w:rsidRDefault="004451CE" w:rsidP="004451CE">
      <w:pPr>
        <w:spacing w:line="360" w:lineRule="auto"/>
        <w:jc w:val="right"/>
        <w:rPr>
          <w:rFonts w:eastAsia="Arial"/>
          <w:bCs/>
          <w:sz w:val="20"/>
          <w:szCs w:val="18"/>
          <w:lang w:val="es-AR" w:eastAsia="en-US"/>
        </w:rPr>
      </w:pPr>
      <w:r w:rsidRPr="004451CE">
        <w:rPr>
          <w:rFonts w:eastAsia="Arial"/>
          <w:bCs/>
          <w:sz w:val="20"/>
          <w:szCs w:val="18"/>
          <w:lang w:val="es-AR" w:eastAsia="en-US"/>
        </w:rPr>
        <w:t>Artículo de investigación</w:t>
      </w:r>
    </w:p>
    <w:p w14:paraId="3478C073" w14:textId="77777777" w:rsidR="004451CE" w:rsidRPr="004451CE" w:rsidRDefault="004451CE" w:rsidP="004451CE">
      <w:pPr>
        <w:spacing w:line="360" w:lineRule="auto"/>
        <w:jc w:val="center"/>
        <w:rPr>
          <w:rFonts w:eastAsia="Calibri"/>
          <w:b/>
          <w:bCs/>
          <w:lang w:val="es-PE" w:eastAsia="en-US"/>
        </w:rPr>
      </w:pPr>
    </w:p>
    <w:p w14:paraId="177BC3A3" w14:textId="77777777" w:rsidR="004451CE" w:rsidRPr="004451CE" w:rsidRDefault="004451CE" w:rsidP="004451CE">
      <w:pPr>
        <w:spacing w:line="360" w:lineRule="auto"/>
        <w:jc w:val="center"/>
        <w:rPr>
          <w:rFonts w:eastAsia="Calibri"/>
          <w:b/>
          <w:bCs/>
          <w:sz w:val="28"/>
          <w:szCs w:val="28"/>
          <w:lang w:val="es-PE" w:eastAsia="en-US"/>
        </w:rPr>
      </w:pPr>
      <w:r w:rsidRPr="004451CE">
        <w:rPr>
          <w:rFonts w:eastAsia="Calibri"/>
          <w:b/>
          <w:bCs/>
          <w:sz w:val="28"/>
          <w:szCs w:val="28"/>
          <w:lang w:val="es-PE" w:eastAsia="en-US"/>
        </w:rPr>
        <w:t xml:space="preserve">Prevalencia y factores asociados a disfunción familiar en pacientes atendidos en el primer nivel de atención </w:t>
      </w:r>
    </w:p>
    <w:p w14:paraId="020CFF1D" w14:textId="77777777" w:rsidR="004451CE" w:rsidRPr="004451CE" w:rsidRDefault="004451CE" w:rsidP="004451CE">
      <w:pPr>
        <w:spacing w:line="360" w:lineRule="auto"/>
        <w:jc w:val="center"/>
        <w:rPr>
          <w:rFonts w:eastAsia="Calibri"/>
          <w:sz w:val="28"/>
          <w:szCs w:val="28"/>
          <w:lang w:val="en-US" w:eastAsia="en-US"/>
        </w:rPr>
      </w:pPr>
      <w:r w:rsidRPr="004451CE">
        <w:rPr>
          <w:rFonts w:eastAsia="Calibri"/>
          <w:sz w:val="28"/>
          <w:szCs w:val="28"/>
          <w:lang w:val="en-US" w:eastAsia="en-US"/>
        </w:rPr>
        <w:t>Prevalence and factors associated with family dysfunction in patients at the first level of care</w:t>
      </w:r>
    </w:p>
    <w:p w14:paraId="47A3A62B" w14:textId="77777777" w:rsidR="004451CE" w:rsidRPr="004451CE" w:rsidRDefault="004451CE" w:rsidP="004451CE">
      <w:pPr>
        <w:spacing w:line="360" w:lineRule="auto"/>
        <w:jc w:val="center"/>
        <w:rPr>
          <w:rFonts w:eastAsia="Calibri"/>
          <w:sz w:val="28"/>
          <w:szCs w:val="28"/>
          <w:lang w:val="en-US" w:eastAsia="en-US"/>
        </w:rPr>
      </w:pPr>
    </w:p>
    <w:p w14:paraId="6C2AA706" w14:textId="77777777" w:rsidR="004451CE" w:rsidRPr="004451CE" w:rsidRDefault="004451CE" w:rsidP="004451CE">
      <w:pPr>
        <w:spacing w:line="360" w:lineRule="auto"/>
        <w:rPr>
          <w:rFonts w:eastAsia="Calibri"/>
          <w:color w:val="0000FF"/>
          <w:u w:val="single"/>
          <w:lang w:val="es-PE" w:eastAsia="en-US"/>
        </w:rPr>
      </w:pPr>
      <w:r w:rsidRPr="004451CE">
        <w:rPr>
          <w:rFonts w:eastAsia="Calibri"/>
          <w:lang w:val="es-PE" w:eastAsia="en-US"/>
        </w:rPr>
        <w:t>Mario J. Valladares-</w:t>
      </w:r>
      <w:proofErr w:type="spellStart"/>
      <w:r w:rsidRPr="004451CE">
        <w:rPr>
          <w:rFonts w:eastAsia="Calibri"/>
          <w:lang w:val="es-PE" w:eastAsia="en-US"/>
        </w:rPr>
        <w:t>Garrido</w:t>
      </w:r>
      <w:r w:rsidRPr="004451CE">
        <w:rPr>
          <w:rFonts w:eastAsia="Calibri"/>
          <w:vertAlign w:val="superscript"/>
          <w:lang w:val="es-PE" w:eastAsia="en-US"/>
        </w:rPr>
        <w:t>1,2</w:t>
      </w:r>
      <w:proofErr w:type="spellEnd"/>
      <w:r w:rsidRPr="004451CE">
        <w:rPr>
          <w:rFonts w:eastAsia="Calibri"/>
          <w:vertAlign w:val="superscript"/>
          <w:lang w:val="es-PE" w:eastAsia="en-US"/>
        </w:rPr>
        <w:t xml:space="preserve"> </w:t>
      </w:r>
      <w:hyperlink r:id="rId7" w:history="1">
        <w:r w:rsidRPr="004451CE">
          <w:rPr>
            <w:rFonts w:eastAsia="Calibri"/>
            <w:color w:val="0000FF"/>
            <w:u w:val="single"/>
            <w:lang w:val="es-PE" w:eastAsia="en-US"/>
          </w:rPr>
          <w:t>https://orcid.org/</w:t>
        </w:r>
      </w:hyperlink>
      <w:r w:rsidRPr="004451CE">
        <w:rPr>
          <w:rFonts w:eastAsia="Calibri"/>
          <w:color w:val="0000FF"/>
          <w:u w:val="single"/>
          <w:lang w:val="es-PE" w:eastAsia="en-US"/>
        </w:rPr>
        <w:t>0000-0003-0839-2419</w:t>
      </w:r>
    </w:p>
    <w:p w14:paraId="3B567522" w14:textId="77777777" w:rsidR="004451CE" w:rsidRPr="004451CE" w:rsidRDefault="004451CE" w:rsidP="004451CE">
      <w:pPr>
        <w:spacing w:line="360" w:lineRule="auto"/>
        <w:rPr>
          <w:rFonts w:eastAsia="Calibri"/>
          <w:color w:val="0000FF"/>
          <w:u w:val="single"/>
          <w:lang w:val="es-PE" w:eastAsia="en-US"/>
        </w:rPr>
      </w:pPr>
      <w:r w:rsidRPr="004451CE">
        <w:rPr>
          <w:rFonts w:eastAsia="Calibri"/>
          <w:lang w:val="es-PE" w:eastAsia="en-US"/>
        </w:rPr>
        <w:t>Palmer J. Hernández-</w:t>
      </w:r>
      <w:proofErr w:type="spellStart"/>
      <w:r w:rsidRPr="004451CE">
        <w:rPr>
          <w:rFonts w:eastAsia="Calibri"/>
          <w:lang w:val="es-PE" w:eastAsia="en-US"/>
        </w:rPr>
        <w:t>Yépez</w:t>
      </w:r>
      <w:r w:rsidRPr="004451CE">
        <w:rPr>
          <w:rFonts w:eastAsia="Calibri"/>
          <w:vertAlign w:val="superscript"/>
          <w:lang w:val="es-PE" w:eastAsia="en-US"/>
        </w:rPr>
        <w:t>3</w:t>
      </w:r>
      <w:proofErr w:type="spellEnd"/>
      <w:r w:rsidRPr="004451CE">
        <w:rPr>
          <w:rFonts w:eastAsia="Calibri"/>
          <w:lang w:val="es-PE" w:eastAsia="en-US"/>
        </w:rPr>
        <w:t xml:space="preserve"> </w:t>
      </w:r>
      <w:hyperlink r:id="rId8" w:history="1">
        <w:r w:rsidRPr="004451CE">
          <w:rPr>
            <w:rFonts w:eastAsia="Calibri"/>
            <w:color w:val="0000FF"/>
            <w:u w:val="single"/>
            <w:lang w:val="es-PE" w:eastAsia="en-US"/>
          </w:rPr>
          <w:t>https://orcid.org/0000-0002-7736-4553</w:t>
        </w:r>
      </w:hyperlink>
      <w:r w:rsidRPr="004451CE">
        <w:rPr>
          <w:rFonts w:eastAsia="Calibri"/>
          <w:color w:val="0000FF"/>
          <w:u w:val="single"/>
          <w:lang w:val="es-PE" w:eastAsia="en-US"/>
        </w:rPr>
        <w:t xml:space="preserve"> </w:t>
      </w:r>
    </w:p>
    <w:p w14:paraId="7ED87F2D" w14:textId="77777777" w:rsidR="004451CE" w:rsidRPr="004451CE" w:rsidRDefault="004451CE" w:rsidP="004451CE">
      <w:pPr>
        <w:tabs>
          <w:tab w:val="left" w:pos="5520"/>
        </w:tabs>
        <w:autoSpaceDE w:val="0"/>
        <w:spacing w:line="360" w:lineRule="auto"/>
        <w:rPr>
          <w:rFonts w:eastAsia="Calibri"/>
          <w:lang w:val="es-PE" w:eastAsia="en-US"/>
        </w:rPr>
      </w:pPr>
      <w:r w:rsidRPr="004451CE">
        <w:rPr>
          <w:rFonts w:eastAsia="Calibri"/>
          <w:lang w:val="es-PE" w:eastAsia="en-US"/>
        </w:rPr>
        <w:t xml:space="preserve">Sandy Bulnes </w:t>
      </w:r>
      <w:proofErr w:type="spellStart"/>
      <w:r w:rsidRPr="004451CE">
        <w:rPr>
          <w:rFonts w:eastAsia="Calibri"/>
          <w:lang w:val="es-PE" w:eastAsia="en-US"/>
        </w:rPr>
        <w:t>Alvarez</w:t>
      </w:r>
      <w:r w:rsidRPr="004451CE">
        <w:rPr>
          <w:rFonts w:eastAsia="Calibri"/>
          <w:vertAlign w:val="superscript"/>
          <w:lang w:val="es-PE" w:eastAsia="en-US"/>
        </w:rPr>
        <w:t>4</w:t>
      </w:r>
      <w:proofErr w:type="spellEnd"/>
      <w:r w:rsidRPr="004451CE">
        <w:rPr>
          <w:rFonts w:eastAsia="Calibri"/>
          <w:lang w:val="es-PE" w:eastAsia="en-US"/>
        </w:rPr>
        <w:t xml:space="preserve"> </w:t>
      </w:r>
      <w:hyperlink r:id="rId9" w:history="1">
        <w:r w:rsidRPr="004451CE">
          <w:rPr>
            <w:rFonts w:eastAsia="Calibri"/>
            <w:color w:val="0000FF"/>
            <w:u w:val="single"/>
            <w:lang w:val="es-PE" w:eastAsia="en-US"/>
          </w:rPr>
          <w:t>https://orcid.org/0000-0002-2287-1267</w:t>
        </w:r>
      </w:hyperlink>
      <w:r w:rsidRPr="004451CE">
        <w:rPr>
          <w:rFonts w:eastAsia="Calibri"/>
          <w:lang w:val="es-PE" w:eastAsia="en-US"/>
        </w:rPr>
        <w:t xml:space="preserve"> </w:t>
      </w:r>
      <w:r w:rsidRPr="004451CE">
        <w:rPr>
          <w:rFonts w:eastAsia="Calibri"/>
          <w:vertAlign w:val="superscript"/>
          <w:lang w:val="es-PE" w:eastAsia="en-US"/>
        </w:rPr>
        <w:tab/>
      </w:r>
    </w:p>
    <w:p w14:paraId="5293DBC8" w14:textId="77777777" w:rsidR="004451CE" w:rsidRPr="004451CE" w:rsidRDefault="004451CE" w:rsidP="004451CE">
      <w:pPr>
        <w:autoSpaceDE w:val="0"/>
        <w:spacing w:line="360" w:lineRule="auto"/>
        <w:rPr>
          <w:rFonts w:eastAsia="Calibri"/>
          <w:lang w:val="es-PE" w:eastAsia="en-US"/>
        </w:rPr>
      </w:pPr>
      <w:r w:rsidRPr="004451CE">
        <w:rPr>
          <w:rFonts w:eastAsia="Calibri"/>
          <w:lang w:val="es-PE" w:eastAsia="en-US"/>
        </w:rPr>
        <w:t xml:space="preserve">Mariana </w:t>
      </w:r>
      <w:proofErr w:type="spellStart"/>
      <w:r w:rsidRPr="004451CE">
        <w:rPr>
          <w:rFonts w:eastAsia="Calibri"/>
          <w:lang w:val="es-PE" w:eastAsia="en-US"/>
        </w:rPr>
        <w:t>Huaman-Garcia</w:t>
      </w:r>
      <w:r w:rsidRPr="004451CE">
        <w:rPr>
          <w:rFonts w:eastAsia="Calibri"/>
          <w:vertAlign w:val="superscript"/>
          <w:lang w:val="es-PE" w:eastAsia="en-US"/>
        </w:rPr>
        <w:t>4</w:t>
      </w:r>
      <w:proofErr w:type="spellEnd"/>
      <w:r w:rsidRPr="004451CE">
        <w:rPr>
          <w:rFonts w:eastAsia="Calibri"/>
          <w:lang w:val="es-PE" w:eastAsia="en-US"/>
        </w:rPr>
        <w:t xml:space="preserve"> </w:t>
      </w:r>
      <w:hyperlink r:id="rId10" w:history="1">
        <w:r w:rsidRPr="004451CE">
          <w:rPr>
            <w:rFonts w:eastAsia="Calibri"/>
            <w:color w:val="0000FF"/>
            <w:u w:val="single"/>
            <w:lang w:val="es-PE" w:eastAsia="en-US"/>
          </w:rPr>
          <w:t>https://orcid.org/0000-0003-3776-3522</w:t>
        </w:r>
      </w:hyperlink>
      <w:r w:rsidRPr="004451CE">
        <w:rPr>
          <w:rFonts w:eastAsia="Calibri"/>
          <w:lang w:val="es-PE" w:eastAsia="en-US"/>
        </w:rPr>
        <w:t xml:space="preserve"> </w:t>
      </w:r>
    </w:p>
    <w:p w14:paraId="0D635A01" w14:textId="77777777" w:rsidR="004451CE" w:rsidRPr="004451CE" w:rsidRDefault="004451CE" w:rsidP="004451CE">
      <w:pPr>
        <w:autoSpaceDE w:val="0"/>
        <w:spacing w:line="360" w:lineRule="auto"/>
        <w:rPr>
          <w:rFonts w:eastAsia="Calibri"/>
          <w:lang w:val="es-PE" w:eastAsia="en-US"/>
        </w:rPr>
      </w:pPr>
      <w:r w:rsidRPr="004451CE">
        <w:rPr>
          <w:rFonts w:eastAsia="Calibri"/>
          <w:lang w:val="es-PE" w:eastAsia="en-US"/>
        </w:rPr>
        <w:t xml:space="preserve">Laura M. </w:t>
      </w:r>
      <w:proofErr w:type="spellStart"/>
      <w:r w:rsidRPr="004451CE">
        <w:rPr>
          <w:rFonts w:eastAsia="Calibri"/>
          <w:lang w:val="es-PE" w:eastAsia="en-US"/>
        </w:rPr>
        <w:t>Ccosco-Blas</w:t>
      </w:r>
      <w:r w:rsidRPr="004451CE">
        <w:rPr>
          <w:rFonts w:eastAsia="Calibri"/>
          <w:bCs/>
          <w:vertAlign w:val="superscript"/>
          <w:lang w:val="es-PE" w:eastAsia="en-US"/>
        </w:rPr>
        <w:t>3</w:t>
      </w:r>
      <w:proofErr w:type="spellEnd"/>
      <w:r w:rsidRPr="004451CE">
        <w:rPr>
          <w:rFonts w:eastAsia="Calibri"/>
          <w:bCs/>
          <w:vertAlign w:val="superscript"/>
          <w:lang w:val="es-PE" w:eastAsia="en-US"/>
        </w:rPr>
        <w:t xml:space="preserve"> </w:t>
      </w:r>
      <w:hyperlink r:id="rId11" w:history="1">
        <w:r w:rsidRPr="004451CE">
          <w:rPr>
            <w:rFonts w:eastAsia="Calibri"/>
            <w:bCs/>
            <w:color w:val="0000FF"/>
            <w:u w:val="single"/>
            <w:lang w:val="es-PE" w:eastAsia="en-US"/>
          </w:rPr>
          <w:t>https://orcid.org/0000-0003-0907-4711</w:t>
        </w:r>
      </w:hyperlink>
      <w:r w:rsidRPr="004451CE">
        <w:rPr>
          <w:rFonts w:eastAsia="Calibri"/>
          <w:bCs/>
          <w:lang w:val="es-PE" w:eastAsia="en-US"/>
        </w:rPr>
        <w:t xml:space="preserve"> </w:t>
      </w:r>
    </w:p>
    <w:p w14:paraId="3780A3BE" w14:textId="77777777" w:rsidR="004451CE" w:rsidRPr="004451CE" w:rsidRDefault="004451CE" w:rsidP="004451CE">
      <w:pPr>
        <w:autoSpaceDE w:val="0"/>
        <w:spacing w:line="360" w:lineRule="auto"/>
        <w:rPr>
          <w:rFonts w:eastAsia="Calibri"/>
          <w:lang w:val="es-PE" w:eastAsia="en-US"/>
        </w:rPr>
      </w:pPr>
      <w:r w:rsidRPr="004451CE">
        <w:rPr>
          <w:rFonts w:eastAsia="Calibri"/>
          <w:lang w:val="es-PE" w:eastAsia="en-US"/>
        </w:rPr>
        <w:t>Paola J. Ramos-</w:t>
      </w:r>
      <w:proofErr w:type="spellStart"/>
      <w:r w:rsidRPr="004451CE">
        <w:rPr>
          <w:rFonts w:eastAsia="Calibri"/>
          <w:lang w:val="es-PE" w:eastAsia="en-US"/>
        </w:rPr>
        <w:t>Rupay</w:t>
      </w:r>
      <w:r w:rsidRPr="004451CE">
        <w:rPr>
          <w:rFonts w:eastAsia="Calibri"/>
          <w:bCs/>
          <w:vertAlign w:val="superscript"/>
          <w:lang w:val="es-PE" w:eastAsia="en-US"/>
        </w:rPr>
        <w:t>3</w:t>
      </w:r>
      <w:proofErr w:type="spellEnd"/>
      <w:r w:rsidRPr="004451CE">
        <w:rPr>
          <w:rFonts w:eastAsia="Calibri"/>
          <w:lang w:val="es-PE" w:eastAsia="en-US"/>
        </w:rPr>
        <w:t xml:space="preserve"> </w:t>
      </w:r>
      <w:hyperlink r:id="rId12" w:history="1">
        <w:r w:rsidRPr="004451CE">
          <w:rPr>
            <w:rFonts w:eastAsia="Calibri"/>
            <w:color w:val="0000FF"/>
            <w:u w:val="single"/>
            <w:lang w:val="es-PE" w:eastAsia="en-US"/>
          </w:rPr>
          <w:t>https://orcid.org/0000-0002-9710-0299</w:t>
        </w:r>
      </w:hyperlink>
    </w:p>
    <w:p w14:paraId="5D167F85" w14:textId="77777777" w:rsidR="004451CE" w:rsidRPr="004451CE" w:rsidRDefault="004451CE" w:rsidP="004451CE">
      <w:pPr>
        <w:autoSpaceDE w:val="0"/>
        <w:spacing w:line="360" w:lineRule="auto"/>
        <w:rPr>
          <w:rFonts w:eastAsia="Calibri"/>
          <w:lang w:val="es-PE" w:eastAsia="en-US"/>
        </w:rPr>
      </w:pPr>
      <w:r w:rsidRPr="004451CE">
        <w:rPr>
          <w:rFonts w:eastAsia="Calibri"/>
          <w:lang w:val="es-PE" w:eastAsia="en-US"/>
        </w:rPr>
        <w:t>Alix X. Rivera-</w:t>
      </w:r>
      <w:proofErr w:type="spellStart"/>
      <w:r w:rsidRPr="004451CE">
        <w:rPr>
          <w:rFonts w:eastAsia="Calibri"/>
          <w:lang w:val="es-PE" w:eastAsia="en-US"/>
        </w:rPr>
        <w:t>Pinto</w:t>
      </w:r>
      <w:r w:rsidRPr="004451CE">
        <w:rPr>
          <w:rFonts w:eastAsia="Calibri"/>
          <w:bCs/>
          <w:vertAlign w:val="superscript"/>
          <w:lang w:val="es-PE" w:eastAsia="en-US"/>
        </w:rPr>
        <w:t>3</w:t>
      </w:r>
      <w:proofErr w:type="spellEnd"/>
      <w:r w:rsidRPr="004451CE">
        <w:rPr>
          <w:rFonts w:eastAsia="Calibri"/>
          <w:bCs/>
          <w:vertAlign w:val="superscript"/>
          <w:lang w:val="es-PE" w:eastAsia="en-US"/>
        </w:rPr>
        <w:t xml:space="preserve"> </w:t>
      </w:r>
      <w:hyperlink r:id="rId13" w:history="1">
        <w:r w:rsidRPr="004451CE">
          <w:rPr>
            <w:rFonts w:eastAsia="Calibri"/>
            <w:bCs/>
            <w:color w:val="0000FF"/>
            <w:u w:val="single"/>
            <w:lang w:val="es-PE" w:eastAsia="en-US"/>
          </w:rPr>
          <w:t>https://orcid.org/0000-0001-6446-7433</w:t>
        </w:r>
      </w:hyperlink>
      <w:r w:rsidRPr="004451CE">
        <w:rPr>
          <w:rFonts w:eastAsia="Calibri"/>
          <w:bCs/>
          <w:lang w:val="es-PE" w:eastAsia="en-US"/>
        </w:rPr>
        <w:t xml:space="preserve"> </w:t>
      </w:r>
    </w:p>
    <w:p w14:paraId="432706CE" w14:textId="77777777" w:rsidR="004451CE" w:rsidRPr="004451CE" w:rsidRDefault="004451CE" w:rsidP="004451CE">
      <w:pPr>
        <w:autoSpaceDE w:val="0"/>
        <w:spacing w:line="360" w:lineRule="auto"/>
        <w:rPr>
          <w:rFonts w:eastAsia="Calibri"/>
          <w:bCs/>
          <w:vertAlign w:val="superscript"/>
          <w:lang w:val="es-PE" w:eastAsia="en-US"/>
        </w:rPr>
      </w:pPr>
      <w:r w:rsidRPr="004451CE">
        <w:rPr>
          <w:rFonts w:eastAsia="Calibri"/>
          <w:lang w:val="es-PE" w:eastAsia="en-US"/>
        </w:rPr>
        <w:t xml:space="preserve">Deyanira </w:t>
      </w:r>
      <w:proofErr w:type="spellStart"/>
      <w:r w:rsidRPr="004451CE">
        <w:rPr>
          <w:rFonts w:eastAsia="Calibri"/>
          <w:lang w:val="es-PE" w:eastAsia="en-US"/>
        </w:rPr>
        <w:t>Vertiz-Cuadra</w:t>
      </w:r>
      <w:r w:rsidRPr="004451CE">
        <w:rPr>
          <w:rFonts w:eastAsia="Calibri"/>
          <w:bCs/>
          <w:vertAlign w:val="superscript"/>
          <w:lang w:val="es-PE" w:eastAsia="en-US"/>
        </w:rPr>
        <w:t>3</w:t>
      </w:r>
      <w:proofErr w:type="spellEnd"/>
      <w:r w:rsidRPr="004451CE">
        <w:rPr>
          <w:rFonts w:eastAsia="Calibri"/>
          <w:bCs/>
          <w:vertAlign w:val="superscript"/>
          <w:lang w:val="es-PE" w:eastAsia="en-US"/>
        </w:rPr>
        <w:t xml:space="preserve"> </w:t>
      </w:r>
      <w:hyperlink r:id="rId14" w:history="1">
        <w:r w:rsidRPr="004451CE">
          <w:rPr>
            <w:rFonts w:eastAsia="Calibri"/>
            <w:bCs/>
            <w:color w:val="0000FF"/>
            <w:u w:val="single"/>
            <w:lang w:val="es-PE" w:eastAsia="en-US"/>
          </w:rPr>
          <w:t>https://orcid.org/0000-0003-1892-6517</w:t>
        </w:r>
      </w:hyperlink>
      <w:r w:rsidRPr="004451CE">
        <w:rPr>
          <w:rFonts w:eastAsia="Calibri"/>
          <w:bCs/>
          <w:vertAlign w:val="superscript"/>
          <w:lang w:val="es-PE" w:eastAsia="en-US"/>
        </w:rPr>
        <w:t xml:space="preserve"> </w:t>
      </w:r>
    </w:p>
    <w:p w14:paraId="4B3CDF7B" w14:textId="77777777" w:rsidR="004451CE" w:rsidRPr="004451CE" w:rsidRDefault="004451CE" w:rsidP="004451CE">
      <w:pPr>
        <w:autoSpaceDE w:val="0"/>
        <w:spacing w:line="360" w:lineRule="auto"/>
        <w:rPr>
          <w:rFonts w:eastAsia="Calibri"/>
          <w:bCs/>
          <w:lang w:val="es-PE" w:eastAsia="en-US"/>
        </w:rPr>
      </w:pPr>
      <w:r w:rsidRPr="004451CE">
        <w:rPr>
          <w:rFonts w:eastAsia="Calibri"/>
          <w:bCs/>
          <w:lang w:val="es-PE" w:eastAsia="en-US"/>
        </w:rPr>
        <w:t xml:space="preserve">Virgilio E. </w:t>
      </w:r>
      <w:proofErr w:type="spellStart"/>
      <w:r w:rsidRPr="004451CE">
        <w:rPr>
          <w:rFonts w:eastAsia="Calibri"/>
          <w:bCs/>
          <w:lang w:val="es-PE" w:eastAsia="en-US"/>
        </w:rPr>
        <w:t>Failoc-Rojas</w:t>
      </w:r>
      <w:r w:rsidRPr="004451CE">
        <w:rPr>
          <w:rFonts w:eastAsia="Calibri"/>
          <w:bCs/>
          <w:vertAlign w:val="superscript"/>
          <w:lang w:val="es-PE" w:eastAsia="en-US"/>
        </w:rPr>
        <w:t>5</w:t>
      </w:r>
      <w:proofErr w:type="spellEnd"/>
      <w:r w:rsidRPr="004451CE">
        <w:rPr>
          <w:rFonts w:eastAsia="Calibri"/>
          <w:bCs/>
          <w:lang w:val="es-PE" w:eastAsia="en-US"/>
        </w:rPr>
        <w:t xml:space="preserve">* </w:t>
      </w:r>
      <w:hyperlink r:id="rId15" w:history="1">
        <w:r w:rsidRPr="004451CE">
          <w:rPr>
            <w:rFonts w:eastAsia="Calibri"/>
            <w:bCs/>
            <w:color w:val="0000FF"/>
            <w:u w:val="single"/>
            <w:lang w:val="es-PE" w:eastAsia="en-US"/>
          </w:rPr>
          <w:t>https://orcid.org/0000-0003-2992-9342</w:t>
        </w:r>
      </w:hyperlink>
      <w:r w:rsidRPr="004451CE">
        <w:rPr>
          <w:rFonts w:eastAsia="Calibri"/>
          <w:bCs/>
          <w:lang w:val="es-PE" w:eastAsia="en-US"/>
        </w:rPr>
        <w:t xml:space="preserve"> </w:t>
      </w:r>
    </w:p>
    <w:p w14:paraId="795658EE" w14:textId="77777777" w:rsidR="004451CE" w:rsidRPr="004451CE" w:rsidRDefault="004451CE" w:rsidP="004451CE">
      <w:pPr>
        <w:autoSpaceDE w:val="0"/>
        <w:spacing w:line="360" w:lineRule="auto"/>
        <w:rPr>
          <w:rFonts w:eastAsia="Calibri"/>
          <w:bCs/>
          <w:lang w:val="es-PE" w:eastAsia="en-US"/>
        </w:rPr>
      </w:pPr>
      <w:r w:rsidRPr="004451CE">
        <w:rPr>
          <w:rFonts w:eastAsia="Calibri"/>
          <w:bCs/>
          <w:lang w:val="es-PE" w:eastAsia="en-US"/>
        </w:rPr>
        <w:t>Fiorella Inga-</w:t>
      </w:r>
      <w:proofErr w:type="spellStart"/>
      <w:r w:rsidRPr="004451CE">
        <w:rPr>
          <w:rFonts w:eastAsia="Calibri"/>
          <w:bCs/>
          <w:lang w:val="es-PE" w:eastAsia="en-US"/>
        </w:rPr>
        <w:t>Berrospi</w:t>
      </w:r>
      <w:r w:rsidRPr="004451CE">
        <w:rPr>
          <w:rFonts w:eastAsia="Calibri"/>
          <w:bCs/>
          <w:vertAlign w:val="superscript"/>
          <w:lang w:val="es-PE" w:eastAsia="en-US"/>
        </w:rPr>
        <w:t>3</w:t>
      </w:r>
      <w:proofErr w:type="spellEnd"/>
      <w:r w:rsidRPr="004451CE">
        <w:rPr>
          <w:rFonts w:eastAsia="Calibri"/>
          <w:bCs/>
          <w:vertAlign w:val="superscript"/>
          <w:lang w:val="es-PE" w:eastAsia="en-US"/>
        </w:rPr>
        <w:t xml:space="preserve"> </w:t>
      </w:r>
      <w:hyperlink r:id="rId16" w:history="1">
        <w:r w:rsidRPr="004451CE">
          <w:rPr>
            <w:rFonts w:eastAsia="Calibri"/>
            <w:bCs/>
            <w:color w:val="0000FF"/>
            <w:u w:val="single"/>
            <w:lang w:val="es-PE" w:eastAsia="en-US"/>
          </w:rPr>
          <w:t>https://orcid.org/0000-0002-9778-1557</w:t>
        </w:r>
      </w:hyperlink>
    </w:p>
    <w:p w14:paraId="009EAE35" w14:textId="77777777" w:rsidR="004451CE" w:rsidRPr="004451CE" w:rsidRDefault="004451CE" w:rsidP="004451CE">
      <w:pPr>
        <w:spacing w:line="360" w:lineRule="auto"/>
        <w:jc w:val="both"/>
        <w:rPr>
          <w:rFonts w:eastAsia="Calibri"/>
          <w:lang w:val="es-PE" w:eastAsia="en-US"/>
        </w:rPr>
      </w:pPr>
    </w:p>
    <w:p w14:paraId="628DD196" w14:textId="77777777" w:rsidR="004451CE" w:rsidRPr="004451CE" w:rsidRDefault="004451CE" w:rsidP="004451CE">
      <w:pPr>
        <w:spacing w:line="360" w:lineRule="auto"/>
        <w:jc w:val="both"/>
        <w:rPr>
          <w:rFonts w:eastAsia="Calibri"/>
          <w:lang w:val="es-PE" w:eastAsia="en-US"/>
        </w:rPr>
      </w:pPr>
      <w:proofErr w:type="spellStart"/>
      <w:r w:rsidRPr="004451CE">
        <w:rPr>
          <w:rFonts w:eastAsia="Calibri"/>
          <w:vertAlign w:val="superscript"/>
          <w:lang w:val="es-PE" w:eastAsia="en-US"/>
        </w:rPr>
        <w:t>1</w:t>
      </w:r>
      <w:r w:rsidRPr="004451CE">
        <w:rPr>
          <w:rFonts w:eastAsia="Calibri"/>
          <w:bCs/>
          <w:lang w:val="es-PE" w:eastAsia="en-US"/>
        </w:rPr>
        <w:t>Universidad</w:t>
      </w:r>
      <w:proofErr w:type="spellEnd"/>
      <w:r w:rsidRPr="004451CE">
        <w:rPr>
          <w:rFonts w:eastAsia="Calibri"/>
          <w:bCs/>
          <w:lang w:val="es-PE" w:eastAsia="en-US"/>
        </w:rPr>
        <w:t xml:space="preserve"> Continental. Lima, Perú.</w:t>
      </w:r>
    </w:p>
    <w:p w14:paraId="75AE5962" w14:textId="77777777" w:rsidR="004451CE" w:rsidRPr="004451CE" w:rsidRDefault="004451CE" w:rsidP="004451CE">
      <w:pPr>
        <w:spacing w:line="360" w:lineRule="auto"/>
        <w:rPr>
          <w:lang w:val="es-PE" w:eastAsia="en-US"/>
        </w:rPr>
      </w:pPr>
      <w:proofErr w:type="spellStart"/>
      <w:r w:rsidRPr="004451CE">
        <w:rPr>
          <w:rFonts w:eastAsia="Calibri"/>
          <w:vertAlign w:val="superscript"/>
          <w:lang w:val="es-PE" w:eastAsia="en-US"/>
        </w:rPr>
        <w:t>2</w:t>
      </w:r>
      <w:r w:rsidRPr="004451CE">
        <w:rPr>
          <w:lang w:val="es-PE" w:eastAsia="en-US"/>
        </w:rPr>
        <w:t>Oficina</w:t>
      </w:r>
      <w:proofErr w:type="spellEnd"/>
      <w:r w:rsidRPr="004451CE">
        <w:rPr>
          <w:lang w:val="es-PE" w:eastAsia="en-US"/>
        </w:rPr>
        <w:t xml:space="preserve"> de Epidemiología, Hospital Regional Lambayeque. Chiclayo, Perú.</w:t>
      </w:r>
    </w:p>
    <w:p w14:paraId="3CA7ED80" w14:textId="77777777" w:rsidR="004451CE" w:rsidRPr="004451CE" w:rsidRDefault="004451CE" w:rsidP="004451CE">
      <w:pPr>
        <w:spacing w:line="360" w:lineRule="auto"/>
        <w:jc w:val="both"/>
        <w:rPr>
          <w:rFonts w:eastAsia="Calibri"/>
          <w:lang w:val="es-PE" w:eastAsia="en-US"/>
        </w:rPr>
      </w:pPr>
      <w:proofErr w:type="spellStart"/>
      <w:r w:rsidRPr="004451CE">
        <w:rPr>
          <w:rFonts w:eastAsia="Calibri"/>
          <w:vertAlign w:val="superscript"/>
          <w:lang w:val="es-PE" w:eastAsia="en-US"/>
        </w:rPr>
        <w:t>3</w:t>
      </w:r>
      <w:r w:rsidRPr="004451CE">
        <w:rPr>
          <w:rFonts w:eastAsia="Calibri"/>
          <w:lang w:val="es-PE" w:eastAsia="en-US"/>
        </w:rPr>
        <w:t>Universidad</w:t>
      </w:r>
      <w:proofErr w:type="spellEnd"/>
      <w:r w:rsidRPr="004451CE">
        <w:rPr>
          <w:rFonts w:eastAsia="Calibri"/>
          <w:lang w:val="es-PE" w:eastAsia="en-US"/>
        </w:rPr>
        <w:t xml:space="preserve"> Norbert Wiener. Grupo de Investigación en Gestión y Salud Pública. Lima, Perú.</w:t>
      </w:r>
    </w:p>
    <w:p w14:paraId="114F2CBB" w14:textId="77777777" w:rsidR="004451CE" w:rsidRPr="004451CE" w:rsidRDefault="004451CE" w:rsidP="004451CE">
      <w:pPr>
        <w:autoSpaceDE w:val="0"/>
        <w:spacing w:line="360" w:lineRule="auto"/>
        <w:jc w:val="both"/>
        <w:rPr>
          <w:rFonts w:eastAsia="Calibri"/>
          <w:bCs/>
          <w:lang w:val="es-PE" w:eastAsia="en-US"/>
        </w:rPr>
      </w:pPr>
      <w:proofErr w:type="spellStart"/>
      <w:r w:rsidRPr="004451CE">
        <w:rPr>
          <w:rFonts w:eastAsia="Calibri"/>
          <w:bCs/>
          <w:vertAlign w:val="superscript"/>
          <w:lang w:val="es-PE" w:eastAsia="en-US"/>
        </w:rPr>
        <w:t>4</w:t>
      </w:r>
      <w:r w:rsidRPr="004451CE">
        <w:rPr>
          <w:rFonts w:eastAsia="Calibri"/>
          <w:bCs/>
          <w:lang w:val="es-PE" w:eastAsia="en-US"/>
        </w:rPr>
        <w:t>Universidad</w:t>
      </w:r>
      <w:proofErr w:type="spellEnd"/>
      <w:r w:rsidRPr="004451CE">
        <w:rPr>
          <w:rFonts w:eastAsia="Calibri"/>
          <w:bCs/>
          <w:lang w:val="es-PE" w:eastAsia="en-US"/>
        </w:rPr>
        <w:t xml:space="preserve"> Cesar Vallejo. Escuela de Medicina. Piura, Perú.</w:t>
      </w:r>
    </w:p>
    <w:p w14:paraId="2573C49F" w14:textId="77777777" w:rsidR="004451CE" w:rsidRPr="004451CE" w:rsidRDefault="004451CE" w:rsidP="004451CE">
      <w:pPr>
        <w:spacing w:line="360" w:lineRule="auto"/>
        <w:jc w:val="both"/>
        <w:rPr>
          <w:rFonts w:eastAsia="Calibri"/>
          <w:lang w:val="es-PE" w:eastAsia="en-US"/>
        </w:rPr>
      </w:pPr>
      <w:proofErr w:type="spellStart"/>
      <w:r w:rsidRPr="004451CE">
        <w:rPr>
          <w:rFonts w:eastAsia="Calibri"/>
          <w:bCs/>
          <w:vertAlign w:val="superscript"/>
          <w:lang w:val="es-PE" w:eastAsia="en-US"/>
        </w:rPr>
        <w:t>5</w:t>
      </w:r>
      <w:r w:rsidRPr="004451CE">
        <w:rPr>
          <w:rFonts w:eastAsia="Calibri"/>
          <w:lang w:val="es-PE" w:eastAsia="en-US"/>
        </w:rPr>
        <w:t>Universidad</w:t>
      </w:r>
      <w:proofErr w:type="spellEnd"/>
      <w:r w:rsidRPr="004451CE">
        <w:rPr>
          <w:rFonts w:eastAsia="Calibri"/>
          <w:lang w:val="es-PE" w:eastAsia="en-US"/>
        </w:rPr>
        <w:t xml:space="preserve"> San Ignacio de Loyola. Unidad de Generación y Síntesis de Evidencia. Lima, Perú.</w:t>
      </w:r>
    </w:p>
    <w:p w14:paraId="654AD490" w14:textId="77777777" w:rsidR="004451CE" w:rsidRPr="004451CE" w:rsidRDefault="004451CE" w:rsidP="004451CE">
      <w:pPr>
        <w:spacing w:line="360" w:lineRule="auto"/>
        <w:rPr>
          <w:rFonts w:eastAsia="Calibri"/>
          <w:lang w:val="es-PE" w:eastAsia="en-US"/>
        </w:rPr>
      </w:pPr>
    </w:p>
    <w:p w14:paraId="02C97920" w14:textId="77777777" w:rsidR="004451CE" w:rsidRPr="004451CE" w:rsidRDefault="004451CE" w:rsidP="004451CE">
      <w:pPr>
        <w:spacing w:line="360" w:lineRule="auto"/>
        <w:rPr>
          <w:rFonts w:eastAsia="Calibri"/>
          <w:lang w:val="es-PE" w:eastAsia="en-US"/>
        </w:rPr>
      </w:pPr>
      <w:r w:rsidRPr="004451CE">
        <w:rPr>
          <w:rFonts w:eastAsia="Calibri"/>
          <w:lang w:val="es-PE" w:eastAsia="en-US"/>
        </w:rPr>
        <w:t xml:space="preserve">*Autor para la correspondencia. Correo electrónico: </w:t>
      </w:r>
      <w:hyperlink r:id="rId17" w:history="1">
        <w:r w:rsidRPr="004451CE">
          <w:rPr>
            <w:rFonts w:eastAsia="Calibri"/>
            <w:color w:val="0000FF"/>
            <w:u w:val="single"/>
            <w:lang w:val="es-PE" w:eastAsia="en-US"/>
          </w:rPr>
          <w:t>virgiliofr@gmail.com</w:t>
        </w:r>
      </w:hyperlink>
      <w:r w:rsidRPr="004451CE">
        <w:rPr>
          <w:rFonts w:eastAsia="Calibri"/>
          <w:color w:val="0000FF"/>
          <w:u w:val="single"/>
          <w:lang w:val="es-PE" w:eastAsia="en-US"/>
        </w:rPr>
        <w:t xml:space="preserve"> </w:t>
      </w:r>
      <w:r w:rsidRPr="004451CE">
        <w:rPr>
          <w:rFonts w:eastAsia="Calibri"/>
          <w:lang w:val="es-PE" w:eastAsia="en-US"/>
        </w:rPr>
        <w:t xml:space="preserve"> </w:t>
      </w:r>
    </w:p>
    <w:p w14:paraId="063867D1" w14:textId="77777777" w:rsidR="004451CE" w:rsidRPr="004451CE" w:rsidRDefault="004451CE" w:rsidP="004451CE">
      <w:pPr>
        <w:spacing w:line="360" w:lineRule="auto"/>
        <w:jc w:val="center"/>
        <w:rPr>
          <w:rFonts w:eastAsia="Calibri"/>
          <w:lang w:val="es-CU" w:eastAsia="en-US"/>
        </w:rPr>
      </w:pPr>
    </w:p>
    <w:p w14:paraId="06941CE1" w14:textId="77777777" w:rsidR="003F285D" w:rsidRDefault="003F285D">
      <w:pPr>
        <w:rPr>
          <w:rFonts w:eastAsia="Calibri"/>
          <w:b/>
          <w:lang w:val="es-PE" w:eastAsia="en-US"/>
        </w:rPr>
      </w:pPr>
      <w:r>
        <w:rPr>
          <w:rFonts w:eastAsia="Calibri"/>
          <w:b/>
          <w:lang w:val="es-PE" w:eastAsia="en-US"/>
        </w:rPr>
        <w:br w:type="page"/>
      </w:r>
    </w:p>
    <w:p w14:paraId="3CF37054" w14:textId="6DCDADDE" w:rsidR="004451CE" w:rsidRPr="004451CE" w:rsidRDefault="004451CE" w:rsidP="004451CE">
      <w:pPr>
        <w:spacing w:line="360" w:lineRule="auto"/>
        <w:rPr>
          <w:rFonts w:eastAsia="Calibri"/>
          <w:b/>
          <w:lang w:val="es-PE" w:eastAsia="en-US"/>
        </w:rPr>
      </w:pPr>
      <w:r w:rsidRPr="004451CE">
        <w:rPr>
          <w:rFonts w:eastAsia="Calibri"/>
          <w:b/>
          <w:lang w:val="es-PE" w:eastAsia="en-US"/>
        </w:rPr>
        <w:lastRenderedPageBreak/>
        <w:t>RESUMEN</w:t>
      </w:r>
    </w:p>
    <w:p w14:paraId="62292836" w14:textId="77777777" w:rsidR="004451CE" w:rsidRPr="004451CE" w:rsidRDefault="004451CE" w:rsidP="004451CE">
      <w:pPr>
        <w:spacing w:line="360" w:lineRule="auto"/>
        <w:jc w:val="both"/>
        <w:rPr>
          <w:rFonts w:eastAsia="Calibri"/>
          <w:lang w:val="es-PE" w:eastAsia="en-US"/>
        </w:rPr>
      </w:pPr>
      <w:r w:rsidRPr="004451CE">
        <w:rPr>
          <w:rFonts w:eastAsia="Calibri"/>
          <w:b/>
          <w:lang w:val="es-PE" w:eastAsia="en-US"/>
        </w:rPr>
        <w:t>Introducción:</w:t>
      </w:r>
      <w:r w:rsidRPr="004451CE">
        <w:rPr>
          <w:rFonts w:eastAsia="Calibri"/>
          <w:bCs/>
          <w:lang w:val="es-PE" w:eastAsia="en-US"/>
        </w:rPr>
        <w:t xml:space="preserve"> </w:t>
      </w:r>
      <w:r w:rsidRPr="004451CE">
        <w:rPr>
          <w:lang w:val="es-PE" w:eastAsia="en-US"/>
        </w:rPr>
        <w:t xml:space="preserve">La funcionalidad familiar influye en el proceso salud-enfermedad, es por ello que se destaca su importancia en el primer nivel de atención. </w:t>
      </w:r>
      <w:r w:rsidRPr="004451CE">
        <w:rPr>
          <w:rFonts w:eastAsia="Calibri"/>
          <w:lang w:val="es-PE" w:eastAsia="en-US"/>
        </w:rPr>
        <w:t xml:space="preserve">No existe evidencia concluyente sobre los factores que influyen en la disfunción familiar en pacientes atendidos </w:t>
      </w:r>
      <w:r w:rsidRPr="004451CE">
        <w:rPr>
          <w:rFonts w:eastAsia="Calibri"/>
          <w:lang w:val="es-CO" w:eastAsia="en-US"/>
        </w:rPr>
        <w:t>en el primer nivel de atención.</w:t>
      </w:r>
    </w:p>
    <w:p w14:paraId="5FF88B23" w14:textId="77777777" w:rsidR="004451CE" w:rsidRPr="004451CE" w:rsidRDefault="004451CE" w:rsidP="004451CE">
      <w:pPr>
        <w:spacing w:line="360" w:lineRule="auto"/>
        <w:jc w:val="both"/>
        <w:rPr>
          <w:rFonts w:eastAsia="Calibri"/>
          <w:lang w:val="es-PE" w:eastAsia="en-US"/>
        </w:rPr>
      </w:pPr>
      <w:r w:rsidRPr="004451CE">
        <w:rPr>
          <w:rFonts w:eastAsia="Calibri"/>
          <w:b/>
          <w:lang w:val="es-PE" w:eastAsia="en-US"/>
        </w:rPr>
        <w:t>Objetivo:</w:t>
      </w:r>
      <w:r w:rsidRPr="004451CE">
        <w:rPr>
          <w:rFonts w:eastAsia="Calibri"/>
          <w:bCs/>
          <w:lang w:val="es-PE" w:eastAsia="en-US"/>
        </w:rPr>
        <w:t xml:space="preserve"> </w:t>
      </w:r>
      <w:r w:rsidRPr="004451CE">
        <w:rPr>
          <w:rFonts w:eastAsia="Calibri"/>
          <w:lang w:val="es-CO" w:eastAsia="en-US"/>
        </w:rPr>
        <w:t>Determinar la prevalencia y factores asociados a disfunción familiar en pacientes atendidos en el primer nivel de atención</w:t>
      </w:r>
      <w:r w:rsidRPr="004451CE">
        <w:rPr>
          <w:rFonts w:eastAsia="Calibri"/>
          <w:lang w:val="es-PE" w:eastAsia="en-US"/>
        </w:rPr>
        <w:t>.</w:t>
      </w:r>
    </w:p>
    <w:p w14:paraId="5CFEB0A7" w14:textId="77777777" w:rsidR="004451CE" w:rsidRPr="004451CE" w:rsidRDefault="004451CE" w:rsidP="004451CE">
      <w:pPr>
        <w:spacing w:line="360" w:lineRule="auto"/>
        <w:jc w:val="both"/>
        <w:rPr>
          <w:rFonts w:eastAsia="Calibri"/>
          <w:bCs/>
          <w:lang w:val="es-PE" w:eastAsia="en-US"/>
        </w:rPr>
      </w:pPr>
      <w:r w:rsidRPr="004451CE">
        <w:rPr>
          <w:rFonts w:eastAsia="Calibri"/>
          <w:b/>
          <w:lang w:val="es-PE" w:eastAsia="en-US"/>
        </w:rPr>
        <w:t>Métodos:</w:t>
      </w:r>
      <w:r w:rsidRPr="004451CE">
        <w:rPr>
          <w:rFonts w:eastAsia="Calibri"/>
          <w:bCs/>
          <w:lang w:val="es-PE" w:eastAsia="en-US"/>
        </w:rPr>
        <w:t xml:space="preserve"> </w:t>
      </w:r>
      <w:r w:rsidRPr="004451CE">
        <w:rPr>
          <w:rFonts w:eastAsia="Calibri"/>
          <w:lang w:val="es-PE" w:eastAsia="en-US"/>
        </w:rPr>
        <w:t xml:space="preserve">Estudio transversal de análisis secundario de datos en pacientes atendidos en 7 establecimientos del </w:t>
      </w:r>
      <w:r w:rsidRPr="004451CE">
        <w:rPr>
          <w:rFonts w:eastAsia="Calibri"/>
          <w:lang w:val="es-CO" w:eastAsia="en-US"/>
        </w:rPr>
        <w:t>primer nivel de atención de Lima, Perú, en 2019. Se utilizó el cuestionario Apgar Familiar</w:t>
      </w:r>
      <w:r w:rsidRPr="004451CE">
        <w:rPr>
          <w:rFonts w:eastAsia="Calibri"/>
          <w:lang w:val="es-PE" w:eastAsia="en-US"/>
        </w:rPr>
        <w:t xml:space="preserve"> y se indagó su asociación con factores demográficos-socioeconómicos. Se estimaron razones de prevalencia (RP) a través de modelos de regresión simple y múltiple</w:t>
      </w:r>
      <w:r w:rsidRPr="004451CE">
        <w:rPr>
          <w:rFonts w:eastAsia="Calibri"/>
          <w:bCs/>
          <w:lang w:val="es-PE" w:eastAsia="en-US"/>
        </w:rPr>
        <w:t>.</w:t>
      </w:r>
    </w:p>
    <w:p w14:paraId="31CBE8EF" w14:textId="77777777" w:rsidR="004451CE" w:rsidRPr="004451CE" w:rsidRDefault="004451CE" w:rsidP="004451CE">
      <w:pPr>
        <w:spacing w:line="360" w:lineRule="auto"/>
        <w:jc w:val="both"/>
        <w:rPr>
          <w:rFonts w:eastAsia="Calibri"/>
          <w:bCs/>
          <w:lang w:val="es-PE" w:eastAsia="en-US"/>
        </w:rPr>
      </w:pPr>
      <w:r w:rsidRPr="004451CE">
        <w:rPr>
          <w:rFonts w:eastAsia="Calibri"/>
          <w:b/>
          <w:lang w:val="es-PE" w:eastAsia="en-US"/>
        </w:rPr>
        <w:t>Resultados:</w:t>
      </w:r>
      <w:r w:rsidRPr="004451CE">
        <w:rPr>
          <w:rFonts w:eastAsia="Calibri"/>
          <w:bCs/>
          <w:lang w:val="es-PE" w:eastAsia="en-US"/>
        </w:rPr>
        <w:t xml:space="preserve"> </w:t>
      </w:r>
      <w:r w:rsidRPr="004451CE">
        <w:rPr>
          <w:rFonts w:eastAsia="Calibri"/>
          <w:lang w:val="es-PE" w:eastAsia="en-US"/>
        </w:rPr>
        <w:t xml:space="preserve">De 150 pacientes, la mayoría fueron mujeres (81,3 %) y la mediana de edad fue de 32 años. El 14 % presentó disfunción familiar. Los pacientes con acceso a servicio de agua tenían menor prevalencia de disfunción familiar (RP: 0,04; </w:t>
      </w:r>
      <w:proofErr w:type="spellStart"/>
      <w:r w:rsidRPr="004451CE">
        <w:rPr>
          <w:rFonts w:eastAsia="Calibri"/>
          <w:lang w:val="es-PE" w:eastAsia="en-US"/>
        </w:rPr>
        <w:t>IC95</w:t>
      </w:r>
      <w:proofErr w:type="spellEnd"/>
      <w:r w:rsidRPr="004451CE">
        <w:rPr>
          <w:rFonts w:eastAsia="Calibri"/>
          <w:lang w:val="es-PE" w:eastAsia="en-US"/>
        </w:rPr>
        <w:t xml:space="preserve"> %: 0,001 – 0,47). Residir entre 1 a 10 años en Lima representó menor prevalencia de disfunción familiar; en comparación con pacientes recién llegados a la capital (menos de 1 año) (RP: 0,15; </w:t>
      </w:r>
      <w:proofErr w:type="spellStart"/>
      <w:r w:rsidRPr="004451CE">
        <w:rPr>
          <w:rFonts w:eastAsia="Calibri"/>
          <w:lang w:val="es-PE" w:eastAsia="en-US"/>
        </w:rPr>
        <w:t>IC95</w:t>
      </w:r>
      <w:proofErr w:type="spellEnd"/>
      <w:r w:rsidRPr="004451CE">
        <w:rPr>
          <w:rFonts w:eastAsia="Calibri"/>
          <w:lang w:val="es-PE" w:eastAsia="en-US"/>
        </w:rPr>
        <w:t xml:space="preserve"> %: 0,04 – 0,62)</w:t>
      </w:r>
      <w:r w:rsidRPr="004451CE">
        <w:rPr>
          <w:rFonts w:eastAsia="Calibri"/>
          <w:bCs/>
          <w:lang w:val="es-PE" w:eastAsia="en-US"/>
        </w:rPr>
        <w:t>.</w:t>
      </w:r>
    </w:p>
    <w:p w14:paraId="76B3F2BC" w14:textId="77777777" w:rsidR="004451CE" w:rsidRPr="004451CE" w:rsidRDefault="004451CE" w:rsidP="004451CE">
      <w:pPr>
        <w:spacing w:line="360" w:lineRule="auto"/>
        <w:jc w:val="both"/>
        <w:rPr>
          <w:rFonts w:eastAsia="Calibri"/>
          <w:bCs/>
          <w:lang w:val="es-PE" w:eastAsia="en-US"/>
        </w:rPr>
      </w:pPr>
      <w:r w:rsidRPr="004451CE">
        <w:rPr>
          <w:rFonts w:eastAsia="Calibri"/>
          <w:b/>
          <w:lang w:val="es-PE" w:eastAsia="en-US"/>
        </w:rPr>
        <w:t>Conclusiones:</w:t>
      </w:r>
      <w:r w:rsidRPr="004451CE">
        <w:rPr>
          <w:rFonts w:eastAsia="Calibri"/>
          <w:bCs/>
          <w:lang w:val="es-PE" w:eastAsia="en-US"/>
        </w:rPr>
        <w:t xml:space="preserve"> </w:t>
      </w:r>
      <w:r w:rsidRPr="004451CE">
        <w:rPr>
          <w:rFonts w:eastAsia="Calibri"/>
          <w:lang w:val="es-PE" w:eastAsia="en-US"/>
        </w:rPr>
        <w:t>La prevalencia de disfunción familiar en pacientes atendidos en primer nivel de atención es baja. Tener acceso a servicio de agua y residir entre 1 a 10 años en la capital influyó en una menor prevalencia de disfunción familiar</w:t>
      </w:r>
      <w:r w:rsidRPr="004451CE">
        <w:rPr>
          <w:rFonts w:eastAsia="Calibri"/>
          <w:bCs/>
          <w:lang w:val="es-PE" w:eastAsia="en-US"/>
        </w:rPr>
        <w:t>.</w:t>
      </w:r>
      <w:r w:rsidRPr="004451CE">
        <w:rPr>
          <w:rFonts w:eastAsia="Calibri"/>
          <w:lang w:val="es-PE" w:eastAsia="en-US"/>
        </w:rPr>
        <w:t xml:space="preserve"> </w:t>
      </w:r>
    </w:p>
    <w:p w14:paraId="7074154C" w14:textId="77777777" w:rsidR="004451CE" w:rsidRPr="004451CE" w:rsidRDefault="004451CE" w:rsidP="004451CE">
      <w:pPr>
        <w:spacing w:line="360" w:lineRule="auto"/>
        <w:rPr>
          <w:rFonts w:eastAsia="Calibri"/>
          <w:bCs/>
          <w:lang w:val="es-PE" w:eastAsia="en-US"/>
        </w:rPr>
      </w:pPr>
      <w:r w:rsidRPr="004451CE">
        <w:rPr>
          <w:rFonts w:eastAsia="Calibri"/>
          <w:b/>
          <w:lang w:val="es-PE" w:eastAsia="en-US"/>
        </w:rPr>
        <w:t xml:space="preserve">Palabras clave: </w:t>
      </w:r>
      <w:r w:rsidRPr="004451CE">
        <w:rPr>
          <w:rFonts w:eastAsia="Calibri"/>
          <w:lang w:val="es-PE" w:eastAsia="en-US"/>
        </w:rPr>
        <w:t>disfunción familiar</w:t>
      </w:r>
      <w:r w:rsidRPr="004451CE">
        <w:rPr>
          <w:rFonts w:eastAsia="Calibri"/>
          <w:lang w:val="es-CO" w:eastAsia="en-US"/>
        </w:rPr>
        <w:t>; primer nivel de atención; servicios de salud; salud pública</w:t>
      </w:r>
      <w:r w:rsidRPr="004451CE">
        <w:rPr>
          <w:rFonts w:eastAsia="Calibri"/>
          <w:bCs/>
          <w:lang w:val="es-PE" w:eastAsia="en-US"/>
        </w:rPr>
        <w:t>.</w:t>
      </w:r>
    </w:p>
    <w:p w14:paraId="30620051" w14:textId="77777777" w:rsidR="004451CE" w:rsidRPr="004451CE" w:rsidRDefault="004451CE" w:rsidP="004451CE">
      <w:pPr>
        <w:spacing w:line="360" w:lineRule="auto"/>
        <w:rPr>
          <w:rFonts w:eastAsia="Calibri"/>
          <w:b/>
          <w:lang w:val="es-PE" w:eastAsia="en-US"/>
        </w:rPr>
      </w:pPr>
    </w:p>
    <w:p w14:paraId="3AB2F912" w14:textId="77777777" w:rsidR="004451CE" w:rsidRPr="004451CE" w:rsidRDefault="004451CE" w:rsidP="004451CE">
      <w:pPr>
        <w:spacing w:line="360" w:lineRule="auto"/>
        <w:rPr>
          <w:rFonts w:eastAsia="Calibri"/>
          <w:b/>
          <w:lang w:val="en-US" w:eastAsia="en-US"/>
        </w:rPr>
      </w:pPr>
      <w:r w:rsidRPr="004451CE">
        <w:rPr>
          <w:rFonts w:eastAsia="Calibri"/>
          <w:b/>
          <w:lang w:val="en-US" w:eastAsia="en-US"/>
        </w:rPr>
        <w:t>ABSTRACT</w:t>
      </w:r>
    </w:p>
    <w:p w14:paraId="7F09F29D" w14:textId="77777777" w:rsidR="004451CE" w:rsidRPr="004451CE" w:rsidRDefault="004451CE" w:rsidP="004451CE">
      <w:pPr>
        <w:spacing w:line="360" w:lineRule="auto"/>
        <w:jc w:val="both"/>
        <w:rPr>
          <w:rFonts w:eastAsia="Calibri"/>
          <w:bCs/>
          <w:lang w:val="en-US" w:eastAsia="en-US"/>
        </w:rPr>
      </w:pPr>
      <w:r w:rsidRPr="004451CE">
        <w:rPr>
          <w:rFonts w:eastAsia="Calibri"/>
          <w:b/>
          <w:lang w:val="en-US" w:eastAsia="en-US"/>
        </w:rPr>
        <w:t>Introduction:</w:t>
      </w:r>
      <w:r w:rsidRPr="004451CE">
        <w:rPr>
          <w:rFonts w:eastAsia="Calibri"/>
          <w:bCs/>
          <w:lang w:val="en-US" w:eastAsia="en-US"/>
        </w:rPr>
        <w:t xml:space="preserve"> Family functionality influences the health-disease process, which is why its importance in the first level of care is highlighted. There is no conclusive evidence on the factors that influence family dysfunction in patients treated at the First Level of Care.</w:t>
      </w:r>
    </w:p>
    <w:p w14:paraId="3BAD7163" w14:textId="77777777" w:rsidR="004451CE" w:rsidRPr="004451CE" w:rsidRDefault="004451CE" w:rsidP="004451CE">
      <w:pPr>
        <w:spacing w:line="360" w:lineRule="auto"/>
        <w:jc w:val="both"/>
        <w:rPr>
          <w:rFonts w:eastAsia="Calibri"/>
          <w:bCs/>
          <w:lang w:val="en-US" w:eastAsia="en-US"/>
        </w:rPr>
      </w:pPr>
      <w:r w:rsidRPr="004451CE">
        <w:rPr>
          <w:rFonts w:eastAsia="Calibri"/>
          <w:b/>
          <w:lang w:val="en-US" w:eastAsia="en-US"/>
        </w:rPr>
        <w:t>Objective:</w:t>
      </w:r>
      <w:r w:rsidRPr="004451CE">
        <w:rPr>
          <w:rFonts w:eastAsia="Calibri"/>
          <w:bCs/>
          <w:lang w:val="en-US" w:eastAsia="en-US"/>
        </w:rPr>
        <w:t xml:space="preserve"> To determine the prevalence and factors associated with family dysfunction in patients treated at the First Level of Care.</w:t>
      </w:r>
    </w:p>
    <w:p w14:paraId="07E3C2A7" w14:textId="77777777" w:rsidR="004451CE" w:rsidRPr="004451CE" w:rsidRDefault="004451CE" w:rsidP="004451CE">
      <w:pPr>
        <w:spacing w:line="360" w:lineRule="auto"/>
        <w:jc w:val="both"/>
        <w:rPr>
          <w:rFonts w:eastAsia="Calibri"/>
          <w:bCs/>
          <w:lang w:val="en-US" w:eastAsia="en-US"/>
        </w:rPr>
      </w:pPr>
      <w:r w:rsidRPr="004451CE">
        <w:rPr>
          <w:rFonts w:eastAsia="Calibri"/>
          <w:b/>
          <w:lang w:val="en-US" w:eastAsia="en-US"/>
        </w:rPr>
        <w:t xml:space="preserve">Methods: </w:t>
      </w:r>
      <w:r w:rsidRPr="004451CE">
        <w:rPr>
          <w:rFonts w:eastAsia="Calibri"/>
          <w:bCs/>
          <w:lang w:val="en-US" w:eastAsia="en-US"/>
        </w:rPr>
        <w:t xml:space="preserve">Cross-sectional study of secondary data analysis in patients treated in 7 primary care establishments in Lima, Peru in 2019. The Family Apgar questionnaire was used, and its association with </w:t>
      </w:r>
      <w:r w:rsidRPr="004451CE">
        <w:rPr>
          <w:rFonts w:eastAsia="Calibri"/>
          <w:bCs/>
          <w:lang w:val="en-US" w:eastAsia="en-US"/>
        </w:rPr>
        <w:lastRenderedPageBreak/>
        <w:t>demographic-socioeconomic factors was investigated. Prevalence ratios (PR) were estimated through simple and multiple regression models.</w:t>
      </w:r>
    </w:p>
    <w:p w14:paraId="47AF326C" w14:textId="77777777" w:rsidR="004451CE" w:rsidRPr="004451CE" w:rsidRDefault="004451CE" w:rsidP="004451CE">
      <w:pPr>
        <w:spacing w:line="360" w:lineRule="auto"/>
        <w:jc w:val="both"/>
        <w:rPr>
          <w:rFonts w:eastAsia="Calibri"/>
          <w:bCs/>
          <w:lang w:val="en-US" w:eastAsia="en-US"/>
        </w:rPr>
      </w:pPr>
      <w:r w:rsidRPr="004451CE">
        <w:rPr>
          <w:rFonts w:eastAsia="Calibri"/>
          <w:b/>
          <w:lang w:val="en-US" w:eastAsia="en-US"/>
        </w:rPr>
        <w:t>Results:</w:t>
      </w:r>
      <w:r w:rsidRPr="004451CE">
        <w:rPr>
          <w:rFonts w:eastAsia="Calibri"/>
          <w:bCs/>
          <w:lang w:val="en-US" w:eastAsia="en-US"/>
        </w:rPr>
        <w:t xml:space="preserve"> Of 150 patients, the majority were women (81.3%) and the median age was 32 years. 14% presented family dysfunction. Patients with access to water service had a lower prevalence of family dysfunction (PR: 0.04; 95% CI: 0.001-0.47). Living between 1 and 10 years in Lima represented a lower prevalence of family dysfunction; compared with patients recently arrived in the capital (less than 1 year) (PR: 0.15; 95% CI: 0.04- 0.62).</w:t>
      </w:r>
    </w:p>
    <w:p w14:paraId="272E2417" w14:textId="77777777" w:rsidR="004451CE" w:rsidRPr="004451CE" w:rsidRDefault="004451CE" w:rsidP="004451CE">
      <w:pPr>
        <w:spacing w:line="360" w:lineRule="auto"/>
        <w:jc w:val="both"/>
        <w:rPr>
          <w:rFonts w:eastAsia="Calibri"/>
          <w:bCs/>
          <w:lang w:val="en-US" w:eastAsia="en-US"/>
        </w:rPr>
      </w:pPr>
      <w:r w:rsidRPr="004451CE">
        <w:rPr>
          <w:rFonts w:eastAsia="Calibri"/>
          <w:b/>
          <w:lang w:val="en-US" w:eastAsia="en-US"/>
        </w:rPr>
        <w:t>Conclusions:</w:t>
      </w:r>
      <w:r w:rsidRPr="004451CE">
        <w:rPr>
          <w:rFonts w:eastAsia="Calibri"/>
          <w:bCs/>
          <w:lang w:val="en-US" w:eastAsia="en-US"/>
        </w:rPr>
        <w:t xml:space="preserve"> The prevalence of family dysfunction in patients treated at the primary care level was low. Having access to water service and residing between 1 and 10 years in the capital influenced a lower prevalence of family dysfunction.</w:t>
      </w:r>
    </w:p>
    <w:p w14:paraId="302B4B71" w14:textId="77777777" w:rsidR="004451CE" w:rsidRPr="004451CE" w:rsidRDefault="004451CE" w:rsidP="004451CE">
      <w:pPr>
        <w:spacing w:line="360" w:lineRule="auto"/>
        <w:rPr>
          <w:rFonts w:eastAsia="Calibri"/>
          <w:bCs/>
          <w:lang w:val="en-US" w:eastAsia="en-US"/>
        </w:rPr>
      </w:pPr>
      <w:r w:rsidRPr="004451CE">
        <w:rPr>
          <w:rFonts w:eastAsia="Calibri"/>
          <w:b/>
          <w:lang w:val="en-US" w:eastAsia="en-US"/>
        </w:rPr>
        <w:t>Keywords:</w:t>
      </w:r>
      <w:r w:rsidRPr="004451CE">
        <w:rPr>
          <w:rFonts w:eastAsia="Calibri"/>
          <w:bCs/>
          <w:lang w:val="en-US" w:eastAsia="en-US"/>
        </w:rPr>
        <w:t xml:space="preserve"> family dysfunction, first level of care, health services, public health.</w:t>
      </w:r>
    </w:p>
    <w:p w14:paraId="07F9F3AA" w14:textId="77777777" w:rsidR="004451CE" w:rsidRPr="004451CE" w:rsidRDefault="004451CE" w:rsidP="004451CE">
      <w:pPr>
        <w:spacing w:line="360" w:lineRule="auto"/>
        <w:rPr>
          <w:rFonts w:eastAsia="Calibri"/>
          <w:bCs/>
          <w:lang w:val="en-US" w:eastAsia="en-US"/>
        </w:rPr>
      </w:pPr>
    </w:p>
    <w:p w14:paraId="1B056A6C" w14:textId="77777777" w:rsidR="004451CE" w:rsidRPr="004451CE" w:rsidRDefault="004451CE" w:rsidP="004451CE">
      <w:pPr>
        <w:spacing w:line="360" w:lineRule="auto"/>
        <w:rPr>
          <w:rFonts w:eastAsia="Calibri"/>
          <w:bCs/>
          <w:lang w:val="en-US" w:eastAsia="en-US"/>
        </w:rPr>
      </w:pPr>
    </w:p>
    <w:p w14:paraId="39D06469" w14:textId="77777777" w:rsidR="004451CE" w:rsidRPr="004451CE" w:rsidRDefault="004451CE" w:rsidP="004451CE">
      <w:pPr>
        <w:spacing w:line="360" w:lineRule="auto"/>
        <w:rPr>
          <w:rFonts w:eastAsia="Calibri"/>
          <w:bCs/>
          <w:lang w:val="es-PE" w:eastAsia="en-US"/>
        </w:rPr>
      </w:pPr>
      <w:r w:rsidRPr="004451CE">
        <w:rPr>
          <w:rFonts w:eastAsia="Calibri"/>
          <w:bCs/>
          <w:lang w:val="es-PE" w:eastAsia="en-US"/>
        </w:rPr>
        <w:t>Recibido: 17/10/2022</w:t>
      </w:r>
    </w:p>
    <w:p w14:paraId="0AA8EC4F" w14:textId="77777777" w:rsidR="004451CE" w:rsidRPr="004451CE" w:rsidRDefault="004451CE" w:rsidP="004451CE">
      <w:pPr>
        <w:spacing w:line="360" w:lineRule="auto"/>
        <w:rPr>
          <w:rFonts w:eastAsia="Calibri"/>
          <w:bCs/>
          <w:lang w:val="es-PE" w:eastAsia="en-US"/>
        </w:rPr>
      </w:pPr>
      <w:r w:rsidRPr="004451CE">
        <w:rPr>
          <w:rFonts w:eastAsia="Calibri"/>
          <w:bCs/>
          <w:lang w:val="es-PE" w:eastAsia="en-US"/>
        </w:rPr>
        <w:t>Aprobado: 01/02/2023</w:t>
      </w:r>
    </w:p>
    <w:p w14:paraId="0D7E5637" w14:textId="77777777" w:rsidR="004451CE" w:rsidRPr="004451CE" w:rsidRDefault="004451CE" w:rsidP="004451CE">
      <w:pPr>
        <w:spacing w:line="360" w:lineRule="auto"/>
        <w:rPr>
          <w:rFonts w:eastAsia="Calibri"/>
          <w:bCs/>
          <w:lang w:val="es-PE" w:eastAsia="en-US"/>
        </w:rPr>
      </w:pPr>
    </w:p>
    <w:p w14:paraId="42BE2258" w14:textId="77777777" w:rsidR="004451CE" w:rsidRPr="004451CE" w:rsidRDefault="004451CE" w:rsidP="004451CE">
      <w:pPr>
        <w:spacing w:line="360" w:lineRule="auto"/>
        <w:rPr>
          <w:rFonts w:eastAsia="Calibri"/>
          <w:bCs/>
          <w:lang w:val="es-PE" w:eastAsia="en-US"/>
        </w:rPr>
      </w:pPr>
    </w:p>
    <w:p w14:paraId="133863D0" w14:textId="77777777" w:rsidR="004451CE" w:rsidRPr="004451CE" w:rsidRDefault="004451CE" w:rsidP="004451CE">
      <w:pPr>
        <w:spacing w:line="360" w:lineRule="auto"/>
        <w:jc w:val="center"/>
        <w:rPr>
          <w:rFonts w:eastAsia="Calibri"/>
          <w:b/>
          <w:bCs/>
          <w:sz w:val="32"/>
          <w:szCs w:val="32"/>
          <w:lang w:val="es-PE" w:eastAsia="en-US"/>
        </w:rPr>
      </w:pPr>
      <w:r w:rsidRPr="004451CE">
        <w:rPr>
          <w:rFonts w:eastAsia="Calibri"/>
          <w:b/>
          <w:bCs/>
          <w:sz w:val="32"/>
          <w:szCs w:val="32"/>
          <w:lang w:val="es-PE" w:eastAsia="en-US"/>
        </w:rPr>
        <w:t>INTRODUCCIÓN</w:t>
      </w:r>
    </w:p>
    <w:p w14:paraId="7559CDDE"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La familia se define como la unidad fundamental desde el enfoque de medicina familiar.</w:t>
      </w:r>
      <w:r w:rsidRPr="004451CE">
        <w:rPr>
          <w:rFonts w:eastAsia="Calibri"/>
          <w:vertAlign w:val="superscript"/>
          <w:lang w:val="es-PE" w:eastAsia="en-US"/>
        </w:rPr>
        <w:t>(1)</w:t>
      </w:r>
      <w:r w:rsidRPr="004451CE">
        <w:rPr>
          <w:rFonts w:eastAsia="Calibri"/>
          <w:lang w:val="es-PE" w:eastAsia="en-US"/>
        </w:rPr>
        <w:t xml:space="preserve"> La disfunción familiar (DF), se  define como la situación en la que se encuentra una familia, en la cual  uno de los padres no cumple el rol principal y por lo tanto, se genera un problema emocional, psicológico y espiritual.</w:t>
      </w:r>
      <w:r w:rsidRPr="004451CE">
        <w:rPr>
          <w:rFonts w:eastAsia="Calibri"/>
          <w:vertAlign w:val="superscript"/>
          <w:lang w:val="es-PE" w:eastAsia="en-US"/>
        </w:rPr>
        <w:t>(2)</w:t>
      </w:r>
      <w:r w:rsidRPr="004451CE">
        <w:rPr>
          <w:rFonts w:eastAsia="Calibri"/>
          <w:lang w:val="es-PE" w:eastAsia="en-US"/>
        </w:rPr>
        <w:t xml:space="preserve"> Con la finalidad de evaluar la percepción y el funcionamiento familiar se creó el instrumento Apgar familiar.</w:t>
      </w:r>
      <w:r w:rsidRPr="004451CE">
        <w:rPr>
          <w:rFonts w:eastAsia="Calibri"/>
          <w:vertAlign w:val="superscript"/>
          <w:lang w:val="es-PE" w:eastAsia="en-US"/>
        </w:rPr>
        <w:t>(3)</w:t>
      </w:r>
      <w:r w:rsidRPr="004451CE">
        <w:rPr>
          <w:rFonts w:eastAsia="Calibri"/>
          <w:lang w:val="es-PE" w:eastAsia="en-US"/>
        </w:rPr>
        <w:t xml:space="preserve"> Este ayuda a identificar el papel de la funcionalidad familiar con respecto al proceso salud-enfermedad y, por ello, se destaca la importancia en el primer nivel de atención (</w:t>
      </w:r>
      <w:proofErr w:type="spellStart"/>
      <w:r w:rsidRPr="004451CE">
        <w:rPr>
          <w:rFonts w:eastAsia="Calibri"/>
          <w:lang w:val="es-PE" w:eastAsia="en-US"/>
        </w:rPr>
        <w:t>PNA</w:t>
      </w:r>
      <w:proofErr w:type="spellEnd"/>
      <w:r w:rsidRPr="004451CE">
        <w:rPr>
          <w:rFonts w:eastAsia="Calibri"/>
          <w:lang w:val="es-PE" w:eastAsia="en-US"/>
        </w:rPr>
        <w:t>) ya que permite reconocer la medida en que la familia cumple con sus funciones básicas y cómo afecta al proceso  salud-enfermedad.</w:t>
      </w:r>
      <w:r w:rsidRPr="004451CE">
        <w:rPr>
          <w:rFonts w:eastAsia="Calibri"/>
          <w:vertAlign w:val="superscript"/>
          <w:lang w:val="es-PE" w:eastAsia="en-US"/>
        </w:rPr>
        <w:t>(3)</w:t>
      </w:r>
      <w:r w:rsidRPr="004451CE">
        <w:rPr>
          <w:rFonts w:eastAsia="Calibri"/>
          <w:lang w:val="es-PE" w:eastAsia="en-US"/>
        </w:rPr>
        <w:t xml:space="preserve"> En Latinoamérica, el 15 % de la población tenía una familia disfuncional, además el estrato económico influía en su presentación.</w:t>
      </w:r>
      <w:r w:rsidRPr="004451CE">
        <w:rPr>
          <w:rFonts w:eastAsia="Calibri"/>
          <w:vertAlign w:val="superscript"/>
          <w:lang w:val="es-PE" w:eastAsia="en-US"/>
        </w:rPr>
        <w:t>(4)</w:t>
      </w:r>
      <w:r w:rsidRPr="004451CE">
        <w:rPr>
          <w:rFonts w:eastAsia="Calibri"/>
          <w:lang w:val="es-PE" w:eastAsia="en-US"/>
        </w:rPr>
        <w:t xml:space="preserve"> En el Caribe, el 52,1 % de la población presentó DF y </w:t>
      </w:r>
      <w:r w:rsidRPr="004451CE">
        <w:rPr>
          <w:rFonts w:eastAsia="Calibri"/>
          <w:lang w:val="es-PE" w:eastAsia="en-US"/>
        </w:rPr>
        <w:lastRenderedPageBreak/>
        <w:t>estos  eran explicados por  el alcoholismo y las condiciones precarias de vida.</w:t>
      </w:r>
      <w:r w:rsidRPr="004451CE">
        <w:rPr>
          <w:rFonts w:eastAsia="Calibri"/>
          <w:vertAlign w:val="superscript"/>
          <w:lang w:val="es-PE" w:eastAsia="en-US"/>
        </w:rPr>
        <w:t>(5)</w:t>
      </w:r>
      <w:r w:rsidRPr="004451CE">
        <w:rPr>
          <w:rFonts w:eastAsia="Calibri"/>
          <w:lang w:val="es-PE" w:eastAsia="en-US"/>
        </w:rPr>
        <w:t xml:space="preserve"> En gestantes peruanas del </w:t>
      </w:r>
      <w:proofErr w:type="spellStart"/>
      <w:r w:rsidRPr="004451CE">
        <w:rPr>
          <w:rFonts w:eastAsia="Calibri"/>
          <w:lang w:val="es-PE" w:eastAsia="en-US"/>
        </w:rPr>
        <w:t>PNA</w:t>
      </w:r>
      <w:proofErr w:type="spellEnd"/>
      <w:r w:rsidRPr="004451CE">
        <w:rPr>
          <w:rFonts w:eastAsia="Calibri"/>
          <w:lang w:val="es-PE" w:eastAsia="en-US"/>
        </w:rPr>
        <w:t>, el 23,8 %  presenta DF y se asoció a violencia familiar.</w:t>
      </w:r>
      <w:r w:rsidRPr="004451CE">
        <w:rPr>
          <w:rFonts w:eastAsia="Calibri"/>
          <w:vertAlign w:val="superscript"/>
          <w:lang w:val="es-PE" w:eastAsia="en-US"/>
        </w:rPr>
        <w:t xml:space="preserve">(6) </w:t>
      </w:r>
    </w:p>
    <w:p w14:paraId="113BBD68"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 xml:space="preserve">Si bien existe literatura </w:t>
      </w:r>
      <w:proofErr w:type="gramStart"/>
      <w:r w:rsidRPr="004451CE">
        <w:rPr>
          <w:rFonts w:eastAsia="Calibri"/>
          <w:lang w:val="es-PE" w:eastAsia="en-US"/>
        </w:rPr>
        <w:t>documentada</w:t>
      </w:r>
      <w:r w:rsidRPr="004451CE">
        <w:rPr>
          <w:rFonts w:eastAsia="Calibri"/>
          <w:vertAlign w:val="superscript"/>
          <w:lang w:val="es-PE" w:eastAsia="en-US"/>
        </w:rPr>
        <w:t>(</w:t>
      </w:r>
      <w:proofErr w:type="gramEnd"/>
      <w:r w:rsidRPr="004451CE">
        <w:rPr>
          <w:rFonts w:eastAsia="Calibri"/>
          <w:vertAlign w:val="superscript"/>
          <w:lang w:val="es-PE" w:eastAsia="en-US"/>
        </w:rPr>
        <w:t>7)</w:t>
      </w:r>
      <w:r w:rsidRPr="004451CE">
        <w:rPr>
          <w:rFonts w:eastAsia="Calibri"/>
          <w:lang w:val="es-PE" w:eastAsia="en-US"/>
        </w:rPr>
        <w:t xml:space="preserve"> no se han explorado los factores influyentes a DF</w:t>
      </w:r>
      <w:r w:rsidRPr="004451CE">
        <w:rPr>
          <w:lang w:val="es-PE" w:eastAsia="en-US"/>
        </w:rPr>
        <w:t xml:space="preserve"> en el </w:t>
      </w:r>
      <w:proofErr w:type="spellStart"/>
      <w:r w:rsidRPr="004451CE">
        <w:rPr>
          <w:lang w:val="es-PE" w:eastAsia="en-US"/>
        </w:rPr>
        <w:t>PNA</w:t>
      </w:r>
      <w:proofErr w:type="spellEnd"/>
      <w:r w:rsidRPr="004451CE">
        <w:rPr>
          <w:lang w:val="es-PE" w:eastAsia="en-US"/>
        </w:rPr>
        <w:t>.  Además,</w:t>
      </w:r>
      <w:r w:rsidRPr="004451CE">
        <w:rPr>
          <w:vertAlign w:val="superscript"/>
          <w:lang w:val="es-PE" w:eastAsia="en-US"/>
        </w:rPr>
        <w:t xml:space="preserve"> </w:t>
      </w:r>
      <w:r w:rsidRPr="004451CE">
        <w:rPr>
          <w:lang w:val="es-PE" w:eastAsia="en-US"/>
        </w:rPr>
        <w:t>no han sido medidas algunas variables presentes en este estudio (difícil acceso a servicios de luz, agua, desagüe, Internet, tiempo de residencia en la capital</w:t>
      </w:r>
      <w:proofErr w:type="gramStart"/>
      <w:r w:rsidRPr="004451CE">
        <w:rPr>
          <w:lang w:val="es-PE" w:eastAsia="en-US"/>
        </w:rPr>
        <w:t>).</w:t>
      </w:r>
      <w:r w:rsidRPr="004451CE">
        <w:rPr>
          <w:vertAlign w:val="superscript"/>
          <w:lang w:val="es-PE" w:eastAsia="en-US"/>
        </w:rPr>
        <w:t>(</w:t>
      </w:r>
      <w:proofErr w:type="gramEnd"/>
      <w:r w:rsidRPr="004451CE">
        <w:rPr>
          <w:vertAlign w:val="superscript"/>
          <w:lang w:val="es-PE" w:eastAsia="en-US"/>
        </w:rPr>
        <w:t>8)</w:t>
      </w:r>
      <w:r w:rsidRPr="004451CE">
        <w:rPr>
          <w:lang w:val="es-PE" w:eastAsia="en-US"/>
        </w:rPr>
        <w:t xml:space="preserve"> Adicionalmente, se han documentado estudios</w:t>
      </w:r>
      <w:r w:rsidRPr="004451CE">
        <w:rPr>
          <w:rFonts w:eastAsia="Calibri"/>
          <w:vertAlign w:val="superscript"/>
          <w:lang w:val="es-PE" w:eastAsia="en-US"/>
        </w:rPr>
        <w:t>(9,10)</w:t>
      </w:r>
      <w:r w:rsidRPr="004451CE">
        <w:rPr>
          <w:rFonts w:eastAsia="Calibri"/>
          <w:lang w:val="es-PE" w:eastAsia="en-US"/>
        </w:rPr>
        <w:t xml:space="preserve"> </w:t>
      </w:r>
      <w:r w:rsidRPr="004451CE">
        <w:rPr>
          <w:lang w:val="es-PE" w:eastAsia="en-US"/>
        </w:rPr>
        <w:t xml:space="preserve"> con escasa rigurosidad bioestadística, sin </w:t>
      </w:r>
      <w:r w:rsidRPr="004451CE">
        <w:rPr>
          <w:rFonts w:eastAsia="Calibri"/>
          <w:lang w:val="es-PE" w:eastAsia="en-US"/>
        </w:rPr>
        <w:t>medidas de asociación para evaluar la magnitud y efecto de las variables influyentes a DF.</w:t>
      </w:r>
      <w:r w:rsidRPr="004451CE">
        <w:rPr>
          <w:rFonts w:eastAsia="Calibri"/>
          <w:vertAlign w:val="superscript"/>
          <w:lang w:val="es-PE" w:eastAsia="en-US"/>
        </w:rPr>
        <w:t xml:space="preserve"> </w:t>
      </w:r>
      <w:r w:rsidRPr="004451CE">
        <w:rPr>
          <w:rFonts w:eastAsia="Calibri"/>
          <w:lang w:val="es-PE" w:eastAsia="en-US"/>
        </w:rPr>
        <w:t>Precisar la prevalencia de la disfunción familiar y sus factores asociados específicamente en pacientes del primer nivel de atención es importante debido a que con ello se logrará una atención integral de la persona y su contexto cercano, en este caso, la familia. Además, el primer nivel de atención representa el primer contacto de la persona con el sector salud y por ello, debe existir un seguimiento continuo e integral.</w:t>
      </w:r>
    </w:p>
    <w:p w14:paraId="3BDDE6B8" w14:textId="77777777" w:rsidR="004451CE" w:rsidRPr="004451CE" w:rsidRDefault="004451CE" w:rsidP="004451CE">
      <w:pPr>
        <w:spacing w:line="360" w:lineRule="auto"/>
        <w:jc w:val="both"/>
        <w:rPr>
          <w:lang w:val="es-PE" w:eastAsia="en-US"/>
        </w:rPr>
      </w:pPr>
      <w:r w:rsidRPr="004451CE">
        <w:rPr>
          <w:rFonts w:eastAsia="Calibri"/>
          <w:lang w:val="es-PE" w:eastAsia="en-US"/>
        </w:rPr>
        <w:t>Por lo mencionado, el</w:t>
      </w:r>
      <w:r w:rsidRPr="004451CE">
        <w:rPr>
          <w:lang w:val="es-PE" w:eastAsia="en-US"/>
        </w:rPr>
        <w:t xml:space="preserve"> objetivo es determinar los factores asociados a DF en pacientes atendidos en 7 establecimientos de salud de </w:t>
      </w:r>
      <w:proofErr w:type="spellStart"/>
      <w:r w:rsidRPr="004451CE">
        <w:rPr>
          <w:lang w:val="es-PE" w:eastAsia="en-US"/>
        </w:rPr>
        <w:t>PNA</w:t>
      </w:r>
      <w:proofErr w:type="spellEnd"/>
      <w:r w:rsidRPr="004451CE">
        <w:rPr>
          <w:lang w:val="es-PE" w:eastAsia="en-US"/>
        </w:rPr>
        <w:t>.</w:t>
      </w:r>
    </w:p>
    <w:p w14:paraId="4AE8F390" w14:textId="77777777" w:rsidR="004451CE" w:rsidRPr="004451CE" w:rsidRDefault="004451CE" w:rsidP="004451CE">
      <w:pPr>
        <w:spacing w:line="360" w:lineRule="auto"/>
        <w:jc w:val="center"/>
        <w:rPr>
          <w:rFonts w:eastAsia="Calibri"/>
          <w:b/>
          <w:bCs/>
          <w:sz w:val="32"/>
          <w:szCs w:val="32"/>
          <w:lang w:val="es-PE" w:eastAsia="en-US"/>
        </w:rPr>
      </w:pPr>
    </w:p>
    <w:p w14:paraId="65D4C988" w14:textId="77777777" w:rsidR="004451CE" w:rsidRPr="004451CE" w:rsidRDefault="004451CE" w:rsidP="004451CE">
      <w:pPr>
        <w:spacing w:line="360" w:lineRule="auto"/>
        <w:jc w:val="center"/>
        <w:rPr>
          <w:rFonts w:eastAsia="Calibri"/>
          <w:b/>
          <w:bCs/>
          <w:sz w:val="32"/>
          <w:szCs w:val="32"/>
          <w:lang w:val="es-PE" w:eastAsia="en-US"/>
        </w:rPr>
      </w:pPr>
    </w:p>
    <w:p w14:paraId="2F4447AA" w14:textId="77777777" w:rsidR="004451CE" w:rsidRPr="004451CE" w:rsidRDefault="004451CE" w:rsidP="004451CE">
      <w:pPr>
        <w:spacing w:line="360" w:lineRule="auto"/>
        <w:jc w:val="center"/>
        <w:rPr>
          <w:rFonts w:eastAsia="Calibri"/>
          <w:b/>
          <w:bCs/>
          <w:sz w:val="32"/>
          <w:szCs w:val="32"/>
          <w:lang w:val="es-PE" w:eastAsia="en-US"/>
        </w:rPr>
      </w:pPr>
      <w:r w:rsidRPr="004451CE">
        <w:rPr>
          <w:rFonts w:eastAsia="Calibri"/>
          <w:b/>
          <w:bCs/>
          <w:sz w:val="32"/>
          <w:szCs w:val="32"/>
          <w:lang w:val="es-PE" w:eastAsia="en-US"/>
        </w:rPr>
        <w:t>MÉTODOS</w:t>
      </w:r>
    </w:p>
    <w:p w14:paraId="697E15C1" w14:textId="77777777" w:rsidR="004451CE" w:rsidRPr="004451CE" w:rsidRDefault="004451CE" w:rsidP="004451CE">
      <w:pPr>
        <w:spacing w:line="360" w:lineRule="auto"/>
        <w:jc w:val="center"/>
        <w:rPr>
          <w:rFonts w:eastAsia="Calibri"/>
          <w:b/>
          <w:bCs/>
          <w:sz w:val="28"/>
          <w:szCs w:val="28"/>
          <w:lang w:val="es-PE" w:eastAsia="en-US"/>
        </w:rPr>
      </w:pPr>
      <w:r w:rsidRPr="004451CE">
        <w:rPr>
          <w:rFonts w:eastAsia="Calibri"/>
          <w:b/>
          <w:bCs/>
          <w:sz w:val="28"/>
          <w:szCs w:val="28"/>
          <w:lang w:val="es-PE" w:eastAsia="en-US"/>
        </w:rPr>
        <w:t>Diseño del estudio</w:t>
      </w:r>
    </w:p>
    <w:p w14:paraId="25157484" w14:textId="77777777" w:rsidR="004451CE" w:rsidRPr="004451CE" w:rsidRDefault="004451CE" w:rsidP="004451CE">
      <w:pPr>
        <w:autoSpaceDE w:val="0"/>
        <w:spacing w:line="360" w:lineRule="auto"/>
        <w:jc w:val="both"/>
        <w:rPr>
          <w:rFonts w:eastAsia="Calibri"/>
          <w:lang w:val="es-PE" w:eastAsia="en-US"/>
        </w:rPr>
      </w:pPr>
      <w:r w:rsidRPr="004451CE">
        <w:rPr>
          <w:rFonts w:eastAsia="Calibri"/>
          <w:lang w:val="es-PE" w:eastAsia="en-US"/>
        </w:rPr>
        <w:t xml:space="preserve">Estudio transversal de análisis secundario de datos en 7 establecimientos de salud del </w:t>
      </w:r>
      <w:proofErr w:type="spellStart"/>
      <w:r w:rsidRPr="004451CE">
        <w:rPr>
          <w:rFonts w:eastAsia="Calibri"/>
          <w:lang w:val="es-PE" w:eastAsia="en-US"/>
        </w:rPr>
        <w:t>PNA</w:t>
      </w:r>
      <w:proofErr w:type="spellEnd"/>
      <w:r w:rsidRPr="004451CE">
        <w:rPr>
          <w:rFonts w:eastAsia="Calibri"/>
          <w:lang w:val="es-PE" w:eastAsia="en-US"/>
        </w:rPr>
        <w:t xml:space="preserve"> en Lima, Perú durante el periodo enero a marzo del año 2019. El objetivo del estudio primario fue determinar los factores asociados al acceso a servicios de </w:t>
      </w:r>
      <w:proofErr w:type="gramStart"/>
      <w:r w:rsidRPr="004451CE">
        <w:rPr>
          <w:rFonts w:eastAsia="Calibri"/>
          <w:lang w:val="es-PE" w:eastAsia="en-US"/>
        </w:rPr>
        <w:t>salud.</w:t>
      </w:r>
      <w:r w:rsidRPr="004451CE">
        <w:rPr>
          <w:rFonts w:eastAsia="Calibri"/>
          <w:vertAlign w:val="superscript"/>
          <w:lang w:val="es-PE" w:eastAsia="en-US"/>
        </w:rPr>
        <w:t>(</w:t>
      </w:r>
      <w:proofErr w:type="gramEnd"/>
      <w:r w:rsidRPr="004451CE">
        <w:rPr>
          <w:rFonts w:eastAsia="Calibri"/>
          <w:vertAlign w:val="superscript"/>
          <w:lang w:val="es-PE" w:eastAsia="en-US"/>
        </w:rPr>
        <w:t>11)</w:t>
      </w:r>
      <w:r w:rsidRPr="004451CE">
        <w:rPr>
          <w:rFonts w:eastAsia="Calibri"/>
          <w:lang w:val="es-PE" w:eastAsia="en-US"/>
        </w:rPr>
        <w:t xml:space="preserve"> </w:t>
      </w:r>
    </w:p>
    <w:p w14:paraId="4323B8E8" w14:textId="77777777" w:rsidR="004451CE" w:rsidRPr="004451CE" w:rsidRDefault="004451CE" w:rsidP="004451CE">
      <w:pPr>
        <w:spacing w:line="360" w:lineRule="auto"/>
        <w:jc w:val="center"/>
        <w:rPr>
          <w:rFonts w:eastAsia="Calibri"/>
          <w:b/>
          <w:bCs/>
          <w:sz w:val="28"/>
          <w:szCs w:val="28"/>
          <w:lang w:val="es-PE" w:eastAsia="en-US"/>
        </w:rPr>
      </w:pPr>
      <w:r w:rsidRPr="004451CE">
        <w:rPr>
          <w:rFonts w:eastAsia="Calibri"/>
          <w:b/>
          <w:bCs/>
          <w:sz w:val="28"/>
          <w:szCs w:val="28"/>
          <w:lang w:val="es-PE" w:eastAsia="en-US"/>
        </w:rPr>
        <w:t>Población y muestra</w:t>
      </w:r>
    </w:p>
    <w:p w14:paraId="4C7964A9"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 xml:space="preserve">La población del estudio primario se conformó por 150 usuarios externos atendidos en 7 establecimientos de salud del </w:t>
      </w:r>
      <w:proofErr w:type="spellStart"/>
      <w:r w:rsidRPr="004451CE">
        <w:rPr>
          <w:rFonts w:eastAsia="Calibri"/>
          <w:lang w:val="es-PE" w:eastAsia="en-US"/>
        </w:rPr>
        <w:t>PNA</w:t>
      </w:r>
      <w:proofErr w:type="spellEnd"/>
      <w:r w:rsidRPr="004451CE">
        <w:rPr>
          <w:rFonts w:eastAsia="Calibri"/>
          <w:lang w:val="es-PE" w:eastAsia="en-US"/>
        </w:rPr>
        <w:t xml:space="preserve"> en Lima, Perú. Se excluyeron a los pacientes que presentaban alguna discapacidad para comunicarse y a quienes no firmaron el consentimiento informado. El muestreo empleado fue no probabilístico por conveniencia. </w:t>
      </w:r>
    </w:p>
    <w:p w14:paraId="68179310" w14:textId="77777777" w:rsidR="004451CE" w:rsidRPr="004451CE" w:rsidRDefault="004451CE" w:rsidP="004451CE">
      <w:pPr>
        <w:spacing w:line="360" w:lineRule="auto"/>
        <w:jc w:val="center"/>
        <w:rPr>
          <w:rFonts w:eastAsia="Calibri"/>
          <w:b/>
          <w:bCs/>
          <w:sz w:val="28"/>
          <w:szCs w:val="28"/>
          <w:lang w:val="es-PE" w:eastAsia="en-US"/>
        </w:rPr>
      </w:pPr>
      <w:r w:rsidRPr="004451CE">
        <w:rPr>
          <w:rFonts w:eastAsia="Calibri"/>
          <w:b/>
          <w:bCs/>
          <w:sz w:val="28"/>
          <w:szCs w:val="28"/>
          <w:lang w:val="es-PE" w:eastAsia="en-US"/>
        </w:rPr>
        <w:t>Instrumento</w:t>
      </w:r>
    </w:p>
    <w:p w14:paraId="6B71CDB0"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 xml:space="preserve">El cuestionario estuvo conformado por 3 secciones: </w:t>
      </w:r>
    </w:p>
    <w:p w14:paraId="07ECC2F7" w14:textId="77777777" w:rsidR="004451CE" w:rsidRPr="004451CE" w:rsidRDefault="004451CE" w:rsidP="004451CE">
      <w:pPr>
        <w:spacing w:line="360" w:lineRule="auto"/>
        <w:jc w:val="both"/>
        <w:rPr>
          <w:rFonts w:eastAsia="Calibri"/>
          <w:lang w:val="es-PE" w:eastAsia="en-US"/>
        </w:rPr>
      </w:pPr>
    </w:p>
    <w:p w14:paraId="2100321C" w14:textId="77777777" w:rsidR="004451CE" w:rsidRPr="004451CE" w:rsidRDefault="004451CE" w:rsidP="004451CE">
      <w:pPr>
        <w:spacing w:line="360" w:lineRule="auto"/>
        <w:ind w:left="284"/>
        <w:jc w:val="both"/>
        <w:rPr>
          <w:rFonts w:eastAsia="Calibri"/>
          <w:lang w:val="es-PE" w:eastAsia="en-US"/>
        </w:rPr>
      </w:pPr>
      <w:r w:rsidRPr="004451CE">
        <w:rPr>
          <w:rFonts w:eastAsia="Calibri"/>
          <w:lang w:val="es-PE" w:eastAsia="en-US"/>
        </w:rPr>
        <w:t xml:space="preserve">1) factores sociodemográficos </w:t>
      </w:r>
    </w:p>
    <w:p w14:paraId="1F8F0E60" w14:textId="77777777" w:rsidR="004451CE" w:rsidRPr="004451CE" w:rsidRDefault="004451CE" w:rsidP="004451CE">
      <w:pPr>
        <w:spacing w:line="360" w:lineRule="auto"/>
        <w:ind w:left="284"/>
        <w:jc w:val="both"/>
        <w:rPr>
          <w:rFonts w:eastAsia="Calibri"/>
          <w:lang w:val="es-PE" w:eastAsia="en-US"/>
        </w:rPr>
      </w:pPr>
      <w:r w:rsidRPr="004451CE">
        <w:rPr>
          <w:rFonts w:eastAsia="Calibri"/>
          <w:lang w:val="es-PE" w:eastAsia="en-US"/>
        </w:rPr>
        <w:t>2) factores socioeconómicos</w:t>
      </w:r>
    </w:p>
    <w:p w14:paraId="4E27472D" w14:textId="77777777" w:rsidR="004451CE" w:rsidRPr="004451CE" w:rsidRDefault="004451CE" w:rsidP="004451CE">
      <w:pPr>
        <w:spacing w:line="360" w:lineRule="auto"/>
        <w:ind w:left="284"/>
        <w:jc w:val="both"/>
        <w:rPr>
          <w:rFonts w:eastAsia="Calibri"/>
          <w:lang w:val="es-PE" w:eastAsia="en-US"/>
        </w:rPr>
      </w:pPr>
      <w:r w:rsidRPr="004451CE">
        <w:rPr>
          <w:rFonts w:eastAsia="Calibri"/>
          <w:lang w:val="es-PE" w:eastAsia="en-US"/>
        </w:rPr>
        <w:t>3) cuestionario de APGAR Familiar: conformado por 5 preguntas que evalúan: adaptación, participación, gradiente de crecimiento, afecto y resolución. Cada pregunta presenta 3 categorías de respuesta: casi siempre (2 puntos), algunas veces (1 punto), casi nunca (0 puntos). Luego de obtener puntaje total, se realiza la clasificación de funcionalidad familiar: familia funcional (7 a 10 puntos), familia moderadamente disfuncional (4 a 6 puntos), familia grave disfunción (0 a 3 puntos). El cuestionario presenta óptimas propiedades psicométricas (alfa de Cronbach: 0,78</w:t>
      </w:r>
      <w:proofErr w:type="gramStart"/>
      <w:r w:rsidRPr="004451CE">
        <w:rPr>
          <w:rFonts w:eastAsia="Calibri"/>
          <w:lang w:val="es-PE" w:eastAsia="en-US"/>
        </w:rPr>
        <w:t>).</w:t>
      </w:r>
      <w:r w:rsidRPr="004451CE">
        <w:rPr>
          <w:rFonts w:eastAsia="Calibri"/>
          <w:vertAlign w:val="superscript"/>
          <w:lang w:val="es-PE" w:eastAsia="en-US"/>
        </w:rPr>
        <w:t>(</w:t>
      </w:r>
      <w:proofErr w:type="gramEnd"/>
      <w:r w:rsidRPr="004451CE">
        <w:rPr>
          <w:rFonts w:eastAsia="Calibri"/>
          <w:vertAlign w:val="superscript"/>
          <w:lang w:val="es-PE" w:eastAsia="en-US"/>
        </w:rPr>
        <w:t xml:space="preserve">12) </w:t>
      </w:r>
    </w:p>
    <w:p w14:paraId="48424E33" w14:textId="77777777" w:rsidR="003F285D" w:rsidRDefault="003F285D" w:rsidP="004451CE">
      <w:pPr>
        <w:spacing w:line="360" w:lineRule="auto"/>
        <w:jc w:val="center"/>
        <w:rPr>
          <w:rFonts w:eastAsia="Calibri"/>
          <w:b/>
          <w:bCs/>
          <w:sz w:val="28"/>
          <w:szCs w:val="28"/>
          <w:lang w:val="es-PE" w:eastAsia="en-US"/>
        </w:rPr>
      </w:pPr>
    </w:p>
    <w:p w14:paraId="53E25C11" w14:textId="7B24A7B2" w:rsidR="004451CE" w:rsidRPr="004451CE" w:rsidRDefault="004451CE" w:rsidP="004451CE">
      <w:pPr>
        <w:spacing w:line="360" w:lineRule="auto"/>
        <w:jc w:val="center"/>
        <w:rPr>
          <w:rFonts w:eastAsia="Calibri"/>
          <w:b/>
          <w:bCs/>
          <w:sz w:val="28"/>
          <w:szCs w:val="28"/>
          <w:lang w:val="es-PE" w:eastAsia="en-US"/>
        </w:rPr>
      </w:pPr>
      <w:r w:rsidRPr="004451CE">
        <w:rPr>
          <w:rFonts w:eastAsia="Calibri"/>
          <w:b/>
          <w:bCs/>
          <w:sz w:val="28"/>
          <w:szCs w:val="28"/>
          <w:lang w:val="es-PE" w:eastAsia="en-US"/>
        </w:rPr>
        <w:t>Variables</w:t>
      </w:r>
    </w:p>
    <w:p w14:paraId="2DF2E666" w14:textId="77777777" w:rsidR="004451CE" w:rsidRPr="004451CE" w:rsidRDefault="004451CE" w:rsidP="004451CE">
      <w:pPr>
        <w:autoSpaceDE w:val="0"/>
        <w:spacing w:line="360" w:lineRule="auto"/>
        <w:jc w:val="both"/>
        <w:rPr>
          <w:rFonts w:eastAsia="Calibri"/>
          <w:lang w:val="es-PE" w:eastAsia="en-US"/>
        </w:rPr>
      </w:pPr>
      <w:r w:rsidRPr="004451CE">
        <w:rPr>
          <w:rFonts w:eastAsia="Calibri"/>
          <w:lang w:val="es-PE" w:eastAsia="en-US"/>
        </w:rPr>
        <w:t>La variable desenlace fue DF, definida como puntaje menor a 7 puntos obtenido de la escala Apgar Familiar. Las variables independientes fueron características demográficas (sexo, edad en años, estado civil, idioma quechua, número de personas que viven en casa, acceso a servicios básicos de luz, agua, desagüe e Internet), características socioeconómicas (ganancia familiar mensual, nivel educativo, lugar de nacimiento, tiempo de residencia en Lima, tipo de trabajo).</w:t>
      </w:r>
    </w:p>
    <w:p w14:paraId="5A7D91F2" w14:textId="77777777" w:rsidR="004451CE" w:rsidRPr="004451CE" w:rsidRDefault="004451CE" w:rsidP="004451CE">
      <w:pPr>
        <w:autoSpaceDE w:val="0"/>
        <w:spacing w:line="360" w:lineRule="auto"/>
        <w:jc w:val="center"/>
        <w:rPr>
          <w:rFonts w:eastAsia="Calibri"/>
          <w:b/>
          <w:bCs/>
          <w:sz w:val="28"/>
          <w:szCs w:val="28"/>
          <w:lang w:val="es-PE" w:eastAsia="en-US"/>
        </w:rPr>
      </w:pPr>
      <w:r w:rsidRPr="004451CE">
        <w:rPr>
          <w:rFonts w:eastAsia="Calibri"/>
          <w:b/>
          <w:bCs/>
          <w:sz w:val="28"/>
          <w:szCs w:val="28"/>
          <w:lang w:val="es-PE" w:eastAsia="en-US"/>
        </w:rPr>
        <w:t>Procedimientos del estudio</w:t>
      </w:r>
    </w:p>
    <w:p w14:paraId="1E54E847" w14:textId="77777777" w:rsidR="004451CE" w:rsidRPr="004451CE" w:rsidRDefault="004451CE" w:rsidP="004451CE">
      <w:pPr>
        <w:spacing w:line="360" w:lineRule="auto"/>
        <w:ind w:firstLine="1"/>
        <w:jc w:val="both"/>
        <w:rPr>
          <w:rFonts w:eastAsia="Calibri"/>
          <w:lang w:val="es-PE" w:eastAsia="en-US"/>
        </w:rPr>
      </w:pPr>
      <w:r w:rsidRPr="004451CE">
        <w:rPr>
          <w:rFonts w:eastAsia="Calibri"/>
          <w:lang w:val="es-PE" w:eastAsia="en-US"/>
        </w:rPr>
        <w:t xml:space="preserve">Se solicitó permiso a las jefaturas de los establecimientos de salud. Luego, el equipo investigador realizó la conducción de las entrevistas, utilizando una encuesta administrada a los pacientes en la sala de espera de cada establecimiento de salud. Se les explicó previamente a los pacientes acerca del contenido de la encuesta con el propósito de verificar alguna duda o pregunta. </w:t>
      </w:r>
    </w:p>
    <w:p w14:paraId="3A5FACD5" w14:textId="77777777" w:rsidR="004451CE" w:rsidRPr="004451CE" w:rsidRDefault="004451CE" w:rsidP="004451CE">
      <w:pPr>
        <w:spacing w:line="360" w:lineRule="auto"/>
        <w:ind w:left="708" w:hanging="708"/>
        <w:jc w:val="center"/>
        <w:rPr>
          <w:rFonts w:eastAsia="Calibri"/>
          <w:sz w:val="28"/>
          <w:szCs w:val="28"/>
          <w:lang w:val="es-PE" w:eastAsia="en-US"/>
        </w:rPr>
      </w:pPr>
      <w:r w:rsidRPr="004451CE">
        <w:rPr>
          <w:rFonts w:eastAsia="Calibri"/>
          <w:b/>
          <w:bCs/>
          <w:sz w:val="28"/>
          <w:szCs w:val="28"/>
          <w:lang w:val="es-PE" w:eastAsia="en-US"/>
        </w:rPr>
        <w:t>Análisis estadístico</w:t>
      </w:r>
    </w:p>
    <w:p w14:paraId="03763456"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 xml:space="preserve">El análisis estadístico fue realizado en el programa STATA </w:t>
      </w:r>
      <w:proofErr w:type="spellStart"/>
      <w:r w:rsidRPr="004451CE">
        <w:rPr>
          <w:rFonts w:eastAsia="Calibri"/>
          <w:lang w:val="es-PE" w:eastAsia="en-US"/>
        </w:rPr>
        <w:t>v.17.0</w:t>
      </w:r>
      <w:proofErr w:type="spellEnd"/>
      <w:r w:rsidRPr="004451CE">
        <w:rPr>
          <w:rFonts w:eastAsia="Calibri"/>
          <w:lang w:val="es-PE" w:eastAsia="en-US"/>
        </w:rPr>
        <w:t>.</w:t>
      </w:r>
    </w:p>
    <w:p w14:paraId="68C26942"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 xml:space="preserve">Se empleó estadística inferencial para el presente estudio. Se realizó un análisis bivariado con la prueba </w:t>
      </w:r>
      <w:r w:rsidRPr="004451CE">
        <w:rPr>
          <w:rFonts w:eastAsia="Calibri"/>
          <w:i/>
          <w:lang w:val="es-PE" w:eastAsia="en-US"/>
        </w:rPr>
        <w:t>ji</w:t>
      </w:r>
      <w:r w:rsidRPr="004451CE">
        <w:rPr>
          <w:rFonts w:eastAsia="Calibri"/>
          <w:lang w:val="es-PE" w:eastAsia="en-US"/>
        </w:rPr>
        <w:t xml:space="preserve"> cuadrado para explorar las variables categóricas (sexo, estado civil, idioma quechua, acceso a servicios básicos, nivel educativo, lugar de nacimiento y tipo de trabajo) asociadas a DF. Para comparar las variables numéricas (edad, número de personas que viven en casa, ganancia familiar mensual y tiempo </w:t>
      </w:r>
      <w:r w:rsidRPr="004451CE">
        <w:rPr>
          <w:rFonts w:eastAsia="Calibri"/>
          <w:lang w:val="es-PE" w:eastAsia="en-US"/>
        </w:rPr>
        <w:lastRenderedPageBreak/>
        <w:t xml:space="preserve">de residencia en Lima) se utilizó la prueba t de Student. En el análisis de regresión se construyeron modelos lineales generalizados, para estimar razones de prevalencia e intervalos de confianza al 95 %. Se utilizó familia </w:t>
      </w:r>
      <w:r w:rsidRPr="004451CE">
        <w:rPr>
          <w:rFonts w:eastAsia="Calibri"/>
          <w:iCs/>
          <w:lang w:val="es-PE" w:eastAsia="en-US"/>
        </w:rPr>
        <w:t>Poisson</w:t>
      </w:r>
      <w:r w:rsidRPr="004451CE">
        <w:rPr>
          <w:rFonts w:eastAsia="Calibri"/>
          <w:lang w:val="es-PE" w:eastAsia="en-US"/>
        </w:rPr>
        <w:t xml:space="preserve">, función de enlace log, varianza robusta y utilizando centro de salud como </w:t>
      </w:r>
      <w:proofErr w:type="spellStart"/>
      <w:r w:rsidRPr="004451CE">
        <w:rPr>
          <w:rFonts w:eastAsia="Calibri"/>
          <w:i/>
          <w:lang w:val="es-PE" w:eastAsia="en-US"/>
        </w:rPr>
        <w:t>cluster</w:t>
      </w:r>
      <w:proofErr w:type="spellEnd"/>
      <w:r w:rsidRPr="004451CE">
        <w:rPr>
          <w:rFonts w:eastAsia="Calibri"/>
          <w:lang w:val="es-PE" w:eastAsia="en-US"/>
        </w:rPr>
        <w:t>.</w:t>
      </w:r>
    </w:p>
    <w:p w14:paraId="054CF4A7" w14:textId="77777777" w:rsidR="004451CE" w:rsidRPr="004451CE" w:rsidRDefault="004451CE" w:rsidP="004451CE">
      <w:pPr>
        <w:spacing w:line="360" w:lineRule="auto"/>
        <w:jc w:val="center"/>
        <w:rPr>
          <w:rFonts w:eastAsia="Calibri"/>
          <w:b/>
          <w:bCs/>
          <w:sz w:val="28"/>
          <w:szCs w:val="28"/>
          <w:lang w:val="es-PE" w:eastAsia="en-US"/>
        </w:rPr>
      </w:pPr>
      <w:r w:rsidRPr="004451CE">
        <w:rPr>
          <w:rFonts w:eastAsia="Calibri"/>
          <w:b/>
          <w:bCs/>
          <w:sz w:val="28"/>
          <w:szCs w:val="28"/>
          <w:lang w:val="es-PE" w:eastAsia="en-US"/>
        </w:rPr>
        <w:t>Consideraciones éticas</w:t>
      </w:r>
    </w:p>
    <w:p w14:paraId="74525ED1"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La investigación fue aprobada por el Comité de Ética de la Universidad Norbert Wiener (</w:t>
      </w:r>
      <w:proofErr w:type="spellStart"/>
      <w:r w:rsidRPr="004451CE">
        <w:rPr>
          <w:rFonts w:eastAsia="Calibri"/>
          <w:lang w:val="es-PE" w:eastAsia="en-US"/>
        </w:rPr>
        <w:t>UNW</w:t>
      </w:r>
      <w:proofErr w:type="spellEnd"/>
      <w:r w:rsidRPr="004451CE">
        <w:rPr>
          <w:rFonts w:eastAsia="Calibri"/>
          <w:lang w:val="es-PE" w:eastAsia="en-US"/>
        </w:rPr>
        <w:t xml:space="preserve">) de Lima, con expediente </w:t>
      </w:r>
      <w:proofErr w:type="spellStart"/>
      <w:r w:rsidRPr="004451CE">
        <w:rPr>
          <w:rFonts w:eastAsia="Calibri"/>
          <w:lang w:val="es-PE" w:eastAsia="en-US"/>
        </w:rPr>
        <w:t>N°</w:t>
      </w:r>
      <w:proofErr w:type="spellEnd"/>
      <w:r w:rsidRPr="004451CE">
        <w:rPr>
          <w:rFonts w:eastAsia="Calibri"/>
          <w:lang w:val="es-PE" w:eastAsia="en-US"/>
        </w:rPr>
        <w:t xml:space="preserve"> 052-2021. Se utilizaron códigos para conservar la confidencialidad de los participantes. Los participantes brindaron un consentimiento informado por escrito para formar parte del estudio.</w:t>
      </w:r>
    </w:p>
    <w:p w14:paraId="170C61F4" w14:textId="77777777" w:rsidR="004451CE" w:rsidRPr="004451CE" w:rsidRDefault="004451CE" w:rsidP="004451CE">
      <w:pPr>
        <w:spacing w:line="360" w:lineRule="auto"/>
        <w:jc w:val="both"/>
        <w:rPr>
          <w:rFonts w:eastAsia="Calibri"/>
          <w:lang w:val="es-PE" w:eastAsia="en-US"/>
        </w:rPr>
      </w:pPr>
    </w:p>
    <w:p w14:paraId="51168204" w14:textId="77777777" w:rsidR="004451CE" w:rsidRPr="004451CE" w:rsidRDefault="004451CE" w:rsidP="004451CE">
      <w:pPr>
        <w:spacing w:line="360" w:lineRule="auto"/>
        <w:jc w:val="both"/>
        <w:rPr>
          <w:rFonts w:eastAsia="Calibri"/>
          <w:lang w:val="es-PE" w:eastAsia="en-US"/>
        </w:rPr>
      </w:pPr>
    </w:p>
    <w:p w14:paraId="6786AC04" w14:textId="77777777" w:rsidR="004451CE" w:rsidRPr="004451CE" w:rsidRDefault="004451CE" w:rsidP="004451CE">
      <w:pPr>
        <w:spacing w:line="360" w:lineRule="auto"/>
        <w:jc w:val="center"/>
        <w:rPr>
          <w:rFonts w:eastAsia="Calibri"/>
          <w:b/>
          <w:bCs/>
          <w:sz w:val="32"/>
          <w:szCs w:val="32"/>
          <w:lang w:val="es-PE" w:eastAsia="en-US"/>
        </w:rPr>
      </w:pPr>
      <w:r w:rsidRPr="004451CE">
        <w:rPr>
          <w:rFonts w:eastAsia="Calibri"/>
          <w:b/>
          <w:bCs/>
          <w:sz w:val="32"/>
          <w:szCs w:val="32"/>
          <w:lang w:val="es-PE" w:eastAsia="en-US"/>
        </w:rPr>
        <w:t>RESULTADOS</w:t>
      </w:r>
    </w:p>
    <w:p w14:paraId="34820A1E"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El 95,3 %, 94 %, 80 % y 64 % de los pacientes reportaron tener servicio de luz, agua, desagüe e internet, respectivamente. El 13,3 % presentó DF moderada (tabla 1).</w:t>
      </w:r>
    </w:p>
    <w:p w14:paraId="7BCAF39E" w14:textId="77777777" w:rsidR="004451CE" w:rsidRPr="004451CE" w:rsidRDefault="004451CE" w:rsidP="004451CE">
      <w:pPr>
        <w:spacing w:line="360" w:lineRule="auto"/>
        <w:jc w:val="center"/>
        <w:rPr>
          <w:rFonts w:eastAsia="Calibri"/>
          <w:b/>
          <w:bCs/>
          <w:color w:val="000000"/>
          <w:sz w:val="22"/>
          <w:szCs w:val="22"/>
          <w:lang w:val="es-PE" w:eastAsia="en-US"/>
        </w:rPr>
      </w:pPr>
    </w:p>
    <w:p w14:paraId="33F0E29E" w14:textId="77777777" w:rsidR="004451CE" w:rsidRPr="004451CE" w:rsidRDefault="004451CE" w:rsidP="004451CE">
      <w:pPr>
        <w:spacing w:after="160" w:line="259" w:lineRule="auto"/>
        <w:rPr>
          <w:rFonts w:eastAsia="Calibri"/>
          <w:b/>
          <w:bCs/>
          <w:color w:val="000000"/>
          <w:sz w:val="22"/>
          <w:szCs w:val="22"/>
          <w:lang w:val="es-PE" w:eastAsia="en-US"/>
        </w:rPr>
      </w:pPr>
      <w:r w:rsidRPr="004451CE">
        <w:rPr>
          <w:rFonts w:eastAsia="Calibri"/>
          <w:b/>
          <w:bCs/>
          <w:color w:val="000000"/>
          <w:sz w:val="22"/>
          <w:szCs w:val="22"/>
          <w:lang w:val="es-PE" w:eastAsia="en-US"/>
        </w:rPr>
        <w:br w:type="page"/>
      </w:r>
    </w:p>
    <w:p w14:paraId="3B32A8BB" w14:textId="77777777" w:rsidR="004451CE" w:rsidRPr="004451CE" w:rsidRDefault="004451CE" w:rsidP="004451CE">
      <w:pPr>
        <w:spacing w:line="360" w:lineRule="auto"/>
        <w:jc w:val="center"/>
        <w:rPr>
          <w:rFonts w:eastAsia="Calibri"/>
          <w:color w:val="000000"/>
          <w:sz w:val="22"/>
          <w:szCs w:val="22"/>
          <w:lang w:val="es-PE" w:eastAsia="en-US"/>
        </w:rPr>
      </w:pPr>
      <w:r w:rsidRPr="004451CE">
        <w:rPr>
          <w:rFonts w:eastAsia="Calibri"/>
          <w:b/>
          <w:bCs/>
          <w:color w:val="000000"/>
          <w:sz w:val="22"/>
          <w:szCs w:val="22"/>
          <w:lang w:val="es-PE" w:eastAsia="en-US"/>
        </w:rPr>
        <w:lastRenderedPageBreak/>
        <w:t>Tabla 1 –</w:t>
      </w:r>
      <w:r w:rsidRPr="004451CE">
        <w:rPr>
          <w:rFonts w:eastAsia="Calibri"/>
          <w:color w:val="000000"/>
          <w:sz w:val="22"/>
          <w:szCs w:val="22"/>
          <w:lang w:val="es-PE" w:eastAsia="en-US"/>
        </w:rPr>
        <w:t xml:space="preserve"> Características de pacientes atendidos en </w:t>
      </w:r>
      <w:proofErr w:type="spellStart"/>
      <w:r w:rsidRPr="004451CE">
        <w:rPr>
          <w:rFonts w:eastAsia="Calibri"/>
          <w:color w:val="000000"/>
          <w:sz w:val="22"/>
          <w:szCs w:val="22"/>
          <w:lang w:val="es-PE" w:eastAsia="en-US"/>
        </w:rPr>
        <w:t>PNA</w:t>
      </w:r>
      <w:proofErr w:type="spellEnd"/>
      <w:r w:rsidRPr="004451CE">
        <w:rPr>
          <w:rFonts w:eastAsia="Calibri"/>
          <w:color w:val="000000"/>
          <w:sz w:val="22"/>
          <w:szCs w:val="22"/>
          <w:lang w:val="es-PE" w:eastAsia="en-US"/>
        </w:rPr>
        <w:t xml:space="preserve"> </w:t>
      </w:r>
    </w:p>
    <w:p w14:paraId="217FE5E7" w14:textId="72A7619C" w:rsidR="004451CE" w:rsidRPr="004451CE" w:rsidRDefault="004451CE" w:rsidP="004451CE">
      <w:pPr>
        <w:spacing w:line="360" w:lineRule="auto"/>
        <w:jc w:val="center"/>
        <w:rPr>
          <w:sz w:val="16"/>
          <w:szCs w:val="16"/>
          <w:lang w:val="es-ES" w:eastAsia="es-PE"/>
        </w:rPr>
      </w:pPr>
      <w:r w:rsidRPr="004451CE">
        <w:rPr>
          <w:noProof/>
          <w:sz w:val="16"/>
          <w:szCs w:val="16"/>
          <w:lang w:val="es-ES" w:eastAsia="es-PE"/>
        </w:rPr>
        <w:drawing>
          <wp:inline distT="0" distB="0" distL="0" distR="0" wp14:anchorId="70830C27" wp14:editId="12C6E0B6">
            <wp:extent cx="3220085" cy="6933565"/>
            <wp:effectExtent l="0" t="0" r="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0085" cy="6933565"/>
                    </a:xfrm>
                    <a:prstGeom prst="rect">
                      <a:avLst/>
                    </a:prstGeom>
                    <a:noFill/>
                    <a:ln>
                      <a:noFill/>
                    </a:ln>
                  </pic:spPr>
                </pic:pic>
              </a:graphicData>
            </a:graphic>
          </wp:inline>
        </w:drawing>
      </w:r>
    </w:p>
    <w:p w14:paraId="42A38BD6" w14:textId="77777777" w:rsidR="004451CE" w:rsidRPr="004451CE" w:rsidRDefault="004451CE" w:rsidP="004451CE">
      <w:pPr>
        <w:spacing w:line="360" w:lineRule="auto"/>
        <w:jc w:val="center"/>
        <w:rPr>
          <w:sz w:val="16"/>
          <w:szCs w:val="16"/>
          <w:lang w:val="es-ES" w:eastAsia="es-PE"/>
        </w:rPr>
      </w:pPr>
      <w:r w:rsidRPr="004451CE">
        <w:rPr>
          <w:sz w:val="16"/>
          <w:szCs w:val="16"/>
          <w:lang w:val="es-ES" w:eastAsia="es-PE"/>
        </w:rPr>
        <w:t>* Mediana (percentil 25 a percentil 75).</w:t>
      </w:r>
    </w:p>
    <w:p w14:paraId="17385E12" w14:textId="77777777" w:rsidR="004451CE" w:rsidRPr="004451CE" w:rsidRDefault="004451CE" w:rsidP="004451CE">
      <w:pPr>
        <w:spacing w:line="360" w:lineRule="auto"/>
        <w:jc w:val="center"/>
        <w:rPr>
          <w:sz w:val="16"/>
          <w:szCs w:val="16"/>
          <w:lang w:val="es-ES" w:eastAsia="es-PE"/>
        </w:rPr>
      </w:pPr>
      <w:r w:rsidRPr="004451CE">
        <w:rPr>
          <w:sz w:val="16"/>
          <w:szCs w:val="16"/>
          <w:lang w:val="es-ES" w:eastAsia="es-PE"/>
        </w:rPr>
        <w:lastRenderedPageBreak/>
        <w:t>† Algunos valores pueden no sumar 150 debido a datos perdidos.</w:t>
      </w:r>
    </w:p>
    <w:p w14:paraId="687D9D65" w14:textId="77777777" w:rsidR="004451CE" w:rsidRPr="004451CE" w:rsidRDefault="004451CE" w:rsidP="004451CE">
      <w:pPr>
        <w:spacing w:line="360" w:lineRule="auto"/>
        <w:jc w:val="center"/>
        <w:rPr>
          <w:rFonts w:eastAsia="Calibri"/>
          <w:color w:val="000000"/>
          <w:sz w:val="22"/>
          <w:szCs w:val="22"/>
          <w:lang w:val="es-ES" w:eastAsia="en-US"/>
        </w:rPr>
      </w:pPr>
    </w:p>
    <w:p w14:paraId="360C291F" w14:textId="6A862FD8" w:rsidR="004451CE" w:rsidRDefault="004451CE" w:rsidP="004451CE">
      <w:pPr>
        <w:spacing w:line="360" w:lineRule="auto"/>
        <w:jc w:val="both"/>
        <w:rPr>
          <w:rFonts w:eastAsia="Calibri"/>
          <w:lang w:val="es-PE" w:eastAsia="en-US"/>
        </w:rPr>
      </w:pPr>
      <w:r w:rsidRPr="004451CE">
        <w:rPr>
          <w:rFonts w:eastAsia="Calibri"/>
          <w:lang w:val="es-PE" w:eastAsia="en-US"/>
        </w:rPr>
        <w:t xml:space="preserve">El 9,3 % reportó que casi nunca está satisfecho con el tiempo que pasa con su familia (Fig. 1). </w:t>
      </w:r>
    </w:p>
    <w:p w14:paraId="38E652BA" w14:textId="77777777" w:rsidR="000F3DD7" w:rsidRPr="004451CE" w:rsidRDefault="000F3DD7" w:rsidP="004451CE">
      <w:pPr>
        <w:spacing w:line="360" w:lineRule="auto"/>
        <w:jc w:val="both"/>
        <w:rPr>
          <w:rFonts w:eastAsia="Calibri"/>
          <w:lang w:val="es-PE" w:eastAsia="en-US"/>
        </w:rPr>
      </w:pPr>
    </w:p>
    <w:p w14:paraId="0B9266A7" w14:textId="16DC76D6" w:rsidR="004451CE" w:rsidRPr="004451CE" w:rsidRDefault="000F3DD7" w:rsidP="004451CE">
      <w:pPr>
        <w:spacing w:line="360" w:lineRule="auto"/>
        <w:jc w:val="center"/>
        <w:rPr>
          <w:rFonts w:eastAsia="Calibri"/>
          <w:color w:val="000000"/>
          <w:sz w:val="22"/>
          <w:szCs w:val="22"/>
          <w:lang w:val="es-PE" w:eastAsia="en-US"/>
        </w:rPr>
      </w:pPr>
      <w:r>
        <w:rPr>
          <w:rFonts w:eastAsia="Calibri"/>
          <w:noProof/>
          <w:color w:val="000000"/>
          <w:sz w:val="22"/>
          <w:szCs w:val="22"/>
          <w:lang w:val="es-PE" w:eastAsia="en-US"/>
        </w:rPr>
        <w:drawing>
          <wp:inline distT="0" distB="0" distL="0" distR="0" wp14:anchorId="22C7A41F" wp14:editId="4A52EE20">
            <wp:extent cx="6333490" cy="282194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9">
                      <a:extLst>
                        <a:ext uri="{28A0092B-C50C-407E-A947-70E740481C1C}">
                          <a14:useLocalDpi xmlns:a14="http://schemas.microsoft.com/office/drawing/2010/main" val="0"/>
                        </a:ext>
                      </a:extLst>
                    </a:blip>
                    <a:stretch>
                      <a:fillRect/>
                    </a:stretch>
                  </pic:blipFill>
                  <pic:spPr>
                    <a:xfrm>
                      <a:off x="0" y="0"/>
                      <a:ext cx="6333490" cy="2821940"/>
                    </a:xfrm>
                    <a:prstGeom prst="rect">
                      <a:avLst/>
                    </a:prstGeom>
                  </pic:spPr>
                </pic:pic>
              </a:graphicData>
            </a:graphic>
          </wp:inline>
        </w:drawing>
      </w:r>
    </w:p>
    <w:p w14:paraId="0A78C6B9" w14:textId="77777777" w:rsidR="004451CE" w:rsidRPr="004451CE" w:rsidRDefault="004451CE" w:rsidP="004451CE">
      <w:pPr>
        <w:spacing w:line="360" w:lineRule="auto"/>
        <w:jc w:val="center"/>
        <w:rPr>
          <w:rFonts w:eastAsia="Calibri"/>
          <w:color w:val="000000"/>
          <w:sz w:val="22"/>
          <w:szCs w:val="22"/>
          <w:lang w:val="es-PE" w:eastAsia="en-US"/>
        </w:rPr>
      </w:pPr>
      <w:r w:rsidRPr="004451CE">
        <w:rPr>
          <w:rFonts w:eastAsia="Calibri"/>
          <w:b/>
          <w:bCs/>
          <w:color w:val="000000"/>
          <w:sz w:val="22"/>
          <w:szCs w:val="22"/>
          <w:lang w:val="es-PE" w:eastAsia="en-US"/>
        </w:rPr>
        <w:t>Fig. 1 -</w:t>
      </w:r>
      <w:r w:rsidRPr="004451CE">
        <w:rPr>
          <w:rFonts w:eastAsia="Calibri"/>
          <w:color w:val="000000"/>
          <w:sz w:val="22"/>
          <w:szCs w:val="22"/>
          <w:lang w:val="es-PE" w:eastAsia="en-US"/>
        </w:rPr>
        <w:t xml:space="preserve"> Porcentaje de respuestas del cuestionario Apgar Familiar.</w:t>
      </w:r>
    </w:p>
    <w:p w14:paraId="566C6792" w14:textId="77777777" w:rsidR="004451CE" w:rsidRPr="004451CE" w:rsidRDefault="004451CE" w:rsidP="004451CE">
      <w:pPr>
        <w:spacing w:line="360" w:lineRule="auto"/>
        <w:jc w:val="center"/>
        <w:rPr>
          <w:rFonts w:eastAsia="Calibri"/>
          <w:color w:val="000000"/>
          <w:sz w:val="22"/>
          <w:szCs w:val="22"/>
          <w:lang w:val="es-PE" w:eastAsia="en-US"/>
        </w:rPr>
      </w:pPr>
    </w:p>
    <w:p w14:paraId="17CE2701" w14:textId="24324F53" w:rsidR="004451CE" w:rsidRDefault="004451CE" w:rsidP="004451CE">
      <w:pPr>
        <w:spacing w:line="360" w:lineRule="auto"/>
        <w:jc w:val="both"/>
        <w:rPr>
          <w:rFonts w:eastAsia="Calibri"/>
          <w:lang w:val="es-PE" w:eastAsia="en-US"/>
        </w:rPr>
      </w:pPr>
      <w:r w:rsidRPr="004451CE">
        <w:rPr>
          <w:rFonts w:eastAsia="Calibri"/>
          <w:lang w:val="es-PE" w:eastAsia="en-US"/>
        </w:rPr>
        <w:t xml:space="preserve">El acceso a los servicios de luz (p= 0,001), agua (p&lt; 0,001), desagüe (p= 0,005) e Internet (p= 0,008) se asociaron a una mayor frecuencia de DF (tabla 2). </w:t>
      </w:r>
    </w:p>
    <w:p w14:paraId="30D29E93" w14:textId="77777777" w:rsidR="00047F63" w:rsidRPr="004451CE" w:rsidRDefault="00047F63" w:rsidP="00047F63">
      <w:pPr>
        <w:spacing w:line="360" w:lineRule="auto"/>
        <w:jc w:val="both"/>
        <w:rPr>
          <w:rFonts w:eastAsia="Calibri"/>
          <w:lang w:val="es-PE" w:eastAsia="en-US"/>
        </w:rPr>
      </w:pPr>
      <w:r w:rsidRPr="004451CE">
        <w:rPr>
          <w:rFonts w:eastAsia="Calibri"/>
          <w:lang w:val="es-PE" w:eastAsia="en-US"/>
        </w:rPr>
        <w:t>En el análisis de regresión múltiple, los pacientes con acceso a servicio de agua tenían menor prevalencia de DF (RP: 0,04). Residir entre 1 a 10 años en Lima representó menor prevalencia de DF; en comparación con pacientes recién llegados a la capital (menos de 1 año) (RP: 0,15). Los pacientes con acceso a Internet tuvieron menor prevalencia de DF (RP: 0,26) (tabla 3).</w:t>
      </w:r>
    </w:p>
    <w:p w14:paraId="3919E0D2" w14:textId="77777777" w:rsidR="00047F63" w:rsidRPr="004451CE" w:rsidRDefault="00047F63" w:rsidP="004451CE">
      <w:pPr>
        <w:spacing w:line="360" w:lineRule="auto"/>
        <w:jc w:val="both"/>
        <w:rPr>
          <w:rFonts w:eastAsia="Calibri"/>
          <w:lang w:val="es-PE" w:eastAsia="en-US"/>
        </w:rPr>
      </w:pPr>
    </w:p>
    <w:p w14:paraId="5ABB1878" w14:textId="77777777" w:rsidR="004451CE" w:rsidRPr="004451CE" w:rsidRDefault="004451CE" w:rsidP="004451CE">
      <w:pPr>
        <w:spacing w:line="360" w:lineRule="auto"/>
        <w:jc w:val="center"/>
        <w:rPr>
          <w:rFonts w:eastAsia="Calibri"/>
          <w:b/>
          <w:bCs/>
          <w:color w:val="000000"/>
          <w:sz w:val="22"/>
          <w:szCs w:val="22"/>
          <w:lang w:val="es-PE" w:eastAsia="en-US"/>
        </w:rPr>
      </w:pPr>
    </w:p>
    <w:p w14:paraId="56A69BE5" w14:textId="77777777" w:rsidR="004451CE" w:rsidRPr="004451CE" w:rsidRDefault="004451CE" w:rsidP="004451CE">
      <w:pPr>
        <w:spacing w:after="160" w:line="259" w:lineRule="auto"/>
        <w:rPr>
          <w:rFonts w:eastAsia="Calibri"/>
          <w:b/>
          <w:bCs/>
          <w:color w:val="000000"/>
          <w:sz w:val="22"/>
          <w:szCs w:val="22"/>
          <w:lang w:val="es-PE" w:eastAsia="en-US"/>
        </w:rPr>
      </w:pPr>
      <w:r w:rsidRPr="004451CE">
        <w:rPr>
          <w:rFonts w:eastAsia="Calibri"/>
          <w:b/>
          <w:bCs/>
          <w:color w:val="000000"/>
          <w:sz w:val="22"/>
          <w:szCs w:val="22"/>
          <w:lang w:val="es-PE" w:eastAsia="en-US"/>
        </w:rPr>
        <w:br w:type="page"/>
      </w:r>
    </w:p>
    <w:p w14:paraId="50B77409" w14:textId="77777777" w:rsidR="004451CE" w:rsidRPr="004451CE" w:rsidRDefault="004451CE" w:rsidP="004451CE">
      <w:pPr>
        <w:spacing w:line="360" w:lineRule="auto"/>
        <w:jc w:val="center"/>
        <w:rPr>
          <w:rFonts w:eastAsia="Calibri"/>
          <w:color w:val="000000"/>
          <w:sz w:val="22"/>
          <w:szCs w:val="22"/>
          <w:lang w:val="es-PE" w:eastAsia="en-US"/>
        </w:rPr>
      </w:pPr>
      <w:r w:rsidRPr="004451CE">
        <w:rPr>
          <w:rFonts w:eastAsia="Calibri"/>
          <w:b/>
          <w:bCs/>
          <w:color w:val="000000"/>
          <w:sz w:val="22"/>
          <w:szCs w:val="22"/>
          <w:lang w:val="es-PE" w:eastAsia="en-US"/>
        </w:rPr>
        <w:lastRenderedPageBreak/>
        <w:t xml:space="preserve">Tabla 2 - </w:t>
      </w:r>
      <w:r w:rsidRPr="004451CE">
        <w:rPr>
          <w:rFonts w:eastAsia="Calibri"/>
          <w:color w:val="000000"/>
          <w:sz w:val="22"/>
          <w:szCs w:val="22"/>
          <w:lang w:val="es-PE" w:eastAsia="en-US"/>
        </w:rPr>
        <w:t xml:space="preserve">Factores asociados a DF en pacientes atendidos en </w:t>
      </w:r>
      <w:proofErr w:type="spellStart"/>
      <w:r w:rsidRPr="004451CE">
        <w:rPr>
          <w:rFonts w:eastAsia="Calibri"/>
          <w:color w:val="000000"/>
          <w:sz w:val="22"/>
          <w:szCs w:val="22"/>
          <w:lang w:val="es-PE" w:eastAsia="en-US"/>
        </w:rPr>
        <w:t>PNA</w:t>
      </w:r>
      <w:proofErr w:type="spellEnd"/>
      <w:r w:rsidRPr="004451CE">
        <w:rPr>
          <w:rFonts w:eastAsia="Calibri"/>
          <w:color w:val="000000"/>
          <w:sz w:val="22"/>
          <w:szCs w:val="22"/>
          <w:lang w:val="es-PE" w:eastAsia="en-US"/>
        </w:rPr>
        <w:t xml:space="preserve"> </w:t>
      </w:r>
    </w:p>
    <w:p w14:paraId="28EB60ED" w14:textId="3C0ABF5E" w:rsidR="004451CE" w:rsidRPr="004451CE" w:rsidRDefault="004451CE" w:rsidP="004451CE">
      <w:pPr>
        <w:spacing w:line="360" w:lineRule="auto"/>
        <w:jc w:val="center"/>
        <w:rPr>
          <w:rFonts w:eastAsia="Calibri"/>
          <w:sz w:val="16"/>
          <w:szCs w:val="22"/>
          <w:lang w:val="es-ES" w:eastAsia="es-PE"/>
        </w:rPr>
      </w:pPr>
      <w:r w:rsidRPr="004451CE">
        <w:rPr>
          <w:rFonts w:eastAsia="Calibri"/>
          <w:noProof/>
          <w:sz w:val="16"/>
          <w:szCs w:val="22"/>
          <w:lang w:val="es-ES" w:eastAsia="es-PE"/>
        </w:rPr>
        <w:drawing>
          <wp:inline distT="0" distB="0" distL="0" distR="0" wp14:anchorId="54E2F9EA" wp14:editId="64D065E1">
            <wp:extent cx="4236720" cy="6818651"/>
            <wp:effectExtent l="0" t="0" r="0" b="127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42157" cy="6827401"/>
                    </a:xfrm>
                    <a:prstGeom prst="rect">
                      <a:avLst/>
                    </a:prstGeom>
                    <a:noFill/>
                    <a:ln>
                      <a:noFill/>
                    </a:ln>
                  </pic:spPr>
                </pic:pic>
              </a:graphicData>
            </a:graphic>
          </wp:inline>
        </w:drawing>
      </w:r>
    </w:p>
    <w:p w14:paraId="68F22DE6" w14:textId="77777777" w:rsidR="004451CE" w:rsidRPr="004451CE" w:rsidRDefault="004451CE" w:rsidP="004451CE">
      <w:pPr>
        <w:spacing w:line="360" w:lineRule="auto"/>
        <w:jc w:val="center"/>
        <w:rPr>
          <w:rFonts w:eastAsia="Calibri"/>
          <w:sz w:val="16"/>
          <w:szCs w:val="22"/>
          <w:lang w:val="es-ES" w:eastAsia="es-PE"/>
        </w:rPr>
      </w:pPr>
      <w:r w:rsidRPr="004451CE">
        <w:rPr>
          <w:rFonts w:eastAsia="Calibri"/>
          <w:sz w:val="16"/>
          <w:szCs w:val="22"/>
          <w:lang w:val="es-ES" w:eastAsia="es-PE"/>
        </w:rPr>
        <w:t>¥ Mediana (percentil 25 a percentil 75).</w:t>
      </w:r>
    </w:p>
    <w:p w14:paraId="2DD7CD89" w14:textId="77777777" w:rsidR="004451CE" w:rsidRPr="004451CE" w:rsidRDefault="004451CE" w:rsidP="004451CE">
      <w:pPr>
        <w:spacing w:line="360" w:lineRule="auto"/>
        <w:jc w:val="center"/>
        <w:rPr>
          <w:rFonts w:eastAsia="Calibri"/>
          <w:sz w:val="16"/>
          <w:szCs w:val="22"/>
          <w:lang w:val="es-ES" w:eastAsia="es-PE"/>
        </w:rPr>
      </w:pPr>
      <w:r w:rsidRPr="004451CE">
        <w:rPr>
          <w:rFonts w:eastAsia="Calibri"/>
          <w:sz w:val="16"/>
          <w:szCs w:val="22"/>
          <w:lang w:val="es-ES" w:eastAsia="es-PE"/>
        </w:rPr>
        <w:t>¶ Media y desviación estándar.</w:t>
      </w:r>
    </w:p>
    <w:p w14:paraId="4AF4D9B6" w14:textId="77777777" w:rsidR="004451CE" w:rsidRPr="004451CE" w:rsidRDefault="004451CE" w:rsidP="004451CE">
      <w:pPr>
        <w:spacing w:line="360" w:lineRule="auto"/>
        <w:jc w:val="center"/>
        <w:rPr>
          <w:sz w:val="16"/>
          <w:szCs w:val="16"/>
          <w:lang w:val="es-ES" w:eastAsia="es-PE"/>
        </w:rPr>
      </w:pPr>
    </w:p>
    <w:p w14:paraId="482573A1" w14:textId="77777777" w:rsidR="004451CE" w:rsidRPr="004451CE" w:rsidRDefault="004451CE" w:rsidP="004451CE">
      <w:pPr>
        <w:spacing w:line="360" w:lineRule="auto"/>
        <w:jc w:val="center"/>
        <w:rPr>
          <w:rFonts w:eastAsia="Calibri"/>
          <w:sz w:val="22"/>
          <w:szCs w:val="22"/>
          <w:lang w:val="es-PE" w:eastAsia="en-US"/>
        </w:rPr>
      </w:pPr>
      <w:r w:rsidRPr="004451CE">
        <w:rPr>
          <w:rFonts w:eastAsia="Calibri"/>
          <w:b/>
          <w:bCs/>
          <w:color w:val="000000"/>
          <w:sz w:val="22"/>
          <w:szCs w:val="22"/>
          <w:lang w:val="es-PE" w:eastAsia="en-US"/>
        </w:rPr>
        <w:t>Tabla 3 –</w:t>
      </w:r>
      <w:r w:rsidRPr="004451CE">
        <w:rPr>
          <w:rFonts w:eastAsia="Calibri"/>
          <w:color w:val="000000"/>
          <w:sz w:val="22"/>
          <w:szCs w:val="22"/>
          <w:lang w:val="es-PE" w:eastAsia="en-US"/>
        </w:rPr>
        <w:t xml:space="preserve"> Análisis de regresión y simple de factores asociados a DF</w:t>
      </w:r>
    </w:p>
    <w:p w14:paraId="5FD1C49F" w14:textId="239272FB" w:rsidR="004451CE" w:rsidRPr="004451CE" w:rsidRDefault="004451CE" w:rsidP="004451CE">
      <w:pPr>
        <w:spacing w:line="360" w:lineRule="auto"/>
        <w:jc w:val="center"/>
        <w:rPr>
          <w:sz w:val="16"/>
          <w:szCs w:val="16"/>
          <w:lang w:val="es-ES" w:eastAsia="es-PE"/>
        </w:rPr>
      </w:pPr>
      <w:r w:rsidRPr="004451CE">
        <w:rPr>
          <w:noProof/>
          <w:sz w:val="16"/>
          <w:szCs w:val="16"/>
          <w:lang w:val="es-ES" w:eastAsia="es-PE"/>
        </w:rPr>
        <w:drawing>
          <wp:inline distT="0" distB="0" distL="0" distR="0" wp14:anchorId="609299FB" wp14:editId="1AB38082">
            <wp:extent cx="4816475" cy="6593667"/>
            <wp:effectExtent l="0" t="0" r="3175"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1786" cy="6600938"/>
                    </a:xfrm>
                    <a:prstGeom prst="rect">
                      <a:avLst/>
                    </a:prstGeom>
                    <a:noFill/>
                    <a:ln>
                      <a:noFill/>
                    </a:ln>
                  </pic:spPr>
                </pic:pic>
              </a:graphicData>
            </a:graphic>
          </wp:inline>
        </w:drawing>
      </w:r>
    </w:p>
    <w:p w14:paraId="0D70FF80" w14:textId="77777777" w:rsidR="004451CE" w:rsidRPr="004451CE" w:rsidRDefault="004451CE" w:rsidP="004451CE">
      <w:pPr>
        <w:spacing w:line="360" w:lineRule="auto"/>
        <w:jc w:val="center"/>
        <w:rPr>
          <w:sz w:val="16"/>
          <w:szCs w:val="16"/>
          <w:lang w:val="es-ES" w:eastAsia="es-PE"/>
        </w:rPr>
      </w:pPr>
      <w:proofErr w:type="spellStart"/>
      <w:r w:rsidRPr="004451CE">
        <w:rPr>
          <w:sz w:val="16"/>
          <w:szCs w:val="16"/>
          <w:lang w:val="es-ES" w:eastAsia="es-PE"/>
        </w:rPr>
        <w:t>RPc</w:t>
      </w:r>
      <w:proofErr w:type="spellEnd"/>
      <w:r w:rsidRPr="004451CE">
        <w:rPr>
          <w:sz w:val="16"/>
          <w:szCs w:val="16"/>
          <w:lang w:val="es-ES" w:eastAsia="es-PE"/>
        </w:rPr>
        <w:t>: razón de prevalencia cruda.</w:t>
      </w:r>
    </w:p>
    <w:p w14:paraId="43068F04" w14:textId="77777777" w:rsidR="004451CE" w:rsidRPr="004451CE" w:rsidRDefault="004451CE" w:rsidP="004451CE">
      <w:pPr>
        <w:spacing w:line="360" w:lineRule="auto"/>
        <w:jc w:val="center"/>
        <w:rPr>
          <w:sz w:val="16"/>
          <w:szCs w:val="16"/>
          <w:lang w:val="es-ES" w:eastAsia="es-PE"/>
        </w:rPr>
      </w:pPr>
      <w:proofErr w:type="spellStart"/>
      <w:r w:rsidRPr="004451CE">
        <w:rPr>
          <w:sz w:val="16"/>
          <w:szCs w:val="16"/>
          <w:lang w:val="es-ES" w:eastAsia="es-PE"/>
        </w:rPr>
        <w:t>RPa</w:t>
      </w:r>
      <w:proofErr w:type="spellEnd"/>
      <w:r w:rsidRPr="004451CE">
        <w:rPr>
          <w:sz w:val="16"/>
          <w:szCs w:val="16"/>
          <w:lang w:val="es-ES" w:eastAsia="es-PE"/>
        </w:rPr>
        <w:t>: razón de prevalencia ajustada.</w:t>
      </w:r>
    </w:p>
    <w:p w14:paraId="6DA96B29" w14:textId="77777777" w:rsidR="004451CE" w:rsidRPr="004451CE" w:rsidRDefault="004451CE" w:rsidP="004451CE">
      <w:pPr>
        <w:spacing w:line="360" w:lineRule="auto"/>
        <w:jc w:val="center"/>
        <w:rPr>
          <w:sz w:val="16"/>
          <w:szCs w:val="16"/>
          <w:lang w:val="es-ES" w:eastAsia="es-PE"/>
        </w:rPr>
      </w:pPr>
    </w:p>
    <w:p w14:paraId="1780F484" w14:textId="77777777" w:rsidR="004451CE" w:rsidRPr="004451CE" w:rsidRDefault="004451CE" w:rsidP="004451CE">
      <w:pPr>
        <w:spacing w:line="360" w:lineRule="auto"/>
        <w:jc w:val="center"/>
        <w:rPr>
          <w:sz w:val="16"/>
          <w:szCs w:val="16"/>
          <w:lang w:val="es-ES" w:eastAsia="es-PE"/>
        </w:rPr>
      </w:pPr>
    </w:p>
    <w:p w14:paraId="49311FBA" w14:textId="77777777" w:rsidR="004451CE" w:rsidRPr="004451CE" w:rsidRDefault="004451CE" w:rsidP="004451CE">
      <w:pPr>
        <w:spacing w:line="360" w:lineRule="auto"/>
        <w:jc w:val="center"/>
        <w:rPr>
          <w:rFonts w:eastAsia="Calibri"/>
          <w:b/>
          <w:bCs/>
          <w:sz w:val="32"/>
          <w:szCs w:val="32"/>
          <w:lang w:val="es-PE" w:eastAsia="en-US"/>
        </w:rPr>
      </w:pPr>
      <w:r w:rsidRPr="004451CE">
        <w:rPr>
          <w:rFonts w:eastAsia="Calibri"/>
          <w:b/>
          <w:bCs/>
          <w:sz w:val="32"/>
          <w:szCs w:val="32"/>
          <w:lang w:val="es-PE" w:eastAsia="en-US"/>
        </w:rPr>
        <w:t>DISCUSIÓN</w:t>
      </w:r>
    </w:p>
    <w:p w14:paraId="7C9B101D"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 xml:space="preserve">El 14 % de los pacientes atendidos en el </w:t>
      </w:r>
      <w:proofErr w:type="spellStart"/>
      <w:r w:rsidRPr="004451CE">
        <w:rPr>
          <w:rFonts w:eastAsia="Calibri"/>
          <w:lang w:val="es-PE" w:eastAsia="en-US"/>
        </w:rPr>
        <w:t>PNA</w:t>
      </w:r>
      <w:proofErr w:type="spellEnd"/>
      <w:r w:rsidRPr="004451CE">
        <w:rPr>
          <w:rFonts w:eastAsia="Calibri"/>
          <w:lang w:val="es-PE" w:eastAsia="en-US"/>
        </w:rPr>
        <w:t xml:space="preserve"> tuvieron al menos algún grado de DF; 13,3 % presentó DF moderada y solo el 0,7 % grave.  Es similar con </w:t>
      </w:r>
      <w:r w:rsidRPr="004451CE">
        <w:rPr>
          <w:rFonts w:eastAsia="Calibri"/>
          <w:i/>
          <w:lang w:val="es-PE" w:eastAsia="en-US"/>
        </w:rPr>
        <w:t xml:space="preserve">Girón-De La Cruz </w:t>
      </w:r>
      <w:r w:rsidRPr="004451CE">
        <w:rPr>
          <w:rFonts w:eastAsia="Calibri"/>
          <w:iCs/>
          <w:lang w:val="es-PE" w:eastAsia="en-US"/>
        </w:rPr>
        <w:t xml:space="preserve">y </w:t>
      </w:r>
      <w:proofErr w:type="gramStart"/>
      <w:r w:rsidRPr="004451CE">
        <w:rPr>
          <w:rFonts w:eastAsia="Calibri"/>
          <w:iCs/>
          <w:lang w:val="es-PE" w:eastAsia="en-US"/>
        </w:rPr>
        <w:t>otros</w:t>
      </w:r>
      <w:r w:rsidRPr="004451CE">
        <w:rPr>
          <w:rFonts w:eastAsia="Calibri"/>
          <w:vertAlign w:val="superscript"/>
          <w:lang w:val="es-PE" w:eastAsia="en-US"/>
        </w:rPr>
        <w:t>(</w:t>
      </w:r>
      <w:proofErr w:type="gramEnd"/>
      <w:r w:rsidRPr="004451CE">
        <w:rPr>
          <w:rFonts w:eastAsia="Calibri"/>
          <w:vertAlign w:val="superscript"/>
          <w:lang w:val="es-PE" w:eastAsia="en-US"/>
        </w:rPr>
        <w:t>13)</w:t>
      </w:r>
      <w:r w:rsidRPr="004451CE">
        <w:rPr>
          <w:rFonts w:eastAsia="Calibri"/>
          <w:lang w:val="es-PE" w:eastAsia="en-US"/>
        </w:rPr>
        <w:t xml:space="preserve"> quienes encontraron 3,3 % de DF grave. No obstante, difiere con la investigación de </w:t>
      </w:r>
      <w:r w:rsidRPr="004451CE">
        <w:rPr>
          <w:rFonts w:eastAsia="Calibri"/>
          <w:i/>
          <w:lang w:val="es-PE" w:eastAsia="en-US"/>
        </w:rPr>
        <w:t xml:space="preserve">Alonso-Castillo </w:t>
      </w:r>
      <w:r w:rsidRPr="004451CE">
        <w:rPr>
          <w:rFonts w:eastAsia="Calibri"/>
          <w:iCs/>
          <w:lang w:val="es-PE" w:eastAsia="en-US"/>
        </w:rPr>
        <w:t xml:space="preserve">y </w:t>
      </w:r>
      <w:proofErr w:type="gramStart"/>
      <w:r w:rsidRPr="004451CE">
        <w:rPr>
          <w:rFonts w:eastAsia="Calibri"/>
          <w:iCs/>
          <w:lang w:val="es-PE" w:eastAsia="en-US"/>
        </w:rPr>
        <w:t>otros</w:t>
      </w:r>
      <w:r w:rsidRPr="004451CE">
        <w:rPr>
          <w:rFonts w:eastAsia="Calibri"/>
          <w:lang w:val="es-PE" w:eastAsia="en-US"/>
        </w:rPr>
        <w:t>,</w:t>
      </w:r>
      <w:r w:rsidRPr="004451CE">
        <w:rPr>
          <w:rFonts w:eastAsia="Calibri"/>
          <w:vertAlign w:val="superscript"/>
          <w:lang w:val="es-PE" w:eastAsia="en-US"/>
        </w:rPr>
        <w:t>(</w:t>
      </w:r>
      <w:proofErr w:type="gramEnd"/>
      <w:r w:rsidRPr="004451CE">
        <w:rPr>
          <w:rFonts w:eastAsia="Calibri"/>
          <w:vertAlign w:val="superscript"/>
          <w:lang w:val="es-PE" w:eastAsia="en-US"/>
        </w:rPr>
        <w:t>14)</w:t>
      </w:r>
      <w:r w:rsidRPr="004451CE">
        <w:rPr>
          <w:rFonts w:eastAsia="Calibri"/>
          <w:lang w:val="es-PE" w:eastAsia="en-US"/>
        </w:rPr>
        <w:t xml:space="preserve"> realizada en Lima; en esta se reporta que 60,3 % de pacientes encuestados tuvieron una adecuada funcionalidad familiar. La baja prevalencia de DF puede explicarse debido a la oportunidad que representa el impacto de una enfermedad en la familia. Estudios </w:t>
      </w:r>
      <w:proofErr w:type="gramStart"/>
      <w:r w:rsidRPr="004451CE">
        <w:rPr>
          <w:rFonts w:eastAsia="Calibri"/>
          <w:lang w:val="es-PE" w:eastAsia="en-US"/>
        </w:rPr>
        <w:t>previos</w:t>
      </w:r>
      <w:r w:rsidRPr="004451CE">
        <w:rPr>
          <w:rFonts w:eastAsia="Calibri"/>
          <w:vertAlign w:val="superscript"/>
          <w:lang w:val="es-PE" w:eastAsia="en-US"/>
        </w:rPr>
        <w:t>(</w:t>
      </w:r>
      <w:proofErr w:type="gramEnd"/>
      <w:r w:rsidRPr="004451CE">
        <w:rPr>
          <w:rFonts w:eastAsia="Calibri"/>
          <w:vertAlign w:val="superscript"/>
          <w:lang w:val="es-PE" w:eastAsia="en-US"/>
        </w:rPr>
        <w:t>15,16)</w:t>
      </w:r>
      <w:r w:rsidRPr="004451CE">
        <w:rPr>
          <w:rFonts w:eastAsia="Calibri"/>
          <w:lang w:val="es-PE" w:eastAsia="en-US"/>
        </w:rPr>
        <w:t xml:space="preserve"> estiman que durante una enfermedad, las familias demuestran adaptarse a la adversidad fortaleciendo la relación entre sus miembros. En el contexto del </w:t>
      </w:r>
      <w:proofErr w:type="spellStart"/>
      <w:r w:rsidRPr="004451CE">
        <w:rPr>
          <w:rFonts w:eastAsia="Calibri"/>
          <w:lang w:val="es-PE" w:eastAsia="en-US"/>
        </w:rPr>
        <w:t>PNA</w:t>
      </w:r>
      <w:proofErr w:type="spellEnd"/>
      <w:r w:rsidRPr="004451CE">
        <w:rPr>
          <w:rFonts w:eastAsia="Calibri"/>
          <w:lang w:val="es-PE" w:eastAsia="en-US"/>
        </w:rPr>
        <w:t xml:space="preserve">, esta prevalencia resulta importante debido a la intervención sanitaria con un enfoque familiar que se pueda establecer en este nivel; el médico de familia es el encargado principal de este enfoque familiar </w:t>
      </w:r>
      <w:proofErr w:type="gramStart"/>
      <w:r w:rsidRPr="004451CE">
        <w:rPr>
          <w:rFonts w:eastAsia="Calibri"/>
          <w:lang w:val="es-PE" w:eastAsia="en-US"/>
        </w:rPr>
        <w:t>inicial.</w:t>
      </w:r>
      <w:r w:rsidRPr="004451CE">
        <w:rPr>
          <w:rFonts w:eastAsia="Calibri"/>
          <w:vertAlign w:val="superscript"/>
          <w:lang w:val="es-PE" w:eastAsia="en-US"/>
        </w:rPr>
        <w:t>(</w:t>
      </w:r>
      <w:proofErr w:type="gramEnd"/>
      <w:r w:rsidRPr="004451CE">
        <w:rPr>
          <w:rFonts w:eastAsia="Calibri"/>
          <w:vertAlign w:val="superscript"/>
          <w:lang w:val="es-PE" w:eastAsia="en-US"/>
        </w:rPr>
        <w:t>17)</w:t>
      </w:r>
      <w:r w:rsidRPr="004451CE">
        <w:rPr>
          <w:rFonts w:eastAsia="Calibri"/>
          <w:lang w:val="es-PE" w:eastAsia="en-US"/>
        </w:rPr>
        <w:t xml:space="preserve"> </w:t>
      </w:r>
    </w:p>
    <w:p w14:paraId="63C617CD"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 xml:space="preserve">Los pacientes con acceso al agua tuvieron menor prevalencia de DF. El acceso al agua potable mejora sustancialmente la calidad de vida de las personas, en todos sus niveles, incluido el desarrollo del entorno </w:t>
      </w:r>
      <w:proofErr w:type="gramStart"/>
      <w:r w:rsidRPr="004451CE">
        <w:rPr>
          <w:rFonts w:eastAsia="Calibri"/>
          <w:lang w:val="es-PE" w:eastAsia="en-US"/>
        </w:rPr>
        <w:t>familiar.</w:t>
      </w:r>
      <w:r w:rsidRPr="004451CE">
        <w:rPr>
          <w:rFonts w:eastAsia="Calibri"/>
          <w:vertAlign w:val="superscript"/>
          <w:lang w:val="es-PE" w:eastAsia="en-US"/>
        </w:rPr>
        <w:t>(</w:t>
      </w:r>
      <w:proofErr w:type="gramEnd"/>
      <w:r w:rsidRPr="004451CE">
        <w:rPr>
          <w:rFonts w:eastAsia="Calibri"/>
          <w:vertAlign w:val="superscript"/>
          <w:lang w:val="es-PE" w:eastAsia="en-US"/>
        </w:rPr>
        <w:t>18,19,20)</w:t>
      </w:r>
      <w:r w:rsidRPr="004451CE">
        <w:rPr>
          <w:rFonts w:eastAsia="Calibri"/>
          <w:lang w:val="es-PE" w:eastAsia="en-US"/>
        </w:rPr>
        <w:t xml:space="preserve"> Sin embargo, difiere con </w:t>
      </w:r>
      <w:r w:rsidRPr="004451CE">
        <w:rPr>
          <w:rFonts w:eastAsia="Calibri"/>
          <w:i/>
          <w:lang w:val="es-PE" w:eastAsia="en-US"/>
        </w:rPr>
        <w:t>Ramos-Cedano</w:t>
      </w:r>
      <w:r w:rsidRPr="004451CE">
        <w:rPr>
          <w:rFonts w:eastAsia="Calibri"/>
          <w:iCs/>
          <w:lang w:val="es-PE" w:eastAsia="en-US"/>
        </w:rPr>
        <w:t>,</w:t>
      </w:r>
      <w:r w:rsidRPr="004451CE">
        <w:rPr>
          <w:rFonts w:eastAsia="Calibri"/>
          <w:vertAlign w:val="superscript"/>
          <w:lang w:val="es-PE" w:eastAsia="en-US"/>
        </w:rPr>
        <w:t>(21)</w:t>
      </w:r>
      <w:r w:rsidRPr="004451CE">
        <w:rPr>
          <w:rFonts w:eastAsia="Calibri"/>
          <w:lang w:val="es-PE" w:eastAsia="en-US"/>
        </w:rPr>
        <w:t xml:space="preserve"> en el estudio realizado en la población del norte del Perú, en el cual no hubo relación entre la funcionalidad familiar y el acceso al agua. El acceso al agua potable y alcantarillado conlleva a una mejor calidad de vida, debido a los múltiples beneficios, como el aseo personal, prevención de enfermedades infecciosas, lavado de comidas, entre </w:t>
      </w:r>
      <w:proofErr w:type="gramStart"/>
      <w:r w:rsidRPr="004451CE">
        <w:rPr>
          <w:rFonts w:eastAsia="Calibri"/>
          <w:lang w:val="es-PE" w:eastAsia="en-US"/>
        </w:rPr>
        <w:t>otros.</w:t>
      </w:r>
      <w:r w:rsidRPr="004451CE">
        <w:rPr>
          <w:rFonts w:eastAsia="Calibri"/>
          <w:vertAlign w:val="superscript"/>
          <w:lang w:val="es-PE" w:eastAsia="en-US"/>
        </w:rPr>
        <w:t>(</w:t>
      </w:r>
      <w:proofErr w:type="gramEnd"/>
      <w:r w:rsidRPr="004451CE">
        <w:rPr>
          <w:rFonts w:eastAsia="Calibri"/>
          <w:vertAlign w:val="superscript"/>
          <w:lang w:val="es-PE" w:eastAsia="en-US"/>
        </w:rPr>
        <w:t>19)</w:t>
      </w:r>
      <w:r w:rsidRPr="004451CE">
        <w:rPr>
          <w:rFonts w:eastAsia="Calibri"/>
          <w:lang w:val="es-PE" w:eastAsia="en-US"/>
        </w:rPr>
        <w:t xml:space="preserve"> Lo hallado en este estudio se explica porque, en entornos con acceso a servicios básicos, como el agua potable, se puede consolidar mejor la funcionalidad familiar entre los miembros.</w:t>
      </w:r>
      <w:r w:rsidRPr="004451CE">
        <w:rPr>
          <w:rFonts w:eastAsia="Calibri"/>
          <w:vertAlign w:val="superscript"/>
          <w:lang w:val="es-PE" w:eastAsia="en-US"/>
        </w:rPr>
        <w:t>(22)</w:t>
      </w:r>
      <w:r w:rsidRPr="004451CE">
        <w:rPr>
          <w:rFonts w:eastAsia="Calibri"/>
          <w:lang w:val="es-PE" w:eastAsia="en-US"/>
        </w:rPr>
        <w:t xml:space="preserve"> </w:t>
      </w:r>
    </w:p>
    <w:p w14:paraId="418C09A3"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 xml:space="preserve">Los pacientes con acceso a Internet tenían menor prevalencia de DF. Esto se correlaciona con los resultados de </w:t>
      </w:r>
      <w:r w:rsidRPr="004451CE">
        <w:rPr>
          <w:rFonts w:eastAsia="Calibri"/>
          <w:i/>
          <w:lang w:val="es-PE" w:eastAsia="en-US"/>
        </w:rPr>
        <w:t>Marín-</w:t>
      </w:r>
      <w:proofErr w:type="gramStart"/>
      <w:r w:rsidRPr="004451CE">
        <w:rPr>
          <w:rFonts w:eastAsia="Calibri"/>
          <w:i/>
          <w:lang w:val="es-PE" w:eastAsia="en-US"/>
        </w:rPr>
        <w:t>Cipriano</w:t>
      </w:r>
      <w:r w:rsidRPr="004451CE">
        <w:rPr>
          <w:rFonts w:eastAsia="Calibri"/>
          <w:iCs/>
          <w:lang w:val="es-PE" w:eastAsia="en-US"/>
        </w:rPr>
        <w:t>,</w:t>
      </w:r>
      <w:r w:rsidRPr="004451CE">
        <w:rPr>
          <w:rFonts w:eastAsia="Calibri"/>
          <w:vertAlign w:val="superscript"/>
          <w:lang w:val="es-PE" w:eastAsia="en-US"/>
        </w:rPr>
        <w:t>(</w:t>
      </w:r>
      <w:proofErr w:type="gramEnd"/>
      <w:r w:rsidRPr="004451CE">
        <w:rPr>
          <w:rFonts w:eastAsia="Calibri"/>
          <w:vertAlign w:val="superscript"/>
          <w:lang w:val="es-PE" w:eastAsia="en-US"/>
        </w:rPr>
        <w:t>23)</w:t>
      </w:r>
      <w:r w:rsidRPr="004451CE">
        <w:rPr>
          <w:rFonts w:eastAsia="Calibri"/>
          <w:lang w:val="es-PE" w:eastAsia="en-US"/>
        </w:rPr>
        <w:t xml:space="preserve"> quien encuentra asociación entre la funcionalidad familiar y el acceso a Internet; sin embargo, difieren con los de </w:t>
      </w:r>
      <w:r w:rsidRPr="004451CE">
        <w:rPr>
          <w:rFonts w:eastAsia="Calibri"/>
          <w:i/>
          <w:lang w:val="es-PE" w:eastAsia="en-US"/>
        </w:rPr>
        <w:t>Castaño-</w:t>
      </w:r>
      <w:proofErr w:type="spellStart"/>
      <w:r w:rsidRPr="004451CE">
        <w:rPr>
          <w:rFonts w:eastAsia="Calibri"/>
          <w:i/>
          <w:lang w:val="es-PE" w:eastAsia="en-US"/>
        </w:rPr>
        <w:t>Castrillon</w:t>
      </w:r>
      <w:proofErr w:type="spellEnd"/>
      <w:r w:rsidRPr="004451CE">
        <w:rPr>
          <w:rFonts w:eastAsia="Calibri"/>
          <w:i/>
          <w:lang w:val="es-PE" w:eastAsia="en-US"/>
        </w:rPr>
        <w:t xml:space="preserve"> </w:t>
      </w:r>
      <w:r w:rsidRPr="004451CE">
        <w:rPr>
          <w:rFonts w:eastAsia="Calibri"/>
          <w:iCs/>
          <w:lang w:val="es-PE" w:eastAsia="en-US"/>
        </w:rPr>
        <w:t>y otros</w:t>
      </w:r>
      <w:r w:rsidRPr="004451CE">
        <w:rPr>
          <w:rFonts w:eastAsia="Calibri"/>
          <w:lang w:val="es-PE" w:eastAsia="en-US"/>
        </w:rPr>
        <w:t>,</w:t>
      </w:r>
      <w:r w:rsidRPr="004451CE">
        <w:rPr>
          <w:rFonts w:eastAsia="Calibri"/>
          <w:vertAlign w:val="superscript"/>
          <w:lang w:val="es-PE" w:eastAsia="en-US"/>
        </w:rPr>
        <w:t>(24)</w:t>
      </w:r>
      <w:r w:rsidRPr="004451CE">
        <w:rPr>
          <w:rFonts w:eastAsia="Calibri"/>
          <w:lang w:val="es-PE" w:eastAsia="en-US"/>
        </w:rPr>
        <w:t xml:space="preserve"> quienes describen mayor disfuncionalidad familiar en las personas con acceso a Internet. Cabe resaltar que esta última investigación se centró en el uso patológico y tendencias adictivas de Internet, lo cual explicaría dicha asociación. La asociación encontrada se explica en el desarrollo que conlleva el acceso al Internet; por ejemplo, acceso a la información, oportunidades de educación virtual y sobre todo, mejor comunicación </w:t>
      </w:r>
      <w:r w:rsidRPr="004451CE">
        <w:rPr>
          <w:rFonts w:eastAsia="Calibri"/>
          <w:lang w:val="es-PE" w:eastAsia="en-US"/>
        </w:rPr>
        <w:lastRenderedPageBreak/>
        <w:t xml:space="preserve">entre la </w:t>
      </w:r>
      <w:proofErr w:type="gramStart"/>
      <w:r w:rsidRPr="004451CE">
        <w:rPr>
          <w:rFonts w:eastAsia="Calibri"/>
          <w:lang w:val="es-PE" w:eastAsia="en-US"/>
        </w:rPr>
        <w:t>familia.</w:t>
      </w:r>
      <w:r w:rsidRPr="004451CE">
        <w:rPr>
          <w:rFonts w:eastAsia="Calibri"/>
          <w:vertAlign w:val="superscript"/>
          <w:lang w:val="es-PE" w:eastAsia="en-US"/>
        </w:rPr>
        <w:t>(</w:t>
      </w:r>
      <w:proofErr w:type="gramEnd"/>
      <w:r w:rsidRPr="004451CE">
        <w:rPr>
          <w:rFonts w:eastAsia="Calibri"/>
          <w:vertAlign w:val="superscript"/>
          <w:lang w:val="es-PE" w:eastAsia="en-US"/>
        </w:rPr>
        <w:t>25,26)</w:t>
      </w:r>
      <w:r w:rsidRPr="004451CE">
        <w:rPr>
          <w:rFonts w:eastAsia="Calibri"/>
          <w:lang w:val="es-PE" w:eastAsia="en-US"/>
        </w:rPr>
        <w:t xml:space="preserve"> Estudios previos</w:t>
      </w:r>
      <w:r w:rsidRPr="004451CE">
        <w:rPr>
          <w:rFonts w:eastAsia="Calibri"/>
          <w:vertAlign w:val="superscript"/>
          <w:lang w:val="es-PE" w:eastAsia="en-US"/>
        </w:rPr>
        <w:t>(27,28)</w:t>
      </w:r>
      <w:r w:rsidRPr="004451CE">
        <w:rPr>
          <w:rFonts w:eastAsia="Calibri"/>
          <w:lang w:val="es-PE" w:eastAsia="en-US"/>
        </w:rPr>
        <w:t xml:space="preserve"> enfatizan el desarrollo de la comunicación familiar a través de tecnologías digitales, entre ellas Internet, por lo tanto, mejora este componente de la funcionalidad familiar </w:t>
      </w:r>
    </w:p>
    <w:p w14:paraId="345A76DA"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 xml:space="preserve">Residir entre 1 a 10 años en Lima presenta menor prevalencia de DF. Es similar a los resultados de </w:t>
      </w:r>
      <w:r w:rsidRPr="004451CE">
        <w:rPr>
          <w:rFonts w:eastAsia="Calibri"/>
          <w:i/>
          <w:lang w:val="es-PE" w:eastAsia="en-US"/>
        </w:rPr>
        <w:t xml:space="preserve">Cabrera-Mora </w:t>
      </w:r>
      <w:r w:rsidRPr="004451CE">
        <w:rPr>
          <w:rFonts w:eastAsia="Calibri"/>
          <w:iCs/>
          <w:lang w:val="es-PE" w:eastAsia="en-US"/>
        </w:rPr>
        <w:t xml:space="preserve">y </w:t>
      </w:r>
      <w:proofErr w:type="gramStart"/>
      <w:r w:rsidRPr="004451CE">
        <w:rPr>
          <w:rFonts w:eastAsia="Calibri"/>
          <w:iCs/>
          <w:lang w:val="es-PE" w:eastAsia="en-US"/>
        </w:rPr>
        <w:t>otros</w:t>
      </w:r>
      <w:r w:rsidRPr="004451CE">
        <w:rPr>
          <w:rFonts w:eastAsia="Calibri"/>
          <w:vertAlign w:val="superscript"/>
          <w:lang w:val="es-PE" w:eastAsia="en-US"/>
        </w:rPr>
        <w:t>(</w:t>
      </w:r>
      <w:proofErr w:type="gramEnd"/>
      <w:r w:rsidRPr="004451CE">
        <w:rPr>
          <w:rFonts w:eastAsia="Calibri"/>
          <w:vertAlign w:val="superscript"/>
          <w:lang w:val="es-PE" w:eastAsia="en-US"/>
        </w:rPr>
        <w:t>29)</w:t>
      </w:r>
      <w:r w:rsidRPr="004451CE">
        <w:rPr>
          <w:rFonts w:eastAsia="Calibri"/>
          <w:lang w:val="es-PE" w:eastAsia="en-US"/>
        </w:rPr>
        <w:t xml:space="preserve"> quienes encuentran altos niveles de DF en población migrante; no obstante, contrasta con los de </w:t>
      </w:r>
      <w:r w:rsidRPr="004451CE">
        <w:rPr>
          <w:rFonts w:eastAsia="Calibri"/>
          <w:i/>
          <w:lang w:val="es-PE" w:eastAsia="en-US"/>
        </w:rPr>
        <w:t>Anaya-</w:t>
      </w:r>
      <w:proofErr w:type="spellStart"/>
      <w:r w:rsidRPr="004451CE">
        <w:rPr>
          <w:rFonts w:eastAsia="Calibri"/>
          <w:i/>
          <w:lang w:val="es-PE" w:eastAsia="en-US"/>
        </w:rPr>
        <w:t>Uscamayta</w:t>
      </w:r>
      <w:proofErr w:type="spellEnd"/>
      <w:r w:rsidRPr="004451CE">
        <w:rPr>
          <w:rFonts w:eastAsia="Calibri"/>
          <w:vertAlign w:val="superscript"/>
          <w:lang w:val="es-PE" w:eastAsia="en-US"/>
        </w:rPr>
        <w:t>(30)</w:t>
      </w:r>
      <w:r w:rsidRPr="004451CE">
        <w:rPr>
          <w:rFonts w:eastAsia="Calibri"/>
          <w:lang w:val="es-PE" w:eastAsia="en-US"/>
        </w:rPr>
        <w:t xml:space="preserve"> que no halló asociación. La asociación encontrada puede ser explicada en función de la importancia del entorno como espacio físico para el desarrollo de la funcionalidad familiar. Las familias que por múltiples motivos cambian su lugar de residencia, ven alterada su continuidad en un mismo espacio e incluso puede generar fragmentación entre sus </w:t>
      </w:r>
      <w:proofErr w:type="gramStart"/>
      <w:r w:rsidRPr="004451CE">
        <w:rPr>
          <w:rFonts w:eastAsia="Calibri"/>
          <w:lang w:val="es-PE" w:eastAsia="en-US"/>
        </w:rPr>
        <w:t>miembros.</w:t>
      </w:r>
      <w:r w:rsidRPr="004451CE">
        <w:rPr>
          <w:rFonts w:eastAsia="Calibri"/>
          <w:vertAlign w:val="superscript"/>
          <w:lang w:val="es-PE" w:eastAsia="en-US"/>
        </w:rPr>
        <w:t>(</w:t>
      </w:r>
      <w:proofErr w:type="gramEnd"/>
      <w:r w:rsidRPr="004451CE">
        <w:rPr>
          <w:rFonts w:eastAsia="Calibri"/>
          <w:vertAlign w:val="superscript"/>
          <w:lang w:val="es-PE" w:eastAsia="en-US"/>
        </w:rPr>
        <w:t>31,32)</w:t>
      </w:r>
    </w:p>
    <w:p w14:paraId="0D8E4B5C"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 xml:space="preserve">Se apreció que la mayoría de pacientes obtuvo una funcionalidad familiar adecuada, lo cual implica una óptima cohesión, comunicación y relación entre los miembros. Adicionalmente, según diversos </w:t>
      </w:r>
      <w:proofErr w:type="gramStart"/>
      <w:r w:rsidRPr="004451CE">
        <w:rPr>
          <w:rFonts w:eastAsia="Calibri"/>
          <w:lang w:val="es-PE" w:eastAsia="en-US"/>
        </w:rPr>
        <w:t>estudios,</w:t>
      </w:r>
      <w:r w:rsidRPr="004451CE">
        <w:rPr>
          <w:rFonts w:eastAsia="Calibri"/>
          <w:vertAlign w:val="superscript"/>
          <w:lang w:val="es-PE" w:eastAsia="en-US"/>
        </w:rPr>
        <w:t>(</w:t>
      </w:r>
      <w:proofErr w:type="gramEnd"/>
      <w:r w:rsidRPr="004451CE">
        <w:rPr>
          <w:rFonts w:eastAsia="Calibri"/>
          <w:vertAlign w:val="superscript"/>
          <w:lang w:val="es-PE" w:eastAsia="en-US"/>
        </w:rPr>
        <w:t>33,34)</w:t>
      </w:r>
      <w:r w:rsidRPr="004451CE">
        <w:rPr>
          <w:rFonts w:eastAsia="Calibri"/>
          <w:lang w:val="es-PE" w:eastAsia="en-US"/>
        </w:rPr>
        <w:t xml:space="preserve"> esto también se relaciona con mejor calidad de vida y disminuye la ocurrencia de síntomas mentales, riesgo de adicciones al alcohol y otras sustancias nocivas.</w:t>
      </w:r>
      <w:r w:rsidRPr="004451CE">
        <w:rPr>
          <w:rFonts w:eastAsia="Calibri"/>
          <w:vertAlign w:val="superscript"/>
          <w:lang w:val="es-PE" w:eastAsia="en-US"/>
        </w:rPr>
        <w:t>(35,36)</w:t>
      </w:r>
      <w:r w:rsidRPr="004451CE">
        <w:rPr>
          <w:rFonts w:eastAsia="Calibri"/>
          <w:lang w:val="es-PE" w:eastAsia="en-US"/>
        </w:rPr>
        <w:t xml:space="preserve"> </w:t>
      </w:r>
    </w:p>
    <w:p w14:paraId="26EDCACF"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 xml:space="preserve">El presente estudio presenta algunas limitaciones: primero, existen variables que pueden asociarse a DF, las cuales no se midieron (años de convivencia, antecedente de enfermedad psiquiátrica, consumo de alcohol y drogas, habilidades sociales, estilos de vida y problemas de salud </w:t>
      </w:r>
      <w:proofErr w:type="gramStart"/>
      <w:r w:rsidRPr="004451CE">
        <w:rPr>
          <w:rFonts w:eastAsia="Calibri"/>
          <w:lang w:val="es-PE" w:eastAsia="en-US"/>
        </w:rPr>
        <w:t>mental);</w:t>
      </w:r>
      <w:r w:rsidRPr="004451CE">
        <w:rPr>
          <w:rFonts w:eastAsia="Calibri"/>
          <w:vertAlign w:val="superscript"/>
          <w:lang w:val="es-PE" w:eastAsia="en-US"/>
        </w:rPr>
        <w:t>(</w:t>
      </w:r>
      <w:proofErr w:type="gramEnd"/>
      <w:r w:rsidRPr="004451CE">
        <w:rPr>
          <w:rFonts w:eastAsia="Calibri"/>
          <w:vertAlign w:val="superscript"/>
          <w:lang w:val="es-PE" w:eastAsia="en-US"/>
        </w:rPr>
        <w:t>37,38)</w:t>
      </w:r>
      <w:r w:rsidRPr="004451CE">
        <w:rPr>
          <w:rFonts w:eastAsia="Calibri"/>
          <w:lang w:val="es-PE" w:eastAsia="en-US"/>
        </w:rPr>
        <w:t xml:space="preserve"> esto conlleva a un sesgo de medición. Segundo, el diseño del estudio es transversal y no se pueden establecer relaciones causales.</w:t>
      </w:r>
    </w:p>
    <w:p w14:paraId="0B8A3E7F"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 xml:space="preserve">Como fortaleza de la investigación está en haber empleado el Apgar familiar, el cual es un instrumento validado, que presenta buenas propiedades psicométricas para medir la funcionalidad familiar. Una fortaleza adicional es haber incluido una amplia y diversa muestra de pacientes atendidos en diferentes centros pertenecientes al </w:t>
      </w:r>
      <w:proofErr w:type="spellStart"/>
      <w:r w:rsidRPr="004451CE">
        <w:rPr>
          <w:rFonts w:eastAsia="Calibri"/>
          <w:lang w:val="es-PE" w:eastAsia="en-US"/>
        </w:rPr>
        <w:t>PNA</w:t>
      </w:r>
      <w:proofErr w:type="spellEnd"/>
      <w:r w:rsidRPr="004451CE">
        <w:rPr>
          <w:rFonts w:eastAsia="Calibri"/>
          <w:lang w:val="es-PE" w:eastAsia="en-US"/>
        </w:rPr>
        <w:t xml:space="preserve"> en la capital.</w:t>
      </w:r>
    </w:p>
    <w:p w14:paraId="518C32B3" w14:textId="77777777" w:rsidR="004451CE" w:rsidRPr="004451CE" w:rsidRDefault="004451CE" w:rsidP="004451CE">
      <w:pPr>
        <w:spacing w:line="360" w:lineRule="auto"/>
        <w:jc w:val="both"/>
        <w:rPr>
          <w:rFonts w:eastAsia="Calibri"/>
          <w:lang w:val="es-PE" w:eastAsia="en-US"/>
        </w:rPr>
      </w:pPr>
      <w:r w:rsidRPr="004451CE">
        <w:rPr>
          <w:rFonts w:eastAsia="Calibri"/>
          <w:lang w:val="es-PE" w:eastAsia="en-US"/>
        </w:rPr>
        <w:t xml:space="preserve">La prevalencia de DF en pacientes atendidos en </w:t>
      </w:r>
      <w:proofErr w:type="spellStart"/>
      <w:r w:rsidRPr="004451CE">
        <w:rPr>
          <w:rFonts w:eastAsia="Calibri"/>
          <w:lang w:val="es-PE" w:eastAsia="en-US"/>
        </w:rPr>
        <w:t>PNA</w:t>
      </w:r>
      <w:proofErr w:type="spellEnd"/>
      <w:r w:rsidRPr="004451CE">
        <w:rPr>
          <w:rFonts w:eastAsia="Calibri"/>
          <w:lang w:val="es-PE" w:eastAsia="en-US"/>
        </w:rPr>
        <w:t xml:space="preserve"> es baja. Tener acceso a servicio de agua y residir entre 1 a 10 años en la capital influyó en una menor prevalencia de DF</w:t>
      </w:r>
      <w:r w:rsidRPr="004451CE">
        <w:rPr>
          <w:rFonts w:eastAsia="Calibri"/>
          <w:bCs/>
          <w:lang w:val="es-PE" w:eastAsia="en-US"/>
        </w:rPr>
        <w:t>.</w:t>
      </w:r>
    </w:p>
    <w:p w14:paraId="0A81EF72" w14:textId="77777777" w:rsidR="004451CE" w:rsidRPr="004451CE" w:rsidRDefault="004451CE" w:rsidP="004451CE">
      <w:pPr>
        <w:spacing w:line="360" w:lineRule="auto"/>
        <w:jc w:val="both"/>
        <w:rPr>
          <w:rFonts w:eastAsia="Calibri"/>
          <w:b/>
          <w:lang w:val="es-PE" w:eastAsia="en-US"/>
        </w:rPr>
      </w:pPr>
    </w:p>
    <w:p w14:paraId="35CBA9E7" w14:textId="77777777" w:rsidR="004451CE" w:rsidRPr="004451CE" w:rsidRDefault="004451CE" w:rsidP="004451CE">
      <w:pPr>
        <w:spacing w:line="360" w:lineRule="auto"/>
        <w:jc w:val="center"/>
        <w:rPr>
          <w:rFonts w:eastAsia="Calibri"/>
          <w:b/>
          <w:sz w:val="32"/>
          <w:szCs w:val="32"/>
          <w:lang w:val="es-PE" w:eastAsia="en-US"/>
        </w:rPr>
      </w:pPr>
    </w:p>
    <w:p w14:paraId="39330007" w14:textId="77777777" w:rsidR="008E5628" w:rsidRDefault="008E5628">
      <w:pPr>
        <w:rPr>
          <w:rFonts w:eastAsia="Calibri"/>
          <w:b/>
          <w:sz w:val="32"/>
          <w:szCs w:val="32"/>
          <w:lang w:val="es-PE" w:eastAsia="en-US"/>
        </w:rPr>
      </w:pPr>
      <w:r>
        <w:rPr>
          <w:rFonts w:eastAsia="Calibri"/>
          <w:b/>
          <w:sz w:val="32"/>
          <w:szCs w:val="32"/>
          <w:lang w:val="es-PE" w:eastAsia="en-US"/>
        </w:rPr>
        <w:br w:type="page"/>
      </w:r>
    </w:p>
    <w:p w14:paraId="6141D350" w14:textId="7355AF4D" w:rsidR="004451CE" w:rsidRPr="004451CE" w:rsidRDefault="004451CE" w:rsidP="004451CE">
      <w:pPr>
        <w:spacing w:line="360" w:lineRule="auto"/>
        <w:jc w:val="center"/>
        <w:rPr>
          <w:rFonts w:eastAsia="Calibri"/>
          <w:b/>
          <w:sz w:val="32"/>
          <w:szCs w:val="32"/>
          <w:lang w:val="es-PE" w:eastAsia="en-US"/>
        </w:rPr>
      </w:pPr>
      <w:r w:rsidRPr="004451CE">
        <w:rPr>
          <w:rFonts w:eastAsia="Calibri"/>
          <w:b/>
          <w:sz w:val="32"/>
          <w:szCs w:val="32"/>
          <w:lang w:val="es-PE" w:eastAsia="en-US"/>
        </w:rPr>
        <w:lastRenderedPageBreak/>
        <w:t>REFERENCIAS BIBLIOGRÁFICAS</w:t>
      </w:r>
    </w:p>
    <w:p w14:paraId="3554A072" w14:textId="77777777" w:rsidR="004451CE" w:rsidRPr="004451CE" w:rsidRDefault="004451CE" w:rsidP="004451CE">
      <w:pPr>
        <w:spacing w:line="360" w:lineRule="auto"/>
        <w:rPr>
          <w:lang w:val="es-AR" w:eastAsia="en-US"/>
        </w:rPr>
      </w:pPr>
      <w:bookmarkStart w:id="0" w:name="_Hlk101948762"/>
      <w:r w:rsidRPr="004451CE">
        <w:rPr>
          <w:lang w:val="es-AR" w:eastAsia="en-US"/>
        </w:rPr>
        <w:t xml:space="preserve">1. Ampudia </w:t>
      </w:r>
      <w:proofErr w:type="spellStart"/>
      <w:r w:rsidRPr="004451CE">
        <w:rPr>
          <w:lang w:val="es-AR" w:eastAsia="en-US"/>
        </w:rPr>
        <w:t>MK</w:t>
      </w:r>
      <w:proofErr w:type="spellEnd"/>
      <w:r w:rsidRPr="004451CE">
        <w:rPr>
          <w:lang w:val="es-AR" w:eastAsia="en-US"/>
        </w:rPr>
        <w:t>. Familia: enfoque y abordaje en la atención primaria. Revista Médica Sinergia. 2020 [acceso: 12/03/2022]; 5(9</w:t>
      </w:r>
      <w:proofErr w:type="gramStart"/>
      <w:r w:rsidRPr="004451CE">
        <w:rPr>
          <w:lang w:val="es-AR" w:eastAsia="en-US"/>
        </w:rPr>
        <w:t>):</w:t>
      </w:r>
      <w:proofErr w:type="spellStart"/>
      <w:r w:rsidRPr="004451CE">
        <w:rPr>
          <w:lang w:val="es-AR" w:eastAsia="en-US"/>
        </w:rPr>
        <w:t>e</w:t>
      </w:r>
      <w:proofErr w:type="gramEnd"/>
      <w:r w:rsidRPr="004451CE">
        <w:rPr>
          <w:lang w:val="es-AR" w:eastAsia="en-US"/>
        </w:rPr>
        <w:t>543-e543</w:t>
      </w:r>
      <w:proofErr w:type="spellEnd"/>
      <w:r w:rsidRPr="004451CE">
        <w:rPr>
          <w:lang w:val="es-AR" w:eastAsia="en-US"/>
        </w:rPr>
        <w:t xml:space="preserve">. Disponible en: </w:t>
      </w:r>
      <w:hyperlink r:id="rId22" w:history="1">
        <w:r w:rsidRPr="004451CE">
          <w:rPr>
            <w:color w:val="0000FF"/>
            <w:u w:val="single"/>
            <w:lang w:val="es-AR" w:eastAsia="en-US"/>
          </w:rPr>
          <w:t>https://revistamedicasinergia.com/index.php/rms/article/view/543/956</w:t>
        </w:r>
      </w:hyperlink>
      <w:r w:rsidRPr="004451CE">
        <w:rPr>
          <w:lang w:val="es-AR" w:eastAsia="en-US"/>
        </w:rPr>
        <w:t xml:space="preserve"> </w:t>
      </w:r>
    </w:p>
    <w:p w14:paraId="0A9BFCF9" w14:textId="77777777" w:rsidR="004451CE" w:rsidRPr="004451CE" w:rsidRDefault="004451CE" w:rsidP="004451CE">
      <w:pPr>
        <w:spacing w:line="360" w:lineRule="auto"/>
        <w:rPr>
          <w:lang w:val="es-AR" w:eastAsia="en-US"/>
        </w:rPr>
      </w:pPr>
      <w:r w:rsidRPr="004451CE">
        <w:rPr>
          <w:lang w:val="es-AR" w:eastAsia="en-US"/>
        </w:rPr>
        <w:t xml:space="preserve">2. </w:t>
      </w:r>
      <w:proofErr w:type="spellStart"/>
      <w:r w:rsidRPr="004451CE">
        <w:rPr>
          <w:lang w:val="es-AR" w:eastAsia="en-US"/>
        </w:rPr>
        <w:t>Presti</w:t>
      </w:r>
      <w:proofErr w:type="spellEnd"/>
      <w:r w:rsidRPr="004451CE">
        <w:rPr>
          <w:lang w:val="es-AR" w:eastAsia="en-US"/>
        </w:rPr>
        <w:t xml:space="preserve"> AP, Dugarte MR. El educador y la familia disfuncional. Educere. 2011 [acceso: 12/03/2022];15(52):629-34. Disponible en: </w:t>
      </w:r>
      <w:hyperlink r:id="rId23" w:history="1">
        <w:r w:rsidRPr="004451CE">
          <w:rPr>
            <w:color w:val="0000FF"/>
            <w:u w:val="single"/>
            <w:lang w:val="es-AR" w:eastAsia="en-US"/>
          </w:rPr>
          <w:t>https://www.redalyc.org/pdf/356/35622379009.pdf</w:t>
        </w:r>
      </w:hyperlink>
      <w:r w:rsidRPr="004451CE">
        <w:rPr>
          <w:lang w:val="es-AR" w:eastAsia="en-US"/>
        </w:rPr>
        <w:t xml:space="preserve"> </w:t>
      </w:r>
    </w:p>
    <w:p w14:paraId="1D44A1D8" w14:textId="77777777" w:rsidR="004451CE" w:rsidRPr="004451CE" w:rsidRDefault="004451CE" w:rsidP="004451CE">
      <w:pPr>
        <w:spacing w:line="360" w:lineRule="auto"/>
        <w:rPr>
          <w:lang w:val="es-AR" w:eastAsia="en-US"/>
        </w:rPr>
      </w:pPr>
      <w:r w:rsidRPr="004451CE">
        <w:rPr>
          <w:lang w:val="es-AR" w:eastAsia="en-US"/>
        </w:rPr>
        <w:t xml:space="preserve">3. Suarez Cuba MA, Alcalá Espinoza M. Apgar familiar: Una herramienta para detectar disfunción familiar. Revista Médica La Paz. 2014 [acceso: 12/03/2022];20(1):53-57. Disponible en: </w:t>
      </w:r>
      <w:hyperlink r:id="rId24" w:history="1">
        <w:r w:rsidRPr="004451CE">
          <w:rPr>
            <w:color w:val="0000FF"/>
            <w:u w:val="single"/>
            <w:lang w:val="es-AR" w:eastAsia="en-US"/>
          </w:rPr>
          <w:t>http://www.scielo.org.bo/pdf/rmcmlp/v20n1/v20n1_a10.pdf</w:t>
        </w:r>
      </w:hyperlink>
      <w:r w:rsidRPr="004451CE">
        <w:rPr>
          <w:lang w:val="es-AR" w:eastAsia="en-US"/>
        </w:rPr>
        <w:t xml:space="preserve"> </w:t>
      </w:r>
    </w:p>
    <w:p w14:paraId="6D019696" w14:textId="77777777" w:rsidR="004451CE" w:rsidRPr="004451CE" w:rsidRDefault="004451CE" w:rsidP="004451CE">
      <w:pPr>
        <w:spacing w:line="360" w:lineRule="auto"/>
        <w:rPr>
          <w:lang w:val="es-AR" w:eastAsia="en-US"/>
        </w:rPr>
      </w:pPr>
      <w:r w:rsidRPr="004451CE">
        <w:rPr>
          <w:lang w:val="es-AR" w:eastAsia="en-US"/>
        </w:rPr>
        <w:t xml:space="preserve">4. Gonzales-Portillo J, Rivas-Marín FM, Marín-Restrepo </w:t>
      </w:r>
      <w:proofErr w:type="spellStart"/>
      <w:r w:rsidRPr="004451CE">
        <w:rPr>
          <w:lang w:val="es-AR" w:eastAsia="en-US"/>
        </w:rPr>
        <w:t>XA</w:t>
      </w:r>
      <w:proofErr w:type="spellEnd"/>
      <w:r w:rsidRPr="004451CE">
        <w:rPr>
          <w:lang w:val="es-AR" w:eastAsia="en-US"/>
        </w:rPr>
        <w:t xml:space="preserve">, Villamil-Bonilla LV. Niveles de disfunción familiar, en veinte mujeres víctimas de violencia intrafamiliar en el municipio de Armenia. El Ágora USB. 2013 [acceso: 12/03/2022];13(2):399-410. Disponible en: </w:t>
      </w:r>
      <w:hyperlink r:id="rId25" w:history="1">
        <w:r w:rsidRPr="004451CE">
          <w:rPr>
            <w:color w:val="0000FF"/>
            <w:u w:val="single"/>
            <w:lang w:val="es-AR" w:eastAsia="en-US"/>
          </w:rPr>
          <w:t>https://revistas.usb.edu.co/index.php/Agora/article/view/114</w:t>
        </w:r>
      </w:hyperlink>
      <w:r w:rsidRPr="004451CE">
        <w:rPr>
          <w:lang w:val="es-AR" w:eastAsia="en-US"/>
        </w:rPr>
        <w:t xml:space="preserve"> </w:t>
      </w:r>
    </w:p>
    <w:p w14:paraId="70FADE64" w14:textId="77777777" w:rsidR="004451CE" w:rsidRPr="004451CE" w:rsidRDefault="004451CE" w:rsidP="004451CE">
      <w:pPr>
        <w:spacing w:line="360" w:lineRule="auto"/>
        <w:rPr>
          <w:lang w:val="es-AR" w:eastAsia="en-US"/>
        </w:rPr>
      </w:pPr>
      <w:r w:rsidRPr="004451CE">
        <w:rPr>
          <w:lang w:val="es-AR" w:eastAsia="en-US"/>
        </w:rPr>
        <w:t xml:space="preserve">5. </w:t>
      </w:r>
      <w:proofErr w:type="spellStart"/>
      <w:r w:rsidRPr="004451CE">
        <w:rPr>
          <w:lang w:val="es-AR" w:eastAsia="en-US"/>
        </w:rPr>
        <w:t>Ortíz</w:t>
      </w:r>
      <w:proofErr w:type="spellEnd"/>
      <w:r w:rsidRPr="004451CE">
        <w:rPr>
          <w:lang w:val="es-AR" w:eastAsia="en-US"/>
        </w:rPr>
        <w:t>-Gómez MT, Louro-Bernal I, Jiménez-Cangas L, Silva-</w:t>
      </w:r>
      <w:proofErr w:type="spellStart"/>
      <w:r w:rsidRPr="004451CE">
        <w:rPr>
          <w:lang w:val="es-AR" w:eastAsia="en-US"/>
        </w:rPr>
        <w:t>Ayzaguer</w:t>
      </w:r>
      <w:proofErr w:type="spellEnd"/>
      <w:r w:rsidRPr="004451CE">
        <w:rPr>
          <w:lang w:val="es-AR" w:eastAsia="en-US"/>
        </w:rPr>
        <w:t xml:space="preserve"> </w:t>
      </w:r>
      <w:proofErr w:type="spellStart"/>
      <w:r w:rsidRPr="004451CE">
        <w:rPr>
          <w:lang w:val="es-AR" w:eastAsia="en-US"/>
        </w:rPr>
        <w:t>LC</w:t>
      </w:r>
      <w:proofErr w:type="spellEnd"/>
      <w:r w:rsidRPr="004451CE">
        <w:rPr>
          <w:lang w:val="es-AR" w:eastAsia="en-US"/>
        </w:rPr>
        <w:t xml:space="preserve">. La salud familiar: caracterización de un área de salud. </w:t>
      </w:r>
      <w:proofErr w:type="spellStart"/>
      <w:r w:rsidRPr="004451CE">
        <w:rPr>
          <w:lang w:val="es-AR" w:eastAsia="en-US"/>
        </w:rPr>
        <w:t>Rev</w:t>
      </w:r>
      <w:proofErr w:type="spellEnd"/>
      <w:r w:rsidRPr="004451CE">
        <w:rPr>
          <w:lang w:val="es-AR" w:eastAsia="en-US"/>
        </w:rPr>
        <w:t xml:space="preserve"> Cuba </w:t>
      </w:r>
      <w:proofErr w:type="spellStart"/>
      <w:r w:rsidRPr="004451CE">
        <w:rPr>
          <w:lang w:val="es-AR" w:eastAsia="en-US"/>
        </w:rPr>
        <w:t>Med</w:t>
      </w:r>
      <w:proofErr w:type="spellEnd"/>
      <w:r w:rsidRPr="004451CE">
        <w:rPr>
          <w:lang w:val="es-AR" w:eastAsia="en-US"/>
        </w:rPr>
        <w:t xml:space="preserve"> Gen </w:t>
      </w:r>
      <w:proofErr w:type="spellStart"/>
      <w:r w:rsidRPr="004451CE">
        <w:rPr>
          <w:lang w:val="es-AR" w:eastAsia="en-US"/>
        </w:rPr>
        <w:t>Integr</w:t>
      </w:r>
      <w:proofErr w:type="spellEnd"/>
      <w:r w:rsidRPr="004451CE">
        <w:rPr>
          <w:lang w:val="es-AR" w:eastAsia="en-US"/>
        </w:rPr>
        <w:t xml:space="preserve">. 1999 [acceso: 14/03/2022];303-309. Disponible en: </w:t>
      </w:r>
      <w:hyperlink r:id="rId26" w:history="1">
        <w:r w:rsidRPr="004451CE">
          <w:rPr>
            <w:color w:val="0000FF"/>
            <w:u w:val="single"/>
            <w:lang w:val="es-AR" w:eastAsia="en-US"/>
          </w:rPr>
          <w:t>http://scielo.sld.cu/pdf/mgi/v15n3/mgi14399.pdf</w:t>
        </w:r>
      </w:hyperlink>
      <w:r w:rsidRPr="004451CE">
        <w:rPr>
          <w:lang w:val="es-AR" w:eastAsia="en-US"/>
        </w:rPr>
        <w:t xml:space="preserve"> </w:t>
      </w:r>
    </w:p>
    <w:p w14:paraId="6332A3BA" w14:textId="77777777" w:rsidR="004451CE" w:rsidRPr="004451CE" w:rsidRDefault="004451CE" w:rsidP="004451CE">
      <w:pPr>
        <w:spacing w:line="360" w:lineRule="auto"/>
        <w:rPr>
          <w:lang w:val="es-AR" w:eastAsia="en-US"/>
        </w:rPr>
      </w:pPr>
      <w:r w:rsidRPr="004451CE">
        <w:rPr>
          <w:lang w:val="es-AR" w:eastAsia="en-US"/>
        </w:rPr>
        <w:t xml:space="preserve">6. Cuellar-De La Cruz EY. Relación de violencia familiar y funcionalidad familiar en gestantes en el primer nivel de atención - Lima - 2015. [Tesis de especialidad]. Lima: Universidad Nacional Mayor de San Marcos; 2015 [acceso: 14/03/2022]. Disponible en: </w:t>
      </w:r>
      <w:hyperlink r:id="rId27" w:history="1">
        <w:r w:rsidRPr="004451CE">
          <w:rPr>
            <w:color w:val="0000FF"/>
            <w:u w:val="single"/>
            <w:lang w:val="es-AR" w:eastAsia="en-US"/>
          </w:rPr>
          <w:t>https://cybertesis.unmsm.edu.pe/handle/20.500.12672/13577</w:t>
        </w:r>
      </w:hyperlink>
      <w:r w:rsidRPr="004451CE">
        <w:rPr>
          <w:lang w:val="es-AR" w:eastAsia="en-US"/>
        </w:rPr>
        <w:t xml:space="preserve"> </w:t>
      </w:r>
    </w:p>
    <w:p w14:paraId="28C00B16" w14:textId="77777777" w:rsidR="004451CE" w:rsidRPr="004451CE" w:rsidRDefault="004451CE" w:rsidP="004451CE">
      <w:pPr>
        <w:spacing w:line="360" w:lineRule="auto"/>
        <w:rPr>
          <w:lang w:val="es-AR" w:eastAsia="en-US"/>
        </w:rPr>
      </w:pPr>
      <w:r w:rsidRPr="004451CE">
        <w:rPr>
          <w:lang w:val="es-AR" w:eastAsia="en-US"/>
        </w:rPr>
        <w:t>7. Pérez-Milena A, Pérez-Milena R, Martínez-Fernández ML, Leal-</w:t>
      </w:r>
      <w:proofErr w:type="spellStart"/>
      <w:r w:rsidRPr="004451CE">
        <w:rPr>
          <w:lang w:val="es-AR" w:eastAsia="en-US"/>
        </w:rPr>
        <w:t>Helmling</w:t>
      </w:r>
      <w:proofErr w:type="spellEnd"/>
      <w:r w:rsidRPr="004451CE">
        <w:rPr>
          <w:lang w:val="es-AR" w:eastAsia="en-US"/>
        </w:rPr>
        <w:t xml:space="preserve"> </w:t>
      </w:r>
      <w:proofErr w:type="spellStart"/>
      <w:r w:rsidRPr="004451CE">
        <w:rPr>
          <w:lang w:val="es-AR" w:eastAsia="en-US"/>
        </w:rPr>
        <w:t>FJ</w:t>
      </w:r>
      <w:proofErr w:type="spellEnd"/>
      <w:r w:rsidRPr="004451CE">
        <w:rPr>
          <w:lang w:val="es-AR" w:eastAsia="en-US"/>
        </w:rPr>
        <w:t>, Mesa-</w:t>
      </w:r>
      <w:proofErr w:type="spellStart"/>
      <w:r w:rsidRPr="004451CE">
        <w:rPr>
          <w:lang w:val="es-AR" w:eastAsia="en-US"/>
        </w:rPr>
        <w:t>Gallardo</w:t>
      </w:r>
      <w:proofErr w:type="spellEnd"/>
      <w:r w:rsidRPr="004451CE">
        <w:rPr>
          <w:lang w:val="es-AR" w:eastAsia="en-US"/>
        </w:rPr>
        <w:t xml:space="preserve"> I, Jiménez-Pulido I. Estructura y funcionalidad de la familia durante la adolescencia: relación con el apoyo social, el consumo de tóxicos y el malestar psíquico. Aten Primaria. 2007 [acceso: 13/03/2022]; 39(2):61-65. Disponible en: </w:t>
      </w:r>
      <w:hyperlink r:id="rId28" w:history="1">
        <w:r w:rsidRPr="004451CE">
          <w:rPr>
            <w:color w:val="0000FF"/>
            <w:u w:val="single"/>
            <w:lang w:val="es-AR" w:eastAsia="en-US"/>
          </w:rPr>
          <w:t>https://www.sciencedirect.com/sdfe/reader/pii/S0212656707708405/pdf</w:t>
        </w:r>
      </w:hyperlink>
      <w:r w:rsidRPr="004451CE">
        <w:rPr>
          <w:lang w:val="es-AR" w:eastAsia="en-US"/>
        </w:rPr>
        <w:t xml:space="preserve"> </w:t>
      </w:r>
    </w:p>
    <w:p w14:paraId="6A760FC6" w14:textId="77777777" w:rsidR="004451CE" w:rsidRPr="004451CE" w:rsidRDefault="004451CE" w:rsidP="004451CE">
      <w:pPr>
        <w:spacing w:line="360" w:lineRule="auto"/>
        <w:rPr>
          <w:lang w:val="es-AR" w:eastAsia="en-US"/>
        </w:rPr>
      </w:pPr>
      <w:r w:rsidRPr="004451CE">
        <w:rPr>
          <w:lang w:val="es-AR" w:eastAsia="en-US"/>
        </w:rPr>
        <w:t xml:space="preserve">8. </w:t>
      </w:r>
      <w:proofErr w:type="spellStart"/>
      <w:r w:rsidRPr="004451CE">
        <w:rPr>
          <w:lang w:val="es-AR" w:eastAsia="en-US"/>
        </w:rPr>
        <w:t>Cusihuamán</w:t>
      </w:r>
      <w:proofErr w:type="spellEnd"/>
      <w:r w:rsidRPr="004451CE">
        <w:rPr>
          <w:lang w:val="es-AR" w:eastAsia="en-US"/>
        </w:rPr>
        <w:t xml:space="preserve">-Puma AU, </w:t>
      </w:r>
      <w:proofErr w:type="spellStart"/>
      <w:r w:rsidRPr="004451CE">
        <w:rPr>
          <w:lang w:val="es-AR" w:eastAsia="en-US"/>
        </w:rPr>
        <w:t>Vert</w:t>
      </w:r>
      <w:proofErr w:type="spellEnd"/>
      <w:r w:rsidRPr="004451CE">
        <w:rPr>
          <w:lang w:val="es-AR" w:eastAsia="en-US"/>
        </w:rPr>
        <w:t xml:space="preserve">-Gossen VR, Medina-Rodríguez </w:t>
      </w:r>
      <w:proofErr w:type="spellStart"/>
      <w:r w:rsidRPr="004451CE">
        <w:rPr>
          <w:lang w:val="es-AR" w:eastAsia="en-US"/>
        </w:rPr>
        <w:t>JR</w:t>
      </w:r>
      <w:proofErr w:type="spellEnd"/>
      <w:r w:rsidRPr="004451CE">
        <w:rPr>
          <w:lang w:val="es-AR" w:eastAsia="en-US"/>
        </w:rPr>
        <w:t xml:space="preserve">, Ávalos </w:t>
      </w:r>
      <w:proofErr w:type="spellStart"/>
      <w:r w:rsidRPr="004451CE">
        <w:rPr>
          <w:lang w:val="es-AR" w:eastAsia="en-US"/>
        </w:rPr>
        <w:t>DS</w:t>
      </w:r>
      <w:proofErr w:type="spellEnd"/>
      <w:r w:rsidRPr="004451CE">
        <w:rPr>
          <w:lang w:val="es-AR" w:eastAsia="en-US"/>
        </w:rPr>
        <w:t>, Ferreira-Gaona MI, Díaz-</w:t>
      </w:r>
      <w:proofErr w:type="spellStart"/>
      <w:r w:rsidRPr="004451CE">
        <w:rPr>
          <w:lang w:val="es-AR" w:eastAsia="en-US"/>
        </w:rPr>
        <w:t>Reissner</w:t>
      </w:r>
      <w:proofErr w:type="spellEnd"/>
      <w:r w:rsidRPr="004451CE">
        <w:rPr>
          <w:lang w:val="es-AR" w:eastAsia="en-US"/>
        </w:rPr>
        <w:t xml:space="preserve"> CV. La disfunción familiar y su repercusión en el adolescente. Barrio Rosa Mística - Paraguay, 2012. Memorias del Instituto de Investigaciones en Ciencias de la Salud. 2018 [acceso: </w:t>
      </w:r>
      <w:r w:rsidRPr="004451CE">
        <w:rPr>
          <w:lang w:val="es-AR" w:eastAsia="en-US"/>
        </w:rPr>
        <w:lastRenderedPageBreak/>
        <w:t xml:space="preserve">12/03/2022]; 16(3):22-29. Disponible en: </w:t>
      </w:r>
      <w:hyperlink r:id="rId29" w:history="1">
        <w:r w:rsidRPr="004451CE">
          <w:rPr>
            <w:color w:val="0000FF"/>
            <w:u w:val="single"/>
            <w:lang w:val="es-AR" w:eastAsia="en-US"/>
          </w:rPr>
          <w:t>http://scielo.iics.una.py/pdf/iics/v16n3/1812-9528-iics-16-03-22.pdf</w:t>
        </w:r>
      </w:hyperlink>
      <w:r w:rsidRPr="004451CE">
        <w:rPr>
          <w:lang w:val="es-AR" w:eastAsia="en-US"/>
        </w:rPr>
        <w:t xml:space="preserve"> </w:t>
      </w:r>
    </w:p>
    <w:p w14:paraId="4E481564" w14:textId="77777777" w:rsidR="004451CE" w:rsidRPr="004451CE" w:rsidRDefault="004451CE" w:rsidP="004451CE">
      <w:pPr>
        <w:spacing w:line="360" w:lineRule="auto"/>
        <w:rPr>
          <w:lang w:val="es-AR" w:eastAsia="en-US"/>
        </w:rPr>
      </w:pPr>
      <w:r w:rsidRPr="004451CE">
        <w:rPr>
          <w:lang w:val="es-AR" w:eastAsia="en-US"/>
        </w:rPr>
        <w:t xml:space="preserve">9. Saavedra-González AG, Rangel-Torres SL, García-de León Á, Duarte-Ortuño A, Bello-Hernández YE, Infante-Sandoval A. Depresión y funcionalidad familiar en adultos mayores de una unidad de medicina familiar de Guayalejo, Tamaulipas, México. Atención Familiar. 2016 [acceso: 12/03/2022]; 23(1):24-28. Disponible en: </w:t>
      </w:r>
      <w:hyperlink r:id="rId30" w:history="1">
        <w:r w:rsidRPr="004451CE">
          <w:rPr>
            <w:color w:val="0000FF"/>
            <w:u w:val="single"/>
            <w:lang w:val="es-AR" w:eastAsia="en-US"/>
          </w:rPr>
          <w:t>https://www.sciencedirect.com/science/article/pii/S1405887116300736</w:t>
        </w:r>
      </w:hyperlink>
      <w:r w:rsidRPr="004451CE">
        <w:rPr>
          <w:lang w:val="es-AR" w:eastAsia="en-US"/>
        </w:rPr>
        <w:t xml:space="preserve"> </w:t>
      </w:r>
    </w:p>
    <w:p w14:paraId="3E697DD6" w14:textId="77777777" w:rsidR="004451CE" w:rsidRPr="004451CE" w:rsidRDefault="004451CE" w:rsidP="004451CE">
      <w:pPr>
        <w:spacing w:line="360" w:lineRule="auto"/>
        <w:rPr>
          <w:lang w:val="es-AR" w:eastAsia="en-US"/>
        </w:rPr>
      </w:pPr>
      <w:r w:rsidRPr="004451CE">
        <w:rPr>
          <w:lang w:val="es-AR" w:eastAsia="en-US"/>
        </w:rPr>
        <w:t xml:space="preserve">10. Gómez-Bustamante EM, Castillo-Ávila I, Cogollo Z. Predictores de disfunción familiar en adolescentes escolarizados. Revista Colombiana de Psiquiatría. 2013 [acceso: 12/03/2022]; 42(1): 72-80. [acceso: 12/03/2022];42(1):72-80. Disponible en: </w:t>
      </w:r>
      <w:hyperlink r:id="rId31" w:history="1">
        <w:r w:rsidRPr="004451CE">
          <w:rPr>
            <w:color w:val="0000FF"/>
            <w:u w:val="single"/>
            <w:lang w:val="es-AR" w:eastAsia="en-US"/>
          </w:rPr>
          <w:t>https://www.elsevier.es/es-revista-revista-colombiana-psiquiatria-379-avance-resumen-predictores-disfuncion-familiar-adolescentes-escolarizados-S0034745014600883</w:t>
        </w:r>
      </w:hyperlink>
      <w:r w:rsidRPr="004451CE">
        <w:rPr>
          <w:lang w:val="es-AR" w:eastAsia="en-US"/>
        </w:rPr>
        <w:t xml:space="preserve"> </w:t>
      </w:r>
    </w:p>
    <w:p w14:paraId="700D52C8" w14:textId="77777777" w:rsidR="004451CE" w:rsidRPr="004451CE" w:rsidRDefault="004451CE" w:rsidP="004451CE">
      <w:pPr>
        <w:spacing w:line="360" w:lineRule="auto"/>
        <w:rPr>
          <w:lang w:val="en-US" w:eastAsia="en-US"/>
        </w:rPr>
      </w:pPr>
      <w:r w:rsidRPr="004451CE">
        <w:rPr>
          <w:lang w:val="es-AR" w:eastAsia="en-US"/>
        </w:rPr>
        <w:t xml:space="preserve">11. Valladares-Garrido </w:t>
      </w:r>
      <w:proofErr w:type="spellStart"/>
      <w:r w:rsidRPr="004451CE">
        <w:rPr>
          <w:lang w:val="es-AR" w:eastAsia="en-US"/>
        </w:rPr>
        <w:t>MJ</w:t>
      </w:r>
      <w:proofErr w:type="spellEnd"/>
      <w:r w:rsidRPr="004451CE">
        <w:rPr>
          <w:lang w:val="es-AR" w:eastAsia="en-US"/>
        </w:rPr>
        <w:t xml:space="preserve">, </w:t>
      </w:r>
      <w:proofErr w:type="spellStart"/>
      <w:r w:rsidRPr="004451CE">
        <w:rPr>
          <w:lang w:val="es-AR" w:eastAsia="en-US"/>
        </w:rPr>
        <w:t>Ccosco</w:t>
      </w:r>
      <w:proofErr w:type="spellEnd"/>
      <w:r w:rsidRPr="004451CE">
        <w:rPr>
          <w:lang w:val="es-AR" w:eastAsia="en-US"/>
        </w:rPr>
        <w:t xml:space="preserve">-Blas LM, </w:t>
      </w:r>
      <w:proofErr w:type="spellStart"/>
      <w:r w:rsidRPr="004451CE">
        <w:rPr>
          <w:lang w:val="es-AR" w:eastAsia="en-US"/>
        </w:rPr>
        <w:t>Gutierrez</w:t>
      </w:r>
      <w:proofErr w:type="spellEnd"/>
      <w:r w:rsidRPr="004451CE">
        <w:rPr>
          <w:lang w:val="es-AR" w:eastAsia="en-US"/>
        </w:rPr>
        <w:t xml:space="preserve"> P, Ramos-</w:t>
      </w:r>
      <w:proofErr w:type="spellStart"/>
      <w:r w:rsidRPr="004451CE">
        <w:rPr>
          <w:lang w:val="es-AR" w:eastAsia="en-US"/>
        </w:rPr>
        <w:t>Rupay</w:t>
      </w:r>
      <w:proofErr w:type="spellEnd"/>
      <w:r w:rsidRPr="004451CE">
        <w:rPr>
          <w:lang w:val="es-AR" w:eastAsia="en-US"/>
        </w:rPr>
        <w:t xml:space="preserve"> </w:t>
      </w:r>
      <w:proofErr w:type="spellStart"/>
      <w:r w:rsidRPr="004451CE">
        <w:rPr>
          <w:lang w:val="es-AR" w:eastAsia="en-US"/>
        </w:rPr>
        <w:t>PJ</w:t>
      </w:r>
      <w:proofErr w:type="spellEnd"/>
      <w:r w:rsidRPr="004451CE">
        <w:rPr>
          <w:lang w:val="es-AR" w:eastAsia="en-US"/>
        </w:rPr>
        <w:t xml:space="preserve">, Rivera-Pinto AX, Velarde-Tello AS, et al. </w:t>
      </w:r>
      <w:r w:rsidRPr="004451CE">
        <w:rPr>
          <w:lang w:val="en-US" w:eastAsia="en-US"/>
        </w:rPr>
        <w:t>Factors Associated with Accessibility in Seven Peruvian Primary Health Care Facilities. Pak J Med Health Sci. 2021 [</w:t>
      </w:r>
      <w:proofErr w:type="spellStart"/>
      <w:r w:rsidRPr="004451CE">
        <w:rPr>
          <w:lang w:val="en-US" w:eastAsia="en-US"/>
        </w:rPr>
        <w:t>acceso</w:t>
      </w:r>
      <w:proofErr w:type="spellEnd"/>
      <w:r w:rsidRPr="004451CE">
        <w:rPr>
          <w:lang w:val="en-US" w:eastAsia="en-US"/>
        </w:rPr>
        <w:t xml:space="preserve">: 09/04/2022];15(8):2301-2306. Disponible </w:t>
      </w:r>
      <w:proofErr w:type="spellStart"/>
      <w:r w:rsidRPr="004451CE">
        <w:rPr>
          <w:lang w:val="en-US" w:eastAsia="en-US"/>
        </w:rPr>
        <w:t>en</w:t>
      </w:r>
      <w:proofErr w:type="spellEnd"/>
      <w:r w:rsidRPr="004451CE">
        <w:rPr>
          <w:lang w:val="en-US" w:eastAsia="en-US"/>
        </w:rPr>
        <w:t xml:space="preserve">: </w:t>
      </w:r>
      <w:hyperlink r:id="rId32" w:history="1">
        <w:r w:rsidRPr="004451CE">
          <w:rPr>
            <w:color w:val="0000FF"/>
            <w:u w:val="single"/>
            <w:lang w:val="en-US" w:eastAsia="en-US"/>
          </w:rPr>
          <w:t>https://pjmhsonline.com/2021/august/2301.pdf</w:t>
        </w:r>
      </w:hyperlink>
      <w:r w:rsidRPr="004451CE">
        <w:rPr>
          <w:lang w:val="en-US" w:eastAsia="en-US"/>
        </w:rPr>
        <w:t xml:space="preserve"> </w:t>
      </w:r>
    </w:p>
    <w:p w14:paraId="4A2DACE7" w14:textId="77777777" w:rsidR="004451CE" w:rsidRPr="004451CE" w:rsidRDefault="004451CE" w:rsidP="004451CE">
      <w:pPr>
        <w:spacing w:line="360" w:lineRule="auto"/>
        <w:rPr>
          <w:lang w:val="es-AR" w:eastAsia="en-US"/>
        </w:rPr>
      </w:pPr>
      <w:r w:rsidRPr="004451CE">
        <w:rPr>
          <w:lang w:val="es-AR" w:eastAsia="en-US"/>
        </w:rPr>
        <w:t xml:space="preserve">12. Castilla-Cabello H, Caycho-Rodríguez C, León </w:t>
      </w:r>
      <w:proofErr w:type="spellStart"/>
      <w:r w:rsidRPr="004451CE">
        <w:rPr>
          <w:lang w:val="es-AR" w:eastAsia="en-US"/>
        </w:rPr>
        <w:t>JL</w:t>
      </w:r>
      <w:proofErr w:type="spellEnd"/>
      <w:r w:rsidRPr="004451CE">
        <w:rPr>
          <w:lang w:val="es-AR" w:eastAsia="en-US"/>
        </w:rPr>
        <w:t xml:space="preserve">, Barboza </w:t>
      </w:r>
      <w:proofErr w:type="spellStart"/>
      <w:r w:rsidRPr="004451CE">
        <w:rPr>
          <w:lang w:val="es-AR" w:eastAsia="en-US"/>
        </w:rPr>
        <w:t>MP</w:t>
      </w:r>
      <w:proofErr w:type="spellEnd"/>
      <w:r w:rsidRPr="004451CE">
        <w:rPr>
          <w:lang w:val="es-AR" w:eastAsia="en-US"/>
        </w:rPr>
        <w:t xml:space="preserve">, Valles MD. Análisis factorial confirmatorio de la escala de percepción del funcionamiento familiar de </w:t>
      </w:r>
      <w:proofErr w:type="spellStart"/>
      <w:r w:rsidRPr="004451CE">
        <w:rPr>
          <w:lang w:val="es-AR" w:eastAsia="en-US"/>
        </w:rPr>
        <w:t>Smilkstein</w:t>
      </w:r>
      <w:proofErr w:type="spellEnd"/>
      <w:r w:rsidRPr="004451CE">
        <w:rPr>
          <w:lang w:val="es-AR" w:eastAsia="en-US"/>
        </w:rPr>
        <w:t xml:space="preserve"> en adolescentes peruanos. Salud &amp; Sociedad. 2015 [acceso: 09/04/2022];6(2):140-153. Disponible en: </w:t>
      </w:r>
      <w:hyperlink r:id="rId33" w:history="1">
        <w:r w:rsidRPr="004451CE">
          <w:rPr>
            <w:color w:val="0000FF"/>
            <w:u w:val="single"/>
            <w:lang w:val="es-AR" w:eastAsia="en-US"/>
          </w:rPr>
          <w:t>https://www.redalyc.org/pdf/4397/439742867003.pdf</w:t>
        </w:r>
      </w:hyperlink>
      <w:r w:rsidRPr="004451CE">
        <w:rPr>
          <w:lang w:val="es-AR" w:eastAsia="en-US"/>
        </w:rPr>
        <w:t xml:space="preserve"> </w:t>
      </w:r>
    </w:p>
    <w:p w14:paraId="554F09A3" w14:textId="77777777" w:rsidR="004451CE" w:rsidRPr="004451CE" w:rsidRDefault="004451CE" w:rsidP="004451CE">
      <w:pPr>
        <w:spacing w:line="360" w:lineRule="auto"/>
        <w:rPr>
          <w:lang w:val="es-AR" w:eastAsia="en-US"/>
        </w:rPr>
      </w:pPr>
      <w:r w:rsidRPr="004451CE">
        <w:rPr>
          <w:lang w:val="es-AR" w:eastAsia="en-US"/>
        </w:rPr>
        <w:t xml:space="preserve">13. Girón-De La Cruz MS, Robles-Hurtado </w:t>
      </w:r>
      <w:proofErr w:type="spellStart"/>
      <w:r w:rsidRPr="004451CE">
        <w:rPr>
          <w:lang w:val="es-AR" w:eastAsia="en-US"/>
        </w:rPr>
        <w:t>IJ</w:t>
      </w:r>
      <w:proofErr w:type="spellEnd"/>
      <w:r w:rsidRPr="004451CE">
        <w:rPr>
          <w:lang w:val="es-AR" w:eastAsia="en-US"/>
        </w:rPr>
        <w:t>, Santiago-</w:t>
      </w:r>
      <w:proofErr w:type="spellStart"/>
      <w:r w:rsidRPr="004451CE">
        <w:rPr>
          <w:lang w:val="es-AR" w:eastAsia="en-US"/>
        </w:rPr>
        <w:t>Yalan</w:t>
      </w:r>
      <w:proofErr w:type="spellEnd"/>
      <w:r w:rsidRPr="004451CE">
        <w:rPr>
          <w:lang w:val="es-AR" w:eastAsia="en-US"/>
        </w:rPr>
        <w:t xml:space="preserve"> MD. Funcionalidad familiar en familias de pacientes con tuberculosis en dos establecimientos de salud de la Microred Los Olivos – 2013. [Tesis de grado]. Lima: Universidad de Ciencias y Humanidades; 2015 [acceso: 14/03/2022]. Disponible en:  </w:t>
      </w:r>
      <w:hyperlink r:id="rId34" w:history="1">
        <w:r w:rsidRPr="004451CE">
          <w:rPr>
            <w:color w:val="0000FF"/>
            <w:u w:val="single"/>
            <w:lang w:val="es-AR" w:eastAsia="en-US"/>
          </w:rPr>
          <w:t>https://repositorio.uch.edu.pe/handle/20.500.12872/51</w:t>
        </w:r>
      </w:hyperlink>
      <w:r w:rsidRPr="004451CE">
        <w:rPr>
          <w:lang w:val="es-AR" w:eastAsia="en-US"/>
        </w:rPr>
        <w:t xml:space="preserve"> </w:t>
      </w:r>
    </w:p>
    <w:p w14:paraId="54318562" w14:textId="77777777" w:rsidR="004451CE" w:rsidRPr="004451CE" w:rsidRDefault="004451CE" w:rsidP="004451CE">
      <w:pPr>
        <w:spacing w:line="360" w:lineRule="auto"/>
        <w:rPr>
          <w:lang w:val="es-AR" w:eastAsia="en-US"/>
        </w:rPr>
      </w:pPr>
      <w:r w:rsidRPr="004451CE">
        <w:rPr>
          <w:lang w:val="es-AR" w:eastAsia="en-US"/>
        </w:rPr>
        <w:t xml:space="preserve">14. Alonso-Castillo MM, </w:t>
      </w:r>
      <w:proofErr w:type="spellStart"/>
      <w:r w:rsidRPr="004451CE">
        <w:rPr>
          <w:lang w:val="es-AR" w:eastAsia="en-US"/>
        </w:rPr>
        <w:t>Yañez</w:t>
      </w:r>
      <w:proofErr w:type="spellEnd"/>
      <w:r w:rsidRPr="004451CE">
        <w:rPr>
          <w:lang w:val="es-AR" w:eastAsia="en-US"/>
        </w:rPr>
        <w:t xml:space="preserve">-Lozano A, Armendáriz-García </w:t>
      </w:r>
      <w:proofErr w:type="spellStart"/>
      <w:r w:rsidRPr="004451CE">
        <w:rPr>
          <w:lang w:val="es-AR" w:eastAsia="en-US"/>
        </w:rPr>
        <w:t>NA</w:t>
      </w:r>
      <w:proofErr w:type="spellEnd"/>
      <w:r w:rsidRPr="004451CE">
        <w:rPr>
          <w:lang w:val="es-AR" w:eastAsia="en-US"/>
        </w:rPr>
        <w:t xml:space="preserve">. Funcionalidad familiar y consumo de alcohol en adolescentes de secundaria. Salud y Drogas. 2017 [acceso: 09/04/2022]; 17(1):87-96. Disponible en: </w:t>
      </w:r>
      <w:hyperlink r:id="rId35" w:history="1">
        <w:r w:rsidRPr="004451CE">
          <w:rPr>
            <w:color w:val="0000FF"/>
            <w:u w:val="single"/>
            <w:lang w:val="es-AR" w:eastAsia="en-US"/>
          </w:rPr>
          <w:t>https://www.redalyc.org/pdf/839/83949782009.pdf</w:t>
        </w:r>
      </w:hyperlink>
      <w:r w:rsidRPr="004451CE">
        <w:rPr>
          <w:lang w:val="es-AR" w:eastAsia="en-US"/>
        </w:rPr>
        <w:t xml:space="preserve"> </w:t>
      </w:r>
    </w:p>
    <w:p w14:paraId="0AD6F245" w14:textId="77777777" w:rsidR="004451CE" w:rsidRPr="004451CE" w:rsidRDefault="004451CE" w:rsidP="004451CE">
      <w:pPr>
        <w:spacing w:line="360" w:lineRule="auto"/>
        <w:rPr>
          <w:lang w:val="en-US" w:eastAsia="en-US"/>
        </w:rPr>
      </w:pPr>
      <w:r w:rsidRPr="004451CE">
        <w:rPr>
          <w:lang w:val="en-US" w:eastAsia="en-US"/>
        </w:rPr>
        <w:lastRenderedPageBreak/>
        <w:t>15. Zhang Y. Family functioning in the context of an adult family member with illness: A concept analysis. Journal of Clinical Nursing. 2018 [</w:t>
      </w:r>
      <w:proofErr w:type="spellStart"/>
      <w:r w:rsidRPr="004451CE">
        <w:rPr>
          <w:lang w:val="en-US" w:eastAsia="en-US"/>
        </w:rPr>
        <w:t>acceso</w:t>
      </w:r>
      <w:proofErr w:type="spellEnd"/>
      <w:r w:rsidRPr="004451CE">
        <w:rPr>
          <w:lang w:val="en-US" w:eastAsia="en-US"/>
        </w:rPr>
        <w:t xml:space="preserve">: 09/04/2022];27(15-16):3205-24. Disponible </w:t>
      </w:r>
      <w:proofErr w:type="spellStart"/>
      <w:r w:rsidRPr="004451CE">
        <w:rPr>
          <w:lang w:val="en-US" w:eastAsia="en-US"/>
        </w:rPr>
        <w:t>en</w:t>
      </w:r>
      <w:proofErr w:type="spellEnd"/>
      <w:r w:rsidRPr="004451CE">
        <w:rPr>
          <w:lang w:val="en-US" w:eastAsia="en-US"/>
        </w:rPr>
        <w:t xml:space="preserve">: </w:t>
      </w:r>
      <w:hyperlink r:id="rId36" w:history="1">
        <w:r w:rsidRPr="004451CE">
          <w:rPr>
            <w:color w:val="0000FF"/>
            <w:u w:val="single"/>
            <w:lang w:val="en-US" w:eastAsia="en-US"/>
          </w:rPr>
          <w:t>https://www.ncbi.nlm.nih.gov/pmc/articles/PMC6105391/</w:t>
        </w:r>
      </w:hyperlink>
      <w:r w:rsidRPr="004451CE">
        <w:rPr>
          <w:lang w:val="en-US" w:eastAsia="en-US"/>
        </w:rPr>
        <w:t xml:space="preserve"> </w:t>
      </w:r>
    </w:p>
    <w:p w14:paraId="73190998" w14:textId="77777777" w:rsidR="004451CE" w:rsidRPr="004451CE" w:rsidRDefault="004451CE" w:rsidP="004451CE">
      <w:pPr>
        <w:spacing w:line="360" w:lineRule="auto"/>
        <w:rPr>
          <w:lang w:val="en-US" w:eastAsia="en-US"/>
        </w:rPr>
      </w:pPr>
      <w:r w:rsidRPr="004451CE">
        <w:rPr>
          <w:lang w:val="en-US" w:eastAsia="en-US"/>
        </w:rPr>
        <w:t xml:space="preserve">16. Grant CJ, Doig LF, Everson J, Foster N, Doig CJ. Impact of Patient and Family Involvement in Long-Term Outcomes. Crit Care </w:t>
      </w:r>
      <w:proofErr w:type="spellStart"/>
      <w:r w:rsidRPr="004451CE">
        <w:rPr>
          <w:lang w:val="en-US" w:eastAsia="en-US"/>
        </w:rPr>
        <w:t>Nurs</w:t>
      </w:r>
      <w:proofErr w:type="spellEnd"/>
      <w:r w:rsidRPr="004451CE">
        <w:rPr>
          <w:lang w:val="en-US" w:eastAsia="en-US"/>
        </w:rPr>
        <w:t xml:space="preserve"> Clin North Am. 2020 [</w:t>
      </w:r>
      <w:proofErr w:type="spellStart"/>
      <w:r w:rsidRPr="004451CE">
        <w:rPr>
          <w:lang w:val="en-US" w:eastAsia="en-US"/>
        </w:rPr>
        <w:t>acceso</w:t>
      </w:r>
      <w:proofErr w:type="spellEnd"/>
      <w:r w:rsidRPr="004451CE">
        <w:rPr>
          <w:lang w:val="en-US" w:eastAsia="en-US"/>
        </w:rPr>
        <w:t xml:space="preserve">: 20/04/2022];32(2):227-42. Disponible </w:t>
      </w:r>
      <w:proofErr w:type="spellStart"/>
      <w:r w:rsidRPr="004451CE">
        <w:rPr>
          <w:lang w:val="en-US" w:eastAsia="en-US"/>
        </w:rPr>
        <w:t>en</w:t>
      </w:r>
      <w:proofErr w:type="spellEnd"/>
      <w:r w:rsidRPr="004451CE">
        <w:rPr>
          <w:lang w:val="en-US" w:eastAsia="en-US"/>
        </w:rPr>
        <w:t xml:space="preserve">: </w:t>
      </w:r>
      <w:hyperlink r:id="rId37" w:history="1">
        <w:r w:rsidRPr="004451CE">
          <w:rPr>
            <w:color w:val="0000FF"/>
            <w:u w:val="single"/>
            <w:lang w:val="en-US" w:eastAsia="en-US"/>
          </w:rPr>
          <w:t>https://pubmed.ncbi.nlm.nih.gov/32402318/</w:t>
        </w:r>
      </w:hyperlink>
      <w:r w:rsidRPr="004451CE">
        <w:rPr>
          <w:lang w:val="en-US" w:eastAsia="en-US"/>
        </w:rPr>
        <w:t xml:space="preserve"> </w:t>
      </w:r>
    </w:p>
    <w:p w14:paraId="229205D4" w14:textId="77777777" w:rsidR="004451CE" w:rsidRPr="004451CE" w:rsidRDefault="004451CE" w:rsidP="004451CE">
      <w:pPr>
        <w:spacing w:line="360" w:lineRule="auto"/>
        <w:rPr>
          <w:lang w:val="es-AR" w:eastAsia="en-US"/>
        </w:rPr>
      </w:pPr>
      <w:r w:rsidRPr="004451CE">
        <w:rPr>
          <w:lang w:val="es-AR" w:eastAsia="en-US"/>
        </w:rPr>
        <w:t xml:space="preserve">17. Torres </w:t>
      </w:r>
      <w:proofErr w:type="spellStart"/>
      <w:r w:rsidRPr="004451CE">
        <w:rPr>
          <w:lang w:val="es-AR" w:eastAsia="en-US"/>
        </w:rPr>
        <w:t>ILR</w:t>
      </w:r>
      <w:proofErr w:type="spellEnd"/>
      <w:r w:rsidRPr="004451CE">
        <w:rPr>
          <w:lang w:val="es-AR" w:eastAsia="en-US"/>
        </w:rPr>
        <w:t xml:space="preserve">, De Jesús Gil Herrera R. Estrategias de Atención Primaria en salud en cinco países latinoamericanos. Archivos Venezolanos de Farmacología y Terapéutica. 2021 [acceso: 23/04/2022]; 40(7):711-719. </w:t>
      </w:r>
      <w:proofErr w:type="spellStart"/>
      <w:r w:rsidRPr="004451CE">
        <w:rPr>
          <w:lang w:val="es-AR" w:eastAsia="en-US"/>
        </w:rPr>
        <w:t>Diponible</w:t>
      </w:r>
      <w:proofErr w:type="spellEnd"/>
      <w:r w:rsidRPr="004451CE">
        <w:rPr>
          <w:lang w:val="es-AR" w:eastAsia="en-US"/>
        </w:rPr>
        <w:t xml:space="preserve"> en: </w:t>
      </w:r>
      <w:hyperlink r:id="rId38" w:history="1">
        <w:r w:rsidRPr="004451CE">
          <w:rPr>
            <w:color w:val="0000FF"/>
            <w:u w:val="single"/>
            <w:lang w:val="es-AR" w:eastAsia="en-US"/>
          </w:rPr>
          <w:t>https://www.revistaavft.com/images/revistas/2021/avft_7_2021/9_estrategias_atencion_primaria.pdf</w:t>
        </w:r>
      </w:hyperlink>
      <w:r w:rsidRPr="004451CE">
        <w:rPr>
          <w:lang w:val="es-AR" w:eastAsia="en-US"/>
        </w:rPr>
        <w:t xml:space="preserve"> </w:t>
      </w:r>
    </w:p>
    <w:p w14:paraId="56F6685C" w14:textId="77777777" w:rsidR="004451CE" w:rsidRPr="004451CE" w:rsidRDefault="004451CE" w:rsidP="004451CE">
      <w:pPr>
        <w:spacing w:line="360" w:lineRule="auto"/>
        <w:rPr>
          <w:lang w:val="en-US" w:eastAsia="en-US"/>
        </w:rPr>
      </w:pPr>
      <w:r w:rsidRPr="004451CE">
        <w:rPr>
          <w:lang w:val="en-US" w:eastAsia="en-US"/>
        </w:rPr>
        <w:t xml:space="preserve">18. </w:t>
      </w:r>
      <w:proofErr w:type="spellStart"/>
      <w:r w:rsidRPr="004451CE">
        <w:rPr>
          <w:lang w:val="en-US" w:eastAsia="en-US"/>
        </w:rPr>
        <w:t>Zolnikov</w:t>
      </w:r>
      <w:proofErr w:type="spellEnd"/>
      <w:r w:rsidRPr="004451CE">
        <w:rPr>
          <w:lang w:val="en-US" w:eastAsia="en-US"/>
        </w:rPr>
        <w:t xml:space="preserve"> TR, Blodgett-</w:t>
      </w:r>
      <w:proofErr w:type="spellStart"/>
      <w:r w:rsidRPr="004451CE">
        <w:rPr>
          <w:lang w:val="en-US" w:eastAsia="en-US"/>
        </w:rPr>
        <w:t>Salafia</w:t>
      </w:r>
      <w:proofErr w:type="spellEnd"/>
      <w:r w:rsidRPr="004451CE">
        <w:rPr>
          <w:lang w:val="en-US" w:eastAsia="en-US"/>
        </w:rPr>
        <w:t xml:space="preserve"> E. Access to water provides economic relief through enhanced relationships in Kenya. J Public Health (</w:t>
      </w:r>
      <w:proofErr w:type="spellStart"/>
      <w:r w:rsidRPr="004451CE">
        <w:rPr>
          <w:lang w:val="en-US" w:eastAsia="en-US"/>
        </w:rPr>
        <w:t>Oxf</w:t>
      </w:r>
      <w:proofErr w:type="spellEnd"/>
      <w:r w:rsidRPr="004451CE">
        <w:rPr>
          <w:lang w:val="en-US" w:eastAsia="en-US"/>
        </w:rPr>
        <w:t>). 2017 [</w:t>
      </w:r>
      <w:proofErr w:type="spellStart"/>
      <w:r w:rsidRPr="004451CE">
        <w:rPr>
          <w:lang w:val="en-US" w:eastAsia="en-US"/>
        </w:rPr>
        <w:t>acceso</w:t>
      </w:r>
      <w:proofErr w:type="spellEnd"/>
      <w:r w:rsidRPr="004451CE">
        <w:rPr>
          <w:lang w:val="en-US" w:eastAsia="en-US"/>
        </w:rPr>
        <w:t xml:space="preserve">: 23/04/2022];39(1):14-9. Disponible </w:t>
      </w:r>
      <w:proofErr w:type="spellStart"/>
      <w:r w:rsidRPr="004451CE">
        <w:rPr>
          <w:lang w:val="en-US" w:eastAsia="en-US"/>
        </w:rPr>
        <w:t>en</w:t>
      </w:r>
      <w:proofErr w:type="spellEnd"/>
      <w:r w:rsidRPr="004451CE">
        <w:rPr>
          <w:lang w:val="en-US" w:eastAsia="en-US"/>
        </w:rPr>
        <w:t xml:space="preserve">: </w:t>
      </w:r>
      <w:hyperlink r:id="rId39" w:history="1">
        <w:r w:rsidRPr="004451CE">
          <w:rPr>
            <w:color w:val="0000FF"/>
            <w:u w:val="single"/>
            <w:lang w:val="en-US" w:eastAsia="en-US"/>
          </w:rPr>
          <w:t>https://pubmed.ncbi.nlm.nih.gov/26819146/</w:t>
        </w:r>
      </w:hyperlink>
      <w:r w:rsidRPr="004451CE">
        <w:rPr>
          <w:lang w:val="en-US" w:eastAsia="en-US"/>
        </w:rPr>
        <w:t xml:space="preserve"> </w:t>
      </w:r>
    </w:p>
    <w:p w14:paraId="460E832A" w14:textId="77777777" w:rsidR="004451CE" w:rsidRPr="004451CE" w:rsidRDefault="004451CE" w:rsidP="004451CE">
      <w:pPr>
        <w:spacing w:line="360" w:lineRule="auto"/>
        <w:rPr>
          <w:lang w:val="es-AR" w:eastAsia="en-US"/>
        </w:rPr>
      </w:pPr>
      <w:r w:rsidRPr="004451CE">
        <w:rPr>
          <w:lang w:val="en-US" w:eastAsia="en-US"/>
        </w:rPr>
        <w:t xml:space="preserve">19. </w:t>
      </w:r>
      <w:proofErr w:type="spellStart"/>
      <w:r w:rsidRPr="004451CE">
        <w:rPr>
          <w:lang w:val="en-US" w:eastAsia="en-US"/>
        </w:rPr>
        <w:t>Bisung</w:t>
      </w:r>
      <w:proofErr w:type="spellEnd"/>
      <w:r w:rsidRPr="004451CE">
        <w:rPr>
          <w:lang w:val="en-US" w:eastAsia="en-US"/>
        </w:rPr>
        <w:t xml:space="preserve"> E, Elliott </w:t>
      </w:r>
      <w:proofErr w:type="spellStart"/>
      <w:r w:rsidRPr="004451CE">
        <w:rPr>
          <w:lang w:val="en-US" w:eastAsia="en-US"/>
        </w:rPr>
        <w:t>SJ</w:t>
      </w:r>
      <w:proofErr w:type="spellEnd"/>
      <w:r w:rsidRPr="004451CE">
        <w:rPr>
          <w:lang w:val="en-US" w:eastAsia="en-US"/>
        </w:rPr>
        <w:t xml:space="preserve">. Improvement in access to safe water, household water insecurity, and time savings: A cross-sectional retrospective study in Kenya. </w:t>
      </w:r>
      <w:proofErr w:type="spellStart"/>
      <w:r w:rsidRPr="004451CE">
        <w:rPr>
          <w:lang w:val="es-AR" w:eastAsia="en-US"/>
        </w:rPr>
        <w:t>Soc</w:t>
      </w:r>
      <w:proofErr w:type="spellEnd"/>
      <w:r w:rsidRPr="004451CE">
        <w:rPr>
          <w:lang w:val="es-AR" w:eastAsia="en-US"/>
        </w:rPr>
        <w:t xml:space="preserve"> </w:t>
      </w:r>
      <w:proofErr w:type="spellStart"/>
      <w:r w:rsidRPr="004451CE">
        <w:rPr>
          <w:lang w:val="es-AR" w:eastAsia="en-US"/>
        </w:rPr>
        <w:t>Sci</w:t>
      </w:r>
      <w:proofErr w:type="spellEnd"/>
      <w:r w:rsidRPr="004451CE">
        <w:rPr>
          <w:lang w:val="es-AR" w:eastAsia="en-US"/>
        </w:rPr>
        <w:t xml:space="preserve"> </w:t>
      </w:r>
      <w:proofErr w:type="spellStart"/>
      <w:r w:rsidRPr="004451CE">
        <w:rPr>
          <w:lang w:val="es-AR" w:eastAsia="en-US"/>
        </w:rPr>
        <w:t>Med</w:t>
      </w:r>
      <w:proofErr w:type="spellEnd"/>
      <w:r w:rsidRPr="004451CE">
        <w:rPr>
          <w:lang w:val="es-AR" w:eastAsia="en-US"/>
        </w:rPr>
        <w:t xml:space="preserve">. 2018 [acceso: 23/04/2022]; 200:1-8. Disponible en: </w:t>
      </w:r>
      <w:hyperlink r:id="rId40" w:history="1">
        <w:r w:rsidRPr="004451CE">
          <w:rPr>
            <w:color w:val="0000FF"/>
            <w:u w:val="single"/>
            <w:lang w:val="es-AR" w:eastAsia="en-US"/>
          </w:rPr>
          <w:t>https://www.sciencedirect.com/science/article/abs/pii/S0277953618300017</w:t>
        </w:r>
      </w:hyperlink>
      <w:r w:rsidRPr="004451CE">
        <w:rPr>
          <w:lang w:val="es-AR" w:eastAsia="en-US"/>
        </w:rPr>
        <w:t xml:space="preserve"> </w:t>
      </w:r>
    </w:p>
    <w:p w14:paraId="35CAB1C2" w14:textId="77777777" w:rsidR="004451CE" w:rsidRPr="004451CE" w:rsidRDefault="004451CE" w:rsidP="004451CE">
      <w:pPr>
        <w:spacing w:line="360" w:lineRule="auto"/>
        <w:rPr>
          <w:lang w:val="es-AR" w:eastAsia="en-US"/>
        </w:rPr>
      </w:pPr>
      <w:r w:rsidRPr="004451CE">
        <w:rPr>
          <w:lang w:val="es-AR" w:eastAsia="en-US"/>
        </w:rPr>
        <w:t xml:space="preserve">20. </w:t>
      </w:r>
      <w:proofErr w:type="spellStart"/>
      <w:r w:rsidRPr="004451CE">
        <w:rPr>
          <w:lang w:val="es-AR" w:eastAsia="en-US"/>
        </w:rPr>
        <w:t>Ramirez</w:t>
      </w:r>
      <w:proofErr w:type="spellEnd"/>
      <w:r w:rsidRPr="004451CE">
        <w:rPr>
          <w:lang w:val="es-AR" w:eastAsia="en-US"/>
        </w:rPr>
        <w:t xml:space="preserve">-Ortiz D, </w:t>
      </w:r>
      <w:proofErr w:type="spellStart"/>
      <w:r w:rsidRPr="004451CE">
        <w:rPr>
          <w:lang w:val="es-AR" w:eastAsia="en-US"/>
        </w:rPr>
        <w:t>Zolnikov</w:t>
      </w:r>
      <w:proofErr w:type="spellEnd"/>
      <w:r w:rsidRPr="004451CE">
        <w:rPr>
          <w:lang w:val="es-AR" w:eastAsia="en-US"/>
        </w:rPr>
        <w:t xml:space="preserve"> </w:t>
      </w:r>
      <w:proofErr w:type="spellStart"/>
      <w:r w:rsidRPr="004451CE">
        <w:rPr>
          <w:lang w:val="es-AR" w:eastAsia="en-US"/>
        </w:rPr>
        <w:t>TR</w:t>
      </w:r>
      <w:proofErr w:type="spellEnd"/>
      <w:r w:rsidRPr="004451CE">
        <w:rPr>
          <w:lang w:val="es-AR" w:eastAsia="en-US"/>
        </w:rPr>
        <w:t xml:space="preserve">. </w:t>
      </w:r>
      <w:r w:rsidRPr="004451CE">
        <w:rPr>
          <w:lang w:val="en-US" w:eastAsia="en-US"/>
        </w:rPr>
        <w:t xml:space="preserve">A Qualitative Study on the Interconnected Nature of HIV, Water, and Family. </w:t>
      </w:r>
      <w:proofErr w:type="spellStart"/>
      <w:r w:rsidRPr="004451CE">
        <w:rPr>
          <w:lang w:val="es-AR" w:eastAsia="en-US"/>
        </w:rPr>
        <w:t>AIDS</w:t>
      </w:r>
      <w:proofErr w:type="spellEnd"/>
      <w:r w:rsidRPr="004451CE">
        <w:rPr>
          <w:lang w:val="es-AR" w:eastAsia="en-US"/>
        </w:rPr>
        <w:t xml:space="preserve"> </w:t>
      </w:r>
      <w:proofErr w:type="spellStart"/>
      <w:r w:rsidRPr="004451CE">
        <w:rPr>
          <w:lang w:val="es-AR" w:eastAsia="en-US"/>
        </w:rPr>
        <w:t>Behav</w:t>
      </w:r>
      <w:proofErr w:type="spellEnd"/>
      <w:r w:rsidRPr="004451CE">
        <w:rPr>
          <w:lang w:val="es-AR" w:eastAsia="en-US"/>
        </w:rPr>
        <w:t xml:space="preserve">. 2017 [acceso: 23/04/2022]; 21(3):803-11. Disponible en: </w:t>
      </w:r>
      <w:hyperlink r:id="rId41" w:history="1">
        <w:r w:rsidRPr="004451CE">
          <w:rPr>
            <w:color w:val="0000FF"/>
            <w:u w:val="single"/>
            <w:lang w:val="es-AR" w:eastAsia="en-US"/>
          </w:rPr>
          <w:t>https://pubmed.ncbi.nlm.nih.gov/26874847/</w:t>
        </w:r>
      </w:hyperlink>
      <w:r w:rsidRPr="004451CE">
        <w:rPr>
          <w:lang w:val="es-AR" w:eastAsia="en-US"/>
        </w:rPr>
        <w:t xml:space="preserve"> </w:t>
      </w:r>
    </w:p>
    <w:p w14:paraId="3C122E9A" w14:textId="77777777" w:rsidR="004451CE" w:rsidRPr="004451CE" w:rsidRDefault="004451CE" w:rsidP="004451CE">
      <w:pPr>
        <w:spacing w:line="360" w:lineRule="auto"/>
        <w:rPr>
          <w:lang w:val="es-AR" w:eastAsia="en-US"/>
        </w:rPr>
      </w:pPr>
      <w:r w:rsidRPr="004451CE">
        <w:rPr>
          <w:lang w:val="es-AR" w:eastAsia="en-US"/>
        </w:rPr>
        <w:t xml:space="preserve">21. Ramos Cedano E. Calidad de vida relacionada a la salud y funcionamiento familiar en una población afectada por la inundación durante el fenómeno del Niño del 2017, Piura-Perú. [Tesis de grado]. Piura: Universidad Nacional de Piura; 2019 [acceso: 14/03/2022]. Disponible en: </w:t>
      </w:r>
      <w:hyperlink r:id="rId42" w:history="1">
        <w:r w:rsidRPr="004451CE">
          <w:rPr>
            <w:color w:val="0000FF"/>
            <w:u w:val="single"/>
            <w:lang w:val="es-AR" w:eastAsia="en-US"/>
          </w:rPr>
          <w:t>http://repositorio.unp.edu.pe/handle/UNP/1642</w:t>
        </w:r>
      </w:hyperlink>
      <w:r w:rsidRPr="004451CE">
        <w:rPr>
          <w:lang w:val="es-AR" w:eastAsia="en-US"/>
        </w:rPr>
        <w:t xml:space="preserve"> </w:t>
      </w:r>
    </w:p>
    <w:p w14:paraId="20929C98" w14:textId="77777777" w:rsidR="004451CE" w:rsidRPr="004451CE" w:rsidRDefault="004451CE" w:rsidP="004451CE">
      <w:pPr>
        <w:spacing w:line="360" w:lineRule="auto"/>
        <w:rPr>
          <w:lang w:val="es-AR" w:eastAsia="en-US"/>
        </w:rPr>
      </w:pPr>
      <w:r w:rsidRPr="004451CE">
        <w:rPr>
          <w:lang w:val="es-AR" w:eastAsia="en-US"/>
        </w:rPr>
        <w:t xml:space="preserve">22. Ruiz CD, Guzmán RC, Valencia EJ. Funcionalidad familiar como política de asistencia social en México. Revista de Ciencias Sociales. 2020 [acceso: 29/04/2022]; 26(2):43-55. Disponible en: </w:t>
      </w:r>
      <w:hyperlink r:id="rId43" w:history="1">
        <w:r w:rsidRPr="004451CE">
          <w:rPr>
            <w:color w:val="0000FF"/>
            <w:u w:val="single"/>
            <w:lang w:val="es-AR" w:eastAsia="en-US"/>
          </w:rPr>
          <w:t>https://www.redalyc.org/journal/280/28063431006/html/</w:t>
        </w:r>
      </w:hyperlink>
      <w:r w:rsidRPr="004451CE">
        <w:rPr>
          <w:lang w:val="es-AR" w:eastAsia="en-US"/>
        </w:rPr>
        <w:t xml:space="preserve"> </w:t>
      </w:r>
    </w:p>
    <w:p w14:paraId="338E341C" w14:textId="77777777" w:rsidR="004451CE" w:rsidRPr="004451CE" w:rsidRDefault="004451CE" w:rsidP="004451CE">
      <w:pPr>
        <w:spacing w:line="360" w:lineRule="auto"/>
        <w:rPr>
          <w:lang w:val="es-AR" w:eastAsia="en-US"/>
        </w:rPr>
      </w:pPr>
      <w:r w:rsidRPr="004451CE">
        <w:rPr>
          <w:lang w:val="es-AR" w:eastAsia="en-US"/>
        </w:rPr>
        <w:lastRenderedPageBreak/>
        <w:t xml:space="preserve">23. Marín-Cipriano C. Adicción a internet y funcionalidad familiar en universitarios de Lima Norte. CASUS Revista de Investigación y Casos en Salud. 2018 [acceso: 29/04/2022]; 3(1):1-8. Disponible en: </w:t>
      </w:r>
      <w:hyperlink r:id="rId44" w:history="1">
        <w:r w:rsidRPr="004451CE">
          <w:rPr>
            <w:color w:val="0000FF"/>
            <w:u w:val="single"/>
            <w:lang w:val="es-AR" w:eastAsia="en-US"/>
          </w:rPr>
          <w:t>https://dialnet.unirioja.es/servlet/articulo?codigo=6538963</w:t>
        </w:r>
      </w:hyperlink>
      <w:r w:rsidRPr="004451CE">
        <w:rPr>
          <w:lang w:val="es-AR" w:eastAsia="en-US"/>
        </w:rPr>
        <w:t xml:space="preserve"> </w:t>
      </w:r>
    </w:p>
    <w:p w14:paraId="7171D52F" w14:textId="77777777" w:rsidR="004451CE" w:rsidRPr="004451CE" w:rsidRDefault="004451CE" w:rsidP="004451CE">
      <w:pPr>
        <w:spacing w:line="360" w:lineRule="auto"/>
        <w:rPr>
          <w:lang w:val="es-AR" w:eastAsia="en-US"/>
        </w:rPr>
      </w:pPr>
      <w:r w:rsidRPr="004451CE">
        <w:rPr>
          <w:lang w:val="es-AR" w:eastAsia="en-US"/>
        </w:rPr>
        <w:t xml:space="preserve">24. Castrillón </w:t>
      </w:r>
      <w:proofErr w:type="spellStart"/>
      <w:r w:rsidRPr="004451CE">
        <w:rPr>
          <w:lang w:val="es-AR" w:eastAsia="en-US"/>
        </w:rPr>
        <w:t>JJ</w:t>
      </w:r>
      <w:proofErr w:type="spellEnd"/>
      <w:r w:rsidRPr="004451CE">
        <w:rPr>
          <w:lang w:val="es-AR" w:eastAsia="en-US"/>
        </w:rPr>
        <w:t xml:space="preserve">, Cala ML. Funcionalidad familiar y tendencias adictivas a internet y a sustancias psicoactivas en estudiantes universitarios. Psicología desde el Caribe. 2019 [acceso: 29/04/2022];36(2):177-206. Disponible en: </w:t>
      </w:r>
      <w:hyperlink r:id="rId45" w:history="1">
        <w:r w:rsidRPr="004451CE">
          <w:rPr>
            <w:color w:val="0000FF"/>
            <w:u w:val="single"/>
            <w:lang w:val="es-AR" w:eastAsia="en-US"/>
          </w:rPr>
          <w:t>https://www.redalyc.org/journal/213/21363396003/21363396003.pdf</w:t>
        </w:r>
      </w:hyperlink>
      <w:r w:rsidRPr="004451CE">
        <w:rPr>
          <w:lang w:val="es-AR" w:eastAsia="en-US"/>
        </w:rPr>
        <w:t xml:space="preserve"> </w:t>
      </w:r>
    </w:p>
    <w:p w14:paraId="370C6310" w14:textId="77777777" w:rsidR="004451CE" w:rsidRPr="004451CE" w:rsidRDefault="004451CE" w:rsidP="004451CE">
      <w:pPr>
        <w:spacing w:line="360" w:lineRule="auto"/>
        <w:rPr>
          <w:lang w:val="es-AR" w:eastAsia="en-US"/>
        </w:rPr>
      </w:pPr>
      <w:r w:rsidRPr="004451CE">
        <w:rPr>
          <w:lang w:val="en-US" w:eastAsia="en-US"/>
        </w:rPr>
        <w:t xml:space="preserve">25. Posner MH. The Internet and Academic Freedom. </w:t>
      </w:r>
      <w:proofErr w:type="spellStart"/>
      <w:r w:rsidRPr="004451CE">
        <w:rPr>
          <w:lang w:val="es-AR" w:eastAsia="en-US"/>
        </w:rPr>
        <w:t>Science</w:t>
      </w:r>
      <w:proofErr w:type="spellEnd"/>
      <w:r w:rsidRPr="004451CE">
        <w:rPr>
          <w:lang w:val="es-AR" w:eastAsia="en-US"/>
        </w:rPr>
        <w:t xml:space="preserve">. 2012 [acceso: 29/04/2022]; 337(6090):13. Disponible en: </w:t>
      </w:r>
      <w:hyperlink r:id="rId46" w:history="1">
        <w:r w:rsidRPr="004451CE">
          <w:rPr>
            <w:color w:val="0000FF"/>
            <w:u w:val="single"/>
            <w:lang w:val="es-AR" w:eastAsia="en-US"/>
          </w:rPr>
          <w:t>https://www.science.org/doi/10.1126/science.1226099</w:t>
        </w:r>
      </w:hyperlink>
      <w:r w:rsidRPr="004451CE">
        <w:rPr>
          <w:lang w:val="es-AR" w:eastAsia="en-US"/>
        </w:rPr>
        <w:t xml:space="preserve"> </w:t>
      </w:r>
    </w:p>
    <w:p w14:paraId="7141215F" w14:textId="77777777" w:rsidR="004451CE" w:rsidRPr="004451CE" w:rsidRDefault="004451CE" w:rsidP="004451CE">
      <w:pPr>
        <w:spacing w:line="360" w:lineRule="auto"/>
        <w:rPr>
          <w:lang w:val="en-US" w:eastAsia="en-US"/>
        </w:rPr>
      </w:pPr>
      <w:r w:rsidRPr="004451CE">
        <w:rPr>
          <w:lang w:val="en-US" w:eastAsia="en-US"/>
        </w:rPr>
        <w:t xml:space="preserve">26. </w:t>
      </w:r>
      <w:proofErr w:type="spellStart"/>
      <w:r w:rsidRPr="004451CE">
        <w:rPr>
          <w:lang w:val="en-US" w:eastAsia="en-US"/>
        </w:rPr>
        <w:t>Roblek</w:t>
      </w:r>
      <w:proofErr w:type="spellEnd"/>
      <w:r w:rsidRPr="004451CE">
        <w:rPr>
          <w:lang w:val="en-US" w:eastAsia="en-US"/>
        </w:rPr>
        <w:t xml:space="preserve"> V, </w:t>
      </w:r>
      <w:proofErr w:type="spellStart"/>
      <w:r w:rsidRPr="004451CE">
        <w:rPr>
          <w:lang w:val="en-US" w:eastAsia="en-US"/>
        </w:rPr>
        <w:t>Meško</w:t>
      </w:r>
      <w:proofErr w:type="spellEnd"/>
      <w:r w:rsidRPr="004451CE">
        <w:rPr>
          <w:lang w:val="en-US" w:eastAsia="en-US"/>
        </w:rPr>
        <w:t xml:space="preserve"> M, Bach MP, Thorpe O, </w:t>
      </w:r>
      <w:proofErr w:type="spellStart"/>
      <w:r w:rsidRPr="004451CE">
        <w:rPr>
          <w:lang w:val="en-US" w:eastAsia="en-US"/>
        </w:rPr>
        <w:t>Šprajc</w:t>
      </w:r>
      <w:proofErr w:type="spellEnd"/>
      <w:r w:rsidRPr="004451CE">
        <w:rPr>
          <w:lang w:val="en-US" w:eastAsia="en-US"/>
        </w:rPr>
        <w:t xml:space="preserve"> P. The Interaction between Internet, Sustainable Development, and Emergence of Society 5.0. Data. 2020 [</w:t>
      </w:r>
      <w:proofErr w:type="spellStart"/>
      <w:r w:rsidRPr="004451CE">
        <w:rPr>
          <w:lang w:val="en-US" w:eastAsia="en-US"/>
        </w:rPr>
        <w:t>acceso</w:t>
      </w:r>
      <w:proofErr w:type="spellEnd"/>
      <w:r w:rsidRPr="004451CE">
        <w:rPr>
          <w:lang w:val="en-US" w:eastAsia="en-US"/>
        </w:rPr>
        <w:t xml:space="preserve">: 29/04/2022];5(3):80. Disponible </w:t>
      </w:r>
      <w:proofErr w:type="spellStart"/>
      <w:r w:rsidRPr="004451CE">
        <w:rPr>
          <w:lang w:val="en-US" w:eastAsia="en-US"/>
        </w:rPr>
        <w:t>en</w:t>
      </w:r>
      <w:proofErr w:type="spellEnd"/>
      <w:r w:rsidRPr="004451CE">
        <w:rPr>
          <w:lang w:val="en-US" w:eastAsia="en-US"/>
        </w:rPr>
        <w:t xml:space="preserve">: </w:t>
      </w:r>
      <w:hyperlink r:id="rId47" w:history="1">
        <w:r w:rsidRPr="004451CE">
          <w:rPr>
            <w:color w:val="0000FF"/>
            <w:u w:val="single"/>
            <w:lang w:val="en-US" w:eastAsia="en-US"/>
          </w:rPr>
          <w:t>https://www.mdpi.com/2306-5729/5/3/80</w:t>
        </w:r>
      </w:hyperlink>
      <w:r w:rsidRPr="004451CE">
        <w:rPr>
          <w:lang w:val="en-US" w:eastAsia="en-US"/>
        </w:rPr>
        <w:t xml:space="preserve"> </w:t>
      </w:r>
    </w:p>
    <w:p w14:paraId="6AAA1B11" w14:textId="77777777" w:rsidR="004451CE" w:rsidRPr="004451CE" w:rsidRDefault="004451CE" w:rsidP="004451CE">
      <w:pPr>
        <w:spacing w:line="360" w:lineRule="auto"/>
        <w:rPr>
          <w:lang w:val="es-AR" w:eastAsia="en-US"/>
        </w:rPr>
      </w:pPr>
      <w:r w:rsidRPr="004451CE">
        <w:rPr>
          <w:lang w:val="en-US" w:eastAsia="en-US"/>
        </w:rPr>
        <w:t xml:space="preserve">27. </w:t>
      </w:r>
      <w:proofErr w:type="spellStart"/>
      <w:r w:rsidRPr="004451CE">
        <w:rPr>
          <w:lang w:val="en-US" w:eastAsia="en-US"/>
        </w:rPr>
        <w:t>O’Doherty</w:t>
      </w:r>
      <w:proofErr w:type="spellEnd"/>
      <w:r w:rsidRPr="004451CE">
        <w:rPr>
          <w:lang w:val="en-US" w:eastAsia="en-US"/>
        </w:rPr>
        <w:t xml:space="preserve"> D, Lougheed J, Hannigan A, Last J, </w:t>
      </w:r>
      <w:proofErr w:type="spellStart"/>
      <w:r w:rsidRPr="004451CE">
        <w:rPr>
          <w:lang w:val="en-US" w:eastAsia="en-US"/>
        </w:rPr>
        <w:t>Dromey</w:t>
      </w:r>
      <w:proofErr w:type="spellEnd"/>
      <w:r w:rsidRPr="004451CE">
        <w:rPr>
          <w:lang w:val="en-US" w:eastAsia="en-US"/>
        </w:rPr>
        <w:t xml:space="preserve"> M, </w:t>
      </w:r>
      <w:proofErr w:type="spellStart"/>
      <w:r w:rsidRPr="004451CE">
        <w:rPr>
          <w:lang w:val="en-US" w:eastAsia="en-US"/>
        </w:rPr>
        <w:t>O’Tuathaigh</w:t>
      </w:r>
      <w:proofErr w:type="spellEnd"/>
      <w:r w:rsidRPr="004451CE">
        <w:rPr>
          <w:lang w:val="en-US" w:eastAsia="en-US"/>
        </w:rPr>
        <w:t xml:space="preserve"> C, et al. Internet skills of medical faculty and students: is there a difference? </w:t>
      </w:r>
      <w:proofErr w:type="spellStart"/>
      <w:r w:rsidRPr="004451CE">
        <w:rPr>
          <w:lang w:val="es-CU" w:eastAsia="en-US"/>
        </w:rPr>
        <w:t>BMC</w:t>
      </w:r>
      <w:proofErr w:type="spellEnd"/>
      <w:r w:rsidRPr="004451CE">
        <w:rPr>
          <w:lang w:val="es-CU" w:eastAsia="en-US"/>
        </w:rPr>
        <w:t xml:space="preserve"> Medical </w:t>
      </w:r>
      <w:proofErr w:type="spellStart"/>
      <w:r w:rsidRPr="004451CE">
        <w:rPr>
          <w:lang w:val="es-CU" w:eastAsia="en-US"/>
        </w:rPr>
        <w:t>Education</w:t>
      </w:r>
      <w:proofErr w:type="spellEnd"/>
      <w:r w:rsidRPr="004451CE">
        <w:rPr>
          <w:lang w:val="es-CU" w:eastAsia="en-US"/>
        </w:rPr>
        <w:t xml:space="preserve">. 2019 [acceso: 29/04/2022]; 19(1):39. </w:t>
      </w:r>
      <w:r w:rsidRPr="004451CE">
        <w:rPr>
          <w:lang w:val="es-AR" w:eastAsia="en-US"/>
        </w:rPr>
        <w:t xml:space="preserve">Disponible en: </w:t>
      </w:r>
      <w:hyperlink r:id="rId48" w:history="1">
        <w:r w:rsidRPr="004451CE">
          <w:rPr>
            <w:color w:val="0000FF"/>
            <w:u w:val="single"/>
            <w:lang w:val="es-AR" w:eastAsia="en-US"/>
          </w:rPr>
          <w:t>https://bmcmededuc.biomedcentral.com/track/pdf/10.1186/s12909-019-1475-4.pdf</w:t>
        </w:r>
      </w:hyperlink>
      <w:r w:rsidRPr="004451CE">
        <w:rPr>
          <w:lang w:val="es-AR" w:eastAsia="en-US"/>
        </w:rPr>
        <w:t xml:space="preserve"> </w:t>
      </w:r>
    </w:p>
    <w:p w14:paraId="1ADD4833" w14:textId="77777777" w:rsidR="004451CE" w:rsidRPr="004451CE" w:rsidRDefault="004451CE" w:rsidP="004451CE">
      <w:pPr>
        <w:spacing w:line="360" w:lineRule="auto"/>
        <w:rPr>
          <w:lang w:val="en-US" w:eastAsia="en-US"/>
        </w:rPr>
      </w:pPr>
      <w:r w:rsidRPr="004451CE">
        <w:rPr>
          <w:lang w:val="en-US" w:eastAsia="en-US"/>
        </w:rPr>
        <w:t xml:space="preserve">28. </w:t>
      </w:r>
      <w:proofErr w:type="spellStart"/>
      <w:r w:rsidRPr="004451CE">
        <w:rPr>
          <w:lang w:val="en-US" w:eastAsia="en-US"/>
        </w:rPr>
        <w:t>Bosse</w:t>
      </w:r>
      <w:proofErr w:type="spellEnd"/>
      <w:r w:rsidRPr="004451CE">
        <w:rPr>
          <w:lang w:val="en-US" w:eastAsia="en-US"/>
        </w:rPr>
        <w:t xml:space="preserve"> I, Renner G, Wilkens L. </w:t>
      </w:r>
      <w:proofErr w:type="gramStart"/>
      <w:r w:rsidRPr="004451CE">
        <w:rPr>
          <w:lang w:val="en-US" w:eastAsia="en-US"/>
        </w:rPr>
        <w:t>Social Media</w:t>
      </w:r>
      <w:proofErr w:type="gramEnd"/>
      <w:r w:rsidRPr="004451CE">
        <w:rPr>
          <w:lang w:val="en-US" w:eastAsia="en-US"/>
        </w:rPr>
        <w:t xml:space="preserve"> and Internet Use Patterns by Adolescents With Complex Communication Needs. Lang Speech Hear Serv Sch. 2020 [</w:t>
      </w:r>
      <w:proofErr w:type="spellStart"/>
      <w:r w:rsidRPr="004451CE">
        <w:rPr>
          <w:lang w:val="en-US" w:eastAsia="en-US"/>
        </w:rPr>
        <w:t>acceso</w:t>
      </w:r>
      <w:proofErr w:type="spellEnd"/>
      <w:r w:rsidRPr="004451CE">
        <w:rPr>
          <w:lang w:val="en-US" w:eastAsia="en-US"/>
        </w:rPr>
        <w:t xml:space="preserve">: 29/04/2022]; 51(4):1024-36. Disponible </w:t>
      </w:r>
      <w:proofErr w:type="spellStart"/>
      <w:r w:rsidRPr="004451CE">
        <w:rPr>
          <w:lang w:val="en-US" w:eastAsia="en-US"/>
        </w:rPr>
        <w:t>en</w:t>
      </w:r>
      <w:proofErr w:type="spellEnd"/>
      <w:r w:rsidRPr="004451CE">
        <w:rPr>
          <w:lang w:val="en-US" w:eastAsia="en-US"/>
        </w:rPr>
        <w:t xml:space="preserve">: </w:t>
      </w:r>
      <w:hyperlink r:id="rId49" w:history="1">
        <w:r w:rsidRPr="004451CE">
          <w:rPr>
            <w:color w:val="0000FF"/>
            <w:u w:val="single"/>
            <w:lang w:val="en-US" w:eastAsia="en-US"/>
          </w:rPr>
          <w:t>https://pubs.asha.org/doi/abs/10.1044/2020_LSHSS-19-00072</w:t>
        </w:r>
      </w:hyperlink>
      <w:r w:rsidRPr="004451CE">
        <w:rPr>
          <w:lang w:val="en-US" w:eastAsia="en-US"/>
        </w:rPr>
        <w:t xml:space="preserve"> </w:t>
      </w:r>
    </w:p>
    <w:p w14:paraId="36278B05" w14:textId="77777777" w:rsidR="004451CE" w:rsidRPr="004451CE" w:rsidRDefault="004451CE" w:rsidP="004451CE">
      <w:pPr>
        <w:spacing w:line="360" w:lineRule="auto"/>
        <w:rPr>
          <w:lang w:val="es-AR" w:eastAsia="en-US"/>
        </w:rPr>
      </w:pPr>
      <w:r w:rsidRPr="004451CE">
        <w:rPr>
          <w:lang w:val="es-AR" w:eastAsia="en-US"/>
        </w:rPr>
        <w:t xml:space="preserve">29. Mora </w:t>
      </w:r>
      <w:proofErr w:type="spellStart"/>
      <w:r w:rsidRPr="004451CE">
        <w:rPr>
          <w:lang w:val="es-AR" w:eastAsia="en-US"/>
        </w:rPr>
        <w:t>LC</w:t>
      </w:r>
      <w:proofErr w:type="spellEnd"/>
      <w:r w:rsidRPr="004451CE">
        <w:rPr>
          <w:lang w:val="es-AR" w:eastAsia="en-US"/>
        </w:rPr>
        <w:t xml:space="preserve">, Heredia ME. La dinámica familiar ante la migración y la discapacidad en un contexto </w:t>
      </w:r>
      <w:proofErr w:type="spellStart"/>
      <w:r w:rsidRPr="004451CE">
        <w:rPr>
          <w:lang w:val="es-AR" w:eastAsia="en-US"/>
        </w:rPr>
        <w:t>semirural</w:t>
      </w:r>
      <w:proofErr w:type="spellEnd"/>
      <w:r w:rsidRPr="004451CE">
        <w:rPr>
          <w:lang w:val="es-AR" w:eastAsia="en-US"/>
        </w:rPr>
        <w:t xml:space="preserve">. </w:t>
      </w:r>
      <w:proofErr w:type="spellStart"/>
      <w:r w:rsidRPr="004451CE">
        <w:rPr>
          <w:lang w:val="es-AR" w:eastAsia="en-US"/>
        </w:rPr>
        <w:t>CIMEXUS</w:t>
      </w:r>
      <w:proofErr w:type="spellEnd"/>
      <w:r w:rsidRPr="004451CE">
        <w:rPr>
          <w:lang w:val="es-AR" w:eastAsia="en-US"/>
        </w:rPr>
        <w:t xml:space="preserve">. 2013 [acceso: 29/04/2022]; 8(1):67-83. Disponible en: </w:t>
      </w:r>
      <w:hyperlink r:id="rId50" w:history="1">
        <w:r w:rsidRPr="004451CE">
          <w:rPr>
            <w:color w:val="0000FF"/>
            <w:u w:val="single"/>
            <w:lang w:val="es-AR" w:eastAsia="en-US"/>
          </w:rPr>
          <w:t>https://dialnet.unirioja.es/servlet/articulo?codigo=5425987</w:t>
        </w:r>
      </w:hyperlink>
      <w:r w:rsidRPr="004451CE">
        <w:rPr>
          <w:lang w:val="es-AR" w:eastAsia="en-US"/>
        </w:rPr>
        <w:t xml:space="preserve"> </w:t>
      </w:r>
    </w:p>
    <w:p w14:paraId="260D0507" w14:textId="77777777" w:rsidR="004451CE" w:rsidRPr="004451CE" w:rsidRDefault="004451CE" w:rsidP="004451CE">
      <w:pPr>
        <w:spacing w:line="360" w:lineRule="auto"/>
        <w:rPr>
          <w:lang w:val="es-AR" w:eastAsia="en-US"/>
        </w:rPr>
      </w:pPr>
      <w:r w:rsidRPr="004451CE">
        <w:rPr>
          <w:lang w:val="es-AR" w:eastAsia="en-US"/>
        </w:rPr>
        <w:t xml:space="preserve">30. Anaya </w:t>
      </w:r>
      <w:proofErr w:type="spellStart"/>
      <w:r w:rsidRPr="004451CE">
        <w:rPr>
          <w:lang w:val="es-AR" w:eastAsia="en-US"/>
        </w:rPr>
        <w:t>Uscamayta</w:t>
      </w:r>
      <w:proofErr w:type="spellEnd"/>
      <w:r w:rsidRPr="004451CE">
        <w:rPr>
          <w:lang w:val="es-AR" w:eastAsia="en-US"/>
        </w:rPr>
        <w:t xml:space="preserve"> E. Funcionalidad familiar y estilos de crianza en adolescentes de Carabaya - Perú, 2021. [Tesis de grado]. Lima: Universidad Peruana Unión; 2021 [acceso: 14/03/2022]. Disponible en: </w:t>
      </w:r>
      <w:hyperlink r:id="rId51" w:history="1">
        <w:r w:rsidRPr="004451CE">
          <w:rPr>
            <w:color w:val="0000FF"/>
            <w:u w:val="single"/>
            <w:lang w:val="es-AR" w:eastAsia="en-US"/>
          </w:rPr>
          <w:t>https://repositorio.upeu.edu.pe/handle/20.500.12840/4722</w:t>
        </w:r>
      </w:hyperlink>
      <w:r w:rsidRPr="004451CE">
        <w:rPr>
          <w:lang w:val="es-AR" w:eastAsia="en-US"/>
        </w:rPr>
        <w:t xml:space="preserve"> </w:t>
      </w:r>
    </w:p>
    <w:p w14:paraId="5C869896" w14:textId="77777777" w:rsidR="004451CE" w:rsidRPr="004451CE" w:rsidRDefault="004451CE" w:rsidP="004451CE">
      <w:pPr>
        <w:spacing w:line="360" w:lineRule="auto"/>
        <w:rPr>
          <w:lang w:val="es-AR" w:eastAsia="en-US"/>
        </w:rPr>
      </w:pPr>
      <w:r w:rsidRPr="004451CE">
        <w:rPr>
          <w:lang w:val="es-AR" w:eastAsia="en-US"/>
        </w:rPr>
        <w:t xml:space="preserve">31. Silva </w:t>
      </w:r>
      <w:proofErr w:type="spellStart"/>
      <w:r w:rsidRPr="004451CE">
        <w:rPr>
          <w:lang w:val="es-AR" w:eastAsia="en-US"/>
        </w:rPr>
        <w:t>JM</w:t>
      </w:r>
      <w:proofErr w:type="spellEnd"/>
      <w:r w:rsidRPr="004451CE">
        <w:rPr>
          <w:lang w:val="es-AR" w:eastAsia="en-US"/>
        </w:rPr>
        <w:t xml:space="preserve">, Borré </w:t>
      </w:r>
      <w:proofErr w:type="spellStart"/>
      <w:r w:rsidRPr="004451CE">
        <w:rPr>
          <w:lang w:val="es-AR" w:eastAsia="en-US"/>
        </w:rPr>
        <w:t>JR</w:t>
      </w:r>
      <w:proofErr w:type="spellEnd"/>
      <w:r w:rsidRPr="004451CE">
        <w:rPr>
          <w:lang w:val="es-AR" w:eastAsia="en-US"/>
        </w:rPr>
        <w:t xml:space="preserve">, Montero SR, Mendoza </w:t>
      </w:r>
      <w:proofErr w:type="spellStart"/>
      <w:r w:rsidRPr="004451CE">
        <w:rPr>
          <w:lang w:val="es-AR" w:eastAsia="en-US"/>
        </w:rPr>
        <w:t>XF</w:t>
      </w:r>
      <w:proofErr w:type="spellEnd"/>
      <w:r w:rsidRPr="004451CE">
        <w:rPr>
          <w:lang w:val="es-AR" w:eastAsia="en-US"/>
        </w:rPr>
        <w:t xml:space="preserve">. Migración: Contexto, impacto y desafío. Una reflexión teórica. Revista de Ciencias Sociales (Ve). 2020 [acceso: 30/04/2022]; 26(2):299-313. Disponible en: </w:t>
      </w:r>
      <w:hyperlink r:id="rId52" w:history="1">
        <w:r w:rsidRPr="004451CE">
          <w:rPr>
            <w:color w:val="0000FF"/>
            <w:u w:val="single"/>
            <w:lang w:val="es-AR" w:eastAsia="en-US"/>
          </w:rPr>
          <w:t>https://www.redalyc.org/articulo.oa?id=28063431024</w:t>
        </w:r>
      </w:hyperlink>
      <w:r w:rsidRPr="004451CE">
        <w:rPr>
          <w:lang w:val="es-AR" w:eastAsia="en-US"/>
        </w:rPr>
        <w:t xml:space="preserve"> </w:t>
      </w:r>
    </w:p>
    <w:p w14:paraId="3298916D" w14:textId="77777777" w:rsidR="004451CE" w:rsidRPr="004451CE" w:rsidRDefault="004451CE" w:rsidP="004451CE">
      <w:pPr>
        <w:spacing w:line="360" w:lineRule="auto"/>
        <w:rPr>
          <w:lang w:val="es-AR" w:eastAsia="en-US"/>
        </w:rPr>
      </w:pPr>
      <w:r w:rsidRPr="004451CE">
        <w:rPr>
          <w:lang w:val="es-AR" w:eastAsia="en-US"/>
        </w:rPr>
        <w:lastRenderedPageBreak/>
        <w:t xml:space="preserve">32. Gómez–Campuzano ML, Gaviria-Arrieta N, Pérez–Gómez MM, Alvis–Barranco L. Funcionamiento familiar en hogares con niños desplazados por la violencia. </w:t>
      </w:r>
      <w:proofErr w:type="spellStart"/>
      <w:r w:rsidRPr="004451CE">
        <w:rPr>
          <w:lang w:val="es-AR" w:eastAsia="en-US"/>
        </w:rPr>
        <w:t>AVFT</w:t>
      </w:r>
      <w:proofErr w:type="spellEnd"/>
      <w:r w:rsidRPr="004451CE">
        <w:rPr>
          <w:lang w:val="es-AR" w:eastAsia="en-US"/>
        </w:rPr>
        <w:t xml:space="preserve"> – Archivos Venezolanos de Farmacología y Terapéutica. 2020 [acceso: 30/04/2022]; 39(3):318-321. Disponible en: </w:t>
      </w:r>
      <w:hyperlink r:id="rId53" w:history="1">
        <w:r w:rsidRPr="004451CE">
          <w:rPr>
            <w:color w:val="0000FF"/>
            <w:u w:val="single"/>
            <w:lang w:val="es-AR" w:eastAsia="en-US"/>
          </w:rPr>
          <w:t>http://saber.ucv.ve/ojs/index.php/rev_aavft/article/view/19454</w:t>
        </w:r>
      </w:hyperlink>
      <w:r w:rsidRPr="004451CE">
        <w:rPr>
          <w:lang w:val="es-AR" w:eastAsia="en-US"/>
        </w:rPr>
        <w:t xml:space="preserve"> </w:t>
      </w:r>
    </w:p>
    <w:p w14:paraId="220FE1C2" w14:textId="77777777" w:rsidR="004451CE" w:rsidRPr="004451CE" w:rsidRDefault="004451CE" w:rsidP="004451CE">
      <w:pPr>
        <w:spacing w:line="360" w:lineRule="auto"/>
        <w:rPr>
          <w:lang w:val="es-AR" w:eastAsia="en-US"/>
        </w:rPr>
      </w:pPr>
      <w:r w:rsidRPr="004451CE">
        <w:rPr>
          <w:lang w:val="en-US" w:eastAsia="en-US"/>
        </w:rPr>
        <w:t xml:space="preserve">33. </w:t>
      </w:r>
      <w:proofErr w:type="spellStart"/>
      <w:r w:rsidRPr="004451CE">
        <w:rPr>
          <w:lang w:val="en-US" w:eastAsia="en-US"/>
        </w:rPr>
        <w:t>Balcells-Balcells</w:t>
      </w:r>
      <w:proofErr w:type="spellEnd"/>
      <w:r w:rsidRPr="004451CE">
        <w:rPr>
          <w:lang w:val="en-US" w:eastAsia="en-US"/>
        </w:rPr>
        <w:t xml:space="preserve"> A, </w:t>
      </w:r>
      <w:proofErr w:type="spellStart"/>
      <w:r w:rsidRPr="004451CE">
        <w:rPr>
          <w:lang w:val="en-US" w:eastAsia="en-US"/>
        </w:rPr>
        <w:t>Giné</w:t>
      </w:r>
      <w:proofErr w:type="spellEnd"/>
      <w:r w:rsidRPr="004451CE">
        <w:rPr>
          <w:lang w:val="en-US" w:eastAsia="en-US"/>
        </w:rPr>
        <w:t xml:space="preserve"> C, </w:t>
      </w:r>
      <w:proofErr w:type="spellStart"/>
      <w:r w:rsidRPr="004451CE">
        <w:rPr>
          <w:lang w:val="en-US" w:eastAsia="en-US"/>
        </w:rPr>
        <w:t>Guàrdia</w:t>
      </w:r>
      <w:proofErr w:type="spellEnd"/>
      <w:r w:rsidRPr="004451CE">
        <w:rPr>
          <w:lang w:val="en-US" w:eastAsia="en-US"/>
        </w:rPr>
        <w:t xml:space="preserve">-Olmos J, Summers JA, Mas JM. Impact of supports and partnership on family quality of life. </w:t>
      </w:r>
      <w:r w:rsidRPr="004451CE">
        <w:rPr>
          <w:lang w:val="es-AR" w:eastAsia="en-US"/>
        </w:rPr>
        <w:t xml:space="preserve">Res Dev </w:t>
      </w:r>
      <w:proofErr w:type="spellStart"/>
      <w:r w:rsidRPr="004451CE">
        <w:rPr>
          <w:lang w:val="es-AR" w:eastAsia="en-US"/>
        </w:rPr>
        <w:t>Disabil</w:t>
      </w:r>
      <w:proofErr w:type="spellEnd"/>
      <w:r w:rsidRPr="004451CE">
        <w:rPr>
          <w:lang w:val="es-AR" w:eastAsia="en-US"/>
        </w:rPr>
        <w:t xml:space="preserve">. 2019 [acceso: 30/04/2022]; 85:50-60. Disponible en: </w:t>
      </w:r>
      <w:hyperlink r:id="rId54" w:history="1">
        <w:r w:rsidRPr="004451CE">
          <w:rPr>
            <w:color w:val="0000FF"/>
            <w:u w:val="single"/>
            <w:lang w:val="es-AR" w:eastAsia="en-US"/>
          </w:rPr>
          <w:t>https://www.sciencedirect.com/science/article/pii/S0891422218302208</w:t>
        </w:r>
      </w:hyperlink>
      <w:r w:rsidRPr="004451CE">
        <w:rPr>
          <w:lang w:val="es-AR" w:eastAsia="en-US"/>
        </w:rPr>
        <w:t xml:space="preserve"> </w:t>
      </w:r>
    </w:p>
    <w:p w14:paraId="56549D2D" w14:textId="77777777" w:rsidR="004451CE" w:rsidRPr="004451CE" w:rsidRDefault="004451CE" w:rsidP="004451CE">
      <w:pPr>
        <w:spacing w:line="360" w:lineRule="auto"/>
        <w:rPr>
          <w:lang w:val="en-US" w:eastAsia="en-US"/>
        </w:rPr>
      </w:pPr>
      <w:r w:rsidRPr="004451CE">
        <w:rPr>
          <w:lang w:val="en-US" w:eastAsia="en-US"/>
        </w:rPr>
        <w:t xml:space="preserve">34. Gallagher A, </w:t>
      </w:r>
      <w:proofErr w:type="spellStart"/>
      <w:r w:rsidRPr="004451CE">
        <w:rPr>
          <w:lang w:val="en-US" w:eastAsia="en-US"/>
        </w:rPr>
        <w:t>Bulteau</w:t>
      </w:r>
      <w:proofErr w:type="spellEnd"/>
      <w:r w:rsidRPr="004451CE">
        <w:rPr>
          <w:lang w:val="en-US" w:eastAsia="en-US"/>
        </w:rPr>
        <w:t xml:space="preserve"> C, Cohen D, Michaud JL. Handbook of Clinical Neurology. Elsevier; 2020 [</w:t>
      </w:r>
      <w:proofErr w:type="spellStart"/>
      <w:r w:rsidRPr="004451CE">
        <w:rPr>
          <w:lang w:val="en-US" w:eastAsia="en-US"/>
        </w:rPr>
        <w:t>acceso</w:t>
      </w:r>
      <w:proofErr w:type="spellEnd"/>
      <w:r w:rsidRPr="004451CE">
        <w:rPr>
          <w:lang w:val="en-US" w:eastAsia="en-US"/>
        </w:rPr>
        <w:t xml:space="preserve">: 30/04/2022]: 379-88. Disponible </w:t>
      </w:r>
      <w:proofErr w:type="spellStart"/>
      <w:r w:rsidRPr="004451CE">
        <w:rPr>
          <w:lang w:val="en-US" w:eastAsia="en-US"/>
        </w:rPr>
        <w:t>en</w:t>
      </w:r>
      <w:proofErr w:type="spellEnd"/>
      <w:r w:rsidRPr="004451CE">
        <w:rPr>
          <w:lang w:val="en-US" w:eastAsia="en-US"/>
        </w:rPr>
        <w:t xml:space="preserve">: </w:t>
      </w:r>
      <w:hyperlink r:id="rId55" w:history="1">
        <w:r w:rsidRPr="004451CE">
          <w:rPr>
            <w:color w:val="0000FF"/>
            <w:u w:val="single"/>
            <w:lang w:val="en-US" w:eastAsia="en-US"/>
          </w:rPr>
          <w:t>https://www.sciencedirect.com/science/article/pii/B9780444641489000284</w:t>
        </w:r>
      </w:hyperlink>
      <w:r w:rsidRPr="004451CE">
        <w:rPr>
          <w:lang w:val="en-US" w:eastAsia="en-US"/>
        </w:rPr>
        <w:t xml:space="preserve"> </w:t>
      </w:r>
    </w:p>
    <w:p w14:paraId="071EAF0D" w14:textId="77777777" w:rsidR="004451CE" w:rsidRPr="004451CE" w:rsidRDefault="004451CE" w:rsidP="004451CE">
      <w:pPr>
        <w:spacing w:line="360" w:lineRule="auto"/>
        <w:rPr>
          <w:lang w:val="es-AR" w:eastAsia="en-US"/>
        </w:rPr>
      </w:pPr>
      <w:r w:rsidRPr="004451CE">
        <w:rPr>
          <w:lang w:val="en-US" w:eastAsia="en-US"/>
        </w:rPr>
        <w:t xml:space="preserve">35. Li Z, Sturge-Apple ML, Martin MJ, Davies PT. Interactive Effects of Family Instability and Adolescent Stress Reactivity on Socioemotional Functioning. </w:t>
      </w:r>
      <w:r w:rsidRPr="004451CE">
        <w:rPr>
          <w:lang w:val="es-AR" w:eastAsia="en-US"/>
        </w:rPr>
        <w:t xml:space="preserve">Dev </w:t>
      </w:r>
      <w:proofErr w:type="spellStart"/>
      <w:r w:rsidRPr="004451CE">
        <w:rPr>
          <w:lang w:val="es-AR" w:eastAsia="en-US"/>
        </w:rPr>
        <w:t>Psychol</w:t>
      </w:r>
      <w:proofErr w:type="spellEnd"/>
      <w:r w:rsidRPr="004451CE">
        <w:rPr>
          <w:lang w:val="es-AR" w:eastAsia="en-US"/>
        </w:rPr>
        <w:t xml:space="preserve">. 2019 [acceso: 30/04/2022]; 55(10):2193-2202. Disponible en: </w:t>
      </w:r>
      <w:hyperlink r:id="rId56" w:history="1">
        <w:r w:rsidRPr="004451CE">
          <w:rPr>
            <w:color w:val="0000FF"/>
            <w:u w:val="single"/>
            <w:lang w:val="es-AR" w:eastAsia="en-US"/>
          </w:rPr>
          <w:t>https://www.ncbi.nlm.nih.gov/pmc/articles/PMC6932862/</w:t>
        </w:r>
      </w:hyperlink>
      <w:r w:rsidRPr="004451CE">
        <w:rPr>
          <w:lang w:val="es-AR" w:eastAsia="en-US"/>
        </w:rPr>
        <w:t xml:space="preserve"> </w:t>
      </w:r>
    </w:p>
    <w:p w14:paraId="3F2E482F" w14:textId="77777777" w:rsidR="004451CE" w:rsidRPr="004451CE" w:rsidRDefault="004451CE" w:rsidP="004451CE">
      <w:pPr>
        <w:spacing w:line="360" w:lineRule="auto"/>
        <w:rPr>
          <w:lang w:val="es-AR" w:eastAsia="en-US"/>
        </w:rPr>
      </w:pPr>
      <w:r w:rsidRPr="004451CE">
        <w:rPr>
          <w:lang w:val="en-US" w:eastAsia="en-US"/>
        </w:rPr>
        <w:t xml:space="preserve">36. </w:t>
      </w:r>
      <w:proofErr w:type="spellStart"/>
      <w:r w:rsidRPr="004451CE">
        <w:rPr>
          <w:lang w:val="en-US" w:eastAsia="en-US"/>
        </w:rPr>
        <w:t>Daches</w:t>
      </w:r>
      <w:proofErr w:type="spellEnd"/>
      <w:r w:rsidRPr="004451CE">
        <w:rPr>
          <w:lang w:val="en-US" w:eastAsia="en-US"/>
        </w:rPr>
        <w:t xml:space="preserve"> S, Vine V, </w:t>
      </w:r>
      <w:proofErr w:type="spellStart"/>
      <w:r w:rsidRPr="004451CE">
        <w:rPr>
          <w:lang w:val="en-US" w:eastAsia="en-US"/>
        </w:rPr>
        <w:t>Layendecker</w:t>
      </w:r>
      <w:proofErr w:type="spellEnd"/>
      <w:r w:rsidRPr="004451CE">
        <w:rPr>
          <w:lang w:val="en-US" w:eastAsia="en-US"/>
        </w:rPr>
        <w:t xml:space="preserve"> KM, George CJ, Kovacs M. Family functioning as perceived by parents and young offspring at high and low risk for depression. </w:t>
      </w:r>
      <w:r w:rsidRPr="004451CE">
        <w:rPr>
          <w:lang w:val="es-AR" w:eastAsia="en-US"/>
        </w:rPr>
        <w:t xml:space="preserve">J </w:t>
      </w:r>
      <w:proofErr w:type="spellStart"/>
      <w:r w:rsidRPr="004451CE">
        <w:rPr>
          <w:lang w:val="es-AR" w:eastAsia="en-US"/>
        </w:rPr>
        <w:t>Affec</w:t>
      </w:r>
      <w:proofErr w:type="spellEnd"/>
      <w:r w:rsidRPr="004451CE">
        <w:rPr>
          <w:lang w:val="es-AR" w:eastAsia="en-US"/>
        </w:rPr>
        <w:t xml:space="preserve"> </w:t>
      </w:r>
      <w:proofErr w:type="spellStart"/>
      <w:r w:rsidRPr="004451CE">
        <w:rPr>
          <w:lang w:val="es-AR" w:eastAsia="en-US"/>
        </w:rPr>
        <w:t>Dis</w:t>
      </w:r>
      <w:proofErr w:type="spellEnd"/>
      <w:r w:rsidRPr="004451CE">
        <w:rPr>
          <w:lang w:val="es-AR" w:eastAsia="en-US"/>
        </w:rPr>
        <w:t xml:space="preserve">. 2018 [acceso: 30/04/2022]; 226:355-60. Disponible en: </w:t>
      </w:r>
      <w:hyperlink r:id="rId57" w:history="1">
        <w:r w:rsidRPr="004451CE">
          <w:rPr>
            <w:color w:val="0000FF"/>
            <w:u w:val="single"/>
            <w:lang w:val="es-AR" w:eastAsia="en-US"/>
          </w:rPr>
          <w:t>https://pubmed.ncbi.nlm.nih.gov/29031186/</w:t>
        </w:r>
      </w:hyperlink>
      <w:r w:rsidRPr="004451CE">
        <w:rPr>
          <w:lang w:val="es-AR" w:eastAsia="en-US"/>
        </w:rPr>
        <w:t xml:space="preserve"> </w:t>
      </w:r>
    </w:p>
    <w:p w14:paraId="6D941155" w14:textId="77777777" w:rsidR="004451CE" w:rsidRPr="004451CE" w:rsidRDefault="004451CE" w:rsidP="004451CE">
      <w:pPr>
        <w:spacing w:line="360" w:lineRule="auto"/>
        <w:rPr>
          <w:lang w:val="es-AR" w:eastAsia="en-US"/>
        </w:rPr>
      </w:pPr>
      <w:r w:rsidRPr="004451CE">
        <w:rPr>
          <w:lang w:val="es-AR" w:eastAsia="en-US"/>
        </w:rPr>
        <w:t>37. Hernández-</w:t>
      </w:r>
      <w:proofErr w:type="spellStart"/>
      <w:r w:rsidRPr="004451CE">
        <w:rPr>
          <w:lang w:val="es-AR" w:eastAsia="en-US"/>
        </w:rPr>
        <w:t>Yepez</w:t>
      </w:r>
      <w:proofErr w:type="spellEnd"/>
      <w:r w:rsidRPr="004451CE">
        <w:rPr>
          <w:lang w:val="es-AR" w:eastAsia="en-US"/>
        </w:rPr>
        <w:t xml:space="preserve"> P, Inga-Berrospi F, Chiroque-Becerra M, Ramos-</w:t>
      </w:r>
      <w:proofErr w:type="spellStart"/>
      <w:r w:rsidRPr="004451CE">
        <w:rPr>
          <w:lang w:val="es-AR" w:eastAsia="en-US"/>
        </w:rPr>
        <w:t>Rupay</w:t>
      </w:r>
      <w:proofErr w:type="spellEnd"/>
      <w:r w:rsidRPr="004451CE">
        <w:rPr>
          <w:lang w:val="es-AR" w:eastAsia="en-US"/>
        </w:rPr>
        <w:t xml:space="preserve"> P, Contreras-Carmona P, Valladares-Garrido M. Funcionalidad familiar, habilidades sociales y estilos de vida en estudiantes durante la pandemia por la COVID-19. Revista Cubana de Medicina Militar. 2022 [acceso: 23/12/2022]; 51(3)</w:t>
      </w:r>
      <w:r w:rsidRPr="004451CE">
        <w:rPr>
          <w:lang w:val="es-PE" w:eastAsia="en-US"/>
        </w:rPr>
        <w:t>:02202083.</w:t>
      </w:r>
      <w:r w:rsidRPr="004451CE">
        <w:rPr>
          <w:lang w:val="es-AR" w:eastAsia="en-US"/>
        </w:rPr>
        <w:t xml:space="preserve"> Disponible en: </w:t>
      </w:r>
      <w:hyperlink r:id="rId58" w:history="1">
        <w:r w:rsidRPr="004451CE">
          <w:rPr>
            <w:color w:val="0000FF"/>
            <w:u w:val="single"/>
            <w:lang w:val="es-AR" w:eastAsia="en-US"/>
          </w:rPr>
          <w:t>https://revmedmilitar.sld.cu/index.php/mil/article/view/2083</w:t>
        </w:r>
      </w:hyperlink>
      <w:r w:rsidRPr="004451CE">
        <w:rPr>
          <w:lang w:val="es-AR" w:eastAsia="en-US"/>
        </w:rPr>
        <w:t xml:space="preserve"> </w:t>
      </w:r>
    </w:p>
    <w:p w14:paraId="6469D70C" w14:textId="77777777" w:rsidR="004451CE" w:rsidRPr="004451CE" w:rsidRDefault="004451CE" w:rsidP="004451CE">
      <w:pPr>
        <w:spacing w:line="360" w:lineRule="auto"/>
        <w:rPr>
          <w:lang w:val="en-US" w:eastAsia="en-US"/>
        </w:rPr>
      </w:pPr>
      <w:r w:rsidRPr="004451CE">
        <w:rPr>
          <w:lang w:val="es-AR" w:eastAsia="en-US"/>
        </w:rPr>
        <w:t xml:space="preserve">38. </w:t>
      </w:r>
      <w:proofErr w:type="spellStart"/>
      <w:r w:rsidRPr="004451CE">
        <w:rPr>
          <w:lang w:val="es-AR" w:eastAsia="en-US"/>
        </w:rPr>
        <w:t>Fernandez-Canani</w:t>
      </w:r>
      <w:proofErr w:type="spellEnd"/>
      <w:r w:rsidRPr="004451CE">
        <w:rPr>
          <w:lang w:val="es-AR" w:eastAsia="en-US"/>
        </w:rPr>
        <w:t xml:space="preserve"> MA, Burga-Cachay SC, Valladares-Garrido </w:t>
      </w:r>
      <w:proofErr w:type="spellStart"/>
      <w:r w:rsidRPr="004451CE">
        <w:rPr>
          <w:lang w:val="es-AR" w:eastAsia="en-US"/>
        </w:rPr>
        <w:t>MJ</w:t>
      </w:r>
      <w:proofErr w:type="spellEnd"/>
      <w:r w:rsidRPr="004451CE">
        <w:rPr>
          <w:lang w:val="es-AR" w:eastAsia="en-US"/>
        </w:rPr>
        <w:t xml:space="preserve">. </w:t>
      </w:r>
      <w:r w:rsidRPr="004451CE">
        <w:rPr>
          <w:lang w:val="en-US" w:eastAsia="en-US"/>
        </w:rPr>
        <w:t>Association between Family Dysfunction and Post-Traumatic Stress Disorder in School Students during the Second COVID-19 Epidemic Wave in Peru. International Journal of Environmental Research and Public Health. 2022 [</w:t>
      </w:r>
      <w:proofErr w:type="spellStart"/>
      <w:r w:rsidRPr="004451CE">
        <w:rPr>
          <w:lang w:val="en-US" w:eastAsia="en-US"/>
        </w:rPr>
        <w:t>acceso</w:t>
      </w:r>
      <w:proofErr w:type="spellEnd"/>
      <w:r w:rsidRPr="004451CE">
        <w:rPr>
          <w:lang w:val="en-US" w:eastAsia="en-US"/>
        </w:rPr>
        <w:t xml:space="preserve">: 23/12/2022]; 19(15):9343. Disponible </w:t>
      </w:r>
      <w:proofErr w:type="spellStart"/>
      <w:r w:rsidRPr="004451CE">
        <w:rPr>
          <w:lang w:val="en-US" w:eastAsia="en-US"/>
        </w:rPr>
        <w:t>en</w:t>
      </w:r>
      <w:proofErr w:type="spellEnd"/>
      <w:r w:rsidRPr="004451CE">
        <w:rPr>
          <w:lang w:val="en-US" w:eastAsia="en-US"/>
        </w:rPr>
        <w:t xml:space="preserve">: </w:t>
      </w:r>
      <w:hyperlink r:id="rId59" w:history="1">
        <w:r w:rsidRPr="004451CE">
          <w:rPr>
            <w:color w:val="0000FF"/>
            <w:u w:val="single"/>
            <w:lang w:val="en-US" w:eastAsia="en-US"/>
          </w:rPr>
          <w:t>https://www.mdpi.com/1660-4601/19/15/9343</w:t>
        </w:r>
      </w:hyperlink>
      <w:r w:rsidRPr="004451CE">
        <w:rPr>
          <w:lang w:val="en-US" w:eastAsia="en-US"/>
        </w:rPr>
        <w:t xml:space="preserve"> </w:t>
      </w:r>
    </w:p>
    <w:p w14:paraId="4B6BDA39" w14:textId="77777777" w:rsidR="004451CE" w:rsidRPr="004451CE" w:rsidRDefault="004451CE" w:rsidP="004451CE">
      <w:pPr>
        <w:spacing w:line="360" w:lineRule="auto"/>
        <w:rPr>
          <w:rFonts w:eastAsia="Calibri"/>
          <w:lang w:val="en-US" w:eastAsia="en-US"/>
        </w:rPr>
      </w:pPr>
    </w:p>
    <w:p w14:paraId="039FA802" w14:textId="77777777" w:rsidR="004451CE" w:rsidRPr="004451CE" w:rsidRDefault="004451CE" w:rsidP="004451CE">
      <w:pPr>
        <w:pBdr>
          <w:top w:val="nil"/>
          <w:left w:val="nil"/>
          <w:bottom w:val="nil"/>
          <w:right w:val="nil"/>
          <w:between w:val="nil"/>
        </w:pBdr>
        <w:spacing w:line="360" w:lineRule="auto"/>
        <w:jc w:val="center"/>
        <w:rPr>
          <w:b/>
          <w:bCs/>
          <w:lang w:val="en-US" w:eastAsia="en-US"/>
        </w:rPr>
      </w:pPr>
    </w:p>
    <w:p w14:paraId="046E1291" w14:textId="77777777" w:rsidR="000F3DD7" w:rsidRDefault="000F3DD7">
      <w:pPr>
        <w:rPr>
          <w:b/>
          <w:bCs/>
          <w:lang w:val="es-AR" w:eastAsia="en-US"/>
        </w:rPr>
      </w:pPr>
      <w:r>
        <w:rPr>
          <w:b/>
          <w:bCs/>
          <w:lang w:val="es-AR" w:eastAsia="en-US"/>
        </w:rPr>
        <w:br w:type="page"/>
      </w:r>
    </w:p>
    <w:p w14:paraId="1EFD0C67" w14:textId="217E46C7" w:rsidR="004451CE" w:rsidRPr="004451CE" w:rsidRDefault="004451CE" w:rsidP="004451CE">
      <w:pPr>
        <w:pBdr>
          <w:top w:val="nil"/>
          <w:left w:val="nil"/>
          <w:bottom w:val="nil"/>
          <w:right w:val="nil"/>
          <w:between w:val="nil"/>
        </w:pBdr>
        <w:spacing w:line="360" w:lineRule="auto"/>
        <w:jc w:val="center"/>
        <w:rPr>
          <w:b/>
          <w:bCs/>
          <w:lang w:val="es-AR" w:eastAsia="en-US"/>
        </w:rPr>
      </w:pPr>
      <w:r w:rsidRPr="004451CE">
        <w:rPr>
          <w:b/>
          <w:bCs/>
          <w:lang w:val="es-AR" w:eastAsia="en-US"/>
        </w:rPr>
        <w:lastRenderedPageBreak/>
        <w:t>Conflictos de interés</w:t>
      </w:r>
    </w:p>
    <w:p w14:paraId="6CD17D51" w14:textId="77777777" w:rsidR="004451CE" w:rsidRPr="004451CE" w:rsidRDefault="004451CE" w:rsidP="004451CE">
      <w:pPr>
        <w:pBdr>
          <w:top w:val="nil"/>
          <w:left w:val="nil"/>
          <w:bottom w:val="nil"/>
          <w:right w:val="nil"/>
          <w:between w:val="nil"/>
        </w:pBdr>
        <w:spacing w:line="360" w:lineRule="auto"/>
        <w:jc w:val="both"/>
        <w:rPr>
          <w:lang w:val="es-AR" w:eastAsia="en-US"/>
        </w:rPr>
      </w:pPr>
      <w:r w:rsidRPr="004451CE">
        <w:rPr>
          <w:lang w:val="es-AR" w:eastAsia="en-US"/>
        </w:rPr>
        <w:t>Los autores declaran no tener ningún conflicto de interés.</w:t>
      </w:r>
    </w:p>
    <w:p w14:paraId="3BC18B94" w14:textId="77777777" w:rsidR="004451CE" w:rsidRPr="004451CE" w:rsidRDefault="004451CE" w:rsidP="004451CE">
      <w:pPr>
        <w:pBdr>
          <w:top w:val="nil"/>
          <w:left w:val="nil"/>
          <w:bottom w:val="nil"/>
          <w:right w:val="nil"/>
          <w:between w:val="nil"/>
        </w:pBdr>
        <w:spacing w:line="360" w:lineRule="auto"/>
        <w:jc w:val="both"/>
        <w:rPr>
          <w:lang w:val="es-AR" w:eastAsia="en-US"/>
        </w:rPr>
      </w:pPr>
    </w:p>
    <w:p w14:paraId="0B14900D" w14:textId="77777777" w:rsidR="004451CE" w:rsidRPr="004451CE" w:rsidRDefault="004451CE" w:rsidP="004451CE">
      <w:pPr>
        <w:pBdr>
          <w:top w:val="nil"/>
          <w:left w:val="nil"/>
          <w:bottom w:val="nil"/>
          <w:right w:val="nil"/>
          <w:between w:val="nil"/>
        </w:pBdr>
        <w:spacing w:line="360" w:lineRule="auto"/>
        <w:jc w:val="center"/>
        <w:rPr>
          <w:b/>
          <w:bCs/>
          <w:lang w:val="es-AR" w:eastAsia="en-US"/>
        </w:rPr>
      </w:pPr>
      <w:r w:rsidRPr="004451CE">
        <w:rPr>
          <w:b/>
          <w:bCs/>
          <w:lang w:val="es-AR" w:eastAsia="en-US"/>
        </w:rPr>
        <w:t>Contribuciones de los autores</w:t>
      </w:r>
    </w:p>
    <w:bookmarkEnd w:id="0"/>
    <w:p w14:paraId="2EE6E9B0" w14:textId="77777777" w:rsidR="004451CE" w:rsidRPr="004451CE" w:rsidRDefault="004451CE" w:rsidP="004451CE">
      <w:pPr>
        <w:spacing w:line="360" w:lineRule="auto"/>
        <w:jc w:val="both"/>
        <w:rPr>
          <w:rFonts w:eastAsia="Calibri"/>
          <w:i/>
          <w:iCs/>
          <w:lang w:val="es-PE" w:eastAsia="en-US"/>
        </w:rPr>
      </w:pPr>
      <w:r w:rsidRPr="004451CE">
        <w:rPr>
          <w:lang w:val="es-AR" w:eastAsia="en-US"/>
        </w:rPr>
        <w:t xml:space="preserve">Conceptualización: </w:t>
      </w:r>
      <w:r w:rsidRPr="004451CE">
        <w:rPr>
          <w:rFonts w:eastAsia="Calibri"/>
          <w:i/>
          <w:iCs/>
          <w:lang w:val="es-PE" w:eastAsia="en-US"/>
        </w:rPr>
        <w:t xml:space="preserve">Mario J. Valladares-Garrido, Palmer J. Hernández-Yépez, Sandy Bulnes </w:t>
      </w:r>
      <w:proofErr w:type="spellStart"/>
      <w:r w:rsidRPr="004451CE">
        <w:rPr>
          <w:rFonts w:eastAsia="Calibri"/>
          <w:i/>
          <w:iCs/>
          <w:lang w:val="es-PE" w:eastAsia="en-US"/>
        </w:rPr>
        <w:t>Alvarez</w:t>
      </w:r>
      <w:proofErr w:type="spellEnd"/>
      <w:r w:rsidRPr="004451CE">
        <w:rPr>
          <w:rFonts w:eastAsia="Calibri"/>
          <w:i/>
          <w:iCs/>
          <w:lang w:val="es-PE" w:eastAsia="en-US"/>
        </w:rPr>
        <w:t xml:space="preserve">, Mariana </w:t>
      </w:r>
      <w:proofErr w:type="spellStart"/>
      <w:r w:rsidRPr="004451CE">
        <w:rPr>
          <w:rFonts w:eastAsia="Calibri"/>
          <w:i/>
          <w:iCs/>
          <w:lang w:val="es-PE" w:eastAsia="en-US"/>
        </w:rPr>
        <w:t>Huaman</w:t>
      </w:r>
      <w:proofErr w:type="spellEnd"/>
      <w:r w:rsidRPr="004451CE">
        <w:rPr>
          <w:rFonts w:eastAsia="Calibri"/>
          <w:i/>
          <w:iCs/>
          <w:lang w:val="es-PE" w:eastAsia="en-US"/>
        </w:rPr>
        <w:t xml:space="preserve"> </w:t>
      </w:r>
      <w:proofErr w:type="spellStart"/>
      <w:r w:rsidRPr="004451CE">
        <w:rPr>
          <w:rFonts w:eastAsia="Calibri"/>
          <w:i/>
          <w:iCs/>
          <w:lang w:val="es-PE" w:eastAsia="en-US"/>
        </w:rPr>
        <w:t>Garcia</w:t>
      </w:r>
      <w:proofErr w:type="spellEnd"/>
      <w:r w:rsidRPr="004451CE">
        <w:rPr>
          <w:rFonts w:eastAsia="Calibri"/>
          <w:i/>
          <w:iCs/>
          <w:lang w:val="es-PE" w:eastAsia="en-US"/>
        </w:rPr>
        <w:t xml:space="preserve">, Laura M. </w:t>
      </w:r>
      <w:proofErr w:type="spellStart"/>
      <w:r w:rsidRPr="004451CE">
        <w:rPr>
          <w:rFonts w:eastAsia="Calibri"/>
          <w:i/>
          <w:iCs/>
          <w:lang w:val="es-PE" w:eastAsia="en-US"/>
        </w:rPr>
        <w:t>Ccosco</w:t>
      </w:r>
      <w:proofErr w:type="spellEnd"/>
      <w:r w:rsidRPr="004451CE">
        <w:rPr>
          <w:rFonts w:eastAsia="Calibri"/>
          <w:i/>
          <w:iCs/>
          <w:lang w:val="es-PE" w:eastAsia="en-US"/>
        </w:rPr>
        <w:t>-Blas, Paola J. Ramos-</w:t>
      </w:r>
      <w:proofErr w:type="spellStart"/>
      <w:r w:rsidRPr="004451CE">
        <w:rPr>
          <w:rFonts w:eastAsia="Calibri"/>
          <w:i/>
          <w:iCs/>
          <w:lang w:val="es-PE" w:eastAsia="en-US"/>
        </w:rPr>
        <w:t>Rupay</w:t>
      </w:r>
      <w:proofErr w:type="spellEnd"/>
      <w:r w:rsidRPr="004451CE">
        <w:rPr>
          <w:rFonts w:eastAsia="Calibri"/>
          <w:i/>
          <w:iCs/>
          <w:lang w:val="es-PE" w:eastAsia="en-US"/>
        </w:rPr>
        <w:t xml:space="preserve">, Alix X. Rivera-Pinto, Deyanira </w:t>
      </w:r>
      <w:proofErr w:type="spellStart"/>
      <w:r w:rsidRPr="004451CE">
        <w:rPr>
          <w:rFonts w:eastAsia="Calibri"/>
          <w:i/>
          <w:iCs/>
          <w:lang w:val="es-PE" w:eastAsia="en-US"/>
        </w:rPr>
        <w:t>Vertiz</w:t>
      </w:r>
      <w:proofErr w:type="spellEnd"/>
      <w:r w:rsidRPr="004451CE">
        <w:rPr>
          <w:rFonts w:eastAsia="Calibri"/>
          <w:i/>
          <w:iCs/>
          <w:lang w:val="es-PE" w:eastAsia="en-US"/>
        </w:rPr>
        <w:t xml:space="preserve">-Cuadra, </w:t>
      </w:r>
      <w:r w:rsidRPr="004451CE">
        <w:rPr>
          <w:rFonts w:eastAsia="Calibri"/>
          <w:bCs/>
          <w:i/>
          <w:lang w:val="es-PE" w:eastAsia="en-US"/>
        </w:rPr>
        <w:t xml:space="preserve">Virgilio E. </w:t>
      </w:r>
      <w:proofErr w:type="spellStart"/>
      <w:r w:rsidRPr="004451CE">
        <w:rPr>
          <w:rFonts w:eastAsia="Calibri"/>
          <w:bCs/>
          <w:i/>
          <w:lang w:val="es-PE" w:eastAsia="en-US"/>
        </w:rPr>
        <w:t>Failoc</w:t>
      </w:r>
      <w:proofErr w:type="spellEnd"/>
      <w:r w:rsidRPr="004451CE">
        <w:rPr>
          <w:rFonts w:eastAsia="Calibri"/>
          <w:bCs/>
          <w:i/>
          <w:lang w:val="es-PE" w:eastAsia="en-US"/>
        </w:rPr>
        <w:t>-Rojas</w:t>
      </w:r>
      <w:r w:rsidRPr="004451CE">
        <w:rPr>
          <w:rFonts w:eastAsia="Calibri"/>
          <w:i/>
          <w:iCs/>
          <w:lang w:val="es-PE" w:eastAsia="en-US"/>
        </w:rPr>
        <w:t>, Fiorella Inga-Berrospi.</w:t>
      </w:r>
    </w:p>
    <w:p w14:paraId="6B9FC9CB" w14:textId="77777777" w:rsidR="004451CE" w:rsidRPr="004451CE" w:rsidRDefault="004451CE" w:rsidP="004451CE">
      <w:pPr>
        <w:spacing w:line="360" w:lineRule="auto"/>
        <w:jc w:val="both"/>
        <w:rPr>
          <w:b/>
          <w:bCs/>
          <w:i/>
          <w:iCs/>
          <w:lang w:val="es-PE" w:eastAsia="en-US"/>
        </w:rPr>
      </w:pPr>
      <w:r w:rsidRPr="004451CE">
        <w:rPr>
          <w:lang w:val="es-AR" w:eastAsia="en-US"/>
        </w:rPr>
        <w:t>Análisis formal:</w:t>
      </w:r>
      <w:r w:rsidRPr="004451CE">
        <w:rPr>
          <w:rFonts w:eastAsia="Calibri"/>
          <w:i/>
          <w:iCs/>
          <w:lang w:val="es-PE" w:eastAsia="en-US"/>
        </w:rPr>
        <w:t xml:space="preserve"> Mario J. Valladares-Garrido, Palmer J. Hernández-Yépez, Alix X. Rivera-Pinto, Deyanira </w:t>
      </w:r>
      <w:proofErr w:type="spellStart"/>
      <w:r w:rsidRPr="004451CE">
        <w:rPr>
          <w:rFonts w:eastAsia="Calibri"/>
          <w:i/>
          <w:iCs/>
          <w:lang w:val="es-PE" w:eastAsia="en-US"/>
        </w:rPr>
        <w:t>Vertiz</w:t>
      </w:r>
      <w:proofErr w:type="spellEnd"/>
      <w:r w:rsidRPr="004451CE">
        <w:rPr>
          <w:rFonts w:eastAsia="Calibri"/>
          <w:i/>
          <w:iCs/>
          <w:lang w:val="es-PE" w:eastAsia="en-US"/>
        </w:rPr>
        <w:t xml:space="preserve">-Cuadra, </w:t>
      </w:r>
      <w:r w:rsidRPr="004451CE">
        <w:rPr>
          <w:rFonts w:eastAsia="Calibri"/>
          <w:bCs/>
          <w:i/>
          <w:lang w:val="es-PE" w:eastAsia="en-US"/>
        </w:rPr>
        <w:t xml:space="preserve">Virgilio E. </w:t>
      </w:r>
      <w:proofErr w:type="spellStart"/>
      <w:r w:rsidRPr="004451CE">
        <w:rPr>
          <w:rFonts w:eastAsia="Calibri"/>
          <w:bCs/>
          <w:i/>
          <w:lang w:val="es-PE" w:eastAsia="en-US"/>
        </w:rPr>
        <w:t>Failoc</w:t>
      </w:r>
      <w:proofErr w:type="spellEnd"/>
      <w:r w:rsidRPr="004451CE">
        <w:rPr>
          <w:rFonts w:eastAsia="Calibri"/>
          <w:bCs/>
          <w:i/>
          <w:lang w:val="es-PE" w:eastAsia="en-US"/>
        </w:rPr>
        <w:t>-Rojas</w:t>
      </w:r>
      <w:r w:rsidRPr="004451CE">
        <w:rPr>
          <w:rFonts w:eastAsia="Calibri"/>
          <w:i/>
          <w:iCs/>
          <w:lang w:val="es-PE" w:eastAsia="en-US"/>
        </w:rPr>
        <w:t>, Fiorella Inga-Berrospi</w:t>
      </w:r>
    </w:p>
    <w:p w14:paraId="6C0D6E2C" w14:textId="77777777" w:rsidR="004451CE" w:rsidRPr="004451CE" w:rsidRDefault="004451CE" w:rsidP="004451CE">
      <w:pPr>
        <w:spacing w:line="360" w:lineRule="auto"/>
        <w:jc w:val="both"/>
        <w:rPr>
          <w:b/>
          <w:bCs/>
          <w:i/>
          <w:iCs/>
          <w:lang w:val="es-PE" w:eastAsia="en-US"/>
        </w:rPr>
      </w:pPr>
      <w:r w:rsidRPr="004451CE">
        <w:rPr>
          <w:lang w:val="es-AR" w:eastAsia="en-US"/>
        </w:rPr>
        <w:t>Investigación:</w:t>
      </w:r>
      <w:r w:rsidRPr="004451CE">
        <w:rPr>
          <w:rFonts w:eastAsia="Calibri"/>
          <w:i/>
          <w:iCs/>
          <w:lang w:val="es-PE" w:eastAsia="en-US"/>
        </w:rPr>
        <w:t xml:space="preserve"> Mario J. Valladares-Garrido, Palmer J. Hernández-Yépez, Sandy Bulnes </w:t>
      </w:r>
      <w:proofErr w:type="spellStart"/>
      <w:r w:rsidRPr="004451CE">
        <w:rPr>
          <w:rFonts w:eastAsia="Calibri"/>
          <w:i/>
          <w:iCs/>
          <w:lang w:val="es-PE" w:eastAsia="en-US"/>
        </w:rPr>
        <w:t>Alvarez</w:t>
      </w:r>
      <w:proofErr w:type="spellEnd"/>
      <w:r w:rsidRPr="004451CE">
        <w:rPr>
          <w:rFonts w:eastAsia="Calibri"/>
          <w:i/>
          <w:iCs/>
          <w:lang w:val="es-PE" w:eastAsia="en-US"/>
        </w:rPr>
        <w:t xml:space="preserve">, Mariana </w:t>
      </w:r>
      <w:proofErr w:type="spellStart"/>
      <w:r w:rsidRPr="004451CE">
        <w:rPr>
          <w:rFonts w:eastAsia="Calibri"/>
          <w:i/>
          <w:iCs/>
          <w:lang w:val="es-PE" w:eastAsia="en-US"/>
        </w:rPr>
        <w:t>Huaman</w:t>
      </w:r>
      <w:proofErr w:type="spellEnd"/>
      <w:r w:rsidRPr="004451CE">
        <w:rPr>
          <w:rFonts w:eastAsia="Calibri"/>
          <w:i/>
          <w:iCs/>
          <w:lang w:val="es-PE" w:eastAsia="en-US"/>
        </w:rPr>
        <w:t xml:space="preserve"> </w:t>
      </w:r>
      <w:proofErr w:type="spellStart"/>
      <w:r w:rsidRPr="004451CE">
        <w:rPr>
          <w:rFonts w:eastAsia="Calibri"/>
          <w:i/>
          <w:iCs/>
          <w:lang w:val="es-PE" w:eastAsia="en-US"/>
        </w:rPr>
        <w:t>Garcia</w:t>
      </w:r>
      <w:proofErr w:type="spellEnd"/>
      <w:r w:rsidRPr="004451CE">
        <w:rPr>
          <w:rFonts w:eastAsia="Calibri"/>
          <w:i/>
          <w:iCs/>
          <w:lang w:val="es-PE" w:eastAsia="en-US"/>
        </w:rPr>
        <w:t xml:space="preserve">, Laura M. </w:t>
      </w:r>
      <w:proofErr w:type="spellStart"/>
      <w:r w:rsidRPr="004451CE">
        <w:rPr>
          <w:rFonts w:eastAsia="Calibri"/>
          <w:i/>
          <w:iCs/>
          <w:lang w:val="es-PE" w:eastAsia="en-US"/>
        </w:rPr>
        <w:t>Ccosco</w:t>
      </w:r>
      <w:proofErr w:type="spellEnd"/>
      <w:r w:rsidRPr="004451CE">
        <w:rPr>
          <w:rFonts w:eastAsia="Calibri"/>
          <w:i/>
          <w:iCs/>
          <w:lang w:val="es-PE" w:eastAsia="en-US"/>
        </w:rPr>
        <w:t>-Blas, Paola J. Ramos-</w:t>
      </w:r>
      <w:proofErr w:type="spellStart"/>
      <w:r w:rsidRPr="004451CE">
        <w:rPr>
          <w:rFonts w:eastAsia="Calibri"/>
          <w:i/>
          <w:iCs/>
          <w:lang w:val="es-PE" w:eastAsia="en-US"/>
        </w:rPr>
        <w:t>Rupay</w:t>
      </w:r>
      <w:proofErr w:type="spellEnd"/>
      <w:r w:rsidRPr="004451CE">
        <w:rPr>
          <w:rFonts w:eastAsia="Calibri"/>
          <w:i/>
          <w:iCs/>
          <w:lang w:val="es-PE" w:eastAsia="en-US"/>
        </w:rPr>
        <w:t xml:space="preserve">, Alix X. Rivera-Pinto, Deyanira </w:t>
      </w:r>
      <w:proofErr w:type="spellStart"/>
      <w:r w:rsidRPr="004451CE">
        <w:rPr>
          <w:rFonts w:eastAsia="Calibri"/>
          <w:i/>
          <w:iCs/>
          <w:lang w:val="es-PE" w:eastAsia="en-US"/>
        </w:rPr>
        <w:t>Vertiz</w:t>
      </w:r>
      <w:proofErr w:type="spellEnd"/>
      <w:r w:rsidRPr="004451CE">
        <w:rPr>
          <w:rFonts w:eastAsia="Calibri"/>
          <w:i/>
          <w:iCs/>
          <w:lang w:val="es-PE" w:eastAsia="en-US"/>
        </w:rPr>
        <w:t xml:space="preserve">-Cuadra, </w:t>
      </w:r>
      <w:r w:rsidRPr="004451CE">
        <w:rPr>
          <w:rFonts w:eastAsia="Calibri"/>
          <w:bCs/>
          <w:i/>
          <w:lang w:val="es-PE" w:eastAsia="en-US"/>
        </w:rPr>
        <w:t xml:space="preserve">Virgilio E. </w:t>
      </w:r>
      <w:proofErr w:type="spellStart"/>
      <w:r w:rsidRPr="004451CE">
        <w:rPr>
          <w:rFonts w:eastAsia="Calibri"/>
          <w:bCs/>
          <w:i/>
          <w:lang w:val="es-PE" w:eastAsia="en-US"/>
        </w:rPr>
        <w:t>Failoc</w:t>
      </w:r>
      <w:proofErr w:type="spellEnd"/>
      <w:r w:rsidRPr="004451CE">
        <w:rPr>
          <w:rFonts w:eastAsia="Calibri"/>
          <w:bCs/>
          <w:i/>
          <w:lang w:val="es-PE" w:eastAsia="en-US"/>
        </w:rPr>
        <w:t>-Rojas</w:t>
      </w:r>
      <w:r w:rsidRPr="004451CE">
        <w:rPr>
          <w:rFonts w:eastAsia="Calibri"/>
          <w:i/>
          <w:iCs/>
          <w:lang w:val="es-PE" w:eastAsia="en-US"/>
        </w:rPr>
        <w:t>, Fiorella Inga-Berrospi.</w:t>
      </w:r>
    </w:p>
    <w:p w14:paraId="5A4890E2" w14:textId="77777777" w:rsidR="004451CE" w:rsidRPr="004451CE" w:rsidRDefault="004451CE" w:rsidP="004451CE">
      <w:pPr>
        <w:spacing w:line="360" w:lineRule="auto"/>
        <w:jc w:val="both"/>
        <w:rPr>
          <w:b/>
          <w:bCs/>
          <w:i/>
          <w:iCs/>
          <w:lang w:val="es-PE" w:eastAsia="en-US"/>
        </w:rPr>
      </w:pPr>
      <w:r w:rsidRPr="004451CE">
        <w:rPr>
          <w:lang w:val="es-AR" w:eastAsia="en-US"/>
        </w:rPr>
        <w:t>Metodología:</w:t>
      </w:r>
      <w:r w:rsidRPr="004451CE">
        <w:rPr>
          <w:rFonts w:eastAsia="Calibri"/>
          <w:i/>
          <w:iCs/>
          <w:lang w:val="es-PE" w:eastAsia="en-US"/>
        </w:rPr>
        <w:t xml:space="preserve"> Mario J. Valladares-Garrido, Palmer J. Hernández-Yépez, Fiorella Inga-Berrospi.</w:t>
      </w:r>
    </w:p>
    <w:p w14:paraId="2CEB1488" w14:textId="77777777" w:rsidR="004451CE" w:rsidRPr="004451CE" w:rsidRDefault="004451CE" w:rsidP="004451CE">
      <w:pPr>
        <w:spacing w:line="360" w:lineRule="auto"/>
        <w:jc w:val="both"/>
        <w:rPr>
          <w:b/>
          <w:bCs/>
          <w:i/>
          <w:iCs/>
          <w:lang w:val="es-PE" w:eastAsia="en-US"/>
        </w:rPr>
      </w:pPr>
      <w:r w:rsidRPr="004451CE">
        <w:rPr>
          <w:lang w:val="es-AR" w:eastAsia="en-US"/>
        </w:rPr>
        <w:t>Administración del proyecto:</w:t>
      </w:r>
      <w:r w:rsidRPr="004451CE">
        <w:rPr>
          <w:rFonts w:eastAsia="Calibri"/>
          <w:i/>
          <w:iCs/>
          <w:lang w:val="es-PE" w:eastAsia="en-US"/>
        </w:rPr>
        <w:t xml:space="preserve"> Mario J. Valladares-Garrido, Palmer J. Hernández-Yépez, Deyanira </w:t>
      </w:r>
      <w:proofErr w:type="spellStart"/>
      <w:r w:rsidRPr="004451CE">
        <w:rPr>
          <w:rFonts w:eastAsia="Calibri"/>
          <w:i/>
          <w:iCs/>
          <w:lang w:val="es-PE" w:eastAsia="en-US"/>
        </w:rPr>
        <w:t>Vertiz</w:t>
      </w:r>
      <w:proofErr w:type="spellEnd"/>
      <w:r w:rsidRPr="004451CE">
        <w:rPr>
          <w:rFonts w:eastAsia="Calibri"/>
          <w:i/>
          <w:iCs/>
          <w:lang w:val="es-PE" w:eastAsia="en-US"/>
        </w:rPr>
        <w:t>-Cuadra, Fiorella Inga-Berrospi.</w:t>
      </w:r>
    </w:p>
    <w:p w14:paraId="517F647F" w14:textId="77777777" w:rsidR="004451CE" w:rsidRPr="004451CE" w:rsidRDefault="004451CE" w:rsidP="004451CE">
      <w:pPr>
        <w:spacing w:line="360" w:lineRule="auto"/>
        <w:jc w:val="both"/>
        <w:rPr>
          <w:b/>
          <w:bCs/>
          <w:i/>
          <w:iCs/>
          <w:lang w:val="es-PE" w:eastAsia="en-US"/>
        </w:rPr>
      </w:pPr>
      <w:r w:rsidRPr="004451CE">
        <w:rPr>
          <w:lang w:val="es-AR" w:eastAsia="en-US"/>
        </w:rPr>
        <w:t>Recursos:</w:t>
      </w:r>
      <w:r w:rsidRPr="004451CE">
        <w:rPr>
          <w:rFonts w:eastAsia="Calibri"/>
          <w:i/>
          <w:iCs/>
          <w:lang w:val="es-PE" w:eastAsia="en-US"/>
        </w:rPr>
        <w:t xml:space="preserve"> Mario J. Valladares-Garrido, Palmer J. Hernández-Yépez, Sandy Bulnes </w:t>
      </w:r>
      <w:proofErr w:type="spellStart"/>
      <w:r w:rsidRPr="004451CE">
        <w:rPr>
          <w:rFonts w:eastAsia="Calibri"/>
          <w:i/>
          <w:iCs/>
          <w:lang w:val="es-PE" w:eastAsia="en-US"/>
        </w:rPr>
        <w:t>Alvarez</w:t>
      </w:r>
      <w:proofErr w:type="spellEnd"/>
      <w:r w:rsidRPr="004451CE">
        <w:rPr>
          <w:rFonts w:eastAsia="Calibri"/>
          <w:i/>
          <w:iCs/>
          <w:lang w:val="es-PE" w:eastAsia="en-US"/>
        </w:rPr>
        <w:t xml:space="preserve">, Mariana </w:t>
      </w:r>
      <w:proofErr w:type="spellStart"/>
      <w:r w:rsidRPr="004451CE">
        <w:rPr>
          <w:rFonts w:eastAsia="Calibri"/>
          <w:i/>
          <w:iCs/>
          <w:lang w:val="es-PE" w:eastAsia="en-US"/>
        </w:rPr>
        <w:t>Huaman</w:t>
      </w:r>
      <w:proofErr w:type="spellEnd"/>
      <w:r w:rsidRPr="004451CE">
        <w:rPr>
          <w:rFonts w:eastAsia="Calibri"/>
          <w:i/>
          <w:iCs/>
          <w:lang w:val="es-PE" w:eastAsia="en-US"/>
        </w:rPr>
        <w:t xml:space="preserve"> </w:t>
      </w:r>
      <w:proofErr w:type="spellStart"/>
      <w:r w:rsidRPr="004451CE">
        <w:rPr>
          <w:rFonts w:eastAsia="Calibri"/>
          <w:i/>
          <w:iCs/>
          <w:lang w:val="es-PE" w:eastAsia="en-US"/>
        </w:rPr>
        <w:t>Garcia</w:t>
      </w:r>
      <w:proofErr w:type="spellEnd"/>
      <w:r w:rsidRPr="004451CE">
        <w:rPr>
          <w:rFonts w:eastAsia="Calibri"/>
          <w:i/>
          <w:iCs/>
          <w:lang w:val="es-PE" w:eastAsia="en-US"/>
        </w:rPr>
        <w:t xml:space="preserve">, Laura M. </w:t>
      </w:r>
      <w:proofErr w:type="spellStart"/>
      <w:r w:rsidRPr="004451CE">
        <w:rPr>
          <w:rFonts w:eastAsia="Calibri"/>
          <w:i/>
          <w:iCs/>
          <w:lang w:val="es-PE" w:eastAsia="en-US"/>
        </w:rPr>
        <w:t>Ccosco</w:t>
      </w:r>
      <w:proofErr w:type="spellEnd"/>
      <w:r w:rsidRPr="004451CE">
        <w:rPr>
          <w:rFonts w:eastAsia="Calibri"/>
          <w:i/>
          <w:iCs/>
          <w:lang w:val="es-PE" w:eastAsia="en-US"/>
        </w:rPr>
        <w:t>-Blas, Paola J. Ramos-</w:t>
      </w:r>
      <w:proofErr w:type="spellStart"/>
      <w:r w:rsidRPr="004451CE">
        <w:rPr>
          <w:rFonts w:eastAsia="Calibri"/>
          <w:i/>
          <w:iCs/>
          <w:lang w:val="es-PE" w:eastAsia="en-US"/>
        </w:rPr>
        <w:t>Rupay</w:t>
      </w:r>
      <w:proofErr w:type="spellEnd"/>
      <w:r w:rsidRPr="004451CE">
        <w:rPr>
          <w:rFonts w:eastAsia="Calibri"/>
          <w:i/>
          <w:iCs/>
          <w:lang w:val="es-PE" w:eastAsia="en-US"/>
        </w:rPr>
        <w:t xml:space="preserve">, Alix X. Rivera-Pinto, Deyanira </w:t>
      </w:r>
      <w:proofErr w:type="spellStart"/>
      <w:r w:rsidRPr="004451CE">
        <w:rPr>
          <w:rFonts w:eastAsia="Calibri"/>
          <w:i/>
          <w:iCs/>
          <w:lang w:val="es-PE" w:eastAsia="en-US"/>
        </w:rPr>
        <w:t>Vertiz</w:t>
      </w:r>
      <w:proofErr w:type="spellEnd"/>
      <w:r w:rsidRPr="004451CE">
        <w:rPr>
          <w:rFonts w:eastAsia="Calibri"/>
          <w:i/>
          <w:iCs/>
          <w:lang w:val="es-PE" w:eastAsia="en-US"/>
        </w:rPr>
        <w:t xml:space="preserve">-Cuadra, </w:t>
      </w:r>
      <w:r w:rsidRPr="004451CE">
        <w:rPr>
          <w:rFonts w:eastAsia="Calibri"/>
          <w:bCs/>
          <w:i/>
          <w:lang w:val="es-PE" w:eastAsia="en-US"/>
        </w:rPr>
        <w:t xml:space="preserve">Virgilio E. </w:t>
      </w:r>
      <w:proofErr w:type="spellStart"/>
      <w:r w:rsidRPr="004451CE">
        <w:rPr>
          <w:rFonts w:eastAsia="Calibri"/>
          <w:bCs/>
          <w:i/>
          <w:lang w:val="es-PE" w:eastAsia="en-US"/>
        </w:rPr>
        <w:t>Failoc</w:t>
      </w:r>
      <w:proofErr w:type="spellEnd"/>
      <w:r w:rsidRPr="004451CE">
        <w:rPr>
          <w:rFonts w:eastAsia="Calibri"/>
          <w:bCs/>
          <w:i/>
          <w:lang w:val="es-PE" w:eastAsia="en-US"/>
        </w:rPr>
        <w:t>-Rojas</w:t>
      </w:r>
      <w:r w:rsidRPr="004451CE">
        <w:rPr>
          <w:rFonts w:eastAsia="Calibri"/>
          <w:i/>
          <w:iCs/>
          <w:lang w:val="es-PE" w:eastAsia="en-US"/>
        </w:rPr>
        <w:t>, Fiorella Inga-Berrospi.</w:t>
      </w:r>
    </w:p>
    <w:p w14:paraId="1F3F33BB" w14:textId="77777777" w:rsidR="004451CE" w:rsidRPr="004451CE" w:rsidRDefault="004451CE" w:rsidP="004451CE">
      <w:pPr>
        <w:spacing w:line="360" w:lineRule="auto"/>
        <w:jc w:val="both"/>
        <w:rPr>
          <w:rFonts w:eastAsia="Calibri"/>
          <w:i/>
          <w:iCs/>
          <w:lang w:val="es-PE" w:eastAsia="en-US"/>
        </w:rPr>
      </w:pPr>
      <w:r w:rsidRPr="004451CE">
        <w:rPr>
          <w:lang w:val="es-AR" w:eastAsia="en-US"/>
        </w:rPr>
        <w:t>Supervisión:</w:t>
      </w:r>
      <w:r w:rsidRPr="004451CE">
        <w:rPr>
          <w:rFonts w:eastAsia="Calibri"/>
          <w:i/>
          <w:iCs/>
          <w:lang w:val="es-PE" w:eastAsia="en-US"/>
        </w:rPr>
        <w:t xml:space="preserve"> Mario J. Valladares-Garrido, Palmer J. Hernández-Yépez, Sandy Bulnes </w:t>
      </w:r>
      <w:proofErr w:type="spellStart"/>
      <w:r w:rsidRPr="004451CE">
        <w:rPr>
          <w:rFonts w:eastAsia="Calibri"/>
          <w:i/>
          <w:iCs/>
          <w:lang w:val="es-PE" w:eastAsia="en-US"/>
        </w:rPr>
        <w:t>Alvarez</w:t>
      </w:r>
      <w:proofErr w:type="spellEnd"/>
      <w:r w:rsidRPr="004451CE">
        <w:rPr>
          <w:rFonts w:eastAsia="Calibri"/>
          <w:i/>
          <w:iCs/>
          <w:lang w:val="es-PE" w:eastAsia="en-US"/>
        </w:rPr>
        <w:t xml:space="preserve">, Mariana </w:t>
      </w:r>
      <w:proofErr w:type="spellStart"/>
      <w:r w:rsidRPr="004451CE">
        <w:rPr>
          <w:rFonts w:eastAsia="Calibri"/>
          <w:i/>
          <w:iCs/>
          <w:lang w:val="es-PE" w:eastAsia="en-US"/>
        </w:rPr>
        <w:t>Huaman</w:t>
      </w:r>
      <w:proofErr w:type="spellEnd"/>
      <w:r w:rsidRPr="004451CE">
        <w:rPr>
          <w:rFonts w:eastAsia="Calibri"/>
          <w:i/>
          <w:iCs/>
          <w:lang w:val="es-PE" w:eastAsia="en-US"/>
        </w:rPr>
        <w:t xml:space="preserve"> </w:t>
      </w:r>
      <w:proofErr w:type="spellStart"/>
      <w:r w:rsidRPr="004451CE">
        <w:rPr>
          <w:rFonts w:eastAsia="Calibri"/>
          <w:i/>
          <w:iCs/>
          <w:lang w:val="es-PE" w:eastAsia="en-US"/>
        </w:rPr>
        <w:t>Garcia</w:t>
      </w:r>
      <w:proofErr w:type="spellEnd"/>
      <w:r w:rsidRPr="004451CE">
        <w:rPr>
          <w:rFonts w:eastAsia="Calibri"/>
          <w:i/>
          <w:iCs/>
          <w:lang w:val="es-PE" w:eastAsia="en-US"/>
        </w:rPr>
        <w:t xml:space="preserve">, Laura M. </w:t>
      </w:r>
      <w:proofErr w:type="spellStart"/>
      <w:r w:rsidRPr="004451CE">
        <w:rPr>
          <w:rFonts w:eastAsia="Calibri"/>
          <w:i/>
          <w:iCs/>
          <w:lang w:val="es-PE" w:eastAsia="en-US"/>
        </w:rPr>
        <w:t>Ccosco</w:t>
      </w:r>
      <w:proofErr w:type="spellEnd"/>
      <w:r w:rsidRPr="004451CE">
        <w:rPr>
          <w:rFonts w:eastAsia="Calibri"/>
          <w:i/>
          <w:iCs/>
          <w:lang w:val="es-PE" w:eastAsia="en-US"/>
        </w:rPr>
        <w:t>-Blas, Paola J. Ramos-</w:t>
      </w:r>
      <w:proofErr w:type="spellStart"/>
      <w:r w:rsidRPr="004451CE">
        <w:rPr>
          <w:rFonts w:eastAsia="Calibri"/>
          <w:i/>
          <w:iCs/>
          <w:lang w:val="es-PE" w:eastAsia="en-US"/>
        </w:rPr>
        <w:t>Rupay</w:t>
      </w:r>
      <w:proofErr w:type="spellEnd"/>
      <w:r w:rsidRPr="004451CE">
        <w:rPr>
          <w:rFonts w:eastAsia="Calibri"/>
          <w:i/>
          <w:iCs/>
          <w:lang w:val="es-PE" w:eastAsia="en-US"/>
        </w:rPr>
        <w:t xml:space="preserve">, Alix X. Rivera-Pinto, Deyanira </w:t>
      </w:r>
      <w:proofErr w:type="spellStart"/>
      <w:r w:rsidRPr="004451CE">
        <w:rPr>
          <w:rFonts w:eastAsia="Calibri"/>
          <w:i/>
          <w:iCs/>
          <w:lang w:val="es-PE" w:eastAsia="en-US"/>
        </w:rPr>
        <w:t>Vertiz</w:t>
      </w:r>
      <w:proofErr w:type="spellEnd"/>
      <w:r w:rsidRPr="004451CE">
        <w:rPr>
          <w:rFonts w:eastAsia="Calibri"/>
          <w:i/>
          <w:iCs/>
          <w:lang w:val="es-PE" w:eastAsia="en-US"/>
        </w:rPr>
        <w:t xml:space="preserve">-Cuadra, </w:t>
      </w:r>
      <w:r w:rsidRPr="004451CE">
        <w:rPr>
          <w:rFonts w:eastAsia="Calibri"/>
          <w:bCs/>
          <w:i/>
          <w:lang w:val="es-PE" w:eastAsia="en-US"/>
        </w:rPr>
        <w:t xml:space="preserve">Virgilio E. </w:t>
      </w:r>
      <w:proofErr w:type="spellStart"/>
      <w:r w:rsidRPr="004451CE">
        <w:rPr>
          <w:rFonts w:eastAsia="Calibri"/>
          <w:bCs/>
          <w:i/>
          <w:lang w:val="es-PE" w:eastAsia="en-US"/>
        </w:rPr>
        <w:t>Failoc</w:t>
      </w:r>
      <w:proofErr w:type="spellEnd"/>
      <w:r w:rsidRPr="004451CE">
        <w:rPr>
          <w:rFonts w:eastAsia="Calibri"/>
          <w:bCs/>
          <w:i/>
          <w:lang w:val="es-PE" w:eastAsia="en-US"/>
        </w:rPr>
        <w:t>-Rojas</w:t>
      </w:r>
      <w:r w:rsidRPr="004451CE">
        <w:rPr>
          <w:rFonts w:eastAsia="Calibri"/>
          <w:i/>
          <w:iCs/>
          <w:lang w:val="es-PE" w:eastAsia="en-US"/>
        </w:rPr>
        <w:t>, Fiorella Inga-Berrospi.</w:t>
      </w:r>
    </w:p>
    <w:p w14:paraId="56B04D5F" w14:textId="77777777" w:rsidR="004451CE" w:rsidRPr="004451CE" w:rsidRDefault="004451CE" w:rsidP="004451CE">
      <w:pPr>
        <w:spacing w:line="360" w:lineRule="auto"/>
        <w:jc w:val="both"/>
        <w:rPr>
          <w:b/>
          <w:bCs/>
          <w:i/>
          <w:iCs/>
          <w:lang w:val="es-PE" w:eastAsia="en-US"/>
        </w:rPr>
      </w:pPr>
      <w:r w:rsidRPr="004451CE">
        <w:rPr>
          <w:lang w:val="es-AR" w:eastAsia="en-US"/>
        </w:rPr>
        <w:t>Redacción - borrador original:</w:t>
      </w:r>
      <w:r w:rsidRPr="004451CE">
        <w:rPr>
          <w:rFonts w:eastAsia="Calibri"/>
          <w:i/>
          <w:iCs/>
          <w:lang w:val="es-PE" w:eastAsia="en-US"/>
        </w:rPr>
        <w:t xml:space="preserve"> Mario J. Valladares-Garrido, Palmer J. Hernández-Yépez, Fiorella Inga-Berrospi.</w:t>
      </w:r>
    </w:p>
    <w:p w14:paraId="44951771" w14:textId="77777777" w:rsidR="004451CE" w:rsidRPr="004451CE" w:rsidRDefault="004451CE" w:rsidP="004451CE">
      <w:pPr>
        <w:spacing w:line="360" w:lineRule="auto"/>
        <w:jc w:val="both"/>
        <w:rPr>
          <w:rFonts w:eastAsia="Calibri"/>
          <w:i/>
          <w:iCs/>
          <w:lang w:val="es-PE" w:eastAsia="en-US"/>
        </w:rPr>
      </w:pPr>
      <w:r w:rsidRPr="004451CE">
        <w:rPr>
          <w:lang w:val="es-AR" w:eastAsia="en-US"/>
        </w:rPr>
        <w:t>Redacción - revisión y edición:</w:t>
      </w:r>
      <w:r w:rsidRPr="004451CE">
        <w:rPr>
          <w:rFonts w:eastAsia="Calibri"/>
          <w:i/>
          <w:iCs/>
          <w:lang w:val="es-PE" w:eastAsia="en-US"/>
        </w:rPr>
        <w:t xml:space="preserve"> Mario J. Valladares-Garrido, Palmer J. Hernández-Yépez, Sandy Bulnes </w:t>
      </w:r>
      <w:proofErr w:type="spellStart"/>
      <w:r w:rsidRPr="004451CE">
        <w:rPr>
          <w:rFonts w:eastAsia="Calibri"/>
          <w:i/>
          <w:iCs/>
          <w:lang w:val="es-PE" w:eastAsia="en-US"/>
        </w:rPr>
        <w:t>Alvarez</w:t>
      </w:r>
      <w:proofErr w:type="spellEnd"/>
      <w:r w:rsidRPr="004451CE">
        <w:rPr>
          <w:rFonts w:eastAsia="Calibri"/>
          <w:i/>
          <w:iCs/>
          <w:lang w:val="es-PE" w:eastAsia="en-US"/>
        </w:rPr>
        <w:t xml:space="preserve">, Mariana </w:t>
      </w:r>
      <w:proofErr w:type="spellStart"/>
      <w:r w:rsidRPr="004451CE">
        <w:rPr>
          <w:rFonts w:eastAsia="Calibri"/>
          <w:i/>
          <w:iCs/>
          <w:lang w:val="es-PE" w:eastAsia="en-US"/>
        </w:rPr>
        <w:t>Huaman</w:t>
      </w:r>
      <w:proofErr w:type="spellEnd"/>
      <w:r w:rsidRPr="004451CE">
        <w:rPr>
          <w:rFonts w:eastAsia="Calibri"/>
          <w:i/>
          <w:iCs/>
          <w:lang w:val="es-PE" w:eastAsia="en-US"/>
        </w:rPr>
        <w:t xml:space="preserve"> </w:t>
      </w:r>
      <w:proofErr w:type="spellStart"/>
      <w:r w:rsidRPr="004451CE">
        <w:rPr>
          <w:rFonts w:eastAsia="Calibri"/>
          <w:i/>
          <w:iCs/>
          <w:lang w:val="es-PE" w:eastAsia="en-US"/>
        </w:rPr>
        <w:t>Garcia</w:t>
      </w:r>
      <w:proofErr w:type="spellEnd"/>
      <w:r w:rsidRPr="004451CE">
        <w:rPr>
          <w:rFonts w:eastAsia="Calibri"/>
          <w:i/>
          <w:iCs/>
          <w:lang w:val="es-PE" w:eastAsia="en-US"/>
        </w:rPr>
        <w:t xml:space="preserve">, Laura M. </w:t>
      </w:r>
      <w:proofErr w:type="spellStart"/>
      <w:r w:rsidRPr="004451CE">
        <w:rPr>
          <w:rFonts w:eastAsia="Calibri"/>
          <w:i/>
          <w:iCs/>
          <w:lang w:val="es-PE" w:eastAsia="en-US"/>
        </w:rPr>
        <w:t>Ccosco</w:t>
      </w:r>
      <w:proofErr w:type="spellEnd"/>
      <w:r w:rsidRPr="004451CE">
        <w:rPr>
          <w:rFonts w:eastAsia="Calibri"/>
          <w:i/>
          <w:iCs/>
          <w:lang w:val="es-PE" w:eastAsia="en-US"/>
        </w:rPr>
        <w:t>-Blas, Paola J. Ramos-</w:t>
      </w:r>
      <w:proofErr w:type="spellStart"/>
      <w:r w:rsidRPr="004451CE">
        <w:rPr>
          <w:rFonts w:eastAsia="Calibri"/>
          <w:i/>
          <w:iCs/>
          <w:lang w:val="es-PE" w:eastAsia="en-US"/>
        </w:rPr>
        <w:t>Rupay</w:t>
      </w:r>
      <w:proofErr w:type="spellEnd"/>
      <w:r w:rsidRPr="004451CE">
        <w:rPr>
          <w:rFonts w:eastAsia="Calibri"/>
          <w:i/>
          <w:iCs/>
          <w:lang w:val="es-PE" w:eastAsia="en-US"/>
        </w:rPr>
        <w:t xml:space="preserve">, Alix X. Rivera-Pinto, Deyanira </w:t>
      </w:r>
      <w:proofErr w:type="spellStart"/>
      <w:r w:rsidRPr="004451CE">
        <w:rPr>
          <w:rFonts w:eastAsia="Calibri"/>
          <w:i/>
          <w:iCs/>
          <w:lang w:val="es-PE" w:eastAsia="en-US"/>
        </w:rPr>
        <w:t>Vertiz</w:t>
      </w:r>
      <w:proofErr w:type="spellEnd"/>
      <w:r w:rsidRPr="004451CE">
        <w:rPr>
          <w:rFonts w:eastAsia="Calibri"/>
          <w:i/>
          <w:iCs/>
          <w:lang w:val="es-PE" w:eastAsia="en-US"/>
        </w:rPr>
        <w:t xml:space="preserve">-Cuadra, </w:t>
      </w:r>
      <w:r w:rsidRPr="004451CE">
        <w:rPr>
          <w:rFonts w:eastAsia="Calibri"/>
          <w:bCs/>
          <w:i/>
          <w:lang w:val="es-PE" w:eastAsia="en-US"/>
        </w:rPr>
        <w:t xml:space="preserve">Virgilio E. </w:t>
      </w:r>
      <w:proofErr w:type="spellStart"/>
      <w:r w:rsidRPr="004451CE">
        <w:rPr>
          <w:rFonts w:eastAsia="Calibri"/>
          <w:bCs/>
          <w:i/>
          <w:lang w:val="es-PE" w:eastAsia="en-US"/>
        </w:rPr>
        <w:t>Failoc</w:t>
      </w:r>
      <w:proofErr w:type="spellEnd"/>
      <w:r w:rsidRPr="004451CE">
        <w:rPr>
          <w:rFonts w:eastAsia="Calibri"/>
          <w:bCs/>
          <w:i/>
          <w:lang w:val="es-PE" w:eastAsia="en-US"/>
        </w:rPr>
        <w:t>-Rojas</w:t>
      </w:r>
      <w:r w:rsidRPr="004451CE">
        <w:rPr>
          <w:rFonts w:eastAsia="Calibri"/>
          <w:i/>
          <w:iCs/>
          <w:lang w:val="es-PE" w:eastAsia="en-US"/>
        </w:rPr>
        <w:t>, Fiorella Inga-Berrospi.</w:t>
      </w:r>
    </w:p>
    <w:p w14:paraId="37AF2BF3" w14:textId="77777777" w:rsidR="00675476" w:rsidRPr="004451CE" w:rsidRDefault="00675476" w:rsidP="00EA1FEF">
      <w:pPr>
        <w:pStyle w:val="PDFRevista"/>
        <w:rPr>
          <w:lang w:val="es-PE"/>
        </w:rPr>
      </w:pPr>
    </w:p>
    <w:sectPr w:rsidR="00675476" w:rsidRPr="004451CE" w:rsidSect="00FD3DF8">
      <w:headerReference w:type="default" r:id="rId60"/>
      <w:footerReference w:type="even" r:id="rId61"/>
      <w:footerReference w:type="default" r:id="rId6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90AAF" w14:textId="77777777" w:rsidR="00EC255D" w:rsidRDefault="00EC255D">
      <w:r>
        <w:separator/>
      </w:r>
    </w:p>
  </w:endnote>
  <w:endnote w:type="continuationSeparator" w:id="0">
    <w:p w14:paraId="002DE4FA" w14:textId="77777777" w:rsidR="00EC255D" w:rsidRDefault="00EC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B3A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A6160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2A0C" w14:textId="646F660A" w:rsidR="000F3690" w:rsidRPr="00AE044C" w:rsidRDefault="004451C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2B00305" wp14:editId="0FFC7DB6">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B80284"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68CDF0F"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5560DF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1630D41" w14:textId="5D39778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4451CE" w:rsidRPr="004451CE">
      <w:rPr>
        <w:rFonts w:ascii="Verdana" w:hAnsi="Verdana"/>
        <w:noProof/>
        <w:sz w:val="18"/>
        <w:szCs w:val="18"/>
        <w:lang w:val="en-US" w:eastAsia="en-US"/>
      </w:rPr>
      <w:drawing>
        <wp:inline distT="0" distB="0" distL="0" distR="0" wp14:anchorId="35708772" wp14:editId="321EA8AB">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FA8F7" w14:textId="77777777" w:rsidR="00EC255D" w:rsidRDefault="00EC255D">
      <w:r>
        <w:separator/>
      </w:r>
    </w:p>
  </w:footnote>
  <w:footnote w:type="continuationSeparator" w:id="0">
    <w:p w14:paraId="6D531D97" w14:textId="77777777" w:rsidR="00EC255D" w:rsidRDefault="00EC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7469" w14:textId="62EFD53E" w:rsidR="00CC376A" w:rsidRPr="00AE044C" w:rsidRDefault="004451CE"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0D682098" wp14:editId="53183681">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e02302470</w:t>
    </w:r>
    <w:proofErr w:type="spellEnd"/>
  </w:p>
  <w:p w14:paraId="76F7A586" w14:textId="4291E16B" w:rsidR="00A477DE" w:rsidRDefault="004451CE">
    <w:r>
      <w:rPr>
        <w:noProof/>
      </w:rPr>
      <mc:AlternateContent>
        <mc:Choice Requires="wps">
          <w:drawing>
            <wp:anchor distT="0" distB="0" distL="114300" distR="114300" simplePos="0" relativeHeight="251654144" behindDoc="0" locked="0" layoutInCell="1" allowOverlap="1" wp14:anchorId="6EB72269" wp14:editId="7FD5A7C3">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DFCCD3"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685864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CE"/>
    <w:rsid w:val="00047F63"/>
    <w:rsid w:val="00057F45"/>
    <w:rsid w:val="000D3958"/>
    <w:rsid w:val="000F3690"/>
    <w:rsid w:val="000F3DD7"/>
    <w:rsid w:val="001221D1"/>
    <w:rsid w:val="00165CB5"/>
    <w:rsid w:val="00180CE9"/>
    <w:rsid w:val="00230DD5"/>
    <w:rsid w:val="00250AE9"/>
    <w:rsid w:val="00380D64"/>
    <w:rsid w:val="00391509"/>
    <w:rsid w:val="003E03D5"/>
    <w:rsid w:val="003F285D"/>
    <w:rsid w:val="004451CE"/>
    <w:rsid w:val="00486BFA"/>
    <w:rsid w:val="00493701"/>
    <w:rsid w:val="004E2065"/>
    <w:rsid w:val="005508A2"/>
    <w:rsid w:val="0055115D"/>
    <w:rsid w:val="00566F71"/>
    <w:rsid w:val="005918BD"/>
    <w:rsid w:val="006173A6"/>
    <w:rsid w:val="00675476"/>
    <w:rsid w:val="007C430F"/>
    <w:rsid w:val="007D2D0C"/>
    <w:rsid w:val="007D614D"/>
    <w:rsid w:val="008E5628"/>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255D"/>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BDFEC"/>
  <w15:docId w15:val="{572987D8-447C-4564-A06E-BA1FE255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6446-7433" TargetMode="External"/><Relationship Id="rId18" Type="http://schemas.openxmlformats.org/officeDocument/2006/relationships/image" Target="media/image1.png"/><Relationship Id="rId26" Type="http://schemas.openxmlformats.org/officeDocument/2006/relationships/hyperlink" Target="http://scielo.sld.cu/pdf/mgi/v15n3/mgi14399.pdf" TargetMode="External"/><Relationship Id="rId39" Type="http://schemas.openxmlformats.org/officeDocument/2006/relationships/hyperlink" Target="https://pubmed.ncbi.nlm.nih.gov/26819146/" TargetMode="External"/><Relationship Id="rId21" Type="http://schemas.openxmlformats.org/officeDocument/2006/relationships/image" Target="media/image4.png"/><Relationship Id="rId34" Type="http://schemas.openxmlformats.org/officeDocument/2006/relationships/hyperlink" Target="https://repositorio.uch.edu.pe/handle/20.500.12872/51" TargetMode="External"/><Relationship Id="rId42" Type="http://schemas.openxmlformats.org/officeDocument/2006/relationships/hyperlink" Target="http://repositorio.unp.edu.pe/handle/UNP/1642" TargetMode="External"/><Relationship Id="rId47" Type="http://schemas.openxmlformats.org/officeDocument/2006/relationships/hyperlink" Target="https://www.mdpi.com/2306-5729/5/3/80" TargetMode="External"/><Relationship Id="rId50" Type="http://schemas.openxmlformats.org/officeDocument/2006/relationships/hyperlink" Target="https://dialnet.unirioja.es/servlet/articulo?codigo=5425987" TargetMode="External"/><Relationship Id="rId55" Type="http://schemas.openxmlformats.org/officeDocument/2006/relationships/hyperlink" Target="https://www.sciencedirect.com/science/article/pii/B9780444641489000284" TargetMode="External"/><Relationship Id="rId63" Type="http://schemas.openxmlformats.org/officeDocument/2006/relationships/fontTable" Target="fontTable.xml"/><Relationship Id="rId7" Type="http://schemas.openxmlformats.org/officeDocument/2006/relationships/hyperlink" Target="https://orcid.org/" TargetMode="External"/><Relationship Id="rId2" Type="http://schemas.openxmlformats.org/officeDocument/2006/relationships/styles" Target="styles.xml"/><Relationship Id="rId16" Type="http://schemas.openxmlformats.org/officeDocument/2006/relationships/hyperlink" Target="https://orcid.org/0000-0002-9778-1557" TargetMode="External"/><Relationship Id="rId20" Type="http://schemas.openxmlformats.org/officeDocument/2006/relationships/image" Target="media/image3.png"/><Relationship Id="rId29" Type="http://schemas.openxmlformats.org/officeDocument/2006/relationships/hyperlink" Target="http://scielo.iics.una.py/pdf/iics/v16n3/1812-9528-iics-16-03-22.pdf" TargetMode="External"/><Relationship Id="rId41" Type="http://schemas.openxmlformats.org/officeDocument/2006/relationships/hyperlink" Target="https://pubmed.ncbi.nlm.nih.gov/26874847/" TargetMode="External"/><Relationship Id="rId54" Type="http://schemas.openxmlformats.org/officeDocument/2006/relationships/hyperlink" Target="https://www.sciencedirect.com/science/article/pii/S0891422218302208"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0907-4711" TargetMode="External"/><Relationship Id="rId24" Type="http://schemas.openxmlformats.org/officeDocument/2006/relationships/hyperlink" Target="http://www.scielo.org.bo/pdf/rmcmlp/v20n1/v20n1_a10.pdf" TargetMode="External"/><Relationship Id="rId32" Type="http://schemas.openxmlformats.org/officeDocument/2006/relationships/hyperlink" Target="https://pjmhsonline.com/2021/august/2301.pdf" TargetMode="External"/><Relationship Id="rId37" Type="http://schemas.openxmlformats.org/officeDocument/2006/relationships/hyperlink" Target="https://pubmed.ncbi.nlm.nih.gov/32402318/" TargetMode="External"/><Relationship Id="rId40" Type="http://schemas.openxmlformats.org/officeDocument/2006/relationships/hyperlink" Target="https://www.sciencedirect.com/science/article/abs/pii/S0277953618300017" TargetMode="External"/><Relationship Id="rId45" Type="http://schemas.openxmlformats.org/officeDocument/2006/relationships/hyperlink" Target="https://www.redalyc.org/journal/213/21363396003/21363396003.pdf" TargetMode="External"/><Relationship Id="rId53" Type="http://schemas.openxmlformats.org/officeDocument/2006/relationships/hyperlink" Target="http://saber.ucv.ve/ojs/index.php/rev_aavft/article/view/19454" TargetMode="External"/><Relationship Id="rId58" Type="http://schemas.openxmlformats.org/officeDocument/2006/relationships/hyperlink" Target="https://revmedmilitar.sld.cu/index.php/mil/article/view/2083" TargetMode="External"/><Relationship Id="rId5" Type="http://schemas.openxmlformats.org/officeDocument/2006/relationships/footnotes" Target="footnotes.xml"/><Relationship Id="rId15" Type="http://schemas.openxmlformats.org/officeDocument/2006/relationships/hyperlink" Target="https://orcid.org/0000-0003-2992-9342" TargetMode="External"/><Relationship Id="rId23" Type="http://schemas.openxmlformats.org/officeDocument/2006/relationships/hyperlink" Target="https://www.redalyc.org/pdf/356/35622379009.pdf" TargetMode="External"/><Relationship Id="rId28" Type="http://schemas.openxmlformats.org/officeDocument/2006/relationships/hyperlink" Target="https://www.sciencedirect.com/sdfe/reader/pii/S0212656707708405/pdf" TargetMode="External"/><Relationship Id="rId36" Type="http://schemas.openxmlformats.org/officeDocument/2006/relationships/hyperlink" Target="https://www.ncbi.nlm.nih.gov/pmc/articles/PMC6105391/" TargetMode="External"/><Relationship Id="rId49" Type="http://schemas.openxmlformats.org/officeDocument/2006/relationships/hyperlink" Target="https://pubs.asha.org/doi/abs/10.1044/2020_LSHSS-19-00072" TargetMode="External"/><Relationship Id="rId57" Type="http://schemas.openxmlformats.org/officeDocument/2006/relationships/hyperlink" Target="https://pubmed.ncbi.nlm.nih.gov/29031186/" TargetMode="External"/><Relationship Id="rId61" Type="http://schemas.openxmlformats.org/officeDocument/2006/relationships/footer" Target="footer1.xml"/><Relationship Id="rId10" Type="http://schemas.openxmlformats.org/officeDocument/2006/relationships/hyperlink" Target="https://orcid.org/0000-0003-3776-3522" TargetMode="External"/><Relationship Id="rId19" Type="http://schemas.openxmlformats.org/officeDocument/2006/relationships/image" Target="media/image2.jpg"/><Relationship Id="rId31" Type="http://schemas.openxmlformats.org/officeDocument/2006/relationships/hyperlink" Target="https://www.elsevier.es/es-revista-revista-colombiana-psiquiatria-379-avance-resumen-predictores-disfuncion-familiar-adolescentes-escolarizados-S0034745014600883" TargetMode="External"/><Relationship Id="rId44" Type="http://schemas.openxmlformats.org/officeDocument/2006/relationships/hyperlink" Target="https://dialnet.unirioja.es/servlet/articulo?codigo=6538963" TargetMode="External"/><Relationship Id="rId52" Type="http://schemas.openxmlformats.org/officeDocument/2006/relationships/hyperlink" Target="https://www.redalyc.org/articulo.oa?id=28063431024"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2287-1267" TargetMode="External"/><Relationship Id="rId14" Type="http://schemas.openxmlformats.org/officeDocument/2006/relationships/hyperlink" Target="https://orcid.org/0000-0003-1892-6517" TargetMode="External"/><Relationship Id="rId22" Type="http://schemas.openxmlformats.org/officeDocument/2006/relationships/hyperlink" Target="https://revistamedicasinergia.com/index.php/rms/article/view/543/956" TargetMode="External"/><Relationship Id="rId27" Type="http://schemas.openxmlformats.org/officeDocument/2006/relationships/hyperlink" Target="https://cybertesis.unmsm.edu.pe/handle/20.500.12672/13577" TargetMode="External"/><Relationship Id="rId30" Type="http://schemas.openxmlformats.org/officeDocument/2006/relationships/hyperlink" Target="https://www.sciencedirect.com/science/article/pii/S1405887116300736" TargetMode="External"/><Relationship Id="rId35" Type="http://schemas.openxmlformats.org/officeDocument/2006/relationships/hyperlink" Target="https://www.redalyc.org/pdf/839/83949782009.pdf" TargetMode="External"/><Relationship Id="rId43" Type="http://schemas.openxmlformats.org/officeDocument/2006/relationships/hyperlink" Target="https://www.redalyc.org/journal/280/28063431006/html/" TargetMode="External"/><Relationship Id="rId48" Type="http://schemas.openxmlformats.org/officeDocument/2006/relationships/hyperlink" Target="https://bmcmededuc.biomedcentral.com/track/pdf/10.1186/s12909-019-1475-4.pdf" TargetMode="External"/><Relationship Id="rId56" Type="http://schemas.openxmlformats.org/officeDocument/2006/relationships/hyperlink" Target="https://www.ncbi.nlm.nih.gov/pmc/articles/PMC6932862/" TargetMode="External"/><Relationship Id="rId64" Type="http://schemas.openxmlformats.org/officeDocument/2006/relationships/theme" Target="theme/theme1.xml"/><Relationship Id="rId8" Type="http://schemas.openxmlformats.org/officeDocument/2006/relationships/hyperlink" Target="https://orcid.org/0000-0002-7736-4553" TargetMode="External"/><Relationship Id="rId51" Type="http://schemas.openxmlformats.org/officeDocument/2006/relationships/hyperlink" Target="https://repositorio.upeu.edu.pe/handle/20.500.12840/4722" TargetMode="External"/><Relationship Id="rId3" Type="http://schemas.openxmlformats.org/officeDocument/2006/relationships/settings" Target="settings.xml"/><Relationship Id="rId12" Type="http://schemas.openxmlformats.org/officeDocument/2006/relationships/hyperlink" Target="https://orcid.org/0000-0002-9710-0299" TargetMode="External"/><Relationship Id="rId17" Type="http://schemas.openxmlformats.org/officeDocument/2006/relationships/hyperlink" Target="mailto:virgiliofr@gmail.com" TargetMode="External"/><Relationship Id="rId25" Type="http://schemas.openxmlformats.org/officeDocument/2006/relationships/hyperlink" Target="https://revistas.usb.edu.co/index.php/Agora/article/view/114" TargetMode="External"/><Relationship Id="rId33" Type="http://schemas.openxmlformats.org/officeDocument/2006/relationships/hyperlink" Target="https://www.redalyc.org/pdf/4397/439742867003.pdf" TargetMode="External"/><Relationship Id="rId38" Type="http://schemas.openxmlformats.org/officeDocument/2006/relationships/hyperlink" Target="https://www.revistaavft.com/images/revistas/2021/avft_7_2021/9_estrategias_atencion_primaria.pdf" TargetMode="External"/><Relationship Id="rId46" Type="http://schemas.openxmlformats.org/officeDocument/2006/relationships/hyperlink" Target="https://www.science.org/doi/10.1126/science.1226099" TargetMode="External"/><Relationship Id="rId59" Type="http://schemas.openxmlformats.org/officeDocument/2006/relationships/hyperlink" Target="https://www.mdpi.com/1660-4601/19/15/9343"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10</TotalTime>
  <Pages>18</Pages>
  <Words>4966</Words>
  <Characters>27318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32220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2023-03-04T19:39:00Z</cp:lastPrinted>
  <dcterms:created xsi:type="dcterms:W3CDTF">2023-03-04T19:36:00Z</dcterms:created>
  <dcterms:modified xsi:type="dcterms:W3CDTF">2023-03-04T19:47:00Z</dcterms:modified>
</cp:coreProperties>
</file>