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3D674" w14:textId="77777777" w:rsidR="00B41408" w:rsidRPr="00B41408" w:rsidRDefault="00B41408" w:rsidP="00B41408">
      <w:pPr>
        <w:spacing w:line="360" w:lineRule="auto"/>
        <w:jc w:val="right"/>
        <w:rPr>
          <w:sz w:val="20"/>
          <w:szCs w:val="20"/>
          <w:lang w:val="es-ES" w:eastAsia="zh-CN"/>
        </w:rPr>
      </w:pPr>
      <w:r w:rsidRPr="00B41408">
        <w:rPr>
          <w:sz w:val="20"/>
          <w:szCs w:val="20"/>
          <w:lang w:val="es-ES" w:eastAsia="zh-CN"/>
        </w:rPr>
        <w:t>Comunicación breve</w:t>
      </w:r>
    </w:p>
    <w:p w14:paraId="7EE70A3C" w14:textId="77777777" w:rsidR="00B41408" w:rsidRPr="00B41408" w:rsidRDefault="00B41408" w:rsidP="00B41408">
      <w:pPr>
        <w:spacing w:line="360" w:lineRule="auto"/>
        <w:jc w:val="both"/>
        <w:rPr>
          <w:lang w:val="es-ES" w:eastAsia="zh-CN"/>
        </w:rPr>
      </w:pPr>
    </w:p>
    <w:p w14:paraId="0080A7CC" w14:textId="77777777" w:rsidR="00B41408" w:rsidRPr="00B41408" w:rsidRDefault="00B41408" w:rsidP="00B41408">
      <w:pPr>
        <w:spacing w:line="360" w:lineRule="auto"/>
        <w:jc w:val="center"/>
        <w:rPr>
          <w:b/>
          <w:bCs/>
          <w:sz w:val="28"/>
          <w:szCs w:val="28"/>
          <w:lang w:val="es-ES" w:eastAsia="zh-CN"/>
        </w:rPr>
      </w:pPr>
      <w:r w:rsidRPr="00B41408">
        <w:rPr>
          <w:b/>
          <w:bCs/>
          <w:sz w:val="28"/>
          <w:szCs w:val="28"/>
          <w:lang w:val="es-ES" w:eastAsia="zh-CN"/>
        </w:rPr>
        <w:t>Caracterización clínica de pacientes con esclerosis múltiple</w:t>
      </w:r>
    </w:p>
    <w:p w14:paraId="62B1E44C" w14:textId="77777777" w:rsidR="00B41408" w:rsidRPr="00B41408" w:rsidRDefault="00B41408" w:rsidP="00B41408">
      <w:pPr>
        <w:spacing w:line="360" w:lineRule="auto"/>
        <w:jc w:val="center"/>
        <w:rPr>
          <w:sz w:val="28"/>
          <w:szCs w:val="28"/>
          <w:lang w:val="en-US" w:eastAsia="zh-CN"/>
        </w:rPr>
      </w:pPr>
      <w:r w:rsidRPr="00B41408">
        <w:rPr>
          <w:sz w:val="28"/>
          <w:szCs w:val="28"/>
          <w:lang w:val="en-US" w:eastAsia="zh-CN"/>
        </w:rPr>
        <w:t>Clinical characterization of patients with multiple sclerosis</w:t>
      </w:r>
    </w:p>
    <w:p w14:paraId="5D901160" w14:textId="77777777" w:rsidR="00B41408" w:rsidRPr="00B41408" w:rsidRDefault="00B41408" w:rsidP="00B41408">
      <w:pPr>
        <w:spacing w:line="360" w:lineRule="auto"/>
        <w:jc w:val="both"/>
        <w:rPr>
          <w:b/>
          <w:lang w:val="en-US" w:eastAsia="zh-CN"/>
        </w:rPr>
      </w:pPr>
    </w:p>
    <w:p w14:paraId="7AF7660A" w14:textId="77777777" w:rsidR="00B41408" w:rsidRPr="00B41408" w:rsidRDefault="00B41408" w:rsidP="00B41408">
      <w:pPr>
        <w:spacing w:line="360" w:lineRule="auto"/>
        <w:jc w:val="both"/>
        <w:rPr>
          <w:bCs/>
          <w:lang w:val="es-ES" w:eastAsia="zh-CN"/>
        </w:rPr>
      </w:pPr>
      <w:r w:rsidRPr="00B41408">
        <w:rPr>
          <w:bCs/>
          <w:lang w:val="es-ES" w:eastAsia="zh-CN"/>
        </w:rPr>
        <w:t>Roberto Luis Lotti-</w:t>
      </w:r>
      <w:proofErr w:type="spellStart"/>
      <w:r w:rsidRPr="00B41408">
        <w:rPr>
          <w:bCs/>
          <w:lang w:val="es-ES" w:eastAsia="zh-CN"/>
        </w:rPr>
        <w:t>Mesa</w:t>
      </w:r>
      <w:r w:rsidRPr="00B41408">
        <w:rPr>
          <w:bCs/>
          <w:vertAlign w:val="superscript"/>
          <w:lang w:val="es-ES" w:eastAsia="zh-CN"/>
        </w:rPr>
        <w:t>1</w:t>
      </w:r>
      <w:proofErr w:type="spellEnd"/>
      <w:r w:rsidRPr="00B41408">
        <w:rPr>
          <w:bCs/>
          <w:lang w:val="es-ES" w:eastAsia="zh-CN"/>
        </w:rPr>
        <w:t xml:space="preserve"> </w:t>
      </w:r>
      <w:hyperlink r:id="rId7" w:history="1">
        <w:r w:rsidRPr="00B41408">
          <w:rPr>
            <w:bCs/>
            <w:color w:val="0563C1"/>
            <w:u w:val="single"/>
            <w:lang w:val="es-ES" w:eastAsia="zh-CN"/>
          </w:rPr>
          <w:t>https://orcid.org//0000-0002-2050-6960</w:t>
        </w:r>
      </w:hyperlink>
      <w:r w:rsidRPr="00B41408">
        <w:rPr>
          <w:bCs/>
          <w:lang w:val="es-ES" w:eastAsia="zh-CN"/>
        </w:rPr>
        <w:t xml:space="preserve">  </w:t>
      </w:r>
    </w:p>
    <w:p w14:paraId="0012897E" w14:textId="77777777" w:rsidR="00B41408" w:rsidRPr="00B41408" w:rsidRDefault="00B41408" w:rsidP="00B41408">
      <w:pPr>
        <w:spacing w:line="360" w:lineRule="auto"/>
        <w:jc w:val="both"/>
        <w:rPr>
          <w:bCs/>
          <w:lang w:val="es-ES" w:eastAsia="zh-CN"/>
        </w:rPr>
      </w:pPr>
      <w:proofErr w:type="spellStart"/>
      <w:r w:rsidRPr="00B41408">
        <w:rPr>
          <w:bCs/>
          <w:lang w:val="es-ES" w:eastAsia="zh-CN"/>
        </w:rPr>
        <w:t>Liudmila</w:t>
      </w:r>
      <w:proofErr w:type="spellEnd"/>
      <w:r w:rsidRPr="00B41408">
        <w:rPr>
          <w:bCs/>
          <w:lang w:val="es-ES" w:eastAsia="zh-CN"/>
        </w:rPr>
        <w:t xml:space="preserve"> Gutiérrez-</w:t>
      </w:r>
      <w:proofErr w:type="spellStart"/>
      <w:r w:rsidRPr="00B41408">
        <w:rPr>
          <w:bCs/>
          <w:lang w:val="es-ES" w:eastAsia="zh-CN"/>
        </w:rPr>
        <w:t>Gacel</w:t>
      </w:r>
      <w:r w:rsidRPr="00B41408">
        <w:rPr>
          <w:bCs/>
          <w:vertAlign w:val="superscript"/>
          <w:lang w:val="es-ES" w:eastAsia="zh-CN"/>
        </w:rPr>
        <w:t>2</w:t>
      </w:r>
      <w:proofErr w:type="spellEnd"/>
      <w:r w:rsidRPr="00B41408">
        <w:rPr>
          <w:bCs/>
          <w:lang w:val="es-ES" w:eastAsia="zh-CN"/>
        </w:rPr>
        <w:t xml:space="preserve"> </w:t>
      </w:r>
      <w:hyperlink r:id="rId8" w:history="1">
        <w:r w:rsidRPr="00B41408">
          <w:rPr>
            <w:bCs/>
            <w:color w:val="0563C1"/>
            <w:u w:val="single"/>
            <w:lang w:val="es-ES" w:eastAsia="zh-CN"/>
          </w:rPr>
          <w:t>https://orcid.org//0000-0003-2578-2566</w:t>
        </w:r>
      </w:hyperlink>
      <w:r w:rsidRPr="00B41408">
        <w:rPr>
          <w:bCs/>
          <w:lang w:val="es-ES" w:eastAsia="zh-CN"/>
        </w:rPr>
        <w:t xml:space="preserve"> </w:t>
      </w:r>
    </w:p>
    <w:p w14:paraId="623163FD" w14:textId="77777777" w:rsidR="00B41408" w:rsidRPr="00B41408" w:rsidRDefault="00B41408" w:rsidP="00B41408">
      <w:pPr>
        <w:spacing w:line="360" w:lineRule="auto"/>
        <w:jc w:val="both"/>
        <w:rPr>
          <w:bCs/>
          <w:lang w:val="es-ES" w:eastAsia="zh-CN"/>
        </w:rPr>
      </w:pPr>
      <w:r w:rsidRPr="00B41408">
        <w:rPr>
          <w:bCs/>
          <w:lang w:val="es-ES" w:eastAsia="zh-CN"/>
        </w:rPr>
        <w:t>Fidel Jesús Moreno-</w:t>
      </w:r>
      <w:proofErr w:type="spellStart"/>
      <w:r w:rsidRPr="00B41408">
        <w:rPr>
          <w:bCs/>
          <w:lang w:val="es-ES" w:eastAsia="zh-CN"/>
        </w:rPr>
        <w:t>Cubela</w:t>
      </w:r>
      <w:r w:rsidRPr="00B41408">
        <w:rPr>
          <w:bCs/>
          <w:vertAlign w:val="superscript"/>
          <w:lang w:val="es-ES" w:eastAsia="zh-CN"/>
        </w:rPr>
        <w:t>3</w:t>
      </w:r>
      <w:proofErr w:type="spellEnd"/>
      <w:r w:rsidRPr="00B41408">
        <w:rPr>
          <w:bCs/>
          <w:lang w:val="es-ES" w:eastAsia="zh-CN"/>
        </w:rPr>
        <w:t xml:space="preserve">* </w:t>
      </w:r>
      <w:hyperlink r:id="rId9" w:history="1">
        <w:r w:rsidRPr="00B41408">
          <w:rPr>
            <w:bCs/>
            <w:color w:val="0563C1"/>
            <w:u w:val="single"/>
            <w:lang w:val="es-ES" w:eastAsia="zh-CN"/>
          </w:rPr>
          <w:t>https://orcid.org//0000-0001-9963-692X</w:t>
        </w:r>
      </w:hyperlink>
      <w:r w:rsidRPr="00B41408">
        <w:rPr>
          <w:bCs/>
          <w:lang w:val="es-ES" w:eastAsia="zh-CN"/>
        </w:rPr>
        <w:t xml:space="preserve"> </w:t>
      </w:r>
    </w:p>
    <w:p w14:paraId="1BD5CA1D" w14:textId="77777777" w:rsidR="00B41408" w:rsidRPr="00B41408" w:rsidRDefault="00B41408" w:rsidP="00B41408">
      <w:pPr>
        <w:spacing w:line="360" w:lineRule="auto"/>
        <w:jc w:val="both"/>
        <w:rPr>
          <w:bCs/>
          <w:lang w:val="es-ES" w:eastAsia="zh-CN"/>
        </w:rPr>
      </w:pPr>
    </w:p>
    <w:p w14:paraId="73B77C8B" w14:textId="77777777" w:rsidR="00B41408" w:rsidRPr="00B41408" w:rsidRDefault="00B41408" w:rsidP="00B41408">
      <w:pPr>
        <w:spacing w:line="360" w:lineRule="auto"/>
        <w:jc w:val="both"/>
        <w:rPr>
          <w:bCs/>
          <w:lang w:val="es-ES" w:eastAsia="zh-CN"/>
        </w:rPr>
      </w:pPr>
      <w:proofErr w:type="spellStart"/>
      <w:r w:rsidRPr="00B41408">
        <w:rPr>
          <w:bCs/>
          <w:vertAlign w:val="superscript"/>
          <w:lang w:val="es-ES" w:eastAsia="zh-CN"/>
        </w:rPr>
        <w:t>1</w:t>
      </w:r>
      <w:r w:rsidRPr="00B41408">
        <w:rPr>
          <w:bCs/>
          <w:lang w:val="es-ES" w:eastAsia="zh-CN"/>
        </w:rPr>
        <w:t>Universidad</w:t>
      </w:r>
      <w:proofErr w:type="spellEnd"/>
      <w:r w:rsidRPr="00B41408">
        <w:rPr>
          <w:bCs/>
          <w:lang w:val="es-ES" w:eastAsia="zh-CN"/>
        </w:rPr>
        <w:t xml:space="preserve"> de Ciencias Médicas de Granma. Hospital Clínico Quirúrgico Docente “Celia Sánchez </w:t>
      </w:r>
      <w:proofErr w:type="spellStart"/>
      <w:r w:rsidRPr="00B41408">
        <w:rPr>
          <w:bCs/>
          <w:lang w:val="es-ES" w:eastAsia="zh-CN"/>
        </w:rPr>
        <w:t>Manduley</w:t>
      </w:r>
      <w:proofErr w:type="spellEnd"/>
      <w:r w:rsidRPr="00B41408">
        <w:rPr>
          <w:bCs/>
          <w:lang w:val="es-ES" w:eastAsia="zh-CN"/>
        </w:rPr>
        <w:t xml:space="preserve">”. Manzanillo, Granma, Cuba. </w:t>
      </w:r>
    </w:p>
    <w:p w14:paraId="6131E1AC" w14:textId="77777777" w:rsidR="00B41408" w:rsidRPr="00B41408" w:rsidRDefault="00B41408" w:rsidP="00B41408">
      <w:pPr>
        <w:spacing w:line="360" w:lineRule="auto"/>
        <w:jc w:val="both"/>
        <w:rPr>
          <w:bCs/>
          <w:lang w:val="es-ES" w:eastAsia="zh-CN"/>
        </w:rPr>
      </w:pPr>
      <w:proofErr w:type="spellStart"/>
      <w:r w:rsidRPr="00B41408">
        <w:rPr>
          <w:bCs/>
          <w:vertAlign w:val="superscript"/>
          <w:lang w:val="es-ES" w:eastAsia="zh-CN"/>
        </w:rPr>
        <w:t>2</w:t>
      </w:r>
      <w:r w:rsidRPr="00B41408">
        <w:rPr>
          <w:bCs/>
          <w:lang w:val="es-ES" w:eastAsia="zh-CN"/>
        </w:rPr>
        <w:t>Universidad</w:t>
      </w:r>
      <w:proofErr w:type="spellEnd"/>
      <w:r w:rsidRPr="00B41408">
        <w:rPr>
          <w:bCs/>
          <w:lang w:val="es-ES" w:eastAsia="zh-CN"/>
        </w:rPr>
        <w:t xml:space="preserve"> de Ciencias Médicas de Granma. Policlínico Universitario “Ángel Alfonso Ortiz Vázquez”. Manzanillo, Granma, Cuba. </w:t>
      </w:r>
    </w:p>
    <w:p w14:paraId="51AB6304" w14:textId="77777777" w:rsidR="00B41408" w:rsidRPr="00B41408" w:rsidRDefault="00B41408" w:rsidP="00B41408">
      <w:pPr>
        <w:spacing w:line="360" w:lineRule="auto"/>
        <w:jc w:val="both"/>
        <w:rPr>
          <w:bCs/>
          <w:lang w:val="es-ES" w:eastAsia="zh-CN"/>
        </w:rPr>
      </w:pPr>
      <w:proofErr w:type="spellStart"/>
      <w:r w:rsidRPr="00B41408">
        <w:rPr>
          <w:bCs/>
          <w:vertAlign w:val="superscript"/>
          <w:lang w:val="es-ES" w:eastAsia="zh-CN"/>
        </w:rPr>
        <w:t>3</w:t>
      </w:r>
      <w:r w:rsidRPr="00B41408">
        <w:rPr>
          <w:bCs/>
          <w:lang w:val="es-ES" w:eastAsia="zh-CN"/>
        </w:rPr>
        <w:t>Universidad</w:t>
      </w:r>
      <w:proofErr w:type="spellEnd"/>
      <w:r w:rsidRPr="00B41408">
        <w:rPr>
          <w:bCs/>
          <w:lang w:val="es-ES" w:eastAsia="zh-CN"/>
        </w:rPr>
        <w:t xml:space="preserve"> de Ciencias Médicas de Granma. Facultad de Ciencias Médicas de Manzanillo “Celia Sánchez </w:t>
      </w:r>
      <w:proofErr w:type="spellStart"/>
      <w:r w:rsidRPr="00B41408">
        <w:rPr>
          <w:bCs/>
          <w:lang w:val="es-ES" w:eastAsia="zh-CN"/>
        </w:rPr>
        <w:t>Manduley</w:t>
      </w:r>
      <w:proofErr w:type="spellEnd"/>
      <w:r w:rsidRPr="00B41408">
        <w:rPr>
          <w:bCs/>
          <w:lang w:val="es-ES" w:eastAsia="zh-CN"/>
        </w:rPr>
        <w:t xml:space="preserve">”. Granma, Cuba. </w:t>
      </w:r>
    </w:p>
    <w:p w14:paraId="370280FF" w14:textId="77777777" w:rsidR="00B41408" w:rsidRPr="00B41408" w:rsidRDefault="00B41408" w:rsidP="00B41408">
      <w:pPr>
        <w:spacing w:line="360" w:lineRule="auto"/>
        <w:jc w:val="both"/>
        <w:rPr>
          <w:bCs/>
          <w:lang w:val="es-ES" w:eastAsia="zh-CN"/>
        </w:rPr>
      </w:pPr>
    </w:p>
    <w:p w14:paraId="761B89BB" w14:textId="77777777" w:rsidR="00B41408" w:rsidRPr="00B41408" w:rsidRDefault="00B41408" w:rsidP="00B41408">
      <w:pPr>
        <w:spacing w:line="360" w:lineRule="auto"/>
        <w:jc w:val="both"/>
        <w:rPr>
          <w:bCs/>
          <w:lang w:val="es-ES" w:eastAsia="zh-CN"/>
        </w:rPr>
      </w:pPr>
      <w:r w:rsidRPr="00B41408">
        <w:rPr>
          <w:bCs/>
          <w:lang w:val="es-ES" w:eastAsia="zh-CN"/>
        </w:rPr>
        <w:t xml:space="preserve">*Autor para la correspondencia. Correo electrónico: </w:t>
      </w:r>
      <w:hyperlink r:id="rId10" w:history="1">
        <w:r w:rsidRPr="00B41408">
          <w:rPr>
            <w:bCs/>
            <w:color w:val="0563C1"/>
            <w:u w:val="single"/>
            <w:lang w:val="es-ES" w:eastAsia="zh-CN"/>
          </w:rPr>
          <w:t>fideljmoreno@gmail.com</w:t>
        </w:r>
      </w:hyperlink>
      <w:r w:rsidRPr="00B41408">
        <w:rPr>
          <w:bCs/>
          <w:lang w:val="es-ES" w:eastAsia="zh-CN"/>
        </w:rPr>
        <w:t xml:space="preserve"> </w:t>
      </w:r>
    </w:p>
    <w:p w14:paraId="197FB5A2" w14:textId="77777777" w:rsidR="00B41408" w:rsidRPr="00B41408" w:rsidRDefault="00B41408" w:rsidP="00B41408">
      <w:pPr>
        <w:spacing w:line="360" w:lineRule="auto"/>
        <w:jc w:val="both"/>
        <w:rPr>
          <w:b/>
          <w:lang w:val="es-CU" w:eastAsia="zh-CN"/>
        </w:rPr>
      </w:pPr>
    </w:p>
    <w:p w14:paraId="5367D481" w14:textId="77777777" w:rsidR="00B41408" w:rsidRPr="00B41408" w:rsidRDefault="00B41408" w:rsidP="00B41408">
      <w:pPr>
        <w:spacing w:line="360" w:lineRule="auto"/>
        <w:jc w:val="both"/>
        <w:rPr>
          <w:b/>
          <w:lang w:val="es-ES" w:eastAsia="zh-CN"/>
        </w:rPr>
      </w:pPr>
      <w:r w:rsidRPr="00B41408">
        <w:rPr>
          <w:b/>
          <w:lang w:val="es-ES" w:eastAsia="zh-CN"/>
        </w:rPr>
        <w:t>RESUMEN</w:t>
      </w:r>
    </w:p>
    <w:p w14:paraId="51502BBC" w14:textId="77777777" w:rsidR="00B41408" w:rsidRPr="00B41408" w:rsidRDefault="00B41408" w:rsidP="00B41408">
      <w:pPr>
        <w:spacing w:line="360" w:lineRule="auto"/>
        <w:jc w:val="both"/>
        <w:rPr>
          <w:lang w:val="es-ES" w:eastAsia="zh-CN"/>
        </w:rPr>
      </w:pPr>
      <w:r w:rsidRPr="00B41408">
        <w:rPr>
          <w:b/>
          <w:lang w:val="es-ES" w:eastAsia="zh-CN"/>
        </w:rPr>
        <w:t xml:space="preserve">Introducción: </w:t>
      </w:r>
      <w:r w:rsidRPr="00B41408">
        <w:rPr>
          <w:lang w:val="es-ES" w:eastAsia="zh-CN"/>
        </w:rPr>
        <w:t xml:space="preserve">La esclerosis múltiple es una enfermedad autoinmune, inflamatoria, desmielinizante, crónica, del sistema nervioso central. Supone la primera causa de discapacidad no traumática en adultos jóvenes; afecta de forma significativa la calidad de vida de los pacientes, con alteraciones físicas, sociales y emocionales. </w:t>
      </w:r>
    </w:p>
    <w:p w14:paraId="0BAAA118" w14:textId="77777777" w:rsidR="00B41408" w:rsidRPr="00B41408" w:rsidRDefault="00B41408" w:rsidP="00B41408">
      <w:pPr>
        <w:spacing w:line="360" w:lineRule="auto"/>
        <w:jc w:val="both"/>
        <w:rPr>
          <w:rFonts w:eastAsia="TimesNewRomanPSMT"/>
          <w:color w:val="000000"/>
          <w:lang w:val="es-ES" w:eastAsia="zh-CN"/>
        </w:rPr>
      </w:pPr>
      <w:r w:rsidRPr="00B41408">
        <w:rPr>
          <w:b/>
          <w:lang w:val="es-ES" w:eastAsia="zh-CN"/>
        </w:rPr>
        <w:t xml:space="preserve">Objetivo: </w:t>
      </w:r>
      <w:r w:rsidRPr="00B41408">
        <w:rPr>
          <w:rFonts w:eastAsia="TimesNewRomanPSMT"/>
          <w:color w:val="000000"/>
          <w:lang w:val="es-ES" w:eastAsia="zh-CN"/>
        </w:rPr>
        <w:t xml:space="preserve">Caracterizar desde el punto de vista clínico, a pacientes con diagnóstico de esclerosis múltiple. </w:t>
      </w:r>
    </w:p>
    <w:p w14:paraId="2BF2C85F"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b/>
          <w:color w:val="000000"/>
          <w:lang w:val="es-ES" w:eastAsia="zh-CN"/>
        </w:rPr>
        <w:t xml:space="preserve">Método: </w:t>
      </w:r>
      <w:r w:rsidRPr="00B41408">
        <w:rPr>
          <w:rFonts w:eastAsia="TimesNewRomanPSMT"/>
          <w:color w:val="000000"/>
          <w:lang w:val="es-ES" w:eastAsia="zh-CN"/>
        </w:rPr>
        <w:t xml:space="preserve">Se realizó un estudio descriptivo transversal en una serie de casos de 40 pacientes, según las variables edad, sexo, comorbilidad, síntomas iniciales, formas clínicas y grado de discapacidad. Se realizó un análisis de frecuencias. </w:t>
      </w:r>
    </w:p>
    <w:p w14:paraId="1BFDB643"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b/>
          <w:color w:val="000000"/>
          <w:lang w:val="es-ES" w:eastAsia="zh-CN"/>
        </w:rPr>
        <w:lastRenderedPageBreak/>
        <w:t xml:space="preserve">Resultados: </w:t>
      </w:r>
      <w:r w:rsidRPr="00B41408">
        <w:rPr>
          <w:rFonts w:eastAsia="TimesNewRomanPSMT"/>
          <w:color w:val="000000"/>
          <w:lang w:val="es-ES" w:eastAsia="zh-CN"/>
        </w:rPr>
        <w:t xml:space="preserve">Predominaron los pacientes con edades comprendidas entre 30 y 39 años (57,5 %). Los pacientes del sexo femenino representaron el 58,8 % de los casos estudiados y el 85,5% presentó manifestaciones motoras, como síntomas iniciales de la enfermedad. La forma clínica de esclerosis múltiple más frecuente fue la recurrente remitente y el grado de discapacidad mínima. </w:t>
      </w:r>
    </w:p>
    <w:p w14:paraId="6F45E255" w14:textId="77777777" w:rsidR="00B41408" w:rsidRPr="00B41408" w:rsidRDefault="00B41408" w:rsidP="00B41408">
      <w:pPr>
        <w:spacing w:line="360" w:lineRule="auto"/>
        <w:jc w:val="both"/>
        <w:rPr>
          <w:rFonts w:eastAsia="TimesNewRomanPSMT"/>
          <w:bCs/>
          <w:color w:val="000000"/>
          <w:lang w:val="es-ES" w:eastAsia="zh-CN"/>
        </w:rPr>
      </w:pPr>
      <w:r w:rsidRPr="00B41408">
        <w:rPr>
          <w:rFonts w:eastAsia="TimesNewRomanPSMT"/>
          <w:b/>
          <w:color w:val="000000"/>
          <w:lang w:val="es-ES" w:eastAsia="zh-CN"/>
        </w:rPr>
        <w:t xml:space="preserve">Conclusiones: </w:t>
      </w:r>
      <w:r w:rsidRPr="00B41408">
        <w:rPr>
          <w:rFonts w:eastAsia="TimesNewRomanPSMT"/>
          <w:bCs/>
          <w:color w:val="000000"/>
          <w:lang w:val="es-ES" w:eastAsia="zh-CN"/>
        </w:rPr>
        <w:t xml:space="preserve">Las manifestaciones motoras son los síntomas iniciales más frecuentes, así como la forma clínica recurrente remitente y el grado de discapacidad mínima. Los pacientes son fundamentalmente del sexo femenino, en la cuarta década de la vida. </w:t>
      </w:r>
    </w:p>
    <w:p w14:paraId="6708C758"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b/>
          <w:color w:val="000000"/>
          <w:lang w:val="es-ES" w:eastAsia="zh-CN"/>
        </w:rPr>
        <w:t xml:space="preserve">Palabras clave: </w:t>
      </w:r>
      <w:r w:rsidRPr="00B41408">
        <w:rPr>
          <w:rFonts w:eastAsia="TimesNewRomanPSMT"/>
          <w:color w:val="000000"/>
          <w:lang w:val="es-ES" w:eastAsia="zh-CN"/>
        </w:rPr>
        <w:t>esclerosis múltiple; esclerosis múltiple recurrente-remitente; discapacidad; trastornos motores.</w:t>
      </w:r>
    </w:p>
    <w:p w14:paraId="56D46D88" w14:textId="77777777" w:rsidR="00B41408" w:rsidRPr="00B41408" w:rsidRDefault="00B41408" w:rsidP="00B41408">
      <w:pPr>
        <w:spacing w:line="360" w:lineRule="auto"/>
        <w:jc w:val="both"/>
        <w:rPr>
          <w:rFonts w:eastAsia="TimesNewRomanPSMT"/>
          <w:b/>
          <w:color w:val="000000"/>
          <w:lang w:val="es-ES" w:eastAsia="zh-CN"/>
        </w:rPr>
      </w:pPr>
    </w:p>
    <w:p w14:paraId="2E7AF032" w14:textId="77777777" w:rsidR="00B41408" w:rsidRPr="00B41408" w:rsidRDefault="00B41408" w:rsidP="00B41408">
      <w:pPr>
        <w:spacing w:line="360" w:lineRule="auto"/>
        <w:jc w:val="both"/>
        <w:rPr>
          <w:rFonts w:eastAsia="TimesNewRomanPSMT"/>
          <w:b/>
          <w:color w:val="000000"/>
          <w:lang w:val="en-US" w:eastAsia="zh-CN"/>
        </w:rPr>
      </w:pPr>
      <w:r w:rsidRPr="00B41408">
        <w:rPr>
          <w:rFonts w:eastAsia="TimesNewRomanPSMT"/>
          <w:b/>
          <w:color w:val="000000"/>
          <w:lang w:val="en-US" w:eastAsia="zh-CN"/>
        </w:rPr>
        <w:t>ABSTRACT</w:t>
      </w:r>
    </w:p>
    <w:p w14:paraId="3D5D7652" w14:textId="77777777" w:rsidR="00B41408" w:rsidRPr="00B41408" w:rsidRDefault="00B41408" w:rsidP="00B41408">
      <w:pPr>
        <w:spacing w:line="360" w:lineRule="auto"/>
        <w:jc w:val="both"/>
        <w:rPr>
          <w:rFonts w:eastAsia="TimesNewRomanPSMT"/>
          <w:color w:val="000000"/>
          <w:lang w:val="en-US" w:eastAsia="zh-CN"/>
        </w:rPr>
      </w:pPr>
      <w:r w:rsidRPr="00B41408">
        <w:rPr>
          <w:rFonts w:eastAsia="TimesNewRomanPSMT"/>
          <w:b/>
          <w:color w:val="000000"/>
          <w:lang w:val="en-US" w:eastAsia="zh-CN"/>
        </w:rPr>
        <w:t xml:space="preserve">Introduction: </w:t>
      </w:r>
      <w:r w:rsidRPr="00B41408">
        <w:rPr>
          <w:rFonts w:eastAsia="TimesNewRomanPSMT"/>
          <w:color w:val="000000"/>
          <w:lang w:val="en-US" w:eastAsia="zh-CN"/>
        </w:rPr>
        <w:t xml:space="preserve">Multiple sclerosis is a chronic, inflammatory, demyelinating, autoimmune disease of the central nervous system. It is the first cause of non-traumatic disability in young adults, significantly affecting the quality of life, with physical, social and emotional alterations. </w:t>
      </w:r>
    </w:p>
    <w:p w14:paraId="4590FE8E" w14:textId="77777777" w:rsidR="00B41408" w:rsidRPr="00B41408" w:rsidRDefault="00B41408" w:rsidP="00B41408">
      <w:pPr>
        <w:spacing w:line="360" w:lineRule="auto"/>
        <w:jc w:val="both"/>
        <w:rPr>
          <w:rFonts w:eastAsia="TimesNewRomanPSMT"/>
          <w:color w:val="000000"/>
          <w:lang w:val="en-US" w:eastAsia="zh-CN"/>
        </w:rPr>
      </w:pPr>
      <w:r w:rsidRPr="00B41408">
        <w:rPr>
          <w:rFonts w:eastAsia="TimesNewRomanPSMT"/>
          <w:b/>
          <w:bCs/>
          <w:color w:val="000000"/>
          <w:lang w:val="en-US" w:eastAsia="zh-CN"/>
        </w:rPr>
        <w:t>Objective:</w:t>
      </w:r>
      <w:r w:rsidRPr="00B41408">
        <w:rPr>
          <w:rFonts w:eastAsia="TimesNewRomanPSMT"/>
          <w:color w:val="000000"/>
          <w:lang w:val="en-US" w:eastAsia="zh-CN"/>
        </w:rPr>
        <w:t xml:space="preserve"> To characterize from the clinical point of view, patients diagnosed with multiple sclerosis. </w:t>
      </w:r>
    </w:p>
    <w:p w14:paraId="66827476" w14:textId="77777777" w:rsidR="00B41408" w:rsidRPr="00B41408" w:rsidRDefault="00B41408" w:rsidP="00B41408">
      <w:pPr>
        <w:spacing w:line="360" w:lineRule="auto"/>
        <w:jc w:val="both"/>
        <w:rPr>
          <w:rFonts w:eastAsia="TimesNewRomanPSMT"/>
          <w:color w:val="000000"/>
          <w:lang w:val="en-US" w:eastAsia="zh-CN"/>
        </w:rPr>
      </w:pPr>
      <w:r w:rsidRPr="00B41408">
        <w:rPr>
          <w:rFonts w:eastAsia="TimesNewRomanPSMT"/>
          <w:b/>
          <w:color w:val="000000"/>
          <w:lang w:val="en-US" w:eastAsia="zh-CN"/>
        </w:rPr>
        <w:t>Method:</w:t>
      </w:r>
      <w:r w:rsidRPr="00B41408">
        <w:rPr>
          <w:rFonts w:eastAsia="TimesNewRomanPSMT"/>
          <w:color w:val="000000"/>
          <w:lang w:val="en-US" w:eastAsia="zh-CN"/>
        </w:rPr>
        <w:t xml:space="preserve"> A descriptive and cross-sectional observational study was carried out in a case series of 40 patients, with variables age, sex, comorbidity, initial symptoms, clinical forms and degree of disability. A frequency analysis was carried out.</w:t>
      </w:r>
    </w:p>
    <w:p w14:paraId="35BABBC5" w14:textId="77777777" w:rsidR="00B41408" w:rsidRPr="00B41408" w:rsidRDefault="00B41408" w:rsidP="00B41408">
      <w:pPr>
        <w:spacing w:line="360" w:lineRule="auto"/>
        <w:jc w:val="both"/>
        <w:rPr>
          <w:rFonts w:eastAsia="TimesNewRomanPSMT"/>
          <w:color w:val="000000"/>
          <w:lang w:val="en-US" w:eastAsia="zh-CN"/>
        </w:rPr>
      </w:pPr>
      <w:r w:rsidRPr="00B41408">
        <w:rPr>
          <w:rFonts w:eastAsia="TimesNewRomanPSMT"/>
          <w:b/>
          <w:color w:val="000000"/>
          <w:lang w:val="en-US" w:eastAsia="zh-CN"/>
        </w:rPr>
        <w:t>Results:</w:t>
      </w:r>
      <w:r w:rsidRPr="00B41408">
        <w:rPr>
          <w:rFonts w:eastAsia="TimesNewRomanPSMT"/>
          <w:color w:val="000000"/>
          <w:lang w:val="en-US" w:eastAsia="zh-CN"/>
        </w:rPr>
        <w:t xml:space="preserve"> Patients aged between 30 and 39 years (57.5%) predominated. Female patients represented 58.8% of the cases studied and 85.5% presented motor manifestations, as initial symptoms of the disease. Motor symptoms were predominant during the onset of the disease. The most frequent clinical form of multiple sclerosis was relapsing-remitting and the degree of minimal disability. </w:t>
      </w:r>
    </w:p>
    <w:p w14:paraId="57C2336E" w14:textId="77777777" w:rsidR="00B41408" w:rsidRPr="00B41408" w:rsidRDefault="00B41408" w:rsidP="00B41408">
      <w:pPr>
        <w:spacing w:line="360" w:lineRule="auto"/>
        <w:jc w:val="both"/>
        <w:rPr>
          <w:rFonts w:eastAsia="TimesNewRomanPSMT"/>
          <w:color w:val="000000"/>
          <w:lang w:val="en-US" w:eastAsia="zh-CN"/>
        </w:rPr>
      </w:pPr>
      <w:r w:rsidRPr="00B41408">
        <w:rPr>
          <w:rFonts w:eastAsia="TimesNewRomanPSMT"/>
          <w:b/>
          <w:color w:val="000000"/>
          <w:lang w:val="en-US" w:eastAsia="zh-CN"/>
        </w:rPr>
        <w:t>Conclusions:</w:t>
      </w:r>
      <w:r w:rsidRPr="00B41408">
        <w:rPr>
          <w:rFonts w:eastAsia="TimesNewRomanPSMT"/>
          <w:color w:val="000000"/>
          <w:lang w:val="en-US" w:eastAsia="zh-CN"/>
        </w:rPr>
        <w:t xml:space="preserve"> Motor manifestations are the most frequent initial symptoms, as well as the relapsing-remitting clinical form and the minimum degree of disability. The patients are fundamentally female, in the fourth decade of life.</w:t>
      </w:r>
    </w:p>
    <w:p w14:paraId="503BEC02" w14:textId="77777777" w:rsidR="00B41408" w:rsidRPr="00B41408" w:rsidRDefault="00B41408" w:rsidP="00B41408">
      <w:pPr>
        <w:spacing w:line="360" w:lineRule="auto"/>
        <w:jc w:val="both"/>
        <w:rPr>
          <w:rFonts w:eastAsia="TimesNewRomanPSMT"/>
          <w:color w:val="000000"/>
          <w:lang w:val="en-US" w:eastAsia="zh-CN"/>
        </w:rPr>
      </w:pPr>
      <w:r w:rsidRPr="00B41408">
        <w:rPr>
          <w:rFonts w:eastAsia="TimesNewRomanPSMT"/>
          <w:b/>
          <w:color w:val="000000"/>
          <w:lang w:val="en-US" w:eastAsia="zh-CN"/>
        </w:rPr>
        <w:t xml:space="preserve">Keywords: </w:t>
      </w:r>
      <w:r w:rsidRPr="00B41408">
        <w:rPr>
          <w:rFonts w:eastAsia="TimesNewRomanPSMT"/>
          <w:bCs/>
          <w:color w:val="000000"/>
          <w:lang w:val="en-US" w:eastAsia="zh-CN"/>
        </w:rPr>
        <w:t>m</w:t>
      </w:r>
      <w:r w:rsidRPr="00B41408">
        <w:rPr>
          <w:rFonts w:eastAsia="TimesNewRomanPSMT"/>
          <w:color w:val="000000"/>
          <w:lang w:val="en-US" w:eastAsia="zh-CN"/>
        </w:rPr>
        <w:t>ultiple sclerosis, relapsing-remitting multiple sclerosis, disability; motor disorders.</w:t>
      </w:r>
    </w:p>
    <w:p w14:paraId="25D9FBE5" w14:textId="77777777" w:rsidR="00B41408" w:rsidRPr="00B41408" w:rsidRDefault="00B41408" w:rsidP="00B41408">
      <w:pPr>
        <w:spacing w:line="360" w:lineRule="auto"/>
        <w:jc w:val="both"/>
        <w:rPr>
          <w:rFonts w:eastAsia="TimesNewRomanPSMT"/>
          <w:color w:val="000000"/>
          <w:lang w:val="en-US" w:eastAsia="zh-CN"/>
        </w:rPr>
      </w:pPr>
    </w:p>
    <w:p w14:paraId="36A13AA3" w14:textId="77777777" w:rsidR="00B41408" w:rsidRPr="00B41408" w:rsidRDefault="00B41408" w:rsidP="00B41408">
      <w:pPr>
        <w:spacing w:line="360" w:lineRule="auto"/>
        <w:jc w:val="both"/>
        <w:rPr>
          <w:rFonts w:eastAsia="TimesNewRomanPSMT"/>
          <w:color w:val="000000"/>
          <w:lang w:val="en-US" w:eastAsia="zh-CN"/>
        </w:rPr>
      </w:pPr>
    </w:p>
    <w:p w14:paraId="62534CC4"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lastRenderedPageBreak/>
        <w:t>Recibido: 14/10/2022</w:t>
      </w:r>
    </w:p>
    <w:p w14:paraId="30B4D4F8"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Aprobado: 01/02/2023</w:t>
      </w:r>
    </w:p>
    <w:p w14:paraId="245AF8CD" w14:textId="77777777" w:rsidR="00B41408" w:rsidRPr="00B41408" w:rsidRDefault="00B41408" w:rsidP="00B41408">
      <w:pPr>
        <w:spacing w:line="360" w:lineRule="auto"/>
        <w:jc w:val="both"/>
        <w:rPr>
          <w:lang w:val="es-ES" w:eastAsia="zh-CN"/>
        </w:rPr>
      </w:pPr>
    </w:p>
    <w:p w14:paraId="5107879F" w14:textId="77777777" w:rsidR="00B41408" w:rsidRPr="00B41408" w:rsidRDefault="00B41408" w:rsidP="00B41408">
      <w:pPr>
        <w:spacing w:line="360" w:lineRule="auto"/>
        <w:jc w:val="both"/>
        <w:rPr>
          <w:b/>
          <w:bCs/>
          <w:lang w:val="es-ES" w:eastAsia="zh-CN"/>
        </w:rPr>
      </w:pPr>
    </w:p>
    <w:p w14:paraId="28EAAC9D" w14:textId="77777777" w:rsidR="00B41408" w:rsidRPr="00B41408" w:rsidRDefault="00B41408" w:rsidP="00B41408">
      <w:pPr>
        <w:spacing w:line="360" w:lineRule="auto"/>
        <w:jc w:val="center"/>
        <w:rPr>
          <w:b/>
          <w:bCs/>
          <w:sz w:val="32"/>
          <w:szCs w:val="32"/>
          <w:lang w:val="es-ES" w:eastAsia="zh-CN"/>
        </w:rPr>
      </w:pPr>
      <w:r w:rsidRPr="00B41408">
        <w:rPr>
          <w:b/>
          <w:bCs/>
          <w:sz w:val="32"/>
          <w:szCs w:val="32"/>
          <w:lang w:val="es-ES" w:eastAsia="zh-CN"/>
        </w:rPr>
        <w:t>INTRODUCCIÓN</w:t>
      </w:r>
    </w:p>
    <w:p w14:paraId="4DECD24F" w14:textId="77777777" w:rsidR="00B41408" w:rsidRPr="00B41408" w:rsidRDefault="00B41408" w:rsidP="00B41408">
      <w:pPr>
        <w:spacing w:line="360" w:lineRule="auto"/>
        <w:jc w:val="both"/>
        <w:rPr>
          <w:rFonts w:eastAsia="TimesNewRomanPSMT"/>
          <w:color w:val="000000"/>
          <w:lang w:val="es-ES" w:eastAsia="zh-CN"/>
        </w:rPr>
      </w:pPr>
      <w:r w:rsidRPr="00B41408">
        <w:rPr>
          <w:lang w:val="es-ES" w:eastAsia="zh-CN"/>
        </w:rPr>
        <w:t xml:space="preserve">La esclerosis múltiple (EM) es una enfermedad autoinmune, inflamatoria, desmielinizante, crónica, del sistema nervioso central, en la cual, principalmente la sustancia blanca se ve afectada por la aparición de infiltrado inflamatorio que causa destrucción de la mielina, con lesiones múltiples en placas. La EM afecta preferentemente a la población joven. Es la enfermedad desmielinizante del sistema nervioso central más frecuente y supone la primera causa de discapacidad no traumática en adultos jóvenes. Afecta de forma significativa la calidad de vida de los pacientes, con alteraciones físicas, sociales y </w:t>
      </w:r>
      <w:proofErr w:type="gramStart"/>
      <w:r w:rsidRPr="00B41408">
        <w:rPr>
          <w:lang w:val="es-ES" w:eastAsia="zh-CN"/>
        </w:rPr>
        <w:t>emocionales.</w:t>
      </w:r>
      <w:r w:rsidRPr="00B41408">
        <w:rPr>
          <w:vertAlign w:val="superscript"/>
          <w:lang w:val="es-ES" w:eastAsia="zh-CN"/>
        </w:rPr>
        <w:t>(</w:t>
      </w:r>
      <w:proofErr w:type="gramEnd"/>
      <w:r w:rsidRPr="00B41408">
        <w:rPr>
          <w:vertAlign w:val="superscript"/>
          <w:lang w:val="es-ES" w:eastAsia="zh-CN"/>
        </w:rPr>
        <w:t>1</w:t>
      </w:r>
      <w:r w:rsidRPr="00B41408">
        <w:rPr>
          <w:rFonts w:eastAsia="TimesNewRomanPSMT"/>
          <w:color w:val="000000"/>
          <w:vertAlign w:val="superscript"/>
          <w:lang w:val="zh-CN" w:eastAsia="zh-CN"/>
        </w:rPr>
        <w:t>,</w:t>
      </w:r>
      <w:r w:rsidRPr="00B41408">
        <w:rPr>
          <w:rFonts w:eastAsia="TimesNewRomanPSMT"/>
          <w:color w:val="000000"/>
          <w:vertAlign w:val="superscript"/>
          <w:lang w:val="es-ES" w:eastAsia="zh-CN"/>
        </w:rPr>
        <w:t>2)</w:t>
      </w:r>
    </w:p>
    <w:p w14:paraId="114D0149" w14:textId="77777777" w:rsidR="00B41408" w:rsidRPr="00B41408" w:rsidRDefault="00B41408" w:rsidP="00B41408">
      <w:pPr>
        <w:spacing w:line="360" w:lineRule="auto"/>
        <w:jc w:val="both"/>
        <w:rPr>
          <w:rFonts w:eastAsia="TimesNewRomanPSMT"/>
          <w:color w:val="000000"/>
          <w:vertAlign w:val="superscript"/>
          <w:lang w:val="es-ES" w:eastAsia="zh-CN"/>
        </w:rPr>
      </w:pPr>
      <w:r w:rsidRPr="00B41408">
        <w:rPr>
          <w:rFonts w:eastAsia="TimesNewRomanPSMT"/>
          <w:color w:val="000000"/>
          <w:lang w:val="es-ES" w:eastAsia="zh-CN"/>
        </w:rPr>
        <w:t xml:space="preserve">En su desarrollo influyen factores genéticos y geográfico-ambientales. La enfermedad puede evolucionar de distintas formas, la más frecuente incluye brotes y períodos de estabilidad, aunque en muchos casos llega a desarrollarse de forma progresiva y </w:t>
      </w:r>
      <w:proofErr w:type="gramStart"/>
      <w:r w:rsidRPr="00B41408">
        <w:rPr>
          <w:rFonts w:eastAsia="TimesNewRomanPSMT"/>
          <w:color w:val="000000"/>
          <w:lang w:val="es-ES" w:eastAsia="zh-CN"/>
        </w:rPr>
        <w:t>continuada.</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3)</w:t>
      </w:r>
    </w:p>
    <w:p w14:paraId="5237062A" w14:textId="77777777" w:rsidR="00B41408" w:rsidRPr="00B41408" w:rsidRDefault="00B41408" w:rsidP="00B41408">
      <w:pPr>
        <w:spacing w:line="360" w:lineRule="auto"/>
        <w:jc w:val="both"/>
        <w:rPr>
          <w:color w:val="000000"/>
          <w:vertAlign w:val="superscript"/>
          <w:lang w:val="es-ES" w:eastAsia="zh-CN"/>
        </w:rPr>
      </w:pPr>
      <w:r w:rsidRPr="00B41408">
        <w:rPr>
          <w:color w:val="000000"/>
          <w:lang w:val="es-ES" w:eastAsia="zh-CN"/>
        </w:rPr>
        <w:t xml:space="preserve">Según el atlas mundial de la EM, afecta a 2,3 millones de personas en el mundo. La prevalencia es más elevada en países desarrollados y en personas del sexo femenino. Generalmente inicia entre los 20 y 40 años de edad; pero se pueden encontrar casos en las edades extremas de la vida. Tiene una distribución geográfica particular, ya que aumenta en las latitudes más altas. Escandinavia, Canadá o Nueva Zelanda son zonas de elevada prevalencia de este </w:t>
      </w:r>
      <w:proofErr w:type="gramStart"/>
      <w:r w:rsidRPr="00B41408">
        <w:rPr>
          <w:color w:val="000000"/>
          <w:lang w:val="es-ES" w:eastAsia="zh-CN"/>
        </w:rPr>
        <w:t>enfermedad.</w:t>
      </w:r>
      <w:r w:rsidRPr="00B41408">
        <w:rPr>
          <w:color w:val="000000"/>
          <w:vertAlign w:val="superscript"/>
          <w:lang w:val="es-ES" w:eastAsia="zh-CN"/>
        </w:rPr>
        <w:t>(</w:t>
      </w:r>
      <w:proofErr w:type="gramEnd"/>
      <w:r w:rsidRPr="00B41408">
        <w:rPr>
          <w:color w:val="000000"/>
          <w:vertAlign w:val="superscript"/>
          <w:lang w:val="es-ES" w:eastAsia="zh-CN"/>
        </w:rPr>
        <w:t xml:space="preserve">3) </w:t>
      </w:r>
      <w:r w:rsidRPr="00B41408">
        <w:rPr>
          <w:color w:val="000000"/>
          <w:lang w:val="es-ES" w:eastAsia="zh-CN"/>
        </w:rPr>
        <w:t xml:space="preserve">Aunque nuevos estudios parecen mostrar que el efecto de la latitud está desapareciendo. La relación con los movimientos migratorios también es importante, ya que parece que los individuos que migran de una zona de bajo riesgo a una de alto, incrementan la probabilidad de desarrollar la </w:t>
      </w:r>
      <w:proofErr w:type="gramStart"/>
      <w:r w:rsidRPr="00B41408">
        <w:rPr>
          <w:color w:val="000000"/>
          <w:lang w:val="es-ES" w:eastAsia="zh-CN"/>
        </w:rPr>
        <w:t>enfermedad.</w:t>
      </w:r>
      <w:r w:rsidRPr="00B41408">
        <w:rPr>
          <w:color w:val="000000"/>
          <w:vertAlign w:val="superscript"/>
          <w:lang w:val="es-ES" w:eastAsia="zh-CN"/>
        </w:rPr>
        <w:t>(</w:t>
      </w:r>
      <w:proofErr w:type="gramEnd"/>
      <w:r w:rsidRPr="00B41408">
        <w:rPr>
          <w:color w:val="000000"/>
          <w:vertAlign w:val="superscript"/>
          <w:lang w:val="es-ES" w:eastAsia="zh-CN"/>
        </w:rPr>
        <w:t>3)</w:t>
      </w:r>
    </w:p>
    <w:p w14:paraId="23F45F63" w14:textId="77777777" w:rsidR="00B41408" w:rsidRPr="00B41408" w:rsidRDefault="00B41408" w:rsidP="00B41408">
      <w:pPr>
        <w:spacing w:line="360" w:lineRule="auto"/>
        <w:jc w:val="both"/>
        <w:rPr>
          <w:rFonts w:eastAsia="TimesNewRomanPSMT"/>
          <w:color w:val="000000"/>
          <w:vertAlign w:val="superscript"/>
          <w:lang w:val="es-ES" w:eastAsia="zh-CN"/>
        </w:rPr>
      </w:pPr>
      <w:r w:rsidRPr="00B41408">
        <w:rPr>
          <w:rFonts w:eastAsia="TimesNewRomanPSMT"/>
          <w:color w:val="000000"/>
          <w:lang w:val="es-ES" w:eastAsia="zh-CN"/>
        </w:rPr>
        <w:t>Actualmente 1 de cada 3 000 personas vive con la enfermedad. La prevalencia global es de 36 por cada 100 000 habitantes. En el continente americano se destaca una tendencia ascendente y los diagnósticos se han duplicado; según el atlas mundial de EM existen 118 personas por cada 100 000 habitantes que padecen la enfermedad. Argentina y EE. UU. son las naciones con mayor número de afectados.</w:t>
      </w:r>
      <w:r w:rsidRPr="00B41408">
        <w:rPr>
          <w:rFonts w:eastAsia="TimesNewRomanPSMT"/>
          <w:color w:val="000000"/>
          <w:vertAlign w:val="superscript"/>
          <w:lang w:val="es-ES" w:eastAsia="zh-CN"/>
        </w:rPr>
        <w:t xml:space="preserve"> (4) </w:t>
      </w:r>
      <w:r w:rsidRPr="00B41408">
        <w:rPr>
          <w:rFonts w:eastAsia="TimesNewRomanPSMT"/>
          <w:color w:val="000000"/>
          <w:lang w:val="es-ES" w:eastAsia="zh-CN"/>
        </w:rPr>
        <w:t xml:space="preserve">En Cuba, el primer caso publicado de EM, lo notificó </w:t>
      </w:r>
      <w:proofErr w:type="gramStart"/>
      <w:r w:rsidRPr="00B41408">
        <w:rPr>
          <w:rFonts w:eastAsia="TimesNewRomanPSMT"/>
          <w:i/>
          <w:iCs/>
          <w:color w:val="000000"/>
          <w:lang w:val="es-ES" w:eastAsia="zh-CN"/>
        </w:rPr>
        <w:t>Estrada</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5)</w:t>
      </w:r>
      <w:r w:rsidRPr="00B41408">
        <w:rPr>
          <w:rFonts w:eastAsia="TimesNewRomanPSMT"/>
          <w:color w:val="000000"/>
          <w:lang w:val="es-ES" w:eastAsia="zh-CN"/>
        </w:rPr>
        <w:t xml:space="preserve"> en 1965 y la primera serie de casos la </w:t>
      </w:r>
      <w:r w:rsidRPr="00B41408">
        <w:rPr>
          <w:rFonts w:eastAsia="TimesNewRomanPSMT"/>
          <w:color w:val="000000"/>
          <w:lang w:val="es-ES" w:eastAsia="zh-CN"/>
        </w:rPr>
        <w:lastRenderedPageBreak/>
        <w:t xml:space="preserve">describen </w:t>
      </w:r>
      <w:r w:rsidRPr="00B41408">
        <w:rPr>
          <w:rFonts w:eastAsia="TimesNewRomanPSMT"/>
          <w:i/>
          <w:iCs/>
          <w:color w:val="000000"/>
          <w:lang w:val="es-ES" w:eastAsia="zh-CN"/>
        </w:rPr>
        <w:t xml:space="preserve">Cabrera </w:t>
      </w:r>
      <w:r w:rsidRPr="00B41408">
        <w:rPr>
          <w:rFonts w:eastAsia="TimesNewRomanPSMT"/>
          <w:lang w:val="es-ES" w:eastAsia="zh-CN"/>
        </w:rPr>
        <w:t>y otros</w:t>
      </w:r>
      <w:r w:rsidRPr="00B41408">
        <w:rPr>
          <w:rFonts w:eastAsia="TimesNewRomanPSMT"/>
          <w:vertAlign w:val="superscript"/>
          <w:lang w:val="es-ES" w:eastAsia="zh-CN"/>
        </w:rPr>
        <w:t xml:space="preserve"> (6)</w:t>
      </w:r>
      <w:r w:rsidRPr="00B41408">
        <w:rPr>
          <w:rFonts w:eastAsia="TimesNewRomanPSMT"/>
          <w:color w:val="000000"/>
          <w:lang w:val="es-ES" w:eastAsia="zh-CN"/>
        </w:rPr>
        <w:t xml:space="preserve">en 1975. Existen además, otros estudios provinciales y regionales sobre </w:t>
      </w:r>
      <w:proofErr w:type="gramStart"/>
      <w:r w:rsidRPr="00B41408">
        <w:rPr>
          <w:rFonts w:eastAsia="TimesNewRomanPSMT"/>
          <w:color w:val="000000"/>
          <w:lang w:val="es-ES" w:eastAsia="zh-CN"/>
        </w:rPr>
        <w:t>EM.</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7,8)</w:t>
      </w:r>
    </w:p>
    <w:p w14:paraId="70FC228B"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La población atendida por el Hospital Clínico Quirúrgico Docente “Celia Sánchez </w:t>
      </w:r>
      <w:proofErr w:type="spellStart"/>
      <w:r w:rsidRPr="00B41408">
        <w:rPr>
          <w:rFonts w:eastAsia="TimesNewRomanPSMT"/>
          <w:color w:val="000000"/>
          <w:lang w:val="es-ES" w:eastAsia="zh-CN"/>
        </w:rPr>
        <w:t>Manduley</w:t>
      </w:r>
      <w:proofErr w:type="spellEnd"/>
      <w:r w:rsidRPr="00B41408">
        <w:rPr>
          <w:rFonts w:eastAsia="TimesNewRomanPSMT"/>
          <w:color w:val="000000"/>
          <w:lang w:val="es-ES" w:eastAsia="zh-CN"/>
        </w:rPr>
        <w:t xml:space="preserve">” incluye los municipios de la región del Golfo del </w:t>
      </w:r>
      <w:proofErr w:type="spellStart"/>
      <w:r w:rsidRPr="00B41408">
        <w:rPr>
          <w:rFonts w:eastAsia="TimesNewRomanPSMT"/>
          <w:color w:val="000000"/>
          <w:lang w:val="es-ES" w:eastAsia="zh-CN"/>
        </w:rPr>
        <w:t>Guacanayabo</w:t>
      </w:r>
      <w:proofErr w:type="spellEnd"/>
      <w:r w:rsidRPr="00B41408">
        <w:rPr>
          <w:rFonts w:eastAsia="TimesNewRomanPSMT"/>
          <w:color w:val="000000"/>
          <w:lang w:val="es-ES" w:eastAsia="zh-CN"/>
        </w:rPr>
        <w:t xml:space="preserve"> en la provincia Granma, Cuba (Manzanillo, Yara, Bartolomé Masó, Media Luna, Niquero, Pilón y </w:t>
      </w:r>
      <w:proofErr w:type="spellStart"/>
      <w:r w:rsidRPr="00B41408">
        <w:rPr>
          <w:rFonts w:eastAsia="TimesNewRomanPSMT"/>
          <w:color w:val="000000"/>
          <w:lang w:val="es-ES" w:eastAsia="zh-CN"/>
        </w:rPr>
        <w:t>Campechuela</w:t>
      </w:r>
      <w:proofErr w:type="spellEnd"/>
      <w:r w:rsidRPr="00B41408">
        <w:rPr>
          <w:rFonts w:eastAsia="TimesNewRomanPSMT"/>
          <w:color w:val="000000"/>
          <w:lang w:val="es-ES" w:eastAsia="zh-CN"/>
        </w:rPr>
        <w:t xml:space="preserve">). Este hospital, ubicado en Manzanillo, cuenta </w:t>
      </w:r>
      <w:r w:rsidRPr="00B41408">
        <w:rPr>
          <w:rFonts w:eastAsia="TimesNewRomanPSMT"/>
          <w:lang w:val="es-ES" w:eastAsia="zh-CN"/>
        </w:rPr>
        <w:t xml:space="preserve">con un registro </w:t>
      </w:r>
      <w:r w:rsidRPr="00B41408">
        <w:rPr>
          <w:rFonts w:eastAsia="TimesNewRomanPSMT"/>
          <w:color w:val="000000"/>
          <w:lang w:val="es-ES" w:eastAsia="zh-CN"/>
        </w:rPr>
        <w:t>de pacientes atendidos por EM, que no ha sido estudiado en cuanto a las características clínicas.</w:t>
      </w:r>
    </w:p>
    <w:p w14:paraId="13C61693"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El objetivo de este trabajo es caracterizar, desde el punto de vista clínico a los pacientes con diagnóstico de esclerosis múltiple.</w:t>
      </w:r>
    </w:p>
    <w:p w14:paraId="315CC46B" w14:textId="77777777" w:rsidR="00B41408" w:rsidRPr="00B41408" w:rsidRDefault="00B41408" w:rsidP="00B41408">
      <w:pPr>
        <w:spacing w:line="360" w:lineRule="auto"/>
        <w:jc w:val="both"/>
        <w:rPr>
          <w:rFonts w:eastAsia="TimesNewRomanPSMT"/>
          <w:b/>
          <w:color w:val="000000"/>
          <w:lang w:val="es-ES" w:eastAsia="zh-CN"/>
        </w:rPr>
      </w:pPr>
    </w:p>
    <w:p w14:paraId="4EE80D7E" w14:textId="77777777" w:rsidR="00B41408" w:rsidRPr="00B41408" w:rsidRDefault="00B41408" w:rsidP="00B41408">
      <w:pPr>
        <w:spacing w:line="360" w:lineRule="auto"/>
        <w:jc w:val="center"/>
        <w:rPr>
          <w:rFonts w:eastAsia="TimesNewRomanPSMT"/>
          <w:b/>
          <w:color w:val="000000"/>
          <w:lang w:val="es-ES" w:eastAsia="zh-CN"/>
        </w:rPr>
      </w:pPr>
    </w:p>
    <w:p w14:paraId="375A85B2" w14:textId="77777777" w:rsidR="00B41408" w:rsidRPr="00B41408" w:rsidRDefault="00B41408" w:rsidP="00B41408">
      <w:pPr>
        <w:spacing w:line="360" w:lineRule="auto"/>
        <w:jc w:val="center"/>
        <w:rPr>
          <w:rFonts w:eastAsia="TimesNewRomanPSMT"/>
          <w:b/>
          <w:color w:val="000000"/>
          <w:sz w:val="32"/>
          <w:szCs w:val="32"/>
          <w:lang w:val="es-ES" w:eastAsia="zh-CN"/>
        </w:rPr>
      </w:pPr>
      <w:r w:rsidRPr="00B41408">
        <w:rPr>
          <w:rFonts w:eastAsia="TimesNewRomanPSMT"/>
          <w:b/>
          <w:color w:val="000000"/>
          <w:sz w:val="32"/>
          <w:szCs w:val="32"/>
          <w:lang w:val="es-ES" w:eastAsia="zh-CN"/>
        </w:rPr>
        <w:t>MÉTODOS</w:t>
      </w:r>
    </w:p>
    <w:p w14:paraId="26C7DF39" w14:textId="77777777" w:rsidR="00B41408" w:rsidRPr="00B41408" w:rsidRDefault="00B41408" w:rsidP="00B41408">
      <w:pPr>
        <w:spacing w:line="360" w:lineRule="auto"/>
        <w:jc w:val="center"/>
        <w:rPr>
          <w:rFonts w:eastAsia="TimesNewRomanPSMT"/>
          <w:b/>
          <w:bCs/>
          <w:color w:val="000000"/>
          <w:sz w:val="28"/>
          <w:szCs w:val="28"/>
          <w:lang w:val="es-ES" w:eastAsia="zh-CN"/>
        </w:rPr>
      </w:pPr>
      <w:r w:rsidRPr="00B41408">
        <w:rPr>
          <w:rFonts w:eastAsia="TimesNewRomanPSMT"/>
          <w:b/>
          <w:bCs/>
          <w:color w:val="000000"/>
          <w:sz w:val="28"/>
          <w:szCs w:val="28"/>
          <w:lang w:val="es-ES" w:eastAsia="zh-CN"/>
        </w:rPr>
        <w:t>Diseño</w:t>
      </w:r>
    </w:p>
    <w:p w14:paraId="5CCB5437"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Se realizó un estudio observacional descriptivo de corte transversal, en el servicio de neurología del Hospital Clínico Quirúrgico Docente “Celia Sánchez </w:t>
      </w:r>
      <w:proofErr w:type="spellStart"/>
      <w:r w:rsidRPr="00B41408">
        <w:rPr>
          <w:rFonts w:eastAsia="TimesNewRomanPSMT"/>
          <w:color w:val="000000"/>
          <w:lang w:val="es-ES" w:eastAsia="zh-CN"/>
        </w:rPr>
        <w:t>Manduley</w:t>
      </w:r>
      <w:proofErr w:type="spellEnd"/>
      <w:r w:rsidRPr="00B41408">
        <w:rPr>
          <w:rFonts w:eastAsia="TimesNewRomanPSMT"/>
          <w:color w:val="000000"/>
          <w:lang w:val="es-ES" w:eastAsia="zh-CN"/>
        </w:rPr>
        <w:t xml:space="preserve">” de Manzanillo, Granma, Cuba. </w:t>
      </w:r>
    </w:p>
    <w:p w14:paraId="7F6A98E5" w14:textId="77777777" w:rsidR="00B41408" w:rsidRPr="00B41408" w:rsidRDefault="00B41408" w:rsidP="00B41408">
      <w:pPr>
        <w:spacing w:line="360" w:lineRule="auto"/>
        <w:jc w:val="center"/>
        <w:rPr>
          <w:rFonts w:eastAsia="TimesNewRomanPSMT"/>
          <w:b/>
          <w:bCs/>
          <w:color w:val="000000"/>
          <w:sz w:val="28"/>
          <w:szCs w:val="28"/>
          <w:lang w:val="es-ES" w:eastAsia="zh-CN"/>
        </w:rPr>
      </w:pPr>
      <w:r w:rsidRPr="00B41408">
        <w:rPr>
          <w:rFonts w:eastAsia="TimesNewRomanPSMT"/>
          <w:b/>
          <w:bCs/>
          <w:color w:val="000000"/>
          <w:sz w:val="28"/>
          <w:szCs w:val="28"/>
          <w:lang w:val="es-ES" w:eastAsia="zh-CN"/>
        </w:rPr>
        <w:t>Sujetos</w:t>
      </w:r>
    </w:p>
    <w:p w14:paraId="37787E01"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Se estudió una serie de casos conformada por 40 pacientes con diagnóstico de esclerosis múltiple. Son todos los atendidos en el período comprendido de enero desde el año 2019 hasta diciembre de 2020.</w:t>
      </w:r>
    </w:p>
    <w:p w14:paraId="2486CD19" w14:textId="77777777" w:rsidR="00B41408" w:rsidRPr="00B41408" w:rsidRDefault="00B41408" w:rsidP="00B41408">
      <w:pPr>
        <w:spacing w:line="360" w:lineRule="auto"/>
        <w:jc w:val="center"/>
        <w:rPr>
          <w:rFonts w:eastAsia="TimesNewRomanPSMT"/>
          <w:b/>
          <w:bCs/>
          <w:color w:val="000000"/>
          <w:sz w:val="28"/>
          <w:szCs w:val="28"/>
          <w:lang w:val="es-ES" w:eastAsia="zh-CN"/>
        </w:rPr>
      </w:pPr>
      <w:r w:rsidRPr="00B41408">
        <w:rPr>
          <w:rFonts w:eastAsia="TimesNewRomanPSMT"/>
          <w:b/>
          <w:bCs/>
          <w:color w:val="000000"/>
          <w:sz w:val="28"/>
          <w:szCs w:val="28"/>
          <w:lang w:val="es-ES" w:eastAsia="zh-CN"/>
        </w:rPr>
        <w:t>Variables</w:t>
      </w:r>
    </w:p>
    <w:p w14:paraId="6276FEAA" w14:textId="77777777" w:rsidR="00B41408" w:rsidRPr="00B41408" w:rsidRDefault="00B41408" w:rsidP="00B41408">
      <w:pPr>
        <w:spacing w:line="360" w:lineRule="auto"/>
        <w:jc w:val="both"/>
        <w:rPr>
          <w:rFonts w:eastAsia="TimesNewRomanPSMT"/>
          <w:color w:val="000000"/>
          <w:lang w:val="es-ES" w:eastAsia="zh-CN"/>
        </w:rPr>
      </w:pPr>
    </w:p>
    <w:p w14:paraId="0A149DA6" w14:textId="77777777" w:rsidR="00B41408" w:rsidRPr="00B41408" w:rsidRDefault="00B41408" w:rsidP="00B41408">
      <w:pPr>
        <w:numPr>
          <w:ilvl w:val="0"/>
          <w:numId w:val="4"/>
        </w:numPr>
        <w:spacing w:after="160" w:line="360" w:lineRule="auto"/>
        <w:contextualSpacing/>
        <w:jc w:val="both"/>
        <w:rPr>
          <w:rFonts w:eastAsia="TimesNewRomanPSMT"/>
          <w:color w:val="000000"/>
          <w:lang w:val="es-ES" w:eastAsia="zh-CN"/>
        </w:rPr>
      </w:pPr>
      <w:r w:rsidRPr="00B41408">
        <w:rPr>
          <w:rFonts w:eastAsia="TimesNewRomanPSMT"/>
          <w:color w:val="000000"/>
          <w:lang w:val="es-ES" w:eastAsia="zh-CN"/>
        </w:rPr>
        <w:t>Edad (agrupada en 20 a 29 años, 30 a 39 años y 40 años o más).</w:t>
      </w:r>
    </w:p>
    <w:p w14:paraId="53F08D45" w14:textId="77777777" w:rsidR="00B41408" w:rsidRPr="00B41408" w:rsidRDefault="00B41408" w:rsidP="00B41408">
      <w:pPr>
        <w:numPr>
          <w:ilvl w:val="0"/>
          <w:numId w:val="4"/>
        </w:numPr>
        <w:spacing w:after="160" w:line="360" w:lineRule="auto"/>
        <w:contextualSpacing/>
        <w:jc w:val="both"/>
        <w:rPr>
          <w:rFonts w:eastAsia="TimesNewRomanPSMT"/>
          <w:color w:val="000000"/>
          <w:lang w:val="es-ES" w:eastAsia="zh-CN"/>
        </w:rPr>
      </w:pPr>
      <w:r w:rsidRPr="00B41408">
        <w:rPr>
          <w:rFonts w:eastAsia="TimesNewRomanPSMT"/>
          <w:color w:val="000000"/>
          <w:lang w:val="es-ES" w:eastAsia="zh-CN"/>
        </w:rPr>
        <w:t>Sexo.</w:t>
      </w:r>
    </w:p>
    <w:p w14:paraId="4E687119" w14:textId="77777777" w:rsidR="00B41408" w:rsidRPr="00B41408" w:rsidRDefault="00B41408" w:rsidP="00B41408">
      <w:pPr>
        <w:numPr>
          <w:ilvl w:val="0"/>
          <w:numId w:val="4"/>
        </w:numPr>
        <w:spacing w:after="160" w:line="360" w:lineRule="auto"/>
        <w:contextualSpacing/>
        <w:jc w:val="both"/>
        <w:rPr>
          <w:rFonts w:eastAsia="TimesNewRomanPSMT"/>
          <w:color w:val="000000"/>
          <w:lang w:val="es-ES" w:eastAsia="zh-CN"/>
        </w:rPr>
      </w:pPr>
      <w:r w:rsidRPr="00B41408">
        <w:rPr>
          <w:rFonts w:eastAsia="TimesNewRomanPSMT"/>
          <w:color w:val="000000"/>
          <w:lang w:val="es-ES" w:eastAsia="zh-CN"/>
        </w:rPr>
        <w:t>Comorbilidad (hipertensión arterial, asma bronquial, diabetes mellitus, hipertiroidismo y depresión).</w:t>
      </w:r>
    </w:p>
    <w:p w14:paraId="17C7AE8A" w14:textId="77777777" w:rsidR="00B41408" w:rsidRPr="00B41408" w:rsidRDefault="00B41408" w:rsidP="00B41408">
      <w:pPr>
        <w:numPr>
          <w:ilvl w:val="0"/>
          <w:numId w:val="4"/>
        </w:numPr>
        <w:spacing w:after="160" w:line="360" w:lineRule="auto"/>
        <w:contextualSpacing/>
        <w:jc w:val="both"/>
        <w:rPr>
          <w:rFonts w:eastAsia="TimesNewRomanPSMT"/>
          <w:color w:val="000000"/>
          <w:lang w:val="es-ES" w:eastAsia="zh-CN"/>
        </w:rPr>
      </w:pPr>
      <w:r w:rsidRPr="00B41408">
        <w:rPr>
          <w:rFonts w:eastAsia="TimesNewRomanPSMT"/>
          <w:color w:val="000000"/>
          <w:lang w:val="es-ES" w:eastAsia="zh-CN"/>
        </w:rPr>
        <w:t xml:space="preserve">Síntomas </w:t>
      </w:r>
      <w:proofErr w:type="gramStart"/>
      <w:r w:rsidRPr="00B41408">
        <w:rPr>
          <w:rFonts w:eastAsia="TimesNewRomanPSMT"/>
          <w:color w:val="000000"/>
          <w:lang w:val="es-ES" w:eastAsia="zh-CN"/>
        </w:rPr>
        <w:t>iniciales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9)</w:t>
      </w:r>
      <w:r w:rsidRPr="00B41408">
        <w:rPr>
          <w:rFonts w:eastAsia="TimesNewRomanPSMT"/>
          <w:color w:val="000000"/>
          <w:lang w:val="es-ES" w:eastAsia="zh-CN"/>
        </w:rPr>
        <w:t xml:space="preserve"> (motores, sensitivos, visuales, cognitivos, cerebelosos y del tallo cerebral).</w:t>
      </w:r>
    </w:p>
    <w:p w14:paraId="627FB188" w14:textId="77777777" w:rsidR="00B41408" w:rsidRPr="00B41408" w:rsidRDefault="00B41408" w:rsidP="00B41408">
      <w:pPr>
        <w:numPr>
          <w:ilvl w:val="0"/>
          <w:numId w:val="4"/>
        </w:numPr>
        <w:spacing w:after="160" w:line="360" w:lineRule="auto"/>
        <w:contextualSpacing/>
        <w:jc w:val="both"/>
        <w:rPr>
          <w:rFonts w:eastAsia="TimesNewRomanPSMT"/>
          <w:color w:val="000000"/>
          <w:lang w:val="es-ES" w:eastAsia="zh-CN"/>
        </w:rPr>
      </w:pPr>
      <w:r w:rsidRPr="00B41408">
        <w:rPr>
          <w:rFonts w:eastAsia="TimesNewRomanPSMT"/>
          <w:color w:val="000000"/>
          <w:lang w:val="es-ES" w:eastAsia="zh-CN"/>
        </w:rPr>
        <w:t xml:space="preserve">Formas </w:t>
      </w:r>
      <w:proofErr w:type="gramStart"/>
      <w:r w:rsidRPr="00B41408">
        <w:rPr>
          <w:rFonts w:eastAsia="TimesNewRomanPSMT"/>
          <w:color w:val="000000"/>
          <w:lang w:val="es-ES" w:eastAsia="zh-CN"/>
        </w:rPr>
        <w:t>clínicas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 xml:space="preserve">9) </w:t>
      </w:r>
      <w:r w:rsidRPr="00B41408">
        <w:rPr>
          <w:rFonts w:eastAsia="TimesNewRomanPSMT"/>
          <w:color w:val="000000"/>
          <w:lang w:val="es-ES" w:eastAsia="zh-CN"/>
        </w:rPr>
        <w:t>(primaria progresiva, secundaria progresiva y remitente recurrente).</w:t>
      </w:r>
    </w:p>
    <w:p w14:paraId="57CAA099" w14:textId="77777777" w:rsidR="00B41408" w:rsidRPr="00B41408" w:rsidRDefault="00B41408" w:rsidP="00B41408">
      <w:pPr>
        <w:numPr>
          <w:ilvl w:val="0"/>
          <w:numId w:val="4"/>
        </w:numPr>
        <w:spacing w:after="160" w:line="360" w:lineRule="auto"/>
        <w:contextualSpacing/>
        <w:jc w:val="both"/>
        <w:rPr>
          <w:rFonts w:eastAsia="TimesNewRomanPSMT"/>
          <w:color w:val="000000"/>
          <w:lang w:val="es-ES" w:eastAsia="zh-CN"/>
        </w:rPr>
      </w:pPr>
      <w:r w:rsidRPr="00B41408">
        <w:rPr>
          <w:rFonts w:eastAsia="TimesNewRomanPSMT"/>
          <w:color w:val="000000"/>
          <w:lang w:val="es-ES" w:eastAsia="zh-CN"/>
        </w:rPr>
        <w:t xml:space="preserve">Grado de </w:t>
      </w:r>
      <w:proofErr w:type="gramStart"/>
      <w:r w:rsidRPr="00B41408">
        <w:rPr>
          <w:rFonts w:eastAsia="TimesNewRomanPSMT"/>
          <w:color w:val="000000"/>
          <w:lang w:val="es-ES" w:eastAsia="zh-CN"/>
        </w:rPr>
        <w:t>discapacidad</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10)</w:t>
      </w:r>
      <w:r w:rsidRPr="00B41408">
        <w:rPr>
          <w:rFonts w:eastAsia="TimesNewRomanPSMT"/>
          <w:color w:val="000000"/>
          <w:lang w:val="es-ES" w:eastAsia="zh-CN"/>
        </w:rPr>
        <w:t xml:space="preserve"> (mínima, moderada y grave).</w:t>
      </w:r>
    </w:p>
    <w:p w14:paraId="137FE088" w14:textId="77777777" w:rsidR="00B41408" w:rsidRPr="00B41408" w:rsidRDefault="00B41408" w:rsidP="00B41408">
      <w:pPr>
        <w:spacing w:line="360" w:lineRule="auto"/>
        <w:jc w:val="both"/>
        <w:rPr>
          <w:rFonts w:eastAsia="TimesNewRomanPSMT"/>
          <w:color w:val="000000"/>
          <w:lang w:val="es-ES" w:eastAsia="zh-CN"/>
        </w:rPr>
      </w:pPr>
    </w:p>
    <w:p w14:paraId="2BD577CE" w14:textId="77777777" w:rsidR="00B41408" w:rsidRPr="00B41408" w:rsidRDefault="00B41408" w:rsidP="00B41408">
      <w:pPr>
        <w:spacing w:line="360" w:lineRule="auto"/>
        <w:jc w:val="center"/>
        <w:rPr>
          <w:rFonts w:eastAsia="TimesNewRomanPSMT"/>
          <w:b/>
          <w:bCs/>
          <w:color w:val="000000"/>
          <w:sz w:val="28"/>
          <w:szCs w:val="28"/>
          <w:lang w:val="es-ES" w:eastAsia="zh-CN"/>
        </w:rPr>
      </w:pPr>
      <w:r w:rsidRPr="00B41408">
        <w:rPr>
          <w:rFonts w:eastAsia="TimesNewRomanPSMT"/>
          <w:b/>
          <w:bCs/>
          <w:color w:val="000000"/>
          <w:sz w:val="28"/>
          <w:szCs w:val="28"/>
          <w:lang w:val="es-ES" w:eastAsia="zh-CN"/>
        </w:rPr>
        <w:t>Procedimientos y procesamiento</w:t>
      </w:r>
    </w:p>
    <w:p w14:paraId="3761EEBB"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La información se obtuvo a través de la revisión de las historias clínicas. Todos los datos fueron registrados manualmente en un formulario que sirvió de soporte para la preparación de una hoja de cálculos en Excel. Fueron revisados para detectar errores, omisiones y luego procesados automáticamente para generar tablas de frecuencias. </w:t>
      </w:r>
    </w:p>
    <w:p w14:paraId="43104E0E" w14:textId="77777777" w:rsidR="00B41408" w:rsidRPr="00B41408" w:rsidRDefault="00B41408" w:rsidP="00B41408">
      <w:pPr>
        <w:spacing w:line="360" w:lineRule="auto"/>
        <w:jc w:val="center"/>
        <w:rPr>
          <w:rFonts w:eastAsia="TimesNewRomanPSMT"/>
          <w:b/>
          <w:bCs/>
          <w:color w:val="000000"/>
          <w:sz w:val="28"/>
          <w:szCs w:val="28"/>
          <w:lang w:val="es-ES" w:eastAsia="zh-CN"/>
        </w:rPr>
      </w:pPr>
      <w:r w:rsidRPr="00B41408">
        <w:rPr>
          <w:rFonts w:eastAsia="TimesNewRomanPSMT"/>
          <w:b/>
          <w:bCs/>
          <w:color w:val="000000"/>
          <w:sz w:val="28"/>
          <w:szCs w:val="28"/>
          <w:lang w:val="es-ES" w:eastAsia="zh-CN"/>
        </w:rPr>
        <w:t>Aspectos bioéticos</w:t>
      </w:r>
    </w:p>
    <w:p w14:paraId="638F4BEC"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La investigación siguió los principios éticos establecidos en la Declaración de Helsinki. Se respetó el anonimato de los datos y la confidencialidad de los resultados individuales. La investigación fue avalada por el Comité de Ética del </w:t>
      </w:r>
      <w:r w:rsidRPr="00B41408">
        <w:rPr>
          <w:bCs/>
          <w:lang w:val="es-ES" w:eastAsia="zh-CN"/>
        </w:rPr>
        <w:t xml:space="preserve">Hospital Clínico Quirúrgico Docente “Celia Sánchez </w:t>
      </w:r>
      <w:proofErr w:type="spellStart"/>
      <w:r w:rsidRPr="00B41408">
        <w:rPr>
          <w:bCs/>
          <w:lang w:val="es-ES" w:eastAsia="zh-CN"/>
        </w:rPr>
        <w:t>Manduley</w:t>
      </w:r>
      <w:proofErr w:type="spellEnd"/>
      <w:r w:rsidRPr="00B41408">
        <w:rPr>
          <w:bCs/>
          <w:lang w:val="es-ES" w:eastAsia="zh-CN"/>
        </w:rPr>
        <w:t>”</w:t>
      </w:r>
      <w:r w:rsidRPr="00B41408">
        <w:rPr>
          <w:rFonts w:eastAsia="TimesNewRomanPSMT"/>
          <w:color w:val="000000"/>
          <w:lang w:val="es-ES" w:eastAsia="zh-CN"/>
        </w:rPr>
        <w:t xml:space="preserve">. </w:t>
      </w:r>
    </w:p>
    <w:p w14:paraId="0B60789A" w14:textId="77777777" w:rsidR="00B41408" w:rsidRPr="00B41408" w:rsidRDefault="00B41408" w:rsidP="00B41408">
      <w:pPr>
        <w:spacing w:line="360" w:lineRule="auto"/>
        <w:jc w:val="both"/>
        <w:rPr>
          <w:rFonts w:eastAsia="TimesNewRomanPSMT"/>
          <w:b/>
          <w:color w:val="000000"/>
          <w:lang w:val="es-ES" w:eastAsia="zh-CN"/>
        </w:rPr>
      </w:pPr>
    </w:p>
    <w:p w14:paraId="0EFF5396" w14:textId="77777777" w:rsidR="00B41408" w:rsidRPr="00B41408" w:rsidRDefault="00B41408" w:rsidP="00B41408">
      <w:pPr>
        <w:spacing w:line="360" w:lineRule="auto"/>
        <w:jc w:val="both"/>
        <w:rPr>
          <w:rFonts w:eastAsia="TimesNewRomanPSMT"/>
          <w:b/>
          <w:color w:val="000000"/>
          <w:lang w:val="es-ES" w:eastAsia="zh-CN"/>
        </w:rPr>
      </w:pPr>
    </w:p>
    <w:p w14:paraId="74365856" w14:textId="77777777" w:rsidR="00B41408" w:rsidRPr="00B41408" w:rsidRDefault="00B41408" w:rsidP="00B41408">
      <w:pPr>
        <w:spacing w:line="360" w:lineRule="auto"/>
        <w:jc w:val="center"/>
        <w:rPr>
          <w:rFonts w:eastAsia="TimesNewRomanPSMT"/>
          <w:b/>
          <w:color w:val="000000"/>
          <w:sz w:val="32"/>
          <w:szCs w:val="32"/>
          <w:lang w:val="es-ES" w:eastAsia="zh-CN"/>
        </w:rPr>
      </w:pPr>
      <w:r w:rsidRPr="00B41408">
        <w:rPr>
          <w:rFonts w:eastAsia="TimesNewRomanPSMT"/>
          <w:b/>
          <w:color w:val="000000"/>
          <w:sz w:val="32"/>
          <w:szCs w:val="32"/>
          <w:lang w:val="es-ES" w:eastAsia="zh-CN"/>
        </w:rPr>
        <w:t>RESULTADOS</w:t>
      </w:r>
    </w:p>
    <w:p w14:paraId="63E7D9F2"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Al analizar la distribución por grupos de edades (tabla 1), predominaron los pacientes con edades comprendidas entre 30 y 39 años (57,5 %). Los pacientes del sexo femenino representaron 58,8 %. </w:t>
      </w:r>
    </w:p>
    <w:p w14:paraId="50A0F8BF" w14:textId="77777777" w:rsidR="00B41408" w:rsidRPr="00B41408" w:rsidRDefault="00B41408" w:rsidP="00B41408">
      <w:pPr>
        <w:spacing w:line="360" w:lineRule="auto"/>
        <w:jc w:val="both"/>
        <w:rPr>
          <w:rFonts w:eastAsia="TimesNewRomanPSMT"/>
          <w:color w:val="000000"/>
          <w:lang w:val="es-ES" w:eastAsia="zh-CN"/>
        </w:rPr>
      </w:pPr>
    </w:p>
    <w:p w14:paraId="4A739D70" w14:textId="77777777" w:rsidR="00B41408" w:rsidRPr="00B41408" w:rsidRDefault="00B41408" w:rsidP="00B41408">
      <w:pPr>
        <w:spacing w:line="360" w:lineRule="auto"/>
        <w:jc w:val="center"/>
        <w:rPr>
          <w:rFonts w:eastAsia="TimesNewRomanPSMT"/>
          <w:color w:val="000000"/>
          <w:sz w:val="22"/>
          <w:szCs w:val="22"/>
          <w:lang w:val="es-ES" w:eastAsia="zh-CN"/>
        </w:rPr>
      </w:pPr>
      <w:r w:rsidRPr="00B41408">
        <w:rPr>
          <w:rFonts w:eastAsia="TimesNewRomanPSMT"/>
          <w:b/>
          <w:bCs/>
          <w:color w:val="000000"/>
          <w:sz w:val="22"/>
          <w:szCs w:val="22"/>
          <w:lang w:val="es-ES" w:eastAsia="zh-CN"/>
        </w:rPr>
        <w:t>Tabla 1 -</w:t>
      </w:r>
      <w:r w:rsidRPr="00B41408">
        <w:rPr>
          <w:rFonts w:eastAsia="TimesNewRomanPSMT"/>
          <w:color w:val="000000"/>
          <w:sz w:val="22"/>
          <w:szCs w:val="22"/>
          <w:lang w:val="es-ES" w:eastAsia="zh-CN"/>
        </w:rPr>
        <w:t xml:space="preserve"> Pacientes con esclerosis múltiple según edad y sexo</w:t>
      </w:r>
    </w:p>
    <w:p w14:paraId="506BBAA9" w14:textId="4AE95C34" w:rsidR="00B41408" w:rsidRPr="00B41408" w:rsidRDefault="00B41408" w:rsidP="00B41408">
      <w:pPr>
        <w:spacing w:line="360" w:lineRule="auto"/>
        <w:jc w:val="center"/>
        <w:rPr>
          <w:rFonts w:eastAsia="TimesNewRomanPSMT"/>
          <w:color w:val="000000"/>
          <w:lang w:val="es-ES" w:eastAsia="zh-CN"/>
        </w:rPr>
      </w:pPr>
      <w:r w:rsidRPr="00B41408">
        <w:rPr>
          <w:rFonts w:eastAsia="TimesNewRomanPSMT"/>
          <w:noProof/>
          <w:color w:val="000000"/>
          <w:lang w:val="es-ES" w:eastAsia="zh-CN"/>
        </w:rPr>
        <w:drawing>
          <wp:inline distT="0" distB="0" distL="0" distR="0" wp14:anchorId="23253366" wp14:editId="5B2F9163">
            <wp:extent cx="3990975" cy="156210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0975" cy="1562100"/>
                    </a:xfrm>
                    <a:prstGeom prst="rect">
                      <a:avLst/>
                    </a:prstGeom>
                    <a:noFill/>
                    <a:ln>
                      <a:noFill/>
                    </a:ln>
                  </pic:spPr>
                </pic:pic>
              </a:graphicData>
            </a:graphic>
          </wp:inline>
        </w:drawing>
      </w:r>
    </w:p>
    <w:p w14:paraId="4FE4D197" w14:textId="77777777" w:rsidR="00B41408" w:rsidRPr="00B41408" w:rsidRDefault="00B41408" w:rsidP="00B41408">
      <w:pPr>
        <w:spacing w:line="360" w:lineRule="auto"/>
        <w:jc w:val="both"/>
        <w:rPr>
          <w:rFonts w:eastAsia="TimesNewRomanPSMT"/>
          <w:color w:val="000000"/>
          <w:lang w:val="es-ES" w:eastAsia="zh-CN"/>
        </w:rPr>
      </w:pPr>
    </w:p>
    <w:p w14:paraId="184972C9"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Dentro de las comorbilidades encontradas (tabla 2), 27,5 % sufre de hipertensión arterial, seguida por la depresión, con 25,0 %.</w:t>
      </w:r>
    </w:p>
    <w:p w14:paraId="54C55632"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       </w:t>
      </w:r>
    </w:p>
    <w:p w14:paraId="31889973" w14:textId="77777777" w:rsidR="00B41408" w:rsidRPr="00B41408" w:rsidRDefault="00B41408" w:rsidP="00B41408">
      <w:pPr>
        <w:spacing w:line="360" w:lineRule="auto"/>
        <w:jc w:val="center"/>
        <w:rPr>
          <w:rFonts w:eastAsia="TimesNewRomanPSMT"/>
          <w:b/>
          <w:bCs/>
          <w:color w:val="000000"/>
          <w:sz w:val="22"/>
          <w:szCs w:val="22"/>
          <w:lang w:val="es-ES" w:eastAsia="zh-CN"/>
        </w:rPr>
      </w:pPr>
      <w:r w:rsidRPr="00B41408">
        <w:rPr>
          <w:rFonts w:eastAsia="TimesNewRomanPSMT"/>
          <w:b/>
          <w:bCs/>
          <w:color w:val="000000"/>
          <w:sz w:val="22"/>
          <w:szCs w:val="22"/>
          <w:lang w:val="es-ES" w:eastAsia="zh-CN"/>
        </w:rPr>
        <w:lastRenderedPageBreak/>
        <w:br/>
      </w:r>
    </w:p>
    <w:p w14:paraId="513717A1" w14:textId="77777777" w:rsidR="00B41408" w:rsidRPr="00B41408" w:rsidRDefault="00B41408" w:rsidP="00B41408">
      <w:pPr>
        <w:spacing w:line="360" w:lineRule="auto"/>
        <w:jc w:val="center"/>
        <w:rPr>
          <w:rFonts w:eastAsia="TimesNewRomanPSMT"/>
          <w:color w:val="000000"/>
          <w:sz w:val="22"/>
          <w:szCs w:val="22"/>
          <w:lang w:val="es-ES" w:eastAsia="zh-CN"/>
        </w:rPr>
      </w:pPr>
      <w:r w:rsidRPr="00B41408">
        <w:rPr>
          <w:rFonts w:eastAsia="TimesNewRomanPSMT"/>
          <w:b/>
          <w:bCs/>
          <w:color w:val="000000"/>
          <w:sz w:val="22"/>
          <w:szCs w:val="22"/>
          <w:lang w:val="es-ES" w:eastAsia="zh-CN"/>
        </w:rPr>
        <w:t xml:space="preserve">Tabla 2 - </w:t>
      </w:r>
      <w:r w:rsidRPr="00B41408">
        <w:rPr>
          <w:rFonts w:eastAsia="TimesNewRomanPSMT"/>
          <w:color w:val="000000"/>
          <w:sz w:val="22"/>
          <w:szCs w:val="22"/>
          <w:lang w:val="es-ES" w:eastAsia="zh-CN"/>
        </w:rPr>
        <w:t>Distribución de comorbilidad en pacientes con esclerosis múltiple</w:t>
      </w:r>
    </w:p>
    <w:tbl>
      <w:tblPr>
        <w:tblStyle w:val="Estilo5"/>
        <w:tblW w:w="0" w:type="auto"/>
        <w:jc w:val="center"/>
        <w:tblLook w:val="0240" w:firstRow="0" w:lastRow="1" w:firstColumn="0" w:lastColumn="0" w:noHBand="1" w:noVBand="0"/>
      </w:tblPr>
      <w:tblGrid>
        <w:gridCol w:w="2122"/>
        <w:gridCol w:w="1272"/>
        <w:gridCol w:w="1145"/>
      </w:tblGrid>
      <w:tr w:rsidR="00B41408" w:rsidRPr="00B41408" w14:paraId="544A0573" w14:textId="77777777" w:rsidTr="00EB289A">
        <w:trPr>
          <w:jc w:val="center"/>
        </w:trPr>
        <w:tc>
          <w:tcPr>
            <w:tcW w:w="2122" w:type="dxa"/>
            <w:vAlign w:val="center"/>
          </w:tcPr>
          <w:p w14:paraId="49925AF2" w14:textId="77777777" w:rsidR="00B41408" w:rsidRPr="00B41408" w:rsidRDefault="00B41408" w:rsidP="004F3816">
            <w:pPr>
              <w:spacing w:line="360" w:lineRule="auto"/>
              <w:jc w:val="center"/>
              <w:rPr>
                <w:b/>
                <w:bCs/>
                <w:sz w:val="18"/>
                <w:szCs w:val="18"/>
                <w:lang w:val="es-ES" w:eastAsia="zh-CN"/>
              </w:rPr>
            </w:pPr>
            <w:r w:rsidRPr="00B41408">
              <w:rPr>
                <w:b/>
                <w:bCs/>
                <w:sz w:val="18"/>
                <w:szCs w:val="18"/>
                <w:lang w:val="es-ES" w:eastAsia="zh-CN"/>
              </w:rPr>
              <w:t>Comorbilidad</w:t>
            </w:r>
          </w:p>
        </w:tc>
        <w:tc>
          <w:tcPr>
            <w:tcW w:w="1272" w:type="dxa"/>
            <w:vAlign w:val="center"/>
          </w:tcPr>
          <w:p w14:paraId="0EB7DF7E" w14:textId="77777777" w:rsidR="00B41408" w:rsidRPr="00B41408" w:rsidRDefault="00B41408" w:rsidP="004F3816">
            <w:pPr>
              <w:spacing w:line="360" w:lineRule="auto"/>
              <w:jc w:val="center"/>
              <w:rPr>
                <w:b/>
                <w:bCs/>
                <w:sz w:val="18"/>
                <w:szCs w:val="18"/>
                <w:lang w:val="es-ES" w:eastAsia="zh-CN"/>
              </w:rPr>
            </w:pPr>
            <w:r w:rsidRPr="00B41408">
              <w:rPr>
                <w:b/>
                <w:bCs/>
                <w:sz w:val="18"/>
                <w:szCs w:val="18"/>
                <w:lang w:val="es-ES" w:eastAsia="zh-CN"/>
              </w:rPr>
              <w:t>n</w:t>
            </w:r>
          </w:p>
        </w:tc>
        <w:tc>
          <w:tcPr>
            <w:tcW w:w="1145" w:type="dxa"/>
            <w:vAlign w:val="center"/>
          </w:tcPr>
          <w:p w14:paraId="3F0595A1" w14:textId="77777777" w:rsidR="00B41408" w:rsidRPr="00B41408" w:rsidRDefault="00B41408" w:rsidP="004F3816">
            <w:pPr>
              <w:spacing w:line="360" w:lineRule="auto"/>
              <w:jc w:val="center"/>
              <w:rPr>
                <w:b/>
                <w:bCs/>
                <w:sz w:val="18"/>
                <w:szCs w:val="18"/>
                <w:lang w:val="es-ES" w:eastAsia="zh-CN"/>
              </w:rPr>
            </w:pPr>
            <w:r w:rsidRPr="00B41408">
              <w:rPr>
                <w:b/>
                <w:bCs/>
                <w:sz w:val="18"/>
                <w:szCs w:val="18"/>
                <w:lang w:val="es-ES" w:eastAsia="zh-CN"/>
              </w:rPr>
              <w:t>%</w:t>
            </w:r>
          </w:p>
        </w:tc>
      </w:tr>
      <w:tr w:rsidR="00B41408" w:rsidRPr="00B41408" w14:paraId="26DDC288" w14:textId="77777777" w:rsidTr="00EB289A">
        <w:trPr>
          <w:jc w:val="center"/>
        </w:trPr>
        <w:tc>
          <w:tcPr>
            <w:tcW w:w="2122" w:type="dxa"/>
            <w:vAlign w:val="center"/>
          </w:tcPr>
          <w:p w14:paraId="36BFDCF4" w14:textId="77777777" w:rsidR="00B41408" w:rsidRPr="00B41408" w:rsidRDefault="00B41408" w:rsidP="004F3816">
            <w:pPr>
              <w:spacing w:line="360" w:lineRule="auto"/>
              <w:rPr>
                <w:sz w:val="18"/>
                <w:szCs w:val="18"/>
                <w:lang w:val="es-ES" w:eastAsia="zh-CN"/>
              </w:rPr>
            </w:pPr>
            <w:r w:rsidRPr="00B41408">
              <w:rPr>
                <w:sz w:val="18"/>
                <w:szCs w:val="18"/>
                <w:lang w:val="es-ES" w:eastAsia="zh-CN"/>
              </w:rPr>
              <w:t>Hipertensión arterial</w:t>
            </w:r>
          </w:p>
        </w:tc>
        <w:tc>
          <w:tcPr>
            <w:tcW w:w="1272" w:type="dxa"/>
            <w:vAlign w:val="center"/>
          </w:tcPr>
          <w:p w14:paraId="798C3DC0" w14:textId="77777777" w:rsidR="00B41408" w:rsidRPr="00B41408" w:rsidRDefault="00B41408" w:rsidP="004F3816">
            <w:pPr>
              <w:spacing w:line="360" w:lineRule="auto"/>
              <w:jc w:val="center"/>
              <w:rPr>
                <w:sz w:val="18"/>
                <w:szCs w:val="18"/>
                <w:lang w:val="es-ES" w:eastAsia="zh-CN"/>
              </w:rPr>
            </w:pPr>
            <w:r w:rsidRPr="00B41408">
              <w:rPr>
                <w:sz w:val="18"/>
                <w:szCs w:val="18"/>
                <w:lang w:val="es-ES" w:eastAsia="zh-CN"/>
              </w:rPr>
              <w:t>11</w:t>
            </w:r>
          </w:p>
        </w:tc>
        <w:tc>
          <w:tcPr>
            <w:tcW w:w="1145" w:type="dxa"/>
            <w:vAlign w:val="center"/>
          </w:tcPr>
          <w:p w14:paraId="1429E909" w14:textId="77777777" w:rsidR="00B41408" w:rsidRPr="00B41408" w:rsidRDefault="00B41408" w:rsidP="004F3816">
            <w:pPr>
              <w:spacing w:line="360" w:lineRule="auto"/>
              <w:jc w:val="center"/>
              <w:rPr>
                <w:sz w:val="18"/>
                <w:szCs w:val="18"/>
                <w:lang w:val="es-ES" w:eastAsia="zh-CN"/>
              </w:rPr>
            </w:pPr>
            <w:r w:rsidRPr="00B41408">
              <w:rPr>
                <w:sz w:val="18"/>
                <w:szCs w:val="18"/>
                <w:lang w:val="es-ES" w:eastAsia="zh-CN"/>
              </w:rPr>
              <w:t>27,5</w:t>
            </w:r>
          </w:p>
        </w:tc>
      </w:tr>
      <w:tr w:rsidR="00B41408" w:rsidRPr="00B41408" w14:paraId="59F2B749" w14:textId="77777777" w:rsidTr="00EB289A">
        <w:trPr>
          <w:jc w:val="center"/>
        </w:trPr>
        <w:tc>
          <w:tcPr>
            <w:tcW w:w="2122" w:type="dxa"/>
            <w:vAlign w:val="center"/>
          </w:tcPr>
          <w:p w14:paraId="247CA117" w14:textId="77777777" w:rsidR="00B41408" w:rsidRPr="00B41408" w:rsidRDefault="00B41408" w:rsidP="004F3816">
            <w:pPr>
              <w:spacing w:line="360" w:lineRule="auto"/>
              <w:rPr>
                <w:sz w:val="18"/>
                <w:szCs w:val="18"/>
                <w:lang w:val="es-ES" w:eastAsia="zh-CN"/>
              </w:rPr>
            </w:pPr>
            <w:r w:rsidRPr="00B41408">
              <w:rPr>
                <w:sz w:val="18"/>
                <w:szCs w:val="18"/>
                <w:lang w:val="es-ES" w:eastAsia="zh-CN"/>
              </w:rPr>
              <w:t>Depresión</w:t>
            </w:r>
          </w:p>
        </w:tc>
        <w:tc>
          <w:tcPr>
            <w:tcW w:w="1272" w:type="dxa"/>
            <w:vAlign w:val="center"/>
          </w:tcPr>
          <w:p w14:paraId="5C3CC659" w14:textId="77777777" w:rsidR="00B41408" w:rsidRPr="00B41408" w:rsidRDefault="00B41408" w:rsidP="004F3816">
            <w:pPr>
              <w:spacing w:line="360" w:lineRule="auto"/>
              <w:jc w:val="center"/>
              <w:rPr>
                <w:sz w:val="18"/>
                <w:szCs w:val="18"/>
                <w:lang w:val="es-ES" w:eastAsia="zh-CN"/>
              </w:rPr>
            </w:pPr>
            <w:r w:rsidRPr="00B41408">
              <w:rPr>
                <w:sz w:val="18"/>
                <w:szCs w:val="18"/>
                <w:lang w:val="es-ES" w:eastAsia="zh-CN"/>
              </w:rPr>
              <w:t>10</w:t>
            </w:r>
          </w:p>
        </w:tc>
        <w:tc>
          <w:tcPr>
            <w:tcW w:w="1145" w:type="dxa"/>
            <w:vAlign w:val="center"/>
          </w:tcPr>
          <w:p w14:paraId="229219C1" w14:textId="77777777" w:rsidR="00B41408" w:rsidRPr="00B41408" w:rsidRDefault="00B41408" w:rsidP="004F3816">
            <w:pPr>
              <w:spacing w:line="360" w:lineRule="auto"/>
              <w:jc w:val="center"/>
              <w:rPr>
                <w:sz w:val="18"/>
                <w:szCs w:val="18"/>
                <w:lang w:val="es-ES" w:eastAsia="zh-CN"/>
              </w:rPr>
            </w:pPr>
            <w:r w:rsidRPr="00B41408">
              <w:rPr>
                <w:sz w:val="18"/>
                <w:szCs w:val="18"/>
                <w:lang w:val="es-ES" w:eastAsia="zh-CN"/>
              </w:rPr>
              <w:t>25,0</w:t>
            </w:r>
          </w:p>
        </w:tc>
      </w:tr>
      <w:tr w:rsidR="00B41408" w:rsidRPr="00B41408" w14:paraId="2B20C843" w14:textId="77777777" w:rsidTr="00EB289A">
        <w:trPr>
          <w:jc w:val="center"/>
        </w:trPr>
        <w:tc>
          <w:tcPr>
            <w:tcW w:w="2122" w:type="dxa"/>
            <w:vAlign w:val="center"/>
          </w:tcPr>
          <w:p w14:paraId="4F6E51DF" w14:textId="77777777" w:rsidR="00B41408" w:rsidRPr="00B41408" w:rsidRDefault="00B41408" w:rsidP="004F3816">
            <w:pPr>
              <w:spacing w:line="360" w:lineRule="auto"/>
              <w:rPr>
                <w:sz w:val="18"/>
                <w:szCs w:val="18"/>
                <w:lang w:val="es-ES" w:eastAsia="zh-CN"/>
              </w:rPr>
            </w:pPr>
            <w:r w:rsidRPr="00B41408">
              <w:rPr>
                <w:sz w:val="18"/>
                <w:szCs w:val="18"/>
                <w:lang w:val="es-ES" w:eastAsia="zh-CN"/>
              </w:rPr>
              <w:t>Hipertiroidismo</w:t>
            </w:r>
          </w:p>
        </w:tc>
        <w:tc>
          <w:tcPr>
            <w:tcW w:w="1272" w:type="dxa"/>
            <w:vAlign w:val="center"/>
          </w:tcPr>
          <w:p w14:paraId="5647B67F" w14:textId="77777777" w:rsidR="00B41408" w:rsidRPr="00B41408" w:rsidRDefault="00B41408" w:rsidP="004F3816">
            <w:pPr>
              <w:spacing w:line="360" w:lineRule="auto"/>
              <w:jc w:val="center"/>
              <w:rPr>
                <w:sz w:val="18"/>
                <w:szCs w:val="18"/>
                <w:lang w:val="es-ES" w:eastAsia="zh-CN"/>
              </w:rPr>
            </w:pPr>
            <w:r w:rsidRPr="00B41408">
              <w:rPr>
                <w:sz w:val="18"/>
                <w:szCs w:val="18"/>
                <w:lang w:val="es-ES" w:eastAsia="zh-CN"/>
              </w:rPr>
              <w:t>6</w:t>
            </w:r>
          </w:p>
        </w:tc>
        <w:tc>
          <w:tcPr>
            <w:tcW w:w="1145" w:type="dxa"/>
            <w:vAlign w:val="center"/>
          </w:tcPr>
          <w:p w14:paraId="183101DA" w14:textId="77777777" w:rsidR="00B41408" w:rsidRPr="00B41408" w:rsidRDefault="00B41408" w:rsidP="004F3816">
            <w:pPr>
              <w:spacing w:line="360" w:lineRule="auto"/>
              <w:jc w:val="center"/>
              <w:rPr>
                <w:sz w:val="18"/>
                <w:szCs w:val="18"/>
                <w:lang w:val="es-ES" w:eastAsia="zh-CN"/>
              </w:rPr>
            </w:pPr>
            <w:r w:rsidRPr="00B41408">
              <w:rPr>
                <w:sz w:val="18"/>
                <w:szCs w:val="18"/>
                <w:lang w:val="es-ES" w:eastAsia="zh-CN"/>
              </w:rPr>
              <w:t>15,0</w:t>
            </w:r>
          </w:p>
        </w:tc>
      </w:tr>
      <w:tr w:rsidR="00B41408" w:rsidRPr="00B41408" w14:paraId="469D101C" w14:textId="77777777" w:rsidTr="00EB289A">
        <w:trPr>
          <w:jc w:val="center"/>
        </w:trPr>
        <w:tc>
          <w:tcPr>
            <w:tcW w:w="2122" w:type="dxa"/>
            <w:vAlign w:val="center"/>
          </w:tcPr>
          <w:p w14:paraId="23AF716E" w14:textId="77777777" w:rsidR="00B41408" w:rsidRPr="00B41408" w:rsidRDefault="00B41408" w:rsidP="004F3816">
            <w:pPr>
              <w:spacing w:line="360" w:lineRule="auto"/>
              <w:rPr>
                <w:sz w:val="18"/>
                <w:szCs w:val="18"/>
                <w:lang w:val="es-ES" w:eastAsia="zh-CN"/>
              </w:rPr>
            </w:pPr>
            <w:r w:rsidRPr="00B41408">
              <w:rPr>
                <w:sz w:val="18"/>
                <w:szCs w:val="18"/>
                <w:lang w:val="es-ES" w:eastAsia="zh-CN"/>
              </w:rPr>
              <w:t>Diabetes mellitus</w:t>
            </w:r>
          </w:p>
        </w:tc>
        <w:tc>
          <w:tcPr>
            <w:tcW w:w="1272" w:type="dxa"/>
            <w:vAlign w:val="center"/>
          </w:tcPr>
          <w:p w14:paraId="1C9F608E" w14:textId="77777777" w:rsidR="00B41408" w:rsidRPr="00B41408" w:rsidRDefault="00B41408" w:rsidP="004F3816">
            <w:pPr>
              <w:tabs>
                <w:tab w:val="left" w:pos="615"/>
              </w:tabs>
              <w:spacing w:line="360" w:lineRule="auto"/>
              <w:jc w:val="center"/>
              <w:rPr>
                <w:sz w:val="18"/>
                <w:szCs w:val="18"/>
                <w:lang w:val="es-ES" w:eastAsia="zh-CN"/>
              </w:rPr>
            </w:pPr>
            <w:r w:rsidRPr="00B41408">
              <w:rPr>
                <w:sz w:val="18"/>
                <w:szCs w:val="18"/>
                <w:lang w:val="es-ES" w:eastAsia="zh-CN"/>
              </w:rPr>
              <w:t>4</w:t>
            </w:r>
          </w:p>
        </w:tc>
        <w:tc>
          <w:tcPr>
            <w:tcW w:w="1145" w:type="dxa"/>
            <w:vAlign w:val="center"/>
          </w:tcPr>
          <w:p w14:paraId="2947E807" w14:textId="77777777" w:rsidR="00B41408" w:rsidRPr="00B41408" w:rsidRDefault="00B41408" w:rsidP="004F3816">
            <w:pPr>
              <w:spacing w:line="360" w:lineRule="auto"/>
              <w:jc w:val="center"/>
              <w:rPr>
                <w:sz w:val="18"/>
                <w:szCs w:val="18"/>
                <w:lang w:val="es-ES" w:eastAsia="zh-CN"/>
              </w:rPr>
            </w:pPr>
            <w:r w:rsidRPr="00B41408">
              <w:rPr>
                <w:sz w:val="18"/>
                <w:szCs w:val="18"/>
                <w:lang w:val="es-ES" w:eastAsia="zh-CN"/>
              </w:rPr>
              <w:t>10,0</w:t>
            </w:r>
          </w:p>
        </w:tc>
      </w:tr>
      <w:tr w:rsidR="00B41408" w:rsidRPr="00B41408" w14:paraId="3BBCB9A2" w14:textId="77777777" w:rsidTr="00EB289A">
        <w:trPr>
          <w:jc w:val="center"/>
        </w:trPr>
        <w:tc>
          <w:tcPr>
            <w:tcW w:w="2122" w:type="dxa"/>
            <w:vAlign w:val="center"/>
          </w:tcPr>
          <w:p w14:paraId="127FEB86" w14:textId="77777777" w:rsidR="00B41408" w:rsidRPr="00B41408" w:rsidRDefault="00B41408" w:rsidP="004F3816">
            <w:pPr>
              <w:spacing w:line="360" w:lineRule="auto"/>
              <w:rPr>
                <w:sz w:val="18"/>
                <w:szCs w:val="18"/>
                <w:lang w:val="en-US" w:eastAsia="zh-CN"/>
              </w:rPr>
            </w:pPr>
            <w:r w:rsidRPr="00B41408">
              <w:rPr>
                <w:sz w:val="18"/>
                <w:szCs w:val="18"/>
                <w:lang w:val="en-US" w:eastAsia="zh-CN"/>
              </w:rPr>
              <w:t>Asma bronquial</w:t>
            </w:r>
          </w:p>
        </w:tc>
        <w:tc>
          <w:tcPr>
            <w:tcW w:w="1272" w:type="dxa"/>
            <w:vAlign w:val="center"/>
          </w:tcPr>
          <w:p w14:paraId="507B35FE" w14:textId="77777777" w:rsidR="00B41408" w:rsidRPr="00B41408" w:rsidRDefault="00B41408" w:rsidP="004F3816">
            <w:pPr>
              <w:spacing w:line="360" w:lineRule="auto"/>
              <w:jc w:val="center"/>
              <w:rPr>
                <w:sz w:val="18"/>
                <w:szCs w:val="18"/>
                <w:lang w:val="es-ES" w:eastAsia="zh-CN"/>
              </w:rPr>
            </w:pPr>
            <w:r w:rsidRPr="00B41408">
              <w:rPr>
                <w:sz w:val="18"/>
                <w:szCs w:val="18"/>
                <w:lang w:val="es-ES" w:eastAsia="zh-CN"/>
              </w:rPr>
              <w:t>3</w:t>
            </w:r>
          </w:p>
        </w:tc>
        <w:tc>
          <w:tcPr>
            <w:tcW w:w="1145" w:type="dxa"/>
            <w:vAlign w:val="center"/>
          </w:tcPr>
          <w:p w14:paraId="21D32199" w14:textId="77777777" w:rsidR="00B41408" w:rsidRPr="00B41408" w:rsidRDefault="00B41408" w:rsidP="004F3816">
            <w:pPr>
              <w:spacing w:line="360" w:lineRule="auto"/>
              <w:jc w:val="center"/>
              <w:rPr>
                <w:sz w:val="18"/>
                <w:szCs w:val="18"/>
                <w:lang w:val="es-ES" w:eastAsia="zh-CN"/>
              </w:rPr>
            </w:pPr>
            <w:r w:rsidRPr="00B41408">
              <w:rPr>
                <w:sz w:val="18"/>
                <w:szCs w:val="18"/>
                <w:lang w:val="es-ES" w:eastAsia="zh-CN"/>
              </w:rPr>
              <w:t>7,5</w:t>
            </w:r>
          </w:p>
        </w:tc>
      </w:tr>
    </w:tbl>
    <w:p w14:paraId="522A4787" w14:textId="77777777" w:rsidR="00B41408" w:rsidRPr="00B41408" w:rsidRDefault="00B41408" w:rsidP="00B41408">
      <w:pPr>
        <w:spacing w:line="360" w:lineRule="auto"/>
        <w:jc w:val="both"/>
        <w:rPr>
          <w:rFonts w:eastAsia="TimesNewRomanPSMT"/>
          <w:strike/>
          <w:color w:val="FF0000"/>
          <w:lang w:val="es-ES" w:eastAsia="zh-CN"/>
        </w:rPr>
      </w:pPr>
    </w:p>
    <w:p w14:paraId="3B06F16A"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Con respecto a los síntomas iniciales (tabla 3), 85,5 % presentó manifestaciones motoras, seguidos de las manifestaciones sensitivas, con 37,5 %.</w:t>
      </w:r>
    </w:p>
    <w:p w14:paraId="14685484" w14:textId="77777777" w:rsidR="00B41408" w:rsidRPr="00B41408" w:rsidRDefault="00B41408" w:rsidP="00B41408">
      <w:pPr>
        <w:spacing w:line="360" w:lineRule="auto"/>
        <w:jc w:val="both"/>
        <w:rPr>
          <w:rFonts w:eastAsia="TimesNewRomanPSMT"/>
          <w:color w:val="000000"/>
          <w:lang w:val="es-ES" w:eastAsia="zh-CN"/>
        </w:rPr>
      </w:pPr>
    </w:p>
    <w:p w14:paraId="017EF9BD" w14:textId="77777777" w:rsidR="00B41408" w:rsidRPr="00B41408" w:rsidRDefault="00B41408" w:rsidP="00B41408">
      <w:pPr>
        <w:spacing w:line="360" w:lineRule="auto"/>
        <w:jc w:val="center"/>
        <w:rPr>
          <w:rFonts w:eastAsia="TimesNewRomanPSMT"/>
          <w:color w:val="000000"/>
          <w:sz w:val="22"/>
          <w:szCs w:val="22"/>
          <w:lang w:val="es-ES" w:eastAsia="zh-CN"/>
        </w:rPr>
      </w:pPr>
      <w:r w:rsidRPr="00B41408">
        <w:rPr>
          <w:rFonts w:eastAsia="TimesNewRomanPSMT"/>
          <w:b/>
          <w:bCs/>
          <w:color w:val="000000"/>
          <w:sz w:val="22"/>
          <w:szCs w:val="22"/>
          <w:lang w:val="es-ES" w:eastAsia="zh-CN"/>
        </w:rPr>
        <w:t>Tabla 3 -</w:t>
      </w:r>
      <w:r w:rsidRPr="00B41408">
        <w:rPr>
          <w:rFonts w:eastAsia="TimesNewRomanPSMT"/>
          <w:color w:val="000000"/>
          <w:sz w:val="22"/>
          <w:szCs w:val="22"/>
          <w:lang w:val="es-ES" w:eastAsia="zh-CN"/>
        </w:rPr>
        <w:t xml:space="preserve"> Pacientes con esclerosis múltiple según síntomas iniciales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851"/>
        <w:gridCol w:w="850"/>
      </w:tblGrid>
      <w:tr w:rsidR="00B41408" w:rsidRPr="00B41408" w14:paraId="7085B569" w14:textId="77777777" w:rsidTr="00EB289A">
        <w:trPr>
          <w:jc w:val="center"/>
        </w:trPr>
        <w:tc>
          <w:tcPr>
            <w:tcW w:w="2405" w:type="dxa"/>
            <w:vAlign w:val="center"/>
          </w:tcPr>
          <w:p w14:paraId="7F3F7A75" w14:textId="77777777" w:rsidR="00B41408" w:rsidRPr="00B41408" w:rsidRDefault="00B41408" w:rsidP="00B41408">
            <w:pPr>
              <w:spacing w:line="360" w:lineRule="auto"/>
              <w:jc w:val="center"/>
              <w:rPr>
                <w:rFonts w:eastAsia="TimesNewRomanPSMT"/>
                <w:b/>
                <w:bCs/>
                <w:color w:val="000000"/>
                <w:sz w:val="18"/>
                <w:szCs w:val="18"/>
                <w:lang w:val="es-ES" w:eastAsia="zh-CN"/>
              </w:rPr>
            </w:pPr>
            <w:r w:rsidRPr="00B41408">
              <w:rPr>
                <w:rFonts w:eastAsia="TimesNewRomanPSMT"/>
                <w:b/>
                <w:bCs/>
                <w:color w:val="000000"/>
                <w:sz w:val="18"/>
                <w:szCs w:val="18"/>
                <w:lang w:val="es-ES" w:eastAsia="zh-CN"/>
              </w:rPr>
              <w:t>Síntomas iniciales</w:t>
            </w:r>
          </w:p>
        </w:tc>
        <w:tc>
          <w:tcPr>
            <w:tcW w:w="851" w:type="dxa"/>
            <w:vAlign w:val="center"/>
          </w:tcPr>
          <w:p w14:paraId="4149E08D" w14:textId="77777777" w:rsidR="00B41408" w:rsidRPr="00B41408" w:rsidRDefault="00B41408" w:rsidP="00B41408">
            <w:pPr>
              <w:spacing w:line="360" w:lineRule="auto"/>
              <w:jc w:val="center"/>
              <w:rPr>
                <w:rFonts w:eastAsia="TimesNewRomanPSMT"/>
                <w:b/>
                <w:bCs/>
                <w:color w:val="000000"/>
                <w:sz w:val="18"/>
                <w:szCs w:val="18"/>
                <w:lang w:val="es-ES" w:eastAsia="zh-CN"/>
              </w:rPr>
            </w:pPr>
            <w:r w:rsidRPr="00B41408">
              <w:rPr>
                <w:rFonts w:eastAsia="TimesNewRomanPSMT"/>
                <w:b/>
                <w:bCs/>
                <w:color w:val="000000"/>
                <w:sz w:val="18"/>
                <w:szCs w:val="18"/>
                <w:lang w:val="es-ES" w:eastAsia="zh-CN"/>
              </w:rPr>
              <w:t>n</w:t>
            </w:r>
          </w:p>
        </w:tc>
        <w:tc>
          <w:tcPr>
            <w:tcW w:w="850" w:type="dxa"/>
            <w:vAlign w:val="center"/>
          </w:tcPr>
          <w:p w14:paraId="4A3864F4" w14:textId="77777777" w:rsidR="00B41408" w:rsidRPr="00B41408" w:rsidRDefault="00B41408" w:rsidP="00B41408">
            <w:pPr>
              <w:spacing w:line="360" w:lineRule="auto"/>
              <w:jc w:val="center"/>
              <w:rPr>
                <w:rFonts w:eastAsia="TimesNewRomanPSMT"/>
                <w:b/>
                <w:bCs/>
                <w:color w:val="000000"/>
                <w:sz w:val="18"/>
                <w:szCs w:val="18"/>
                <w:lang w:val="es-ES" w:eastAsia="zh-CN"/>
              </w:rPr>
            </w:pPr>
            <w:r w:rsidRPr="00B41408">
              <w:rPr>
                <w:rFonts w:eastAsia="TimesNewRomanPSMT"/>
                <w:b/>
                <w:bCs/>
                <w:color w:val="000000"/>
                <w:sz w:val="18"/>
                <w:szCs w:val="18"/>
                <w:lang w:val="es-ES" w:eastAsia="zh-CN"/>
              </w:rPr>
              <w:t>%</w:t>
            </w:r>
          </w:p>
        </w:tc>
      </w:tr>
      <w:tr w:rsidR="00B41408" w:rsidRPr="00B41408" w14:paraId="2E48EC5C" w14:textId="77777777" w:rsidTr="00EB289A">
        <w:trPr>
          <w:jc w:val="center"/>
        </w:trPr>
        <w:tc>
          <w:tcPr>
            <w:tcW w:w="2405" w:type="dxa"/>
            <w:vAlign w:val="center"/>
          </w:tcPr>
          <w:p w14:paraId="548D7601" w14:textId="77777777" w:rsidR="00B41408" w:rsidRPr="00B41408" w:rsidRDefault="00B41408" w:rsidP="00B41408">
            <w:pPr>
              <w:spacing w:line="360" w:lineRule="auto"/>
              <w:rPr>
                <w:rFonts w:eastAsia="TimesNewRomanPSMT"/>
                <w:color w:val="000000"/>
                <w:sz w:val="18"/>
                <w:szCs w:val="18"/>
                <w:lang w:val="es-ES" w:eastAsia="zh-CN"/>
              </w:rPr>
            </w:pPr>
            <w:r w:rsidRPr="00B41408">
              <w:rPr>
                <w:rFonts w:eastAsia="TimesNewRomanPSMT"/>
                <w:color w:val="000000"/>
                <w:sz w:val="18"/>
                <w:szCs w:val="18"/>
                <w:lang w:val="es-ES" w:eastAsia="zh-CN"/>
              </w:rPr>
              <w:t>Motoras</w:t>
            </w:r>
          </w:p>
        </w:tc>
        <w:tc>
          <w:tcPr>
            <w:tcW w:w="851" w:type="dxa"/>
            <w:vAlign w:val="center"/>
          </w:tcPr>
          <w:p w14:paraId="51F4DDC1"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35</w:t>
            </w:r>
          </w:p>
        </w:tc>
        <w:tc>
          <w:tcPr>
            <w:tcW w:w="850" w:type="dxa"/>
            <w:vAlign w:val="center"/>
          </w:tcPr>
          <w:p w14:paraId="39EC0357"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85,5</w:t>
            </w:r>
          </w:p>
        </w:tc>
      </w:tr>
      <w:tr w:rsidR="00B41408" w:rsidRPr="00B41408" w14:paraId="1FCE7A66" w14:textId="77777777" w:rsidTr="00EB289A">
        <w:trPr>
          <w:jc w:val="center"/>
        </w:trPr>
        <w:tc>
          <w:tcPr>
            <w:tcW w:w="2405" w:type="dxa"/>
            <w:vAlign w:val="center"/>
          </w:tcPr>
          <w:p w14:paraId="3EA05166" w14:textId="77777777" w:rsidR="00B41408" w:rsidRPr="00B41408" w:rsidRDefault="00B41408" w:rsidP="00B41408">
            <w:pPr>
              <w:spacing w:line="360" w:lineRule="auto"/>
              <w:rPr>
                <w:rFonts w:eastAsia="TimesNewRomanPSMT"/>
                <w:color w:val="000000"/>
                <w:sz w:val="18"/>
                <w:szCs w:val="18"/>
                <w:lang w:val="es-ES" w:eastAsia="zh-CN"/>
              </w:rPr>
            </w:pPr>
            <w:r w:rsidRPr="00B41408">
              <w:rPr>
                <w:rFonts w:eastAsia="TimesNewRomanPSMT"/>
                <w:color w:val="000000"/>
                <w:sz w:val="18"/>
                <w:szCs w:val="18"/>
                <w:lang w:val="es-ES" w:eastAsia="zh-CN"/>
              </w:rPr>
              <w:t>Sensitivos</w:t>
            </w:r>
          </w:p>
        </w:tc>
        <w:tc>
          <w:tcPr>
            <w:tcW w:w="851" w:type="dxa"/>
            <w:vAlign w:val="center"/>
          </w:tcPr>
          <w:p w14:paraId="275F96F0"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15</w:t>
            </w:r>
          </w:p>
        </w:tc>
        <w:tc>
          <w:tcPr>
            <w:tcW w:w="850" w:type="dxa"/>
            <w:vAlign w:val="center"/>
          </w:tcPr>
          <w:p w14:paraId="192E49B6"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37,5</w:t>
            </w:r>
          </w:p>
        </w:tc>
      </w:tr>
      <w:tr w:rsidR="00B41408" w:rsidRPr="00B41408" w14:paraId="18A9B421" w14:textId="77777777" w:rsidTr="00EB289A">
        <w:trPr>
          <w:jc w:val="center"/>
        </w:trPr>
        <w:tc>
          <w:tcPr>
            <w:tcW w:w="2405" w:type="dxa"/>
            <w:vAlign w:val="center"/>
          </w:tcPr>
          <w:p w14:paraId="4F3A6622" w14:textId="77777777" w:rsidR="00B41408" w:rsidRPr="00B41408" w:rsidRDefault="00B41408" w:rsidP="00B41408">
            <w:pPr>
              <w:spacing w:line="360" w:lineRule="auto"/>
              <w:rPr>
                <w:rFonts w:eastAsia="TimesNewRomanPSMT"/>
                <w:color w:val="000000"/>
                <w:sz w:val="18"/>
                <w:szCs w:val="18"/>
                <w:lang w:val="es-ES" w:eastAsia="zh-CN"/>
              </w:rPr>
            </w:pPr>
            <w:r w:rsidRPr="00B41408">
              <w:rPr>
                <w:rFonts w:eastAsia="TimesNewRomanPSMT"/>
                <w:color w:val="000000"/>
                <w:sz w:val="18"/>
                <w:szCs w:val="18"/>
                <w:lang w:val="es-ES" w:eastAsia="zh-CN"/>
              </w:rPr>
              <w:t>Visuales</w:t>
            </w:r>
          </w:p>
        </w:tc>
        <w:tc>
          <w:tcPr>
            <w:tcW w:w="851" w:type="dxa"/>
            <w:vAlign w:val="center"/>
          </w:tcPr>
          <w:p w14:paraId="0E6D0058"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9</w:t>
            </w:r>
          </w:p>
        </w:tc>
        <w:tc>
          <w:tcPr>
            <w:tcW w:w="850" w:type="dxa"/>
            <w:vAlign w:val="center"/>
          </w:tcPr>
          <w:p w14:paraId="06B2E938"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22,5</w:t>
            </w:r>
          </w:p>
        </w:tc>
      </w:tr>
      <w:tr w:rsidR="00B41408" w:rsidRPr="00B41408" w14:paraId="403E5D57" w14:textId="77777777" w:rsidTr="00EB289A">
        <w:trPr>
          <w:jc w:val="center"/>
        </w:trPr>
        <w:tc>
          <w:tcPr>
            <w:tcW w:w="2405" w:type="dxa"/>
            <w:vAlign w:val="center"/>
          </w:tcPr>
          <w:p w14:paraId="417024F7" w14:textId="77777777" w:rsidR="00B41408" w:rsidRPr="00B41408" w:rsidRDefault="00B41408" w:rsidP="00B41408">
            <w:pPr>
              <w:spacing w:line="360" w:lineRule="auto"/>
              <w:rPr>
                <w:rFonts w:eastAsia="TimesNewRomanPSMT"/>
                <w:color w:val="000000"/>
                <w:sz w:val="18"/>
                <w:szCs w:val="18"/>
                <w:lang w:val="es-ES" w:eastAsia="zh-CN"/>
              </w:rPr>
            </w:pPr>
            <w:r w:rsidRPr="00B41408">
              <w:rPr>
                <w:rFonts w:eastAsia="TimesNewRomanPSMT"/>
                <w:color w:val="000000"/>
                <w:sz w:val="18"/>
                <w:szCs w:val="18"/>
                <w:lang w:val="es-ES" w:eastAsia="zh-CN"/>
              </w:rPr>
              <w:t>Cerebelosos</w:t>
            </w:r>
          </w:p>
        </w:tc>
        <w:tc>
          <w:tcPr>
            <w:tcW w:w="851" w:type="dxa"/>
            <w:vAlign w:val="center"/>
          </w:tcPr>
          <w:p w14:paraId="0646DC72"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7</w:t>
            </w:r>
          </w:p>
        </w:tc>
        <w:tc>
          <w:tcPr>
            <w:tcW w:w="850" w:type="dxa"/>
            <w:vAlign w:val="center"/>
          </w:tcPr>
          <w:p w14:paraId="6783A42E"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17,5</w:t>
            </w:r>
          </w:p>
        </w:tc>
      </w:tr>
      <w:tr w:rsidR="00B41408" w:rsidRPr="00B41408" w14:paraId="310593F3" w14:textId="77777777" w:rsidTr="00EB289A">
        <w:trPr>
          <w:jc w:val="center"/>
        </w:trPr>
        <w:tc>
          <w:tcPr>
            <w:tcW w:w="2405" w:type="dxa"/>
            <w:vAlign w:val="center"/>
          </w:tcPr>
          <w:p w14:paraId="338FAA46" w14:textId="77777777" w:rsidR="00B41408" w:rsidRPr="00B41408" w:rsidRDefault="00B41408" w:rsidP="00B41408">
            <w:pPr>
              <w:spacing w:line="360" w:lineRule="auto"/>
              <w:rPr>
                <w:rFonts w:eastAsia="TimesNewRomanPSMT"/>
                <w:color w:val="000000"/>
                <w:sz w:val="18"/>
                <w:szCs w:val="18"/>
                <w:lang w:val="es-ES" w:eastAsia="zh-CN"/>
              </w:rPr>
            </w:pPr>
            <w:r w:rsidRPr="00B41408">
              <w:rPr>
                <w:rFonts w:eastAsia="TimesNewRomanPSMT"/>
                <w:color w:val="000000"/>
                <w:sz w:val="18"/>
                <w:szCs w:val="18"/>
                <w:lang w:val="es-ES" w:eastAsia="zh-CN"/>
              </w:rPr>
              <w:t>Tallo cerebral</w:t>
            </w:r>
          </w:p>
        </w:tc>
        <w:tc>
          <w:tcPr>
            <w:tcW w:w="851" w:type="dxa"/>
            <w:vAlign w:val="center"/>
          </w:tcPr>
          <w:p w14:paraId="298406D7"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2</w:t>
            </w:r>
          </w:p>
        </w:tc>
        <w:tc>
          <w:tcPr>
            <w:tcW w:w="850" w:type="dxa"/>
            <w:vAlign w:val="center"/>
          </w:tcPr>
          <w:p w14:paraId="49071D8D"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5,0</w:t>
            </w:r>
          </w:p>
        </w:tc>
      </w:tr>
      <w:tr w:rsidR="00B41408" w:rsidRPr="00B41408" w14:paraId="6529E9FC" w14:textId="77777777" w:rsidTr="00EB289A">
        <w:trPr>
          <w:jc w:val="center"/>
        </w:trPr>
        <w:tc>
          <w:tcPr>
            <w:tcW w:w="2405" w:type="dxa"/>
            <w:vAlign w:val="center"/>
          </w:tcPr>
          <w:p w14:paraId="3E099011" w14:textId="77777777" w:rsidR="00B41408" w:rsidRPr="00B41408" w:rsidRDefault="00B41408" w:rsidP="00B41408">
            <w:pPr>
              <w:spacing w:line="360" w:lineRule="auto"/>
              <w:rPr>
                <w:rFonts w:eastAsia="TimesNewRomanPSMT"/>
                <w:color w:val="000000"/>
                <w:sz w:val="18"/>
                <w:szCs w:val="18"/>
                <w:lang w:val="es-ES" w:eastAsia="zh-CN"/>
              </w:rPr>
            </w:pPr>
            <w:r w:rsidRPr="00B41408">
              <w:rPr>
                <w:rFonts w:eastAsia="TimesNewRomanPSMT"/>
                <w:color w:val="000000"/>
                <w:sz w:val="18"/>
                <w:szCs w:val="18"/>
                <w:lang w:val="es-ES" w:eastAsia="zh-CN"/>
              </w:rPr>
              <w:t>Cognitivos</w:t>
            </w:r>
          </w:p>
        </w:tc>
        <w:tc>
          <w:tcPr>
            <w:tcW w:w="851" w:type="dxa"/>
            <w:vAlign w:val="center"/>
          </w:tcPr>
          <w:p w14:paraId="0FE8BE43"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1</w:t>
            </w:r>
          </w:p>
        </w:tc>
        <w:tc>
          <w:tcPr>
            <w:tcW w:w="850" w:type="dxa"/>
            <w:vAlign w:val="center"/>
          </w:tcPr>
          <w:p w14:paraId="6ED7BAE6" w14:textId="77777777" w:rsidR="00B41408" w:rsidRPr="00B41408" w:rsidRDefault="00B41408" w:rsidP="00B41408">
            <w:pPr>
              <w:spacing w:line="360" w:lineRule="auto"/>
              <w:jc w:val="center"/>
              <w:rPr>
                <w:rFonts w:eastAsia="TimesNewRomanPSMT"/>
                <w:color w:val="000000"/>
                <w:sz w:val="18"/>
                <w:szCs w:val="18"/>
                <w:lang w:val="es-ES" w:eastAsia="zh-CN"/>
              </w:rPr>
            </w:pPr>
            <w:r w:rsidRPr="00B41408">
              <w:rPr>
                <w:rFonts w:eastAsia="TimesNewRomanPSMT"/>
                <w:color w:val="000000"/>
                <w:sz w:val="18"/>
                <w:szCs w:val="18"/>
                <w:lang w:val="es-ES" w:eastAsia="zh-CN"/>
              </w:rPr>
              <w:t>2,5</w:t>
            </w:r>
          </w:p>
        </w:tc>
      </w:tr>
    </w:tbl>
    <w:p w14:paraId="1402600F" w14:textId="77777777" w:rsidR="00B41408" w:rsidRPr="00B41408" w:rsidRDefault="00B41408" w:rsidP="00B41408">
      <w:pPr>
        <w:spacing w:line="360" w:lineRule="auto"/>
        <w:jc w:val="both"/>
        <w:rPr>
          <w:rFonts w:eastAsia="TimesNewRomanPSMT"/>
          <w:color w:val="000000"/>
          <w:lang w:val="es-ES" w:eastAsia="zh-CN"/>
        </w:rPr>
      </w:pPr>
    </w:p>
    <w:p w14:paraId="3A2BEE6D"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La tabla 4 muestra la distribución de los pacientes con esclerosis múltiple según las formas clínicas. La forma remitente recurrente fue la más frecuente, con 87,5 % del total de pacientes. La forma clínica primaria progresiva representó 7,5 %. </w:t>
      </w:r>
    </w:p>
    <w:p w14:paraId="4266904F" w14:textId="77777777" w:rsidR="00B41408" w:rsidRPr="00B41408" w:rsidRDefault="00B41408" w:rsidP="00B41408">
      <w:pPr>
        <w:spacing w:line="360" w:lineRule="auto"/>
        <w:jc w:val="both"/>
        <w:rPr>
          <w:rFonts w:eastAsia="TimesNewRomanPSMT"/>
          <w:color w:val="000000"/>
          <w:lang w:val="es-ES" w:eastAsia="zh-CN"/>
        </w:rPr>
      </w:pPr>
    </w:p>
    <w:p w14:paraId="73BAEFD4" w14:textId="77777777" w:rsidR="00B41408" w:rsidRPr="00B41408" w:rsidRDefault="00B41408" w:rsidP="00B41408">
      <w:pPr>
        <w:spacing w:line="360" w:lineRule="auto"/>
        <w:jc w:val="center"/>
        <w:rPr>
          <w:rFonts w:eastAsia="TimesNewRomanPSMT"/>
          <w:color w:val="000000"/>
          <w:sz w:val="22"/>
          <w:szCs w:val="22"/>
          <w:lang w:val="es-ES" w:eastAsia="zh-CN"/>
        </w:rPr>
      </w:pPr>
      <w:r w:rsidRPr="00B41408">
        <w:rPr>
          <w:rFonts w:eastAsia="TimesNewRomanPSMT"/>
          <w:b/>
          <w:bCs/>
          <w:color w:val="000000"/>
          <w:sz w:val="22"/>
          <w:szCs w:val="22"/>
          <w:lang w:val="es-ES" w:eastAsia="zh-CN"/>
        </w:rPr>
        <w:t>Tabla 4 -</w:t>
      </w:r>
      <w:r w:rsidRPr="00B41408">
        <w:rPr>
          <w:rFonts w:eastAsia="TimesNewRomanPSMT"/>
          <w:color w:val="000000"/>
          <w:sz w:val="22"/>
          <w:szCs w:val="22"/>
          <w:lang w:val="es-ES" w:eastAsia="zh-CN"/>
        </w:rPr>
        <w:t xml:space="preserve"> Pacientes con esclerosis múltiple según formas clínicas</w:t>
      </w:r>
    </w:p>
    <w:tbl>
      <w:tblPr>
        <w:tblStyle w:val="Tablaconcuadrcula1"/>
        <w:tblW w:w="4438" w:type="dxa"/>
        <w:jc w:val="center"/>
        <w:tblLayout w:type="fixed"/>
        <w:tblLook w:val="04A0" w:firstRow="1" w:lastRow="0" w:firstColumn="1" w:lastColumn="0" w:noHBand="0" w:noVBand="1"/>
      </w:tblPr>
      <w:tblGrid>
        <w:gridCol w:w="2297"/>
        <w:gridCol w:w="865"/>
        <w:gridCol w:w="1276"/>
      </w:tblGrid>
      <w:tr w:rsidR="00B41408" w:rsidRPr="00B41408" w14:paraId="47A213F7" w14:textId="77777777" w:rsidTr="00EB289A">
        <w:trPr>
          <w:trHeight w:val="297"/>
          <w:jc w:val="center"/>
        </w:trPr>
        <w:tc>
          <w:tcPr>
            <w:tcW w:w="2297" w:type="dxa"/>
            <w:vAlign w:val="center"/>
          </w:tcPr>
          <w:p w14:paraId="658F7CA4" w14:textId="77777777" w:rsidR="00B41408" w:rsidRPr="00B41408" w:rsidRDefault="00B41408" w:rsidP="00B41408">
            <w:pPr>
              <w:spacing w:line="360" w:lineRule="auto"/>
              <w:jc w:val="center"/>
              <w:rPr>
                <w:b/>
                <w:bCs/>
                <w:color w:val="000000"/>
                <w:sz w:val="18"/>
                <w:szCs w:val="18"/>
                <w:lang w:val="es-ES" w:eastAsia="zh-CN"/>
              </w:rPr>
            </w:pPr>
            <w:r w:rsidRPr="00B41408">
              <w:rPr>
                <w:b/>
                <w:bCs/>
                <w:color w:val="000000"/>
                <w:sz w:val="18"/>
                <w:szCs w:val="18"/>
                <w:lang w:val="es-ES" w:eastAsia="zh-CN"/>
              </w:rPr>
              <w:t>Formas clínicas</w:t>
            </w:r>
          </w:p>
        </w:tc>
        <w:tc>
          <w:tcPr>
            <w:tcW w:w="865" w:type="dxa"/>
            <w:vAlign w:val="center"/>
          </w:tcPr>
          <w:p w14:paraId="4CAD9DAF" w14:textId="77777777" w:rsidR="00B41408" w:rsidRPr="00B41408" w:rsidRDefault="00B41408" w:rsidP="00B41408">
            <w:pPr>
              <w:spacing w:line="360" w:lineRule="auto"/>
              <w:jc w:val="center"/>
              <w:rPr>
                <w:b/>
                <w:bCs/>
                <w:color w:val="000000"/>
                <w:sz w:val="18"/>
                <w:szCs w:val="18"/>
                <w:lang w:val="es-ES" w:eastAsia="zh-CN"/>
              </w:rPr>
            </w:pPr>
            <w:r w:rsidRPr="00B41408">
              <w:rPr>
                <w:b/>
                <w:bCs/>
                <w:color w:val="000000"/>
                <w:sz w:val="18"/>
                <w:szCs w:val="18"/>
                <w:lang w:val="es-ES" w:eastAsia="zh-CN"/>
              </w:rPr>
              <w:t>n</w:t>
            </w:r>
          </w:p>
        </w:tc>
        <w:tc>
          <w:tcPr>
            <w:tcW w:w="1276" w:type="dxa"/>
            <w:vAlign w:val="center"/>
          </w:tcPr>
          <w:p w14:paraId="3B8710F3" w14:textId="77777777" w:rsidR="00B41408" w:rsidRPr="00B41408" w:rsidRDefault="00B41408" w:rsidP="00B41408">
            <w:pPr>
              <w:spacing w:line="360" w:lineRule="auto"/>
              <w:jc w:val="center"/>
              <w:rPr>
                <w:b/>
                <w:bCs/>
                <w:color w:val="000000"/>
                <w:sz w:val="18"/>
                <w:szCs w:val="18"/>
                <w:lang w:val="es-ES" w:eastAsia="zh-CN"/>
              </w:rPr>
            </w:pPr>
            <w:r w:rsidRPr="00B41408">
              <w:rPr>
                <w:b/>
                <w:bCs/>
                <w:color w:val="000000"/>
                <w:sz w:val="18"/>
                <w:szCs w:val="18"/>
                <w:lang w:val="es-ES" w:eastAsia="zh-CN"/>
              </w:rPr>
              <w:t>%</w:t>
            </w:r>
          </w:p>
        </w:tc>
      </w:tr>
      <w:tr w:rsidR="00B41408" w:rsidRPr="00B41408" w14:paraId="273D1E9B" w14:textId="77777777" w:rsidTr="00EB289A">
        <w:trPr>
          <w:trHeight w:val="306"/>
          <w:jc w:val="center"/>
        </w:trPr>
        <w:tc>
          <w:tcPr>
            <w:tcW w:w="2297" w:type="dxa"/>
            <w:vAlign w:val="center"/>
          </w:tcPr>
          <w:p w14:paraId="2FE4D4D5" w14:textId="77777777" w:rsidR="00B41408" w:rsidRPr="00B41408" w:rsidRDefault="00B41408" w:rsidP="00B41408">
            <w:pPr>
              <w:spacing w:line="360" w:lineRule="auto"/>
              <w:jc w:val="both"/>
              <w:rPr>
                <w:color w:val="000000"/>
                <w:sz w:val="18"/>
                <w:szCs w:val="18"/>
                <w:lang w:val="es-ES" w:eastAsia="zh-CN"/>
              </w:rPr>
            </w:pPr>
            <w:r w:rsidRPr="00B41408">
              <w:rPr>
                <w:color w:val="000000"/>
                <w:sz w:val="18"/>
                <w:szCs w:val="18"/>
                <w:lang w:val="es-ES" w:eastAsia="zh-CN"/>
              </w:rPr>
              <w:t>Remitente recurrente</w:t>
            </w:r>
          </w:p>
        </w:tc>
        <w:tc>
          <w:tcPr>
            <w:tcW w:w="865" w:type="dxa"/>
            <w:vAlign w:val="center"/>
          </w:tcPr>
          <w:p w14:paraId="78C5AAA5" w14:textId="77777777" w:rsidR="00B41408" w:rsidRPr="00B41408" w:rsidRDefault="00B41408" w:rsidP="00B41408">
            <w:pPr>
              <w:spacing w:line="360" w:lineRule="auto"/>
              <w:jc w:val="center"/>
              <w:rPr>
                <w:color w:val="000000"/>
                <w:sz w:val="18"/>
                <w:szCs w:val="18"/>
                <w:lang w:val="es-ES" w:eastAsia="zh-CN"/>
              </w:rPr>
            </w:pPr>
            <w:r w:rsidRPr="00B41408">
              <w:rPr>
                <w:color w:val="000000"/>
                <w:sz w:val="18"/>
                <w:szCs w:val="18"/>
                <w:lang w:val="es-ES" w:eastAsia="zh-CN"/>
              </w:rPr>
              <w:t>35</w:t>
            </w:r>
          </w:p>
        </w:tc>
        <w:tc>
          <w:tcPr>
            <w:tcW w:w="1276" w:type="dxa"/>
            <w:vAlign w:val="center"/>
          </w:tcPr>
          <w:p w14:paraId="52306FC8" w14:textId="77777777" w:rsidR="00B41408" w:rsidRPr="00B41408" w:rsidRDefault="00B41408" w:rsidP="00B41408">
            <w:pPr>
              <w:spacing w:line="360" w:lineRule="auto"/>
              <w:jc w:val="center"/>
              <w:rPr>
                <w:color w:val="000000"/>
                <w:sz w:val="18"/>
                <w:szCs w:val="18"/>
                <w:lang w:val="es-ES" w:eastAsia="zh-CN"/>
              </w:rPr>
            </w:pPr>
            <w:r w:rsidRPr="00B41408">
              <w:rPr>
                <w:color w:val="000000"/>
                <w:sz w:val="18"/>
                <w:szCs w:val="18"/>
                <w:lang w:val="es-ES" w:eastAsia="zh-CN"/>
              </w:rPr>
              <w:t>87,5</w:t>
            </w:r>
          </w:p>
        </w:tc>
      </w:tr>
      <w:tr w:rsidR="00B41408" w:rsidRPr="00B41408" w14:paraId="38EB7E4E" w14:textId="77777777" w:rsidTr="00EB289A">
        <w:trPr>
          <w:jc w:val="center"/>
        </w:trPr>
        <w:tc>
          <w:tcPr>
            <w:tcW w:w="2297" w:type="dxa"/>
            <w:vAlign w:val="center"/>
          </w:tcPr>
          <w:p w14:paraId="6ECBD6B4" w14:textId="77777777" w:rsidR="00B41408" w:rsidRPr="00B41408" w:rsidRDefault="00B41408" w:rsidP="00B41408">
            <w:pPr>
              <w:spacing w:line="360" w:lineRule="auto"/>
              <w:jc w:val="both"/>
              <w:rPr>
                <w:color w:val="000000"/>
                <w:sz w:val="18"/>
                <w:szCs w:val="18"/>
                <w:lang w:val="es-ES" w:eastAsia="zh-CN"/>
              </w:rPr>
            </w:pPr>
            <w:r w:rsidRPr="00B41408">
              <w:rPr>
                <w:color w:val="000000"/>
                <w:sz w:val="18"/>
                <w:szCs w:val="18"/>
                <w:lang w:val="es-ES" w:eastAsia="zh-CN"/>
              </w:rPr>
              <w:t>Primaria progresiva</w:t>
            </w:r>
          </w:p>
        </w:tc>
        <w:tc>
          <w:tcPr>
            <w:tcW w:w="865" w:type="dxa"/>
            <w:vAlign w:val="center"/>
          </w:tcPr>
          <w:p w14:paraId="1CF8B2A6" w14:textId="77777777" w:rsidR="00B41408" w:rsidRPr="00B41408" w:rsidRDefault="00B41408" w:rsidP="00B41408">
            <w:pPr>
              <w:spacing w:line="360" w:lineRule="auto"/>
              <w:jc w:val="center"/>
              <w:rPr>
                <w:color w:val="000000"/>
                <w:sz w:val="18"/>
                <w:szCs w:val="18"/>
                <w:lang w:val="es-ES" w:eastAsia="zh-CN"/>
              </w:rPr>
            </w:pPr>
            <w:r w:rsidRPr="00B41408">
              <w:rPr>
                <w:color w:val="000000"/>
                <w:sz w:val="18"/>
                <w:szCs w:val="18"/>
                <w:lang w:val="es-ES" w:eastAsia="zh-CN"/>
              </w:rPr>
              <w:t>3</w:t>
            </w:r>
          </w:p>
        </w:tc>
        <w:tc>
          <w:tcPr>
            <w:tcW w:w="1276" w:type="dxa"/>
            <w:vAlign w:val="center"/>
          </w:tcPr>
          <w:p w14:paraId="0BEA5C81" w14:textId="77777777" w:rsidR="00B41408" w:rsidRPr="00B41408" w:rsidRDefault="00B41408" w:rsidP="00B41408">
            <w:pPr>
              <w:spacing w:line="360" w:lineRule="auto"/>
              <w:jc w:val="center"/>
              <w:rPr>
                <w:color w:val="000000"/>
                <w:sz w:val="18"/>
                <w:szCs w:val="18"/>
                <w:lang w:val="es-ES" w:eastAsia="zh-CN"/>
              </w:rPr>
            </w:pPr>
            <w:r w:rsidRPr="00B41408">
              <w:rPr>
                <w:color w:val="000000"/>
                <w:sz w:val="18"/>
                <w:szCs w:val="18"/>
                <w:lang w:val="es-ES" w:eastAsia="zh-CN"/>
              </w:rPr>
              <w:t>7,5</w:t>
            </w:r>
          </w:p>
        </w:tc>
      </w:tr>
      <w:tr w:rsidR="00B41408" w:rsidRPr="00B41408" w14:paraId="244D2ECE" w14:textId="77777777" w:rsidTr="00EB289A">
        <w:trPr>
          <w:jc w:val="center"/>
        </w:trPr>
        <w:tc>
          <w:tcPr>
            <w:tcW w:w="2297" w:type="dxa"/>
            <w:vAlign w:val="center"/>
          </w:tcPr>
          <w:p w14:paraId="3D594E14" w14:textId="77777777" w:rsidR="00B41408" w:rsidRPr="00B41408" w:rsidRDefault="00B41408" w:rsidP="00B41408">
            <w:pPr>
              <w:spacing w:line="360" w:lineRule="auto"/>
              <w:jc w:val="both"/>
              <w:rPr>
                <w:color w:val="000000"/>
                <w:sz w:val="18"/>
                <w:szCs w:val="18"/>
                <w:lang w:val="es-ES" w:eastAsia="zh-CN"/>
              </w:rPr>
            </w:pPr>
            <w:r w:rsidRPr="00B41408">
              <w:rPr>
                <w:color w:val="000000"/>
                <w:sz w:val="18"/>
                <w:szCs w:val="18"/>
                <w:lang w:val="es-ES" w:eastAsia="zh-CN"/>
              </w:rPr>
              <w:t>Secundaria progresiva</w:t>
            </w:r>
          </w:p>
        </w:tc>
        <w:tc>
          <w:tcPr>
            <w:tcW w:w="865" w:type="dxa"/>
            <w:vAlign w:val="center"/>
          </w:tcPr>
          <w:p w14:paraId="261523A4" w14:textId="77777777" w:rsidR="00B41408" w:rsidRPr="00B41408" w:rsidRDefault="00B41408" w:rsidP="00B41408">
            <w:pPr>
              <w:spacing w:line="360" w:lineRule="auto"/>
              <w:jc w:val="center"/>
              <w:rPr>
                <w:color w:val="000000"/>
                <w:sz w:val="18"/>
                <w:szCs w:val="18"/>
                <w:lang w:val="es-ES" w:eastAsia="zh-CN"/>
              </w:rPr>
            </w:pPr>
            <w:r w:rsidRPr="00B41408">
              <w:rPr>
                <w:color w:val="000000"/>
                <w:sz w:val="18"/>
                <w:szCs w:val="18"/>
                <w:lang w:val="es-ES" w:eastAsia="zh-CN"/>
              </w:rPr>
              <w:t>2</w:t>
            </w:r>
          </w:p>
        </w:tc>
        <w:tc>
          <w:tcPr>
            <w:tcW w:w="1276" w:type="dxa"/>
            <w:vAlign w:val="center"/>
          </w:tcPr>
          <w:p w14:paraId="14052445" w14:textId="77777777" w:rsidR="00B41408" w:rsidRPr="00B41408" w:rsidRDefault="00B41408" w:rsidP="00B41408">
            <w:pPr>
              <w:spacing w:line="360" w:lineRule="auto"/>
              <w:jc w:val="center"/>
              <w:rPr>
                <w:color w:val="000000"/>
                <w:sz w:val="18"/>
                <w:szCs w:val="18"/>
                <w:lang w:val="es-ES" w:eastAsia="zh-CN"/>
              </w:rPr>
            </w:pPr>
            <w:r w:rsidRPr="00B41408">
              <w:rPr>
                <w:color w:val="000000"/>
                <w:sz w:val="18"/>
                <w:szCs w:val="18"/>
                <w:lang w:val="es-ES" w:eastAsia="zh-CN"/>
              </w:rPr>
              <w:t>5</w:t>
            </w:r>
          </w:p>
        </w:tc>
      </w:tr>
      <w:tr w:rsidR="00B41408" w:rsidRPr="00B41408" w14:paraId="07CABA41" w14:textId="77777777" w:rsidTr="00EB289A">
        <w:trPr>
          <w:jc w:val="center"/>
        </w:trPr>
        <w:tc>
          <w:tcPr>
            <w:tcW w:w="2297" w:type="dxa"/>
            <w:vAlign w:val="center"/>
          </w:tcPr>
          <w:p w14:paraId="4009501B" w14:textId="77777777" w:rsidR="00B41408" w:rsidRPr="00B41408" w:rsidRDefault="00B41408" w:rsidP="00B41408">
            <w:pPr>
              <w:spacing w:line="360" w:lineRule="auto"/>
              <w:jc w:val="both"/>
              <w:rPr>
                <w:color w:val="000000"/>
                <w:sz w:val="18"/>
                <w:szCs w:val="18"/>
                <w:lang w:val="es-ES" w:eastAsia="zh-CN"/>
              </w:rPr>
            </w:pPr>
            <w:r w:rsidRPr="00B41408">
              <w:rPr>
                <w:color w:val="000000"/>
                <w:sz w:val="18"/>
                <w:szCs w:val="18"/>
                <w:lang w:val="es-ES" w:eastAsia="zh-CN"/>
              </w:rPr>
              <w:t>Total</w:t>
            </w:r>
          </w:p>
        </w:tc>
        <w:tc>
          <w:tcPr>
            <w:tcW w:w="865" w:type="dxa"/>
            <w:vAlign w:val="center"/>
          </w:tcPr>
          <w:p w14:paraId="4052E949" w14:textId="77777777" w:rsidR="00B41408" w:rsidRPr="00B41408" w:rsidRDefault="00B41408" w:rsidP="00B41408">
            <w:pPr>
              <w:spacing w:line="360" w:lineRule="auto"/>
              <w:jc w:val="center"/>
              <w:rPr>
                <w:color w:val="000000"/>
                <w:sz w:val="18"/>
                <w:szCs w:val="18"/>
                <w:lang w:val="es-ES" w:eastAsia="zh-CN"/>
              </w:rPr>
            </w:pPr>
            <w:r w:rsidRPr="00B41408">
              <w:rPr>
                <w:color w:val="000000"/>
                <w:sz w:val="18"/>
                <w:szCs w:val="18"/>
                <w:lang w:val="es-ES" w:eastAsia="zh-CN"/>
              </w:rPr>
              <w:t>40</w:t>
            </w:r>
          </w:p>
        </w:tc>
        <w:tc>
          <w:tcPr>
            <w:tcW w:w="1276" w:type="dxa"/>
            <w:vAlign w:val="center"/>
          </w:tcPr>
          <w:p w14:paraId="47CC6851" w14:textId="77777777" w:rsidR="00B41408" w:rsidRPr="00B41408" w:rsidRDefault="00B41408" w:rsidP="00B41408">
            <w:pPr>
              <w:spacing w:line="360" w:lineRule="auto"/>
              <w:jc w:val="center"/>
              <w:rPr>
                <w:color w:val="000000"/>
                <w:sz w:val="18"/>
                <w:szCs w:val="18"/>
                <w:lang w:val="es-ES" w:eastAsia="zh-CN"/>
              </w:rPr>
            </w:pPr>
            <w:r w:rsidRPr="00B41408">
              <w:rPr>
                <w:color w:val="000000"/>
                <w:sz w:val="18"/>
                <w:szCs w:val="18"/>
                <w:lang w:val="es-ES" w:eastAsia="zh-CN"/>
              </w:rPr>
              <w:t>100</w:t>
            </w:r>
          </w:p>
        </w:tc>
      </w:tr>
    </w:tbl>
    <w:p w14:paraId="07580664"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                </w:t>
      </w:r>
    </w:p>
    <w:p w14:paraId="56F9D556"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lastRenderedPageBreak/>
        <w:t>La tabla 5 describe el grado de discapacidad: 47,5 % de los pacientes presentaron un grado mínimo de discapacidad.</w:t>
      </w:r>
    </w:p>
    <w:p w14:paraId="497A281F" w14:textId="77777777" w:rsidR="00B41408" w:rsidRPr="00B41408" w:rsidRDefault="00B41408" w:rsidP="00B41408">
      <w:pPr>
        <w:spacing w:line="360" w:lineRule="auto"/>
        <w:jc w:val="both"/>
        <w:rPr>
          <w:rFonts w:eastAsia="TimesNewRomanPSMT"/>
          <w:color w:val="000000"/>
          <w:lang w:val="es-ES" w:eastAsia="zh-CN"/>
        </w:rPr>
      </w:pPr>
    </w:p>
    <w:p w14:paraId="427219B6" w14:textId="77777777" w:rsidR="00B41408" w:rsidRPr="00B41408" w:rsidRDefault="00B41408" w:rsidP="00B41408">
      <w:pPr>
        <w:spacing w:line="360" w:lineRule="auto"/>
        <w:jc w:val="center"/>
        <w:rPr>
          <w:rFonts w:eastAsia="TimesNewRomanPSMT"/>
          <w:color w:val="000000"/>
          <w:sz w:val="22"/>
          <w:szCs w:val="22"/>
          <w:lang w:val="es-ES" w:eastAsia="zh-CN"/>
        </w:rPr>
      </w:pPr>
      <w:r w:rsidRPr="00B41408">
        <w:rPr>
          <w:rFonts w:eastAsia="TimesNewRomanPSMT"/>
          <w:b/>
          <w:bCs/>
          <w:color w:val="000000"/>
          <w:sz w:val="22"/>
          <w:szCs w:val="22"/>
          <w:lang w:val="es-ES" w:eastAsia="zh-CN"/>
        </w:rPr>
        <w:t>Tabla 5 -</w:t>
      </w:r>
      <w:r w:rsidRPr="00B41408">
        <w:rPr>
          <w:rFonts w:eastAsia="TimesNewRomanPSMT"/>
          <w:color w:val="000000"/>
          <w:sz w:val="22"/>
          <w:szCs w:val="22"/>
          <w:lang w:val="es-ES" w:eastAsia="zh-CN"/>
        </w:rPr>
        <w:t xml:space="preserve"> Pacientes con esclerosis múltiple según grado de discapacidad y formas clínicas</w:t>
      </w:r>
    </w:p>
    <w:p w14:paraId="2E513542" w14:textId="4941E38F" w:rsidR="00B41408" w:rsidRPr="00B41408" w:rsidRDefault="00346990" w:rsidP="00B41408">
      <w:pPr>
        <w:spacing w:line="360" w:lineRule="auto"/>
        <w:jc w:val="center"/>
        <w:rPr>
          <w:rFonts w:eastAsia="TimesNewRomanPSMT"/>
          <w:b/>
          <w:color w:val="000000"/>
          <w:lang w:val="es-ES" w:eastAsia="zh-CN"/>
        </w:rPr>
      </w:pPr>
      <w:r>
        <w:rPr>
          <w:rFonts w:eastAsia="TimesNewRomanPSMT"/>
          <w:b/>
          <w:noProof/>
          <w:color w:val="000000"/>
          <w:lang w:val="es-ES" w:eastAsia="zh-CN"/>
        </w:rPr>
        <w:drawing>
          <wp:inline distT="0" distB="0" distL="0" distR="0" wp14:anchorId="7FC3C36E" wp14:editId="4707321E">
            <wp:extent cx="5161905" cy="180000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2">
                      <a:extLst>
                        <a:ext uri="{28A0092B-C50C-407E-A947-70E740481C1C}">
                          <a14:useLocalDpi xmlns:a14="http://schemas.microsoft.com/office/drawing/2010/main" val="0"/>
                        </a:ext>
                      </a:extLst>
                    </a:blip>
                    <a:stretch>
                      <a:fillRect/>
                    </a:stretch>
                  </pic:blipFill>
                  <pic:spPr>
                    <a:xfrm>
                      <a:off x="0" y="0"/>
                      <a:ext cx="5161905" cy="1800000"/>
                    </a:xfrm>
                    <a:prstGeom prst="rect">
                      <a:avLst/>
                    </a:prstGeom>
                  </pic:spPr>
                </pic:pic>
              </a:graphicData>
            </a:graphic>
          </wp:inline>
        </w:drawing>
      </w:r>
    </w:p>
    <w:p w14:paraId="7C74EC28" w14:textId="77777777" w:rsidR="00B41408" w:rsidRPr="00B41408" w:rsidRDefault="00B41408" w:rsidP="00B41408">
      <w:pPr>
        <w:spacing w:line="360" w:lineRule="auto"/>
        <w:jc w:val="both"/>
        <w:rPr>
          <w:rFonts w:eastAsia="TimesNewRomanPSMT"/>
          <w:b/>
          <w:color w:val="000000"/>
          <w:lang w:val="es-ES" w:eastAsia="zh-CN"/>
        </w:rPr>
      </w:pPr>
    </w:p>
    <w:p w14:paraId="2C94A9CD" w14:textId="77777777" w:rsidR="00B41408" w:rsidRPr="00B41408" w:rsidRDefault="00B41408" w:rsidP="00B41408">
      <w:pPr>
        <w:spacing w:line="360" w:lineRule="auto"/>
        <w:jc w:val="both"/>
        <w:rPr>
          <w:rFonts w:eastAsia="TimesNewRomanPSMT"/>
          <w:b/>
          <w:color w:val="000000"/>
          <w:lang w:val="es-ES" w:eastAsia="zh-CN"/>
        </w:rPr>
      </w:pPr>
    </w:p>
    <w:p w14:paraId="5E42ED45" w14:textId="77777777" w:rsidR="00B41408" w:rsidRPr="00B41408" w:rsidRDefault="00B41408" w:rsidP="00B41408">
      <w:pPr>
        <w:spacing w:line="360" w:lineRule="auto"/>
        <w:jc w:val="center"/>
        <w:rPr>
          <w:rFonts w:eastAsia="TimesNewRomanPSMT"/>
          <w:b/>
          <w:color w:val="000000"/>
          <w:sz w:val="32"/>
          <w:szCs w:val="32"/>
          <w:lang w:val="es-ES" w:eastAsia="zh-CN"/>
        </w:rPr>
      </w:pPr>
      <w:r w:rsidRPr="00B41408">
        <w:rPr>
          <w:rFonts w:eastAsia="TimesNewRomanPSMT"/>
          <w:b/>
          <w:color w:val="000000"/>
          <w:sz w:val="32"/>
          <w:szCs w:val="32"/>
          <w:lang w:val="es-ES" w:eastAsia="zh-CN"/>
        </w:rPr>
        <w:t>DISCUSIÓN</w:t>
      </w:r>
    </w:p>
    <w:p w14:paraId="48955B10" w14:textId="77777777" w:rsidR="00B41408" w:rsidRPr="00B41408" w:rsidRDefault="00B41408" w:rsidP="00B41408">
      <w:pPr>
        <w:spacing w:line="360" w:lineRule="auto"/>
        <w:jc w:val="both"/>
        <w:rPr>
          <w:rFonts w:eastAsia="TimesNewRomanPSMT"/>
          <w:color w:val="000000"/>
          <w:vertAlign w:val="superscript"/>
          <w:lang w:val="es-ES" w:eastAsia="zh-CN"/>
        </w:rPr>
      </w:pPr>
      <w:r w:rsidRPr="00B41408">
        <w:rPr>
          <w:rFonts w:eastAsia="TimesNewRomanPSMT"/>
          <w:color w:val="000000"/>
          <w:lang w:val="es-ES" w:eastAsia="zh-CN"/>
        </w:rPr>
        <w:t xml:space="preserve">Los estudios sobre las características clínicas de la esclerosis múltiple en Cuba se han realizado con protocolos similares a los de esta investigación. Los datos demográficos encontrados en la presente serie, también son semejantes a los de otros estudios realizados en el ámbito nacional y regional, que se contrastan a continuación. Los resultados en cuanto al predominio del sexo femenino, coinciden con los de </w:t>
      </w:r>
      <w:r w:rsidRPr="00B41408">
        <w:rPr>
          <w:rFonts w:eastAsia="TimesNewRomanPSMT"/>
          <w:i/>
          <w:iCs/>
          <w:color w:val="000000"/>
          <w:lang w:val="es-ES" w:eastAsia="zh-CN"/>
        </w:rPr>
        <w:t>Hernández-Valero</w:t>
      </w:r>
      <w:r w:rsidRPr="00B41408">
        <w:rPr>
          <w:rFonts w:eastAsia="TimesNewRomanPSMT"/>
          <w:color w:val="000000"/>
          <w:lang w:val="es-ES" w:eastAsia="zh-CN"/>
        </w:rPr>
        <w:t xml:space="preserve"> y </w:t>
      </w:r>
      <w:proofErr w:type="gramStart"/>
      <w:r w:rsidRPr="00B41408">
        <w:rPr>
          <w:rFonts w:eastAsia="TimesNewRomanPSMT"/>
          <w:color w:val="000000"/>
          <w:lang w:val="es-ES" w:eastAsia="zh-CN"/>
        </w:rPr>
        <w:t>otros,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11)</w:t>
      </w:r>
      <w:r w:rsidRPr="00B41408">
        <w:rPr>
          <w:rFonts w:eastAsia="TimesNewRomanPSMT"/>
          <w:color w:val="000000"/>
          <w:lang w:val="es-ES" w:eastAsia="zh-CN"/>
        </w:rPr>
        <w:t xml:space="preserve"> en uno de los mayores estudios comparativos, sobre esclerosis múltiple en varias regiones de Cuba.</w:t>
      </w:r>
    </w:p>
    <w:p w14:paraId="24D35D57"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En el mundo existe consenso sobre la edad de comienzo de la esclerosis múltiple, ya que las 2 terceras partes de los casos comienzan entre los 20 y 40 años de </w:t>
      </w:r>
      <w:proofErr w:type="gramStart"/>
      <w:r w:rsidRPr="00B41408">
        <w:rPr>
          <w:rFonts w:eastAsia="TimesNewRomanPSMT"/>
          <w:color w:val="000000"/>
          <w:lang w:val="es-ES" w:eastAsia="zh-CN"/>
        </w:rPr>
        <w:t>edad.</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4)</w:t>
      </w:r>
      <w:r w:rsidRPr="00B41408">
        <w:rPr>
          <w:rFonts w:eastAsia="TimesNewRomanPSMT"/>
          <w:color w:val="000000"/>
          <w:lang w:val="es-ES" w:eastAsia="zh-CN"/>
        </w:rPr>
        <w:t xml:space="preserve"> Este resultado es similar a otros estudios realizados en Cuba y Latinoamérica.</w:t>
      </w:r>
      <w:r w:rsidRPr="00B41408">
        <w:rPr>
          <w:rFonts w:eastAsia="TimesNewRomanPSMT"/>
          <w:color w:val="000000"/>
          <w:vertAlign w:val="superscript"/>
          <w:lang w:val="es-ES" w:eastAsia="zh-CN"/>
        </w:rPr>
        <w:t>(4,12,13,14,15)</w:t>
      </w:r>
    </w:p>
    <w:p w14:paraId="5BB094FE"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Asimismo, </w:t>
      </w:r>
      <w:r w:rsidRPr="00B41408">
        <w:rPr>
          <w:rFonts w:eastAsia="TimesNewRomanPSMT"/>
          <w:i/>
          <w:iCs/>
          <w:color w:val="000000"/>
          <w:lang w:val="es-ES" w:eastAsia="zh-CN"/>
        </w:rPr>
        <w:t>Rojas-Huerto</w:t>
      </w:r>
      <w:r w:rsidRPr="00B41408">
        <w:rPr>
          <w:rFonts w:eastAsia="TimesNewRomanPSMT"/>
          <w:color w:val="000000"/>
          <w:lang w:val="es-ES" w:eastAsia="zh-CN"/>
        </w:rPr>
        <w:t xml:space="preserve"> y </w:t>
      </w:r>
      <w:proofErr w:type="gramStart"/>
      <w:r w:rsidRPr="00B41408">
        <w:rPr>
          <w:rFonts w:eastAsia="TimesNewRomanPSMT"/>
          <w:color w:val="000000"/>
          <w:lang w:val="es-ES" w:eastAsia="zh-CN"/>
        </w:rPr>
        <w:t>otros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13)</w:t>
      </w:r>
      <w:r w:rsidRPr="00B41408">
        <w:rPr>
          <w:rFonts w:eastAsia="TimesNewRomanPSMT"/>
          <w:color w:val="000000"/>
          <w:lang w:val="es-ES" w:eastAsia="zh-CN"/>
        </w:rPr>
        <w:t xml:space="preserve"> reporta una edad promedio de inicio de la enfermedad de 36,2 años y son mujeres 51,7 %. </w:t>
      </w:r>
      <w:r w:rsidRPr="00B41408">
        <w:rPr>
          <w:rFonts w:eastAsia="TimesNewRomanPSMT"/>
          <w:i/>
          <w:iCs/>
          <w:color w:val="000000"/>
          <w:lang w:val="es-ES" w:eastAsia="zh-CN"/>
        </w:rPr>
        <w:t>Correa</w:t>
      </w:r>
      <w:r w:rsidRPr="00B41408">
        <w:rPr>
          <w:rFonts w:eastAsia="TimesNewRomanPSMT"/>
          <w:color w:val="000000"/>
          <w:lang w:val="es-ES" w:eastAsia="zh-CN"/>
        </w:rPr>
        <w:t xml:space="preserve"> y </w:t>
      </w:r>
      <w:proofErr w:type="gramStart"/>
      <w:r w:rsidRPr="00B41408">
        <w:rPr>
          <w:rFonts w:eastAsia="TimesNewRomanPSMT"/>
          <w:color w:val="000000"/>
          <w:lang w:val="es-ES" w:eastAsia="zh-CN"/>
        </w:rPr>
        <w:t>otros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14)</w:t>
      </w:r>
      <w:r w:rsidRPr="00B41408">
        <w:rPr>
          <w:rFonts w:eastAsia="TimesNewRomanPSMT"/>
          <w:color w:val="000000"/>
          <w:lang w:val="es-ES" w:eastAsia="zh-CN"/>
        </w:rPr>
        <w:t xml:space="preserve"> reportan en Ecuador</w:t>
      </w:r>
      <w:r w:rsidRPr="00B41408">
        <w:rPr>
          <w:rFonts w:eastAsia="TimesNewRomanPSMT"/>
          <w:color w:val="FF0000"/>
          <w:lang w:val="es-ES" w:eastAsia="zh-CN"/>
        </w:rPr>
        <w:t xml:space="preserve"> </w:t>
      </w:r>
      <w:r w:rsidRPr="00B41408">
        <w:rPr>
          <w:rFonts w:eastAsia="TimesNewRomanPSMT"/>
          <w:color w:val="000000"/>
          <w:lang w:val="es-ES" w:eastAsia="zh-CN"/>
        </w:rPr>
        <w:t xml:space="preserve">baja prevalencia de la enfermedad; el sexo femenino y la población joven son los más afectados. En una investigación realizada en Perú, por </w:t>
      </w:r>
      <w:r w:rsidRPr="00B41408">
        <w:rPr>
          <w:rFonts w:eastAsia="TimesNewRomanPSMT"/>
          <w:i/>
          <w:iCs/>
          <w:color w:val="000000"/>
          <w:lang w:val="es-ES" w:eastAsia="zh-CN"/>
        </w:rPr>
        <w:t>Delgado-Cabrera</w:t>
      </w:r>
      <w:r w:rsidRPr="00B41408">
        <w:rPr>
          <w:rFonts w:eastAsia="TimesNewRomanPSMT"/>
          <w:color w:val="000000"/>
          <w:lang w:val="es-ES" w:eastAsia="zh-CN"/>
        </w:rPr>
        <w:t xml:space="preserve"> y </w:t>
      </w:r>
      <w:proofErr w:type="gramStart"/>
      <w:r w:rsidRPr="00B41408">
        <w:rPr>
          <w:rFonts w:eastAsia="TimesNewRomanPSMT"/>
          <w:color w:val="000000"/>
          <w:lang w:val="es-ES" w:eastAsia="zh-CN"/>
        </w:rPr>
        <w:t>otros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15)</w:t>
      </w:r>
      <w:r w:rsidRPr="00B41408">
        <w:rPr>
          <w:rFonts w:eastAsia="TimesNewRomanPSMT"/>
          <w:color w:val="000000"/>
          <w:lang w:val="es-ES" w:eastAsia="zh-CN"/>
        </w:rPr>
        <w:t xml:space="preserve"> muestran en los afectados una edad media de 44 años. </w:t>
      </w:r>
    </w:p>
    <w:p w14:paraId="2050AB91"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lastRenderedPageBreak/>
        <w:t xml:space="preserve">Las comorbilidades tienen un impacto importante en la historia natural, el cuidado de los pacientes y se asocian a disminución de la calidad de vida y discapacidad a largo </w:t>
      </w:r>
      <w:proofErr w:type="gramStart"/>
      <w:r w:rsidRPr="00B41408">
        <w:rPr>
          <w:rFonts w:eastAsia="TimesNewRomanPSMT"/>
          <w:color w:val="000000"/>
          <w:lang w:val="es-ES" w:eastAsia="zh-CN"/>
        </w:rPr>
        <w:t>plazo.</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16,17,18)</w:t>
      </w:r>
      <w:r w:rsidRPr="00B41408">
        <w:rPr>
          <w:rFonts w:eastAsia="TimesNewRomanPSMT"/>
          <w:color w:val="000000"/>
          <w:lang w:val="es-ES" w:eastAsia="zh-CN"/>
        </w:rPr>
        <w:t xml:space="preserve"> Los resultados </w:t>
      </w:r>
      <w:r w:rsidRPr="00B41408">
        <w:rPr>
          <w:rFonts w:eastAsia="TimesNewRomanPSMT"/>
          <w:lang w:val="es-ES" w:eastAsia="zh-CN"/>
        </w:rPr>
        <w:t>de</w:t>
      </w:r>
      <w:r w:rsidRPr="00B41408">
        <w:rPr>
          <w:rFonts w:eastAsia="TimesNewRomanPSMT"/>
          <w:color w:val="000000"/>
          <w:lang w:val="es-ES" w:eastAsia="zh-CN"/>
        </w:rPr>
        <w:t xml:space="preserve"> la presente investigación coinciden con la bibliografía consultada,</w:t>
      </w:r>
      <w:r w:rsidRPr="00B41408">
        <w:rPr>
          <w:rFonts w:eastAsia="TimesNewRomanPSMT"/>
          <w:color w:val="000000"/>
          <w:vertAlign w:val="superscript"/>
          <w:lang w:val="es-ES" w:eastAsia="zh-CN"/>
        </w:rPr>
        <w:t xml:space="preserve">(16) </w:t>
      </w:r>
      <w:r w:rsidRPr="00B41408">
        <w:rPr>
          <w:rFonts w:eastAsia="TimesNewRomanPSMT"/>
          <w:color w:val="000000"/>
          <w:lang w:val="es-ES" w:eastAsia="zh-CN"/>
        </w:rPr>
        <w:t xml:space="preserve">pues comorbilidades como depresión, ansiedad, hipertensión, son las de mayor prevalencia. También se ajusta con lo encontrado por </w:t>
      </w:r>
      <w:r w:rsidRPr="00B41408">
        <w:rPr>
          <w:rFonts w:eastAsia="TimesNewRomanPSMT"/>
          <w:i/>
          <w:iCs/>
          <w:color w:val="000000"/>
          <w:lang w:val="es-ES" w:eastAsia="zh-CN"/>
        </w:rPr>
        <w:t>Cárdenas-</w:t>
      </w:r>
      <w:proofErr w:type="spellStart"/>
      <w:r w:rsidRPr="00B41408">
        <w:rPr>
          <w:rFonts w:eastAsia="TimesNewRomanPSMT"/>
          <w:i/>
          <w:iCs/>
          <w:color w:val="000000"/>
          <w:lang w:val="es-ES" w:eastAsia="zh-CN"/>
        </w:rPr>
        <w:t>Roblejo</w:t>
      </w:r>
      <w:proofErr w:type="spellEnd"/>
      <w:r w:rsidRPr="00B41408">
        <w:rPr>
          <w:rFonts w:eastAsia="TimesNewRomanPSMT"/>
          <w:color w:val="000000"/>
          <w:lang w:val="es-ES" w:eastAsia="zh-CN"/>
        </w:rPr>
        <w:t xml:space="preserve"> y </w:t>
      </w:r>
      <w:proofErr w:type="gramStart"/>
      <w:r w:rsidRPr="00B41408">
        <w:rPr>
          <w:rFonts w:eastAsia="TimesNewRomanPSMT"/>
          <w:color w:val="000000"/>
          <w:lang w:val="es-ES" w:eastAsia="zh-CN"/>
        </w:rPr>
        <w:t>otros,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17)</w:t>
      </w:r>
      <w:r w:rsidRPr="00B41408">
        <w:rPr>
          <w:rFonts w:eastAsia="TimesNewRomanPSMT"/>
          <w:color w:val="000000"/>
          <w:lang w:val="es-ES" w:eastAsia="zh-CN"/>
        </w:rPr>
        <w:t xml:space="preserve"> que en su estudio reportan como comorbilidades más frecuentes, la hipertensión y la depresión.</w:t>
      </w:r>
    </w:p>
    <w:p w14:paraId="51D2A49A"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Con relación a las manifestaciones clínicas predominantes al inicio de la enfermedad, coincide con lo encontrado por </w:t>
      </w:r>
      <w:r w:rsidRPr="00B41408">
        <w:rPr>
          <w:rFonts w:eastAsia="TimesNewRomanPSMT"/>
          <w:i/>
          <w:iCs/>
          <w:color w:val="000000"/>
          <w:lang w:val="es-ES" w:eastAsia="zh-CN"/>
        </w:rPr>
        <w:t>Rojas-Huerto</w:t>
      </w:r>
      <w:r w:rsidRPr="00B41408">
        <w:rPr>
          <w:rFonts w:eastAsia="TimesNewRomanPSMT"/>
          <w:color w:val="000000"/>
          <w:lang w:val="es-ES" w:eastAsia="zh-CN"/>
        </w:rPr>
        <w:t xml:space="preserve"> y </w:t>
      </w:r>
      <w:proofErr w:type="gramStart"/>
      <w:r w:rsidRPr="00B41408">
        <w:rPr>
          <w:rFonts w:eastAsia="TimesNewRomanPSMT"/>
          <w:color w:val="000000"/>
          <w:lang w:val="es-ES" w:eastAsia="zh-CN"/>
        </w:rPr>
        <w:t>otros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13)</w:t>
      </w:r>
      <w:r w:rsidRPr="00B41408">
        <w:rPr>
          <w:rFonts w:eastAsia="TimesNewRomanPSMT"/>
          <w:color w:val="000000"/>
          <w:lang w:val="es-ES" w:eastAsia="zh-CN"/>
        </w:rPr>
        <w:t xml:space="preserve"> y otro estudio realizado en la provincia de Villa Clara,</w:t>
      </w:r>
      <w:r w:rsidRPr="00B41408">
        <w:rPr>
          <w:rFonts w:eastAsia="TimesNewRomanPSMT"/>
          <w:color w:val="000000"/>
          <w:vertAlign w:val="superscript"/>
          <w:lang w:val="es-ES" w:eastAsia="zh-CN"/>
        </w:rPr>
        <w:t>(19)</w:t>
      </w:r>
      <w:r w:rsidRPr="00B41408">
        <w:rPr>
          <w:rFonts w:eastAsia="TimesNewRomanPSMT"/>
          <w:color w:val="000000"/>
          <w:lang w:val="es-ES" w:eastAsia="zh-CN"/>
        </w:rPr>
        <w:t xml:space="preserve"> en el que las manifestaciones más frecuentes fueron las motoras, seguidas de las sensitivas. </w:t>
      </w:r>
      <w:r w:rsidRPr="00B41408">
        <w:rPr>
          <w:rFonts w:eastAsia="TimesNewRomanPSMT"/>
          <w:i/>
          <w:iCs/>
          <w:color w:val="000000"/>
          <w:lang w:val="es-ES" w:eastAsia="zh-CN"/>
        </w:rPr>
        <w:t>Hernández-Valero</w:t>
      </w:r>
      <w:r w:rsidRPr="00B41408">
        <w:rPr>
          <w:rFonts w:eastAsia="TimesNewRomanPSMT"/>
          <w:color w:val="000000"/>
          <w:lang w:val="es-ES" w:eastAsia="zh-CN"/>
        </w:rPr>
        <w:t xml:space="preserve"> y </w:t>
      </w:r>
      <w:proofErr w:type="gramStart"/>
      <w:r w:rsidRPr="00B41408">
        <w:rPr>
          <w:rFonts w:eastAsia="TimesNewRomanPSMT"/>
          <w:color w:val="000000"/>
          <w:lang w:val="es-ES" w:eastAsia="zh-CN"/>
        </w:rPr>
        <w:t>otros,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11)</w:t>
      </w:r>
      <w:r w:rsidRPr="00B41408">
        <w:rPr>
          <w:rFonts w:eastAsia="TimesNewRomanPSMT"/>
          <w:color w:val="000000"/>
          <w:lang w:val="es-ES" w:eastAsia="zh-CN"/>
        </w:rPr>
        <w:t xml:space="preserve"> plantean que los síntomas de inicio más frecuente son visuales (26 %), motores (22 %) y sensoriales (22 %). A pesar de que los síntomas visuales no figuraron con mayor frecuencia en el presente estudio; sí representaron un por ciento similar. </w:t>
      </w:r>
    </w:p>
    <w:p w14:paraId="19019A5D"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 xml:space="preserve">El mayor reporte de manifestaciones motoras, pudiera estar relacionado en parte, con la mayor discapacidad que generan, lo cual permite su permanencia de manera parcial o total durante el tiempo de evolución. Al mismo tiempo, las características clínicas de la EM en Latinoamérica, región multiétnica, multicultural, </w:t>
      </w:r>
      <w:r w:rsidRPr="00B41408">
        <w:rPr>
          <w:rFonts w:eastAsia="TimesNewRomanPSMT"/>
          <w:lang w:val="es-ES" w:eastAsia="zh-CN"/>
        </w:rPr>
        <w:t>pudieran</w:t>
      </w:r>
      <w:r w:rsidRPr="00B41408">
        <w:rPr>
          <w:rFonts w:eastAsia="TimesNewRomanPSMT"/>
          <w:color w:val="FF0000"/>
          <w:lang w:val="es-ES" w:eastAsia="zh-CN"/>
        </w:rPr>
        <w:t xml:space="preserve"> </w:t>
      </w:r>
      <w:r w:rsidRPr="00B41408">
        <w:rPr>
          <w:rFonts w:eastAsia="TimesNewRomanPSMT"/>
          <w:color w:val="000000"/>
          <w:lang w:val="es-ES" w:eastAsia="zh-CN"/>
        </w:rPr>
        <w:t xml:space="preserve">estar influenciadas de manera crucial por factores medioambientales y genéticos. </w:t>
      </w:r>
    </w:p>
    <w:p w14:paraId="6D8BA345" w14:textId="77777777" w:rsidR="00B41408" w:rsidRPr="00B41408" w:rsidRDefault="00B41408" w:rsidP="00B41408">
      <w:pPr>
        <w:spacing w:line="360" w:lineRule="auto"/>
        <w:jc w:val="both"/>
        <w:rPr>
          <w:rFonts w:eastAsia="TimesNewRomanPSMT"/>
          <w:vertAlign w:val="superscript"/>
          <w:lang w:val="es-ES" w:eastAsia="zh-CN"/>
        </w:rPr>
      </w:pPr>
      <w:r w:rsidRPr="00B41408">
        <w:rPr>
          <w:rFonts w:eastAsia="TimesNewRomanPSMT"/>
          <w:color w:val="000000"/>
          <w:lang w:val="es-ES" w:eastAsia="zh-CN"/>
        </w:rPr>
        <w:t xml:space="preserve">Con relación a las formas clínicas, se encontró que la remitente recurrente fue la más frecuente, al igual que en </w:t>
      </w:r>
      <w:r w:rsidRPr="00B41408">
        <w:rPr>
          <w:rFonts w:eastAsia="TimesNewRomanPSMT"/>
          <w:lang w:val="es-ES" w:eastAsia="zh-CN"/>
        </w:rPr>
        <w:t xml:space="preserve">el estudio de prevalencia en la ciudad de Cuenca, </w:t>
      </w:r>
      <w:proofErr w:type="gramStart"/>
      <w:r w:rsidRPr="00B41408">
        <w:rPr>
          <w:rFonts w:eastAsia="TimesNewRomanPSMT"/>
          <w:lang w:val="es-ES" w:eastAsia="zh-CN"/>
        </w:rPr>
        <w:t>Ecuador,</w:t>
      </w:r>
      <w:r w:rsidRPr="00B41408">
        <w:rPr>
          <w:rFonts w:eastAsia="TimesNewRomanPSMT"/>
          <w:vertAlign w:val="superscript"/>
          <w:lang w:val="es-ES" w:eastAsia="zh-CN"/>
        </w:rPr>
        <w:t>(</w:t>
      </w:r>
      <w:proofErr w:type="gramEnd"/>
      <w:r w:rsidRPr="00B41408">
        <w:rPr>
          <w:rFonts w:eastAsia="TimesNewRomanPSMT"/>
          <w:vertAlign w:val="superscript"/>
          <w:lang w:val="es-ES" w:eastAsia="zh-CN"/>
        </w:rPr>
        <w:t>12)</w:t>
      </w:r>
      <w:r w:rsidRPr="00B41408">
        <w:rPr>
          <w:rFonts w:eastAsia="TimesNewRomanPSMT"/>
          <w:lang w:val="es-ES" w:eastAsia="zh-CN"/>
        </w:rPr>
        <w:t xml:space="preserve"> </w:t>
      </w:r>
      <w:r w:rsidRPr="00B41408">
        <w:rPr>
          <w:rFonts w:eastAsia="TimesNewRomanPSMT"/>
          <w:color w:val="000000"/>
          <w:lang w:val="es-ES" w:eastAsia="zh-CN"/>
        </w:rPr>
        <w:t xml:space="preserve">así como en un estudio poblacional realizado por </w:t>
      </w:r>
      <w:r w:rsidRPr="00B41408">
        <w:rPr>
          <w:rFonts w:eastAsia="TimesNewRomanPSMT"/>
          <w:i/>
          <w:iCs/>
          <w:color w:val="000000"/>
          <w:lang w:val="es-ES" w:eastAsia="zh-CN"/>
        </w:rPr>
        <w:t xml:space="preserve">Vázquez- </w:t>
      </w:r>
      <w:proofErr w:type="spellStart"/>
      <w:r w:rsidRPr="00B41408">
        <w:rPr>
          <w:rFonts w:eastAsia="TimesNewRomanPSMT"/>
          <w:i/>
          <w:iCs/>
          <w:color w:val="000000"/>
          <w:lang w:val="es-ES" w:eastAsia="zh-CN"/>
        </w:rPr>
        <w:t>Céspedes</w:t>
      </w:r>
      <w:proofErr w:type="spellEnd"/>
      <w:r w:rsidRPr="00B41408">
        <w:rPr>
          <w:rFonts w:eastAsia="TimesNewRomanPSMT"/>
          <w:color w:val="000000"/>
          <w:lang w:val="es-ES" w:eastAsia="zh-CN"/>
        </w:rPr>
        <w:t xml:space="preserve"> y otros</w:t>
      </w:r>
      <w:r w:rsidRPr="00B41408">
        <w:rPr>
          <w:rFonts w:eastAsia="TimesNewRomanPSMT"/>
          <w:color w:val="000000"/>
          <w:vertAlign w:val="superscript"/>
          <w:lang w:val="es-ES" w:eastAsia="zh-CN"/>
        </w:rPr>
        <w:t>(14)</w:t>
      </w:r>
      <w:r w:rsidRPr="00B41408">
        <w:rPr>
          <w:rFonts w:eastAsia="TimesNewRomanPSMT"/>
          <w:color w:val="000000"/>
          <w:lang w:val="es-ES" w:eastAsia="zh-CN"/>
        </w:rPr>
        <w:t xml:space="preserve"> en Costa Rica. Le siguió la forma secundaria progresiva y la primaria progresiva.</w:t>
      </w:r>
    </w:p>
    <w:p w14:paraId="210384D4" w14:textId="77777777" w:rsidR="00B41408" w:rsidRPr="00B41408" w:rsidRDefault="00B41408" w:rsidP="00B41408">
      <w:pPr>
        <w:spacing w:line="360" w:lineRule="auto"/>
        <w:jc w:val="both"/>
        <w:rPr>
          <w:rFonts w:eastAsia="TimesNewRomanPSMT"/>
          <w:vertAlign w:val="superscript"/>
          <w:lang w:val="es-ES" w:eastAsia="zh-CN"/>
        </w:rPr>
      </w:pPr>
      <w:r w:rsidRPr="00B41408">
        <w:rPr>
          <w:rFonts w:eastAsia="TimesNewRomanPSMT"/>
          <w:lang w:val="es-ES" w:eastAsia="zh-CN"/>
        </w:rPr>
        <w:t xml:space="preserve">En Cuba, un estudio de </w:t>
      </w:r>
      <w:r w:rsidRPr="00B41408">
        <w:rPr>
          <w:rFonts w:eastAsia="TimesNewRomanPSMT"/>
          <w:i/>
          <w:iCs/>
          <w:lang w:val="es-ES" w:eastAsia="zh-CN"/>
        </w:rPr>
        <w:t xml:space="preserve">Hernández-Valero </w:t>
      </w:r>
      <w:r w:rsidRPr="00B41408">
        <w:rPr>
          <w:rFonts w:eastAsia="TimesNewRomanPSMT"/>
          <w:lang w:val="es-ES" w:eastAsia="zh-CN"/>
        </w:rPr>
        <w:t xml:space="preserve">y </w:t>
      </w:r>
      <w:proofErr w:type="gramStart"/>
      <w:r w:rsidRPr="00B41408">
        <w:rPr>
          <w:rFonts w:eastAsia="TimesNewRomanPSMT"/>
          <w:lang w:val="es-ES" w:eastAsia="zh-CN"/>
        </w:rPr>
        <w:t>otros</w:t>
      </w:r>
      <w:r w:rsidRPr="00B41408">
        <w:rPr>
          <w:rFonts w:eastAsia="TimesNewRomanPSMT"/>
          <w:vertAlign w:val="superscript"/>
          <w:lang w:val="es-ES" w:eastAsia="zh-CN"/>
        </w:rPr>
        <w:t>(</w:t>
      </w:r>
      <w:proofErr w:type="gramEnd"/>
      <w:r w:rsidRPr="00B41408">
        <w:rPr>
          <w:rFonts w:eastAsia="TimesNewRomanPSMT"/>
          <w:vertAlign w:val="superscript"/>
          <w:lang w:val="es-ES" w:eastAsia="zh-CN"/>
        </w:rPr>
        <w:t>11)</w:t>
      </w:r>
      <w:r w:rsidRPr="00B41408">
        <w:rPr>
          <w:rFonts w:eastAsia="TimesNewRomanPSMT"/>
          <w:lang w:val="es-ES" w:eastAsia="zh-CN"/>
        </w:rPr>
        <w:t xml:space="preserve"> informa que corresponden a la forma clínica recurrente remitente, en occidente 74 %; en el centro 53,4 % y 74 % en oriente. Se destaca que en el oriente y en el centro la segunda forma más frecuente fue la primaria progresiva (16 % y 29 % respectivamente).</w:t>
      </w:r>
    </w:p>
    <w:p w14:paraId="1F0B8F1C" w14:textId="77777777" w:rsidR="00B41408" w:rsidRPr="00B41408" w:rsidRDefault="00B41408" w:rsidP="00B41408">
      <w:pPr>
        <w:spacing w:line="360" w:lineRule="auto"/>
        <w:jc w:val="both"/>
        <w:rPr>
          <w:rFonts w:eastAsia="TimesNewRomanPSMT"/>
          <w:lang w:val="es-ES" w:eastAsia="zh-CN"/>
        </w:rPr>
      </w:pPr>
      <w:r w:rsidRPr="00B41408">
        <w:rPr>
          <w:rFonts w:eastAsia="TimesNewRomanPSMT"/>
          <w:lang w:val="es-ES" w:eastAsia="zh-CN"/>
        </w:rPr>
        <w:t xml:space="preserve">Se conoce que la geografía influye en la esclerosis múltiple y que existen diferencias </w:t>
      </w:r>
      <w:proofErr w:type="gramStart"/>
      <w:r w:rsidRPr="00B41408">
        <w:rPr>
          <w:rFonts w:eastAsia="TimesNewRomanPSMT"/>
          <w:lang w:val="es-ES" w:eastAsia="zh-CN"/>
        </w:rPr>
        <w:t>demográficas.</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20)</w:t>
      </w:r>
      <w:r w:rsidRPr="00B41408">
        <w:rPr>
          <w:rFonts w:eastAsia="TimesNewRomanPSMT"/>
          <w:lang w:val="es-ES" w:eastAsia="zh-CN"/>
        </w:rPr>
        <w:t xml:space="preserve"> En el caso de Cuba, sin embargo, las modificaciones geográficas de oriente a occidente asociadas a un cambio de patrón pueden ser discutibles. </w:t>
      </w:r>
    </w:p>
    <w:p w14:paraId="197DF3B3" w14:textId="77777777" w:rsidR="00B41408" w:rsidRPr="00B41408" w:rsidRDefault="00B41408" w:rsidP="00B41408">
      <w:pPr>
        <w:spacing w:line="360" w:lineRule="auto"/>
        <w:jc w:val="both"/>
        <w:rPr>
          <w:rFonts w:eastAsia="TimesNewRomanPSMT"/>
          <w:color w:val="000000"/>
          <w:vertAlign w:val="superscript"/>
          <w:lang w:val="es-ES" w:eastAsia="zh-CN"/>
        </w:rPr>
      </w:pPr>
      <w:r w:rsidRPr="00B41408">
        <w:rPr>
          <w:rFonts w:eastAsia="TimesNewRomanPSMT"/>
          <w:color w:val="000000"/>
          <w:lang w:val="es-ES" w:eastAsia="zh-CN"/>
        </w:rPr>
        <w:lastRenderedPageBreak/>
        <w:t xml:space="preserve">En algunas poblaciones de Latinoamérica en las cuales se han realizado estudios similares, se reportan grados de discapacidad mínima al momento del </w:t>
      </w:r>
      <w:proofErr w:type="gramStart"/>
      <w:r w:rsidRPr="00B41408">
        <w:rPr>
          <w:rFonts w:eastAsia="TimesNewRomanPSMT"/>
          <w:color w:val="000000"/>
          <w:lang w:val="es-ES" w:eastAsia="zh-CN"/>
        </w:rPr>
        <w:t>diagnóstico.</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14,19)</w:t>
      </w:r>
    </w:p>
    <w:p w14:paraId="0FFADB4B" w14:textId="77777777" w:rsidR="00B41408" w:rsidRPr="00B41408" w:rsidRDefault="00B41408" w:rsidP="00B41408">
      <w:pPr>
        <w:spacing w:line="360" w:lineRule="auto"/>
        <w:jc w:val="both"/>
        <w:rPr>
          <w:rFonts w:eastAsia="TimesNewRomanPSMT"/>
          <w:color w:val="000000"/>
          <w:vertAlign w:val="superscript"/>
          <w:lang w:val="es-ES" w:eastAsia="zh-CN"/>
        </w:rPr>
      </w:pPr>
      <w:r w:rsidRPr="00B41408">
        <w:rPr>
          <w:rFonts w:eastAsia="TimesNewRomanPSMT"/>
          <w:color w:val="000000"/>
          <w:lang w:val="es-ES" w:eastAsia="zh-CN"/>
        </w:rPr>
        <w:t xml:space="preserve">La combinación entre los factores que afectan el sistema inmune, factores geográficos y genética individual podría influir en cómo se desarrolla la EM y cómo responde al </w:t>
      </w:r>
      <w:proofErr w:type="gramStart"/>
      <w:r w:rsidRPr="00B41408">
        <w:rPr>
          <w:rFonts w:eastAsia="TimesNewRomanPSMT"/>
          <w:color w:val="000000"/>
          <w:lang w:val="es-ES" w:eastAsia="zh-CN"/>
        </w:rPr>
        <w:t>tratamiento.</w:t>
      </w:r>
      <w:r w:rsidRPr="00B41408">
        <w:rPr>
          <w:rFonts w:eastAsia="TimesNewRomanPSMT"/>
          <w:color w:val="000000"/>
          <w:vertAlign w:val="superscript"/>
          <w:lang w:val="es-ES" w:eastAsia="zh-CN"/>
        </w:rPr>
        <w:t>(</w:t>
      </w:r>
      <w:proofErr w:type="gramEnd"/>
      <w:r w:rsidRPr="00B41408">
        <w:rPr>
          <w:rFonts w:eastAsia="TimesNewRomanPSMT"/>
          <w:color w:val="000000"/>
          <w:vertAlign w:val="superscript"/>
          <w:lang w:val="es-ES" w:eastAsia="zh-CN"/>
        </w:rPr>
        <w:t>20)</w:t>
      </w:r>
      <w:r w:rsidRPr="00B41408">
        <w:rPr>
          <w:rFonts w:eastAsia="TimesNewRomanPSMT"/>
          <w:color w:val="000000"/>
          <w:lang w:val="es-ES" w:eastAsia="zh-CN"/>
        </w:rPr>
        <w:t xml:space="preserve"> Se señalan factores de mal pronóstico para la progresión de la discapacidad, entre ellos se encuentran mayor edad, no debutar la enfermedad y la esclerosis múltiple primaria progresiva como forma clínica.</w:t>
      </w:r>
      <w:r w:rsidRPr="00B41408">
        <w:rPr>
          <w:rFonts w:eastAsia="TimesNewRomanPSMT"/>
          <w:color w:val="000000"/>
          <w:vertAlign w:val="superscript"/>
          <w:lang w:val="es-ES" w:eastAsia="zh-CN"/>
        </w:rPr>
        <w:t>(1)</w:t>
      </w:r>
    </w:p>
    <w:p w14:paraId="25BB87BE"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En los pacientes de esta investigación la edad de comienzo estuvo con mayor frecuencia por debajo de los 40 años. La forma primaria progresiva no fue la más frecuente. Los autores consideran que, apoyados en lo expresado anteriormente relacionado con los factores de mal pronóstico, unido a un diagnóstico precoz de la enfermedad y la rápida instauración de tratamientos modificadores, se pudiera explicar la discapacidad mínima presentada, aunque serían necesarios estudios analíticos para demostrarlo.</w:t>
      </w:r>
    </w:p>
    <w:p w14:paraId="2653400B"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La principal limitación de este estudio es su carácter descriptivo. También se señala que se realizó en un ámbito asistencial territorial, que no necesariamente representa la epidemiología de la enfermedad en la provincia, el país o la región.</w:t>
      </w:r>
    </w:p>
    <w:p w14:paraId="62CCAC6D" w14:textId="77777777" w:rsidR="00B41408" w:rsidRPr="00B41408" w:rsidRDefault="00B41408" w:rsidP="00B41408">
      <w:pPr>
        <w:spacing w:line="360" w:lineRule="auto"/>
        <w:jc w:val="both"/>
        <w:rPr>
          <w:rFonts w:eastAsia="TimesNewRomanPSMT"/>
          <w:bCs/>
          <w:color w:val="FF0000"/>
          <w:lang w:val="es-ES" w:eastAsia="zh-CN"/>
        </w:rPr>
      </w:pPr>
      <w:r w:rsidRPr="00B41408">
        <w:rPr>
          <w:rFonts w:eastAsia="TimesNewRomanPSMT"/>
          <w:bCs/>
          <w:lang w:val="es-ES" w:eastAsia="zh-CN"/>
        </w:rPr>
        <w:t xml:space="preserve">Se concluye que </w:t>
      </w:r>
      <w:r w:rsidRPr="00B41408">
        <w:rPr>
          <w:rFonts w:eastAsia="TimesNewRomanPSMT"/>
          <w:lang w:val="es-ES" w:eastAsia="zh-CN"/>
        </w:rPr>
        <w:t xml:space="preserve">en los pacientes estudiados </w:t>
      </w:r>
      <w:r w:rsidRPr="00B41408">
        <w:rPr>
          <w:rFonts w:eastAsia="TimesNewRomanPSMT"/>
          <w:bCs/>
          <w:lang w:val="es-ES" w:eastAsia="zh-CN"/>
        </w:rPr>
        <w:t xml:space="preserve">las </w:t>
      </w:r>
      <w:r w:rsidRPr="00B41408">
        <w:rPr>
          <w:rFonts w:eastAsia="TimesNewRomanPSMT"/>
          <w:bCs/>
          <w:color w:val="000000"/>
          <w:lang w:val="es-ES" w:eastAsia="zh-CN"/>
        </w:rPr>
        <w:t>manifestaciones motoras son los síntomas iniciales más frecuentes, así como la forma clínica recurrente remitente y el grado de discapacidad mínima. Los pacientes son fundamentalmente del sexo femenino, en la cuarta década de la vida.</w:t>
      </w:r>
    </w:p>
    <w:p w14:paraId="60FFC7E8" w14:textId="77777777" w:rsidR="00B41408" w:rsidRPr="00B41408" w:rsidRDefault="00B41408" w:rsidP="00B41408">
      <w:pPr>
        <w:spacing w:line="360" w:lineRule="auto"/>
        <w:jc w:val="both"/>
        <w:rPr>
          <w:rFonts w:eastAsia="TimesNewRomanPSMT"/>
          <w:bCs/>
          <w:color w:val="000000"/>
          <w:lang w:val="es-ES" w:eastAsia="zh-CN"/>
        </w:rPr>
      </w:pPr>
    </w:p>
    <w:p w14:paraId="4FA50837" w14:textId="77777777" w:rsidR="00B41408" w:rsidRPr="00B41408" w:rsidRDefault="00B41408" w:rsidP="00B41408">
      <w:pPr>
        <w:spacing w:line="360" w:lineRule="auto"/>
        <w:jc w:val="both"/>
        <w:rPr>
          <w:rFonts w:eastAsia="TimesNewRomanPSMT"/>
          <w:b/>
          <w:color w:val="000000"/>
          <w:lang w:val="es-ES" w:eastAsia="zh-CN"/>
        </w:rPr>
      </w:pPr>
    </w:p>
    <w:p w14:paraId="09390644" w14:textId="77777777" w:rsidR="00B41408" w:rsidRPr="00B41408" w:rsidRDefault="00B41408" w:rsidP="00B41408">
      <w:pPr>
        <w:spacing w:line="360" w:lineRule="auto"/>
        <w:jc w:val="center"/>
        <w:rPr>
          <w:rFonts w:eastAsia="TimesNewRomanPSMT"/>
          <w:b/>
          <w:color w:val="000000"/>
          <w:sz w:val="32"/>
          <w:szCs w:val="32"/>
          <w:lang w:val="es-ES" w:eastAsia="zh-CN"/>
        </w:rPr>
      </w:pPr>
      <w:r w:rsidRPr="00B41408">
        <w:rPr>
          <w:rFonts w:eastAsia="TimesNewRomanPSMT"/>
          <w:b/>
          <w:color w:val="000000"/>
          <w:sz w:val="32"/>
          <w:szCs w:val="32"/>
          <w:lang w:val="es-ES" w:eastAsia="zh-CN"/>
        </w:rPr>
        <w:t>REFERENCIAS BIBLIOGRÁFICAS</w:t>
      </w:r>
    </w:p>
    <w:p w14:paraId="6BB221D6"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CU" w:eastAsia="zh-CN"/>
        </w:rPr>
        <w:t xml:space="preserve">1. Arteaga-Noriega A, Zapata-Berruecos J, Castro-Álvarez </w:t>
      </w:r>
      <w:proofErr w:type="spellStart"/>
      <w:r w:rsidRPr="00B41408">
        <w:rPr>
          <w:rFonts w:eastAsia="TimesNewRomanPSMT"/>
          <w:bCs/>
          <w:color w:val="000000"/>
          <w:lang w:val="es-CU" w:eastAsia="zh-CN"/>
        </w:rPr>
        <w:t>JF</w:t>
      </w:r>
      <w:proofErr w:type="spellEnd"/>
      <w:r w:rsidRPr="00B41408">
        <w:rPr>
          <w:rFonts w:eastAsia="TimesNewRomanPSMT"/>
          <w:bCs/>
          <w:color w:val="000000"/>
          <w:lang w:val="es-CU" w:eastAsia="zh-CN"/>
        </w:rPr>
        <w:t xml:space="preserve">, Benjumea-Bedoya D, Segura-Cardona A, González Gómez D. Factores clínicos y radiológicos relacionados con la progresión de la discapacidad en esclerosis múltiple. </w:t>
      </w:r>
      <w:r w:rsidRPr="00B41408">
        <w:rPr>
          <w:rFonts w:eastAsia="TimesNewRomanPSMT"/>
          <w:bCs/>
          <w:color w:val="000000"/>
          <w:lang w:val="es-ES" w:eastAsia="zh-CN"/>
        </w:rPr>
        <w:t xml:space="preserve">Rev. </w:t>
      </w:r>
      <w:proofErr w:type="spellStart"/>
      <w:r w:rsidRPr="00B41408">
        <w:rPr>
          <w:rFonts w:eastAsia="TimesNewRomanPSMT"/>
          <w:bCs/>
          <w:color w:val="000000"/>
          <w:lang w:val="es-ES" w:eastAsia="zh-CN"/>
        </w:rPr>
        <w:t>Ecuat</w:t>
      </w:r>
      <w:proofErr w:type="spellEnd"/>
      <w:r w:rsidRPr="00B41408">
        <w:rPr>
          <w:rFonts w:eastAsia="TimesNewRomanPSMT"/>
          <w:bCs/>
          <w:color w:val="000000"/>
          <w:lang w:val="es-ES" w:eastAsia="zh-CN"/>
        </w:rPr>
        <w:t xml:space="preserve">. Neurol. 2020 [acceso: 03/12/2021]; 29(1):62-71. </w:t>
      </w:r>
      <w:r w:rsidRPr="00B41408">
        <w:rPr>
          <w:rFonts w:eastAsia="TimesNewRomanPSMT"/>
          <w:bCs/>
          <w:color w:val="000000"/>
          <w:lang w:val="es-CU" w:eastAsia="zh-CN"/>
        </w:rPr>
        <w:t xml:space="preserve">Disponible en: </w:t>
      </w:r>
      <w:hyperlink r:id="rId13" w:history="1">
        <w:r w:rsidRPr="00B41408">
          <w:rPr>
            <w:rFonts w:eastAsia="TimesNewRomanPSMT"/>
            <w:bCs/>
            <w:color w:val="0563C1"/>
            <w:u w:val="single"/>
            <w:lang w:val="es-CU" w:eastAsia="zh-CN"/>
          </w:rPr>
          <w:t>http://revecuatneurol.com/wp-content/uploads/2020/06/2631-2581-rneuro-29-01-00062.pdf</w:t>
        </w:r>
      </w:hyperlink>
      <w:r w:rsidRPr="00B41408">
        <w:rPr>
          <w:rFonts w:eastAsia="TimesNewRomanPSMT"/>
          <w:bCs/>
          <w:color w:val="000000"/>
          <w:lang w:val="es-CU" w:eastAsia="zh-CN"/>
        </w:rPr>
        <w:t xml:space="preserve"> </w:t>
      </w:r>
    </w:p>
    <w:p w14:paraId="2BC9055B"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n-US" w:eastAsia="zh-CN"/>
        </w:rPr>
        <w:t xml:space="preserve">2. </w:t>
      </w:r>
      <w:proofErr w:type="spellStart"/>
      <w:r w:rsidRPr="00B41408">
        <w:rPr>
          <w:rFonts w:eastAsia="TimesNewRomanPSMT"/>
          <w:bCs/>
          <w:color w:val="000000"/>
          <w:lang w:val="en-US" w:eastAsia="zh-CN"/>
        </w:rPr>
        <w:t>Ropper</w:t>
      </w:r>
      <w:proofErr w:type="spellEnd"/>
      <w:r w:rsidRPr="00B41408">
        <w:rPr>
          <w:rFonts w:eastAsia="TimesNewRomanPSMT"/>
          <w:bCs/>
          <w:color w:val="000000"/>
          <w:lang w:val="en-US" w:eastAsia="zh-CN"/>
        </w:rPr>
        <w:t xml:space="preserve"> AH, Samuels MA, Klein JP. </w:t>
      </w:r>
      <w:r w:rsidRPr="00B41408">
        <w:rPr>
          <w:rFonts w:eastAsia="TimesNewRomanPSMT"/>
          <w:bCs/>
          <w:color w:val="000000"/>
          <w:lang w:val="es-ES" w:eastAsia="zh-CN"/>
        </w:rPr>
        <w:t xml:space="preserve">Esclerosis múltiple y otras enfermedades inflamatorias. En: Adams y </w:t>
      </w:r>
      <w:proofErr w:type="spellStart"/>
      <w:r w:rsidRPr="00B41408">
        <w:rPr>
          <w:rFonts w:eastAsia="TimesNewRomanPSMT"/>
          <w:bCs/>
          <w:color w:val="000000"/>
          <w:lang w:val="es-ES" w:eastAsia="zh-CN"/>
        </w:rPr>
        <w:t>Victor</w:t>
      </w:r>
      <w:proofErr w:type="spellEnd"/>
      <w:r w:rsidRPr="00B41408">
        <w:rPr>
          <w:rFonts w:eastAsia="TimesNewRomanPSMT"/>
          <w:bCs/>
          <w:color w:val="000000"/>
          <w:lang w:val="es-ES" w:eastAsia="zh-CN"/>
        </w:rPr>
        <w:t xml:space="preserve"> (ed.). Principios de neurología. Colombia: </w:t>
      </w:r>
      <w:proofErr w:type="spellStart"/>
      <w:r w:rsidRPr="00B41408">
        <w:rPr>
          <w:rFonts w:eastAsia="TimesNewRomanPSMT"/>
          <w:bCs/>
          <w:color w:val="000000"/>
          <w:lang w:val="es-ES" w:eastAsia="zh-CN"/>
        </w:rPr>
        <w:t>Mcgraw-Hill</w:t>
      </w:r>
      <w:proofErr w:type="spellEnd"/>
      <w:r w:rsidRPr="00B41408">
        <w:rPr>
          <w:rFonts w:eastAsia="TimesNewRomanPSMT"/>
          <w:bCs/>
          <w:color w:val="000000"/>
          <w:lang w:val="es-ES" w:eastAsia="zh-CN"/>
        </w:rPr>
        <w:t xml:space="preserve">; 2017. [acceso: 05/12/2020]. </w:t>
      </w:r>
      <w:r w:rsidRPr="00B41408">
        <w:rPr>
          <w:rFonts w:eastAsia="TimesNewRomanPSMT"/>
          <w:bCs/>
          <w:color w:val="000000"/>
          <w:lang w:val="es-CU" w:eastAsia="zh-CN"/>
        </w:rPr>
        <w:t xml:space="preserve">Disponible en: </w:t>
      </w:r>
      <w:hyperlink r:id="rId14" w:history="1">
        <w:r w:rsidRPr="00B41408">
          <w:rPr>
            <w:rFonts w:eastAsia="TimesNewRomanPSMT"/>
            <w:bCs/>
            <w:color w:val="0563C1"/>
            <w:u w:val="single"/>
            <w:lang w:val="es-CU" w:eastAsia="zh-CN"/>
          </w:rPr>
          <w:t>http://accessmedicina.mhmedical.com/content.aspx?bookid=1908</w:t>
        </w:r>
      </w:hyperlink>
      <w:r w:rsidRPr="00B41408">
        <w:rPr>
          <w:rFonts w:eastAsia="TimesNewRomanPSMT"/>
          <w:bCs/>
          <w:color w:val="000000"/>
          <w:lang w:val="es-CU" w:eastAsia="zh-CN"/>
        </w:rPr>
        <w:t xml:space="preserve"> </w:t>
      </w:r>
    </w:p>
    <w:p w14:paraId="59DF3C37"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CU" w:eastAsia="zh-CN"/>
        </w:rPr>
        <w:lastRenderedPageBreak/>
        <w:t xml:space="preserve">3. Bravo-González F, Álvarez-Roldan A. Esclerosis múltiple, pérdida de funcionalidad y género. </w:t>
      </w:r>
      <w:proofErr w:type="spellStart"/>
      <w:r w:rsidRPr="00B41408">
        <w:rPr>
          <w:rFonts w:eastAsia="TimesNewRomanPSMT"/>
          <w:bCs/>
          <w:color w:val="000000"/>
          <w:lang w:val="es-ES" w:eastAsia="zh-CN"/>
        </w:rPr>
        <w:t>Gac</w:t>
      </w:r>
      <w:proofErr w:type="spellEnd"/>
      <w:r w:rsidRPr="00B41408">
        <w:rPr>
          <w:rFonts w:eastAsia="TimesNewRomanPSMT"/>
          <w:bCs/>
          <w:color w:val="000000"/>
          <w:lang w:val="es-ES" w:eastAsia="zh-CN"/>
        </w:rPr>
        <w:t xml:space="preserve"> </w:t>
      </w:r>
      <w:proofErr w:type="spellStart"/>
      <w:r w:rsidRPr="00B41408">
        <w:rPr>
          <w:rFonts w:eastAsia="TimesNewRomanPSMT"/>
          <w:bCs/>
          <w:color w:val="000000"/>
          <w:lang w:val="es-ES" w:eastAsia="zh-CN"/>
        </w:rPr>
        <w:t>Sanit</w:t>
      </w:r>
      <w:proofErr w:type="spellEnd"/>
      <w:r w:rsidRPr="00B41408">
        <w:rPr>
          <w:rFonts w:eastAsia="TimesNewRomanPSMT"/>
          <w:bCs/>
          <w:color w:val="000000"/>
          <w:lang w:val="es-ES" w:eastAsia="zh-CN"/>
        </w:rPr>
        <w:t xml:space="preserve">. 2019 [acceso: 03/12/2021]; 33(2):1-8. </w:t>
      </w:r>
      <w:r w:rsidRPr="00B41408">
        <w:rPr>
          <w:rFonts w:eastAsia="TimesNewRomanPSMT"/>
          <w:bCs/>
          <w:color w:val="000000"/>
          <w:lang w:val="es-CU" w:eastAsia="zh-CN"/>
        </w:rPr>
        <w:t xml:space="preserve">Disponible en: </w:t>
      </w:r>
      <w:hyperlink r:id="rId15" w:history="1">
        <w:r w:rsidRPr="00B41408">
          <w:rPr>
            <w:rFonts w:eastAsia="TimesNewRomanPSMT"/>
            <w:bCs/>
            <w:color w:val="0563C1"/>
            <w:u w:val="single"/>
            <w:lang w:val="es-CU" w:eastAsia="zh-CN"/>
          </w:rPr>
          <w:t>https://www.scielosp.org/article/gs/2019.v33n2/177-184/es/</w:t>
        </w:r>
      </w:hyperlink>
      <w:r w:rsidRPr="00B41408">
        <w:rPr>
          <w:rFonts w:eastAsia="TimesNewRomanPSMT"/>
          <w:bCs/>
          <w:color w:val="000000"/>
          <w:lang w:val="es-CU" w:eastAsia="zh-CN"/>
        </w:rPr>
        <w:t xml:space="preserve"> </w:t>
      </w:r>
    </w:p>
    <w:p w14:paraId="6415E0BF"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n-US" w:eastAsia="zh-CN"/>
        </w:rPr>
        <w:t xml:space="preserve">4. MS International Federation. Atlas of MS. </w:t>
      </w:r>
      <w:r w:rsidRPr="00B41408">
        <w:rPr>
          <w:rFonts w:eastAsia="TimesNewRomanPSMT"/>
          <w:bCs/>
          <w:color w:val="000000"/>
          <w:lang w:val="es-ES" w:eastAsia="zh-CN"/>
        </w:rPr>
        <w:t xml:space="preserve">MS International </w:t>
      </w:r>
      <w:proofErr w:type="spellStart"/>
      <w:r w:rsidRPr="00B41408">
        <w:rPr>
          <w:rFonts w:eastAsia="TimesNewRomanPSMT"/>
          <w:bCs/>
          <w:color w:val="000000"/>
          <w:lang w:val="es-ES" w:eastAsia="zh-CN"/>
        </w:rPr>
        <w:t>Federation</w:t>
      </w:r>
      <w:proofErr w:type="spellEnd"/>
      <w:r w:rsidRPr="00B41408">
        <w:rPr>
          <w:rFonts w:eastAsia="TimesNewRomanPSMT"/>
          <w:bCs/>
          <w:color w:val="000000"/>
          <w:lang w:val="es-ES" w:eastAsia="zh-CN"/>
        </w:rPr>
        <w:t xml:space="preserve">. [acceso: 03/12/2021]. </w:t>
      </w:r>
      <w:r w:rsidRPr="00B41408">
        <w:rPr>
          <w:rFonts w:eastAsia="TimesNewRomanPSMT"/>
          <w:bCs/>
          <w:color w:val="000000"/>
          <w:lang w:val="es-CU" w:eastAsia="zh-CN"/>
        </w:rPr>
        <w:t xml:space="preserve">Disponible en: </w:t>
      </w:r>
      <w:hyperlink r:id="rId16" w:history="1">
        <w:r w:rsidRPr="00B41408">
          <w:rPr>
            <w:rFonts w:eastAsia="TimesNewRomanPSMT"/>
            <w:bCs/>
            <w:color w:val="0563C1"/>
            <w:u w:val="single"/>
            <w:lang w:val="es-CU" w:eastAsia="zh-CN"/>
          </w:rPr>
          <w:t>https://www.atlasofms.org</w:t>
        </w:r>
      </w:hyperlink>
      <w:r w:rsidRPr="00B41408">
        <w:rPr>
          <w:rFonts w:eastAsia="TimesNewRomanPSMT"/>
          <w:bCs/>
          <w:color w:val="000000"/>
          <w:lang w:val="es-CU" w:eastAsia="zh-CN"/>
        </w:rPr>
        <w:t xml:space="preserve"> </w:t>
      </w:r>
    </w:p>
    <w:p w14:paraId="365BE644"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CU" w:eastAsia="zh-CN"/>
        </w:rPr>
        <w:t xml:space="preserve">5. Estrada González R. Casos presentados y discutidos en las sesiones de Neuropatología. </w:t>
      </w:r>
      <w:r w:rsidRPr="00B41408">
        <w:rPr>
          <w:rFonts w:eastAsia="TimesNewRomanPSMT"/>
          <w:bCs/>
          <w:color w:val="000000"/>
          <w:lang w:val="es-ES" w:eastAsia="zh-CN"/>
        </w:rPr>
        <w:t xml:space="preserve">Revista Cubana de Cirugía. </w:t>
      </w:r>
      <w:r w:rsidRPr="00B41408">
        <w:rPr>
          <w:rFonts w:eastAsia="TimesNewRomanPSMT"/>
          <w:bCs/>
          <w:color w:val="000000"/>
          <w:lang w:val="es-CU" w:eastAsia="zh-CN"/>
        </w:rPr>
        <w:t>1965; 4(2):201-24.</w:t>
      </w:r>
    </w:p>
    <w:p w14:paraId="7E9D813C"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CU" w:eastAsia="zh-CN"/>
        </w:rPr>
        <w:t>6. Cabrera-Gómez J, Manero-</w:t>
      </w:r>
      <w:proofErr w:type="spellStart"/>
      <w:r w:rsidRPr="00B41408">
        <w:rPr>
          <w:rFonts w:eastAsia="TimesNewRomanPSMT"/>
          <w:bCs/>
          <w:color w:val="000000"/>
          <w:lang w:val="es-CU" w:eastAsia="zh-CN"/>
        </w:rPr>
        <w:t>Alfert</w:t>
      </w:r>
      <w:proofErr w:type="spellEnd"/>
      <w:r w:rsidRPr="00B41408">
        <w:rPr>
          <w:rFonts w:eastAsia="TimesNewRomanPSMT"/>
          <w:bCs/>
          <w:color w:val="000000"/>
          <w:lang w:val="es-CU" w:eastAsia="zh-CN"/>
        </w:rPr>
        <w:t xml:space="preserve"> R. Algunas consideraciones sobre esclerosis múltiple en Latinoamérica. </w:t>
      </w:r>
      <w:r w:rsidRPr="00B41408">
        <w:rPr>
          <w:rFonts w:eastAsia="TimesNewRomanPSMT"/>
          <w:bCs/>
          <w:color w:val="000000"/>
          <w:lang w:val="es-ES" w:eastAsia="zh-CN"/>
        </w:rPr>
        <w:t xml:space="preserve">Primera estadística presentada en Cuba. Estudio comparativo. </w:t>
      </w:r>
      <w:proofErr w:type="spellStart"/>
      <w:r w:rsidRPr="00B41408">
        <w:rPr>
          <w:rFonts w:eastAsia="TimesNewRomanPSMT"/>
          <w:bCs/>
          <w:color w:val="000000"/>
          <w:lang w:val="es-CU" w:eastAsia="zh-CN"/>
        </w:rPr>
        <w:t>Rev</w:t>
      </w:r>
      <w:proofErr w:type="spellEnd"/>
      <w:r w:rsidRPr="00B41408">
        <w:rPr>
          <w:rFonts w:eastAsia="TimesNewRomanPSMT"/>
          <w:bCs/>
          <w:color w:val="000000"/>
          <w:lang w:val="es-CU" w:eastAsia="zh-CN"/>
        </w:rPr>
        <w:t xml:space="preserve"> </w:t>
      </w:r>
      <w:proofErr w:type="spellStart"/>
      <w:r w:rsidRPr="00B41408">
        <w:rPr>
          <w:rFonts w:eastAsia="TimesNewRomanPSMT"/>
          <w:bCs/>
          <w:color w:val="000000"/>
          <w:lang w:val="es-CU" w:eastAsia="zh-CN"/>
        </w:rPr>
        <w:t>Cub</w:t>
      </w:r>
      <w:proofErr w:type="spellEnd"/>
      <w:r w:rsidRPr="00B41408">
        <w:rPr>
          <w:rFonts w:eastAsia="TimesNewRomanPSMT"/>
          <w:bCs/>
          <w:color w:val="000000"/>
          <w:lang w:val="es-CU" w:eastAsia="zh-CN"/>
        </w:rPr>
        <w:t xml:space="preserve"> </w:t>
      </w:r>
      <w:proofErr w:type="spellStart"/>
      <w:r w:rsidRPr="00B41408">
        <w:rPr>
          <w:rFonts w:eastAsia="TimesNewRomanPSMT"/>
          <w:bCs/>
          <w:color w:val="000000"/>
          <w:lang w:val="es-CU" w:eastAsia="zh-CN"/>
        </w:rPr>
        <w:t>Med</w:t>
      </w:r>
      <w:proofErr w:type="spellEnd"/>
      <w:r w:rsidRPr="00B41408">
        <w:rPr>
          <w:rFonts w:eastAsia="TimesNewRomanPSMT"/>
          <w:bCs/>
          <w:color w:val="000000"/>
          <w:lang w:val="es-CU" w:eastAsia="zh-CN"/>
        </w:rPr>
        <w:t>. 2020 [acceso: 28/01/2023]; 14:(4</w:t>
      </w:r>
      <w:proofErr w:type="gramStart"/>
      <w:r w:rsidRPr="00B41408">
        <w:rPr>
          <w:rFonts w:eastAsia="TimesNewRomanPSMT"/>
          <w:bCs/>
          <w:color w:val="000000"/>
          <w:lang w:val="es-CU" w:eastAsia="zh-CN"/>
        </w:rPr>
        <w:t>):[</w:t>
      </w:r>
      <w:proofErr w:type="spellStart"/>
      <w:proofErr w:type="gramEnd"/>
      <w:r w:rsidRPr="00B41408">
        <w:rPr>
          <w:rFonts w:eastAsia="TimesNewRomanPSMT"/>
          <w:bCs/>
          <w:color w:val="000000"/>
          <w:lang w:val="es-CU" w:eastAsia="zh-CN"/>
        </w:rPr>
        <w:t>aprox</w:t>
      </w:r>
      <w:proofErr w:type="spellEnd"/>
      <w:r w:rsidRPr="00B41408">
        <w:rPr>
          <w:rFonts w:eastAsia="TimesNewRomanPSMT"/>
          <w:bCs/>
          <w:color w:val="000000"/>
          <w:lang w:val="es-CU" w:eastAsia="zh-CN"/>
        </w:rPr>
        <w:t xml:space="preserve"> 18 p.]. Disponible en: </w:t>
      </w:r>
      <w:hyperlink r:id="rId17" w:history="1">
        <w:r w:rsidRPr="00B41408">
          <w:rPr>
            <w:rFonts w:eastAsia="TimesNewRomanPSMT"/>
            <w:bCs/>
            <w:color w:val="0563C1"/>
            <w:u w:val="single"/>
            <w:lang w:val="es-CU" w:eastAsia="zh-CN"/>
          </w:rPr>
          <w:t>https://revmedicina.sld.cu/index.php/med/article/view/948</w:t>
        </w:r>
      </w:hyperlink>
      <w:r w:rsidRPr="00B41408">
        <w:rPr>
          <w:rFonts w:eastAsia="TimesNewRomanPSMT"/>
          <w:bCs/>
          <w:color w:val="000000"/>
          <w:lang w:val="es-CU" w:eastAsia="zh-CN"/>
        </w:rPr>
        <w:t xml:space="preserve"> </w:t>
      </w:r>
    </w:p>
    <w:p w14:paraId="7B73E663"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CU" w:eastAsia="zh-CN"/>
        </w:rPr>
        <w:t xml:space="preserve">7. Vázquez-Gómez L, Hidalgo-Mesa C, Beltrán-González B, Broche-Pérez Y, Mederos-Herrera A. Efectividad de una estrategia para el seguimiento multidisciplinario de pacientes con esclerosis múltiple. </w:t>
      </w:r>
      <w:proofErr w:type="spellStart"/>
      <w:r w:rsidRPr="00B41408">
        <w:rPr>
          <w:rFonts w:eastAsia="TimesNewRomanPSMT"/>
          <w:bCs/>
          <w:color w:val="000000"/>
          <w:lang w:val="es-ES" w:eastAsia="zh-CN"/>
        </w:rPr>
        <w:t>EDUMECENTRO</w:t>
      </w:r>
      <w:proofErr w:type="spellEnd"/>
      <w:r w:rsidRPr="00B41408">
        <w:rPr>
          <w:rFonts w:eastAsia="TimesNewRomanPSMT"/>
          <w:bCs/>
          <w:color w:val="000000"/>
          <w:lang w:val="es-ES" w:eastAsia="zh-CN"/>
        </w:rPr>
        <w:t>. 2021 [acceso: 29/01/2023]; 13(4</w:t>
      </w:r>
      <w:proofErr w:type="gramStart"/>
      <w:r w:rsidRPr="00B41408">
        <w:rPr>
          <w:rFonts w:eastAsia="TimesNewRomanPSMT"/>
          <w:bCs/>
          <w:color w:val="000000"/>
          <w:lang w:val="es-ES" w:eastAsia="zh-CN"/>
        </w:rPr>
        <w:t>):[</w:t>
      </w:r>
      <w:proofErr w:type="gramEnd"/>
      <w:r w:rsidRPr="00B41408">
        <w:rPr>
          <w:rFonts w:eastAsia="TimesNewRomanPSMT"/>
          <w:bCs/>
          <w:color w:val="000000"/>
          <w:lang w:val="es-ES" w:eastAsia="zh-CN"/>
        </w:rPr>
        <w:t xml:space="preserve">aprox. </w:t>
      </w:r>
      <w:r w:rsidRPr="00B41408">
        <w:rPr>
          <w:rFonts w:eastAsia="TimesNewRomanPSMT"/>
          <w:bCs/>
          <w:color w:val="000000"/>
          <w:lang w:val="es-CU" w:eastAsia="zh-CN"/>
        </w:rPr>
        <w:t xml:space="preserve">16 p.]. Disponible en: </w:t>
      </w:r>
      <w:hyperlink r:id="rId18" w:history="1">
        <w:r w:rsidRPr="00B41408">
          <w:rPr>
            <w:rFonts w:eastAsia="TimesNewRomanPSMT"/>
            <w:bCs/>
            <w:color w:val="0563C1"/>
            <w:u w:val="single"/>
            <w:lang w:val="es-CU" w:eastAsia="zh-CN"/>
          </w:rPr>
          <w:t>https://revedumecentro.sld.cu/index.php/edumc/article/view/1887</w:t>
        </w:r>
      </w:hyperlink>
      <w:r w:rsidRPr="00B41408">
        <w:rPr>
          <w:rFonts w:eastAsia="TimesNewRomanPSMT"/>
          <w:bCs/>
          <w:color w:val="000000"/>
          <w:lang w:val="es-CU" w:eastAsia="zh-CN"/>
        </w:rPr>
        <w:t xml:space="preserve"> </w:t>
      </w:r>
    </w:p>
    <w:p w14:paraId="285A4D17"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CU" w:eastAsia="zh-CN"/>
        </w:rPr>
        <w:t xml:space="preserve">8. Vázquez-Gómez LA, Hidalgo Mesa C, Beltrán González BM, Broche-Pérez Y, Mederos-Herrera AM. </w:t>
      </w:r>
      <w:r w:rsidRPr="00B41408">
        <w:rPr>
          <w:rFonts w:eastAsia="TimesNewRomanPSMT"/>
          <w:bCs/>
          <w:color w:val="000000"/>
          <w:lang w:val="es-ES" w:eastAsia="zh-CN"/>
        </w:rPr>
        <w:t xml:space="preserve">Perfil epidemiológico, clínico e imagenológico de la esclerosis múltiple. </w:t>
      </w:r>
      <w:proofErr w:type="spellStart"/>
      <w:r w:rsidRPr="00B41408">
        <w:rPr>
          <w:rFonts w:eastAsia="TimesNewRomanPSMT"/>
          <w:bCs/>
          <w:color w:val="000000"/>
          <w:lang w:val="es-ES" w:eastAsia="zh-CN"/>
        </w:rPr>
        <w:t>Medisur</w:t>
      </w:r>
      <w:proofErr w:type="spellEnd"/>
      <w:r w:rsidRPr="00B41408">
        <w:rPr>
          <w:rFonts w:eastAsia="TimesNewRomanPSMT"/>
          <w:bCs/>
          <w:color w:val="000000"/>
          <w:lang w:val="es-ES" w:eastAsia="zh-CN"/>
        </w:rPr>
        <w:t xml:space="preserve">. </w:t>
      </w:r>
      <w:r w:rsidRPr="00B41408">
        <w:rPr>
          <w:rFonts w:eastAsia="TimesNewRomanPSMT"/>
          <w:bCs/>
          <w:color w:val="000000"/>
          <w:lang w:val="es-CU" w:eastAsia="zh-CN"/>
        </w:rPr>
        <w:t xml:space="preserve">2021 [acceso: 29/01/2023]; 19(6):948-58. Disponible en: </w:t>
      </w:r>
      <w:hyperlink r:id="rId19" w:history="1">
        <w:r w:rsidRPr="00B41408">
          <w:rPr>
            <w:rFonts w:eastAsia="TimesNewRomanPSMT"/>
            <w:bCs/>
            <w:color w:val="0563C1"/>
            <w:u w:val="single"/>
            <w:lang w:val="es-CU" w:eastAsia="zh-CN"/>
          </w:rPr>
          <w:t>http://scielo.sld.cu/scielo.php?script=sci_arttext&amp;pid=S1727-897X2021000600948&amp;lng=es</w:t>
        </w:r>
      </w:hyperlink>
      <w:r w:rsidRPr="00B41408">
        <w:rPr>
          <w:rFonts w:eastAsia="TimesNewRomanPSMT"/>
          <w:bCs/>
          <w:color w:val="000000"/>
          <w:lang w:val="es-CU" w:eastAsia="zh-CN"/>
        </w:rPr>
        <w:t xml:space="preserve">   </w:t>
      </w:r>
    </w:p>
    <w:p w14:paraId="2B4C3F34" w14:textId="77777777" w:rsidR="00B41408" w:rsidRPr="00B41408" w:rsidRDefault="00B41408" w:rsidP="00B41408">
      <w:pPr>
        <w:spacing w:line="360" w:lineRule="auto"/>
        <w:rPr>
          <w:rFonts w:eastAsia="TimesNewRomanPSMT"/>
          <w:bCs/>
          <w:color w:val="000000"/>
          <w:lang w:val="es-ES" w:eastAsia="zh-CN"/>
        </w:rPr>
      </w:pPr>
      <w:r w:rsidRPr="00B41408">
        <w:rPr>
          <w:rFonts w:eastAsia="TimesNewRomanPSMT"/>
          <w:bCs/>
          <w:color w:val="000000"/>
          <w:lang w:val="es-CU" w:eastAsia="zh-CN"/>
        </w:rPr>
        <w:t xml:space="preserve">9. Fernández </w:t>
      </w:r>
      <w:proofErr w:type="spellStart"/>
      <w:r w:rsidRPr="00B41408">
        <w:rPr>
          <w:rFonts w:eastAsia="TimesNewRomanPSMT"/>
          <w:bCs/>
          <w:color w:val="000000"/>
          <w:lang w:val="es-CU" w:eastAsia="zh-CN"/>
        </w:rPr>
        <w:t>Fernández</w:t>
      </w:r>
      <w:proofErr w:type="spellEnd"/>
      <w:r w:rsidRPr="00B41408">
        <w:rPr>
          <w:rFonts w:eastAsia="TimesNewRomanPSMT"/>
          <w:bCs/>
          <w:color w:val="000000"/>
          <w:lang w:val="es-CU" w:eastAsia="zh-CN"/>
        </w:rPr>
        <w:t xml:space="preserve"> </w:t>
      </w:r>
      <w:proofErr w:type="spellStart"/>
      <w:r w:rsidRPr="00B41408">
        <w:rPr>
          <w:rFonts w:eastAsia="TimesNewRomanPSMT"/>
          <w:bCs/>
          <w:color w:val="000000"/>
          <w:lang w:val="es-CU" w:eastAsia="zh-CN"/>
        </w:rPr>
        <w:t>Ó</w:t>
      </w:r>
      <w:proofErr w:type="spellEnd"/>
      <w:r w:rsidRPr="00B41408">
        <w:rPr>
          <w:rFonts w:eastAsia="TimesNewRomanPSMT"/>
          <w:bCs/>
          <w:color w:val="000000"/>
          <w:lang w:val="es-CU" w:eastAsia="zh-CN"/>
        </w:rPr>
        <w:t xml:space="preserve">, Saiz </w:t>
      </w:r>
      <w:proofErr w:type="spellStart"/>
      <w:r w:rsidRPr="00B41408">
        <w:rPr>
          <w:rFonts w:eastAsia="TimesNewRomanPSMT"/>
          <w:bCs/>
          <w:color w:val="000000"/>
          <w:lang w:val="es-CU" w:eastAsia="zh-CN"/>
        </w:rPr>
        <w:t>Hinarejos</w:t>
      </w:r>
      <w:proofErr w:type="spellEnd"/>
      <w:r w:rsidRPr="00B41408">
        <w:rPr>
          <w:rFonts w:eastAsia="TimesNewRomanPSMT"/>
          <w:bCs/>
          <w:color w:val="000000"/>
          <w:lang w:val="es-CU" w:eastAsia="zh-CN"/>
        </w:rPr>
        <w:t xml:space="preserve"> A. Enfermedades desmielinizantes del sistema nervioso central. </w:t>
      </w:r>
      <w:r w:rsidRPr="00B41408">
        <w:rPr>
          <w:rFonts w:eastAsia="TimesNewRomanPSMT"/>
          <w:bCs/>
          <w:color w:val="000000"/>
          <w:lang w:val="es-ES" w:eastAsia="zh-CN"/>
        </w:rPr>
        <w:t xml:space="preserve">En: </w:t>
      </w:r>
      <w:proofErr w:type="spellStart"/>
      <w:r w:rsidRPr="00B41408">
        <w:rPr>
          <w:rFonts w:eastAsia="TimesNewRomanPSMT"/>
          <w:bCs/>
          <w:color w:val="000000"/>
          <w:lang w:val="es-ES" w:eastAsia="zh-CN"/>
        </w:rPr>
        <w:t>Rozman</w:t>
      </w:r>
      <w:proofErr w:type="spellEnd"/>
      <w:r w:rsidRPr="00B41408">
        <w:rPr>
          <w:rFonts w:eastAsia="TimesNewRomanPSMT"/>
          <w:bCs/>
          <w:color w:val="000000"/>
          <w:lang w:val="es-ES" w:eastAsia="zh-CN"/>
        </w:rPr>
        <w:t xml:space="preserve"> C, </w:t>
      </w:r>
      <w:proofErr w:type="spellStart"/>
      <w:r w:rsidRPr="00B41408">
        <w:rPr>
          <w:rFonts w:eastAsia="TimesNewRomanPSMT"/>
          <w:bCs/>
          <w:color w:val="000000"/>
          <w:lang w:val="es-ES" w:eastAsia="zh-CN"/>
        </w:rPr>
        <w:t>Cardellac</w:t>
      </w:r>
      <w:proofErr w:type="spellEnd"/>
      <w:r w:rsidRPr="00B41408">
        <w:rPr>
          <w:rFonts w:eastAsia="TimesNewRomanPSMT"/>
          <w:bCs/>
          <w:color w:val="000000"/>
          <w:lang w:val="es-ES" w:eastAsia="zh-CN"/>
        </w:rPr>
        <w:t xml:space="preserve"> López F. Farreras-</w:t>
      </w:r>
      <w:proofErr w:type="spellStart"/>
      <w:r w:rsidRPr="00B41408">
        <w:rPr>
          <w:rFonts w:eastAsia="TimesNewRomanPSMT"/>
          <w:bCs/>
          <w:color w:val="000000"/>
          <w:lang w:val="es-ES" w:eastAsia="zh-CN"/>
        </w:rPr>
        <w:t>Rozman</w:t>
      </w:r>
      <w:proofErr w:type="spellEnd"/>
      <w:r w:rsidRPr="00B41408">
        <w:rPr>
          <w:rFonts w:eastAsia="TimesNewRomanPSMT"/>
          <w:bCs/>
          <w:color w:val="000000"/>
          <w:lang w:val="es-ES" w:eastAsia="zh-CN"/>
        </w:rPr>
        <w:t xml:space="preserve"> Medicina Interna. </w:t>
      </w:r>
      <w:proofErr w:type="spellStart"/>
      <w:r w:rsidRPr="00B41408">
        <w:rPr>
          <w:rFonts w:eastAsia="TimesNewRomanPSMT"/>
          <w:bCs/>
          <w:color w:val="000000"/>
          <w:lang w:val="es-ES" w:eastAsia="zh-CN"/>
        </w:rPr>
        <w:t>19ed</w:t>
      </w:r>
      <w:proofErr w:type="spellEnd"/>
      <w:r w:rsidRPr="00B41408">
        <w:rPr>
          <w:rFonts w:eastAsia="TimesNewRomanPSMT"/>
          <w:bCs/>
          <w:color w:val="000000"/>
          <w:lang w:val="es-ES" w:eastAsia="zh-CN"/>
        </w:rPr>
        <w:t>. España, Barcelona: Elsevier España; 2020. p. 1394-99.</w:t>
      </w:r>
    </w:p>
    <w:p w14:paraId="27216B2F" w14:textId="77777777" w:rsidR="00B41408" w:rsidRPr="00B41408" w:rsidRDefault="00B41408" w:rsidP="00B41408">
      <w:pPr>
        <w:spacing w:line="360" w:lineRule="auto"/>
        <w:rPr>
          <w:rFonts w:eastAsia="TimesNewRomanPSMT"/>
          <w:bCs/>
          <w:color w:val="000000"/>
          <w:lang w:val="es-ES" w:eastAsia="zh-CN"/>
        </w:rPr>
      </w:pPr>
      <w:r w:rsidRPr="00B41408">
        <w:rPr>
          <w:rFonts w:eastAsia="TimesNewRomanPSMT"/>
          <w:bCs/>
          <w:color w:val="000000"/>
          <w:lang w:val="es-ES" w:eastAsia="zh-CN"/>
        </w:rPr>
        <w:t>10.</w:t>
      </w:r>
      <w:r w:rsidRPr="00B41408">
        <w:rPr>
          <w:rFonts w:eastAsia="TimesNewRomanPSMT"/>
          <w:bCs/>
          <w:color w:val="000000"/>
          <w:lang w:val="es-ES" w:eastAsia="zh-CN"/>
        </w:rPr>
        <w:tab/>
        <w:t xml:space="preserve">Zarranz </w:t>
      </w:r>
      <w:proofErr w:type="spellStart"/>
      <w:r w:rsidRPr="00B41408">
        <w:rPr>
          <w:rFonts w:eastAsia="TimesNewRomanPSMT"/>
          <w:bCs/>
          <w:color w:val="000000"/>
          <w:lang w:val="es-ES" w:eastAsia="zh-CN"/>
        </w:rPr>
        <w:t>Imirizalddu</w:t>
      </w:r>
      <w:proofErr w:type="spellEnd"/>
      <w:r w:rsidRPr="00B41408">
        <w:rPr>
          <w:rFonts w:eastAsia="TimesNewRomanPSMT"/>
          <w:bCs/>
          <w:color w:val="000000"/>
          <w:lang w:val="es-ES" w:eastAsia="zh-CN"/>
        </w:rPr>
        <w:t xml:space="preserve"> JJ. Neurología </w:t>
      </w:r>
      <w:proofErr w:type="spellStart"/>
      <w:r w:rsidRPr="00B41408">
        <w:rPr>
          <w:rFonts w:eastAsia="TimesNewRomanPSMT"/>
          <w:bCs/>
          <w:color w:val="000000"/>
          <w:lang w:val="es-ES" w:eastAsia="zh-CN"/>
        </w:rPr>
        <w:t>6ta</w:t>
      </w:r>
      <w:proofErr w:type="spellEnd"/>
      <w:r w:rsidRPr="00B41408">
        <w:rPr>
          <w:rFonts w:eastAsia="TimesNewRomanPSMT"/>
          <w:bCs/>
          <w:color w:val="000000"/>
          <w:lang w:val="es-ES" w:eastAsia="zh-CN"/>
        </w:rPr>
        <w:t xml:space="preserve"> ed. España: Elsevier España; 2018.</w:t>
      </w:r>
    </w:p>
    <w:p w14:paraId="4819B3E1"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ES" w:eastAsia="zh-CN"/>
        </w:rPr>
        <w:t>11.</w:t>
      </w:r>
      <w:r w:rsidRPr="00B41408">
        <w:rPr>
          <w:rFonts w:eastAsia="TimesNewRomanPSMT"/>
          <w:bCs/>
          <w:color w:val="000000"/>
          <w:lang w:val="es-ES" w:eastAsia="zh-CN"/>
        </w:rPr>
        <w:tab/>
        <w:t xml:space="preserve">Hernández-Valero E, Cabrera-Gómez JA, Valenzuela C. Características clínicas de la esclerosis múltiple en el Occidente de Cuba. Comparación con otras dos regiones del país. </w:t>
      </w:r>
      <w:proofErr w:type="spellStart"/>
      <w:r w:rsidRPr="00B41408">
        <w:rPr>
          <w:rFonts w:eastAsia="TimesNewRomanPSMT"/>
          <w:bCs/>
          <w:color w:val="000000"/>
          <w:lang w:val="es-CU" w:eastAsia="zh-CN"/>
        </w:rPr>
        <w:t>Rev</w:t>
      </w:r>
      <w:proofErr w:type="spellEnd"/>
      <w:r w:rsidRPr="00B41408">
        <w:rPr>
          <w:rFonts w:eastAsia="TimesNewRomanPSMT"/>
          <w:bCs/>
          <w:color w:val="000000"/>
          <w:lang w:val="es-CU" w:eastAsia="zh-CN"/>
        </w:rPr>
        <w:t xml:space="preserve"> Neurol. 2004 [acceso: 03/12/2021]; 38(9):818-23. Disponible en: </w:t>
      </w:r>
      <w:hyperlink r:id="rId20" w:history="1">
        <w:r w:rsidRPr="00B41408">
          <w:rPr>
            <w:rFonts w:eastAsia="TimesNewRomanPSMT"/>
            <w:bCs/>
            <w:color w:val="0563C1"/>
            <w:u w:val="single"/>
            <w:lang w:val="es-CU" w:eastAsia="zh-CN"/>
          </w:rPr>
          <w:t>https://neurologia.com/articulo/2003331/esp</w:t>
        </w:r>
      </w:hyperlink>
      <w:r w:rsidRPr="00B41408">
        <w:rPr>
          <w:rFonts w:eastAsia="TimesNewRomanPSMT"/>
          <w:bCs/>
          <w:color w:val="000000"/>
          <w:lang w:val="es-CU" w:eastAsia="zh-CN"/>
        </w:rPr>
        <w:t xml:space="preserve"> </w:t>
      </w:r>
    </w:p>
    <w:p w14:paraId="1D16955C"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ES" w:eastAsia="zh-CN"/>
        </w:rPr>
        <w:lastRenderedPageBreak/>
        <w:t>12.</w:t>
      </w:r>
      <w:r w:rsidRPr="00B41408">
        <w:rPr>
          <w:rFonts w:eastAsia="TimesNewRomanPSMT"/>
          <w:bCs/>
          <w:color w:val="000000"/>
          <w:lang w:val="es-ES" w:eastAsia="zh-CN"/>
        </w:rPr>
        <w:tab/>
        <w:t xml:space="preserve">Correa E, Ortiz M, Guillen, Toral AM, Terán E, </w:t>
      </w:r>
      <w:proofErr w:type="spellStart"/>
      <w:r w:rsidRPr="00B41408">
        <w:rPr>
          <w:rFonts w:eastAsia="TimesNewRomanPSMT"/>
          <w:bCs/>
          <w:color w:val="000000"/>
          <w:lang w:val="es-ES" w:eastAsia="zh-CN"/>
        </w:rPr>
        <w:t>Ortaneda</w:t>
      </w:r>
      <w:proofErr w:type="spellEnd"/>
      <w:r w:rsidRPr="00B41408">
        <w:rPr>
          <w:rFonts w:eastAsia="TimesNewRomanPSMT"/>
          <w:bCs/>
          <w:color w:val="000000"/>
          <w:lang w:val="es-ES" w:eastAsia="zh-CN"/>
        </w:rPr>
        <w:t xml:space="preserve"> D, et al. </w:t>
      </w:r>
      <w:proofErr w:type="spellStart"/>
      <w:r w:rsidRPr="00B41408">
        <w:rPr>
          <w:rFonts w:eastAsia="TimesNewRomanPSMT"/>
          <w:bCs/>
          <w:color w:val="000000"/>
          <w:lang w:val="es-ES" w:eastAsia="zh-CN"/>
        </w:rPr>
        <w:t>Prevalence</w:t>
      </w:r>
      <w:proofErr w:type="spellEnd"/>
      <w:r w:rsidRPr="00B41408">
        <w:rPr>
          <w:rFonts w:eastAsia="TimesNewRomanPSMT"/>
          <w:bCs/>
          <w:color w:val="000000"/>
          <w:lang w:val="es-ES" w:eastAsia="zh-CN"/>
        </w:rPr>
        <w:t xml:space="preserve"> </w:t>
      </w:r>
      <w:proofErr w:type="spellStart"/>
      <w:r w:rsidRPr="00B41408">
        <w:rPr>
          <w:rFonts w:eastAsia="TimesNewRomanPSMT"/>
          <w:bCs/>
          <w:color w:val="000000"/>
          <w:lang w:val="es-ES" w:eastAsia="zh-CN"/>
        </w:rPr>
        <w:t>of</w:t>
      </w:r>
      <w:proofErr w:type="spellEnd"/>
      <w:r w:rsidRPr="00B41408">
        <w:rPr>
          <w:rFonts w:eastAsia="TimesNewRomanPSMT"/>
          <w:bCs/>
          <w:color w:val="000000"/>
          <w:lang w:val="es-ES" w:eastAsia="zh-CN"/>
        </w:rPr>
        <w:t xml:space="preserve"> </w:t>
      </w:r>
      <w:proofErr w:type="spellStart"/>
      <w:r w:rsidRPr="00B41408">
        <w:rPr>
          <w:rFonts w:eastAsia="TimesNewRomanPSMT"/>
          <w:bCs/>
          <w:color w:val="000000"/>
          <w:lang w:val="es-ES" w:eastAsia="zh-CN"/>
        </w:rPr>
        <w:t>multiple</w:t>
      </w:r>
      <w:proofErr w:type="spellEnd"/>
      <w:r w:rsidRPr="00B41408">
        <w:rPr>
          <w:rFonts w:eastAsia="TimesNewRomanPSMT"/>
          <w:bCs/>
          <w:color w:val="000000"/>
          <w:lang w:val="es-ES" w:eastAsia="zh-CN"/>
        </w:rPr>
        <w:t xml:space="preserve"> </w:t>
      </w:r>
      <w:proofErr w:type="spellStart"/>
      <w:r w:rsidRPr="00B41408">
        <w:rPr>
          <w:rFonts w:eastAsia="TimesNewRomanPSMT"/>
          <w:bCs/>
          <w:color w:val="000000"/>
          <w:lang w:val="es-ES" w:eastAsia="zh-CN"/>
        </w:rPr>
        <w:t>sclerosis</w:t>
      </w:r>
      <w:proofErr w:type="spellEnd"/>
      <w:r w:rsidRPr="00B41408">
        <w:rPr>
          <w:rFonts w:eastAsia="TimesNewRomanPSMT"/>
          <w:bCs/>
          <w:color w:val="000000"/>
          <w:lang w:val="es-ES" w:eastAsia="zh-CN"/>
        </w:rPr>
        <w:t xml:space="preserve"> in Cuenca, Ecuador. </w:t>
      </w:r>
      <w:proofErr w:type="spellStart"/>
      <w:r w:rsidRPr="00B41408">
        <w:rPr>
          <w:rFonts w:eastAsia="TimesNewRomanPSMT"/>
          <w:bCs/>
          <w:color w:val="000000"/>
          <w:lang w:val="es-CU" w:eastAsia="zh-CN"/>
        </w:rPr>
        <w:t>MSJ</w:t>
      </w:r>
      <w:proofErr w:type="spellEnd"/>
      <w:r w:rsidRPr="00B41408">
        <w:rPr>
          <w:rFonts w:eastAsia="TimesNewRomanPSMT"/>
          <w:bCs/>
          <w:color w:val="000000"/>
          <w:lang w:val="es-CU" w:eastAsia="zh-CN"/>
        </w:rPr>
        <w:t xml:space="preserve">. 2019 [acceso: 03/12/2021]; 24(2):738-80. Disponible en: </w:t>
      </w:r>
      <w:hyperlink r:id="rId21" w:history="1">
        <w:r w:rsidRPr="00B41408">
          <w:rPr>
            <w:rFonts w:eastAsia="TimesNewRomanPSMT"/>
            <w:bCs/>
            <w:color w:val="0563C1"/>
            <w:u w:val="single"/>
            <w:lang w:val="es-CU" w:eastAsia="zh-CN"/>
          </w:rPr>
          <w:t>https://journals.sagepub.com/doi/full/10.1177/2055217319884952</w:t>
        </w:r>
      </w:hyperlink>
      <w:r w:rsidRPr="00B41408">
        <w:rPr>
          <w:rFonts w:eastAsia="TimesNewRomanPSMT"/>
          <w:bCs/>
          <w:color w:val="000000"/>
          <w:lang w:val="es-CU" w:eastAsia="zh-CN"/>
        </w:rPr>
        <w:t xml:space="preserve"> </w:t>
      </w:r>
    </w:p>
    <w:p w14:paraId="066C9D01"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ES" w:eastAsia="zh-CN"/>
        </w:rPr>
        <w:t>13.</w:t>
      </w:r>
      <w:r w:rsidRPr="00B41408">
        <w:rPr>
          <w:rFonts w:eastAsia="TimesNewRomanPSMT"/>
          <w:bCs/>
          <w:color w:val="000000"/>
          <w:lang w:val="es-ES" w:eastAsia="zh-CN"/>
        </w:rPr>
        <w:tab/>
        <w:t xml:space="preserve">Rojas Huerto E, Alva Díaz C, Montalván Ayala V. Cambios clínicos de la esclerosis múltiple según modificación de los criterios de McDonald. Hospital Almenara, 2001-2015. </w:t>
      </w:r>
      <w:proofErr w:type="spellStart"/>
      <w:r w:rsidRPr="00B41408">
        <w:rPr>
          <w:rFonts w:eastAsia="TimesNewRomanPSMT"/>
          <w:bCs/>
          <w:color w:val="000000"/>
          <w:lang w:val="es-CU" w:eastAsia="zh-CN"/>
        </w:rPr>
        <w:t>An</w:t>
      </w:r>
      <w:proofErr w:type="spellEnd"/>
      <w:r w:rsidRPr="00B41408">
        <w:rPr>
          <w:rFonts w:eastAsia="TimesNewRomanPSMT"/>
          <w:bCs/>
          <w:color w:val="000000"/>
          <w:lang w:val="es-CU" w:eastAsia="zh-CN"/>
        </w:rPr>
        <w:t xml:space="preserve"> </w:t>
      </w:r>
      <w:proofErr w:type="spellStart"/>
      <w:r w:rsidRPr="00B41408">
        <w:rPr>
          <w:rFonts w:eastAsia="TimesNewRomanPSMT"/>
          <w:bCs/>
          <w:color w:val="000000"/>
          <w:lang w:val="es-CU" w:eastAsia="zh-CN"/>
        </w:rPr>
        <w:t>Fac</w:t>
      </w:r>
      <w:proofErr w:type="spellEnd"/>
      <w:r w:rsidRPr="00B41408">
        <w:rPr>
          <w:rFonts w:eastAsia="TimesNewRomanPSMT"/>
          <w:bCs/>
          <w:color w:val="000000"/>
          <w:lang w:val="es-CU" w:eastAsia="zh-CN"/>
        </w:rPr>
        <w:t xml:space="preserve"> </w:t>
      </w:r>
      <w:proofErr w:type="spellStart"/>
      <w:r w:rsidRPr="00B41408">
        <w:rPr>
          <w:rFonts w:eastAsia="TimesNewRomanPSMT"/>
          <w:bCs/>
          <w:color w:val="000000"/>
          <w:lang w:val="es-CU" w:eastAsia="zh-CN"/>
        </w:rPr>
        <w:t>Med</w:t>
      </w:r>
      <w:proofErr w:type="spellEnd"/>
      <w:r w:rsidRPr="00B41408">
        <w:rPr>
          <w:rFonts w:eastAsia="TimesNewRomanPSMT"/>
          <w:bCs/>
          <w:color w:val="000000"/>
          <w:lang w:val="es-CU" w:eastAsia="zh-CN"/>
        </w:rPr>
        <w:t xml:space="preserve">. 2019 [acceso: 03/12/2021]; 80(1):34-38. Disponible en: </w:t>
      </w:r>
      <w:hyperlink r:id="rId22" w:history="1">
        <w:r w:rsidRPr="00B41408">
          <w:rPr>
            <w:rFonts w:eastAsia="TimesNewRomanPSMT"/>
            <w:bCs/>
            <w:color w:val="0563C1"/>
            <w:u w:val="single"/>
            <w:lang w:val="es-CU" w:eastAsia="zh-CN"/>
          </w:rPr>
          <w:t>https://doi.org/10.15381/anales.v80i1.15867</w:t>
        </w:r>
      </w:hyperlink>
      <w:r w:rsidRPr="00B41408">
        <w:rPr>
          <w:rFonts w:eastAsia="TimesNewRomanPSMT"/>
          <w:bCs/>
          <w:color w:val="000000"/>
          <w:lang w:val="es-CU" w:eastAsia="zh-CN"/>
        </w:rPr>
        <w:t xml:space="preserve"> </w:t>
      </w:r>
    </w:p>
    <w:p w14:paraId="0FCFD3C8"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CU" w:eastAsia="zh-CN"/>
        </w:rPr>
        <w:t>14. Vázquez-</w:t>
      </w:r>
      <w:proofErr w:type="spellStart"/>
      <w:r w:rsidRPr="00B41408">
        <w:rPr>
          <w:rFonts w:eastAsia="TimesNewRomanPSMT"/>
          <w:bCs/>
          <w:color w:val="000000"/>
          <w:lang w:val="es-CU" w:eastAsia="zh-CN"/>
        </w:rPr>
        <w:t>Céspedes</w:t>
      </w:r>
      <w:proofErr w:type="spellEnd"/>
      <w:r w:rsidRPr="00B41408">
        <w:rPr>
          <w:rFonts w:eastAsia="TimesNewRomanPSMT"/>
          <w:bCs/>
          <w:color w:val="000000"/>
          <w:lang w:val="es-CU" w:eastAsia="zh-CN"/>
        </w:rPr>
        <w:t xml:space="preserve"> J, Fernández-Morales H, Valverde-Espinosa JA, Moraga-López A, Carazo-</w:t>
      </w:r>
      <w:proofErr w:type="spellStart"/>
      <w:r w:rsidRPr="00B41408">
        <w:rPr>
          <w:rFonts w:eastAsia="TimesNewRomanPSMT"/>
          <w:bCs/>
          <w:color w:val="000000"/>
          <w:lang w:val="es-CU" w:eastAsia="zh-CN"/>
        </w:rPr>
        <w:t>Céspedes</w:t>
      </w:r>
      <w:proofErr w:type="spellEnd"/>
      <w:r w:rsidRPr="00B41408">
        <w:rPr>
          <w:rFonts w:eastAsia="TimesNewRomanPSMT"/>
          <w:bCs/>
          <w:color w:val="000000"/>
          <w:lang w:val="es-CU" w:eastAsia="zh-CN"/>
        </w:rPr>
        <w:t xml:space="preserve"> K. Perfil demográfico y clínico de la esclerosis múltiple en Costa Rica: revisión de la casuística nacional a diciembre de 2017. Neurol Arg. 2021 [acceso: 03/12/2021]; 13(2):69-77. Disponible en: </w:t>
      </w:r>
      <w:hyperlink r:id="rId23" w:history="1">
        <w:r w:rsidRPr="00B41408">
          <w:rPr>
            <w:rFonts w:eastAsia="TimesNewRomanPSMT"/>
            <w:bCs/>
            <w:color w:val="0563C1"/>
            <w:u w:val="single"/>
            <w:lang w:val="es-CU" w:eastAsia="zh-CN"/>
          </w:rPr>
          <w:t>https://www.sciencedirect.com/science/article/pii/S1853002821000070</w:t>
        </w:r>
      </w:hyperlink>
      <w:r w:rsidRPr="00B41408">
        <w:rPr>
          <w:rFonts w:eastAsia="TimesNewRomanPSMT"/>
          <w:bCs/>
          <w:color w:val="000000"/>
          <w:lang w:val="es-CU" w:eastAsia="zh-CN"/>
        </w:rPr>
        <w:t xml:space="preserve"> </w:t>
      </w:r>
    </w:p>
    <w:p w14:paraId="32FC5DC6"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ES" w:eastAsia="zh-CN"/>
        </w:rPr>
        <w:t>15.</w:t>
      </w:r>
      <w:r w:rsidRPr="00B41408">
        <w:rPr>
          <w:rFonts w:eastAsia="TimesNewRomanPSMT"/>
          <w:bCs/>
          <w:color w:val="000000"/>
          <w:lang w:val="es-ES" w:eastAsia="zh-CN"/>
        </w:rPr>
        <w:tab/>
        <w:t xml:space="preserve">Delgado-Cabrera R, Galán-Palma P, Fernández-Mogollón </w:t>
      </w:r>
      <w:proofErr w:type="spellStart"/>
      <w:r w:rsidRPr="00B41408">
        <w:rPr>
          <w:rFonts w:eastAsia="TimesNewRomanPSMT"/>
          <w:bCs/>
          <w:color w:val="000000"/>
          <w:lang w:val="es-ES" w:eastAsia="zh-CN"/>
        </w:rPr>
        <w:t>JL</w:t>
      </w:r>
      <w:proofErr w:type="spellEnd"/>
      <w:r w:rsidRPr="00B41408">
        <w:rPr>
          <w:rFonts w:eastAsia="TimesNewRomanPSMT"/>
          <w:bCs/>
          <w:color w:val="000000"/>
          <w:lang w:val="es-ES" w:eastAsia="zh-CN"/>
        </w:rPr>
        <w:t xml:space="preserve">. Características clínico-epidemiológicas de pacientes con esclerosis múltiple en dos hospitales de alta complejidad. Rev.CM </w:t>
      </w:r>
      <w:proofErr w:type="spellStart"/>
      <w:r w:rsidRPr="00B41408">
        <w:rPr>
          <w:rFonts w:eastAsia="TimesNewRomanPSMT"/>
          <w:bCs/>
          <w:color w:val="000000"/>
          <w:lang w:val="es-ES" w:eastAsia="zh-CN"/>
        </w:rPr>
        <w:t>HNAAA</w:t>
      </w:r>
      <w:proofErr w:type="spellEnd"/>
      <w:r w:rsidRPr="00B41408">
        <w:rPr>
          <w:rFonts w:eastAsia="TimesNewRomanPSMT"/>
          <w:bCs/>
          <w:color w:val="000000"/>
          <w:lang w:val="es-ES" w:eastAsia="zh-CN"/>
        </w:rPr>
        <w:t xml:space="preserve">. </w:t>
      </w:r>
      <w:r w:rsidRPr="00B41408">
        <w:rPr>
          <w:rFonts w:eastAsia="TimesNewRomanPSMT"/>
          <w:bCs/>
          <w:color w:val="000000"/>
          <w:lang w:val="es-CU" w:eastAsia="zh-CN"/>
        </w:rPr>
        <w:t xml:space="preserve">2021 [acceso: 03/12/2021]; 14(1):35-39. Disponible en: </w:t>
      </w:r>
      <w:hyperlink r:id="rId24" w:history="1">
        <w:r w:rsidRPr="00B41408">
          <w:rPr>
            <w:rFonts w:eastAsia="TimesNewRomanPSMT"/>
            <w:bCs/>
            <w:color w:val="0563C1"/>
            <w:u w:val="single"/>
            <w:lang w:val="es-CU" w:eastAsia="zh-CN"/>
          </w:rPr>
          <w:t>http://cmhnaa.org.pe/ojs/index.php/rcmhnaaa/article/viev/868</w:t>
        </w:r>
      </w:hyperlink>
      <w:r w:rsidRPr="00B41408">
        <w:rPr>
          <w:rFonts w:eastAsia="TimesNewRomanPSMT"/>
          <w:bCs/>
          <w:color w:val="000000"/>
          <w:lang w:val="es-CU" w:eastAsia="zh-CN"/>
        </w:rPr>
        <w:t xml:space="preserve"> </w:t>
      </w:r>
    </w:p>
    <w:p w14:paraId="16A63EA9" w14:textId="77777777" w:rsidR="00B41408" w:rsidRPr="00B41408" w:rsidRDefault="00B41408" w:rsidP="00B41408">
      <w:pPr>
        <w:spacing w:line="360" w:lineRule="auto"/>
        <w:rPr>
          <w:rFonts w:eastAsia="TimesNewRomanPSMT"/>
          <w:bCs/>
          <w:color w:val="000000"/>
          <w:lang w:val="en-US" w:eastAsia="zh-CN"/>
        </w:rPr>
      </w:pPr>
      <w:r w:rsidRPr="00B41408">
        <w:rPr>
          <w:rFonts w:eastAsia="TimesNewRomanPSMT"/>
          <w:bCs/>
          <w:color w:val="000000"/>
          <w:lang w:val="en-US" w:eastAsia="zh-CN"/>
        </w:rPr>
        <w:t>16.</w:t>
      </w:r>
      <w:r w:rsidRPr="00B41408">
        <w:rPr>
          <w:rFonts w:eastAsia="TimesNewRomanPSMT"/>
          <w:bCs/>
          <w:color w:val="000000"/>
          <w:lang w:val="en-US" w:eastAsia="zh-CN"/>
        </w:rPr>
        <w:tab/>
      </w:r>
      <w:proofErr w:type="spellStart"/>
      <w:r w:rsidRPr="00B41408">
        <w:rPr>
          <w:rFonts w:eastAsia="TimesNewRomanPSMT"/>
          <w:bCs/>
          <w:color w:val="000000"/>
          <w:lang w:val="en-US" w:eastAsia="zh-CN"/>
        </w:rPr>
        <w:t>Magyari</w:t>
      </w:r>
      <w:proofErr w:type="spellEnd"/>
      <w:r w:rsidRPr="00B41408">
        <w:rPr>
          <w:rFonts w:eastAsia="TimesNewRomanPSMT"/>
          <w:bCs/>
          <w:color w:val="000000"/>
          <w:lang w:val="en-US" w:eastAsia="zh-CN"/>
        </w:rPr>
        <w:t xml:space="preserve"> M, </w:t>
      </w:r>
      <w:proofErr w:type="spellStart"/>
      <w:r w:rsidRPr="00B41408">
        <w:rPr>
          <w:rFonts w:eastAsia="TimesNewRomanPSMT"/>
          <w:bCs/>
          <w:color w:val="000000"/>
          <w:lang w:val="en-US" w:eastAsia="zh-CN"/>
        </w:rPr>
        <w:t>Soelberg</w:t>
      </w:r>
      <w:proofErr w:type="spellEnd"/>
      <w:r w:rsidRPr="00B41408">
        <w:rPr>
          <w:rFonts w:eastAsia="TimesNewRomanPSMT"/>
          <w:bCs/>
          <w:color w:val="000000"/>
          <w:lang w:val="en-US" w:eastAsia="zh-CN"/>
        </w:rPr>
        <w:t xml:space="preserve"> Sorensen P. Comorbidity in Multiple Sclerosis. Frontiers in Neurology. 2020 [</w:t>
      </w:r>
      <w:proofErr w:type="spellStart"/>
      <w:r w:rsidRPr="00B41408">
        <w:rPr>
          <w:rFonts w:eastAsia="TimesNewRomanPSMT"/>
          <w:bCs/>
          <w:color w:val="000000"/>
          <w:lang w:val="en-US" w:eastAsia="zh-CN"/>
        </w:rPr>
        <w:t>acceso</w:t>
      </w:r>
      <w:proofErr w:type="spellEnd"/>
      <w:r w:rsidRPr="00B41408">
        <w:rPr>
          <w:rFonts w:eastAsia="TimesNewRomanPSMT"/>
          <w:bCs/>
          <w:color w:val="000000"/>
          <w:lang w:val="en-US" w:eastAsia="zh-CN"/>
        </w:rPr>
        <w:t xml:space="preserve">: 03/12/2021]; 11(851):1-9. Disponible </w:t>
      </w:r>
      <w:proofErr w:type="spellStart"/>
      <w:r w:rsidRPr="00B41408">
        <w:rPr>
          <w:rFonts w:eastAsia="TimesNewRomanPSMT"/>
          <w:bCs/>
          <w:color w:val="000000"/>
          <w:lang w:val="en-US" w:eastAsia="zh-CN"/>
        </w:rPr>
        <w:t>en</w:t>
      </w:r>
      <w:proofErr w:type="spellEnd"/>
      <w:r w:rsidRPr="00B41408">
        <w:rPr>
          <w:rFonts w:eastAsia="TimesNewRomanPSMT"/>
          <w:bCs/>
          <w:color w:val="000000"/>
          <w:lang w:val="en-US" w:eastAsia="zh-CN"/>
        </w:rPr>
        <w:t xml:space="preserve">: </w:t>
      </w:r>
      <w:hyperlink r:id="rId25" w:history="1">
        <w:r w:rsidRPr="00B41408">
          <w:rPr>
            <w:rFonts w:eastAsia="TimesNewRomanPSMT"/>
            <w:bCs/>
            <w:color w:val="0563C1"/>
            <w:u w:val="single"/>
            <w:lang w:val="en-US" w:eastAsia="zh-CN"/>
          </w:rPr>
          <w:t>https://www.frontiersin.org/articles/10.3389/fneur.2020.00851/full</w:t>
        </w:r>
      </w:hyperlink>
      <w:r w:rsidRPr="00B41408">
        <w:rPr>
          <w:rFonts w:eastAsia="TimesNewRomanPSMT"/>
          <w:bCs/>
          <w:color w:val="000000"/>
          <w:lang w:val="en-US" w:eastAsia="zh-CN"/>
        </w:rPr>
        <w:t xml:space="preserve"> </w:t>
      </w:r>
    </w:p>
    <w:p w14:paraId="02BEA90C"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n-US" w:eastAsia="zh-CN"/>
        </w:rPr>
        <w:t>17.</w:t>
      </w:r>
      <w:r w:rsidRPr="00B41408">
        <w:rPr>
          <w:rFonts w:eastAsia="TimesNewRomanPSMT"/>
          <w:bCs/>
          <w:color w:val="000000"/>
          <w:lang w:val="en-US" w:eastAsia="zh-CN"/>
        </w:rPr>
        <w:tab/>
        <w:t xml:space="preserve">Cárdenas-Robledo S, Otero-Romero S, </w:t>
      </w:r>
      <w:proofErr w:type="spellStart"/>
      <w:r w:rsidRPr="00B41408">
        <w:rPr>
          <w:rFonts w:eastAsia="TimesNewRomanPSMT"/>
          <w:bCs/>
          <w:color w:val="000000"/>
          <w:lang w:val="en-US" w:eastAsia="zh-CN"/>
        </w:rPr>
        <w:t>Passarell-Bacardit</w:t>
      </w:r>
      <w:proofErr w:type="spellEnd"/>
      <w:r w:rsidRPr="00B41408">
        <w:rPr>
          <w:rFonts w:eastAsia="TimesNewRomanPSMT"/>
          <w:bCs/>
          <w:color w:val="000000"/>
          <w:lang w:val="en-US" w:eastAsia="zh-CN"/>
        </w:rPr>
        <w:t xml:space="preserve"> MA, </w:t>
      </w:r>
      <w:proofErr w:type="spellStart"/>
      <w:r w:rsidRPr="00B41408">
        <w:rPr>
          <w:rFonts w:eastAsia="TimesNewRomanPSMT"/>
          <w:bCs/>
          <w:color w:val="000000"/>
          <w:lang w:val="en-US" w:eastAsia="zh-CN"/>
        </w:rPr>
        <w:t>Carbonell-Mirabent</w:t>
      </w:r>
      <w:proofErr w:type="spellEnd"/>
      <w:r w:rsidRPr="00B41408">
        <w:rPr>
          <w:rFonts w:eastAsia="TimesNewRomanPSMT"/>
          <w:bCs/>
          <w:color w:val="000000"/>
          <w:lang w:val="en-US" w:eastAsia="zh-CN"/>
        </w:rPr>
        <w:t xml:space="preserve"> P, </w:t>
      </w:r>
      <w:proofErr w:type="spellStart"/>
      <w:r w:rsidRPr="00B41408">
        <w:rPr>
          <w:rFonts w:eastAsia="TimesNewRomanPSMT"/>
          <w:bCs/>
          <w:color w:val="000000"/>
          <w:lang w:val="en-US" w:eastAsia="zh-CN"/>
        </w:rPr>
        <w:t>Sastre-Garriga</w:t>
      </w:r>
      <w:proofErr w:type="spellEnd"/>
      <w:r w:rsidRPr="00B41408">
        <w:rPr>
          <w:rFonts w:eastAsia="TimesNewRomanPSMT"/>
          <w:bCs/>
          <w:color w:val="000000"/>
          <w:lang w:val="en-US" w:eastAsia="zh-CN"/>
        </w:rPr>
        <w:t xml:space="preserve"> J, </w:t>
      </w:r>
      <w:proofErr w:type="spellStart"/>
      <w:r w:rsidRPr="00B41408">
        <w:rPr>
          <w:rFonts w:eastAsia="TimesNewRomanPSMT"/>
          <w:bCs/>
          <w:color w:val="000000"/>
          <w:lang w:val="en-US" w:eastAsia="zh-CN"/>
        </w:rPr>
        <w:t>Montalbán</w:t>
      </w:r>
      <w:proofErr w:type="spellEnd"/>
      <w:r w:rsidRPr="00B41408">
        <w:rPr>
          <w:rFonts w:eastAsia="TimesNewRomanPSMT"/>
          <w:bCs/>
          <w:color w:val="000000"/>
          <w:lang w:val="en-US" w:eastAsia="zh-CN"/>
        </w:rPr>
        <w:t xml:space="preserve"> X. et al. Multiple sclerosis is associated with higher comorbidity and health care resource use: A population-based, case-control study in a western Mediterranean region. </w:t>
      </w:r>
      <w:proofErr w:type="spellStart"/>
      <w:r w:rsidRPr="00B41408">
        <w:rPr>
          <w:rFonts w:eastAsia="TimesNewRomanPSMT"/>
          <w:bCs/>
          <w:color w:val="000000"/>
          <w:lang w:val="es-CU" w:eastAsia="zh-CN"/>
        </w:rPr>
        <w:t>Eur</w:t>
      </w:r>
      <w:proofErr w:type="spellEnd"/>
      <w:r w:rsidRPr="00B41408">
        <w:rPr>
          <w:rFonts w:eastAsia="TimesNewRomanPSMT"/>
          <w:bCs/>
          <w:color w:val="000000"/>
          <w:lang w:val="es-CU" w:eastAsia="zh-CN"/>
        </w:rPr>
        <w:t xml:space="preserve"> </w:t>
      </w:r>
      <w:proofErr w:type="spellStart"/>
      <w:proofErr w:type="gramStart"/>
      <w:r w:rsidRPr="00B41408">
        <w:rPr>
          <w:rFonts w:eastAsia="TimesNewRomanPSMT"/>
          <w:bCs/>
          <w:color w:val="000000"/>
          <w:lang w:val="es-CU" w:eastAsia="zh-CN"/>
        </w:rPr>
        <w:t>J.Neurol</w:t>
      </w:r>
      <w:proofErr w:type="spellEnd"/>
      <w:proofErr w:type="gramEnd"/>
      <w:r w:rsidRPr="00B41408">
        <w:rPr>
          <w:rFonts w:eastAsia="TimesNewRomanPSMT"/>
          <w:bCs/>
          <w:color w:val="000000"/>
          <w:lang w:val="es-CU" w:eastAsia="zh-CN"/>
        </w:rPr>
        <w:t xml:space="preserve">. 2021 [acceso: 03/12/2021]; 28(12):1-11. Disponible en: </w:t>
      </w:r>
      <w:hyperlink r:id="rId26" w:history="1">
        <w:r w:rsidRPr="00B41408">
          <w:rPr>
            <w:rFonts w:eastAsia="TimesNewRomanPSMT"/>
            <w:bCs/>
            <w:color w:val="0563C1"/>
            <w:u w:val="single"/>
            <w:lang w:val="es-CU" w:eastAsia="zh-CN"/>
          </w:rPr>
          <w:t>https://doi.org/10.1111/ene.15030</w:t>
        </w:r>
      </w:hyperlink>
      <w:r w:rsidRPr="00B41408">
        <w:rPr>
          <w:rFonts w:eastAsia="TimesNewRomanPSMT"/>
          <w:bCs/>
          <w:color w:val="000000"/>
          <w:lang w:val="es-CU" w:eastAsia="zh-CN"/>
        </w:rPr>
        <w:t xml:space="preserve"> </w:t>
      </w:r>
    </w:p>
    <w:p w14:paraId="6767E80E"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ES" w:eastAsia="zh-CN"/>
        </w:rPr>
        <w:t>18.</w:t>
      </w:r>
      <w:r w:rsidRPr="00B41408">
        <w:rPr>
          <w:rFonts w:eastAsia="TimesNewRomanPSMT"/>
          <w:bCs/>
          <w:color w:val="000000"/>
          <w:lang w:val="es-ES" w:eastAsia="zh-CN"/>
        </w:rPr>
        <w:tab/>
        <w:t xml:space="preserve">Cárdenas-Robledo S, Otero-Romero S, Montalbán X, </w:t>
      </w:r>
      <w:proofErr w:type="spellStart"/>
      <w:r w:rsidRPr="00B41408">
        <w:rPr>
          <w:rFonts w:eastAsia="TimesNewRomanPSMT"/>
          <w:bCs/>
          <w:color w:val="000000"/>
          <w:lang w:val="es-ES" w:eastAsia="zh-CN"/>
        </w:rPr>
        <w:t>Tintoré</w:t>
      </w:r>
      <w:proofErr w:type="spellEnd"/>
      <w:r w:rsidRPr="00B41408">
        <w:rPr>
          <w:rFonts w:eastAsia="TimesNewRomanPSMT"/>
          <w:bCs/>
          <w:color w:val="000000"/>
          <w:lang w:val="es-ES" w:eastAsia="zh-CN"/>
        </w:rPr>
        <w:t xml:space="preserve"> M. Prevalencia e impacto de las comorbilidades en pacientes con esclerosis múltiple. </w:t>
      </w:r>
      <w:proofErr w:type="spellStart"/>
      <w:r w:rsidRPr="00B41408">
        <w:rPr>
          <w:rFonts w:eastAsia="TimesNewRomanPSMT"/>
          <w:bCs/>
          <w:color w:val="000000"/>
          <w:lang w:val="es-CU" w:eastAsia="zh-CN"/>
        </w:rPr>
        <w:t>Rev</w:t>
      </w:r>
      <w:proofErr w:type="spellEnd"/>
      <w:r w:rsidRPr="00B41408">
        <w:rPr>
          <w:rFonts w:eastAsia="TimesNewRomanPSMT"/>
          <w:bCs/>
          <w:color w:val="000000"/>
          <w:lang w:val="es-CU" w:eastAsia="zh-CN"/>
        </w:rPr>
        <w:t xml:space="preserve"> Neurol. 2020 [acceso: 01/01/2022]; 71(4):151-8. Disponible en: </w:t>
      </w:r>
      <w:hyperlink r:id="rId27" w:history="1">
        <w:r w:rsidRPr="00B41408">
          <w:rPr>
            <w:rFonts w:eastAsia="TimesNewRomanPSMT"/>
            <w:bCs/>
            <w:color w:val="0563C1"/>
            <w:u w:val="single"/>
            <w:lang w:val="es-CU" w:eastAsia="zh-CN"/>
          </w:rPr>
          <w:t>https://www.neurologia.com/articulo/2020095</w:t>
        </w:r>
      </w:hyperlink>
      <w:r w:rsidRPr="00B41408">
        <w:rPr>
          <w:rFonts w:eastAsia="TimesNewRomanPSMT"/>
          <w:bCs/>
          <w:color w:val="000000"/>
          <w:lang w:val="es-CU" w:eastAsia="zh-CN"/>
        </w:rPr>
        <w:t xml:space="preserve"> </w:t>
      </w:r>
    </w:p>
    <w:p w14:paraId="183E51DC" w14:textId="77777777" w:rsidR="00B41408" w:rsidRPr="00B41408" w:rsidRDefault="00B41408" w:rsidP="00B41408">
      <w:pPr>
        <w:spacing w:line="360" w:lineRule="auto"/>
        <w:rPr>
          <w:rFonts w:eastAsia="TimesNewRomanPSMT"/>
          <w:bCs/>
          <w:color w:val="000000"/>
          <w:lang w:val="es-CU" w:eastAsia="zh-CN"/>
        </w:rPr>
      </w:pPr>
      <w:r w:rsidRPr="00B41408">
        <w:rPr>
          <w:rFonts w:eastAsia="TimesNewRomanPSMT"/>
          <w:bCs/>
          <w:color w:val="000000"/>
          <w:lang w:val="es-ES" w:eastAsia="zh-CN"/>
        </w:rPr>
        <w:t>19.</w:t>
      </w:r>
      <w:r w:rsidRPr="00B41408">
        <w:rPr>
          <w:rFonts w:eastAsia="TimesNewRomanPSMT"/>
          <w:bCs/>
          <w:color w:val="000000"/>
          <w:lang w:val="es-ES" w:eastAsia="zh-CN"/>
        </w:rPr>
        <w:tab/>
        <w:t xml:space="preserve">Vázquez Gómez LA, Hidalgo Mesa C, Broche Pérez Y, Valdés Morales Y, Tejeda Castañeda E. Caracterización epidemiológica, clínica e imagenológica de pacientes con esclerosis múltiple. </w:t>
      </w:r>
      <w:proofErr w:type="spellStart"/>
      <w:r w:rsidRPr="00B41408">
        <w:rPr>
          <w:rFonts w:eastAsia="TimesNewRomanPSMT"/>
          <w:bCs/>
          <w:color w:val="000000"/>
          <w:lang w:val="es-ES" w:eastAsia="zh-CN"/>
        </w:rPr>
        <w:t>Medicen</w:t>
      </w:r>
      <w:proofErr w:type="spellEnd"/>
      <w:r w:rsidRPr="00B41408">
        <w:rPr>
          <w:rFonts w:eastAsia="TimesNewRomanPSMT"/>
          <w:bCs/>
          <w:color w:val="000000"/>
          <w:lang w:val="es-ES" w:eastAsia="zh-CN"/>
        </w:rPr>
        <w:t xml:space="preserve"> Electrón. </w:t>
      </w:r>
      <w:r w:rsidRPr="00B41408">
        <w:rPr>
          <w:rFonts w:eastAsia="TimesNewRomanPSMT"/>
          <w:bCs/>
          <w:color w:val="000000"/>
          <w:lang w:val="es-CU" w:eastAsia="zh-CN"/>
        </w:rPr>
        <w:t xml:space="preserve">2021 [acceso: 06/12/2021]; 25(3):423-46. Disponible en: </w:t>
      </w:r>
      <w:hyperlink r:id="rId28" w:history="1">
        <w:r w:rsidRPr="00B41408">
          <w:rPr>
            <w:rFonts w:eastAsia="TimesNewRomanPSMT"/>
            <w:bCs/>
            <w:color w:val="0563C1"/>
            <w:u w:val="single"/>
            <w:lang w:val="es-CU" w:eastAsia="zh-CN"/>
          </w:rPr>
          <w:t>http://www.medicentro.sld.cu/index.php/medicentro/article/view/3315/2727</w:t>
        </w:r>
      </w:hyperlink>
      <w:r w:rsidRPr="00B41408">
        <w:rPr>
          <w:rFonts w:eastAsia="TimesNewRomanPSMT"/>
          <w:bCs/>
          <w:color w:val="000000"/>
          <w:lang w:val="es-CU" w:eastAsia="zh-CN"/>
        </w:rPr>
        <w:t xml:space="preserve"> </w:t>
      </w:r>
    </w:p>
    <w:p w14:paraId="29D71733" w14:textId="77777777" w:rsidR="00B41408" w:rsidRPr="00B41408" w:rsidRDefault="00B41408" w:rsidP="00B41408">
      <w:pPr>
        <w:spacing w:line="360" w:lineRule="auto"/>
        <w:rPr>
          <w:rFonts w:eastAsia="TimesNewRomanPSMT"/>
          <w:bCs/>
          <w:color w:val="000000"/>
          <w:lang w:val="es-ES" w:eastAsia="zh-CN"/>
        </w:rPr>
      </w:pPr>
      <w:r w:rsidRPr="00B41408">
        <w:rPr>
          <w:rFonts w:eastAsia="TimesNewRomanPSMT"/>
          <w:bCs/>
          <w:color w:val="000000"/>
          <w:lang w:val="es-CU" w:eastAsia="zh-CN"/>
        </w:rPr>
        <w:lastRenderedPageBreak/>
        <w:t xml:space="preserve">20. García-Estévez DA, Fraga-González C, Ramos-Pacho E, López-Díaz LM, Pardo-Parrado M, Prieto </w:t>
      </w:r>
      <w:proofErr w:type="spellStart"/>
      <w:r w:rsidRPr="00B41408">
        <w:rPr>
          <w:rFonts w:eastAsia="TimesNewRomanPSMT"/>
          <w:bCs/>
          <w:color w:val="000000"/>
          <w:lang w:val="es-CU" w:eastAsia="zh-CN"/>
        </w:rPr>
        <w:t>JM</w:t>
      </w:r>
      <w:proofErr w:type="spellEnd"/>
      <w:r w:rsidRPr="00B41408">
        <w:rPr>
          <w:rFonts w:eastAsia="TimesNewRomanPSMT"/>
          <w:bCs/>
          <w:color w:val="000000"/>
          <w:lang w:val="es-CU" w:eastAsia="zh-CN"/>
        </w:rPr>
        <w:t xml:space="preserve">. Prevalencia de la esclerosis múltiple en la ciudad de Ourense, Galicia, noroeste de la Península Ibérica. </w:t>
      </w:r>
      <w:proofErr w:type="spellStart"/>
      <w:r w:rsidRPr="00B41408">
        <w:rPr>
          <w:rFonts w:eastAsia="TimesNewRomanPSMT"/>
          <w:bCs/>
          <w:color w:val="000000"/>
          <w:lang w:val="es-CU" w:eastAsia="zh-CN"/>
        </w:rPr>
        <w:t>Rev</w:t>
      </w:r>
      <w:proofErr w:type="spellEnd"/>
      <w:r w:rsidRPr="00B41408">
        <w:rPr>
          <w:rFonts w:eastAsia="TimesNewRomanPSMT"/>
          <w:bCs/>
          <w:color w:val="000000"/>
          <w:lang w:val="es-CU" w:eastAsia="zh-CN"/>
        </w:rPr>
        <w:t xml:space="preserve"> Neurol. 2020 [acceso: 01/01/2022]; 71(1):19-25. Disponible en: </w:t>
      </w:r>
      <w:hyperlink r:id="rId29" w:history="1">
        <w:r w:rsidRPr="00B41408">
          <w:rPr>
            <w:rFonts w:eastAsia="TimesNewRomanPSMT"/>
            <w:bCs/>
            <w:color w:val="0563C1"/>
            <w:u w:val="single"/>
            <w:lang w:val="es-CU" w:eastAsia="zh-CN"/>
          </w:rPr>
          <w:t>https://www.neurologia.com/articulo/2019432</w:t>
        </w:r>
      </w:hyperlink>
      <w:r w:rsidRPr="00B41408">
        <w:rPr>
          <w:rFonts w:eastAsia="TimesNewRomanPSMT"/>
          <w:bCs/>
          <w:color w:val="000000"/>
          <w:lang w:val="es-CU" w:eastAsia="zh-CN"/>
        </w:rPr>
        <w:t xml:space="preserve"> </w:t>
      </w:r>
    </w:p>
    <w:p w14:paraId="3BA1D4CC" w14:textId="77777777" w:rsidR="00B41408" w:rsidRPr="00B41408" w:rsidRDefault="00B41408" w:rsidP="00B41408">
      <w:pPr>
        <w:spacing w:line="360" w:lineRule="auto"/>
        <w:jc w:val="both"/>
        <w:rPr>
          <w:rFonts w:eastAsia="TimesNewRomanPSMT"/>
          <w:b/>
          <w:color w:val="000000"/>
          <w:lang w:val="es-ES" w:eastAsia="zh-CN"/>
        </w:rPr>
      </w:pPr>
    </w:p>
    <w:p w14:paraId="4A6D64B5" w14:textId="77777777" w:rsidR="00B41408" w:rsidRPr="00B41408" w:rsidRDefault="00B41408" w:rsidP="00B41408">
      <w:pPr>
        <w:spacing w:line="360" w:lineRule="auto"/>
        <w:jc w:val="both"/>
        <w:rPr>
          <w:rFonts w:eastAsia="TimesNewRomanPSMT"/>
          <w:b/>
          <w:color w:val="000000"/>
          <w:lang w:val="es-ES" w:eastAsia="zh-CN"/>
        </w:rPr>
      </w:pPr>
    </w:p>
    <w:p w14:paraId="61BD6259" w14:textId="77777777" w:rsidR="00B41408" w:rsidRPr="00B41408" w:rsidRDefault="00B41408" w:rsidP="00B41408">
      <w:pPr>
        <w:spacing w:line="360" w:lineRule="auto"/>
        <w:jc w:val="center"/>
        <w:rPr>
          <w:rFonts w:eastAsia="TimesNewRomanPSMT"/>
          <w:b/>
          <w:color w:val="000000"/>
          <w:lang w:val="es-ES" w:eastAsia="zh-CN"/>
        </w:rPr>
      </w:pPr>
      <w:r w:rsidRPr="00B41408">
        <w:rPr>
          <w:rFonts w:eastAsia="TimesNewRomanPSMT"/>
          <w:b/>
          <w:color w:val="000000"/>
          <w:lang w:val="es-ES" w:eastAsia="zh-CN"/>
        </w:rPr>
        <w:t>Conflictos de interés</w:t>
      </w:r>
    </w:p>
    <w:p w14:paraId="3972CE11" w14:textId="77777777" w:rsidR="00B41408" w:rsidRPr="00B41408" w:rsidRDefault="00B41408" w:rsidP="00B41408">
      <w:pPr>
        <w:spacing w:line="360" w:lineRule="auto"/>
        <w:jc w:val="both"/>
        <w:rPr>
          <w:rFonts w:eastAsia="TimesNewRomanPSMT"/>
          <w:color w:val="000000"/>
          <w:lang w:val="es-ES" w:eastAsia="zh-CN"/>
        </w:rPr>
      </w:pPr>
      <w:r w:rsidRPr="00B41408">
        <w:rPr>
          <w:rFonts w:eastAsia="TimesNewRomanPSMT"/>
          <w:color w:val="000000"/>
          <w:lang w:val="es-ES" w:eastAsia="zh-CN"/>
        </w:rPr>
        <w:t>Los autores declaran no presentar conflictos de intereses.</w:t>
      </w:r>
    </w:p>
    <w:p w14:paraId="045844EF" w14:textId="77777777" w:rsidR="00B41408" w:rsidRPr="00B41408" w:rsidRDefault="00B41408" w:rsidP="00B41408">
      <w:pPr>
        <w:spacing w:line="360" w:lineRule="auto"/>
        <w:jc w:val="both"/>
        <w:rPr>
          <w:rFonts w:eastAsia="TimesNewRomanPSMT"/>
          <w:color w:val="000000"/>
          <w:lang w:val="es-ES" w:eastAsia="zh-CN"/>
        </w:rPr>
      </w:pPr>
    </w:p>
    <w:p w14:paraId="495947BC" w14:textId="77777777" w:rsidR="00B41408" w:rsidRPr="00B41408" w:rsidRDefault="00B41408" w:rsidP="00B41408">
      <w:pPr>
        <w:spacing w:line="360" w:lineRule="auto"/>
        <w:ind w:right="226"/>
        <w:jc w:val="center"/>
        <w:rPr>
          <w:rFonts w:eastAsia="SimSun"/>
          <w:b/>
          <w:bCs/>
          <w:lang w:val="es-CU" w:eastAsia="zh-CN"/>
        </w:rPr>
      </w:pPr>
      <w:r w:rsidRPr="00B41408">
        <w:rPr>
          <w:b/>
          <w:bCs/>
          <w:lang w:val="zh-CN" w:eastAsia="zh-CN"/>
        </w:rPr>
        <w:t>Contribuci</w:t>
      </w:r>
      <w:r w:rsidRPr="00B41408">
        <w:rPr>
          <w:b/>
          <w:bCs/>
          <w:lang w:val="es-CU" w:eastAsia="zh-CN"/>
        </w:rPr>
        <w:t>o</w:t>
      </w:r>
      <w:r w:rsidRPr="00B41408">
        <w:rPr>
          <w:b/>
          <w:bCs/>
          <w:lang w:val="zh-CN" w:eastAsia="zh-CN"/>
        </w:rPr>
        <w:t>n</w:t>
      </w:r>
      <w:r w:rsidRPr="00B41408">
        <w:rPr>
          <w:b/>
          <w:bCs/>
          <w:lang w:val="es-CU" w:eastAsia="zh-CN"/>
        </w:rPr>
        <w:t>es</w:t>
      </w:r>
      <w:r w:rsidRPr="00B41408">
        <w:rPr>
          <w:b/>
          <w:bCs/>
          <w:lang w:val="zh-CN" w:eastAsia="zh-CN"/>
        </w:rPr>
        <w:t xml:space="preserve"> de</w:t>
      </w:r>
      <w:r w:rsidRPr="00B41408">
        <w:rPr>
          <w:b/>
          <w:bCs/>
          <w:lang w:val="es-CU" w:eastAsia="zh-CN"/>
        </w:rPr>
        <w:t xml:space="preserve"> los</w:t>
      </w:r>
      <w:r w:rsidRPr="00B41408">
        <w:rPr>
          <w:b/>
          <w:bCs/>
          <w:lang w:val="zh-CN" w:eastAsia="zh-CN"/>
        </w:rPr>
        <w:t xml:space="preserve"> autor</w:t>
      </w:r>
      <w:r w:rsidRPr="00B41408">
        <w:rPr>
          <w:b/>
          <w:bCs/>
          <w:lang w:val="es-CU" w:eastAsia="zh-CN"/>
        </w:rPr>
        <w:t>es</w:t>
      </w:r>
    </w:p>
    <w:p w14:paraId="0121D902" w14:textId="77777777" w:rsidR="00B41408" w:rsidRPr="00B41408" w:rsidRDefault="00B41408" w:rsidP="00B41408">
      <w:pPr>
        <w:spacing w:line="360" w:lineRule="auto"/>
        <w:ind w:right="226"/>
        <w:rPr>
          <w:rFonts w:eastAsia="SimSun"/>
          <w:lang w:val="es-CU" w:eastAsia="zh-CN"/>
        </w:rPr>
      </w:pPr>
      <w:r w:rsidRPr="00B41408">
        <w:rPr>
          <w:rFonts w:eastAsia="SimSun"/>
          <w:lang w:val="es-CU" w:eastAsia="zh-CN"/>
        </w:rPr>
        <w:t xml:space="preserve">Conceptualización: </w:t>
      </w:r>
      <w:r w:rsidRPr="00B41408">
        <w:rPr>
          <w:rFonts w:eastAsia="SimSun"/>
          <w:i/>
          <w:iCs/>
          <w:lang w:val="es-CU" w:eastAsia="zh-CN"/>
        </w:rPr>
        <w:t>Roberto Lotti Mesa.</w:t>
      </w:r>
    </w:p>
    <w:p w14:paraId="0A8ECFD0" w14:textId="77777777" w:rsidR="00B41408" w:rsidRPr="00B41408" w:rsidRDefault="00B41408" w:rsidP="00B41408">
      <w:pPr>
        <w:spacing w:line="360" w:lineRule="auto"/>
        <w:ind w:right="226"/>
        <w:rPr>
          <w:rFonts w:eastAsia="SimSun"/>
          <w:i/>
          <w:iCs/>
          <w:lang w:val="es-CU" w:eastAsia="zh-CN"/>
        </w:rPr>
      </w:pPr>
      <w:r w:rsidRPr="00B41408">
        <w:rPr>
          <w:rFonts w:eastAsia="SimSun"/>
          <w:lang w:val="es-CU" w:eastAsia="zh-CN"/>
        </w:rPr>
        <w:t xml:space="preserve">Curación de datos: </w:t>
      </w:r>
      <w:r w:rsidRPr="00B41408">
        <w:rPr>
          <w:rFonts w:eastAsia="SimSun"/>
          <w:i/>
          <w:iCs/>
          <w:lang w:val="es-CU" w:eastAsia="zh-CN"/>
        </w:rPr>
        <w:t xml:space="preserve">Roberto Lotti Mesa, </w:t>
      </w:r>
      <w:proofErr w:type="spellStart"/>
      <w:r w:rsidRPr="00B41408">
        <w:rPr>
          <w:rFonts w:eastAsia="SimSun"/>
          <w:i/>
          <w:iCs/>
          <w:lang w:val="es-CU" w:eastAsia="zh-CN"/>
        </w:rPr>
        <w:t>Liudmila</w:t>
      </w:r>
      <w:proofErr w:type="spellEnd"/>
      <w:r w:rsidRPr="00B41408">
        <w:rPr>
          <w:rFonts w:eastAsia="SimSun"/>
          <w:i/>
          <w:iCs/>
          <w:lang w:val="es-CU" w:eastAsia="zh-CN"/>
        </w:rPr>
        <w:t xml:space="preserve"> Gutiérrez.</w:t>
      </w:r>
    </w:p>
    <w:p w14:paraId="23C706E1" w14:textId="77777777" w:rsidR="00B41408" w:rsidRPr="00B41408" w:rsidRDefault="00B41408" w:rsidP="00B41408">
      <w:pPr>
        <w:spacing w:line="360" w:lineRule="auto"/>
        <w:ind w:right="226"/>
        <w:rPr>
          <w:rFonts w:eastAsia="SimSun"/>
          <w:lang w:val="es-CU" w:eastAsia="zh-CN"/>
        </w:rPr>
      </w:pPr>
      <w:r w:rsidRPr="00B41408">
        <w:rPr>
          <w:rFonts w:eastAsia="SimSun"/>
          <w:lang w:val="es-CU" w:eastAsia="zh-CN"/>
        </w:rPr>
        <w:t xml:space="preserve">Análisis formal: </w:t>
      </w:r>
      <w:r w:rsidRPr="00B41408">
        <w:rPr>
          <w:rFonts w:eastAsia="SimSun"/>
          <w:i/>
          <w:iCs/>
          <w:lang w:val="es-CU" w:eastAsia="zh-CN"/>
        </w:rPr>
        <w:t xml:space="preserve">Roberto Lotti Mesa, </w:t>
      </w:r>
      <w:proofErr w:type="spellStart"/>
      <w:r w:rsidRPr="00B41408">
        <w:rPr>
          <w:rFonts w:eastAsia="SimSun"/>
          <w:i/>
          <w:iCs/>
          <w:lang w:val="es-CU" w:eastAsia="zh-CN"/>
        </w:rPr>
        <w:t>Liudmila</w:t>
      </w:r>
      <w:proofErr w:type="spellEnd"/>
      <w:r w:rsidRPr="00B41408">
        <w:rPr>
          <w:rFonts w:eastAsia="SimSun"/>
          <w:i/>
          <w:iCs/>
          <w:lang w:val="es-CU" w:eastAsia="zh-CN"/>
        </w:rPr>
        <w:t xml:space="preserve"> Gutiérrez, Fidel Jesús Moreno </w:t>
      </w:r>
      <w:proofErr w:type="spellStart"/>
      <w:r w:rsidRPr="00B41408">
        <w:rPr>
          <w:rFonts w:eastAsia="SimSun"/>
          <w:i/>
          <w:iCs/>
          <w:lang w:val="es-CU" w:eastAsia="zh-CN"/>
        </w:rPr>
        <w:t>Cubela</w:t>
      </w:r>
      <w:proofErr w:type="spellEnd"/>
      <w:r w:rsidRPr="00B41408">
        <w:rPr>
          <w:rFonts w:eastAsia="SimSun"/>
          <w:i/>
          <w:iCs/>
          <w:lang w:val="es-CU" w:eastAsia="zh-CN"/>
        </w:rPr>
        <w:t>.</w:t>
      </w:r>
    </w:p>
    <w:p w14:paraId="255F9A14" w14:textId="77777777" w:rsidR="00B41408" w:rsidRPr="00B41408" w:rsidRDefault="00B41408" w:rsidP="00B41408">
      <w:pPr>
        <w:spacing w:line="360" w:lineRule="auto"/>
        <w:ind w:right="226"/>
        <w:rPr>
          <w:rFonts w:eastAsia="SimSun"/>
          <w:i/>
          <w:iCs/>
          <w:lang w:val="es-CU" w:eastAsia="zh-CN"/>
        </w:rPr>
      </w:pPr>
      <w:r w:rsidRPr="00B41408">
        <w:rPr>
          <w:rFonts w:eastAsia="SimSun"/>
          <w:lang w:val="es-CU" w:eastAsia="zh-CN"/>
        </w:rPr>
        <w:t xml:space="preserve">Investigación: </w:t>
      </w:r>
      <w:r w:rsidRPr="00B41408">
        <w:rPr>
          <w:rFonts w:eastAsia="SimSun"/>
          <w:i/>
          <w:iCs/>
          <w:lang w:val="es-CU" w:eastAsia="zh-CN"/>
        </w:rPr>
        <w:t xml:space="preserve">Roberto Lotti Mesa, </w:t>
      </w:r>
      <w:proofErr w:type="spellStart"/>
      <w:r w:rsidRPr="00B41408">
        <w:rPr>
          <w:rFonts w:eastAsia="SimSun"/>
          <w:i/>
          <w:iCs/>
          <w:lang w:val="es-CU" w:eastAsia="zh-CN"/>
        </w:rPr>
        <w:t>Liudmila</w:t>
      </w:r>
      <w:proofErr w:type="spellEnd"/>
      <w:r w:rsidRPr="00B41408">
        <w:rPr>
          <w:rFonts w:eastAsia="SimSun"/>
          <w:i/>
          <w:iCs/>
          <w:lang w:val="es-CU" w:eastAsia="zh-CN"/>
        </w:rPr>
        <w:t xml:space="preserve"> Gutiérrez, Fidel Jesús Moreno </w:t>
      </w:r>
      <w:proofErr w:type="spellStart"/>
      <w:r w:rsidRPr="00B41408">
        <w:rPr>
          <w:rFonts w:eastAsia="SimSun"/>
          <w:i/>
          <w:iCs/>
          <w:lang w:val="es-CU" w:eastAsia="zh-CN"/>
        </w:rPr>
        <w:t>Cubela</w:t>
      </w:r>
      <w:proofErr w:type="spellEnd"/>
      <w:r w:rsidRPr="00B41408">
        <w:rPr>
          <w:rFonts w:eastAsia="SimSun"/>
          <w:i/>
          <w:iCs/>
          <w:lang w:val="es-CU" w:eastAsia="zh-CN"/>
        </w:rPr>
        <w:t>.</w:t>
      </w:r>
    </w:p>
    <w:p w14:paraId="5FA6B32A" w14:textId="77777777" w:rsidR="00B41408" w:rsidRPr="00B41408" w:rsidRDefault="00B41408" w:rsidP="00B41408">
      <w:pPr>
        <w:spacing w:line="360" w:lineRule="auto"/>
        <w:ind w:right="226"/>
        <w:rPr>
          <w:rFonts w:eastAsia="SimSun"/>
          <w:lang w:val="es-CU" w:eastAsia="zh-CN"/>
        </w:rPr>
      </w:pPr>
      <w:r w:rsidRPr="00B41408">
        <w:rPr>
          <w:rFonts w:eastAsia="SimSun"/>
          <w:lang w:val="es-CU" w:eastAsia="zh-CN"/>
        </w:rPr>
        <w:t xml:space="preserve">Metodología: </w:t>
      </w:r>
      <w:r w:rsidRPr="00B41408">
        <w:rPr>
          <w:rFonts w:eastAsia="SimSun"/>
          <w:i/>
          <w:iCs/>
          <w:lang w:val="es-CU" w:eastAsia="zh-CN"/>
        </w:rPr>
        <w:t xml:space="preserve">Roberto Lotti Mesa, </w:t>
      </w:r>
      <w:proofErr w:type="spellStart"/>
      <w:r w:rsidRPr="00B41408">
        <w:rPr>
          <w:rFonts w:eastAsia="SimSun"/>
          <w:i/>
          <w:iCs/>
          <w:lang w:val="es-CU" w:eastAsia="zh-CN"/>
        </w:rPr>
        <w:t>Liudmila</w:t>
      </w:r>
      <w:proofErr w:type="spellEnd"/>
      <w:r w:rsidRPr="00B41408">
        <w:rPr>
          <w:rFonts w:eastAsia="SimSun"/>
          <w:i/>
          <w:iCs/>
          <w:lang w:val="es-CU" w:eastAsia="zh-CN"/>
        </w:rPr>
        <w:t xml:space="preserve"> Gutiérrez, Fidel Jesús Moreno </w:t>
      </w:r>
      <w:proofErr w:type="spellStart"/>
      <w:r w:rsidRPr="00B41408">
        <w:rPr>
          <w:rFonts w:eastAsia="SimSun"/>
          <w:i/>
          <w:iCs/>
          <w:lang w:val="es-CU" w:eastAsia="zh-CN"/>
        </w:rPr>
        <w:t>Cubela</w:t>
      </w:r>
      <w:proofErr w:type="spellEnd"/>
      <w:r w:rsidRPr="00B41408">
        <w:rPr>
          <w:rFonts w:eastAsia="SimSun"/>
          <w:i/>
          <w:iCs/>
          <w:lang w:val="es-CU" w:eastAsia="zh-CN"/>
        </w:rPr>
        <w:t>.</w:t>
      </w:r>
    </w:p>
    <w:p w14:paraId="193435CE" w14:textId="77777777" w:rsidR="00B41408" w:rsidRPr="00B41408" w:rsidRDefault="00B41408" w:rsidP="00B41408">
      <w:pPr>
        <w:spacing w:line="360" w:lineRule="auto"/>
        <w:ind w:right="226"/>
        <w:rPr>
          <w:rFonts w:eastAsia="SimSun"/>
          <w:lang w:val="es-CU" w:eastAsia="zh-CN"/>
        </w:rPr>
      </w:pPr>
      <w:r w:rsidRPr="00B41408">
        <w:rPr>
          <w:rFonts w:eastAsia="SimSun"/>
          <w:lang w:val="es-CU" w:eastAsia="zh-CN"/>
        </w:rPr>
        <w:t xml:space="preserve">Supervisión: </w:t>
      </w:r>
      <w:r w:rsidRPr="00B41408">
        <w:rPr>
          <w:rFonts w:eastAsia="SimSun"/>
          <w:i/>
          <w:iCs/>
          <w:lang w:val="es-CU" w:eastAsia="zh-CN"/>
        </w:rPr>
        <w:t>Roberto Lotti Mesa.</w:t>
      </w:r>
    </w:p>
    <w:p w14:paraId="0300CC0C" w14:textId="77777777" w:rsidR="00B41408" w:rsidRPr="00B41408" w:rsidRDefault="00B41408" w:rsidP="00B41408">
      <w:pPr>
        <w:spacing w:line="360" w:lineRule="auto"/>
        <w:ind w:right="226"/>
        <w:rPr>
          <w:rFonts w:eastAsia="SimSun"/>
          <w:lang w:val="es-CU" w:eastAsia="zh-CN"/>
        </w:rPr>
      </w:pPr>
      <w:r w:rsidRPr="00B41408">
        <w:rPr>
          <w:rFonts w:eastAsia="SimSun"/>
          <w:lang w:val="es-CU" w:eastAsia="zh-CN"/>
        </w:rPr>
        <w:t xml:space="preserve">Validación: </w:t>
      </w:r>
      <w:r w:rsidRPr="00B41408">
        <w:rPr>
          <w:rFonts w:eastAsia="SimSun"/>
          <w:i/>
          <w:iCs/>
          <w:lang w:val="es-CU" w:eastAsia="zh-CN"/>
        </w:rPr>
        <w:t xml:space="preserve">Roberto Lotti Mesa, </w:t>
      </w:r>
      <w:proofErr w:type="spellStart"/>
      <w:r w:rsidRPr="00B41408">
        <w:rPr>
          <w:rFonts w:eastAsia="SimSun"/>
          <w:i/>
          <w:iCs/>
          <w:lang w:val="es-CU" w:eastAsia="zh-CN"/>
        </w:rPr>
        <w:t>Liudmila</w:t>
      </w:r>
      <w:proofErr w:type="spellEnd"/>
      <w:r w:rsidRPr="00B41408">
        <w:rPr>
          <w:rFonts w:eastAsia="SimSun"/>
          <w:i/>
          <w:iCs/>
          <w:lang w:val="es-CU" w:eastAsia="zh-CN"/>
        </w:rPr>
        <w:t xml:space="preserve"> Gutiérrez, Fidel Jesús Moreno </w:t>
      </w:r>
      <w:proofErr w:type="spellStart"/>
      <w:r w:rsidRPr="00B41408">
        <w:rPr>
          <w:rFonts w:eastAsia="SimSun"/>
          <w:i/>
          <w:iCs/>
          <w:lang w:val="es-CU" w:eastAsia="zh-CN"/>
        </w:rPr>
        <w:t>Cubela</w:t>
      </w:r>
      <w:proofErr w:type="spellEnd"/>
      <w:r w:rsidRPr="00B41408">
        <w:rPr>
          <w:rFonts w:eastAsia="SimSun"/>
          <w:i/>
          <w:iCs/>
          <w:lang w:val="es-CU" w:eastAsia="zh-CN"/>
        </w:rPr>
        <w:t>.</w:t>
      </w:r>
    </w:p>
    <w:p w14:paraId="50A0A247" w14:textId="77777777" w:rsidR="00B41408" w:rsidRPr="00B41408" w:rsidRDefault="00B41408" w:rsidP="00B41408">
      <w:pPr>
        <w:spacing w:line="360" w:lineRule="auto"/>
        <w:ind w:right="226"/>
        <w:rPr>
          <w:rFonts w:eastAsia="SimSun"/>
          <w:lang w:val="es-CU" w:eastAsia="zh-CN"/>
        </w:rPr>
      </w:pPr>
      <w:r w:rsidRPr="00B41408">
        <w:rPr>
          <w:rFonts w:eastAsia="SimSun"/>
          <w:lang w:val="es-CU" w:eastAsia="zh-CN"/>
        </w:rPr>
        <w:t xml:space="preserve">Redacción-borrador original: </w:t>
      </w:r>
      <w:r w:rsidRPr="00B41408">
        <w:rPr>
          <w:rFonts w:eastAsia="SimSun"/>
          <w:i/>
          <w:iCs/>
          <w:lang w:val="es-CU" w:eastAsia="zh-CN"/>
        </w:rPr>
        <w:t xml:space="preserve">Roberto Lotti Mesa, </w:t>
      </w:r>
      <w:proofErr w:type="spellStart"/>
      <w:r w:rsidRPr="00B41408">
        <w:rPr>
          <w:rFonts w:eastAsia="SimSun"/>
          <w:i/>
          <w:iCs/>
          <w:lang w:val="es-CU" w:eastAsia="zh-CN"/>
        </w:rPr>
        <w:t>Liudmila</w:t>
      </w:r>
      <w:proofErr w:type="spellEnd"/>
      <w:r w:rsidRPr="00B41408">
        <w:rPr>
          <w:rFonts w:eastAsia="SimSun"/>
          <w:i/>
          <w:iCs/>
          <w:lang w:val="es-CU" w:eastAsia="zh-CN"/>
        </w:rPr>
        <w:t xml:space="preserve"> Gutiérrez.</w:t>
      </w:r>
    </w:p>
    <w:p w14:paraId="3D7E674B" w14:textId="77777777" w:rsidR="00B41408" w:rsidRPr="00B41408" w:rsidRDefault="00B41408" w:rsidP="00B41408">
      <w:pPr>
        <w:spacing w:line="360" w:lineRule="auto"/>
        <w:ind w:right="226"/>
        <w:rPr>
          <w:rFonts w:eastAsia="SimSun"/>
          <w:lang w:val="es-CU" w:eastAsia="zh-CN"/>
        </w:rPr>
      </w:pPr>
      <w:r w:rsidRPr="00B41408">
        <w:rPr>
          <w:rFonts w:eastAsia="SimSun"/>
          <w:lang w:val="es-CU" w:eastAsia="zh-CN"/>
        </w:rPr>
        <w:t xml:space="preserve">Redacción-revisión y edición: </w:t>
      </w:r>
      <w:r w:rsidRPr="00B41408">
        <w:rPr>
          <w:rFonts w:eastAsia="SimSun"/>
          <w:i/>
          <w:iCs/>
          <w:lang w:val="es-CU" w:eastAsia="zh-CN"/>
        </w:rPr>
        <w:t xml:space="preserve">Roberto Lotti Mesa, </w:t>
      </w:r>
      <w:proofErr w:type="spellStart"/>
      <w:r w:rsidRPr="00B41408">
        <w:rPr>
          <w:rFonts w:eastAsia="SimSun"/>
          <w:i/>
          <w:iCs/>
          <w:lang w:val="es-CU" w:eastAsia="zh-CN"/>
        </w:rPr>
        <w:t>Liudmila</w:t>
      </w:r>
      <w:proofErr w:type="spellEnd"/>
      <w:r w:rsidRPr="00B41408">
        <w:rPr>
          <w:rFonts w:eastAsia="SimSun"/>
          <w:i/>
          <w:iCs/>
          <w:lang w:val="es-CU" w:eastAsia="zh-CN"/>
        </w:rPr>
        <w:t xml:space="preserve"> Gutiérrez, Fidel Jesús Moreno </w:t>
      </w:r>
      <w:proofErr w:type="spellStart"/>
      <w:r w:rsidRPr="00B41408">
        <w:rPr>
          <w:rFonts w:eastAsia="SimSun"/>
          <w:i/>
          <w:iCs/>
          <w:lang w:val="es-CU" w:eastAsia="zh-CN"/>
        </w:rPr>
        <w:t>Cubela</w:t>
      </w:r>
      <w:proofErr w:type="spellEnd"/>
      <w:r w:rsidRPr="00B41408">
        <w:rPr>
          <w:rFonts w:eastAsia="SimSun"/>
          <w:i/>
          <w:iCs/>
          <w:lang w:val="es-CU" w:eastAsia="zh-CN"/>
        </w:rPr>
        <w:t>.</w:t>
      </w:r>
    </w:p>
    <w:p w14:paraId="5920DF9C" w14:textId="77777777" w:rsidR="00675476" w:rsidRPr="0055115D" w:rsidRDefault="00675476" w:rsidP="00EA1FEF">
      <w:pPr>
        <w:pStyle w:val="PDFRevista"/>
      </w:pPr>
    </w:p>
    <w:sectPr w:rsidR="00675476" w:rsidRPr="0055115D"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2330" w14:textId="77777777" w:rsidR="00B75A7B" w:rsidRDefault="00B75A7B">
      <w:r>
        <w:separator/>
      </w:r>
    </w:p>
  </w:endnote>
  <w:endnote w:type="continuationSeparator" w:id="0">
    <w:p w14:paraId="59C7CA29" w14:textId="77777777" w:rsidR="00B75A7B" w:rsidRDefault="00B7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839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E1D1A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9784" w14:textId="50F0BB2E" w:rsidR="000F3690" w:rsidRPr="00AE044C" w:rsidRDefault="00B4140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2679DB8" wp14:editId="10881DED">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577225"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ED64BA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E209E4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4640EFC" w14:textId="69DFEE5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B41408" w:rsidRPr="00B41408">
      <w:rPr>
        <w:rFonts w:ascii="Verdana" w:hAnsi="Verdana"/>
        <w:noProof/>
        <w:sz w:val="18"/>
        <w:szCs w:val="18"/>
        <w:lang w:val="en-US" w:eastAsia="en-US"/>
      </w:rPr>
      <w:drawing>
        <wp:inline distT="0" distB="0" distL="0" distR="0" wp14:anchorId="7C1A63C6" wp14:editId="23A41C57">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2CDE5" w14:textId="77777777" w:rsidR="00B75A7B" w:rsidRDefault="00B75A7B">
      <w:r>
        <w:separator/>
      </w:r>
    </w:p>
  </w:footnote>
  <w:footnote w:type="continuationSeparator" w:id="0">
    <w:p w14:paraId="14821A57" w14:textId="77777777" w:rsidR="00B75A7B" w:rsidRDefault="00B7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99A3" w14:textId="7F51235A" w:rsidR="00CC376A" w:rsidRPr="00AE044C" w:rsidRDefault="00B4140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02302474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24FAB4B" wp14:editId="6E098C1D">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EB05F" w14:textId="73D15FD4" w:rsidR="00A477DE" w:rsidRDefault="00B41408">
    <w:r>
      <w:rPr>
        <w:noProof/>
      </w:rPr>
      <mc:AlternateContent>
        <mc:Choice Requires="wps">
          <w:drawing>
            <wp:anchor distT="0" distB="0" distL="114300" distR="114300" simplePos="0" relativeHeight="251654144" behindDoc="0" locked="0" layoutInCell="1" allowOverlap="1" wp14:anchorId="256B59FA" wp14:editId="59001924">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37B34A"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E51D0"/>
    <w:multiLevelType w:val="hybridMultilevel"/>
    <w:tmpl w:val="8758C1D6"/>
    <w:lvl w:ilvl="0" w:tplc="C7164E9A">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BBE565E"/>
    <w:multiLevelType w:val="hybridMultilevel"/>
    <w:tmpl w:val="1A30F44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ED26B69"/>
    <w:multiLevelType w:val="singleLevel"/>
    <w:tmpl w:val="5ED26B69"/>
    <w:lvl w:ilvl="0">
      <w:start w:val="1"/>
      <w:numFmt w:val="decimal"/>
      <w:lvlText w:val="%1."/>
      <w:lvlJc w:val="left"/>
      <w:pPr>
        <w:ind w:left="425" w:hanging="425"/>
      </w:pPr>
      <w:rPr>
        <w:rFonts w:hint="default"/>
      </w:rPr>
    </w:lvl>
  </w:abstractNum>
  <w:num w:numId="1" w16cid:durableId="981740236">
    <w:abstractNumId w:val="1"/>
  </w:num>
  <w:num w:numId="2" w16cid:durableId="1230337471">
    <w:abstractNumId w:val="0"/>
  </w:num>
  <w:num w:numId="3" w16cid:durableId="50738617">
    <w:abstractNumId w:val="3"/>
  </w:num>
  <w:num w:numId="4" w16cid:durableId="643702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08"/>
    <w:rsid w:val="00057F45"/>
    <w:rsid w:val="000D3958"/>
    <w:rsid w:val="000F3690"/>
    <w:rsid w:val="001221D1"/>
    <w:rsid w:val="00165CB5"/>
    <w:rsid w:val="00180CE9"/>
    <w:rsid w:val="001C2A42"/>
    <w:rsid w:val="00230DD5"/>
    <w:rsid w:val="00250AE9"/>
    <w:rsid w:val="00346990"/>
    <w:rsid w:val="00380D64"/>
    <w:rsid w:val="00391509"/>
    <w:rsid w:val="003E03D5"/>
    <w:rsid w:val="00486BFA"/>
    <w:rsid w:val="00493701"/>
    <w:rsid w:val="004E2065"/>
    <w:rsid w:val="004F3816"/>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1408"/>
    <w:rsid w:val="00B4380A"/>
    <w:rsid w:val="00B66ECB"/>
    <w:rsid w:val="00B75A7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14A7C"/>
  <w15:docId w15:val="{F1E4B6D1-F0C2-44FA-9F1F-A7DF9EA0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B41408"/>
  </w:style>
  <w:style w:type="character" w:styleId="nfasis">
    <w:name w:val="Emphasis"/>
    <w:qFormat/>
    <w:rsid w:val="00B41408"/>
    <w:rPr>
      <w:i/>
      <w:iCs/>
    </w:rPr>
  </w:style>
  <w:style w:type="table" w:customStyle="1" w:styleId="Tablaconcuadrcula1">
    <w:name w:val="Tabla con cuadrícula1"/>
    <w:basedOn w:val="Tablanormal"/>
    <w:next w:val="Tablaconcuadrcula"/>
    <w:rsid w:val="00B41408"/>
    <w:rPr>
      <w:rFonts w:eastAsia="SimSu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lmarcadordeposicin1">
    <w:name w:val="Texto del marcador de posición1"/>
    <w:uiPriority w:val="99"/>
    <w:semiHidden/>
    <w:qFormat/>
    <w:rsid w:val="00B41408"/>
    <w:rPr>
      <w:color w:val="808080"/>
    </w:rPr>
  </w:style>
  <w:style w:type="table" w:customStyle="1" w:styleId="Estilo1">
    <w:name w:val="Estilo1"/>
    <w:basedOn w:val="Tablanormal"/>
    <w:uiPriority w:val="99"/>
    <w:qFormat/>
    <w:rsid w:val="00B41408"/>
    <w:rPr>
      <w:rFonts w:eastAsia="SimSun"/>
      <w:lang w:val="es-ES" w:eastAsia="es-ES"/>
    </w:rPr>
    <w:tblPr/>
  </w:style>
  <w:style w:type="table" w:customStyle="1" w:styleId="Estilo2">
    <w:name w:val="Estilo2"/>
    <w:basedOn w:val="Sombreadomedio2-nfasis4"/>
    <w:uiPriority w:val="99"/>
    <w:qFormat/>
    <w:rsid w:val="00B41408"/>
    <w:rPr>
      <w:rFonts w:eastAsia="SimSun"/>
      <w:lang w:val="es-ES" w:eastAsia="es-ES"/>
    </w:rP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Estilo3">
    <w:name w:val="Estilo3"/>
    <w:basedOn w:val="Tablavistosa1"/>
    <w:uiPriority w:val="99"/>
    <w:qFormat/>
    <w:rsid w:val="00B41408"/>
    <w:pPr>
      <w:spacing w:after="0" w:line="240" w:lineRule="auto"/>
    </w:pP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Sombreadomedio2-nfasis41">
    <w:name w:val="Sombreado medio 2 - Énfasis 41"/>
    <w:basedOn w:val="Tablanormal"/>
    <w:next w:val="Sombreadomedio2-nfasis4"/>
    <w:uiPriority w:val="99"/>
    <w:semiHidden/>
    <w:unhideWhenUsed/>
    <w:rsid w:val="00B41408"/>
    <w:rPr>
      <w:rFonts w:eastAsia="SimSu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vistosa1">
    <w:name w:val="Table Colorful 1"/>
    <w:basedOn w:val="Tablanormal"/>
    <w:semiHidden/>
    <w:unhideWhenUsed/>
    <w:rsid w:val="00B41408"/>
    <w:pPr>
      <w:spacing w:after="160" w:line="259" w:lineRule="auto"/>
    </w:pPr>
    <w:rPr>
      <w:rFonts w:eastAsia="SimSun"/>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Estilo4">
    <w:name w:val="Estilo4"/>
    <w:basedOn w:val="Tablabsica1"/>
    <w:uiPriority w:val="99"/>
    <w:qFormat/>
    <w:rsid w:val="00B41408"/>
    <w:pPr>
      <w:spacing w:after="0" w:line="240" w:lineRule="auto"/>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Estilo5">
    <w:name w:val="Estilo5"/>
    <w:basedOn w:val="Tablaconcuadrcula"/>
    <w:uiPriority w:val="99"/>
    <w:qFormat/>
    <w:rsid w:val="00B41408"/>
    <w:rPr>
      <w:rFonts w:eastAsia="SimSun"/>
      <w:lang w:val="es-ES" w:eastAsia="es-ES"/>
    </w:rPr>
    <w:tblPr/>
  </w:style>
  <w:style w:type="table" w:styleId="Tablabsica1">
    <w:name w:val="Table Simple 1"/>
    <w:basedOn w:val="Tablanormal"/>
    <w:semiHidden/>
    <w:unhideWhenUsed/>
    <w:rsid w:val="00B41408"/>
    <w:pPr>
      <w:spacing w:after="160" w:line="259" w:lineRule="auto"/>
    </w:pPr>
    <w:rPr>
      <w:rFonts w:eastAsia="SimSun"/>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rrafodelista">
    <w:name w:val="List Paragraph"/>
    <w:basedOn w:val="Normal"/>
    <w:uiPriority w:val="99"/>
    <w:unhideWhenUsed/>
    <w:rsid w:val="00B41408"/>
    <w:pPr>
      <w:spacing w:after="160" w:line="259" w:lineRule="auto"/>
      <w:ind w:left="720"/>
      <w:contextualSpacing/>
    </w:pPr>
    <w:rPr>
      <w:rFonts w:ascii="Calibri" w:hAnsi="Calibri"/>
      <w:sz w:val="20"/>
      <w:szCs w:val="20"/>
      <w:lang w:val="en-US" w:eastAsia="zh-CN"/>
    </w:rPr>
  </w:style>
  <w:style w:type="character" w:styleId="Mencinsinresolver">
    <w:name w:val="Unresolved Mention"/>
    <w:uiPriority w:val="99"/>
    <w:semiHidden/>
    <w:unhideWhenUsed/>
    <w:rsid w:val="00B41408"/>
    <w:rPr>
      <w:color w:val="605E5C"/>
      <w:shd w:val="clear" w:color="auto" w:fill="E1DFDD"/>
    </w:rPr>
  </w:style>
  <w:style w:type="character" w:styleId="Refdecomentario">
    <w:name w:val="annotation reference"/>
    <w:rsid w:val="00B41408"/>
    <w:rPr>
      <w:sz w:val="16"/>
      <w:szCs w:val="16"/>
    </w:rPr>
  </w:style>
  <w:style w:type="paragraph" w:styleId="Textocomentario">
    <w:name w:val="annotation text"/>
    <w:basedOn w:val="Normal"/>
    <w:link w:val="TextocomentarioCar"/>
    <w:rsid w:val="00B41408"/>
    <w:pPr>
      <w:spacing w:after="160"/>
    </w:pPr>
    <w:rPr>
      <w:rFonts w:ascii="Calibri" w:hAnsi="Calibri"/>
      <w:sz w:val="20"/>
      <w:szCs w:val="20"/>
      <w:lang w:val="en-US" w:eastAsia="zh-CN"/>
    </w:rPr>
  </w:style>
  <w:style w:type="character" w:customStyle="1" w:styleId="TextocomentarioCar">
    <w:name w:val="Texto comentario Car"/>
    <w:basedOn w:val="Fuentedeprrafopredeter"/>
    <w:link w:val="Textocomentario"/>
    <w:rsid w:val="00B41408"/>
    <w:rPr>
      <w:rFonts w:ascii="Calibri" w:hAnsi="Calibri"/>
      <w:lang w:val="en-US" w:eastAsia="zh-CN"/>
    </w:rPr>
  </w:style>
  <w:style w:type="paragraph" w:styleId="Asuntodelcomentario">
    <w:name w:val="annotation subject"/>
    <w:basedOn w:val="Textocomentario"/>
    <w:next w:val="Textocomentario"/>
    <w:link w:val="AsuntodelcomentarioCar"/>
    <w:rsid w:val="00B41408"/>
    <w:rPr>
      <w:b/>
      <w:bCs/>
    </w:rPr>
  </w:style>
  <w:style w:type="character" w:customStyle="1" w:styleId="AsuntodelcomentarioCar">
    <w:name w:val="Asunto del comentario Car"/>
    <w:basedOn w:val="TextocomentarioCar"/>
    <w:link w:val="Asuntodelcomentario"/>
    <w:rsid w:val="00B41408"/>
    <w:rPr>
      <w:rFonts w:ascii="Calibri" w:hAnsi="Calibri"/>
      <w:b/>
      <w:bCs/>
      <w:lang w:val="en-US" w:eastAsia="zh-CN"/>
    </w:rPr>
  </w:style>
  <w:style w:type="paragraph" w:customStyle="1" w:styleId="Revisin1">
    <w:name w:val="Revisión1"/>
    <w:next w:val="Revisin"/>
    <w:hidden/>
    <w:uiPriority w:val="99"/>
    <w:semiHidden/>
    <w:rsid w:val="00B41408"/>
    <w:rPr>
      <w:rFonts w:ascii="Calibri" w:hAnsi="Calibri"/>
      <w:lang w:val="en-US" w:eastAsia="zh-CN"/>
    </w:rPr>
  </w:style>
  <w:style w:type="character" w:styleId="Textoennegrita">
    <w:name w:val="Strong"/>
    <w:uiPriority w:val="22"/>
    <w:qFormat/>
    <w:rsid w:val="00B41408"/>
    <w:rPr>
      <w:b/>
      <w:bCs/>
    </w:rPr>
  </w:style>
  <w:style w:type="table" w:styleId="Sombreadomedio2-nfasis4">
    <w:name w:val="Medium Shading 2 Accent 4"/>
    <w:basedOn w:val="Tablanormal"/>
    <w:uiPriority w:val="64"/>
    <w:semiHidden/>
    <w:unhideWhenUsed/>
    <w:rsid w:val="00B4140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n">
    <w:name w:val="Revision"/>
    <w:hidden/>
    <w:uiPriority w:val="99"/>
    <w:semiHidden/>
    <w:rsid w:val="00B41408"/>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578-2566" TargetMode="External"/><Relationship Id="rId13" Type="http://schemas.openxmlformats.org/officeDocument/2006/relationships/hyperlink" Target="http://revecuatneurol.com/wp-content/uploads/2020/06/2631-2581-rneuro-29-01-00062.pdf" TargetMode="External"/><Relationship Id="rId18" Type="http://schemas.openxmlformats.org/officeDocument/2006/relationships/hyperlink" Target="https://revedumecentro.sld.cu/index.php/edumc/article/view/1887" TargetMode="External"/><Relationship Id="rId26" Type="http://schemas.openxmlformats.org/officeDocument/2006/relationships/hyperlink" Target="https://doi.org/10.1111/ene.15030" TargetMode="External"/><Relationship Id="rId3" Type="http://schemas.openxmlformats.org/officeDocument/2006/relationships/settings" Target="settings.xml"/><Relationship Id="rId21" Type="http://schemas.openxmlformats.org/officeDocument/2006/relationships/hyperlink" Target="https://journals.sagepub.com/doi/full/10.1177/2055217319884952" TargetMode="External"/><Relationship Id="rId34" Type="http://schemas.openxmlformats.org/officeDocument/2006/relationships/theme" Target="theme/theme1.xml"/><Relationship Id="rId7" Type="http://schemas.openxmlformats.org/officeDocument/2006/relationships/hyperlink" Target="https://orcid.org//0000-0002-2050-6960" TargetMode="External"/><Relationship Id="rId12" Type="http://schemas.openxmlformats.org/officeDocument/2006/relationships/image" Target="media/image2.png"/><Relationship Id="rId17" Type="http://schemas.openxmlformats.org/officeDocument/2006/relationships/hyperlink" Target="https://revmedicina.sld.cu/index.php/med/article/view/948" TargetMode="External"/><Relationship Id="rId25" Type="http://schemas.openxmlformats.org/officeDocument/2006/relationships/hyperlink" Target="https://www.frontiersin.org/articles/10.3389/fneur.2020.00851/ful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tlasofms.org" TargetMode="External"/><Relationship Id="rId20" Type="http://schemas.openxmlformats.org/officeDocument/2006/relationships/hyperlink" Target="https://neurologia.com/articulo/2003331/esp" TargetMode="External"/><Relationship Id="rId29" Type="http://schemas.openxmlformats.org/officeDocument/2006/relationships/hyperlink" Target="https://www.neurologia.com/articulo/20194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cmhnaa.org.pe/ojs/index.php/rcmhnaaa/article/viev/86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ielosp.org/article/gs/2019.v33n2/177-184/es/" TargetMode="External"/><Relationship Id="rId23" Type="http://schemas.openxmlformats.org/officeDocument/2006/relationships/hyperlink" Target="https://www.sciencedirect.com/science/article/pii/S1853002821000070" TargetMode="External"/><Relationship Id="rId28" Type="http://schemas.openxmlformats.org/officeDocument/2006/relationships/hyperlink" Target="http://www.medicentro.sld.cu/index.php/medicentro/article/view/3315/2727" TargetMode="External"/><Relationship Id="rId10" Type="http://schemas.openxmlformats.org/officeDocument/2006/relationships/hyperlink" Target="mailto:fideljmoreno@gmail.com" TargetMode="External"/><Relationship Id="rId19" Type="http://schemas.openxmlformats.org/officeDocument/2006/relationships/hyperlink" Target="http://scielo.sld.cu/scielo.php?script=sci_arttext&amp;pid=S1727-897X2021000600948&amp;lng=e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1-9963-692X" TargetMode="External"/><Relationship Id="rId14" Type="http://schemas.openxmlformats.org/officeDocument/2006/relationships/hyperlink" Target="http://accessmedicina.mhmedical.com/content.aspx?bookid=1908" TargetMode="External"/><Relationship Id="rId22" Type="http://schemas.openxmlformats.org/officeDocument/2006/relationships/hyperlink" Target="https://doi.org/10.15381/anales.v80i1.15867" TargetMode="External"/><Relationship Id="rId27" Type="http://schemas.openxmlformats.org/officeDocument/2006/relationships/hyperlink" Target="https://www.neurologia.com/articulo/2020095"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12</Pages>
  <Words>3466</Words>
  <Characters>19066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22488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4</cp:revision>
  <cp:lastPrinted>2010-09-13T21:29:00Z</cp:lastPrinted>
  <dcterms:created xsi:type="dcterms:W3CDTF">2023-03-23T19:46:00Z</dcterms:created>
  <dcterms:modified xsi:type="dcterms:W3CDTF">2023-03-23T19:50:00Z</dcterms:modified>
</cp:coreProperties>
</file>